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930132" w14:textId="77777777" w:rsidR="002E72CF" w:rsidRPr="002E72CF" w:rsidRDefault="002E72CF" w:rsidP="002E72CF">
      <w:pPr>
        <w:spacing w:line="480" w:lineRule="auto"/>
        <w:jc w:val="both"/>
        <w:rPr>
          <w:rFonts w:eastAsia="Calibri" w:cstheme="minorHAnsi"/>
          <w:b/>
          <w:sz w:val="24"/>
          <w:szCs w:val="24"/>
          <w:lang w:val="en-GB"/>
        </w:rPr>
      </w:pPr>
      <w:bookmarkStart w:id="0" w:name="_Hlk499907322"/>
      <w:bookmarkStart w:id="1" w:name="_Hlk528525981"/>
      <w:r w:rsidRPr="002E72CF">
        <w:rPr>
          <w:rFonts w:eastAsia="Calibri" w:cstheme="minorHAnsi"/>
          <w:b/>
          <w:sz w:val="24"/>
          <w:szCs w:val="24"/>
          <w:lang w:val="en-GB"/>
        </w:rPr>
        <w:t>Pharmacogenetics</w:t>
      </w:r>
      <w:r w:rsidRPr="002E72CF">
        <w:rPr>
          <w:rFonts w:eastAsia="Times New Roman" w:cstheme="minorHAnsi"/>
          <w:b/>
          <w:sz w:val="24"/>
          <w:szCs w:val="24"/>
          <w:lang w:val="en-GB" w:eastAsia="en-GB"/>
        </w:rPr>
        <w:t xml:space="preserve"> of artemether-lumefantrine influence on</w:t>
      </w:r>
      <w:r w:rsidRPr="002E72CF">
        <w:rPr>
          <w:rFonts w:eastAsia="Calibri" w:cstheme="minorHAnsi"/>
          <w:b/>
          <w:sz w:val="24"/>
          <w:szCs w:val="24"/>
          <w:lang w:val="en-GB"/>
        </w:rPr>
        <w:t xml:space="preserve"> nevirapine disposition: clinically significant drug-drug interaction?</w:t>
      </w:r>
      <w:bookmarkEnd w:id="0"/>
    </w:p>
    <w:p w14:paraId="34A19C81" w14:textId="77777777" w:rsidR="002E72CF" w:rsidRPr="002E72CF" w:rsidRDefault="002E72CF" w:rsidP="002E72CF">
      <w:pPr>
        <w:spacing w:line="480" w:lineRule="auto"/>
        <w:jc w:val="both"/>
        <w:rPr>
          <w:rFonts w:eastAsia="Calibri" w:cstheme="minorHAnsi"/>
          <w:b/>
          <w:sz w:val="24"/>
          <w:szCs w:val="24"/>
          <w:lang w:val="en-GB"/>
        </w:rPr>
      </w:pPr>
      <w:bookmarkStart w:id="2" w:name="_GoBack"/>
      <w:bookmarkEnd w:id="2"/>
      <w:proofErr w:type="spellStart"/>
      <w:r w:rsidRPr="002E72CF">
        <w:rPr>
          <w:rFonts w:eastAsia="Calibri" w:cstheme="minorHAnsi"/>
          <w:b/>
          <w:sz w:val="24"/>
          <w:szCs w:val="24"/>
          <w:lang w:val="en-GB"/>
        </w:rPr>
        <w:t>Sa’ad</w:t>
      </w:r>
      <w:proofErr w:type="spellEnd"/>
      <w:r w:rsidRPr="002E72CF">
        <w:rPr>
          <w:rFonts w:eastAsia="Calibri" w:cstheme="minorHAnsi"/>
          <w:b/>
          <w:sz w:val="24"/>
          <w:szCs w:val="24"/>
          <w:lang w:val="en-GB"/>
        </w:rPr>
        <w:t xml:space="preserve"> T. Abdullahi</w:t>
      </w:r>
      <w:r w:rsidRPr="002E72CF">
        <w:rPr>
          <w:rFonts w:eastAsia="Calibri" w:cstheme="minorHAnsi"/>
          <w:b/>
          <w:sz w:val="24"/>
          <w:szCs w:val="24"/>
          <w:vertAlign w:val="superscript"/>
          <w:lang w:val="en-GB"/>
        </w:rPr>
        <w:t>1,2</w:t>
      </w:r>
      <w:r w:rsidRPr="002E72CF">
        <w:rPr>
          <w:rFonts w:eastAsia="Calibri" w:cstheme="minorHAnsi"/>
          <w:b/>
          <w:sz w:val="24"/>
          <w:szCs w:val="24"/>
          <w:lang w:val="en-GB"/>
        </w:rPr>
        <w:t>, Adeniyi Olagunju*</w:t>
      </w:r>
      <w:r w:rsidRPr="002E72CF">
        <w:rPr>
          <w:rFonts w:eastAsia="Calibri" w:cstheme="minorHAnsi"/>
          <w:b/>
          <w:sz w:val="24"/>
          <w:szCs w:val="24"/>
          <w:vertAlign w:val="superscript"/>
          <w:lang w:val="en-GB"/>
        </w:rPr>
        <w:t>1,3</w:t>
      </w:r>
      <w:r w:rsidRPr="002E72CF">
        <w:rPr>
          <w:rFonts w:eastAsia="Calibri" w:cstheme="minorHAnsi"/>
          <w:b/>
          <w:sz w:val="24"/>
          <w:szCs w:val="24"/>
          <w:lang w:val="en-GB"/>
        </w:rPr>
        <w:t>, Julius O. Soyinka</w:t>
      </w:r>
      <w:r w:rsidRPr="002E72CF">
        <w:rPr>
          <w:rFonts w:eastAsia="Calibri" w:cstheme="minorHAnsi"/>
          <w:b/>
          <w:sz w:val="24"/>
          <w:szCs w:val="24"/>
          <w:vertAlign w:val="superscript"/>
          <w:lang w:val="en-GB"/>
        </w:rPr>
        <w:t>1</w:t>
      </w:r>
      <w:r w:rsidRPr="002E72CF">
        <w:rPr>
          <w:rFonts w:eastAsia="Calibri" w:cstheme="minorHAnsi"/>
          <w:b/>
          <w:sz w:val="24"/>
          <w:szCs w:val="24"/>
          <w:lang w:val="en-GB"/>
        </w:rPr>
        <w:t>, Rahman A. Bolarinwa</w:t>
      </w:r>
      <w:r w:rsidRPr="002E72CF">
        <w:rPr>
          <w:rFonts w:eastAsia="Calibri" w:cstheme="minorHAnsi"/>
          <w:b/>
          <w:sz w:val="24"/>
          <w:szCs w:val="24"/>
          <w:vertAlign w:val="superscript"/>
          <w:lang w:val="en-GB"/>
        </w:rPr>
        <w:t>4</w:t>
      </w:r>
      <w:r w:rsidRPr="002E72CF">
        <w:rPr>
          <w:rFonts w:eastAsia="Calibri" w:cstheme="minorHAnsi"/>
          <w:b/>
          <w:sz w:val="24"/>
          <w:szCs w:val="24"/>
          <w:lang w:val="en-GB"/>
        </w:rPr>
        <w:t>, Olusola J. Olarewaju</w:t>
      </w:r>
      <w:r w:rsidRPr="002E72CF">
        <w:rPr>
          <w:rFonts w:eastAsia="Calibri" w:cstheme="minorHAnsi"/>
          <w:b/>
          <w:sz w:val="24"/>
          <w:szCs w:val="24"/>
          <w:vertAlign w:val="superscript"/>
          <w:lang w:val="en-GB"/>
        </w:rPr>
        <w:t>4</w:t>
      </w:r>
      <w:r w:rsidRPr="002E72CF">
        <w:rPr>
          <w:rFonts w:eastAsia="Calibri" w:cstheme="minorHAnsi"/>
          <w:b/>
          <w:sz w:val="24"/>
          <w:szCs w:val="24"/>
          <w:lang w:val="en-GB"/>
        </w:rPr>
        <w:t>, Moji T. Bakare-Odunola</w:t>
      </w:r>
      <w:r w:rsidRPr="002E72CF">
        <w:rPr>
          <w:rFonts w:eastAsia="Calibri" w:cstheme="minorHAnsi"/>
          <w:b/>
          <w:sz w:val="24"/>
          <w:szCs w:val="24"/>
          <w:vertAlign w:val="superscript"/>
          <w:lang w:val="en-GB"/>
        </w:rPr>
        <w:t>2</w:t>
      </w:r>
      <w:r w:rsidRPr="002E72CF">
        <w:rPr>
          <w:rFonts w:eastAsia="Calibri" w:cstheme="minorHAnsi"/>
          <w:b/>
          <w:sz w:val="24"/>
          <w:szCs w:val="24"/>
          <w:lang w:val="en-GB"/>
        </w:rPr>
        <w:t>, Andrew Owen</w:t>
      </w:r>
      <w:r w:rsidRPr="002E72CF">
        <w:rPr>
          <w:rFonts w:eastAsia="Calibri" w:cstheme="minorHAnsi"/>
          <w:b/>
          <w:sz w:val="24"/>
          <w:szCs w:val="24"/>
          <w:vertAlign w:val="superscript"/>
          <w:lang w:val="en-GB"/>
        </w:rPr>
        <w:t>3</w:t>
      </w:r>
      <w:r w:rsidRPr="002E72CF">
        <w:rPr>
          <w:rFonts w:eastAsia="Calibri" w:cstheme="minorHAnsi"/>
          <w:b/>
          <w:sz w:val="24"/>
          <w:szCs w:val="24"/>
          <w:lang w:val="en-GB"/>
        </w:rPr>
        <w:t>, Saye Khoo</w:t>
      </w:r>
      <w:r w:rsidRPr="002E72CF">
        <w:rPr>
          <w:rFonts w:eastAsia="Calibri" w:cstheme="minorHAnsi"/>
          <w:b/>
          <w:sz w:val="24"/>
          <w:szCs w:val="24"/>
          <w:vertAlign w:val="superscript"/>
          <w:lang w:val="en-GB"/>
        </w:rPr>
        <w:t>3</w:t>
      </w:r>
    </w:p>
    <w:p w14:paraId="36FDC353" w14:textId="77777777" w:rsidR="002E72CF" w:rsidRPr="002E72CF" w:rsidRDefault="002E72CF" w:rsidP="002E72CF">
      <w:pPr>
        <w:spacing w:after="0" w:line="480" w:lineRule="auto"/>
        <w:jc w:val="both"/>
        <w:rPr>
          <w:rFonts w:eastAsia="Calibri" w:cstheme="minorHAnsi"/>
          <w:b/>
          <w:sz w:val="24"/>
          <w:szCs w:val="24"/>
          <w:lang w:val="en-GB"/>
        </w:rPr>
      </w:pPr>
      <w:r w:rsidRPr="002E72CF">
        <w:rPr>
          <w:rFonts w:eastAsia="Calibri" w:cstheme="minorHAnsi"/>
          <w:b/>
          <w:sz w:val="24"/>
          <w:szCs w:val="24"/>
          <w:lang w:val="en-GB"/>
        </w:rPr>
        <w:t>Affiliations</w:t>
      </w:r>
    </w:p>
    <w:p w14:paraId="403B256A" w14:textId="77777777" w:rsidR="002E72CF" w:rsidRPr="002E72CF" w:rsidRDefault="002E72CF" w:rsidP="002E72CF">
      <w:pPr>
        <w:spacing w:line="480" w:lineRule="auto"/>
        <w:jc w:val="both"/>
        <w:rPr>
          <w:rFonts w:eastAsia="Calibri" w:cstheme="minorHAnsi"/>
          <w:sz w:val="24"/>
          <w:szCs w:val="24"/>
          <w:lang w:val="en-GB"/>
        </w:rPr>
      </w:pPr>
      <w:r w:rsidRPr="002E72CF">
        <w:rPr>
          <w:rFonts w:eastAsia="Calibri" w:cstheme="minorHAnsi"/>
          <w:sz w:val="24"/>
          <w:szCs w:val="24"/>
          <w:vertAlign w:val="superscript"/>
          <w:lang w:val="en-GB"/>
        </w:rPr>
        <w:t>1</w:t>
      </w:r>
      <w:r w:rsidRPr="002E72CF">
        <w:rPr>
          <w:rFonts w:eastAsia="Calibri" w:cstheme="minorHAnsi"/>
          <w:sz w:val="24"/>
          <w:szCs w:val="24"/>
          <w:lang w:val="en-GB"/>
        </w:rPr>
        <w:t xml:space="preserve">Department of Pharmaceutical Chemistry, Obafemi Awolowo University, Ile-Ife, Nigeria; </w:t>
      </w:r>
      <w:r w:rsidRPr="002E72CF">
        <w:rPr>
          <w:rFonts w:eastAsia="Calibri" w:cstheme="minorHAnsi"/>
          <w:sz w:val="24"/>
          <w:szCs w:val="24"/>
          <w:vertAlign w:val="superscript"/>
          <w:lang w:val="en-GB"/>
        </w:rPr>
        <w:t>2</w:t>
      </w:r>
      <w:r w:rsidRPr="002E72CF">
        <w:rPr>
          <w:rFonts w:eastAsia="Calibri" w:cstheme="minorHAnsi"/>
          <w:sz w:val="24"/>
          <w:szCs w:val="24"/>
          <w:lang w:val="en-GB"/>
        </w:rPr>
        <w:t xml:space="preserve">Department of Pharmaceutical and Medicinal Chemistry, University of Ilorin, Ilorin, Nigeria; </w:t>
      </w:r>
      <w:r w:rsidRPr="002E72CF">
        <w:rPr>
          <w:rFonts w:eastAsia="Calibri" w:cstheme="minorHAnsi"/>
          <w:sz w:val="24"/>
          <w:szCs w:val="24"/>
          <w:vertAlign w:val="superscript"/>
          <w:lang w:val="en-GB"/>
        </w:rPr>
        <w:t>3</w:t>
      </w:r>
      <w:r w:rsidRPr="002E72CF">
        <w:rPr>
          <w:rFonts w:eastAsia="Calibri" w:cstheme="minorHAnsi"/>
          <w:sz w:val="24"/>
          <w:szCs w:val="24"/>
          <w:lang w:val="en-GB"/>
        </w:rPr>
        <w:t>Department of Molecular and Clinical Pharmacology, University of Liverpool, 70 Pembroke Place, Liverpool, L69 3GF, United Kingdom;</w:t>
      </w:r>
      <w:r w:rsidRPr="002E72CF">
        <w:rPr>
          <w:rFonts w:eastAsia="Calibri" w:cstheme="minorHAnsi"/>
          <w:sz w:val="24"/>
          <w:szCs w:val="24"/>
          <w:vertAlign w:val="superscript"/>
          <w:lang w:val="en-GB"/>
        </w:rPr>
        <w:t xml:space="preserve"> 4</w:t>
      </w:r>
      <w:r w:rsidRPr="002E72CF">
        <w:rPr>
          <w:rFonts w:eastAsia="Calibri" w:cstheme="minorHAnsi"/>
          <w:sz w:val="24"/>
          <w:szCs w:val="24"/>
          <w:lang w:val="en-GB"/>
        </w:rPr>
        <w:t>Department of Haematology, Obafemi Awolowo University Teaching Hospitals Complex, Ile-Ife, Nigeria</w:t>
      </w:r>
    </w:p>
    <w:p w14:paraId="38171A51" w14:textId="77777777" w:rsidR="002E72CF" w:rsidRPr="002E72CF" w:rsidRDefault="002E72CF" w:rsidP="002E72CF">
      <w:pPr>
        <w:spacing w:after="0" w:line="480" w:lineRule="auto"/>
        <w:jc w:val="both"/>
        <w:rPr>
          <w:rFonts w:eastAsia="Calibri" w:cstheme="minorHAnsi"/>
          <w:b/>
          <w:sz w:val="24"/>
          <w:szCs w:val="24"/>
          <w:lang w:val="en-GB"/>
        </w:rPr>
      </w:pPr>
      <w:r w:rsidRPr="002E72CF">
        <w:rPr>
          <w:rFonts w:eastAsia="Calibri" w:cstheme="minorHAnsi"/>
          <w:b/>
          <w:sz w:val="24"/>
          <w:szCs w:val="24"/>
          <w:lang w:val="en-GB"/>
        </w:rPr>
        <w:t>Principal Investigator</w:t>
      </w:r>
    </w:p>
    <w:p w14:paraId="695961DA" w14:textId="77777777" w:rsidR="002E72CF" w:rsidRPr="002E72CF" w:rsidRDefault="002E72CF" w:rsidP="002E72CF">
      <w:pPr>
        <w:spacing w:after="0" w:line="480" w:lineRule="auto"/>
        <w:jc w:val="both"/>
        <w:rPr>
          <w:rFonts w:eastAsia="Calibri" w:cstheme="minorHAnsi"/>
          <w:sz w:val="24"/>
          <w:szCs w:val="24"/>
          <w:lang w:val="en-GB"/>
        </w:rPr>
      </w:pPr>
      <w:r w:rsidRPr="002E72CF">
        <w:rPr>
          <w:rFonts w:eastAsia="Calibri" w:cstheme="minorHAnsi"/>
          <w:sz w:val="24"/>
          <w:szCs w:val="24"/>
          <w:lang w:val="en-GB"/>
        </w:rPr>
        <w:t>Julius Soyinka, PhD</w:t>
      </w:r>
    </w:p>
    <w:p w14:paraId="250BCC87" w14:textId="77777777" w:rsidR="002E72CF" w:rsidRPr="002E72CF" w:rsidRDefault="002E72CF" w:rsidP="002E72CF">
      <w:pPr>
        <w:spacing w:after="0" w:line="480" w:lineRule="auto"/>
        <w:jc w:val="both"/>
        <w:rPr>
          <w:rFonts w:eastAsia="Calibri" w:cstheme="minorHAnsi"/>
          <w:b/>
          <w:sz w:val="24"/>
          <w:szCs w:val="24"/>
          <w:lang w:val="en-GB"/>
        </w:rPr>
      </w:pPr>
      <w:r w:rsidRPr="002E72CF">
        <w:rPr>
          <w:rFonts w:eastAsia="Calibri" w:cstheme="minorHAnsi"/>
          <w:b/>
          <w:sz w:val="24"/>
          <w:szCs w:val="24"/>
          <w:lang w:val="en-GB"/>
        </w:rPr>
        <w:t>Corresponding author</w:t>
      </w:r>
    </w:p>
    <w:p w14:paraId="50B212D6" w14:textId="77777777" w:rsidR="002E72CF" w:rsidRPr="002E72CF" w:rsidRDefault="002E72CF" w:rsidP="002E72CF">
      <w:pPr>
        <w:spacing w:after="0" w:line="480" w:lineRule="auto"/>
        <w:jc w:val="both"/>
        <w:rPr>
          <w:rFonts w:eastAsia="Calibri" w:cstheme="minorHAnsi"/>
          <w:sz w:val="24"/>
          <w:szCs w:val="24"/>
          <w:lang w:val="en-GB"/>
        </w:rPr>
      </w:pPr>
      <w:r w:rsidRPr="002E72CF">
        <w:rPr>
          <w:rFonts w:eastAsia="Calibri" w:cstheme="minorHAnsi"/>
          <w:sz w:val="24"/>
          <w:szCs w:val="24"/>
          <w:lang w:val="en-GB"/>
        </w:rPr>
        <w:t>Adeniyi Olagunju, PhD</w:t>
      </w:r>
    </w:p>
    <w:p w14:paraId="5A8973A2" w14:textId="77777777" w:rsidR="002E72CF" w:rsidRPr="002E72CF" w:rsidRDefault="002E72CF" w:rsidP="002E72CF">
      <w:pPr>
        <w:spacing w:after="0" w:line="480" w:lineRule="auto"/>
        <w:jc w:val="both"/>
        <w:rPr>
          <w:rFonts w:eastAsia="Calibri" w:cstheme="minorHAnsi"/>
          <w:sz w:val="24"/>
          <w:szCs w:val="24"/>
          <w:lang w:val="en-GB"/>
        </w:rPr>
      </w:pPr>
      <w:r w:rsidRPr="002E72CF">
        <w:rPr>
          <w:rFonts w:eastAsia="Calibri" w:cstheme="minorHAnsi"/>
          <w:sz w:val="24"/>
          <w:szCs w:val="24"/>
          <w:lang w:val="en-GB"/>
        </w:rPr>
        <w:t xml:space="preserve">Faculty of Pharmacy, Obafemi Awolowo University, Ile-Ife, Nigeria. </w:t>
      </w:r>
    </w:p>
    <w:p w14:paraId="6625EA29" w14:textId="77777777" w:rsidR="002E72CF" w:rsidRPr="002E72CF" w:rsidRDefault="002E72CF" w:rsidP="002E72CF">
      <w:pPr>
        <w:spacing w:after="0" w:line="480" w:lineRule="auto"/>
        <w:jc w:val="both"/>
        <w:rPr>
          <w:rFonts w:eastAsia="Calibri" w:cstheme="minorHAnsi"/>
          <w:sz w:val="24"/>
          <w:szCs w:val="24"/>
          <w:lang w:val="en-GB"/>
        </w:rPr>
      </w:pPr>
      <w:r w:rsidRPr="002E72CF">
        <w:rPr>
          <w:rFonts w:eastAsia="Calibri" w:cstheme="minorHAnsi"/>
          <w:sz w:val="24"/>
          <w:szCs w:val="24"/>
          <w:lang w:val="en-GB"/>
        </w:rPr>
        <w:t xml:space="preserve">Email: </w:t>
      </w:r>
      <w:hyperlink r:id="rId7" w:history="1">
        <w:r w:rsidRPr="002E72CF">
          <w:rPr>
            <w:rFonts w:eastAsia="Calibri" w:cstheme="minorHAnsi"/>
            <w:color w:val="0563C1" w:themeColor="hyperlink"/>
            <w:sz w:val="24"/>
            <w:szCs w:val="24"/>
            <w:u w:val="single"/>
            <w:lang w:val="en-GB"/>
          </w:rPr>
          <w:t>aeolagunuju@oauife.edu.ng</w:t>
        </w:r>
      </w:hyperlink>
    </w:p>
    <w:p w14:paraId="57951EB4" w14:textId="77777777" w:rsidR="002E72CF" w:rsidRPr="002E72CF" w:rsidRDefault="002E72CF" w:rsidP="002E72CF">
      <w:pPr>
        <w:spacing w:after="200" w:line="480" w:lineRule="auto"/>
        <w:jc w:val="both"/>
        <w:rPr>
          <w:rFonts w:eastAsia="Calibri" w:cstheme="minorHAnsi"/>
          <w:sz w:val="24"/>
          <w:szCs w:val="24"/>
          <w:lang w:val="en-GB"/>
        </w:rPr>
      </w:pPr>
      <w:r w:rsidRPr="002E72CF">
        <w:rPr>
          <w:rFonts w:eastAsia="Calibri" w:cstheme="minorHAnsi"/>
          <w:sz w:val="24"/>
          <w:szCs w:val="24"/>
          <w:lang w:val="en-GB"/>
        </w:rPr>
        <w:t>Tel.: +2348026640439</w:t>
      </w:r>
    </w:p>
    <w:p w14:paraId="0EC7CA3E" w14:textId="77777777" w:rsidR="002E72CF" w:rsidRPr="002E72CF" w:rsidRDefault="002E72CF" w:rsidP="002E72CF">
      <w:pPr>
        <w:spacing w:after="0" w:line="480" w:lineRule="auto"/>
        <w:jc w:val="both"/>
        <w:rPr>
          <w:rFonts w:eastAsia="Calibri" w:cstheme="minorHAnsi"/>
          <w:b/>
          <w:sz w:val="24"/>
          <w:szCs w:val="24"/>
          <w:lang w:val="en-GB"/>
        </w:rPr>
      </w:pPr>
      <w:r w:rsidRPr="002E72CF">
        <w:rPr>
          <w:rFonts w:eastAsia="Calibri" w:cstheme="minorHAnsi"/>
          <w:b/>
          <w:sz w:val="24"/>
          <w:szCs w:val="24"/>
          <w:lang w:val="en-GB"/>
        </w:rPr>
        <w:t>Running Title</w:t>
      </w:r>
    </w:p>
    <w:p w14:paraId="21A660C0" w14:textId="77777777" w:rsidR="002E72CF" w:rsidRPr="002E72CF" w:rsidRDefault="002E72CF" w:rsidP="002E72CF">
      <w:pPr>
        <w:spacing w:after="200" w:line="480" w:lineRule="auto"/>
        <w:jc w:val="both"/>
        <w:rPr>
          <w:rFonts w:eastAsia="Calibri" w:cstheme="minorHAnsi"/>
          <w:sz w:val="24"/>
          <w:szCs w:val="24"/>
          <w:lang w:val="en-GB"/>
        </w:rPr>
      </w:pPr>
      <w:proofErr w:type="spellStart"/>
      <w:r w:rsidRPr="002E72CF">
        <w:rPr>
          <w:rFonts w:eastAsia="Calibri" w:cstheme="minorHAnsi"/>
          <w:sz w:val="24"/>
          <w:szCs w:val="24"/>
          <w:lang w:val="en-GB"/>
        </w:rPr>
        <w:t>PGt</w:t>
      </w:r>
      <w:proofErr w:type="spellEnd"/>
      <w:r w:rsidRPr="002E72CF">
        <w:rPr>
          <w:rFonts w:eastAsia="Calibri" w:cstheme="minorHAnsi"/>
          <w:sz w:val="24"/>
          <w:szCs w:val="24"/>
          <w:lang w:val="en-GB"/>
        </w:rPr>
        <w:t xml:space="preserve"> of artemether-lumefantrine vs. nevirapine DDI</w:t>
      </w:r>
    </w:p>
    <w:p w14:paraId="06DA7062" w14:textId="77777777" w:rsidR="002E72CF" w:rsidRPr="002E72CF" w:rsidRDefault="002E72CF" w:rsidP="002E72CF">
      <w:pPr>
        <w:spacing w:after="0" w:line="480" w:lineRule="auto"/>
        <w:jc w:val="both"/>
        <w:rPr>
          <w:rFonts w:eastAsia="Calibri" w:cstheme="minorHAnsi"/>
          <w:b/>
          <w:sz w:val="24"/>
          <w:szCs w:val="24"/>
          <w:lang w:val="en-GB"/>
        </w:rPr>
      </w:pPr>
      <w:r w:rsidRPr="002E72CF">
        <w:rPr>
          <w:rFonts w:eastAsia="Calibri" w:cstheme="minorHAnsi"/>
          <w:b/>
          <w:sz w:val="24"/>
          <w:szCs w:val="24"/>
          <w:lang w:val="en-GB"/>
        </w:rPr>
        <w:t>Keywords</w:t>
      </w:r>
    </w:p>
    <w:p w14:paraId="05160FC9" w14:textId="77777777" w:rsidR="002E72CF" w:rsidRPr="002E72CF" w:rsidRDefault="002E72CF" w:rsidP="002E72CF">
      <w:pPr>
        <w:spacing w:after="200" w:line="480" w:lineRule="auto"/>
        <w:jc w:val="both"/>
        <w:rPr>
          <w:rFonts w:eastAsia="Calibri" w:cstheme="minorHAnsi"/>
          <w:b/>
          <w:sz w:val="24"/>
          <w:szCs w:val="24"/>
          <w:lang w:val="en-GB"/>
        </w:rPr>
      </w:pPr>
      <w:r w:rsidRPr="002E72CF">
        <w:rPr>
          <w:rFonts w:eastAsia="Calibri" w:cstheme="minorHAnsi"/>
          <w:sz w:val="24"/>
          <w:szCs w:val="24"/>
          <w:lang w:val="en-GB"/>
        </w:rPr>
        <w:t>Nevirapine, Artemether-Lumefantrine, Drug-Drug Interaction, Pharmacogenetics, CYP2B6</w:t>
      </w:r>
    </w:p>
    <w:p w14:paraId="3A683DA1" w14:textId="77777777" w:rsidR="002E72CF" w:rsidRPr="002E72CF" w:rsidRDefault="002E72CF" w:rsidP="002E72CF">
      <w:pPr>
        <w:rPr>
          <w:rFonts w:eastAsia="Calibri" w:cstheme="minorHAnsi"/>
          <w:b/>
          <w:sz w:val="24"/>
          <w:szCs w:val="24"/>
          <w:lang w:val="en-GB"/>
        </w:rPr>
      </w:pPr>
      <w:r w:rsidRPr="002E72CF">
        <w:rPr>
          <w:rFonts w:cstheme="minorHAnsi"/>
          <w:b/>
          <w:sz w:val="24"/>
          <w:szCs w:val="24"/>
          <w:lang w:val="en-GB"/>
        </w:rPr>
        <w:br w:type="page"/>
      </w:r>
    </w:p>
    <w:p w14:paraId="4C111863" w14:textId="77777777" w:rsidR="002E72CF" w:rsidRPr="002E72CF" w:rsidRDefault="002E72CF" w:rsidP="002E72CF">
      <w:pPr>
        <w:spacing w:after="0" w:line="480" w:lineRule="auto"/>
        <w:jc w:val="both"/>
        <w:rPr>
          <w:rFonts w:eastAsia="Calibri" w:cstheme="minorHAnsi"/>
          <w:b/>
          <w:sz w:val="24"/>
          <w:szCs w:val="24"/>
          <w:lang w:val="en-GB"/>
        </w:rPr>
      </w:pPr>
      <w:r w:rsidRPr="002E72CF">
        <w:rPr>
          <w:rFonts w:eastAsia="Calibri" w:cstheme="minorHAnsi"/>
          <w:b/>
          <w:sz w:val="24"/>
          <w:szCs w:val="24"/>
          <w:lang w:val="en-GB"/>
        </w:rPr>
        <w:lastRenderedPageBreak/>
        <w:t>What is already known about this subject:</w:t>
      </w:r>
    </w:p>
    <w:p w14:paraId="46E17212" w14:textId="77777777" w:rsidR="002E72CF" w:rsidRPr="002E72CF" w:rsidRDefault="002E72CF" w:rsidP="002E72CF">
      <w:pPr>
        <w:numPr>
          <w:ilvl w:val="0"/>
          <w:numId w:val="3"/>
        </w:numPr>
        <w:spacing w:after="0" w:line="480" w:lineRule="auto"/>
        <w:jc w:val="both"/>
        <w:rPr>
          <w:rFonts w:eastAsia="Calibri" w:cstheme="minorHAnsi"/>
          <w:sz w:val="24"/>
          <w:szCs w:val="24"/>
          <w:lang w:val="en-GB"/>
        </w:rPr>
      </w:pPr>
      <w:r w:rsidRPr="002E72CF">
        <w:rPr>
          <w:rFonts w:eastAsia="Calibri" w:cstheme="minorHAnsi"/>
          <w:sz w:val="24"/>
          <w:szCs w:val="24"/>
          <w:lang w:val="en-GB"/>
        </w:rPr>
        <w:t xml:space="preserve">Single nucleotide polymorphisms in disposition genes partly contributes to variability in nevirapine pharmacokinetics, with </w:t>
      </w:r>
      <w:r w:rsidRPr="002E72CF">
        <w:rPr>
          <w:rFonts w:eastAsia="Calibri" w:cstheme="minorHAnsi"/>
          <w:i/>
          <w:sz w:val="24"/>
          <w:szCs w:val="24"/>
          <w:lang w:val="en-GB"/>
        </w:rPr>
        <w:t>CYP2B6</w:t>
      </w:r>
      <w:r w:rsidRPr="002E72CF">
        <w:rPr>
          <w:rFonts w:eastAsia="Calibri" w:cstheme="minorHAnsi"/>
          <w:sz w:val="24"/>
          <w:szCs w:val="24"/>
          <w:lang w:val="en-GB"/>
        </w:rPr>
        <w:t xml:space="preserve"> c.516G&gt;T and c.983T&gt;C reported to increase its exposure.</w:t>
      </w:r>
    </w:p>
    <w:p w14:paraId="51E1E9CA" w14:textId="77777777" w:rsidR="002E72CF" w:rsidRPr="002E72CF" w:rsidRDefault="002E72CF" w:rsidP="002E72CF">
      <w:pPr>
        <w:numPr>
          <w:ilvl w:val="0"/>
          <w:numId w:val="3"/>
        </w:numPr>
        <w:spacing w:after="240" w:line="480" w:lineRule="auto"/>
        <w:jc w:val="both"/>
        <w:rPr>
          <w:rFonts w:eastAsia="Calibri" w:cstheme="minorHAnsi"/>
          <w:sz w:val="24"/>
          <w:szCs w:val="24"/>
          <w:lang w:val="en-GB"/>
        </w:rPr>
      </w:pPr>
      <w:r w:rsidRPr="002E72CF">
        <w:rPr>
          <w:rFonts w:eastAsia="Calibri" w:cstheme="minorHAnsi"/>
          <w:sz w:val="24"/>
          <w:szCs w:val="24"/>
          <w:lang w:val="en-GB"/>
        </w:rPr>
        <w:t xml:space="preserve">Whereas impact of nevirapine on </w:t>
      </w:r>
      <w:r w:rsidRPr="002E72CF">
        <w:rPr>
          <w:rFonts w:eastAsia="Times New Roman" w:cstheme="minorHAnsi"/>
          <w:sz w:val="24"/>
          <w:szCs w:val="24"/>
          <w:lang w:val="en-GB" w:eastAsia="en-GB"/>
        </w:rPr>
        <w:t>artemether-lumefantrine</w:t>
      </w:r>
      <w:r w:rsidRPr="002E72CF">
        <w:rPr>
          <w:rFonts w:eastAsia="Calibri" w:cstheme="minorHAnsi"/>
          <w:sz w:val="24"/>
          <w:szCs w:val="24"/>
          <w:lang w:val="en-GB"/>
        </w:rPr>
        <w:t xml:space="preserve"> is well studied, limited studies have investigated influence of artemether-lumefantrine on nevirapine pharmacokinetics and there are no data on the influence of </w:t>
      </w:r>
      <w:r w:rsidRPr="002E72CF">
        <w:rPr>
          <w:rFonts w:eastAsia="Calibri" w:cstheme="minorHAnsi"/>
          <w:i/>
          <w:sz w:val="24"/>
          <w:szCs w:val="24"/>
          <w:lang w:val="en-GB"/>
        </w:rPr>
        <w:t>CYP2B6</w:t>
      </w:r>
      <w:r w:rsidRPr="002E72CF">
        <w:rPr>
          <w:rFonts w:eastAsia="Calibri" w:cstheme="minorHAnsi"/>
          <w:sz w:val="24"/>
          <w:szCs w:val="24"/>
          <w:lang w:val="en-GB"/>
        </w:rPr>
        <w:t xml:space="preserve"> c.516G&gt;T and c.983T&gt;C on this interaction.</w:t>
      </w:r>
    </w:p>
    <w:p w14:paraId="62D2CEA3" w14:textId="77777777" w:rsidR="002E72CF" w:rsidRPr="002E72CF" w:rsidRDefault="002E72CF" w:rsidP="002E72CF">
      <w:pPr>
        <w:spacing w:after="0" w:line="480" w:lineRule="auto"/>
        <w:jc w:val="both"/>
        <w:rPr>
          <w:rFonts w:eastAsia="Calibri" w:cstheme="minorHAnsi"/>
          <w:b/>
          <w:sz w:val="24"/>
          <w:szCs w:val="24"/>
          <w:lang w:val="en-GB"/>
        </w:rPr>
      </w:pPr>
      <w:r w:rsidRPr="002E72CF">
        <w:rPr>
          <w:rFonts w:eastAsia="Calibri" w:cstheme="minorHAnsi"/>
          <w:b/>
          <w:sz w:val="24"/>
          <w:szCs w:val="24"/>
          <w:lang w:val="en-GB"/>
        </w:rPr>
        <w:t>What this study adds:</w:t>
      </w:r>
    </w:p>
    <w:p w14:paraId="4C4E1E67" w14:textId="77777777" w:rsidR="002E72CF" w:rsidRPr="002E72CF" w:rsidRDefault="002E72CF" w:rsidP="002E72CF">
      <w:pPr>
        <w:numPr>
          <w:ilvl w:val="0"/>
          <w:numId w:val="4"/>
        </w:numPr>
        <w:spacing w:after="240" w:line="480" w:lineRule="auto"/>
        <w:jc w:val="both"/>
        <w:rPr>
          <w:rFonts w:eastAsia="Calibri" w:cstheme="minorHAnsi"/>
          <w:sz w:val="24"/>
          <w:szCs w:val="24"/>
          <w:lang w:val="en-GB"/>
        </w:rPr>
      </w:pPr>
      <w:r w:rsidRPr="002E72CF">
        <w:rPr>
          <w:rFonts w:eastAsia="Calibri" w:cstheme="minorHAnsi"/>
          <w:sz w:val="24"/>
          <w:szCs w:val="24"/>
          <w:lang w:val="en-GB"/>
        </w:rPr>
        <w:t xml:space="preserve">This study introduces a novel approach that involved stratifying patients based on their metabolic status for clinical drug-drug interaction studies. </w:t>
      </w:r>
    </w:p>
    <w:p w14:paraId="6BF1316D" w14:textId="77777777" w:rsidR="002E72CF" w:rsidRPr="002E72CF" w:rsidRDefault="002E72CF" w:rsidP="002E72CF">
      <w:pPr>
        <w:numPr>
          <w:ilvl w:val="0"/>
          <w:numId w:val="4"/>
        </w:numPr>
        <w:spacing w:after="240" w:line="480" w:lineRule="auto"/>
        <w:jc w:val="both"/>
        <w:rPr>
          <w:rFonts w:eastAsia="Calibri" w:cstheme="minorHAnsi"/>
          <w:sz w:val="24"/>
          <w:szCs w:val="24"/>
          <w:lang w:val="en-GB"/>
        </w:rPr>
      </w:pPr>
      <w:r w:rsidRPr="002E72CF">
        <w:rPr>
          <w:rFonts w:eastAsia="Calibri" w:cstheme="minorHAnsi"/>
          <w:sz w:val="24"/>
          <w:szCs w:val="24"/>
          <w:lang w:val="en-GB"/>
        </w:rPr>
        <w:t xml:space="preserve">Irrespective of patient’s </w:t>
      </w:r>
      <w:r w:rsidRPr="002E72CF">
        <w:rPr>
          <w:rFonts w:eastAsia="Calibri" w:cstheme="minorHAnsi"/>
          <w:i/>
          <w:sz w:val="24"/>
          <w:szCs w:val="24"/>
          <w:lang w:val="en-GB"/>
        </w:rPr>
        <w:t>CYP2B6</w:t>
      </w:r>
      <w:r w:rsidRPr="002E72CF">
        <w:rPr>
          <w:rFonts w:eastAsia="Calibri" w:cstheme="minorHAnsi"/>
          <w:sz w:val="24"/>
          <w:szCs w:val="24"/>
          <w:lang w:val="en-GB"/>
        </w:rPr>
        <w:t xml:space="preserve"> metabolic status, co-administration with artemether-lumefantrine is unlikely to result in any clinically significant changes in key nevirapine pharmacokinetics. However, the proportion of patients with trough plasma nevirapine concentration below the putative minimum effective concentration threshold doubled in the presence of artemether-lumefantrine, mainly in extensive metabolisers.</w:t>
      </w:r>
      <w:r w:rsidRPr="002E72CF">
        <w:rPr>
          <w:rFonts w:ascii="Calibri" w:eastAsia="Calibri" w:hAnsi="Calibri" w:cstheme="minorHAnsi"/>
          <w:b/>
          <w:sz w:val="24"/>
          <w:szCs w:val="24"/>
          <w:lang w:val="en-GB"/>
        </w:rPr>
        <w:br w:type="page"/>
      </w:r>
    </w:p>
    <w:p w14:paraId="1F0224E6" w14:textId="77777777" w:rsidR="002E72CF" w:rsidRPr="002E72CF" w:rsidRDefault="002E72CF" w:rsidP="002E72CF">
      <w:pPr>
        <w:spacing w:after="0" w:line="480" w:lineRule="auto"/>
        <w:jc w:val="both"/>
        <w:rPr>
          <w:rFonts w:cstheme="minorHAnsi"/>
          <w:b/>
          <w:sz w:val="24"/>
          <w:szCs w:val="24"/>
          <w:lang w:val="en-GB"/>
        </w:rPr>
      </w:pPr>
      <w:r w:rsidRPr="002E72CF">
        <w:rPr>
          <w:rFonts w:cstheme="minorHAnsi"/>
          <w:b/>
          <w:sz w:val="24"/>
          <w:szCs w:val="24"/>
          <w:lang w:val="en-GB"/>
        </w:rPr>
        <w:lastRenderedPageBreak/>
        <w:t>Abstract</w:t>
      </w:r>
    </w:p>
    <w:p w14:paraId="304E6099" w14:textId="77777777" w:rsidR="002E72CF" w:rsidRPr="002E72CF" w:rsidRDefault="002E72CF" w:rsidP="002E72CF">
      <w:pPr>
        <w:spacing w:after="0" w:line="480" w:lineRule="auto"/>
        <w:jc w:val="both"/>
        <w:rPr>
          <w:rFonts w:cstheme="minorHAnsi"/>
          <w:sz w:val="24"/>
          <w:szCs w:val="24"/>
          <w:u w:val="single"/>
          <w:lang w:val="en-GB"/>
        </w:rPr>
      </w:pPr>
      <w:r w:rsidRPr="002E72CF">
        <w:rPr>
          <w:rFonts w:cstheme="minorHAnsi"/>
          <w:sz w:val="24"/>
          <w:szCs w:val="24"/>
          <w:u w:val="single"/>
          <w:lang w:val="en-GB"/>
        </w:rPr>
        <w:t xml:space="preserve">Aims </w:t>
      </w:r>
    </w:p>
    <w:p w14:paraId="49DCADA4" w14:textId="77777777" w:rsidR="002E72CF" w:rsidRPr="002E72CF" w:rsidRDefault="002E72CF" w:rsidP="002E72CF">
      <w:pPr>
        <w:spacing w:after="0" w:line="480" w:lineRule="auto"/>
        <w:jc w:val="both"/>
        <w:rPr>
          <w:rFonts w:cstheme="minorHAnsi"/>
          <w:sz w:val="24"/>
          <w:szCs w:val="24"/>
          <w:lang w:val="en-GB"/>
        </w:rPr>
      </w:pPr>
      <w:r w:rsidRPr="002E72CF">
        <w:rPr>
          <w:rFonts w:cstheme="minorHAnsi"/>
          <w:sz w:val="24"/>
          <w:szCs w:val="24"/>
          <w:lang w:val="en-GB" w:eastAsia="en-GB"/>
        </w:rPr>
        <w:t>In this study the influence of first-line antimalarial drug artemether-lumefantrine on the pharmacokinetics of the antiretroviral drug nevirapine was investigated in the context of selected single nucleotide polymorphisms (SNPs) in a cohort of adult</w:t>
      </w:r>
      <w:r w:rsidRPr="002E72CF">
        <w:rPr>
          <w:rFonts w:eastAsia="Times New Roman" w:cstheme="minorHAnsi"/>
          <w:sz w:val="24"/>
          <w:szCs w:val="24"/>
          <w:lang w:val="en-GB" w:eastAsia="en-GB"/>
        </w:rPr>
        <w:t xml:space="preserve"> HIV-infected Nigerian patients.</w:t>
      </w:r>
    </w:p>
    <w:p w14:paraId="31FE412C" w14:textId="77777777" w:rsidR="002E72CF" w:rsidRPr="002E72CF" w:rsidRDefault="002E72CF" w:rsidP="002E72CF">
      <w:pPr>
        <w:autoSpaceDE w:val="0"/>
        <w:autoSpaceDN w:val="0"/>
        <w:adjustRightInd w:val="0"/>
        <w:spacing w:after="0" w:line="480" w:lineRule="auto"/>
        <w:jc w:val="both"/>
        <w:rPr>
          <w:rFonts w:eastAsia="Times New Roman" w:cstheme="minorHAnsi"/>
          <w:sz w:val="24"/>
          <w:szCs w:val="24"/>
          <w:u w:val="single"/>
          <w:lang w:val="en-GB" w:eastAsia="en-GB"/>
        </w:rPr>
      </w:pPr>
      <w:r w:rsidRPr="002E72CF">
        <w:rPr>
          <w:rFonts w:eastAsia="Times New Roman" w:cstheme="minorHAnsi"/>
          <w:sz w:val="24"/>
          <w:szCs w:val="24"/>
          <w:u w:val="single"/>
          <w:lang w:val="en-GB" w:eastAsia="en-GB"/>
        </w:rPr>
        <w:t>Methods</w:t>
      </w:r>
    </w:p>
    <w:p w14:paraId="0217119A" w14:textId="77777777" w:rsidR="002E72CF" w:rsidRPr="002E72CF" w:rsidRDefault="002E72CF" w:rsidP="002E72CF">
      <w:pPr>
        <w:autoSpaceDE w:val="0"/>
        <w:autoSpaceDN w:val="0"/>
        <w:adjustRightInd w:val="0"/>
        <w:spacing w:after="0" w:line="480" w:lineRule="auto"/>
        <w:jc w:val="both"/>
        <w:rPr>
          <w:rFonts w:cstheme="minorHAnsi"/>
          <w:sz w:val="24"/>
          <w:szCs w:val="24"/>
          <w:lang w:val="en-GB"/>
        </w:rPr>
      </w:pPr>
      <w:r w:rsidRPr="002E72CF">
        <w:rPr>
          <w:rFonts w:cstheme="minorHAnsi"/>
          <w:sz w:val="24"/>
          <w:szCs w:val="24"/>
          <w:lang w:val="en-GB"/>
        </w:rPr>
        <w:t>This was a two-period, single sequence crossover study conducted in two stages. In stage 1, 150 HIV-infected patients receiving nevirapine-based antiretroviral regimens were enrolled and genotyped for 7 SNPs. Sparse pharmacokinetic sampling was conducted to identify SNPs independently associated with nevirapine plasma concentration. Patients were categorised as poor, intermediate and extensive metabolisers based on the numbers of alleles of significantly associated SNPs. Intensive sampling was conducted in selected patients from each group. In stage 2, patients received standard artemether-lumefantrine treatment with nevirapine and intensive pharmacokinetic sampling was conducted on day 3.</w:t>
      </w:r>
    </w:p>
    <w:p w14:paraId="4A0AE18A" w14:textId="77777777" w:rsidR="002E72CF" w:rsidRPr="002E72CF" w:rsidRDefault="002E72CF" w:rsidP="002E72CF">
      <w:pPr>
        <w:spacing w:after="0" w:line="480" w:lineRule="auto"/>
        <w:jc w:val="both"/>
        <w:rPr>
          <w:rFonts w:eastAsia="Calibri" w:cstheme="minorHAnsi"/>
          <w:sz w:val="24"/>
          <w:szCs w:val="24"/>
          <w:u w:val="single"/>
          <w:lang w:val="en-GB"/>
        </w:rPr>
      </w:pPr>
      <w:r w:rsidRPr="002E72CF">
        <w:rPr>
          <w:rFonts w:eastAsia="Calibri" w:cstheme="minorHAnsi"/>
          <w:sz w:val="24"/>
          <w:szCs w:val="24"/>
          <w:u w:val="single"/>
          <w:lang w:val="en-GB"/>
        </w:rPr>
        <w:t>Results</w:t>
      </w:r>
    </w:p>
    <w:p w14:paraId="1E7B4580" w14:textId="77777777" w:rsidR="002E72CF" w:rsidRPr="002E72CF" w:rsidRDefault="002E72CF" w:rsidP="002E72CF">
      <w:pPr>
        <w:spacing w:after="0" w:line="480" w:lineRule="auto"/>
        <w:jc w:val="both"/>
        <w:rPr>
          <w:rFonts w:eastAsia="Times New Roman" w:cstheme="minorHAnsi"/>
          <w:sz w:val="24"/>
          <w:szCs w:val="24"/>
          <w:lang w:val="en-GB" w:eastAsia="en-GB"/>
        </w:rPr>
      </w:pPr>
      <w:r w:rsidRPr="002E72CF">
        <w:rPr>
          <w:rFonts w:eastAsia="Times New Roman" w:cstheme="minorHAnsi"/>
          <w:sz w:val="24"/>
          <w:szCs w:val="24"/>
          <w:lang w:val="en-GB" w:eastAsia="en-GB"/>
        </w:rPr>
        <w:t xml:space="preserve">No clinically significant changes were observed in key nevirapine pharmacokinetic parameters, the 90% confidence interval for the measured changes falling completely within the 0.80-1.25 no-effect boundaries.  However, the number of patients with </w:t>
      </w:r>
      <w:bookmarkStart w:id="3" w:name="_Hlk514645317"/>
      <w:r w:rsidRPr="002E72CF">
        <w:rPr>
          <w:rFonts w:eastAsia="Times New Roman" w:cstheme="minorHAnsi"/>
          <w:sz w:val="24"/>
          <w:szCs w:val="24"/>
          <w:lang w:val="en-GB" w:eastAsia="en-GB"/>
        </w:rPr>
        <w:t xml:space="preserve">trough plasma nevirapine concentration below the </w:t>
      </w:r>
      <w:proofErr w:type="gramStart"/>
      <w:r w:rsidRPr="002E72CF">
        <w:rPr>
          <w:rFonts w:eastAsia="Times New Roman" w:cstheme="minorHAnsi"/>
          <w:sz w:val="24"/>
          <w:szCs w:val="24"/>
          <w:lang w:val="en-GB" w:eastAsia="en-GB"/>
        </w:rPr>
        <w:t>3,400 ng</w:t>
      </w:r>
      <w:proofErr w:type="gramEnd"/>
      <w:r w:rsidRPr="002E72CF">
        <w:rPr>
          <w:rFonts w:eastAsia="Times New Roman" w:cstheme="minorHAnsi"/>
          <w:sz w:val="24"/>
          <w:szCs w:val="24"/>
          <w:lang w:val="en-GB" w:eastAsia="en-GB"/>
        </w:rPr>
        <w:t xml:space="preserve"> ml</w:t>
      </w:r>
      <w:r w:rsidRPr="002E72CF">
        <w:rPr>
          <w:rFonts w:eastAsia="Times New Roman" w:cstheme="minorHAnsi"/>
          <w:sz w:val="24"/>
          <w:szCs w:val="24"/>
          <w:vertAlign w:val="superscript"/>
          <w:lang w:val="en-GB" w:eastAsia="en-GB"/>
        </w:rPr>
        <w:t>-1</w:t>
      </w:r>
      <w:r w:rsidRPr="002E72CF">
        <w:rPr>
          <w:rFonts w:eastAsia="Times New Roman" w:cstheme="minorHAnsi"/>
          <w:sz w:val="24"/>
          <w:szCs w:val="24"/>
          <w:lang w:val="en-GB" w:eastAsia="en-GB"/>
        </w:rPr>
        <w:t xml:space="preserve"> minimum effective concentration </w:t>
      </w:r>
      <w:bookmarkEnd w:id="3"/>
      <w:r w:rsidRPr="002E72CF">
        <w:rPr>
          <w:rFonts w:eastAsia="Times New Roman" w:cstheme="minorHAnsi"/>
          <w:sz w:val="24"/>
          <w:szCs w:val="24"/>
          <w:lang w:val="en-GB" w:eastAsia="en-GB"/>
        </w:rPr>
        <w:t>increased from 10% without artemether-lumefantrine (all extensive metabolisers) to 21% with artemether-lumefantrine (14% extensive, 4% intermediate, and 3% poor metabolisers).</w:t>
      </w:r>
    </w:p>
    <w:p w14:paraId="7A260C39" w14:textId="77777777" w:rsidR="002E72CF" w:rsidRPr="002E72CF" w:rsidRDefault="002E72CF" w:rsidP="002E72CF">
      <w:pPr>
        <w:spacing w:after="0" w:line="480" w:lineRule="auto"/>
        <w:jc w:val="both"/>
        <w:rPr>
          <w:rFonts w:eastAsia="Calibri" w:cstheme="minorHAnsi"/>
          <w:sz w:val="24"/>
          <w:szCs w:val="24"/>
          <w:u w:val="single"/>
          <w:lang w:val="en-GB"/>
        </w:rPr>
      </w:pPr>
      <w:r w:rsidRPr="002E72CF">
        <w:rPr>
          <w:rFonts w:eastAsia="Calibri" w:cstheme="minorHAnsi"/>
          <w:sz w:val="24"/>
          <w:szCs w:val="24"/>
          <w:u w:val="single"/>
          <w:lang w:val="en-GB"/>
        </w:rPr>
        <w:t>Conclusions</w:t>
      </w:r>
      <w:bookmarkStart w:id="4" w:name="_Hlk490324645"/>
    </w:p>
    <w:p w14:paraId="20AFE6E9" w14:textId="77777777" w:rsidR="002E72CF" w:rsidRPr="002E72CF" w:rsidRDefault="002E72CF" w:rsidP="002E72CF">
      <w:pPr>
        <w:spacing w:after="0" w:line="480" w:lineRule="auto"/>
        <w:jc w:val="both"/>
        <w:rPr>
          <w:rFonts w:eastAsia="Calibri" w:cstheme="minorHAnsi"/>
          <w:sz w:val="24"/>
          <w:szCs w:val="24"/>
          <w:lang w:val="en-GB"/>
        </w:rPr>
      </w:pPr>
      <w:r w:rsidRPr="002E72CF">
        <w:rPr>
          <w:rFonts w:eastAsia="Times New Roman" w:cstheme="minorHAnsi"/>
          <w:sz w:val="24"/>
          <w:szCs w:val="24"/>
          <w:lang w:val="en-GB" w:eastAsia="en-GB"/>
        </w:rPr>
        <w:lastRenderedPageBreak/>
        <w:t>This approach highlights additional increase in the already existing risk of suboptimal trough plasma concentration, especially in extensive metabolisers when nevirapine is co-administered with artemether-lumefantrine.</w:t>
      </w:r>
      <w:bookmarkEnd w:id="4"/>
      <w:r w:rsidRPr="002E72CF">
        <w:rPr>
          <w:rFonts w:ascii="Calibri" w:eastAsia="Calibri" w:hAnsi="Calibri" w:cstheme="minorHAnsi"/>
          <w:b/>
          <w:sz w:val="24"/>
          <w:szCs w:val="24"/>
          <w:lang w:val="en-GB"/>
        </w:rPr>
        <w:br w:type="page"/>
      </w:r>
    </w:p>
    <w:p w14:paraId="173A4A65" w14:textId="77777777" w:rsidR="002E72CF" w:rsidRPr="002E72CF" w:rsidRDefault="002E72CF" w:rsidP="002E72CF">
      <w:pPr>
        <w:spacing w:after="0" w:line="480" w:lineRule="auto"/>
        <w:jc w:val="both"/>
        <w:rPr>
          <w:rFonts w:eastAsia="Calibri" w:cstheme="minorHAnsi"/>
          <w:b/>
          <w:sz w:val="24"/>
          <w:szCs w:val="24"/>
          <w:lang w:val="en-GB"/>
        </w:rPr>
      </w:pPr>
      <w:r w:rsidRPr="002E72CF">
        <w:rPr>
          <w:rFonts w:eastAsia="Calibri" w:cstheme="minorHAnsi"/>
          <w:b/>
          <w:sz w:val="24"/>
          <w:szCs w:val="24"/>
          <w:lang w:val="en-GB"/>
        </w:rPr>
        <w:lastRenderedPageBreak/>
        <w:t>Introduction</w:t>
      </w:r>
    </w:p>
    <w:p w14:paraId="3244BEB0" w14:textId="75A41C78" w:rsidR="002E72CF" w:rsidRPr="002E72CF" w:rsidRDefault="002E72CF" w:rsidP="002E72CF">
      <w:pPr>
        <w:spacing w:after="0" w:line="480" w:lineRule="auto"/>
        <w:jc w:val="both"/>
        <w:rPr>
          <w:rFonts w:cstheme="minorHAnsi"/>
          <w:sz w:val="24"/>
          <w:szCs w:val="24"/>
          <w:lang w:val="en-GB"/>
        </w:rPr>
      </w:pPr>
      <w:r w:rsidRPr="002E72CF">
        <w:rPr>
          <w:rFonts w:cstheme="minorHAnsi"/>
          <w:sz w:val="24"/>
          <w:szCs w:val="24"/>
          <w:lang w:val="en-GB"/>
        </w:rPr>
        <w:t xml:space="preserve">HIV-infection and malaria are major global public health problems together, constituting 10% of global disease burden and responsible for ≥ 2.5 million deaths per year [1,2]. Sub-Saharan Africa has the highest burdens of both diseases [3]. Nigeria is the leading country for malaria deaths worldwide accounting for 29% out of the 78% of the global total of estimated malaria deaths from 15 countries [1]. It also accounts for nearly 50% of all new HIV-infections in sub-Saharan Africa every year and has the second largest HIV epidemic in the world [2,4]. Artemether-lumefantrine is an artemisinin-based combination therapy (ACT) recommended by the World Health Organization (WHO) as a first-line option for the treatment of malaria [5]. Nevirapine on the other hand is a </w:t>
      </w:r>
      <w:r w:rsidRPr="002E72CF">
        <w:rPr>
          <w:rFonts w:eastAsia="Calibri" w:cstheme="minorHAnsi"/>
          <w:sz w:val="24"/>
          <w:szCs w:val="24"/>
          <w:lang w:val="en-GB"/>
        </w:rPr>
        <w:t xml:space="preserve">non-nucleoside reverse transcriptase inhibitor (NNRTI) recommended </w:t>
      </w:r>
      <w:r w:rsidRPr="002E72CF">
        <w:rPr>
          <w:rFonts w:cstheme="minorHAnsi"/>
          <w:sz w:val="24"/>
          <w:szCs w:val="24"/>
          <w:lang w:val="en-GB"/>
        </w:rPr>
        <w:t>as one of the alternative components of first-line antiretroviral regimens where the preferred first-line options (efavirenz-containing regimens) are contraindicated or not available [6]. Therefore, there are possibilities of co-administering both drugs when HIV-infected patients on nevirapine-based regimens require treatment for malaria.</w:t>
      </w:r>
      <w:r w:rsidRPr="002E72CF">
        <w:rPr>
          <w:lang w:val="en-GB"/>
        </w:rPr>
        <w:t xml:space="preserve"> </w:t>
      </w:r>
    </w:p>
    <w:p w14:paraId="1254300B" w14:textId="77777777" w:rsidR="002E72CF" w:rsidRPr="002E72CF" w:rsidRDefault="002E72CF" w:rsidP="002E72CF">
      <w:pPr>
        <w:spacing w:after="0" w:line="480" w:lineRule="auto"/>
        <w:jc w:val="both"/>
        <w:rPr>
          <w:rFonts w:cstheme="minorHAnsi"/>
          <w:sz w:val="24"/>
          <w:szCs w:val="24"/>
          <w:lang w:val="en-GB" w:eastAsia="en-GB"/>
        </w:rPr>
      </w:pPr>
      <w:r w:rsidRPr="002E72CF">
        <w:rPr>
          <w:rFonts w:eastAsia="Times New Roman" w:cstheme="minorHAnsi"/>
          <w:sz w:val="24"/>
          <w:szCs w:val="24"/>
          <w:lang w:val="en-GB" w:eastAsia="en-GB"/>
        </w:rPr>
        <w:t xml:space="preserve">Hepatic metabolisms of nevirapine and the </w:t>
      </w:r>
      <w:proofErr w:type="spellStart"/>
      <w:r w:rsidRPr="002E72CF">
        <w:rPr>
          <w:rFonts w:eastAsia="Times New Roman" w:cstheme="minorHAnsi"/>
          <w:sz w:val="24"/>
          <w:szCs w:val="24"/>
          <w:lang w:val="en-GB" w:eastAsia="en-GB"/>
        </w:rPr>
        <w:t>artemisinins</w:t>
      </w:r>
      <w:proofErr w:type="spellEnd"/>
      <w:r w:rsidRPr="002E72CF">
        <w:rPr>
          <w:rFonts w:eastAsia="Times New Roman" w:cstheme="minorHAnsi"/>
          <w:sz w:val="24"/>
          <w:szCs w:val="24"/>
          <w:lang w:val="en-GB" w:eastAsia="en-GB"/>
        </w:rPr>
        <w:t xml:space="preserve"> are mainly through cytochrome P450 (CYP) enzymes 3A4 and 2B6</w:t>
      </w:r>
      <w:r w:rsidRPr="002E72CF">
        <w:rPr>
          <w:rFonts w:cstheme="minorHAnsi"/>
          <w:sz w:val="24"/>
          <w:szCs w:val="24"/>
          <w:lang w:val="en-GB"/>
        </w:rPr>
        <w:t xml:space="preserve"> </w:t>
      </w:r>
      <w:r w:rsidRPr="002E72CF">
        <w:rPr>
          <w:rFonts w:eastAsia="Times New Roman" w:cstheme="minorHAnsi"/>
          <w:sz w:val="24"/>
          <w:szCs w:val="24"/>
          <w:lang w:val="en-GB" w:eastAsia="en-GB"/>
        </w:rPr>
        <w:t>[7-12]</w:t>
      </w:r>
      <w:r w:rsidRPr="002E72CF">
        <w:rPr>
          <w:rFonts w:cstheme="minorHAnsi"/>
          <w:sz w:val="24"/>
          <w:szCs w:val="24"/>
          <w:lang w:val="en-GB"/>
        </w:rPr>
        <w:t xml:space="preserve">. Nevirapine is metabolised to 2- and 12-hydroxynevirapine primarily by CYP3A4 while CYP2B6 is responsible for the formation of 3- and 8-hydroxynevirapine [7,8]. Artemether is demethylated to </w:t>
      </w:r>
      <w:proofErr w:type="spellStart"/>
      <w:r w:rsidRPr="002E72CF">
        <w:rPr>
          <w:rFonts w:cstheme="minorHAnsi"/>
          <w:sz w:val="24"/>
          <w:szCs w:val="24"/>
          <w:lang w:val="en-GB"/>
        </w:rPr>
        <w:t>dihydroartemisinin</w:t>
      </w:r>
      <w:proofErr w:type="spellEnd"/>
      <w:r w:rsidRPr="002E72CF">
        <w:rPr>
          <w:rFonts w:cstheme="minorHAnsi"/>
          <w:sz w:val="24"/>
          <w:szCs w:val="24"/>
          <w:lang w:val="en-GB"/>
        </w:rPr>
        <w:t xml:space="preserve"> by CYP3A4 and 2B6 [9-12]. Both nevirapine and the artemether component of </w:t>
      </w:r>
      <w:r w:rsidRPr="002E72CF">
        <w:rPr>
          <w:rFonts w:eastAsia="Times New Roman" w:cstheme="minorHAnsi"/>
          <w:sz w:val="24"/>
          <w:szCs w:val="24"/>
          <w:lang w:val="en-GB" w:eastAsia="en-GB"/>
        </w:rPr>
        <w:t>artemether-lumefantrine</w:t>
      </w:r>
      <w:r w:rsidRPr="002E72CF">
        <w:rPr>
          <w:rFonts w:cstheme="minorHAnsi"/>
          <w:sz w:val="24"/>
          <w:szCs w:val="24"/>
          <w:lang w:val="en-GB"/>
        </w:rPr>
        <w:t xml:space="preserve"> induce CYP3A4 and 2B6 [13,14]. In addition, </w:t>
      </w:r>
      <w:proofErr w:type="spellStart"/>
      <w:r w:rsidRPr="002E72CF">
        <w:rPr>
          <w:rFonts w:cstheme="minorHAnsi"/>
          <w:sz w:val="24"/>
          <w:szCs w:val="24"/>
          <w:lang w:val="en-GB"/>
        </w:rPr>
        <w:t>artemisinins</w:t>
      </w:r>
      <w:proofErr w:type="spellEnd"/>
      <w:r w:rsidRPr="002E72CF">
        <w:rPr>
          <w:rFonts w:cstheme="minorHAnsi"/>
          <w:sz w:val="24"/>
          <w:szCs w:val="24"/>
          <w:lang w:val="en-GB"/>
        </w:rPr>
        <w:t xml:space="preserve"> are known to induce CYP2C9, and to both induce and inhibit CYP2B6 </w:t>
      </w:r>
      <w:r w:rsidRPr="002E72CF">
        <w:rPr>
          <w:rFonts w:cstheme="minorHAnsi"/>
          <w:i/>
          <w:sz w:val="24"/>
          <w:szCs w:val="24"/>
          <w:lang w:val="en-GB"/>
        </w:rPr>
        <w:t>in vitro</w:t>
      </w:r>
      <w:r w:rsidRPr="002E72CF">
        <w:rPr>
          <w:rFonts w:cstheme="minorHAnsi"/>
          <w:sz w:val="24"/>
          <w:szCs w:val="24"/>
          <w:lang w:val="en-GB"/>
        </w:rPr>
        <w:t xml:space="preserve"> thereby making it difficult to accurately predict the net </w:t>
      </w:r>
      <w:r w:rsidRPr="002E72CF">
        <w:rPr>
          <w:rFonts w:cstheme="minorHAnsi"/>
          <w:i/>
          <w:sz w:val="24"/>
          <w:szCs w:val="24"/>
          <w:lang w:val="en-GB"/>
        </w:rPr>
        <w:t xml:space="preserve">in vivo </w:t>
      </w:r>
      <w:r w:rsidRPr="002E72CF">
        <w:rPr>
          <w:rFonts w:cstheme="minorHAnsi"/>
          <w:sz w:val="24"/>
          <w:szCs w:val="24"/>
          <w:lang w:val="en-GB"/>
        </w:rPr>
        <w:t xml:space="preserve">effect [15-17]. Lumefantrine is metabolised by CYP3A4 and inhibits CYP2D6 </w:t>
      </w:r>
      <w:r w:rsidRPr="002E72CF">
        <w:rPr>
          <w:rFonts w:cstheme="minorHAnsi"/>
          <w:i/>
          <w:sz w:val="24"/>
          <w:szCs w:val="24"/>
          <w:lang w:val="en-GB"/>
        </w:rPr>
        <w:t>in vitro</w:t>
      </w:r>
      <w:r w:rsidRPr="002E72CF">
        <w:rPr>
          <w:rFonts w:cstheme="minorHAnsi"/>
          <w:sz w:val="24"/>
          <w:szCs w:val="24"/>
          <w:lang w:val="en-GB"/>
        </w:rPr>
        <w:t xml:space="preserve"> [18,19]. These create the potential for drug-drug interactions during co-administration of nevirapine with </w:t>
      </w:r>
      <w:r w:rsidRPr="002E72CF">
        <w:rPr>
          <w:rFonts w:eastAsia="Times New Roman" w:cstheme="minorHAnsi"/>
          <w:sz w:val="24"/>
          <w:szCs w:val="24"/>
          <w:lang w:val="en-GB" w:eastAsia="en-GB"/>
        </w:rPr>
        <w:t>artemether-lumefantrine</w:t>
      </w:r>
      <w:r w:rsidRPr="002E72CF">
        <w:rPr>
          <w:rFonts w:cstheme="minorHAnsi"/>
          <w:sz w:val="24"/>
          <w:szCs w:val="24"/>
          <w:lang w:val="en-GB"/>
        </w:rPr>
        <w:t>.</w:t>
      </w:r>
      <w:r w:rsidRPr="002E72CF">
        <w:rPr>
          <w:rFonts w:cstheme="minorHAnsi"/>
          <w:sz w:val="24"/>
          <w:szCs w:val="24"/>
          <w:lang w:val="en-GB" w:eastAsia="en-GB"/>
        </w:rPr>
        <w:t xml:space="preserve"> </w:t>
      </w:r>
    </w:p>
    <w:p w14:paraId="42C3E220" w14:textId="77777777" w:rsidR="002E72CF" w:rsidRPr="002E72CF" w:rsidRDefault="002E72CF" w:rsidP="002E72CF">
      <w:pPr>
        <w:spacing w:after="0" w:line="480" w:lineRule="auto"/>
        <w:jc w:val="both"/>
        <w:rPr>
          <w:rFonts w:cstheme="minorHAnsi"/>
          <w:sz w:val="24"/>
          <w:szCs w:val="24"/>
          <w:lang w:val="en-GB"/>
        </w:rPr>
      </w:pPr>
      <w:r w:rsidRPr="002E72CF">
        <w:rPr>
          <w:rFonts w:cstheme="minorHAnsi"/>
          <w:sz w:val="24"/>
          <w:szCs w:val="24"/>
          <w:lang w:val="en-GB" w:eastAsia="en-GB"/>
        </w:rPr>
        <w:lastRenderedPageBreak/>
        <w:t xml:space="preserve">Nevirapine disposition is characterised with wide interindividual variability and more than 80% of this has been attributed to genetic factors, and concomitant medications introduce further variability [20-22]. </w:t>
      </w:r>
      <w:r w:rsidRPr="002E72CF">
        <w:rPr>
          <w:rFonts w:cstheme="minorHAnsi"/>
          <w:sz w:val="24"/>
          <w:szCs w:val="24"/>
          <w:lang w:val="en-GB"/>
        </w:rPr>
        <w:t xml:space="preserve">Sequence variations in nevirapine-disposition genes can alter the pharmacokinetics of nevirapine [23-25]. </w:t>
      </w:r>
      <w:r w:rsidRPr="002E72CF">
        <w:rPr>
          <w:rFonts w:cstheme="minorHAnsi"/>
          <w:sz w:val="24"/>
          <w:szCs w:val="24"/>
          <w:lang w:val="en-GB" w:eastAsia="en-GB"/>
        </w:rPr>
        <w:t>S</w:t>
      </w:r>
      <w:r w:rsidRPr="002E72CF">
        <w:rPr>
          <w:rFonts w:cstheme="minorHAnsi"/>
          <w:sz w:val="24"/>
          <w:szCs w:val="24"/>
          <w:lang w:val="en-GB"/>
        </w:rPr>
        <w:t xml:space="preserve">ingle nucleotide polymorphisms (SNPs) in </w:t>
      </w:r>
      <w:r w:rsidRPr="002E72CF">
        <w:rPr>
          <w:rFonts w:cstheme="minorHAnsi"/>
          <w:i/>
          <w:sz w:val="24"/>
          <w:szCs w:val="24"/>
          <w:lang w:val="en-GB"/>
        </w:rPr>
        <w:t>CYP2B6</w:t>
      </w:r>
      <w:r w:rsidRPr="002E72CF">
        <w:rPr>
          <w:rFonts w:cstheme="minorHAnsi"/>
          <w:sz w:val="24"/>
          <w:szCs w:val="24"/>
          <w:lang w:val="en-GB"/>
        </w:rPr>
        <w:t xml:space="preserve"> have been associated with nevirapine pharmacokinetics and efficacy [26-29]. Additionally, polymorphisms in </w:t>
      </w:r>
      <w:r w:rsidRPr="002E72CF">
        <w:rPr>
          <w:rFonts w:cstheme="minorHAnsi"/>
          <w:i/>
          <w:sz w:val="24"/>
          <w:szCs w:val="24"/>
          <w:lang w:val="en-GB"/>
        </w:rPr>
        <w:t>CYP3A4</w:t>
      </w:r>
      <w:r w:rsidRPr="002E72CF">
        <w:rPr>
          <w:rFonts w:cstheme="minorHAnsi"/>
          <w:sz w:val="24"/>
          <w:szCs w:val="24"/>
          <w:lang w:val="en-GB"/>
        </w:rPr>
        <w:t>, cytochrome P450 oxidoreductase (</w:t>
      </w:r>
      <w:r w:rsidRPr="002E72CF">
        <w:rPr>
          <w:rFonts w:cstheme="minorHAnsi"/>
          <w:i/>
          <w:sz w:val="24"/>
          <w:szCs w:val="24"/>
          <w:lang w:val="en-GB"/>
        </w:rPr>
        <w:t>POR</w:t>
      </w:r>
      <w:r w:rsidRPr="002E72CF">
        <w:rPr>
          <w:rFonts w:cstheme="minorHAnsi"/>
          <w:sz w:val="24"/>
          <w:szCs w:val="24"/>
          <w:lang w:val="en-GB"/>
        </w:rPr>
        <w:t>) and peroxisome proliferator-activated receptor alpha (</w:t>
      </w:r>
      <w:r w:rsidRPr="002E72CF">
        <w:rPr>
          <w:rFonts w:cstheme="minorHAnsi"/>
          <w:i/>
          <w:sz w:val="24"/>
          <w:szCs w:val="24"/>
          <w:lang w:val="en-GB"/>
        </w:rPr>
        <w:t>PPARA</w:t>
      </w:r>
      <w:r w:rsidRPr="002E72CF">
        <w:rPr>
          <w:rFonts w:cstheme="minorHAnsi"/>
          <w:sz w:val="24"/>
          <w:szCs w:val="24"/>
          <w:lang w:val="en-GB"/>
        </w:rPr>
        <w:t xml:space="preserve">) genes may influence nevirapine disposition [30-33]. </w:t>
      </w:r>
    </w:p>
    <w:p w14:paraId="6FC6AE14" w14:textId="77777777" w:rsidR="002E72CF" w:rsidRPr="002E72CF" w:rsidRDefault="002E72CF" w:rsidP="002E72CF">
      <w:pPr>
        <w:spacing w:line="480" w:lineRule="auto"/>
        <w:jc w:val="both"/>
        <w:rPr>
          <w:rFonts w:cstheme="minorHAnsi"/>
          <w:sz w:val="24"/>
          <w:szCs w:val="24"/>
          <w:lang w:val="en-GB"/>
        </w:rPr>
      </w:pPr>
      <w:r w:rsidRPr="002E72CF">
        <w:rPr>
          <w:rFonts w:cstheme="minorHAnsi"/>
          <w:sz w:val="24"/>
          <w:szCs w:val="24"/>
          <w:lang w:val="en-GB"/>
        </w:rPr>
        <w:t xml:space="preserve">Whereas the impact of nevirapine on </w:t>
      </w:r>
      <w:r w:rsidRPr="002E72CF">
        <w:rPr>
          <w:rFonts w:eastAsia="Times New Roman" w:cstheme="minorHAnsi"/>
          <w:sz w:val="24"/>
          <w:szCs w:val="24"/>
          <w:lang w:val="en-GB" w:eastAsia="en-GB"/>
        </w:rPr>
        <w:t>artemether-lumefantrine</w:t>
      </w:r>
      <w:r w:rsidRPr="002E72CF">
        <w:rPr>
          <w:rFonts w:cstheme="minorHAnsi"/>
          <w:sz w:val="24"/>
          <w:szCs w:val="24"/>
          <w:lang w:val="en-GB"/>
        </w:rPr>
        <w:t xml:space="preserve"> pharmacokinetics are well-studied [34-36], data on the influence of </w:t>
      </w:r>
      <w:r w:rsidRPr="002E72CF">
        <w:rPr>
          <w:rFonts w:eastAsia="Times New Roman" w:cstheme="minorHAnsi"/>
          <w:sz w:val="24"/>
          <w:szCs w:val="24"/>
          <w:lang w:val="en-GB" w:eastAsia="en-GB"/>
        </w:rPr>
        <w:t>artemether-lumefantrine</w:t>
      </w:r>
      <w:r w:rsidRPr="002E72CF">
        <w:rPr>
          <w:rFonts w:cstheme="minorHAnsi"/>
          <w:sz w:val="24"/>
          <w:szCs w:val="24"/>
          <w:lang w:val="en-GB"/>
        </w:rPr>
        <w:t xml:space="preserve"> on nevirapine disposition in HIV-infected patients are limited, especially in the context of known pharmacogenetic factors [35,36]. Moreover, while any impact of </w:t>
      </w:r>
      <w:r w:rsidRPr="002E72CF">
        <w:rPr>
          <w:rFonts w:eastAsia="Times New Roman" w:cstheme="minorHAnsi"/>
          <w:sz w:val="24"/>
          <w:szCs w:val="24"/>
          <w:lang w:val="en-GB" w:eastAsia="en-GB"/>
        </w:rPr>
        <w:t>artemether-lumefantrine</w:t>
      </w:r>
      <w:r w:rsidRPr="002E72CF">
        <w:rPr>
          <w:rFonts w:cstheme="minorHAnsi"/>
          <w:sz w:val="24"/>
          <w:szCs w:val="24"/>
          <w:lang w:val="en-GB"/>
        </w:rPr>
        <w:t xml:space="preserve"> on nevirapine exposure may seem unlikely to matter in the context of a single course of </w:t>
      </w:r>
      <w:r w:rsidRPr="002E72CF">
        <w:rPr>
          <w:rFonts w:eastAsia="Times New Roman" w:cstheme="minorHAnsi"/>
          <w:sz w:val="24"/>
          <w:szCs w:val="24"/>
          <w:lang w:val="en-GB" w:eastAsia="en-GB"/>
        </w:rPr>
        <w:t>artemether-lumefantrine</w:t>
      </w:r>
      <w:r w:rsidRPr="002E72CF">
        <w:rPr>
          <w:rFonts w:cstheme="minorHAnsi"/>
          <w:sz w:val="24"/>
          <w:szCs w:val="24"/>
          <w:lang w:val="en-GB"/>
        </w:rPr>
        <w:t xml:space="preserve">, recrudescence often necessitates taking repeated courses of the antimalarial within short time intervals.                                                                                                                                        </w:t>
      </w:r>
    </w:p>
    <w:p w14:paraId="341127E8" w14:textId="77777777" w:rsidR="002E72CF" w:rsidRPr="002E72CF" w:rsidRDefault="002E72CF" w:rsidP="002E72CF">
      <w:pPr>
        <w:spacing w:line="480" w:lineRule="auto"/>
        <w:jc w:val="both"/>
        <w:rPr>
          <w:rFonts w:cstheme="minorHAnsi"/>
          <w:sz w:val="24"/>
          <w:szCs w:val="24"/>
          <w:lang w:val="en-GB"/>
        </w:rPr>
      </w:pPr>
      <w:r w:rsidRPr="002E72CF">
        <w:rPr>
          <w:rFonts w:cstheme="minorHAnsi"/>
          <w:sz w:val="24"/>
          <w:szCs w:val="24"/>
          <w:lang w:val="en-GB"/>
        </w:rPr>
        <w:t xml:space="preserve">Therefore, the association of selected SNPs in nevirapine disposition genes with its pharmacokinetics, and their influence on changes in its pharmacokinetics when co-administered with </w:t>
      </w:r>
      <w:r w:rsidRPr="002E72CF">
        <w:rPr>
          <w:rFonts w:eastAsia="Times New Roman" w:cstheme="minorHAnsi"/>
          <w:sz w:val="24"/>
          <w:szCs w:val="24"/>
          <w:lang w:val="en-GB" w:eastAsia="en-GB"/>
        </w:rPr>
        <w:t xml:space="preserve">artemether-lumefantrine was </w:t>
      </w:r>
      <w:r w:rsidRPr="002E72CF">
        <w:rPr>
          <w:rFonts w:cstheme="minorHAnsi"/>
          <w:sz w:val="24"/>
          <w:szCs w:val="24"/>
          <w:lang w:val="en-GB"/>
        </w:rPr>
        <w:t>investigated.</w:t>
      </w:r>
    </w:p>
    <w:p w14:paraId="1134C5D4" w14:textId="77777777" w:rsidR="002E72CF" w:rsidRPr="002E72CF" w:rsidRDefault="002E72CF" w:rsidP="002E72CF">
      <w:pPr>
        <w:autoSpaceDE w:val="0"/>
        <w:autoSpaceDN w:val="0"/>
        <w:adjustRightInd w:val="0"/>
        <w:spacing w:after="0" w:line="480" w:lineRule="auto"/>
        <w:jc w:val="both"/>
        <w:rPr>
          <w:rFonts w:cstheme="minorHAnsi"/>
          <w:b/>
          <w:sz w:val="24"/>
          <w:szCs w:val="24"/>
          <w:lang w:val="en-GB"/>
        </w:rPr>
      </w:pPr>
      <w:r w:rsidRPr="002E72CF">
        <w:rPr>
          <w:rFonts w:cstheme="minorHAnsi"/>
          <w:b/>
          <w:sz w:val="24"/>
          <w:szCs w:val="24"/>
          <w:lang w:val="en-GB"/>
        </w:rPr>
        <w:t>Methods</w:t>
      </w:r>
    </w:p>
    <w:p w14:paraId="309601A0" w14:textId="77777777" w:rsidR="002E72CF" w:rsidRPr="002E72CF" w:rsidRDefault="002E72CF" w:rsidP="002E72CF">
      <w:pPr>
        <w:spacing w:after="0" w:line="480" w:lineRule="auto"/>
        <w:jc w:val="both"/>
        <w:rPr>
          <w:rFonts w:eastAsia="Calibri" w:cstheme="minorHAnsi"/>
          <w:b/>
          <w:i/>
          <w:sz w:val="24"/>
          <w:szCs w:val="24"/>
          <w:lang w:val="en-GB"/>
        </w:rPr>
      </w:pPr>
      <w:r w:rsidRPr="002E72CF">
        <w:rPr>
          <w:rFonts w:eastAsia="Calibri" w:cstheme="minorHAnsi"/>
          <w:b/>
          <w:i/>
          <w:sz w:val="24"/>
          <w:szCs w:val="24"/>
          <w:lang w:val="en-GB"/>
        </w:rPr>
        <w:t>Patients and Study Design</w:t>
      </w:r>
    </w:p>
    <w:p w14:paraId="05C92607" w14:textId="77777777" w:rsidR="002E72CF" w:rsidRPr="002E72CF" w:rsidRDefault="002E72CF" w:rsidP="002E72CF">
      <w:pPr>
        <w:autoSpaceDE w:val="0"/>
        <w:autoSpaceDN w:val="0"/>
        <w:adjustRightInd w:val="0"/>
        <w:spacing w:line="480" w:lineRule="auto"/>
        <w:jc w:val="both"/>
        <w:rPr>
          <w:rFonts w:cstheme="minorHAnsi"/>
          <w:sz w:val="24"/>
          <w:szCs w:val="24"/>
          <w:lang w:val="en-GB"/>
        </w:rPr>
      </w:pPr>
      <w:r w:rsidRPr="002E72CF">
        <w:rPr>
          <w:rFonts w:cstheme="minorHAnsi"/>
          <w:sz w:val="24"/>
          <w:szCs w:val="24"/>
          <w:lang w:val="en-GB"/>
        </w:rPr>
        <w:t xml:space="preserve">Unrelated HIV-infected adult patients were recruited from the Virology Research Clinic, Nigeria (IHVN) Research Clinic, Obafemi Awolowo University Teaching Hospitals Complex (OAUTHC), Ile-Ife. Patients were eligible for the study if they were at least 18 years old, </w:t>
      </w:r>
      <w:r w:rsidRPr="002E72CF">
        <w:rPr>
          <w:rFonts w:cstheme="minorHAnsi"/>
          <w:sz w:val="24"/>
          <w:szCs w:val="24"/>
          <w:lang w:val="en-GB"/>
        </w:rPr>
        <w:lastRenderedPageBreak/>
        <w:t xml:space="preserve">receiving regimens containing </w:t>
      </w:r>
      <w:r w:rsidRPr="002E72CF">
        <w:rPr>
          <w:rFonts w:cstheme="minorHAnsi"/>
          <w:sz w:val="24"/>
          <w:szCs w:val="24"/>
          <w:lang w:val="en-GB" w:eastAsia="en-GB"/>
        </w:rPr>
        <w:t>200 mg nevirapine twice daily as part of antiretroviral therapy (ART) for</w:t>
      </w:r>
      <w:r w:rsidRPr="002E72CF">
        <w:rPr>
          <w:rFonts w:cstheme="minorHAnsi"/>
          <w:sz w:val="24"/>
          <w:szCs w:val="24"/>
          <w:lang w:val="en-GB"/>
        </w:rPr>
        <w:t xml:space="preserve"> at least 2 months and able to understand the study information. Patients were excluded from the study for any of the following reasons: pregnancy, breastfeeding, concomitant drugs with known or uncertain interaction with nevirapine except the study drugs, severe hepatic or renal dysfunction and hypersensitivity to study drugs. Patients with recent history of poor compliance according to pharmacy ART refill record were also excluded. Participants were enrolled into the study after obtaining written informed consent. Demographic information of each patient was obtained and recorded anonymously to maintain confidentiality. Approval of the study protocol was obtained from OAUTHC Health Research Ethics Committee (HREC) and the study was conducted in accordance with the principles of Declaration of the Helsinki [37]. </w:t>
      </w:r>
    </w:p>
    <w:p w14:paraId="10C49849" w14:textId="77777777" w:rsidR="002E72CF" w:rsidRPr="002E72CF" w:rsidRDefault="002E72CF" w:rsidP="002E72CF">
      <w:pPr>
        <w:autoSpaceDE w:val="0"/>
        <w:autoSpaceDN w:val="0"/>
        <w:adjustRightInd w:val="0"/>
        <w:spacing w:line="480" w:lineRule="auto"/>
        <w:jc w:val="both"/>
        <w:rPr>
          <w:rFonts w:cstheme="minorHAnsi"/>
          <w:sz w:val="24"/>
          <w:szCs w:val="24"/>
          <w:lang w:val="en-GB"/>
        </w:rPr>
      </w:pPr>
      <w:r w:rsidRPr="002E72CF">
        <w:rPr>
          <w:rFonts w:cstheme="minorHAnsi"/>
          <w:sz w:val="24"/>
          <w:szCs w:val="24"/>
          <w:lang w:val="en-GB"/>
        </w:rPr>
        <w:t>This was a two-period, single sequence crossover study conducted in two stages. In stage 1, consenting eligible patients were enrolled and genotyped for selected SNPs. Sparse pharmacokinetic sampling was conducted to identify SNPs independently associated with plasma nevirapine concentration. Patients were categorised as poor, intermediate and extensive metabolisers based on the number of alleles of significantly associated SNPs and intensive sampling was conducted in selected patients from each group. In stage 2, patients received standard artemether-lumefantrine treatment with nevirapine and intensive pharmacokinetic sampling was conducted on day 3.</w:t>
      </w:r>
    </w:p>
    <w:p w14:paraId="6112F5C5" w14:textId="77777777" w:rsidR="002E72CF" w:rsidRPr="002E72CF" w:rsidRDefault="002E72CF" w:rsidP="002E72CF">
      <w:pPr>
        <w:autoSpaceDE w:val="0"/>
        <w:autoSpaceDN w:val="0"/>
        <w:adjustRightInd w:val="0"/>
        <w:spacing w:before="240" w:after="0" w:line="480" w:lineRule="auto"/>
        <w:jc w:val="both"/>
        <w:rPr>
          <w:rFonts w:cstheme="minorHAnsi"/>
          <w:i/>
          <w:sz w:val="24"/>
          <w:szCs w:val="24"/>
          <w:lang w:val="en-GB"/>
        </w:rPr>
      </w:pPr>
      <w:r w:rsidRPr="002E72CF">
        <w:rPr>
          <w:rFonts w:cstheme="minorHAnsi"/>
          <w:b/>
          <w:i/>
          <w:sz w:val="24"/>
          <w:szCs w:val="24"/>
          <w:lang w:val="en-GB"/>
        </w:rPr>
        <w:t>Drug Administration and Pharmacokinetic Sampling</w:t>
      </w:r>
    </w:p>
    <w:p w14:paraId="2F6B6AD2" w14:textId="77777777" w:rsidR="002E72CF" w:rsidRPr="002E72CF" w:rsidRDefault="002E72CF" w:rsidP="002E72CF">
      <w:pPr>
        <w:autoSpaceDE w:val="0"/>
        <w:autoSpaceDN w:val="0"/>
        <w:adjustRightInd w:val="0"/>
        <w:spacing w:line="480" w:lineRule="auto"/>
        <w:jc w:val="both"/>
        <w:rPr>
          <w:rFonts w:cstheme="minorHAnsi"/>
          <w:sz w:val="24"/>
          <w:szCs w:val="24"/>
          <w:lang w:val="en-GB"/>
        </w:rPr>
      </w:pPr>
      <w:r w:rsidRPr="002E72CF">
        <w:rPr>
          <w:rFonts w:cstheme="minorHAnsi"/>
          <w:sz w:val="24"/>
          <w:szCs w:val="24"/>
          <w:lang w:val="en-GB"/>
        </w:rPr>
        <w:t>In both stages of the study, dried blood spots (DBS) were collected on Whatman</w:t>
      </w:r>
      <w:r w:rsidRPr="002E72CF">
        <w:rPr>
          <w:rFonts w:cstheme="minorHAnsi"/>
          <w:sz w:val="24"/>
          <w:szCs w:val="24"/>
          <w:vertAlign w:val="superscript"/>
          <w:lang w:val="en-GB"/>
        </w:rPr>
        <w:t>®</w:t>
      </w:r>
      <w:r w:rsidRPr="002E72CF">
        <w:rPr>
          <w:rFonts w:cstheme="minorHAnsi"/>
          <w:sz w:val="24"/>
          <w:szCs w:val="24"/>
          <w:lang w:val="en-GB"/>
        </w:rPr>
        <w:t xml:space="preserve"> 903 protein saver cards (GE Healthcare, </w:t>
      </w:r>
      <w:r w:rsidRPr="002E72CF">
        <w:rPr>
          <w:rFonts w:cstheme="minorHAnsi"/>
          <w:iCs/>
          <w:sz w:val="24"/>
          <w:szCs w:val="24"/>
          <w:lang w:val="en-GB"/>
        </w:rPr>
        <w:t>Little Chalfont,</w:t>
      </w:r>
      <w:r w:rsidRPr="002E72CF">
        <w:rPr>
          <w:rFonts w:cstheme="minorHAnsi"/>
          <w:i/>
          <w:iCs/>
          <w:sz w:val="24"/>
          <w:szCs w:val="24"/>
          <w:lang w:val="en-GB"/>
        </w:rPr>
        <w:t xml:space="preserve"> </w:t>
      </w:r>
      <w:r w:rsidRPr="002E72CF">
        <w:rPr>
          <w:rFonts w:cstheme="minorHAnsi"/>
          <w:sz w:val="24"/>
          <w:szCs w:val="24"/>
          <w:lang w:val="en-GB"/>
        </w:rPr>
        <w:t xml:space="preserve">Buckinghamshire, UK) from each patient after finger prick with safety lancet. Sparse pharmacokinetic sampling for stage 1 was collected at </w:t>
      </w:r>
      <w:r w:rsidRPr="002E72CF">
        <w:rPr>
          <w:rFonts w:cstheme="minorHAnsi"/>
          <w:sz w:val="24"/>
          <w:szCs w:val="24"/>
          <w:lang w:val="en-GB"/>
        </w:rPr>
        <w:lastRenderedPageBreak/>
        <w:t>steady state and at the end of a dosing interval, at 0.5, 1, 2, 3, 4, 6, 8 and 12 h after dose for the intensive pharmacokinetic sampling to obtain baseline nevirapine pharmacokinetic parameters. Patients selected for stage 2 were given a 3-day course of artemether-lumefantrine treatment comprising of 80/480 mg tablets twice daily. Drugs were self-administered at home after meal along with nevirapine-containing ART; only the last dose of artemether-lumefantrine was directly observed at the clinic on the intensive pharmacokinetic sampling day. Samples were collected on up to 5 pre-marked areas on - Whatman</w:t>
      </w:r>
      <w:r w:rsidRPr="002E72CF">
        <w:rPr>
          <w:rFonts w:cstheme="minorHAnsi"/>
          <w:sz w:val="24"/>
          <w:szCs w:val="24"/>
          <w:vertAlign w:val="superscript"/>
          <w:lang w:val="en-GB"/>
        </w:rPr>
        <w:t>®</w:t>
      </w:r>
      <w:r w:rsidRPr="002E72CF">
        <w:rPr>
          <w:rFonts w:cstheme="minorHAnsi"/>
          <w:sz w:val="24"/>
          <w:szCs w:val="24"/>
          <w:lang w:val="en-GB"/>
        </w:rPr>
        <w:t xml:space="preserve"> 903 protein saver cards, allowed to air dry for at least 2 h, packed in </w:t>
      </w:r>
      <w:proofErr w:type="spellStart"/>
      <w:r w:rsidRPr="002E72CF">
        <w:rPr>
          <w:rFonts w:cstheme="minorHAnsi"/>
          <w:sz w:val="24"/>
          <w:szCs w:val="24"/>
          <w:lang w:val="en-GB"/>
        </w:rPr>
        <w:t>ziplock</w:t>
      </w:r>
      <w:proofErr w:type="spellEnd"/>
      <w:r w:rsidRPr="002E72CF">
        <w:rPr>
          <w:rFonts w:cstheme="minorHAnsi"/>
          <w:sz w:val="24"/>
          <w:szCs w:val="24"/>
          <w:lang w:val="en-GB"/>
        </w:rPr>
        <w:t xml:space="preserve"> bags with desiccants, and stored at room temperature. Samples were transferred to the Department of Molecular and Clinical Pharmacology, University of Liverpool, Liverpool, United Kingdom for SNP genotyping and drug quantification.</w:t>
      </w:r>
    </w:p>
    <w:p w14:paraId="46EDD57A" w14:textId="77777777" w:rsidR="002E72CF" w:rsidRPr="002E72CF" w:rsidRDefault="002E72CF" w:rsidP="002E72CF">
      <w:pPr>
        <w:autoSpaceDE w:val="0"/>
        <w:autoSpaceDN w:val="0"/>
        <w:adjustRightInd w:val="0"/>
        <w:spacing w:after="0" w:line="480" w:lineRule="auto"/>
        <w:jc w:val="both"/>
        <w:rPr>
          <w:rFonts w:cstheme="minorHAnsi"/>
          <w:b/>
          <w:i/>
          <w:sz w:val="24"/>
          <w:szCs w:val="24"/>
          <w:lang w:val="en-GB"/>
        </w:rPr>
      </w:pPr>
      <w:r w:rsidRPr="002E72CF">
        <w:rPr>
          <w:rFonts w:cstheme="minorHAnsi"/>
          <w:b/>
          <w:i/>
          <w:sz w:val="24"/>
          <w:szCs w:val="24"/>
          <w:lang w:val="en-GB"/>
        </w:rPr>
        <w:t>DNA Extraction and SNP Genotyping</w:t>
      </w:r>
    </w:p>
    <w:p w14:paraId="2D238555" w14:textId="77777777" w:rsidR="002E72CF" w:rsidRPr="002E72CF" w:rsidRDefault="002E72CF" w:rsidP="002E72CF">
      <w:pPr>
        <w:autoSpaceDE w:val="0"/>
        <w:autoSpaceDN w:val="0"/>
        <w:adjustRightInd w:val="0"/>
        <w:spacing w:line="480" w:lineRule="auto"/>
        <w:jc w:val="both"/>
        <w:rPr>
          <w:rFonts w:cstheme="minorHAnsi"/>
          <w:sz w:val="24"/>
          <w:szCs w:val="24"/>
          <w:lang w:val="en-GB"/>
        </w:rPr>
      </w:pPr>
      <w:r w:rsidRPr="002E72CF">
        <w:rPr>
          <w:rFonts w:cstheme="minorHAnsi"/>
          <w:sz w:val="24"/>
          <w:szCs w:val="24"/>
          <w:lang w:val="en-GB"/>
        </w:rPr>
        <w:t>Genomic DNA was extracted from the DBS samples using E.Z.N.A.</w:t>
      </w:r>
      <w:r w:rsidRPr="002E72CF">
        <w:rPr>
          <w:rFonts w:cstheme="minorHAnsi"/>
          <w:sz w:val="24"/>
          <w:szCs w:val="24"/>
          <w:vertAlign w:val="superscript"/>
          <w:lang w:val="en-GB"/>
        </w:rPr>
        <w:t>®</w:t>
      </w:r>
      <w:r w:rsidRPr="002E72CF">
        <w:rPr>
          <w:rFonts w:cstheme="minorHAnsi"/>
          <w:sz w:val="24"/>
          <w:szCs w:val="24"/>
          <w:lang w:val="en-GB"/>
        </w:rPr>
        <w:t xml:space="preserve"> Blood DNA Mini Kit (Omega Bio-Tek, Inc., Norcross, GA, USA), according to manufacturer’s protocol. Extracted DNA was quantified using </w:t>
      </w:r>
      <w:proofErr w:type="spellStart"/>
      <w:r w:rsidRPr="002E72CF">
        <w:rPr>
          <w:rFonts w:cstheme="minorHAnsi"/>
          <w:sz w:val="24"/>
          <w:szCs w:val="24"/>
          <w:lang w:val="en-GB"/>
        </w:rPr>
        <w:t>NanoDrop</w:t>
      </w:r>
      <w:proofErr w:type="spellEnd"/>
      <w:r w:rsidRPr="002E72CF">
        <w:rPr>
          <w:rFonts w:cstheme="minorHAnsi"/>
          <w:sz w:val="24"/>
          <w:szCs w:val="24"/>
          <w:vertAlign w:val="superscript"/>
          <w:lang w:val="en-GB"/>
        </w:rPr>
        <w:t>®</w:t>
      </w:r>
      <w:r w:rsidRPr="002E72CF">
        <w:rPr>
          <w:rFonts w:cstheme="minorHAnsi"/>
          <w:sz w:val="24"/>
          <w:szCs w:val="24"/>
          <w:lang w:val="en-GB"/>
        </w:rPr>
        <w:t xml:space="preserve"> (Thermo Fisher Scientific Inc., Wilmington, DE, USA) and stored at -20</w:t>
      </w:r>
      <w:r w:rsidRPr="002E72CF">
        <w:rPr>
          <w:rFonts w:cstheme="minorHAnsi"/>
          <w:sz w:val="24"/>
          <w:szCs w:val="24"/>
          <w:vertAlign w:val="superscript"/>
          <w:lang w:val="en-GB"/>
        </w:rPr>
        <w:t>o</w:t>
      </w:r>
      <w:r w:rsidRPr="002E72CF">
        <w:rPr>
          <w:rFonts w:cstheme="minorHAnsi"/>
          <w:sz w:val="24"/>
          <w:szCs w:val="24"/>
          <w:lang w:val="en-GB"/>
        </w:rPr>
        <w:t xml:space="preserve">C until analysis. TaqMan® Genotyping Master Mix and assays for </w:t>
      </w:r>
      <w:r w:rsidRPr="002E72CF">
        <w:rPr>
          <w:rFonts w:cstheme="minorHAnsi"/>
          <w:i/>
          <w:sz w:val="24"/>
          <w:szCs w:val="24"/>
          <w:lang w:val="en-GB"/>
        </w:rPr>
        <w:t>CYP2B6</w:t>
      </w:r>
      <w:r w:rsidRPr="002E72CF">
        <w:rPr>
          <w:rFonts w:cstheme="minorHAnsi"/>
          <w:sz w:val="24"/>
          <w:szCs w:val="24"/>
          <w:lang w:val="en-GB"/>
        </w:rPr>
        <w:t xml:space="preserve"> c.516G&gt;T (</w:t>
      </w:r>
      <w:r w:rsidRPr="002E72CF">
        <w:rPr>
          <w:rFonts w:eastAsia="Times New Roman" w:cstheme="minorHAnsi"/>
          <w:sz w:val="24"/>
          <w:szCs w:val="24"/>
          <w:lang w:val="en-GB" w:eastAsia="en-GB"/>
        </w:rPr>
        <w:t xml:space="preserve">rs3745274; ID: C_7817765_60), </w:t>
      </w:r>
      <w:r w:rsidRPr="002E72CF">
        <w:rPr>
          <w:rFonts w:eastAsia="Times New Roman" w:cstheme="minorHAnsi"/>
          <w:i/>
          <w:sz w:val="24"/>
          <w:szCs w:val="24"/>
          <w:lang w:val="en-GB" w:eastAsia="en-GB"/>
        </w:rPr>
        <w:t>CYP2B6</w:t>
      </w:r>
      <w:r w:rsidRPr="002E72CF">
        <w:rPr>
          <w:rFonts w:eastAsia="Times New Roman" w:cstheme="minorHAnsi"/>
          <w:sz w:val="24"/>
          <w:szCs w:val="24"/>
          <w:lang w:val="en-GB" w:eastAsia="en-GB"/>
        </w:rPr>
        <w:t xml:space="preserve"> c.785A&gt;G</w:t>
      </w:r>
      <w:r w:rsidRPr="002E72CF">
        <w:rPr>
          <w:rFonts w:cstheme="minorHAnsi"/>
          <w:sz w:val="24"/>
          <w:szCs w:val="24"/>
          <w:lang w:val="en-GB"/>
        </w:rPr>
        <w:t xml:space="preserve"> (</w:t>
      </w:r>
      <w:r w:rsidRPr="002E72CF">
        <w:rPr>
          <w:rFonts w:eastAsia="Times New Roman" w:cstheme="minorHAnsi"/>
          <w:sz w:val="24"/>
          <w:szCs w:val="24"/>
          <w:lang w:val="en-GB" w:eastAsia="en-GB"/>
        </w:rPr>
        <w:t xml:space="preserve">rs2279343; ID: C_26823974_30), </w:t>
      </w:r>
      <w:r w:rsidRPr="002E72CF">
        <w:rPr>
          <w:rFonts w:eastAsia="Times New Roman" w:cstheme="minorHAnsi"/>
          <w:i/>
          <w:sz w:val="24"/>
          <w:szCs w:val="24"/>
          <w:lang w:val="en-GB" w:eastAsia="en-GB"/>
        </w:rPr>
        <w:t>CYP2B6</w:t>
      </w:r>
      <w:r w:rsidRPr="002E72CF">
        <w:rPr>
          <w:rFonts w:eastAsia="Times New Roman" w:cstheme="minorHAnsi"/>
          <w:sz w:val="24"/>
          <w:szCs w:val="24"/>
          <w:lang w:val="en-GB" w:eastAsia="en-GB"/>
        </w:rPr>
        <w:t xml:space="preserve"> c.983T&gt;C</w:t>
      </w:r>
      <w:r w:rsidRPr="002E72CF">
        <w:rPr>
          <w:rFonts w:cstheme="minorHAnsi"/>
          <w:sz w:val="24"/>
          <w:szCs w:val="24"/>
          <w:lang w:val="en-GB"/>
        </w:rPr>
        <w:t xml:space="preserve"> (</w:t>
      </w:r>
      <w:r w:rsidRPr="002E72CF">
        <w:rPr>
          <w:rFonts w:eastAsia="Times New Roman" w:cstheme="minorHAnsi"/>
          <w:sz w:val="24"/>
          <w:szCs w:val="24"/>
          <w:lang w:val="en-GB" w:eastAsia="en-GB"/>
        </w:rPr>
        <w:t xml:space="preserve">rs28399499; ID: C_60732328_20), </w:t>
      </w:r>
      <w:r w:rsidRPr="002E72CF">
        <w:rPr>
          <w:rFonts w:eastAsia="Times New Roman" w:cstheme="minorHAnsi"/>
          <w:i/>
          <w:sz w:val="24"/>
          <w:szCs w:val="24"/>
          <w:lang w:val="en-GB" w:eastAsia="en-GB"/>
        </w:rPr>
        <w:t>CYP3A4</w:t>
      </w:r>
      <w:r w:rsidRPr="002E72CF">
        <w:rPr>
          <w:rFonts w:eastAsia="Times New Roman" w:cstheme="minorHAnsi"/>
          <w:sz w:val="24"/>
          <w:szCs w:val="24"/>
          <w:lang w:val="en-GB" w:eastAsia="en-GB"/>
        </w:rPr>
        <w:t xml:space="preserve"> c.522-191C&gt;T</w:t>
      </w:r>
      <w:r w:rsidRPr="002E72CF">
        <w:rPr>
          <w:rFonts w:cstheme="minorHAnsi"/>
          <w:sz w:val="24"/>
          <w:szCs w:val="24"/>
          <w:lang w:val="en-GB"/>
        </w:rPr>
        <w:t xml:space="preserve"> (</w:t>
      </w:r>
      <w:r w:rsidRPr="002E72CF">
        <w:rPr>
          <w:rFonts w:eastAsia="Times New Roman" w:cstheme="minorHAnsi"/>
          <w:sz w:val="24"/>
          <w:szCs w:val="24"/>
          <w:lang w:val="en-GB" w:eastAsia="en-GB"/>
        </w:rPr>
        <w:t xml:space="preserve">rs35599367; ID: C_59013445_10), </w:t>
      </w:r>
      <w:r w:rsidRPr="002E72CF">
        <w:rPr>
          <w:rFonts w:eastAsia="Times New Roman" w:cstheme="minorHAnsi"/>
          <w:i/>
          <w:sz w:val="24"/>
          <w:szCs w:val="24"/>
          <w:lang w:val="en-GB" w:eastAsia="en-GB"/>
        </w:rPr>
        <w:t>CYP3A5</w:t>
      </w:r>
      <w:r w:rsidRPr="002E72CF">
        <w:rPr>
          <w:rFonts w:eastAsia="Times New Roman" w:cstheme="minorHAnsi"/>
          <w:sz w:val="24"/>
          <w:szCs w:val="24"/>
          <w:lang w:val="en-GB" w:eastAsia="en-GB"/>
        </w:rPr>
        <w:t xml:space="preserve"> c.6986A&gt;G</w:t>
      </w:r>
      <w:r w:rsidRPr="002E72CF">
        <w:rPr>
          <w:rFonts w:cstheme="minorHAnsi"/>
          <w:sz w:val="24"/>
          <w:szCs w:val="24"/>
          <w:lang w:val="en-GB"/>
        </w:rPr>
        <w:t xml:space="preserve"> (</w:t>
      </w:r>
      <w:r w:rsidRPr="002E72CF">
        <w:rPr>
          <w:rFonts w:eastAsia="Times New Roman" w:cstheme="minorHAnsi"/>
          <w:sz w:val="24"/>
          <w:szCs w:val="24"/>
          <w:lang w:val="en-GB" w:eastAsia="en-GB"/>
        </w:rPr>
        <w:t xml:space="preserve">rs776746; ID: C_26201809_30), </w:t>
      </w:r>
      <w:r w:rsidRPr="002E72CF">
        <w:rPr>
          <w:rFonts w:eastAsia="Times New Roman" w:cstheme="minorHAnsi"/>
          <w:i/>
          <w:sz w:val="24"/>
          <w:szCs w:val="24"/>
          <w:lang w:val="en-GB" w:eastAsia="en-GB"/>
        </w:rPr>
        <w:t>POR</w:t>
      </w:r>
      <w:r w:rsidRPr="002E72CF">
        <w:rPr>
          <w:rFonts w:eastAsia="Times New Roman" w:cstheme="minorHAnsi"/>
          <w:sz w:val="24"/>
          <w:szCs w:val="24"/>
          <w:lang w:val="en-GB" w:eastAsia="en-GB"/>
        </w:rPr>
        <w:t xml:space="preserve"> c.1508C&gt;T</w:t>
      </w:r>
      <w:r w:rsidRPr="002E72CF">
        <w:rPr>
          <w:rFonts w:cstheme="minorHAnsi"/>
          <w:sz w:val="24"/>
          <w:szCs w:val="24"/>
          <w:lang w:val="en-GB"/>
        </w:rPr>
        <w:t xml:space="preserve"> (</w:t>
      </w:r>
      <w:r w:rsidRPr="002E72CF">
        <w:rPr>
          <w:rFonts w:eastAsia="Times New Roman" w:cstheme="minorHAnsi"/>
          <w:sz w:val="24"/>
          <w:szCs w:val="24"/>
          <w:lang w:val="en-GB" w:eastAsia="en-GB"/>
        </w:rPr>
        <w:t xml:space="preserve">rs1057868; ID: C_8890131_30) and </w:t>
      </w:r>
      <w:r w:rsidRPr="002E72CF">
        <w:rPr>
          <w:rFonts w:eastAsia="Times New Roman" w:cstheme="minorHAnsi"/>
          <w:i/>
          <w:sz w:val="24"/>
          <w:szCs w:val="24"/>
          <w:lang w:val="en-GB" w:eastAsia="en-GB"/>
        </w:rPr>
        <w:t>PPARA</w:t>
      </w:r>
      <w:r w:rsidRPr="002E72CF">
        <w:rPr>
          <w:rFonts w:eastAsia="Times New Roman" w:cstheme="minorHAnsi"/>
          <w:sz w:val="24"/>
          <w:szCs w:val="24"/>
          <w:lang w:val="en-GB" w:eastAsia="en-GB"/>
        </w:rPr>
        <w:t xml:space="preserve"> c.208+3819A&gt;G</w:t>
      </w:r>
      <w:r w:rsidRPr="002E72CF">
        <w:rPr>
          <w:rFonts w:cstheme="minorHAnsi"/>
          <w:sz w:val="24"/>
          <w:szCs w:val="24"/>
          <w:lang w:val="en-GB"/>
        </w:rPr>
        <w:t xml:space="preserve"> (</w:t>
      </w:r>
      <w:r w:rsidRPr="002E72CF">
        <w:rPr>
          <w:rFonts w:eastAsia="Times New Roman" w:cstheme="minorHAnsi"/>
          <w:sz w:val="24"/>
          <w:szCs w:val="24"/>
          <w:lang w:val="en-GB" w:eastAsia="en-GB"/>
        </w:rPr>
        <w:t xml:space="preserve">rs4823613; ID: C_2985275_10) </w:t>
      </w:r>
      <w:r w:rsidRPr="002E72CF">
        <w:rPr>
          <w:rFonts w:cstheme="minorHAnsi"/>
          <w:sz w:val="24"/>
          <w:szCs w:val="24"/>
          <w:lang w:val="en-GB"/>
        </w:rPr>
        <w:t xml:space="preserve">SNPs were obtained from Life Technologies Ltd (Paisley, Renfrewshire, UK). Genotyping for the presence of the seven SNPs was performed using previously described and validated real -time PCR assay on a DNA Engine Chromo4 system (Bio-Rad Laboratories, Inc., Hercules, CA, USA) [38]. The PCR protocol involved an initial denaturation step at 95°C for 15 min, followed </w:t>
      </w:r>
      <w:r w:rsidRPr="002E72CF">
        <w:rPr>
          <w:rFonts w:cstheme="minorHAnsi"/>
          <w:sz w:val="24"/>
          <w:szCs w:val="24"/>
          <w:lang w:val="en-GB"/>
        </w:rPr>
        <w:lastRenderedPageBreak/>
        <w:t xml:space="preserve">by 50 cycles of amplification at 95°C for 15 s and final annealing at 60°C for 1 min. </w:t>
      </w:r>
      <w:proofErr w:type="spellStart"/>
      <w:r w:rsidRPr="002E72CF">
        <w:rPr>
          <w:rFonts w:cstheme="minorHAnsi"/>
          <w:sz w:val="24"/>
          <w:szCs w:val="24"/>
          <w:lang w:val="en-GB"/>
        </w:rPr>
        <w:t>Opticon</w:t>
      </w:r>
      <w:proofErr w:type="spellEnd"/>
      <w:r w:rsidRPr="002E72CF">
        <w:rPr>
          <w:rFonts w:cstheme="minorHAnsi"/>
          <w:sz w:val="24"/>
          <w:szCs w:val="24"/>
          <w:lang w:val="en-GB"/>
        </w:rPr>
        <w:t xml:space="preserve"> Monitor® version 3.1 (Bio-Rad Laboratories, Inc., Hercules, CA, USA) was used to obtain allelic discrimination plots and make allele calls. </w:t>
      </w:r>
    </w:p>
    <w:p w14:paraId="46BEE9D1" w14:textId="77777777" w:rsidR="002E72CF" w:rsidRPr="002E72CF" w:rsidRDefault="002E72CF" w:rsidP="002E72CF">
      <w:pPr>
        <w:autoSpaceDE w:val="0"/>
        <w:autoSpaceDN w:val="0"/>
        <w:adjustRightInd w:val="0"/>
        <w:spacing w:after="0" w:line="480" w:lineRule="auto"/>
        <w:jc w:val="both"/>
        <w:rPr>
          <w:rFonts w:cstheme="minorHAnsi"/>
          <w:b/>
          <w:i/>
          <w:iCs/>
          <w:sz w:val="24"/>
          <w:szCs w:val="24"/>
          <w:lang w:val="en-GB"/>
        </w:rPr>
      </w:pPr>
      <w:r w:rsidRPr="002E72CF">
        <w:rPr>
          <w:rFonts w:cstheme="minorHAnsi"/>
          <w:b/>
          <w:i/>
          <w:sz w:val="24"/>
          <w:szCs w:val="24"/>
          <w:lang w:val="en-GB"/>
        </w:rPr>
        <w:t>Quantification of Nevirapine in DBS and Pharmacokinetic Analysis</w:t>
      </w:r>
    </w:p>
    <w:p w14:paraId="251CCBE5" w14:textId="77777777" w:rsidR="002E72CF" w:rsidRPr="002E72CF" w:rsidRDefault="002E72CF" w:rsidP="002E72CF">
      <w:pPr>
        <w:widowControl w:val="0"/>
        <w:overflowPunct w:val="0"/>
        <w:autoSpaceDE w:val="0"/>
        <w:autoSpaceDN w:val="0"/>
        <w:adjustRightInd w:val="0"/>
        <w:spacing w:line="480" w:lineRule="auto"/>
        <w:jc w:val="both"/>
        <w:rPr>
          <w:rFonts w:cstheme="minorHAnsi"/>
          <w:sz w:val="24"/>
          <w:szCs w:val="24"/>
          <w:lang w:val="en-GB"/>
        </w:rPr>
      </w:pPr>
      <w:r w:rsidRPr="002E72CF">
        <w:rPr>
          <w:rFonts w:cstheme="minorHAnsi"/>
          <w:sz w:val="24"/>
          <w:szCs w:val="24"/>
          <w:lang w:val="en-GB"/>
        </w:rPr>
        <w:t xml:space="preserve">Blood volume was assumed from uniform distribution. In addition, a section of each DBS sample was punched into a 7 ml screw cap tube using a 6 mm hole punch before being extracted with 1 ml of 0.1% formic acid in </w:t>
      </w:r>
      <w:proofErr w:type="spellStart"/>
      <w:proofErr w:type="gramStart"/>
      <w:r w:rsidRPr="002E72CF">
        <w:rPr>
          <w:rFonts w:cstheme="minorHAnsi"/>
          <w:sz w:val="24"/>
          <w:szCs w:val="24"/>
          <w:lang w:val="en-GB"/>
        </w:rPr>
        <w:t>acetonitrile:water</w:t>
      </w:r>
      <w:proofErr w:type="spellEnd"/>
      <w:proofErr w:type="gramEnd"/>
      <w:r w:rsidRPr="002E72CF">
        <w:rPr>
          <w:rFonts w:cstheme="minorHAnsi"/>
          <w:sz w:val="24"/>
          <w:szCs w:val="24"/>
          <w:lang w:val="en-GB"/>
        </w:rPr>
        <w:t xml:space="preserve"> (80:20, v/v). A previously described validated</w:t>
      </w:r>
      <w:r w:rsidRPr="002E72CF">
        <w:rPr>
          <w:rFonts w:cstheme="minorHAnsi"/>
          <w:sz w:val="24"/>
          <w:szCs w:val="24"/>
          <w:shd w:val="clear" w:color="auto" w:fill="FFFFFF"/>
          <w:lang w:val="en-GB"/>
        </w:rPr>
        <w:t xml:space="preserve"> liquid chromatography-tandem mass spectrometry (LC-MS/MS) method was used to quantify nevirapine in DBS [39].</w:t>
      </w:r>
      <w:r w:rsidRPr="002E72CF">
        <w:rPr>
          <w:lang w:val="en-GB"/>
        </w:rPr>
        <w:t xml:space="preserve"> </w:t>
      </w:r>
      <w:r w:rsidRPr="002E72CF">
        <w:rPr>
          <w:rFonts w:cstheme="minorHAnsi"/>
          <w:sz w:val="24"/>
          <w:szCs w:val="24"/>
          <w:shd w:val="clear" w:color="auto" w:fill="FFFFFF"/>
          <w:lang w:val="en-GB"/>
        </w:rPr>
        <w:t>Briefly, the assay was validated over the concentration range 50–10000 ng ml</w:t>
      </w:r>
      <w:r w:rsidRPr="002E72CF">
        <w:rPr>
          <w:rFonts w:cstheme="minorHAnsi"/>
          <w:sz w:val="24"/>
          <w:szCs w:val="24"/>
          <w:shd w:val="clear" w:color="auto" w:fill="FFFFFF"/>
          <w:vertAlign w:val="superscript"/>
          <w:lang w:val="en-GB"/>
        </w:rPr>
        <w:t>-1</w:t>
      </w:r>
      <w:r w:rsidRPr="002E72CF">
        <w:rPr>
          <w:rFonts w:cstheme="minorHAnsi"/>
          <w:sz w:val="24"/>
          <w:szCs w:val="24"/>
          <w:shd w:val="clear" w:color="auto" w:fill="FFFFFF"/>
          <w:lang w:val="en-GB"/>
        </w:rPr>
        <w:t xml:space="preserve"> with accuracy within 93.3 – 103.5 % and precision within 3.2 – 12.0 %.</w:t>
      </w:r>
      <w:r w:rsidRPr="002E72CF">
        <w:rPr>
          <w:rFonts w:cstheme="minorHAnsi"/>
          <w:sz w:val="24"/>
          <w:szCs w:val="24"/>
          <w:lang w:val="en-GB"/>
        </w:rPr>
        <w:t xml:space="preserve"> Plasma concentrations were calculated from DBS concentrations using the formula:</w:t>
      </w:r>
      <w:r w:rsidRPr="002E72CF">
        <w:rPr>
          <w:rFonts w:eastAsia="+mn-ea" w:cstheme="minorHAnsi"/>
          <w:kern w:val="24"/>
          <w:sz w:val="24"/>
          <w:szCs w:val="24"/>
          <w:lang w:val="en-GB"/>
        </w:rPr>
        <w:t xml:space="preserve"> </w:t>
      </w:r>
      <w:r w:rsidRPr="002E72CF">
        <w:rPr>
          <w:rFonts w:cstheme="minorHAnsi"/>
          <w:sz w:val="24"/>
          <w:szCs w:val="24"/>
          <w:lang w:val="en-GB"/>
        </w:rPr>
        <w:t xml:space="preserve">Plasma </w:t>
      </w:r>
      <w:r w:rsidRPr="002E72CF">
        <w:rPr>
          <w:rFonts w:cstheme="minorHAnsi"/>
          <w:sz w:val="24"/>
          <w:szCs w:val="24"/>
          <w:vertAlign w:val="subscript"/>
          <w:lang w:val="en-GB"/>
        </w:rPr>
        <w:t>(nevirapine)</w:t>
      </w:r>
      <w:r w:rsidRPr="002E72CF">
        <w:rPr>
          <w:rFonts w:cstheme="minorHAnsi"/>
          <w:sz w:val="24"/>
          <w:szCs w:val="24"/>
          <w:lang w:val="en-GB"/>
        </w:rPr>
        <w:t xml:space="preserve"> </w:t>
      </w:r>
      <w:r w:rsidRPr="002E72CF">
        <w:rPr>
          <w:rFonts w:cstheme="minorHAnsi"/>
          <w:b/>
          <w:bCs/>
          <w:sz w:val="24"/>
          <w:szCs w:val="24"/>
          <w:lang w:val="en-GB"/>
        </w:rPr>
        <w:t>=</w:t>
      </w:r>
      <w:r w:rsidRPr="002E72CF">
        <w:rPr>
          <w:rFonts w:cstheme="minorHAnsi"/>
          <w:sz w:val="24"/>
          <w:szCs w:val="24"/>
          <w:lang w:val="en-GB"/>
        </w:rPr>
        <w:t xml:space="preserve"> [{DBS </w:t>
      </w:r>
      <w:r w:rsidRPr="002E72CF">
        <w:rPr>
          <w:rFonts w:cstheme="minorHAnsi"/>
          <w:sz w:val="24"/>
          <w:szCs w:val="24"/>
          <w:vertAlign w:val="subscript"/>
          <w:lang w:val="en-GB"/>
        </w:rPr>
        <w:t>(nevirapine)</w:t>
      </w:r>
      <w:r w:rsidRPr="002E72CF">
        <w:rPr>
          <w:rFonts w:cstheme="minorHAnsi"/>
          <w:sz w:val="24"/>
          <w:szCs w:val="24"/>
          <w:lang w:val="en-GB"/>
        </w:rPr>
        <w:t xml:space="preserve"> </w:t>
      </w:r>
      <w:r w:rsidRPr="002E72CF">
        <w:rPr>
          <w:rFonts w:cstheme="minorHAnsi"/>
          <w:b/>
          <w:bCs/>
          <w:sz w:val="24"/>
          <w:szCs w:val="24"/>
          <w:lang w:val="en-GB"/>
        </w:rPr>
        <w:t>/</w:t>
      </w:r>
      <w:r w:rsidRPr="002E72CF">
        <w:rPr>
          <w:rFonts w:cstheme="minorHAnsi"/>
          <w:sz w:val="24"/>
          <w:szCs w:val="24"/>
          <w:lang w:val="en-GB"/>
        </w:rPr>
        <w:t xml:space="preserve"> (1 - HT)} × </w:t>
      </w:r>
      <w:proofErr w:type="spellStart"/>
      <w:r w:rsidRPr="002E72CF">
        <w:rPr>
          <w:rFonts w:cstheme="minorHAnsi"/>
          <w:sz w:val="24"/>
          <w:szCs w:val="24"/>
          <w:lang w:val="en-GB"/>
        </w:rPr>
        <w:t>f</w:t>
      </w:r>
      <w:r w:rsidRPr="002E72CF">
        <w:rPr>
          <w:rFonts w:cstheme="minorHAnsi"/>
          <w:sz w:val="24"/>
          <w:szCs w:val="24"/>
          <w:vertAlign w:val="subscript"/>
          <w:lang w:val="en-GB"/>
        </w:rPr>
        <w:t>bpp</w:t>
      </w:r>
      <w:proofErr w:type="spellEnd"/>
      <w:r w:rsidRPr="002E72CF">
        <w:rPr>
          <w:rFonts w:cstheme="minorHAnsi"/>
          <w:sz w:val="24"/>
          <w:szCs w:val="24"/>
          <w:lang w:val="en-GB"/>
        </w:rPr>
        <w:t xml:space="preserve">] where HT represents patient specific haematocrit value and </w:t>
      </w:r>
      <w:proofErr w:type="spellStart"/>
      <w:r w:rsidRPr="002E72CF">
        <w:rPr>
          <w:rFonts w:cstheme="minorHAnsi"/>
          <w:sz w:val="24"/>
          <w:szCs w:val="24"/>
          <w:lang w:val="en-GB"/>
        </w:rPr>
        <w:t>f</w:t>
      </w:r>
      <w:r w:rsidRPr="002E72CF">
        <w:rPr>
          <w:rFonts w:cstheme="minorHAnsi"/>
          <w:sz w:val="24"/>
          <w:szCs w:val="24"/>
          <w:vertAlign w:val="subscript"/>
          <w:lang w:val="en-GB"/>
        </w:rPr>
        <w:t>bpp</w:t>
      </w:r>
      <w:proofErr w:type="spellEnd"/>
      <w:r w:rsidRPr="002E72CF">
        <w:rPr>
          <w:rFonts w:cstheme="minorHAnsi"/>
          <w:sz w:val="24"/>
          <w:szCs w:val="24"/>
          <w:lang w:val="en-GB"/>
        </w:rPr>
        <w:t xml:space="preserve"> is the fraction of nevirapine bound to plasma proteins [40]. </w:t>
      </w:r>
    </w:p>
    <w:p w14:paraId="5CC6E948" w14:textId="77777777" w:rsidR="002E72CF" w:rsidRPr="002E72CF" w:rsidRDefault="002E72CF" w:rsidP="002E72CF">
      <w:pPr>
        <w:autoSpaceDE w:val="0"/>
        <w:autoSpaceDN w:val="0"/>
        <w:adjustRightInd w:val="0"/>
        <w:spacing w:line="480" w:lineRule="auto"/>
        <w:jc w:val="both"/>
        <w:rPr>
          <w:rFonts w:cstheme="minorHAnsi"/>
          <w:sz w:val="24"/>
          <w:szCs w:val="24"/>
          <w:lang w:val="en-GB"/>
        </w:rPr>
      </w:pPr>
      <w:r w:rsidRPr="002E72CF">
        <w:rPr>
          <w:rFonts w:cstheme="minorHAnsi"/>
          <w:sz w:val="24"/>
          <w:szCs w:val="24"/>
          <w:lang w:val="en-GB"/>
        </w:rPr>
        <w:t xml:space="preserve">Pharmacokinetic analysis of intensive pharmacokinetic data was performed with </w:t>
      </w:r>
      <w:proofErr w:type="spellStart"/>
      <w:r w:rsidRPr="002E72CF">
        <w:rPr>
          <w:rFonts w:cstheme="minorHAnsi"/>
          <w:sz w:val="24"/>
          <w:szCs w:val="24"/>
          <w:lang w:val="en-GB"/>
        </w:rPr>
        <w:t>Kinetica</w:t>
      </w:r>
      <w:proofErr w:type="spellEnd"/>
      <w:r w:rsidRPr="002E72CF">
        <w:rPr>
          <w:rFonts w:cstheme="minorHAnsi"/>
          <w:sz w:val="24"/>
          <w:szCs w:val="24"/>
          <w:lang w:val="en-GB"/>
        </w:rPr>
        <w:t xml:space="preserve">® (version 4.1 </w:t>
      </w:r>
      <w:proofErr w:type="spellStart"/>
      <w:r w:rsidRPr="002E72CF">
        <w:rPr>
          <w:rFonts w:cstheme="minorHAnsi"/>
          <w:sz w:val="24"/>
          <w:szCs w:val="24"/>
          <w:lang w:val="en-GB"/>
        </w:rPr>
        <w:t>InnaPhase</w:t>
      </w:r>
      <w:proofErr w:type="spellEnd"/>
      <w:r w:rsidRPr="002E72CF">
        <w:rPr>
          <w:rFonts w:cstheme="minorHAnsi"/>
          <w:sz w:val="24"/>
          <w:szCs w:val="24"/>
          <w:lang w:val="en-GB"/>
        </w:rPr>
        <w:t xml:space="preserve"> Corporation, Philadelphia, PA, USA) using standard non-compartmental approach. Pharmacokinetic parameters, including maximum plasma concentration (C</w:t>
      </w:r>
      <w:r w:rsidRPr="002E72CF">
        <w:rPr>
          <w:rFonts w:cstheme="minorHAnsi"/>
          <w:sz w:val="24"/>
          <w:szCs w:val="24"/>
          <w:vertAlign w:val="subscript"/>
          <w:lang w:val="en-GB"/>
        </w:rPr>
        <w:t>max</w:t>
      </w:r>
      <w:r w:rsidRPr="002E72CF">
        <w:rPr>
          <w:rFonts w:cstheme="minorHAnsi"/>
          <w:sz w:val="24"/>
          <w:szCs w:val="24"/>
          <w:lang w:val="en-GB"/>
        </w:rPr>
        <w:t>),</w:t>
      </w:r>
      <w:r w:rsidRPr="002E72CF">
        <w:rPr>
          <w:rFonts w:cstheme="minorHAnsi"/>
          <w:sz w:val="24"/>
          <w:szCs w:val="24"/>
          <w:vertAlign w:val="subscript"/>
          <w:lang w:val="en-GB"/>
        </w:rPr>
        <w:t xml:space="preserve"> </w:t>
      </w:r>
      <w:r w:rsidRPr="002E72CF">
        <w:rPr>
          <w:rFonts w:cstheme="minorHAnsi"/>
          <w:sz w:val="24"/>
          <w:szCs w:val="24"/>
          <w:lang w:val="en-GB"/>
        </w:rPr>
        <w:t>trough plasma concentration (</w:t>
      </w:r>
      <w:proofErr w:type="spellStart"/>
      <w:r w:rsidRPr="002E72CF">
        <w:rPr>
          <w:rFonts w:cstheme="minorHAnsi"/>
          <w:sz w:val="24"/>
          <w:szCs w:val="24"/>
          <w:lang w:val="en-GB"/>
        </w:rPr>
        <w:t>C</w:t>
      </w:r>
      <w:r w:rsidRPr="002E72CF">
        <w:rPr>
          <w:rFonts w:cstheme="minorHAnsi"/>
          <w:sz w:val="24"/>
          <w:szCs w:val="24"/>
          <w:vertAlign w:val="subscript"/>
          <w:lang w:val="en-GB"/>
        </w:rPr>
        <w:t>trough</w:t>
      </w:r>
      <w:proofErr w:type="spellEnd"/>
      <w:r w:rsidRPr="002E72CF">
        <w:rPr>
          <w:rFonts w:cstheme="minorHAnsi"/>
          <w:sz w:val="24"/>
          <w:szCs w:val="24"/>
          <w:lang w:val="en-GB"/>
        </w:rPr>
        <w:t>), area under the concentration-time curve (AUC</w:t>
      </w:r>
      <w:r w:rsidRPr="002E72CF">
        <w:rPr>
          <w:rFonts w:cstheme="minorHAnsi"/>
          <w:sz w:val="24"/>
          <w:szCs w:val="24"/>
          <w:vertAlign w:val="subscript"/>
          <w:lang w:val="en-GB"/>
        </w:rPr>
        <w:t>0-12</w:t>
      </w:r>
      <w:r w:rsidRPr="002E72CF">
        <w:rPr>
          <w:rFonts w:cstheme="minorHAnsi"/>
          <w:sz w:val="24"/>
          <w:szCs w:val="24"/>
          <w:lang w:val="en-GB"/>
        </w:rPr>
        <w:t>), apparent clearance (CL) and the half-life (</w:t>
      </w:r>
      <w:r w:rsidRPr="002E72CF">
        <w:rPr>
          <w:rFonts w:cstheme="minorHAnsi"/>
          <w:iCs/>
          <w:sz w:val="24"/>
          <w:szCs w:val="24"/>
          <w:lang w:val="en-GB"/>
        </w:rPr>
        <w:t>t</w:t>
      </w:r>
      <w:r w:rsidRPr="002E72CF">
        <w:rPr>
          <w:rFonts w:cstheme="minorHAnsi"/>
          <w:sz w:val="24"/>
          <w:szCs w:val="24"/>
          <w:vertAlign w:val="subscript"/>
          <w:lang w:val="en-GB"/>
        </w:rPr>
        <w:t>1/2</w:t>
      </w:r>
      <w:r w:rsidRPr="002E72CF">
        <w:rPr>
          <w:rFonts w:cstheme="minorHAnsi"/>
          <w:sz w:val="24"/>
          <w:szCs w:val="24"/>
          <w:lang w:val="en-GB"/>
        </w:rPr>
        <w:t>) were obtained from the DBS-derived plasma data.</w:t>
      </w:r>
    </w:p>
    <w:p w14:paraId="55F047DF" w14:textId="77777777" w:rsidR="002E72CF" w:rsidRPr="002E72CF" w:rsidRDefault="002E72CF" w:rsidP="002E72CF">
      <w:pPr>
        <w:spacing w:after="0" w:line="480" w:lineRule="auto"/>
        <w:jc w:val="both"/>
        <w:rPr>
          <w:rFonts w:eastAsia="Calibri" w:cstheme="minorHAnsi"/>
          <w:b/>
          <w:i/>
          <w:sz w:val="24"/>
          <w:szCs w:val="24"/>
          <w:lang w:val="en-GB"/>
        </w:rPr>
      </w:pPr>
      <w:r w:rsidRPr="002E72CF">
        <w:rPr>
          <w:rFonts w:eastAsia="Calibri" w:cstheme="minorHAnsi"/>
          <w:b/>
          <w:i/>
          <w:sz w:val="24"/>
          <w:szCs w:val="24"/>
          <w:lang w:val="en-GB"/>
        </w:rPr>
        <w:t>Statistical Analysis</w:t>
      </w:r>
    </w:p>
    <w:p w14:paraId="7E02123F" w14:textId="77777777" w:rsidR="002E72CF" w:rsidRPr="002E72CF" w:rsidRDefault="002E72CF" w:rsidP="002E72CF">
      <w:pPr>
        <w:autoSpaceDE w:val="0"/>
        <w:autoSpaceDN w:val="0"/>
        <w:adjustRightInd w:val="0"/>
        <w:spacing w:line="480" w:lineRule="auto"/>
        <w:jc w:val="both"/>
        <w:rPr>
          <w:rFonts w:cstheme="minorHAnsi"/>
          <w:sz w:val="24"/>
          <w:szCs w:val="24"/>
          <w:lang w:val="en-GB"/>
        </w:rPr>
      </w:pPr>
      <w:r w:rsidRPr="002E72CF">
        <w:rPr>
          <w:rFonts w:cstheme="minorHAnsi"/>
          <w:sz w:val="24"/>
          <w:szCs w:val="24"/>
          <w:lang w:val="en-GB"/>
        </w:rPr>
        <w:t>Genotype distributions were tested for compliance with Hardy-Weinberg Equilibrium (HWE) by calculating expected frequencies of genotypes and comparing them to the observed values using Chi Square (χ</w:t>
      </w:r>
      <w:r w:rsidRPr="002E72CF">
        <w:rPr>
          <w:rFonts w:cstheme="minorHAnsi"/>
          <w:sz w:val="24"/>
          <w:szCs w:val="24"/>
          <w:vertAlign w:val="superscript"/>
          <w:lang w:val="en-GB"/>
        </w:rPr>
        <w:t>2</w:t>
      </w:r>
      <w:r w:rsidRPr="002E72CF">
        <w:rPr>
          <w:rFonts w:cstheme="minorHAnsi"/>
          <w:sz w:val="24"/>
          <w:szCs w:val="24"/>
          <w:lang w:val="en-GB"/>
        </w:rPr>
        <w:t>)</w:t>
      </w:r>
      <w:r w:rsidRPr="002E72CF">
        <w:rPr>
          <w:rFonts w:cstheme="minorHAnsi"/>
          <w:sz w:val="24"/>
          <w:szCs w:val="24"/>
          <w:vertAlign w:val="superscript"/>
          <w:lang w:val="en-GB"/>
        </w:rPr>
        <w:t xml:space="preserve"> </w:t>
      </w:r>
      <w:r w:rsidRPr="002E72CF">
        <w:rPr>
          <w:rFonts w:cstheme="minorHAnsi"/>
          <w:sz w:val="24"/>
          <w:szCs w:val="24"/>
          <w:lang w:val="en-GB"/>
        </w:rPr>
        <w:t xml:space="preserve">test. Analysis of variance, with post hoc testing using the Tukey test, was </w:t>
      </w:r>
      <w:r w:rsidRPr="002E72CF">
        <w:rPr>
          <w:rFonts w:cstheme="minorHAnsi"/>
          <w:sz w:val="24"/>
          <w:szCs w:val="24"/>
          <w:lang w:val="en-GB"/>
        </w:rPr>
        <w:lastRenderedPageBreak/>
        <w:t>used to assess differences in plasma nevirapine concentrations among the genotypes. Statistical significance was defined as P &lt; 0.05.</w:t>
      </w:r>
    </w:p>
    <w:p w14:paraId="3082EBBB" w14:textId="77777777" w:rsidR="002E72CF" w:rsidRPr="002E72CF" w:rsidRDefault="002E72CF" w:rsidP="002E72CF">
      <w:pPr>
        <w:autoSpaceDE w:val="0"/>
        <w:autoSpaceDN w:val="0"/>
        <w:adjustRightInd w:val="0"/>
        <w:spacing w:line="480" w:lineRule="auto"/>
        <w:jc w:val="both"/>
        <w:rPr>
          <w:rFonts w:cstheme="minorHAnsi"/>
          <w:sz w:val="24"/>
          <w:szCs w:val="24"/>
          <w:lang w:val="en-GB"/>
        </w:rPr>
      </w:pPr>
      <w:r w:rsidRPr="002E72CF">
        <w:rPr>
          <w:rFonts w:cstheme="minorHAnsi"/>
          <w:sz w:val="24"/>
          <w:szCs w:val="24"/>
          <w:lang w:val="en-GB" w:eastAsia="en-GB"/>
        </w:rPr>
        <w:t>Linear regression analysis was used to evaluate associations of genetic and non-genetic factors with plasma nevirapine concentrations. Variables with P ≤ 0.10 in univariate analysis were included in multivariate analysis and patients were stratified into three groups for intensive pharmacokinetic sampling using SNPs found to be independently associated.</w:t>
      </w:r>
      <w:r w:rsidRPr="002E72CF">
        <w:rPr>
          <w:rFonts w:cstheme="minorHAnsi"/>
          <w:sz w:val="24"/>
          <w:szCs w:val="24"/>
          <w:lang w:val="en-GB"/>
        </w:rPr>
        <w:t xml:space="preserve"> The geometric mean ratio (GMR) with the associated 90% confidence interval (CI) of </w:t>
      </w:r>
      <w:r w:rsidRPr="002E72CF">
        <w:rPr>
          <w:rFonts w:eastAsia="Times New Roman" w:cstheme="minorHAnsi"/>
          <w:sz w:val="24"/>
          <w:szCs w:val="24"/>
          <w:lang w:val="en-GB" w:eastAsia="en-GB"/>
        </w:rPr>
        <w:t>nevirapine pharmacokinetic</w:t>
      </w:r>
      <w:r w:rsidRPr="002E72CF">
        <w:rPr>
          <w:rFonts w:cstheme="minorHAnsi"/>
          <w:sz w:val="24"/>
          <w:szCs w:val="24"/>
          <w:lang w:val="en-GB"/>
        </w:rPr>
        <w:t xml:space="preserve"> parameters in the presence of </w:t>
      </w:r>
      <w:r w:rsidRPr="002E72CF">
        <w:rPr>
          <w:rFonts w:eastAsia="Times New Roman" w:cstheme="minorHAnsi"/>
          <w:sz w:val="24"/>
          <w:szCs w:val="24"/>
          <w:lang w:val="en-GB" w:eastAsia="en-GB"/>
        </w:rPr>
        <w:t>artemether-lumefantrine</w:t>
      </w:r>
      <w:r w:rsidRPr="002E72CF">
        <w:rPr>
          <w:rFonts w:cstheme="minorHAnsi"/>
          <w:sz w:val="24"/>
          <w:szCs w:val="24"/>
          <w:lang w:val="en-GB"/>
        </w:rPr>
        <w:t xml:space="preserve"> (nevirapine + </w:t>
      </w:r>
      <w:r w:rsidRPr="002E72CF">
        <w:rPr>
          <w:rFonts w:eastAsia="Times New Roman" w:cstheme="minorHAnsi"/>
          <w:sz w:val="24"/>
          <w:szCs w:val="24"/>
          <w:lang w:val="en-GB" w:eastAsia="en-GB"/>
        </w:rPr>
        <w:t>artemether-lumefantrine</w:t>
      </w:r>
      <w:r w:rsidRPr="002E72CF">
        <w:rPr>
          <w:rFonts w:cstheme="minorHAnsi"/>
          <w:sz w:val="24"/>
          <w:szCs w:val="24"/>
          <w:lang w:val="en-GB"/>
        </w:rPr>
        <w:t>) to nevirapine alone was computed. Clinically significant interaction was ruled out if the entire 90% CI falls within the no effect boundary of 0.80 to 1.25 [41]. Additionally, the proportion of patients with plasma trough concentrations below 3,400 ng ml</w:t>
      </w:r>
      <w:r w:rsidRPr="002E72CF">
        <w:rPr>
          <w:rFonts w:cstheme="minorHAnsi"/>
          <w:sz w:val="24"/>
          <w:szCs w:val="24"/>
          <w:vertAlign w:val="superscript"/>
          <w:lang w:val="en-GB"/>
        </w:rPr>
        <w:t>-1</w:t>
      </w:r>
      <w:r w:rsidRPr="002E72CF">
        <w:rPr>
          <w:rFonts w:cstheme="minorHAnsi"/>
          <w:sz w:val="24"/>
          <w:szCs w:val="24"/>
          <w:lang w:val="en-GB"/>
        </w:rPr>
        <w:t xml:space="preserve">, a threshold previously associated with virological failure [42,43] is presented to further aid clinical interpretation of the drug-drug interaction data. These analyses were performed using IBM® SPSS Statistics version 20.0 (IBM, Armonk, NY, USA).  All figures were produced in GraphPad Prism® version 6.01 (GraphPad Software Inc., San Diego, CA). </w:t>
      </w:r>
    </w:p>
    <w:p w14:paraId="299A2DB1" w14:textId="77777777" w:rsidR="002E72CF" w:rsidRPr="002E72CF" w:rsidRDefault="002E72CF" w:rsidP="002E72CF">
      <w:pPr>
        <w:autoSpaceDE w:val="0"/>
        <w:autoSpaceDN w:val="0"/>
        <w:adjustRightInd w:val="0"/>
        <w:spacing w:after="0" w:line="480" w:lineRule="auto"/>
        <w:jc w:val="both"/>
        <w:rPr>
          <w:rFonts w:cstheme="minorHAnsi"/>
          <w:b/>
          <w:sz w:val="24"/>
          <w:szCs w:val="24"/>
          <w:lang w:val="en-GB"/>
        </w:rPr>
      </w:pPr>
      <w:r w:rsidRPr="002E72CF">
        <w:rPr>
          <w:rFonts w:cstheme="minorHAnsi"/>
          <w:b/>
          <w:sz w:val="24"/>
          <w:szCs w:val="24"/>
          <w:lang w:val="en-GB"/>
        </w:rPr>
        <w:t>Results</w:t>
      </w:r>
    </w:p>
    <w:p w14:paraId="1AD7A117" w14:textId="77777777" w:rsidR="002E72CF" w:rsidRPr="002E72CF" w:rsidRDefault="002E72CF" w:rsidP="002E72CF">
      <w:pPr>
        <w:autoSpaceDE w:val="0"/>
        <w:autoSpaceDN w:val="0"/>
        <w:adjustRightInd w:val="0"/>
        <w:spacing w:after="0" w:line="480" w:lineRule="auto"/>
        <w:jc w:val="both"/>
        <w:rPr>
          <w:rFonts w:cstheme="minorHAnsi"/>
          <w:b/>
          <w:i/>
          <w:sz w:val="24"/>
          <w:szCs w:val="24"/>
          <w:lang w:val="en-GB"/>
        </w:rPr>
      </w:pPr>
      <w:r w:rsidRPr="002E72CF">
        <w:rPr>
          <w:rFonts w:cstheme="minorHAnsi"/>
          <w:b/>
          <w:i/>
          <w:sz w:val="24"/>
          <w:szCs w:val="24"/>
          <w:lang w:val="en-GB"/>
        </w:rPr>
        <w:t>Patients’ Demographics</w:t>
      </w:r>
    </w:p>
    <w:p w14:paraId="5D4BB543" w14:textId="77777777" w:rsidR="002E72CF" w:rsidRPr="002E72CF" w:rsidRDefault="002E72CF" w:rsidP="002E72CF">
      <w:pPr>
        <w:autoSpaceDE w:val="0"/>
        <w:autoSpaceDN w:val="0"/>
        <w:adjustRightInd w:val="0"/>
        <w:spacing w:line="480" w:lineRule="auto"/>
        <w:jc w:val="both"/>
        <w:rPr>
          <w:rFonts w:cstheme="minorHAnsi"/>
          <w:sz w:val="24"/>
          <w:szCs w:val="24"/>
          <w:lang w:val="en-GB" w:eastAsia="en-GB"/>
        </w:rPr>
      </w:pPr>
      <w:r w:rsidRPr="002E72CF">
        <w:rPr>
          <w:rFonts w:cstheme="minorHAnsi"/>
          <w:sz w:val="24"/>
          <w:szCs w:val="24"/>
          <w:lang w:val="en-GB"/>
        </w:rPr>
        <w:t xml:space="preserve">One hundred and fifty (150) HIV-infected patients on nevirapine-containing regimens were enrolled in the first stage of the study. Patients’ baseline characteristics are summarised in Table 1. </w:t>
      </w:r>
      <w:r w:rsidRPr="002E72CF">
        <w:rPr>
          <w:rFonts w:cstheme="minorHAnsi"/>
          <w:sz w:val="24"/>
          <w:szCs w:val="24"/>
          <w:lang w:val="en-GB" w:eastAsia="en-GB"/>
        </w:rPr>
        <w:t>The mean (standard deviation) age of the patients was 39.79 (9.66) years, weight was 62.38 (14.32) kg, body mass index (BMI) was 23.57 (4.86) kg/m</w:t>
      </w:r>
      <w:r w:rsidRPr="002E72CF">
        <w:rPr>
          <w:rFonts w:cstheme="minorHAnsi"/>
          <w:sz w:val="24"/>
          <w:szCs w:val="24"/>
          <w:vertAlign w:val="superscript"/>
          <w:lang w:val="en-GB" w:eastAsia="en-GB"/>
        </w:rPr>
        <w:t>2</w:t>
      </w:r>
      <w:r w:rsidRPr="002E72CF">
        <w:rPr>
          <w:rFonts w:cstheme="minorHAnsi"/>
          <w:sz w:val="24"/>
          <w:szCs w:val="24"/>
          <w:lang w:val="en-GB" w:eastAsia="en-GB"/>
        </w:rPr>
        <w:t xml:space="preserve"> and haematocrit was 0.36 (0.004). Most of the patients were female (72%), Yoruba by tribe (83%) and taking zidovudine </w:t>
      </w:r>
      <w:r w:rsidRPr="002E72CF">
        <w:rPr>
          <w:rFonts w:cstheme="minorHAnsi"/>
          <w:sz w:val="24"/>
          <w:szCs w:val="24"/>
          <w:lang w:val="en-GB" w:eastAsia="en-GB"/>
        </w:rPr>
        <w:lastRenderedPageBreak/>
        <w:t xml:space="preserve">and lamivudine (85%) in combination with nevirapine. The average duration on therapy was 3.04 (2.41) years. </w:t>
      </w:r>
    </w:p>
    <w:p w14:paraId="3C75B73D" w14:textId="77777777" w:rsidR="002E72CF" w:rsidRPr="002E72CF" w:rsidRDefault="002E72CF" w:rsidP="002E72CF">
      <w:pPr>
        <w:autoSpaceDE w:val="0"/>
        <w:autoSpaceDN w:val="0"/>
        <w:adjustRightInd w:val="0"/>
        <w:spacing w:before="240" w:after="0" w:line="480" w:lineRule="auto"/>
        <w:jc w:val="both"/>
        <w:rPr>
          <w:rFonts w:cstheme="minorHAnsi"/>
          <w:b/>
          <w:i/>
          <w:sz w:val="24"/>
          <w:szCs w:val="24"/>
          <w:lang w:val="en-GB" w:eastAsia="en-GB"/>
        </w:rPr>
      </w:pPr>
      <w:r w:rsidRPr="002E72CF">
        <w:rPr>
          <w:rFonts w:cstheme="minorHAnsi"/>
          <w:b/>
          <w:i/>
          <w:sz w:val="24"/>
          <w:szCs w:val="24"/>
          <w:lang w:val="en-GB" w:eastAsia="en-GB"/>
        </w:rPr>
        <w:t>Allele and Genotype Frequencies</w:t>
      </w:r>
    </w:p>
    <w:p w14:paraId="0B036838" w14:textId="77777777" w:rsidR="002E72CF" w:rsidRPr="002E72CF" w:rsidRDefault="002E72CF" w:rsidP="002E72CF">
      <w:pPr>
        <w:autoSpaceDE w:val="0"/>
        <w:autoSpaceDN w:val="0"/>
        <w:adjustRightInd w:val="0"/>
        <w:spacing w:line="480" w:lineRule="auto"/>
        <w:jc w:val="both"/>
        <w:rPr>
          <w:rFonts w:cstheme="minorHAnsi"/>
          <w:sz w:val="24"/>
          <w:szCs w:val="24"/>
          <w:lang w:val="en-GB" w:eastAsia="en-GB"/>
        </w:rPr>
      </w:pPr>
      <w:r w:rsidRPr="002E72CF">
        <w:rPr>
          <w:rFonts w:cstheme="minorHAnsi"/>
          <w:sz w:val="24"/>
          <w:szCs w:val="24"/>
          <w:lang w:val="en-GB" w:eastAsia="en-GB"/>
        </w:rPr>
        <w:t>The allele and genotype frequencies of the seven SNPs in the study population are shown in Supplementary Table 1. Comparison of observed vs. expected genotype frequencies showed that all SNPs were in Hardy-Weinberg Equilibrium (</w:t>
      </w:r>
      <w:r w:rsidRPr="002E72CF">
        <w:rPr>
          <w:rFonts w:cstheme="minorHAnsi"/>
          <w:i/>
          <w:sz w:val="24"/>
          <w:szCs w:val="24"/>
          <w:lang w:val="en-GB" w:eastAsia="en-GB"/>
        </w:rPr>
        <w:t>P</w:t>
      </w:r>
      <w:r w:rsidRPr="002E72CF">
        <w:rPr>
          <w:rFonts w:cstheme="minorHAnsi"/>
          <w:sz w:val="24"/>
          <w:szCs w:val="24"/>
          <w:lang w:val="en-GB" w:eastAsia="en-GB"/>
        </w:rPr>
        <w:t xml:space="preserve"> &gt; 0.05). There were no homozygote carriers of the rare </w:t>
      </w:r>
      <w:r w:rsidRPr="002E72CF">
        <w:rPr>
          <w:rFonts w:cstheme="minorHAnsi"/>
          <w:i/>
          <w:iCs/>
          <w:sz w:val="24"/>
          <w:szCs w:val="24"/>
          <w:lang w:val="en-GB" w:eastAsia="en-GB"/>
        </w:rPr>
        <w:t xml:space="preserve">CYP2B6 </w:t>
      </w:r>
      <w:r w:rsidRPr="002E72CF">
        <w:rPr>
          <w:rFonts w:cstheme="minorHAnsi"/>
          <w:iCs/>
          <w:sz w:val="24"/>
          <w:szCs w:val="24"/>
          <w:lang w:val="en-GB" w:eastAsia="en-GB"/>
        </w:rPr>
        <w:t>c.</w:t>
      </w:r>
      <w:r w:rsidRPr="002E72CF">
        <w:rPr>
          <w:rFonts w:cstheme="minorHAnsi"/>
          <w:sz w:val="24"/>
          <w:szCs w:val="24"/>
          <w:lang w:val="en-GB" w:eastAsia="en-GB"/>
        </w:rPr>
        <w:t xml:space="preserve">983C and </w:t>
      </w:r>
      <w:r w:rsidRPr="002E72CF">
        <w:rPr>
          <w:rFonts w:cstheme="minorHAnsi"/>
          <w:i/>
          <w:sz w:val="24"/>
          <w:szCs w:val="24"/>
          <w:lang w:val="en-GB" w:eastAsia="en-GB"/>
        </w:rPr>
        <w:t>CYP3A4</w:t>
      </w:r>
      <w:r w:rsidRPr="002E72CF">
        <w:rPr>
          <w:rFonts w:cstheme="minorHAnsi"/>
          <w:sz w:val="24"/>
          <w:szCs w:val="24"/>
          <w:lang w:val="en-GB" w:eastAsia="en-GB"/>
        </w:rPr>
        <w:t xml:space="preserve"> c.522-191T alleles. </w:t>
      </w:r>
      <w:r w:rsidRPr="002E72CF">
        <w:rPr>
          <w:rFonts w:cstheme="minorHAnsi"/>
          <w:i/>
          <w:sz w:val="24"/>
          <w:szCs w:val="24"/>
          <w:lang w:val="en-GB" w:eastAsia="en-GB"/>
        </w:rPr>
        <w:t>CYP2B6</w:t>
      </w:r>
      <w:r w:rsidRPr="002E72CF">
        <w:rPr>
          <w:rFonts w:cstheme="minorHAnsi"/>
          <w:sz w:val="24"/>
          <w:szCs w:val="24"/>
          <w:lang w:val="en-GB" w:eastAsia="en-GB"/>
        </w:rPr>
        <w:t xml:space="preserve"> c.516G&gt;T was strongly correlated with </w:t>
      </w:r>
      <w:r w:rsidRPr="002E72CF">
        <w:rPr>
          <w:rFonts w:cstheme="minorHAnsi"/>
          <w:i/>
          <w:sz w:val="24"/>
          <w:szCs w:val="24"/>
          <w:lang w:val="en-GB" w:eastAsia="en-GB"/>
        </w:rPr>
        <w:t>CYP2B6</w:t>
      </w:r>
      <w:r w:rsidRPr="002E72CF">
        <w:rPr>
          <w:rFonts w:cstheme="minorHAnsi"/>
          <w:sz w:val="24"/>
          <w:szCs w:val="24"/>
          <w:lang w:val="en-GB" w:eastAsia="en-GB"/>
        </w:rPr>
        <w:t xml:space="preserve"> c.785A&gt;G (</w:t>
      </w:r>
      <w:r w:rsidRPr="002E72CF">
        <w:rPr>
          <w:rFonts w:cstheme="minorHAnsi"/>
          <w:i/>
          <w:sz w:val="24"/>
          <w:szCs w:val="24"/>
          <w:lang w:val="en-GB" w:eastAsia="en-GB"/>
        </w:rPr>
        <w:t>P</w:t>
      </w:r>
      <w:r w:rsidRPr="002E72CF">
        <w:rPr>
          <w:rFonts w:cstheme="minorHAnsi"/>
          <w:sz w:val="24"/>
          <w:szCs w:val="24"/>
          <w:lang w:val="en-GB" w:eastAsia="en-GB"/>
        </w:rPr>
        <w:t xml:space="preserve"> = 1 x 10</w:t>
      </w:r>
      <w:r w:rsidRPr="002E72CF">
        <w:rPr>
          <w:rFonts w:cstheme="minorHAnsi"/>
          <w:sz w:val="24"/>
          <w:szCs w:val="24"/>
          <w:vertAlign w:val="superscript"/>
          <w:lang w:val="en-GB" w:eastAsia="en-GB"/>
        </w:rPr>
        <w:t>-7</w:t>
      </w:r>
      <w:r w:rsidRPr="002E72CF">
        <w:rPr>
          <w:rFonts w:cstheme="minorHAnsi"/>
          <w:sz w:val="24"/>
          <w:szCs w:val="24"/>
          <w:lang w:val="en-GB" w:eastAsia="en-GB"/>
        </w:rPr>
        <w:t>); no apparent associations between other SNPs were observed.</w:t>
      </w:r>
    </w:p>
    <w:p w14:paraId="1CC1E3A5" w14:textId="77777777" w:rsidR="002E72CF" w:rsidRPr="002E72CF" w:rsidRDefault="002E72CF" w:rsidP="002E72CF">
      <w:pPr>
        <w:autoSpaceDE w:val="0"/>
        <w:autoSpaceDN w:val="0"/>
        <w:adjustRightInd w:val="0"/>
        <w:spacing w:before="240" w:after="0" w:line="480" w:lineRule="auto"/>
        <w:jc w:val="both"/>
        <w:rPr>
          <w:rFonts w:cstheme="minorHAnsi"/>
          <w:b/>
          <w:i/>
          <w:sz w:val="24"/>
          <w:szCs w:val="24"/>
          <w:lang w:val="en-GB" w:eastAsia="en-GB"/>
        </w:rPr>
      </w:pPr>
      <w:r w:rsidRPr="002E72CF">
        <w:rPr>
          <w:rFonts w:cstheme="minorHAnsi"/>
          <w:b/>
          <w:i/>
          <w:sz w:val="24"/>
          <w:szCs w:val="24"/>
          <w:lang w:val="en-GB" w:eastAsia="en-GB"/>
        </w:rPr>
        <w:t>Association of SNPs in Nevirapine Disposition Genes with its Plasma Concentrations</w:t>
      </w:r>
    </w:p>
    <w:p w14:paraId="5546E65D" w14:textId="77777777" w:rsidR="002E72CF" w:rsidRPr="002E72CF" w:rsidRDefault="002E72CF" w:rsidP="002E72CF">
      <w:pPr>
        <w:autoSpaceDE w:val="0"/>
        <w:autoSpaceDN w:val="0"/>
        <w:adjustRightInd w:val="0"/>
        <w:spacing w:line="480" w:lineRule="auto"/>
        <w:jc w:val="both"/>
        <w:rPr>
          <w:rFonts w:cstheme="minorHAnsi"/>
          <w:sz w:val="24"/>
          <w:szCs w:val="24"/>
          <w:lang w:val="en-GB" w:eastAsia="en-GB"/>
        </w:rPr>
      </w:pPr>
      <w:r w:rsidRPr="002E72CF">
        <w:rPr>
          <w:rFonts w:cstheme="minorHAnsi"/>
          <w:sz w:val="24"/>
          <w:szCs w:val="24"/>
          <w:lang w:val="en-GB" w:eastAsia="en-GB"/>
        </w:rPr>
        <w:t xml:space="preserve">Seven patients with DBS nevirapine concentration below the </w:t>
      </w:r>
      <w:proofErr w:type="gramStart"/>
      <w:r w:rsidRPr="002E72CF">
        <w:rPr>
          <w:rFonts w:cstheme="minorHAnsi"/>
          <w:sz w:val="24"/>
          <w:szCs w:val="24"/>
          <w:lang w:val="en-GB" w:eastAsia="en-GB"/>
        </w:rPr>
        <w:t>50 ng</w:t>
      </w:r>
      <w:proofErr w:type="gramEnd"/>
      <w:r w:rsidRPr="002E72CF">
        <w:rPr>
          <w:rFonts w:cstheme="minorHAnsi"/>
          <w:sz w:val="24"/>
          <w:szCs w:val="24"/>
          <w:lang w:val="en-GB" w:eastAsia="en-GB"/>
        </w:rPr>
        <w:t xml:space="preserve"> ml</w:t>
      </w:r>
      <w:r w:rsidRPr="002E72CF">
        <w:rPr>
          <w:rFonts w:cstheme="minorHAnsi"/>
          <w:sz w:val="24"/>
          <w:szCs w:val="24"/>
          <w:vertAlign w:val="superscript"/>
          <w:lang w:val="en-GB" w:eastAsia="en-GB"/>
        </w:rPr>
        <w:t>-1</w:t>
      </w:r>
      <w:r w:rsidRPr="002E72CF">
        <w:rPr>
          <w:rFonts w:cstheme="minorHAnsi"/>
          <w:sz w:val="24"/>
          <w:szCs w:val="24"/>
          <w:lang w:val="en-GB" w:eastAsia="en-GB"/>
        </w:rPr>
        <w:t xml:space="preserve"> assay quantification limit were deemed non-adherent and excluded from subsequent analysis. There was considerable inter-individual variability in the DBS-derived plasma nevirapine concentrations ranging from 1,100 ng ml</w:t>
      </w:r>
      <w:r w:rsidRPr="002E72CF">
        <w:rPr>
          <w:rFonts w:cstheme="minorHAnsi"/>
          <w:sz w:val="24"/>
          <w:szCs w:val="24"/>
          <w:vertAlign w:val="superscript"/>
          <w:lang w:val="en-GB" w:eastAsia="en-GB"/>
        </w:rPr>
        <w:t>-1</w:t>
      </w:r>
      <w:r w:rsidRPr="002E72CF">
        <w:rPr>
          <w:rFonts w:cstheme="minorHAnsi"/>
          <w:sz w:val="24"/>
          <w:szCs w:val="24"/>
          <w:lang w:val="en-GB" w:eastAsia="en-GB"/>
        </w:rPr>
        <w:t xml:space="preserve"> to 13,455 ng ml</w:t>
      </w:r>
      <w:r w:rsidRPr="002E72CF">
        <w:rPr>
          <w:rFonts w:cstheme="minorHAnsi"/>
          <w:sz w:val="24"/>
          <w:szCs w:val="24"/>
          <w:vertAlign w:val="superscript"/>
          <w:lang w:val="en-GB" w:eastAsia="en-GB"/>
        </w:rPr>
        <w:t>-1</w:t>
      </w:r>
      <w:r w:rsidRPr="002E72CF">
        <w:rPr>
          <w:rFonts w:cstheme="minorHAnsi"/>
          <w:sz w:val="24"/>
          <w:szCs w:val="24"/>
          <w:lang w:val="en-GB" w:eastAsia="en-GB"/>
        </w:rPr>
        <w:t xml:space="preserve"> with geometric mean of 4,884 ng ml</w:t>
      </w:r>
      <w:r w:rsidRPr="002E72CF">
        <w:rPr>
          <w:rFonts w:cstheme="minorHAnsi"/>
          <w:sz w:val="24"/>
          <w:szCs w:val="24"/>
          <w:vertAlign w:val="superscript"/>
          <w:lang w:val="en-GB" w:eastAsia="en-GB"/>
        </w:rPr>
        <w:t>-1</w:t>
      </w:r>
      <w:r w:rsidRPr="002E72CF">
        <w:rPr>
          <w:rFonts w:cstheme="minorHAnsi"/>
          <w:sz w:val="24"/>
          <w:szCs w:val="24"/>
          <w:lang w:val="en-GB" w:eastAsia="en-GB"/>
        </w:rPr>
        <w:t xml:space="preserve">. The linear regression analysis of the sparse pharmacokinetic data using unstandardized beta regression coefficients (β) as a measure of magnitude of effect size, showed that </w:t>
      </w:r>
      <w:r w:rsidRPr="002E72CF">
        <w:rPr>
          <w:rFonts w:cstheme="minorHAnsi"/>
          <w:i/>
          <w:sz w:val="24"/>
          <w:szCs w:val="24"/>
          <w:lang w:val="en-GB" w:eastAsia="en-GB"/>
        </w:rPr>
        <w:t>CYP2B6</w:t>
      </w:r>
      <w:r w:rsidRPr="002E72CF">
        <w:rPr>
          <w:rFonts w:cstheme="minorHAnsi"/>
          <w:sz w:val="24"/>
          <w:szCs w:val="24"/>
          <w:lang w:val="en-GB" w:eastAsia="en-GB"/>
        </w:rPr>
        <w:t xml:space="preserve"> c.983T&gt;C, c.516G&gt;T, and gender were independently associated after correction for multiple testing with β (90% CI) of 1,459 ng ml</w:t>
      </w:r>
      <w:r w:rsidRPr="002E72CF">
        <w:rPr>
          <w:rFonts w:cstheme="minorHAnsi"/>
          <w:sz w:val="24"/>
          <w:szCs w:val="24"/>
          <w:vertAlign w:val="superscript"/>
          <w:lang w:val="en-GB" w:eastAsia="en-GB"/>
        </w:rPr>
        <w:t>-1</w:t>
      </w:r>
      <w:r w:rsidRPr="002E72CF">
        <w:rPr>
          <w:rFonts w:cstheme="minorHAnsi"/>
          <w:sz w:val="24"/>
          <w:szCs w:val="24"/>
          <w:lang w:val="en-GB" w:eastAsia="en-GB"/>
        </w:rPr>
        <w:t xml:space="preserve"> (675, 2243); 805 ng ml</w:t>
      </w:r>
      <w:r w:rsidRPr="002E72CF">
        <w:rPr>
          <w:rFonts w:cstheme="minorHAnsi"/>
          <w:sz w:val="24"/>
          <w:szCs w:val="24"/>
          <w:vertAlign w:val="superscript"/>
          <w:lang w:val="en-GB" w:eastAsia="en-GB"/>
        </w:rPr>
        <w:t>-1</w:t>
      </w:r>
      <w:r w:rsidRPr="002E72CF">
        <w:rPr>
          <w:rFonts w:cstheme="minorHAnsi"/>
          <w:sz w:val="24"/>
          <w:szCs w:val="24"/>
          <w:lang w:val="en-GB" w:eastAsia="en-GB"/>
        </w:rPr>
        <w:t xml:space="preserve"> (414, 1197), and -1,298 ng ml</w:t>
      </w:r>
      <w:r w:rsidRPr="002E72CF">
        <w:rPr>
          <w:rFonts w:cstheme="minorHAnsi"/>
          <w:sz w:val="24"/>
          <w:szCs w:val="24"/>
          <w:vertAlign w:val="superscript"/>
          <w:lang w:val="en-GB" w:eastAsia="en-GB"/>
        </w:rPr>
        <w:t xml:space="preserve">-1 </w:t>
      </w:r>
      <w:r w:rsidRPr="002E72CF">
        <w:rPr>
          <w:rFonts w:cstheme="minorHAnsi"/>
          <w:sz w:val="24"/>
          <w:szCs w:val="24"/>
          <w:lang w:val="en-GB" w:eastAsia="en-GB"/>
        </w:rPr>
        <w:t>(-1923, -673), respectively (Table 2). No significant association was observed with the other SNPs.</w:t>
      </w:r>
    </w:p>
    <w:p w14:paraId="1C006B2F" w14:textId="77777777" w:rsidR="002E72CF" w:rsidRPr="002E72CF" w:rsidRDefault="002E72CF" w:rsidP="002E72CF">
      <w:pPr>
        <w:autoSpaceDE w:val="0"/>
        <w:autoSpaceDN w:val="0"/>
        <w:adjustRightInd w:val="0"/>
        <w:spacing w:line="480" w:lineRule="auto"/>
        <w:jc w:val="both"/>
        <w:rPr>
          <w:rFonts w:cstheme="minorHAnsi"/>
          <w:sz w:val="24"/>
          <w:szCs w:val="24"/>
          <w:lang w:val="en-GB" w:eastAsia="en-GB"/>
        </w:rPr>
      </w:pPr>
      <w:r w:rsidRPr="002E72CF">
        <w:rPr>
          <w:rFonts w:cstheme="minorHAnsi"/>
          <w:sz w:val="24"/>
          <w:szCs w:val="24"/>
          <w:lang w:val="en-GB" w:eastAsia="en-GB"/>
        </w:rPr>
        <w:t xml:space="preserve">Tukey HSD Post Hoc multiple comparisons, indicated significant differences in plasma nevirapine concentrations between </w:t>
      </w:r>
      <w:r w:rsidRPr="002E72CF">
        <w:rPr>
          <w:rFonts w:cstheme="minorHAnsi"/>
          <w:i/>
          <w:sz w:val="24"/>
          <w:szCs w:val="24"/>
          <w:lang w:val="en-GB" w:eastAsia="en-GB"/>
        </w:rPr>
        <w:t>CYP2B6</w:t>
      </w:r>
      <w:r w:rsidRPr="002E72CF">
        <w:rPr>
          <w:rFonts w:cstheme="minorHAnsi"/>
          <w:sz w:val="24"/>
          <w:szCs w:val="24"/>
          <w:lang w:val="en-GB" w:eastAsia="en-GB"/>
        </w:rPr>
        <w:t xml:space="preserve"> c.516G&gt;T and c.983T&gt;C genotypes (Figure 1A and C). Also, males had significantly higher nevirapine concentrations than females (P = 0.002) at 5,820 (2,359) vs. 4,563 (2,051) ng ml</w:t>
      </w:r>
      <w:r w:rsidRPr="002E72CF">
        <w:rPr>
          <w:rFonts w:cstheme="minorHAnsi"/>
          <w:sz w:val="24"/>
          <w:szCs w:val="24"/>
          <w:vertAlign w:val="superscript"/>
          <w:lang w:val="en-GB" w:eastAsia="en-GB"/>
        </w:rPr>
        <w:t>-1</w:t>
      </w:r>
      <w:r w:rsidRPr="002E72CF">
        <w:rPr>
          <w:rFonts w:cstheme="minorHAnsi"/>
          <w:sz w:val="24"/>
          <w:szCs w:val="24"/>
          <w:lang w:val="en-GB" w:eastAsia="en-GB"/>
        </w:rPr>
        <w:t xml:space="preserve">, respectively (Figure 1D). </w:t>
      </w:r>
    </w:p>
    <w:p w14:paraId="571CA50B" w14:textId="77777777" w:rsidR="002E72CF" w:rsidRPr="002E72CF" w:rsidRDefault="002E72CF" w:rsidP="002E72CF">
      <w:pPr>
        <w:autoSpaceDE w:val="0"/>
        <w:autoSpaceDN w:val="0"/>
        <w:adjustRightInd w:val="0"/>
        <w:spacing w:line="480" w:lineRule="auto"/>
        <w:jc w:val="both"/>
        <w:rPr>
          <w:rFonts w:cstheme="minorHAnsi"/>
          <w:sz w:val="24"/>
          <w:szCs w:val="24"/>
          <w:lang w:val="en-GB" w:eastAsia="en-GB"/>
        </w:rPr>
      </w:pPr>
      <w:bookmarkStart w:id="5" w:name="_Hlk484185101"/>
      <w:r w:rsidRPr="002E72CF">
        <w:rPr>
          <w:rFonts w:cstheme="minorHAnsi"/>
          <w:sz w:val="24"/>
          <w:szCs w:val="24"/>
          <w:lang w:val="en-GB" w:eastAsia="en-GB"/>
        </w:rPr>
        <w:lastRenderedPageBreak/>
        <w:t xml:space="preserve">Therefore, composite </w:t>
      </w:r>
      <w:r w:rsidRPr="002E72CF">
        <w:rPr>
          <w:rFonts w:cstheme="minorHAnsi"/>
          <w:i/>
          <w:sz w:val="24"/>
          <w:szCs w:val="24"/>
          <w:lang w:val="en-GB" w:eastAsia="en-GB"/>
        </w:rPr>
        <w:t>CYP2B6</w:t>
      </w:r>
      <w:r w:rsidRPr="002E72CF">
        <w:rPr>
          <w:rFonts w:cstheme="minorHAnsi"/>
          <w:sz w:val="24"/>
          <w:szCs w:val="24"/>
          <w:lang w:val="en-GB" w:eastAsia="en-GB"/>
        </w:rPr>
        <w:t xml:space="preserve"> c.516G&gt;T and c.983T&gt;C were used to stratify patients into three groups based on the total number of variant alleles carried: - extensive metabolisers (EMs, no variant allele), intermediate metabolisers (IMs, a one variant allele) and poor metabolisers (PMs, two or more variant alleles).</w:t>
      </w:r>
      <w:bookmarkStart w:id="6" w:name="_Hlk484185019"/>
      <w:bookmarkEnd w:id="5"/>
    </w:p>
    <w:p w14:paraId="00F46EF7" w14:textId="77777777" w:rsidR="002E72CF" w:rsidRPr="002E72CF" w:rsidRDefault="002E72CF" w:rsidP="002E72CF">
      <w:pPr>
        <w:autoSpaceDE w:val="0"/>
        <w:autoSpaceDN w:val="0"/>
        <w:adjustRightInd w:val="0"/>
        <w:spacing w:after="0" w:line="480" w:lineRule="auto"/>
        <w:jc w:val="both"/>
        <w:rPr>
          <w:rFonts w:cstheme="minorHAnsi"/>
          <w:b/>
          <w:i/>
          <w:iCs/>
          <w:sz w:val="24"/>
          <w:szCs w:val="24"/>
          <w:lang w:val="en-GB" w:eastAsia="en-GB"/>
        </w:rPr>
      </w:pPr>
      <w:r w:rsidRPr="002E72CF">
        <w:rPr>
          <w:rFonts w:cstheme="minorHAnsi"/>
          <w:b/>
          <w:i/>
          <w:sz w:val="24"/>
          <w:szCs w:val="24"/>
          <w:lang w:val="en-GB" w:eastAsia="en-GB"/>
        </w:rPr>
        <w:t>Pharmacokinetics of Nevirapine Alone and with Artemether-Lumefantrine in Extensive Versus Poor Metabolisers</w:t>
      </w:r>
    </w:p>
    <w:bookmarkEnd w:id="6"/>
    <w:p w14:paraId="3C51B6A6" w14:textId="77777777" w:rsidR="002E72CF" w:rsidRPr="002E72CF" w:rsidRDefault="002E72CF" w:rsidP="002E72CF">
      <w:pPr>
        <w:autoSpaceDE w:val="0"/>
        <w:autoSpaceDN w:val="0"/>
        <w:adjustRightInd w:val="0"/>
        <w:spacing w:line="480" w:lineRule="auto"/>
        <w:jc w:val="both"/>
        <w:rPr>
          <w:rFonts w:cstheme="minorHAnsi"/>
          <w:sz w:val="24"/>
          <w:szCs w:val="24"/>
          <w:lang w:val="en-GB" w:eastAsia="en-GB"/>
        </w:rPr>
      </w:pPr>
      <w:r w:rsidRPr="002E72CF">
        <w:rPr>
          <w:rFonts w:cstheme="minorHAnsi"/>
          <w:sz w:val="24"/>
          <w:szCs w:val="24"/>
          <w:lang w:val="en-GB" w:eastAsia="en-GB"/>
        </w:rPr>
        <w:t xml:space="preserve">A total of 30 patients (12 extensive metabolisers, 3 intermediate and 15 poor metabolisers) were included in the intensive pharmacokinetic sampling and they contributed 480 nevirapine concentrations. A poor metaboliser patient was excluded due to non-adherence to the sample collection time points. The plasma concentration-time profiles of nevirapine alone vs. when co-administered with artemether-lumefantrine in all 29 patients, and when stratified based on their metabolic status are presented in Figure 2. The associated pharmacokinetic parameters are presented in Table 3. When the influence of </w:t>
      </w:r>
      <w:r w:rsidRPr="002E72CF">
        <w:rPr>
          <w:rFonts w:eastAsia="Times New Roman" w:cstheme="minorHAnsi"/>
          <w:sz w:val="24"/>
          <w:szCs w:val="24"/>
          <w:lang w:val="en-GB" w:eastAsia="en-GB"/>
        </w:rPr>
        <w:t>artemether-lumefantrine</w:t>
      </w:r>
      <w:r w:rsidRPr="002E72CF">
        <w:rPr>
          <w:rFonts w:cstheme="minorHAnsi"/>
          <w:sz w:val="24"/>
          <w:szCs w:val="24"/>
          <w:lang w:val="en-GB" w:eastAsia="en-GB"/>
        </w:rPr>
        <w:t xml:space="preserve"> on nevirapine pharmacokinetics was considered in all the patients, 9% and 7% statistically significant decreases in C</w:t>
      </w:r>
      <w:r w:rsidRPr="002E72CF">
        <w:rPr>
          <w:rFonts w:cstheme="minorHAnsi"/>
          <w:sz w:val="24"/>
          <w:szCs w:val="24"/>
          <w:vertAlign w:val="subscript"/>
          <w:lang w:val="en-GB" w:eastAsia="en-GB"/>
        </w:rPr>
        <w:t>max</w:t>
      </w:r>
      <w:r w:rsidRPr="002E72CF">
        <w:rPr>
          <w:rFonts w:cstheme="minorHAnsi"/>
          <w:sz w:val="24"/>
          <w:szCs w:val="24"/>
          <w:lang w:val="en-GB" w:eastAsia="en-GB"/>
        </w:rPr>
        <w:t xml:space="preserve"> and AUC</w:t>
      </w:r>
      <w:r w:rsidRPr="002E72CF">
        <w:rPr>
          <w:rFonts w:cstheme="minorHAnsi"/>
          <w:sz w:val="24"/>
          <w:szCs w:val="24"/>
          <w:vertAlign w:val="subscript"/>
          <w:lang w:val="en-GB" w:eastAsia="en-GB"/>
        </w:rPr>
        <w:t>0-12</w:t>
      </w:r>
      <w:r w:rsidRPr="002E72CF">
        <w:rPr>
          <w:rFonts w:cstheme="minorHAnsi"/>
          <w:sz w:val="24"/>
          <w:szCs w:val="24"/>
          <w:lang w:val="en-GB" w:eastAsia="en-GB"/>
        </w:rPr>
        <w:t xml:space="preserve"> (P &lt; 0.05) were observed although the changes did not reach the previously established, clinically significant threshold as the 90% CI of GMRs fell within the no effect boundary of 0.80 – 1.25 for both the C</w:t>
      </w:r>
      <w:r w:rsidRPr="002E72CF">
        <w:rPr>
          <w:rFonts w:cstheme="minorHAnsi"/>
          <w:sz w:val="24"/>
          <w:szCs w:val="24"/>
          <w:vertAlign w:val="subscript"/>
          <w:lang w:val="en-GB" w:eastAsia="en-GB"/>
        </w:rPr>
        <w:t>max</w:t>
      </w:r>
      <w:r w:rsidRPr="002E72CF">
        <w:rPr>
          <w:rFonts w:cstheme="minorHAnsi"/>
          <w:sz w:val="24"/>
          <w:szCs w:val="24"/>
          <w:lang w:val="en-GB" w:eastAsia="en-GB"/>
        </w:rPr>
        <w:t xml:space="preserve">  [0.91 (0.87 - 0.95)] and AUC</w:t>
      </w:r>
      <w:r w:rsidRPr="002E72CF">
        <w:rPr>
          <w:rFonts w:cstheme="minorHAnsi"/>
          <w:sz w:val="24"/>
          <w:szCs w:val="24"/>
          <w:vertAlign w:val="subscript"/>
          <w:lang w:val="en-GB" w:eastAsia="en-GB"/>
        </w:rPr>
        <w:t>0-12</w:t>
      </w:r>
      <w:r w:rsidRPr="002E72CF">
        <w:rPr>
          <w:rFonts w:cstheme="minorHAnsi"/>
          <w:sz w:val="24"/>
          <w:szCs w:val="24"/>
          <w:lang w:val="en-GB" w:eastAsia="en-GB"/>
        </w:rPr>
        <w:t xml:space="preserve"> [0.93 (0.90 - 0.96)] when values obtained in the presence of </w:t>
      </w:r>
      <w:r w:rsidRPr="002E72CF">
        <w:rPr>
          <w:rFonts w:eastAsia="Times New Roman" w:cstheme="minorHAnsi"/>
          <w:sz w:val="24"/>
          <w:szCs w:val="24"/>
          <w:lang w:val="en-GB" w:eastAsia="en-GB"/>
        </w:rPr>
        <w:t>artemether-lumefantrine</w:t>
      </w:r>
      <w:r w:rsidRPr="002E72CF">
        <w:rPr>
          <w:rFonts w:cstheme="minorHAnsi"/>
          <w:sz w:val="24"/>
          <w:szCs w:val="24"/>
          <w:lang w:val="en-GB" w:eastAsia="en-GB"/>
        </w:rPr>
        <w:t xml:space="preserve"> were compared with the values obtained at baseline (Table 3). Similar comparison, when stratified based on composite </w:t>
      </w:r>
      <w:r w:rsidRPr="002E72CF">
        <w:rPr>
          <w:rFonts w:cstheme="minorHAnsi"/>
          <w:i/>
          <w:sz w:val="24"/>
          <w:szCs w:val="24"/>
          <w:lang w:val="en-GB" w:eastAsia="en-GB"/>
        </w:rPr>
        <w:t>CYP2B6</w:t>
      </w:r>
      <w:r w:rsidRPr="002E72CF">
        <w:rPr>
          <w:rFonts w:cstheme="minorHAnsi"/>
          <w:sz w:val="24"/>
          <w:szCs w:val="24"/>
          <w:lang w:val="en-GB" w:eastAsia="en-GB"/>
        </w:rPr>
        <w:t xml:space="preserve"> c.516/983 genotypes, showed that </w:t>
      </w:r>
      <w:r w:rsidRPr="002E72CF">
        <w:rPr>
          <w:rFonts w:eastAsia="Times New Roman" w:cstheme="minorHAnsi"/>
          <w:sz w:val="24"/>
          <w:szCs w:val="24"/>
          <w:lang w:val="en-GB" w:eastAsia="en-GB"/>
        </w:rPr>
        <w:t>artemether-lumefantrine</w:t>
      </w:r>
      <w:r w:rsidRPr="002E72CF">
        <w:rPr>
          <w:rFonts w:cstheme="minorHAnsi"/>
          <w:sz w:val="24"/>
          <w:szCs w:val="24"/>
          <w:lang w:val="en-GB" w:eastAsia="en-GB"/>
        </w:rPr>
        <w:t xml:space="preserve"> only resulted in 12% statistically, but not clinically, significant decreases in nevirapine C</w:t>
      </w:r>
      <w:r w:rsidRPr="002E72CF">
        <w:rPr>
          <w:rFonts w:cstheme="minorHAnsi"/>
          <w:sz w:val="24"/>
          <w:szCs w:val="24"/>
          <w:vertAlign w:val="subscript"/>
          <w:lang w:val="en-GB" w:eastAsia="en-GB"/>
        </w:rPr>
        <w:t>max</w:t>
      </w:r>
      <w:r w:rsidRPr="002E72CF">
        <w:rPr>
          <w:rFonts w:cstheme="minorHAnsi"/>
          <w:sz w:val="24"/>
          <w:szCs w:val="24"/>
          <w:lang w:val="en-GB" w:eastAsia="en-GB"/>
        </w:rPr>
        <w:t xml:space="preserve"> [0.88 (0.84 - 0.92)] and AUC</w:t>
      </w:r>
      <w:r w:rsidRPr="002E72CF">
        <w:rPr>
          <w:rFonts w:cstheme="minorHAnsi"/>
          <w:sz w:val="24"/>
          <w:szCs w:val="24"/>
          <w:vertAlign w:val="subscript"/>
          <w:lang w:val="en-GB" w:eastAsia="en-GB"/>
        </w:rPr>
        <w:t xml:space="preserve">0-12 </w:t>
      </w:r>
      <w:r w:rsidRPr="002E72CF">
        <w:rPr>
          <w:rFonts w:cstheme="minorHAnsi"/>
          <w:sz w:val="24"/>
          <w:szCs w:val="24"/>
          <w:lang w:val="en-GB" w:eastAsia="en-GB"/>
        </w:rPr>
        <w:t>[0.88 (0.84 - 0.91)] of EMs. In contrast, nevirapine C</w:t>
      </w:r>
      <w:r w:rsidRPr="002E72CF">
        <w:rPr>
          <w:rFonts w:cstheme="minorHAnsi"/>
          <w:sz w:val="24"/>
          <w:szCs w:val="24"/>
          <w:vertAlign w:val="subscript"/>
          <w:lang w:val="en-GB" w:eastAsia="en-GB"/>
        </w:rPr>
        <w:t>max</w:t>
      </w:r>
      <w:r w:rsidRPr="002E72CF">
        <w:rPr>
          <w:rFonts w:cstheme="minorHAnsi"/>
          <w:sz w:val="24"/>
          <w:szCs w:val="24"/>
          <w:lang w:val="en-GB" w:eastAsia="en-GB"/>
        </w:rPr>
        <w:t xml:space="preserve"> [0.94 (0.88, 1.01)] and AUC</w:t>
      </w:r>
      <w:r w:rsidRPr="002E72CF">
        <w:rPr>
          <w:rFonts w:cstheme="minorHAnsi"/>
          <w:sz w:val="24"/>
          <w:szCs w:val="24"/>
          <w:vertAlign w:val="subscript"/>
          <w:lang w:val="en-GB" w:eastAsia="en-GB"/>
        </w:rPr>
        <w:t xml:space="preserve">0-12 </w:t>
      </w:r>
      <w:r w:rsidRPr="002E72CF">
        <w:rPr>
          <w:rFonts w:cstheme="minorHAnsi"/>
          <w:sz w:val="24"/>
          <w:szCs w:val="24"/>
          <w:lang w:val="en-GB" w:eastAsia="en-GB"/>
        </w:rPr>
        <w:t xml:space="preserve">[0.97 (0.93, 1.02)] of PMs were unaffected by </w:t>
      </w:r>
      <w:r w:rsidRPr="002E72CF">
        <w:rPr>
          <w:rFonts w:eastAsia="Times New Roman" w:cstheme="minorHAnsi"/>
          <w:sz w:val="24"/>
          <w:szCs w:val="24"/>
          <w:lang w:val="en-GB" w:eastAsia="en-GB"/>
        </w:rPr>
        <w:t>artemether-lumefantrine</w:t>
      </w:r>
      <w:r w:rsidRPr="002E72CF">
        <w:rPr>
          <w:rFonts w:cstheme="minorHAnsi"/>
          <w:sz w:val="24"/>
          <w:szCs w:val="24"/>
          <w:lang w:val="en-GB" w:eastAsia="en-GB"/>
        </w:rPr>
        <w:t xml:space="preserve">. </w:t>
      </w:r>
    </w:p>
    <w:p w14:paraId="0908D62E" w14:textId="0268BE85" w:rsidR="002E72CF" w:rsidRPr="002E72CF" w:rsidRDefault="002E72CF" w:rsidP="002E72CF">
      <w:pPr>
        <w:autoSpaceDE w:val="0"/>
        <w:autoSpaceDN w:val="0"/>
        <w:adjustRightInd w:val="0"/>
        <w:spacing w:line="480" w:lineRule="auto"/>
        <w:jc w:val="both"/>
        <w:rPr>
          <w:rFonts w:cstheme="minorHAnsi"/>
          <w:sz w:val="24"/>
          <w:szCs w:val="24"/>
          <w:lang w:val="en-GB" w:eastAsia="en-GB"/>
        </w:rPr>
      </w:pPr>
      <w:r w:rsidRPr="002E72CF">
        <w:rPr>
          <w:rFonts w:cstheme="minorHAnsi"/>
          <w:sz w:val="24"/>
          <w:szCs w:val="24"/>
          <w:lang w:val="en-GB" w:eastAsia="en-GB"/>
        </w:rPr>
        <w:lastRenderedPageBreak/>
        <w:t xml:space="preserve">In the absence of artemether-lumefantrine, </w:t>
      </w:r>
      <w:proofErr w:type="spellStart"/>
      <w:r w:rsidRPr="002E72CF">
        <w:rPr>
          <w:rFonts w:cstheme="minorHAnsi"/>
          <w:sz w:val="24"/>
          <w:szCs w:val="24"/>
          <w:lang w:val="en-GB" w:eastAsia="en-GB"/>
        </w:rPr>
        <w:t>C</w:t>
      </w:r>
      <w:r w:rsidRPr="002E72CF">
        <w:rPr>
          <w:rFonts w:cstheme="minorHAnsi"/>
          <w:sz w:val="24"/>
          <w:szCs w:val="24"/>
          <w:vertAlign w:val="subscript"/>
          <w:lang w:val="en-GB" w:eastAsia="en-GB"/>
        </w:rPr>
        <w:t>trough</w:t>
      </w:r>
      <w:proofErr w:type="spellEnd"/>
      <w:r w:rsidRPr="002E72CF">
        <w:rPr>
          <w:rFonts w:cstheme="minorHAnsi"/>
          <w:sz w:val="24"/>
          <w:szCs w:val="24"/>
          <w:lang w:val="en-GB" w:eastAsia="en-GB"/>
        </w:rPr>
        <w:t xml:space="preserve"> was below the putative minimum effective concentration (MEC) of 3400 ng ml</w:t>
      </w:r>
      <w:r w:rsidRPr="002E72CF">
        <w:rPr>
          <w:rFonts w:cstheme="minorHAnsi"/>
          <w:sz w:val="24"/>
          <w:szCs w:val="24"/>
          <w:vertAlign w:val="superscript"/>
          <w:lang w:val="en-GB" w:eastAsia="en-GB"/>
        </w:rPr>
        <w:t>-1</w:t>
      </w:r>
      <w:r w:rsidRPr="002E72CF">
        <w:rPr>
          <w:rFonts w:cstheme="minorHAnsi"/>
          <w:sz w:val="24"/>
          <w:szCs w:val="24"/>
          <w:lang w:val="en-GB" w:eastAsia="en-GB"/>
        </w:rPr>
        <w:t xml:space="preserve"> in 10% of patients, all extensive metabolisers. When co-administered with artemether-lumefantrine, 21% of patients have </w:t>
      </w:r>
      <w:proofErr w:type="spellStart"/>
      <w:r w:rsidRPr="002E72CF">
        <w:rPr>
          <w:rFonts w:cstheme="minorHAnsi"/>
          <w:sz w:val="24"/>
          <w:szCs w:val="24"/>
          <w:lang w:val="en-GB" w:eastAsia="en-GB"/>
        </w:rPr>
        <w:t>C</w:t>
      </w:r>
      <w:r w:rsidRPr="002E72CF">
        <w:rPr>
          <w:rFonts w:cstheme="minorHAnsi"/>
          <w:sz w:val="24"/>
          <w:szCs w:val="24"/>
          <w:vertAlign w:val="subscript"/>
          <w:lang w:val="en-GB" w:eastAsia="en-GB"/>
        </w:rPr>
        <w:t>trough</w:t>
      </w:r>
      <w:proofErr w:type="spellEnd"/>
      <w:r w:rsidRPr="002E72CF">
        <w:rPr>
          <w:rFonts w:cstheme="minorHAnsi"/>
          <w:sz w:val="24"/>
          <w:szCs w:val="24"/>
          <w:lang w:val="en-GB" w:eastAsia="en-GB"/>
        </w:rPr>
        <w:t xml:space="preserve"> below the MEC. Of these, 14% were extensive metabolisers while 4% and 3% were intermediate and poor metabolisers respectively (Table 3).  </w:t>
      </w:r>
    </w:p>
    <w:p w14:paraId="330D4B66" w14:textId="77777777" w:rsidR="002E72CF" w:rsidRPr="002E72CF" w:rsidRDefault="002E72CF" w:rsidP="002E72CF">
      <w:pPr>
        <w:autoSpaceDE w:val="0"/>
        <w:autoSpaceDN w:val="0"/>
        <w:adjustRightInd w:val="0"/>
        <w:spacing w:after="0" w:line="480" w:lineRule="auto"/>
        <w:jc w:val="both"/>
        <w:rPr>
          <w:rFonts w:cstheme="minorHAnsi"/>
          <w:b/>
          <w:sz w:val="24"/>
          <w:szCs w:val="24"/>
          <w:lang w:val="en-GB" w:eastAsia="en-GB"/>
        </w:rPr>
      </w:pPr>
      <w:r w:rsidRPr="002E72CF">
        <w:rPr>
          <w:rFonts w:cstheme="minorHAnsi"/>
          <w:b/>
          <w:sz w:val="24"/>
          <w:szCs w:val="24"/>
          <w:lang w:val="en-GB" w:eastAsia="en-GB"/>
        </w:rPr>
        <w:t>Discussion</w:t>
      </w:r>
    </w:p>
    <w:p w14:paraId="201253BC" w14:textId="77777777" w:rsidR="002E72CF" w:rsidRPr="002E72CF" w:rsidRDefault="002E72CF" w:rsidP="002E72CF">
      <w:pPr>
        <w:autoSpaceDE w:val="0"/>
        <w:autoSpaceDN w:val="0"/>
        <w:adjustRightInd w:val="0"/>
        <w:spacing w:line="480" w:lineRule="auto"/>
        <w:jc w:val="both"/>
        <w:rPr>
          <w:rFonts w:cstheme="minorHAnsi"/>
          <w:noProof/>
          <w:sz w:val="24"/>
          <w:szCs w:val="24"/>
          <w:lang w:val="en-GB"/>
        </w:rPr>
      </w:pPr>
      <w:r w:rsidRPr="002E72CF">
        <w:rPr>
          <w:rFonts w:cstheme="minorHAnsi"/>
          <w:noProof/>
          <w:sz w:val="24"/>
          <w:szCs w:val="24"/>
          <w:lang w:val="en-GB"/>
        </w:rPr>
        <w:t>The present study investigated the influence of host genetic polymorphisms on the dynamics of pharmacokinetic interaction between nevirapine and artemether-lumefantrine. The results showed lack of clinically significant interaction in all patients and when stratified according to composite</w:t>
      </w:r>
      <w:r w:rsidRPr="002E72CF">
        <w:rPr>
          <w:rFonts w:cstheme="minorHAnsi"/>
          <w:i/>
          <w:noProof/>
          <w:sz w:val="24"/>
          <w:szCs w:val="24"/>
          <w:lang w:val="en-GB"/>
        </w:rPr>
        <w:t xml:space="preserve"> CYP2B6</w:t>
      </w:r>
      <w:r w:rsidRPr="002E72CF">
        <w:rPr>
          <w:rFonts w:cstheme="minorHAnsi"/>
          <w:noProof/>
          <w:sz w:val="24"/>
          <w:szCs w:val="24"/>
          <w:lang w:val="en-GB"/>
        </w:rPr>
        <w:t xml:space="preserve"> c.516/983 genotype. The 90% CI of the GMR of key pharmacokinetic parameters (with the exception of T</w:t>
      </w:r>
      <w:r w:rsidRPr="002E72CF">
        <w:rPr>
          <w:rFonts w:cstheme="minorHAnsi"/>
          <w:noProof/>
          <w:sz w:val="24"/>
          <w:szCs w:val="24"/>
          <w:vertAlign w:val="subscript"/>
          <w:lang w:val="en-GB"/>
        </w:rPr>
        <w:t>max</w:t>
      </w:r>
      <w:r w:rsidRPr="002E72CF">
        <w:rPr>
          <w:rFonts w:cstheme="minorHAnsi"/>
          <w:noProof/>
          <w:sz w:val="24"/>
          <w:szCs w:val="24"/>
          <w:lang w:val="en-GB"/>
        </w:rPr>
        <w:t xml:space="preserve"> and t</w:t>
      </w:r>
      <w:r w:rsidRPr="002E72CF">
        <w:rPr>
          <w:rFonts w:cstheme="minorHAnsi"/>
          <w:noProof/>
          <w:sz w:val="24"/>
          <w:szCs w:val="24"/>
          <w:vertAlign w:val="subscript"/>
          <w:lang w:val="en-GB"/>
        </w:rPr>
        <w:t>1/2</w:t>
      </w:r>
      <w:r w:rsidRPr="002E72CF">
        <w:rPr>
          <w:rFonts w:cstheme="minorHAnsi"/>
          <w:noProof/>
          <w:sz w:val="24"/>
          <w:szCs w:val="24"/>
          <w:lang w:val="en-GB"/>
        </w:rPr>
        <w:t xml:space="preserve">) fell within the no-effect boundaries of 0.80 - 1.25 [41]. </w:t>
      </w:r>
      <w:bookmarkStart w:id="7" w:name="_Hlk484862656"/>
      <w:r w:rsidRPr="002E72CF">
        <w:rPr>
          <w:rFonts w:cstheme="minorHAnsi"/>
          <w:noProof/>
          <w:sz w:val="24"/>
          <w:szCs w:val="24"/>
          <w:lang w:val="en-GB"/>
        </w:rPr>
        <w:t xml:space="preserve">Despite evidence that nevirapine disposition is associated with </w:t>
      </w:r>
      <w:r w:rsidRPr="002E72CF">
        <w:rPr>
          <w:rFonts w:cstheme="minorHAnsi"/>
          <w:i/>
          <w:noProof/>
          <w:sz w:val="24"/>
          <w:szCs w:val="24"/>
          <w:lang w:val="en-GB"/>
        </w:rPr>
        <w:t>CYP2B6</w:t>
      </w:r>
      <w:r w:rsidRPr="002E72CF">
        <w:rPr>
          <w:rFonts w:cstheme="minorHAnsi"/>
          <w:noProof/>
          <w:sz w:val="24"/>
          <w:szCs w:val="24"/>
          <w:lang w:val="en-GB"/>
        </w:rPr>
        <w:t xml:space="preserve"> SNPs [26-29], and previous reports of &gt; 80% relative genetic contribution to variability in nevirapine exposure [20,21], pharmacogenetic influence of these SNPs on the interaction of </w:t>
      </w:r>
      <w:r w:rsidRPr="002E72CF">
        <w:rPr>
          <w:rFonts w:eastAsia="Times New Roman" w:cstheme="minorHAnsi"/>
          <w:sz w:val="24"/>
          <w:szCs w:val="24"/>
          <w:lang w:val="en-GB" w:eastAsia="en-GB"/>
        </w:rPr>
        <w:t>artemether-lumefantrine</w:t>
      </w:r>
      <w:r w:rsidRPr="002E72CF">
        <w:rPr>
          <w:rFonts w:cstheme="minorHAnsi"/>
          <w:noProof/>
          <w:sz w:val="24"/>
          <w:szCs w:val="24"/>
          <w:lang w:val="en-GB"/>
        </w:rPr>
        <w:t xml:space="preserve"> with nevirapine</w:t>
      </w:r>
      <w:bookmarkEnd w:id="7"/>
      <w:r w:rsidRPr="002E72CF">
        <w:rPr>
          <w:rFonts w:cstheme="minorHAnsi"/>
          <w:noProof/>
          <w:sz w:val="24"/>
          <w:szCs w:val="24"/>
          <w:lang w:val="en-GB"/>
        </w:rPr>
        <w:t xml:space="preserve"> are yet to be reported. The 9% and 7% decreased C</w:t>
      </w:r>
      <w:r w:rsidRPr="002E72CF">
        <w:rPr>
          <w:rFonts w:cstheme="minorHAnsi"/>
          <w:noProof/>
          <w:sz w:val="24"/>
          <w:szCs w:val="24"/>
          <w:vertAlign w:val="subscript"/>
          <w:lang w:val="en-GB"/>
        </w:rPr>
        <w:t>max</w:t>
      </w:r>
      <w:r w:rsidRPr="002E72CF">
        <w:rPr>
          <w:rFonts w:cstheme="minorHAnsi"/>
          <w:noProof/>
          <w:sz w:val="24"/>
          <w:szCs w:val="24"/>
          <w:lang w:val="en-GB"/>
        </w:rPr>
        <w:t xml:space="preserve"> and AUC</w:t>
      </w:r>
      <w:r w:rsidRPr="002E72CF">
        <w:rPr>
          <w:rFonts w:cstheme="minorHAnsi"/>
          <w:noProof/>
          <w:sz w:val="24"/>
          <w:szCs w:val="24"/>
          <w:vertAlign w:val="subscript"/>
          <w:lang w:val="en-GB"/>
        </w:rPr>
        <w:t xml:space="preserve">0-12 </w:t>
      </w:r>
      <w:r w:rsidRPr="002E72CF">
        <w:rPr>
          <w:rFonts w:cstheme="minorHAnsi"/>
          <w:noProof/>
          <w:sz w:val="24"/>
          <w:szCs w:val="24"/>
          <w:lang w:val="en-GB"/>
        </w:rPr>
        <w:t>respectively obtained in pooled analysis, are in agreement with a similar parallel design study in Nigerian patients which reported no significant difference in nevirapine exposure [36]. It however differs in magnitude from the 42% and 46% decreased C</w:t>
      </w:r>
      <w:r w:rsidRPr="002E72CF">
        <w:rPr>
          <w:rFonts w:cstheme="minorHAnsi"/>
          <w:noProof/>
          <w:sz w:val="24"/>
          <w:szCs w:val="24"/>
          <w:vertAlign w:val="subscript"/>
          <w:lang w:val="en-GB"/>
        </w:rPr>
        <w:t>max</w:t>
      </w:r>
      <w:r w:rsidRPr="002E72CF">
        <w:rPr>
          <w:rFonts w:cstheme="minorHAnsi"/>
          <w:noProof/>
          <w:sz w:val="24"/>
          <w:szCs w:val="24"/>
          <w:lang w:val="en-GB"/>
        </w:rPr>
        <w:t xml:space="preserve"> and AUC</w:t>
      </w:r>
      <w:r w:rsidRPr="002E72CF">
        <w:rPr>
          <w:rFonts w:cstheme="minorHAnsi"/>
          <w:noProof/>
          <w:sz w:val="24"/>
          <w:szCs w:val="24"/>
          <w:vertAlign w:val="subscript"/>
          <w:lang w:val="en-GB"/>
        </w:rPr>
        <w:t xml:space="preserve">0-12 </w:t>
      </w:r>
      <w:r w:rsidRPr="002E72CF">
        <w:rPr>
          <w:rFonts w:cstheme="minorHAnsi"/>
          <w:noProof/>
          <w:sz w:val="24"/>
          <w:szCs w:val="24"/>
          <w:lang w:val="en-GB"/>
        </w:rPr>
        <w:t xml:space="preserve"> respectively reported in a previous Ugandan study [35], possibly due to</w:t>
      </w:r>
      <w:bookmarkStart w:id="8" w:name="_Hlk484863683"/>
      <w:r w:rsidRPr="002E72CF">
        <w:rPr>
          <w:rFonts w:cstheme="minorHAnsi"/>
          <w:noProof/>
          <w:sz w:val="24"/>
          <w:szCs w:val="24"/>
          <w:lang w:val="en-GB"/>
        </w:rPr>
        <w:t xml:space="preserve"> differences in study design (parallel vs. crossover) or sample collection techniques (DBS vs. plasma) and differences in genotype distribution.</w:t>
      </w:r>
    </w:p>
    <w:p w14:paraId="7A23184D" w14:textId="686C99CC" w:rsidR="002E72CF" w:rsidRPr="002E72CF" w:rsidRDefault="002E72CF" w:rsidP="002E72CF">
      <w:pPr>
        <w:autoSpaceDE w:val="0"/>
        <w:autoSpaceDN w:val="0"/>
        <w:adjustRightInd w:val="0"/>
        <w:spacing w:line="480" w:lineRule="auto"/>
        <w:jc w:val="both"/>
        <w:rPr>
          <w:rFonts w:cstheme="minorHAnsi"/>
          <w:sz w:val="24"/>
          <w:szCs w:val="24"/>
          <w:lang w:eastAsia="en-GB"/>
        </w:rPr>
      </w:pPr>
      <w:proofErr w:type="spellStart"/>
      <w:r w:rsidRPr="002E72CF">
        <w:rPr>
          <w:rFonts w:cstheme="minorHAnsi"/>
          <w:sz w:val="24"/>
          <w:szCs w:val="24"/>
          <w:lang w:val="en-GB" w:eastAsia="en-GB"/>
        </w:rPr>
        <w:t>Veldkamp</w:t>
      </w:r>
      <w:proofErr w:type="spellEnd"/>
      <w:r w:rsidRPr="002E72CF">
        <w:rPr>
          <w:rFonts w:cstheme="minorHAnsi"/>
          <w:sz w:val="24"/>
          <w:szCs w:val="24"/>
          <w:lang w:val="en-GB" w:eastAsia="en-GB"/>
        </w:rPr>
        <w:t xml:space="preserve"> </w:t>
      </w:r>
      <w:r w:rsidRPr="002E72CF">
        <w:rPr>
          <w:rFonts w:cstheme="minorHAnsi"/>
          <w:i/>
          <w:sz w:val="24"/>
          <w:szCs w:val="24"/>
          <w:lang w:val="en-GB" w:eastAsia="en-GB"/>
        </w:rPr>
        <w:t>et al</w:t>
      </w:r>
      <w:r w:rsidRPr="002E72CF">
        <w:rPr>
          <w:rFonts w:cstheme="minorHAnsi"/>
          <w:sz w:val="24"/>
          <w:szCs w:val="24"/>
          <w:lang w:val="en-GB" w:eastAsia="en-GB"/>
        </w:rPr>
        <w:t xml:space="preserve"> have shown that the proposed plasma nevirapine MEC is ≥ 3,400 ng ml</w:t>
      </w:r>
      <w:r w:rsidRPr="002E72CF">
        <w:rPr>
          <w:rFonts w:cstheme="minorHAnsi"/>
          <w:sz w:val="24"/>
          <w:szCs w:val="24"/>
          <w:vertAlign w:val="superscript"/>
          <w:lang w:val="en-GB" w:eastAsia="en-GB"/>
        </w:rPr>
        <w:t>-1</w:t>
      </w:r>
      <w:r w:rsidRPr="002E72CF">
        <w:rPr>
          <w:rFonts w:cstheme="minorHAnsi"/>
          <w:sz w:val="24"/>
          <w:szCs w:val="24"/>
          <w:lang w:val="en-GB" w:eastAsia="en-GB"/>
        </w:rPr>
        <w:t xml:space="preserve"> (as depicted in Figure 2) [42,43]. Approximately 14% of EMs had trough plasma nevirapine </w:t>
      </w:r>
      <w:r w:rsidRPr="002E72CF">
        <w:rPr>
          <w:rFonts w:cstheme="minorHAnsi"/>
          <w:sz w:val="24"/>
          <w:szCs w:val="24"/>
          <w:lang w:val="en-GB" w:eastAsia="en-GB"/>
        </w:rPr>
        <w:lastRenderedPageBreak/>
        <w:t>concentrations below the target concentration in the presence of artemether-lumefantrine compared to 3% of PMs as indicated in Table 3. The small sample size of IMs (n = 3) may be responsible for</w:t>
      </w:r>
      <w:r w:rsidRPr="002E72CF">
        <w:rPr>
          <w:lang w:val="en-GB"/>
        </w:rPr>
        <w:t xml:space="preserve"> </w:t>
      </w:r>
      <w:r w:rsidRPr="002E72CF">
        <w:rPr>
          <w:rFonts w:cstheme="minorHAnsi"/>
          <w:sz w:val="24"/>
          <w:szCs w:val="24"/>
          <w:lang w:val="en-GB" w:eastAsia="en-GB"/>
        </w:rPr>
        <w:t xml:space="preserve">the nevirapine exposure and other pharmacokinetic parameters of IMs that were outside the no effect range.  </w:t>
      </w:r>
      <w:r w:rsidRPr="002E72CF">
        <w:rPr>
          <w:rFonts w:cstheme="minorHAnsi"/>
          <w:sz w:val="24"/>
          <w:szCs w:val="24"/>
          <w:lang w:eastAsia="en-GB"/>
        </w:rPr>
        <w:t xml:space="preserve">Inclusion of pharmacogenetics in a drug-drug interaction study is recommended when genetic factor is expected to significantly influence the pharmacokinetics of any of the drugs [44,45]. Composite </w:t>
      </w:r>
      <w:r w:rsidRPr="002E72CF">
        <w:rPr>
          <w:rFonts w:cstheme="minorHAnsi"/>
          <w:i/>
          <w:sz w:val="24"/>
          <w:szCs w:val="24"/>
          <w:lang w:eastAsia="en-GB"/>
        </w:rPr>
        <w:t>CYP2B6</w:t>
      </w:r>
      <w:r w:rsidRPr="002E72CF">
        <w:rPr>
          <w:rFonts w:cstheme="minorHAnsi"/>
          <w:sz w:val="24"/>
          <w:szCs w:val="24"/>
          <w:lang w:eastAsia="en-GB"/>
        </w:rPr>
        <w:t xml:space="preserve"> c.516/983 genotype is known to significantly influence nevirapine pharmacokinetics [26-29] as demonstrated in the present study (Supplementary Table 2). Thus, it was anticipated to contribute to the extent of artemether-lumefantrine interaction with nevirapine. Although study results indicated that the decreased nevirapine exposures due to influence of artemether-lumefantrine were mitigated in IMs and PMs, </w:t>
      </w:r>
      <w:r w:rsidRPr="002E72CF">
        <w:rPr>
          <w:rFonts w:eastAsia="Calibri" w:cstheme="minorHAnsi"/>
          <w:sz w:val="24"/>
          <w:szCs w:val="24"/>
        </w:rPr>
        <w:t xml:space="preserve">metabolic status was not significantly correlated with the proportion of patients with trough plasma nevirapine concentration below the MEC. </w:t>
      </w:r>
      <w:r w:rsidRPr="002E72CF">
        <w:rPr>
          <w:rFonts w:cstheme="minorHAnsi"/>
          <w:sz w:val="24"/>
          <w:szCs w:val="24"/>
          <w:lang w:val="en-GB" w:eastAsia="en-GB"/>
        </w:rPr>
        <w:t xml:space="preserve">The clinical implications of this is </w:t>
      </w:r>
      <w:r w:rsidRPr="002E72CF">
        <w:rPr>
          <w:rFonts w:cstheme="minorHAnsi"/>
          <w:sz w:val="24"/>
          <w:szCs w:val="24"/>
          <w:lang w:eastAsia="en-GB"/>
        </w:rPr>
        <w:t xml:space="preserve">that while nevirapine may be considered safe and not requiring dosage adjustment when co-administered with artemether-lumefantrine </w:t>
      </w:r>
      <w:r w:rsidRPr="002E72CF">
        <w:rPr>
          <w:rFonts w:cstheme="minorHAnsi"/>
          <w:sz w:val="24"/>
          <w:szCs w:val="24"/>
          <w:lang w:val="en-GB" w:eastAsia="en-GB"/>
        </w:rPr>
        <w:t>in the treatment of malaria-HIV co-infected patients</w:t>
      </w:r>
      <w:r w:rsidRPr="002E72CF">
        <w:rPr>
          <w:rFonts w:cstheme="minorHAnsi"/>
          <w:sz w:val="24"/>
          <w:szCs w:val="24"/>
          <w:lang w:val="en-GB"/>
        </w:rPr>
        <w:t xml:space="preserve"> </w:t>
      </w:r>
      <w:r w:rsidRPr="002E72CF">
        <w:rPr>
          <w:rFonts w:cstheme="minorHAnsi"/>
          <w:sz w:val="24"/>
          <w:szCs w:val="24"/>
          <w:lang w:val="en-GB" w:eastAsia="en-GB"/>
        </w:rPr>
        <w:t>irrespective of their metabolic status, caution is warranted most especially in malaria endemic regions. Studies in highly endemic areas have shown repeated episodes of symptomatic malaria within short interval of a prior attack particularly when short acting ACTs like artemether-lumefantrine are used in treatment compared to long acting ACTs [46,47]. This has the potential to decrease efficacy and increase resistance development to nevirapine, considering its low genetic barrier to resistance [48].</w:t>
      </w:r>
    </w:p>
    <w:p w14:paraId="2F684D57" w14:textId="77777777" w:rsidR="002E72CF" w:rsidRPr="002E72CF" w:rsidRDefault="002E72CF" w:rsidP="002E72CF">
      <w:pPr>
        <w:autoSpaceDE w:val="0"/>
        <w:autoSpaceDN w:val="0"/>
        <w:adjustRightInd w:val="0"/>
        <w:spacing w:line="480" w:lineRule="auto"/>
        <w:jc w:val="both"/>
        <w:rPr>
          <w:rFonts w:cstheme="minorHAnsi"/>
          <w:noProof/>
          <w:sz w:val="24"/>
          <w:szCs w:val="24"/>
          <w:lang w:val="en-GB"/>
        </w:rPr>
      </w:pPr>
      <w:r w:rsidRPr="002E72CF">
        <w:rPr>
          <w:rFonts w:cstheme="minorHAnsi"/>
          <w:noProof/>
          <w:sz w:val="24"/>
          <w:szCs w:val="24"/>
          <w:lang w:val="en-GB"/>
        </w:rPr>
        <w:t>Although in vitro inhibition and induction of CYP2B6 by artemether have been reported, in vivo inhibition is unknown and induction is usually the net effect reported [15-17]. Induction of CYP enzymes by artemether seems to be due to activation of the nuclear receptors:</w:t>
      </w:r>
      <w:r w:rsidRPr="002E72CF">
        <w:rPr>
          <w:rFonts w:cstheme="minorHAnsi"/>
          <w:sz w:val="24"/>
          <w:szCs w:val="24"/>
          <w:lang w:val="en-GB"/>
        </w:rPr>
        <w:t xml:space="preserve"> </w:t>
      </w:r>
      <w:r w:rsidRPr="002E72CF">
        <w:rPr>
          <w:rFonts w:cstheme="minorHAnsi"/>
          <w:noProof/>
          <w:sz w:val="24"/>
          <w:szCs w:val="24"/>
          <w:lang w:val="en-GB"/>
        </w:rPr>
        <w:t>constitutive androstane receptor (CAR)</w:t>
      </w:r>
      <w:r w:rsidRPr="002E72CF">
        <w:rPr>
          <w:rFonts w:cstheme="minorHAnsi"/>
          <w:sz w:val="24"/>
          <w:szCs w:val="24"/>
          <w:lang w:val="en-GB"/>
        </w:rPr>
        <w:t xml:space="preserve"> and/or </w:t>
      </w:r>
      <w:r w:rsidRPr="002E72CF">
        <w:rPr>
          <w:rFonts w:cstheme="minorHAnsi"/>
          <w:noProof/>
          <w:sz w:val="24"/>
          <w:szCs w:val="24"/>
          <w:lang w:val="en-GB"/>
        </w:rPr>
        <w:t xml:space="preserve">pregnane X receptor (PXR) [14,49]. Artemisinin </w:t>
      </w:r>
      <w:r w:rsidRPr="002E72CF">
        <w:rPr>
          <w:rFonts w:cstheme="minorHAnsi"/>
          <w:noProof/>
          <w:sz w:val="24"/>
          <w:szCs w:val="24"/>
          <w:lang w:val="en-GB"/>
        </w:rPr>
        <w:lastRenderedPageBreak/>
        <w:t>derivatives and their metabolites are reported to differentially affect the activities of CAR isoforms which may be responsible for differences in the inductive capacity between the artemisinin drugs [15,50]. Whereas artemether demonstrated agonist binding to the major isoforms CAR1 and CAR3, dihydroartemisinin acted as weak inverse agonist of CAR1 [50].  Due to the weaker induction capacity of artemether compared to nevirapine, in the presence of nevirapine, artemether is rapidly metabolised by the more potent nevirapine to dihydroartemisinin. Thus, the induction capacity of artemether is largely dependent on dihydroartemisinin, a weaker activator of CAR/PXR dependent gene expression in humans compared to artemether [14,16,50]. Hence, the inability of artemether to consistently induce CYP3A4 and 2B6, coupled with the inverse agonist effect of the dihydroartemisinin metabolite are possible explanations</w:t>
      </w:r>
      <w:r w:rsidRPr="002E72CF">
        <w:rPr>
          <w:rFonts w:cstheme="minorHAnsi"/>
          <w:sz w:val="24"/>
          <w:szCs w:val="24"/>
          <w:lang w:val="en-GB"/>
        </w:rPr>
        <w:t xml:space="preserve"> </w:t>
      </w:r>
      <w:r w:rsidRPr="002E72CF">
        <w:rPr>
          <w:rFonts w:cstheme="minorHAnsi"/>
          <w:noProof/>
          <w:sz w:val="24"/>
          <w:szCs w:val="24"/>
          <w:lang w:val="en-GB"/>
        </w:rPr>
        <w:t xml:space="preserve">for the small magnitude of decreased nevirapine exposure observed in the present study. </w:t>
      </w:r>
      <w:bookmarkEnd w:id="8"/>
    </w:p>
    <w:p w14:paraId="4F6BD6C0" w14:textId="77777777" w:rsidR="002E72CF" w:rsidRPr="002E72CF" w:rsidRDefault="002E72CF" w:rsidP="002E72CF">
      <w:pPr>
        <w:autoSpaceDE w:val="0"/>
        <w:autoSpaceDN w:val="0"/>
        <w:adjustRightInd w:val="0"/>
        <w:spacing w:line="480" w:lineRule="auto"/>
        <w:jc w:val="both"/>
        <w:rPr>
          <w:rFonts w:cstheme="minorHAnsi"/>
          <w:noProof/>
          <w:sz w:val="24"/>
          <w:szCs w:val="24"/>
          <w:lang w:val="en-GB"/>
        </w:rPr>
      </w:pPr>
      <w:r w:rsidRPr="002E72CF">
        <w:rPr>
          <w:rFonts w:cstheme="minorHAnsi"/>
          <w:noProof/>
          <w:sz w:val="24"/>
          <w:szCs w:val="24"/>
          <w:lang w:val="en-GB"/>
        </w:rPr>
        <w:t>In addition, the extent of CYP induction has been reported to depend upon the baseline levels of CYP enzymes [51]. Because artemether is a substrate and metabolised by CYP2B6, induction of CYP2B6 and 3A4 may be altered in PMs given the likelihood of higher exposure to artemether as a result of decreased clearance compared to EMs. However, low constitutive expression of CYP2B6</w:t>
      </w:r>
      <w:r w:rsidRPr="002E72CF">
        <w:rPr>
          <w:rFonts w:cstheme="minorHAnsi"/>
          <w:sz w:val="24"/>
          <w:szCs w:val="24"/>
          <w:lang w:val="en-GB"/>
        </w:rPr>
        <w:t xml:space="preserve"> in PMs </w:t>
      </w:r>
      <w:r w:rsidRPr="002E72CF">
        <w:rPr>
          <w:rFonts w:cstheme="minorHAnsi"/>
          <w:noProof/>
          <w:sz w:val="24"/>
          <w:szCs w:val="24"/>
          <w:lang w:val="en-GB"/>
        </w:rPr>
        <w:t xml:space="preserve">owing to the carriage of variant </w:t>
      </w:r>
      <w:r w:rsidRPr="002E72CF">
        <w:rPr>
          <w:rFonts w:cstheme="minorHAnsi"/>
          <w:i/>
          <w:noProof/>
          <w:sz w:val="24"/>
          <w:szCs w:val="24"/>
          <w:lang w:val="en-GB"/>
        </w:rPr>
        <w:t>CYP2B6</w:t>
      </w:r>
      <w:r w:rsidRPr="002E72CF">
        <w:rPr>
          <w:rFonts w:cstheme="minorHAnsi"/>
          <w:noProof/>
          <w:sz w:val="24"/>
          <w:szCs w:val="24"/>
          <w:lang w:val="en-GB"/>
        </w:rPr>
        <w:t xml:space="preserve"> c.516T and/ c.983C alleles implies less enzymes available for induction by the increased amount of artemether, resulting in a small decrease in nevirapine  exposure which was almost offset by the increase in exposure due to genetic influence. Hence, the lack of change in nevirapine exposure due to effect of </w:t>
      </w:r>
      <w:r w:rsidRPr="002E72CF">
        <w:rPr>
          <w:rFonts w:eastAsia="Times New Roman" w:cstheme="minorHAnsi"/>
          <w:sz w:val="24"/>
          <w:szCs w:val="24"/>
          <w:lang w:val="en-GB" w:eastAsia="en-GB"/>
        </w:rPr>
        <w:t>artemether-lumefantrine</w:t>
      </w:r>
      <w:r w:rsidRPr="002E72CF">
        <w:rPr>
          <w:rFonts w:cstheme="minorHAnsi"/>
          <w:noProof/>
          <w:sz w:val="24"/>
          <w:szCs w:val="24"/>
          <w:lang w:val="en-GB"/>
        </w:rPr>
        <w:t xml:space="preserve"> observed in PMs. On the other hand, the EMs with more CYP2B6 owing to higher expression compared to PMs had greater artemether induction capacity inspite of the probable decreased exposure to artemether to the extent that an appreciable decrease in nevirapine exposure was observed.</w:t>
      </w:r>
      <w:bookmarkStart w:id="9" w:name="_Hlk484864713"/>
      <w:r w:rsidRPr="002E72CF">
        <w:rPr>
          <w:rFonts w:cstheme="minorHAnsi"/>
          <w:noProof/>
          <w:sz w:val="24"/>
          <w:szCs w:val="24"/>
          <w:lang w:val="en-GB"/>
        </w:rPr>
        <w:t xml:space="preserve"> </w:t>
      </w:r>
    </w:p>
    <w:p w14:paraId="496B5CB1" w14:textId="075D993A" w:rsidR="002E72CF" w:rsidRPr="002E72CF" w:rsidRDefault="002E72CF" w:rsidP="002E72CF">
      <w:pPr>
        <w:autoSpaceDE w:val="0"/>
        <w:autoSpaceDN w:val="0"/>
        <w:adjustRightInd w:val="0"/>
        <w:spacing w:line="480" w:lineRule="auto"/>
        <w:jc w:val="both"/>
        <w:rPr>
          <w:rFonts w:cstheme="minorHAnsi"/>
          <w:noProof/>
          <w:sz w:val="24"/>
          <w:szCs w:val="24"/>
          <w:lang w:val="en-GB"/>
        </w:rPr>
      </w:pPr>
      <w:r w:rsidRPr="002E72CF">
        <w:rPr>
          <w:rFonts w:cstheme="minorHAnsi"/>
          <w:noProof/>
          <w:sz w:val="24"/>
          <w:szCs w:val="24"/>
          <w:lang w:val="en-GB"/>
        </w:rPr>
        <w:lastRenderedPageBreak/>
        <w:t>Similar non-significant clinical changes in dolutegravir exposures were also reported in a recent study involving ACTs vs. dolutegravir (a second generation integrase strand transfer inhibitor) on healthy Ugandan volunteers [52]. No changes in dolutegravir C</w:t>
      </w:r>
      <w:r w:rsidRPr="002E72CF">
        <w:rPr>
          <w:rFonts w:cstheme="minorHAnsi"/>
          <w:noProof/>
          <w:sz w:val="24"/>
          <w:szCs w:val="24"/>
          <w:vertAlign w:val="subscript"/>
          <w:lang w:val="en-GB"/>
        </w:rPr>
        <w:t>max</w:t>
      </w:r>
      <w:r w:rsidRPr="002E72CF">
        <w:rPr>
          <w:rFonts w:cstheme="minorHAnsi"/>
          <w:noProof/>
          <w:sz w:val="24"/>
          <w:szCs w:val="24"/>
          <w:lang w:val="en-GB"/>
        </w:rPr>
        <w:t xml:space="preserve"> and AUC</w:t>
      </w:r>
      <w:r w:rsidRPr="002E72CF">
        <w:rPr>
          <w:rFonts w:cstheme="minorHAnsi"/>
          <w:noProof/>
          <w:sz w:val="24"/>
          <w:szCs w:val="24"/>
          <w:vertAlign w:val="subscript"/>
          <w:lang w:val="en-GB"/>
        </w:rPr>
        <w:t>0-24</w:t>
      </w:r>
      <w:r w:rsidRPr="002E72CF">
        <w:rPr>
          <w:rFonts w:cstheme="minorHAnsi"/>
          <w:noProof/>
          <w:sz w:val="24"/>
          <w:szCs w:val="24"/>
          <w:lang w:val="en-GB"/>
        </w:rPr>
        <w:t xml:space="preserve"> were reported when co-administered with artemether-lumefantrine, although  42% and 24% significant changes in dolutegravir trough plasma concentration and AUC</w:t>
      </w:r>
      <w:r w:rsidRPr="002E72CF">
        <w:rPr>
          <w:rFonts w:cstheme="minorHAnsi"/>
          <w:noProof/>
          <w:sz w:val="24"/>
          <w:szCs w:val="24"/>
          <w:vertAlign w:val="subscript"/>
          <w:lang w:val="en-GB"/>
        </w:rPr>
        <w:t>0-24</w:t>
      </w:r>
      <w:r w:rsidRPr="002E72CF">
        <w:rPr>
          <w:rFonts w:cstheme="minorHAnsi"/>
          <w:noProof/>
          <w:sz w:val="24"/>
          <w:szCs w:val="24"/>
          <w:lang w:val="en-GB"/>
        </w:rPr>
        <w:t xml:space="preserve"> respectively were observed with artesunate-amodiaquine [52]. However, genetic influence was not factored into the study. Dolutegravir is primarily metabolised via UGT1A1 [53,54], and functional polymorphisms in the </w:t>
      </w:r>
      <w:r w:rsidRPr="002E72CF">
        <w:rPr>
          <w:rFonts w:cstheme="minorHAnsi"/>
          <w:i/>
          <w:noProof/>
          <w:sz w:val="24"/>
          <w:szCs w:val="24"/>
          <w:lang w:val="en-GB"/>
        </w:rPr>
        <w:t>UGT1A1</w:t>
      </w:r>
      <w:r w:rsidRPr="002E72CF">
        <w:rPr>
          <w:rFonts w:cstheme="minorHAnsi"/>
          <w:noProof/>
          <w:sz w:val="24"/>
          <w:szCs w:val="24"/>
          <w:lang w:val="en-GB"/>
        </w:rPr>
        <w:t xml:space="preserve">, particularly *28 and *37 alleles are known to decrease enzyme activity [55]. Thus, possibility of </w:t>
      </w:r>
      <w:r w:rsidRPr="002E72CF">
        <w:rPr>
          <w:rFonts w:cstheme="minorHAnsi"/>
          <w:i/>
          <w:noProof/>
          <w:sz w:val="24"/>
          <w:szCs w:val="24"/>
          <w:lang w:val="en-GB"/>
        </w:rPr>
        <w:t>UGT1A1</w:t>
      </w:r>
      <w:r w:rsidRPr="002E72CF">
        <w:rPr>
          <w:rFonts w:cstheme="minorHAnsi"/>
          <w:noProof/>
          <w:sz w:val="24"/>
          <w:szCs w:val="24"/>
          <w:lang w:val="en-GB"/>
        </w:rPr>
        <w:t xml:space="preserve"> polymorphisms influencing dolutegravir exposure due to its intearaction with ACTs can not be ruled out. Hence, the need to incorporate pharmacogenetics in drug interaction studies involving drug(s) with high relative genetic contribution to the pharmacokinetic variation of the drug(s).</w:t>
      </w:r>
    </w:p>
    <w:p w14:paraId="36CFCA7E" w14:textId="77777777" w:rsidR="002E72CF" w:rsidRPr="002E72CF" w:rsidRDefault="002E72CF" w:rsidP="002E72CF">
      <w:pPr>
        <w:autoSpaceDE w:val="0"/>
        <w:autoSpaceDN w:val="0"/>
        <w:adjustRightInd w:val="0"/>
        <w:spacing w:line="480" w:lineRule="auto"/>
        <w:jc w:val="both"/>
        <w:rPr>
          <w:rFonts w:cstheme="minorHAnsi"/>
          <w:sz w:val="24"/>
          <w:szCs w:val="24"/>
          <w:lang w:val="en-GB"/>
        </w:rPr>
      </w:pPr>
      <w:r w:rsidRPr="002E72CF">
        <w:rPr>
          <w:rFonts w:cstheme="minorHAnsi"/>
          <w:sz w:val="24"/>
          <w:szCs w:val="24"/>
          <w:lang w:val="en-GB"/>
        </w:rPr>
        <w:t xml:space="preserve">Pharmacogenetics is crucial to a better understanding and evaluation of pharmacokinetics as well as magnitude of drug-drug interactions for both new and existing drugs most especially when polymorphic enzymes/proteins are responsible for metabolism or transport of the drugs [44,45]. A major limitation to the clinical implementation of pharmacogenetics is lack of adequate scientific evidence of the clinical relevance of genetics in drug-drug interaction studies of both new and existing drugs. While pharmaceutical industries are expected to provide data for new drugs, the onus is on the academic and research institute to fill the gap for already existing drugs [56]. Furthermore, most pharmacogenetic studies have pharmacokinetic end points with no efficacy or toxicity data integrated. Therefore, better designed-studies incorporating pharmacodynamic data are necessary for the clinical implementation of pharmacogenetics [56]. A major limitation of the present study was the lack of pharmacodynamic end points. In addition, there was lack of certainty on the time since </w:t>
      </w:r>
      <w:r w:rsidRPr="002E72CF">
        <w:rPr>
          <w:rFonts w:cstheme="minorHAnsi"/>
          <w:sz w:val="24"/>
          <w:szCs w:val="24"/>
          <w:lang w:val="en-GB"/>
        </w:rPr>
        <w:lastRenderedPageBreak/>
        <w:t xml:space="preserve">last dose for sparse pharmacokinetic sampling as the last dose was self-administered by patients at home and time of last dose was based on patients’ reports. Furthermore, the study recruited more female than male patients. However, these limitations did not hinder the detection of the influence of composite </w:t>
      </w:r>
      <w:r w:rsidRPr="002E72CF">
        <w:rPr>
          <w:rFonts w:cstheme="minorHAnsi"/>
          <w:i/>
          <w:sz w:val="24"/>
          <w:szCs w:val="24"/>
          <w:lang w:val="en-GB"/>
        </w:rPr>
        <w:t>CYP2B6</w:t>
      </w:r>
      <w:r w:rsidRPr="002E72CF">
        <w:rPr>
          <w:rFonts w:cstheme="minorHAnsi"/>
          <w:sz w:val="24"/>
          <w:szCs w:val="24"/>
          <w:lang w:val="en-GB"/>
        </w:rPr>
        <w:t xml:space="preserve"> c.516G/983 genotypes as biomarkers to predict the CYP2B6-mediated metabolism of nevirapine, alone and in the presence of artemether-lumefantrine.</w:t>
      </w:r>
    </w:p>
    <w:p w14:paraId="51814F8B" w14:textId="13388901" w:rsidR="002E72CF" w:rsidRPr="002E72CF" w:rsidRDefault="002E72CF" w:rsidP="002E72CF">
      <w:pPr>
        <w:autoSpaceDE w:val="0"/>
        <w:autoSpaceDN w:val="0"/>
        <w:adjustRightInd w:val="0"/>
        <w:spacing w:line="480" w:lineRule="auto"/>
        <w:jc w:val="both"/>
        <w:rPr>
          <w:rFonts w:cstheme="minorHAnsi"/>
          <w:sz w:val="24"/>
          <w:szCs w:val="24"/>
          <w:lang w:val="en-GB"/>
        </w:rPr>
      </w:pPr>
      <w:r w:rsidRPr="002E72CF">
        <w:rPr>
          <w:rFonts w:cstheme="minorHAnsi"/>
          <w:sz w:val="24"/>
          <w:szCs w:val="24"/>
          <w:lang w:val="en-GB"/>
        </w:rPr>
        <w:t xml:space="preserve">In summary, study results demonstrate lack of clinical significance, in the influence of artemether-lumefantrine on nevirapine exposures of both </w:t>
      </w:r>
      <w:r w:rsidRPr="002E72CF">
        <w:rPr>
          <w:rFonts w:cstheme="minorHAnsi"/>
          <w:i/>
          <w:sz w:val="24"/>
          <w:szCs w:val="24"/>
          <w:lang w:val="en-GB"/>
        </w:rPr>
        <w:t>CYP2B6</w:t>
      </w:r>
      <w:r w:rsidRPr="002E72CF">
        <w:rPr>
          <w:rFonts w:cstheme="minorHAnsi"/>
          <w:sz w:val="24"/>
          <w:szCs w:val="24"/>
          <w:lang w:val="en-GB"/>
        </w:rPr>
        <w:t xml:space="preserve"> c.516/983 EMs and PMs although EMs had greater proportion of patients with trough plasma nevirapine concentration below the putative minimum effective concentration compared to PMs. It also supports efficacy and safety of nevirapine when co-administered with artemether-lumefantrine, irrespective of patients’ metabolic status but caution is warranted in malaria endemic areas.</w:t>
      </w:r>
      <w:bookmarkStart w:id="10" w:name="_Hlk498174946"/>
      <w:bookmarkEnd w:id="9"/>
    </w:p>
    <w:p w14:paraId="68D573D7" w14:textId="77777777" w:rsidR="002E72CF" w:rsidRPr="002E72CF" w:rsidRDefault="002E72CF" w:rsidP="002E72CF">
      <w:pPr>
        <w:autoSpaceDE w:val="0"/>
        <w:autoSpaceDN w:val="0"/>
        <w:adjustRightInd w:val="0"/>
        <w:spacing w:line="480" w:lineRule="auto"/>
        <w:jc w:val="both"/>
        <w:rPr>
          <w:rFonts w:cstheme="minorHAnsi"/>
          <w:sz w:val="24"/>
          <w:szCs w:val="24"/>
          <w:lang w:val="en-GB" w:eastAsia="en-GB"/>
        </w:rPr>
      </w:pPr>
      <w:r w:rsidRPr="002E72CF">
        <w:rPr>
          <w:rFonts w:cstheme="minorHAnsi"/>
          <w:b/>
          <w:sz w:val="24"/>
          <w:szCs w:val="24"/>
          <w:lang w:val="en-GB" w:eastAsia="en-GB"/>
        </w:rPr>
        <w:t xml:space="preserve">Acknowledgements: </w:t>
      </w:r>
      <w:r w:rsidRPr="002E72CF">
        <w:rPr>
          <w:rFonts w:cstheme="minorHAnsi"/>
          <w:sz w:val="24"/>
          <w:szCs w:val="24"/>
          <w:lang w:val="en-GB" w:eastAsia="en-GB"/>
        </w:rPr>
        <w:t xml:space="preserve">We thank the patients and staff of the </w:t>
      </w:r>
      <w:r w:rsidRPr="002E72CF">
        <w:rPr>
          <w:rFonts w:eastAsia="Calibri" w:cstheme="minorHAnsi"/>
          <w:sz w:val="24"/>
          <w:szCs w:val="24"/>
          <w:lang w:val="en-GB"/>
        </w:rPr>
        <w:t>Institute of Human Virology, Nigeria (IHVN)</w:t>
      </w:r>
      <w:r w:rsidRPr="002E72CF">
        <w:rPr>
          <w:rFonts w:cstheme="minorHAnsi"/>
          <w:sz w:val="24"/>
          <w:szCs w:val="24"/>
          <w:lang w:val="en-GB" w:eastAsia="en-GB"/>
        </w:rPr>
        <w:t xml:space="preserve"> Research Clinic, Obafemi Awolowo University, Ile-Ife who participated in this study. The study was supported by a grant from the HIV Research Trust, United Kingdom to Julius O. Soyinka and capacity development grant to Adeniyi Olagunju and Julius O. Soyinka from Novartis Pharma. Liverpool Bioanalytical Facility.</w:t>
      </w:r>
      <w:bookmarkEnd w:id="10"/>
    </w:p>
    <w:p w14:paraId="5FC9F1F8" w14:textId="77777777" w:rsidR="002E72CF" w:rsidRPr="002E72CF" w:rsidRDefault="002E72CF" w:rsidP="002E72CF">
      <w:pPr>
        <w:autoSpaceDE w:val="0"/>
        <w:autoSpaceDN w:val="0"/>
        <w:adjustRightInd w:val="0"/>
        <w:spacing w:after="0" w:line="480" w:lineRule="auto"/>
        <w:jc w:val="both"/>
        <w:rPr>
          <w:rFonts w:cstheme="minorHAnsi"/>
          <w:b/>
          <w:sz w:val="24"/>
          <w:szCs w:val="24"/>
          <w:lang w:val="en-GB" w:eastAsia="en-GB"/>
        </w:rPr>
      </w:pPr>
      <w:r w:rsidRPr="002E72CF">
        <w:rPr>
          <w:b/>
          <w:lang w:val="en-GB"/>
        </w:rPr>
        <w:t>Conflicts of interest</w:t>
      </w:r>
    </w:p>
    <w:p w14:paraId="6154A264" w14:textId="77777777" w:rsidR="002E72CF" w:rsidRPr="002E72CF" w:rsidRDefault="002E72CF" w:rsidP="002E72CF">
      <w:pPr>
        <w:autoSpaceDE w:val="0"/>
        <w:autoSpaceDN w:val="0"/>
        <w:adjustRightInd w:val="0"/>
        <w:spacing w:line="480" w:lineRule="auto"/>
        <w:jc w:val="both"/>
        <w:rPr>
          <w:rFonts w:cstheme="minorHAnsi"/>
          <w:b/>
          <w:sz w:val="24"/>
          <w:szCs w:val="24"/>
          <w:lang w:val="en-GB" w:eastAsia="en-GB"/>
        </w:rPr>
      </w:pPr>
      <w:r w:rsidRPr="002E72CF">
        <w:rPr>
          <w:rFonts w:cstheme="minorHAnsi"/>
          <w:sz w:val="24"/>
          <w:szCs w:val="24"/>
          <w:lang w:val="en-GB" w:eastAsia="en-GB"/>
        </w:rPr>
        <w:t xml:space="preserve">Adeniyi Olagunju and Julius Soyinka received a capacity development grant from Novartis Pharma AG for parts of this work. Saye Khoo and Andrew Owen have received research grants and/or travel bursaries from Merck, Bristol Myers and Squibb, GlaxoSmithKline, Pfizer, </w:t>
      </w:r>
      <w:r w:rsidRPr="002E72CF">
        <w:rPr>
          <w:rFonts w:cstheme="minorHAnsi"/>
          <w:sz w:val="24"/>
          <w:szCs w:val="24"/>
          <w:lang w:val="en-GB" w:eastAsia="en-GB"/>
        </w:rPr>
        <w:lastRenderedPageBreak/>
        <w:t xml:space="preserve">Abbott, </w:t>
      </w:r>
      <w:proofErr w:type="spellStart"/>
      <w:r w:rsidRPr="002E72CF">
        <w:rPr>
          <w:rFonts w:cstheme="minorHAnsi"/>
          <w:sz w:val="24"/>
          <w:szCs w:val="24"/>
          <w:lang w:val="en-GB" w:eastAsia="en-GB"/>
        </w:rPr>
        <w:t>ViiV</w:t>
      </w:r>
      <w:proofErr w:type="spellEnd"/>
      <w:r w:rsidRPr="002E72CF">
        <w:rPr>
          <w:rFonts w:cstheme="minorHAnsi"/>
          <w:sz w:val="24"/>
          <w:szCs w:val="24"/>
          <w:lang w:val="en-GB" w:eastAsia="en-GB"/>
        </w:rPr>
        <w:t>, Boehringer Ingelheim and Janssen Pharmaceuticals. The remaining authors have no competing interests to disclose. All other authors have no conflicts of interest to declare.</w:t>
      </w:r>
    </w:p>
    <w:p w14:paraId="06E6B45E" w14:textId="77777777" w:rsidR="002E72CF" w:rsidRPr="002E72CF" w:rsidRDefault="002E72CF" w:rsidP="002E72CF">
      <w:pPr>
        <w:autoSpaceDE w:val="0"/>
        <w:autoSpaceDN w:val="0"/>
        <w:adjustRightInd w:val="0"/>
        <w:spacing w:after="0" w:line="480" w:lineRule="auto"/>
        <w:jc w:val="both"/>
        <w:rPr>
          <w:rFonts w:cstheme="minorHAnsi"/>
          <w:b/>
          <w:sz w:val="24"/>
          <w:szCs w:val="24"/>
          <w:lang w:val="en-GB" w:eastAsia="en-GB"/>
        </w:rPr>
      </w:pPr>
      <w:r w:rsidRPr="002E72CF">
        <w:rPr>
          <w:rFonts w:cstheme="minorHAnsi"/>
          <w:b/>
          <w:sz w:val="24"/>
          <w:szCs w:val="24"/>
          <w:lang w:val="en-GB" w:eastAsia="en-GB"/>
        </w:rPr>
        <w:t>References</w:t>
      </w:r>
    </w:p>
    <w:p w14:paraId="5BA22C0D" w14:textId="2A3AD92C" w:rsidR="002E72CF" w:rsidRPr="002E72CF" w:rsidRDefault="002E72CF" w:rsidP="002E72CF">
      <w:pPr>
        <w:numPr>
          <w:ilvl w:val="0"/>
          <w:numId w:val="1"/>
        </w:numPr>
        <w:spacing w:after="200" w:line="480" w:lineRule="auto"/>
        <w:contextualSpacing/>
        <w:jc w:val="both"/>
        <w:rPr>
          <w:rFonts w:eastAsia="Calibri" w:cstheme="minorHAnsi"/>
          <w:sz w:val="24"/>
          <w:szCs w:val="24"/>
          <w:lang w:val="en-GB"/>
        </w:rPr>
      </w:pPr>
      <w:r w:rsidRPr="002E72CF">
        <w:rPr>
          <w:rFonts w:eastAsia="Calibri" w:cstheme="minorHAnsi"/>
          <w:sz w:val="24"/>
          <w:szCs w:val="24"/>
          <w:lang w:val="en-GB"/>
        </w:rPr>
        <w:t>WHO. World Health Organization’s World Malaria Report 2015. Geneva, Switzerland. [Online]. Available: http://www.who.int/malaria/publications/world-malaria-report-2015/report/en/ [Accessed 12 October 2016]</w:t>
      </w:r>
      <w:r>
        <w:rPr>
          <w:rFonts w:eastAsia="Calibri" w:cstheme="minorHAnsi"/>
          <w:sz w:val="24"/>
          <w:szCs w:val="24"/>
          <w:lang w:val="en-GB"/>
        </w:rPr>
        <w:t>.</w:t>
      </w:r>
    </w:p>
    <w:p w14:paraId="7780C782" w14:textId="67086D44" w:rsidR="002E72CF" w:rsidRPr="002E72CF" w:rsidRDefault="002E72CF" w:rsidP="002E72CF">
      <w:pPr>
        <w:numPr>
          <w:ilvl w:val="0"/>
          <w:numId w:val="1"/>
        </w:numPr>
        <w:spacing w:after="200" w:line="480" w:lineRule="auto"/>
        <w:contextualSpacing/>
        <w:jc w:val="both"/>
        <w:rPr>
          <w:rFonts w:eastAsia="Calibri" w:cstheme="minorHAnsi"/>
          <w:sz w:val="24"/>
          <w:szCs w:val="24"/>
          <w:lang w:val="en-GB"/>
        </w:rPr>
      </w:pPr>
      <w:r w:rsidRPr="002E72CF">
        <w:rPr>
          <w:rFonts w:eastAsia="Calibri" w:cstheme="minorHAnsi"/>
          <w:sz w:val="24"/>
          <w:szCs w:val="24"/>
          <w:lang w:val="en-GB"/>
        </w:rPr>
        <w:t>UNAIDS. UN Joint Programme on HIV/AIDS, Global AIDS Update – 2016, June 2016 [Online]. Available: http://www.refworld.org/docid/574e8d394.html [Accessed 3 April 2017]</w:t>
      </w:r>
      <w:r>
        <w:rPr>
          <w:rFonts w:eastAsia="Calibri" w:cstheme="minorHAnsi"/>
          <w:sz w:val="24"/>
          <w:szCs w:val="24"/>
          <w:lang w:val="en-GB"/>
        </w:rPr>
        <w:t>.</w:t>
      </w:r>
    </w:p>
    <w:p w14:paraId="2272CFCC" w14:textId="77777777" w:rsidR="002E72CF" w:rsidRPr="002E72CF" w:rsidRDefault="002E72CF" w:rsidP="002E72CF">
      <w:pPr>
        <w:numPr>
          <w:ilvl w:val="0"/>
          <w:numId w:val="1"/>
        </w:numPr>
        <w:spacing w:after="200" w:line="480" w:lineRule="auto"/>
        <w:contextualSpacing/>
        <w:jc w:val="both"/>
        <w:rPr>
          <w:rFonts w:eastAsia="Calibri" w:cstheme="minorHAnsi"/>
          <w:sz w:val="24"/>
          <w:szCs w:val="24"/>
          <w:lang w:val="en-GB"/>
        </w:rPr>
      </w:pPr>
      <w:proofErr w:type="spellStart"/>
      <w:r w:rsidRPr="002E72CF">
        <w:rPr>
          <w:rFonts w:eastAsia="Calibri" w:cstheme="minorHAnsi"/>
          <w:sz w:val="24"/>
          <w:szCs w:val="24"/>
          <w:lang w:val="en-GB"/>
        </w:rPr>
        <w:t>Chandramohan</w:t>
      </w:r>
      <w:proofErr w:type="spellEnd"/>
      <w:r w:rsidRPr="002E72CF">
        <w:rPr>
          <w:rFonts w:eastAsia="Calibri" w:cstheme="minorHAnsi"/>
          <w:sz w:val="24"/>
          <w:szCs w:val="24"/>
          <w:lang w:val="en-GB"/>
        </w:rPr>
        <w:t xml:space="preserve"> D, Greenwood BM. Is there an interaction between human immunodeficiency virus and Plasmodium falciparum?</w:t>
      </w:r>
      <w:r w:rsidRPr="002E72CF">
        <w:rPr>
          <w:rFonts w:cstheme="minorHAnsi"/>
          <w:sz w:val="24"/>
          <w:szCs w:val="24"/>
          <w:lang w:val="en-GB"/>
        </w:rPr>
        <w:t xml:space="preserve"> </w:t>
      </w:r>
      <w:r w:rsidRPr="002E72CF">
        <w:rPr>
          <w:rFonts w:eastAsia="Calibri" w:cstheme="minorHAnsi"/>
          <w:sz w:val="24"/>
          <w:szCs w:val="24"/>
          <w:lang w:val="en-GB"/>
        </w:rPr>
        <w:t xml:space="preserve">Int J </w:t>
      </w:r>
      <w:proofErr w:type="spellStart"/>
      <w:r w:rsidRPr="002E72CF">
        <w:rPr>
          <w:rFonts w:eastAsia="Calibri" w:cstheme="minorHAnsi"/>
          <w:sz w:val="24"/>
          <w:szCs w:val="24"/>
          <w:lang w:val="en-GB"/>
        </w:rPr>
        <w:t>Epidemiol</w:t>
      </w:r>
      <w:proofErr w:type="spellEnd"/>
      <w:r w:rsidRPr="002E72CF">
        <w:rPr>
          <w:rFonts w:eastAsia="Calibri" w:cstheme="minorHAnsi"/>
          <w:sz w:val="24"/>
          <w:szCs w:val="24"/>
          <w:lang w:val="en-GB"/>
        </w:rPr>
        <w:t xml:space="preserve"> 1998; 27:296-301.</w:t>
      </w:r>
    </w:p>
    <w:p w14:paraId="299A8B78" w14:textId="4CF25F33" w:rsidR="002E72CF" w:rsidRPr="002E72CF" w:rsidRDefault="002E72CF" w:rsidP="002E72CF">
      <w:pPr>
        <w:numPr>
          <w:ilvl w:val="0"/>
          <w:numId w:val="1"/>
        </w:numPr>
        <w:spacing w:line="480" w:lineRule="auto"/>
        <w:contextualSpacing/>
        <w:jc w:val="both"/>
        <w:rPr>
          <w:rFonts w:cstheme="minorHAnsi"/>
          <w:sz w:val="24"/>
          <w:szCs w:val="24"/>
          <w:lang w:val="en-GB"/>
        </w:rPr>
      </w:pPr>
      <w:r w:rsidRPr="002E72CF">
        <w:rPr>
          <w:rFonts w:cstheme="minorHAnsi"/>
          <w:sz w:val="24"/>
          <w:szCs w:val="24"/>
          <w:lang w:val="en-GB"/>
        </w:rPr>
        <w:t>UNAIDS. UN Joint Programme on HIV/AIDS, Prevention Gap Report, January 2016 [Online]. Available: http://www.refworld.org/docid/57862e014.html [Accessed 15 January 2018]</w:t>
      </w:r>
      <w:r>
        <w:rPr>
          <w:rFonts w:cstheme="minorHAnsi"/>
          <w:sz w:val="24"/>
          <w:szCs w:val="24"/>
          <w:lang w:val="en-GB"/>
        </w:rPr>
        <w:t>.</w:t>
      </w:r>
    </w:p>
    <w:p w14:paraId="28E54393" w14:textId="77777777" w:rsidR="002E72CF" w:rsidRPr="002E72CF" w:rsidRDefault="002E72CF" w:rsidP="002E72CF">
      <w:pPr>
        <w:numPr>
          <w:ilvl w:val="0"/>
          <w:numId w:val="1"/>
        </w:numPr>
        <w:spacing w:line="480" w:lineRule="auto"/>
        <w:contextualSpacing/>
        <w:jc w:val="both"/>
        <w:rPr>
          <w:rFonts w:cstheme="minorHAnsi"/>
          <w:sz w:val="24"/>
          <w:szCs w:val="24"/>
          <w:lang w:val="en-GB"/>
        </w:rPr>
      </w:pPr>
      <w:r w:rsidRPr="002E72CF">
        <w:rPr>
          <w:rFonts w:cstheme="minorHAnsi"/>
          <w:sz w:val="24"/>
          <w:szCs w:val="24"/>
          <w:lang w:val="en-GB"/>
        </w:rPr>
        <w:t>WHO. World Health Organization’s Guideline for the treatment of malaria. Third edition. 2015; Geneva, Switzerland.</w:t>
      </w:r>
    </w:p>
    <w:p w14:paraId="7E5E3517" w14:textId="77777777" w:rsidR="002E72CF" w:rsidRPr="002E72CF" w:rsidRDefault="002E72CF" w:rsidP="002E72CF">
      <w:pPr>
        <w:numPr>
          <w:ilvl w:val="0"/>
          <w:numId w:val="1"/>
        </w:numPr>
        <w:spacing w:line="480" w:lineRule="auto"/>
        <w:contextualSpacing/>
        <w:jc w:val="both"/>
        <w:rPr>
          <w:rFonts w:cstheme="minorHAnsi"/>
          <w:sz w:val="24"/>
          <w:szCs w:val="24"/>
          <w:lang w:val="en-GB"/>
        </w:rPr>
      </w:pPr>
      <w:bookmarkStart w:id="11" w:name="_Hlk481488485"/>
      <w:r w:rsidRPr="002E72CF">
        <w:rPr>
          <w:rFonts w:cstheme="minorHAnsi"/>
          <w:sz w:val="24"/>
          <w:szCs w:val="24"/>
          <w:lang w:val="en-GB"/>
        </w:rPr>
        <w:t>WHO. World Health Organization Consolidated guidelines on the use of antiretroviral drugs for treating and preventing HIV infection: recommendations for a public health approach. Second edition. 2016; Geneva, Switzerland. [Online]. Available: https://www.ncbi.nlm.nih.gov/books/NBK374294/ [Accessed 24 November 2017].</w:t>
      </w:r>
      <w:bookmarkEnd w:id="11"/>
    </w:p>
    <w:p w14:paraId="7F27B9A0" w14:textId="77777777" w:rsidR="002E72CF" w:rsidRPr="002E72CF" w:rsidRDefault="002E72CF" w:rsidP="002E72CF">
      <w:pPr>
        <w:numPr>
          <w:ilvl w:val="0"/>
          <w:numId w:val="1"/>
        </w:numPr>
        <w:spacing w:line="480" w:lineRule="auto"/>
        <w:contextualSpacing/>
        <w:jc w:val="both"/>
        <w:rPr>
          <w:rFonts w:cstheme="minorHAnsi"/>
          <w:sz w:val="24"/>
          <w:szCs w:val="24"/>
          <w:lang w:val="en-GB"/>
        </w:rPr>
      </w:pPr>
      <w:proofErr w:type="spellStart"/>
      <w:r w:rsidRPr="002E72CF">
        <w:rPr>
          <w:rFonts w:cstheme="minorHAnsi"/>
          <w:sz w:val="24"/>
          <w:szCs w:val="24"/>
          <w:lang w:val="en-GB"/>
        </w:rPr>
        <w:t>Riska</w:t>
      </w:r>
      <w:proofErr w:type="spellEnd"/>
      <w:r w:rsidRPr="002E72CF">
        <w:rPr>
          <w:rFonts w:cstheme="minorHAnsi"/>
          <w:sz w:val="24"/>
          <w:szCs w:val="24"/>
          <w:lang w:val="en-GB"/>
        </w:rPr>
        <w:t xml:space="preserve"> P, </w:t>
      </w:r>
      <w:proofErr w:type="spellStart"/>
      <w:r w:rsidRPr="002E72CF">
        <w:rPr>
          <w:rFonts w:cstheme="minorHAnsi"/>
          <w:sz w:val="24"/>
          <w:szCs w:val="24"/>
          <w:lang w:val="en-GB"/>
        </w:rPr>
        <w:t>Lamson</w:t>
      </w:r>
      <w:proofErr w:type="spellEnd"/>
      <w:r w:rsidRPr="002E72CF">
        <w:rPr>
          <w:rFonts w:cstheme="minorHAnsi"/>
          <w:sz w:val="24"/>
          <w:szCs w:val="24"/>
          <w:lang w:val="en-GB"/>
        </w:rPr>
        <w:t xml:space="preserve"> M, MacGregor T, Sabo J, </w:t>
      </w:r>
      <w:proofErr w:type="spellStart"/>
      <w:r w:rsidRPr="002E72CF">
        <w:rPr>
          <w:rFonts w:cstheme="minorHAnsi"/>
          <w:sz w:val="24"/>
          <w:szCs w:val="24"/>
          <w:lang w:val="en-GB"/>
        </w:rPr>
        <w:t>Hattox</w:t>
      </w:r>
      <w:proofErr w:type="spellEnd"/>
      <w:r w:rsidRPr="002E72CF">
        <w:rPr>
          <w:rFonts w:cstheme="minorHAnsi"/>
          <w:sz w:val="24"/>
          <w:szCs w:val="24"/>
          <w:lang w:val="en-GB"/>
        </w:rPr>
        <w:t xml:space="preserve"> S, Pav J, </w:t>
      </w:r>
      <w:r w:rsidRPr="002E72CF">
        <w:rPr>
          <w:rFonts w:cstheme="minorHAnsi"/>
          <w:i/>
          <w:sz w:val="24"/>
          <w:szCs w:val="24"/>
          <w:lang w:val="en-GB"/>
        </w:rPr>
        <w:t>et al.</w:t>
      </w:r>
      <w:r w:rsidRPr="002E72CF">
        <w:rPr>
          <w:rFonts w:cstheme="minorHAnsi"/>
          <w:sz w:val="24"/>
          <w:szCs w:val="24"/>
          <w:lang w:val="en-GB"/>
        </w:rPr>
        <w:t xml:space="preserve"> Disposition and biotransformation of the antiretroviral drug nevirapine in humans. </w:t>
      </w:r>
      <w:r w:rsidRPr="002E72CF">
        <w:rPr>
          <w:rFonts w:cstheme="minorHAnsi"/>
          <w:iCs/>
          <w:sz w:val="24"/>
          <w:szCs w:val="24"/>
          <w:lang w:val="en-GB"/>
        </w:rPr>
        <w:t xml:space="preserve">Drug </w:t>
      </w:r>
      <w:proofErr w:type="spellStart"/>
      <w:r w:rsidRPr="002E72CF">
        <w:rPr>
          <w:rFonts w:cstheme="minorHAnsi"/>
          <w:iCs/>
          <w:sz w:val="24"/>
          <w:szCs w:val="24"/>
          <w:lang w:val="en-GB"/>
        </w:rPr>
        <w:t>Metabol</w:t>
      </w:r>
      <w:proofErr w:type="spellEnd"/>
      <w:r w:rsidRPr="002E72CF">
        <w:rPr>
          <w:rFonts w:cstheme="minorHAnsi"/>
          <w:iCs/>
          <w:sz w:val="24"/>
          <w:szCs w:val="24"/>
          <w:lang w:val="en-GB"/>
        </w:rPr>
        <w:t xml:space="preserve"> </w:t>
      </w:r>
      <w:proofErr w:type="spellStart"/>
      <w:r w:rsidRPr="002E72CF">
        <w:rPr>
          <w:rFonts w:cstheme="minorHAnsi"/>
          <w:iCs/>
          <w:sz w:val="24"/>
          <w:szCs w:val="24"/>
          <w:lang w:val="en-GB"/>
        </w:rPr>
        <w:t>Dispos</w:t>
      </w:r>
      <w:proofErr w:type="spellEnd"/>
      <w:r w:rsidRPr="002E72CF">
        <w:rPr>
          <w:rFonts w:cstheme="minorHAnsi"/>
          <w:i/>
          <w:iCs/>
          <w:sz w:val="24"/>
          <w:szCs w:val="24"/>
          <w:lang w:val="en-GB"/>
        </w:rPr>
        <w:t xml:space="preserve"> </w:t>
      </w:r>
      <w:r w:rsidRPr="002E72CF">
        <w:rPr>
          <w:rFonts w:cstheme="minorHAnsi"/>
          <w:iCs/>
          <w:sz w:val="24"/>
          <w:szCs w:val="24"/>
          <w:lang w:val="en-GB"/>
        </w:rPr>
        <w:t>1999; 27:895-901.</w:t>
      </w:r>
    </w:p>
    <w:p w14:paraId="32091C26" w14:textId="17F40213" w:rsidR="002E72CF" w:rsidRPr="002E72CF" w:rsidRDefault="002E72CF" w:rsidP="002E72CF">
      <w:pPr>
        <w:numPr>
          <w:ilvl w:val="0"/>
          <w:numId w:val="1"/>
        </w:numPr>
        <w:spacing w:line="480" w:lineRule="auto"/>
        <w:contextualSpacing/>
        <w:jc w:val="both"/>
        <w:rPr>
          <w:rFonts w:cstheme="minorHAnsi"/>
          <w:sz w:val="24"/>
          <w:szCs w:val="24"/>
          <w:lang w:val="en-GB"/>
        </w:rPr>
      </w:pPr>
      <w:r w:rsidRPr="002E72CF">
        <w:rPr>
          <w:rFonts w:cstheme="minorHAnsi"/>
          <w:sz w:val="24"/>
          <w:szCs w:val="24"/>
          <w:lang w:val="en-GB"/>
        </w:rPr>
        <w:lastRenderedPageBreak/>
        <w:t xml:space="preserve">Erickson DA, Mather G, Trager WF, Levy RH, </w:t>
      </w:r>
      <w:proofErr w:type="spellStart"/>
      <w:r w:rsidRPr="002E72CF">
        <w:rPr>
          <w:rFonts w:cstheme="minorHAnsi"/>
          <w:sz w:val="24"/>
          <w:szCs w:val="24"/>
          <w:lang w:val="en-GB"/>
        </w:rPr>
        <w:t>Keirns</w:t>
      </w:r>
      <w:proofErr w:type="spellEnd"/>
      <w:r w:rsidRPr="002E72CF">
        <w:rPr>
          <w:rFonts w:cstheme="minorHAnsi"/>
          <w:sz w:val="24"/>
          <w:szCs w:val="24"/>
          <w:lang w:val="en-GB"/>
        </w:rPr>
        <w:t xml:space="preserve"> JJ. Characterization of the in vitro biotransformation of the HIV-1 reverse transcriptase inhibitor nevirapine by human hepatic cytochromes P-450. Drug </w:t>
      </w:r>
      <w:proofErr w:type="spellStart"/>
      <w:r w:rsidRPr="002E72CF">
        <w:rPr>
          <w:rFonts w:cstheme="minorHAnsi"/>
          <w:sz w:val="24"/>
          <w:szCs w:val="24"/>
          <w:lang w:val="en-GB"/>
        </w:rPr>
        <w:t>Metabol</w:t>
      </w:r>
      <w:proofErr w:type="spellEnd"/>
      <w:r w:rsidRPr="002E72CF">
        <w:rPr>
          <w:rFonts w:cstheme="minorHAnsi"/>
          <w:sz w:val="24"/>
          <w:szCs w:val="24"/>
          <w:lang w:val="en-GB"/>
        </w:rPr>
        <w:t xml:space="preserve"> </w:t>
      </w:r>
      <w:proofErr w:type="spellStart"/>
      <w:r w:rsidRPr="002E72CF">
        <w:rPr>
          <w:rFonts w:cstheme="minorHAnsi"/>
          <w:sz w:val="24"/>
          <w:szCs w:val="24"/>
          <w:lang w:val="en-GB"/>
        </w:rPr>
        <w:t>Dispos</w:t>
      </w:r>
      <w:proofErr w:type="spellEnd"/>
      <w:r w:rsidRPr="002E72CF">
        <w:rPr>
          <w:rFonts w:cstheme="minorHAnsi"/>
          <w:sz w:val="24"/>
          <w:szCs w:val="24"/>
          <w:lang w:val="en-GB"/>
        </w:rPr>
        <w:t xml:space="preserve"> 1999; 27:1488-95</w:t>
      </w:r>
      <w:r>
        <w:rPr>
          <w:rFonts w:cstheme="minorHAnsi"/>
          <w:sz w:val="24"/>
          <w:szCs w:val="24"/>
          <w:lang w:val="en-GB"/>
        </w:rPr>
        <w:t>.</w:t>
      </w:r>
    </w:p>
    <w:p w14:paraId="22899C5F" w14:textId="77777777" w:rsidR="002E72CF" w:rsidRPr="002E72CF" w:rsidRDefault="002E72CF" w:rsidP="002E72CF">
      <w:pPr>
        <w:numPr>
          <w:ilvl w:val="0"/>
          <w:numId w:val="1"/>
        </w:numPr>
        <w:spacing w:line="480" w:lineRule="auto"/>
        <w:contextualSpacing/>
        <w:jc w:val="both"/>
        <w:rPr>
          <w:rFonts w:cstheme="minorHAnsi"/>
          <w:sz w:val="24"/>
          <w:szCs w:val="24"/>
          <w:lang w:val="en-GB"/>
        </w:rPr>
      </w:pPr>
      <w:proofErr w:type="spellStart"/>
      <w:r w:rsidRPr="002E72CF">
        <w:rPr>
          <w:rFonts w:eastAsia="Calibri" w:cstheme="minorHAnsi"/>
          <w:sz w:val="24"/>
          <w:szCs w:val="24"/>
          <w:lang w:val="en-GB"/>
        </w:rPr>
        <w:t>Svensson</w:t>
      </w:r>
      <w:proofErr w:type="spellEnd"/>
      <w:r w:rsidRPr="002E72CF">
        <w:rPr>
          <w:rFonts w:eastAsia="Calibri" w:cstheme="minorHAnsi"/>
          <w:sz w:val="24"/>
          <w:szCs w:val="24"/>
          <w:lang w:val="en-GB"/>
        </w:rPr>
        <w:t xml:space="preserve"> US, Ashton M. Identification of the human cytochrome P450 enzymes involved in the in vitro metabolism of artemisinin. Br J Clin </w:t>
      </w:r>
      <w:proofErr w:type="spellStart"/>
      <w:r w:rsidRPr="002E72CF">
        <w:rPr>
          <w:rFonts w:eastAsia="Calibri" w:cstheme="minorHAnsi"/>
          <w:sz w:val="24"/>
          <w:szCs w:val="24"/>
          <w:lang w:val="en-GB"/>
        </w:rPr>
        <w:t>Pharmacol</w:t>
      </w:r>
      <w:proofErr w:type="spellEnd"/>
      <w:r w:rsidRPr="002E72CF">
        <w:rPr>
          <w:rFonts w:eastAsia="Calibri" w:cstheme="minorHAnsi"/>
          <w:sz w:val="24"/>
          <w:szCs w:val="24"/>
          <w:lang w:val="en-GB"/>
        </w:rPr>
        <w:t xml:space="preserve"> 1999; 48:528-35.</w:t>
      </w:r>
    </w:p>
    <w:p w14:paraId="1440B5B1" w14:textId="77777777" w:rsidR="002E72CF" w:rsidRPr="002E72CF" w:rsidRDefault="002E72CF" w:rsidP="002E72CF">
      <w:pPr>
        <w:numPr>
          <w:ilvl w:val="0"/>
          <w:numId w:val="1"/>
        </w:numPr>
        <w:spacing w:line="480" w:lineRule="auto"/>
        <w:contextualSpacing/>
        <w:jc w:val="both"/>
        <w:rPr>
          <w:rFonts w:cstheme="minorHAnsi"/>
          <w:sz w:val="24"/>
          <w:szCs w:val="24"/>
          <w:lang w:val="en-GB"/>
        </w:rPr>
      </w:pPr>
      <w:proofErr w:type="spellStart"/>
      <w:r w:rsidRPr="002E72CF">
        <w:rPr>
          <w:rFonts w:eastAsia="Calibri" w:cstheme="minorHAnsi"/>
          <w:sz w:val="24"/>
          <w:szCs w:val="24"/>
          <w:lang w:val="en-GB"/>
        </w:rPr>
        <w:t>Simonsson</w:t>
      </w:r>
      <w:proofErr w:type="spellEnd"/>
      <w:r w:rsidRPr="002E72CF">
        <w:rPr>
          <w:rFonts w:eastAsia="Calibri" w:cstheme="minorHAnsi"/>
          <w:sz w:val="24"/>
          <w:szCs w:val="24"/>
          <w:lang w:val="en-GB"/>
        </w:rPr>
        <w:t xml:space="preserve"> US, Jansson B, Hai TN, Huong DX, </w:t>
      </w:r>
      <w:proofErr w:type="spellStart"/>
      <w:r w:rsidRPr="002E72CF">
        <w:rPr>
          <w:rFonts w:eastAsia="Calibri" w:cstheme="minorHAnsi"/>
          <w:sz w:val="24"/>
          <w:szCs w:val="24"/>
          <w:lang w:val="en-GB"/>
        </w:rPr>
        <w:t>Tybring</w:t>
      </w:r>
      <w:proofErr w:type="spellEnd"/>
      <w:r w:rsidRPr="002E72CF">
        <w:rPr>
          <w:rFonts w:eastAsia="Calibri" w:cstheme="minorHAnsi"/>
          <w:sz w:val="24"/>
          <w:szCs w:val="24"/>
          <w:lang w:val="en-GB"/>
        </w:rPr>
        <w:t xml:space="preserve"> G, Ashton M. Artemisinin autoinduction is caused by involvement of cytochrome P450 2B6 but not 2C9. Clin </w:t>
      </w:r>
      <w:proofErr w:type="spellStart"/>
      <w:r w:rsidRPr="002E72CF">
        <w:rPr>
          <w:rFonts w:eastAsia="Calibri" w:cstheme="minorHAnsi"/>
          <w:sz w:val="24"/>
          <w:szCs w:val="24"/>
          <w:lang w:val="en-GB"/>
        </w:rPr>
        <w:t>Pharmacol</w:t>
      </w:r>
      <w:proofErr w:type="spellEnd"/>
      <w:r w:rsidRPr="002E72CF">
        <w:rPr>
          <w:rFonts w:eastAsia="Calibri" w:cstheme="minorHAnsi"/>
          <w:sz w:val="24"/>
          <w:szCs w:val="24"/>
          <w:lang w:val="en-GB"/>
        </w:rPr>
        <w:t xml:space="preserve"> </w:t>
      </w:r>
      <w:proofErr w:type="spellStart"/>
      <w:r w:rsidRPr="002E72CF">
        <w:rPr>
          <w:rFonts w:eastAsia="Calibri" w:cstheme="minorHAnsi"/>
          <w:sz w:val="24"/>
          <w:szCs w:val="24"/>
          <w:lang w:val="en-GB"/>
        </w:rPr>
        <w:t>Ther</w:t>
      </w:r>
      <w:proofErr w:type="spellEnd"/>
      <w:r w:rsidRPr="002E72CF">
        <w:rPr>
          <w:rFonts w:eastAsia="Calibri" w:cstheme="minorHAnsi"/>
          <w:i/>
          <w:sz w:val="24"/>
          <w:szCs w:val="24"/>
          <w:lang w:val="en-GB"/>
        </w:rPr>
        <w:t xml:space="preserve"> </w:t>
      </w:r>
      <w:r w:rsidRPr="002E72CF">
        <w:rPr>
          <w:rFonts w:eastAsia="Calibri" w:cstheme="minorHAnsi"/>
          <w:sz w:val="24"/>
          <w:szCs w:val="24"/>
          <w:lang w:val="en-GB"/>
        </w:rPr>
        <w:t xml:space="preserve">2003; 74:32-43. </w:t>
      </w:r>
    </w:p>
    <w:p w14:paraId="1186FE3A" w14:textId="77777777" w:rsidR="002E72CF" w:rsidRPr="002E72CF" w:rsidRDefault="002E72CF" w:rsidP="002E72CF">
      <w:pPr>
        <w:numPr>
          <w:ilvl w:val="0"/>
          <w:numId w:val="1"/>
        </w:numPr>
        <w:spacing w:line="480" w:lineRule="auto"/>
        <w:contextualSpacing/>
        <w:jc w:val="both"/>
        <w:rPr>
          <w:rFonts w:cstheme="minorHAnsi"/>
          <w:sz w:val="24"/>
          <w:szCs w:val="24"/>
          <w:lang w:val="en-GB"/>
        </w:rPr>
      </w:pPr>
      <w:proofErr w:type="spellStart"/>
      <w:r w:rsidRPr="002E72CF">
        <w:rPr>
          <w:rFonts w:cstheme="minorHAnsi"/>
          <w:sz w:val="24"/>
          <w:szCs w:val="24"/>
          <w:lang w:val="en-GB"/>
        </w:rPr>
        <w:t>Navaratnam</w:t>
      </w:r>
      <w:proofErr w:type="spellEnd"/>
      <w:r w:rsidRPr="002E72CF">
        <w:rPr>
          <w:rFonts w:cstheme="minorHAnsi"/>
          <w:sz w:val="24"/>
          <w:szCs w:val="24"/>
          <w:lang w:val="en-GB"/>
        </w:rPr>
        <w:t xml:space="preserve"> V, </w:t>
      </w:r>
      <w:proofErr w:type="spellStart"/>
      <w:r w:rsidRPr="002E72CF">
        <w:rPr>
          <w:rFonts w:cstheme="minorHAnsi"/>
          <w:sz w:val="24"/>
          <w:szCs w:val="24"/>
          <w:lang w:val="en-GB"/>
        </w:rPr>
        <w:t>Mansor</w:t>
      </w:r>
      <w:proofErr w:type="spellEnd"/>
      <w:r w:rsidRPr="002E72CF">
        <w:rPr>
          <w:rFonts w:cstheme="minorHAnsi"/>
          <w:sz w:val="24"/>
          <w:szCs w:val="24"/>
          <w:lang w:val="en-GB"/>
        </w:rPr>
        <w:t xml:space="preserve"> SM, Sit NW, Grace J, Li Q, </w:t>
      </w:r>
      <w:proofErr w:type="spellStart"/>
      <w:r w:rsidRPr="002E72CF">
        <w:rPr>
          <w:rFonts w:cstheme="minorHAnsi"/>
          <w:sz w:val="24"/>
          <w:szCs w:val="24"/>
          <w:lang w:val="en-GB"/>
        </w:rPr>
        <w:t>Olliaro</w:t>
      </w:r>
      <w:proofErr w:type="spellEnd"/>
      <w:r w:rsidRPr="002E72CF">
        <w:rPr>
          <w:rFonts w:cstheme="minorHAnsi"/>
          <w:sz w:val="24"/>
          <w:szCs w:val="24"/>
          <w:lang w:val="en-GB"/>
        </w:rPr>
        <w:t xml:space="preserve"> P. Pharmacokinetics of artemisinin-type compounds. Clin </w:t>
      </w:r>
      <w:proofErr w:type="spellStart"/>
      <w:r w:rsidRPr="002E72CF">
        <w:rPr>
          <w:rFonts w:cstheme="minorHAnsi"/>
          <w:sz w:val="24"/>
          <w:szCs w:val="24"/>
          <w:lang w:val="en-GB"/>
        </w:rPr>
        <w:t>Pharmacokinet</w:t>
      </w:r>
      <w:proofErr w:type="spellEnd"/>
      <w:r w:rsidRPr="002E72CF">
        <w:rPr>
          <w:rFonts w:cstheme="minorHAnsi"/>
          <w:sz w:val="24"/>
          <w:szCs w:val="24"/>
          <w:lang w:val="en-GB"/>
        </w:rPr>
        <w:t xml:space="preserve"> 2000; 39:255-70.</w:t>
      </w:r>
    </w:p>
    <w:p w14:paraId="02D3B005" w14:textId="6EBB8015" w:rsidR="002E72CF" w:rsidRPr="002E72CF" w:rsidRDefault="002E72CF" w:rsidP="002E72CF">
      <w:pPr>
        <w:numPr>
          <w:ilvl w:val="0"/>
          <w:numId w:val="1"/>
        </w:numPr>
        <w:spacing w:line="480" w:lineRule="auto"/>
        <w:contextualSpacing/>
        <w:jc w:val="both"/>
        <w:rPr>
          <w:rFonts w:cstheme="minorHAnsi"/>
          <w:sz w:val="24"/>
          <w:szCs w:val="24"/>
          <w:lang w:val="en-GB"/>
        </w:rPr>
      </w:pPr>
      <w:r w:rsidRPr="002E72CF">
        <w:rPr>
          <w:rFonts w:cstheme="minorHAnsi"/>
          <w:sz w:val="24"/>
          <w:szCs w:val="24"/>
          <w:lang w:val="en-GB"/>
        </w:rPr>
        <w:t xml:space="preserve">Honda M, </w:t>
      </w:r>
      <w:proofErr w:type="spellStart"/>
      <w:r w:rsidRPr="002E72CF">
        <w:rPr>
          <w:rFonts w:cstheme="minorHAnsi"/>
          <w:sz w:val="24"/>
          <w:szCs w:val="24"/>
          <w:lang w:val="en-GB"/>
        </w:rPr>
        <w:t>Muroi</w:t>
      </w:r>
      <w:proofErr w:type="spellEnd"/>
      <w:r w:rsidRPr="002E72CF">
        <w:rPr>
          <w:rFonts w:cstheme="minorHAnsi"/>
          <w:sz w:val="24"/>
          <w:szCs w:val="24"/>
          <w:lang w:val="en-GB"/>
        </w:rPr>
        <w:t xml:space="preserve"> Y, Tamaki Y, </w:t>
      </w:r>
      <w:proofErr w:type="spellStart"/>
      <w:r w:rsidRPr="002E72CF">
        <w:rPr>
          <w:rFonts w:cstheme="minorHAnsi"/>
          <w:sz w:val="24"/>
          <w:szCs w:val="24"/>
          <w:lang w:val="en-GB"/>
        </w:rPr>
        <w:t>Saigusa</w:t>
      </w:r>
      <w:proofErr w:type="spellEnd"/>
      <w:r w:rsidRPr="002E72CF">
        <w:rPr>
          <w:rFonts w:cstheme="minorHAnsi"/>
          <w:sz w:val="24"/>
          <w:szCs w:val="24"/>
          <w:lang w:val="en-GB"/>
        </w:rPr>
        <w:t xml:space="preserve"> D, Suzuki N, Tomioka Y, </w:t>
      </w:r>
      <w:r w:rsidRPr="002E72CF">
        <w:rPr>
          <w:rFonts w:cstheme="minorHAnsi"/>
          <w:i/>
          <w:sz w:val="24"/>
          <w:szCs w:val="24"/>
          <w:lang w:val="en-GB"/>
        </w:rPr>
        <w:t>et al.</w:t>
      </w:r>
      <w:r w:rsidRPr="002E72CF">
        <w:rPr>
          <w:rFonts w:cstheme="minorHAnsi"/>
          <w:sz w:val="24"/>
          <w:szCs w:val="24"/>
          <w:lang w:val="en-GB"/>
        </w:rPr>
        <w:t xml:space="preserve"> Functional characterization of CYP2B6 allelic variants in demethylation of antimalarial artemether. Drug </w:t>
      </w:r>
      <w:proofErr w:type="spellStart"/>
      <w:r w:rsidRPr="002E72CF">
        <w:rPr>
          <w:rFonts w:cstheme="minorHAnsi"/>
          <w:sz w:val="24"/>
          <w:szCs w:val="24"/>
          <w:lang w:val="en-GB"/>
        </w:rPr>
        <w:t>Metab</w:t>
      </w:r>
      <w:proofErr w:type="spellEnd"/>
      <w:r w:rsidRPr="002E72CF">
        <w:rPr>
          <w:rFonts w:cstheme="minorHAnsi"/>
          <w:sz w:val="24"/>
          <w:szCs w:val="24"/>
          <w:lang w:val="en-GB"/>
        </w:rPr>
        <w:t xml:space="preserve"> </w:t>
      </w:r>
      <w:proofErr w:type="spellStart"/>
      <w:r w:rsidRPr="002E72CF">
        <w:rPr>
          <w:rFonts w:cstheme="minorHAnsi"/>
          <w:sz w:val="24"/>
          <w:szCs w:val="24"/>
          <w:lang w:val="en-GB"/>
        </w:rPr>
        <w:t>Dispos</w:t>
      </w:r>
      <w:proofErr w:type="spellEnd"/>
      <w:r w:rsidRPr="002E72CF">
        <w:rPr>
          <w:rFonts w:cstheme="minorHAnsi"/>
          <w:sz w:val="24"/>
          <w:szCs w:val="24"/>
          <w:lang w:val="en-GB"/>
        </w:rPr>
        <w:t xml:space="preserve"> 2011; 39:1860-5</w:t>
      </w:r>
      <w:r>
        <w:rPr>
          <w:rFonts w:cstheme="minorHAnsi"/>
          <w:sz w:val="24"/>
          <w:szCs w:val="24"/>
          <w:lang w:val="en-GB"/>
        </w:rPr>
        <w:t>.</w:t>
      </w:r>
    </w:p>
    <w:p w14:paraId="0E146518" w14:textId="77777777" w:rsidR="002E72CF" w:rsidRPr="002E72CF" w:rsidRDefault="002E72CF" w:rsidP="002E72CF">
      <w:pPr>
        <w:numPr>
          <w:ilvl w:val="0"/>
          <w:numId w:val="1"/>
        </w:numPr>
        <w:spacing w:line="480" w:lineRule="auto"/>
        <w:contextualSpacing/>
        <w:jc w:val="both"/>
        <w:rPr>
          <w:rFonts w:cstheme="minorHAnsi"/>
          <w:sz w:val="24"/>
          <w:szCs w:val="24"/>
          <w:lang w:val="en-GB"/>
        </w:rPr>
      </w:pPr>
      <w:proofErr w:type="spellStart"/>
      <w:r w:rsidRPr="002E72CF">
        <w:rPr>
          <w:rFonts w:eastAsia="Calibri" w:cstheme="minorHAnsi"/>
          <w:sz w:val="24"/>
          <w:szCs w:val="24"/>
          <w:lang w:val="en-GB"/>
        </w:rPr>
        <w:t>Lamson</w:t>
      </w:r>
      <w:proofErr w:type="spellEnd"/>
      <w:r w:rsidRPr="002E72CF">
        <w:rPr>
          <w:rFonts w:eastAsia="Calibri" w:cstheme="minorHAnsi"/>
          <w:sz w:val="24"/>
          <w:szCs w:val="24"/>
          <w:lang w:val="en-GB"/>
        </w:rPr>
        <w:t xml:space="preserve"> M, MacGregor T, </w:t>
      </w:r>
      <w:proofErr w:type="spellStart"/>
      <w:r w:rsidRPr="002E72CF">
        <w:rPr>
          <w:rFonts w:eastAsia="Calibri" w:cstheme="minorHAnsi"/>
          <w:sz w:val="24"/>
          <w:szCs w:val="24"/>
          <w:lang w:val="en-GB"/>
        </w:rPr>
        <w:t>Riska</w:t>
      </w:r>
      <w:proofErr w:type="spellEnd"/>
      <w:r w:rsidRPr="002E72CF">
        <w:rPr>
          <w:rFonts w:eastAsia="Calibri" w:cstheme="minorHAnsi"/>
          <w:sz w:val="24"/>
          <w:szCs w:val="24"/>
          <w:lang w:val="en-GB"/>
        </w:rPr>
        <w:t xml:space="preserve"> P, Erickson D, Maxfield P, Rowland L, </w:t>
      </w:r>
      <w:r w:rsidRPr="002E72CF">
        <w:rPr>
          <w:rFonts w:eastAsia="Calibri" w:cstheme="minorHAnsi"/>
          <w:i/>
          <w:sz w:val="24"/>
          <w:szCs w:val="24"/>
          <w:lang w:val="en-GB"/>
        </w:rPr>
        <w:t>et al.</w:t>
      </w:r>
      <w:r w:rsidRPr="002E72CF">
        <w:rPr>
          <w:rFonts w:eastAsia="Calibri" w:cstheme="minorHAnsi"/>
          <w:sz w:val="24"/>
          <w:szCs w:val="24"/>
          <w:lang w:val="en-GB"/>
        </w:rPr>
        <w:t xml:space="preserve"> Nevirapine induces both CYP3A4 and CYP2B6 metabolic pathways. Clin </w:t>
      </w:r>
      <w:proofErr w:type="spellStart"/>
      <w:r w:rsidRPr="002E72CF">
        <w:rPr>
          <w:rFonts w:eastAsia="Calibri" w:cstheme="minorHAnsi"/>
          <w:sz w:val="24"/>
          <w:szCs w:val="24"/>
          <w:lang w:val="en-GB"/>
        </w:rPr>
        <w:t>Pharmacol</w:t>
      </w:r>
      <w:proofErr w:type="spellEnd"/>
      <w:r w:rsidRPr="002E72CF">
        <w:rPr>
          <w:rFonts w:eastAsia="Calibri" w:cstheme="minorHAnsi"/>
          <w:sz w:val="24"/>
          <w:szCs w:val="24"/>
          <w:lang w:val="en-GB"/>
        </w:rPr>
        <w:t xml:space="preserve"> </w:t>
      </w:r>
      <w:proofErr w:type="spellStart"/>
      <w:r w:rsidRPr="002E72CF">
        <w:rPr>
          <w:rFonts w:eastAsia="Calibri" w:cstheme="minorHAnsi"/>
          <w:sz w:val="24"/>
          <w:szCs w:val="24"/>
          <w:lang w:val="en-GB"/>
        </w:rPr>
        <w:t>Ther</w:t>
      </w:r>
      <w:proofErr w:type="spellEnd"/>
      <w:r w:rsidRPr="002E72CF">
        <w:rPr>
          <w:rFonts w:eastAsia="Calibri" w:cstheme="minorHAnsi"/>
          <w:sz w:val="24"/>
          <w:szCs w:val="24"/>
          <w:lang w:val="en-GB"/>
        </w:rPr>
        <w:t xml:space="preserve"> 1999; 65:137. </w:t>
      </w:r>
    </w:p>
    <w:p w14:paraId="3F7702D1" w14:textId="77777777" w:rsidR="002E72CF" w:rsidRPr="002E72CF" w:rsidRDefault="002E72CF" w:rsidP="002E72CF">
      <w:pPr>
        <w:numPr>
          <w:ilvl w:val="0"/>
          <w:numId w:val="1"/>
        </w:numPr>
        <w:spacing w:line="480" w:lineRule="auto"/>
        <w:contextualSpacing/>
        <w:jc w:val="both"/>
        <w:rPr>
          <w:rFonts w:cstheme="minorHAnsi"/>
          <w:sz w:val="24"/>
          <w:szCs w:val="24"/>
          <w:lang w:val="en-GB"/>
        </w:rPr>
      </w:pPr>
      <w:r w:rsidRPr="002E72CF">
        <w:rPr>
          <w:rFonts w:eastAsia="Calibri" w:cstheme="minorHAnsi"/>
          <w:sz w:val="24"/>
          <w:szCs w:val="24"/>
          <w:lang w:val="en-GB"/>
        </w:rPr>
        <w:t xml:space="preserve">Burk O, Arnold KA, </w:t>
      </w:r>
      <w:proofErr w:type="spellStart"/>
      <w:r w:rsidRPr="002E72CF">
        <w:rPr>
          <w:rFonts w:eastAsia="Calibri" w:cstheme="minorHAnsi"/>
          <w:sz w:val="24"/>
          <w:szCs w:val="24"/>
          <w:lang w:val="en-GB"/>
        </w:rPr>
        <w:t>Nussler</w:t>
      </w:r>
      <w:proofErr w:type="spellEnd"/>
      <w:r w:rsidRPr="002E72CF">
        <w:rPr>
          <w:rFonts w:eastAsia="Calibri" w:cstheme="minorHAnsi"/>
          <w:sz w:val="24"/>
          <w:szCs w:val="24"/>
          <w:lang w:val="en-GB"/>
        </w:rPr>
        <w:t xml:space="preserve"> AK, </w:t>
      </w:r>
      <w:proofErr w:type="spellStart"/>
      <w:r w:rsidRPr="002E72CF">
        <w:rPr>
          <w:rFonts w:eastAsia="Calibri" w:cstheme="minorHAnsi"/>
          <w:sz w:val="24"/>
          <w:szCs w:val="24"/>
          <w:lang w:val="en-GB"/>
        </w:rPr>
        <w:t>Schaeffeler</w:t>
      </w:r>
      <w:proofErr w:type="spellEnd"/>
      <w:r w:rsidRPr="002E72CF">
        <w:rPr>
          <w:rFonts w:eastAsia="Calibri" w:cstheme="minorHAnsi"/>
          <w:sz w:val="24"/>
          <w:szCs w:val="24"/>
          <w:lang w:val="en-GB"/>
        </w:rPr>
        <w:t xml:space="preserve"> E, Efimova E, Avery BA, </w:t>
      </w:r>
      <w:r w:rsidRPr="002E72CF">
        <w:rPr>
          <w:rFonts w:eastAsia="Calibri" w:cstheme="minorHAnsi"/>
          <w:i/>
          <w:sz w:val="24"/>
          <w:szCs w:val="24"/>
          <w:lang w:val="en-GB"/>
        </w:rPr>
        <w:t>et al</w:t>
      </w:r>
      <w:r w:rsidRPr="002E72CF">
        <w:rPr>
          <w:rFonts w:eastAsia="Calibri" w:cstheme="minorHAnsi"/>
          <w:sz w:val="24"/>
          <w:szCs w:val="24"/>
          <w:lang w:val="en-GB"/>
        </w:rPr>
        <w:t xml:space="preserve">. Antimalarial artemisinin drugs induce cytochrome P450 and MDR1 expression by activation of </w:t>
      </w:r>
      <w:proofErr w:type="spellStart"/>
      <w:r w:rsidRPr="002E72CF">
        <w:rPr>
          <w:rFonts w:eastAsia="Calibri" w:cstheme="minorHAnsi"/>
          <w:sz w:val="24"/>
          <w:szCs w:val="24"/>
          <w:lang w:val="en-GB"/>
        </w:rPr>
        <w:t>xenosensors</w:t>
      </w:r>
      <w:proofErr w:type="spellEnd"/>
      <w:r w:rsidRPr="002E72CF">
        <w:rPr>
          <w:rFonts w:eastAsia="Calibri" w:cstheme="minorHAnsi"/>
          <w:sz w:val="24"/>
          <w:szCs w:val="24"/>
          <w:lang w:val="en-GB"/>
        </w:rPr>
        <w:t xml:space="preserve"> </w:t>
      </w:r>
      <w:proofErr w:type="spellStart"/>
      <w:r w:rsidRPr="002E72CF">
        <w:rPr>
          <w:rFonts w:eastAsia="Calibri" w:cstheme="minorHAnsi"/>
          <w:sz w:val="24"/>
          <w:szCs w:val="24"/>
          <w:lang w:val="en-GB"/>
        </w:rPr>
        <w:t>pregnane</w:t>
      </w:r>
      <w:proofErr w:type="spellEnd"/>
      <w:r w:rsidRPr="002E72CF">
        <w:rPr>
          <w:rFonts w:eastAsia="Calibri" w:cstheme="minorHAnsi"/>
          <w:sz w:val="24"/>
          <w:szCs w:val="24"/>
          <w:lang w:val="en-GB"/>
        </w:rPr>
        <w:t xml:space="preserve"> X receptor and constitutive androstane receptor. Mol </w:t>
      </w:r>
      <w:proofErr w:type="spellStart"/>
      <w:r w:rsidRPr="002E72CF">
        <w:rPr>
          <w:rFonts w:eastAsia="Calibri" w:cstheme="minorHAnsi"/>
          <w:sz w:val="24"/>
          <w:szCs w:val="24"/>
          <w:lang w:val="en-GB"/>
        </w:rPr>
        <w:t>Pharmacol</w:t>
      </w:r>
      <w:proofErr w:type="spellEnd"/>
      <w:r w:rsidRPr="002E72CF">
        <w:rPr>
          <w:rFonts w:eastAsia="Calibri" w:cstheme="minorHAnsi"/>
          <w:sz w:val="24"/>
          <w:szCs w:val="24"/>
          <w:lang w:val="en-GB"/>
        </w:rPr>
        <w:t xml:space="preserve"> 2005; 67:1954-65.</w:t>
      </w:r>
    </w:p>
    <w:p w14:paraId="53B3E623" w14:textId="77777777" w:rsidR="002E72CF" w:rsidRPr="002E72CF" w:rsidRDefault="002E72CF" w:rsidP="002E72CF">
      <w:pPr>
        <w:numPr>
          <w:ilvl w:val="0"/>
          <w:numId w:val="1"/>
        </w:numPr>
        <w:spacing w:line="480" w:lineRule="auto"/>
        <w:contextualSpacing/>
        <w:jc w:val="both"/>
        <w:rPr>
          <w:rFonts w:cstheme="minorHAnsi"/>
          <w:sz w:val="24"/>
          <w:szCs w:val="24"/>
          <w:lang w:val="en-GB"/>
        </w:rPr>
      </w:pPr>
      <w:r w:rsidRPr="002E72CF">
        <w:rPr>
          <w:rFonts w:eastAsia="Calibri" w:cstheme="minorHAnsi"/>
          <w:sz w:val="24"/>
          <w:szCs w:val="24"/>
          <w:lang w:val="en-GB"/>
        </w:rPr>
        <w:t xml:space="preserve">Elsherbiny DA, </w:t>
      </w:r>
      <w:proofErr w:type="spellStart"/>
      <w:r w:rsidRPr="002E72CF">
        <w:rPr>
          <w:rFonts w:eastAsia="Calibri" w:cstheme="minorHAnsi"/>
          <w:sz w:val="24"/>
          <w:szCs w:val="24"/>
          <w:lang w:val="en-GB"/>
        </w:rPr>
        <w:t>Asimus</w:t>
      </w:r>
      <w:proofErr w:type="spellEnd"/>
      <w:r w:rsidRPr="002E72CF">
        <w:rPr>
          <w:rFonts w:eastAsia="Calibri" w:cstheme="minorHAnsi"/>
          <w:sz w:val="24"/>
          <w:szCs w:val="24"/>
          <w:lang w:val="en-GB"/>
        </w:rPr>
        <w:t xml:space="preserve"> SA, Karlsson MO, Ashton M, </w:t>
      </w:r>
      <w:proofErr w:type="spellStart"/>
      <w:r w:rsidRPr="002E72CF">
        <w:rPr>
          <w:rFonts w:eastAsia="Calibri" w:cstheme="minorHAnsi"/>
          <w:sz w:val="24"/>
          <w:szCs w:val="24"/>
          <w:lang w:val="en-GB"/>
        </w:rPr>
        <w:t>Simonsson</w:t>
      </w:r>
      <w:proofErr w:type="spellEnd"/>
      <w:r w:rsidRPr="002E72CF">
        <w:rPr>
          <w:rFonts w:eastAsia="Calibri" w:cstheme="minorHAnsi"/>
          <w:sz w:val="24"/>
          <w:szCs w:val="24"/>
          <w:lang w:val="en-GB"/>
        </w:rPr>
        <w:t xml:space="preserve"> US. A </w:t>
      </w:r>
      <w:proofErr w:type="gramStart"/>
      <w:r w:rsidRPr="002E72CF">
        <w:rPr>
          <w:rFonts w:eastAsia="Calibri" w:cstheme="minorHAnsi"/>
          <w:sz w:val="24"/>
          <w:szCs w:val="24"/>
          <w:lang w:val="en-GB"/>
        </w:rPr>
        <w:t>model based</w:t>
      </w:r>
      <w:proofErr w:type="gramEnd"/>
      <w:r w:rsidRPr="002E72CF">
        <w:rPr>
          <w:rFonts w:eastAsia="Calibri" w:cstheme="minorHAnsi"/>
          <w:sz w:val="24"/>
          <w:szCs w:val="24"/>
          <w:lang w:val="en-GB"/>
        </w:rPr>
        <w:t xml:space="preserve"> assessment of the CYP2B6 and CYP2C19 inductive properties by artemisinin </w:t>
      </w:r>
      <w:r w:rsidRPr="002E72CF">
        <w:rPr>
          <w:rFonts w:eastAsia="Calibri" w:cstheme="minorHAnsi"/>
          <w:sz w:val="24"/>
          <w:szCs w:val="24"/>
          <w:lang w:val="en-GB"/>
        </w:rPr>
        <w:lastRenderedPageBreak/>
        <w:t xml:space="preserve">antimalarials: implications for combination regimens. J </w:t>
      </w:r>
      <w:proofErr w:type="spellStart"/>
      <w:r w:rsidRPr="002E72CF">
        <w:rPr>
          <w:rFonts w:eastAsia="Calibri" w:cstheme="minorHAnsi"/>
          <w:sz w:val="24"/>
          <w:szCs w:val="24"/>
          <w:lang w:val="en-GB"/>
        </w:rPr>
        <w:t>Pharmacokinet</w:t>
      </w:r>
      <w:proofErr w:type="spellEnd"/>
      <w:r w:rsidRPr="002E72CF">
        <w:rPr>
          <w:rFonts w:eastAsia="Calibri" w:cstheme="minorHAnsi"/>
          <w:sz w:val="24"/>
          <w:szCs w:val="24"/>
          <w:lang w:val="en-GB"/>
        </w:rPr>
        <w:t xml:space="preserve"> </w:t>
      </w:r>
      <w:proofErr w:type="spellStart"/>
      <w:r w:rsidRPr="002E72CF">
        <w:rPr>
          <w:rFonts w:eastAsia="Calibri" w:cstheme="minorHAnsi"/>
          <w:sz w:val="24"/>
          <w:szCs w:val="24"/>
          <w:lang w:val="en-GB"/>
        </w:rPr>
        <w:t>Pharmacodyn</w:t>
      </w:r>
      <w:proofErr w:type="spellEnd"/>
      <w:r w:rsidRPr="002E72CF">
        <w:rPr>
          <w:rFonts w:eastAsia="Calibri" w:cstheme="minorHAnsi"/>
          <w:sz w:val="24"/>
          <w:szCs w:val="24"/>
          <w:lang w:val="en-GB"/>
        </w:rPr>
        <w:t xml:space="preserve"> 2008; 35:203-17. </w:t>
      </w:r>
    </w:p>
    <w:p w14:paraId="3790C13B" w14:textId="77777777" w:rsidR="002E72CF" w:rsidRPr="002E72CF" w:rsidRDefault="002E72CF" w:rsidP="002E72CF">
      <w:pPr>
        <w:numPr>
          <w:ilvl w:val="0"/>
          <w:numId w:val="1"/>
        </w:numPr>
        <w:spacing w:line="480" w:lineRule="auto"/>
        <w:contextualSpacing/>
        <w:jc w:val="both"/>
        <w:rPr>
          <w:rFonts w:cstheme="minorHAnsi"/>
          <w:sz w:val="24"/>
          <w:szCs w:val="24"/>
          <w:lang w:val="en-GB"/>
        </w:rPr>
      </w:pPr>
      <w:r w:rsidRPr="002E72CF">
        <w:rPr>
          <w:rFonts w:cstheme="minorHAnsi"/>
          <w:sz w:val="24"/>
          <w:szCs w:val="24"/>
          <w:lang w:val="en-GB"/>
        </w:rPr>
        <w:t xml:space="preserve">Xing J, Kirby BJ, Whittington D, Wan Y, Goodlett DR. Evaluation of P450 inhibition and induction by artemisinin antimalarials in human liver microsomes and primary human hepatocytes. Drug </w:t>
      </w:r>
      <w:proofErr w:type="spellStart"/>
      <w:r w:rsidRPr="002E72CF">
        <w:rPr>
          <w:rFonts w:cstheme="minorHAnsi"/>
          <w:sz w:val="24"/>
          <w:szCs w:val="24"/>
          <w:lang w:val="en-GB"/>
        </w:rPr>
        <w:t>Metab</w:t>
      </w:r>
      <w:proofErr w:type="spellEnd"/>
      <w:r w:rsidRPr="002E72CF">
        <w:rPr>
          <w:rFonts w:cstheme="minorHAnsi"/>
          <w:sz w:val="24"/>
          <w:szCs w:val="24"/>
          <w:lang w:val="en-GB"/>
        </w:rPr>
        <w:t xml:space="preserve"> </w:t>
      </w:r>
      <w:proofErr w:type="spellStart"/>
      <w:r w:rsidRPr="002E72CF">
        <w:rPr>
          <w:rFonts w:cstheme="minorHAnsi"/>
          <w:sz w:val="24"/>
          <w:szCs w:val="24"/>
          <w:lang w:val="en-GB"/>
        </w:rPr>
        <w:t>Dispos</w:t>
      </w:r>
      <w:proofErr w:type="spellEnd"/>
      <w:r w:rsidRPr="002E72CF">
        <w:rPr>
          <w:rFonts w:cstheme="minorHAnsi"/>
          <w:sz w:val="24"/>
          <w:szCs w:val="24"/>
          <w:lang w:val="en-GB"/>
        </w:rPr>
        <w:t xml:space="preserve"> 2012; 40:1757-64. </w:t>
      </w:r>
    </w:p>
    <w:p w14:paraId="4751B938" w14:textId="77777777" w:rsidR="002E72CF" w:rsidRPr="002E72CF" w:rsidRDefault="002E72CF" w:rsidP="002E72CF">
      <w:pPr>
        <w:numPr>
          <w:ilvl w:val="0"/>
          <w:numId w:val="1"/>
        </w:numPr>
        <w:spacing w:line="480" w:lineRule="auto"/>
        <w:contextualSpacing/>
        <w:jc w:val="both"/>
        <w:rPr>
          <w:rFonts w:cstheme="minorHAnsi"/>
          <w:sz w:val="24"/>
          <w:szCs w:val="24"/>
          <w:lang w:val="en-GB"/>
        </w:rPr>
      </w:pPr>
      <w:r w:rsidRPr="002E72CF">
        <w:rPr>
          <w:rFonts w:cstheme="minorHAnsi"/>
          <w:sz w:val="24"/>
          <w:szCs w:val="24"/>
          <w:lang w:val="en-GB"/>
        </w:rPr>
        <w:t xml:space="preserve">Ericsson T, </w:t>
      </w:r>
      <w:proofErr w:type="spellStart"/>
      <w:r w:rsidRPr="002E72CF">
        <w:rPr>
          <w:rFonts w:cstheme="minorHAnsi"/>
          <w:sz w:val="24"/>
          <w:szCs w:val="24"/>
          <w:lang w:val="en-GB"/>
        </w:rPr>
        <w:t>Masimirembwa</w:t>
      </w:r>
      <w:proofErr w:type="spellEnd"/>
      <w:r w:rsidRPr="002E72CF">
        <w:rPr>
          <w:rFonts w:cstheme="minorHAnsi"/>
          <w:sz w:val="24"/>
          <w:szCs w:val="24"/>
          <w:lang w:val="en-GB"/>
        </w:rPr>
        <w:t xml:space="preserve"> C, </w:t>
      </w:r>
      <w:proofErr w:type="spellStart"/>
      <w:r w:rsidRPr="002E72CF">
        <w:rPr>
          <w:rFonts w:cstheme="minorHAnsi"/>
          <w:sz w:val="24"/>
          <w:szCs w:val="24"/>
          <w:lang w:val="en-GB"/>
        </w:rPr>
        <w:t>Abelo</w:t>
      </w:r>
      <w:proofErr w:type="spellEnd"/>
      <w:r w:rsidRPr="002E72CF">
        <w:rPr>
          <w:rFonts w:cstheme="minorHAnsi"/>
          <w:sz w:val="24"/>
          <w:szCs w:val="24"/>
          <w:lang w:val="en-GB"/>
        </w:rPr>
        <w:t xml:space="preserve"> A, Ashton M. The evaluation of CYP2B6 inhibition by artemisinin antimalarials in recombinant enzymes and human liver microsomes.</w:t>
      </w:r>
      <w:r w:rsidRPr="002E72CF">
        <w:rPr>
          <w:rFonts w:cstheme="minorHAnsi"/>
          <w:i/>
          <w:sz w:val="24"/>
          <w:szCs w:val="24"/>
          <w:lang w:val="en-GB"/>
        </w:rPr>
        <w:t xml:space="preserve"> </w:t>
      </w:r>
      <w:r w:rsidRPr="002E72CF">
        <w:rPr>
          <w:rFonts w:cstheme="minorHAnsi"/>
          <w:sz w:val="24"/>
          <w:szCs w:val="24"/>
          <w:lang w:val="en-GB"/>
        </w:rPr>
        <w:t xml:space="preserve">Drug </w:t>
      </w:r>
      <w:proofErr w:type="spellStart"/>
      <w:r w:rsidRPr="002E72CF">
        <w:rPr>
          <w:rFonts w:cstheme="minorHAnsi"/>
          <w:sz w:val="24"/>
          <w:szCs w:val="24"/>
          <w:lang w:val="en-GB"/>
        </w:rPr>
        <w:t>Metab</w:t>
      </w:r>
      <w:proofErr w:type="spellEnd"/>
      <w:r w:rsidRPr="002E72CF">
        <w:rPr>
          <w:rFonts w:cstheme="minorHAnsi"/>
          <w:sz w:val="24"/>
          <w:szCs w:val="24"/>
          <w:lang w:val="en-GB"/>
        </w:rPr>
        <w:t xml:space="preserve"> Lett 2012; 6:247-57.</w:t>
      </w:r>
    </w:p>
    <w:p w14:paraId="253B6972" w14:textId="77777777" w:rsidR="002E72CF" w:rsidRPr="002E72CF" w:rsidRDefault="002E72CF" w:rsidP="002E72CF">
      <w:pPr>
        <w:numPr>
          <w:ilvl w:val="0"/>
          <w:numId w:val="1"/>
        </w:numPr>
        <w:spacing w:line="480" w:lineRule="auto"/>
        <w:contextualSpacing/>
        <w:jc w:val="both"/>
        <w:rPr>
          <w:rFonts w:cstheme="minorHAnsi"/>
          <w:sz w:val="24"/>
          <w:szCs w:val="24"/>
          <w:lang w:val="en-GB"/>
        </w:rPr>
      </w:pPr>
      <w:proofErr w:type="spellStart"/>
      <w:r w:rsidRPr="002E72CF">
        <w:rPr>
          <w:rFonts w:eastAsia="Calibri" w:cstheme="minorHAnsi"/>
          <w:sz w:val="24"/>
          <w:szCs w:val="24"/>
          <w:lang w:val="en-GB"/>
        </w:rPr>
        <w:t>Lefèvre</w:t>
      </w:r>
      <w:proofErr w:type="spellEnd"/>
      <w:r w:rsidRPr="002E72CF">
        <w:rPr>
          <w:rFonts w:eastAsia="Calibri" w:cstheme="minorHAnsi"/>
          <w:sz w:val="24"/>
          <w:szCs w:val="24"/>
          <w:lang w:val="en-GB"/>
        </w:rPr>
        <w:t xml:space="preserve"> G, Carpenter P, </w:t>
      </w:r>
      <w:proofErr w:type="spellStart"/>
      <w:r w:rsidRPr="002E72CF">
        <w:rPr>
          <w:rFonts w:eastAsia="Calibri" w:cstheme="minorHAnsi"/>
          <w:sz w:val="24"/>
          <w:szCs w:val="24"/>
          <w:lang w:val="en-GB"/>
        </w:rPr>
        <w:t>Souppart</w:t>
      </w:r>
      <w:proofErr w:type="spellEnd"/>
      <w:r w:rsidRPr="002E72CF">
        <w:rPr>
          <w:rFonts w:eastAsia="Calibri" w:cstheme="minorHAnsi"/>
          <w:sz w:val="24"/>
          <w:szCs w:val="24"/>
          <w:lang w:val="en-GB"/>
        </w:rPr>
        <w:t xml:space="preserve"> C, </w:t>
      </w:r>
      <w:proofErr w:type="spellStart"/>
      <w:r w:rsidRPr="002E72CF">
        <w:rPr>
          <w:rFonts w:eastAsia="Calibri" w:cstheme="minorHAnsi"/>
          <w:sz w:val="24"/>
          <w:szCs w:val="24"/>
          <w:lang w:val="en-GB"/>
        </w:rPr>
        <w:t>Schmidli</w:t>
      </w:r>
      <w:proofErr w:type="spellEnd"/>
      <w:r w:rsidRPr="002E72CF">
        <w:rPr>
          <w:rFonts w:eastAsia="Calibri" w:cstheme="minorHAnsi"/>
          <w:sz w:val="24"/>
          <w:szCs w:val="24"/>
          <w:lang w:val="en-GB"/>
        </w:rPr>
        <w:t xml:space="preserve"> H, McClean M, </w:t>
      </w:r>
      <w:proofErr w:type="spellStart"/>
      <w:r w:rsidRPr="002E72CF">
        <w:rPr>
          <w:rFonts w:eastAsia="Calibri" w:cstheme="minorHAnsi"/>
          <w:sz w:val="24"/>
          <w:szCs w:val="24"/>
          <w:lang w:val="en-GB"/>
        </w:rPr>
        <w:t>Stypinski</w:t>
      </w:r>
      <w:proofErr w:type="spellEnd"/>
      <w:r w:rsidRPr="002E72CF">
        <w:rPr>
          <w:rFonts w:eastAsia="Calibri" w:cstheme="minorHAnsi"/>
          <w:sz w:val="24"/>
          <w:szCs w:val="24"/>
          <w:lang w:val="en-GB"/>
        </w:rPr>
        <w:t xml:space="preserve"> D. Pharmacokinetics and electrocardiographic pharmacodynamics of artemether-lumefantrine (</w:t>
      </w:r>
      <w:proofErr w:type="spellStart"/>
      <w:r w:rsidRPr="002E72CF">
        <w:rPr>
          <w:rFonts w:eastAsia="Calibri" w:cstheme="minorHAnsi"/>
          <w:sz w:val="24"/>
          <w:szCs w:val="24"/>
          <w:lang w:val="en-GB"/>
        </w:rPr>
        <w:t>Riamet</w:t>
      </w:r>
      <w:proofErr w:type="spellEnd"/>
      <w:r w:rsidRPr="002E72CF">
        <w:rPr>
          <w:rFonts w:eastAsia="Calibri" w:cstheme="minorHAnsi"/>
          <w:sz w:val="24"/>
          <w:szCs w:val="24"/>
          <w:lang w:val="en-GB"/>
        </w:rPr>
        <w:t xml:space="preserve">) with concomitant administration of ketoconazole in healthy subjects. Br J Clin </w:t>
      </w:r>
      <w:proofErr w:type="spellStart"/>
      <w:r w:rsidRPr="002E72CF">
        <w:rPr>
          <w:rFonts w:eastAsia="Calibri" w:cstheme="minorHAnsi"/>
          <w:sz w:val="24"/>
          <w:szCs w:val="24"/>
          <w:lang w:val="en-GB"/>
        </w:rPr>
        <w:t>Pharmacol</w:t>
      </w:r>
      <w:proofErr w:type="spellEnd"/>
      <w:r w:rsidRPr="002E72CF">
        <w:rPr>
          <w:rFonts w:eastAsia="Calibri" w:cstheme="minorHAnsi"/>
          <w:sz w:val="24"/>
          <w:szCs w:val="24"/>
          <w:lang w:val="en-GB"/>
        </w:rPr>
        <w:t xml:space="preserve"> 2002; 54:485-92.</w:t>
      </w:r>
    </w:p>
    <w:p w14:paraId="7348F48E" w14:textId="77777777" w:rsidR="002E72CF" w:rsidRPr="002E72CF" w:rsidRDefault="002E72CF" w:rsidP="002E72CF">
      <w:pPr>
        <w:numPr>
          <w:ilvl w:val="0"/>
          <w:numId w:val="1"/>
        </w:numPr>
        <w:spacing w:line="480" w:lineRule="auto"/>
        <w:contextualSpacing/>
        <w:jc w:val="both"/>
        <w:rPr>
          <w:rFonts w:cstheme="minorHAnsi"/>
          <w:sz w:val="24"/>
          <w:szCs w:val="24"/>
          <w:lang w:val="en-GB"/>
        </w:rPr>
      </w:pPr>
      <w:r w:rsidRPr="002E72CF">
        <w:rPr>
          <w:rFonts w:cstheme="minorHAnsi"/>
          <w:sz w:val="24"/>
          <w:szCs w:val="24"/>
          <w:lang w:val="en-GB"/>
        </w:rPr>
        <w:t xml:space="preserve">Kiang TK, </w:t>
      </w:r>
      <w:proofErr w:type="spellStart"/>
      <w:r w:rsidRPr="002E72CF">
        <w:rPr>
          <w:rFonts w:cstheme="minorHAnsi"/>
          <w:sz w:val="24"/>
          <w:szCs w:val="24"/>
          <w:lang w:val="en-GB"/>
        </w:rPr>
        <w:t>Wilby</w:t>
      </w:r>
      <w:proofErr w:type="spellEnd"/>
      <w:r w:rsidRPr="002E72CF">
        <w:rPr>
          <w:rFonts w:cstheme="minorHAnsi"/>
          <w:sz w:val="24"/>
          <w:szCs w:val="24"/>
          <w:lang w:val="en-GB"/>
        </w:rPr>
        <w:t xml:space="preserve"> KJ, </w:t>
      </w:r>
      <w:proofErr w:type="spellStart"/>
      <w:r w:rsidRPr="002E72CF">
        <w:rPr>
          <w:rFonts w:cstheme="minorHAnsi"/>
          <w:sz w:val="24"/>
          <w:szCs w:val="24"/>
          <w:lang w:val="en-GB"/>
        </w:rPr>
        <w:t>Ensom</w:t>
      </w:r>
      <w:proofErr w:type="spellEnd"/>
      <w:r w:rsidRPr="002E72CF">
        <w:rPr>
          <w:rFonts w:cstheme="minorHAnsi"/>
          <w:sz w:val="24"/>
          <w:szCs w:val="24"/>
          <w:lang w:val="en-GB"/>
        </w:rPr>
        <w:t xml:space="preserve"> MH. Clinical pharmacokinetic drug interactions associated with artemisinin derivatives and HIV-antivirals. </w:t>
      </w:r>
      <w:r w:rsidRPr="002E72CF">
        <w:rPr>
          <w:rFonts w:cstheme="minorHAnsi"/>
          <w:i/>
          <w:sz w:val="24"/>
          <w:szCs w:val="24"/>
          <w:lang w:val="en-GB"/>
        </w:rPr>
        <w:t xml:space="preserve">Clin </w:t>
      </w:r>
      <w:proofErr w:type="spellStart"/>
      <w:r w:rsidRPr="002E72CF">
        <w:rPr>
          <w:rFonts w:cstheme="minorHAnsi"/>
          <w:i/>
          <w:sz w:val="24"/>
          <w:szCs w:val="24"/>
          <w:lang w:val="en-GB"/>
        </w:rPr>
        <w:t>Pharmacokinet</w:t>
      </w:r>
      <w:proofErr w:type="spellEnd"/>
      <w:r w:rsidRPr="002E72CF">
        <w:rPr>
          <w:rFonts w:cstheme="minorHAnsi"/>
          <w:i/>
          <w:sz w:val="24"/>
          <w:szCs w:val="24"/>
          <w:lang w:val="en-GB"/>
        </w:rPr>
        <w:t xml:space="preserve"> </w:t>
      </w:r>
      <w:r w:rsidRPr="002E72CF">
        <w:rPr>
          <w:rFonts w:cstheme="minorHAnsi"/>
          <w:sz w:val="24"/>
          <w:szCs w:val="24"/>
          <w:lang w:val="en-GB"/>
        </w:rPr>
        <w:t>2014; 53:141-153.</w:t>
      </w:r>
    </w:p>
    <w:p w14:paraId="50DAE9FD" w14:textId="77777777" w:rsidR="002E72CF" w:rsidRPr="002E72CF" w:rsidRDefault="002E72CF" w:rsidP="002E72CF">
      <w:pPr>
        <w:numPr>
          <w:ilvl w:val="0"/>
          <w:numId w:val="1"/>
        </w:numPr>
        <w:spacing w:line="480" w:lineRule="auto"/>
        <w:contextualSpacing/>
        <w:jc w:val="both"/>
        <w:rPr>
          <w:rFonts w:cstheme="minorHAnsi"/>
          <w:sz w:val="24"/>
          <w:szCs w:val="24"/>
          <w:lang w:val="en-GB"/>
        </w:rPr>
      </w:pPr>
      <w:proofErr w:type="spellStart"/>
      <w:r w:rsidRPr="002E72CF">
        <w:rPr>
          <w:rFonts w:eastAsia="Calibri" w:cstheme="minorHAnsi"/>
          <w:sz w:val="24"/>
          <w:szCs w:val="24"/>
          <w:lang w:val="en-GB"/>
        </w:rPr>
        <w:t>Micheli</w:t>
      </w:r>
      <w:proofErr w:type="spellEnd"/>
      <w:r w:rsidRPr="002E72CF">
        <w:rPr>
          <w:rFonts w:eastAsia="Calibri" w:cstheme="minorHAnsi"/>
          <w:sz w:val="24"/>
          <w:szCs w:val="24"/>
          <w:lang w:val="en-GB"/>
        </w:rPr>
        <w:t xml:space="preserve"> JE, Chinn LW, </w:t>
      </w:r>
      <w:proofErr w:type="spellStart"/>
      <w:r w:rsidRPr="002E72CF">
        <w:rPr>
          <w:rFonts w:eastAsia="Calibri" w:cstheme="minorHAnsi"/>
          <w:sz w:val="24"/>
          <w:szCs w:val="24"/>
          <w:lang w:val="en-GB"/>
        </w:rPr>
        <w:t>Shugarts</w:t>
      </w:r>
      <w:proofErr w:type="spellEnd"/>
      <w:r w:rsidRPr="002E72CF">
        <w:rPr>
          <w:rFonts w:eastAsia="Calibri" w:cstheme="minorHAnsi"/>
          <w:sz w:val="24"/>
          <w:szCs w:val="24"/>
          <w:lang w:val="en-GB"/>
        </w:rPr>
        <w:t xml:space="preserve"> SB, Patel A, Martin JN, </w:t>
      </w:r>
      <w:proofErr w:type="spellStart"/>
      <w:r w:rsidRPr="002E72CF">
        <w:rPr>
          <w:rFonts w:eastAsia="Calibri" w:cstheme="minorHAnsi"/>
          <w:sz w:val="24"/>
          <w:szCs w:val="24"/>
          <w:lang w:val="en-GB"/>
        </w:rPr>
        <w:t>Bangsberg</w:t>
      </w:r>
      <w:proofErr w:type="spellEnd"/>
      <w:r w:rsidRPr="002E72CF">
        <w:rPr>
          <w:rFonts w:eastAsia="Calibri" w:cstheme="minorHAnsi"/>
          <w:sz w:val="24"/>
          <w:szCs w:val="24"/>
          <w:lang w:val="en-GB"/>
        </w:rPr>
        <w:t xml:space="preserve"> DR </w:t>
      </w:r>
      <w:r w:rsidRPr="002E72CF">
        <w:rPr>
          <w:rFonts w:eastAsia="Calibri" w:cstheme="minorHAnsi"/>
          <w:i/>
          <w:sz w:val="24"/>
          <w:szCs w:val="24"/>
          <w:lang w:val="en-GB"/>
        </w:rPr>
        <w:t>et al</w:t>
      </w:r>
      <w:r w:rsidRPr="002E72CF">
        <w:rPr>
          <w:rFonts w:eastAsia="Calibri" w:cstheme="minorHAnsi"/>
          <w:sz w:val="24"/>
          <w:szCs w:val="24"/>
          <w:lang w:val="en-GB"/>
        </w:rPr>
        <w:t xml:space="preserve">. Measuring the overall genetic component of nevirapine pharmacokinetics and the role of selected polymorphisms: towards addressing the missing heritability in pharmacogenetic phenotypes? </w:t>
      </w:r>
      <w:proofErr w:type="spellStart"/>
      <w:r w:rsidRPr="002E72CF">
        <w:rPr>
          <w:rFonts w:eastAsia="Calibri" w:cstheme="minorHAnsi"/>
          <w:sz w:val="24"/>
          <w:szCs w:val="24"/>
          <w:lang w:val="en-GB"/>
        </w:rPr>
        <w:t>Pharmacogenet</w:t>
      </w:r>
      <w:proofErr w:type="spellEnd"/>
      <w:r w:rsidRPr="002E72CF">
        <w:rPr>
          <w:rFonts w:eastAsia="Calibri" w:cstheme="minorHAnsi"/>
          <w:sz w:val="24"/>
          <w:szCs w:val="24"/>
          <w:lang w:val="en-GB"/>
        </w:rPr>
        <w:t xml:space="preserve"> Genomics 2013; 23: 591–6.</w:t>
      </w:r>
    </w:p>
    <w:p w14:paraId="794F793B" w14:textId="77777777" w:rsidR="002E72CF" w:rsidRPr="002E72CF" w:rsidRDefault="002E72CF" w:rsidP="002E72CF">
      <w:pPr>
        <w:numPr>
          <w:ilvl w:val="0"/>
          <w:numId w:val="1"/>
        </w:numPr>
        <w:spacing w:line="480" w:lineRule="auto"/>
        <w:contextualSpacing/>
        <w:jc w:val="both"/>
        <w:rPr>
          <w:rFonts w:cstheme="minorHAnsi"/>
          <w:sz w:val="24"/>
          <w:szCs w:val="24"/>
          <w:lang w:val="en-GB"/>
        </w:rPr>
      </w:pPr>
      <w:r w:rsidRPr="002E72CF">
        <w:rPr>
          <w:rFonts w:eastAsia="Calibri" w:cstheme="minorHAnsi"/>
          <w:sz w:val="24"/>
          <w:szCs w:val="24"/>
          <w:lang w:val="en-GB"/>
        </w:rPr>
        <w:t xml:space="preserve">Siccardi M, Olagunju A, </w:t>
      </w:r>
      <w:proofErr w:type="spellStart"/>
      <w:r w:rsidRPr="002E72CF">
        <w:rPr>
          <w:rFonts w:eastAsia="Calibri" w:cstheme="minorHAnsi"/>
          <w:sz w:val="24"/>
          <w:szCs w:val="24"/>
          <w:lang w:val="en-GB"/>
        </w:rPr>
        <w:t>Simiele</w:t>
      </w:r>
      <w:proofErr w:type="spellEnd"/>
      <w:r w:rsidRPr="002E72CF">
        <w:rPr>
          <w:rFonts w:eastAsia="Calibri" w:cstheme="minorHAnsi"/>
          <w:sz w:val="24"/>
          <w:szCs w:val="24"/>
          <w:lang w:val="en-GB"/>
        </w:rPr>
        <w:t xml:space="preserve"> M, </w:t>
      </w:r>
      <w:proofErr w:type="spellStart"/>
      <w:r w:rsidRPr="002E72CF">
        <w:rPr>
          <w:rFonts w:eastAsia="Calibri" w:cstheme="minorHAnsi"/>
          <w:sz w:val="24"/>
          <w:szCs w:val="24"/>
          <w:lang w:val="en-GB"/>
        </w:rPr>
        <w:t>D’Avolio</w:t>
      </w:r>
      <w:proofErr w:type="spellEnd"/>
      <w:r w:rsidRPr="002E72CF">
        <w:rPr>
          <w:rFonts w:eastAsia="Calibri" w:cstheme="minorHAnsi"/>
          <w:sz w:val="24"/>
          <w:szCs w:val="24"/>
          <w:lang w:val="en-GB"/>
        </w:rPr>
        <w:t xml:space="preserve"> A, Calcagno A, Di Perri G, </w:t>
      </w:r>
      <w:r w:rsidRPr="002E72CF">
        <w:rPr>
          <w:rFonts w:eastAsia="Calibri" w:cstheme="minorHAnsi"/>
          <w:i/>
          <w:sz w:val="24"/>
          <w:szCs w:val="24"/>
          <w:lang w:val="en-GB"/>
        </w:rPr>
        <w:t>et al</w:t>
      </w:r>
      <w:r w:rsidRPr="002E72CF">
        <w:rPr>
          <w:rFonts w:eastAsia="Calibri" w:cstheme="minorHAnsi"/>
          <w:sz w:val="24"/>
          <w:szCs w:val="24"/>
          <w:lang w:val="en-GB"/>
        </w:rPr>
        <w:t xml:space="preserve">. Class-specific relative genetic contribution for key antiretroviral drugs. J </w:t>
      </w:r>
      <w:proofErr w:type="spellStart"/>
      <w:r w:rsidRPr="002E72CF">
        <w:rPr>
          <w:rFonts w:eastAsia="Calibri" w:cstheme="minorHAnsi"/>
          <w:sz w:val="24"/>
          <w:szCs w:val="24"/>
          <w:lang w:val="en-GB"/>
        </w:rPr>
        <w:t>Antimicrob</w:t>
      </w:r>
      <w:proofErr w:type="spellEnd"/>
      <w:r w:rsidRPr="002E72CF">
        <w:rPr>
          <w:rFonts w:eastAsia="Calibri" w:cstheme="minorHAnsi"/>
          <w:sz w:val="24"/>
          <w:szCs w:val="24"/>
          <w:lang w:val="en-GB"/>
        </w:rPr>
        <w:t xml:space="preserve"> Chemother</w:t>
      </w:r>
      <w:r w:rsidRPr="002E72CF">
        <w:rPr>
          <w:rFonts w:eastAsia="Calibri" w:cstheme="minorHAnsi"/>
          <w:i/>
          <w:sz w:val="24"/>
          <w:szCs w:val="24"/>
          <w:lang w:val="en-GB"/>
        </w:rPr>
        <w:t xml:space="preserve"> </w:t>
      </w:r>
      <w:r w:rsidRPr="002E72CF">
        <w:rPr>
          <w:rFonts w:eastAsia="Calibri" w:cstheme="minorHAnsi"/>
          <w:sz w:val="24"/>
          <w:szCs w:val="24"/>
          <w:lang w:val="en-GB"/>
        </w:rPr>
        <w:t>2015; 70:3074–79.</w:t>
      </w:r>
    </w:p>
    <w:p w14:paraId="78EAC2F8" w14:textId="77777777" w:rsidR="002E72CF" w:rsidRPr="002E72CF" w:rsidRDefault="002E72CF" w:rsidP="002E72CF">
      <w:pPr>
        <w:numPr>
          <w:ilvl w:val="0"/>
          <w:numId w:val="1"/>
        </w:numPr>
        <w:spacing w:line="480" w:lineRule="auto"/>
        <w:contextualSpacing/>
        <w:jc w:val="both"/>
        <w:rPr>
          <w:rFonts w:cstheme="minorHAnsi"/>
          <w:sz w:val="24"/>
          <w:szCs w:val="24"/>
          <w:lang w:val="en-GB"/>
        </w:rPr>
      </w:pPr>
      <w:proofErr w:type="spellStart"/>
      <w:r w:rsidRPr="002E72CF">
        <w:rPr>
          <w:rFonts w:eastAsia="Calibri" w:cstheme="minorHAnsi"/>
          <w:sz w:val="24"/>
          <w:szCs w:val="24"/>
          <w:lang w:val="en-GB"/>
        </w:rPr>
        <w:t>Stöhr</w:t>
      </w:r>
      <w:proofErr w:type="spellEnd"/>
      <w:r w:rsidRPr="002E72CF">
        <w:rPr>
          <w:rFonts w:eastAsia="Calibri" w:cstheme="minorHAnsi"/>
          <w:sz w:val="24"/>
          <w:szCs w:val="24"/>
          <w:lang w:val="en-GB"/>
        </w:rPr>
        <w:t xml:space="preserve"> W, Back D, Dunn D, Sabin C, Winston A, Gilson R, </w:t>
      </w:r>
      <w:r w:rsidRPr="002E72CF">
        <w:rPr>
          <w:rFonts w:eastAsia="Calibri" w:cstheme="minorHAnsi"/>
          <w:i/>
          <w:sz w:val="24"/>
          <w:szCs w:val="24"/>
          <w:lang w:val="en-GB"/>
        </w:rPr>
        <w:t>et al</w:t>
      </w:r>
      <w:r w:rsidRPr="002E72CF">
        <w:rPr>
          <w:rFonts w:eastAsia="Calibri" w:cstheme="minorHAnsi"/>
          <w:sz w:val="24"/>
          <w:szCs w:val="24"/>
          <w:lang w:val="en-GB"/>
        </w:rPr>
        <w:t xml:space="preserve">. Factors influencing efavirenz and nevirapine plasma concentration: effect of ethnicity, weight and co-medication. </w:t>
      </w:r>
      <w:proofErr w:type="spellStart"/>
      <w:r w:rsidRPr="002E72CF">
        <w:rPr>
          <w:rFonts w:eastAsia="Calibri" w:cstheme="minorHAnsi"/>
          <w:sz w:val="24"/>
          <w:szCs w:val="24"/>
          <w:lang w:val="en-GB"/>
        </w:rPr>
        <w:t>Antivir</w:t>
      </w:r>
      <w:proofErr w:type="spellEnd"/>
      <w:r w:rsidRPr="002E72CF">
        <w:rPr>
          <w:rFonts w:eastAsia="Calibri" w:cstheme="minorHAnsi"/>
          <w:sz w:val="24"/>
          <w:szCs w:val="24"/>
          <w:lang w:val="en-GB"/>
        </w:rPr>
        <w:t xml:space="preserve"> </w:t>
      </w:r>
      <w:proofErr w:type="spellStart"/>
      <w:r w:rsidRPr="002E72CF">
        <w:rPr>
          <w:rFonts w:eastAsia="Calibri" w:cstheme="minorHAnsi"/>
          <w:sz w:val="24"/>
          <w:szCs w:val="24"/>
          <w:lang w:val="en-GB"/>
        </w:rPr>
        <w:t>Ther</w:t>
      </w:r>
      <w:proofErr w:type="spellEnd"/>
      <w:r w:rsidRPr="002E72CF">
        <w:rPr>
          <w:rFonts w:eastAsia="Calibri" w:cstheme="minorHAnsi"/>
          <w:sz w:val="24"/>
          <w:szCs w:val="24"/>
          <w:lang w:val="en-GB"/>
        </w:rPr>
        <w:t xml:space="preserve"> 2008; 13:675-85.</w:t>
      </w:r>
    </w:p>
    <w:p w14:paraId="61468BB8" w14:textId="77777777" w:rsidR="002E72CF" w:rsidRPr="002E72CF" w:rsidRDefault="002E72CF" w:rsidP="002E72CF">
      <w:pPr>
        <w:numPr>
          <w:ilvl w:val="0"/>
          <w:numId w:val="1"/>
        </w:numPr>
        <w:spacing w:line="480" w:lineRule="auto"/>
        <w:contextualSpacing/>
        <w:jc w:val="both"/>
        <w:rPr>
          <w:rFonts w:cstheme="minorHAnsi"/>
          <w:sz w:val="24"/>
          <w:szCs w:val="24"/>
          <w:lang w:val="en-GB"/>
        </w:rPr>
      </w:pPr>
      <w:r w:rsidRPr="002E72CF">
        <w:rPr>
          <w:rFonts w:eastAsia="Calibri" w:cstheme="minorHAnsi"/>
          <w:sz w:val="24"/>
          <w:szCs w:val="24"/>
          <w:lang w:val="en-GB"/>
        </w:rPr>
        <w:lastRenderedPageBreak/>
        <w:t xml:space="preserve">Lang T, Klein K, Fischer J, </w:t>
      </w:r>
      <w:proofErr w:type="spellStart"/>
      <w:r w:rsidRPr="002E72CF">
        <w:rPr>
          <w:rFonts w:eastAsia="Calibri" w:cstheme="minorHAnsi"/>
          <w:sz w:val="24"/>
          <w:szCs w:val="24"/>
          <w:lang w:val="en-GB"/>
        </w:rPr>
        <w:t>Nüssler</w:t>
      </w:r>
      <w:proofErr w:type="spellEnd"/>
      <w:r w:rsidRPr="002E72CF">
        <w:rPr>
          <w:rFonts w:eastAsia="Calibri" w:cstheme="minorHAnsi"/>
          <w:sz w:val="24"/>
          <w:szCs w:val="24"/>
          <w:lang w:val="en-GB"/>
        </w:rPr>
        <w:t xml:space="preserve"> AK, Neuhaus P, Hofmann U, </w:t>
      </w:r>
      <w:r w:rsidRPr="002E72CF">
        <w:rPr>
          <w:rFonts w:eastAsia="Calibri" w:cstheme="minorHAnsi"/>
          <w:i/>
          <w:sz w:val="24"/>
          <w:szCs w:val="24"/>
          <w:lang w:val="en-GB"/>
        </w:rPr>
        <w:t>et al</w:t>
      </w:r>
      <w:r w:rsidRPr="002E72CF">
        <w:rPr>
          <w:rFonts w:eastAsia="Calibri" w:cstheme="minorHAnsi"/>
          <w:sz w:val="24"/>
          <w:szCs w:val="24"/>
          <w:lang w:val="en-GB"/>
        </w:rPr>
        <w:t>. Extensive genetic polymorphism in the human CYP2B6 gene with impact on expression and function in human liver. Pharmacogenetics 2001; 11: 399–415.</w:t>
      </w:r>
    </w:p>
    <w:p w14:paraId="6A6AF3C6" w14:textId="77777777" w:rsidR="002E72CF" w:rsidRPr="002E72CF" w:rsidRDefault="002E72CF" w:rsidP="002E72CF">
      <w:pPr>
        <w:numPr>
          <w:ilvl w:val="0"/>
          <w:numId w:val="1"/>
        </w:numPr>
        <w:spacing w:line="480" w:lineRule="auto"/>
        <w:contextualSpacing/>
        <w:jc w:val="both"/>
        <w:rPr>
          <w:rFonts w:cstheme="minorHAnsi"/>
          <w:sz w:val="24"/>
          <w:szCs w:val="24"/>
          <w:lang w:val="en-GB"/>
        </w:rPr>
      </w:pPr>
      <w:proofErr w:type="spellStart"/>
      <w:r w:rsidRPr="002E72CF">
        <w:rPr>
          <w:rFonts w:eastAsia="Calibri" w:cstheme="minorHAnsi"/>
          <w:sz w:val="24"/>
          <w:szCs w:val="24"/>
          <w:lang w:val="en-GB"/>
        </w:rPr>
        <w:t>Lamba</w:t>
      </w:r>
      <w:proofErr w:type="spellEnd"/>
      <w:r w:rsidRPr="002E72CF">
        <w:rPr>
          <w:rFonts w:eastAsia="Calibri" w:cstheme="minorHAnsi"/>
          <w:sz w:val="24"/>
          <w:szCs w:val="24"/>
          <w:lang w:val="en-GB"/>
        </w:rPr>
        <w:t xml:space="preserve"> V, </w:t>
      </w:r>
      <w:proofErr w:type="spellStart"/>
      <w:r w:rsidRPr="002E72CF">
        <w:rPr>
          <w:rFonts w:eastAsia="Calibri" w:cstheme="minorHAnsi"/>
          <w:sz w:val="24"/>
          <w:szCs w:val="24"/>
          <w:lang w:val="en-GB"/>
        </w:rPr>
        <w:t>Lamba</w:t>
      </w:r>
      <w:proofErr w:type="spellEnd"/>
      <w:r w:rsidRPr="002E72CF">
        <w:rPr>
          <w:rFonts w:eastAsia="Calibri" w:cstheme="minorHAnsi"/>
          <w:sz w:val="24"/>
          <w:szCs w:val="24"/>
          <w:lang w:val="en-GB"/>
        </w:rPr>
        <w:t xml:space="preserve"> J, Yasuda K, Strom S, Davila J, Hancock ML, </w:t>
      </w:r>
      <w:r w:rsidRPr="002E72CF">
        <w:rPr>
          <w:rFonts w:eastAsia="Calibri" w:cstheme="minorHAnsi"/>
          <w:i/>
          <w:sz w:val="24"/>
          <w:szCs w:val="24"/>
          <w:lang w:val="en-GB"/>
        </w:rPr>
        <w:t>et al</w:t>
      </w:r>
      <w:r w:rsidRPr="002E72CF">
        <w:rPr>
          <w:rFonts w:eastAsia="Calibri" w:cstheme="minorHAnsi"/>
          <w:sz w:val="24"/>
          <w:szCs w:val="24"/>
          <w:lang w:val="en-GB"/>
        </w:rPr>
        <w:t xml:space="preserve">. Hepatic CYP2B6 expression: gender and ethnic differences and relationship to CYP2B6 genotype and CAR (constitutive androstane receptor) expression.  J </w:t>
      </w:r>
      <w:proofErr w:type="spellStart"/>
      <w:r w:rsidRPr="002E72CF">
        <w:rPr>
          <w:rFonts w:eastAsia="Calibri" w:cstheme="minorHAnsi"/>
          <w:sz w:val="24"/>
          <w:szCs w:val="24"/>
          <w:lang w:val="en-GB"/>
        </w:rPr>
        <w:t>Pharmacol</w:t>
      </w:r>
      <w:proofErr w:type="spellEnd"/>
      <w:r w:rsidRPr="002E72CF">
        <w:rPr>
          <w:rFonts w:eastAsia="Calibri" w:cstheme="minorHAnsi"/>
          <w:sz w:val="24"/>
          <w:szCs w:val="24"/>
          <w:lang w:val="en-GB"/>
        </w:rPr>
        <w:t xml:space="preserve"> Exp </w:t>
      </w:r>
      <w:proofErr w:type="spellStart"/>
      <w:r w:rsidRPr="002E72CF">
        <w:rPr>
          <w:rFonts w:eastAsia="Calibri" w:cstheme="minorHAnsi"/>
          <w:sz w:val="24"/>
          <w:szCs w:val="24"/>
          <w:lang w:val="en-GB"/>
        </w:rPr>
        <w:t>Ther</w:t>
      </w:r>
      <w:proofErr w:type="spellEnd"/>
      <w:r w:rsidRPr="002E72CF">
        <w:rPr>
          <w:rFonts w:eastAsia="Calibri" w:cstheme="minorHAnsi"/>
          <w:sz w:val="24"/>
          <w:szCs w:val="24"/>
          <w:lang w:val="en-GB"/>
        </w:rPr>
        <w:t xml:space="preserve"> 2003; 307:906–22.</w:t>
      </w:r>
    </w:p>
    <w:p w14:paraId="2416DC48" w14:textId="77777777" w:rsidR="002E72CF" w:rsidRPr="002E72CF" w:rsidRDefault="002E72CF" w:rsidP="002E72CF">
      <w:pPr>
        <w:numPr>
          <w:ilvl w:val="0"/>
          <w:numId w:val="1"/>
        </w:numPr>
        <w:spacing w:line="480" w:lineRule="auto"/>
        <w:contextualSpacing/>
        <w:jc w:val="both"/>
        <w:rPr>
          <w:rFonts w:cstheme="minorHAnsi"/>
          <w:sz w:val="24"/>
          <w:szCs w:val="24"/>
          <w:lang w:val="en-GB"/>
        </w:rPr>
      </w:pPr>
      <w:r w:rsidRPr="002E72CF">
        <w:rPr>
          <w:rFonts w:eastAsia="Calibri" w:cstheme="minorHAnsi"/>
          <w:sz w:val="24"/>
          <w:szCs w:val="24"/>
          <w:lang w:val="en-GB"/>
        </w:rPr>
        <w:t xml:space="preserve">Klein K, Lang T, </w:t>
      </w:r>
      <w:proofErr w:type="spellStart"/>
      <w:r w:rsidRPr="002E72CF">
        <w:rPr>
          <w:rFonts w:eastAsia="Calibri" w:cstheme="minorHAnsi"/>
          <w:sz w:val="24"/>
          <w:szCs w:val="24"/>
          <w:lang w:val="en-GB"/>
        </w:rPr>
        <w:t>Saussele</w:t>
      </w:r>
      <w:proofErr w:type="spellEnd"/>
      <w:r w:rsidRPr="002E72CF">
        <w:rPr>
          <w:rFonts w:eastAsia="Calibri" w:cstheme="minorHAnsi"/>
          <w:sz w:val="24"/>
          <w:szCs w:val="24"/>
          <w:lang w:val="en-GB"/>
        </w:rPr>
        <w:t xml:space="preserve"> T, Barbosa-Sicard E, </w:t>
      </w:r>
      <w:proofErr w:type="spellStart"/>
      <w:r w:rsidRPr="002E72CF">
        <w:rPr>
          <w:rFonts w:eastAsia="Calibri" w:cstheme="minorHAnsi"/>
          <w:sz w:val="24"/>
          <w:szCs w:val="24"/>
          <w:lang w:val="en-GB"/>
        </w:rPr>
        <w:t>Schunck</w:t>
      </w:r>
      <w:proofErr w:type="spellEnd"/>
      <w:r w:rsidRPr="002E72CF">
        <w:rPr>
          <w:rFonts w:eastAsia="Calibri" w:cstheme="minorHAnsi"/>
          <w:sz w:val="24"/>
          <w:szCs w:val="24"/>
          <w:lang w:val="en-GB"/>
        </w:rPr>
        <w:t xml:space="preserve"> WH, </w:t>
      </w:r>
      <w:proofErr w:type="spellStart"/>
      <w:r w:rsidRPr="002E72CF">
        <w:rPr>
          <w:rFonts w:eastAsia="Calibri" w:cstheme="minorHAnsi"/>
          <w:sz w:val="24"/>
          <w:szCs w:val="24"/>
          <w:lang w:val="en-GB"/>
        </w:rPr>
        <w:t>Eichelbaum</w:t>
      </w:r>
      <w:proofErr w:type="spellEnd"/>
      <w:r w:rsidRPr="002E72CF">
        <w:rPr>
          <w:rFonts w:eastAsia="Calibri" w:cstheme="minorHAnsi"/>
          <w:sz w:val="24"/>
          <w:szCs w:val="24"/>
          <w:lang w:val="en-GB"/>
        </w:rPr>
        <w:t xml:space="preserve"> M, </w:t>
      </w:r>
      <w:r w:rsidRPr="002E72CF">
        <w:rPr>
          <w:rFonts w:eastAsia="Calibri" w:cstheme="minorHAnsi"/>
          <w:i/>
          <w:sz w:val="24"/>
          <w:szCs w:val="24"/>
          <w:lang w:val="en-GB"/>
        </w:rPr>
        <w:t>et al</w:t>
      </w:r>
      <w:r w:rsidRPr="002E72CF">
        <w:rPr>
          <w:rFonts w:eastAsia="Calibri" w:cstheme="minorHAnsi"/>
          <w:sz w:val="24"/>
          <w:szCs w:val="24"/>
          <w:lang w:val="en-GB"/>
        </w:rPr>
        <w:t xml:space="preserve">. Genetic variability of CYP2B6 in populations of African and Asian origin: allele frequencies, novel functional variants, and possible implications for anti-HIV therapy with efavirenz. </w:t>
      </w:r>
      <w:proofErr w:type="spellStart"/>
      <w:r w:rsidRPr="002E72CF">
        <w:rPr>
          <w:rFonts w:eastAsia="Calibri" w:cstheme="minorHAnsi"/>
          <w:sz w:val="24"/>
          <w:szCs w:val="24"/>
          <w:lang w:val="en-GB"/>
        </w:rPr>
        <w:t>Pharmacogenet</w:t>
      </w:r>
      <w:proofErr w:type="spellEnd"/>
      <w:r w:rsidRPr="002E72CF">
        <w:rPr>
          <w:rFonts w:eastAsia="Calibri" w:cstheme="minorHAnsi"/>
          <w:sz w:val="24"/>
          <w:szCs w:val="24"/>
          <w:lang w:val="en-GB"/>
        </w:rPr>
        <w:t xml:space="preserve"> Genomics 2005; 15:861–73.</w:t>
      </w:r>
    </w:p>
    <w:p w14:paraId="1C0D7878" w14:textId="77777777" w:rsidR="002E72CF" w:rsidRPr="002E72CF" w:rsidRDefault="002E72CF" w:rsidP="002E72CF">
      <w:pPr>
        <w:numPr>
          <w:ilvl w:val="0"/>
          <w:numId w:val="1"/>
        </w:numPr>
        <w:spacing w:line="480" w:lineRule="auto"/>
        <w:contextualSpacing/>
        <w:jc w:val="both"/>
        <w:rPr>
          <w:rFonts w:cstheme="minorHAnsi"/>
          <w:sz w:val="24"/>
          <w:szCs w:val="24"/>
          <w:lang w:val="en-GB"/>
        </w:rPr>
      </w:pPr>
      <w:proofErr w:type="spellStart"/>
      <w:r w:rsidRPr="002E72CF">
        <w:rPr>
          <w:rFonts w:eastAsia="Calibri" w:cstheme="minorHAnsi"/>
          <w:sz w:val="24"/>
          <w:szCs w:val="24"/>
          <w:lang w:val="en-GB"/>
        </w:rPr>
        <w:t>Rotger</w:t>
      </w:r>
      <w:proofErr w:type="spellEnd"/>
      <w:r w:rsidRPr="002E72CF">
        <w:rPr>
          <w:rFonts w:eastAsia="Calibri" w:cstheme="minorHAnsi"/>
          <w:sz w:val="24"/>
          <w:szCs w:val="24"/>
          <w:lang w:val="en-GB"/>
        </w:rPr>
        <w:t xml:space="preserve"> M, Colombo S, </w:t>
      </w:r>
      <w:proofErr w:type="spellStart"/>
      <w:r w:rsidRPr="002E72CF">
        <w:rPr>
          <w:rFonts w:eastAsia="Calibri" w:cstheme="minorHAnsi"/>
          <w:sz w:val="24"/>
          <w:szCs w:val="24"/>
          <w:lang w:val="en-GB"/>
        </w:rPr>
        <w:t>Furrer</w:t>
      </w:r>
      <w:proofErr w:type="spellEnd"/>
      <w:r w:rsidRPr="002E72CF">
        <w:rPr>
          <w:rFonts w:eastAsia="Calibri" w:cstheme="minorHAnsi"/>
          <w:sz w:val="24"/>
          <w:szCs w:val="24"/>
          <w:lang w:val="en-GB"/>
        </w:rPr>
        <w:t xml:space="preserve"> H, </w:t>
      </w:r>
      <w:proofErr w:type="spellStart"/>
      <w:r w:rsidRPr="002E72CF">
        <w:rPr>
          <w:rFonts w:eastAsia="Calibri" w:cstheme="minorHAnsi"/>
          <w:sz w:val="24"/>
          <w:szCs w:val="24"/>
          <w:lang w:val="en-GB"/>
        </w:rPr>
        <w:t>Bleiber</w:t>
      </w:r>
      <w:proofErr w:type="spellEnd"/>
      <w:r w:rsidRPr="002E72CF">
        <w:rPr>
          <w:rFonts w:eastAsia="Calibri" w:cstheme="minorHAnsi"/>
          <w:sz w:val="24"/>
          <w:szCs w:val="24"/>
          <w:lang w:val="en-GB"/>
        </w:rPr>
        <w:t xml:space="preserve"> G, </w:t>
      </w:r>
      <w:proofErr w:type="spellStart"/>
      <w:r w:rsidRPr="002E72CF">
        <w:rPr>
          <w:rFonts w:eastAsia="Calibri" w:cstheme="minorHAnsi"/>
          <w:sz w:val="24"/>
          <w:szCs w:val="24"/>
          <w:lang w:val="en-GB"/>
        </w:rPr>
        <w:t>Buclin</w:t>
      </w:r>
      <w:proofErr w:type="spellEnd"/>
      <w:r w:rsidRPr="002E72CF">
        <w:rPr>
          <w:rFonts w:eastAsia="Calibri" w:cstheme="minorHAnsi"/>
          <w:sz w:val="24"/>
          <w:szCs w:val="24"/>
          <w:lang w:val="en-GB"/>
        </w:rPr>
        <w:t xml:space="preserve"> T, Lee BL, </w:t>
      </w:r>
      <w:r w:rsidRPr="002E72CF">
        <w:rPr>
          <w:rFonts w:eastAsia="Calibri" w:cstheme="minorHAnsi"/>
          <w:i/>
          <w:sz w:val="24"/>
          <w:szCs w:val="24"/>
          <w:lang w:val="en-GB"/>
        </w:rPr>
        <w:t>et al</w:t>
      </w:r>
      <w:r w:rsidRPr="002E72CF">
        <w:rPr>
          <w:rFonts w:eastAsia="Calibri" w:cstheme="minorHAnsi"/>
          <w:sz w:val="24"/>
          <w:szCs w:val="24"/>
          <w:lang w:val="en-GB"/>
        </w:rPr>
        <w:t xml:space="preserve">. Influence of CYP2B6 polymorphism on plasma and intracellular concentrations and toxicity of efavirenz and nevirapine in HIV-infected patients. </w:t>
      </w:r>
      <w:proofErr w:type="spellStart"/>
      <w:r w:rsidRPr="002E72CF">
        <w:rPr>
          <w:rFonts w:eastAsia="Calibri" w:cstheme="minorHAnsi"/>
          <w:sz w:val="24"/>
          <w:szCs w:val="24"/>
          <w:lang w:val="en-GB"/>
        </w:rPr>
        <w:t>Pharmacogenet</w:t>
      </w:r>
      <w:proofErr w:type="spellEnd"/>
      <w:r w:rsidRPr="002E72CF">
        <w:rPr>
          <w:rFonts w:eastAsia="Calibri" w:cstheme="minorHAnsi"/>
          <w:sz w:val="24"/>
          <w:szCs w:val="24"/>
          <w:lang w:val="en-GB"/>
        </w:rPr>
        <w:t xml:space="preserve"> Genomics 2005; 15(1):1–5.</w:t>
      </w:r>
    </w:p>
    <w:p w14:paraId="4BD363EB" w14:textId="77777777" w:rsidR="002E72CF" w:rsidRPr="002E72CF" w:rsidRDefault="002E72CF" w:rsidP="002E72CF">
      <w:pPr>
        <w:numPr>
          <w:ilvl w:val="0"/>
          <w:numId w:val="1"/>
        </w:numPr>
        <w:spacing w:line="480" w:lineRule="auto"/>
        <w:contextualSpacing/>
        <w:jc w:val="both"/>
        <w:rPr>
          <w:rFonts w:cstheme="minorHAnsi"/>
          <w:sz w:val="24"/>
          <w:szCs w:val="24"/>
          <w:lang w:val="en-GB"/>
        </w:rPr>
      </w:pPr>
      <w:proofErr w:type="spellStart"/>
      <w:r w:rsidRPr="002E72CF">
        <w:rPr>
          <w:rFonts w:eastAsia="Calibri" w:cstheme="minorHAnsi"/>
          <w:sz w:val="24"/>
          <w:szCs w:val="24"/>
          <w:lang w:val="en-GB"/>
        </w:rPr>
        <w:t>Penzak</w:t>
      </w:r>
      <w:proofErr w:type="spellEnd"/>
      <w:r w:rsidRPr="002E72CF">
        <w:rPr>
          <w:rFonts w:eastAsia="Calibri" w:cstheme="minorHAnsi"/>
          <w:sz w:val="24"/>
          <w:szCs w:val="24"/>
          <w:lang w:val="en-GB"/>
        </w:rPr>
        <w:t xml:space="preserve"> SR, </w:t>
      </w:r>
      <w:proofErr w:type="spellStart"/>
      <w:r w:rsidRPr="002E72CF">
        <w:rPr>
          <w:rFonts w:eastAsia="Calibri" w:cstheme="minorHAnsi"/>
          <w:sz w:val="24"/>
          <w:szCs w:val="24"/>
          <w:lang w:val="en-GB"/>
        </w:rPr>
        <w:t>Kabuye</w:t>
      </w:r>
      <w:proofErr w:type="spellEnd"/>
      <w:r w:rsidRPr="002E72CF">
        <w:rPr>
          <w:rFonts w:eastAsia="Calibri" w:cstheme="minorHAnsi"/>
          <w:sz w:val="24"/>
          <w:szCs w:val="24"/>
          <w:lang w:val="en-GB"/>
        </w:rPr>
        <w:t xml:space="preserve"> G, </w:t>
      </w:r>
      <w:proofErr w:type="spellStart"/>
      <w:r w:rsidRPr="002E72CF">
        <w:rPr>
          <w:rFonts w:eastAsia="Calibri" w:cstheme="minorHAnsi"/>
          <w:sz w:val="24"/>
          <w:szCs w:val="24"/>
          <w:lang w:val="en-GB"/>
        </w:rPr>
        <w:t>Mugyenyi</w:t>
      </w:r>
      <w:proofErr w:type="spellEnd"/>
      <w:r w:rsidRPr="002E72CF">
        <w:rPr>
          <w:rFonts w:eastAsia="Calibri" w:cstheme="minorHAnsi"/>
          <w:sz w:val="24"/>
          <w:szCs w:val="24"/>
          <w:lang w:val="en-GB"/>
        </w:rPr>
        <w:t xml:space="preserve"> P, </w:t>
      </w:r>
      <w:proofErr w:type="spellStart"/>
      <w:r w:rsidRPr="002E72CF">
        <w:rPr>
          <w:rFonts w:eastAsia="Calibri" w:cstheme="minorHAnsi"/>
          <w:sz w:val="24"/>
          <w:szCs w:val="24"/>
          <w:lang w:val="en-GB"/>
        </w:rPr>
        <w:t>Mbamanya</w:t>
      </w:r>
      <w:proofErr w:type="spellEnd"/>
      <w:r w:rsidRPr="002E72CF">
        <w:rPr>
          <w:rFonts w:eastAsia="Calibri" w:cstheme="minorHAnsi"/>
          <w:sz w:val="24"/>
          <w:szCs w:val="24"/>
          <w:lang w:val="en-GB"/>
        </w:rPr>
        <w:t xml:space="preserve"> F, Natarajan V, Alfaro RM, </w:t>
      </w:r>
      <w:r w:rsidRPr="002E72CF">
        <w:rPr>
          <w:rFonts w:eastAsia="Calibri" w:cstheme="minorHAnsi"/>
          <w:i/>
          <w:sz w:val="24"/>
          <w:szCs w:val="24"/>
          <w:lang w:val="en-GB"/>
        </w:rPr>
        <w:t>et al</w:t>
      </w:r>
      <w:r w:rsidRPr="002E72CF">
        <w:rPr>
          <w:rFonts w:eastAsia="Calibri" w:cstheme="minorHAnsi"/>
          <w:sz w:val="24"/>
          <w:szCs w:val="24"/>
          <w:lang w:val="en-GB"/>
        </w:rPr>
        <w:t>. Cytochrome P450 2B6 (CYP2B6) G516T influences nevirapine plasma concentrations in HIV-infected patients in Uganda. HIV Med 2007; 8: 86–91.</w:t>
      </w:r>
    </w:p>
    <w:p w14:paraId="07ACFD6D" w14:textId="77777777" w:rsidR="002E72CF" w:rsidRPr="002E72CF" w:rsidRDefault="002E72CF" w:rsidP="002E72CF">
      <w:pPr>
        <w:numPr>
          <w:ilvl w:val="0"/>
          <w:numId w:val="1"/>
        </w:numPr>
        <w:spacing w:line="480" w:lineRule="auto"/>
        <w:contextualSpacing/>
        <w:jc w:val="both"/>
        <w:rPr>
          <w:rFonts w:cstheme="minorHAnsi"/>
          <w:sz w:val="24"/>
          <w:szCs w:val="24"/>
          <w:lang w:val="en-GB"/>
        </w:rPr>
      </w:pPr>
      <w:proofErr w:type="spellStart"/>
      <w:r w:rsidRPr="002E72CF">
        <w:rPr>
          <w:rFonts w:cstheme="minorHAnsi"/>
          <w:sz w:val="24"/>
          <w:szCs w:val="24"/>
          <w:lang w:val="en-GB"/>
        </w:rPr>
        <w:t>Saitoh</w:t>
      </w:r>
      <w:proofErr w:type="spellEnd"/>
      <w:r w:rsidRPr="002E72CF">
        <w:rPr>
          <w:rFonts w:cstheme="minorHAnsi"/>
          <w:sz w:val="24"/>
          <w:szCs w:val="24"/>
          <w:lang w:val="en-GB"/>
        </w:rPr>
        <w:t xml:space="preserve"> A, </w:t>
      </w:r>
      <w:proofErr w:type="spellStart"/>
      <w:r w:rsidRPr="002E72CF">
        <w:rPr>
          <w:rFonts w:cstheme="minorHAnsi"/>
          <w:sz w:val="24"/>
          <w:szCs w:val="24"/>
          <w:lang w:val="en-GB"/>
        </w:rPr>
        <w:t>Sarles</w:t>
      </w:r>
      <w:proofErr w:type="spellEnd"/>
      <w:r w:rsidRPr="002E72CF">
        <w:rPr>
          <w:rFonts w:cstheme="minorHAnsi"/>
          <w:sz w:val="24"/>
          <w:szCs w:val="24"/>
          <w:lang w:val="en-GB"/>
        </w:rPr>
        <w:t xml:space="preserve"> E, </w:t>
      </w:r>
      <w:proofErr w:type="spellStart"/>
      <w:r w:rsidRPr="002E72CF">
        <w:rPr>
          <w:rFonts w:cstheme="minorHAnsi"/>
          <w:sz w:val="24"/>
          <w:szCs w:val="24"/>
          <w:lang w:val="en-GB"/>
        </w:rPr>
        <w:t>Capparelli</w:t>
      </w:r>
      <w:proofErr w:type="spellEnd"/>
      <w:r w:rsidRPr="002E72CF">
        <w:rPr>
          <w:rFonts w:cstheme="minorHAnsi"/>
          <w:sz w:val="24"/>
          <w:szCs w:val="24"/>
          <w:lang w:val="en-GB"/>
        </w:rPr>
        <w:t xml:space="preserve"> E, </w:t>
      </w:r>
      <w:proofErr w:type="spellStart"/>
      <w:r w:rsidRPr="002E72CF">
        <w:rPr>
          <w:rFonts w:cstheme="minorHAnsi"/>
          <w:sz w:val="24"/>
          <w:szCs w:val="24"/>
          <w:lang w:val="en-GB"/>
        </w:rPr>
        <w:t>Aweeka</w:t>
      </w:r>
      <w:proofErr w:type="spellEnd"/>
      <w:r w:rsidRPr="002E72CF">
        <w:rPr>
          <w:rFonts w:cstheme="minorHAnsi"/>
          <w:sz w:val="24"/>
          <w:szCs w:val="24"/>
          <w:lang w:val="en-GB"/>
        </w:rPr>
        <w:t xml:space="preserve"> F, Kovacs A, Burchett SK, </w:t>
      </w:r>
      <w:r w:rsidRPr="002E72CF">
        <w:rPr>
          <w:rFonts w:cstheme="minorHAnsi"/>
          <w:i/>
          <w:sz w:val="24"/>
          <w:szCs w:val="24"/>
          <w:lang w:val="en-GB"/>
        </w:rPr>
        <w:t>et al.</w:t>
      </w:r>
      <w:r w:rsidRPr="002E72CF">
        <w:rPr>
          <w:rFonts w:cstheme="minorHAnsi"/>
          <w:sz w:val="24"/>
          <w:szCs w:val="24"/>
          <w:lang w:val="en-GB"/>
        </w:rPr>
        <w:t xml:space="preserve"> CYP2B6 genetic variants are associated with nevirapine pharmacokinetics and clinical response in HIV-1-infected children. AID</w:t>
      </w:r>
      <w:r w:rsidRPr="002E72CF">
        <w:rPr>
          <w:rFonts w:cstheme="minorHAnsi"/>
          <w:i/>
          <w:sz w:val="24"/>
          <w:szCs w:val="24"/>
          <w:lang w:val="en-GB"/>
        </w:rPr>
        <w:t>S</w:t>
      </w:r>
      <w:r w:rsidRPr="002E72CF">
        <w:rPr>
          <w:rFonts w:cstheme="minorHAnsi"/>
          <w:sz w:val="24"/>
          <w:szCs w:val="24"/>
          <w:lang w:val="en-GB"/>
        </w:rPr>
        <w:t xml:space="preserve"> 2007; 21: 2191-9.</w:t>
      </w:r>
    </w:p>
    <w:p w14:paraId="1282E3EA" w14:textId="77777777" w:rsidR="002E72CF" w:rsidRPr="002E72CF" w:rsidRDefault="002E72CF" w:rsidP="002E72CF">
      <w:pPr>
        <w:numPr>
          <w:ilvl w:val="0"/>
          <w:numId w:val="1"/>
        </w:numPr>
        <w:spacing w:line="480" w:lineRule="auto"/>
        <w:contextualSpacing/>
        <w:jc w:val="both"/>
        <w:rPr>
          <w:rFonts w:cstheme="minorHAnsi"/>
          <w:sz w:val="24"/>
          <w:szCs w:val="24"/>
          <w:lang w:val="en-GB"/>
        </w:rPr>
      </w:pPr>
      <w:proofErr w:type="spellStart"/>
      <w:r w:rsidRPr="002E72CF">
        <w:rPr>
          <w:rFonts w:eastAsia="Calibri" w:cstheme="minorHAnsi"/>
          <w:sz w:val="24"/>
          <w:szCs w:val="24"/>
          <w:lang w:val="en-GB"/>
        </w:rPr>
        <w:t>Mahungu</w:t>
      </w:r>
      <w:proofErr w:type="spellEnd"/>
      <w:r w:rsidRPr="002E72CF">
        <w:rPr>
          <w:rFonts w:eastAsia="Calibri" w:cstheme="minorHAnsi"/>
          <w:sz w:val="24"/>
          <w:szCs w:val="24"/>
          <w:lang w:val="en-GB"/>
        </w:rPr>
        <w:t xml:space="preserve"> TW, Smith CJ, Turner F, Egan D, </w:t>
      </w:r>
      <w:proofErr w:type="spellStart"/>
      <w:r w:rsidRPr="002E72CF">
        <w:rPr>
          <w:rFonts w:eastAsia="Calibri" w:cstheme="minorHAnsi"/>
          <w:sz w:val="24"/>
          <w:szCs w:val="24"/>
          <w:lang w:val="en-GB"/>
        </w:rPr>
        <w:t>Youle</w:t>
      </w:r>
      <w:proofErr w:type="spellEnd"/>
      <w:r w:rsidRPr="002E72CF">
        <w:rPr>
          <w:rFonts w:eastAsia="Calibri" w:cstheme="minorHAnsi"/>
          <w:sz w:val="24"/>
          <w:szCs w:val="24"/>
          <w:lang w:val="en-GB"/>
        </w:rPr>
        <w:t xml:space="preserve"> M, Johnson MA, </w:t>
      </w:r>
      <w:r w:rsidRPr="002E72CF">
        <w:rPr>
          <w:rFonts w:eastAsia="Calibri" w:cstheme="minorHAnsi"/>
          <w:i/>
          <w:sz w:val="24"/>
          <w:szCs w:val="24"/>
          <w:lang w:val="en-GB"/>
        </w:rPr>
        <w:t>et al</w:t>
      </w:r>
      <w:r w:rsidRPr="002E72CF">
        <w:rPr>
          <w:rFonts w:eastAsia="Calibri" w:cstheme="minorHAnsi"/>
          <w:sz w:val="24"/>
          <w:szCs w:val="24"/>
          <w:lang w:val="en-GB"/>
        </w:rPr>
        <w:t>. Cytochrome P450 2B6 516G&gt;T is associated with plasma concentrations of nevirapine at both 200 mg twice daily and 400 mg once daily in an ethnically diverse population. HIV Med 2009; 10:310-7.</w:t>
      </w:r>
    </w:p>
    <w:p w14:paraId="426E4D04" w14:textId="77777777" w:rsidR="002E72CF" w:rsidRPr="002E72CF" w:rsidRDefault="002E72CF" w:rsidP="002E72CF">
      <w:pPr>
        <w:numPr>
          <w:ilvl w:val="0"/>
          <w:numId w:val="1"/>
        </w:numPr>
        <w:spacing w:line="480" w:lineRule="auto"/>
        <w:contextualSpacing/>
        <w:jc w:val="both"/>
        <w:rPr>
          <w:rFonts w:eastAsia="Calibri" w:cstheme="minorHAnsi"/>
          <w:sz w:val="24"/>
          <w:szCs w:val="24"/>
          <w:lang w:val="en-GB"/>
        </w:rPr>
      </w:pPr>
      <w:proofErr w:type="spellStart"/>
      <w:r w:rsidRPr="002E72CF">
        <w:rPr>
          <w:rFonts w:eastAsia="Calibri" w:cstheme="minorHAnsi"/>
          <w:sz w:val="24"/>
          <w:szCs w:val="24"/>
          <w:lang w:val="en-GB"/>
        </w:rPr>
        <w:lastRenderedPageBreak/>
        <w:t>Lamba</w:t>
      </w:r>
      <w:proofErr w:type="spellEnd"/>
      <w:r w:rsidRPr="002E72CF">
        <w:rPr>
          <w:rFonts w:eastAsia="Calibri" w:cstheme="minorHAnsi"/>
          <w:sz w:val="24"/>
          <w:szCs w:val="24"/>
          <w:lang w:val="en-GB"/>
        </w:rPr>
        <w:t xml:space="preserve"> JK, Lin YS, Schuetz EG, </w:t>
      </w:r>
      <w:proofErr w:type="spellStart"/>
      <w:r w:rsidRPr="002E72CF">
        <w:rPr>
          <w:rFonts w:eastAsia="Calibri" w:cstheme="minorHAnsi"/>
          <w:sz w:val="24"/>
          <w:szCs w:val="24"/>
          <w:lang w:val="en-GB"/>
        </w:rPr>
        <w:t>Thummel</w:t>
      </w:r>
      <w:proofErr w:type="spellEnd"/>
      <w:r w:rsidRPr="002E72CF">
        <w:rPr>
          <w:rFonts w:eastAsia="Calibri" w:cstheme="minorHAnsi"/>
          <w:sz w:val="24"/>
          <w:szCs w:val="24"/>
          <w:lang w:val="en-GB"/>
        </w:rPr>
        <w:t xml:space="preserve"> KE. Genetic contribution to variable human CYP3A-mediated metabolism. Adv Drug </w:t>
      </w:r>
      <w:proofErr w:type="spellStart"/>
      <w:r w:rsidRPr="002E72CF">
        <w:rPr>
          <w:rFonts w:eastAsia="Calibri" w:cstheme="minorHAnsi"/>
          <w:sz w:val="24"/>
          <w:szCs w:val="24"/>
          <w:lang w:val="en-GB"/>
        </w:rPr>
        <w:t>Deliv</w:t>
      </w:r>
      <w:proofErr w:type="spellEnd"/>
      <w:r w:rsidRPr="002E72CF">
        <w:rPr>
          <w:rFonts w:eastAsia="Calibri" w:cstheme="minorHAnsi"/>
          <w:sz w:val="24"/>
          <w:szCs w:val="24"/>
          <w:lang w:val="en-GB"/>
        </w:rPr>
        <w:t xml:space="preserve"> Rev 2002; 54:1271-94.</w:t>
      </w:r>
    </w:p>
    <w:p w14:paraId="1C8D7775" w14:textId="77777777" w:rsidR="002E72CF" w:rsidRPr="002E72CF" w:rsidRDefault="002E72CF" w:rsidP="002E72CF">
      <w:pPr>
        <w:numPr>
          <w:ilvl w:val="0"/>
          <w:numId w:val="1"/>
        </w:numPr>
        <w:spacing w:line="480" w:lineRule="auto"/>
        <w:contextualSpacing/>
        <w:jc w:val="both"/>
        <w:rPr>
          <w:rFonts w:cstheme="minorHAnsi"/>
          <w:sz w:val="24"/>
          <w:szCs w:val="24"/>
          <w:lang w:val="en-GB"/>
        </w:rPr>
      </w:pPr>
      <w:r w:rsidRPr="002E72CF">
        <w:rPr>
          <w:rFonts w:eastAsia="Calibri" w:cstheme="minorHAnsi"/>
          <w:sz w:val="24"/>
          <w:szCs w:val="24"/>
          <w:lang w:val="en-GB"/>
        </w:rPr>
        <w:t xml:space="preserve">Agrawal V, Choi JH, Giacomini KM, Miller WL. Substrate specific modulation of CYP3A4 activity by genetic variants of cytochrome P450 oxidoreductase. </w:t>
      </w:r>
      <w:proofErr w:type="spellStart"/>
      <w:r w:rsidRPr="002E72CF">
        <w:rPr>
          <w:rFonts w:eastAsia="Calibri" w:cstheme="minorHAnsi"/>
          <w:sz w:val="24"/>
          <w:szCs w:val="24"/>
          <w:lang w:val="en-GB"/>
        </w:rPr>
        <w:t>Pharmacogenet</w:t>
      </w:r>
      <w:proofErr w:type="spellEnd"/>
      <w:r w:rsidRPr="002E72CF">
        <w:rPr>
          <w:rFonts w:eastAsia="Calibri" w:cstheme="minorHAnsi"/>
          <w:sz w:val="24"/>
          <w:szCs w:val="24"/>
          <w:lang w:val="en-GB"/>
        </w:rPr>
        <w:t xml:space="preserve"> Genomics 2010; 20: 611–8.</w:t>
      </w:r>
    </w:p>
    <w:p w14:paraId="7A2C97A5" w14:textId="77777777" w:rsidR="002E72CF" w:rsidRPr="002E72CF" w:rsidRDefault="002E72CF" w:rsidP="002E72CF">
      <w:pPr>
        <w:numPr>
          <w:ilvl w:val="0"/>
          <w:numId w:val="1"/>
        </w:numPr>
        <w:spacing w:line="480" w:lineRule="auto"/>
        <w:contextualSpacing/>
        <w:jc w:val="both"/>
        <w:rPr>
          <w:rFonts w:cstheme="minorHAnsi"/>
          <w:sz w:val="24"/>
          <w:szCs w:val="24"/>
          <w:lang w:val="en-GB"/>
        </w:rPr>
      </w:pPr>
      <w:r w:rsidRPr="002E72CF">
        <w:rPr>
          <w:rFonts w:cstheme="minorHAnsi"/>
          <w:sz w:val="24"/>
          <w:szCs w:val="24"/>
          <w:lang w:val="en-GB"/>
        </w:rPr>
        <w:t xml:space="preserve">de </w:t>
      </w:r>
      <w:proofErr w:type="spellStart"/>
      <w:r w:rsidRPr="002E72CF">
        <w:rPr>
          <w:rFonts w:cstheme="minorHAnsi"/>
          <w:sz w:val="24"/>
          <w:szCs w:val="24"/>
          <w:lang w:val="en-GB"/>
        </w:rPr>
        <w:t>Jonge</w:t>
      </w:r>
      <w:proofErr w:type="spellEnd"/>
      <w:r w:rsidRPr="002E72CF">
        <w:rPr>
          <w:rFonts w:cstheme="minorHAnsi"/>
          <w:sz w:val="24"/>
          <w:szCs w:val="24"/>
          <w:lang w:val="en-GB"/>
        </w:rPr>
        <w:t xml:space="preserve"> H, </w:t>
      </w:r>
      <w:proofErr w:type="spellStart"/>
      <w:r w:rsidRPr="002E72CF">
        <w:rPr>
          <w:rFonts w:cstheme="minorHAnsi"/>
          <w:sz w:val="24"/>
          <w:szCs w:val="24"/>
          <w:lang w:val="en-GB"/>
        </w:rPr>
        <w:t>Metalidis</w:t>
      </w:r>
      <w:proofErr w:type="spellEnd"/>
      <w:r w:rsidRPr="002E72CF">
        <w:rPr>
          <w:rFonts w:cstheme="minorHAnsi"/>
          <w:sz w:val="24"/>
          <w:szCs w:val="24"/>
          <w:lang w:val="en-GB"/>
        </w:rPr>
        <w:t xml:space="preserve"> C, </w:t>
      </w:r>
      <w:proofErr w:type="spellStart"/>
      <w:r w:rsidRPr="002E72CF">
        <w:rPr>
          <w:rFonts w:cstheme="minorHAnsi"/>
          <w:sz w:val="24"/>
          <w:szCs w:val="24"/>
          <w:lang w:val="en-GB"/>
        </w:rPr>
        <w:t>Naesens</w:t>
      </w:r>
      <w:proofErr w:type="spellEnd"/>
      <w:r w:rsidRPr="002E72CF">
        <w:rPr>
          <w:rFonts w:cstheme="minorHAnsi"/>
          <w:sz w:val="24"/>
          <w:szCs w:val="24"/>
          <w:lang w:val="en-GB"/>
        </w:rPr>
        <w:t xml:space="preserve"> M, </w:t>
      </w:r>
      <w:proofErr w:type="spellStart"/>
      <w:r w:rsidRPr="002E72CF">
        <w:rPr>
          <w:rFonts w:cstheme="minorHAnsi"/>
          <w:sz w:val="24"/>
          <w:szCs w:val="24"/>
          <w:lang w:val="en-GB"/>
        </w:rPr>
        <w:t>Lambrechts</w:t>
      </w:r>
      <w:proofErr w:type="spellEnd"/>
      <w:r w:rsidRPr="002E72CF">
        <w:rPr>
          <w:rFonts w:cstheme="minorHAnsi"/>
          <w:sz w:val="24"/>
          <w:szCs w:val="24"/>
          <w:lang w:val="en-GB"/>
        </w:rPr>
        <w:t xml:space="preserve"> D, </w:t>
      </w:r>
      <w:proofErr w:type="spellStart"/>
      <w:r w:rsidRPr="002E72CF">
        <w:rPr>
          <w:rFonts w:cstheme="minorHAnsi"/>
          <w:sz w:val="24"/>
          <w:szCs w:val="24"/>
          <w:lang w:val="en-GB"/>
        </w:rPr>
        <w:t>Kuypers</w:t>
      </w:r>
      <w:proofErr w:type="spellEnd"/>
      <w:r w:rsidRPr="002E72CF">
        <w:rPr>
          <w:rFonts w:cstheme="minorHAnsi"/>
          <w:sz w:val="24"/>
          <w:szCs w:val="24"/>
          <w:lang w:val="en-GB"/>
        </w:rPr>
        <w:t xml:space="preserve"> DR. The P450 oxidoreductase *28 SNP is associated with low initial tacrolimus exposure and increased dose requirements in CYP3A5-expressing renal recipients. Pharmacogenomics 2011; 12:1281–91.</w:t>
      </w:r>
    </w:p>
    <w:p w14:paraId="1BC29479" w14:textId="77777777" w:rsidR="002E72CF" w:rsidRPr="002E72CF" w:rsidRDefault="002E72CF" w:rsidP="002E72CF">
      <w:pPr>
        <w:numPr>
          <w:ilvl w:val="0"/>
          <w:numId w:val="1"/>
        </w:numPr>
        <w:spacing w:line="480" w:lineRule="auto"/>
        <w:contextualSpacing/>
        <w:jc w:val="both"/>
        <w:rPr>
          <w:rFonts w:cstheme="minorHAnsi"/>
          <w:sz w:val="24"/>
          <w:szCs w:val="24"/>
          <w:lang w:val="en-GB"/>
        </w:rPr>
      </w:pPr>
      <w:r w:rsidRPr="002E72CF">
        <w:rPr>
          <w:rFonts w:eastAsia="Calibri" w:cstheme="minorHAnsi"/>
          <w:sz w:val="24"/>
          <w:szCs w:val="24"/>
          <w:lang w:val="en-GB"/>
        </w:rPr>
        <w:t xml:space="preserve">Klein K, Thomas M, Winter S, </w:t>
      </w:r>
      <w:proofErr w:type="spellStart"/>
      <w:r w:rsidRPr="002E72CF">
        <w:rPr>
          <w:rFonts w:eastAsia="Calibri" w:cstheme="minorHAnsi"/>
          <w:sz w:val="24"/>
          <w:szCs w:val="24"/>
          <w:lang w:val="en-GB"/>
        </w:rPr>
        <w:t>Nussler</w:t>
      </w:r>
      <w:proofErr w:type="spellEnd"/>
      <w:r w:rsidRPr="002E72CF">
        <w:rPr>
          <w:rFonts w:eastAsia="Calibri" w:cstheme="minorHAnsi"/>
          <w:sz w:val="24"/>
          <w:szCs w:val="24"/>
          <w:lang w:val="en-GB"/>
        </w:rPr>
        <w:t xml:space="preserve"> AK, Niemi M, Schwab M, </w:t>
      </w:r>
      <w:r w:rsidRPr="002E72CF">
        <w:rPr>
          <w:rFonts w:eastAsia="Calibri" w:cstheme="minorHAnsi"/>
          <w:i/>
          <w:sz w:val="24"/>
          <w:szCs w:val="24"/>
          <w:lang w:val="en-GB"/>
        </w:rPr>
        <w:t>et al</w:t>
      </w:r>
      <w:r w:rsidRPr="002E72CF">
        <w:rPr>
          <w:rFonts w:eastAsia="Calibri" w:cstheme="minorHAnsi"/>
          <w:sz w:val="24"/>
          <w:szCs w:val="24"/>
          <w:lang w:val="en-GB"/>
        </w:rPr>
        <w:t xml:space="preserve">. PPARA: a novel genetic determinant of CYP3A4 in vitro and in vivo. Clin </w:t>
      </w:r>
      <w:proofErr w:type="spellStart"/>
      <w:r w:rsidRPr="002E72CF">
        <w:rPr>
          <w:rFonts w:eastAsia="Calibri" w:cstheme="minorHAnsi"/>
          <w:sz w:val="24"/>
          <w:szCs w:val="24"/>
          <w:lang w:val="en-GB"/>
        </w:rPr>
        <w:t>Pharmacol</w:t>
      </w:r>
      <w:proofErr w:type="spellEnd"/>
      <w:r w:rsidRPr="002E72CF">
        <w:rPr>
          <w:rFonts w:eastAsia="Calibri" w:cstheme="minorHAnsi"/>
          <w:sz w:val="24"/>
          <w:szCs w:val="24"/>
          <w:lang w:val="en-GB"/>
        </w:rPr>
        <w:t xml:space="preserve"> </w:t>
      </w:r>
      <w:proofErr w:type="spellStart"/>
      <w:r w:rsidRPr="002E72CF">
        <w:rPr>
          <w:rFonts w:eastAsia="Calibri" w:cstheme="minorHAnsi"/>
          <w:sz w:val="24"/>
          <w:szCs w:val="24"/>
          <w:lang w:val="en-GB"/>
        </w:rPr>
        <w:t>Ther</w:t>
      </w:r>
      <w:proofErr w:type="spellEnd"/>
      <w:r w:rsidRPr="002E72CF">
        <w:rPr>
          <w:rFonts w:eastAsia="Calibri" w:cstheme="minorHAnsi"/>
          <w:sz w:val="24"/>
          <w:szCs w:val="24"/>
          <w:lang w:val="en-GB"/>
        </w:rPr>
        <w:t xml:space="preserve"> 2012; 91:1044-52.</w:t>
      </w:r>
    </w:p>
    <w:p w14:paraId="12C69F6E" w14:textId="77777777" w:rsidR="002E72CF" w:rsidRPr="002E72CF" w:rsidRDefault="002E72CF" w:rsidP="002E72CF">
      <w:pPr>
        <w:numPr>
          <w:ilvl w:val="0"/>
          <w:numId w:val="1"/>
        </w:numPr>
        <w:spacing w:line="480" w:lineRule="auto"/>
        <w:contextualSpacing/>
        <w:jc w:val="both"/>
        <w:rPr>
          <w:rFonts w:cstheme="minorHAnsi"/>
          <w:bCs/>
          <w:sz w:val="24"/>
          <w:szCs w:val="24"/>
          <w:lang w:val="en-GB"/>
        </w:rPr>
      </w:pPr>
      <w:proofErr w:type="spellStart"/>
      <w:r w:rsidRPr="002E72CF">
        <w:rPr>
          <w:rFonts w:cstheme="minorHAnsi"/>
          <w:bCs/>
          <w:sz w:val="24"/>
          <w:szCs w:val="24"/>
          <w:lang w:val="en-GB"/>
        </w:rPr>
        <w:t>Kredo</w:t>
      </w:r>
      <w:proofErr w:type="spellEnd"/>
      <w:r w:rsidRPr="002E72CF">
        <w:rPr>
          <w:rFonts w:cstheme="minorHAnsi"/>
          <w:bCs/>
          <w:sz w:val="24"/>
          <w:szCs w:val="24"/>
          <w:lang w:val="en-GB"/>
        </w:rPr>
        <w:t xml:space="preserve"> T, </w:t>
      </w:r>
      <w:proofErr w:type="spellStart"/>
      <w:r w:rsidRPr="002E72CF">
        <w:rPr>
          <w:rFonts w:cstheme="minorHAnsi"/>
          <w:bCs/>
          <w:sz w:val="24"/>
          <w:szCs w:val="24"/>
          <w:lang w:val="en-GB"/>
        </w:rPr>
        <w:t>Mauff</w:t>
      </w:r>
      <w:proofErr w:type="spellEnd"/>
      <w:r w:rsidRPr="002E72CF">
        <w:rPr>
          <w:rFonts w:cstheme="minorHAnsi"/>
          <w:bCs/>
          <w:sz w:val="24"/>
          <w:szCs w:val="24"/>
          <w:lang w:val="en-GB"/>
        </w:rPr>
        <w:t xml:space="preserve"> K, van der Walt JS, </w:t>
      </w:r>
      <w:r w:rsidRPr="002E72CF">
        <w:rPr>
          <w:rFonts w:cstheme="minorHAnsi"/>
          <w:bCs/>
          <w:i/>
          <w:sz w:val="24"/>
          <w:szCs w:val="24"/>
          <w:lang w:val="en-GB"/>
        </w:rPr>
        <w:t>et al.</w:t>
      </w:r>
      <w:r w:rsidRPr="002E72CF">
        <w:rPr>
          <w:rFonts w:cstheme="minorHAnsi"/>
          <w:bCs/>
          <w:sz w:val="24"/>
          <w:szCs w:val="24"/>
          <w:lang w:val="en-GB"/>
        </w:rPr>
        <w:t xml:space="preserve"> Interaction between artemether-lumefantrine and nevirapine-based antiretroviral therapy in HIV-1-infected patients. </w:t>
      </w:r>
      <w:proofErr w:type="spellStart"/>
      <w:r w:rsidRPr="002E72CF">
        <w:rPr>
          <w:rFonts w:cstheme="minorHAnsi"/>
          <w:bCs/>
          <w:sz w:val="24"/>
          <w:szCs w:val="24"/>
          <w:lang w:val="en-GB"/>
        </w:rPr>
        <w:t>Antimicrob</w:t>
      </w:r>
      <w:proofErr w:type="spellEnd"/>
      <w:r w:rsidRPr="002E72CF">
        <w:rPr>
          <w:rFonts w:cstheme="minorHAnsi"/>
          <w:bCs/>
          <w:sz w:val="24"/>
          <w:szCs w:val="24"/>
          <w:lang w:val="en-GB"/>
        </w:rPr>
        <w:t xml:space="preserve"> Agents Chemother 2011; 55:5616–23. </w:t>
      </w:r>
    </w:p>
    <w:p w14:paraId="68DEFEA6" w14:textId="77777777" w:rsidR="002E72CF" w:rsidRPr="002E72CF" w:rsidRDefault="002E72CF" w:rsidP="002E72CF">
      <w:pPr>
        <w:numPr>
          <w:ilvl w:val="0"/>
          <w:numId w:val="1"/>
        </w:numPr>
        <w:spacing w:line="480" w:lineRule="auto"/>
        <w:contextualSpacing/>
        <w:jc w:val="both"/>
        <w:rPr>
          <w:rFonts w:cstheme="minorHAnsi"/>
          <w:bCs/>
          <w:sz w:val="24"/>
          <w:szCs w:val="24"/>
          <w:lang w:val="en-GB"/>
        </w:rPr>
      </w:pPr>
      <w:proofErr w:type="spellStart"/>
      <w:r w:rsidRPr="002E72CF">
        <w:rPr>
          <w:rFonts w:cstheme="minorHAnsi"/>
          <w:bCs/>
          <w:sz w:val="24"/>
          <w:szCs w:val="24"/>
          <w:lang w:val="en-GB"/>
        </w:rPr>
        <w:t>Byakika-Kibwika</w:t>
      </w:r>
      <w:proofErr w:type="spellEnd"/>
      <w:r w:rsidRPr="002E72CF">
        <w:rPr>
          <w:rFonts w:cstheme="minorHAnsi"/>
          <w:bCs/>
          <w:sz w:val="24"/>
          <w:szCs w:val="24"/>
          <w:lang w:val="en-GB"/>
        </w:rPr>
        <w:t xml:space="preserve"> P, </w:t>
      </w:r>
      <w:proofErr w:type="spellStart"/>
      <w:r w:rsidRPr="002E72CF">
        <w:rPr>
          <w:rFonts w:cstheme="minorHAnsi"/>
          <w:bCs/>
          <w:sz w:val="24"/>
          <w:szCs w:val="24"/>
          <w:lang w:val="en-GB"/>
        </w:rPr>
        <w:t>Lamorde</w:t>
      </w:r>
      <w:proofErr w:type="spellEnd"/>
      <w:r w:rsidRPr="002E72CF">
        <w:rPr>
          <w:rFonts w:cstheme="minorHAnsi"/>
          <w:bCs/>
          <w:sz w:val="24"/>
          <w:szCs w:val="24"/>
          <w:lang w:val="en-GB"/>
        </w:rPr>
        <w:t xml:space="preserve"> M, </w:t>
      </w:r>
      <w:proofErr w:type="spellStart"/>
      <w:r w:rsidRPr="002E72CF">
        <w:rPr>
          <w:rFonts w:cstheme="minorHAnsi"/>
          <w:bCs/>
          <w:sz w:val="24"/>
          <w:szCs w:val="24"/>
          <w:lang w:val="en-GB"/>
        </w:rPr>
        <w:t>Mayito</w:t>
      </w:r>
      <w:proofErr w:type="spellEnd"/>
      <w:r w:rsidRPr="002E72CF">
        <w:rPr>
          <w:rFonts w:cstheme="minorHAnsi"/>
          <w:bCs/>
          <w:sz w:val="24"/>
          <w:szCs w:val="24"/>
          <w:lang w:val="en-GB"/>
        </w:rPr>
        <w:t xml:space="preserve"> J, </w:t>
      </w:r>
      <w:proofErr w:type="spellStart"/>
      <w:r w:rsidRPr="002E72CF">
        <w:rPr>
          <w:rFonts w:cstheme="minorHAnsi"/>
          <w:bCs/>
          <w:sz w:val="24"/>
          <w:szCs w:val="24"/>
          <w:lang w:val="en-GB"/>
        </w:rPr>
        <w:t>Nabukeera</w:t>
      </w:r>
      <w:proofErr w:type="spellEnd"/>
      <w:r w:rsidRPr="002E72CF">
        <w:rPr>
          <w:rFonts w:cstheme="minorHAnsi"/>
          <w:bCs/>
          <w:sz w:val="24"/>
          <w:szCs w:val="24"/>
          <w:lang w:val="en-GB"/>
        </w:rPr>
        <w:t xml:space="preserve"> L, </w:t>
      </w:r>
      <w:proofErr w:type="spellStart"/>
      <w:r w:rsidRPr="002E72CF">
        <w:rPr>
          <w:rFonts w:cstheme="minorHAnsi"/>
          <w:bCs/>
          <w:sz w:val="24"/>
          <w:szCs w:val="24"/>
          <w:lang w:val="en-GB"/>
        </w:rPr>
        <w:t>Namakula</w:t>
      </w:r>
      <w:proofErr w:type="spellEnd"/>
      <w:r w:rsidRPr="002E72CF">
        <w:rPr>
          <w:rFonts w:cstheme="minorHAnsi"/>
          <w:bCs/>
          <w:sz w:val="24"/>
          <w:szCs w:val="24"/>
          <w:lang w:val="en-GB"/>
        </w:rPr>
        <w:t xml:space="preserve"> R, Mayanja-</w:t>
      </w:r>
      <w:proofErr w:type="spellStart"/>
      <w:r w:rsidRPr="002E72CF">
        <w:rPr>
          <w:rFonts w:cstheme="minorHAnsi"/>
          <w:bCs/>
          <w:sz w:val="24"/>
          <w:szCs w:val="24"/>
          <w:lang w:val="en-GB"/>
        </w:rPr>
        <w:t>Kizza</w:t>
      </w:r>
      <w:proofErr w:type="spellEnd"/>
      <w:r w:rsidRPr="002E72CF">
        <w:rPr>
          <w:rFonts w:cstheme="minorHAnsi"/>
          <w:bCs/>
          <w:sz w:val="24"/>
          <w:szCs w:val="24"/>
          <w:lang w:val="en-GB"/>
        </w:rPr>
        <w:t xml:space="preserve"> H, </w:t>
      </w:r>
      <w:r w:rsidRPr="002E72CF">
        <w:rPr>
          <w:rFonts w:cstheme="minorHAnsi"/>
          <w:bCs/>
          <w:i/>
          <w:sz w:val="24"/>
          <w:szCs w:val="24"/>
          <w:lang w:val="en-GB"/>
        </w:rPr>
        <w:t xml:space="preserve">et al. </w:t>
      </w:r>
      <w:r w:rsidRPr="002E72CF">
        <w:rPr>
          <w:rFonts w:cstheme="minorHAnsi"/>
          <w:bCs/>
          <w:sz w:val="24"/>
          <w:szCs w:val="24"/>
          <w:lang w:val="en-GB"/>
        </w:rPr>
        <w:t xml:space="preserve">Significant pharmacokinetic interactions between artemether/lumefantrine and efavirenz or nevirapine in HIV-infected Ugandan adults. J </w:t>
      </w:r>
      <w:proofErr w:type="spellStart"/>
      <w:r w:rsidRPr="002E72CF">
        <w:rPr>
          <w:rFonts w:cstheme="minorHAnsi"/>
          <w:bCs/>
          <w:sz w:val="24"/>
          <w:szCs w:val="24"/>
          <w:lang w:val="en-GB"/>
        </w:rPr>
        <w:t>Antimicrob</w:t>
      </w:r>
      <w:proofErr w:type="spellEnd"/>
      <w:r w:rsidRPr="002E72CF">
        <w:rPr>
          <w:rFonts w:cstheme="minorHAnsi"/>
          <w:bCs/>
          <w:sz w:val="24"/>
          <w:szCs w:val="24"/>
          <w:lang w:val="en-GB"/>
        </w:rPr>
        <w:t xml:space="preserve"> Chemother 2012; 67:2213–21.</w:t>
      </w:r>
    </w:p>
    <w:p w14:paraId="4DDC0F47" w14:textId="77777777" w:rsidR="002E72CF" w:rsidRPr="002E72CF" w:rsidRDefault="002E72CF" w:rsidP="002E72CF">
      <w:pPr>
        <w:numPr>
          <w:ilvl w:val="0"/>
          <w:numId w:val="1"/>
        </w:numPr>
        <w:spacing w:line="480" w:lineRule="auto"/>
        <w:contextualSpacing/>
        <w:jc w:val="both"/>
        <w:rPr>
          <w:rFonts w:cstheme="minorHAnsi"/>
          <w:noProof/>
          <w:sz w:val="24"/>
          <w:szCs w:val="24"/>
          <w:lang w:val="en-GB"/>
        </w:rPr>
      </w:pPr>
      <w:r w:rsidRPr="002E72CF">
        <w:rPr>
          <w:rFonts w:cstheme="minorHAnsi"/>
          <w:sz w:val="24"/>
          <w:szCs w:val="24"/>
          <w:lang w:val="en-GB" w:eastAsia="en-GB"/>
        </w:rPr>
        <w:t xml:space="preserve">Parikh S, Fehintola F, Huang L, Olson A, Adedeji WA, Darin KM, </w:t>
      </w:r>
      <w:r w:rsidRPr="002E72CF">
        <w:rPr>
          <w:rFonts w:eastAsia="Calibri" w:cstheme="minorHAnsi"/>
          <w:i/>
          <w:sz w:val="24"/>
          <w:szCs w:val="24"/>
          <w:lang w:val="en-GB"/>
        </w:rPr>
        <w:t>et al</w:t>
      </w:r>
      <w:r w:rsidRPr="002E72CF">
        <w:rPr>
          <w:rFonts w:cstheme="minorHAnsi"/>
          <w:sz w:val="24"/>
          <w:szCs w:val="24"/>
          <w:lang w:val="en-GB" w:eastAsia="en-GB"/>
        </w:rPr>
        <w:t xml:space="preserve">. Artemether-lumefantrine exposure in HIV-infected Nigerian subjects on nevirapine-containing antiretroviral therapy. </w:t>
      </w:r>
      <w:proofErr w:type="spellStart"/>
      <w:r w:rsidRPr="002E72CF">
        <w:rPr>
          <w:rFonts w:cstheme="minorHAnsi"/>
          <w:iCs/>
          <w:sz w:val="24"/>
          <w:szCs w:val="24"/>
          <w:lang w:val="en-GB" w:eastAsia="en-GB"/>
        </w:rPr>
        <w:t>Antimicrob</w:t>
      </w:r>
      <w:proofErr w:type="spellEnd"/>
      <w:r w:rsidRPr="002E72CF">
        <w:rPr>
          <w:rFonts w:cstheme="minorHAnsi"/>
          <w:iCs/>
          <w:sz w:val="24"/>
          <w:szCs w:val="24"/>
          <w:lang w:val="en-GB" w:eastAsia="en-GB"/>
        </w:rPr>
        <w:t xml:space="preserve"> Agents Chemother</w:t>
      </w:r>
      <w:r w:rsidRPr="002E72CF">
        <w:rPr>
          <w:rFonts w:cstheme="minorHAnsi"/>
          <w:i/>
          <w:iCs/>
          <w:sz w:val="24"/>
          <w:szCs w:val="24"/>
          <w:lang w:val="en-GB" w:eastAsia="en-GB"/>
        </w:rPr>
        <w:t xml:space="preserve"> </w:t>
      </w:r>
      <w:r w:rsidRPr="002E72CF">
        <w:rPr>
          <w:rFonts w:cstheme="minorHAnsi"/>
          <w:iCs/>
          <w:sz w:val="24"/>
          <w:szCs w:val="24"/>
          <w:lang w:val="en-GB" w:eastAsia="en-GB"/>
        </w:rPr>
        <w:t xml:space="preserve">2015; </w:t>
      </w:r>
      <w:r w:rsidRPr="002E72CF">
        <w:rPr>
          <w:rFonts w:cstheme="minorHAnsi"/>
          <w:sz w:val="24"/>
          <w:szCs w:val="24"/>
          <w:lang w:val="en-GB" w:eastAsia="en-GB"/>
        </w:rPr>
        <w:t xml:space="preserve">59:7852-56. </w:t>
      </w:r>
    </w:p>
    <w:p w14:paraId="0E4302FE" w14:textId="77777777" w:rsidR="002E72CF" w:rsidRPr="002E72CF" w:rsidRDefault="002E72CF" w:rsidP="002E72CF">
      <w:pPr>
        <w:numPr>
          <w:ilvl w:val="0"/>
          <w:numId w:val="1"/>
        </w:numPr>
        <w:spacing w:before="240" w:line="480" w:lineRule="auto"/>
        <w:contextualSpacing/>
        <w:jc w:val="both"/>
        <w:rPr>
          <w:rFonts w:cstheme="minorHAnsi"/>
          <w:noProof/>
          <w:sz w:val="24"/>
          <w:szCs w:val="24"/>
          <w:lang w:val="en-GB"/>
        </w:rPr>
      </w:pPr>
      <w:r w:rsidRPr="002E72CF">
        <w:rPr>
          <w:rFonts w:cstheme="minorHAnsi"/>
          <w:noProof/>
          <w:sz w:val="24"/>
          <w:szCs w:val="24"/>
          <w:lang w:val="en-GB"/>
        </w:rPr>
        <w:t xml:space="preserve">WMA. World Medical Association Declaration of Helsinki-Ethical Principles for Medical Research Involving Human Subjects. [Online]. Available: </w:t>
      </w:r>
      <w:r w:rsidRPr="002E72CF">
        <w:rPr>
          <w:rFonts w:cstheme="minorHAnsi"/>
          <w:noProof/>
          <w:sz w:val="24"/>
          <w:szCs w:val="24"/>
          <w:lang w:val="en-GB"/>
        </w:rPr>
        <w:lastRenderedPageBreak/>
        <w:t>https://www.wma.net/policies-post/wma-declaration-of-helsinki-ethical-principles-for-medical-research-involving-human-subjects/ (2013). [Accessed 5 April 2017]</w:t>
      </w:r>
    </w:p>
    <w:p w14:paraId="3BD688D7" w14:textId="77777777" w:rsidR="002E72CF" w:rsidRPr="002E72CF" w:rsidRDefault="002E72CF" w:rsidP="002E72CF">
      <w:pPr>
        <w:numPr>
          <w:ilvl w:val="0"/>
          <w:numId w:val="1"/>
        </w:numPr>
        <w:spacing w:line="480" w:lineRule="auto"/>
        <w:contextualSpacing/>
        <w:jc w:val="both"/>
        <w:rPr>
          <w:rFonts w:cstheme="minorHAnsi"/>
          <w:noProof/>
          <w:sz w:val="24"/>
          <w:szCs w:val="24"/>
          <w:lang w:val="en-GB"/>
        </w:rPr>
      </w:pPr>
      <w:r w:rsidRPr="002E72CF">
        <w:rPr>
          <w:rFonts w:cstheme="minorHAnsi"/>
          <w:noProof/>
          <w:sz w:val="24"/>
          <w:szCs w:val="24"/>
          <w:lang w:val="en-GB"/>
        </w:rPr>
        <w:t xml:space="preserve">Olagunju A, Khoo S, Owen A. Pharmacogenetics of nevirapine excretion into breast milk and infants' exposure through breast milk versus postexposure prophylaxis. Pharmacogenomics 2016; 17:891-906. </w:t>
      </w:r>
    </w:p>
    <w:p w14:paraId="304C6D48" w14:textId="77777777" w:rsidR="002E72CF" w:rsidRPr="002E72CF" w:rsidRDefault="002E72CF" w:rsidP="002E72CF">
      <w:pPr>
        <w:numPr>
          <w:ilvl w:val="0"/>
          <w:numId w:val="1"/>
        </w:numPr>
        <w:spacing w:line="480" w:lineRule="auto"/>
        <w:contextualSpacing/>
        <w:jc w:val="both"/>
        <w:rPr>
          <w:rFonts w:cstheme="minorHAnsi"/>
          <w:noProof/>
          <w:sz w:val="24"/>
          <w:szCs w:val="24"/>
          <w:lang w:val="en-GB"/>
        </w:rPr>
      </w:pPr>
      <w:r w:rsidRPr="002E72CF">
        <w:rPr>
          <w:rFonts w:cstheme="minorHAnsi"/>
          <w:noProof/>
          <w:sz w:val="24"/>
          <w:szCs w:val="24"/>
          <w:lang w:val="en-GB"/>
        </w:rPr>
        <w:t xml:space="preserve">Olagunju A, Amara A, Waitt C, Else L, Penchala SD, Bolaji O, </w:t>
      </w:r>
      <w:r w:rsidRPr="002E72CF">
        <w:rPr>
          <w:rFonts w:eastAsia="Calibri" w:cstheme="minorHAnsi"/>
          <w:i/>
          <w:sz w:val="24"/>
          <w:szCs w:val="24"/>
          <w:lang w:val="en-GB"/>
        </w:rPr>
        <w:t>et al</w:t>
      </w:r>
      <w:r w:rsidRPr="002E72CF">
        <w:rPr>
          <w:rFonts w:cstheme="minorHAnsi"/>
          <w:noProof/>
          <w:sz w:val="24"/>
          <w:szCs w:val="24"/>
          <w:lang w:val="en-GB"/>
        </w:rPr>
        <w:t>. Validation and clinical application of a method to quantify nevirapine in dried blood spots and dried breast-milk spots. J Antimicrob Chemother 2015; 70:2816-22.</w:t>
      </w:r>
    </w:p>
    <w:p w14:paraId="7F094070" w14:textId="77777777" w:rsidR="002E72CF" w:rsidRPr="002E72CF" w:rsidRDefault="002E72CF" w:rsidP="002E72CF">
      <w:pPr>
        <w:numPr>
          <w:ilvl w:val="0"/>
          <w:numId w:val="1"/>
        </w:numPr>
        <w:spacing w:line="480" w:lineRule="auto"/>
        <w:contextualSpacing/>
        <w:jc w:val="both"/>
        <w:rPr>
          <w:rFonts w:cstheme="minorHAnsi"/>
          <w:noProof/>
          <w:sz w:val="24"/>
          <w:szCs w:val="24"/>
          <w:lang w:val="en-GB"/>
        </w:rPr>
      </w:pPr>
      <w:r w:rsidRPr="002E72CF">
        <w:rPr>
          <w:rFonts w:cstheme="minorHAnsi"/>
          <w:noProof/>
          <w:sz w:val="24"/>
          <w:szCs w:val="24"/>
          <w:lang w:val="en-GB"/>
        </w:rPr>
        <w:t xml:space="preserve">Kromdijk W, Mulder JW, Rosing H, Smit PM, Beijnen JH, Huitema ADR. Use of dried blood spots for the determination of plasma concentrations of nevirapine and efavirenz. J Antimicrob Chemother 2012; 67:1211–16. </w:t>
      </w:r>
    </w:p>
    <w:p w14:paraId="20FA0E5D" w14:textId="77777777" w:rsidR="002E72CF" w:rsidRPr="002E72CF" w:rsidRDefault="002E72CF" w:rsidP="002E72CF">
      <w:pPr>
        <w:numPr>
          <w:ilvl w:val="0"/>
          <w:numId w:val="1"/>
        </w:numPr>
        <w:spacing w:line="480" w:lineRule="auto"/>
        <w:contextualSpacing/>
        <w:jc w:val="both"/>
        <w:rPr>
          <w:rFonts w:cstheme="minorHAnsi"/>
          <w:noProof/>
          <w:sz w:val="24"/>
          <w:szCs w:val="24"/>
          <w:lang w:val="en-GB"/>
        </w:rPr>
      </w:pPr>
      <w:r w:rsidRPr="002E72CF">
        <w:rPr>
          <w:rFonts w:cstheme="minorHAnsi"/>
          <w:noProof/>
          <w:sz w:val="24"/>
          <w:szCs w:val="24"/>
          <w:lang w:val="en-GB"/>
        </w:rPr>
        <w:t xml:space="preserve">Prueksaritanont T, Chu X, Gibson C, Cui D, Yee KL, Ballard J, </w:t>
      </w:r>
      <w:r w:rsidRPr="002E72CF">
        <w:rPr>
          <w:rFonts w:cstheme="minorHAnsi"/>
          <w:i/>
          <w:noProof/>
          <w:sz w:val="24"/>
          <w:szCs w:val="24"/>
          <w:lang w:val="en-GB"/>
        </w:rPr>
        <w:t>et al</w:t>
      </w:r>
      <w:r w:rsidRPr="002E72CF">
        <w:rPr>
          <w:rFonts w:cstheme="minorHAnsi"/>
          <w:noProof/>
          <w:sz w:val="24"/>
          <w:szCs w:val="24"/>
          <w:lang w:val="en-GB"/>
        </w:rPr>
        <w:t xml:space="preserve">. Drug–Drug Interaction Studies: Regulatory Guidance and An Industry Perspective. AAPS J 2013; 15:629-45. </w:t>
      </w:r>
    </w:p>
    <w:p w14:paraId="3405BB0F" w14:textId="77777777" w:rsidR="002E72CF" w:rsidRPr="002E72CF" w:rsidRDefault="002E72CF" w:rsidP="002E72CF">
      <w:pPr>
        <w:numPr>
          <w:ilvl w:val="0"/>
          <w:numId w:val="1"/>
        </w:numPr>
        <w:spacing w:line="480" w:lineRule="auto"/>
        <w:contextualSpacing/>
        <w:jc w:val="both"/>
        <w:rPr>
          <w:rFonts w:cstheme="minorHAnsi"/>
          <w:noProof/>
          <w:sz w:val="24"/>
          <w:szCs w:val="24"/>
          <w:lang w:val="en-GB"/>
        </w:rPr>
      </w:pPr>
      <w:r w:rsidRPr="002E72CF">
        <w:rPr>
          <w:rFonts w:cstheme="minorHAnsi"/>
          <w:noProof/>
          <w:sz w:val="24"/>
          <w:szCs w:val="24"/>
          <w:lang w:val="en-GB"/>
        </w:rPr>
        <w:t xml:space="preserve">Veldkamp AI, Weverling GJ, Lange JM, Montaner JS, Reiss P, Cooper DA, </w:t>
      </w:r>
      <w:r w:rsidRPr="002E72CF">
        <w:rPr>
          <w:rFonts w:eastAsia="Calibri" w:cstheme="minorHAnsi"/>
          <w:i/>
          <w:sz w:val="24"/>
          <w:szCs w:val="24"/>
          <w:lang w:val="en-GB"/>
        </w:rPr>
        <w:t>et al</w:t>
      </w:r>
      <w:r w:rsidRPr="002E72CF">
        <w:rPr>
          <w:rFonts w:cstheme="minorHAnsi"/>
          <w:noProof/>
          <w:sz w:val="24"/>
          <w:szCs w:val="24"/>
          <w:lang w:val="en-GB"/>
        </w:rPr>
        <w:t>. High exposure to nevirapine in plasma is associated with an improved virological response in HIV-1-infected individuals. AIDS 2001; 15:1089-95.</w:t>
      </w:r>
    </w:p>
    <w:p w14:paraId="5AE60DE8" w14:textId="77777777" w:rsidR="002E72CF" w:rsidRPr="002E72CF" w:rsidRDefault="002E72CF" w:rsidP="002E72CF">
      <w:pPr>
        <w:numPr>
          <w:ilvl w:val="0"/>
          <w:numId w:val="1"/>
        </w:numPr>
        <w:spacing w:line="480" w:lineRule="auto"/>
        <w:contextualSpacing/>
        <w:jc w:val="both"/>
        <w:rPr>
          <w:rFonts w:cstheme="minorHAnsi"/>
          <w:noProof/>
          <w:sz w:val="24"/>
          <w:szCs w:val="24"/>
          <w:lang w:val="en-GB"/>
        </w:rPr>
      </w:pPr>
      <w:proofErr w:type="spellStart"/>
      <w:r w:rsidRPr="002E72CF">
        <w:rPr>
          <w:rFonts w:cstheme="minorHAnsi"/>
          <w:sz w:val="24"/>
          <w:szCs w:val="24"/>
          <w:lang w:val="en-GB"/>
        </w:rPr>
        <w:t>Kappelhoff</w:t>
      </w:r>
      <w:proofErr w:type="spellEnd"/>
      <w:r w:rsidRPr="002E72CF">
        <w:rPr>
          <w:rFonts w:cstheme="minorHAnsi"/>
          <w:sz w:val="24"/>
          <w:szCs w:val="24"/>
          <w:lang w:val="en-GB"/>
        </w:rPr>
        <w:t xml:space="preserve"> BS, </w:t>
      </w:r>
      <w:proofErr w:type="spellStart"/>
      <w:r w:rsidRPr="002E72CF">
        <w:rPr>
          <w:rFonts w:cstheme="minorHAnsi"/>
          <w:sz w:val="24"/>
          <w:szCs w:val="24"/>
          <w:lang w:val="en-GB"/>
        </w:rPr>
        <w:t>Crommentuyn</w:t>
      </w:r>
      <w:proofErr w:type="spellEnd"/>
      <w:r w:rsidRPr="002E72CF">
        <w:rPr>
          <w:rFonts w:cstheme="minorHAnsi"/>
          <w:sz w:val="24"/>
          <w:szCs w:val="24"/>
          <w:lang w:val="en-GB"/>
        </w:rPr>
        <w:t xml:space="preserve"> KM, de Maat MM, Mulder JW, </w:t>
      </w:r>
      <w:proofErr w:type="spellStart"/>
      <w:r w:rsidRPr="002E72CF">
        <w:rPr>
          <w:rFonts w:cstheme="minorHAnsi"/>
          <w:sz w:val="24"/>
          <w:szCs w:val="24"/>
          <w:lang w:val="en-GB"/>
        </w:rPr>
        <w:t>Huitema</w:t>
      </w:r>
      <w:proofErr w:type="spellEnd"/>
      <w:r w:rsidRPr="002E72CF">
        <w:rPr>
          <w:rFonts w:cstheme="minorHAnsi"/>
          <w:sz w:val="24"/>
          <w:szCs w:val="24"/>
          <w:lang w:val="en-GB"/>
        </w:rPr>
        <w:t xml:space="preserve"> AD, </w:t>
      </w:r>
      <w:proofErr w:type="spellStart"/>
      <w:r w:rsidRPr="002E72CF">
        <w:rPr>
          <w:rFonts w:cstheme="minorHAnsi"/>
          <w:sz w:val="24"/>
          <w:szCs w:val="24"/>
          <w:lang w:val="en-GB"/>
        </w:rPr>
        <w:t>Beijnen</w:t>
      </w:r>
      <w:proofErr w:type="spellEnd"/>
      <w:r w:rsidRPr="002E72CF">
        <w:rPr>
          <w:rFonts w:cstheme="minorHAnsi"/>
          <w:sz w:val="24"/>
          <w:szCs w:val="24"/>
          <w:lang w:val="en-GB"/>
        </w:rPr>
        <w:t xml:space="preserve"> JH. Practical guidelines to interpret plasma concentrations of antiretroviral drugs. Clin </w:t>
      </w:r>
      <w:proofErr w:type="spellStart"/>
      <w:r w:rsidRPr="002E72CF">
        <w:rPr>
          <w:rFonts w:cstheme="minorHAnsi"/>
          <w:sz w:val="24"/>
          <w:szCs w:val="24"/>
          <w:lang w:val="en-GB"/>
        </w:rPr>
        <w:t>Pharmacokinet</w:t>
      </w:r>
      <w:proofErr w:type="spellEnd"/>
      <w:r w:rsidRPr="002E72CF">
        <w:rPr>
          <w:rFonts w:cstheme="minorHAnsi"/>
          <w:sz w:val="24"/>
          <w:szCs w:val="24"/>
          <w:lang w:val="en-GB"/>
        </w:rPr>
        <w:t xml:space="preserve"> 2004; 43:845-53.</w:t>
      </w:r>
    </w:p>
    <w:p w14:paraId="46B066DB" w14:textId="454C8471" w:rsidR="002E72CF" w:rsidRPr="002E72CF" w:rsidRDefault="002E72CF" w:rsidP="002E72CF">
      <w:pPr>
        <w:numPr>
          <w:ilvl w:val="0"/>
          <w:numId w:val="1"/>
        </w:numPr>
        <w:spacing w:line="480" w:lineRule="auto"/>
        <w:contextualSpacing/>
        <w:jc w:val="both"/>
        <w:rPr>
          <w:rFonts w:cstheme="minorHAnsi"/>
          <w:noProof/>
          <w:sz w:val="24"/>
          <w:szCs w:val="24"/>
          <w:lang w:val="en-GB"/>
        </w:rPr>
      </w:pPr>
      <w:r w:rsidRPr="002E72CF">
        <w:rPr>
          <w:rFonts w:cstheme="minorHAnsi"/>
          <w:noProof/>
          <w:sz w:val="24"/>
          <w:szCs w:val="24"/>
          <w:lang w:val="en-GB"/>
        </w:rPr>
        <w:t xml:space="preserve">European Medicine Agency. 2012. Guideline on the use of pharmacogenetic methodologies in the pharmacokinetic evaluation of medicinal products (EMA/CHMP/37646/2009. London. [Online]. Available: </w:t>
      </w:r>
      <w:hyperlink r:id="rId8" w:history="1">
        <w:r w:rsidRPr="002E72CF">
          <w:rPr>
            <w:rFonts w:cstheme="minorHAnsi"/>
            <w:noProof/>
            <w:sz w:val="24"/>
            <w:szCs w:val="24"/>
            <w:lang w:val="en-GB"/>
          </w:rPr>
          <w:t>www.ema.europa.eu/docs/en_GB/document_library/Scientific_guideline/2012/02/WC500121954.pdf</w:t>
        </w:r>
      </w:hyperlink>
      <w:r w:rsidRPr="002E72CF">
        <w:rPr>
          <w:rFonts w:cstheme="minorHAnsi"/>
          <w:noProof/>
          <w:sz w:val="24"/>
          <w:szCs w:val="24"/>
          <w:lang w:val="en-GB"/>
        </w:rPr>
        <w:t xml:space="preserve"> (Accessed 18 May 2018)</w:t>
      </w:r>
      <w:r>
        <w:rPr>
          <w:rFonts w:cstheme="minorHAnsi"/>
          <w:noProof/>
          <w:sz w:val="24"/>
          <w:szCs w:val="24"/>
          <w:lang w:val="en-GB"/>
        </w:rPr>
        <w:t>.</w:t>
      </w:r>
    </w:p>
    <w:p w14:paraId="7866B6C6" w14:textId="35467598" w:rsidR="002E72CF" w:rsidRPr="002E72CF" w:rsidRDefault="002E72CF" w:rsidP="002E72CF">
      <w:pPr>
        <w:numPr>
          <w:ilvl w:val="0"/>
          <w:numId w:val="1"/>
        </w:numPr>
        <w:spacing w:line="480" w:lineRule="auto"/>
        <w:contextualSpacing/>
        <w:jc w:val="both"/>
        <w:rPr>
          <w:rFonts w:cstheme="minorHAnsi"/>
          <w:noProof/>
          <w:sz w:val="24"/>
          <w:szCs w:val="24"/>
          <w:lang w:val="en-GB"/>
        </w:rPr>
      </w:pPr>
      <w:r w:rsidRPr="002E72CF">
        <w:rPr>
          <w:rFonts w:cstheme="minorHAnsi"/>
          <w:noProof/>
          <w:sz w:val="24"/>
          <w:szCs w:val="24"/>
          <w:lang w:val="en-GB"/>
        </w:rPr>
        <w:t>Food and Drug Administration. 2013. Clinical pharmacogenomics: premarket evaluation in early-phase clinical studies and recommendations for labeling. [Online]. Silver Spring. Available at https://www.fda.gov/downloads/Drugs/GuidanceComplianceRegulatoryInformation/Guidances/UCM337169.pdf (Accessed 20 May 2018)</w:t>
      </w:r>
      <w:r>
        <w:rPr>
          <w:rFonts w:cstheme="minorHAnsi"/>
          <w:noProof/>
          <w:sz w:val="24"/>
          <w:szCs w:val="24"/>
          <w:lang w:val="en-GB"/>
        </w:rPr>
        <w:t>.</w:t>
      </w:r>
    </w:p>
    <w:p w14:paraId="177EB441" w14:textId="77777777" w:rsidR="002E72CF" w:rsidRPr="002E72CF" w:rsidRDefault="002E72CF" w:rsidP="002E72CF">
      <w:pPr>
        <w:numPr>
          <w:ilvl w:val="0"/>
          <w:numId w:val="1"/>
        </w:numPr>
        <w:spacing w:line="480" w:lineRule="auto"/>
        <w:contextualSpacing/>
        <w:jc w:val="both"/>
        <w:rPr>
          <w:rFonts w:cstheme="minorHAnsi"/>
          <w:sz w:val="24"/>
          <w:szCs w:val="24"/>
          <w:lang w:val="en-GB"/>
        </w:rPr>
      </w:pPr>
      <w:proofErr w:type="spellStart"/>
      <w:r w:rsidRPr="002E72CF">
        <w:rPr>
          <w:rFonts w:cstheme="minorHAnsi"/>
          <w:sz w:val="24"/>
          <w:szCs w:val="24"/>
          <w:lang w:val="en-GB"/>
        </w:rPr>
        <w:t>Sagara</w:t>
      </w:r>
      <w:proofErr w:type="spellEnd"/>
      <w:r w:rsidRPr="002E72CF">
        <w:rPr>
          <w:rFonts w:cstheme="minorHAnsi"/>
          <w:sz w:val="24"/>
          <w:szCs w:val="24"/>
          <w:lang w:val="en-GB"/>
        </w:rPr>
        <w:t xml:space="preserve"> I, Fofana B, </w:t>
      </w:r>
      <w:proofErr w:type="spellStart"/>
      <w:r w:rsidRPr="002E72CF">
        <w:rPr>
          <w:rFonts w:cstheme="minorHAnsi"/>
          <w:sz w:val="24"/>
          <w:szCs w:val="24"/>
          <w:lang w:val="en-GB"/>
        </w:rPr>
        <w:t>Gaudart</w:t>
      </w:r>
      <w:proofErr w:type="spellEnd"/>
      <w:r w:rsidRPr="002E72CF">
        <w:rPr>
          <w:rFonts w:cstheme="minorHAnsi"/>
          <w:sz w:val="24"/>
          <w:szCs w:val="24"/>
          <w:lang w:val="en-GB"/>
        </w:rPr>
        <w:t xml:space="preserve"> J, Sidibe B, Togo A, </w:t>
      </w:r>
      <w:proofErr w:type="spellStart"/>
      <w:r w:rsidRPr="002E72CF">
        <w:rPr>
          <w:rFonts w:cstheme="minorHAnsi"/>
          <w:sz w:val="24"/>
          <w:szCs w:val="24"/>
          <w:lang w:val="en-GB"/>
        </w:rPr>
        <w:t>Toure</w:t>
      </w:r>
      <w:proofErr w:type="spellEnd"/>
      <w:r w:rsidRPr="002E72CF">
        <w:rPr>
          <w:rFonts w:cstheme="minorHAnsi"/>
          <w:sz w:val="24"/>
          <w:szCs w:val="24"/>
          <w:lang w:val="en-GB"/>
        </w:rPr>
        <w:t xml:space="preserve"> S, </w:t>
      </w:r>
      <w:r w:rsidRPr="002E72CF">
        <w:rPr>
          <w:rFonts w:cstheme="minorHAnsi"/>
          <w:i/>
          <w:sz w:val="24"/>
          <w:szCs w:val="24"/>
          <w:lang w:val="en-GB"/>
        </w:rPr>
        <w:t>et al</w:t>
      </w:r>
      <w:r w:rsidRPr="002E72CF">
        <w:rPr>
          <w:rFonts w:cstheme="minorHAnsi"/>
          <w:sz w:val="24"/>
          <w:szCs w:val="24"/>
          <w:lang w:val="en-GB"/>
        </w:rPr>
        <w:t xml:space="preserve">. Repeated artemisinin-based combination therapies in a malaria hyperendemic area of Mali: efficacy, safety, and public health impact. Am J Trop Med </w:t>
      </w:r>
      <w:proofErr w:type="spellStart"/>
      <w:r w:rsidRPr="002E72CF">
        <w:rPr>
          <w:rFonts w:cstheme="minorHAnsi"/>
          <w:sz w:val="24"/>
          <w:szCs w:val="24"/>
          <w:lang w:val="en-GB"/>
        </w:rPr>
        <w:t>Hyg</w:t>
      </w:r>
      <w:proofErr w:type="spellEnd"/>
      <w:r w:rsidRPr="002E72CF">
        <w:rPr>
          <w:rFonts w:cstheme="minorHAnsi"/>
          <w:sz w:val="24"/>
          <w:szCs w:val="24"/>
          <w:lang w:val="en-GB"/>
        </w:rPr>
        <w:t xml:space="preserve"> 2012; 87:50-6. </w:t>
      </w:r>
    </w:p>
    <w:p w14:paraId="72D5F1DC" w14:textId="387D583D" w:rsidR="002E72CF" w:rsidRPr="002E72CF" w:rsidRDefault="002E72CF" w:rsidP="002E72CF">
      <w:pPr>
        <w:numPr>
          <w:ilvl w:val="0"/>
          <w:numId w:val="1"/>
        </w:numPr>
        <w:spacing w:line="480" w:lineRule="auto"/>
        <w:contextualSpacing/>
        <w:jc w:val="both"/>
        <w:rPr>
          <w:rFonts w:cstheme="minorHAnsi"/>
          <w:noProof/>
          <w:sz w:val="24"/>
          <w:szCs w:val="24"/>
          <w:lang w:val="en-GB"/>
        </w:rPr>
      </w:pPr>
      <w:r w:rsidRPr="002E72CF">
        <w:rPr>
          <w:rFonts w:cstheme="minorHAnsi"/>
          <w:sz w:val="24"/>
          <w:szCs w:val="24"/>
          <w:lang w:val="en-GB"/>
        </w:rPr>
        <w:t xml:space="preserve">Cairns ME, Walker PG, </w:t>
      </w:r>
      <w:proofErr w:type="spellStart"/>
      <w:r w:rsidRPr="002E72CF">
        <w:rPr>
          <w:rFonts w:cstheme="minorHAnsi"/>
          <w:sz w:val="24"/>
          <w:szCs w:val="24"/>
          <w:lang w:val="en-GB"/>
        </w:rPr>
        <w:t>Okell</w:t>
      </w:r>
      <w:proofErr w:type="spellEnd"/>
      <w:r w:rsidRPr="002E72CF">
        <w:rPr>
          <w:rFonts w:cstheme="minorHAnsi"/>
          <w:sz w:val="24"/>
          <w:szCs w:val="24"/>
          <w:lang w:val="en-GB"/>
        </w:rPr>
        <w:t xml:space="preserve"> LC, Griffin JT, </w:t>
      </w:r>
      <w:proofErr w:type="spellStart"/>
      <w:r w:rsidRPr="002E72CF">
        <w:rPr>
          <w:rFonts w:cstheme="minorHAnsi"/>
          <w:sz w:val="24"/>
          <w:szCs w:val="24"/>
          <w:lang w:val="en-GB"/>
        </w:rPr>
        <w:t>Garske</w:t>
      </w:r>
      <w:proofErr w:type="spellEnd"/>
      <w:r w:rsidRPr="002E72CF">
        <w:rPr>
          <w:rFonts w:cstheme="minorHAnsi"/>
          <w:sz w:val="24"/>
          <w:szCs w:val="24"/>
          <w:lang w:val="en-GB"/>
        </w:rPr>
        <w:t xml:space="preserve"> T, Asante KP, et al. Seasonality in malaria transmission: implications for case-management with long-acting artemisinin combination therapy in sub-Saharan Africa. Malar J 2015; 14:321.</w:t>
      </w:r>
    </w:p>
    <w:p w14:paraId="14AC735F" w14:textId="274690D2" w:rsidR="002E72CF" w:rsidRPr="002E72CF" w:rsidRDefault="002E72CF" w:rsidP="002E72CF">
      <w:pPr>
        <w:numPr>
          <w:ilvl w:val="0"/>
          <w:numId w:val="1"/>
        </w:numPr>
        <w:spacing w:line="480" w:lineRule="auto"/>
        <w:contextualSpacing/>
        <w:jc w:val="both"/>
        <w:rPr>
          <w:rFonts w:cstheme="minorHAnsi"/>
          <w:noProof/>
          <w:sz w:val="24"/>
          <w:szCs w:val="24"/>
          <w:lang w:val="en-GB"/>
        </w:rPr>
      </w:pPr>
      <w:r w:rsidRPr="002E72CF">
        <w:rPr>
          <w:rFonts w:cstheme="minorHAnsi"/>
          <w:noProof/>
          <w:sz w:val="24"/>
          <w:szCs w:val="24"/>
          <w:lang w:val="en-GB"/>
        </w:rPr>
        <w:t>Llibre JM, Schapiro JM, Clotet B. Clinical implications of genotypic resistance to the newer antiretroviral drugs in HIV-1-infected patients with virological failure. Clin Infect Dis. 2010; 50:872-81</w:t>
      </w:r>
      <w:r>
        <w:rPr>
          <w:rFonts w:cstheme="minorHAnsi"/>
          <w:noProof/>
          <w:sz w:val="24"/>
          <w:szCs w:val="24"/>
          <w:lang w:val="en-GB"/>
        </w:rPr>
        <w:t>.</w:t>
      </w:r>
    </w:p>
    <w:p w14:paraId="36D2AD19" w14:textId="77777777" w:rsidR="002E72CF" w:rsidRPr="002E72CF" w:rsidRDefault="002E72CF" w:rsidP="002E72CF">
      <w:pPr>
        <w:numPr>
          <w:ilvl w:val="0"/>
          <w:numId w:val="1"/>
        </w:numPr>
        <w:spacing w:line="480" w:lineRule="auto"/>
        <w:contextualSpacing/>
        <w:jc w:val="both"/>
        <w:rPr>
          <w:rFonts w:cstheme="minorHAnsi"/>
          <w:noProof/>
          <w:sz w:val="24"/>
          <w:szCs w:val="24"/>
          <w:lang w:val="en-GB"/>
        </w:rPr>
      </w:pPr>
      <w:proofErr w:type="spellStart"/>
      <w:r w:rsidRPr="002E72CF">
        <w:rPr>
          <w:rFonts w:cstheme="minorHAnsi"/>
          <w:sz w:val="24"/>
          <w:szCs w:val="24"/>
          <w:lang w:val="en-GB"/>
        </w:rPr>
        <w:t>Simonsson</w:t>
      </w:r>
      <w:proofErr w:type="spellEnd"/>
      <w:r w:rsidRPr="002E72CF">
        <w:rPr>
          <w:rFonts w:cstheme="minorHAnsi"/>
          <w:sz w:val="24"/>
          <w:szCs w:val="24"/>
          <w:lang w:val="en-GB"/>
        </w:rPr>
        <w:t xml:space="preserve"> US, Lindell M, </w:t>
      </w:r>
      <w:proofErr w:type="spellStart"/>
      <w:r w:rsidRPr="002E72CF">
        <w:rPr>
          <w:rFonts w:cstheme="minorHAnsi"/>
          <w:sz w:val="24"/>
          <w:szCs w:val="24"/>
          <w:lang w:val="en-GB"/>
        </w:rPr>
        <w:t>Raffalli</w:t>
      </w:r>
      <w:proofErr w:type="spellEnd"/>
      <w:r w:rsidRPr="002E72CF">
        <w:rPr>
          <w:rFonts w:cstheme="minorHAnsi"/>
          <w:sz w:val="24"/>
          <w:szCs w:val="24"/>
          <w:lang w:val="en-GB"/>
        </w:rPr>
        <w:t xml:space="preserve">-Mathieu F, </w:t>
      </w:r>
      <w:proofErr w:type="spellStart"/>
      <w:r w:rsidRPr="002E72CF">
        <w:rPr>
          <w:rFonts w:cstheme="minorHAnsi"/>
          <w:sz w:val="24"/>
          <w:szCs w:val="24"/>
          <w:lang w:val="en-GB"/>
        </w:rPr>
        <w:t>Lannerbro</w:t>
      </w:r>
      <w:proofErr w:type="spellEnd"/>
      <w:r w:rsidRPr="002E72CF">
        <w:rPr>
          <w:rFonts w:cstheme="minorHAnsi"/>
          <w:sz w:val="24"/>
          <w:szCs w:val="24"/>
          <w:lang w:val="en-GB"/>
        </w:rPr>
        <w:t xml:space="preserve"> A, </w:t>
      </w:r>
      <w:proofErr w:type="spellStart"/>
      <w:r w:rsidRPr="002E72CF">
        <w:rPr>
          <w:rFonts w:cstheme="minorHAnsi"/>
          <w:sz w:val="24"/>
          <w:szCs w:val="24"/>
          <w:lang w:val="en-GB"/>
        </w:rPr>
        <w:t>Honkakoski</w:t>
      </w:r>
      <w:proofErr w:type="spellEnd"/>
      <w:r w:rsidRPr="002E72CF">
        <w:rPr>
          <w:rFonts w:cstheme="minorHAnsi"/>
          <w:sz w:val="24"/>
          <w:szCs w:val="24"/>
          <w:lang w:val="en-GB"/>
        </w:rPr>
        <w:t xml:space="preserve"> P, Lang MA. In vivo and mechanistic evidence of nuclear receptor CAR induction by artemisinin. Eur J Clin Invest 2006; 36:647-53.</w:t>
      </w:r>
    </w:p>
    <w:p w14:paraId="4B476AA7" w14:textId="77777777" w:rsidR="002E72CF" w:rsidRPr="002E72CF" w:rsidRDefault="002E72CF" w:rsidP="002E72CF">
      <w:pPr>
        <w:numPr>
          <w:ilvl w:val="0"/>
          <w:numId w:val="1"/>
        </w:numPr>
        <w:spacing w:line="480" w:lineRule="auto"/>
        <w:contextualSpacing/>
        <w:jc w:val="both"/>
        <w:rPr>
          <w:rFonts w:cstheme="minorHAnsi"/>
          <w:noProof/>
          <w:sz w:val="24"/>
          <w:szCs w:val="24"/>
          <w:lang w:val="en-GB"/>
        </w:rPr>
      </w:pPr>
      <w:r w:rsidRPr="002E72CF">
        <w:rPr>
          <w:rFonts w:cstheme="minorHAnsi"/>
          <w:noProof/>
          <w:sz w:val="24"/>
          <w:szCs w:val="24"/>
          <w:lang w:val="en-GB"/>
        </w:rPr>
        <w:t xml:space="preserve">Burk O, Piedade R, Ghebreghiorghis L, Fait JT, Nussler AK, Gil JP, </w:t>
      </w:r>
      <w:r w:rsidRPr="002E72CF">
        <w:rPr>
          <w:rFonts w:eastAsia="Calibri" w:cstheme="minorHAnsi"/>
          <w:i/>
          <w:sz w:val="24"/>
          <w:szCs w:val="24"/>
          <w:lang w:val="en-GB"/>
        </w:rPr>
        <w:t>et al</w:t>
      </w:r>
      <w:r w:rsidRPr="002E72CF">
        <w:rPr>
          <w:rFonts w:cstheme="minorHAnsi"/>
          <w:noProof/>
          <w:sz w:val="24"/>
          <w:szCs w:val="24"/>
          <w:lang w:val="en-GB"/>
        </w:rPr>
        <w:t xml:space="preserve">. Differential effects of clinically used derivatives and metabolites of artemisinin in the activation of constitutive androstane receptor isoforms. </w:t>
      </w:r>
      <w:r w:rsidRPr="002E72CF">
        <w:rPr>
          <w:rFonts w:cstheme="minorHAnsi"/>
          <w:iCs/>
          <w:noProof/>
          <w:sz w:val="24"/>
          <w:szCs w:val="24"/>
          <w:lang w:val="en-GB"/>
        </w:rPr>
        <w:t>Br J Pharmacol</w:t>
      </w:r>
      <w:r w:rsidRPr="002E72CF">
        <w:rPr>
          <w:rFonts w:cstheme="minorHAnsi"/>
          <w:noProof/>
          <w:sz w:val="24"/>
          <w:szCs w:val="24"/>
          <w:lang w:val="en-GB"/>
        </w:rPr>
        <w:t xml:space="preserve"> 2012; 167:666-81.</w:t>
      </w:r>
    </w:p>
    <w:p w14:paraId="552C718A" w14:textId="79B11AFC" w:rsidR="002E72CF" w:rsidRPr="002E72CF" w:rsidRDefault="002E72CF" w:rsidP="002E72CF">
      <w:pPr>
        <w:numPr>
          <w:ilvl w:val="0"/>
          <w:numId w:val="1"/>
        </w:numPr>
        <w:spacing w:line="480" w:lineRule="auto"/>
        <w:contextualSpacing/>
        <w:jc w:val="both"/>
        <w:rPr>
          <w:rFonts w:cstheme="minorHAnsi"/>
          <w:noProof/>
          <w:sz w:val="24"/>
          <w:szCs w:val="24"/>
          <w:lang w:val="en-GB"/>
        </w:rPr>
      </w:pPr>
      <w:r w:rsidRPr="002E72CF">
        <w:rPr>
          <w:rFonts w:cstheme="minorHAnsi"/>
          <w:sz w:val="24"/>
          <w:szCs w:val="24"/>
          <w:lang w:val="en-GB"/>
        </w:rPr>
        <w:t>Lin JH. CYP induction-mediated drug interactions: in vitro assessment and clinical implications. Pharm Res 2006; 23:1089-116.</w:t>
      </w:r>
    </w:p>
    <w:p w14:paraId="250CA995" w14:textId="77777777" w:rsidR="002E72CF" w:rsidRPr="002E72CF" w:rsidRDefault="002E72CF" w:rsidP="002E72CF">
      <w:pPr>
        <w:numPr>
          <w:ilvl w:val="0"/>
          <w:numId w:val="1"/>
        </w:numPr>
        <w:spacing w:line="480" w:lineRule="auto"/>
        <w:contextualSpacing/>
        <w:jc w:val="both"/>
        <w:rPr>
          <w:rFonts w:cstheme="minorHAnsi"/>
          <w:noProof/>
          <w:sz w:val="24"/>
          <w:szCs w:val="24"/>
          <w:lang w:val="en-GB"/>
        </w:rPr>
      </w:pPr>
      <w:r w:rsidRPr="002E72CF">
        <w:rPr>
          <w:rFonts w:cstheme="minorHAnsi"/>
          <w:noProof/>
          <w:sz w:val="24"/>
          <w:szCs w:val="24"/>
          <w:lang w:val="en-GB"/>
        </w:rPr>
        <w:lastRenderedPageBreak/>
        <w:t xml:space="preserve">Walimbwa SI, Lamorde M, Waitt C, Kaboggoza J, Else L, Byakika-Kibwika P, </w:t>
      </w:r>
      <w:r w:rsidRPr="002E72CF">
        <w:rPr>
          <w:rFonts w:cstheme="minorHAnsi"/>
          <w:i/>
          <w:noProof/>
          <w:sz w:val="24"/>
          <w:szCs w:val="24"/>
          <w:lang w:val="en-GB"/>
        </w:rPr>
        <w:t>et al</w:t>
      </w:r>
      <w:r w:rsidRPr="002E72CF">
        <w:rPr>
          <w:rFonts w:cstheme="minorHAnsi"/>
          <w:noProof/>
          <w:sz w:val="24"/>
          <w:szCs w:val="24"/>
          <w:lang w:val="en-GB"/>
        </w:rPr>
        <w:t>. Dolutegravir interactions with artemether-lumefantrine and amodiaquine-artesunate. [Abstract #459]. Conference on Retroviruses and Opportunistic Infections (CROI 2018). Hynes Convention Centre, Boston, MA, USA, 04-07 March 2018.</w:t>
      </w:r>
    </w:p>
    <w:p w14:paraId="71D27991" w14:textId="77777777" w:rsidR="002E72CF" w:rsidRPr="002E72CF" w:rsidRDefault="002E72CF" w:rsidP="002E72CF">
      <w:pPr>
        <w:numPr>
          <w:ilvl w:val="0"/>
          <w:numId w:val="1"/>
        </w:numPr>
        <w:spacing w:line="480" w:lineRule="auto"/>
        <w:contextualSpacing/>
        <w:jc w:val="both"/>
        <w:rPr>
          <w:rFonts w:cstheme="minorHAnsi"/>
          <w:noProof/>
          <w:sz w:val="24"/>
          <w:szCs w:val="24"/>
          <w:lang w:val="en-GB"/>
        </w:rPr>
      </w:pPr>
      <w:r w:rsidRPr="002E72CF">
        <w:rPr>
          <w:rFonts w:cstheme="minorHAnsi"/>
          <w:noProof/>
          <w:sz w:val="24"/>
          <w:szCs w:val="24"/>
          <w:lang w:val="en-GB"/>
        </w:rPr>
        <w:t xml:space="preserve">Castellino S, Moss L, Wagner D, Borland J, Song I, Chen S, </w:t>
      </w:r>
      <w:r w:rsidRPr="002E72CF">
        <w:rPr>
          <w:rFonts w:cstheme="minorHAnsi"/>
          <w:i/>
          <w:noProof/>
          <w:sz w:val="24"/>
          <w:szCs w:val="24"/>
          <w:lang w:val="en-GB"/>
        </w:rPr>
        <w:t>et al</w:t>
      </w:r>
      <w:r w:rsidRPr="002E72CF">
        <w:rPr>
          <w:rFonts w:cstheme="minorHAnsi"/>
          <w:noProof/>
          <w:sz w:val="24"/>
          <w:szCs w:val="24"/>
          <w:lang w:val="en-GB"/>
        </w:rPr>
        <w:t>. Metabolism, excretion, and mass balance of the HIV-1 integrase inhibitor dolutegravir in humans. Antimicrob Agents Chemother. 2013; 57:3536-46.</w:t>
      </w:r>
    </w:p>
    <w:p w14:paraId="328E919C" w14:textId="77777777" w:rsidR="002E72CF" w:rsidRPr="002E72CF" w:rsidRDefault="002E72CF" w:rsidP="002E72CF">
      <w:pPr>
        <w:numPr>
          <w:ilvl w:val="0"/>
          <w:numId w:val="1"/>
        </w:numPr>
        <w:spacing w:line="480" w:lineRule="auto"/>
        <w:contextualSpacing/>
        <w:jc w:val="both"/>
        <w:rPr>
          <w:rFonts w:cstheme="minorHAnsi"/>
          <w:noProof/>
          <w:sz w:val="24"/>
          <w:szCs w:val="24"/>
          <w:lang w:val="en-GB"/>
        </w:rPr>
      </w:pPr>
      <w:r w:rsidRPr="002E72CF">
        <w:rPr>
          <w:rFonts w:cstheme="minorHAnsi"/>
          <w:noProof/>
          <w:sz w:val="24"/>
          <w:szCs w:val="24"/>
          <w:lang w:val="en-GB"/>
        </w:rPr>
        <w:t xml:space="preserve">Chen S, St Jean P, Borland J, Song I, Yeo AJ, Piscitelli S, </w:t>
      </w:r>
      <w:r w:rsidRPr="002E72CF">
        <w:rPr>
          <w:rFonts w:cstheme="minorHAnsi"/>
          <w:i/>
          <w:noProof/>
          <w:sz w:val="24"/>
          <w:szCs w:val="24"/>
          <w:lang w:val="en-GB"/>
        </w:rPr>
        <w:t>et al</w:t>
      </w:r>
      <w:r w:rsidRPr="002E72CF">
        <w:rPr>
          <w:rFonts w:cstheme="minorHAnsi"/>
          <w:noProof/>
          <w:sz w:val="24"/>
          <w:szCs w:val="24"/>
          <w:lang w:val="en-GB"/>
        </w:rPr>
        <w:t>. Evaluation of the effect of UGT1A1 polymorphisms on dolutegravir pharmacokinetics. Pharmacogenomics. 2014; 15:9-16.</w:t>
      </w:r>
    </w:p>
    <w:p w14:paraId="65CE2557" w14:textId="5F5A698A" w:rsidR="002E72CF" w:rsidRPr="002E72CF" w:rsidRDefault="002E72CF" w:rsidP="002E72CF">
      <w:pPr>
        <w:numPr>
          <w:ilvl w:val="0"/>
          <w:numId w:val="1"/>
        </w:numPr>
        <w:spacing w:line="480" w:lineRule="auto"/>
        <w:contextualSpacing/>
        <w:jc w:val="both"/>
        <w:rPr>
          <w:rFonts w:cstheme="minorHAnsi"/>
          <w:noProof/>
          <w:sz w:val="24"/>
          <w:szCs w:val="24"/>
          <w:lang w:val="en-GB"/>
        </w:rPr>
      </w:pPr>
      <w:r w:rsidRPr="002E72CF">
        <w:rPr>
          <w:rFonts w:cstheme="minorHAnsi"/>
          <w:noProof/>
          <w:sz w:val="24"/>
          <w:szCs w:val="24"/>
          <w:lang w:val="en-GB"/>
        </w:rPr>
        <w:t>Hall D, Ybazeta G, Destro-Bisol G, Petzl-Erler ML, Di Rienzo A. Variability at the uridine diphosphate glucuronosyltransferase 1A1 promoter in human populations and primates. Pharmacogenetics. 1999; 9:591-9.</w:t>
      </w:r>
    </w:p>
    <w:p w14:paraId="08694B36" w14:textId="6699BF06" w:rsidR="00750B95" w:rsidRPr="00750B95" w:rsidRDefault="002E72CF" w:rsidP="00750B95">
      <w:pPr>
        <w:numPr>
          <w:ilvl w:val="0"/>
          <w:numId w:val="1"/>
        </w:numPr>
        <w:spacing w:line="480" w:lineRule="auto"/>
        <w:contextualSpacing/>
        <w:jc w:val="both"/>
        <w:rPr>
          <w:rFonts w:cstheme="minorHAnsi"/>
          <w:noProof/>
          <w:sz w:val="24"/>
          <w:szCs w:val="24"/>
          <w:lang w:val="en-GB"/>
        </w:rPr>
      </w:pPr>
      <w:r w:rsidRPr="002E72CF">
        <w:rPr>
          <w:rFonts w:cstheme="minorHAnsi"/>
          <w:noProof/>
          <w:sz w:val="24"/>
          <w:szCs w:val="24"/>
          <w:lang w:val="en-GB"/>
        </w:rPr>
        <w:t xml:space="preserve">Swen JJ, Huizinga TW, Gelderblom H, de Vries EG, Assendelft WJ, Kirchheiner J, </w:t>
      </w:r>
      <w:r w:rsidRPr="002E72CF">
        <w:rPr>
          <w:rFonts w:cstheme="minorHAnsi"/>
          <w:i/>
          <w:noProof/>
          <w:sz w:val="24"/>
          <w:szCs w:val="24"/>
          <w:lang w:val="en-GB"/>
        </w:rPr>
        <w:t>et al</w:t>
      </w:r>
      <w:r w:rsidRPr="002E72CF">
        <w:rPr>
          <w:rFonts w:cstheme="minorHAnsi"/>
          <w:noProof/>
          <w:sz w:val="24"/>
          <w:szCs w:val="24"/>
          <w:lang w:val="en-GB"/>
        </w:rPr>
        <w:t>. Translating pharmacogenomics: challenges on the road to the clinic. PLoS Med. 2007; 4(8):e209.</w:t>
      </w:r>
      <w:bookmarkEnd w:id="1"/>
      <w:r w:rsidR="00750B95" w:rsidRPr="00750B95">
        <w:rPr>
          <w:rFonts w:cstheme="minorHAnsi"/>
          <w:noProof/>
          <w:sz w:val="24"/>
          <w:szCs w:val="24"/>
          <w:lang w:val="en-GB"/>
        </w:rPr>
        <w:br w:type="page"/>
      </w:r>
    </w:p>
    <w:p w14:paraId="0449BC9F" w14:textId="77777777" w:rsidR="00750B95" w:rsidRPr="00750B95" w:rsidRDefault="00750B95" w:rsidP="00750B95">
      <w:pPr>
        <w:tabs>
          <w:tab w:val="left" w:pos="4860"/>
        </w:tabs>
        <w:spacing w:line="480" w:lineRule="auto"/>
        <w:rPr>
          <w:rFonts w:cstheme="minorHAnsi"/>
          <w:b/>
          <w:sz w:val="24"/>
          <w:szCs w:val="24"/>
        </w:rPr>
      </w:pPr>
      <w:r w:rsidRPr="00750B95">
        <w:rPr>
          <w:rFonts w:cstheme="minorHAnsi"/>
          <w:b/>
          <w:sz w:val="24"/>
          <w:szCs w:val="24"/>
        </w:rPr>
        <w:lastRenderedPageBreak/>
        <w:t>Figure Legends</w:t>
      </w:r>
    </w:p>
    <w:p w14:paraId="1BD5E3A6" w14:textId="77777777" w:rsidR="00750B95" w:rsidRPr="00750B95" w:rsidRDefault="00750B95" w:rsidP="00750B95">
      <w:pPr>
        <w:spacing w:line="480" w:lineRule="auto"/>
        <w:rPr>
          <w:rFonts w:ascii="Calibri" w:eastAsia="Calibri" w:hAnsi="Calibri" w:cs="Calibri"/>
          <w:sz w:val="24"/>
          <w:szCs w:val="24"/>
        </w:rPr>
      </w:pPr>
      <w:bookmarkStart w:id="12" w:name="_Hlk515323387"/>
      <w:r w:rsidRPr="00750B95">
        <w:rPr>
          <w:rFonts w:ascii="Calibri" w:eastAsia="Calibri" w:hAnsi="Calibri" w:cs="Calibri"/>
          <w:b/>
          <w:sz w:val="24"/>
          <w:szCs w:val="24"/>
        </w:rPr>
        <w:t>Figure 1.</w:t>
      </w:r>
      <w:r w:rsidRPr="00750B95">
        <w:rPr>
          <w:rFonts w:ascii="Calibri" w:eastAsia="Calibri" w:hAnsi="Calibri" w:cs="Calibri"/>
          <w:sz w:val="24"/>
          <w:szCs w:val="24"/>
        </w:rPr>
        <w:t xml:space="preserve"> Scatter plots showing significant differences in plasma nevirapine concentrations between patients based on</w:t>
      </w:r>
      <w:r w:rsidRPr="00750B95">
        <w:rPr>
          <w:rFonts w:ascii="Calibri" w:eastAsia="Calibri" w:hAnsi="Calibri" w:cs="Calibri"/>
          <w:i/>
          <w:sz w:val="24"/>
          <w:szCs w:val="24"/>
        </w:rPr>
        <w:t>CYP2B6</w:t>
      </w:r>
      <w:r w:rsidRPr="00750B95">
        <w:rPr>
          <w:rFonts w:ascii="Calibri" w:eastAsia="Calibri" w:hAnsi="Calibri" w:cs="Calibri"/>
          <w:sz w:val="24"/>
          <w:szCs w:val="24"/>
        </w:rPr>
        <w:t xml:space="preserve"> c.516G&gt;T genotypes (A), </w:t>
      </w:r>
      <w:r w:rsidRPr="00750B95">
        <w:rPr>
          <w:rFonts w:ascii="Calibri" w:eastAsia="Calibri" w:hAnsi="Calibri" w:cs="Calibri"/>
          <w:i/>
          <w:sz w:val="24"/>
          <w:szCs w:val="24"/>
        </w:rPr>
        <w:t xml:space="preserve">CYP2B6 </w:t>
      </w:r>
      <w:r w:rsidRPr="00750B95">
        <w:rPr>
          <w:rFonts w:ascii="Calibri" w:eastAsia="Calibri" w:hAnsi="Calibri" w:cs="Calibri"/>
          <w:sz w:val="24"/>
          <w:szCs w:val="24"/>
        </w:rPr>
        <w:t xml:space="preserve">c.785A&gt;G genotypes (B), </w:t>
      </w:r>
      <w:r w:rsidRPr="00750B95">
        <w:rPr>
          <w:rFonts w:ascii="Calibri" w:eastAsia="Calibri" w:hAnsi="Calibri" w:cs="Calibri"/>
          <w:i/>
          <w:sz w:val="24"/>
          <w:szCs w:val="24"/>
        </w:rPr>
        <w:t>CYP2B6</w:t>
      </w:r>
      <w:r w:rsidRPr="00750B95">
        <w:rPr>
          <w:rFonts w:ascii="Calibri" w:eastAsia="Calibri" w:hAnsi="Calibri" w:cs="Calibri"/>
          <w:sz w:val="24"/>
          <w:szCs w:val="24"/>
        </w:rPr>
        <w:t xml:space="preserve"> c.983T&gt;C genotypes (C) and Gender (D). </w:t>
      </w:r>
    </w:p>
    <w:bookmarkEnd w:id="12"/>
    <w:p w14:paraId="778B2082" w14:textId="77777777" w:rsidR="00750B95" w:rsidRPr="00750B95" w:rsidRDefault="00750B95" w:rsidP="00750B95">
      <w:pPr>
        <w:spacing w:after="0" w:line="480" w:lineRule="auto"/>
        <w:jc w:val="both"/>
        <w:rPr>
          <w:rFonts w:cstheme="minorHAnsi"/>
          <w:noProof/>
          <w:sz w:val="24"/>
          <w:szCs w:val="24"/>
        </w:rPr>
      </w:pPr>
      <w:r w:rsidRPr="00750B95">
        <w:rPr>
          <w:rFonts w:ascii="Calibri" w:eastAsia="Calibri" w:hAnsi="Calibri" w:cs="Calibri"/>
          <w:b/>
          <w:noProof/>
          <w:sz w:val="24"/>
          <w:szCs w:val="24"/>
          <w:lang w:eastAsia="en-GB"/>
        </w:rPr>
        <w:t>Figure 2.</w:t>
      </w:r>
      <w:r w:rsidRPr="00750B95">
        <w:rPr>
          <w:rFonts w:ascii="Calibri" w:eastAsia="Calibri" w:hAnsi="Calibri" w:cs="Calibri"/>
          <w:noProof/>
          <w:sz w:val="24"/>
          <w:szCs w:val="24"/>
          <w:lang w:eastAsia="en-GB"/>
        </w:rPr>
        <w:t xml:space="preserve"> </w:t>
      </w:r>
      <w:r w:rsidRPr="00750B95">
        <w:rPr>
          <w:rFonts w:ascii="Calibri" w:eastAsia="Calibri" w:hAnsi="Calibri" w:cs="Calibri"/>
          <w:sz w:val="24"/>
          <w:szCs w:val="24"/>
        </w:rPr>
        <w:t xml:space="preserve">Plasma concentration-time profiles of nevirapine baseline (NVP) and in the presence of artemether-lumefantrine (NVP + AL) in all the patients and when stratified based on composite </w:t>
      </w:r>
      <w:r w:rsidRPr="00750B95">
        <w:rPr>
          <w:rFonts w:ascii="Calibri" w:eastAsia="Calibri" w:hAnsi="Calibri" w:cs="Calibri"/>
          <w:i/>
          <w:sz w:val="24"/>
          <w:szCs w:val="24"/>
        </w:rPr>
        <w:t>CYP2B6</w:t>
      </w:r>
      <w:r w:rsidRPr="00750B95">
        <w:rPr>
          <w:rFonts w:ascii="Calibri" w:eastAsia="Calibri" w:hAnsi="Calibri" w:cs="Calibri"/>
          <w:sz w:val="24"/>
          <w:szCs w:val="24"/>
        </w:rPr>
        <w:t xml:space="preserve"> c.516/983 (A), extensive metabolisers (EMs) (B), intermediate metabolisers (IMs) (C) and poor metabolisers (PMs) (D). Abbreviations: AUC</w:t>
      </w:r>
      <w:r w:rsidRPr="00750B95">
        <w:rPr>
          <w:rFonts w:ascii="Calibri" w:eastAsia="Calibri" w:hAnsi="Calibri" w:cs="Calibri"/>
          <w:sz w:val="24"/>
          <w:szCs w:val="24"/>
          <w:vertAlign w:val="subscript"/>
        </w:rPr>
        <w:t>0-12</w:t>
      </w:r>
      <w:r w:rsidRPr="00750B95">
        <w:rPr>
          <w:rFonts w:ascii="Calibri" w:eastAsia="Calibri" w:hAnsi="Calibri" w:cs="Calibri"/>
          <w:sz w:val="24"/>
          <w:szCs w:val="24"/>
        </w:rPr>
        <w:t xml:space="preserve"> during a 12-hour dosing interval, area under the concentration-time curve; C</w:t>
      </w:r>
      <w:r w:rsidRPr="00750B95">
        <w:rPr>
          <w:rFonts w:ascii="Calibri" w:eastAsia="Calibri" w:hAnsi="Calibri" w:cs="Calibri"/>
          <w:sz w:val="24"/>
          <w:szCs w:val="24"/>
          <w:vertAlign w:val="subscript"/>
        </w:rPr>
        <w:t>max</w:t>
      </w:r>
      <w:r w:rsidRPr="00750B95">
        <w:rPr>
          <w:rFonts w:ascii="Calibri" w:eastAsia="Calibri" w:hAnsi="Calibri" w:cs="Calibri"/>
          <w:sz w:val="24"/>
          <w:szCs w:val="24"/>
        </w:rPr>
        <w:t>, maximum plasma concentration; MEC, minimum effective concentration (3,400 ng ml</w:t>
      </w:r>
      <w:r w:rsidRPr="00750B95">
        <w:rPr>
          <w:rFonts w:ascii="Calibri" w:eastAsia="Calibri" w:hAnsi="Calibri" w:cs="Calibri"/>
          <w:sz w:val="24"/>
          <w:szCs w:val="24"/>
          <w:vertAlign w:val="superscript"/>
        </w:rPr>
        <w:t>-1</w:t>
      </w:r>
      <w:r w:rsidRPr="00750B95">
        <w:rPr>
          <w:rFonts w:ascii="Calibri" w:eastAsia="Calibri" w:hAnsi="Calibri" w:cs="Calibri"/>
          <w:sz w:val="24"/>
          <w:szCs w:val="24"/>
        </w:rPr>
        <w:t>); NVP, nevirapine.</w:t>
      </w:r>
    </w:p>
    <w:p w14:paraId="307B739E" w14:textId="2E2CD161" w:rsidR="002E72CF" w:rsidRPr="002E72CF" w:rsidRDefault="002E72CF" w:rsidP="002E72CF">
      <w:pPr>
        <w:numPr>
          <w:ilvl w:val="0"/>
          <w:numId w:val="1"/>
        </w:numPr>
        <w:spacing w:line="480" w:lineRule="auto"/>
        <w:contextualSpacing/>
        <w:jc w:val="both"/>
        <w:rPr>
          <w:rFonts w:cstheme="minorHAnsi"/>
          <w:noProof/>
          <w:sz w:val="24"/>
          <w:szCs w:val="24"/>
          <w:lang w:val="en-GB"/>
        </w:rPr>
      </w:pPr>
      <w:r w:rsidRPr="002E72CF">
        <w:rPr>
          <w:rFonts w:cstheme="minorHAnsi"/>
          <w:noProof/>
          <w:sz w:val="24"/>
          <w:szCs w:val="24"/>
          <w:lang w:val="en-GB"/>
        </w:rPr>
        <w:br w:type="page"/>
      </w:r>
    </w:p>
    <w:tbl>
      <w:tblPr>
        <w:tblW w:w="8080" w:type="dxa"/>
        <w:tblLook w:val="04A0" w:firstRow="1" w:lastRow="0" w:firstColumn="1" w:lastColumn="0" w:noHBand="0" w:noVBand="1"/>
      </w:tblPr>
      <w:tblGrid>
        <w:gridCol w:w="4536"/>
        <w:gridCol w:w="3544"/>
      </w:tblGrid>
      <w:tr w:rsidR="002E72CF" w:rsidRPr="002E72CF" w14:paraId="617C16E5" w14:textId="77777777" w:rsidTr="00FE2D6B">
        <w:trPr>
          <w:trHeight w:val="375"/>
        </w:trPr>
        <w:tc>
          <w:tcPr>
            <w:tcW w:w="8080" w:type="dxa"/>
            <w:gridSpan w:val="2"/>
            <w:tcBorders>
              <w:top w:val="nil"/>
              <w:left w:val="nil"/>
              <w:bottom w:val="single" w:sz="4" w:space="0" w:color="auto"/>
              <w:right w:val="nil"/>
            </w:tcBorders>
            <w:shd w:val="clear" w:color="auto" w:fill="auto"/>
            <w:noWrap/>
            <w:vAlign w:val="bottom"/>
            <w:hideMark/>
          </w:tcPr>
          <w:p w14:paraId="0B0F354A" w14:textId="77777777" w:rsidR="002E72CF" w:rsidRPr="002E72CF" w:rsidRDefault="002E72CF" w:rsidP="002E72CF">
            <w:pPr>
              <w:spacing w:after="0" w:line="360" w:lineRule="auto"/>
              <w:rPr>
                <w:rFonts w:ascii="Calibri" w:eastAsia="Times New Roman" w:hAnsi="Calibri" w:cs="Calibri"/>
                <w:sz w:val="24"/>
                <w:szCs w:val="24"/>
                <w:lang w:val="en-GB" w:eastAsia="en-GB"/>
              </w:rPr>
            </w:pPr>
            <w:r w:rsidRPr="002E72CF">
              <w:rPr>
                <w:rFonts w:ascii="Calibri" w:eastAsia="Times New Roman" w:hAnsi="Calibri" w:cs="Calibri"/>
                <w:b/>
                <w:sz w:val="24"/>
                <w:szCs w:val="24"/>
                <w:lang w:val="en-GB" w:eastAsia="en-GB"/>
              </w:rPr>
              <w:lastRenderedPageBreak/>
              <w:t>Table 1.</w:t>
            </w:r>
            <w:r w:rsidRPr="002E72CF">
              <w:rPr>
                <w:rFonts w:ascii="Calibri" w:eastAsia="Times New Roman" w:hAnsi="Calibri" w:cs="Calibri"/>
                <w:sz w:val="24"/>
                <w:szCs w:val="24"/>
                <w:lang w:val="en-GB" w:eastAsia="en-GB"/>
              </w:rPr>
              <w:t xml:space="preserve"> Demographics of HIV-infected patients at the time of sampling</w:t>
            </w:r>
          </w:p>
        </w:tc>
      </w:tr>
      <w:tr w:rsidR="002E72CF" w:rsidRPr="002E72CF" w14:paraId="4F3593B3" w14:textId="77777777" w:rsidTr="00FE2D6B">
        <w:trPr>
          <w:trHeight w:val="375"/>
        </w:trPr>
        <w:tc>
          <w:tcPr>
            <w:tcW w:w="4536" w:type="dxa"/>
            <w:tcBorders>
              <w:top w:val="single" w:sz="4" w:space="0" w:color="auto"/>
              <w:left w:val="nil"/>
              <w:bottom w:val="single" w:sz="4" w:space="0" w:color="auto"/>
              <w:right w:val="nil"/>
            </w:tcBorders>
            <w:shd w:val="clear" w:color="auto" w:fill="auto"/>
            <w:noWrap/>
            <w:vAlign w:val="bottom"/>
            <w:hideMark/>
          </w:tcPr>
          <w:p w14:paraId="7087462D" w14:textId="77777777" w:rsidR="002E72CF" w:rsidRPr="002E72CF" w:rsidRDefault="002E72CF" w:rsidP="002E72CF">
            <w:pPr>
              <w:spacing w:after="0" w:line="240" w:lineRule="auto"/>
              <w:rPr>
                <w:rFonts w:ascii="Calibri" w:eastAsia="Times New Roman" w:hAnsi="Calibri" w:cs="Calibri"/>
                <w:b/>
                <w:bCs/>
                <w:sz w:val="24"/>
                <w:szCs w:val="24"/>
                <w:lang w:val="en-GB" w:eastAsia="en-GB"/>
              </w:rPr>
            </w:pPr>
            <w:r w:rsidRPr="002E72CF">
              <w:rPr>
                <w:rFonts w:ascii="Calibri" w:eastAsia="Times New Roman" w:hAnsi="Calibri" w:cs="Calibri"/>
                <w:b/>
                <w:bCs/>
                <w:sz w:val="24"/>
                <w:szCs w:val="24"/>
                <w:lang w:val="en-GB" w:eastAsia="en-GB"/>
              </w:rPr>
              <w:t>Characteristics</w:t>
            </w:r>
          </w:p>
        </w:tc>
        <w:tc>
          <w:tcPr>
            <w:tcW w:w="3544" w:type="dxa"/>
            <w:tcBorders>
              <w:top w:val="single" w:sz="4" w:space="0" w:color="auto"/>
              <w:left w:val="nil"/>
              <w:bottom w:val="single" w:sz="4" w:space="0" w:color="auto"/>
              <w:right w:val="nil"/>
            </w:tcBorders>
            <w:shd w:val="clear" w:color="auto" w:fill="auto"/>
            <w:noWrap/>
            <w:vAlign w:val="bottom"/>
            <w:hideMark/>
          </w:tcPr>
          <w:p w14:paraId="109C1746" w14:textId="77777777" w:rsidR="002E72CF" w:rsidRPr="002E72CF" w:rsidRDefault="002E72CF" w:rsidP="002E72CF">
            <w:pPr>
              <w:spacing w:after="0" w:line="240" w:lineRule="auto"/>
              <w:rPr>
                <w:rFonts w:ascii="Calibri" w:eastAsia="Times New Roman" w:hAnsi="Calibri" w:cs="Calibri"/>
                <w:b/>
                <w:bCs/>
                <w:sz w:val="24"/>
                <w:szCs w:val="24"/>
                <w:lang w:val="en-GB" w:eastAsia="en-GB"/>
              </w:rPr>
            </w:pPr>
            <w:r w:rsidRPr="002E72CF">
              <w:rPr>
                <w:rFonts w:ascii="Calibri" w:eastAsia="Times New Roman" w:hAnsi="Calibri" w:cs="Calibri"/>
                <w:b/>
                <w:bCs/>
                <w:sz w:val="24"/>
                <w:szCs w:val="24"/>
                <w:lang w:val="en-GB" w:eastAsia="en-GB"/>
              </w:rPr>
              <w:t>Statistics</w:t>
            </w:r>
          </w:p>
        </w:tc>
      </w:tr>
      <w:tr w:rsidR="002E72CF" w:rsidRPr="002E72CF" w14:paraId="3EBECC38" w14:textId="77777777" w:rsidTr="00FE2D6B">
        <w:trPr>
          <w:trHeight w:val="375"/>
        </w:trPr>
        <w:tc>
          <w:tcPr>
            <w:tcW w:w="4536" w:type="dxa"/>
            <w:tcBorders>
              <w:top w:val="single" w:sz="4" w:space="0" w:color="auto"/>
              <w:left w:val="nil"/>
              <w:bottom w:val="nil"/>
              <w:right w:val="nil"/>
            </w:tcBorders>
            <w:shd w:val="clear" w:color="auto" w:fill="auto"/>
            <w:noWrap/>
            <w:vAlign w:val="bottom"/>
            <w:hideMark/>
          </w:tcPr>
          <w:p w14:paraId="55700781" w14:textId="77777777" w:rsidR="002E72CF" w:rsidRPr="002E72CF" w:rsidRDefault="002E72CF" w:rsidP="002E72CF">
            <w:pPr>
              <w:spacing w:after="0" w:line="240" w:lineRule="auto"/>
              <w:rPr>
                <w:rFonts w:ascii="Calibri" w:eastAsia="Times New Roman" w:hAnsi="Calibri" w:cs="Calibri"/>
                <w:sz w:val="24"/>
                <w:szCs w:val="24"/>
                <w:lang w:val="en-GB" w:eastAsia="en-GB"/>
              </w:rPr>
            </w:pPr>
            <w:r w:rsidRPr="002E72CF">
              <w:rPr>
                <w:rFonts w:ascii="Calibri" w:eastAsia="Times New Roman" w:hAnsi="Calibri" w:cs="Calibri"/>
                <w:sz w:val="24"/>
                <w:szCs w:val="24"/>
                <w:lang w:val="en-GB" w:eastAsia="en-GB"/>
              </w:rPr>
              <w:t>Age (years)</w:t>
            </w:r>
          </w:p>
        </w:tc>
        <w:tc>
          <w:tcPr>
            <w:tcW w:w="3544" w:type="dxa"/>
            <w:tcBorders>
              <w:top w:val="single" w:sz="4" w:space="0" w:color="auto"/>
              <w:left w:val="nil"/>
              <w:bottom w:val="nil"/>
              <w:right w:val="nil"/>
            </w:tcBorders>
            <w:shd w:val="clear" w:color="auto" w:fill="auto"/>
            <w:noWrap/>
            <w:vAlign w:val="bottom"/>
            <w:hideMark/>
          </w:tcPr>
          <w:p w14:paraId="45DCB2A9" w14:textId="77777777" w:rsidR="002E72CF" w:rsidRPr="002E72CF" w:rsidRDefault="002E72CF" w:rsidP="002E72CF">
            <w:pPr>
              <w:spacing w:after="0" w:line="240" w:lineRule="auto"/>
              <w:rPr>
                <w:rFonts w:ascii="Calibri" w:eastAsia="Times New Roman" w:hAnsi="Calibri" w:cs="Calibri"/>
                <w:sz w:val="24"/>
                <w:szCs w:val="24"/>
                <w:lang w:val="en-GB" w:eastAsia="en-GB"/>
              </w:rPr>
            </w:pPr>
            <w:r w:rsidRPr="002E72CF">
              <w:rPr>
                <w:rFonts w:ascii="Calibri" w:eastAsia="Times New Roman" w:hAnsi="Calibri" w:cs="Calibri"/>
                <w:sz w:val="24"/>
                <w:szCs w:val="24"/>
                <w:lang w:val="en-GB" w:eastAsia="en-GB"/>
              </w:rPr>
              <w:t>39.79 ± 9.66</w:t>
            </w:r>
          </w:p>
        </w:tc>
      </w:tr>
      <w:tr w:rsidR="002E72CF" w:rsidRPr="002E72CF" w14:paraId="79B041F6" w14:textId="77777777" w:rsidTr="00FE2D6B">
        <w:trPr>
          <w:trHeight w:val="375"/>
        </w:trPr>
        <w:tc>
          <w:tcPr>
            <w:tcW w:w="4536" w:type="dxa"/>
            <w:tcBorders>
              <w:top w:val="nil"/>
              <w:left w:val="nil"/>
              <w:bottom w:val="nil"/>
              <w:right w:val="nil"/>
            </w:tcBorders>
            <w:shd w:val="clear" w:color="auto" w:fill="auto"/>
            <w:noWrap/>
            <w:vAlign w:val="bottom"/>
            <w:hideMark/>
          </w:tcPr>
          <w:p w14:paraId="38AD5D7B" w14:textId="77777777" w:rsidR="002E72CF" w:rsidRPr="002E72CF" w:rsidRDefault="002E72CF" w:rsidP="002E72CF">
            <w:pPr>
              <w:spacing w:after="0" w:line="240" w:lineRule="auto"/>
              <w:rPr>
                <w:rFonts w:ascii="Calibri" w:eastAsia="Times New Roman" w:hAnsi="Calibri" w:cs="Calibri"/>
                <w:sz w:val="24"/>
                <w:szCs w:val="24"/>
                <w:lang w:val="en-GB" w:eastAsia="en-GB"/>
              </w:rPr>
            </w:pPr>
            <w:r w:rsidRPr="002E72CF">
              <w:rPr>
                <w:rFonts w:ascii="Calibri" w:eastAsia="Times New Roman" w:hAnsi="Calibri" w:cs="Calibri"/>
                <w:sz w:val="24"/>
                <w:szCs w:val="24"/>
                <w:lang w:val="en-GB" w:eastAsia="en-GB"/>
              </w:rPr>
              <w:t>Weight (kg)</w:t>
            </w:r>
          </w:p>
        </w:tc>
        <w:tc>
          <w:tcPr>
            <w:tcW w:w="3544" w:type="dxa"/>
            <w:tcBorders>
              <w:top w:val="nil"/>
              <w:left w:val="nil"/>
              <w:bottom w:val="nil"/>
              <w:right w:val="nil"/>
            </w:tcBorders>
            <w:shd w:val="clear" w:color="auto" w:fill="auto"/>
            <w:noWrap/>
            <w:vAlign w:val="bottom"/>
            <w:hideMark/>
          </w:tcPr>
          <w:p w14:paraId="6DE8090E" w14:textId="77777777" w:rsidR="002E72CF" w:rsidRPr="002E72CF" w:rsidRDefault="002E72CF" w:rsidP="002E72CF">
            <w:pPr>
              <w:spacing w:after="0" w:line="240" w:lineRule="auto"/>
              <w:rPr>
                <w:rFonts w:ascii="Calibri" w:eastAsia="Times New Roman" w:hAnsi="Calibri" w:cs="Calibri"/>
                <w:sz w:val="24"/>
                <w:szCs w:val="24"/>
                <w:lang w:val="en-GB" w:eastAsia="en-GB"/>
              </w:rPr>
            </w:pPr>
            <w:r w:rsidRPr="002E72CF">
              <w:rPr>
                <w:rFonts w:ascii="Calibri" w:eastAsia="Times New Roman" w:hAnsi="Calibri" w:cs="Calibri"/>
                <w:sz w:val="24"/>
                <w:szCs w:val="24"/>
                <w:lang w:val="en-GB" w:eastAsia="en-GB"/>
              </w:rPr>
              <w:t>62.38 ± 14.32</w:t>
            </w:r>
          </w:p>
        </w:tc>
      </w:tr>
      <w:tr w:rsidR="002E72CF" w:rsidRPr="002E72CF" w14:paraId="3EE1C03D" w14:textId="77777777" w:rsidTr="00FE2D6B">
        <w:trPr>
          <w:trHeight w:val="375"/>
        </w:trPr>
        <w:tc>
          <w:tcPr>
            <w:tcW w:w="4536" w:type="dxa"/>
            <w:tcBorders>
              <w:top w:val="nil"/>
              <w:left w:val="nil"/>
              <w:bottom w:val="nil"/>
              <w:right w:val="nil"/>
            </w:tcBorders>
            <w:shd w:val="clear" w:color="auto" w:fill="auto"/>
            <w:noWrap/>
            <w:vAlign w:val="bottom"/>
            <w:hideMark/>
          </w:tcPr>
          <w:p w14:paraId="79DF7F83" w14:textId="77777777" w:rsidR="002E72CF" w:rsidRPr="002E72CF" w:rsidRDefault="002E72CF" w:rsidP="002E72CF">
            <w:pPr>
              <w:spacing w:after="0" w:line="240" w:lineRule="auto"/>
              <w:rPr>
                <w:rFonts w:ascii="Calibri" w:eastAsia="Times New Roman" w:hAnsi="Calibri" w:cs="Calibri"/>
                <w:sz w:val="24"/>
                <w:szCs w:val="24"/>
                <w:lang w:val="en-GB" w:eastAsia="en-GB"/>
              </w:rPr>
            </w:pPr>
            <w:r w:rsidRPr="002E72CF">
              <w:rPr>
                <w:rFonts w:ascii="Calibri" w:eastAsia="Times New Roman" w:hAnsi="Calibri" w:cs="Calibri"/>
                <w:sz w:val="24"/>
                <w:szCs w:val="24"/>
                <w:lang w:val="en-GB" w:eastAsia="en-GB"/>
              </w:rPr>
              <w:t>BMI (kg/m</w:t>
            </w:r>
            <w:r w:rsidRPr="002E72CF">
              <w:rPr>
                <w:rFonts w:ascii="Calibri" w:eastAsia="Times New Roman" w:hAnsi="Calibri" w:cs="Calibri"/>
                <w:sz w:val="24"/>
                <w:szCs w:val="24"/>
                <w:vertAlign w:val="superscript"/>
                <w:lang w:val="en-GB" w:eastAsia="en-GB"/>
              </w:rPr>
              <w:t>2</w:t>
            </w:r>
            <w:r w:rsidRPr="002E72CF">
              <w:rPr>
                <w:rFonts w:ascii="Calibri" w:eastAsia="Times New Roman" w:hAnsi="Calibri" w:cs="Calibri"/>
                <w:sz w:val="24"/>
                <w:szCs w:val="24"/>
                <w:lang w:val="en-GB" w:eastAsia="en-GB"/>
              </w:rPr>
              <w:t>)</w:t>
            </w:r>
          </w:p>
        </w:tc>
        <w:tc>
          <w:tcPr>
            <w:tcW w:w="3544" w:type="dxa"/>
            <w:tcBorders>
              <w:top w:val="nil"/>
              <w:left w:val="nil"/>
              <w:bottom w:val="nil"/>
              <w:right w:val="nil"/>
            </w:tcBorders>
            <w:shd w:val="clear" w:color="auto" w:fill="auto"/>
            <w:noWrap/>
            <w:vAlign w:val="bottom"/>
            <w:hideMark/>
          </w:tcPr>
          <w:p w14:paraId="0E2BBC41" w14:textId="77777777" w:rsidR="002E72CF" w:rsidRPr="002E72CF" w:rsidRDefault="002E72CF" w:rsidP="002E72CF">
            <w:pPr>
              <w:spacing w:after="0" w:line="240" w:lineRule="auto"/>
              <w:rPr>
                <w:rFonts w:ascii="Calibri" w:eastAsia="Times New Roman" w:hAnsi="Calibri" w:cs="Calibri"/>
                <w:sz w:val="24"/>
                <w:szCs w:val="24"/>
                <w:lang w:val="en-GB" w:eastAsia="en-GB"/>
              </w:rPr>
            </w:pPr>
            <w:r w:rsidRPr="002E72CF">
              <w:rPr>
                <w:rFonts w:ascii="Calibri" w:eastAsia="Times New Roman" w:hAnsi="Calibri" w:cs="Calibri"/>
                <w:sz w:val="24"/>
                <w:szCs w:val="24"/>
                <w:lang w:val="en-GB" w:eastAsia="en-GB"/>
              </w:rPr>
              <w:t>23.57 ± 4.86</w:t>
            </w:r>
          </w:p>
        </w:tc>
      </w:tr>
      <w:tr w:rsidR="002E72CF" w:rsidRPr="002E72CF" w14:paraId="64CA0DA3" w14:textId="77777777" w:rsidTr="00FE2D6B">
        <w:trPr>
          <w:trHeight w:val="375"/>
        </w:trPr>
        <w:tc>
          <w:tcPr>
            <w:tcW w:w="4536" w:type="dxa"/>
            <w:tcBorders>
              <w:top w:val="nil"/>
              <w:left w:val="nil"/>
              <w:bottom w:val="nil"/>
              <w:right w:val="nil"/>
            </w:tcBorders>
            <w:shd w:val="clear" w:color="auto" w:fill="auto"/>
            <w:noWrap/>
            <w:vAlign w:val="bottom"/>
            <w:hideMark/>
          </w:tcPr>
          <w:p w14:paraId="7598A798" w14:textId="77777777" w:rsidR="002E72CF" w:rsidRPr="002E72CF" w:rsidRDefault="002E72CF" w:rsidP="002E72CF">
            <w:pPr>
              <w:spacing w:after="0" w:line="240" w:lineRule="auto"/>
              <w:rPr>
                <w:rFonts w:ascii="Calibri" w:eastAsia="Times New Roman" w:hAnsi="Calibri" w:cs="Calibri"/>
                <w:sz w:val="24"/>
                <w:szCs w:val="24"/>
                <w:lang w:val="en-GB" w:eastAsia="en-GB"/>
              </w:rPr>
            </w:pPr>
            <w:r w:rsidRPr="002E72CF">
              <w:rPr>
                <w:rFonts w:ascii="Calibri" w:eastAsia="Times New Roman" w:hAnsi="Calibri" w:cs="Calibri"/>
                <w:sz w:val="24"/>
                <w:szCs w:val="24"/>
                <w:lang w:val="en-GB" w:eastAsia="en-GB"/>
              </w:rPr>
              <w:t>Haematocrit value</w:t>
            </w:r>
          </w:p>
        </w:tc>
        <w:tc>
          <w:tcPr>
            <w:tcW w:w="3544" w:type="dxa"/>
            <w:tcBorders>
              <w:top w:val="nil"/>
              <w:left w:val="nil"/>
              <w:bottom w:val="nil"/>
              <w:right w:val="nil"/>
            </w:tcBorders>
            <w:shd w:val="clear" w:color="auto" w:fill="auto"/>
            <w:noWrap/>
            <w:vAlign w:val="bottom"/>
            <w:hideMark/>
          </w:tcPr>
          <w:p w14:paraId="7C625E56" w14:textId="77777777" w:rsidR="002E72CF" w:rsidRPr="002E72CF" w:rsidRDefault="002E72CF" w:rsidP="002E72CF">
            <w:pPr>
              <w:spacing w:after="0" w:line="240" w:lineRule="auto"/>
              <w:rPr>
                <w:rFonts w:ascii="Calibri" w:eastAsia="Times New Roman" w:hAnsi="Calibri" w:cs="Calibri"/>
                <w:sz w:val="24"/>
                <w:szCs w:val="24"/>
                <w:lang w:val="en-GB" w:eastAsia="en-GB"/>
              </w:rPr>
            </w:pPr>
            <w:r w:rsidRPr="002E72CF">
              <w:rPr>
                <w:rFonts w:ascii="Calibri" w:eastAsia="Times New Roman" w:hAnsi="Calibri" w:cs="Calibri"/>
                <w:sz w:val="24"/>
                <w:szCs w:val="24"/>
                <w:lang w:val="en-GB" w:eastAsia="en-GB"/>
              </w:rPr>
              <w:t>0.36 ± 0.04</w:t>
            </w:r>
          </w:p>
        </w:tc>
      </w:tr>
      <w:tr w:rsidR="002E72CF" w:rsidRPr="002E72CF" w14:paraId="6D6E7012" w14:textId="77777777" w:rsidTr="00FE2D6B">
        <w:trPr>
          <w:trHeight w:val="375"/>
        </w:trPr>
        <w:tc>
          <w:tcPr>
            <w:tcW w:w="4536" w:type="dxa"/>
            <w:tcBorders>
              <w:top w:val="nil"/>
              <w:left w:val="nil"/>
              <w:bottom w:val="nil"/>
              <w:right w:val="nil"/>
            </w:tcBorders>
            <w:shd w:val="clear" w:color="auto" w:fill="auto"/>
            <w:noWrap/>
            <w:vAlign w:val="bottom"/>
            <w:hideMark/>
          </w:tcPr>
          <w:p w14:paraId="367A24EB" w14:textId="77777777" w:rsidR="002E72CF" w:rsidRPr="002E72CF" w:rsidRDefault="002E72CF" w:rsidP="002E72CF">
            <w:pPr>
              <w:spacing w:after="0" w:line="240" w:lineRule="auto"/>
              <w:rPr>
                <w:rFonts w:ascii="Calibri" w:eastAsia="Times New Roman" w:hAnsi="Calibri" w:cs="Calibri"/>
                <w:sz w:val="24"/>
                <w:szCs w:val="24"/>
                <w:lang w:val="en-GB" w:eastAsia="en-GB"/>
              </w:rPr>
            </w:pPr>
            <w:r w:rsidRPr="002E72CF">
              <w:rPr>
                <w:rFonts w:ascii="Calibri" w:eastAsia="Times New Roman" w:hAnsi="Calibri" w:cs="Calibri"/>
                <w:sz w:val="24"/>
                <w:szCs w:val="24"/>
                <w:lang w:val="en-GB" w:eastAsia="en-GB"/>
              </w:rPr>
              <w:t>Gender, n (%)</w:t>
            </w:r>
          </w:p>
        </w:tc>
        <w:tc>
          <w:tcPr>
            <w:tcW w:w="3544" w:type="dxa"/>
            <w:tcBorders>
              <w:top w:val="nil"/>
              <w:left w:val="nil"/>
              <w:bottom w:val="nil"/>
              <w:right w:val="nil"/>
            </w:tcBorders>
            <w:shd w:val="clear" w:color="auto" w:fill="auto"/>
            <w:noWrap/>
            <w:vAlign w:val="bottom"/>
            <w:hideMark/>
          </w:tcPr>
          <w:p w14:paraId="06E72B22" w14:textId="77777777" w:rsidR="002E72CF" w:rsidRPr="002E72CF" w:rsidRDefault="002E72CF" w:rsidP="002E72CF">
            <w:pPr>
              <w:spacing w:after="0" w:line="240" w:lineRule="auto"/>
              <w:rPr>
                <w:rFonts w:ascii="Calibri" w:eastAsia="Times New Roman" w:hAnsi="Calibri" w:cs="Calibri"/>
                <w:sz w:val="24"/>
                <w:szCs w:val="24"/>
                <w:lang w:val="en-GB" w:eastAsia="en-GB"/>
              </w:rPr>
            </w:pPr>
          </w:p>
        </w:tc>
      </w:tr>
      <w:tr w:rsidR="002E72CF" w:rsidRPr="002E72CF" w14:paraId="2064DFF0" w14:textId="77777777" w:rsidTr="00FE2D6B">
        <w:trPr>
          <w:trHeight w:val="375"/>
        </w:trPr>
        <w:tc>
          <w:tcPr>
            <w:tcW w:w="4536" w:type="dxa"/>
            <w:tcBorders>
              <w:top w:val="nil"/>
              <w:left w:val="nil"/>
              <w:bottom w:val="nil"/>
              <w:right w:val="nil"/>
            </w:tcBorders>
            <w:shd w:val="clear" w:color="auto" w:fill="auto"/>
            <w:noWrap/>
            <w:vAlign w:val="bottom"/>
            <w:hideMark/>
          </w:tcPr>
          <w:p w14:paraId="40CE4FA3" w14:textId="77777777" w:rsidR="002E72CF" w:rsidRPr="002E72CF" w:rsidRDefault="002E72CF" w:rsidP="002E72CF">
            <w:pPr>
              <w:spacing w:after="0" w:line="240" w:lineRule="auto"/>
              <w:rPr>
                <w:rFonts w:ascii="Calibri" w:eastAsia="Times New Roman" w:hAnsi="Calibri" w:cs="Calibri"/>
                <w:sz w:val="24"/>
                <w:szCs w:val="24"/>
                <w:lang w:val="en-GB" w:eastAsia="en-GB"/>
              </w:rPr>
            </w:pPr>
            <w:r w:rsidRPr="002E72CF">
              <w:rPr>
                <w:rFonts w:ascii="Calibri" w:eastAsia="Times New Roman" w:hAnsi="Calibri" w:cs="Calibri"/>
                <w:sz w:val="24"/>
                <w:szCs w:val="24"/>
                <w:lang w:val="en-GB" w:eastAsia="en-GB"/>
              </w:rPr>
              <w:t>Female</w:t>
            </w:r>
          </w:p>
        </w:tc>
        <w:tc>
          <w:tcPr>
            <w:tcW w:w="3544" w:type="dxa"/>
            <w:tcBorders>
              <w:top w:val="nil"/>
              <w:left w:val="nil"/>
              <w:bottom w:val="nil"/>
              <w:right w:val="nil"/>
            </w:tcBorders>
            <w:shd w:val="clear" w:color="auto" w:fill="auto"/>
            <w:noWrap/>
            <w:vAlign w:val="bottom"/>
            <w:hideMark/>
          </w:tcPr>
          <w:p w14:paraId="45D1E5AC" w14:textId="77777777" w:rsidR="002E72CF" w:rsidRPr="002E72CF" w:rsidRDefault="002E72CF" w:rsidP="002E72CF">
            <w:pPr>
              <w:spacing w:after="0" w:line="240" w:lineRule="auto"/>
              <w:rPr>
                <w:rFonts w:ascii="Calibri" w:eastAsia="Times New Roman" w:hAnsi="Calibri" w:cs="Calibri"/>
                <w:sz w:val="24"/>
                <w:szCs w:val="24"/>
                <w:lang w:val="en-GB" w:eastAsia="en-GB"/>
              </w:rPr>
            </w:pPr>
            <w:r w:rsidRPr="002E72CF">
              <w:rPr>
                <w:rFonts w:ascii="Calibri" w:eastAsia="Times New Roman" w:hAnsi="Calibri" w:cs="Calibri"/>
                <w:sz w:val="24"/>
                <w:szCs w:val="24"/>
                <w:lang w:val="en-GB" w:eastAsia="en-GB"/>
              </w:rPr>
              <w:t>108 (72)</w:t>
            </w:r>
          </w:p>
        </w:tc>
      </w:tr>
      <w:tr w:rsidR="002E72CF" w:rsidRPr="002E72CF" w14:paraId="2A3841C3" w14:textId="77777777" w:rsidTr="00FE2D6B">
        <w:trPr>
          <w:trHeight w:val="375"/>
        </w:trPr>
        <w:tc>
          <w:tcPr>
            <w:tcW w:w="4536" w:type="dxa"/>
            <w:tcBorders>
              <w:top w:val="nil"/>
              <w:left w:val="nil"/>
              <w:bottom w:val="nil"/>
              <w:right w:val="nil"/>
            </w:tcBorders>
            <w:shd w:val="clear" w:color="auto" w:fill="auto"/>
            <w:noWrap/>
            <w:vAlign w:val="bottom"/>
            <w:hideMark/>
          </w:tcPr>
          <w:p w14:paraId="58EFB59B" w14:textId="77777777" w:rsidR="002E72CF" w:rsidRPr="002E72CF" w:rsidRDefault="002E72CF" w:rsidP="002E72CF">
            <w:pPr>
              <w:spacing w:after="0" w:line="240" w:lineRule="auto"/>
              <w:rPr>
                <w:rFonts w:ascii="Calibri" w:eastAsia="Times New Roman" w:hAnsi="Calibri" w:cs="Calibri"/>
                <w:sz w:val="24"/>
                <w:szCs w:val="24"/>
                <w:lang w:val="en-GB" w:eastAsia="en-GB"/>
              </w:rPr>
            </w:pPr>
            <w:r w:rsidRPr="002E72CF">
              <w:rPr>
                <w:rFonts w:ascii="Calibri" w:eastAsia="Times New Roman" w:hAnsi="Calibri" w:cs="Calibri"/>
                <w:sz w:val="24"/>
                <w:szCs w:val="24"/>
                <w:lang w:val="en-GB" w:eastAsia="en-GB"/>
              </w:rPr>
              <w:t>Male</w:t>
            </w:r>
          </w:p>
        </w:tc>
        <w:tc>
          <w:tcPr>
            <w:tcW w:w="3544" w:type="dxa"/>
            <w:tcBorders>
              <w:top w:val="nil"/>
              <w:left w:val="nil"/>
              <w:bottom w:val="nil"/>
              <w:right w:val="nil"/>
            </w:tcBorders>
            <w:shd w:val="clear" w:color="auto" w:fill="auto"/>
            <w:noWrap/>
            <w:vAlign w:val="bottom"/>
            <w:hideMark/>
          </w:tcPr>
          <w:p w14:paraId="7F16D6B8" w14:textId="77777777" w:rsidR="002E72CF" w:rsidRPr="002E72CF" w:rsidRDefault="002E72CF" w:rsidP="002E72CF">
            <w:pPr>
              <w:spacing w:after="0" w:line="240" w:lineRule="auto"/>
              <w:rPr>
                <w:rFonts w:ascii="Calibri" w:eastAsia="Times New Roman" w:hAnsi="Calibri" w:cs="Calibri"/>
                <w:sz w:val="24"/>
                <w:szCs w:val="24"/>
                <w:lang w:val="en-GB" w:eastAsia="en-GB"/>
              </w:rPr>
            </w:pPr>
            <w:r w:rsidRPr="002E72CF">
              <w:rPr>
                <w:rFonts w:ascii="Calibri" w:eastAsia="Times New Roman" w:hAnsi="Calibri" w:cs="Calibri"/>
                <w:sz w:val="24"/>
                <w:szCs w:val="24"/>
                <w:lang w:val="en-GB" w:eastAsia="en-GB"/>
              </w:rPr>
              <w:t>42 (28)</w:t>
            </w:r>
          </w:p>
        </w:tc>
      </w:tr>
      <w:tr w:rsidR="002E72CF" w:rsidRPr="002E72CF" w14:paraId="52F2B15C" w14:textId="77777777" w:rsidTr="00FE2D6B">
        <w:trPr>
          <w:trHeight w:val="375"/>
        </w:trPr>
        <w:tc>
          <w:tcPr>
            <w:tcW w:w="4536" w:type="dxa"/>
            <w:tcBorders>
              <w:top w:val="nil"/>
              <w:left w:val="nil"/>
              <w:bottom w:val="nil"/>
              <w:right w:val="nil"/>
            </w:tcBorders>
            <w:shd w:val="clear" w:color="auto" w:fill="auto"/>
            <w:noWrap/>
            <w:vAlign w:val="bottom"/>
            <w:hideMark/>
          </w:tcPr>
          <w:p w14:paraId="4B3FA57D" w14:textId="77777777" w:rsidR="002E72CF" w:rsidRPr="002E72CF" w:rsidRDefault="002E72CF" w:rsidP="002E72CF">
            <w:pPr>
              <w:spacing w:after="0" w:line="240" w:lineRule="auto"/>
              <w:rPr>
                <w:rFonts w:ascii="Calibri" w:eastAsia="Times New Roman" w:hAnsi="Calibri" w:cs="Calibri"/>
                <w:sz w:val="24"/>
                <w:szCs w:val="24"/>
                <w:lang w:val="en-GB" w:eastAsia="en-GB"/>
              </w:rPr>
            </w:pPr>
            <w:r w:rsidRPr="002E72CF">
              <w:rPr>
                <w:rFonts w:ascii="Calibri" w:eastAsia="Times New Roman" w:hAnsi="Calibri" w:cs="Calibri"/>
                <w:sz w:val="24"/>
                <w:szCs w:val="24"/>
                <w:lang w:val="en-GB" w:eastAsia="en-GB"/>
              </w:rPr>
              <w:t>Ethnicity, n (%)</w:t>
            </w:r>
          </w:p>
        </w:tc>
        <w:tc>
          <w:tcPr>
            <w:tcW w:w="3544" w:type="dxa"/>
            <w:tcBorders>
              <w:top w:val="nil"/>
              <w:left w:val="nil"/>
              <w:bottom w:val="nil"/>
              <w:right w:val="nil"/>
            </w:tcBorders>
            <w:shd w:val="clear" w:color="auto" w:fill="auto"/>
            <w:noWrap/>
            <w:vAlign w:val="bottom"/>
            <w:hideMark/>
          </w:tcPr>
          <w:p w14:paraId="63BC8978" w14:textId="77777777" w:rsidR="002E72CF" w:rsidRPr="002E72CF" w:rsidRDefault="002E72CF" w:rsidP="002E72CF">
            <w:pPr>
              <w:spacing w:after="0" w:line="240" w:lineRule="auto"/>
              <w:rPr>
                <w:rFonts w:ascii="Calibri" w:eastAsia="Times New Roman" w:hAnsi="Calibri" w:cs="Calibri"/>
                <w:sz w:val="24"/>
                <w:szCs w:val="24"/>
                <w:lang w:val="en-GB" w:eastAsia="en-GB"/>
              </w:rPr>
            </w:pPr>
          </w:p>
        </w:tc>
      </w:tr>
      <w:tr w:rsidR="002E72CF" w:rsidRPr="002E72CF" w14:paraId="6C45D5D0" w14:textId="77777777" w:rsidTr="00FE2D6B">
        <w:trPr>
          <w:trHeight w:val="375"/>
        </w:trPr>
        <w:tc>
          <w:tcPr>
            <w:tcW w:w="4536" w:type="dxa"/>
            <w:tcBorders>
              <w:top w:val="nil"/>
              <w:left w:val="nil"/>
              <w:bottom w:val="nil"/>
              <w:right w:val="nil"/>
            </w:tcBorders>
            <w:shd w:val="clear" w:color="auto" w:fill="auto"/>
            <w:noWrap/>
            <w:vAlign w:val="bottom"/>
            <w:hideMark/>
          </w:tcPr>
          <w:p w14:paraId="438AFE6C" w14:textId="77777777" w:rsidR="002E72CF" w:rsidRPr="002E72CF" w:rsidRDefault="002E72CF" w:rsidP="002E72CF">
            <w:pPr>
              <w:spacing w:after="0" w:line="240" w:lineRule="auto"/>
              <w:rPr>
                <w:rFonts w:ascii="Calibri" w:eastAsia="Times New Roman" w:hAnsi="Calibri" w:cs="Calibri"/>
                <w:sz w:val="24"/>
                <w:szCs w:val="24"/>
                <w:lang w:val="en-GB" w:eastAsia="en-GB"/>
              </w:rPr>
            </w:pPr>
            <w:r w:rsidRPr="002E72CF">
              <w:rPr>
                <w:rFonts w:ascii="Calibri" w:eastAsia="Times New Roman" w:hAnsi="Calibri" w:cs="Calibri"/>
                <w:sz w:val="24"/>
                <w:szCs w:val="24"/>
                <w:lang w:val="en-GB" w:eastAsia="en-GB"/>
              </w:rPr>
              <w:t>Hausa</w:t>
            </w:r>
          </w:p>
        </w:tc>
        <w:tc>
          <w:tcPr>
            <w:tcW w:w="3544" w:type="dxa"/>
            <w:tcBorders>
              <w:top w:val="nil"/>
              <w:left w:val="nil"/>
              <w:bottom w:val="nil"/>
              <w:right w:val="nil"/>
            </w:tcBorders>
            <w:shd w:val="clear" w:color="auto" w:fill="auto"/>
            <w:noWrap/>
            <w:vAlign w:val="bottom"/>
            <w:hideMark/>
          </w:tcPr>
          <w:p w14:paraId="464F5392" w14:textId="77777777" w:rsidR="002E72CF" w:rsidRPr="002E72CF" w:rsidRDefault="002E72CF" w:rsidP="002E72CF">
            <w:pPr>
              <w:spacing w:after="0" w:line="240" w:lineRule="auto"/>
              <w:rPr>
                <w:rFonts w:ascii="Calibri" w:eastAsia="Times New Roman" w:hAnsi="Calibri" w:cs="Calibri"/>
                <w:sz w:val="24"/>
                <w:szCs w:val="24"/>
                <w:lang w:val="en-GB" w:eastAsia="en-GB"/>
              </w:rPr>
            </w:pPr>
            <w:r w:rsidRPr="002E72CF">
              <w:rPr>
                <w:rFonts w:ascii="Calibri" w:eastAsia="Times New Roman" w:hAnsi="Calibri" w:cs="Calibri"/>
                <w:sz w:val="24"/>
                <w:szCs w:val="24"/>
                <w:lang w:val="en-GB" w:eastAsia="en-GB"/>
              </w:rPr>
              <w:t>9 (6)</w:t>
            </w:r>
          </w:p>
        </w:tc>
      </w:tr>
      <w:tr w:rsidR="002E72CF" w:rsidRPr="002E72CF" w14:paraId="3179DC39" w14:textId="77777777" w:rsidTr="00FE2D6B">
        <w:trPr>
          <w:trHeight w:val="375"/>
        </w:trPr>
        <w:tc>
          <w:tcPr>
            <w:tcW w:w="4536" w:type="dxa"/>
            <w:tcBorders>
              <w:top w:val="nil"/>
              <w:left w:val="nil"/>
              <w:bottom w:val="nil"/>
              <w:right w:val="nil"/>
            </w:tcBorders>
            <w:shd w:val="clear" w:color="auto" w:fill="auto"/>
            <w:noWrap/>
            <w:vAlign w:val="bottom"/>
            <w:hideMark/>
          </w:tcPr>
          <w:p w14:paraId="4E287B3B" w14:textId="77777777" w:rsidR="002E72CF" w:rsidRPr="002E72CF" w:rsidRDefault="002E72CF" w:rsidP="002E72CF">
            <w:pPr>
              <w:spacing w:after="0" w:line="240" w:lineRule="auto"/>
              <w:rPr>
                <w:rFonts w:ascii="Calibri" w:eastAsia="Times New Roman" w:hAnsi="Calibri" w:cs="Calibri"/>
                <w:sz w:val="24"/>
                <w:szCs w:val="24"/>
                <w:lang w:val="en-GB" w:eastAsia="en-GB"/>
              </w:rPr>
            </w:pPr>
            <w:r w:rsidRPr="002E72CF">
              <w:rPr>
                <w:rFonts w:ascii="Calibri" w:eastAsia="Times New Roman" w:hAnsi="Calibri" w:cs="Calibri"/>
                <w:sz w:val="24"/>
                <w:szCs w:val="24"/>
                <w:lang w:val="en-GB" w:eastAsia="en-GB"/>
              </w:rPr>
              <w:t>Igbo</w:t>
            </w:r>
          </w:p>
        </w:tc>
        <w:tc>
          <w:tcPr>
            <w:tcW w:w="3544" w:type="dxa"/>
            <w:tcBorders>
              <w:top w:val="nil"/>
              <w:left w:val="nil"/>
              <w:bottom w:val="nil"/>
              <w:right w:val="nil"/>
            </w:tcBorders>
            <w:shd w:val="clear" w:color="auto" w:fill="auto"/>
            <w:noWrap/>
            <w:vAlign w:val="bottom"/>
            <w:hideMark/>
          </w:tcPr>
          <w:p w14:paraId="020C6B37" w14:textId="77777777" w:rsidR="002E72CF" w:rsidRPr="002E72CF" w:rsidRDefault="002E72CF" w:rsidP="002E72CF">
            <w:pPr>
              <w:spacing w:after="0" w:line="240" w:lineRule="auto"/>
              <w:rPr>
                <w:rFonts w:ascii="Calibri" w:eastAsia="Times New Roman" w:hAnsi="Calibri" w:cs="Calibri"/>
                <w:sz w:val="24"/>
                <w:szCs w:val="24"/>
                <w:lang w:val="en-GB" w:eastAsia="en-GB"/>
              </w:rPr>
            </w:pPr>
            <w:r w:rsidRPr="002E72CF">
              <w:rPr>
                <w:rFonts w:ascii="Calibri" w:eastAsia="Times New Roman" w:hAnsi="Calibri" w:cs="Calibri"/>
                <w:sz w:val="24"/>
                <w:szCs w:val="24"/>
                <w:lang w:val="en-GB" w:eastAsia="en-GB"/>
              </w:rPr>
              <w:t>16 (11)</w:t>
            </w:r>
          </w:p>
        </w:tc>
      </w:tr>
      <w:tr w:rsidR="002E72CF" w:rsidRPr="002E72CF" w14:paraId="4E185E04" w14:textId="77777777" w:rsidTr="00FE2D6B">
        <w:trPr>
          <w:trHeight w:val="375"/>
        </w:trPr>
        <w:tc>
          <w:tcPr>
            <w:tcW w:w="4536" w:type="dxa"/>
            <w:tcBorders>
              <w:top w:val="nil"/>
              <w:left w:val="nil"/>
              <w:bottom w:val="nil"/>
              <w:right w:val="nil"/>
            </w:tcBorders>
            <w:shd w:val="clear" w:color="auto" w:fill="auto"/>
            <w:noWrap/>
            <w:vAlign w:val="bottom"/>
            <w:hideMark/>
          </w:tcPr>
          <w:p w14:paraId="2B0235E0" w14:textId="77777777" w:rsidR="002E72CF" w:rsidRPr="002E72CF" w:rsidRDefault="002E72CF" w:rsidP="002E72CF">
            <w:pPr>
              <w:spacing w:after="0" w:line="240" w:lineRule="auto"/>
              <w:rPr>
                <w:rFonts w:ascii="Calibri" w:eastAsia="Times New Roman" w:hAnsi="Calibri" w:cs="Calibri"/>
                <w:sz w:val="24"/>
                <w:szCs w:val="24"/>
                <w:lang w:val="en-GB" w:eastAsia="en-GB"/>
              </w:rPr>
            </w:pPr>
            <w:r w:rsidRPr="002E72CF">
              <w:rPr>
                <w:rFonts w:ascii="Calibri" w:eastAsia="Times New Roman" w:hAnsi="Calibri" w:cs="Calibri"/>
                <w:sz w:val="24"/>
                <w:szCs w:val="24"/>
                <w:lang w:val="en-GB" w:eastAsia="en-GB"/>
              </w:rPr>
              <w:t>Yoruba</w:t>
            </w:r>
          </w:p>
        </w:tc>
        <w:tc>
          <w:tcPr>
            <w:tcW w:w="3544" w:type="dxa"/>
            <w:tcBorders>
              <w:top w:val="nil"/>
              <w:left w:val="nil"/>
              <w:bottom w:val="nil"/>
              <w:right w:val="nil"/>
            </w:tcBorders>
            <w:shd w:val="clear" w:color="auto" w:fill="auto"/>
            <w:noWrap/>
            <w:vAlign w:val="bottom"/>
            <w:hideMark/>
          </w:tcPr>
          <w:p w14:paraId="0ED9A194" w14:textId="77777777" w:rsidR="002E72CF" w:rsidRPr="002E72CF" w:rsidRDefault="002E72CF" w:rsidP="002E72CF">
            <w:pPr>
              <w:spacing w:after="0" w:line="240" w:lineRule="auto"/>
              <w:rPr>
                <w:rFonts w:ascii="Calibri" w:eastAsia="Times New Roman" w:hAnsi="Calibri" w:cs="Calibri"/>
                <w:sz w:val="24"/>
                <w:szCs w:val="24"/>
                <w:lang w:val="en-GB" w:eastAsia="en-GB"/>
              </w:rPr>
            </w:pPr>
            <w:r w:rsidRPr="002E72CF">
              <w:rPr>
                <w:rFonts w:ascii="Calibri" w:eastAsia="Times New Roman" w:hAnsi="Calibri" w:cs="Calibri"/>
                <w:sz w:val="24"/>
                <w:szCs w:val="24"/>
                <w:lang w:val="en-GB" w:eastAsia="en-GB"/>
              </w:rPr>
              <w:t>125 (83)</w:t>
            </w:r>
          </w:p>
        </w:tc>
      </w:tr>
      <w:tr w:rsidR="002E72CF" w:rsidRPr="002E72CF" w14:paraId="717C9233" w14:textId="77777777" w:rsidTr="00FE2D6B">
        <w:trPr>
          <w:trHeight w:val="375"/>
        </w:trPr>
        <w:tc>
          <w:tcPr>
            <w:tcW w:w="4536" w:type="dxa"/>
            <w:tcBorders>
              <w:top w:val="nil"/>
              <w:left w:val="nil"/>
              <w:bottom w:val="nil"/>
              <w:right w:val="nil"/>
            </w:tcBorders>
            <w:shd w:val="clear" w:color="auto" w:fill="auto"/>
            <w:noWrap/>
            <w:vAlign w:val="bottom"/>
            <w:hideMark/>
          </w:tcPr>
          <w:p w14:paraId="17DBA296" w14:textId="77777777" w:rsidR="002E72CF" w:rsidRPr="002E72CF" w:rsidRDefault="002E72CF" w:rsidP="002E72CF">
            <w:pPr>
              <w:spacing w:after="0" w:line="240" w:lineRule="auto"/>
              <w:rPr>
                <w:rFonts w:ascii="Calibri" w:eastAsia="Times New Roman" w:hAnsi="Calibri" w:cs="Calibri"/>
                <w:sz w:val="24"/>
                <w:szCs w:val="24"/>
                <w:lang w:val="en-GB" w:eastAsia="en-GB"/>
              </w:rPr>
            </w:pPr>
            <w:r w:rsidRPr="002E72CF">
              <w:rPr>
                <w:rFonts w:ascii="Calibri" w:eastAsia="Times New Roman" w:hAnsi="Calibri" w:cs="Calibri"/>
                <w:sz w:val="24"/>
                <w:szCs w:val="24"/>
                <w:lang w:val="en-GB" w:eastAsia="en-GB"/>
              </w:rPr>
              <w:t>NRTI backbone, n (%)</w:t>
            </w:r>
          </w:p>
        </w:tc>
        <w:tc>
          <w:tcPr>
            <w:tcW w:w="3544" w:type="dxa"/>
            <w:tcBorders>
              <w:top w:val="nil"/>
              <w:left w:val="nil"/>
              <w:bottom w:val="nil"/>
              <w:right w:val="nil"/>
            </w:tcBorders>
            <w:shd w:val="clear" w:color="auto" w:fill="auto"/>
            <w:noWrap/>
            <w:vAlign w:val="bottom"/>
            <w:hideMark/>
          </w:tcPr>
          <w:p w14:paraId="5FF913E1" w14:textId="77777777" w:rsidR="002E72CF" w:rsidRPr="002E72CF" w:rsidRDefault="002E72CF" w:rsidP="002E72CF">
            <w:pPr>
              <w:spacing w:after="0" w:line="240" w:lineRule="auto"/>
              <w:rPr>
                <w:rFonts w:ascii="Calibri" w:eastAsia="Times New Roman" w:hAnsi="Calibri" w:cs="Calibri"/>
                <w:sz w:val="24"/>
                <w:szCs w:val="24"/>
                <w:lang w:val="en-GB" w:eastAsia="en-GB"/>
              </w:rPr>
            </w:pPr>
          </w:p>
        </w:tc>
      </w:tr>
      <w:tr w:rsidR="002E72CF" w:rsidRPr="002E72CF" w14:paraId="05BE5BD7" w14:textId="77777777" w:rsidTr="00FE2D6B">
        <w:trPr>
          <w:trHeight w:val="375"/>
        </w:trPr>
        <w:tc>
          <w:tcPr>
            <w:tcW w:w="4536" w:type="dxa"/>
            <w:tcBorders>
              <w:top w:val="nil"/>
              <w:left w:val="nil"/>
              <w:bottom w:val="nil"/>
              <w:right w:val="nil"/>
            </w:tcBorders>
            <w:shd w:val="clear" w:color="auto" w:fill="auto"/>
            <w:noWrap/>
            <w:vAlign w:val="bottom"/>
            <w:hideMark/>
          </w:tcPr>
          <w:p w14:paraId="5301AB35" w14:textId="77777777" w:rsidR="002E72CF" w:rsidRPr="002E72CF" w:rsidRDefault="002E72CF" w:rsidP="002E72CF">
            <w:pPr>
              <w:spacing w:after="0" w:line="240" w:lineRule="auto"/>
              <w:rPr>
                <w:rFonts w:ascii="Calibri" w:eastAsia="Times New Roman" w:hAnsi="Calibri" w:cs="Calibri"/>
                <w:sz w:val="24"/>
                <w:szCs w:val="24"/>
                <w:lang w:val="en-GB" w:eastAsia="en-GB"/>
              </w:rPr>
            </w:pPr>
            <w:r w:rsidRPr="002E72CF">
              <w:rPr>
                <w:rFonts w:ascii="Calibri" w:eastAsia="Times New Roman" w:hAnsi="Calibri" w:cs="Calibri"/>
                <w:sz w:val="24"/>
                <w:szCs w:val="24"/>
                <w:lang w:val="en-GB" w:eastAsia="en-GB"/>
              </w:rPr>
              <w:t>ABC/3TC</w:t>
            </w:r>
          </w:p>
        </w:tc>
        <w:tc>
          <w:tcPr>
            <w:tcW w:w="3544" w:type="dxa"/>
            <w:tcBorders>
              <w:top w:val="nil"/>
              <w:left w:val="nil"/>
              <w:bottom w:val="nil"/>
              <w:right w:val="nil"/>
            </w:tcBorders>
            <w:shd w:val="clear" w:color="auto" w:fill="auto"/>
            <w:noWrap/>
            <w:vAlign w:val="bottom"/>
            <w:hideMark/>
          </w:tcPr>
          <w:p w14:paraId="0211F3B0" w14:textId="77777777" w:rsidR="002E72CF" w:rsidRPr="002E72CF" w:rsidRDefault="002E72CF" w:rsidP="002E72CF">
            <w:pPr>
              <w:spacing w:after="0" w:line="240" w:lineRule="auto"/>
              <w:rPr>
                <w:rFonts w:ascii="Calibri" w:eastAsia="Times New Roman" w:hAnsi="Calibri" w:cs="Calibri"/>
                <w:sz w:val="24"/>
                <w:szCs w:val="24"/>
                <w:lang w:val="en-GB" w:eastAsia="en-GB"/>
              </w:rPr>
            </w:pPr>
            <w:r w:rsidRPr="002E72CF">
              <w:rPr>
                <w:rFonts w:ascii="Calibri" w:eastAsia="Times New Roman" w:hAnsi="Calibri" w:cs="Calibri"/>
                <w:sz w:val="24"/>
                <w:szCs w:val="24"/>
                <w:lang w:val="en-GB" w:eastAsia="en-GB"/>
              </w:rPr>
              <w:t>3 (2)</w:t>
            </w:r>
          </w:p>
        </w:tc>
      </w:tr>
      <w:tr w:rsidR="002E72CF" w:rsidRPr="002E72CF" w14:paraId="6901DFE1" w14:textId="77777777" w:rsidTr="00FE2D6B">
        <w:trPr>
          <w:trHeight w:val="375"/>
        </w:trPr>
        <w:tc>
          <w:tcPr>
            <w:tcW w:w="4536" w:type="dxa"/>
            <w:tcBorders>
              <w:top w:val="nil"/>
              <w:left w:val="nil"/>
              <w:bottom w:val="nil"/>
              <w:right w:val="nil"/>
            </w:tcBorders>
            <w:shd w:val="clear" w:color="auto" w:fill="auto"/>
            <w:noWrap/>
            <w:vAlign w:val="bottom"/>
            <w:hideMark/>
          </w:tcPr>
          <w:p w14:paraId="72D603B9" w14:textId="77777777" w:rsidR="002E72CF" w:rsidRPr="002E72CF" w:rsidRDefault="002E72CF" w:rsidP="002E72CF">
            <w:pPr>
              <w:spacing w:after="0" w:line="240" w:lineRule="auto"/>
              <w:rPr>
                <w:rFonts w:ascii="Calibri" w:eastAsia="Times New Roman" w:hAnsi="Calibri" w:cs="Calibri"/>
                <w:sz w:val="24"/>
                <w:szCs w:val="24"/>
                <w:lang w:val="en-GB" w:eastAsia="en-GB"/>
              </w:rPr>
            </w:pPr>
            <w:r w:rsidRPr="002E72CF">
              <w:rPr>
                <w:rFonts w:ascii="Calibri" w:eastAsia="Times New Roman" w:hAnsi="Calibri" w:cs="Calibri"/>
                <w:sz w:val="24"/>
                <w:szCs w:val="24"/>
                <w:lang w:val="en-GB" w:eastAsia="en-GB"/>
              </w:rPr>
              <w:t>AZT/3TC</w:t>
            </w:r>
          </w:p>
        </w:tc>
        <w:tc>
          <w:tcPr>
            <w:tcW w:w="3544" w:type="dxa"/>
            <w:tcBorders>
              <w:top w:val="nil"/>
              <w:left w:val="nil"/>
              <w:bottom w:val="nil"/>
              <w:right w:val="nil"/>
            </w:tcBorders>
            <w:shd w:val="clear" w:color="auto" w:fill="auto"/>
            <w:noWrap/>
            <w:vAlign w:val="bottom"/>
            <w:hideMark/>
          </w:tcPr>
          <w:p w14:paraId="1759BF05" w14:textId="77777777" w:rsidR="002E72CF" w:rsidRPr="002E72CF" w:rsidRDefault="002E72CF" w:rsidP="002E72CF">
            <w:pPr>
              <w:spacing w:after="0" w:line="240" w:lineRule="auto"/>
              <w:rPr>
                <w:rFonts w:ascii="Calibri" w:eastAsia="Times New Roman" w:hAnsi="Calibri" w:cs="Calibri"/>
                <w:sz w:val="24"/>
                <w:szCs w:val="24"/>
                <w:lang w:val="en-GB" w:eastAsia="en-GB"/>
              </w:rPr>
            </w:pPr>
            <w:r w:rsidRPr="002E72CF">
              <w:rPr>
                <w:rFonts w:ascii="Calibri" w:eastAsia="Times New Roman" w:hAnsi="Calibri" w:cs="Calibri"/>
                <w:sz w:val="24"/>
                <w:szCs w:val="24"/>
                <w:lang w:val="en-GB" w:eastAsia="en-GB"/>
              </w:rPr>
              <w:t>128 (85)</w:t>
            </w:r>
          </w:p>
        </w:tc>
      </w:tr>
      <w:tr w:rsidR="002E72CF" w:rsidRPr="002E72CF" w14:paraId="1C9A1D06" w14:textId="77777777" w:rsidTr="00FE2D6B">
        <w:trPr>
          <w:trHeight w:val="375"/>
        </w:trPr>
        <w:tc>
          <w:tcPr>
            <w:tcW w:w="4536" w:type="dxa"/>
            <w:tcBorders>
              <w:top w:val="nil"/>
              <w:left w:val="nil"/>
              <w:bottom w:val="nil"/>
              <w:right w:val="nil"/>
            </w:tcBorders>
            <w:shd w:val="clear" w:color="auto" w:fill="auto"/>
            <w:noWrap/>
            <w:vAlign w:val="bottom"/>
            <w:hideMark/>
          </w:tcPr>
          <w:p w14:paraId="07F6BC5E" w14:textId="77777777" w:rsidR="002E72CF" w:rsidRPr="002E72CF" w:rsidRDefault="002E72CF" w:rsidP="002E72CF">
            <w:pPr>
              <w:spacing w:after="0" w:line="240" w:lineRule="auto"/>
              <w:rPr>
                <w:rFonts w:ascii="Calibri" w:eastAsia="Times New Roman" w:hAnsi="Calibri" w:cs="Calibri"/>
                <w:sz w:val="24"/>
                <w:szCs w:val="24"/>
                <w:lang w:val="en-GB" w:eastAsia="en-GB"/>
              </w:rPr>
            </w:pPr>
            <w:r w:rsidRPr="002E72CF">
              <w:rPr>
                <w:rFonts w:ascii="Calibri" w:eastAsia="Times New Roman" w:hAnsi="Calibri" w:cs="Calibri"/>
                <w:sz w:val="24"/>
                <w:szCs w:val="24"/>
                <w:lang w:val="en-GB" w:eastAsia="en-GB"/>
              </w:rPr>
              <w:t>TDZ/3TC</w:t>
            </w:r>
          </w:p>
        </w:tc>
        <w:tc>
          <w:tcPr>
            <w:tcW w:w="3544" w:type="dxa"/>
            <w:tcBorders>
              <w:top w:val="nil"/>
              <w:left w:val="nil"/>
              <w:bottom w:val="nil"/>
              <w:right w:val="nil"/>
            </w:tcBorders>
            <w:shd w:val="clear" w:color="auto" w:fill="auto"/>
            <w:noWrap/>
            <w:vAlign w:val="bottom"/>
            <w:hideMark/>
          </w:tcPr>
          <w:p w14:paraId="1FA51EC5" w14:textId="77777777" w:rsidR="002E72CF" w:rsidRPr="002E72CF" w:rsidRDefault="002E72CF" w:rsidP="002E72CF">
            <w:pPr>
              <w:spacing w:after="0" w:line="240" w:lineRule="auto"/>
              <w:rPr>
                <w:rFonts w:ascii="Calibri" w:eastAsia="Times New Roman" w:hAnsi="Calibri" w:cs="Calibri"/>
                <w:sz w:val="24"/>
                <w:szCs w:val="24"/>
                <w:lang w:val="en-GB" w:eastAsia="en-GB"/>
              </w:rPr>
            </w:pPr>
            <w:r w:rsidRPr="002E72CF">
              <w:rPr>
                <w:rFonts w:ascii="Calibri" w:eastAsia="Times New Roman" w:hAnsi="Calibri" w:cs="Calibri"/>
                <w:sz w:val="24"/>
                <w:szCs w:val="24"/>
                <w:lang w:val="en-GB" w:eastAsia="en-GB"/>
              </w:rPr>
              <w:t>19 (13)</w:t>
            </w:r>
          </w:p>
        </w:tc>
      </w:tr>
      <w:tr w:rsidR="002E72CF" w:rsidRPr="002E72CF" w14:paraId="0E74F958" w14:textId="77777777" w:rsidTr="00FE2D6B">
        <w:trPr>
          <w:trHeight w:val="375"/>
        </w:trPr>
        <w:tc>
          <w:tcPr>
            <w:tcW w:w="4536" w:type="dxa"/>
            <w:tcBorders>
              <w:top w:val="nil"/>
              <w:left w:val="nil"/>
              <w:bottom w:val="nil"/>
              <w:right w:val="nil"/>
            </w:tcBorders>
            <w:shd w:val="clear" w:color="auto" w:fill="auto"/>
            <w:noWrap/>
            <w:vAlign w:val="bottom"/>
            <w:hideMark/>
          </w:tcPr>
          <w:p w14:paraId="5F581E28" w14:textId="77777777" w:rsidR="002E72CF" w:rsidRPr="002E72CF" w:rsidRDefault="002E72CF" w:rsidP="002E72CF">
            <w:pPr>
              <w:spacing w:after="0" w:line="240" w:lineRule="auto"/>
              <w:rPr>
                <w:rFonts w:ascii="Calibri" w:eastAsia="Times New Roman" w:hAnsi="Calibri" w:cs="Calibri"/>
                <w:sz w:val="24"/>
                <w:szCs w:val="24"/>
                <w:lang w:val="en-GB" w:eastAsia="en-GB"/>
              </w:rPr>
            </w:pPr>
            <w:r w:rsidRPr="002E72CF">
              <w:rPr>
                <w:rFonts w:ascii="Calibri" w:eastAsia="Times New Roman" w:hAnsi="Calibri" w:cs="Calibri"/>
                <w:sz w:val="24"/>
                <w:szCs w:val="24"/>
                <w:lang w:val="en-GB" w:eastAsia="en-GB"/>
              </w:rPr>
              <w:t>Cotrimoxazole prophylaxis, n (%)</w:t>
            </w:r>
          </w:p>
        </w:tc>
        <w:tc>
          <w:tcPr>
            <w:tcW w:w="3544" w:type="dxa"/>
            <w:tcBorders>
              <w:top w:val="nil"/>
              <w:left w:val="nil"/>
              <w:bottom w:val="nil"/>
              <w:right w:val="nil"/>
            </w:tcBorders>
            <w:shd w:val="clear" w:color="auto" w:fill="auto"/>
            <w:noWrap/>
            <w:vAlign w:val="bottom"/>
            <w:hideMark/>
          </w:tcPr>
          <w:p w14:paraId="5289E076" w14:textId="77777777" w:rsidR="002E72CF" w:rsidRPr="002E72CF" w:rsidRDefault="002E72CF" w:rsidP="002E72CF">
            <w:pPr>
              <w:spacing w:after="0" w:line="240" w:lineRule="auto"/>
              <w:rPr>
                <w:rFonts w:ascii="Calibri" w:eastAsia="Times New Roman" w:hAnsi="Calibri" w:cs="Calibri"/>
                <w:sz w:val="24"/>
                <w:szCs w:val="24"/>
                <w:lang w:val="en-GB" w:eastAsia="en-GB"/>
              </w:rPr>
            </w:pPr>
          </w:p>
        </w:tc>
      </w:tr>
      <w:tr w:rsidR="002E72CF" w:rsidRPr="002E72CF" w14:paraId="199FBC27" w14:textId="77777777" w:rsidTr="00FE2D6B">
        <w:trPr>
          <w:trHeight w:val="375"/>
        </w:trPr>
        <w:tc>
          <w:tcPr>
            <w:tcW w:w="4536" w:type="dxa"/>
            <w:tcBorders>
              <w:top w:val="nil"/>
              <w:left w:val="nil"/>
              <w:bottom w:val="nil"/>
              <w:right w:val="nil"/>
            </w:tcBorders>
            <w:shd w:val="clear" w:color="auto" w:fill="auto"/>
            <w:noWrap/>
            <w:vAlign w:val="bottom"/>
            <w:hideMark/>
          </w:tcPr>
          <w:p w14:paraId="388E5CB7" w14:textId="77777777" w:rsidR="002E72CF" w:rsidRPr="002E72CF" w:rsidRDefault="002E72CF" w:rsidP="002E72CF">
            <w:pPr>
              <w:spacing w:after="0" w:line="240" w:lineRule="auto"/>
              <w:rPr>
                <w:rFonts w:ascii="Calibri" w:eastAsia="Times New Roman" w:hAnsi="Calibri" w:cs="Calibri"/>
                <w:sz w:val="24"/>
                <w:szCs w:val="24"/>
                <w:lang w:val="en-GB" w:eastAsia="en-GB"/>
              </w:rPr>
            </w:pPr>
            <w:r w:rsidRPr="002E72CF">
              <w:rPr>
                <w:rFonts w:ascii="Calibri" w:eastAsia="Times New Roman" w:hAnsi="Calibri" w:cs="Calibri"/>
                <w:sz w:val="24"/>
                <w:szCs w:val="24"/>
                <w:lang w:val="en-GB" w:eastAsia="en-GB"/>
              </w:rPr>
              <w:t>Yes</w:t>
            </w:r>
          </w:p>
        </w:tc>
        <w:tc>
          <w:tcPr>
            <w:tcW w:w="3544" w:type="dxa"/>
            <w:tcBorders>
              <w:top w:val="nil"/>
              <w:left w:val="nil"/>
              <w:bottom w:val="nil"/>
              <w:right w:val="nil"/>
            </w:tcBorders>
            <w:shd w:val="clear" w:color="auto" w:fill="auto"/>
            <w:noWrap/>
            <w:vAlign w:val="bottom"/>
            <w:hideMark/>
          </w:tcPr>
          <w:p w14:paraId="4887B7B7" w14:textId="77777777" w:rsidR="002E72CF" w:rsidRPr="002E72CF" w:rsidRDefault="002E72CF" w:rsidP="002E72CF">
            <w:pPr>
              <w:spacing w:after="0" w:line="240" w:lineRule="auto"/>
              <w:rPr>
                <w:rFonts w:ascii="Calibri" w:eastAsia="Times New Roman" w:hAnsi="Calibri" w:cs="Calibri"/>
                <w:sz w:val="24"/>
                <w:szCs w:val="24"/>
                <w:lang w:val="en-GB" w:eastAsia="en-GB"/>
              </w:rPr>
            </w:pPr>
            <w:r w:rsidRPr="002E72CF">
              <w:rPr>
                <w:rFonts w:ascii="Calibri" w:eastAsia="Times New Roman" w:hAnsi="Calibri" w:cs="Calibri"/>
                <w:sz w:val="24"/>
                <w:szCs w:val="24"/>
                <w:lang w:val="en-GB" w:eastAsia="en-GB"/>
              </w:rPr>
              <w:t>33 (22)</w:t>
            </w:r>
          </w:p>
        </w:tc>
      </w:tr>
      <w:tr w:rsidR="002E72CF" w:rsidRPr="002E72CF" w14:paraId="70587435" w14:textId="77777777" w:rsidTr="00FE2D6B">
        <w:trPr>
          <w:trHeight w:val="375"/>
        </w:trPr>
        <w:tc>
          <w:tcPr>
            <w:tcW w:w="4536" w:type="dxa"/>
            <w:tcBorders>
              <w:top w:val="nil"/>
              <w:left w:val="nil"/>
              <w:bottom w:val="nil"/>
              <w:right w:val="nil"/>
            </w:tcBorders>
            <w:shd w:val="clear" w:color="auto" w:fill="auto"/>
            <w:noWrap/>
            <w:vAlign w:val="bottom"/>
            <w:hideMark/>
          </w:tcPr>
          <w:p w14:paraId="2001E163" w14:textId="77777777" w:rsidR="002E72CF" w:rsidRPr="002E72CF" w:rsidRDefault="002E72CF" w:rsidP="002E72CF">
            <w:pPr>
              <w:spacing w:after="0" w:line="240" w:lineRule="auto"/>
              <w:rPr>
                <w:rFonts w:ascii="Calibri" w:eastAsia="Times New Roman" w:hAnsi="Calibri" w:cs="Calibri"/>
                <w:sz w:val="24"/>
                <w:szCs w:val="24"/>
                <w:lang w:val="en-GB" w:eastAsia="en-GB"/>
              </w:rPr>
            </w:pPr>
            <w:r w:rsidRPr="002E72CF">
              <w:rPr>
                <w:rFonts w:ascii="Calibri" w:eastAsia="Times New Roman" w:hAnsi="Calibri" w:cs="Calibri"/>
                <w:sz w:val="24"/>
                <w:szCs w:val="24"/>
                <w:lang w:val="en-GB" w:eastAsia="en-GB"/>
              </w:rPr>
              <w:t>No</w:t>
            </w:r>
          </w:p>
        </w:tc>
        <w:tc>
          <w:tcPr>
            <w:tcW w:w="3544" w:type="dxa"/>
            <w:tcBorders>
              <w:top w:val="nil"/>
              <w:left w:val="nil"/>
              <w:bottom w:val="nil"/>
              <w:right w:val="nil"/>
            </w:tcBorders>
            <w:shd w:val="clear" w:color="auto" w:fill="auto"/>
            <w:noWrap/>
            <w:vAlign w:val="bottom"/>
            <w:hideMark/>
          </w:tcPr>
          <w:p w14:paraId="033055CE" w14:textId="77777777" w:rsidR="002E72CF" w:rsidRPr="002E72CF" w:rsidRDefault="002E72CF" w:rsidP="002E72CF">
            <w:pPr>
              <w:spacing w:after="0" w:line="240" w:lineRule="auto"/>
              <w:rPr>
                <w:rFonts w:ascii="Calibri" w:eastAsia="Times New Roman" w:hAnsi="Calibri" w:cs="Calibri"/>
                <w:sz w:val="24"/>
                <w:szCs w:val="24"/>
                <w:lang w:val="en-GB" w:eastAsia="en-GB"/>
              </w:rPr>
            </w:pPr>
            <w:r w:rsidRPr="002E72CF">
              <w:rPr>
                <w:rFonts w:ascii="Calibri" w:eastAsia="Times New Roman" w:hAnsi="Calibri" w:cs="Calibri"/>
                <w:sz w:val="24"/>
                <w:szCs w:val="24"/>
                <w:lang w:val="en-GB" w:eastAsia="en-GB"/>
              </w:rPr>
              <w:t>117 (78)</w:t>
            </w:r>
          </w:p>
        </w:tc>
      </w:tr>
      <w:tr w:rsidR="002E72CF" w:rsidRPr="002E72CF" w14:paraId="17F716C4" w14:textId="77777777" w:rsidTr="00FE2D6B">
        <w:trPr>
          <w:trHeight w:val="375"/>
        </w:trPr>
        <w:tc>
          <w:tcPr>
            <w:tcW w:w="4536" w:type="dxa"/>
            <w:tcBorders>
              <w:top w:val="nil"/>
              <w:left w:val="nil"/>
              <w:bottom w:val="single" w:sz="4" w:space="0" w:color="auto"/>
              <w:right w:val="nil"/>
            </w:tcBorders>
            <w:shd w:val="clear" w:color="auto" w:fill="auto"/>
            <w:noWrap/>
            <w:vAlign w:val="bottom"/>
            <w:hideMark/>
          </w:tcPr>
          <w:p w14:paraId="0C6F1430" w14:textId="77777777" w:rsidR="002E72CF" w:rsidRPr="002E72CF" w:rsidRDefault="002E72CF" w:rsidP="002E72CF">
            <w:pPr>
              <w:spacing w:after="0" w:line="240" w:lineRule="auto"/>
              <w:rPr>
                <w:rFonts w:ascii="Calibri" w:eastAsia="Times New Roman" w:hAnsi="Calibri" w:cs="Calibri"/>
                <w:sz w:val="24"/>
                <w:szCs w:val="24"/>
                <w:lang w:val="en-GB" w:eastAsia="en-GB"/>
              </w:rPr>
            </w:pPr>
            <w:r w:rsidRPr="002E72CF">
              <w:rPr>
                <w:rFonts w:ascii="Calibri" w:eastAsia="Times New Roman" w:hAnsi="Calibri" w:cs="Calibri"/>
                <w:sz w:val="24"/>
                <w:szCs w:val="24"/>
                <w:lang w:val="en-GB" w:eastAsia="en-GB"/>
              </w:rPr>
              <w:t>Duration on ART (years)</w:t>
            </w:r>
          </w:p>
        </w:tc>
        <w:tc>
          <w:tcPr>
            <w:tcW w:w="3544" w:type="dxa"/>
            <w:tcBorders>
              <w:top w:val="nil"/>
              <w:left w:val="nil"/>
              <w:bottom w:val="single" w:sz="4" w:space="0" w:color="auto"/>
              <w:right w:val="nil"/>
            </w:tcBorders>
            <w:shd w:val="clear" w:color="auto" w:fill="auto"/>
            <w:noWrap/>
            <w:vAlign w:val="bottom"/>
            <w:hideMark/>
          </w:tcPr>
          <w:p w14:paraId="1C663474" w14:textId="77777777" w:rsidR="002E72CF" w:rsidRPr="002E72CF" w:rsidRDefault="002E72CF" w:rsidP="002E72CF">
            <w:pPr>
              <w:spacing w:after="0" w:line="240" w:lineRule="auto"/>
              <w:rPr>
                <w:rFonts w:ascii="Calibri" w:eastAsia="Times New Roman" w:hAnsi="Calibri" w:cs="Calibri"/>
                <w:sz w:val="24"/>
                <w:szCs w:val="24"/>
                <w:lang w:val="en-GB" w:eastAsia="en-GB"/>
              </w:rPr>
            </w:pPr>
            <w:r w:rsidRPr="002E72CF">
              <w:rPr>
                <w:rFonts w:ascii="Calibri" w:eastAsia="Times New Roman" w:hAnsi="Calibri" w:cs="Calibri"/>
                <w:sz w:val="24"/>
                <w:szCs w:val="24"/>
                <w:lang w:val="en-GB" w:eastAsia="en-GB"/>
              </w:rPr>
              <w:t>3.04 ± 2.41</w:t>
            </w:r>
          </w:p>
        </w:tc>
      </w:tr>
      <w:tr w:rsidR="002E72CF" w:rsidRPr="002E72CF" w14:paraId="60E91765" w14:textId="77777777" w:rsidTr="00FE2D6B">
        <w:trPr>
          <w:trHeight w:val="375"/>
        </w:trPr>
        <w:tc>
          <w:tcPr>
            <w:tcW w:w="8080" w:type="dxa"/>
            <w:gridSpan w:val="2"/>
            <w:tcBorders>
              <w:top w:val="single" w:sz="4" w:space="0" w:color="auto"/>
              <w:left w:val="nil"/>
              <w:bottom w:val="nil"/>
              <w:right w:val="nil"/>
            </w:tcBorders>
            <w:shd w:val="clear" w:color="auto" w:fill="auto"/>
            <w:noWrap/>
            <w:vAlign w:val="bottom"/>
            <w:hideMark/>
          </w:tcPr>
          <w:p w14:paraId="7D3121C2" w14:textId="77777777" w:rsidR="002E72CF" w:rsidRPr="002E72CF" w:rsidRDefault="002E72CF" w:rsidP="002E72CF">
            <w:pPr>
              <w:spacing w:after="0" w:line="360" w:lineRule="auto"/>
              <w:jc w:val="both"/>
              <w:rPr>
                <w:rFonts w:ascii="Calibri" w:eastAsia="Times New Roman" w:hAnsi="Calibri" w:cs="Calibri"/>
                <w:sz w:val="24"/>
                <w:szCs w:val="24"/>
                <w:lang w:val="en-GB" w:eastAsia="en-GB"/>
              </w:rPr>
            </w:pPr>
            <w:r w:rsidRPr="002E72CF">
              <w:rPr>
                <w:rFonts w:ascii="Calibri" w:eastAsia="Times New Roman" w:hAnsi="Calibri" w:cs="Calibri"/>
                <w:sz w:val="24"/>
                <w:szCs w:val="24"/>
                <w:lang w:val="en-GB" w:eastAsia="en-GB"/>
              </w:rPr>
              <w:t>Data presented as mean ± standard deviation, unless otherwise indicated. Abbreviations: n, sample size; NRTI, nucleoside reverse transcriptase inhibitors; ABC, abacavir; AZT, zidovudine; TDF, tenofovir disoproxil fumarate; CTX, cotrimoxazole.</w:t>
            </w:r>
          </w:p>
        </w:tc>
      </w:tr>
    </w:tbl>
    <w:p w14:paraId="69336AB6" w14:textId="77777777" w:rsidR="002E72CF" w:rsidRPr="002E72CF" w:rsidRDefault="002E72CF" w:rsidP="002E72CF">
      <w:pPr>
        <w:rPr>
          <w:rFonts w:cstheme="minorHAnsi"/>
          <w:noProof/>
          <w:sz w:val="24"/>
          <w:szCs w:val="24"/>
          <w:lang w:val="en-GB"/>
        </w:rPr>
      </w:pPr>
    </w:p>
    <w:p w14:paraId="7491ACF8" w14:textId="77777777" w:rsidR="002E72CF" w:rsidRPr="002E72CF" w:rsidRDefault="002E72CF" w:rsidP="002E72CF">
      <w:pPr>
        <w:spacing w:line="480" w:lineRule="auto"/>
        <w:jc w:val="both"/>
        <w:rPr>
          <w:rFonts w:cstheme="minorHAnsi"/>
          <w:noProof/>
          <w:sz w:val="24"/>
          <w:szCs w:val="24"/>
          <w:lang w:val="en-GB"/>
        </w:rPr>
        <w:sectPr w:rsidR="002E72CF" w:rsidRPr="002E72CF" w:rsidSect="002E72CF">
          <w:footerReference w:type="default" r:id="rId9"/>
          <w:pgSz w:w="11906" w:h="16838"/>
          <w:pgMar w:top="1440" w:right="1440" w:bottom="1440" w:left="1440" w:header="708" w:footer="708" w:gutter="0"/>
          <w:lnNumType w:countBy="1" w:restart="continuous"/>
          <w:cols w:space="708"/>
          <w:titlePg/>
          <w:docGrid w:linePitch="360"/>
        </w:sectPr>
      </w:pPr>
    </w:p>
    <w:tbl>
      <w:tblPr>
        <w:tblpPr w:leftFromText="180" w:rightFromText="180" w:vertAnchor="text" w:horzAnchor="margin" w:tblpY="46"/>
        <w:tblOverlap w:val="never"/>
        <w:tblW w:w="11766" w:type="dxa"/>
        <w:tblLook w:val="04A0" w:firstRow="1" w:lastRow="0" w:firstColumn="1" w:lastColumn="0" w:noHBand="0" w:noVBand="1"/>
      </w:tblPr>
      <w:tblGrid>
        <w:gridCol w:w="3261"/>
        <w:gridCol w:w="2268"/>
        <w:gridCol w:w="1984"/>
        <w:gridCol w:w="2268"/>
        <w:gridCol w:w="992"/>
        <w:gridCol w:w="993"/>
      </w:tblGrid>
      <w:tr w:rsidR="002E72CF" w:rsidRPr="002E72CF" w14:paraId="51F8653D" w14:textId="77777777" w:rsidTr="00FE2D6B">
        <w:trPr>
          <w:trHeight w:val="360"/>
        </w:trPr>
        <w:tc>
          <w:tcPr>
            <w:tcW w:w="11766" w:type="dxa"/>
            <w:gridSpan w:val="6"/>
            <w:tcBorders>
              <w:top w:val="nil"/>
              <w:left w:val="nil"/>
              <w:bottom w:val="single" w:sz="4" w:space="0" w:color="auto"/>
              <w:right w:val="nil"/>
            </w:tcBorders>
            <w:shd w:val="clear" w:color="auto" w:fill="auto"/>
            <w:noWrap/>
            <w:vAlign w:val="bottom"/>
            <w:hideMark/>
          </w:tcPr>
          <w:p w14:paraId="13A592AB" w14:textId="77777777" w:rsidR="002E72CF" w:rsidRPr="002E72CF" w:rsidRDefault="002E72CF" w:rsidP="002E72CF">
            <w:pPr>
              <w:spacing w:after="0" w:line="360" w:lineRule="auto"/>
              <w:rPr>
                <w:rFonts w:eastAsia="Times New Roman" w:cstheme="minorHAnsi"/>
                <w:sz w:val="24"/>
                <w:szCs w:val="24"/>
                <w:lang w:val="en-GB" w:eastAsia="en-GB"/>
              </w:rPr>
            </w:pPr>
            <w:r w:rsidRPr="002E72CF">
              <w:rPr>
                <w:rFonts w:eastAsia="Times New Roman" w:cstheme="minorHAnsi"/>
                <w:b/>
                <w:sz w:val="24"/>
                <w:szCs w:val="24"/>
                <w:lang w:val="en-GB" w:eastAsia="en-GB"/>
              </w:rPr>
              <w:lastRenderedPageBreak/>
              <w:t>Table 2.</w:t>
            </w:r>
            <w:r w:rsidRPr="002E72CF">
              <w:rPr>
                <w:rFonts w:eastAsia="Times New Roman" w:cstheme="minorHAnsi"/>
                <w:sz w:val="24"/>
                <w:szCs w:val="24"/>
                <w:lang w:val="en-GB" w:eastAsia="en-GB"/>
              </w:rPr>
              <w:t xml:space="preserve"> Linear regression analysis of factors influencing plasma nevirapine concentration</w:t>
            </w:r>
          </w:p>
        </w:tc>
      </w:tr>
      <w:tr w:rsidR="002E72CF" w:rsidRPr="002E72CF" w14:paraId="7577173E" w14:textId="77777777" w:rsidTr="00FE2D6B">
        <w:trPr>
          <w:trHeight w:val="360"/>
        </w:trPr>
        <w:tc>
          <w:tcPr>
            <w:tcW w:w="3261" w:type="dxa"/>
            <w:vMerge w:val="restart"/>
            <w:tcBorders>
              <w:top w:val="nil"/>
              <w:left w:val="nil"/>
              <w:bottom w:val="nil"/>
              <w:right w:val="nil"/>
            </w:tcBorders>
            <w:vAlign w:val="center"/>
            <w:hideMark/>
          </w:tcPr>
          <w:p w14:paraId="4150BB10" w14:textId="77777777" w:rsidR="002E72CF" w:rsidRPr="002E72CF" w:rsidRDefault="002E72CF" w:rsidP="002E72CF">
            <w:pPr>
              <w:spacing w:after="0" w:line="240" w:lineRule="auto"/>
              <w:rPr>
                <w:rFonts w:eastAsia="Times New Roman" w:cstheme="minorHAnsi"/>
                <w:b/>
                <w:bCs/>
                <w:sz w:val="24"/>
                <w:szCs w:val="24"/>
                <w:lang w:val="en-GB" w:eastAsia="en-GB"/>
              </w:rPr>
            </w:pPr>
            <w:r w:rsidRPr="002E72CF">
              <w:rPr>
                <w:rFonts w:eastAsia="Times New Roman" w:cstheme="minorHAnsi"/>
                <w:b/>
                <w:bCs/>
                <w:sz w:val="24"/>
                <w:szCs w:val="24"/>
                <w:lang w:val="en-GB" w:eastAsia="en-GB"/>
              </w:rPr>
              <w:t>Predictors</w:t>
            </w:r>
          </w:p>
        </w:tc>
        <w:tc>
          <w:tcPr>
            <w:tcW w:w="4252" w:type="dxa"/>
            <w:gridSpan w:val="2"/>
            <w:tcBorders>
              <w:top w:val="nil"/>
              <w:left w:val="nil"/>
              <w:bottom w:val="single" w:sz="4" w:space="0" w:color="auto"/>
              <w:right w:val="nil"/>
            </w:tcBorders>
            <w:shd w:val="clear" w:color="auto" w:fill="auto"/>
            <w:noWrap/>
            <w:vAlign w:val="bottom"/>
            <w:hideMark/>
          </w:tcPr>
          <w:p w14:paraId="51252FDA" w14:textId="77777777" w:rsidR="002E72CF" w:rsidRPr="002E72CF" w:rsidRDefault="002E72CF" w:rsidP="002E72CF">
            <w:pPr>
              <w:spacing w:after="0" w:line="240" w:lineRule="auto"/>
              <w:rPr>
                <w:rFonts w:eastAsia="Times New Roman" w:cstheme="minorHAnsi"/>
                <w:b/>
                <w:bCs/>
                <w:sz w:val="24"/>
                <w:szCs w:val="24"/>
                <w:lang w:val="en-GB" w:eastAsia="en-GB"/>
              </w:rPr>
            </w:pPr>
            <w:r w:rsidRPr="002E72CF">
              <w:rPr>
                <w:rFonts w:eastAsia="Times New Roman" w:cstheme="minorHAnsi"/>
                <w:b/>
                <w:bCs/>
                <w:sz w:val="24"/>
                <w:szCs w:val="24"/>
                <w:lang w:val="en-GB" w:eastAsia="en-GB"/>
              </w:rPr>
              <w:t>Univariate</w:t>
            </w:r>
          </w:p>
        </w:tc>
        <w:tc>
          <w:tcPr>
            <w:tcW w:w="4253" w:type="dxa"/>
            <w:gridSpan w:val="3"/>
            <w:tcBorders>
              <w:top w:val="nil"/>
              <w:left w:val="nil"/>
              <w:bottom w:val="single" w:sz="4" w:space="0" w:color="auto"/>
              <w:right w:val="nil"/>
            </w:tcBorders>
            <w:shd w:val="clear" w:color="auto" w:fill="auto"/>
            <w:noWrap/>
            <w:vAlign w:val="bottom"/>
            <w:hideMark/>
          </w:tcPr>
          <w:p w14:paraId="1AA98C46" w14:textId="77777777" w:rsidR="002E72CF" w:rsidRPr="002E72CF" w:rsidRDefault="002E72CF" w:rsidP="002E72CF">
            <w:pPr>
              <w:spacing w:after="0" w:line="240" w:lineRule="auto"/>
              <w:rPr>
                <w:rFonts w:eastAsia="Times New Roman" w:cstheme="minorHAnsi"/>
                <w:b/>
                <w:bCs/>
                <w:sz w:val="24"/>
                <w:szCs w:val="24"/>
                <w:lang w:val="en-GB" w:eastAsia="en-GB"/>
              </w:rPr>
            </w:pPr>
            <w:r w:rsidRPr="002E72CF">
              <w:rPr>
                <w:rFonts w:eastAsia="Times New Roman" w:cstheme="minorHAnsi"/>
                <w:b/>
                <w:bCs/>
                <w:sz w:val="24"/>
                <w:szCs w:val="24"/>
                <w:lang w:val="en-GB" w:eastAsia="en-GB"/>
              </w:rPr>
              <w:t>Multivariate</w:t>
            </w:r>
          </w:p>
        </w:tc>
      </w:tr>
      <w:tr w:rsidR="002E72CF" w:rsidRPr="002E72CF" w14:paraId="4FF97029" w14:textId="77777777" w:rsidTr="00FE2D6B">
        <w:trPr>
          <w:trHeight w:val="360"/>
        </w:trPr>
        <w:tc>
          <w:tcPr>
            <w:tcW w:w="3261" w:type="dxa"/>
            <w:vMerge/>
            <w:tcBorders>
              <w:top w:val="nil"/>
              <w:left w:val="nil"/>
              <w:bottom w:val="single" w:sz="4" w:space="0" w:color="auto"/>
              <w:right w:val="nil"/>
            </w:tcBorders>
            <w:vAlign w:val="center"/>
            <w:hideMark/>
          </w:tcPr>
          <w:p w14:paraId="74C3A01A" w14:textId="77777777" w:rsidR="002E72CF" w:rsidRPr="002E72CF" w:rsidRDefault="002E72CF" w:rsidP="002E72CF">
            <w:pPr>
              <w:spacing w:after="0" w:line="240" w:lineRule="auto"/>
              <w:rPr>
                <w:rFonts w:eastAsia="Times New Roman" w:cstheme="minorHAnsi"/>
                <w:b/>
                <w:bCs/>
                <w:sz w:val="24"/>
                <w:szCs w:val="24"/>
                <w:lang w:val="en-GB" w:eastAsia="en-GB"/>
              </w:rPr>
            </w:pPr>
          </w:p>
        </w:tc>
        <w:tc>
          <w:tcPr>
            <w:tcW w:w="2268" w:type="dxa"/>
            <w:tcBorders>
              <w:top w:val="single" w:sz="4" w:space="0" w:color="auto"/>
              <w:left w:val="nil"/>
              <w:bottom w:val="single" w:sz="4" w:space="0" w:color="auto"/>
              <w:right w:val="nil"/>
            </w:tcBorders>
            <w:shd w:val="clear" w:color="auto" w:fill="auto"/>
            <w:vAlign w:val="bottom"/>
            <w:hideMark/>
          </w:tcPr>
          <w:p w14:paraId="0FE20BF2" w14:textId="77777777" w:rsidR="002E72CF" w:rsidRPr="002E72CF" w:rsidRDefault="002E72CF" w:rsidP="002E72CF">
            <w:pPr>
              <w:spacing w:after="0" w:line="240" w:lineRule="auto"/>
              <w:rPr>
                <w:rFonts w:eastAsia="Times New Roman" w:cstheme="minorHAnsi"/>
                <w:sz w:val="24"/>
                <w:szCs w:val="24"/>
                <w:lang w:val="en-GB" w:eastAsia="en-GB"/>
              </w:rPr>
            </w:pPr>
            <w:r w:rsidRPr="002E72CF">
              <w:rPr>
                <w:rFonts w:eastAsia="Times New Roman" w:cstheme="minorHAnsi"/>
                <w:sz w:val="24"/>
                <w:szCs w:val="24"/>
                <w:lang w:val="en-GB" w:eastAsia="en-GB"/>
              </w:rPr>
              <w:t>β (ng ml</w:t>
            </w:r>
            <w:r w:rsidRPr="002E72CF">
              <w:rPr>
                <w:rFonts w:eastAsia="Times New Roman" w:cstheme="minorHAnsi"/>
                <w:sz w:val="24"/>
                <w:szCs w:val="24"/>
                <w:vertAlign w:val="superscript"/>
                <w:lang w:val="en-GB" w:eastAsia="en-GB"/>
              </w:rPr>
              <w:t>-1</w:t>
            </w:r>
            <w:r w:rsidRPr="002E72CF">
              <w:rPr>
                <w:rFonts w:eastAsia="Times New Roman" w:cstheme="minorHAnsi"/>
                <w:sz w:val="24"/>
                <w:szCs w:val="24"/>
                <w:lang w:val="en-GB" w:eastAsia="en-GB"/>
              </w:rPr>
              <w:t>) (90 % CI)</w:t>
            </w:r>
          </w:p>
        </w:tc>
        <w:tc>
          <w:tcPr>
            <w:tcW w:w="1984" w:type="dxa"/>
            <w:tcBorders>
              <w:top w:val="single" w:sz="4" w:space="0" w:color="auto"/>
              <w:left w:val="nil"/>
              <w:bottom w:val="single" w:sz="4" w:space="0" w:color="auto"/>
              <w:right w:val="nil"/>
            </w:tcBorders>
            <w:shd w:val="clear" w:color="auto" w:fill="auto"/>
            <w:noWrap/>
            <w:vAlign w:val="bottom"/>
            <w:hideMark/>
          </w:tcPr>
          <w:p w14:paraId="6DF0F830" w14:textId="77777777" w:rsidR="002E72CF" w:rsidRPr="002E72CF" w:rsidRDefault="002E72CF" w:rsidP="002E72CF">
            <w:pPr>
              <w:spacing w:after="0" w:line="240" w:lineRule="auto"/>
              <w:jc w:val="center"/>
              <w:rPr>
                <w:rFonts w:eastAsia="Times New Roman" w:cstheme="minorHAnsi"/>
                <w:sz w:val="24"/>
                <w:szCs w:val="24"/>
                <w:lang w:val="en-GB" w:eastAsia="en-GB"/>
              </w:rPr>
            </w:pPr>
            <w:r w:rsidRPr="002E72CF">
              <w:rPr>
                <w:rFonts w:eastAsia="Times New Roman" w:cstheme="minorHAnsi"/>
                <w:sz w:val="24"/>
                <w:szCs w:val="24"/>
                <w:lang w:val="en-GB" w:eastAsia="en-GB"/>
              </w:rPr>
              <w:t>P-value</w:t>
            </w:r>
          </w:p>
        </w:tc>
        <w:tc>
          <w:tcPr>
            <w:tcW w:w="2268" w:type="dxa"/>
            <w:tcBorders>
              <w:top w:val="single" w:sz="4" w:space="0" w:color="auto"/>
              <w:left w:val="nil"/>
              <w:bottom w:val="single" w:sz="4" w:space="0" w:color="auto"/>
              <w:right w:val="nil"/>
            </w:tcBorders>
            <w:shd w:val="clear" w:color="auto" w:fill="auto"/>
            <w:vAlign w:val="bottom"/>
            <w:hideMark/>
          </w:tcPr>
          <w:p w14:paraId="506E28E5" w14:textId="77777777" w:rsidR="002E72CF" w:rsidRPr="002E72CF" w:rsidRDefault="002E72CF" w:rsidP="002E72CF">
            <w:pPr>
              <w:spacing w:after="0" w:line="240" w:lineRule="auto"/>
              <w:rPr>
                <w:rFonts w:eastAsia="Times New Roman" w:cstheme="minorHAnsi"/>
                <w:sz w:val="24"/>
                <w:szCs w:val="24"/>
                <w:lang w:val="en-GB" w:eastAsia="en-GB"/>
              </w:rPr>
            </w:pPr>
            <w:r w:rsidRPr="002E72CF">
              <w:rPr>
                <w:rFonts w:eastAsia="Times New Roman" w:cstheme="minorHAnsi"/>
                <w:sz w:val="24"/>
                <w:szCs w:val="24"/>
                <w:lang w:val="en-GB" w:eastAsia="en-GB"/>
              </w:rPr>
              <w:t>β (ng ml</w:t>
            </w:r>
            <w:r w:rsidRPr="002E72CF">
              <w:rPr>
                <w:rFonts w:eastAsia="Times New Roman" w:cstheme="minorHAnsi"/>
                <w:sz w:val="24"/>
                <w:szCs w:val="24"/>
                <w:vertAlign w:val="superscript"/>
                <w:lang w:val="en-GB" w:eastAsia="en-GB"/>
              </w:rPr>
              <w:t>-1</w:t>
            </w:r>
            <w:r w:rsidRPr="002E72CF">
              <w:rPr>
                <w:rFonts w:eastAsia="Times New Roman" w:cstheme="minorHAnsi"/>
                <w:sz w:val="24"/>
                <w:szCs w:val="24"/>
                <w:lang w:val="en-GB" w:eastAsia="en-GB"/>
              </w:rPr>
              <w:t>) (90 % CI)</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2D23C2EB" w14:textId="77777777" w:rsidR="002E72CF" w:rsidRPr="002E72CF" w:rsidRDefault="002E72CF" w:rsidP="002E72CF">
            <w:pPr>
              <w:spacing w:after="0" w:line="240" w:lineRule="auto"/>
              <w:jc w:val="center"/>
              <w:rPr>
                <w:rFonts w:eastAsia="Times New Roman" w:cstheme="minorHAnsi"/>
                <w:sz w:val="24"/>
                <w:szCs w:val="24"/>
                <w:lang w:val="en-GB" w:eastAsia="en-GB"/>
              </w:rPr>
            </w:pPr>
            <w:r w:rsidRPr="002E72CF">
              <w:rPr>
                <w:rFonts w:eastAsia="Times New Roman" w:cstheme="minorHAnsi"/>
                <w:sz w:val="24"/>
                <w:szCs w:val="24"/>
                <w:lang w:val="en-GB" w:eastAsia="en-GB"/>
              </w:rPr>
              <w:t>P-value</w:t>
            </w:r>
          </w:p>
        </w:tc>
      </w:tr>
      <w:tr w:rsidR="002E72CF" w:rsidRPr="002E72CF" w14:paraId="2FD03D61" w14:textId="77777777" w:rsidTr="00FE2D6B">
        <w:trPr>
          <w:trHeight w:val="360"/>
        </w:trPr>
        <w:tc>
          <w:tcPr>
            <w:tcW w:w="3261" w:type="dxa"/>
            <w:tcBorders>
              <w:top w:val="single" w:sz="4" w:space="0" w:color="auto"/>
              <w:left w:val="nil"/>
              <w:bottom w:val="nil"/>
              <w:right w:val="nil"/>
            </w:tcBorders>
            <w:shd w:val="clear" w:color="auto" w:fill="auto"/>
            <w:noWrap/>
            <w:vAlign w:val="bottom"/>
            <w:hideMark/>
          </w:tcPr>
          <w:p w14:paraId="2F50B6FA" w14:textId="77777777" w:rsidR="002E72CF" w:rsidRPr="002E72CF" w:rsidRDefault="002E72CF" w:rsidP="002E72CF">
            <w:pPr>
              <w:spacing w:after="0" w:line="240" w:lineRule="auto"/>
              <w:rPr>
                <w:rFonts w:eastAsia="Times New Roman" w:cstheme="minorHAnsi"/>
                <w:sz w:val="24"/>
                <w:szCs w:val="24"/>
                <w:lang w:val="en-GB" w:eastAsia="en-GB"/>
              </w:rPr>
            </w:pPr>
            <w:r w:rsidRPr="002E72CF">
              <w:rPr>
                <w:rFonts w:eastAsia="Times New Roman" w:cstheme="minorHAnsi"/>
                <w:sz w:val="24"/>
                <w:szCs w:val="24"/>
                <w:lang w:val="en-GB" w:eastAsia="en-GB"/>
              </w:rPr>
              <w:t>Age (years)</w:t>
            </w:r>
          </w:p>
        </w:tc>
        <w:tc>
          <w:tcPr>
            <w:tcW w:w="2268" w:type="dxa"/>
            <w:tcBorders>
              <w:top w:val="single" w:sz="4" w:space="0" w:color="auto"/>
              <w:left w:val="nil"/>
              <w:bottom w:val="nil"/>
              <w:right w:val="nil"/>
            </w:tcBorders>
            <w:shd w:val="clear" w:color="auto" w:fill="auto"/>
            <w:noWrap/>
            <w:vAlign w:val="bottom"/>
            <w:hideMark/>
          </w:tcPr>
          <w:p w14:paraId="468865BE" w14:textId="77777777" w:rsidR="002E72CF" w:rsidRPr="002E72CF" w:rsidRDefault="002E72CF" w:rsidP="002E72CF">
            <w:pPr>
              <w:spacing w:after="0" w:line="240" w:lineRule="auto"/>
              <w:rPr>
                <w:rFonts w:eastAsia="Times New Roman" w:cstheme="minorHAnsi"/>
                <w:sz w:val="24"/>
                <w:szCs w:val="24"/>
                <w:lang w:val="en-GB" w:eastAsia="en-GB"/>
              </w:rPr>
            </w:pPr>
            <w:r w:rsidRPr="002E72CF">
              <w:rPr>
                <w:rFonts w:eastAsia="Times New Roman" w:cstheme="minorHAnsi"/>
                <w:sz w:val="24"/>
                <w:szCs w:val="24"/>
                <w:lang w:val="en-GB" w:eastAsia="en-GB"/>
              </w:rPr>
              <w:t>16 (-15, 470)</w:t>
            </w:r>
          </w:p>
        </w:tc>
        <w:tc>
          <w:tcPr>
            <w:tcW w:w="1984" w:type="dxa"/>
            <w:tcBorders>
              <w:top w:val="single" w:sz="4" w:space="0" w:color="auto"/>
              <w:left w:val="nil"/>
              <w:bottom w:val="nil"/>
              <w:right w:val="nil"/>
            </w:tcBorders>
            <w:shd w:val="clear" w:color="auto" w:fill="auto"/>
            <w:noWrap/>
            <w:vAlign w:val="bottom"/>
            <w:hideMark/>
          </w:tcPr>
          <w:p w14:paraId="79B40A74" w14:textId="77777777" w:rsidR="002E72CF" w:rsidRPr="002E72CF" w:rsidRDefault="002E72CF" w:rsidP="002E72CF">
            <w:pPr>
              <w:spacing w:after="0" w:line="240" w:lineRule="auto"/>
              <w:jc w:val="center"/>
              <w:rPr>
                <w:rFonts w:eastAsia="Times New Roman" w:cstheme="minorHAnsi"/>
                <w:sz w:val="24"/>
                <w:szCs w:val="24"/>
                <w:lang w:val="en-GB" w:eastAsia="en-GB"/>
              </w:rPr>
            </w:pPr>
            <w:r w:rsidRPr="002E72CF">
              <w:rPr>
                <w:rFonts w:eastAsia="Times New Roman" w:cstheme="minorHAnsi"/>
                <w:sz w:val="24"/>
                <w:szCs w:val="24"/>
                <w:lang w:val="en-GB" w:eastAsia="en-GB"/>
              </w:rPr>
              <w:t>0.402</w:t>
            </w:r>
          </w:p>
        </w:tc>
        <w:tc>
          <w:tcPr>
            <w:tcW w:w="2268" w:type="dxa"/>
            <w:tcBorders>
              <w:top w:val="single" w:sz="4" w:space="0" w:color="auto"/>
              <w:left w:val="nil"/>
              <w:bottom w:val="nil"/>
              <w:right w:val="nil"/>
            </w:tcBorders>
            <w:shd w:val="clear" w:color="auto" w:fill="auto"/>
            <w:noWrap/>
            <w:vAlign w:val="bottom"/>
            <w:hideMark/>
          </w:tcPr>
          <w:p w14:paraId="0B01FB94" w14:textId="77777777" w:rsidR="002E72CF" w:rsidRPr="002E72CF" w:rsidRDefault="002E72CF" w:rsidP="002E72CF">
            <w:pPr>
              <w:spacing w:after="0" w:line="240" w:lineRule="auto"/>
              <w:rPr>
                <w:rFonts w:eastAsia="Times New Roman" w:cstheme="minorHAnsi"/>
                <w:sz w:val="24"/>
                <w:szCs w:val="24"/>
                <w:lang w:val="en-GB" w:eastAsia="en-GB"/>
              </w:rPr>
            </w:pPr>
          </w:p>
        </w:tc>
        <w:tc>
          <w:tcPr>
            <w:tcW w:w="992" w:type="dxa"/>
            <w:tcBorders>
              <w:top w:val="single" w:sz="4" w:space="0" w:color="auto"/>
              <w:left w:val="nil"/>
              <w:bottom w:val="nil"/>
              <w:right w:val="nil"/>
            </w:tcBorders>
            <w:shd w:val="clear" w:color="auto" w:fill="auto"/>
            <w:noWrap/>
            <w:vAlign w:val="bottom"/>
            <w:hideMark/>
          </w:tcPr>
          <w:p w14:paraId="661D24EB" w14:textId="77777777" w:rsidR="002E72CF" w:rsidRPr="002E72CF" w:rsidRDefault="002E72CF" w:rsidP="002E72CF">
            <w:pPr>
              <w:spacing w:after="0" w:line="240" w:lineRule="auto"/>
              <w:jc w:val="center"/>
              <w:rPr>
                <w:rFonts w:eastAsia="Times New Roman" w:cstheme="minorHAnsi"/>
                <w:sz w:val="24"/>
                <w:szCs w:val="24"/>
                <w:lang w:val="en-GB" w:eastAsia="en-GB"/>
              </w:rPr>
            </w:pPr>
          </w:p>
        </w:tc>
        <w:tc>
          <w:tcPr>
            <w:tcW w:w="993" w:type="dxa"/>
            <w:tcBorders>
              <w:top w:val="single" w:sz="4" w:space="0" w:color="auto"/>
              <w:left w:val="nil"/>
              <w:bottom w:val="nil"/>
              <w:right w:val="nil"/>
            </w:tcBorders>
            <w:shd w:val="clear" w:color="auto" w:fill="auto"/>
            <w:noWrap/>
            <w:vAlign w:val="bottom"/>
            <w:hideMark/>
          </w:tcPr>
          <w:p w14:paraId="071E4881" w14:textId="77777777" w:rsidR="002E72CF" w:rsidRPr="002E72CF" w:rsidRDefault="002E72CF" w:rsidP="002E72CF">
            <w:pPr>
              <w:spacing w:after="0" w:line="240" w:lineRule="auto"/>
              <w:jc w:val="center"/>
              <w:rPr>
                <w:rFonts w:eastAsia="Times New Roman" w:cstheme="minorHAnsi"/>
                <w:sz w:val="24"/>
                <w:szCs w:val="24"/>
                <w:lang w:val="en-GB" w:eastAsia="en-GB"/>
              </w:rPr>
            </w:pPr>
          </w:p>
        </w:tc>
      </w:tr>
      <w:tr w:rsidR="002E72CF" w:rsidRPr="002E72CF" w14:paraId="2416862A" w14:textId="77777777" w:rsidTr="00FE2D6B">
        <w:trPr>
          <w:trHeight w:val="360"/>
        </w:trPr>
        <w:tc>
          <w:tcPr>
            <w:tcW w:w="3261" w:type="dxa"/>
            <w:tcBorders>
              <w:top w:val="nil"/>
              <w:left w:val="nil"/>
              <w:bottom w:val="nil"/>
              <w:right w:val="nil"/>
            </w:tcBorders>
            <w:shd w:val="clear" w:color="auto" w:fill="auto"/>
            <w:noWrap/>
            <w:vAlign w:val="bottom"/>
            <w:hideMark/>
          </w:tcPr>
          <w:p w14:paraId="62CF74C6" w14:textId="77777777" w:rsidR="002E72CF" w:rsidRPr="002E72CF" w:rsidRDefault="002E72CF" w:rsidP="002E72CF">
            <w:pPr>
              <w:spacing w:after="0" w:line="240" w:lineRule="auto"/>
              <w:rPr>
                <w:rFonts w:eastAsia="Times New Roman" w:cstheme="minorHAnsi"/>
                <w:sz w:val="24"/>
                <w:szCs w:val="24"/>
                <w:lang w:val="en-GB" w:eastAsia="en-GB"/>
              </w:rPr>
            </w:pPr>
            <w:r w:rsidRPr="002E72CF">
              <w:rPr>
                <w:rFonts w:eastAsia="Times New Roman" w:cstheme="minorHAnsi"/>
                <w:sz w:val="24"/>
                <w:szCs w:val="24"/>
                <w:lang w:val="en-GB" w:eastAsia="en-GB"/>
              </w:rPr>
              <w:t>BMI (kg/m</w:t>
            </w:r>
            <w:r w:rsidRPr="002E72CF">
              <w:rPr>
                <w:rFonts w:eastAsia="Times New Roman" w:cstheme="minorHAnsi"/>
                <w:sz w:val="24"/>
                <w:szCs w:val="24"/>
                <w:vertAlign w:val="superscript"/>
                <w:lang w:val="en-GB" w:eastAsia="en-GB"/>
              </w:rPr>
              <w:t>2</w:t>
            </w:r>
            <w:r w:rsidRPr="002E72CF">
              <w:rPr>
                <w:rFonts w:eastAsia="Times New Roman" w:cstheme="minorHAnsi"/>
                <w:sz w:val="24"/>
                <w:szCs w:val="24"/>
                <w:lang w:val="en-GB" w:eastAsia="en-GB"/>
              </w:rPr>
              <w:t>)</w:t>
            </w:r>
          </w:p>
        </w:tc>
        <w:tc>
          <w:tcPr>
            <w:tcW w:w="2268" w:type="dxa"/>
            <w:tcBorders>
              <w:top w:val="nil"/>
              <w:left w:val="nil"/>
              <w:bottom w:val="nil"/>
              <w:right w:val="nil"/>
            </w:tcBorders>
            <w:shd w:val="clear" w:color="auto" w:fill="auto"/>
            <w:noWrap/>
            <w:vAlign w:val="bottom"/>
            <w:hideMark/>
          </w:tcPr>
          <w:p w14:paraId="4BBFB528" w14:textId="77777777" w:rsidR="002E72CF" w:rsidRPr="002E72CF" w:rsidRDefault="002E72CF" w:rsidP="002E72CF">
            <w:pPr>
              <w:spacing w:after="0" w:line="240" w:lineRule="auto"/>
              <w:rPr>
                <w:rFonts w:eastAsia="Times New Roman" w:cstheme="minorHAnsi"/>
                <w:sz w:val="24"/>
                <w:szCs w:val="24"/>
                <w:lang w:val="en-GB" w:eastAsia="en-GB"/>
              </w:rPr>
            </w:pPr>
            <w:r w:rsidRPr="002E72CF">
              <w:rPr>
                <w:rFonts w:eastAsia="Times New Roman" w:cstheme="minorHAnsi"/>
                <w:sz w:val="24"/>
                <w:szCs w:val="24"/>
                <w:lang w:val="en-GB" w:eastAsia="en-GB"/>
              </w:rPr>
              <w:t>6 (-57, 68)</w:t>
            </w:r>
          </w:p>
        </w:tc>
        <w:tc>
          <w:tcPr>
            <w:tcW w:w="1984" w:type="dxa"/>
            <w:tcBorders>
              <w:top w:val="nil"/>
              <w:left w:val="nil"/>
              <w:bottom w:val="nil"/>
              <w:right w:val="nil"/>
            </w:tcBorders>
            <w:shd w:val="clear" w:color="auto" w:fill="auto"/>
            <w:noWrap/>
            <w:vAlign w:val="bottom"/>
            <w:hideMark/>
          </w:tcPr>
          <w:p w14:paraId="1495A895" w14:textId="77777777" w:rsidR="002E72CF" w:rsidRPr="002E72CF" w:rsidRDefault="002E72CF" w:rsidP="002E72CF">
            <w:pPr>
              <w:spacing w:after="0" w:line="240" w:lineRule="auto"/>
              <w:jc w:val="center"/>
              <w:rPr>
                <w:rFonts w:eastAsia="Times New Roman" w:cstheme="minorHAnsi"/>
                <w:sz w:val="24"/>
                <w:szCs w:val="24"/>
                <w:lang w:val="en-GB" w:eastAsia="en-GB"/>
              </w:rPr>
            </w:pPr>
            <w:r w:rsidRPr="002E72CF">
              <w:rPr>
                <w:rFonts w:eastAsia="Times New Roman" w:cstheme="minorHAnsi"/>
                <w:sz w:val="24"/>
                <w:szCs w:val="24"/>
                <w:lang w:val="en-GB" w:eastAsia="en-GB"/>
              </w:rPr>
              <w:t>0.880</w:t>
            </w:r>
          </w:p>
        </w:tc>
        <w:tc>
          <w:tcPr>
            <w:tcW w:w="2268" w:type="dxa"/>
            <w:tcBorders>
              <w:top w:val="nil"/>
              <w:left w:val="nil"/>
              <w:bottom w:val="nil"/>
              <w:right w:val="nil"/>
            </w:tcBorders>
            <w:shd w:val="clear" w:color="auto" w:fill="auto"/>
            <w:vAlign w:val="bottom"/>
            <w:hideMark/>
          </w:tcPr>
          <w:p w14:paraId="4C7128EE" w14:textId="77777777" w:rsidR="002E72CF" w:rsidRPr="002E72CF" w:rsidRDefault="002E72CF" w:rsidP="002E72CF">
            <w:pPr>
              <w:spacing w:after="0" w:line="240" w:lineRule="auto"/>
              <w:rPr>
                <w:rFonts w:eastAsia="Times New Roman" w:cstheme="minorHAnsi"/>
                <w:sz w:val="24"/>
                <w:szCs w:val="24"/>
                <w:lang w:val="en-GB" w:eastAsia="en-GB"/>
              </w:rPr>
            </w:pPr>
          </w:p>
        </w:tc>
        <w:tc>
          <w:tcPr>
            <w:tcW w:w="992" w:type="dxa"/>
            <w:tcBorders>
              <w:top w:val="nil"/>
              <w:left w:val="nil"/>
              <w:bottom w:val="nil"/>
              <w:right w:val="nil"/>
            </w:tcBorders>
            <w:shd w:val="clear" w:color="auto" w:fill="auto"/>
            <w:noWrap/>
            <w:vAlign w:val="bottom"/>
            <w:hideMark/>
          </w:tcPr>
          <w:p w14:paraId="2C3C1345" w14:textId="77777777" w:rsidR="002E72CF" w:rsidRPr="002E72CF" w:rsidRDefault="002E72CF" w:rsidP="002E72CF">
            <w:pPr>
              <w:spacing w:after="0" w:line="240" w:lineRule="auto"/>
              <w:jc w:val="center"/>
              <w:rPr>
                <w:rFonts w:eastAsia="Times New Roman" w:cstheme="minorHAnsi"/>
                <w:sz w:val="24"/>
                <w:szCs w:val="24"/>
                <w:lang w:val="en-GB" w:eastAsia="en-GB"/>
              </w:rPr>
            </w:pPr>
          </w:p>
        </w:tc>
        <w:tc>
          <w:tcPr>
            <w:tcW w:w="993" w:type="dxa"/>
            <w:tcBorders>
              <w:top w:val="nil"/>
              <w:left w:val="nil"/>
              <w:bottom w:val="nil"/>
              <w:right w:val="nil"/>
            </w:tcBorders>
            <w:shd w:val="clear" w:color="auto" w:fill="auto"/>
            <w:noWrap/>
            <w:vAlign w:val="bottom"/>
            <w:hideMark/>
          </w:tcPr>
          <w:p w14:paraId="17BC0B9F" w14:textId="77777777" w:rsidR="002E72CF" w:rsidRPr="002E72CF" w:rsidRDefault="002E72CF" w:rsidP="002E72CF">
            <w:pPr>
              <w:spacing w:after="0" w:line="240" w:lineRule="auto"/>
              <w:jc w:val="center"/>
              <w:rPr>
                <w:rFonts w:eastAsia="Times New Roman" w:cstheme="minorHAnsi"/>
                <w:sz w:val="24"/>
                <w:szCs w:val="24"/>
                <w:lang w:val="en-GB" w:eastAsia="en-GB"/>
              </w:rPr>
            </w:pPr>
          </w:p>
        </w:tc>
      </w:tr>
      <w:tr w:rsidR="002E72CF" w:rsidRPr="002E72CF" w14:paraId="5BA6567C" w14:textId="77777777" w:rsidTr="00FE2D6B">
        <w:trPr>
          <w:trHeight w:val="360"/>
        </w:trPr>
        <w:tc>
          <w:tcPr>
            <w:tcW w:w="3261" w:type="dxa"/>
            <w:tcBorders>
              <w:top w:val="nil"/>
              <w:left w:val="nil"/>
              <w:bottom w:val="nil"/>
              <w:right w:val="nil"/>
            </w:tcBorders>
            <w:shd w:val="clear" w:color="auto" w:fill="auto"/>
            <w:noWrap/>
            <w:vAlign w:val="bottom"/>
            <w:hideMark/>
          </w:tcPr>
          <w:p w14:paraId="0F25C3F7" w14:textId="77777777" w:rsidR="002E72CF" w:rsidRPr="002E72CF" w:rsidRDefault="002E72CF" w:rsidP="002E72CF">
            <w:pPr>
              <w:spacing w:after="0" w:line="240" w:lineRule="auto"/>
              <w:rPr>
                <w:rFonts w:eastAsia="Times New Roman" w:cstheme="minorHAnsi"/>
                <w:sz w:val="24"/>
                <w:szCs w:val="24"/>
                <w:lang w:val="en-GB" w:eastAsia="en-GB"/>
              </w:rPr>
            </w:pPr>
            <w:r w:rsidRPr="002E72CF">
              <w:rPr>
                <w:rFonts w:eastAsia="Times New Roman" w:cstheme="minorHAnsi"/>
                <w:sz w:val="24"/>
                <w:szCs w:val="24"/>
                <w:lang w:val="en-GB" w:eastAsia="en-GB"/>
              </w:rPr>
              <w:t>SNPs</w:t>
            </w:r>
          </w:p>
        </w:tc>
        <w:tc>
          <w:tcPr>
            <w:tcW w:w="2268" w:type="dxa"/>
            <w:tcBorders>
              <w:top w:val="nil"/>
              <w:left w:val="nil"/>
              <w:bottom w:val="nil"/>
              <w:right w:val="nil"/>
            </w:tcBorders>
            <w:shd w:val="clear" w:color="auto" w:fill="auto"/>
            <w:vAlign w:val="bottom"/>
            <w:hideMark/>
          </w:tcPr>
          <w:p w14:paraId="36DB91E1" w14:textId="77777777" w:rsidR="002E72CF" w:rsidRPr="002E72CF" w:rsidRDefault="002E72CF" w:rsidP="002E72CF">
            <w:pPr>
              <w:spacing w:after="0" w:line="240" w:lineRule="auto"/>
              <w:rPr>
                <w:rFonts w:eastAsia="Times New Roman" w:cstheme="minorHAnsi"/>
                <w:sz w:val="24"/>
                <w:szCs w:val="24"/>
                <w:lang w:val="en-GB" w:eastAsia="en-GB"/>
              </w:rPr>
            </w:pPr>
          </w:p>
        </w:tc>
        <w:tc>
          <w:tcPr>
            <w:tcW w:w="1984" w:type="dxa"/>
            <w:tcBorders>
              <w:top w:val="nil"/>
              <w:left w:val="nil"/>
              <w:bottom w:val="nil"/>
              <w:right w:val="nil"/>
            </w:tcBorders>
            <w:shd w:val="clear" w:color="auto" w:fill="auto"/>
            <w:noWrap/>
            <w:vAlign w:val="bottom"/>
            <w:hideMark/>
          </w:tcPr>
          <w:p w14:paraId="20783297" w14:textId="77777777" w:rsidR="002E72CF" w:rsidRPr="002E72CF" w:rsidRDefault="002E72CF" w:rsidP="002E72CF">
            <w:pPr>
              <w:spacing w:after="0" w:line="240" w:lineRule="auto"/>
              <w:jc w:val="center"/>
              <w:rPr>
                <w:rFonts w:eastAsia="Times New Roman" w:cstheme="minorHAnsi"/>
                <w:sz w:val="24"/>
                <w:szCs w:val="24"/>
                <w:lang w:val="en-GB" w:eastAsia="en-GB"/>
              </w:rPr>
            </w:pPr>
          </w:p>
        </w:tc>
        <w:tc>
          <w:tcPr>
            <w:tcW w:w="2268" w:type="dxa"/>
            <w:tcBorders>
              <w:top w:val="nil"/>
              <w:left w:val="nil"/>
              <w:bottom w:val="nil"/>
              <w:right w:val="nil"/>
            </w:tcBorders>
            <w:shd w:val="clear" w:color="auto" w:fill="auto"/>
            <w:noWrap/>
            <w:vAlign w:val="bottom"/>
            <w:hideMark/>
          </w:tcPr>
          <w:p w14:paraId="3E399A21" w14:textId="77777777" w:rsidR="002E72CF" w:rsidRPr="002E72CF" w:rsidRDefault="002E72CF" w:rsidP="002E72CF">
            <w:pPr>
              <w:spacing w:after="0" w:line="240" w:lineRule="auto"/>
              <w:rPr>
                <w:rFonts w:eastAsia="Times New Roman" w:cstheme="minorHAnsi"/>
                <w:sz w:val="24"/>
                <w:szCs w:val="24"/>
                <w:lang w:val="en-GB" w:eastAsia="en-GB"/>
              </w:rPr>
            </w:pPr>
          </w:p>
        </w:tc>
        <w:tc>
          <w:tcPr>
            <w:tcW w:w="992" w:type="dxa"/>
            <w:tcBorders>
              <w:top w:val="nil"/>
              <w:left w:val="nil"/>
              <w:bottom w:val="nil"/>
              <w:right w:val="nil"/>
            </w:tcBorders>
            <w:shd w:val="clear" w:color="auto" w:fill="auto"/>
            <w:noWrap/>
            <w:vAlign w:val="bottom"/>
            <w:hideMark/>
          </w:tcPr>
          <w:p w14:paraId="42DAC492" w14:textId="77777777" w:rsidR="002E72CF" w:rsidRPr="002E72CF" w:rsidRDefault="002E72CF" w:rsidP="002E72CF">
            <w:pPr>
              <w:spacing w:after="0" w:line="240" w:lineRule="auto"/>
              <w:jc w:val="center"/>
              <w:rPr>
                <w:rFonts w:eastAsia="Times New Roman" w:cstheme="minorHAnsi"/>
                <w:sz w:val="24"/>
                <w:szCs w:val="24"/>
                <w:lang w:val="en-GB" w:eastAsia="en-GB"/>
              </w:rPr>
            </w:pPr>
          </w:p>
        </w:tc>
        <w:tc>
          <w:tcPr>
            <w:tcW w:w="993" w:type="dxa"/>
            <w:tcBorders>
              <w:top w:val="nil"/>
              <w:left w:val="nil"/>
              <w:bottom w:val="nil"/>
              <w:right w:val="nil"/>
            </w:tcBorders>
            <w:shd w:val="clear" w:color="auto" w:fill="auto"/>
            <w:noWrap/>
            <w:vAlign w:val="bottom"/>
            <w:hideMark/>
          </w:tcPr>
          <w:p w14:paraId="5DB3F40C" w14:textId="77777777" w:rsidR="002E72CF" w:rsidRPr="002E72CF" w:rsidRDefault="002E72CF" w:rsidP="002E72CF">
            <w:pPr>
              <w:spacing w:after="0" w:line="240" w:lineRule="auto"/>
              <w:jc w:val="center"/>
              <w:rPr>
                <w:rFonts w:eastAsia="Times New Roman" w:cstheme="minorHAnsi"/>
                <w:sz w:val="24"/>
                <w:szCs w:val="24"/>
                <w:lang w:val="en-GB" w:eastAsia="en-GB"/>
              </w:rPr>
            </w:pPr>
          </w:p>
        </w:tc>
      </w:tr>
      <w:tr w:rsidR="002E72CF" w:rsidRPr="002E72CF" w14:paraId="0A04C7FB" w14:textId="77777777" w:rsidTr="00FE2D6B">
        <w:trPr>
          <w:trHeight w:val="360"/>
        </w:trPr>
        <w:tc>
          <w:tcPr>
            <w:tcW w:w="3261" w:type="dxa"/>
            <w:tcBorders>
              <w:top w:val="nil"/>
              <w:left w:val="nil"/>
              <w:bottom w:val="nil"/>
              <w:right w:val="nil"/>
            </w:tcBorders>
            <w:shd w:val="clear" w:color="auto" w:fill="auto"/>
            <w:vAlign w:val="bottom"/>
            <w:hideMark/>
          </w:tcPr>
          <w:p w14:paraId="1750C2FE" w14:textId="77777777" w:rsidR="002E72CF" w:rsidRPr="002E72CF" w:rsidRDefault="002E72CF" w:rsidP="002E72CF">
            <w:pPr>
              <w:spacing w:after="0" w:line="240" w:lineRule="auto"/>
              <w:rPr>
                <w:rFonts w:eastAsia="Times New Roman" w:cstheme="minorHAnsi"/>
                <w:sz w:val="24"/>
                <w:szCs w:val="24"/>
                <w:lang w:val="en-GB" w:eastAsia="en-GB"/>
              </w:rPr>
            </w:pPr>
            <w:r w:rsidRPr="002E72CF">
              <w:rPr>
                <w:rFonts w:eastAsia="Times New Roman" w:cstheme="minorHAnsi"/>
                <w:i/>
                <w:iCs/>
                <w:sz w:val="24"/>
                <w:szCs w:val="24"/>
                <w:lang w:val="en-GB" w:eastAsia="en-GB"/>
              </w:rPr>
              <w:t>CYP2B6</w:t>
            </w:r>
            <w:r w:rsidRPr="002E72CF">
              <w:rPr>
                <w:rFonts w:eastAsia="Times New Roman" w:cstheme="minorHAnsi"/>
                <w:sz w:val="24"/>
                <w:szCs w:val="24"/>
                <w:lang w:val="en-GB" w:eastAsia="en-GB"/>
              </w:rPr>
              <w:t xml:space="preserve"> c.516G&gt;T</w:t>
            </w:r>
          </w:p>
        </w:tc>
        <w:tc>
          <w:tcPr>
            <w:tcW w:w="2268" w:type="dxa"/>
            <w:tcBorders>
              <w:top w:val="nil"/>
              <w:left w:val="nil"/>
              <w:bottom w:val="nil"/>
              <w:right w:val="nil"/>
            </w:tcBorders>
            <w:shd w:val="clear" w:color="auto" w:fill="auto"/>
            <w:noWrap/>
            <w:vAlign w:val="bottom"/>
            <w:hideMark/>
          </w:tcPr>
          <w:p w14:paraId="10554BFD" w14:textId="77777777" w:rsidR="002E72CF" w:rsidRPr="002E72CF" w:rsidRDefault="002E72CF" w:rsidP="002E72CF">
            <w:pPr>
              <w:spacing w:after="0" w:line="240" w:lineRule="auto"/>
              <w:rPr>
                <w:rFonts w:eastAsia="Times New Roman" w:cstheme="minorHAnsi"/>
                <w:sz w:val="24"/>
                <w:szCs w:val="24"/>
                <w:lang w:val="en-GB" w:eastAsia="en-GB"/>
              </w:rPr>
            </w:pPr>
            <w:r w:rsidRPr="002E72CF">
              <w:rPr>
                <w:rFonts w:eastAsia="Times New Roman" w:cstheme="minorHAnsi"/>
                <w:sz w:val="24"/>
                <w:szCs w:val="24"/>
                <w:lang w:val="en-GB" w:eastAsia="en-GB"/>
              </w:rPr>
              <w:t>711 (298, 1124)</w:t>
            </w:r>
          </w:p>
        </w:tc>
        <w:tc>
          <w:tcPr>
            <w:tcW w:w="1984" w:type="dxa"/>
            <w:tcBorders>
              <w:top w:val="nil"/>
              <w:left w:val="nil"/>
              <w:bottom w:val="nil"/>
              <w:right w:val="nil"/>
            </w:tcBorders>
            <w:shd w:val="clear" w:color="auto" w:fill="auto"/>
            <w:noWrap/>
            <w:vAlign w:val="bottom"/>
            <w:hideMark/>
          </w:tcPr>
          <w:p w14:paraId="3350E7DA" w14:textId="77777777" w:rsidR="002E72CF" w:rsidRPr="002E72CF" w:rsidRDefault="002E72CF" w:rsidP="002E72CF">
            <w:pPr>
              <w:spacing w:after="0" w:line="240" w:lineRule="auto"/>
              <w:jc w:val="center"/>
              <w:rPr>
                <w:rFonts w:eastAsia="Times New Roman" w:cstheme="minorHAnsi"/>
                <w:sz w:val="24"/>
                <w:szCs w:val="24"/>
                <w:lang w:val="en-GB" w:eastAsia="en-GB"/>
              </w:rPr>
            </w:pPr>
            <w:r w:rsidRPr="002E72CF">
              <w:rPr>
                <w:rFonts w:eastAsia="Times New Roman" w:cstheme="minorHAnsi"/>
                <w:sz w:val="24"/>
                <w:szCs w:val="24"/>
                <w:lang w:val="en-GB" w:eastAsia="en-GB"/>
              </w:rPr>
              <w:t>0.005</w:t>
            </w:r>
          </w:p>
        </w:tc>
        <w:tc>
          <w:tcPr>
            <w:tcW w:w="2268" w:type="dxa"/>
            <w:tcBorders>
              <w:top w:val="nil"/>
              <w:left w:val="nil"/>
              <w:bottom w:val="nil"/>
              <w:right w:val="nil"/>
            </w:tcBorders>
            <w:shd w:val="clear" w:color="auto" w:fill="auto"/>
            <w:noWrap/>
            <w:vAlign w:val="bottom"/>
            <w:hideMark/>
          </w:tcPr>
          <w:p w14:paraId="41DB5FDA" w14:textId="77777777" w:rsidR="002E72CF" w:rsidRPr="002E72CF" w:rsidRDefault="002E72CF" w:rsidP="002E72CF">
            <w:pPr>
              <w:spacing w:after="0" w:line="240" w:lineRule="auto"/>
              <w:rPr>
                <w:rFonts w:eastAsia="Times New Roman" w:cstheme="minorHAnsi"/>
                <w:sz w:val="24"/>
                <w:szCs w:val="24"/>
                <w:lang w:val="en-GB" w:eastAsia="en-GB"/>
              </w:rPr>
            </w:pPr>
            <w:r w:rsidRPr="002E72CF">
              <w:rPr>
                <w:rFonts w:eastAsia="Times New Roman" w:cstheme="minorHAnsi"/>
                <w:sz w:val="24"/>
                <w:szCs w:val="24"/>
                <w:lang w:val="en-GB" w:eastAsia="en-GB"/>
              </w:rPr>
              <w:t>805 (414, 1197)</w:t>
            </w:r>
          </w:p>
        </w:tc>
        <w:tc>
          <w:tcPr>
            <w:tcW w:w="992" w:type="dxa"/>
            <w:tcBorders>
              <w:top w:val="nil"/>
              <w:left w:val="nil"/>
              <w:bottom w:val="nil"/>
              <w:right w:val="nil"/>
            </w:tcBorders>
            <w:shd w:val="clear" w:color="auto" w:fill="auto"/>
            <w:noWrap/>
            <w:vAlign w:val="bottom"/>
            <w:hideMark/>
          </w:tcPr>
          <w:p w14:paraId="17F8F6E1" w14:textId="77777777" w:rsidR="002E72CF" w:rsidRPr="002E72CF" w:rsidRDefault="002E72CF" w:rsidP="002E72CF">
            <w:pPr>
              <w:spacing w:after="0" w:line="240" w:lineRule="auto"/>
              <w:jc w:val="center"/>
              <w:rPr>
                <w:rFonts w:eastAsia="Times New Roman" w:cstheme="minorHAnsi"/>
                <w:sz w:val="24"/>
                <w:szCs w:val="24"/>
                <w:lang w:val="en-GB" w:eastAsia="en-GB"/>
              </w:rPr>
            </w:pPr>
            <w:r w:rsidRPr="002E72CF">
              <w:rPr>
                <w:rFonts w:eastAsia="Times New Roman" w:cstheme="minorHAnsi"/>
                <w:sz w:val="24"/>
                <w:szCs w:val="24"/>
                <w:lang w:val="en-GB" w:eastAsia="en-GB"/>
              </w:rPr>
              <w:t>0.001</w:t>
            </w:r>
          </w:p>
        </w:tc>
        <w:tc>
          <w:tcPr>
            <w:tcW w:w="993" w:type="dxa"/>
            <w:tcBorders>
              <w:top w:val="nil"/>
              <w:left w:val="nil"/>
              <w:bottom w:val="nil"/>
              <w:right w:val="nil"/>
            </w:tcBorders>
            <w:shd w:val="clear" w:color="auto" w:fill="auto"/>
            <w:noWrap/>
            <w:vAlign w:val="bottom"/>
            <w:hideMark/>
          </w:tcPr>
          <w:p w14:paraId="4523D08F" w14:textId="77777777" w:rsidR="002E72CF" w:rsidRPr="002E72CF" w:rsidRDefault="002E72CF" w:rsidP="002E72CF">
            <w:pPr>
              <w:spacing w:after="0" w:line="240" w:lineRule="auto"/>
              <w:jc w:val="center"/>
              <w:rPr>
                <w:rFonts w:eastAsia="Times New Roman" w:cstheme="minorHAnsi"/>
                <w:sz w:val="24"/>
                <w:szCs w:val="24"/>
                <w:lang w:val="en-GB" w:eastAsia="en-GB"/>
              </w:rPr>
            </w:pPr>
            <w:r w:rsidRPr="002E72CF">
              <w:rPr>
                <w:rFonts w:eastAsia="Times New Roman" w:cstheme="minorHAnsi"/>
                <w:sz w:val="24"/>
                <w:szCs w:val="24"/>
                <w:lang w:val="en-GB" w:eastAsia="en-GB"/>
              </w:rPr>
              <w:t>0.014*</w:t>
            </w:r>
          </w:p>
        </w:tc>
      </w:tr>
      <w:tr w:rsidR="002E72CF" w:rsidRPr="002E72CF" w14:paraId="75D032B8" w14:textId="77777777" w:rsidTr="00FE2D6B">
        <w:trPr>
          <w:trHeight w:val="360"/>
        </w:trPr>
        <w:tc>
          <w:tcPr>
            <w:tcW w:w="3261" w:type="dxa"/>
            <w:tcBorders>
              <w:top w:val="nil"/>
              <w:left w:val="nil"/>
              <w:bottom w:val="nil"/>
              <w:right w:val="nil"/>
            </w:tcBorders>
            <w:shd w:val="clear" w:color="auto" w:fill="auto"/>
            <w:noWrap/>
            <w:vAlign w:val="bottom"/>
            <w:hideMark/>
          </w:tcPr>
          <w:p w14:paraId="7478AD57" w14:textId="77777777" w:rsidR="002E72CF" w:rsidRPr="002E72CF" w:rsidRDefault="002E72CF" w:rsidP="002E72CF">
            <w:pPr>
              <w:spacing w:after="0" w:line="240" w:lineRule="auto"/>
              <w:rPr>
                <w:rFonts w:eastAsia="Times New Roman" w:cstheme="minorHAnsi"/>
                <w:sz w:val="24"/>
                <w:szCs w:val="24"/>
                <w:lang w:val="en-GB" w:eastAsia="en-GB"/>
              </w:rPr>
            </w:pPr>
            <w:r w:rsidRPr="002E72CF">
              <w:rPr>
                <w:rFonts w:eastAsia="Times New Roman" w:cstheme="minorHAnsi"/>
                <w:i/>
                <w:iCs/>
                <w:sz w:val="24"/>
                <w:szCs w:val="24"/>
                <w:lang w:val="en-GB" w:eastAsia="en-GB"/>
              </w:rPr>
              <w:t>CYP2B6</w:t>
            </w:r>
            <w:r w:rsidRPr="002E72CF">
              <w:rPr>
                <w:rFonts w:eastAsia="Times New Roman" w:cstheme="minorHAnsi"/>
                <w:sz w:val="24"/>
                <w:szCs w:val="24"/>
                <w:lang w:val="en-GB" w:eastAsia="en-GB"/>
              </w:rPr>
              <w:t xml:space="preserve"> c.785A&gt;G</w:t>
            </w:r>
          </w:p>
        </w:tc>
        <w:tc>
          <w:tcPr>
            <w:tcW w:w="2268" w:type="dxa"/>
            <w:tcBorders>
              <w:top w:val="nil"/>
              <w:left w:val="nil"/>
              <w:bottom w:val="nil"/>
              <w:right w:val="nil"/>
            </w:tcBorders>
            <w:shd w:val="clear" w:color="auto" w:fill="auto"/>
            <w:noWrap/>
            <w:vAlign w:val="bottom"/>
            <w:hideMark/>
          </w:tcPr>
          <w:p w14:paraId="549ED58B" w14:textId="77777777" w:rsidR="002E72CF" w:rsidRPr="002E72CF" w:rsidRDefault="002E72CF" w:rsidP="002E72CF">
            <w:pPr>
              <w:spacing w:after="0" w:line="240" w:lineRule="auto"/>
              <w:rPr>
                <w:rFonts w:eastAsia="Times New Roman" w:cstheme="minorHAnsi"/>
                <w:sz w:val="24"/>
                <w:szCs w:val="24"/>
                <w:lang w:val="en-GB" w:eastAsia="en-GB"/>
              </w:rPr>
            </w:pPr>
            <w:r w:rsidRPr="002E72CF">
              <w:rPr>
                <w:rFonts w:eastAsia="Times New Roman" w:cstheme="minorHAnsi"/>
                <w:sz w:val="24"/>
                <w:szCs w:val="24"/>
                <w:lang w:val="en-GB" w:eastAsia="en-GB"/>
              </w:rPr>
              <w:t>656 (237, 1076)</w:t>
            </w:r>
          </w:p>
        </w:tc>
        <w:tc>
          <w:tcPr>
            <w:tcW w:w="1984" w:type="dxa"/>
            <w:tcBorders>
              <w:top w:val="nil"/>
              <w:left w:val="nil"/>
              <w:bottom w:val="nil"/>
              <w:right w:val="nil"/>
            </w:tcBorders>
            <w:shd w:val="clear" w:color="auto" w:fill="auto"/>
            <w:noWrap/>
            <w:vAlign w:val="bottom"/>
            <w:hideMark/>
          </w:tcPr>
          <w:p w14:paraId="6C7327E9" w14:textId="77777777" w:rsidR="002E72CF" w:rsidRPr="002E72CF" w:rsidRDefault="002E72CF" w:rsidP="002E72CF">
            <w:pPr>
              <w:spacing w:after="0" w:line="240" w:lineRule="auto"/>
              <w:jc w:val="center"/>
              <w:rPr>
                <w:rFonts w:eastAsia="Times New Roman" w:cstheme="minorHAnsi"/>
                <w:sz w:val="24"/>
                <w:szCs w:val="24"/>
                <w:lang w:val="en-GB" w:eastAsia="en-GB"/>
              </w:rPr>
            </w:pPr>
            <w:r w:rsidRPr="002E72CF">
              <w:rPr>
                <w:rFonts w:eastAsia="Times New Roman" w:cstheme="minorHAnsi"/>
                <w:sz w:val="24"/>
                <w:szCs w:val="24"/>
                <w:lang w:val="en-GB" w:eastAsia="en-GB"/>
              </w:rPr>
              <w:t>0.011</w:t>
            </w:r>
          </w:p>
        </w:tc>
        <w:tc>
          <w:tcPr>
            <w:tcW w:w="2268" w:type="dxa"/>
            <w:tcBorders>
              <w:top w:val="nil"/>
              <w:left w:val="nil"/>
              <w:bottom w:val="nil"/>
              <w:right w:val="nil"/>
            </w:tcBorders>
            <w:shd w:val="clear" w:color="auto" w:fill="auto"/>
            <w:noWrap/>
            <w:vAlign w:val="bottom"/>
            <w:hideMark/>
          </w:tcPr>
          <w:p w14:paraId="18CEFD7F" w14:textId="77777777" w:rsidR="002E72CF" w:rsidRPr="002E72CF" w:rsidRDefault="002E72CF" w:rsidP="002E72CF">
            <w:pPr>
              <w:spacing w:after="0" w:line="240" w:lineRule="auto"/>
              <w:rPr>
                <w:rFonts w:eastAsia="Times New Roman" w:cstheme="minorHAnsi"/>
                <w:sz w:val="24"/>
                <w:szCs w:val="24"/>
                <w:lang w:val="en-GB" w:eastAsia="en-GB"/>
              </w:rPr>
            </w:pPr>
          </w:p>
        </w:tc>
        <w:tc>
          <w:tcPr>
            <w:tcW w:w="992" w:type="dxa"/>
            <w:tcBorders>
              <w:top w:val="nil"/>
              <w:left w:val="nil"/>
              <w:bottom w:val="nil"/>
              <w:right w:val="nil"/>
            </w:tcBorders>
            <w:shd w:val="clear" w:color="auto" w:fill="auto"/>
            <w:noWrap/>
            <w:vAlign w:val="bottom"/>
            <w:hideMark/>
          </w:tcPr>
          <w:p w14:paraId="57DFC1AF" w14:textId="77777777" w:rsidR="002E72CF" w:rsidRPr="002E72CF" w:rsidRDefault="002E72CF" w:rsidP="002E72CF">
            <w:pPr>
              <w:spacing w:after="0" w:line="240" w:lineRule="auto"/>
              <w:jc w:val="center"/>
              <w:rPr>
                <w:rFonts w:eastAsia="Times New Roman" w:cstheme="minorHAnsi"/>
                <w:sz w:val="24"/>
                <w:szCs w:val="24"/>
                <w:lang w:val="en-GB" w:eastAsia="en-GB"/>
              </w:rPr>
            </w:pPr>
          </w:p>
        </w:tc>
        <w:tc>
          <w:tcPr>
            <w:tcW w:w="993" w:type="dxa"/>
            <w:tcBorders>
              <w:top w:val="nil"/>
              <w:left w:val="nil"/>
              <w:bottom w:val="nil"/>
              <w:right w:val="nil"/>
            </w:tcBorders>
            <w:shd w:val="clear" w:color="auto" w:fill="auto"/>
            <w:noWrap/>
            <w:vAlign w:val="bottom"/>
            <w:hideMark/>
          </w:tcPr>
          <w:p w14:paraId="3E163A87" w14:textId="77777777" w:rsidR="002E72CF" w:rsidRPr="002E72CF" w:rsidRDefault="002E72CF" w:rsidP="002E72CF">
            <w:pPr>
              <w:spacing w:after="0" w:line="240" w:lineRule="auto"/>
              <w:jc w:val="center"/>
              <w:rPr>
                <w:rFonts w:eastAsia="Times New Roman" w:cstheme="minorHAnsi"/>
                <w:sz w:val="24"/>
                <w:szCs w:val="24"/>
                <w:lang w:val="en-GB" w:eastAsia="en-GB"/>
              </w:rPr>
            </w:pPr>
          </w:p>
        </w:tc>
      </w:tr>
      <w:tr w:rsidR="002E72CF" w:rsidRPr="002E72CF" w14:paraId="2B8EE018" w14:textId="77777777" w:rsidTr="00FE2D6B">
        <w:trPr>
          <w:trHeight w:val="360"/>
        </w:trPr>
        <w:tc>
          <w:tcPr>
            <w:tcW w:w="3261" w:type="dxa"/>
            <w:tcBorders>
              <w:top w:val="nil"/>
              <w:left w:val="nil"/>
              <w:bottom w:val="nil"/>
              <w:right w:val="nil"/>
            </w:tcBorders>
            <w:shd w:val="clear" w:color="auto" w:fill="auto"/>
            <w:noWrap/>
            <w:vAlign w:val="bottom"/>
            <w:hideMark/>
          </w:tcPr>
          <w:p w14:paraId="4F36A957" w14:textId="77777777" w:rsidR="002E72CF" w:rsidRPr="002E72CF" w:rsidRDefault="002E72CF" w:rsidP="002E72CF">
            <w:pPr>
              <w:spacing w:after="0" w:line="240" w:lineRule="auto"/>
              <w:rPr>
                <w:rFonts w:eastAsia="Times New Roman" w:cstheme="minorHAnsi"/>
                <w:sz w:val="24"/>
                <w:szCs w:val="24"/>
                <w:lang w:val="en-GB" w:eastAsia="en-GB"/>
              </w:rPr>
            </w:pPr>
            <w:r w:rsidRPr="002E72CF">
              <w:rPr>
                <w:rFonts w:eastAsia="Times New Roman" w:cstheme="minorHAnsi"/>
                <w:i/>
                <w:iCs/>
                <w:sz w:val="24"/>
                <w:szCs w:val="24"/>
                <w:lang w:val="en-GB" w:eastAsia="en-GB"/>
              </w:rPr>
              <w:t>CYP2B6</w:t>
            </w:r>
            <w:r w:rsidRPr="002E72CF">
              <w:rPr>
                <w:rFonts w:eastAsia="Times New Roman" w:cstheme="minorHAnsi"/>
                <w:sz w:val="24"/>
                <w:szCs w:val="24"/>
                <w:lang w:val="en-GB" w:eastAsia="en-GB"/>
              </w:rPr>
              <w:t xml:space="preserve"> c.983T&gt;C</w:t>
            </w:r>
          </w:p>
        </w:tc>
        <w:tc>
          <w:tcPr>
            <w:tcW w:w="2268" w:type="dxa"/>
            <w:tcBorders>
              <w:top w:val="nil"/>
              <w:left w:val="nil"/>
              <w:bottom w:val="nil"/>
              <w:right w:val="nil"/>
            </w:tcBorders>
            <w:shd w:val="clear" w:color="auto" w:fill="auto"/>
            <w:noWrap/>
            <w:vAlign w:val="bottom"/>
            <w:hideMark/>
          </w:tcPr>
          <w:p w14:paraId="7F0B490A" w14:textId="77777777" w:rsidR="002E72CF" w:rsidRPr="002E72CF" w:rsidRDefault="002E72CF" w:rsidP="002E72CF">
            <w:pPr>
              <w:spacing w:after="0" w:line="240" w:lineRule="auto"/>
              <w:rPr>
                <w:rFonts w:eastAsia="Times New Roman" w:cstheme="minorHAnsi"/>
                <w:sz w:val="24"/>
                <w:szCs w:val="24"/>
                <w:lang w:val="en-GB" w:eastAsia="en-GB"/>
              </w:rPr>
            </w:pPr>
            <w:r w:rsidRPr="002E72CF">
              <w:rPr>
                <w:rFonts w:eastAsia="Times New Roman" w:cstheme="minorHAnsi"/>
                <w:sz w:val="24"/>
                <w:szCs w:val="24"/>
                <w:lang w:val="en-GB" w:eastAsia="en-GB"/>
              </w:rPr>
              <w:t>1179 (346, 2012)</w:t>
            </w:r>
          </w:p>
        </w:tc>
        <w:tc>
          <w:tcPr>
            <w:tcW w:w="1984" w:type="dxa"/>
            <w:tcBorders>
              <w:top w:val="nil"/>
              <w:left w:val="nil"/>
              <w:bottom w:val="nil"/>
              <w:right w:val="nil"/>
            </w:tcBorders>
            <w:shd w:val="clear" w:color="auto" w:fill="auto"/>
            <w:noWrap/>
            <w:vAlign w:val="bottom"/>
            <w:hideMark/>
          </w:tcPr>
          <w:p w14:paraId="6EFE0E0C" w14:textId="77777777" w:rsidR="002E72CF" w:rsidRPr="002E72CF" w:rsidRDefault="002E72CF" w:rsidP="002E72CF">
            <w:pPr>
              <w:spacing w:after="0" w:line="240" w:lineRule="auto"/>
              <w:jc w:val="center"/>
              <w:rPr>
                <w:rFonts w:eastAsia="Times New Roman" w:cstheme="minorHAnsi"/>
                <w:sz w:val="24"/>
                <w:szCs w:val="24"/>
                <w:lang w:val="en-GB" w:eastAsia="en-GB"/>
              </w:rPr>
            </w:pPr>
            <w:r w:rsidRPr="002E72CF">
              <w:rPr>
                <w:rFonts w:eastAsia="Times New Roman" w:cstheme="minorHAnsi"/>
                <w:sz w:val="24"/>
                <w:szCs w:val="24"/>
                <w:lang w:val="en-GB" w:eastAsia="en-GB"/>
              </w:rPr>
              <w:t>0.020</w:t>
            </w:r>
          </w:p>
        </w:tc>
        <w:tc>
          <w:tcPr>
            <w:tcW w:w="2268" w:type="dxa"/>
            <w:tcBorders>
              <w:top w:val="nil"/>
              <w:left w:val="nil"/>
              <w:bottom w:val="nil"/>
              <w:right w:val="nil"/>
            </w:tcBorders>
            <w:shd w:val="clear" w:color="auto" w:fill="auto"/>
            <w:noWrap/>
            <w:vAlign w:val="bottom"/>
            <w:hideMark/>
          </w:tcPr>
          <w:p w14:paraId="236DE7A9" w14:textId="77777777" w:rsidR="002E72CF" w:rsidRPr="002E72CF" w:rsidRDefault="002E72CF" w:rsidP="002E72CF">
            <w:pPr>
              <w:spacing w:after="0" w:line="240" w:lineRule="auto"/>
              <w:rPr>
                <w:rFonts w:eastAsia="Times New Roman" w:cstheme="minorHAnsi"/>
                <w:sz w:val="24"/>
                <w:szCs w:val="24"/>
                <w:lang w:val="en-GB" w:eastAsia="en-GB"/>
              </w:rPr>
            </w:pPr>
            <w:r w:rsidRPr="002E72CF">
              <w:rPr>
                <w:rFonts w:eastAsia="Times New Roman" w:cstheme="minorHAnsi"/>
                <w:sz w:val="24"/>
                <w:szCs w:val="24"/>
                <w:lang w:val="en-GB" w:eastAsia="en-GB"/>
              </w:rPr>
              <w:t>1459 (675, 2243)</w:t>
            </w:r>
          </w:p>
        </w:tc>
        <w:tc>
          <w:tcPr>
            <w:tcW w:w="992" w:type="dxa"/>
            <w:tcBorders>
              <w:top w:val="nil"/>
              <w:left w:val="nil"/>
              <w:bottom w:val="nil"/>
              <w:right w:val="nil"/>
            </w:tcBorders>
            <w:shd w:val="clear" w:color="auto" w:fill="auto"/>
            <w:noWrap/>
            <w:vAlign w:val="bottom"/>
            <w:hideMark/>
          </w:tcPr>
          <w:p w14:paraId="4A5CF744" w14:textId="77777777" w:rsidR="002E72CF" w:rsidRPr="002E72CF" w:rsidRDefault="002E72CF" w:rsidP="002E72CF">
            <w:pPr>
              <w:spacing w:after="0" w:line="240" w:lineRule="auto"/>
              <w:jc w:val="center"/>
              <w:rPr>
                <w:rFonts w:eastAsia="Times New Roman" w:cstheme="minorHAnsi"/>
                <w:sz w:val="24"/>
                <w:szCs w:val="24"/>
                <w:lang w:val="en-GB" w:eastAsia="en-GB"/>
              </w:rPr>
            </w:pPr>
            <w:r w:rsidRPr="002E72CF">
              <w:rPr>
                <w:rFonts w:eastAsia="Times New Roman" w:cstheme="minorHAnsi"/>
                <w:sz w:val="24"/>
                <w:szCs w:val="24"/>
                <w:lang w:val="en-GB" w:eastAsia="en-GB"/>
              </w:rPr>
              <w:t>0.002</w:t>
            </w:r>
          </w:p>
        </w:tc>
        <w:tc>
          <w:tcPr>
            <w:tcW w:w="993" w:type="dxa"/>
            <w:tcBorders>
              <w:top w:val="nil"/>
              <w:left w:val="nil"/>
              <w:bottom w:val="nil"/>
              <w:right w:val="nil"/>
            </w:tcBorders>
            <w:shd w:val="clear" w:color="auto" w:fill="auto"/>
            <w:noWrap/>
            <w:vAlign w:val="bottom"/>
            <w:hideMark/>
          </w:tcPr>
          <w:p w14:paraId="6B86C05F" w14:textId="77777777" w:rsidR="002E72CF" w:rsidRPr="002E72CF" w:rsidRDefault="002E72CF" w:rsidP="002E72CF">
            <w:pPr>
              <w:spacing w:after="0" w:line="240" w:lineRule="auto"/>
              <w:jc w:val="center"/>
              <w:rPr>
                <w:rFonts w:eastAsia="Times New Roman" w:cstheme="minorHAnsi"/>
                <w:sz w:val="24"/>
                <w:szCs w:val="24"/>
                <w:lang w:val="en-GB" w:eastAsia="en-GB"/>
              </w:rPr>
            </w:pPr>
            <w:r w:rsidRPr="002E72CF">
              <w:rPr>
                <w:rFonts w:eastAsia="Times New Roman" w:cstheme="minorHAnsi"/>
                <w:sz w:val="24"/>
                <w:szCs w:val="24"/>
                <w:lang w:val="en-GB" w:eastAsia="en-GB"/>
              </w:rPr>
              <w:t>0.028*</w:t>
            </w:r>
          </w:p>
        </w:tc>
      </w:tr>
      <w:tr w:rsidR="002E72CF" w:rsidRPr="002E72CF" w14:paraId="30DAF8E5" w14:textId="77777777" w:rsidTr="00FE2D6B">
        <w:trPr>
          <w:trHeight w:val="360"/>
        </w:trPr>
        <w:tc>
          <w:tcPr>
            <w:tcW w:w="3261" w:type="dxa"/>
            <w:tcBorders>
              <w:top w:val="nil"/>
              <w:left w:val="nil"/>
              <w:bottom w:val="nil"/>
              <w:right w:val="nil"/>
            </w:tcBorders>
            <w:shd w:val="clear" w:color="auto" w:fill="auto"/>
            <w:noWrap/>
            <w:vAlign w:val="bottom"/>
            <w:hideMark/>
          </w:tcPr>
          <w:p w14:paraId="2337BBA2" w14:textId="77777777" w:rsidR="002E72CF" w:rsidRPr="002E72CF" w:rsidRDefault="002E72CF" w:rsidP="002E72CF">
            <w:pPr>
              <w:spacing w:after="0" w:line="240" w:lineRule="auto"/>
              <w:rPr>
                <w:rFonts w:eastAsia="Times New Roman" w:cstheme="minorHAnsi"/>
                <w:sz w:val="24"/>
                <w:szCs w:val="24"/>
                <w:lang w:val="en-GB" w:eastAsia="en-GB"/>
              </w:rPr>
            </w:pPr>
            <w:r w:rsidRPr="002E72CF">
              <w:rPr>
                <w:rFonts w:eastAsia="Times New Roman" w:cstheme="minorHAnsi"/>
                <w:i/>
                <w:iCs/>
                <w:sz w:val="24"/>
                <w:szCs w:val="24"/>
                <w:lang w:val="en-GB" w:eastAsia="en-GB"/>
              </w:rPr>
              <w:t>CYP3A4</w:t>
            </w:r>
            <w:r w:rsidRPr="002E72CF">
              <w:rPr>
                <w:rFonts w:eastAsia="Times New Roman" w:cstheme="minorHAnsi"/>
                <w:sz w:val="24"/>
                <w:szCs w:val="24"/>
                <w:lang w:val="en-GB" w:eastAsia="en-GB"/>
              </w:rPr>
              <w:t xml:space="preserve"> c.522-191C&gt;T</w:t>
            </w:r>
          </w:p>
        </w:tc>
        <w:tc>
          <w:tcPr>
            <w:tcW w:w="2268" w:type="dxa"/>
            <w:tcBorders>
              <w:top w:val="nil"/>
              <w:left w:val="nil"/>
              <w:bottom w:val="nil"/>
              <w:right w:val="nil"/>
            </w:tcBorders>
            <w:shd w:val="clear" w:color="auto" w:fill="auto"/>
            <w:noWrap/>
            <w:vAlign w:val="bottom"/>
            <w:hideMark/>
          </w:tcPr>
          <w:p w14:paraId="2C25F132" w14:textId="77777777" w:rsidR="002E72CF" w:rsidRPr="002E72CF" w:rsidRDefault="002E72CF" w:rsidP="002E72CF">
            <w:pPr>
              <w:spacing w:after="0" w:line="240" w:lineRule="auto"/>
              <w:rPr>
                <w:rFonts w:eastAsia="Times New Roman" w:cstheme="minorHAnsi"/>
                <w:sz w:val="24"/>
                <w:szCs w:val="24"/>
                <w:lang w:val="en-GB" w:eastAsia="en-GB"/>
              </w:rPr>
            </w:pPr>
            <w:r w:rsidRPr="002E72CF">
              <w:rPr>
                <w:rFonts w:eastAsia="Times New Roman" w:cstheme="minorHAnsi"/>
                <w:sz w:val="24"/>
                <w:szCs w:val="24"/>
                <w:lang w:val="en-GB" w:eastAsia="en-GB"/>
              </w:rPr>
              <w:t>-237 (-2094, 1621)</w:t>
            </w:r>
          </w:p>
        </w:tc>
        <w:tc>
          <w:tcPr>
            <w:tcW w:w="1984" w:type="dxa"/>
            <w:tcBorders>
              <w:top w:val="nil"/>
              <w:left w:val="nil"/>
              <w:bottom w:val="nil"/>
              <w:right w:val="nil"/>
            </w:tcBorders>
            <w:shd w:val="clear" w:color="auto" w:fill="auto"/>
            <w:noWrap/>
            <w:vAlign w:val="bottom"/>
            <w:hideMark/>
          </w:tcPr>
          <w:p w14:paraId="46A2DF9C" w14:textId="77777777" w:rsidR="002E72CF" w:rsidRPr="002E72CF" w:rsidRDefault="002E72CF" w:rsidP="002E72CF">
            <w:pPr>
              <w:spacing w:after="0" w:line="240" w:lineRule="auto"/>
              <w:jc w:val="center"/>
              <w:rPr>
                <w:rFonts w:eastAsia="Times New Roman" w:cstheme="minorHAnsi"/>
                <w:sz w:val="24"/>
                <w:szCs w:val="24"/>
                <w:lang w:val="en-GB" w:eastAsia="en-GB"/>
              </w:rPr>
            </w:pPr>
            <w:r w:rsidRPr="002E72CF">
              <w:rPr>
                <w:rFonts w:eastAsia="Times New Roman" w:cstheme="minorHAnsi"/>
                <w:sz w:val="24"/>
                <w:szCs w:val="24"/>
                <w:lang w:val="en-GB" w:eastAsia="en-GB"/>
              </w:rPr>
              <w:t>0.833</w:t>
            </w:r>
          </w:p>
        </w:tc>
        <w:tc>
          <w:tcPr>
            <w:tcW w:w="2268" w:type="dxa"/>
            <w:tcBorders>
              <w:top w:val="nil"/>
              <w:left w:val="nil"/>
              <w:bottom w:val="nil"/>
              <w:right w:val="nil"/>
            </w:tcBorders>
            <w:shd w:val="clear" w:color="auto" w:fill="auto"/>
            <w:noWrap/>
            <w:vAlign w:val="bottom"/>
            <w:hideMark/>
          </w:tcPr>
          <w:p w14:paraId="71693258" w14:textId="77777777" w:rsidR="002E72CF" w:rsidRPr="002E72CF" w:rsidRDefault="002E72CF" w:rsidP="002E72CF">
            <w:pPr>
              <w:spacing w:after="0" w:line="240" w:lineRule="auto"/>
              <w:rPr>
                <w:rFonts w:eastAsia="Times New Roman" w:cstheme="minorHAnsi"/>
                <w:sz w:val="24"/>
                <w:szCs w:val="24"/>
                <w:lang w:val="en-GB" w:eastAsia="en-GB"/>
              </w:rPr>
            </w:pPr>
          </w:p>
        </w:tc>
        <w:tc>
          <w:tcPr>
            <w:tcW w:w="992" w:type="dxa"/>
            <w:tcBorders>
              <w:top w:val="nil"/>
              <w:left w:val="nil"/>
              <w:bottom w:val="nil"/>
              <w:right w:val="nil"/>
            </w:tcBorders>
            <w:shd w:val="clear" w:color="auto" w:fill="auto"/>
            <w:noWrap/>
            <w:vAlign w:val="bottom"/>
            <w:hideMark/>
          </w:tcPr>
          <w:p w14:paraId="6BBD4F87" w14:textId="77777777" w:rsidR="002E72CF" w:rsidRPr="002E72CF" w:rsidRDefault="002E72CF" w:rsidP="002E72CF">
            <w:pPr>
              <w:spacing w:after="0" w:line="240" w:lineRule="auto"/>
              <w:jc w:val="center"/>
              <w:rPr>
                <w:rFonts w:eastAsia="Times New Roman" w:cstheme="minorHAnsi"/>
                <w:sz w:val="24"/>
                <w:szCs w:val="24"/>
                <w:lang w:val="en-GB" w:eastAsia="en-GB"/>
              </w:rPr>
            </w:pPr>
          </w:p>
        </w:tc>
        <w:tc>
          <w:tcPr>
            <w:tcW w:w="993" w:type="dxa"/>
            <w:tcBorders>
              <w:top w:val="nil"/>
              <w:left w:val="nil"/>
              <w:bottom w:val="nil"/>
              <w:right w:val="nil"/>
            </w:tcBorders>
            <w:shd w:val="clear" w:color="auto" w:fill="auto"/>
            <w:noWrap/>
            <w:vAlign w:val="bottom"/>
            <w:hideMark/>
          </w:tcPr>
          <w:p w14:paraId="58A0EE18" w14:textId="77777777" w:rsidR="002E72CF" w:rsidRPr="002E72CF" w:rsidRDefault="002E72CF" w:rsidP="002E72CF">
            <w:pPr>
              <w:spacing w:after="0" w:line="240" w:lineRule="auto"/>
              <w:jc w:val="center"/>
              <w:rPr>
                <w:rFonts w:eastAsia="Times New Roman" w:cstheme="minorHAnsi"/>
                <w:sz w:val="24"/>
                <w:szCs w:val="24"/>
                <w:lang w:val="en-GB" w:eastAsia="en-GB"/>
              </w:rPr>
            </w:pPr>
          </w:p>
        </w:tc>
      </w:tr>
      <w:tr w:rsidR="002E72CF" w:rsidRPr="002E72CF" w14:paraId="053D4F76" w14:textId="77777777" w:rsidTr="00FE2D6B">
        <w:trPr>
          <w:trHeight w:val="360"/>
        </w:trPr>
        <w:tc>
          <w:tcPr>
            <w:tcW w:w="3261" w:type="dxa"/>
            <w:tcBorders>
              <w:top w:val="nil"/>
              <w:left w:val="nil"/>
              <w:bottom w:val="nil"/>
              <w:right w:val="nil"/>
            </w:tcBorders>
            <w:shd w:val="clear" w:color="auto" w:fill="auto"/>
            <w:noWrap/>
            <w:vAlign w:val="bottom"/>
            <w:hideMark/>
          </w:tcPr>
          <w:p w14:paraId="5B8B2B6D" w14:textId="77777777" w:rsidR="002E72CF" w:rsidRPr="002E72CF" w:rsidRDefault="002E72CF" w:rsidP="002E72CF">
            <w:pPr>
              <w:spacing w:after="0" w:line="240" w:lineRule="auto"/>
              <w:rPr>
                <w:rFonts w:eastAsia="Times New Roman" w:cstheme="minorHAnsi"/>
                <w:sz w:val="24"/>
                <w:szCs w:val="24"/>
                <w:lang w:val="en-GB" w:eastAsia="en-GB"/>
              </w:rPr>
            </w:pPr>
            <w:r w:rsidRPr="002E72CF">
              <w:rPr>
                <w:rFonts w:eastAsia="Times New Roman" w:cstheme="minorHAnsi"/>
                <w:i/>
                <w:iCs/>
                <w:sz w:val="24"/>
                <w:szCs w:val="24"/>
                <w:lang w:val="en-GB" w:eastAsia="en-GB"/>
              </w:rPr>
              <w:t>CYP3A5</w:t>
            </w:r>
            <w:r w:rsidRPr="002E72CF">
              <w:rPr>
                <w:rFonts w:eastAsia="Times New Roman" w:cstheme="minorHAnsi"/>
                <w:sz w:val="24"/>
                <w:szCs w:val="24"/>
                <w:lang w:val="en-GB" w:eastAsia="en-GB"/>
              </w:rPr>
              <w:t xml:space="preserve"> c.6986A&gt;G</w:t>
            </w:r>
          </w:p>
        </w:tc>
        <w:tc>
          <w:tcPr>
            <w:tcW w:w="2268" w:type="dxa"/>
            <w:tcBorders>
              <w:top w:val="nil"/>
              <w:left w:val="nil"/>
              <w:bottom w:val="nil"/>
              <w:right w:val="nil"/>
            </w:tcBorders>
            <w:shd w:val="clear" w:color="auto" w:fill="auto"/>
            <w:noWrap/>
            <w:vAlign w:val="bottom"/>
            <w:hideMark/>
          </w:tcPr>
          <w:p w14:paraId="050DE452" w14:textId="77777777" w:rsidR="002E72CF" w:rsidRPr="002E72CF" w:rsidRDefault="002E72CF" w:rsidP="002E72CF">
            <w:pPr>
              <w:spacing w:after="0" w:line="240" w:lineRule="auto"/>
              <w:rPr>
                <w:rFonts w:eastAsia="Times New Roman" w:cstheme="minorHAnsi"/>
                <w:sz w:val="24"/>
                <w:szCs w:val="24"/>
                <w:lang w:val="en-GB" w:eastAsia="en-GB"/>
              </w:rPr>
            </w:pPr>
            <w:r w:rsidRPr="002E72CF">
              <w:rPr>
                <w:rFonts w:eastAsia="Times New Roman" w:cstheme="minorHAnsi"/>
                <w:sz w:val="24"/>
                <w:szCs w:val="24"/>
                <w:lang w:val="en-GB" w:eastAsia="en-GB"/>
              </w:rPr>
              <w:t>57 (-586, 700)</w:t>
            </w:r>
          </w:p>
        </w:tc>
        <w:tc>
          <w:tcPr>
            <w:tcW w:w="1984" w:type="dxa"/>
            <w:tcBorders>
              <w:top w:val="nil"/>
              <w:left w:val="nil"/>
              <w:bottom w:val="nil"/>
              <w:right w:val="nil"/>
            </w:tcBorders>
            <w:shd w:val="clear" w:color="auto" w:fill="auto"/>
            <w:noWrap/>
            <w:vAlign w:val="bottom"/>
            <w:hideMark/>
          </w:tcPr>
          <w:p w14:paraId="00FCCA9A" w14:textId="77777777" w:rsidR="002E72CF" w:rsidRPr="002E72CF" w:rsidRDefault="002E72CF" w:rsidP="002E72CF">
            <w:pPr>
              <w:spacing w:after="0" w:line="240" w:lineRule="auto"/>
              <w:jc w:val="center"/>
              <w:rPr>
                <w:rFonts w:eastAsia="Times New Roman" w:cstheme="minorHAnsi"/>
                <w:sz w:val="24"/>
                <w:szCs w:val="24"/>
                <w:lang w:val="en-GB" w:eastAsia="en-GB"/>
              </w:rPr>
            </w:pPr>
            <w:r w:rsidRPr="002E72CF">
              <w:rPr>
                <w:rFonts w:eastAsia="Times New Roman" w:cstheme="minorHAnsi"/>
                <w:sz w:val="24"/>
                <w:szCs w:val="24"/>
                <w:lang w:val="en-GB" w:eastAsia="en-GB"/>
              </w:rPr>
              <w:t>0.883</w:t>
            </w:r>
          </w:p>
        </w:tc>
        <w:tc>
          <w:tcPr>
            <w:tcW w:w="2268" w:type="dxa"/>
            <w:tcBorders>
              <w:top w:val="nil"/>
              <w:left w:val="nil"/>
              <w:bottom w:val="nil"/>
              <w:right w:val="nil"/>
            </w:tcBorders>
            <w:shd w:val="clear" w:color="auto" w:fill="auto"/>
            <w:noWrap/>
            <w:vAlign w:val="bottom"/>
            <w:hideMark/>
          </w:tcPr>
          <w:p w14:paraId="7CF51AE2" w14:textId="77777777" w:rsidR="002E72CF" w:rsidRPr="002E72CF" w:rsidRDefault="002E72CF" w:rsidP="002E72CF">
            <w:pPr>
              <w:spacing w:after="0" w:line="240" w:lineRule="auto"/>
              <w:rPr>
                <w:rFonts w:eastAsia="Times New Roman" w:cstheme="minorHAnsi"/>
                <w:sz w:val="24"/>
                <w:szCs w:val="24"/>
                <w:lang w:val="en-GB" w:eastAsia="en-GB"/>
              </w:rPr>
            </w:pPr>
          </w:p>
        </w:tc>
        <w:tc>
          <w:tcPr>
            <w:tcW w:w="992" w:type="dxa"/>
            <w:tcBorders>
              <w:top w:val="nil"/>
              <w:left w:val="nil"/>
              <w:bottom w:val="nil"/>
              <w:right w:val="nil"/>
            </w:tcBorders>
            <w:shd w:val="clear" w:color="auto" w:fill="auto"/>
            <w:noWrap/>
            <w:vAlign w:val="bottom"/>
            <w:hideMark/>
          </w:tcPr>
          <w:p w14:paraId="62153EFF" w14:textId="77777777" w:rsidR="002E72CF" w:rsidRPr="002E72CF" w:rsidRDefault="002E72CF" w:rsidP="002E72CF">
            <w:pPr>
              <w:spacing w:after="0" w:line="240" w:lineRule="auto"/>
              <w:jc w:val="center"/>
              <w:rPr>
                <w:rFonts w:eastAsia="Times New Roman" w:cstheme="minorHAnsi"/>
                <w:sz w:val="24"/>
                <w:szCs w:val="24"/>
                <w:lang w:val="en-GB" w:eastAsia="en-GB"/>
              </w:rPr>
            </w:pPr>
          </w:p>
        </w:tc>
        <w:tc>
          <w:tcPr>
            <w:tcW w:w="993" w:type="dxa"/>
            <w:tcBorders>
              <w:top w:val="nil"/>
              <w:left w:val="nil"/>
              <w:bottom w:val="nil"/>
              <w:right w:val="nil"/>
            </w:tcBorders>
            <w:shd w:val="clear" w:color="auto" w:fill="auto"/>
            <w:noWrap/>
            <w:vAlign w:val="bottom"/>
            <w:hideMark/>
          </w:tcPr>
          <w:p w14:paraId="641E9B6B" w14:textId="77777777" w:rsidR="002E72CF" w:rsidRPr="002E72CF" w:rsidRDefault="002E72CF" w:rsidP="002E72CF">
            <w:pPr>
              <w:spacing w:after="0" w:line="240" w:lineRule="auto"/>
              <w:jc w:val="center"/>
              <w:rPr>
                <w:rFonts w:eastAsia="Times New Roman" w:cstheme="minorHAnsi"/>
                <w:sz w:val="24"/>
                <w:szCs w:val="24"/>
                <w:lang w:val="en-GB" w:eastAsia="en-GB"/>
              </w:rPr>
            </w:pPr>
          </w:p>
        </w:tc>
      </w:tr>
      <w:tr w:rsidR="002E72CF" w:rsidRPr="002E72CF" w14:paraId="129E75C2" w14:textId="77777777" w:rsidTr="00FE2D6B">
        <w:trPr>
          <w:trHeight w:val="360"/>
        </w:trPr>
        <w:tc>
          <w:tcPr>
            <w:tcW w:w="3261" w:type="dxa"/>
            <w:tcBorders>
              <w:top w:val="nil"/>
              <w:left w:val="nil"/>
              <w:bottom w:val="nil"/>
              <w:right w:val="nil"/>
            </w:tcBorders>
            <w:shd w:val="clear" w:color="auto" w:fill="auto"/>
            <w:noWrap/>
            <w:vAlign w:val="bottom"/>
            <w:hideMark/>
          </w:tcPr>
          <w:p w14:paraId="1C1E1173" w14:textId="77777777" w:rsidR="002E72CF" w:rsidRPr="002E72CF" w:rsidRDefault="002E72CF" w:rsidP="002E72CF">
            <w:pPr>
              <w:spacing w:after="0" w:line="240" w:lineRule="auto"/>
              <w:rPr>
                <w:rFonts w:eastAsia="Times New Roman" w:cstheme="minorHAnsi"/>
                <w:sz w:val="24"/>
                <w:szCs w:val="24"/>
                <w:lang w:val="en-GB" w:eastAsia="en-GB"/>
              </w:rPr>
            </w:pPr>
            <w:r w:rsidRPr="002E72CF">
              <w:rPr>
                <w:rFonts w:eastAsia="Times New Roman" w:cstheme="minorHAnsi"/>
                <w:i/>
                <w:iCs/>
                <w:sz w:val="24"/>
                <w:szCs w:val="24"/>
                <w:lang w:val="en-GB" w:eastAsia="en-GB"/>
              </w:rPr>
              <w:t xml:space="preserve">POR </w:t>
            </w:r>
            <w:r w:rsidRPr="002E72CF">
              <w:rPr>
                <w:rFonts w:eastAsia="Times New Roman" w:cstheme="minorHAnsi"/>
                <w:sz w:val="24"/>
                <w:szCs w:val="24"/>
                <w:lang w:val="en-GB" w:eastAsia="en-GB"/>
              </w:rPr>
              <w:t>c.1508C&gt;T</w:t>
            </w:r>
          </w:p>
        </w:tc>
        <w:tc>
          <w:tcPr>
            <w:tcW w:w="2268" w:type="dxa"/>
            <w:tcBorders>
              <w:top w:val="nil"/>
              <w:left w:val="nil"/>
              <w:bottom w:val="nil"/>
              <w:right w:val="nil"/>
            </w:tcBorders>
            <w:shd w:val="clear" w:color="auto" w:fill="auto"/>
            <w:vAlign w:val="bottom"/>
            <w:hideMark/>
          </w:tcPr>
          <w:p w14:paraId="4890295E" w14:textId="77777777" w:rsidR="002E72CF" w:rsidRPr="002E72CF" w:rsidRDefault="002E72CF" w:rsidP="002E72CF">
            <w:pPr>
              <w:spacing w:after="0" w:line="240" w:lineRule="auto"/>
              <w:rPr>
                <w:rFonts w:eastAsia="Times New Roman" w:cstheme="minorHAnsi"/>
                <w:sz w:val="24"/>
                <w:szCs w:val="24"/>
                <w:lang w:val="en-GB" w:eastAsia="en-GB"/>
              </w:rPr>
            </w:pPr>
            <w:r w:rsidRPr="002E72CF">
              <w:rPr>
                <w:rFonts w:eastAsia="Times New Roman" w:cstheme="minorHAnsi"/>
                <w:sz w:val="24"/>
                <w:szCs w:val="24"/>
                <w:lang w:val="en-GB" w:eastAsia="en-GB"/>
              </w:rPr>
              <w:t>-213 (-866, 440)</w:t>
            </w:r>
          </w:p>
        </w:tc>
        <w:tc>
          <w:tcPr>
            <w:tcW w:w="1984" w:type="dxa"/>
            <w:tcBorders>
              <w:top w:val="nil"/>
              <w:left w:val="nil"/>
              <w:bottom w:val="nil"/>
              <w:right w:val="nil"/>
            </w:tcBorders>
            <w:shd w:val="clear" w:color="auto" w:fill="auto"/>
            <w:noWrap/>
            <w:vAlign w:val="bottom"/>
            <w:hideMark/>
          </w:tcPr>
          <w:p w14:paraId="5D8FC4A7" w14:textId="77777777" w:rsidR="002E72CF" w:rsidRPr="002E72CF" w:rsidRDefault="002E72CF" w:rsidP="002E72CF">
            <w:pPr>
              <w:spacing w:after="0" w:line="240" w:lineRule="auto"/>
              <w:jc w:val="center"/>
              <w:rPr>
                <w:rFonts w:eastAsia="Times New Roman" w:cstheme="minorHAnsi"/>
                <w:sz w:val="24"/>
                <w:szCs w:val="24"/>
                <w:lang w:val="en-GB" w:eastAsia="en-GB"/>
              </w:rPr>
            </w:pPr>
            <w:r w:rsidRPr="002E72CF">
              <w:rPr>
                <w:rFonts w:eastAsia="Times New Roman" w:cstheme="minorHAnsi"/>
                <w:sz w:val="24"/>
                <w:szCs w:val="24"/>
                <w:lang w:val="en-GB" w:eastAsia="en-GB"/>
              </w:rPr>
              <w:t>0.589</w:t>
            </w:r>
          </w:p>
        </w:tc>
        <w:tc>
          <w:tcPr>
            <w:tcW w:w="2268" w:type="dxa"/>
            <w:tcBorders>
              <w:top w:val="nil"/>
              <w:left w:val="nil"/>
              <w:bottom w:val="nil"/>
              <w:right w:val="nil"/>
            </w:tcBorders>
            <w:shd w:val="clear" w:color="auto" w:fill="auto"/>
            <w:noWrap/>
            <w:vAlign w:val="bottom"/>
            <w:hideMark/>
          </w:tcPr>
          <w:p w14:paraId="6F781BC6" w14:textId="77777777" w:rsidR="002E72CF" w:rsidRPr="002E72CF" w:rsidRDefault="002E72CF" w:rsidP="002E72CF">
            <w:pPr>
              <w:spacing w:after="0" w:line="240" w:lineRule="auto"/>
              <w:rPr>
                <w:rFonts w:eastAsia="Times New Roman" w:cstheme="minorHAnsi"/>
                <w:sz w:val="24"/>
                <w:szCs w:val="24"/>
                <w:lang w:val="en-GB" w:eastAsia="en-GB"/>
              </w:rPr>
            </w:pPr>
          </w:p>
        </w:tc>
        <w:tc>
          <w:tcPr>
            <w:tcW w:w="992" w:type="dxa"/>
            <w:tcBorders>
              <w:top w:val="nil"/>
              <w:left w:val="nil"/>
              <w:bottom w:val="nil"/>
              <w:right w:val="nil"/>
            </w:tcBorders>
            <w:shd w:val="clear" w:color="auto" w:fill="auto"/>
            <w:noWrap/>
            <w:vAlign w:val="bottom"/>
            <w:hideMark/>
          </w:tcPr>
          <w:p w14:paraId="6DCE645A" w14:textId="77777777" w:rsidR="002E72CF" w:rsidRPr="002E72CF" w:rsidRDefault="002E72CF" w:rsidP="002E72CF">
            <w:pPr>
              <w:spacing w:after="0" w:line="240" w:lineRule="auto"/>
              <w:jc w:val="center"/>
              <w:rPr>
                <w:rFonts w:eastAsia="Times New Roman" w:cstheme="minorHAnsi"/>
                <w:sz w:val="24"/>
                <w:szCs w:val="24"/>
                <w:lang w:val="en-GB" w:eastAsia="en-GB"/>
              </w:rPr>
            </w:pPr>
          </w:p>
        </w:tc>
        <w:tc>
          <w:tcPr>
            <w:tcW w:w="993" w:type="dxa"/>
            <w:tcBorders>
              <w:top w:val="nil"/>
              <w:left w:val="nil"/>
              <w:bottom w:val="nil"/>
              <w:right w:val="nil"/>
            </w:tcBorders>
            <w:shd w:val="clear" w:color="auto" w:fill="auto"/>
            <w:noWrap/>
            <w:vAlign w:val="bottom"/>
            <w:hideMark/>
          </w:tcPr>
          <w:p w14:paraId="21ECC06A" w14:textId="77777777" w:rsidR="002E72CF" w:rsidRPr="002E72CF" w:rsidRDefault="002E72CF" w:rsidP="002E72CF">
            <w:pPr>
              <w:spacing w:after="0" w:line="240" w:lineRule="auto"/>
              <w:jc w:val="center"/>
              <w:rPr>
                <w:rFonts w:eastAsia="Times New Roman" w:cstheme="minorHAnsi"/>
                <w:sz w:val="24"/>
                <w:szCs w:val="24"/>
                <w:lang w:val="en-GB" w:eastAsia="en-GB"/>
              </w:rPr>
            </w:pPr>
          </w:p>
        </w:tc>
      </w:tr>
      <w:tr w:rsidR="002E72CF" w:rsidRPr="002E72CF" w14:paraId="696C6679" w14:textId="77777777" w:rsidTr="00FE2D6B">
        <w:trPr>
          <w:trHeight w:val="360"/>
        </w:trPr>
        <w:tc>
          <w:tcPr>
            <w:tcW w:w="3261" w:type="dxa"/>
            <w:tcBorders>
              <w:top w:val="nil"/>
              <w:left w:val="nil"/>
              <w:bottom w:val="nil"/>
              <w:right w:val="nil"/>
            </w:tcBorders>
            <w:shd w:val="clear" w:color="auto" w:fill="auto"/>
            <w:noWrap/>
            <w:vAlign w:val="bottom"/>
            <w:hideMark/>
          </w:tcPr>
          <w:p w14:paraId="64183F62" w14:textId="77777777" w:rsidR="002E72CF" w:rsidRPr="002E72CF" w:rsidRDefault="002E72CF" w:rsidP="002E72CF">
            <w:pPr>
              <w:spacing w:after="0" w:line="240" w:lineRule="auto"/>
              <w:rPr>
                <w:rFonts w:eastAsia="Times New Roman" w:cstheme="minorHAnsi"/>
                <w:sz w:val="24"/>
                <w:szCs w:val="24"/>
                <w:lang w:val="en-GB" w:eastAsia="en-GB"/>
              </w:rPr>
            </w:pPr>
            <w:r w:rsidRPr="002E72CF">
              <w:rPr>
                <w:rFonts w:eastAsia="Times New Roman" w:cstheme="minorHAnsi"/>
                <w:i/>
                <w:iCs/>
                <w:sz w:val="24"/>
                <w:szCs w:val="24"/>
                <w:lang w:val="en-GB" w:eastAsia="en-GB"/>
              </w:rPr>
              <w:t xml:space="preserve">PPARA </w:t>
            </w:r>
            <w:r w:rsidRPr="002E72CF">
              <w:rPr>
                <w:rFonts w:eastAsia="Times New Roman" w:cstheme="minorHAnsi"/>
                <w:sz w:val="24"/>
                <w:szCs w:val="24"/>
                <w:lang w:val="en-GB" w:eastAsia="en-GB"/>
              </w:rPr>
              <w:t>c.208+3819A&gt;G</w:t>
            </w:r>
          </w:p>
        </w:tc>
        <w:tc>
          <w:tcPr>
            <w:tcW w:w="2268" w:type="dxa"/>
            <w:tcBorders>
              <w:top w:val="nil"/>
              <w:left w:val="nil"/>
              <w:bottom w:val="nil"/>
              <w:right w:val="nil"/>
            </w:tcBorders>
            <w:shd w:val="clear" w:color="auto" w:fill="auto"/>
            <w:noWrap/>
            <w:vAlign w:val="bottom"/>
            <w:hideMark/>
          </w:tcPr>
          <w:p w14:paraId="11447D61" w14:textId="77777777" w:rsidR="002E72CF" w:rsidRPr="002E72CF" w:rsidRDefault="002E72CF" w:rsidP="002E72CF">
            <w:pPr>
              <w:spacing w:after="0" w:line="240" w:lineRule="auto"/>
              <w:rPr>
                <w:rFonts w:eastAsia="Times New Roman" w:cstheme="minorHAnsi"/>
                <w:sz w:val="24"/>
                <w:szCs w:val="24"/>
                <w:lang w:val="en-GB" w:eastAsia="en-GB"/>
              </w:rPr>
            </w:pPr>
            <w:r w:rsidRPr="002E72CF">
              <w:rPr>
                <w:rFonts w:eastAsia="Times New Roman" w:cstheme="minorHAnsi"/>
                <w:sz w:val="24"/>
                <w:szCs w:val="24"/>
                <w:lang w:val="en-GB" w:eastAsia="en-GB"/>
              </w:rPr>
              <w:t>-151 (-585, 284)</w:t>
            </w:r>
          </w:p>
        </w:tc>
        <w:tc>
          <w:tcPr>
            <w:tcW w:w="1984" w:type="dxa"/>
            <w:tcBorders>
              <w:top w:val="nil"/>
              <w:left w:val="nil"/>
              <w:bottom w:val="nil"/>
              <w:right w:val="nil"/>
            </w:tcBorders>
            <w:shd w:val="clear" w:color="auto" w:fill="auto"/>
            <w:noWrap/>
            <w:vAlign w:val="bottom"/>
            <w:hideMark/>
          </w:tcPr>
          <w:p w14:paraId="0B8A9F80" w14:textId="77777777" w:rsidR="002E72CF" w:rsidRPr="002E72CF" w:rsidRDefault="002E72CF" w:rsidP="002E72CF">
            <w:pPr>
              <w:spacing w:after="0" w:line="240" w:lineRule="auto"/>
              <w:jc w:val="center"/>
              <w:rPr>
                <w:rFonts w:eastAsia="Times New Roman" w:cstheme="minorHAnsi"/>
                <w:sz w:val="24"/>
                <w:szCs w:val="24"/>
                <w:lang w:val="en-GB" w:eastAsia="en-GB"/>
              </w:rPr>
            </w:pPr>
            <w:r w:rsidRPr="002E72CF">
              <w:rPr>
                <w:rFonts w:eastAsia="Times New Roman" w:cstheme="minorHAnsi"/>
                <w:sz w:val="24"/>
                <w:szCs w:val="24"/>
                <w:lang w:val="en-GB" w:eastAsia="en-GB"/>
              </w:rPr>
              <w:t>0.566</w:t>
            </w:r>
          </w:p>
        </w:tc>
        <w:tc>
          <w:tcPr>
            <w:tcW w:w="2268" w:type="dxa"/>
            <w:tcBorders>
              <w:top w:val="nil"/>
              <w:left w:val="nil"/>
              <w:bottom w:val="nil"/>
              <w:right w:val="nil"/>
            </w:tcBorders>
            <w:shd w:val="clear" w:color="auto" w:fill="auto"/>
            <w:noWrap/>
            <w:vAlign w:val="bottom"/>
            <w:hideMark/>
          </w:tcPr>
          <w:p w14:paraId="601599E2" w14:textId="77777777" w:rsidR="002E72CF" w:rsidRPr="002E72CF" w:rsidRDefault="002E72CF" w:rsidP="002E72CF">
            <w:pPr>
              <w:spacing w:after="0" w:line="240" w:lineRule="auto"/>
              <w:rPr>
                <w:rFonts w:eastAsia="Times New Roman" w:cstheme="minorHAnsi"/>
                <w:sz w:val="24"/>
                <w:szCs w:val="24"/>
                <w:lang w:val="en-GB" w:eastAsia="en-GB"/>
              </w:rPr>
            </w:pPr>
          </w:p>
        </w:tc>
        <w:tc>
          <w:tcPr>
            <w:tcW w:w="992" w:type="dxa"/>
            <w:tcBorders>
              <w:top w:val="nil"/>
              <w:left w:val="nil"/>
              <w:bottom w:val="nil"/>
              <w:right w:val="nil"/>
            </w:tcBorders>
            <w:shd w:val="clear" w:color="auto" w:fill="auto"/>
            <w:noWrap/>
            <w:vAlign w:val="bottom"/>
            <w:hideMark/>
          </w:tcPr>
          <w:p w14:paraId="37BD6FA2" w14:textId="77777777" w:rsidR="002E72CF" w:rsidRPr="002E72CF" w:rsidRDefault="002E72CF" w:rsidP="002E72CF">
            <w:pPr>
              <w:spacing w:after="0" w:line="240" w:lineRule="auto"/>
              <w:jc w:val="center"/>
              <w:rPr>
                <w:rFonts w:eastAsia="Times New Roman" w:cstheme="minorHAnsi"/>
                <w:sz w:val="24"/>
                <w:szCs w:val="24"/>
                <w:lang w:val="en-GB" w:eastAsia="en-GB"/>
              </w:rPr>
            </w:pPr>
          </w:p>
        </w:tc>
        <w:tc>
          <w:tcPr>
            <w:tcW w:w="993" w:type="dxa"/>
            <w:tcBorders>
              <w:top w:val="nil"/>
              <w:left w:val="nil"/>
              <w:bottom w:val="nil"/>
              <w:right w:val="nil"/>
            </w:tcBorders>
            <w:shd w:val="clear" w:color="auto" w:fill="auto"/>
            <w:noWrap/>
            <w:vAlign w:val="bottom"/>
            <w:hideMark/>
          </w:tcPr>
          <w:p w14:paraId="79706F57" w14:textId="77777777" w:rsidR="002E72CF" w:rsidRPr="002E72CF" w:rsidRDefault="002E72CF" w:rsidP="002E72CF">
            <w:pPr>
              <w:spacing w:after="0" w:line="240" w:lineRule="auto"/>
              <w:jc w:val="center"/>
              <w:rPr>
                <w:rFonts w:eastAsia="Times New Roman" w:cstheme="minorHAnsi"/>
                <w:sz w:val="24"/>
                <w:szCs w:val="24"/>
                <w:lang w:val="en-GB" w:eastAsia="en-GB"/>
              </w:rPr>
            </w:pPr>
          </w:p>
        </w:tc>
      </w:tr>
      <w:tr w:rsidR="002E72CF" w:rsidRPr="002E72CF" w14:paraId="626BCD68" w14:textId="77777777" w:rsidTr="00FE2D6B">
        <w:trPr>
          <w:trHeight w:val="360"/>
        </w:trPr>
        <w:tc>
          <w:tcPr>
            <w:tcW w:w="3261" w:type="dxa"/>
            <w:tcBorders>
              <w:top w:val="nil"/>
              <w:left w:val="nil"/>
              <w:bottom w:val="nil"/>
              <w:right w:val="nil"/>
            </w:tcBorders>
            <w:shd w:val="clear" w:color="auto" w:fill="auto"/>
            <w:noWrap/>
            <w:vAlign w:val="bottom"/>
            <w:hideMark/>
          </w:tcPr>
          <w:p w14:paraId="7EA4122F" w14:textId="77777777" w:rsidR="002E72CF" w:rsidRPr="002E72CF" w:rsidRDefault="002E72CF" w:rsidP="002E72CF">
            <w:pPr>
              <w:spacing w:after="0" w:line="240" w:lineRule="auto"/>
              <w:rPr>
                <w:rFonts w:eastAsia="Times New Roman" w:cstheme="minorHAnsi"/>
                <w:sz w:val="24"/>
                <w:szCs w:val="24"/>
                <w:lang w:val="en-GB" w:eastAsia="en-GB"/>
              </w:rPr>
            </w:pPr>
            <w:r w:rsidRPr="002E72CF">
              <w:rPr>
                <w:rFonts w:eastAsia="Times New Roman" w:cstheme="minorHAnsi"/>
                <w:sz w:val="24"/>
                <w:szCs w:val="24"/>
                <w:lang w:val="en-GB" w:eastAsia="en-GB"/>
              </w:rPr>
              <w:t>Gender</w:t>
            </w:r>
          </w:p>
        </w:tc>
        <w:tc>
          <w:tcPr>
            <w:tcW w:w="2268" w:type="dxa"/>
            <w:tcBorders>
              <w:top w:val="nil"/>
              <w:left w:val="nil"/>
              <w:bottom w:val="nil"/>
              <w:right w:val="nil"/>
            </w:tcBorders>
            <w:shd w:val="clear" w:color="auto" w:fill="auto"/>
            <w:vAlign w:val="bottom"/>
            <w:hideMark/>
          </w:tcPr>
          <w:p w14:paraId="775A9A4B" w14:textId="77777777" w:rsidR="002E72CF" w:rsidRPr="002E72CF" w:rsidRDefault="002E72CF" w:rsidP="002E72CF">
            <w:pPr>
              <w:spacing w:after="0" w:line="240" w:lineRule="auto"/>
              <w:rPr>
                <w:rFonts w:eastAsia="Times New Roman" w:cstheme="minorHAnsi"/>
                <w:sz w:val="24"/>
                <w:szCs w:val="24"/>
                <w:lang w:val="en-GB" w:eastAsia="en-GB"/>
              </w:rPr>
            </w:pPr>
            <w:r w:rsidRPr="002E72CF">
              <w:rPr>
                <w:rFonts w:eastAsia="Times New Roman" w:cstheme="minorHAnsi"/>
                <w:sz w:val="24"/>
                <w:szCs w:val="24"/>
                <w:lang w:val="en-GB" w:eastAsia="en-GB"/>
              </w:rPr>
              <w:t>-1234 (-1894, -574)</w:t>
            </w:r>
          </w:p>
        </w:tc>
        <w:tc>
          <w:tcPr>
            <w:tcW w:w="1984" w:type="dxa"/>
            <w:tcBorders>
              <w:top w:val="nil"/>
              <w:left w:val="nil"/>
              <w:bottom w:val="nil"/>
              <w:right w:val="nil"/>
            </w:tcBorders>
            <w:shd w:val="clear" w:color="auto" w:fill="auto"/>
            <w:noWrap/>
            <w:vAlign w:val="bottom"/>
            <w:hideMark/>
          </w:tcPr>
          <w:p w14:paraId="69DE2DF3" w14:textId="77777777" w:rsidR="002E72CF" w:rsidRPr="002E72CF" w:rsidRDefault="002E72CF" w:rsidP="002E72CF">
            <w:pPr>
              <w:spacing w:after="0" w:line="240" w:lineRule="auto"/>
              <w:jc w:val="center"/>
              <w:rPr>
                <w:rFonts w:eastAsia="Times New Roman" w:cstheme="minorHAnsi"/>
                <w:sz w:val="24"/>
                <w:szCs w:val="24"/>
                <w:lang w:val="en-GB" w:eastAsia="en-GB"/>
              </w:rPr>
            </w:pPr>
            <w:r w:rsidRPr="002E72CF">
              <w:rPr>
                <w:rFonts w:eastAsia="Times New Roman" w:cstheme="minorHAnsi"/>
                <w:sz w:val="24"/>
                <w:szCs w:val="24"/>
                <w:lang w:val="en-GB" w:eastAsia="en-GB"/>
              </w:rPr>
              <w:t>0.002</w:t>
            </w:r>
          </w:p>
        </w:tc>
        <w:tc>
          <w:tcPr>
            <w:tcW w:w="2268" w:type="dxa"/>
            <w:tcBorders>
              <w:top w:val="nil"/>
              <w:left w:val="nil"/>
              <w:bottom w:val="nil"/>
              <w:right w:val="nil"/>
            </w:tcBorders>
            <w:shd w:val="clear" w:color="auto" w:fill="auto"/>
            <w:noWrap/>
            <w:vAlign w:val="bottom"/>
            <w:hideMark/>
          </w:tcPr>
          <w:p w14:paraId="0B95A31D" w14:textId="77777777" w:rsidR="002E72CF" w:rsidRPr="002E72CF" w:rsidRDefault="002E72CF" w:rsidP="002E72CF">
            <w:pPr>
              <w:spacing w:after="0" w:line="240" w:lineRule="auto"/>
              <w:rPr>
                <w:rFonts w:eastAsia="Times New Roman" w:cstheme="minorHAnsi"/>
                <w:sz w:val="24"/>
                <w:szCs w:val="24"/>
                <w:lang w:val="en-GB" w:eastAsia="en-GB"/>
              </w:rPr>
            </w:pPr>
            <w:r w:rsidRPr="002E72CF">
              <w:rPr>
                <w:rFonts w:eastAsia="Times New Roman" w:cstheme="minorHAnsi"/>
                <w:sz w:val="24"/>
                <w:szCs w:val="24"/>
                <w:lang w:val="en-GB" w:eastAsia="en-GB"/>
              </w:rPr>
              <w:t>-1298 (-1923, -673)</w:t>
            </w:r>
          </w:p>
        </w:tc>
        <w:tc>
          <w:tcPr>
            <w:tcW w:w="992" w:type="dxa"/>
            <w:tcBorders>
              <w:top w:val="nil"/>
              <w:left w:val="nil"/>
              <w:bottom w:val="nil"/>
              <w:right w:val="nil"/>
            </w:tcBorders>
            <w:shd w:val="clear" w:color="auto" w:fill="auto"/>
            <w:noWrap/>
            <w:vAlign w:val="bottom"/>
            <w:hideMark/>
          </w:tcPr>
          <w:p w14:paraId="069F4F3A" w14:textId="77777777" w:rsidR="002E72CF" w:rsidRPr="002E72CF" w:rsidRDefault="002E72CF" w:rsidP="002E72CF">
            <w:pPr>
              <w:spacing w:after="0" w:line="240" w:lineRule="auto"/>
              <w:jc w:val="center"/>
              <w:rPr>
                <w:rFonts w:eastAsia="Times New Roman" w:cstheme="minorHAnsi"/>
                <w:sz w:val="24"/>
                <w:szCs w:val="24"/>
                <w:lang w:val="en-GB" w:eastAsia="en-GB"/>
              </w:rPr>
            </w:pPr>
            <w:r w:rsidRPr="002E72CF">
              <w:rPr>
                <w:rFonts w:eastAsia="Times New Roman" w:cstheme="minorHAnsi"/>
                <w:sz w:val="24"/>
                <w:szCs w:val="24"/>
                <w:lang w:val="en-GB" w:eastAsia="en-GB"/>
              </w:rPr>
              <w:t>0.001</w:t>
            </w:r>
          </w:p>
        </w:tc>
        <w:tc>
          <w:tcPr>
            <w:tcW w:w="993" w:type="dxa"/>
            <w:tcBorders>
              <w:top w:val="nil"/>
              <w:left w:val="nil"/>
              <w:bottom w:val="nil"/>
              <w:right w:val="nil"/>
            </w:tcBorders>
            <w:shd w:val="clear" w:color="auto" w:fill="auto"/>
            <w:noWrap/>
            <w:vAlign w:val="bottom"/>
            <w:hideMark/>
          </w:tcPr>
          <w:p w14:paraId="28AF26AF" w14:textId="77777777" w:rsidR="002E72CF" w:rsidRPr="002E72CF" w:rsidRDefault="002E72CF" w:rsidP="002E72CF">
            <w:pPr>
              <w:spacing w:after="0" w:line="240" w:lineRule="auto"/>
              <w:jc w:val="center"/>
              <w:rPr>
                <w:rFonts w:eastAsia="Times New Roman" w:cstheme="minorHAnsi"/>
                <w:sz w:val="24"/>
                <w:szCs w:val="24"/>
                <w:lang w:val="en-GB" w:eastAsia="en-GB"/>
              </w:rPr>
            </w:pPr>
            <w:r w:rsidRPr="002E72CF">
              <w:rPr>
                <w:rFonts w:eastAsia="Times New Roman" w:cstheme="minorHAnsi"/>
                <w:sz w:val="24"/>
                <w:szCs w:val="24"/>
                <w:lang w:val="en-GB" w:eastAsia="en-GB"/>
              </w:rPr>
              <w:t>0.014*</w:t>
            </w:r>
          </w:p>
        </w:tc>
      </w:tr>
      <w:tr w:rsidR="002E72CF" w:rsidRPr="002E72CF" w14:paraId="204C56D6" w14:textId="77777777" w:rsidTr="00FE2D6B">
        <w:trPr>
          <w:trHeight w:val="360"/>
        </w:trPr>
        <w:tc>
          <w:tcPr>
            <w:tcW w:w="3261" w:type="dxa"/>
            <w:tcBorders>
              <w:top w:val="nil"/>
              <w:left w:val="nil"/>
              <w:bottom w:val="nil"/>
              <w:right w:val="nil"/>
            </w:tcBorders>
            <w:shd w:val="clear" w:color="auto" w:fill="auto"/>
            <w:noWrap/>
            <w:vAlign w:val="bottom"/>
            <w:hideMark/>
          </w:tcPr>
          <w:p w14:paraId="5CB3F3B5" w14:textId="77777777" w:rsidR="002E72CF" w:rsidRPr="002E72CF" w:rsidRDefault="002E72CF" w:rsidP="002E72CF">
            <w:pPr>
              <w:spacing w:after="0" w:line="240" w:lineRule="auto"/>
              <w:rPr>
                <w:rFonts w:eastAsia="Times New Roman" w:cstheme="minorHAnsi"/>
                <w:sz w:val="24"/>
                <w:szCs w:val="24"/>
                <w:lang w:val="en-GB" w:eastAsia="en-GB"/>
              </w:rPr>
            </w:pPr>
            <w:r w:rsidRPr="002E72CF">
              <w:rPr>
                <w:rFonts w:eastAsia="Times New Roman" w:cstheme="minorHAnsi"/>
                <w:sz w:val="24"/>
                <w:szCs w:val="24"/>
                <w:lang w:val="en-GB" w:eastAsia="en-GB"/>
              </w:rPr>
              <w:t>Ethnicity</w:t>
            </w:r>
          </w:p>
        </w:tc>
        <w:tc>
          <w:tcPr>
            <w:tcW w:w="2268" w:type="dxa"/>
            <w:tcBorders>
              <w:top w:val="nil"/>
              <w:left w:val="nil"/>
              <w:bottom w:val="nil"/>
              <w:right w:val="nil"/>
            </w:tcBorders>
            <w:shd w:val="clear" w:color="auto" w:fill="auto"/>
            <w:noWrap/>
            <w:vAlign w:val="bottom"/>
            <w:hideMark/>
          </w:tcPr>
          <w:p w14:paraId="7E995A4A" w14:textId="77777777" w:rsidR="002E72CF" w:rsidRPr="002E72CF" w:rsidRDefault="002E72CF" w:rsidP="002E72CF">
            <w:pPr>
              <w:spacing w:after="0" w:line="240" w:lineRule="auto"/>
              <w:rPr>
                <w:rFonts w:eastAsia="Times New Roman" w:cstheme="minorHAnsi"/>
                <w:sz w:val="24"/>
                <w:szCs w:val="24"/>
                <w:lang w:val="en-GB" w:eastAsia="en-GB"/>
              </w:rPr>
            </w:pPr>
            <w:r w:rsidRPr="002E72CF">
              <w:rPr>
                <w:rFonts w:eastAsia="Times New Roman" w:cstheme="minorHAnsi"/>
                <w:sz w:val="24"/>
                <w:szCs w:val="24"/>
                <w:lang w:val="en-GB" w:eastAsia="en-GB"/>
              </w:rPr>
              <w:t>-616 (-1186, -45)</w:t>
            </w:r>
          </w:p>
        </w:tc>
        <w:tc>
          <w:tcPr>
            <w:tcW w:w="1984" w:type="dxa"/>
            <w:tcBorders>
              <w:top w:val="nil"/>
              <w:left w:val="nil"/>
              <w:bottom w:val="nil"/>
              <w:right w:val="nil"/>
            </w:tcBorders>
            <w:shd w:val="clear" w:color="auto" w:fill="auto"/>
            <w:noWrap/>
            <w:vAlign w:val="bottom"/>
            <w:hideMark/>
          </w:tcPr>
          <w:p w14:paraId="5C29CC88" w14:textId="77777777" w:rsidR="002E72CF" w:rsidRPr="002E72CF" w:rsidRDefault="002E72CF" w:rsidP="002E72CF">
            <w:pPr>
              <w:spacing w:after="0" w:line="240" w:lineRule="auto"/>
              <w:jc w:val="center"/>
              <w:rPr>
                <w:rFonts w:eastAsia="Times New Roman" w:cstheme="minorHAnsi"/>
                <w:sz w:val="24"/>
                <w:szCs w:val="24"/>
                <w:lang w:val="en-GB" w:eastAsia="en-GB"/>
              </w:rPr>
            </w:pPr>
            <w:r w:rsidRPr="002E72CF">
              <w:rPr>
                <w:rFonts w:eastAsia="Times New Roman" w:cstheme="minorHAnsi"/>
                <w:sz w:val="24"/>
                <w:szCs w:val="24"/>
                <w:lang w:val="en-GB" w:eastAsia="en-GB"/>
              </w:rPr>
              <w:t>0.076</w:t>
            </w:r>
          </w:p>
        </w:tc>
        <w:tc>
          <w:tcPr>
            <w:tcW w:w="2268" w:type="dxa"/>
            <w:tcBorders>
              <w:top w:val="nil"/>
              <w:left w:val="nil"/>
              <w:bottom w:val="nil"/>
              <w:right w:val="nil"/>
            </w:tcBorders>
            <w:shd w:val="clear" w:color="auto" w:fill="auto"/>
            <w:noWrap/>
            <w:vAlign w:val="bottom"/>
            <w:hideMark/>
          </w:tcPr>
          <w:p w14:paraId="4A985CCA" w14:textId="77777777" w:rsidR="002E72CF" w:rsidRPr="002E72CF" w:rsidRDefault="002E72CF" w:rsidP="002E72CF">
            <w:pPr>
              <w:spacing w:after="0" w:line="240" w:lineRule="auto"/>
              <w:jc w:val="center"/>
              <w:rPr>
                <w:rFonts w:eastAsia="Times New Roman" w:cstheme="minorHAnsi"/>
                <w:sz w:val="24"/>
                <w:szCs w:val="24"/>
                <w:lang w:val="en-GB" w:eastAsia="en-GB"/>
              </w:rPr>
            </w:pPr>
          </w:p>
        </w:tc>
        <w:tc>
          <w:tcPr>
            <w:tcW w:w="992" w:type="dxa"/>
            <w:tcBorders>
              <w:top w:val="nil"/>
              <w:left w:val="nil"/>
              <w:bottom w:val="nil"/>
              <w:right w:val="nil"/>
            </w:tcBorders>
            <w:shd w:val="clear" w:color="auto" w:fill="auto"/>
            <w:noWrap/>
            <w:vAlign w:val="bottom"/>
            <w:hideMark/>
          </w:tcPr>
          <w:p w14:paraId="522C93FD" w14:textId="77777777" w:rsidR="002E72CF" w:rsidRPr="002E72CF" w:rsidRDefault="002E72CF" w:rsidP="002E72CF">
            <w:pPr>
              <w:spacing w:after="0" w:line="240" w:lineRule="auto"/>
              <w:jc w:val="center"/>
              <w:rPr>
                <w:rFonts w:eastAsia="Times New Roman" w:cstheme="minorHAnsi"/>
                <w:sz w:val="24"/>
                <w:szCs w:val="24"/>
                <w:lang w:val="en-GB" w:eastAsia="en-GB"/>
              </w:rPr>
            </w:pPr>
          </w:p>
        </w:tc>
        <w:tc>
          <w:tcPr>
            <w:tcW w:w="993" w:type="dxa"/>
            <w:tcBorders>
              <w:top w:val="nil"/>
              <w:left w:val="nil"/>
              <w:bottom w:val="nil"/>
              <w:right w:val="nil"/>
            </w:tcBorders>
            <w:shd w:val="clear" w:color="auto" w:fill="auto"/>
            <w:noWrap/>
            <w:vAlign w:val="bottom"/>
            <w:hideMark/>
          </w:tcPr>
          <w:p w14:paraId="13362C40" w14:textId="77777777" w:rsidR="002E72CF" w:rsidRPr="002E72CF" w:rsidRDefault="002E72CF" w:rsidP="002E72CF">
            <w:pPr>
              <w:spacing w:after="0" w:line="240" w:lineRule="auto"/>
              <w:jc w:val="center"/>
              <w:rPr>
                <w:rFonts w:eastAsia="Times New Roman" w:cstheme="minorHAnsi"/>
                <w:sz w:val="24"/>
                <w:szCs w:val="24"/>
                <w:lang w:val="en-GB" w:eastAsia="en-GB"/>
              </w:rPr>
            </w:pPr>
          </w:p>
        </w:tc>
      </w:tr>
      <w:tr w:rsidR="002E72CF" w:rsidRPr="002E72CF" w14:paraId="3B2F9B22" w14:textId="77777777" w:rsidTr="00FE2D6B">
        <w:trPr>
          <w:trHeight w:val="360"/>
        </w:trPr>
        <w:tc>
          <w:tcPr>
            <w:tcW w:w="3261" w:type="dxa"/>
            <w:tcBorders>
              <w:top w:val="nil"/>
              <w:left w:val="nil"/>
              <w:bottom w:val="nil"/>
              <w:right w:val="nil"/>
            </w:tcBorders>
            <w:shd w:val="clear" w:color="auto" w:fill="auto"/>
            <w:noWrap/>
            <w:vAlign w:val="bottom"/>
            <w:hideMark/>
          </w:tcPr>
          <w:p w14:paraId="2BAC2370" w14:textId="77777777" w:rsidR="002E72CF" w:rsidRPr="002E72CF" w:rsidRDefault="002E72CF" w:rsidP="002E72CF">
            <w:pPr>
              <w:spacing w:after="0" w:line="240" w:lineRule="auto"/>
              <w:rPr>
                <w:rFonts w:eastAsia="Times New Roman" w:cstheme="minorHAnsi"/>
                <w:sz w:val="24"/>
                <w:szCs w:val="24"/>
                <w:lang w:val="en-GB" w:eastAsia="en-GB"/>
              </w:rPr>
            </w:pPr>
            <w:r w:rsidRPr="002E72CF">
              <w:rPr>
                <w:rFonts w:eastAsia="Times New Roman" w:cstheme="minorHAnsi"/>
                <w:sz w:val="24"/>
                <w:szCs w:val="24"/>
                <w:lang w:val="en-GB" w:eastAsia="en-GB"/>
              </w:rPr>
              <w:t>NRTI backbone</w:t>
            </w:r>
          </w:p>
        </w:tc>
        <w:tc>
          <w:tcPr>
            <w:tcW w:w="2268" w:type="dxa"/>
            <w:tcBorders>
              <w:top w:val="nil"/>
              <w:left w:val="nil"/>
              <w:bottom w:val="nil"/>
              <w:right w:val="nil"/>
            </w:tcBorders>
            <w:shd w:val="clear" w:color="auto" w:fill="auto"/>
            <w:noWrap/>
            <w:vAlign w:val="bottom"/>
            <w:hideMark/>
          </w:tcPr>
          <w:p w14:paraId="05D85569" w14:textId="77777777" w:rsidR="002E72CF" w:rsidRPr="002E72CF" w:rsidRDefault="002E72CF" w:rsidP="002E72CF">
            <w:pPr>
              <w:spacing w:after="0" w:line="240" w:lineRule="auto"/>
              <w:rPr>
                <w:rFonts w:eastAsia="Times New Roman" w:cstheme="minorHAnsi"/>
                <w:sz w:val="24"/>
                <w:szCs w:val="24"/>
                <w:lang w:val="en-GB" w:eastAsia="en-GB"/>
              </w:rPr>
            </w:pPr>
            <w:r w:rsidRPr="002E72CF">
              <w:rPr>
                <w:rFonts w:eastAsia="Times New Roman" w:cstheme="minorHAnsi"/>
                <w:sz w:val="24"/>
                <w:szCs w:val="24"/>
                <w:lang w:val="en-GB" w:eastAsia="en-GB"/>
              </w:rPr>
              <w:t>104 (-727, 935)</w:t>
            </w:r>
          </w:p>
        </w:tc>
        <w:tc>
          <w:tcPr>
            <w:tcW w:w="1984" w:type="dxa"/>
            <w:tcBorders>
              <w:top w:val="nil"/>
              <w:left w:val="nil"/>
              <w:bottom w:val="nil"/>
              <w:right w:val="nil"/>
            </w:tcBorders>
            <w:shd w:val="clear" w:color="auto" w:fill="auto"/>
            <w:noWrap/>
            <w:vAlign w:val="bottom"/>
            <w:hideMark/>
          </w:tcPr>
          <w:p w14:paraId="575148D4" w14:textId="77777777" w:rsidR="002E72CF" w:rsidRPr="002E72CF" w:rsidRDefault="002E72CF" w:rsidP="002E72CF">
            <w:pPr>
              <w:spacing w:after="0" w:line="240" w:lineRule="auto"/>
              <w:jc w:val="center"/>
              <w:rPr>
                <w:rFonts w:eastAsia="Times New Roman" w:cstheme="minorHAnsi"/>
                <w:sz w:val="24"/>
                <w:szCs w:val="24"/>
                <w:lang w:val="en-GB" w:eastAsia="en-GB"/>
              </w:rPr>
            </w:pPr>
            <w:r w:rsidRPr="002E72CF">
              <w:rPr>
                <w:rFonts w:eastAsia="Times New Roman" w:cstheme="minorHAnsi"/>
                <w:sz w:val="24"/>
                <w:szCs w:val="24"/>
                <w:lang w:val="en-GB" w:eastAsia="en-GB"/>
              </w:rPr>
              <w:t>0.837</w:t>
            </w:r>
          </w:p>
        </w:tc>
        <w:tc>
          <w:tcPr>
            <w:tcW w:w="2268" w:type="dxa"/>
            <w:tcBorders>
              <w:top w:val="nil"/>
              <w:left w:val="nil"/>
              <w:bottom w:val="nil"/>
              <w:right w:val="nil"/>
            </w:tcBorders>
            <w:shd w:val="clear" w:color="auto" w:fill="auto"/>
            <w:noWrap/>
            <w:vAlign w:val="bottom"/>
            <w:hideMark/>
          </w:tcPr>
          <w:p w14:paraId="6463C2E2" w14:textId="77777777" w:rsidR="002E72CF" w:rsidRPr="002E72CF" w:rsidRDefault="002E72CF" w:rsidP="002E72CF">
            <w:pPr>
              <w:spacing w:after="0" w:line="240" w:lineRule="auto"/>
              <w:jc w:val="center"/>
              <w:rPr>
                <w:rFonts w:eastAsia="Times New Roman" w:cstheme="minorHAnsi"/>
                <w:sz w:val="24"/>
                <w:szCs w:val="24"/>
                <w:lang w:val="en-GB" w:eastAsia="en-GB"/>
              </w:rPr>
            </w:pPr>
          </w:p>
        </w:tc>
        <w:tc>
          <w:tcPr>
            <w:tcW w:w="992" w:type="dxa"/>
            <w:tcBorders>
              <w:top w:val="nil"/>
              <w:left w:val="nil"/>
              <w:bottom w:val="nil"/>
              <w:right w:val="nil"/>
            </w:tcBorders>
            <w:shd w:val="clear" w:color="auto" w:fill="auto"/>
            <w:noWrap/>
            <w:vAlign w:val="bottom"/>
            <w:hideMark/>
          </w:tcPr>
          <w:p w14:paraId="62383815" w14:textId="77777777" w:rsidR="002E72CF" w:rsidRPr="002E72CF" w:rsidRDefault="002E72CF" w:rsidP="002E72CF">
            <w:pPr>
              <w:spacing w:after="0" w:line="240" w:lineRule="auto"/>
              <w:jc w:val="center"/>
              <w:rPr>
                <w:rFonts w:eastAsia="Times New Roman" w:cstheme="minorHAnsi"/>
                <w:sz w:val="24"/>
                <w:szCs w:val="24"/>
                <w:lang w:val="en-GB" w:eastAsia="en-GB"/>
              </w:rPr>
            </w:pPr>
          </w:p>
        </w:tc>
        <w:tc>
          <w:tcPr>
            <w:tcW w:w="993" w:type="dxa"/>
            <w:tcBorders>
              <w:top w:val="nil"/>
              <w:left w:val="nil"/>
              <w:bottom w:val="nil"/>
              <w:right w:val="nil"/>
            </w:tcBorders>
            <w:shd w:val="clear" w:color="auto" w:fill="auto"/>
            <w:noWrap/>
            <w:vAlign w:val="bottom"/>
            <w:hideMark/>
          </w:tcPr>
          <w:p w14:paraId="21CC719F" w14:textId="77777777" w:rsidR="002E72CF" w:rsidRPr="002E72CF" w:rsidRDefault="002E72CF" w:rsidP="002E72CF">
            <w:pPr>
              <w:spacing w:after="0" w:line="240" w:lineRule="auto"/>
              <w:jc w:val="center"/>
              <w:rPr>
                <w:rFonts w:eastAsia="Times New Roman" w:cstheme="minorHAnsi"/>
                <w:sz w:val="24"/>
                <w:szCs w:val="24"/>
                <w:lang w:val="en-GB" w:eastAsia="en-GB"/>
              </w:rPr>
            </w:pPr>
          </w:p>
        </w:tc>
      </w:tr>
      <w:tr w:rsidR="002E72CF" w:rsidRPr="002E72CF" w14:paraId="40B84E56" w14:textId="77777777" w:rsidTr="00FE2D6B">
        <w:trPr>
          <w:trHeight w:val="360"/>
        </w:trPr>
        <w:tc>
          <w:tcPr>
            <w:tcW w:w="3261" w:type="dxa"/>
            <w:tcBorders>
              <w:top w:val="nil"/>
              <w:left w:val="nil"/>
              <w:bottom w:val="nil"/>
              <w:right w:val="nil"/>
            </w:tcBorders>
            <w:shd w:val="clear" w:color="auto" w:fill="auto"/>
            <w:noWrap/>
            <w:vAlign w:val="bottom"/>
            <w:hideMark/>
          </w:tcPr>
          <w:p w14:paraId="2C5F2DEF" w14:textId="77777777" w:rsidR="002E72CF" w:rsidRPr="002E72CF" w:rsidRDefault="002E72CF" w:rsidP="002E72CF">
            <w:pPr>
              <w:spacing w:after="0" w:line="240" w:lineRule="auto"/>
              <w:rPr>
                <w:rFonts w:eastAsia="Times New Roman" w:cstheme="minorHAnsi"/>
                <w:sz w:val="24"/>
                <w:szCs w:val="24"/>
                <w:lang w:val="en-GB" w:eastAsia="en-GB"/>
              </w:rPr>
            </w:pPr>
            <w:r w:rsidRPr="002E72CF">
              <w:rPr>
                <w:rFonts w:eastAsia="Times New Roman" w:cstheme="minorHAnsi"/>
                <w:sz w:val="24"/>
                <w:szCs w:val="24"/>
                <w:lang w:val="en-GB" w:eastAsia="en-GB"/>
              </w:rPr>
              <w:t>CTX prophylaxis</w:t>
            </w:r>
          </w:p>
        </w:tc>
        <w:tc>
          <w:tcPr>
            <w:tcW w:w="2268" w:type="dxa"/>
            <w:tcBorders>
              <w:top w:val="nil"/>
              <w:left w:val="nil"/>
              <w:bottom w:val="nil"/>
              <w:right w:val="nil"/>
            </w:tcBorders>
            <w:shd w:val="clear" w:color="auto" w:fill="auto"/>
            <w:noWrap/>
            <w:vAlign w:val="bottom"/>
            <w:hideMark/>
          </w:tcPr>
          <w:p w14:paraId="5A7207B5" w14:textId="77777777" w:rsidR="002E72CF" w:rsidRPr="002E72CF" w:rsidRDefault="002E72CF" w:rsidP="002E72CF">
            <w:pPr>
              <w:spacing w:after="0" w:line="240" w:lineRule="auto"/>
              <w:rPr>
                <w:rFonts w:eastAsia="Times New Roman" w:cstheme="minorHAnsi"/>
                <w:sz w:val="24"/>
                <w:szCs w:val="24"/>
                <w:lang w:val="en-GB" w:eastAsia="en-GB"/>
              </w:rPr>
            </w:pPr>
            <w:r w:rsidRPr="002E72CF">
              <w:rPr>
                <w:rFonts w:eastAsia="Times New Roman" w:cstheme="minorHAnsi"/>
                <w:sz w:val="24"/>
                <w:szCs w:val="24"/>
                <w:lang w:val="en-GB" w:eastAsia="en-GB"/>
              </w:rPr>
              <w:t>55 (-645, 754)</w:t>
            </w:r>
          </w:p>
        </w:tc>
        <w:tc>
          <w:tcPr>
            <w:tcW w:w="1984" w:type="dxa"/>
            <w:tcBorders>
              <w:top w:val="nil"/>
              <w:left w:val="nil"/>
              <w:bottom w:val="nil"/>
              <w:right w:val="nil"/>
            </w:tcBorders>
            <w:shd w:val="clear" w:color="auto" w:fill="auto"/>
            <w:noWrap/>
            <w:vAlign w:val="bottom"/>
            <w:hideMark/>
          </w:tcPr>
          <w:p w14:paraId="639E9B72" w14:textId="77777777" w:rsidR="002E72CF" w:rsidRPr="002E72CF" w:rsidRDefault="002E72CF" w:rsidP="002E72CF">
            <w:pPr>
              <w:spacing w:after="0" w:line="240" w:lineRule="auto"/>
              <w:jc w:val="center"/>
              <w:rPr>
                <w:rFonts w:eastAsia="Times New Roman" w:cstheme="minorHAnsi"/>
                <w:sz w:val="24"/>
                <w:szCs w:val="24"/>
                <w:lang w:val="en-GB" w:eastAsia="en-GB"/>
              </w:rPr>
            </w:pPr>
            <w:r w:rsidRPr="002E72CF">
              <w:rPr>
                <w:rFonts w:eastAsia="Times New Roman" w:cstheme="minorHAnsi"/>
                <w:sz w:val="24"/>
                <w:szCs w:val="24"/>
                <w:lang w:val="en-GB" w:eastAsia="en-GB"/>
              </w:rPr>
              <w:t>0.897</w:t>
            </w:r>
          </w:p>
        </w:tc>
        <w:tc>
          <w:tcPr>
            <w:tcW w:w="2268" w:type="dxa"/>
            <w:tcBorders>
              <w:top w:val="nil"/>
              <w:left w:val="nil"/>
              <w:bottom w:val="nil"/>
              <w:right w:val="nil"/>
            </w:tcBorders>
            <w:shd w:val="clear" w:color="auto" w:fill="auto"/>
            <w:noWrap/>
            <w:vAlign w:val="bottom"/>
            <w:hideMark/>
          </w:tcPr>
          <w:p w14:paraId="56BE4572" w14:textId="77777777" w:rsidR="002E72CF" w:rsidRPr="002E72CF" w:rsidRDefault="002E72CF" w:rsidP="002E72CF">
            <w:pPr>
              <w:spacing w:after="0" w:line="240" w:lineRule="auto"/>
              <w:jc w:val="center"/>
              <w:rPr>
                <w:rFonts w:eastAsia="Times New Roman" w:cstheme="minorHAnsi"/>
                <w:sz w:val="24"/>
                <w:szCs w:val="24"/>
                <w:lang w:val="en-GB" w:eastAsia="en-GB"/>
              </w:rPr>
            </w:pPr>
          </w:p>
        </w:tc>
        <w:tc>
          <w:tcPr>
            <w:tcW w:w="992" w:type="dxa"/>
            <w:tcBorders>
              <w:top w:val="nil"/>
              <w:left w:val="nil"/>
              <w:bottom w:val="nil"/>
              <w:right w:val="nil"/>
            </w:tcBorders>
            <w:shd w:val="clear" w:color="auto" w:fill="auto"/>
            <w:noWrap/>
            <w:vAlign w:val="bottom"/>
            <w:hideMark/>
          </w:tcPr>
          <w:p w14:paraId="5C7B08DE" w14:textId="77777777" w:rsidR="002E72CF" w:rsidRPr="002E72CF" w:rsidRDefault="002E72CF" w:rsidP="002E72CF">
            <w:pPr>
              <w:spacing w:after="0" w:line="240" w:lineRule="auto"/>
              <w:jc w:val="center"/>
              <w:rPr>
                <w:rFonts w:eastAsia="Times New Roman" w:cstheme="minorHAnsi"/>
                <w:sz w:val="24"/>
                <w:szCs w:val="24"/>
                <w:lang w:val="en-GB" w:eastAsia="en-GB"/>
              </w:rPr>
            </w:pPr>
          </w:p>
        </w:tc>
        <w:tc>
          <w:tcPr>
            <w:tcW w:w="993" w:type="dxa"/>
            <w:tcBorders>
              <w:top w:val="nil"/>
              <w:left w:val="nil"/>
              <w:bottom w:val="nil"/>
              <w:right w:val="nil"/>
            </w:tcBorders>
            <w:shd w:val="clear" w:color="auto" w:fill="auto"/>
            <w:noWrap/>
            <w:vAlign w:val="bottom"/>
            <w:hideMark/>
          </w:tcPr>
          <w:p w14:paraId="77102069" w14:textId="77777777" w:rsidR="002E72CF" w:rsidRPr="002E72CF" w:rsidRDefault="002E72CF" w:rsidP="002E72CF">
            <w:pPr>
              <w:spacing w:after="0" w:line="240" w:lineRule="auto"/>
              <w:jc w:val="center"/>
              <w:rPr>
                <w:rFonts w:eastAsia="Times New Roman" w:cstheme="minorHAnsi"/>
                <w:sz w:val="24"/>
                <w:szCs w:val="24"/>
                <w:lang w:val="en-GB" w:eastAsia="en-GB"/>
              </w:rPr>
            </w:pPr>
          </w:p>
        </w:tc>
      </w:tr>
      <w:tr w:rsidR="002E72CF" w:rsidRPr="002E72CF" w14:paraId="37500E20" w14:textId="77777777" w:rsidTr="00FE2D6B">
        <w:trPr>
          <w:trHeight w:val="360"/>
        </w:trPr>
        <w:tc>
          <w:tcPr>
            <w:tcW w:w="3261" w:type="dxa"/>
            <w:tcBorders>
              <w:top w:val="nil"/>
              <w:left w:val="nil"/>
              <w:bottom w:val="single" w:sz="4" w:space="0" w:color="auto"/>
              <w:right w:val="nil"/>
            </w:tcBorders>
            <w:shd w:val="clear" w:color="auto" w:fill="auto"/>
            <w:noWrap/>
            <w:vAlign w:val="bottom"/>
            <w:hideMark/>
          </w:tcPr>
          <w:p w14:paraId="79A20C2F" w14:textId="77777777" w:rsidR="002E72CF" w:rsidRPr="002E72CF" w:rsidRDefault="002E72CF" w:rsidP="002E72CF">
            <w:pPr>
              <w:spacing w:after="0" w:line="240" w:lineRule="auto"/>
              <w:rPr>
                <w:rFonts w:eastAsia="Times New Roman" w:cstheme="minorHAnsi"/>
                <w:sz w:val="24"/>
                <w:szCs w:val="24"/>
                <w:lang w:val="en-GB" w:eastAsia="en-GB"/>
              </w:rPr>
            </w:pPr>
            <w:r w:rsidRPr="002E72CF">
              <w:rPr>
                <w:rFonts w:eastAsia="Times New Roman" w:cstheme="minorHAnsi"/>
                <w:sz w:val="24"/>
                <w:szCs w:val="24"/>
                <w:lang w:val="en-GB" w:eastAsia="en-GB"/>
              </w:rPr>
              <w:t>Duration on ART</w:t>
            </w:r>
          </w:p>
        </w:tc>
        <w:tc>
          <w:tcPr>
            <w:tcW w:w="2268" w:type="dxa"/>
            <w:tcBorders>
              <w:top w:val="nil"/>
              <w:left w:val="nil"/>
              <w:bottom w:val="single" w:sz="4" w:space="0" w:color="auto"/>
              <w:right w:val="nil"/>
            </w:tcBorders>
            <w:shd w:val="clear" w:color="auto" w:fill="auto"/>
            <w:noWrap/>
            <w:vAlign w:val="bottom"/>
            <w:hideMark/>
          </w:tcPr>
          <w:p w14:paraId="58BA6A33" w14:textId="77777777" w:rsidR="002E72CF" w:rsidRPr="002E72CF" w:rsidRDefault="002E72CF" w:rsidP="002E72CF">
            <w:pPr>
              <w:spacing w:after="0" w:line="240" w:lineRule="auto"/>
              <w:rPr>
                <w:rFonts w:eastAsia="Times New Roman" w:cstheme="minorHAnsi"/>
                <w:sz w:val="24"/>
                <w:szCs w:val="24"/>
                <w:lang w:val="en-GB" w:eastAsia="en-GB"/>
              </w:rPr>
            </w:pPr>
            <w:r w:rsidRPr="002E72CF">
              <w:rPr>
                <w:rFonts w:eastAsia="Times New Roman" w:cstheme="minorHAnsi"/>
                <w:sz w:val="24"/>
                <w:szCs w:val="24"/>
                <w:lang w:val="en-GB" w:eastAsia="en-GB"/>
              </w:rPr>
              <w:t>51 (-79, 181)</w:t>
            </w:r>
          </w:p>
        </w:tc>
        <w:tc>
          <w:tcPr>
            <w:tcW w:w="1984" w:type="dxa"/>
            <w:tcBorders>
              <w:top w:val="nil"/>
              <w:left w:val="nil"/>
              <w:bottom w:val="single" w:sz="4" w:space="0" w:color="auto"/>
              <w:right w:val="nil"/>
            </w:tcBorders>
            <w:shd w:val="clear" w:color="auto" w:fill="auto"/>
            <w:noWrap/>
            <w:vAlign w:val="bottom"/>
            <w:hideMark/>
          </w:tcPr>
          <w:p w14:paraId="0288FB93" w14:textId="77777777" w:rsidR="002E72CF" w:rsidRPr="002E72CF" w:rsidRDefault="002E72CF" w:rsidP="002E72CF">
            <w:pPr>
              <w:spacing w:after="0" w:line="240" w:lineRule="auto"/>
              <w:jc w:val="center"/>
              <w:rPr>
                <w:rFonts w:eastAsia="Times New Roman" w:cstheme="minorHAnsi"/>
                <w:sz w:val="24"/>
                <w:szCs w:val="24"/>
                <w:lang w:val="en-GB" w:eastAsia="en-GB"/>
              </w:rPr>
            </w:pPr>
            <w:r w:rsidRPr="002E72CF">
              <w:rPr>
                <w:rFonts w:eastAsia="Times New Roman" w:cstheme="minorHAnsi"/>
                <w:sz w:val="24"/>
                <w:szCs w:val="24"/>
                <w:lang w:val="en-GB" w:eastAsia="en-GB"/>
              </w:rPr>
              <w:t>0.517</w:t>
            </w:r>
          </w:p>
        </w:tc>
        <w:tc>
          <w:tcPr>
            <w:tcW w:w="2268" w:type="dxa"/>
            <w:tcBorders>
              <w:top w:val="nil"/>
              <w:left w:val="nil"/>
              <w:bottom w:val="single" w:sz="4" w:space="0" w:color="auto"/>
              <w:right w:val="nil"/>
            </w:tcBorders>
            <w:shd w:val="clear" w:color="auto" w:fill="auto"/>
            <w:noWrap/>
            <w:vAlign w:val="bottom"/>
            <w:hideMark/>
          </w:tcPr>
          <w:p w14:paraId="5C27F019" w14:textId="77777777" w:rsidR="002E72CF" w:rsidRPr="002E72CF" w:rsidRDefault="002E72CF" w:rsidP="002E72CF">
            <w:pPr>
              <w:spacing w:after="0" w:line="240" w:lineRule="auto"/>
              <w:jc w:val="center"/>
              <w:rPr>
                <w:rFonts w:eastAsia="Times New Roman" w:cstheme="minorHAnsi"/>
                <w:sz w:val="24"/>
                <w:szCs w:val="24"/>
                <w:lang w:val="en-GB" w:eastAsia="en-GB"/>
              </w:rPr>
            </w:pPr>
          </w:p>
        </w:tc>
        <w:tc>
          <w:tcPr>
            <w:tcW w:w="992" w:type="dxa"/>
            <w:tcBorders>
              <w:top w:val="nil"/>
              <w:left w:val="nil"/>
              <w:bottom w:val="single" w:sz="4" w:space="0" w:color="auto"/>
              <w:right w:val="nil"/>
            </w:tcBorders>
            <w:shd w:val="clear" w:color="auto" w:fill="auto"/>
            <w:noWrap/>
            <w:vAlign w:val="bottom"/>
            <w:hideMark/>
          </w:tcPr>
          <w:p w14:paraId="0332C3AF" w14:textId="77777777" w:rsidR="002E72CF" w:rsidRPr="002E72CF" w:rsidRDefault="002E72CF" w:rsidP="002E72CF">
            <w:pPr>
              <w:spacing w:after="0" w:line="240" w:lineRule="auto"/>
              <w:jc w:val="center"/>
              <w:rPr>
                <w:rFonts w:eastAsia="Times New Roman" w:cstheme="minorHAnsi"/>
                <w:sz w:val="24"/>
                <w:szCs w:val="24"/>
                <w:lang w:val="en-GB" w:eastAsia="en-GB"/>
              </w:rPr>
            </w:pPr>
          </w:p>
        </w:tc>
        <w:tc>
          <w:tcPr>
            <w:tcW w:w="993" w:type="dxa"/>
            <w:tcBorders>
              <w:top w:val="nil"/>
              <w:left w:val="nil"/>
              <w:bottom w:val="single" w:sz="4" w:space="0" w:color="auto"/>
              <w:right w:val="nil"/>
            </w:tcBorders>
            <w:shd w:val="clear" w:color="auto" w:fill="auto"/>
            <w:noWrap/>
            <w:vAlign w:val="bottom"/>
            <w:hideMark/>
          </w:tcPr>
          <w:p w14:paraId="4D89B776" w14:textId="77777777" w:rsidR="002E72CF" w:rsidRPr="002E72CF" w:rsidRDefault="002E72CF" w:rsidP="002E72CF">
            <w:pPr>
              <w:spacing w:after="0" w:line="240" w:lineRule="auto"/>
              <w:jc w:val="center"/>
              <w:rPr>
                <w:rFonts w:eastAsia="Times New Roman" w:cstheme="minorHAnsi"/>
                <w:sz w:val="24"/>
                <w:szCs w:val="24"/>
                <w:lang w:val="en-GB" w:eastAsia="en-GB"/>
              </w:rPr>
            </w:pPr>
          </w:p>
        </w:tc>
      </w:tr>
      <w:tr w:rsidR="002E72CF" w:rsidRPr="002E72CF" w14:paraId="071D0E17" w14:textId="77777777" w:rsidTr="00FE2D6B">
        <w:trPr>
          <w:trHeight w:val="604"/>
        </w:trPr>
        <w:tc>
          <w:tcPr>
            <w:tcW w:w="11766" w:type="dxa"/>
            <w:gridSpan w:val="6"/>
            <w:tcBorders>
              <w:top w:val="single" w:sz="4" w:space="0" w:color="auto"/>
              <w:left w:val="nil"/>
              <w:bottom w:val="nil"/>
              <w:right w:val="nil"/>
            </w:tcBorders>
            <w:shd w:val="clear" w:color="auto" w:fill="auto"/>
            <w:noWrap/>
            <w:vAlign w:val="bottom"/>
            <w:hideMark/>
          </w:tcPr>
          <w:p w14:paraId="153AAD75" w14:textId="77777777" w:rsidR="002E72CF" w:rsidRPr="002E72CF" w:rsidRDefault="002E72CF" w:rsidP="002E72CF">
            <w:pPr>
              <w:spacing w:after="0" w:line="276" w:lineRule="auto"/>
              <w:jc w:val="both"/>
              <w:rPr>
                <w:rFonts w:eastAsia="Times New Roman" w:cstheme="minorHAnsi"/>
                <w:sz w:val="24"/>
                <w:szCs w:val="24"/>
                <w:lang w:val="en-GB" w:eastAsia="en-GB"/>
              </w:rPr>
            </w:pPr>
            <w:r w:rsidRPr="002E72CF">
              <w:rPr>
                <w:rFonts w:eastAsia="Times New Roman" w:cstheme="minorHAnsi"/>
                <w:sz w:val="24"/>
                <w:szCs w:val="24"/>
                <w:lang w:val="en-GB" w:eastAsia="en-GB"/>
              </w:rPr>
              <w:t xml:space="preserve">*Bonferroni corrected P-value for multiple comparison; Abbreviations:  ART, antiretroviral therapy; β, </w:t>
            </w:r>
            <w:proofErr w:type="spellStart"/>
            <w:r w:rsidRPr="002E72CF">
              <w:rPr>
                <w:rFonts w:eastAsia="Times New Roman" w:cstheme="minorHAnsi"/>
                <w:sz w:val="24"/>
                <w:szCs w:val="24"/>
                <w:lang w:val="en-GB" w:eastAsia="en-GB"/>
              </w:rPr>
              <w:t>unstandardised</w:t>
            </w:r>
            <w:proofErr w:type="spellEnd"/>
            <w:r w:rsidRPr="002E72CF">
              <w:rPr>
                <w:rFonts w:eastAsia="Times New Roman" w:cstheme="minorHAnsi"/>
                <w:sz w:val="24"/>
                <w:szCs w:val="24"/>
                <w:lang w:val="en-GB" w:eastAsia="en-GB"/>
              </w:rPr>
              <w:t xml:space="preserve"> beta coefficient; </w:t>
            </w:r>
            <w:r w:rsidRPr="002E72CF">
              <w:rPr>
                <w:rFonts w:eastAsia="Times New Roman" w:cstheme="minorHAnsi"/>
                <w:sz w:val="24"/>
                <w:szCs w:val="24"/>
              </w:rPr>
              <w:t xml:space="preserve">CI, confidence interval; </w:t>
            </w:r>
            <w:r w:rsidRPr="002E72CF">
              <w:rPr>
                <w:rFonts w:eastAsia="Times New Roman" w:cstheme="minorHAnsi"/>
                <w:sz w:val="24"/>
                <w:szCs w:val="24"/>
                <w:lang w:val="en-GB" w:eastAsia="en-GB"/>
              </w:rPr>
              <w:t>CTX, cotrimoxazole; CYP, cytochrome P450 enzyme; NRTI, nucleoside reverse transcriptase inhibitors; PPARA, peroxisome proliferator-activated receptor alpha; POR,</w:t>
            </w:r>
            <w:r w:rsidRPr="002E72CF">
              <w:rPr>
                <w:lang w:val="en-GB"/>
              </w:rPr>
              <w:t xml:space="preserve"> </w:t>
            </w:r>
            <w:r w:rsidRPr="002E72CF">
              <w:rPr>
                <w:rFonts w:eastAsia="Times New Roman" w:cstheme="minorHAnsi"/>
                <w:sz w:val="24"/>
                <w:szCs w:val="24"/>
                <w:lang w:val="en-GB" w:eastAsia="en-GB"/>
              </w:rPr>
              <w:t>cytochrome P450 oxidoreductase; SNP, single nucleotide polymorphism.</w:t>
            </w:r>
          </w:p>
        </w:tc>
      </w:tr>
    </w:tbl>
    <w:p w14:paraId="00B23EC2" w14:textId="77777777" w:rsidR="002E72CF" w:rsidRPr="002E72CF" w:rsidRDefault="002E72CF" w:rsidP="002E72CF">
      <w:pPr>
        <w:keepNext/>
        <w:spacing w:after="200" w:line="240" w:lineRule="auto"/>
        <w:rPr>
          <w:i/>
          <w:iCs/>
          <w:color w:val="44546A" w:themeColor="text2"/>
          <w:sz w:val="18"/>
          <w:szCs w:val="18"/>
          <w:lang w:val="en-GB"/>
        </w:rPr>
      </w:pPr>
    </w:p>
    <w:p w14:paraId="511E4702" w14:textId="77777777" w:rsidR="002E72CF" w:rsidRPr="002E72CF" w:rsidRDefault="002E72CF" w:rsidP="002E72CF">
      <w:pPr>
        <w:rPr>
          <w:lang w:val="en-GB"/>
        </w:rPr>
      </w:pPr>
      <w:r w:rsidRPr="002E72CF">
        <w:rPr>
          <w:lang w:val="en-GB"/>
        </w:rPr>
        <w:br w:type="page"/>
      </w:r>
    </w:p>
    <w:tbl>
      <w:tblPr>
        <w:tblW w:w="11381" w:type="dxa"/>
        <w:tblLook w:val="04A0" w:firstRow="1" w:lastRow="0" w:firstColumn="1" w:lastColumn="0" w:noHBand="0" w:noVBand="1"/>
      </w:tblPr>
      <w:tblGrid>
        <w:gridCol w:w="3212"/>
        <w:gridCol w:w="2728"/>
        <w:gridCol w:w="2672"/>
        <w:gridCol w:w="2769"/>
      </w:tblGrid>
      <w:tr w:rsidR="002E72CF" w:rsidRPr="002E72CF" w14:paraId="65961221" w14:textId="77777777" w:rsidTr="00FE2D6B">
        <w:trPr>
          <w:trHeight w:val="345"/>
        </w:trPr>
        <w:tc>
          <w:tcPr>
            <w:tcW w:w="11381" w:type="dxa"/>
            <w:gridSpan w:val="4"/>
            <w:tcBorders>
              <w:top w:val="nil"/>
              <w:left w:val="nil"/>
              <w:bottom w:val="single" w:sz="4" w:space="0" w:color="auto"/>
              <w:right w:val="nil"/>
            </w:tcBorders>
            <w:shd w:val="clear" w:color="auto" w:fill="auto"/>
            <w:noWrap/>
            <w:vAlign w:val="bottom"/>
            <w:hideMark/>
          </w:tcPr>
          <w:p w14:paraId="1196E9DA" w14:textId="77777777" w:rsidR="002E72CF" w:rsidRPr="002E72CF" w:rsidRDefault="002E72CF" w:rsidP="002E72CF">
            <w:pPr>
              <w:spacing w:after="0" w:line="240" w:lineRule="auto"/>
              <w:rPr>
                <w:rFonts w:eastAsia="Times New Roman" w:cstheme="minorHAnsi"/>
                <w:sz w:val="24"/>
                <w:szCs w:val="24"/>
              </w:rPr>
            </w:pPr>
            <w:r w:rsidRPr="002E72CF">
              <w:rPr>
                <w:rFonts w:eastAsia="Times New Roman" w:cstheme="minorHAnsi"/>
                <w:b/>
                <w:sz w:val="24"/>
                <w:szCs w:val="24"/>
              </w:rPr>
              <w:lastRenderedPageBreak/>
              <w:t>Table 3.</w:t>
            </w:r>
            <w:r w:rsidRPr="002E72CF">
              <w:rPr>
                <w:rFonts w:eastAsia="Times New Roman" w:cstheme="minorHAnsi"/>
                <w:sz w:val="24"/>
                <w:szCs w:val="24"/>
              </w:rPr>
              <w:t xml:space="preserve"> Influence of artemether-lumefantrine (AL) on nevirapine (NVP) pharmacokinetics in all patients and when stratified as extensive and poor </w:t>
            </w:r>
            <w:proofErr w:type="spellStart"/>
            <w:r w:rsidRPr="002E72CF">
              <w:rPr>
                <w:rFonts w:eastAsia="Times New Roman" w:cstheme="minorHAnsi"/>
                <w:sz w:val="24"/>
                <w:szCs w:val="24"/>
              </w:rPr>
              <w:t>metabolisers</w:t>
            </w:r>
            <w:proofErr w:type="spellEnd"/>
          </w:p>
        </w:tc>
      </w:tr>
      <w:tr w:rsidR="002E72CF" w:rsidRPr="002E72CF" w14:paraId="53F01C2E" w14:textId="77777777" w:rsidTr="00FE2D6B">
        <w:trPr>
          <w:trHeight w:val="345"/>
        </w:trPr>
        <w:tc>
          <w:tcPr>
            <w:tcW w:w="3212" w:type="dxa"/>
            <w:vMerge w:val="restart"/>
            <w:tcBorders>
              <w:top w:val="single" w:sz="4" w:space="0" w:color="auto"/>
              <w:left w:val="nil"/>
              <w:bottom w:val="nil"/>
              <w:right w:val="nil"/>
            </w:tcBorders>
            <w:shd w:val="clear" w:color="auto" w:fill="auto"/>
            <w:vAlign w:val="center"/>
            <w:hideMark/>
          </w:tcPr>
          <w:p w14:paraId="49427632" w14:textId="77777777" w:rsidR="002E72CF" w:rsidRPr="002E72CF" w:rsidRDefault="002E72CF" w:rsidP="002E72CF">
            <w:pPr>
              <w:spacing w:after="0" w:line="240" w:lineRule="auto"/>
              <w:rPr>
                <w:rFonts w:eastAsia="Times New Roman" w:cstheme="minorHAnsi"/>
                <w:b/>
                <w:bCs/>
                <w:sz w:val="24"/>
                <w:szCs w:val="24"/>
              </w:rPr>
            </w:pPr>
            <w:r w:rsidRPr="002E72CF">
              <w:rPr>
                <w:rFonts w:eastAsia="Times New Roman" w:cstheme="minorHAnsi"/>
                <w:b/>
                <w:bCs/>
                <w:sz w:val="24"/>
                <w:szCs w:val="24"/>
              </w:rPr>
              <w:t>PK parameters</w:t>
            </w:r>
          </w:p>
        </w:tc>
        <w:tc>
          <w:tcPr>
            <w:tcW w:w="2728" w:type="dxa"/>
            <w:tcBorders>
              <w:top w:val="single" w:sz="4" w:space="0" w:color="auto"/>
              <w:left w:val="nil"/>
              <w:bottom w:val="single" w:sz="4" w:space="0" w:color="auto"/>
              <w:right w:val="nil"/>
            </w:tcBorders>
            <w:shd w:val="clear" w:color="auto" w:fill="auto"/>
            <w:noWrap/>
            <w:vAlign w:val="bottom"/>
            <w:hideMark/>
          </w:tcPr>
          <w:p w14:paraId="15BD3FD2" w14:textId="77777777" w:rsidR="002E72CF" w:rsidRPr="002E72CF" w:rsidRDefault="002E72CF" w:rsidP="002E72CF">
            <w:pPr>
              <w:spacing w:after="0" w:line="240" w:lineRule="auto"/>
              <w:rPr>
                <w:rFonts w:eastAsia="Times New Roman" w:cstheme="minorHAnsi"/>
                <w:b/>
                <w:bCs/>
                <w:sz w:val="24"/>
                <w:szCs w:val="24"/>
              </w:rPr>
            </w:pPr>
            <w:r w:rsidRPr="002E72CF">
              <w:rPr>
                <w:rFonts w:eastAsia="Times New Roman" w:cstheme="minorHAnsi"/>
                <w:b/>
                <w:bCs/>
                <w:sz w:val="24"/>
                <w:szCs w:val="24"/>
              </w:rPr>
              <w:t>NVP alone</w:t>
            </w:r>
          </w:p>
        </w:tc>
        <w:tc>
          <w:tcPr>
            <w:tcW w:w="2672" w:type="dxa"/>
            <w:tcBorders>
              <w:top w:val="single" w:sz="4" w:space="0" w:color="auto"/>
              <w:left w:val="nil"/>
              <w:bottom w:val="single" w:sz="4" w:space="0" w:color="auto"/>
              <w:right w:val="nil"/>
            </w:tcBorders>
            <w:shd w:val="clear" w:color="auto" w:fill="auto"/>
            <w:noWrap/>
            <w:vAlign w:val="bottom"/>
            <w:hideMark/>
          </w:tcPr>
          <w:p w14:paraId="18462519" w14:textId="77777777" w:rsidR="002E72CF" w:rsidRPr="002E72CF" w:rsidRDefault="002E72CF" w:rsidP="002E72CF">
            <w:pPr>
              <w:spacing w:after="0" w:line="240" w:lineRule="auto"/>
              <w:rPr>
                <w:rFonts w:eastAsia="Times New Roman" w:cstheme="minorHAnsi"/>
                <w:b/>
                <w:bCs/>
                <w:sz w:val="24"/>
                <w:szCs w:val="24"/>
              </w:rPr>
            </w:pPr>
            <w:r w:rsidRPr="002E72CF">
              <w:rPr>
                <w:rFonts w:eastAsia="Times New Roman" w:cstheme="minorHAnsi"/>
                <w:b/>
                <w:bCs/>
                <w:sz w:val="24"/>
                <w:szCs w:val="24"/>
              </w:rPr>
              <w:t>NVP + AL</w:t>
            </w:r>
          </w:p>
        </w:tc>
        <w:tc>
          <w:tcPr>
            <w:tcW w:w="2769" w:type="dxa"/>
            <w:vMerge w:val="restart"/>
            <w:tcBorders>
              <w:top w:val="single" w:sz="4" w:space="0" w:color="auto"/>
              <w:left w:val="nil"/>
              <w:bottom w:val="nil"/>
              <w:right w:val="nil"/>
            </w:tcBorders>
            <w:shd w:val="clear" w:color="auto" w:fill="auto"/>
            <w:vAlign w:val="center"/>
            <w:hideMark/>
          </w:tcPr>
          <w:p w14:paraId="5609E056" w14:textId="77777777" w:rsidR="002E72CF" w:rsidRPr="002E72CF" w:rsidRDefault="002E72CF" w:rsidP="002E72CF">
            <w:pPr>
              <w:spacing w:after="0" w:line="240" w:lineRule="auto"/>
              <w:rPr>
                <w:rFonts w:eastAsia="Times New Roman" w:cstheme="minorHAnsi"/>
                <w:b/>
                <w:bCs/>
                <w:sz w:val="24"/>
                <w:szCs w:val="24"/>
              </w:rPr>
            </w:pPr>
            <w:r w:rsidRPr="002E72CF">
              <w:rPr>
                <w:rFonts w:eastAsia="Times New Roman" w:cstheme="minorHAnsi"/>
                <w:b/>
                <w:bCs/>
                <w:sz w:val="24"/>
                <w:szCs w:val="24"/>
              </w:rPr>
              <w:t xml:space="preserve">GMR (90% </w:t>
            </w:r>
            <w:proofErr w:type="gramStart"/>
            <w:r w:rsidRPr="002E72CF">
              <w:rPr>
                <w:rFonts w:eastAsia="Times New Roman" w:cstheme="minorHAnsi"/>
                <w:b/>
                <w:bCs/>
                <w:sz w:val="24"/>
                <w:szCs w:val="24"/>
              </w:rPr>
              <w:t>CI)*</w:t>
            </w:r>
            <w:proofErr w:type="gramEnd"/>
          </w:p>
        </w:tc>
      </w:tr>
      <w:tr w:rsidR="002E72CF" w:rsidRPr="002E72CF" w14:paraId="18A5676B" w14:textId="77777777" w:rsidTr="00FE2D6B">
        <w:trPr>
          <w:trHeight w:val="345"/>
        </w:trPr>
        <w:tc>
          <w:tcPr>
            <w:tcW w:w="3212" w:type="dxa"/>
            <w:vMerge/>
            <w:tcBorders>
              <w:top w:val="nil"/>
              <w:left w:val="nil"/>
              <w:bottom w:val="single" w:sz="4" w:space="0" w:color="auto"/>
              <w:right w:val="nil"/>
            </w:tcBorders>
            <w:vAlign w:val="center"/>
            <w:hideMark/>
          </w:tcPr>
          <w:p w14:paraId="3D7601DA" w14:textId="77777777" w:rsidR="002E72CF" w:rsidRPr="002E72CF" w:rsidRDefault="002E72CF" w:rsidP="002E72CF">
            <w:pPr>
              <w:spacing w:after="0" w:line="240" w:lineRule="auto"/>
              <w:rPr>
                <w:rFonts w:eastAsia="Times New Roman" w:cstheme="minorHAnsi"/>
                <w:b/>
                <w:bCs/>
                <w:sz w:val="24"/>
                <w:szCs w:val="24"/>
              </w:rPr>
            </w:pPr>
          </w:p>
        </w:tc>
        <w:tc>
          <w:tcPr>
            <w:tcW w:w="5400" w:type="dxa"/>
            <w:gridSpan w:val="2"/>
            <w:tcBorders>
              <w:top w:val="single" w:sz="4" w:space="0" w:color="auto"/>
              <w:left w:val="nil"/>
              <w:bottom w:val="single" w:sz="4" w:space="0" w:color="auto"/>
              <w:right w:val="nil"/>
            </w:tcBorders>
            <w:shd w:val="clear" w:color="auto" w:fill="auto"/>
            <w:noWrap/>
            <w:vAlign w:val="bottom"/>
            <w:hideMark/>
          </w:tcPr>
          <w:p w14:paraId="7331ECAC" w14:textId="77777777" w:rsidR="002E72CF" w:rsidRPr="002E72CF" w:rsidRDefault="002E72CF" w:rsidP="002E72CF">
            <w:pPr>
              <w:spacing w:after="0" w:line="240" w:lineRule="auto"/>
              <w:jc w:val="center"/>
              <w:rPr>
                <w:rFonts w:eastAsia="Times New Roman" w:cstheme="minorHAnsi"/>
                <w:sz w:val="24"/>
                <w:szCs w:val="24"/>
              </w:rPr>
            </w:pPr>
            <w:r w:rsidRPr="002E72CF">
              <w:rPr>
                <w:rFonts w:eastAsia="Times New Roman" w:cstheme="minorHAnsi"/>
                <w:sz w:val="24"/>
                <w:szCs w:val="24"/>
              </w:rPr>
              <w:t>All Patients (n = 29)</w:t>
            </w:r>
          </w:p>
        </w:tc>
        <w:tc>
          <w:tcPr>
            <w:tcW w:w="2769" w:type="dxa"/>
            <w:vMerge/>
            <w:tcBorders>
              <w:top w:val="nil"/>
              <w:left w:val="nil"/>
              <w:bottom w:val="single" w:sz="4" w:space="0" w:color="auto"/>
              <w:right w:val="nil"/>
            </w:tcBorders>
            <w:vAlign w:val="center"/>
            <w:hideMark/>
          </w:tcPr>
          <w:p w14:paraId="5D517293" w14:textId="77777777" w:rsidR="002E72CF" w:rsidRPr="002E72CF" w:rsidRDefault="002E72CF" w:rsidP="002E72CF">
            <w:pPr>
              <w:spacing w:after="0" w:line="240" w:lineRule="auto"/>
              <w:rPr>
                <w:rFonts w:eastAsia="Times New Roman" w:cstheme="minorHAnsi"/>
                <w:b/>
                <w:bCs/>
                <w:sz w:val="24"/>
                <w:szCs w:val="24"/>
              </w:rPr>
            </w:pPr>
          </w:p>
        </w:tc>
      </w:tr>
      <w:tr w:rsidR="002E72CF" w:rsidRPr="002E72CF" w14:paraId="49FA6A39" w14:textId="77777777" w:rsidTr="00FE2D6B">
        <w:trPr>
          <w:trHeight w:val="345"/>
        </w:trPr>
        <w:tc>
          <w:tcPr>
            <w:tcW w:w="3212" w:type="dxa"/>
            <w:tcBorders>
              <w:top w:val="single" w:sz="4" w:space="0" w:color="auto"/>
              <w:left w:val="nil"/>
              <w:bottom w:val="nil"/>
              <w:right w:val="nil"/>
            </w:tcBorders>
            <w:shd w:val="clear" w:color="auto" w:fill="auto"/>
            <w:vAlign w:val="bottom"/>
            <w:hideMark/>
          </w:tcPr>
          <w:p w14:paraId="1C7D2A92" w14:textId="77777777" w:rsidR="002E72CF" w:rsidRPr="002E72CF" w:rsidRDefault="002E72CF" w:rsidP="002E72CF">
            <w:pPr>
              <w:spacing w:after="0" w:line="240" w:lineRule="auto"/>
              <w:rPr>
                <w:rFonts w:eastAsia="Times New Roman" w:cstheme="minorHAnsi"/>
                <w:sz w:val="24"/>
                <w:szCs w:val="24"/>
              </w:rPr>
            </w:pPr>
            <w:proofErr w:type="spellStart"/>
            <w:r w:rsidRPr="002E72CF">
              <w:rPr>
                <w:rFonts w:eastAsia="Times New Roman" w:cstheme="minorHAnsi"/>
                <w:sz w:val="24"/>
                <w:szCs w:val="24"/>
              </w:rPr>
              <w:t>C</w:t>
            </w:r>
            <w:r w:rsidRPr="002E72CF">
              <w:rPr>
                <w:rFonts w:eastAsia="Times New Roman" w:cstheme="minorHAnsi"/>
                <w:sz w:val="24"/>
                <w:szCs w:val="24"/>
                <w:vertAlign w:val="subscript"/>
              </w:rPr>
              <w:t>trough</w:t>
            </w:r>
            <w:proofErr w:type="spellEnd"/>
            <w:r w:rsidRPr="002E72CF">
              <w:rPr>
                <w:rFonts w:eastAsia="Times New Roman" w:cstheme="minorHAnsi"/>
                <w:sz w:val="24"/>
                <w:szCs w:val="24"/>
              </w:rPr>
              <w:t xml:space="preserve"> (ng ml</w:t>
            </w:r>
            <w:r w:rsidRPr="002E72CF">
              <w:rPr>
                <w:rFonts w:eastAsia="Times New Roman" w:cstheme="minorHAnsi"/>
                <w:sz w:val="24"/>
                <w:szCs w:val="24"/>
                <w:vertAlign w:val="superscript"/>
              </w:rPr>
              <w:t>-1</w:t>
            </w:r>
            <w:r w:rsidRPr="002E72CF">
              <w:rPr>
                <w:rFonts w:eastAsia="Times New Roman" w:cstheme="minorHAnsi"/>
                <w:sz w:val="24"/>
                <w:szCs w:val="24"/>
              </w:rPr>
              <w:t>)</w:t>
            </w:r>
          </w:p>
        </w:tc>
        <w:tc>
          <w:tcPr>
            <w:tcW w:w="2728" w:type="dxa"/>
            <w:tcBorders>
              <w:top w:val="single" w:sz="4" w:space="0" w:color="auto"/>
              <w:left w:val="nil"/>
              <w:bottom w:val="nil"/>
              <w:right w:val="nil"/>
            </w:tcBorders>
            <w:shd w:val="clear" w:color="auto" w:fill="auto"/>
            <w:noWrap/>
            <w:vAlign w:val="bottom"/>
            <w:hideMark/>
          </w:tcPr>
          <w:p w14:paraId="08D6ED72" w14:textId="77777777" w:rsidR="002E72CF" w:rsidRPr="002E72CF" w:rsidRDefault="002E72CF" w:rsidP="002E72CF">
            <w:pPr>
              <w:spacing w:after="0" w:line="240" w:lineRule="auto"/>
              <w:rPr>
                <w:rFonts w:eastAsia="Times New Roman" w:cstheme="minorHAnsi"/>
                <w:sz w:val="24"/>
                <w:szCs w:val="24"/>
              </w:rPr>
            </w:pPr>
            <w:r w:rsidRPr="002E72CF">
              <w:rPr>
                <w:rFonts w:eastAsia="Times New Roman" w:cstheme="minorHAnsi"/>
                <w:sz w:val="24"/>
                <w:szCs w:val="24"/>
              </w:rPr>
              <w:t>5 071 (2 468)</w:t>
            </w:r>
          </w:p>
        </w:tc>
        <w:tc>
          <w:tcPr>
            <w:tcW w:w="2672" w:type="dxa"/>
            <w:tcBorders>
              <w:top w:val="single" w:sz="4" w:space="0" w:color="auto"/>
              <w:left w:val="nil"/>
              <w:bottom w:val="nil"/>
              <w:right w:val="nil"/>
            </w:tcBorders>
            <w:shd w:val="clear" w:color="auto" w:fill="auto"/>
            <w:noWrap/>
            <w:vAlign w:val="bottom"/>
            <w:hideMark/>
          </w:tcPr>
          <w:p w14:paraId="385FF00D" w14:textId="77777777" w:rsidR="002E72CF" w:rsidRPr="002E72CF" w:rsidRDefault="002E72CF" w:rsidP="002E72CF">
            <w:pPr>
              <w:spacing w:after="0" w:line="240" w:lineRule="auto"/>
              <w:rPr>
                <w:rFonts w:eastAsia="Times New Roman" w:cstheme="minorHAnsi"/>
                <w:sz w:val="24"/>
                <w:szCs w:val="24"/>
              </w:rPr>
            </w:pPr>
            <w:r w:rsidRPr="002E72CF">
              <w:rPr>
                <w:rFonts w:eastAsia="Times New Roman" w:cstheme="minorHAnsi"/>
                <w:sz w:val="24"/>
                <w:szCs w:val="24"/>
              </w:rPr>
              <w:t>4 832 (2 494)</w:t>
            </w:r>
          </w:p>
        </w:tc>
        <w:tc>
          <w:tcPr>
            <w:tcW w:w="2769" w:type="dxa"/>
            <w:tcBorders>
              <w:top w:val="single" w:sz="4" w:space="0" w:color="auto"/>
              <w:left w:val="nil"/>
              <w:bottom w:val="nil"/>
              <w:right w:val="nil"/>
            </w:tcBorders>
            <w:shd w:val="clear" w:color="auto" w:fill="auto"/>
            <w:vAlign w:val="center"/>
            <w:hideMark/>
          </w:tcPr>
          <w:p w14:paraId="5389010E" w14:textId="77777777" w:rsidR="002E72CF" w:rsidRPr="002E72CF" w:rsidRDefault="002E72CF" w:rsidP="002E72CF">
            <w:pPr>
              <w:spacing w:after="0" w:line="240" w:lineRule="auto"/>
              <w:rPr>
                <w:rFonts w:eastAsia="Times New Roman" w:cstheme="minorHAnsi"/>
                <w:sz w:val="24"/>
                <w:szCs w:val="24"/>
              </w:rPr>
            </w:pPr>
            <w:r w:rsidRPr="002E72CF">
              <w:rPr>
                <w:rFonts w:eastAsia="Times New Roman" w:cstheme="minorHAnsi"/>
                <w:sz w:val="24"/>
                <w:szCs w:val="24"/>
              </w:rPr>
              <w:t>0.95 (0.91 - 0.99)</w:t>
            </w:r>
          </w:p>
        </w:tc>
      </w:tr>
      <w:tr w:rsidR="002E72CF" w:rsidRPr="002E72CF" w14:paraId="7115BB93" w14:textId="77777777" w:rsidTr="00FE2D6B">
        <w:trPr>
          <w:trHeight w:val="345"/>
        </w:trPr>
        <w:tc>
          <w:tcPr>
            <w:tcW w:w="3212" w:type="dxa"/>
            <w:tcBorders>
              <w:top w:val="nil"/>
              <w:left w:val="nil"/>
              <w:bottom w:val="nil"/>
              <w:right w:val="nil"/>
            </w:tcBorders>
            <w:shd w:val="clear" w:color="auto" w:fill="auto"/>
            <w:noWrap/>
            <w:vAlign w:val="bottom"/>
            <w:hideMark/>
          </w:tcPr>
          <w:p w14:paraId="26C9FB61" w14:textId="77777777" w:rsidR="002E72CF" w:rsidRPr="002E72CF" w:rsidRDefault="002E72CF" w:rsidP="002E72CF">
            <w:pPr>
              <w:spacing w:after="0" w:line="240" w:lineRule="auto"/>
              <w:rPr>
                <w:rFonts w:eastAsia="Times New Roman" w:cstheme="minorHAnsi"/>
                <w:sz w:val="24"/>
                <w:szCs w:val="24"/>
              </w:rPr>
            </w:pPr>
            <w:r w:rsidRPr="002E72CF">
              <w:rPr>
                <w:rFonts w:eastAsia="Times New Roman" w:cstheme="minorHAnsi"/>
                <w:sz w:val="24"/>
                <w:szCs w:val="24"/>
              </w:rPr>
              <w:t>C</w:t>
            </w:r>
            <w:r w:rsidRPr="002E72CF">
              <w:rPr>
                <w:rFonts w:eastAsia="Times New Roman" w:cstheme="minorHAnsi"/>
                <w:sz w:val="24"/>
                <w:szCs w:val="24"/>
                <w:vertAlign w:val="subscript"/>
              </w:rPr>
              <w:t xml:space="preserve">max </w:t>
            </w:r>
            <w:r w:rsidRPr="002E72CF">
              <w:rPr>
                <w:rFonts w:eastAsia="Times New Roman" w:cstheme="minorHAnsi"/>
                <w:sz w:val="24"/>
                <w:szCs w:val="24"/>
              </w:rPr>
              <w:t>(ng ml</w:t>
            </w:r>
            <w:r w:rsidRPr="002E72CF">
              <w:rPr>
                <w:rFonts w:eastAsia="Times New Roman" w:cstheme="minorHAnsi"/>
                <w:sz w:val="24"/>
                <w:szCs w:val="24"/>
                <w:vertAlign w:val="superscript"/>
              </w:rPr>
              <w:t>-1</w:t>
            </w:r>
            <w:r w:rsidRPr="002E72CF">
              <w:rPr>
                <w:rFonts w:eastAsia="Times New Roman" w:cstheme="minorHAnsi"/>
                <w:sz w:val="24"/>
                <w:szCs w:val="24"/>
              </w:rPr>
              <w:t>)</w:t>
            </w:r>
          </w:p>
        </w:tc>
        <w:tc>
          <w:tcPr>
            <w:tcW w:w="2728" w:type="dxa"/>
            <w:tcBorders>
              <w:top w:val="nil"/>
              <w:left w:val="nil"/>
              <w:bottom w:val="nil"/>
              <w:right w:val="nil"/>
            </w:tcBorders>
            <w:shd w:val="clear" w:color="auto" w:fill="auto"/>
            <w:noWrap/>
            <w:vAlign w:val="bottom"/>
            <w:hideMark/>
          </w:tcPr>
          <w:p w14:paraId="2DBD7694" w14:textId="77777777" w:rsidR="002E72CF" w:rsidRPr="002E72CF" w:rsidRDefault="002E72CF" w:rsidP="002E72CF">
            <w:pPr>
              <w:spacing w:after="0" w:line="240" w:lineRule="auto"/>
              <w:rPr>
                <w:rFonts w:eastAsia="Times New Roman" w:cstheme="minorHAnsi"/>
                <w:sz w:val="24"/>
                <w:szCs w:val="24"/>
              </w:rPr>
            </w:pPr>
            <w:r w:rsidRPr="002E72CF">
              <w:rPr>
                <w:rFonts w:eastAsia="Times New Roman" w:cstheme="minorHAnsi"/>
                <w:sz w:val="24"/>
                <w:szCs w:val="24"/>
              </w:rPr>
              <w:t>7 770 (2 992)</w:t>
            </w:r>
          </w:p>
        </w:tc>
        <w:tc>
          <w:tcPr>
            <w:tcW w:w="2672" w:type="dxa"/>
            <w:tcBorders>
              <w:top w:val="nil"/>
              <w:left w:val="nil"/>
              <w:bottom w:val="nil"/>
              <w:right w:val="nil"/>
            </w:tcBorders>
            <w:shd w:val="clear" w:color="auto" w:fill="auto"/>
            <w:noWrap/>
            <w:vAlign w:val="bottom"/>
            <w:hideMark/>
          </w:tcPr>
          <w:p w14:paraId="587AEA66" w14:textId="77777777" w:rsidR="002E72CF" w:rsidRPr="002E72CF" w:rsidRDefault="002E72CF" w:rsidP="002E72CF">
            <w:pPr>
              <w:spacing w:after="0" w:line="240" w:lineRule="auto"/>
              <w:rPr>
                <w:rFonts w:eastAsia="Times New Roman" w:cstheme="minorHAnsi"/>
                <w:sz w:val="24"/>
                <w:szCs w:val="24"/>
              </w:rPr>
            </w:pPr>
            <w:r w:rsidRPr="002E72CF">
              <w:rPr>
                <w:rFonts w:eastAsia="Times New Roman" w:cstheme="minorHAnsi"/>
                <w:sz w:val="24"/>
                <w:szCs w:val="24"/>
              </w:rPr>
              <w:t>7 064 (2 973)</w:t>
            </w:r>
          </w:p>
        </w:tc>
        <w:tc>
          <w:tcPr>
            <w:tcW w:w="2769" w:type="dxa"/>
            <w:tcBorders>
              <w:top w:val="nil"/>
              <w:left w:val="nil"/>
              <w:bottom w:val="nil"/>
              <w:right w:val="nil"/>
            </w:tcBorders>
            <w:shd w:val="clear" w:color="auto" w:fill="auto"/>
            <w:noWrap/>
            <w:vAlign w:val="bottom"/>
            <w:hideMark/>
          </w:tcPr>
          <w:p w14:paraId="7E7F34B3" w14:textId="77777777" w:rsidR="002E72CF" w:rsidRPr="002E72CF" w:rsidRDefault="002E72CF" w:rsidP="002E72CF">
            <w:pPr>
              <w:spacing w:after="0" w:line="240" w:lineRule="auto"/>
              <w:rPr>
                <w:rFonts w:eastAsia="Times New Roman" w:cstheme="minorHAnsi"/>
                <w:sz w:val="24"/>
                <w:szCs w:val="24"/>
              </w:rPr>
            </w:pPr>
            <w:r w:rsidRPr="002E72CF">
              <w:rPr>
                <w:rFonts w:eastAsia="Times New Roman" w:cstheme="minorHAnsi"/>
                <w:sz w:val="24"/>
                <w:szCs w:val="24"/>
              </w:rPr>
              <w:t>0.91 (0.87 - 0.95)</w:t>
            </w:r>
          </w:p>
        </w:tc>
      </w:tr>
      <w:tr w:rsidR="002E72CF" w:rsidRPr="002E72CF" w14:paraId="7738493B" w14:textId="77777777" w:rsidTr="00FE2D6B">
        <w:trPr>
          <w:trHeight w:val="345"/>
        </w:trPr>
        <w:tc>
          <w:tcPr>
            <w:tcW w:w="3212" w:type="dxa"/>
            <w:tcBorders>
              <w:top w:val="nil"/>
              <w:left w:val="nil"/>
              <w:bottom w:val="nil"/>
              <w:right w:val="nil"/>
            </w:tcBorders>
            <w:shd w:val="clear" w:color="auto" w:fill="auto"/>
            <w:noWrap/>
            <w:vAlign w:val="bottom"/>
            <w:hideMark/>
          </w:tcPr>
          <w:p w14:paraId="69C9DCAD" w14:textId="77777777" w:rsidR="002E72CF" w:rsidRPr="002E72CF" w:rsidRDefault="002E72CF" w:rsidP="002E72CF">
            <w:pPr>
              <w:spacing w:after="0" w:line="240" w:lineRule="auto"/>
              <w:rPr>
                <w:rFonts w:eastAsia="Times New Roman" w:cstheme="minorHAnsi"/>
                <w:sz w:val="24"/>
                <w:szCs w:val="24"/>
              </w:rPr>
            </w:pPr>
            <w:proofErr w:type="spellStart"/>
            <w:r w:rsidRPr="002E72CF">
              <w:rPr>
                <w:rFonts w:eastAsia="Times New Roman" w:cstheme="minorHAnsi"/>
                <w:sz w:val="24"/>
                <w:szCs w:val="24"/>
              </w:rPr>
              <w:t>T</w:t>
            </w:r>
            <w:r w:rsidRPr="002E72CF">
              <w:rPr>
                <w:rFonts w:eastAsia="Times New Roman" w:cstheme="minorHAnsi"/>
                <w:sz w:val="24"/>
                <w:szCs w:val="24"/>
                <w:vertAlign w:val="subscript"/>
              </w:rPr>
              <w:t>max</w:t>
            </w:r>
            <w:proofErr w:type="spellEnd"/>
            <w:r w:rsidRPr="002E72CF">
              <w:rPr>
                <w:rFonts w:eastAsia="Times New Roman" w:cstheme="minorHAnsi"/>
                <w:sz w:val="24"/>
                <w:szCs w:val="24"/>
                <w:vertAlign w:val="subscript"/>
              </w:rPr>
              <w:t xml:space="preserve"> </w:t>
            </w:r>
            <w:r w:rsidRPr="002E72CF">
              <w:rPr>
                <w:rFonts w:eastAsia="Times New Roman" w:cstheme="minorHAnsi"/>
                <w:sz w:val="24"/>
                <w:szCs w:val="24"/>
              </w:rPr>
              <w:t>(h)</w:t>
            </w:r>
          </w:p>
        </w:tc>
        <w:tc>
          <w:tcPr>
            <w:tcW w:w="2728" w:type="dxa"/>
            <w:tcBorders>
              <w:top w:val="nil"/>
              <w:left w:val="nil"/>
              <w:bottom w:val="nil"/>
              <w:right w:val="nil"/>
            </w:tcBorders>
            <w:shd w:val="clear" w:color="auto" w:fill="auto"/>
            <w:noWrap/>
            <w:vAlign w:val="bottom"/>
            <w:hideMark/>
          </w:tcPr>
          <w:p w14:paraId="0023D6CE" w14:textId="77777777" w:rsidR="002E72CF" w:rsidRPr="002E72CF" w:rsidRDefault="002E72CF" w:rsidP="002E72CF">
            <w:pPr>
              <w:spacing w:after="0" w:line="240" w:lineRule="auto"/>
              <w:rPr>
                <w:rFonts w:eastAsia="Times New Roman" w:cstheme="minorHAnsi"/>
                <w:sz w:val="24"/>
                <w:szCs w:val="24"/>
              </w:rPr>
            </w:pPr>
            <w:r w:rsidRPr="002E72CF">
              <w:rPr>
                <w:rFonts w:eastAsia="Times New Roman" w:cstheme="minorHAnsi"/>
                <w:sz w:val="24"/>
                <w:szCs w:val="24"/>
              </w:rPr>
              <w:t>1.83 (1.16)</w:t>
            </w:r>
          </w:p>
        </w:tc>
        <w:tc>
          <w:tcPr>
            <w:tcW w:w="2672" w:type="dxa"/>
            <w:tcBorders>
              <w:top w:val="nil"/>
              <w:left w:val="nil"/>
              <w:bottom w:val="nil"/>
              <w:right w:val="nil"/>
            </w:tcBorders>
            <w:shd w:val="clear" w:color="auto" w:fill="auto"/>
            <w:noWrap/>
            <w:vAlign w:val="bottom"/>
            <w:hideMark/>
          </w:tcPr>
          <w:p w14:paraId="79F45D45" w14:textId="77777777" w:rsidR="002E72CF" w:rsidRPr="002E72CF" w:rsidRDefault="002E72CF" w:rsidP="002E72CF">
            <w:pPr>
              <w:spacing w:after="0" w:line="240" w:lineRule="auto"/>
              <w:rPr>
                <w:rFonts w:eastAsia="Times New Roman" w:cstheme="minorHAnsi"/>
                <w:sz w:val="24"/>
                <w:szCs w:val="24"/>
              </w:rPr>
            </w:pPr>
            <w:r w:rsidRPr="002E72CF">
              <w:rPr>
                <w:rFonts w:eastAsia="Times New Roman" w:cstheme="minorHAnsi"/>
                <w:sz w:val="24"/>
                <w:szCs w:val="24"/>
              </w:rPr>
              <w:t>1.71 (1.06)</w:t>
            </w:r>
          </w:p>
        </w:tc>
        <w:tc>
          <w:tcPr>
            <w:tcW w:w="2769" w:type="dxa"/>
            <w:tcBorders>
              <w:top w:val="nil"/>
              <w:left w:val="nil"/>
              <w:bottom w:val="nil"/>
              <w:right w:val="nil"/>
            </w:tcBorders>
            <w:shd w:val="clear" w:color="auto" w:fill="auto"/>
            <w:noWrap/>
            <w:vAlign w:val="bottom"/>
            <w:hideMark/>
          </w:tcPr>
          <w:p w14:paraId="2EAB285D" w14:textId="77777777" w:rsidR="002E72CF" w:rsidRPr="002E72CF" w:rsidRDefault="002E72CF" w:rsidP="002E72CF">
            <w:pPr>
              <w:spacing w:after="0" w:line="240" w:lineRule="auto"/>
              <w:rPr>
                <w:rFonts w:eastAsia="Times New Roman" w:cstheme="minorHAnsi"/>
                <w:sz w:val="24"/>
                <w:szCs w:val="24"/>
              </w:rPr>
            </w:pPr>
            <w:r w:rsidRPr="002E72CF">
              <w:rPr>
                <w:rFonts w:eastAsia="Times New Roman" w:cstheme="minorHAnsi"/>
                <w:sz w:val="24"/>
                <w:szCs w:val="24"/>
              </w:rPr>
              <w:t>0.94 (0.74 - 1.13)</w:t>
            </w:r>
          </w:p>
        </w:tc>
      </w:tr>
      <w:tr w:rsidR="002E72CF" w:rsidRPr="002E72CF" w14:paraId="0D0C6118" w14:textId="77777777" w:rsidTr="00FE2D6B">
        <w:trPr>
          <w:trHeight w:val="345"/>
        </w:trPr>
        <w:tc>
          <w:tcPr>
            <w:tcW w:w="3212" w:type="dxa"/>
            <w:tcBorders>
              <w:top w:val="nil"/>
              <w:left w:val="nil"/>
              <w:bottom w:val="nil"/>
              <w:right w:val="nil"/>
            </w:tcBorders>
            <w:shd w:val="clear" w:color="auto" w:fill="auto"/>
            <w:noWrap/>
            <w:vAlign w:val="bottom"/>
            <w:hideMark/>
          </w:tcPr>
          <w:p w14:paraId="455E4748" w14:textId="77777777" w:rsidR="002E72CF" w:rsidRPr="002E72CF" w:rsidRDefault="002E72CF" w:rsidP="002E72CF">
            <w:pPr>
              <w:spacing w:after="0" w:line="240" w:lineRule="auto"/>
              <w:rPr>
                <w:rFonts w:eastAsia="Times New Roman" w:cstheme="minorHAnsi"/>
                <w:sz w:val="24"/>
                <w:szCs w:val="24"/>
              </w:rPr>
            </w:pPr>
            <w:r w:rsidRPr="002E72CF">
              <w:rPr>
                <w:rFonts w:eastAsia="Times New Roman" w:cstheme="minorHAnsi"/>
                <w:sz w:val="24"/>
                <w:szCs w:val="24"/>
              </w:rPr>
              <w:t>AUC</w:t>
            </w:r>
            <w:r w:rsidRPr="002E72CF">
              <w:rPr>
                <w:rFonts w:eastAsia="Times New Roman" w:cstheme="minorHAnsi"/>
                <w:sz w:val="24"/>
                <w:szCs w:val="24"/>
                <w:vertAlign w:val="subscript"/>
              </w:rPr>
              <w:t xml:space="preserve">0-12 </w:t>
            </w:r>
            <w:r w:rsidRPr="002E72CF">
              <w:rPr>
                <w:rFonts w:eastAsia="Times New Roman" w:cstheme="minorHAnsi"/>
                <w:sz w:val="24"/>
                <w:szCs w:val="24"/>
              </w:rPr>
              <w:t>(</w:t>
            </w:r>
            <w:proofErr w:type="spellStart"/>
            <w:r w:rsidRPr="002E72CF">
              <w:rPr>
                <w:rFonts w:eastAsia="Times New Roman" w:cstheme="minorHAnsi"/>
                <w:sz w:val="24"/>
                <w:szCs w:val="24"/>
              </w:rPr>
              <w:t>ng</w:t>
            </w:r>
            <w:r w:rsidRPr="002E72CF">
              <w:rPr>
                <w:rFonts w:eastAsia="Times New Roman" w:cstheme="minorHAnsi"/>
                <w:b/>
                <w:bCs/>
                <w:sz w:val="24"/>
                <w:szCs w:val="24"/>
              </w:rPr>
              <w:t>·</w:t>
            </w:r>
            <w:r w:rsidRPr="002E72CF">
              <w:rPr>
                <w:rFonts w:eastAsia="Times New Roman" w:cstheme="minorHAnsi"/>
                <w:sz w:val="24"/>
                <w:szCs w:val="24"/>
              </w:rPr>
              <w:t>h</w:t>
            </w:r>
            <w:proofErr w:type="spellEnd"/>
            <w:r w:rsidRPr="002E72CF">
              <w:rPr>
                <w:rFonts w:eastAsia="Times New Roman" w:cstheme="minorHAnsi"/>
                <w:sz w:val="24"/>
                <w:szCs w:val="24"/>
              </w:rPr>
              <w:t xml:space="preserve"> ml</w:t>
            </w:r>
            <w:r w:rsidRPr="002E72CF">
              <w:rPr>
                <w:rFonts w:eastAsia="Times New Roman" w:cstheme="minorHAnsi"/>
                <w:sz w:val="24"/>
                <w:szCs w:val="24"/>
                <w:vertAlign w:val="superscript"/>
              </w:rPr>
              <w:t>-1</w:t>
            </w:r>
            <w:r w:rsidRPr="002E72CF">
              <w:rPr>
                <w:rFonts w:eastAsia="Times New Roman" w:cstheme="minorHAnsi"/>
                <w:sz w:val="24"/>
                <w:szCs w:val="24"/>
              </w:rPr>
              <w:t>)</w:t>
            </w:r>
          </w:p>
        </w:tc>
        <w:tc>
          <w:tcPr>
            <w:tcW w:w="2728" w:type="dxa"/>
            <w:tcBorders>
              <w:top w:val="nil"/>
              <w:left w:val="nil"/>
              <w:bottom w:val="nil"/>
              <w:right w:val="nil"/>
            </w:tcBorders>
            <w:shd w:val="clear" w:color="auto" w:fill="auto"/>
            <w:noWrap/>
            <w:vAlign w:val="bottom"/>
            <w:hideMark/>
          </w:tcPr>
          <w:p w14:paraId="4CE16FE5" w14:textId="77777777" w:rsidR="002E72CF" w:rsidRPr="002E72CF" w:rsidRDefault="002E72CF" w:rsidP="002E72CF">
            <w:pPr>
              <w:spacing w:after="0" w:line="240" w:lineRule="auto"/>
              <w:rPr>
                <w:rFonts w:eastAsia="Times New Roman" w:cstheme="minorHAnsi"/>
                <w:sz w:val="24"/>
                <w:szCs w:val="24"/>
              </w:rPr>
            </w:pPr>
            <w:r w:rsidRPr="002E72CF">
              <w:rPr>
                <w:rFonts w:eastAsia="Times New Roman" w:cstheme="minorHAnsi"/>
                <w:sz w:val="24"/>
                <w:szCs w:val="24"/>
              </w:rPr>
              <w:t>72 312 (29 022)</w:t>
            </w:r>
          </w:p>
        </w:tc>
        <w:tc>
          <w:tcPr>
            <w:tcW w:w="2672" w:type="dxa"/>
            <w:tcBorders>
              <w:top w:val="nil"/>
              <w:left w:val="nil"/>
              <w:bottom w:val="nil"/>
              <w:right w:val="nil"/>
            </w:tcBorders>
            <w:shd w:val="clear" w:color="auto" w:fill="auto"/>
            <w:noWrap/>
            <w:vAlign w:val="bottom"/>
            <w:hideMark/>
          </w:tcPr>
          <w:p w14:paraId="7F8E7CC1" w14:textId="77777777" w:rsidR="002E72CF" w:rsidRPr="002E72CF" w:rsidRDefault="002E72CF" w:rsidP="002E72CF">
            <w:pPr>
              <w:spacing w:after="0" w:line="240" w:lineRule="auto"/>
              <w:rPr>
                <w:rFonts w:eastAsia="Times New Roman" w:cstheme="minorHAnsi"/>
                <w:sz w:val="24"/>
                <w:szCs w:val="24"/>
              </w:rPr>
            </w:pPr>
            <w:r w:rsidRPr="002E72CF">
              <w:rPr>
                <w:rFonts w:eastAsia="Times New Roman" w:cstheme="minorHAnsi"/>
                <w:sz w:val="24"/>
                <w:szCs w:val="24"/>
              </w:rPr>
              <w:t>67 025 (31 115)</w:t>
            </w:r>
          </w:p>
        </w:tc>
        <w:tc>
          <w:tcPr>
            <w:tcW w:w="2769" w:type="dxa"/>
            <w:tcBorders>
              <w:top w:val="nil"/>
              <w:left w:val="nil"/>
              <w:bottom w:val="nil"/>
              <w:right w:val="nil"/>
            </w:tcBorders>
            <w:shd w:val="clear" w:color="auto" w:fill="auto"/>
            <w:noWrap/>
            <w:vAlign w:val="bottom"/>
            <w:hideMark/>
          </w:tcPr>
          <w:p w14:paraId="1854ECC8" w14:textId="77777777" w:rsidR="002E72CF" w:rsidRPr="002E72CF" w:rsidRDefault="002E72CF" w:rsidP="002E72CF">
            <w:pPr>
              <w:spacing w:after="0" w:line="240" w:lineRule="auto"/>
              <w:rPr>
                <w:rFonts w:eastAsia="Times New Roman" w:cstheme="minorHAnsi"/>
                <w:sz w:val="24"/>
                <w:szCs w:val="24"/>
              </w:rPr>
            </w:pPr>
            <w:r w:rsidRPr="002E72CF">
              <w:rPr>
                <w:rFonts w:eastAsia="Times New Roman" w:cstheme="minorHAnsi"/>
                <w:sz w:val="24"/>
                <w:szCs w:val="24"/>
              </w:rPr>
              <w:t>0.93 (0.90 - 0.96)</w:t>
            </w:r>
          </w:p>
        </w:tc>
      </w:tr>
      <w:tr w:rsidR="002E72CF" w:rsidRPr="002E72CF" w14:paraId="61E0C359" w14:textId="77777777" w:rsidTr="00FE2D6B">
        <w:trPr>
          <w:trHeight w:val="345"/>
        </w:trPr>
        <w:tc>
          <w:tcPr>
            <w:tcW w:w="3212" w:type="dxa"/>
            <w:tcBorders>
              <w:top w:val="nil"/>
              <w:left w:val="nil"/>
              <w:bottom w:val="nil"/>
              <w:right w:val="nil"/>
            </w:tcBorders>
            <w:shd w:val="clear" w:color="auto" w:fill="auto"/>
            <w:noWrap/>
            <w:vAlign w:val="bottom"/>
            <w:hideMark/>
          </w:tcPr>
          <w:p w14:paraId="2EF57E2E" w14:textId="77777777" w:rsidR="002E72CF" w:rsidRPr="002E72CF" w:rsidRDefault="002E72CF" w:rsidP="002E72CF">
            <w:pPr>
              <w:spacing w:after="0" w:line="240" w:lineRule="auto"/>
              <w:rPr>
                <w:rFonts w:eastAsia="Times New Roman" w:cstheme="minorHAnsi"/>
                <w:sz w:val="24"/>
                <w:szCs w:val="24"/>
              </w:rPr>
            </w:pPr>
            <w:r w:rsidRPr="002E72CF">
              <w:rPr>
                <w:rFonts w:eastAsia="Times New Roman" w:cstheme="minorHAnsi"/>
                <w:sz w:val="24"/>
                <w:szCs w:val="24"/>
              </w:rPr>
              <w:t>t</w:t>
            </w:r>
            <w:r w:rsidRPr="002E72CF">
              <w:rPr>
                <w:rFonts w:eastAsia="Times New Roman" w:cstheme="minorHAnsi"/>
                <w:sz w:val="24"/>
                <w:szCs w:val="24"/>
                <w:vertAlign w:val="subscript"/>
              </w:rPr>
              <w:t xml:space="preserve">1/2 </w:t>
            </w:r>
            <w:r w:rsidRPr="002E72CF">
              <w:rPr>
                <w:rFonts w:eastAsia="Times New Roman" w:cstheme="minorHAnsi"/>
                <w:sz w:val="24"/>
                <w:szCs w:val="24"/>
              </w:rPr>
              <w:t>(h)</w:t>
            </w:r>
          </w:p>
        </w:tc>
        <w:tc>
          <w:tcPr>
            <w:tcW w:w="2728" w:type="dxa"/>
            <w:tcBorders>
              <w:top w:val="nil"/>
              <w:left w:val="nil"/>
              <w:bottom w:val="nil"/>
              <w:right w:val="nil"/>
            </w:tcBorders>
            <w:shd w:val="clear" w:color="auto" w:fill="auto"/>
            <w:noWrap/>
            <w:vAlign w:val="bottom"/>
            <w:hideMark/>
          </w:tcPr>
          <w:p w14:paraId="1AF687D9" w14:textId="77777777" w:rsidR="002E72CF" w:rsidRPr="002E72CF" w:rsidRDefault="002E72CF" w:rsidP="002E72CF">
            <w:pPr>
              <w:spacing w:after="0" w:line="240" w:lineRule="auto"/>
              <w:rPr>
                <w:rFonts w:eastAsia="Times New Roman" w:cstheme="minorHAnsi"/>
                <w:sz w:val="24"/>
                <w:szCs w:val="24"/>
              </w:rPr>
            </w:pPr>
            <w:r w:rsidRPr="002E72CF">
              <w:rPr>
                <w:rFonts w:eastAsia="Times New Roman" w:cstheme="minorHAnsi"/>
                <w:sz w:val="24"/>
                <w:szCs w:val="24"/>
              </w:rPr>
              <w:t>18 (8)</w:t>
            </w:r>
          </w:p>
        </w:tc>
        <w:tc>
          <w:tcPr>
            <w:tcW w:w="2672" w:type="dxa"/>
            <w:tcBorders>
              <w:top w:val="nil"/>
              <w:left w:val="nil"/>
              <w:bottom w:val="nil"/>
              <w:right w:val="nil"/>
            </w:tcBorders>
            <w:shd w:val="clear" w:color="auto" w:fill="auto"/>
            <w:noWrap/>
            <w:vAlign w:val="bottom"/>
            <w:hideMark/>
          </w:tcPr>
          <w:p w14:paraId="7EC66133" w14:textId="77777777" w:rsidR="002E72CF" w:rsidRPr="002E72CF" w:rsidRDefault="002E72CF" w:rsidP="002E72CF">
            <w:pPr>
              <w:spacing w:after="0" w:line="240" w:lineRule="auto"/>
              <w:rPr>
                <w:rFonts w:eastAsia="Times New Roman" w:cstheme="minorHAnsi"/>
                <w:sz w:val="24"/>
                <w:szCs w:val="24"/>
              </w:rPr>
            </w:pPr>
            <w:r w:rsidRPr="002E72CF">
              <w:rPr>
                <w:rFonts w:eastAsia="Times New Roman" w:cstheme="minorHAnsi"/>
                <w:sz w:val="24"/>
                <w:szCs w:val="24"/>
              </w:rPr>
              <w:t>21 (8)</w:t>
            </w:r>
          </w:p>
        </w:tc>
        <w:tc>
          <w:tcPr>
            <w:tcW w:w="2769" w:type="dxa"/>
            <w:tcBorders>
              <w:top w:val="nil"/>
              <w:left w:val="nil"/>
              <w:bottom w:val="nil"/>
              <w:right w:val="nil"/>
            </w:tcBorders>
            <w:shd w:val="clear" w:color="auto" w:fill="auto"/>
            <w:noWrap/>
            <w:vAlign w:val="bottom"/>
            <w:hideMark/>
          </w:tcPr>
          <w:p w14:paraId="1B8BEBC6" w14:textId="77777777" w:rsidR="002E72CF" w:rsidRPr="002E72CF" w:rsidRDefault="002E72CF" w:rsidP="002E72CF">
            <w:pPr>
              <w:spacing w:after="0" w:line="240" w:lineRule="auto"/>
              <w:rPr>
                <w:rFonts w:eastAsia="Times New Roman" w:cstheme="minorHAnsi"/>
                <w:sz w:val="24"/>
                <w:szCs w:val="24"/>
              </w:rPr>
            </w:pPr>
            <w:r w:rsidRPr="002E72CF">
              <w:rPr>
                <w:rFonts w:eastAsia="Times New Roman" w:cstheme="minorHAnsi"/>
                <w:sz w:val="24"/>
                <w:szCs w:val="24"/>
              </w:rPr>
              <w:t>1.17 (1.02 - 1.31)</w:t>
            </w:r>
          </w:p>
        </w:tc>
      </w:tr>
      <w:tr w:rsidR="002E72CF" w:rsidRPr="002E72CF" w14:paraId="034DDB31" w14:textId="77777777" w:rsidTr="00FE2D6B">
        <w:trPr>
          <w:trHeight w:val="345"/>
        </w:trPr>
        <w:tc>
          <w:tcPr>
            <w:tcW w:w="3212" w:type="dxa"/>
            <w:tcBorders>
              <w:top w:val="nil"/>
              <w:left w:val="nil"/>
              <w:bottom w:val="nil"/>
              <w:right w:val="nil"/>
            </w:tcBorders>
            <w:shd w:val="clear" w:color="auto" w:fill="auto"/>
            <w:noWrap/>
            <w:vAlign w:val="bottom"/>
            <w:hideMark/>
          </w:tcPr>
          <w:p w14:paraId="06B324EC" w14:textId="77777777" w:rsidR="002E72CF" w:rsidRPr="002E72CF" w:rsidRDefault="002E72CF" w:rsidP="002E72CF">
            <w:pPr>
              <w:spacing w:after="0" w:line="240" w:lineRule="auto"/>
              <w:rPr>
                <w:rFonts w:eastAsia="Times New Roman" w:cstheme="minorHAnsi"/>
                <w:sz w:val="24"/>
                <w:szCs w:val="24"/>
              </w:rPr>
            </w:pPr>
            <w:r w:rsidRPr="002E72CF">
              <w:rPr>
                <w:rFonts w:eastAsia="Times New Roman" w:cstheme="minorHAnsi"/>
                <w:sz w:val="24"/>
                <w:szCs w:val="24"/>
              </w:rPr>
              <w:t>CL/F (l h</w:t>
            </w:r>
            <w:r w:rsidRPr="002E72CF">
              <w:rPr>
                <w:rFonts w:eastAsia="Times New Roman" w:cstheme="minorHAnsi"/>
                <w:sz w:val="24"/>
                <w:szCs w:val="24"/>
                <w:vertAlign w:val="superscript"/>
              </w:rPr>
              <w:t>-1</w:t>
            </w:r>
            <w:r w:rsidRPr="002E72CF">
              <w:rPr>
                <w:rFonts w:eastAsia="Times New Roman" w:cstheme="minorHAnsi"/>
                <w:sz w:val="24"/>
                <w:szCs w:val="24"/>
              </w:rPr>
              <w:t>)</w:t>
            </w:r>
          </w:p>
        </w:tc>
        <w:tc>
          <w:tcPr>
            <w:tcW w:w="2728" w:type="dxa"/>
            <w:tcBorders>
              <w:top w:val="nil"/>
              <w:left w:val="nil"/>
              <w:bottom w:val="nil"/>
              <w:right w:val="nil"/>
            </w:tcBorders>
            <w:shd w:val="clear" w:color="auto" w:fill="auto"/>
            <w:noWrap/>
            <w:vAlign w:val="bottom"/>
            <w:hideMark/>
          </w:tcPr>
          <w:p w14:paraId="219C2151" w14:textId="77777777" w:rsidR="002E72CF" w:rsidRPr="002E72CF" w:rsidRDefault="002E72CF" w:rsidP="002E72CF">
            <w:pPr>
              <w:spacing w:after="0" w:line="240" w:lineRule="auto"/>
              <w:rPr>
                <w:rFonts w:eastAsia="Times New Roman" w:cstheme="minorHAnsi"/>
                <w:sz w:val="24"/>
                <w:szCs w:val="24"/>
              </w:rPr>
            </w:pPr>
            <w:r w:rsidRPr="002E72CF">
              <w:rPr>
                <w:rFonts w:eastAsia="Times New Roman" w:cstheme="minorHAnsi"/>
                <w:sz w:val="24"/>
                <w:szCs w:val="24"/>
              </w:rPr>
              <w:t>1.96 (1.23)</w:t>
            </w:r>
          </w:p>
        </w:tc>
        <w:tc>
          <w:tcPr>
            <w:tcW w:w="2672" w:type="dxa"/>
            <w:tcBorders>
              <w:top w:val="nil"/>
              <w:left w:val="nil"/>
              <w:bottom w:val="nil"/>
              <w:right w:val="nil"/>
            </w:tcBorders>
            <w:shd w:val="clear" w:color="auto" w:fill="auto"/>
            <w:noWrap/>
            <w:vAlign w:val="bottom"/>
            <w:hideMark/>
          </w:tcPr>
          <w:p w14:paraId="7DB6E103" w14:textId="77777777" w:rsidR="002E72CF" w:rsidRPr="002E72CF" w:rsidRDefault="002E72CF" w:rsidP="002E72CF">
            <w:pPr>
              <w:spacing w:after="0" w:line="240" w:lineRule="auto"/>
              <w:rPr>
                <w:rFonts w:eastAsia="Times New Roman" w:cstheme="minorHAnsi"/>
                <w:sz w:val="24"/>
                <w:szCs w:val="24"/>
              </w:rPr>
            </w:pPr>
            <w:r w:rsidRPr="002E72CF">
              <w:rPr>
                <w:rFonts w:eastAsia="Times New Roman" w:cstheme="minorHAnsi"/>
                <w:sz w:val="24"/>
                <w:szCs w:val="24"/>
              </w:rPr>
              <w:t>1.89 (1.51)</w:t>
            </w:r>
          </w:p>
        </w:tc>
        <w:tc>
          <w:tcPr>
            <w:tcW w:w="2769" w:type="dxa"/>
            <w:tcBorders>
              <w:top w:val="nil"/>
              <w:left w:val="nil"/>
              <w:bottom w:val="nil"/>
              <w:right w:val="nil"/>
            </w:tcBorders>
            <w:shd w:val="clear" w:color="auto" w:fill="auto"/>
            <w:noWrap/>
            <w:vAlign w:val="bottom"/>
            <w:hideMark/>
          </w:tcPr>
          <w:p w14:paraId="6BE31FF5" w14:textId="77777777" w:rsidR="002E72CF" w:rsidRPr="002E72CF" w:rsidRDefault="002E72CF" w:rsidP="002E72CF">
            <w:pPr>
              <w:spacing w:after="0" w:line="240" w:lineRule="auto"/>
              <w:rPr>
                <w:rFonts w:eastAsia="Times New Roman" w:cstheme="minorHAnsi"/>
                <w:sz w:val="24"/>
                <w:szCs w:val="24"/>
              </w:rPr>
            </w:pPr>
            <w:r w:rsidRPr="002E72CF">
              <w:rPr>
                <w:rFonts w:eastAsia="Times New Roman" w:cstheme="minorHAnsi"/>
                <w:sz w:val="24"/>
                <w:szCs w:val="24"/>
              </w:rPr>
              <w:t>0.97 (0.85 - 1.10)</w:t>
            </w:r>
          </w:p>
        </w:tc>
      </w:tr>
      <w:tr w:rsidR="002E72CF" w:rsidRPr="002E72CF" w14:paraId="6503249B" w14:textId="77777777" w:rsidTr="00FE2D6B">
        <w:trPr>
          <w:trHeight w:val="345"/>
        </w:trPr>
        <w:tc>
          <w:tcPr>
            <w:tcW w:w="3212" w:type="dxa"/>
            <w:tcBorders>
              <w:top w:val="nil"/>
              <w:left w:val="nil"/>
              <w:bottom w:val="single" w:sz="4" w:space="0" w:color="auto"/>
              <w:right w:val="nil"/>
            </w:tcBorders>
            <w:shd w:val="clear" w:color="auto" w:fill="auto"/>
            <w:vAlign w:val="bottom"/>
            <w:hideMark/>
          </w:tcPr>
          <w:p w14:paraId="5CDE8A8A" w14:textId="77777777" w:rsidR="002E72CF" w:rsidRPr="002E72CF" w:rsidRDefault="002E72CF" w:rsidP="002E72CF">
            <w:pPr>
              <w:spacing w:after="0" w:line="240" w:lineRule="auto"/>
              <w:rPr>
                <w:rFonts w:eastAsia="Times New Roman" w:cstheme="minorHAnsi"/>
                <w:sz w:val="24"/>
                <w:szCs w:val="24"/>
              </w:rPr>
            </w:pPr>
            <w:proofErr w:type="spellStart"/>
            <w:r w:rsidRPr="002E72CF">
              <w:rPr>
                <w:rFonts w:eastAsia="Times New Roman" w:cstheme="minorHAnsi"/>
                <w:sz w:val="24"/>
                <w:szCs w:val="24"/>
              </w:rPr>
              <w:t>C</w:t>
            </w:r>
            <w:r w:rsidRPr="002E72CF">
              <w:rPr>
                <w:rFonts w:eastAsia="Times New Roman" w:cstheme="minorHAnsi"/>
                <w:sz w:val="24"/>
                <w:szCs w:val="24"/>
                <w:vertAlign w:val="subscript"/>
              </w:rPr>
              <w:t>trough</w:t>
            </w:r>
            <w:proofErr w:type="spellEnd"/>
            <w:r w:rsidRPr="002E72CF">
              <w:rPr>
                <w:rFonts w:eastAsia="Times New Roman" w:cstheme="minorHAnsi"/>
                <w:sz w:val="24"/>
                <w:szCs w:val="24"/>
                <w:vertAlign w:val="subscript"/>
              </w:rPr>
              <w:t xml:space="preserve"> </w:t>
            </w:r>
            <w:r w:rsidRPr="002E72CF">
              <w:rPr>
                <w:rFonts w:eastAsia="Times New Roman" w:cstheme="minorHAnsi"/>
                <w:sz w:val="24"/>
                <w:szCs w:val="24"/>
              </w:rPr>
              <w:t>&lt; MEC (%)</w:t>
            </w:r>
          </w:p>
        </w:tc>
        <w:tc>
          <w:tcPr>
            <w:tcW w:w="2728" w:type="dxa"/>
            <w:tcBorders>
              <w:top w:val="nil"/>
              <w:left w:val="nil"/>
              <w:bottom w:val="single" w:sz="4" w:space="0" w:color="auto"/>
              <w:right w:val="nil"/>
            </w:tcBorders>
            <w:shd w:val="clear" w:color="auto" w:fill="auto"/>
            <w:noWrap/>
            <w:vAlign w:val="bottom"/>
            <w:hideMark/>
          </w:tcPr>
          <w:p w14:paraId="6075C2A0" w14:textId="77777777" w:rsidR="002E72CF" w:rsidRPr="002E72CF" w:rsidRDefault="002E72CF" w:rsidP="002E72CF">
            <w:pPr>
              <w:spacing w:after="0" w:line="240" w:lineRule="auto"/>
              <w:rPr>
                <w:rFonts w:eastAsia="Times New Roman" w:cstheme="minorHAnsi"/>
                <w:sz w:val="24"/>
                <w:szCs w:val="24"/>
              </w:rPr>
            </w:pPr>
            <w:r w:rsidRPr="002E72CF">
              <w:rPr>
                <w:rFonts w:eastAsia="Times New Roman" w:cstheme="minorHAnsi"/>
                <w:sz w:val="24"/>
                <w:szCs w:val="24"/>
              </w:rPr>
              <w:t>10%</w:t>
            </w:r>
          </w:p>
        </w:tc>
        <w:tc>
          <w:tcPr>
            <w:tcW w:w="2672" w:type="dxa"/>
            <w:tcBorders>
              <w:top w:val="nil"/>
              <w:left w:val="nil"/>
              <w:bottom w:val="single" w:sz="4" w:space="0" w:color="auto"/>
              <w:right w:val="nil"/>
            </w:tcBorders>
            <w:shd w:val="clear" w:color="auto" w:fill="auto"/>
            <w:noWrap/>
            <w:vAlign w:val="bottom"/>
            <w:hideMark/>
          </w:tcPr>
          <w:p w14:paraId="20B85396" w14:textId="77777777" w:rsidR="002E72CF" w:rsidRPr="002E72CF" w:rsidRDefault="002E72CF" w:rsidP="002E72CF">
            <w:pPr>
              <w:spacing w:after="0" w:line="240" w:lineRule="auto"/>
              <w:rPr>
                <w:rFonts w:eastAsia="Times New Roman" w:cstheme="minorHAnsi"/>
                <w:sz w:val="24"/>
                <w:szCs w:val="24"/>
              </w:rPr>
            </w:pPr>
            <w:r w:rsidRPr="002E72CF">
              <w:rPr>
                <w:rFonts w:eastAsia="Times New Roman" w:cstheme="minorHAnsi"/>
                <w:sz w:val="24"/>
                <w:szCs w:val="24"/>
              </w:rPr>
              <w:t>21</w:t>
            </w:r>
          </w:p>
        </w:tc>
        <w:tc>
          <w:tcPr>
            <w:tcW w:w="2769" w:type="dxa"/>
            <w:tcBorders>
              <w:top w:val="nil"/>
              <w:left w:val="nil"/>
              <w:bottom w:val="single" w:sz="4" w:space="0" w:color="auto"/>
              <w:right w:val="nil"/>
            </w:tcBorders>
            <w:shd w:val="clear" w:color="auto" w:fill="auto"/>
            <w:noWrap/>
            <w:vAlign w:val="bottom"/>
            <w:hideMark/>
          </w:tcPr>
          <w:p w14:paraId="5A6B64B4" w14:textId="77777777" w:rsidR="002E72CF" w:rsidRPr="002E72CF" w:rsidRDefault="002E72CF" w:rsidP="002E72CF">
            <w:pPr>
              <w:spacing w:after="0" w:line="240" w:lineRule="auto"/>
              <w:rPr>
                <w:rFonts w:eastAsia="Times New Roman" w:cstheme="minorHAnsi"/>
                <w:sz w:val="24"/>
                <w:szCs w:val="24"/>
              </w:rPr>
            </w:pPr>
          </w:p>
        </w:tc>
      </w:tr>
      <w:tr w:rsidR="002E72CF" w:rsidRPr="002E72CF" w14:paraId="0192A0F4" w14:textId="77777777" w:rsidTr="00FE2D6B">
        <w:trPr>
          <w:trHeight w:val="345"/>
        </w:trPr>
        <w:tc>
          <w:tcPr>
            <w:tcW w:w="3212" w:type="dxa"/>
            <w:tcBorders>
              <w:top w:val="single" w:sz="4" w:space="0" w:color="auto"/>
              <w:left w:val="nil"/>
              <w:bottom w:val="single" w:sz="4" w:space="0" w:color="auto"/>
              <w:right w:val="nil"/>
            </w:tcBorders>
            <w:shd w:val="clear" w:color="auto" w:fill="auto"/>
            <w:vAlign w:val="bottom"/>
            <w:hideMark/>
          </w:tcPr>
          <w:p w14:paraId="44A038A2" w14:textId="77777777" w:rsidR="002E72CF" w:rsidRPr="002E72CF" w:rsidRDefault="002E72CF" w:rsidP="002E72CF">
            <w:pPr>
              <w:spacing w:after="0" w:line="240" w:lineRule="auto"/>
              <w:rPr>
                <w:rFonts w:eastAsia="Times New Roman" w:cstheme="minorHAnsi"/>
                <w:sz w:val="24"/>
                <w:szCs w:val="24"/>
              </w:rPr>
            </w:pPr>
          </w:p>
        </w:tc>
        <w:tc>
          <w:tcPr>
            <w:tcW w:w="5400" w:type="dxa"/>
            <w:gridSpan w:val="2"/>
            <w:tcBorders>
              <w:top w:val="single" w:sz="4" w:space="0" w:color="auto"/>
              <w:left w:val="nil"/>
              <w:bottom w:val="single" w:sz="4" w:space="0" w:color="auto"/>
              <w:right w:val="nil"/>
            </w:tcBorders>
            <w:shd w:val="clear" w:color="auto" w:fill="auto"/>
            <w:noWrap/>
            <w:vAlign w:val="bottom"/>
            <w:hideMark/>
          </w:tcPr>
          <w:p w14:paraId="51A96F06" w14:textId="77777777" w:rsidR="002E72CF" w:rsidRPr="002E72CF" w:rsidRDefault="002E72CF" w:rsidP="002E72CF">
            <w:pPr>
              <w:spacing w:after="0" w:line="240" w:lineRule="auto"/>
              <w:jc w:val="center"/>
              <w:rPr>
                <w:rFonts w:eastAsia="Times New Roman" w:cstheme="minorHAnsi"/>
                <w:sz w:val="24"/>
                <w:szCs w:val="24"/>
              </w:rPr>
            </w:pPr>
            <w:r w:rsidRPr="002E72CF">
              <w:rPr>
                <w:rFonts w:eastAsia="Times New Roman" w:cstheme="minorHAnsi"/>
                <w:sz w:val="24"/>
                <w:szCs w:val="24"/>
              </w:rPr>
              <w:t xml:space="preserve">Extensive </w:t>
            </w:r>
            <w:proofErr w:type="spellStart"/>
            <w:r w:rsidRPr="002E72CF">
              <w:rPr>
                <w:rFonts w:eastAsia="Times New Roman" w:cstheme="minorHAnsi"/>
                <w:sz w:val="24"/>
                <w:szCs w:val="24"/>
              </w:rPr>
              <w:t>Metabolisers</w:t>
            </w:r>
            <w:proofErr w:type="spellEnd"/>
            <w:r w:rsidRPr="002E72CF">
              <w:rPr>
                <w:rFonts w:eastAsia="Times New Roman" w:cstheme="minorHAnsi"/>
                <w:sz w:val="24"/>
                <w:szCs w:val="24"/>
              </w:rPr>
              <w:t xml:space="preserve"> (n = 12)</w:t>
            </w:r>
          </w:p>
        </w:tc>
        <w:tc>
          <w:tcPr>
            <w:tcW w:w="2769" w:type="dxa"/>
            <w:tcBorders>
              <w:top w:val="single" w:sz="4" w:space="0" w:color="auto"/>
              <w:left w:val="nil"/>
              <w:bottom w:val="single" w:sz="4" w:space="0" w:color="auto"/>
              <w:right w:val="nil"/>
            </w:tcBorders>
            <w:shd w:val="clear" w:color="auto" w:fill="auto"/>
            <w:vAlign w:val="center"/>
            <w:hideMark/>
          </w:tcPr>
          <w:p w14:paraId="6C1520A7" w14:textId="77777777" w:rsidR="002E72CF" w:rsidRPr="002E72CF" w:rsidRDefault="002E72CF" w:rsidP="002E72CF">
            <w:pPr>
              <w:spacing w:after="0" w:line="240" w:lineRule="auto"/>
              <w:jc w:val="center"/>
              <w:rPr>
                <w:rFonts w:eastAsia="Times New Roman" w:cstheme="minorHAnsi"/>
                <w:sz w:val="24"/>
                <w:szCs w:val="24"/>
              </w:rPr>
            </w:pPr>
          </w:p>
        </w:tc>
      </w:tr>
      <w:tr w:rsidR="002E72CF" w:rsidRPr="002E72CF" w14:paraId="0E0B4303" w14:textId="77777777" w:rsidTr="00FE2D6B">
        <w:trPr>
          <w:trHeight w:val="345"/>
        </w:trPr>
        <w:tc>
          <w:tcPr>
            <w:tcW w:w="3212" w:type="dxa"/>
            <w:tcBorders>
              <w:top w:val="single" w:sz="4" w:space="0" w:color="auto"/>
              <w:left w:val="nil"/>
              <w:bottom w:val="nil"/>
              <w:right w:val="nil"/>
            </w:tcBorders>
            <w:shd w:val="clear" w:color="auto" w:fill="auto"/>
            <w:vAlign w:val="bottom"/>
            <w:hideMark/>
          </w:tcPr>
          <w:p w14:paraId="713574E6" w14:textId="77777777" w:rsidR="002E72CF" w:rsidRPr="002E72CF" w:rsidRDefault="002E72CF" w:rsidP="002E72CF">
            <w:pPr>
              <w:spacing w:after="0" w:line="240" w:lineRule="auto"/>
              <w:rPr>
                <w:rFonts w:eastAsia="Times New Roman" w:cstheme="minorHAnsi"/>
                <w:sz w:val="24"/>
                <w:szCs w:val="24"/>
              </w:rPr>
            </w:pPr>
            <w:proofErr w:type="spellStart"/>
            <w:r w:rsidRPr="002E72CF">
              <w:rPr>
                <w:rFonts w:eastAsia="Times New Roman" w:cstheme="minorHAnsi"/>
                <w:sz w:val="24"/>
                <w:szCs w:val="24"/>
              </w:rPr>
              <w:t>C</w:t>
            </w:r>
            <w:r w:rsidRPr="002E72CF">
              <w:rPr>
                <w:rFonts w:eastAsia="Times New Roman" w:cstheme="minorHAnsi"/>
                <w:sz w:val="24"/>
                <w:szCs w:val="24"/>
                <w:vertAlign w:val="subscript"/>
              </w:rPr>
              <w:t>trough</w:t>
            </w:r>
            <w:proofErr w:type="spellEnd"/>
            <w:r w:rsidRPr="002E72CF">
              <w:rPr>
                <w:rFonts w:eastAsia="Times New Roman" w:cstheme="minorHAnsi"/>
                <w:sz w:val="24"/>
                <w:szCs w:val="24"/>
              </w:rPr>
              <w:t xml:space="preserve"> (ng ml</w:t>
            </w:r>
            <w:r w:rsidRPr="002E72CF">
              <w:rPr>
                <w:rFonts w:eastAsia="Times New Roman" w:cstheme="minorHAnsi"/>
                <w:sz w:val="24"/>
                <w:szCs w:val="24"/>
                <w:vertAlign w:val="superscript"/>
              </w:rPr>
              <w:t>-1</w:t>
            </w:r>
            <w:r w:rsidRPr="002E72CF">
              <w:rPr>
                <w:rFonts w:eastAsia="Times New Roman" w:cstheme="minorHAnsi"/>
                <w:sz w:val="24"/>
                <w:szCs w:val="24"/>
              </w:rPr>
              <w:t>)</w:t>
            </w:r>
          </w:p>
        </w:tc>
        <w:tc>
          <w:tcPr>
            <w:tcW w:w="2728" w:type="dxa"/>
            <w:tcBorders>
              <w:top w:val="single" w:sz="4" w:space="0" w:color="auto"/>
              <w:left w:val="nil"/>
              <w:bottom w:val="nil"/>
              <w:right w:val="nil"/>
            </w:tcBorders>
            <w:shd w:val="clear" w:color="auto" w:fill="auto"/>
            <w:noWrap/>
            <w:vAlign w:val="bottom"/>
            <w:hideMark/>
          </w:tcPr>
          <w:p w14:paraId="2AD2879B" w14:textId="77777777" w:rsidR="002E72CF" w:rsidRPr="002E72CF" w:rsidRDefault="002E72CF" w:rsidP="002E72CF">
            <w:pPr>
              <w:spacing w:after="0" w:line="240" w:lineRule="auto"/>
              <w:rPr>
                <w:rFonts w:eastAsia="Times New Roman" w:cstheme="minorHAnsi"/>
                <w:sz w:val="24"/>
                <w:szCs w:val="24"/>
              </w:rPr>
            </w:pPr>
            <w:r w:rsidRPr="002E72CF">
              <w:rPr>
                <w:rFonts w:eastAsia="Times New Roman" w:cstheme="minorHAnsi"/>
                <w:sz w:val="24"/>
                <w:szCs w:val="24"/>
              </w:rPr>
              <w:t>3 813 (1 222)</w:t>
            </w:r>
          </w:p>
        </w:tc>
        <w:tc>
          <w:tcPr>
            <w:tcW w:w="2672" w:type="dxa"/>
            <w:tcBorders>
              <w:top w:val="single" w:sz="4" w:space="0" w:color="auto"/>
              <w:left w:val="nil"/>
              <w:bottom w:val="nil"/>
              <w:right w:val="nil"/>
            </w:tcBorders>
            <w:shd w:val="clear" w:color="auto" w:fill="auto"/>
            <w:noWrap/>
            <w:vAlign w:val="bottom"/>
            <w:hideMark/>
          </w:tcPr>
          <w:p w14:paraId="69A90179" w14:textId="77777777" w:rsidR="002E72CF" w:rsidRPr="002E72CF" w:rsidRDefault="002E72CF" w:rsidP="002E72CF">
            <w:pPr>
              <w:spacing w:after="0" w:line="240" w:lineRule="auto"/>
              <w:rPr>
                <w:rFonts w:eastAsia="Times New Roman" w:cstheme="minorHAnsi"/>
                <w:sz w:val="24"/>
                <w:szCs w:val="24"/>
              </w:rPr>
            </w:pPr>
            <w:r w:rsidRPr="002E72CF">
              <w:rPr>
                <w:rFonts w:eastAsia="Times New Roman" w:cstheme="minorHAnsi"/>
                <w:sz w:val="24"/>
                <w:szCs w:val="24"/>
              </w:rPr>
              <w:t>3 580 (1 219)</w:t>
            </w:r>
          </w:p>
        </w:tc>
        <w:tc>
          <w:tcPr>
            <w:tcW w:w="2769" w:type="dxa"/>
            <w:tcBorders>
              <w:top w:val="single" w:sz="4" w:space="0" w:color="auto"/>
              <w:left w:val="nil"/>
              <w:bottom w:val="nil"/>
              <w:right w:val="nil"/>
            </w:tcBorders>
            <w:shd w:val="clear" w:color="auto" w:fill="auto"/>
            <w:noWrap/>
            <w:vAlign w:val="bottom"/>
            <w:hideMark/>
          </w:tcPr>
          <w:p w14:paraId="13AA79B1" w14:textId="77777777" w:rsidR="002E72CF" w:rsidRPr="002E72CF" w:rsidRDefault="002E72CF" w:rsidP="002E72CF">
            <w:pPr>
              <w:spacing w:after="0" w:line="240" w:lineRule="auto"/>
              <w:rPr>
                <w:rFonts w:eastAsia="Times New Roman" w:cstheme="minorHAnsi"/>
                <w:sz w:val="24"/>
                <w:szCs w:val="24"/>
              </w:rPr>
            </w:pPr>
            <w:r w:rsidRPr="002E72CF">
              <w:rPr>
                <w:rFonts w:eastAsia="Times New Roman" w:cstheme="minorHAnsi"/>
                <w:sz w:val="24"/>
                <w:szCs w:val="24"/>
              </w:rPr>
              <w:t>0.94 (0.88 - 1.02)</w:t>
            </w:r>
          </w:p>
        </w:tc>
      </w:tr>
      <w:tr w:rsidR="002E72CF" w:rsidRPr="002E72CF" w14:paraId="422CF7F9" w14:textId="77777777" w:rsidTr="00FE2D6B">
        <w:trPr>
          <w:trHeight w:val="345"/>
        </w:trPr>
        <w:tc>
          <w:tcPr>
            <w:tcW w:w="3212" w:type="dxa"/>
            <w:tcBorders>
              <w:top w:val="nil"/>
              <w:left w:val="nil"/>
              <w:bottom w:val="nil"/>
              <w:right w:val="nil"/>
            </w:tcBorders>
            <w:shd w:val="clear" w:color="auto" w:fill="auto"/>
            <w:noWrap/>
            <w:vAlign w:val="bottom"/>
            <w:hideMark/>
          </w:tcPr>
          <w:p w14:paraId="6116770C" w14:textId="77777777" w:rsidR="002E72CF" w:rsidRPr="002E72CF" w:rsidRDefault="002E72CF" w:rsidP="002E72CF">
            <w:pPr>
              <w:spacing w:after="0" w:line="240" w:lineRule="auto"/>
              <w:rPr>
                <w:rFonts w:eastAsia="Times New Roman" w:cstheme="minorHAnsi"/>
                <w:sz w:val="24"/>
                <w:szCs w:val="24"/>
              </w:rPr>
            </w:pPr>
            <w:r w:rsidRPr="002E72CF">
              <w:rPr>
                <w:rFonts w:eastAsia="Times New Roman" w:cstheme="minorHAnsi"/>
                <w:sz w:val="24"/>
                <w:szCs w:val="24"/>
              </w:rPr>
              <w:t>C</w:t>
            </w:r>
            <w:r w:rsidRPr="002E72CF">
              <w:rPr>
                <w:rFonts w:eastAsia="Times New Roman" w:cstheme="minorHAnsi"/>
                <w:sz w:val="24"/>
                <w:szCs w:val="24"/>
                <w:vertAlign w:val="subscript"/>
              </w:rPr>
              <w:t xml:space="preserve">max </w:t>
            </w:r>
            <w:r w:rsidRPr="002E72CF">
              <w:rPr>
                <w:rFonts w:eastAsia="Times New Roman" w:cstheme="minorHAnsi"/>
                <w:sz w:val="24"/>
                <w:szCs w:val="24"/>
              </w:rPr>
              <w:t>(ng ml</w:t>
            </w:r>
            <w:r w:rsidRPr="002E72CF">
              <w:rPr>
                <w:rFonts w:eastAsia="Times New Roman" w:cstheme="minorHAnsi"/>
                <w:sz w:val="24"/>
                <w:szCs w:val="24"/>
                <w:vertAlign w:val="superscript"/>
              </w:rPr>
              <w:t>-1</w:t>
            </w:r>
            <w:r w:rsidRPr="002E72CF">
              <w:rPr>
                <w:rFonts w:eastAsia="Times New Roman" w:cstheme="minorHAnsi"/>
                <w:sz w:val="24"/>
                <w:szCs w:val="24"/>
              </w:rPr>
              <w:t>)</w:t>
            </w:r>
          </w:p>
        </w:tc>
        <w:tc>
          <w:tcPr>
            <w:tcW w:w="2728" w:type="dxa"/>
            <w:tcBorders>
              <w:top w:val="nil"/>
              <w:left w:val="nil"/>
              <w:bottom w:val="nil"/>
              <w:right w:val="nil"/>
            </w:tcBorders>
            <w:shd w:val="clear" w:color="auto" w:fill="auto"/>
            <w:noWrap/>
            <w:vAlign w:val="bottom"/>
            <w:hideMark/>
          </w:tcPr>
          <w:p w14:paraId="35E1E09A" w14:textId="77777777" w:rsidR="002E72CF" w:rsidRPr="002E72CF" w:rsidRDefault="002E72CF" w:rsidP="002E72CF">
            <w:pPr>
              <w:spacing w:after="0" w:line="240" w:lineRule="auto"/>
              <w:rPr>
                <w:rFonts w:eastAsia="Times New Roman" w:cstheme="minorHAnsi"/>
                <w:sz w:val="24"/>
                <w:szCs w:val="24"/>
              </w:rPr>
            </w:pPr>
            <w:r w:rsidRPr="002E72CF">
              <w:rPr>
                <w:rFonts w:eastAsia="Times New Roman" w:cstheme="minorHAnsi"/>
                <w:sz w:val="24"/>
                <w:szCs w:val="24"/>
              </w:rPr>
              <w:t>6 323 (1 644)</w:t>
            </w:r>
          </w:p>
        </w:tc>
        <w:tc>
          <w:tcPr>
            <w:tcW w:w="2672" w:type="dxa"/>
            <w:tcBorders>
              <w:top w:val="nil"/>
              <w:left w:val="nil"/>
              <w:bottom w:val="nil"/>
              <w:right w:val="nil"/>
            </w:tcBorders>
            <w:shd w:val="clear" w:color="auto" w:fill="auto"/>
            <w:noWrap/>
            <w:vAlign w:val="bottom"/>
            <w:hideMark/>
          </w:tcPr>
          <w:p w14:paraId="3572343C" w14:textId="77777777" w:rsidR="002E72CF" w:rsidRPr="002E72CF" w:rsidRDefault="002E72CF" w:rsidP="002E72CF">
            <w:pPr>
              <w:spacing w:after="0" w:line="240" w:lineRule="auto"/>
              <w:rPr>
                <w:rFonts w:eastAsia="Times New Roman" w:cstheme="minorHAnsi"/>
                <w:sz w:val="24"/>
                <w:szCs w:val="24"/>
              </w:rPr>
            </w:pPr>
            <w:r w:rsidRPr="002E72CF">
              <w:rPr>
                <w:rFonts w:eastAsia="Times New Roman" w:cstheme="minorHAnsi"/>
                <w:sz w:val="24"/>
                <w:szCs w:val="24"/>
              </w:rPr>
              <w:t>5 558 (1 439)</w:t>
            </w:r>
          </w:p>
        </w:tc>
        <w:tc>
          <w:tcPr>
            <w:tcW w:w="2769" w:type="dxa"/>
            <w:tcBorders>
              <w:top w:val="nil"/>
              <w:left w:val="nil"/>
              <w:bottom w:val="nil"/>
              <w:right w:val="nil"/>
            </w:tcBorders>
            <w:shd w:val="clear" w:color="auto" w:fill="auto"/>
            <w:noWrap/>
            <w:vAlign w:val="bottom"/>
            <w:hideMark/>
          </w:tcPr>
          <w:p w14:paraId="794AB5CA" w14:textId="77777777" w:rsidR="002E72CF" w:rsidRPr="002E72CF" w:rsidRDefault="002E72CF" w:rsidP="002E72CF">
            <w:pPr>
              <w:spacing w:after="0" w:line="240" w:lineRule="auto"/>
              <w:rPr>
                <w:rFonts w:eastAsia="Times New Roman" w:cstheme="minorHAnsi"/>
                <w:sz w:val="24"/>
                <w:szCs w:val="24"/>
              </w:rPr>
            </w:pPr>
            <w:r w:rsidRPr="002E72CF">
              <w:rPr>
                <w:rFonts w:eastAsia="Times New Roman" w:cstheme="minorHAnsi"/>
                <w:sz w:val="24"/>
                <w:szCs w:val="24"/>
              </w:rPr>
              <w:t>0.88 (0.84 - 0.92)</w:t>
            </w:r>
          </w:p>
        </w:tc>
      </w:tr>
      <w:tr w:rsidR="002E72CF" w:rsidRPr="002E72CF" w14:paraId="1BF03F1E" w14:textId="77777777" w:rsidTr="00FE2D6B">
        <w:trPr>
          <w:trHeight w:val="345"/>
        </w:trPr>
        <w:tc>
          <w:tcPr>
            <w:tcW w:w="3212" w:type="dxa"/>
            <w:tcBorders>
              <w:top w:val="nil"/>
              <w:left w:val="nil"/>
              <w:bottom w:val="nil"/>
              <w:right w:val="nil"/>
            </w:tcBorders>
            <w:shd w:val="clear" w:color="auto" w:fill="auto"/>
            <w:noWrap/>
            <w:vAlign w:val="bottom"/>
            <w:hideMark/>
          </w:tcPr>
          <w:p w14:paraId="5231F362" w14:textId="77777777" w:rsidR="002E72CF" w:rsidRPr="002E72CF" w:rsidRDefault="002E72CF" w:rsidP="002E72CF">
            <w:pPr>
              <w:spacing w:after="0" w:line="240" w:lineRule="auto"/>
              <w:rPr>
                <w:rFonts w:eastAsia="Times New Roman" w:cstheme="minorHAnsi"/>
                <w:sz w:val="24"/>
                <w:szCs w:val="24"/>
              </w:rPr>
            </w:pPr>
            <w:proofErr w:type="spellStart"/>
            <w:r w:rsidRPr="002E72CF">
              <w:rPr>
                <w:rFonts w:eastAsia="Times New Roman" w:cstheme="minorHAnsi"/>
                <w:sz w:val="24"/>
                <w:szCs w:val="24"/>
              </w:rPr>
              <w:t>T</w:t>
            </w:r>
            <w:r w:rsidRPr="002E72CF">
              <w:rPr>
                <w:rFonts w:eastAsia="Times New Roman" w:cstheme="minorHAnsi"/>
                <w:sz w:val="24"/>
                <w:szCs w:val="24"/>
                <w:vertAlign w:val="subscript"/>
              </w:rPr>
              <w:t>max</w:t>
            </w:r>
            <w:proofErr w:type="spellEnd"/>
            <w:r w:rsidRPr="002E72CF">
              <w:rPr>
                <w:rFonts w:eastAsia="Times New Roman" w:cstheme="minorHAnsi"/>
                <w:sz w:val="24"/>
                <w:szCs w:val="24"/>
                <w:vertAlign w:val="subscript"/>
              </w:rPr>
              <w:t xml:space="preserve"> </w:t>
            </w:r>
            <w:r w:rsidRPr="002E72CF">
              <w:rPr>
                <w:rFonts w:eastAsia="Times New Roman" w:cstheme="minorHAnsi"/>
                <w:sz w:val="24"/>
                <w:szCs w:val="24"/>
              </w:rPr>
              <w:t>(h)</w:t>
            </w:r>
          </w:p>
        </w:tc>
        <w:tc>
          <w:tcPr>
            <w:tcW w:w="2728" w:type="dxa"/>
            <w:tcBorders>
              <w:top w:val="nil"/>
              <w:left w:val="nil"/>
              <w:bottom w:val="nil"/>
              <w:right w:val="nil"/>
            </w:tcBorders>
            <w:shd w:val="clear" w:color="auto" w:fill="auto"/>
            <w:noWrap/>
            <w:vAlign w:val="bottom"/>
            <w:hideMark/>
          </w:tcPr>
          <w:p w14:paraId="6152CDF7" w14:textId="77777777" w:rsidR="002E72CF" w:rsidRPr="002E72CF" w:rsidRDefault="002E72CF" w:rsidP="002E72CF">
            <w:pPr>
              <w:spacing w:after="0" w:line="240" w:lineRule="auto"/>
              <w:rPr>
                <w:rFonts w:eastAsia="Times New Roman" w:cstheme="minorHAnsi"/>
                <w:sz w:val="24"/>
                <w:szCs w:val="24"/>
              </w:rPr>
            </w:pPr>
            <w:r w:rsidRPr="002E72CF">
              <w:rPr>
                <w:rFonts w:eastAsia="Times New Roman" w:cstheme="minorHAnsi"/>
                <w:sz w:val="24"/>
                <w:szCs w:val="24"/>
              </w:rPr>
              <w:t>1.97 (1.14)</w:t>
            </w:r>
          </w:p>
        </w:tc>
        <w:tc>
          <w:tcPr>
            <w:tcW w:w="2672" w:type="dxa"/>
            <w:tcBorders>
              <w:top w:val="nil"/>
              <w:left w:val="nil"/>
              <w:bottom w:val="nil"/>
              <w:right w:val="nil"/>
            </w:tcBorders>
            <w:shd w:val="clear" w:color="auto" w:fill="auto"/>
            <w:noWrap/>
            <w:vAlign w:val="bottom"/>
            <w:hideMark/>
          </w:tcPr>
          <w:p w14:paraId="40B474FE" w14:textId="77777777" w:rsidR="002E72CF" w:rsidRPr="002E72CF" w:rsidRDefault="002E72CF" w:rsidP="002E72CF">
            <w:pPr>
              <w:spacing w:after="0" w:line="240" w:lineRule="auto"/>
              <w:rPr>
                <w:rFonts w:eastAsia="Times New Roman" w:cstheme="minorHAnsi"/>
                <w:sz w:val="24"/>
                <w:szCs w:val="24"/>
              </w:rPr>
            </w:pPr>
            <w:r w:rsidRPr="002E72CF">
              <w:rPr>
                <w:rFonts w:eastAsia="Times New Roman" w:cstheme="minorHAnsi"/>
                <w:sz w:val="24"/>
                <w:szCs w:val="24"/>
              </w:rPr>
              <w:t>1.66 (1.11)</w:t>
            </w:r>
          </w:p>
        </w:tc>
        <w:tc>
          <w:tcPr>
            <w:tcW w:w="2769" w:type="dxa"/>
            <w:tcBorders>
              <w:top w:val="nil"/>
              <w:left w:val="nil"/>
              <w:bottom w:val="nil"/>
              <w:right w:val="nil"/>
            </w:tcBorders>
            <w:shd w:val="clear" w:color="auto" w:fill="auto"/>
            <w:noWrap/>
            <w:vAlign w:val="bottom"/>
            <w:hideMark/>
          </w:tcPr>
          <w:p w14:paraId="65F8FC34" w14:textId="77777777" w:rsidR="002E72CF" w:rsidRPr="002E72CF" w:rsidRDefault="002E72CF" w:rsidP="002E72CF">
            <w:pPr>
              <w:spacing w:after="0" w:line="240" w:lineRule="auto"/>
              <w:rPr>
                <w:rFonts w:eastAsia="Times New Roman" w:cstheme="minorHAnsi"/>
                <w:sz w:val="24"/>
                <w:szCs w:val="24"/>
              </w:rPr>
            </w:pPr>
            <w:r w:rsidRPr="002E72CF">
              <w:rPr>
                <w:rFonts w:eastAsia="Times New Roman" w:cstheme="minorHAnsi"/>
                <w:sz w:val="24"/>
                <w:szCs w:val="24"/>
              </w:rPr>
              <w:t>0.84 (0.52 - 1.35)</w:t>
            </w:r>
          </w:p>
        </w:tc>
      </w:tr>
      <w:tr w:rsidR="002E72CF" w:rsidRPr="002E72CF" w14:paraId="054E943E" w14:textId="77777777" w:rsidTr="00FE2D6B">
        <w:trPr>
          <w:trHeight w:val="345"/>
        </w:trPr>
        <w:tc>
          <w:tcPr>
            <w:tcW w:w="3212" w:type="dxa"/>
            <w:tcBorders>
              <w:top w:val="nil"/>
              <w:left w:val="nil"/>
              <w:bottom w:val="nil"/>
              <w:right w:val="nil"/>
            </w:tcBorders>
            <w:shd w:val="clear" w:color="auto" w:fill="auto"/>
            <w:noWrap/>
            <w:vAlign w:val="bottom"/>
            <w:hideMark/>
          </w:tcPr>
          <w:p w14:paraId="6AB22EC6" w14:textId="77777777" w:rsidR="002E72CF" w:rsidRPr="002E72CF" w:rsidRDefault="002E72CF" w:rsidP="002E72CF">
            <w:pPr>
              <w:spacing w:after="0" w:line="240" w:lineRule="auto"/>
              <w:rPr>
                <w:rFonts w:eastAsia="Times New Roman" w:cstheme="minorHAnsi"/>
                <w:sz w:val="24"/>
                <w:szCs w:val="24"/>
              </w:rPr>
            </w:pPr>
            <w:r w:rsidRPr="002E72CF">
              <w:rPr>
                <w:rFonts w:eastAsia="Times New Roman" w:cstheme="minorHAnsi"/>
                <w:sz w:val="24"/>
                <w:szCs w:val="24"/>
              </w:rPr>
              <w:t>AUC</w:t>
            </w:r>
            <w:r w:rsidRPr="002E72CF">
              <w:rPr>
                <w:rFonts w:eastAsia="Times New Roman" w:cstheme="minorHAnsi"/>
                <w:sz w:val="24"/>
                <w:szCs w:val="24"/>
                <w:vertAlign w:val="subscript"/>
              </w:rPr>
              <w:t xml:space="preserve">0-12 </w:t>
            </w:r>
            <w:r w:rsidRPr="002E72CF">
              <w:rPr>
                <w:rFonts w:eastAsia="Times New Roman" w:cstheme="minorHAnsi"/>
                <w:sz w:val="24"/>
                <w:szCs w:val="24"/>
              </w:rPr>
              <w:t>(</w:t>
            </w:r>
            <w:proofErr w:type="spellStart"/>
            <w:r w:rsidRPr="002E72CF">
              <w:rPr>
                <w:rFonts w:eastAsia="Times New Roman" w:cstheme="minorHAnsi"/>
                <w:sz w:val="24"/>
                <w:szCs w:val="24"/>
              </w:rPr>
              <w:t>ng</w:t>
            </w:r>
            <w:r w:rsidRPr="002E72CF">
              <w:rPr>
                <w:rFonts w:eastAsia="Times New Roman" w:cstheme="minorHAnsi"/>
                <w:b/>
                <w:bCs/>
                <w:sz w:val="24"/>
                <w:szCs w:val="24"/>
              </w:rPr>
              <w:t>·</w:t>
            </w:r>
            <w:r w:rsidRPr="002E72CF">
              <w:rPr>
                <w:rFonts w:eastAsia="Times New Roman" w:cstheme="minorHAnsi"/>
                <w:sz w:val="24"/>
                <w:szCs w:val="24"/>
              </w:rPr>
              <w:t>h</w:t>
            </w:r>
            <w:proofErr w:type="spellEnd"/>
            <w:r w:rsidRPr="002E72CF">
              <w:rPr>
                <w:rFonts w:eastAsia="Times New Roman" w:cstheme="minorHAnsi"/>
                <w:sz w:val="24"/>
                <w:szCs w:val="24"/>
              </w:rPr>
              <w:t xml:space="preserve"> ml</w:t>
            </w:r>
            <w:r w:rsidRPr="002E72CF">
              <w:rPr>
                <w:rFonts w:eastAsia="Times New Roman" w:cstheme="minorHAnsi"/>
                <w:sz w:val="24"/>
                <w:szCs w:val="24"/>
                <w:vertAlign w:val="superscript"/>
              </w:rPr>
              <w:t>-1</w:t>
            </w:r>
            <w:r w:rsidRPr="002E72CF">
              <w:rPr>
                <w:rFonts w:eastAsia="Times New Roman" w:cstheme="minorHAnsi"/>
                <w:sz w:val="24"/>
                <w:szCs w:val="24"/>
              </w:rPr>
              <w:t>)</w:t>
            </w:r>
          </w:p>
        </w:tc>
        <w:tc>
          <w:tcPr>
            <w:tcW w:w="2728" w:type="dxa"/>
            <w:tcBorders>
              <w:top w:val="nil"/>
              <w:left w:val="nil"/>
              <w:bottom w:val="nil"/>
              <w:right w:val="nil"/>
            </w:tcBorders>
            <w:shd w:val="clear" w:color="auto" w:fill="auto"/>
            <w:noWrap/>
            <w:vAlign w:val="bottom"/>
            <w:hideMark/>
          </w:tcPr>
          <w:p w14:paraId="50B949B4" w14:textId="77777777" w:rsidR="002E72CF" w:rsidRPr="002E72CF" w:rsidRDefault="002E72CF" w:rsidP="002E72CF">
            <w:pPr>
              <w:spacing w:after="0" w:line="240" w:lineRule="auto"/>
              <w:rPr>
                <w:rFonts w:eastAsia="Times New Roman" w:cstheme="minorHAnsi"/>
                <w:sz w:val="24"/>
                <w:szCs w:val="24"/>
              </w:rPr>
            </w:pPr>
            <w:r w:rsidRPr="002E72CF">
              <w:rPr>
                <w:rFonts w:eastAsia="Times New Roman" w:cstheme="minorHAnsi"/>
                <w:sz w:val="24"/>
                <w:szCs w:val="24"/>
              </w:rPr>
              <w:t>57 729 (16 525)</w:t>
            </w:r>
          </w:p>
        </w:tc>
        <w:tc>
          <w:tcPr>
            <w:tcW w:w="2672" w:type="dxa"/>
            <w:tcBorders>
              <w:top w:val="nil"/>
              <w:left w:val="nil"/>
              <w:bottom w:val="nil"/>
              <w:right w:val="nil"/>
            </w:tcBorders>
            <w:shd w:val="clear" w:color="auto" w:fill="auto"/>
            <w:noWrap/>
            <w:vAlign w:val="bottom"/>
            <w:hideMark/>
          </w:tcPr>
          <w:p w14:paraId="6F4D6E2E" w14:textId="77777777" w:rsidR="002E72CF" w:rsidRPr="002E72CF" w:rsidRDefault="002E72CF" w:rsidP="002E72CF">
            <w:pPr>
              <w:spacing w:after="0" w:line="240" w:lineRule="auto"/>
              <w:rPr>
                <w:rFonts w:eastAsia="Times New Roman" w:cstheme="minorHAnsi"/>
                <w:sz w:val="24"/>
                <w:szCs w:val="24"/>
              </w:rPr>
            </w:pPr>
            <w:r w:rsidRPr="002E72CF">
              <w:rPr>
                <w:rFonts w:eastAsia="Times New Roman" w:cstheme="minorHAnsi"/>
                <w:sz w:val="24"/>
                <w:szCs w:val="24"/>
              </w:rPr>
              <w:t>50 630(14 567)</w:t>
            </w:r>
          </w:p>
        </w:tc>
        <w:tc>
          <w:tcPr>
            <w:tcW w:w="2769" w:type="dxa"/>
            <w:tcBorders>
              <w:top w:val="nil"/>
              <w:left w:val="nil"/>
              <w:bottom w:val="nil"/>
              <w:right w:val="nil"/>
            </w:tcBorders>
            <w:shd w:val="clear" w:color="auto" w:fill="auto"/>
            <w:noWrap/>
            <w:vAlign w:val="bottom"/>
            <w:hideMark/>
          </w:tcPr>
          <w:p w14:paraId="0888DB37" w14:textId="77777777" w:rsidR="002E72CF" w:rsidRPr="002E72CF" w:rsidRDefault="002E72CF" w:rsidP="002E72CF">
            <w:pPr>
              <w:spacing w:after="0" w:line="240" w:lineRule="auto"/>
              <w:rPr>
                <w:rFonts w:eastAsia="Times New Roman" w:cstheme="minorHAnsi"/>
                <w:sz w:val="24"/>
                <w:szCs w:val="24"/>
              </w:rPr>
            </w:pPr>
            <w:r w:rsidRPr="002E72CF">
              <w:rPr>
                <w:rFonts w:eastAsia="Times New Roman" w:cstheme="minorHAnsi"/>
                <w:sz w:val="24"/>
                <w:szCs w:val="24"/>
              </w:rPr>
              <w:t>0.88 (0.84 - 0.91)</w:t>
            </w:r>
          </w:p>
        </w:tc>
      </w:tr>
      <w:tr w:rsidR="002E72CF" w:rsidRPr="002E72CF" w14:paraId="1B59CCA0" w14:textId="77777777" w:rsidTr="00FE2D6B">
        <w:trPr>
          <w:trHeight w:val="345"/>
        </w:trPr>
        <w:tc>
          <w:tcPr>
            <w:tcW w:w="3212" w:type="dxa"/>
            <w:tcBorders>
              <w:top w:val="nil"/>
              <w:left w:val="nil"/>
              <w:bottom w:val="nil"/>
              <w:right w:val="nil"/>
            </w:tcBorders>
            <w:shd w:val="clear" w:color="auto" w:fill="auto"/>
            <w:noWrap/>
            <w:vAlign w:val="bottom"/>
            <w:hideMark/>
          </w:tcPr>
          <w:p w14:paraId="3299B809" w14:textId="77777777" w:rsidR="002E72CF" w:rsidRPr="002E72CF" w:rsidRDefault="002E72CF" w:rsidP="002E72CF">
            <w:pPr>
              <w:spacing w:after="0" w:line="240" w:lineRule="auto"/>
              <w:rPr>
                <w:rFonts w:eastAsia="Times New Roman" w:cstheme="minorHAnsi"/>
                <w:sz w:val="24"/>
                <w:szCs w:val="24"/>
              </w:rPr>
            </w:pPr>
            <w:r w:rsidRPr="002E72CF">
              <w:rPr>
                <w:rFonts w:eastAsia="Times New Roman" w:cstheme="minorHAnsi"/>
                <w:sz w:val="24"/>
                <w:szCs w:val="24"/>
              </w:rPr>
              <w:t>t</w:t>
            </w:r>
            <w:r w:rsidRPr="002E72CF">
              <w:rPr>
                <w:rFonts w:eastAsia="Times New Roman" w:cstheme="minorHAnsi"/>
                <w:sz w:val="24"/>
                <w:szCs w:val="24"/>
                <w:vertAlign w:val="subscript"/>
              </w:rPr>
              <w:t xml:space="preserve">1/2 </w:t>
            </w:r>
            <w:r w:rsidRPr="002E72CF">
              <w:rPr>
                <w:rFonts w:eastAsia="Times New Roman" w:cstheme="minorHAnsi"/>
                <w:sz w:val="24"/>
                <w:szCs w:val="24"/>
              </w:rPr>
              <w:t>(h)</w:t>
            </w:r>
          </w:p>
        </w:tc>
        <w:tc>
          <w:tcPr>
            <w:tcW w:w="2728" w:type="dxa"/>
            <w:tcBorders>
              <w:top w:val="nil"/>
              <w:left w:val="nil"/>
              <w:bottom w:val="nil"/>
              <w:right w:val="nil"/>
            </w:tcBorders>
            <w:shd w:val="clear" w:color="auto" w:fill="auto"/>
            <w:noWrap/>
            <w:vAlign w:val="bottom"/>
            <w:hideMark/>
          </w:tcPr>
          <w:p w14:paraId="4E35FCDF" w14:textId="77777777" w:rsidR="002E72CF" w:rsidRPr="002E72CF" w:rsidRDefault="002E72CF" w:rsidP="002E72CF">
            <w:pPr>
              <w:spacing w:after="0" w:line="240" w:lineRule="auto"/>
              <w:rPr>
                <w:rFonts w:eastAsia="Times New Roman" w:cstheme="minorHAnsi"/>
                <w:sz w:val="24"/>
                <w:szCs w:val="24"/>
              </w:rPr>
            </w:pPr>
            <w:r w:rsidRPr="002E72CF">
              <w:rPr>
                <w:rFonts w:eastAsia="Times New Roman" w:cstheme="minorHAnsi"/>
                <w:sz w:val="24"/>
                <w:szCs w:val="24"/>
              </w:rPr>
              <w:t>14 (4)</w:t>
            </w:r>
          </w:p>
        </w:tc>
        <w:tc>
          <w:tcPr>
            <w:tcW w:w="2672" w:type="dxa"/>
            <w:tcBorders>
              <w:top w:val="nil"/>
              <w:left w:val="nil"/>
              <w:bottom w:val="nil"/>
              <w:right w:val="nil"/>
            </w:tcBorders>
            <w:shd w:val="clear" w:color="auto" w:fill="auto"/>
            <w:noWrap/>
            <w:vAlign w:val="bottom"/>
            <w:hideMark/>
          </w:tcPr>
          <w:p w14:paraId="0832DB6B" w14:textId="77777777" w:rsidR="002E72CF" w:rsidRPr="002E72CF" w:rsidRDefault="002E72CF" w:rsidP="002E72CF">
            <w:pPr>
              <w:spacing w:after="0" w:line="240" w:lineRule="auto"/>
              <w:rPr>
                <w:rFonts w:eastAsia="Times New Roman" w:cstheme="minorHAnsi"/>
                <w:sz w:val="24"/>
                <w:szCs w:val="24"/>
              </w:rPr>
            </w:pPr>
            <w:r w:rsidRPr="002E72CF">
              <w:rPr>
                <w:rFonts w:eastAsia="Times New Roman" w:cstheme="minorHAnsi"/>
                <w:sz w:val="24"/>
                <w:szCs w:val="24"/>
              </w:rPr>
              <w:t>18 (8)</w:t>
            </w:r>
          </w:p>
        </w:tc>
        <w:tc>
          <w:tcPr>
            <w:tcW w:w="2769" w:type="dxa"/>
            <w:tcBorders>
              <w:top w:val="nil"/>
              <w:left w:val="nil"/>
              <w:bottom w:val="nil"/>
              <w:right w:val="nil"/>
            </w:tcBorders>
            <w:shd w:val="clear" w:color="auto" w:fill="auto"/>
            <w:noWrap/>
            <w:vAlign w:val="bottom"/>
            <w:hideMark/>
          </w:tcPr>
          <w:p w14:paraId="22185AA2" w14:textId="77777777" w:rsidR="002E72CF" w:rsidRPr="002E72CF" w:rsidRDefault="002E72CF" w:rsidP="002E72CF">
            <w:pPr>
              <w:spacing w:after="0" w:line="240" w:lineRule="auto"/>
              <w:rPr>
                <w:rFonts w:eastAsia="Times New Roman" w:cstheme="minorHAnsi"/>
                <w:sz w:val="24"/>
                <w:szCs w:val="24"/>
              </w:rPr>
            </w:pPr>
            <w:r w:rsidRPr="002E72CF">
              <w:rPr>
                <w:rFonts w:eastAsia="Times New Roman" w:cstheme="minorHAnsi"/>
                <w:sz w:val="24"/>
                <w:szCs w:val="24"/>
              </w:rPr>
              <w:t>1.29 (1.04 - 1.66)</w:t>
            </w:r>
          </w:p>
        </w:tc>
      </w:tr>
      <w:tr w:rsidR="002E72CF" w:rsidRPr="002E72CF" w14:paraId="6330D398" w14:textId="77777777" w:rsidTr="00FE2D6B">
        <w:trPr>
          <w:trHeight w:val="345"/>
        </w:trPr>
        <w:tc>
          <w:tcPr>
            <w:tcW w:w="3212" w:type="dxa"/>
            <w:tcBorders>
              <w:top w:val="nil"/>
              <w:left w:val="nil"/>
              <w:bottom w:val="nil"/>
              <w:right w:val="nil"/>
            </w:tcBorders>
            <w:shd w:val="clear" w:color="auto" w:fill="auto"/>
            <w:noWrap/>
            <w:vAlign w:val="bottom"/>
            <w:hideMark/>
          </w:tcPr>
          <w:p w14:paraId="5F0BCC72" w14:textId="77777777" w:rsidR="002E72CF" w:rsidRPr="002E72CF" w:rsidRDefault="002E72CF" w:rsidP="002E72CF">
            <w:pPr>
              <w:spacing w:after="0" w:line="240" w:lineRule="auto"/>
              <w:rPr>
                <w:rFonts w:eastAsia="Times New Roman" w:cstheme="minorHAnsi"/>
                <w:sz w:val="24"/>
                <w:szCs w:val="24"/>
              </w:rPr>
            </w:pPr>
            <w:r w:rsidRPr="002E72CF">
              <w:rPr>
                <w:rFonts w:eastAsia="Times New Roman" w:cstheme="minorHAnsi"/>
                <w:sz w:val="24"/>
                <w:szCs w:val="24"/>
              </w:rPr>
              <w:t>CL/F (l h</w:t>
            </w:r>
            <w:r w:rsidRPr="002E72CF">
              <w:rPr>
                <w:rFonts w:eastAsia="Times New Roman" w:cstheme="minorHAnsi"/>
                <w:sz w:val="24"/>
                <w:szCs w:val="24"/>
                <w:vertAlign w:val="superscript"/>
              </w:rPr>
              <w:t>-1</w:t>
            </w:r>
            <w:r w:rsidRPr="002E72CF">
              <w:rPr>
                <w:rFonts w:eastAsia="Times New Roman" w:cstheme="minorHAnsi"/>
                <w:sz w:val="24"/>
                <w:szCs w:val="24"/>
              </w:rPr>
              <w:t>)</w:t>
            </w:r>
          </w:p>
        </w:tc>
        <w:tc>
          <w:tcPr>
            <w:tcW w:w="2728" w:type="dxa"/>
            <w:tcBorders>
              <w:top w:val="nil"/>
              <w:left w:val="nil"/>
              <w:bottom w:val="nil"/>
              <w:right w:val="nil"/>
            </w:tcBorders>
            <w:shd w:val="clear" w:color="auto" w:fill="auto"/>
            <w:noWrap/>
            <w:vAlign w:val="bottom"/>
            <w:hideMark/>
          </w:tcPr>
          <w:p w14:paraId="62AF25B3" w14:textId="77777777" w:rsidR="002E72CF" w:rsidRPr="002E72CF" w:rsidRDefault="002E72CF" w:rsidP="002E72CF">
            <w:pPr>
              <w:spacing w:after="0" w:line="240" w:lineRule="auto"/>
              <w:rPr>
                <w:rFonts w:eastAsia="Times New Roman" w:cstheme="minorHAnsi"/>
                <w:sz w:val="24"/>
                <w:szCs w:val="24"/>
              </w:rPr>
            </w:pPr>
            <w:r w:rsidRPr="002E72CF">
              <w:rPr>
                <w:rFonts w:eastAsia="Times New Roman" w:cstheme="minorHAnsi"/>
                <w:sz w:val="24"/>
                <w:szCs w:val="24"/>
              </w:rPr>
              <w:t>3.01 (1.18)</w:t>
            </w:r>
          </w:p>
        </w:tc>
        <w:tc>
          <w:tcPr>
            <w:tcW w:w="2672" w:type="dxa"/>
            <w:tcBorders>
              <w:top w:val="nil"/>
              <w:left w:val="nil"/>
              <w:bottom w:val="nil"/>
              <w:right w:val="nil"/>
            </w:tcBorders>
            <w:shd w:val="clear" w:color="auto" w:fill="auto"/>
            <w:noWrap/>
            <w:vAlign w:val="bottom"/>
            <w:hideMark/>
          </w:tcPr>
          <w:p w14:paraId="744640A1" w14:textId="77777777" w:rsidR="002E72CF" w:rsidRPr="002E72CF" w:rsidRDefault="002E72CF" w:rsidP="002E72CF">
            <w:pPr>
              <w:spacing w:after="0" w:line="240" w:lineRule="auto"/>
              <w:rPr>
                <w:rFonts w:eastAsia="Times New Roman" w:cstheme="minorHAnsi"/>
                <w:sz w:val="24"/>
                <w:szCs w:val="24"/>
              </w:rPr>
            </w:pPr>
            <w:r w:rsidRPr="002E72CF">
              <w:rPr>
                <w:rFonts w:eastAsia="Times New Roman" w:cstheme="minorHAnsi"/>
                <w:sz w:val="24"/>
                <w:szCs w:val="24"/>
              </w:rPr>
              <w:t>2.82 (1.65)</w:t>
            </w:r>
          </w:p>
        </w:tc>
        <w:tc>
          <w:tcPr>
            <w:tcW w:w="2769" w:type="dxa"/>
            <w:tcBorders>
              <w:top w:val="nil"/>
              <w:left w:val="nil"/>
              <w:bottom w:val="nil"/>
              <w:right w:val="nil"/>
            </w:tcBorders>
            <w:shd w:val="clear" w:color="auto" w:fill="auto"/>
            <w:noWrap/>
            <w:vAlign w:val="bottom"/>
            <w:hideMark/>
          </w:tcPr>
          <w:p w14:paraId="462A6350" w14:textId="77777777" w:rsidR="002E72CF" w:rsidRPr="002E72CF" w:rsidRDefault="002E72CF" w:rsidP="002E72CF">
            <w:pPr>
              <w:spacing w:after="0" w:line="240" w:lineRule="auto"/>
              <w:rPr>
                <w:rFonts w:eastAsia="Times New Roman" w:cstheme="minorHAnsi"/>
                <w:sz w:val="24"/>
                <w:szCs w:val="24"/>
              </w:rPr>
            </w:pPr>
            <w:r w:rsidRPr="002E72CF">
              <w:rPr>
                <w:rFonts w:eastAsia="Times New Roman" w:cstheme="minorHAnsi"/>
                <w:sz w:val="24"/>
                <w:szCs w:val="24"/>
              </w:rPr>
              <w:t>0.94 (0.78 - 1.12)</w:t>
            </w:r>
          </w:p>
        </w:tc>
      </w:tr>
      <w:tr w:rsidR="002E72CF" w:rsidRPr="002E72CF" w14:paraId="211E14D4" w14:textId="77777777" w:rsidTr="00FE2D6B">
        <w:trPr>
          <w:trHeight w:val="345"/>
        </w:trPr>
        <w:tc>
          <w:tcPr>
            <w:tcW w:w="3212" w:type="dxa"/>
            <w:tcBorders>
              <w:top w:val="nil"/>
              <w:left w:val="nil"/>
              <w:bottom w:val="single" w:sz="4" w:space="0" w:color="auto"/>
              <w:right w:val="nil"/>
            </w:tcBorders>
            <w:shd w:val="clear" w:color="auto" w:fill="auto"/>
            <w:vAlign w:val="bottom"/>
            <w:hideMark/>
          </w:tcPr>
          <w:p w14:paraId="63325EC2" w14:textId="77777777" w:rsidR="002E72CF" w:rsidRPr="002E72CF" w:rsidRDefault="002E72CF" w:rsidP="002E72CF">
            <w:pPr>
              <w:spacing w:after="0" w:line="240" w:lineRule="auto"/>
              <w:rPr>
                <w:rFonts w:eastAsia="Times New Roman" w:cstheme="minorHAnsi"/>
                <w:sz w:val="24"/>
                <w:szCs w:val="24"/>
              </w:rPr>
            </w:pPr>
            <w:proofErr w:type="spellStart"/>
            <w:r w:rsidRPr="002E72CF">
              <w:rPr>
                <w:rFonts w:eastAsia="Times New Roman" w:cstheme="minorHAnsi"/>
                <w:sz w:val="24"/>
                <w:szCs w:val="24"/>
              </w:rPr>
              <w:t>C</w:t>
            </w:r>
            <w:r w:rsidRPr="002E72CF">
              <w:rPr>
                <w:rFonts w:eastAsia="Times New Roman" w:cstheme="minorHAnsi"/>
                <w:sz w:val="24"/>
                <w:szCs w:val="24"/>
                <w:vertAlign w:val="subscript"/>
              </w:rPr>
              <w:t>trough</w:t>
            </w:r>
            <w:proofErr w:type="spellEnd"/>
            <w:r w:rsidRPr="002E72CF">
              <w:rPr>
                <w:rFonts w:eastAsia="Times New Roman" w:cstheme="minorHAnsi"/>
                <w:sz w:val="24"/>
                <w:szCs w:val="24"/>
                <w:vertAlign w:val="subscript"/>
              </w:rPr>
              <w:t xml:space="preserve"> </w:t>
            </w:r>
            <w:r w:rsidRPr="002E72CF">
              <w:rPr>
                <w:rFonts w:eastAsia="Times New Roman" w:cstheme="minorHAnsi"/>
                <w:sz w:val="24"/>
                <w:szCs w:val="24"/>
              </w:rPr>
              <w:t>&lt; MEC (%)</w:t>
            </w:r>
          </w:p>
        </w:tc>
        <w:tc>
          <w:tcPr>
            <w:tcW w:w="2728" w:type="dxa"/>
            <w:tcBorders>
              <w:top w:val="nil"/>
              <w:left w:val="nil"/>
              <w:bottom w:val="single" w:sz="4" w:space="0" w:color="auto"/>
              <w:right w:val="nil"/>
            </w:tcBorders>
            <w:shd w:val="clear" w:color="auto" w:fill="auto"/>
            <w:noWrap/>
            <w:vAlign w:val="bottom"/>
            <w:hideMark/>
          </w:tcPr>
          <w:p w14:paraId="1E6A31F0" w14:textId="77777777" w:rsidR="002E72CF" w:rsidRPr="002E72CF" w:rsidRDefault="002E72CF" w:rsidP="002E72CF">
            <w:pPr>
              <w:spacing w:after="0" w:line="240" w:lineRule="auto"/>
              <w:rPr>
                <w:rFonts w:eastAsia="Times New Roman" w:cstheme="minorHAnsi"/>
                <w:sz w:val="24"/>
                <w:szCs w:val="24"/>
              </w:rPr>
            </w:pPr>
            <w:r w:rsidRPr="002E72CF">
              <w:rPr>
                <w:rFonts w:eastAsia="Times New Roman" w:cstheme="minorHAnsi"/>
                <w:sz w:val="24"/>
                <w:szCs w:val="24"/>
              </w:rPr>
              <w:t>10%</w:t>
            </w:r>
          </w:p>
        </w:tc>
        <w:tc>
          <w:tcPr>
            <w:tcW w:w="2672" w:type="dxa"/>
            <w:tcBorders>
              <w:top w:val="nil"/>
              <w:left w:val="nil"/>
              <w:bottom w:val="single" w:sz="4" w:space="0" w:color="auto"/>
              <w:right w:val="nil"/>
            </w:tcBorders>
            <w:shd w:val="clear" w:color="auto" w:fill="auto"/>
            <w:noWrap/>
            <w:vAlign w:val="bottom"/>
            <w:hideMark/>
          </w:tcPr>
          <w:p w14:paraId="6B0A8885" w14:textId="77777777" w:rsidR="002E72CF" w:rsidRPr="002E72CF" w:rsidRDefault="002E72CF" w:rsidP="002E72CF">
            <w:pPr>
              <w:spacing w:after="0" w:line="240" w:lineRule="auto"/>
              <w:rPr>
                <w:rFonts w:eastAsia="Times New Roman" w:cstheme="minorHAnsi"/>
                <w:sz w:val="24"/>
                <w:szCs w:val="24"/>
              </w:rPr>
            </w:pPr>
            <w:r w:rsidRPr="002E72CF">
              <w:rPr>
                <w:rFonts w:eastAsia="Times New Roman" w:cstheme="minorHAnsi"/>
                <w:sz w:val="24"/>
                <w:szCs w:val="24"/>
              </w:rPr>
              <w:t>14</w:t>
            </w:r>
          </w:p>
        </w:tc>
        <w:tc>
          <w:tcPr>
            <w:tcW w:w="2769" w:type="dxa"/>
            <w:tcBorders>
              <w:top w:val="nil"/>
              <w:left w:val="nil"/>
              <w:bottom w:val="single" w:sz="4" w:space="0" w:color="auto"/>
              <w:right w:val="nil"/>
            </w:tcBorders>
            <w:shd w:val="clear" w:color="auto" w:fill="auto"/>
            <w:noWrap/>
            <w:vAlign w:val="bottom"/>
            <w:hideMark/>
          </w:tcPr>
          <w:p w14:paraId="0E244956" w14:textId="77777777" w:rsidR="002E72CF" w:rsidRPr="002E72CF" w:rsidRDefault="002E72CF" w:rsidP="002E72CF">
            <w:pPr>
              <w:spacing w:after="0" w:line="240" w:lineRule="auto"/>
              <w:rPr>
                <w:rFonts w:eastAsia="Times New Roman" w:cstheme="minorHAnsi"/>
                <w:sz w:val="24"/>
                <w:szCs w:val="24"/>
              </w:rPr>
            </w:pPr>
          </w:p>
        </w:tc>
      </w:tr>
      <w:tr w:rsidR="002E72CF" w:rsidRPr="002E72CF" w14:paraId="784291F7" w14:textId="77777777" w:rsidTr="00FE2D6B">
        <w:trPr>
          <w:trHeight w:val="345"/>
        </w:trPr>
        <w:tc>
          <w:tcPr>
            <w:tcW w:w="3212" w:type="dxa"/>
            <w:tcBorders>
              <w:top w:val="single" w:sz="4" w:space="0" w:color="auto"/>
              <w:left w:val="nil"/>
              <w:bottom w:val="single" w:sz="4" w:space="0" w:color="auto"/>
              <w:right w:val="nil"/>
            </w:tcBorders>
            <w:shd w:val="clear" w:color="auto" w:fill="auto"/>
            <w:vAlign w:val="bottom"/>
            <w:hideMark/>
          </w:tcPr>
          <w:p w14:paraId="1A11BF6B" w14:textId="77777777" w:rsidR="002E72CF" w:rsidRPr="002E72CF" w:rsidRDefault="002E72CF" w:rsidP="002E72CF">
            <w:pPr>
              <w:spacing w:after="0" w:line="240" w:lineRule="auto"/>
              <w:rPr>
                <w:rFonts w:eastAsia="Times New Roman" w:cstheme="minorHAnsi"/>
                <w:sz w:val="24"/>
                <w:szCs w:val="24"/>
              </w:rPr>
            </w:pPr>
          </w:p>
        </w:tc>
        <w:tc>
          <w:tcPr>
            <w:tcW w:w="5400" w:type="dxa"/>
            <w:gridSpan w:val="2"/>
            <w:tcBorders>
              <w:top w:val="single" w:sz="4" w:space="0" w:color="auto"/>
              <w:left w:val="nil"/>
              <w:bottom w:val="single" w:sz="4" w:space="0" w:color="auto"/>
              <w:right w:val="nil"/>
            </w:tcBorders>
            <w:shd w:val="clear" w:color="auto" w:fill="auto"/>
            <w:noWrap/>
            <w:vAlign w:val="bottom"/>
            <w:hideMark/>
          </w:tcPr>
          <w:p w14:paraId="35E91A67" w14:textId="77777777" w:rsidR="002E72CF" w:rsidRPr="002E72CF" w:rsidRDefault="002E72CF" w:rsidP="002E72CF">
            <w:pPr>
              <w:spacing w:after="0" w:line="240" w:lineRule="auto"/>
              <w:jc w:val="center"/>
              <w:rPr>
                <w:rFonts w:eastAsia="Times New Roman" w:cstheme="minorHAnsi"/>
                <w:sz w:val="24"/>
                <w:szCs w:val="24"/>
              </w:rPr>
            </w:pPr>
            <w:r w:rsidRPr="002E72CF">
              <w:rPr>
                <w:rFonts w:eastAsia="Times New Roman" w:cstheme="minorHAnsi"/>
                <w:sz w:val="24"/>
                <w:szCs w:val="24"/>
              </w:rPr>
              <w:t xml:space="preserve">Intermediate </w:t>
            </w:r>
            <w:proofErr w:type="spellStart"/>
            <w:r w:rsidRPr="002E72CF">
              <w:rPr>
                <w:rFonts w:eastAsia="Times New Roman" w:cstheme="minorHAnsi"/>
                <w:sz w:val="24"/>
                <w:szCs w:val="24"/>
              </w:rPr>
              <w:t>Metabolisers</w:t>
            </w:r>
            <w:proofErr w:type="spellEnd"/>
            <w:r w:rsidRPr="002E72CF">
              <w:rPr>
                <w:rFonts w:eastAsia="Times New Roman" w:cstheme="minorHAnsi"/>
                <w:sz w:val="24"/>
                <w:szCs w:val="24"/>
              </w:rPr>
              <w:t xml:space="preserve"> (n = 3)</w:t>
            </w:r>
          </w:p>
        </w:tc>
        <w:tc>
          <w:tcPr>
            <w:tcW w:w="2769" w:type="dxa"/>
            <w:tcBorders>
              <w:top w:val="single" w:sz="4" w:space="0" w:color="auto"/>
              <w:left w:val="nil"/>
              <w:bottom w:val="single" w:sz="4" w:space="0" w:color="auto"/>
              <w:right w:val="nil"/>
            </w:tcBorders>
            <w:shd w:val="clear" w:color="auto" w:fill="auto"/>
            <w:noWrap/>
            <w:vAlign w:val="bottom"/>
            <w:hideMark/>
          </w:tcPr>
          <w:p w14:paraId="4AA6B38A" w14:textId="77777777" w:rsidR="002E72CF" w:rsidRPr="002E72CF" w:rsidRDefault="002E72CF" w:rsidP="002E72CF">
            <w:pPr>
              <w:spacing w:after="0" w:line="240" w:lineRule="auto"/>
              <w:jc w:val="center"/>
              <w:rPr>
                <w:rFonts w:eastAsia="Times New Roman" w:cstheme="minorHAnsi"/>
                <w:sz w:val="24"/>
                <w:szCs w:val="24"/>
              </w:rPr>
            </w:pPr>
          </w:p>
        </w:tc>
      </w:tr>
      <w:tr w:rsidR="002E72CF" w:rsidRPr="002E72CF" w14:paraId="50CA4230" w14:textId="77777777" w:rsidTr="00FE2D6B">
        <w:trPr>
          <w:trHeight w:val="345"/>
        </w:trPr>
        <w:tc>
          <w:tcPr>
            <w:tcW w:w="3212" w:type="dxa"/>
            <w:tcBorders>
              <w:top w:val="single" w:sz="4" w:space="0" w:color="auto"/>
              <w:left w:val="nil"/>
              <w:bottom w:val="nil"/>
              <w:right w:val="nil"/>
            </w:tcBorders>
            <w:shd w:val="clear" w:color="auto" w:fill="auto"/>
            <w:vAlign w:val="bottom"/>
            <w:hideMark/>
          </w:tcPr>
          <w:p w14:paraId="2CE6B2F5" w14:textId="77777777" w:rsidR="002E72CF" w:rsidRPr="002E72CF" w:rsidRDefault="002E72CF" w:rsidP="002E72CF">
            <w:pPr>
              <w:spacing w:after="0" w:line="240" w:lineRule="auto"/>
              <w:rPr>
                <w:rFonts w:eastAsia="Times New Roman" w:cstheme="minorHAnsi"/>
                <w:sz w:val="24"/>
                <w:szCs w:val="24"/>
              </w:rPr>
            </w:pPr>
            <w:proofErr w:type="spellStart"/>
            <w:r w:rsidRPr="002E72CF">
              <w:rPr>
                <w:rFonts w:eastAsia="Times New Roman" w:cstheme="minorHAnsi"/>
                <w:sz w:val="24"/>
                <w:szCs w:val="24"/>
              </w:rPr>
              <w:t>C</w:t>
            </w:r>
            <w:r w:rsidRPr="002E72CF">
              <w:rPr>
                <w:rFonts w:eastAsia="Times New Roman" w:cstheme="minorHAnsi"/>
                <w:sz w:val="24"/>
                <w:szCs w:val="24"/>
                <w:vertAlign w:val="subscript"/>
              </w:rPr>
              <w:t>trough</w:t>
            </w:r>
            <w:proofErr w:type="spellEnd"/>
            <w:r w:rsidRPr="002E72CF">
              <w:rPr>
                <w:rFonts w:eastAsia="Times New Roman" w:cstheme="minorHAnsi"/>
                <w:sz w:val="24"/>
                <w:szCs w:val="24"/>
              </w:rPr>
              <w:t xml:space="preserve"> (ng ml</w:t>
            </w:r>
            <w:r w:rsidRPr="002E72CF">
              <w:rPr>
                <w:rFonts w:eastAsia="Times New Roman" w:cstheme="minorHAnsi"/>
                <w:sz w:val="24"/>
                <w:szCs w:val="24"/>
                <w:vertAlign w:val="superscript"/>
              </w:rPr>
              <w:t>-1</w:t>
            </w:r>
            <w:r w:rsidRPr="002E72CF">
              <w:rPr>
                <w:rFonts w:eastAsia="Times New Roman" w:cstheme="minorHAnsi"/>
                <w:sz w:val="24"/>
                <w:szCs w:val="24"/>
              </w:rPr>
              <w:t>)</w:t>
            </w:r>
          </w:p>
        </w:tc>
        <w:tc>
          <w:tcPr>
            <w:tcW w:w="2728" w:type="dxa"/>
            <w:tcBorders>
              <w:top w:val="single" w:sz="4" w:space="0" w:color="auto"/>
              <w:left w:val="nil"/>
              <w:bottom w:val="nil"/>
              <w:right w:val="nil"/>
            </w:tcBorders>
            <w:shd w:val="clear" w:color="auto" w:fill="auto"/>
            <w:noWrap/>
            <w:vAlign w:val="bottom"/>
            <w:hideMark/>
          </w:tcPr>
          <w:p w14:paraId="296C2F28" w14:textId="77777777" w:rsidR="002E72CF" w:rsidRPr="002E72CF" w:rsidRDefault="002E72CF" w:rsidP="002E72CF">
            <w:pPr>
              <w:spacing w:after="0" w:line="240" w:lineRule="auto"/>
              <w:rPr>
                <w:rFonts w:eastAsia="Times New Roman" w:cstheme="minorHAnsi"/>
                <w:sz w:val="24"/>
                <w:szCs w:val="24"/>
              </w:rPr>
            </w:pPr>
            <w:r w:rsidRPr="002E72CF">
              <w:rPr>
                <w:rFonts w:eastAsia="Times New Roman" w:cstheme="minorHAnsi"/>
                <w:sz w:val="24"/>
                <w:szCs w:val="24"/>
              </w:rPr>
              <w:t>5 032 (950)</w:t>
            </w:r>
          </w:p>
        </w:tc>
        <w:tc>
          <w:tcPr>
            <w:tcW w:w="2672" w:type="dxa"/>
            <w:tcBorders>
              <w:top w:val="single" w:sz="4" w:space="0" w:color="auto"/>
              <w:left w:val="nil"/>
              <w:bottom w:val="nil"/>
              <w:right w:val="nil"/>
            </w:tcBorders>
            <w:shd w:val="clear" w:color="auto" w:fill="auto"/>
            <w:noWrap/>
            <w:vAlign w:val="bottom"/>
            <w:hideMark/>
          </w:tcPr>
          <w:p w14:paraId="3659D651" w14:textId="77777777" w:rsidR="002E72CF" w:rsidRPr="002E72CF" w:rsidRDefault="002E72CF" w:rsidP="002E72CF">
            <w:pPr>
              <w:spacing w:after="0" w:line="240" w:lineRule="auto"/>
              <w:rPr>
                <w:rFonts w:eastAsia="Times New Roman" w:cstheme="minorHAnsi"/>
                <w:sz w:val="24"/>
                <w:szCs w:val="24"/>
              </w:rPr>
            </w:pPr>
            <w:r w:rsidRPr="002E72CF">
              <w:rPr>
                <w:rFonts w:eastAsia="Times New Roman" w:cstheme="minorHAnsi"/>
                <w:sz w:val="24"/>
                <w:szCs w:val="24"/>
              </w:rPr>
              <w:t>4 664 (1 514)</w:t>
            </w:r>
          </w:p>
        </w:tc>
        <w:tc>
          <w:tcPr>
            <w:tcW w:w="2769" w:type="dxa"/>
            <w:tcBorders>
              <w:top w:val="single" w:sz="4" w:space="0" w:color="auto"/>
              <w:left w:val="nil"/>
              <w:bottom w:val="nil"/>
              <w:right w:val="nil"/>
            </w:tcBorders>
            <w:shd w:val="clear" w:color="auto" w:fill="auto"/>
            <w:noWrap/>
            <w:vAlign w:val="bottom"/>
            <w:hideMark/>
          </w:tcPr>
          <w:p w14:paraId="2F7FB187" w14:textId="77777777" w:rsidR="002E72CF" w:rsidRPr="002E72CF" w:rsidRDefault="002E72CF" w:rsidP="002E72CF">
            <w:pPr>
              <w:spacing w:after="0" w:line="240" w:lineRule="auto"/>
              <w:rPr>
                <w:rFonts w:eastAsia="Times New Roman" w:cstheme="minorHAnsi"/>
                <w:sz w:val="24"/>
                <w:szCs w:val="24"/>
              </w:rPr>
            </w:pPr>
            <w:r w:rsidRPr="002E72CF">
              <w:rPr>
                <w:rFonts w:eastAsia="Times New Roman" w:cstheme="minorHAnsi"/>
                <w:sz w:val="24"/>
                <w:szCs w:val="24"/>
              </w:rPr>
              <w:t>0.93 (0.71 - 1.20)</w:t>
            </w:r>
          </w:p>
        </w:tc>
      </w:tr>
      <w:tr w:rsidR="002E72CF" w:rsidRPr="002E72CF" w14:paraId="6DCAD196" w14:textId="77777777" w:rsidTr="00FE2D6B">
        <w:trPr>
          <w:trHeight w:val="345"/>
        </w:trPr>
        <w:tc>
          <w:tcPr>
            <w:tcW w:w="3212" w:type="dxa"/>
            <w:tcBorders>
              <w:top w:val="nil"/>
              <w:left w:val="nil"/>
              <w:bottom w:val="nil"/>
              <w:right w:val="nil"/>
            </w:tcBorders>
            <w:shd w:val="clear" w:color="auto" w:fill="auto"/>
            <w:noWrap/>
            <w:vAlign w:val="bottom"/>
            <w:hideMark/>
          </w:tcPr>
          <w:p w14:paraId="7A5A037A" w14:textId="77777777" w:rsidR="002E72CF" w:rsidRPr="002E72CF" w:rsidRDefault="002E72CF" w:rsidP="002E72CF">
            <w:pPr>
              <w:spacing w:after="0" w:line="240" w:lineRule="auto"/>
              <w:rPr>
                <w:rFonts w:eastAsia="Times New Roman" w:cstheme="minorHAnsi"/>
                <w:sz w:val="24"/>
                <w:szCs w:val="24"/>
              </w:rPr>
            </w:pPr>
            <w:r w:rsidRPr="002E72CF">
              <w:rPr>
                <w:rFonts w:eastAsia="Times New Roman" w:cstheme="minorHAnsi"/>
                <w:sz w:val="24"/>
                <w:szCs w:val="24"/>
              </w:rPr>
              <w:t>C</w:t>
            </w:r>
            <w:r w:rsidRPr="002E72CF">
              <w:rPr>
                <w:rFonts w:eastAsia="Times New Roman" w:cstheme="minorHAnsi"/>
                <w:sz w:val="24"/>
                <w:szCs w:val="24"/>
                <w:vertAlign w:val="subscript"/>
              </w:rPr>
              <w:t xml:space="preserve">max </w:t>
            </w:r>
            <w:r w:rsidRPr="002E72CF">
              <w:rPr>
                <w:rFonts w:eastAsia="Times New Roman" w:cstheme="minorHAnsi"/>
                <w:sz w:val="24"/>
                <w:szCs w:val="24"/>
              </w:rPr>
              <w:t>(ng ml</w:t>
            </w:r>
            <w:r w:rsidRPr="002E72CF">
              <w:rPr>
                <w:rFonts w:eastAsia="Times New Roman" w:cstheme="minorHAnsi"/>
                <w:sz w:val="24"/>
                <w:szCs w:val="24"/>
                <w:vertAlign w:val="superscript"/>
              </w:rPr>
              <w:t>-1</w:t>
            </w:r>
            <w:r w:rsidRPr="002E72CF">
              <w:rPr>
                <w:rFonts w:eastAsia="Times New Roman" w:cstheme="minorHAnsi"/>
                <w:sz w:val="24"/>
                <w:szCs w:val="24"/>
              </w:rPr>
              <w:t>)</w:t>
            </w:r>
          </w:p>
        </w:tc>
        <w:tc>
          <w:tcPr>
            <w:tcW w:w="2728" w:type="dxa"/>
            <w:tcBorders>
              <w:top w:val="nil"/>
              <w:left w:val="nil"/>
              <w:bottom w:val="nil"/>
              <w:right w:val="nil"/>
            </w:tcBorders>
            <w:shd w:val="clear" w:color="auto" w:fill="auto"/>
            <w:noWrap/>
            <w:vAlign w:val="bottom"/>
            <w:hideMark/>
          </w:tcPr>
          <w:p w14:paraId="6A444991" w14:textId="77777777" w:rsidR="002E72CF" w:rsidRPr="002E72CF" w:rsidRDefault="002E72CF" w:rsidP="002E72CF">
            <w:pPr>
              <w:spacing w:after="0" w:line="240" w:lineRule="auto"/>
              <w:rPr>
                <w:rFonts w:eastAsia="Times New Roman" w:cstheme="minorHAnsi"/>
                <w:sz w:val="24"/>
                <w:szCs w:val="24"/>
              </w:rPr>
            </w:pPr>
            <w:r w:rsidRPr="002E72CF">
              <w:rPr>
                <w:rFonts w:eastAsia="Times New Roman" w:cstheme="minorHAnsi"/>
                <w:sz w:val="24"/>
                <w:szCs w:val="24"/>
              </w:rPr>
              <w:t>7 307 (1902)</w:t>
            </w:r>
          </w:p>
        </w:tc>
        <w:tc>
          <w:tcPr>
            <w:tcW w:w="2672" w:type="dxa"/>
            <w:tcBorders>
              <w:top w:val="nil"/>
              <w:left w:val="nil"/>
              <w:bottom w:val="nil"/>
              <w:right w:val="nil"/>
            </w:tcBorders>
            <w:shd w:val="clear" w:color="auto" w:fill="auto"/>
            <w:noWrap/>
            <w:vAlign w:val="bottom"/>
            <w:hideMark/>
          </w:tcPr>
          <w:p w14:paraId="58C72F65" w14:textId="77777777" w:rsidR="002E72CF" w:rsidRPr="002E72CF" w:rsidRDefault="002E72CF" w:rsidP="002E72CF">
            <w:pPr>
              <w:spacing w:after="0" w:line="240" w:lineRule="auto"/>
              <w:rPr>
                <w:rFonts w:eastAsia="Times New Roman" w:cstheme="minorHAnsi"/>
                <w:sz w:val="24"/>
                <w:szCs w:val="24"/>
              </w:rPr>
            </w:pPr>
            <w:r w:rsidRPr="002E72CF">
              <w:rPr>
                <w:rFonts w:eastAsia="Times New Roman" w:cstheme="minorHAnsi"/>
                <w:sz w:val="24"/>
                <w:szCs w:val="24"/>
              </w:rPr>
              <w:t>6 483 (1 052)</w:t>
            </w:r>
          </w:p>
        </w:tc>
        <w:tc>
          <w:tcPr>
            <w:tcW w:w="2769" w:type="dxa"/>
            <w:tcBorders>
              <w:top w:val="nil"/>
              <w:left w:val="nil"/>
              <w:bottom w:val="nil"/>
              <w:right w:val="nil"/>
            </w:tcBorders>
            <w:shd w:val="clear" w:color="auto" w:fill="auto"/>
            <w:noWrap/>
            <w:vAlign w:val="bottom"/>
            <w:hideMark/>
          </w:tcPr>
          <w:p w14:paraId="6C7208DC" w14:textId="77777777" w:rsidR="002E72CF" w:rsidRPr="002E72CF" w:rsidRDefault="002E72CF" w:rsidP="002E72CF">
            <w:pPr>
              <w:spacing w:after="0" w:line="240" w:lineRule="auto"/>
              <w:rPr>
                <w:rFonts w:eastAsia="Times New Roman" w:cstheme="minorHAnsi"/>
                <w:sz w:val="24"/>
                <w:szCs w:val="24"/>
              </w:rPr>
            </w:pPr>
            <w:r w:rsidRPr="002E72CF">
              <w:rPr>
                <w:rFonts w:eastAsia="Times New Roman" w:cstheme="minorHAnsi"/>
                <w:sz w:val="24"/>
                <w:szCs w:val="24"/>
              </w:rPr>
              <w:t>0.89 (0.73 - 1.08)</w:t>
            </w:r>
          </w:p>
        </w:tc>
      </w:tr>
      <w:tr w:rsidR="002E72CF" w:rsidRPr="002E72CF" w14:paraId="20F3665B" w14:textId="77777777" w:rsidTr="00FE2D6B">
        <w:trPr>
          <w:trHeight w:val="345"/>
        </w:trPr>
        <w:tc>
          <w:tcPr>
            <w:tcW w:w="3212" w:type="dxa"/>
            <w:tcBorders>
              <w:top w:val="nil"/>
              <w:left w:val="nil"/>
              <w:bottom w:val="nil"/>
              <w:right w:val="nil"/>
            </w:tcBorders>
            <w:shd w:val="clear" w:color="auto" w:fill="auto"/>
            <w:noWrap/>
            <w:vAlign w:val="bottom"/>
            <w:hideMark/>
          </w:tcPr>
          <w:p w14:paraId="18D75677" w14:textId="77777777" w:rsidR="002E72CF" w:rsidRPr="002E72CF" w:rsidRDefault="002E72CF" w:rsidP="002E72CF">
            <w:pPr>
              <w:spacing w:after="0" w:line="240" w:lineRule="auto"/>
              <w:rPr>
                <w:rFonts w:eastAsia="Times New Roman" w:cstheme="minorHAnsi"/>
                <w:sz w:val="24"/>
                <w:szCs w:val="24"/>
              </w:rPr>
            </w:pPr>
            <w:proofErr w:type="spellStart"/>
            <w:r w:rsidRPr="002E72CF">
              <w:rPr>
                <w:rFonts w:eastAsia="Times New Roman" w:cstheme="minorHAnsi"/>
                <w:sz w:val="24"/>
                <w:szCs w:val="24"/>
              </w:rPr>
              <w:t>T</w:t>
            </w:r>
            <w:r w:rsidRPr="002E72CF">
              <w:rPr>
                <w:rFonts w:eastAsia="Times New Roman" w:cstheme="minorHAnsi"/>
                <w:sz w:val="24"/>
                <w:szCs w:val="24"/>
                <w:vertAlign w:val="subscript"/>
              </w:rPr>
              <w:t>max</w:t>
            </w:r>
            <w:proofErr w:type="spellEnd"/>
            <w:r w:rsidRPr="002E72CF">
              <w:rPr>
                <w:rFonts w:eastAsia="Times New Roman" w:cstheme="minorHAnsi"/>
                <w:sz w:val="24"/>
                <w:szCs w:val="24"/>
                <w:vertAlign w:val="subscript"/>
              </w:rPr>
              <w:t xml:space="preserve"> </w:t>
            </w:r>
            <w:r w:rsidRPr="002E72CF">
              <w:rPr>
                <w:rFonts w:eastAsia="Times New Roman" w:cstheme="minorHAnsi"/>
                <w:sz w:val="24"/>
                <w:szCs w:val="24"/>
              </w:rPr>
              <w:t>(h)</w:t>
            </w:r>
          </w:p>
        </w:tc>
        <w:tc>
          <w:tcPr>
            <w:tcW w:w="2728" w:type="dxa"/>
            <w:tcBorders>
              <w:top w:val="nil"/>
              <w:left w:val="nil"/>
              <w:bottom w:val="nil"/>
              <w:right w:val="nil"/>
            </w:tcBorders>
            <w:shd w:val="clear" w:color="auto" w:fill="auto"/>
            <w:noWrap/>
            <w:vAlign w:val="bottom"/>
            <w:hideMark/>
          </w:tcPr>
          <w:p w14:paraId="181CC729" w14:textId="77777777" w:rsidR="002E72CF" w:rsidRPr="002E72CF" w:rsidRDefault="002E72CF" w:rsidP="002E72CF">
            <w:pPr>
              <w:spacing w:after="0" w:line="240" w:lineRule="auto"/>
              <w:rPr>
                <w:rFonts w:eastAsia="Times New Roman" w:cstheme="minorHAnsi"/>
                <w:sz w:val="24"/>
                <w:szCs w:val="24"/>
              </w:rPr>
            </w:pPr>
            <w:r w:rsidRPr="002E72CF">
              <w:rPr>
                <w:rFonts w:eastAsia="Times New Roman" w:cstheme="minorHAnsi"/>
                <w:sz w:val="24"/>
                <w:szCs w:val="24"/>
              </w:rPr>
              <w:t>2.08 (1.15)</w:t>
            </w:r>
          </w:p>
        </w:tc>
        <w:tc>
          <w:tcPr>
            <w:tcW w:w="2672" w:type="dxa"/>
            <w:tcBorders>
              <w:top w:val="nil"/>
              <w:left w:val="nil"/>
              <w:bottom w:val="nil"/>
              <w:right w:val="nil"/>
            </w:tcBorders>
            <w:shd w:val="clear" w:color="auto" w:fill="auto"/>
            <w:noWrap/>
            <w:vAlign w:val="bottom"/>
            <w:hideMark/>
          </w:tcPr>
          <w:p w14:paraId="23111EA7" w14:textId="77777777" w:rsidR="002E72CF" w:rsidRPr="002E72CF" w:rsidRDefault="002E72CF" w:rsidP="002E72CF">
            <w:pPr>
              <w:spacing w:after="0" w:line="240" w:lineRule="auto"/>
              <w:rPr>
                <w:rFonts w:eastAsia="Times New Roman" w:cstheme="minorHAnsi"/>
                <w:sz w:val="24"/>
                <w:szCs w:val="24"/>
              </w:rPr>
            </w:pPr>
            <w:r w:rsidRPr="002E72CF">
              <w:rPr>
                <w:rFonts w:eastAsia="Times New Roman" w:cstheme="minorHAnsi"/>
                <w:sz w:val="24"/>
                <w:szCs w:val="24"/>
              </w:rPr>
              <w:t>2.52 (1.15)</w:t>
            </w:r>
          </w:p>
        </w:tc>
        <w:tc>
          <w:tcPr>
            <w:tcW w:w="2769" w:type="dxa"/>
            <w:tcBorders>
              <w:top w:val="nil"/>
              <w:left w:val="nil"/>
              <w:bottom w:val="nil"/>
              <w:right w:val="nil"/>
            </w:tcBorders>
            <w:shd w:val="clear" w:color="auto" w:fill="auto"/>
            <w:noWrap/>
            <w:vAlign w:val="bottom"/>
            <w:hideMark/>
          </w:tcPr>
          <w:p w14:paraId="62D1AD54" w14:textId="77777777" w:rsidR="002E72CF" w:rsidRPr="002E72CF" w:rsidRDefault="002E72CF" w:rsidP="002E72CF">
            <w:pPr>
              <w:spacing w:after="0" w:line="240" w:lineRule="auto"/>
              <w:rPr>
                <w:rFonts w:eastAsia="Times New Roman" w:cstheme="minorHAnsi"/>
                <w:sz w:val="24"/>
                <w:szCs w:val="24"/>
              </w:rPr>
            </w:pPr>
            <w:r w:rsidRPr="002E72CF">
              <w:rPr>
                <w:rFonts w:eastAsia="Times New Roman" w:cstheme="minorHAnsi"/>
                <w:sz w:val="24"/>
                <w:szCs w:val="24"/>
              </w:rPr>
              <w:t>1.21 (0.47 - 3.10)</w:t>
            </w:r>
          </w:p>
        </w:tc>
      </w:tr>
      <w:tr w:rsidR="002E72CF" w:rsidRPr="002E72CF" w14:paraId="71E6D70A" w14:textId="77777777" w:rsidTr="00FE2D6B">
        <w:trPr>
          <w:trHeight w:val="345"/>
        </w:trPr>
        <w:tc>
          <w:tcPr>
            <w:tcW w:w="3212" w:type="dxa"/>
            <w:tcBorders>
              <w:top w:val="nil"/>
              <w:left w:val="nil"/>
              <w:bottom w:val="nil"/>
              <w:right w:val="nil"/>
            </w:tcBorders>
            <w:shd w:val="clear" w:color="auto" w:fill="auto"/>
            <w:noWrap/>
            <w:vAlign w:val="bottom"/>
            <w:hideMark/>
          </w:tcPr>
          <w:p w14:paraId="34AA67AF" w14:textId="77777777" w:rsidR="002E72CF" w:rsidRPr="002E72CF" w:rsidRDefault="002E72CF" w:rsidP="002E72CF">
            <w:pPr>
              <w:spacing w:after="0" w:line="240" w:lineRule="auto"/>
              <w:rPr>
                <w:rFonts w:eastAsia="Times New Roman" w:cstheme="minorHAnsi"/>
                <w:sz w:val="24"/>
                <w:szCs w:val="24"/>
              </w:rPr>
            </w:pPr>
            <w:r w:rsidRPr="002E72CF">
              <w:rPr>
                <w:rFonts w:eastAsia="Times New Roman" w:cstheme="minorHAnsi"/>
                <w:sz w:val="24"/>
                <w:szCs w:val="24"/>
              </w:rPr>
              <w:t>AUC</w:t>
            </w:r>
            <w:r w:rsidRPr="002E72CF">
              <w:rPr>
                <w:rFonts w:eastAsia="Times New Roman" w:cstheme="minorHAnsi"/>
                <w:sz w:val="24"/>
                <w:szCs w:val="24"/>
                <w:vertAlign w:val="subscript"/>
              </w:rPr>
              <w:t xml:space="preserve">0-12 </w:t>
            </w:r>
            <w:r w:rsidRPr="002E72CF">
              <w:rPr>
                <w:rFonts w:eastAsia="Times New Roman" w:cstheme="minorHAnsi"/>
                <w:sz w:val="24"/>
                <w:szCs w:val="24"/>
              </w:rPr>
              <w:t>(</w:t>
            </w:r>
            <w:proofErr w:type="spellStart"/>
            <w:r w:rsidRPr="002E72CF">
              <w:rPr>
                <w:rFonts w:eastAsia="Times New Roman" w:cstheme="minorHAnsi"/>
                <w:sz w:val="24"/>
                <w:szCs w:val="24"/>
              </w:rPr>
              <w:t>ng</w:t>
            </w:r>
            <w:r w:rsidRPr="002E72CF">
              <w:rPr>
                <w:rFonts w:eastAsia="Times New Roman" w:cstheme="minorHAnsi"/>
                <w:b/>
                <w:bCs/>
                <w:sz w:val="24"/>
                <w:szCs w:val="24"/>
              </w:rPr>
              <w:t>·</w:t>
            </w:r>
            <w:r w:rsidRPr="002E72CF">
              <w:rPr>
                <w:rFonts w:eastAsia="Times New Roman" w:cstheme="minorHAnsi"/>
                <w:sz w:val="24"/>
                <w:szCs w:val="24"/>
              </w:rPr>
              <w:t>h</w:t>
            </w:r>
            <w:proofErr w:type="spellEnd"/>
            <w:r w:rsidRPr="002E72CF">
              <w:rPr>
                <w:rFonts w:eastAsia="Times New Roman" w:cstheme="minorHAnsi"/>
                <w:sz w:val="24"/>
                <w:szCs w:val="24"/>
              </w:rPr>
              <w:t xml:space="preserve"> ml</w:t>
            </w:r>
            <w:r w:rsidRPr="002E72CF">
              <w:rPr>
                <w:rFonts w:eastAsia="Times New Roman" w:cstheme="minorHAnsi"/>
                <w:sz w:val="24"/>
                <w:szCs w:val="24"/>
                <w:vertAlign w:val="superscript"/>
              </w:rPr>
              <w:t>-1</w:t>
            </w:r>
            <w:r w:rsidRPr="002E72CF">
              <w:rPr>
                <w:rFonts w:eastAsia="Times New Roman" w:cstheme="minorHAnsi"/>
                <w:sz w:val="24"/>
                <w:szCs w:val="24"/>
              </w:rPr>
              <w:t>)</w:t>
            </w:r>
          </w:p>
        </w:tc>
        <w:tc>
          <w:tcPr>
            <w:tcW w:w="2728" w:type="dxa"/>
            <w:tcBorders>
              <w:top w:val="nil"/>
              <w:left w:val="nil"/>
              <w:bottom w:val="nil"/>
              <w:right w:val="nil"/>
            </w:tcBorders>
            <w:shd w:val="clear" w:color="auto" w:fill="auto"/>
            <w:noWrap/>
            <w:vAlign w:val="bottom"/>
            <w:hideMark/>
          </w:tcPr>
          <w:p w14:paraId="08586803" w14:textId="77777777" w:rsidR="002E72CF" w:rsidRPr="002E72CF" w:rsidRDefault="002E72CF" w:rsidP="002E72CF">
            <w:pPr>
              <w:spacing w:after="0" w:line="240" w:lineRule="auto"/>
              <w:rPr>
                <w:rFonts w:eastAsia="Times New Roman" w:cstheme="minorHAnsi"/>
                <w:sz w:val="24"/>
                <w:szCs w:val="24"/>
              </w:rPr>
            </w:pPr>
            <w:r w:rsidRPr="002E72CF">
              <w:rPr>
                <w:rFonts w:eastAsia="Times New Roman" w:cstheme="minorHAnsi"/>
                <w:sz w:val="24"/>
                <w:szCs w:val="24"/>
              </w:rPr>
              <w:t>71 139 (16 029)</w:t>
            </w:r>
          </w:p>
        </w:tc>
        <w:tc>
          <w:tcPr>
            <w:tcW w:w="2672" w:type="dxa"/>
            <w:tcBorders>
              <w:top w:val="nil"/>
              <w:left w:val="nil"/>
              <w:bottom w:val="nil"/>
              <w:right w:val="nil"/>
            </w:tcBorders>
            <w:shd w:val="clear" w:color="auto" w:fill="auto"/>
            <w:noWrap/>
            <w:vAlign w:val="bottom"/>
            <w:hideMark/>
          </w:tcPr>
          <w:p w14:paraId="429B00D9" w14:textId="77777777" w:rsidR="002E72CF" w:rsidRPr="002E72CF" w:rsidRDefault="002E72CF" w:rsidP="002E72CF">
            <w:pPr>
              <w:spacing w:after="0" w:line="240" w:lineRule="auto"/>
              <w:rPr>
                <w:rFonts w:eastAsia="Times New Roman" w:cstheme="minorHAnsi"/>
                <w:sz w:val="24"/>
                <w:szCs w:val="24"/>
              </w:rPr>
            </w:pPr>
            <w:r w:rsidRPr="002E72CF">
              <w:rPr>
                <w:rFonts w:eastAsia="Times New Roman" w:cstheme="minorHAnsi"/>
                <w:sz w:val="24"/>
                <w:szCs w:val="24"/>
              </w:rPr>
              <w:t>65 539 (13 477)</w:t>
            </w:r>
          </w:p>
        </w:tc>
        <w:tc>
          <w:tcPr>
            <w:tcW w:w="2769" w:type="dxa"/>
            <w:tcBorders>
              <w:top w:val="nil"/>
              <w:left w:val="nil"/>
              <w:bottom w:val="nil"/>
              <w:right w:val="nil"/>
            </w:tcBorders>
            <w:shd w:val="clear" w:color="auto" w:fill="auto"/>
            <w:noWrap/>
            <w:vAlign w:val="bottom"/>
            <w:hideMark/>
          </w:tcPr>
          <w:p w14:paraId="4F7C62CB" w14:textId="77777777" w:rsidR="002E72CF" w:rsidRPr="002E72CF" w:rsidRDefault="002E72CF" w:rsidP="002E72CF">
            <w:pPr>
              <w:spacing w:after="0" w:line="240" w:lineRule="auto"/>
              <w:rPr>
                <w:rFonts w:eastAsia="Times New Roman" w:cstheme="minorHAnsi"/>
                <w:sz w:val="24"/>
                <w:szCs w:val="24"/>
              </w:rPr>
            </w:pPr>
            <w:r w:rsidRPr="002E72CF">
              <w:rPr>
                <w:rFonts w:eastAsia="Times New Roman" w:cstheme="minorHAnsi"/>
                <w:sz w:val="24"/>
                <w:szCs w:val="24"/>
              </w:rPr>
              <w:t>0.92 (0.75 - 1.13)</w:t>
            </w:r>
          </w:p>
        </w:tc>
      </w:tr>
      <w:tr w:rsidR="002E72CF" w:rsidRPr="002E72CF" w14:paraId="2CB54F8A" w14:textId="77777777" w:rsidTr="00FE2D6B">
        <w:trPr>
          <w:trHeight w:val="345"/>
        </w:trPr>
        <w:tc>
          <w:tcPr>
            <w:tcW w:w="3212" w:type="dxa"/>
            <w:tcBorders>
              <w:top w:val="nil"/>
              <w:left w:val="nil"/>
              <w:bottom w:val="nil"/>
              <w:right w:val="nil"/>
            </w:tcBorders>
            <w:shd w:val="clear" w:color="auto" w:fill="auto"/>
            <w:noWrap/>
            <w:vAlign w:val="bottom"/>
            <w:hideMark/>
          </w:tcPr>
          <w:p w14:paraId="3FD49DE8" w14:textId="77777777" w:rsidR="002E72CF" w:rsidRPr="002E72CF" w:rsidRDefault="002E72CF" w:rsidP="002E72CF">
            <w:pPr>
              <w:spacing w:after="0" w:line="240" w:lineRule="auto"/>
              <w:rPr>
                <w:rFonts w:eastAsia="Times New Roman" w:cstheme="minorHAnsi"/>
                <w:sz w:val="24"/>
                <w:szCs w:val="24"/>
              </w:rPr>
            </w:pPr>
            <w:r w:rsidRPr="002E72CF">
              <w:rPr>
                <w:rFonts w:eastAsia="Times New Roman" w:cstheme="minorHAnsi"/>
                <w:sz w:val="24"/>
                <w:szCs w:val="24"/>
              </w:rPr>
              <w:t>t</w:t>
            </w:r>
            <w:r w:rsidRPr="002E72CF">
              <w:rPr>
                <w:rFonts w:eastAsia="Times New Roman" w:cstheme="minorHAnsi"/>
                <w:sz w:val="24"/>
                <w:szCs w:val="24"/>
                <w:vertAlign w:val="subscript"/>
              </w:rPr>
              <w:t xml:space="preserve">1/2 </w:t>
            </w:r>
            <w:r w:rsidRPr="002E72CF">
              <w:rPr>
                <w:rFonts w:eastAsia="Times New Roman" w:cstheme="minorHAnsi"/>
                <w:sz w:val="24"/>
                <w:szCs w:val="24"/>
              </w:rPr>
              <w:t>(h)</w:t>
            </w:r>
          </w:p>
        </w:tc>
        <w:tc>
          <w:tcPr>
            <w:tcW w:w="2728" w:type="dxa"/>
            <w:tcBorders>
              <w:top w:val="nil"/>
              <w:left w:val="nil"/>
              <w:bottom w:val="nil"/>
              <w:right w:val="nil"/>
            </w:tcBorders>
            <w:shd w:val="clear" w:color="auto" w:fill="auto"/>
            <w:noWrap/>
            <w:vAlign w:val="bottom"/>
            <w:hideMark/>
          </w:tcPr>
          <w:p w14:paraId="5ABAB01C" w14:textId="77777777" w:rsidR="002E72CF" w:rsidRPr="002E72CF" w:rsidRDefault="002E72CF" w:rsidP="002E72CF">
            <w:pPr>
              <w:spacing w:after="0" w:line="240" w:lineRule="auto"/>
              <w:rPr>
                <w:rFonts w:eastAsia="Times New Roman" w:cstheme="minorHAnsi"/>
                <w:sz w:val="24"/>
                <w:szCs w:val="24"/>
              </w:rPr>
            </w:pPr>
            <w:r w:rsidRPr="002E72CF">
              <w:rPr>
                <w:rFonts w:eastAsia="Times New Roman" w:cstheme="minorHAnsi"/>
                <w:sz w:val="24"/>
                <w:szCs w:val="24"/>
              </w:rPr>
              <w:t>20 (1)</w:t>
            </w:r>
          </w:p>
        </w:tc>
        <w:tc>
          <w:tcPr>
            <w:tcW w:w="2672" w:type="dxa"/>
            <w:tcBorders>
              <w:top w:val="nil"/>
              <w:left w:val="nil"/>
              <w:bottom w:val="nil"/>
              <w:right w:val="nil"/>
            </w:tcBorders>
            <w:shd w:val="clear" w:color="auto" w:fill="auto"/>
            <w:noWrap/>
            <w:vAlign w:val="bottom"/>
            <w:hideMark/>
          </w:tcPr>
          <w:p w14:paraId="4703126A" w14:textId="77777777" w:rsidR="002E72CF" w:rsidRPr="002E72CF" w:rsidRDefault="002E72CF" w:rsidP="002E72CF">
            <w:pPr>
              <w:spacing w:after="0" w:line="240" w:lineRule="auto"/>
              <w:rPr>
                <w:rFonts w:eastAsia="Times New Roman" w:cstheme="minorHAnsi"/>
                <w:sz w:val="24"/>
                <w:szCs w:val="24"/>
              </w:rPr>
            </w:pPr>
            <w:r w:rsidRPr="002E72CF">
              <w:rPr>
                <w:rFonts w:eastAsia="Times New Roman" w:cstheme="minorHAnsi"/>
                <w:sz w:val="24"/>
                <w:szCs w:val="24"/>
              </w:rPr>
              <w:t>18 (8)</w:t>
            </w:r>
          </w:p>
        </w:tc>
        <w:tc>
          <w:tcPr>
            <w:tcW w:w="2769" w:type="dxa"/>
            <w:tcBorders>
              <w:top w:val="nil"/>
              <w:left w:val="nil"/>
              <w:bottom w:val="nil"/>
              <w:right w:val="nil"/>
            </w:tcBorders>
            <w:shd w:val="clear" w:color="auto" w:fill="auto"/>
            <w:noWrap/>
            <w:vAlign w:val="bottom"/>
            <w:hideMark/>
          </w:tcPr>
          <w:p w14:paraId="5BE64A18" w14:textId="77777777" w:rsidR="002E72CF" w:rsidRPr="002E72CF" w:rsidRDefault="002E72CF" w:rsidP="002E72CF">
            <w:pPr>
              <w:spacing w:after="0" w:line="240" w:lineRule="auto"/>
              <w:rPr>
                <w:rFonts w:eastAsia="Times New Roman" w:cstheme="minorHAnsi"/>
                <w:sz w:val="24"/>
                <w:szCs w:val="24"/>
              </w:rPr>
            </w:pPr>
            <w:r w:rsidRPr="002E72CF">
              <w:rPr>
                <w:rFonts w:eastAsia="Times New Roman" w:cstheme="minorHAnsi"/>
                <w:sz w:val="24"/>
                <w:szCs w:val="24"/>
              </w:rPr>
              <w:t>0.90 (0.40 - 2.17)</w:t>
            </w:r>
          </w:p>
        </w:tc>
      </w:tr>
      <w:tr w:rsidR="002E72CF" w:rsidRPr="002E72CF" w14:paraId="40C2BEA9" w14:textId="77777777" w:rsidTr="00FE2D6B">
        <w:trPr>
          <w:trHeight w:val="345"/>
        </w:trPr>
        <w:tc>
          <w:tcPr>
            <w:tcW w:w="3212" w:type="dxa"/>
            <w:tcBorders>
              <w:top w:val="nil"/>
              <w:left w:val="nil"/>
              <w:bottom w:val="nil"/>
              <w:right w:val="nil"/>
            </w:tcBorders>
            <w:shd w:val="clear" w:color="auto" w:fill="auto"/>
            <w:noWrap/>
            <w:vAlign w:val="bottom"/>
            <w:hideMark/>
          </w:tcPr>
          <w:p w14:paraId="42B92C49" w14:textId="77777777" w:rsidR="002E72CF" w:rsidRPr="002E72CF" w:rsidRDefault="002E72CF" w:rsidP="002E72CF">
            <w:pPr>
              <w:spacing w:after="0" w:line="240" w:lineRule="auto"/>
              <w:rPr>
                <w:rFonts w:eastAsia="Times New Roman" w:cstheme="minorHAnsi"/>
                <w:sz w:val="24"/>
                <w:szCs w:val="24"/>
              </w:rPr>
            </w:pPr>
            <w:r w:rsidRPr="002E72CF">
              <w:rPr>
                <w:rFonts w:eastAsia="Times New Roman" w:cstheme="minorHAnsi"/>
                <w:sz w:val="24"/>
                <w:szCs w:val="24"/>
              </w:rPr>
              <w:t>CL/F (l h</w:t>
            </w:r>
            <w:r w:rsidRPr="002E72CF">
              <w:rPr>
                <w:rFonts w:eastAsia="Times New Roman" w:cstheme="minorHAnsi"/>
                <w:sz w:val="24"/>
                <w:szCs w:val="24"/>
                <w:vertAlign w:val="superscript"/>
              </w:rPr>
              <w:t>-1</w:t>
            </w:r>
            <w:r w:rsidRPr="002E72CF">
              <w:rPr>
                <w:rFonts w:eastAsia="Times New Roman" w:cstheme="minorHAnsi"/>
                <w:sz w:val="24"/>
                <w:szCs w:val="24"/>
              </w:rPr>
              <w:t>)</w:t>
            </w:r>
          </w:p>
        </w:tc>
        <w:tc>
          <w:tcPr>
            <w:tcW w:w="2728" w:type="dxa"/>
            <w:tcBorders>
              <w:top w:val="nil"/>
              <w:left w:val="nil"/>
              <w:bottom w:val="nil"/>
              <w:right w:val="nil"/>
            </w:tcBorders>
            <w:shd w:val="clear" w:color="auto" w:fill="auto"/>
            <w:noWrap/>
            <w:vAlign w:val="bottom"/>
            <w:hideMark/>
          </w:tcPr>
          <w:p w14:paraId="54E4CD7A" w14:textId="77777777" w:rsidR="002E72CF" w:rsidRPr="002E72CF" w:rsidRDefault="002E72CF" w:rsidP="002E72CF">
            <w:pPr>
              <w:spacing w:after="0" w:line="240" w:lineRule="auto"/>
              <w:rPr>
                <w:rFonts w:eastAsia="Times New Roman" w:cstheme="minorHAnsi"/>
                <w:sz w:val="24"/>
                <w:szCs w:val="24"/>
              </w:rPr>
            </w:pPr>
            <w:r w:rsidRPr="002E72CF">
              <w:rPr>
                <w:rFonts w:eastAsia="Times New Roman" w:cstheme="minorHAnsi"/>
                <w:sz w:val="24"/>
                <w:szCs w:val="24"/>
              </w:rPr>
              <w:t>1.87 (0.38)</w:t>
            </w:r>
          </w:p>
        </w:tc>
        <w:tc>
          <w:tcPr>
            <w:tcW w:w="2672" w:type="dxa"/>
            <w:tcBorders>
              <w:top w:val="nil"/>
              <w:left w:val="nil"/>
              <w:bottom w:val="nil"/>
              <w:right w:val="nil"/>
            </w:tcBorders>
            <w:shd w:val="clear" w:color="auto" w:fill="auto"/>
            <w:noWrap/>
            <w:vAlign w:val="bottom"/>
            <w:hideMark/>
          </w:tcPr>
          <w:p w14:paraId="68AB9CCE" w14:textId="77777777" w:rsidR="002E72CF" w:rsidRPr="002E72CF" w:rsidRDefault="002E72CF" w:rsidP="002E72CF">
            <w:pPr>
              <w:spacing w:after="0" w:line="240" w:lineRule="auto"/>
              <w:rPr>
                <w:rFonts w:eastAsia="Times New Roman" w:cstheme="minorHAnsi"/>
                <w:sz w:val="24"/>
                <w:szCs w:val="24"/>
              </w:rPr>
            </w:pPr>
            <w:r w:rsidRPr="002E72CF">
              <w:rPr>
                <w:rFonts w:eastAsia="Times New Roman" w:cstheme="minorHAnsi"/>
                <w:sz w:val="24"/>
                <w:szCs w:val="24"/>
              </w:rPr>
              <w:t>2.07 (1.32)</w:t>
            </w:r>
          </w:p>
        </w:tc>
        <w:tc>
          <w:tcPr>
            <w:tcW w:w="2769" w:type="dxa"/>
            <w:tcBorders>
              <w:top w:val="nil"/>
              <w:left w:val="nil"/>
              <w:bottom w:val="nil"/>
              <w:right w:val="nil"/>
            </w:tcBorders>
            <w:shd w:val="clear" w:color="auto" w:fill="auto"/>
            <w:noWrap/>
            <w:vAlign w:val="bottom"/>
            <w:hideMark/>
          </w:tcPr>
          <w:p w14:paraId="1AAB82B9" w14:textId="77777777" w:rsidR="002E72CF" w:rsidRPr="002E72CF" w:rsidRDefault="002E72CF" w:rsidP="002E72CF">
            <w:pPr>
              <w:spacing w:after="0" w:line="240" w:lineRule="auto"/>
              <w:rPr>
                <w:rFonts w:eastAsia="Times New Roman" w:cstheme="minorHAnsi"/>
                <w:sz w:val="24"/>
                <w:szCs w:val="24"/>
              </w:rPr>
            </w:pPr>
            <w:r w:rsidRPr="002E72CF">
              <w:rPr>
                <w:rFonts w:eastAsia="Times New Roman" w:cstheme="minorHAnsi"/>
                <w:sz w:val="24"/>
                <w:szCs w:val="24"/>
              </w:rPr>
              <w:t>1.11 (0.55 - 2.24)</w:t>
            </w:r>
          </w:p>
        </w:tc>
      </w:tr>
      <w:tr w:rsidR="002E72CF" w:rsidRPr="002E72CF" w14:paraId="7DBE8214" w14:textId="77777777" w:rsidTr="00FE2D6B">
        <w:trPr>
          <w:trHeight w:val="345"/>
        </w:trPr>
        <w:tc>
          <w:tcPr>
            <w:tcW w:w="3212" w:type="dxa"/>
            <w:tcBorders>
              <w:top w:val="nil"/>
              <w:left w:val="nil"/>
              <w:bottom w:val="single" w:sz="4" w:space="0" w:color="auto"/>
              <w:right w:val="nil"/>
            </w:tcBorders>
            <w:shd w:val="clear" w:color="auto" w:fill="auto"/>
            <w:vAlign w:val="bottom"/>
            <w:hideMark/>
          </w:tcPr>
          <w:p w14:paraId="0A192FDE" w14:textId="77777777" w:rsidR="002E72CF" w:rsidRPr="002E72CF" w:rsidRDefault="002E72CF" w:rsidP="002E72CF">
            <w:pPr>
              <w:spacing w:after="0" w:line="240" w:lineRule="auto"/>
              <w:rPr>
                <w:rFonts w:eastAsia="Times New Roman" w:cstheme="minorHAnsi"/>
                <w:sz w:val="24"/>
                <w:szCs w:val="24"/>
              </w:rPr>
            </w:pPr>
            <w:proofErr w:type="spellStart"/>
            <w:r w:rsidRPr="002E72CF">
              <w:rPr>
                <w:rFonts w:eastAsia="Times New Roman" w:cstheme="minorHAnsi"/>
                <w:sz w:val="24"/>
                <w:szCs w:val="24"/>
              </w:rPr>
              <w:lastRenderedPageBreak/>
              <w:t>C</w:t>
            </w:r>
            <w:r w:rsidRPr="002E72CF">
              <w:rPr>
                <w:rFonts w:eastAsia="Times New Roman" w:cstheme="minorHAnsi"/>
                <w:sz w:val="24"/>
                <w:szCs w:val="24"/>
                <w:vertAlign w:val="subscript"/>
              </w:rPr>
              <w:t>trough</w:t>
            </w:r>
            <w:proofErr w:type="spellEnd"/>
            <w:r w:rsidRPr="002E72CF">
              <w:rPr>
                <w:rFonts w:eastAsia="Times New Roman" w:cstheme="minorHAnsi"/>
                <w:sz w:val="24"/>
                <w:szCs w:val="24"/>
                <w:vertAlign w:val="subscript"/>
              </w:rPr>
              <w:t xml:space="preserve"> </w:t>
            </w:r>
            <w:r w:rsidRPr="002E72CF">
              <w:rPr>
                <w:rFonts w:eastAsia="Times New Roman" w:cstheme="minorHAnsi"/>
                <w:sz w:val="24"/>
                <w:szCs w:val="24"/>
              </w:rPr>
              <w:t>&lt; MEC (%)</w:t>
            </w:r>
          </w:p>
        </w:tc>
        <w:tc>
          <w:tcPr>
            <w:tcW w:w="2728" w:type="dxa"/>
            <w:tcBorders>
              <w:top w:val="nil"/>
              <w:left w:val="nil"/>
              <w:bottom w:val="single" w:sz="4" w:space="0" w:color="auto"/>
              <w:right w:val="nil"/>
            </w:tcBorders>
            <w:shd w:val="clear" w:color="auto" w:fill="auto"/>
            <w:noWrap/>
            <w:vAlign w:val="bottom"/>
            <w:hideMark/>
          </w:tcPr>
          <w:p w14:paraId="034DFC4B" w14:textId="77777777" w:rsidR="002E72CF" w:rsidRPr="002E72CF" w:rsidRDefault="002E72CF" w:rsidP="002E72CF">
            <w:pPr>
              <w:spacing w:after="0" w:line="240" w:lineRule="auto"/>
              <w:rPr>
                <w:rFonts w:eastAsia="Times New Roman" w:cstheme="minorHAnsi"/>
                <w:sz w:val="24"/>
                <w:szCs w:val="24"/>
              </w:rPr>
            </w:pPr>
            <w:r w:rsidRPr="002E72CF">
              <w:rPr>
                <w:rFonts w:eastAsia="Times New Roman" w:cstheme="minorHAnsi"/>
                <w:sz w:val="24"/>
                <w:szCs w:val="24"/>
              </w:rPr>
              <w:t>-</w:t>
            </w:r>
          </w:p>
        </w:tc>
        <w:tc>
          <w:tcPr>
            <w:tcW w:w="2672" w:type="dxa"/>
            <w:tcBorders>
              <w:top w:val="nil"/>
              <w:left w:val="nil"/>
              <w:bottom w:val="single" w:sz="4" w:space="0" w:color="auto"/>
              <w:right w:val="nil"/>
            </w:tcBorders>
            <w:shd w:val="clear" w:color="auto" w:fill="auto"/>
            <w:noWrap/>
            <w:vAlign w:val="bottom"/>
            <w:hideMark/>
          </w:tcPr>
          <w:p w14:paraId="61D475E7" w14:textId="77777777" w:rsidR="002E72CF" w:rsidRPr="002E72CF" w:rsidRDefault="002E72CF" w:rsidP="002E72CF">
            <w:pPr>
              <w:spacing w:after="0" w:line="240" w:lineRule="auto"/>
              <w:rPr>
                <w:rFonts w:eastAsia="Times New Roman" w:cstheme="minorHAnsi"/>
                <w:sz w:val="24"/>
                <w:szCs w:val="24"/>
              </w:rPr>
            </w:pPr>
            <w:r w:rsidRPr="002E72CF">
              <w:rPr>
                <w:rFonts w:eastAsia="Times New Roman" w:cstheme="minorHAnsi"/>
                <w:sz w:val="24"/>
                <w:szCs w:val="24"/>
              </w:rPr>
              <w:t>4</w:t>
            </w:r>
          </w:p>
        </w:tc>
        <w:tc>
          <w:tcPr>
            <w:tcW w:w="2769" w:type="dxa"/>
            <w:tcBorders>
              <w:top w:val="nil"/>
              <w:left w:val="nil"/>
              <w:bottom w:val="single" w:sz="4" w:space="0" w:color="auto"/>
              <w:right w:val="nil"/>
            </w:tcBorders>
            <w:shd w:val="clear" w:color="auto" w:fill="auto"/>
            <w:noWrap/>
            <w:vAlign w:val="bottom"/>
            <w:hideMark/>
          </w:tcPr>
          <w:p w14:paraId="2EBC02A7" w14:textId="77777777" w:rsidR="002E72CF" w:rsidRPr="002E72CF" w:rsidRDefault="002E72CF" w:rsidP="002E72CF">
            <w:pPr>
              <w:spacing w:after="0" w:line="240" w:lineRule="auto"/>
              <w:rPr>
                <w:rFonts w:eastAsia="Times New Roman" w:cstheme="minorHAnsi"/>
                <w:sz w:val="24"/>
                <w:szCs w:val="24"/>
              </w:rPr>
            </w:pPr>
          </w:p>
        </w:tc>
      </w:tr>
      <w:tr w:rsidR="002E72CF" w:rsidRPr="002E72CF" w14:paraId="49887E8A" w14:textId="77777777" w:rsidTr="00FE2D6B">
        <w:trPr>
          <w:trHeight w:val="345"/>
        </w:trPr>
        <w:tc>
          <w:tcPr>
            <w:tcW w:w="3212" w:type="dxa"/>
            <w:tcBorders>
              <w:top w:val="single" w:sz="4" w:space="0" w:color="auto"/>
              <w:left w:val="nil"/>
              <w:bottom w:val="single" w:sz="4" w:space="0" w:color="auto"/>
              <w:right w:val="nil"/>
            </w:tcBorders>
            <w:shd w:val="clear" w:color="auto" w:fill="auto"/>
            <w:vAlign w:val="bottom"/>
            <w:hideMark/>
          </w:tcPr>
          <w:p w14:paraId="10912910" w14:textId="77777777" w:rsidR="002E72CF" w:rsidRPr="002E72CF" w:rsidRDefault="002E72CF" w:rsidP="002E72CF">
            <w:pPr>
              <w:spacing w:after="0" w:line="240" w:lineRule="auto"/>
              <w:rPr>
                <w:rFonts w:eastAsia="Times New Roman" w:cstheme="minorHAnsi"/>
                <w:sz w:val="24"/>
                <w:szCs w:val="24"/>
              </w:rPr>
            </w:pPr>
          </w:p>
        </w:tc>
        <w:tc>
          <w:tcPr>
            <w:tcW w:w="5400" w:type="dxa"/>
            <w:gridSpan w:val="2"/>
            <w:tcBorders>
              <w:top w:val="single" w:sz="4" w:space="0" w:color="auto"/>
              <w:left w:val="nil"/>
              <w:bottom w:val="single" w:sz="4" w:space="0" w:color="auto"/>
              <w:right w:val="nil"/>
            </w:tcBorders>
            <w:shd w:val="clear" w:color="auto" w:fill="auto"/>
            <w:noWrap/>
            <w:vAlign w:val="bottom"/>
            <w:hideMark/>
          </w:tcPr>
          <w:p w14:paraId="2BE0FE97" w14:textId="77777777" w:rsidR="002E72CF" w:rsidRPr="002E72CF" w:rsidRDefault="002E72CF" w:rsidP="002E72CF">
            <w:pPr>
              <w:spacing w:after="0" w:line="240" w:lineRule="auto"/>
              <w:jc w:val="center"/>
              <w:rPr>
                <w:rFonts w:eastAsia="Times New Roman" w:cstheme="minorHAnsi"/>
                <w:sz w:val="24"/>
                <w:szCs w:val="24"/>
              </w:rPr>
            </w:pPr>
            <w:r w:rsidRPr="002E72CF">
              <w:rPr>
                <w:rFonts w:eastAsia="Times New Roman" w:cstheme="minorHAnsi"/>
                <w:sz w:val="24"/>
                <w:szCs w:val="24"/>
              </w:rPr>
              <w:t xml:space="preserve">Poor </w:t>
            </w:r>
            <w:proofErr w:type="spellStart"/>
            <w:r w:rsidRPr="002E72CF">
              <w:rPr>
                <w:rFonts w:eastAsia="Times New Roman" w:cstheme="minorHAnsi"/>
                <w:sz w:val="24"/>
                <w:szCs w:val="24"/>
              </w:rPr>
              <w:t>Metabolisers</w:t>
            </w:r>
            <w:proofErr w:type="spellEnd"/>
            <w:r w:rsidRPr="002E72CF">
              <w:rPr>
                <w:rFonts w:eastAsia="Times New Roman" w:cstheme="minorHAnsi"/>
                <w:sz w:val="24"/>
                <w:szCs w:val="24"/>
              </w:rPr>
              <w:t xml:space="preserve"> (n = 14)</w:t>
            </w:r>
          </w:p>
        </w:tc>
        <w:tc>
          <w:tcPr>
            <w:tcW w:w="2769" w:type="dxa"/>
            <w:tcBorders>
              <w:top w:val="single" w:sz="4" w:space="0" w:color="auto"/>
              <w:left w:val="nil"/>
              <w:bottom w:val="single" w:sz="4" w:space="0" w:color="auto"/>
              <w:right w:val="nil"/>
            </w:tcBorders>
            <w:shd w:val="clear" w:color="auto" w:fill="auto"/>
            <w:vAlign w:val="center"/>
            <w:hideMark/>
          </w:tcPr>
          <w:p w14:paraId="7193AE09" w14:textId="77777777" w:rsidR="002E72CF" w:rsidRPr="002E72CF" w:rsidRDefault="002E72CF" w:rsidP="002E72CF">
            <w:pPr>
              <w:spacing w:after="0" w:line="240" w:lineRule="auto"/>
              <w:jc w:val="center"/>
              <w:rPr>
                <w:rFonts w:eastAsia="Times New Roman" w:cstheme="minorHAnsi"/>
                <w:sz w:val="24"/>
                <w:szCs w:val="24"/>
              </w:rPr>
            </w:pPr>
          </w:p>
        </w:tc>
      </w:tr>
      <w:tr w:rsidR="002E72CF" w:rsidRPr="002E72CF" w14:paraId="13C04A69" w14:textId="77777777" w:rsidTr="00FE2D6B">
        <w:trPr>
          <w:trHeight w:val="345"/>
        </w:trPr>
        <w:tc>
          <w:tcPr>
            <w:tcW w:w="3212" w:type="dxa"/>
            <w:tcBorders>
              <w:top w:val="single" w:sz="4" w:space="0" w:color="auto"/>
              <w:left w:val="nil"/>
              <w:bottom w:val="nil"/>
              <w:right w:val="nil"/>
            </w:tcBorders>
            <w:shd w:val="clear" w:color="auto" w:fill="auto"/>
            <w:vAlign w:val="bottom"/>
            <w:hideMark/>
          </w:tcPr>
          <w:p w14:paraId="146B43EF" w14:textId="77777777" w:rsidR="002E72CF" w:rsidRPr="002E72CF" w:rsidRDefault="002E72CF" w:rsidP="002E72CF">
            <w:pPr>
              <w:spacing w:after="0" w:line="240" w:lineRule="auto"/>
              <w:rPr>
                <w:rFonts w:eastAsia="Times New Roman" w:cstheme="minorHAnsi"/>
                <w:sz w:val="24"/>
                <w:szCs w:val="24"/>
              </w:rPr>
            </w:pPr>
            <w:proofErr w:type="spellStart"/>
            <w:r w:rsidRPr="002E72CF">
              <w:rPr>
                <w:rFonts w:eastAsia="Times New Roman" w:cstheme="minorHAnsi"/>
                <w:sz w:val="24"/>
                <w:szCs w:val="24"/>
              </w:rPr>
              <w:t>C</w:t>
            </w:r>
            <w:r w:rsidRPr="002E72CF">
              <w:rPr>
                <w:rFonts w:eastAsia="Times New Roman" w:cstheme="minorHAnsi"/>
                <w:sz w:val="24"/>
                <w:szCs w:val="24"/>
                <w:vertAlign w:val="subscript"/>
              </w:rPr>
              <w:t>trough</w:t>
            </w:r>
            <w:proofErr w:type="spellEnd"/>
            <w:r w:rsidRPr="002E72CF">
              <w:rPr>
                <w:rFonts w:eastAsia="Times New Roman" w:cstheme="minorHAnsi"/>
                <w:sz w:val="24"/>
                <w:szCs w:val="24"/>
              </w:rPr>
              <w:t xml:space="preserve"> (ng ml</w:t>
            </w:r>
            <w:r w:rsidRPr="002E72CF">
              <w:rPr>
                <w:rFonts w:eastAsia="Times New Roman" w:cstheme="minorHAnsi"/>
                <w:sz w:val="24"/>
                <w:szCs w:val="24"/>
                <w:vertAlign w:val="superscript"/>
              </w:rPr>
              <w:t>-1</w:t>
            </w:r>
            <w:r w:rsidRPr="002E72CF">
              <w:rPr>
                <w:rFonts w:eastAsia="Times New Roman" w:cstheme="minorHAnsi"/>
                <w:sz w:val="24"/>
                <w:szCs w:val="24"/>
              </w:rPr>
              <w:t>)</w:t>
            </w:r>
          </w:p>
        </w:tc>
        <w:tc>
          <w:tcPr>
            <w:tcW w:w="2728" w:type="dxa"/>
            <w:tcBorders>
              <w:top w:val="single" w:sz="4" w:space="0" w:color="auto"/>
              <w:left w:val="nil"/>
              <w:bottom w:val="nil"/>
              <w:right w:val="nil"/>
            </w:tcBorders>
            <w:shd w:val="clear" w:color="auto" w:fill="auto"/>
            <w:noWrap/>
            <w:vAlign w:val="bottom"/>
            <w:hideMark/>
          </w:tcPr>
          <w:p w14:paraId="7219EC75" w14:textId="77777777" w:rsidR="002E72CF" w:rsidRPr="002E72CF" w:rsidRDefault="002E72CF" w:rsidP="002E72CF">
            <w:pPr>
              <w:spacing w:after="0" w:line="240" w:lineRule="auto"/>
              <w:rPr>
                <w:rFonts w:eastAsia="Times New Roman" w:cstheme="minorHAnsi"/>
                <w:sz w:val="24"/>
                <w:szCs w:val="24"/>
              </w:rPr>
            </w:pPr>
            <w:r w:rsidRPr="002E72CF">
              <w:rPr>
                <w:rFonts w:eastAsia="Times New Roman" w:cstheme="minorHAnsi"/>
                <w:sz w:val="24"/>
                <w:szCs w:val="24"/>
              </w:rPr>
              <w:t>6 486 (2 722)</w:t>
            </w:r>
          </w:p>
        </w:tc>
        <w:tc>
          <w:tcPr>
            <w:tcW w:w="2672" w:type="dxa"/>
            <w:tcBorders>
              <w:top w:val="single" w:sz="4" w:space="0" w:color="auto"/>
              <w:left w:val="nil"/>
              <w:bottom w:val="nil"/>
              <w:right w:val="nil"/>
            </w:tcBorders>
            <w:shd w:val="clear" w:color="auto" w:fill="auto"/>
            <w:noWrap/>
            <w:vAlign w:val="bottom"/>
            <w:hideMark/>
          </w:tcPr>
          <w:p w14:paraId="67912D07" w14:textId="77777777" w:rsidR="002E72CF" w:rsidRPr="002E72CF" w:rsidRDefault="002E72CF" w:rsidP="002E72CF">
            <w:pPr>
              <w:spacing w:after="0" w:line="240" w:lineRule="auto"/>
              <w:rPr>
                <w:rFonts w:eastAsia="Times New Roman" w:cstheme="minorHAnsi"/>
                <w:sz w:val="24"/>
                <w:szCs w:val="24"/>
              </w:rPr>
            </w:pPr>
            <w:r w:rsidRPr="002E72CF">
              <w:rPr>
                <w:rFonts w:eastAsia="Times New Roman" w:cstheme="minorHAnsi"/>
                <w:sz w:val="24"/>
                <w:szCs w:val="24"/>
              </w:rPr>
              <w:t>6 297 (2 700)</w:t>
            </w:r>
          </w:p>
        </w:tc>
        <w:tc>
          <w:tcPr>
            <w:tcW w:w="2769" w:type="dxa"/>
            <w:tcBorders>
              <w:top w:val="single" w:sz="4" w:space="0" w:color="auto"/>
              <w:left w:val="nil"/>
              <w:bottom w:val="nil"/>
              <w:right w:val="nil"/>
            </w:tcBorders>
            <w:shd w:val="clear" w:color="auto" w:fill="auto"/>
            <w:noWrap/>
            <w:vAlign w:val="bottom"/>
            <w:hideMark/>
          </w:tcPr>
          <w:p w14:paraId="47794E5E" w14:textId="77777777" w:rsidR="002E72CF" w:rsidRPr="002E72CF" w:rsidRDefault="002E72CF" w:rsidP="002E72CF">
            <w:pPr>
              <w:spacing w:after="0" w:line="240" w:lineRule="auto"/>
              <w:rPr>
                <w:rFonts w:eastAsia="Times New Roman" w:cstheme="minorHAnsi"/>
                <w:sz w:val="24"/>
                <w:szCs w:val="24"/>
              </w:rPr>
            </w:pPr>
            <w:r w:rsidRPr="002E72CF">
              <w:rPr>
                <w:rFonts w:eastAsia="Times New Roman" w:cstheme="minorHAnsi"/>
                <w:sz w:val="24"/>
                <w:szCs w:val="24"/>
              </w:rPr>
              <w:t>0.97 (0.92 - 1.03)</w:t>
            </w:r>
          </w:p>
        </w:tc>
      </w:tr>
      <w:tr w:rsidR="002E72CF" w:rsidRPr="002E72CF" w14:paraId="5849F7B5" w14:textId="77777777" w:rsidTr="00FE2D6B">
        <w:trPr>
          <w:trHeight w:val="345"/>
        </w:trPr>
        <w:tc>
          <w:tcPr>
            <w:tcW w:w="3212" w:type="dxa"/>
            <w:tcBorders>
              <w:top w:val="nil"/>
              <w:left w:val="nil"/>
              <w:bottom w:val="nil"/>
              <w:right w:val="nil"/>
            </w:tcBorders>
            <w:shd w:val="clear" w:color="auto" w:fill="auto"/>
            <w:noWrap/>
            <w:vAlign w:val="bottom"/>
            <w:hideMark/>
          </w:tcPr>
          <w:p w14:paraId="52F364F3" w14:textId="77777777" w:rsidR="002E72CF" w:rsidRPr="002E72CF" w:rsidRDefault="002E72CF" w:rsidP="002E72CF">
            <w:pPr>
              <w:spacing w:after="0" w:line="240" w:lineRule="auto"/>
              <w:rPr>
                <w:rFonts w:eastAsia="Times New Roman" w:cstheme="minorHAnsi"/>
                <w:sz w:val="24"/>
                <w:szCs w:val="24"/>
              </w:rPr>
            </w:pPr>
            <w:r w:rsidRPr="002E72CF">
              <w:rPr>
                <w:rFonts w:eastAsia="Times New Roman" w:cstheme="minorHAnsi"/>
                <w:sz w:val="24"/>
                <w:szCs w:val="24"/>
              </w:rPr>
              <w:t>C</w:t>
            </w:r>
            <w:r w:rsidRPr="002E72CF">
              <w:rPr>
                <w:rFonts w:eastAsia="Times New Roman" w:cstheme="minorHAnsi"/>
                <w:sz w:val="24"/>
                <w:szCs w:val="24"/>
                <w:vertAlign w:val="subscript"/>
              </w:rPr>
              <w:t xml:space="preserve">max </w:t>
            </w:r>
            <w:r w:rsidRPr="002E72CF">
              <w:rPr>
                <w:rFonts w:eastAsia="Times New Roman" w:cstheme="minorHAnsi"/>
                <w:sz w:val="24"/>
                <w:szCs w:val="24"/>
              </w:rPr>
              <w:t>(ng ml</w:t>
            </w:r>
            <w:r w:rsidRPr="002E72CF">
              <w:rPr>
                <w:rFonts w:eastAsia="Times New Roman" w:cstheme="minorHAnsi"/>
                <w:sz w:val="24"/>
                <w:szCs w:val="24"/>
                <w:vertAlign w:val="superscript"/>
              </w:rPr>
              <w:t>-1</w:t>
            </w:r>
            <w:r w:rsidRPr="002E72CF">
              <w:rPr>
                <w:rFonts w:eastAsia="Times New Roman" w:cstheme="minorHAnsi"/>
                <w:sz w:val="24"/>
                <w:szCs w:val="24"/>
              </w:rPr>
              <w:t>)</w:t>
            </w:r>
          </w:p>
        </w:tc>
        <w:tc>
          <w:tcPr>
            <w:tcW w:w="2728" w:type="dxa"/>
            <w:tcBorders>
              <w:top w:val="nil"/>
              <w:left w:val="nil"/>
              <w:bottom w:val="nil"/>
              <w:right w:val="nil"/>
            </w:tcBorders>
            <w:shd w:val="clear" w:color="auto" w:fill="auto"/>
            <w:noWrap/>
            <w:vAlign w:val="bottom"/>
            <w:hideMark/>
          </w:tcPr>
          <w:p w14:paraId="5E74B111" w14:textId="77777777" w:rsidR="002E72CF" w:rsidRPr="002E72CF" w:rsidRDefault="002E72CF" w:rsidP="002E72CF">
            <w:pPr>
              <w:spacing w:after="0" w:line="240" w:lineRule="auto"/>
              <w:rPr>
                <w:rFonts w:eastAsia="Times New Roman" w:cstheme="minorHAnsi"/>
                <w:sz w:val="24"/>
                <w:szCs w:val="24"/>
              </w:rPr>
            </w:pPr>
            <w:r w:rsidRPr="002E72CF">
              <w:rPr>
                <w:rFonts w:eastAsia="Times New Roman" w:cstheme="minorHAnsi"/>
                <w:sz w:val="24"/>
                <w:szCs w:val="24"/>
              </w:rPr>
              <w:t>9 394 (3 297)</w:t>
            </w:r>
          </w:p>
        </w:tc>
        <w:tc>
          <w:tcPr>
            <w:tcW w:w="2672" w:type="dxa"/>
            <w:tcBorders>
              <w:top w:val="nil"/>
              <w:left w:val="nil"/>
              <w:bottom w:val="nil"/>
              <w:right w:val="nil"/>
            </w:tcBorders>
            <w:shd w:val="clear" w:color="auto" w:fill="auto"/>
            <w:noWrap/>
            <w:vAlign w:val="bottom"/>
            <w:hideMark/>
          </w:tcPr>
          <w:p w14:paraId="3DB9BD81" w14:textId="77777777" w:rsidR="002E72CF" w:rsidRPr="002E72CF" w:rsidRDefault="002E72CF" w:rsidP="002E72CF">
            <w:pPr>
              <w:spacing w:after="0" w:line="240" w:lineRule="auto"/>
              <w:rPr>
                <w:rFonts w:eastAsia="Times New Roman" w:cstheme="minorHAnsi"/>
                <w:sz w:val="24"/>
                <w:szCs w:val="24"/>
              </w:rPr>
            </w:pPr>
            <w:r w:rsidRPr="002E72CF">
              <w:rPr>
                <w:rFonts w:eastAsia="Times New Roman" w:cstheme="minorHAnsi"/>
                <w:sz w:val="24"/>
                <w:szCs w:val="24"/>
              </w:rPr>
              <w:t>8 838 (3 247)</w:t>
            </w:r>
          </w:p>
        </w:tc>
        <w:tc>
          <w:tcPr>
            <w:tcW w:w="2769" w:type="dxa"/>
            <w:tcBorders>
              <w:top w:val="nil"/>
              <w:left w:val="nil"/>
              <w:bottom w:val="nil"/>
              <w:right w:val="nil"/>
            </w:tcBorders>
            <w:shd w:val="clear" w:color="auto" w:fill="auto"/>
            <w:noWrap/>
            <w:vAlign w:val="bottom"/>
            <w:hideMark/>
          </w:tcPr>
          <w:p w14:paraId="19A7E006" w14:textId="77777777" w:rsidR="002E72CF" w:rsidRPr="002E72CF" w:rsidRDefault="002E72CF" w:rsidP="002E72CF">
            <w:pPr>
              <w:spacing w:after="0" w:line="240" w:lineRule="auto"/>
              <w:rPr>
                <w:rFonts w:eastAsia="Times New Roman" w:cstheme="minorHAnsi"/>
                <w:sz w:val="24"/>
                <w:szCs w:val="24"/>
              </w:rPr>
            </w:pPr>
            <w:r w:rsidRPr="002E72CF">
              <w:rPr>
                <w:rFonts w:eastAsia="Times New Roman" w:cstheme="minorHAnsi"/>
                <w:sz w:val="24"/>
                <w:szCs w:val="24"/>
              </w:rPr>
              <w:t>0.94 (0.88 - 1.01)</w:t>
            </w:r>
          </w:p>
        </w:tc>
      </w:tr>
      <w:tr w:rsidR="002E72CF" w:rsidRPr="002E72CF" w14:paraId="6AFCA9F7" w14:textId="77777777" w:rsidTr="00FE2D6B">
        <w:trPr>
          <w:trHeight w:val="345"/>
        </w:trPr>
        <w:tc>
          <w:tcPr>
            <w:tcW w:w="3212" w:type="dxa"/>
            <w:tcBorders>
              <w:top w:val="nil"/>
              <w:left w:val="nil"/>
              <w:bottom w:val="nil"/>
              <w:right w:val="nil"/>
            </w:tcBorders>
            <w:shd w:val="clear" w:color="auto" w:fill="auto"/>
            <w:noWrap/>
            <w:vAlign w:val="bottom"/>
            <w:hideMark/>
          </w:tcPr>
          <w:p w14:paraId="28B0B711" w14:textId="77777777" w:rsidR="002E72CF" w:rsidRPr="002E72CF" w:rsidRDefault="002E72CF" w:rsidP="002E72CF">
            <w:pPr>
              <w:spacing w:after="0" w:line="240" w:lineRule="auto"/>
              <w:rPr>
                <w:rFonts w:eastAsia="Times New Roman" w:cstheme="minorHAnsi"/>
                <w:sz w:val="24"/>
                <w:szCs w:val="24"/>
              </w:rPr>
            </w:pPr>
            <w:proofErr w:type="spellStart"/>
            <w:r w:rsidRPr="002E72CF">
              <w:rPr>
                <w:rFonts w:eastAsia="Times New Roman" w:cstheme="minorHAnsi"/>
                <w:sz w:val="24"/>
                <w:szCs w:val="24"/>
              </w:rPr>
              <w:t>T</w:t>
            </w:r>
            <w:r w:rsidRPr="002E72CF">
              <w:rPr>
                <w:rFonts w:eastAsia="Times New Roman" w:cstheme="minorHAnsi"/>
                <w:sz w:val="24"/>
                <w:szCs w:val="24"/>
                <w:vertAlign w:val="subscript"/>
              </w:rPr>
              <w:t>max</w:t>
            </w:r>
            <w:proofErr w:type="spellEnd"/>
            <w:r w:rsidRPr="002E72CF">
              <w:rPr>
                <w:rFonts w:eastAsia="Times New Roman" w:cstheme="minorHAnsi"/>
                <w:sz w:val="24"/>
                <w:szCs w:val="24"/>
                <w:vertAlign w:val="subscript"/>
              </w:rPr>
              <w:t xml:space="preserve"> </w:t>
            </w:r>
            <w:r w:rsidRPr="002E72CF">
              <w:rPr>
                <w:rFonts w:eastAsia="Times New Roman" w:cstheme="minorHAnsi"/>
                <w:sz w:val="24"/>
                <w:szCs w:val="24"/>
              </w:rPr>
              <w:t>(h)</w:t>
            </w:r>
          </w:p>
        </w:tc>
        <w:tc>
          <w:tcPr>
            <w:tcW w:w="2728" w:type="dxa"/>
            <w:tcBorders>
              <w:top w:val="nil"/>
              <w:left w:val="nil"/>
              <w:bottom w:val="nil"/>
              <w:right w:val="nil"/>
            </w:tcBorders>
            <w:shd w:val="clear" w:color="auto" w:fill="auto"/>
            <w:noWrap/>
            <w:vAlign w:val="bottom"/>
            <w:hideMark/>
          </w:tcPr>
          <w:p w14:paraId="1E6BD8A0" w14:textId="77777777" w:rsidR="002E72CF" w:rsidRPr="002E72CF" w:rsidRDefault="002E72CF" w:rsidP="002E72CF">
            <w:pPr>
              <w:spacing w:after="0" w:line="240" w:lineRule="auto"/>
              <w:rPr>
                <w:rFonts w:eastAsia="Times New Roman" w:cstheme="minorHAnsi"/>
                <w:sz w:val="24"/>
                <w:szCs w:val="24"/>
              </w:rPr>
            </w:pPr>
            <w:r w:rsidRPr="002E72CF">
              <w:rPr>
                <w:rFonts w:eastAsia="Times New Roman" w:cstheme="minorHAnsi"/>
                <w:sz w:val="24"/>
                <w:szCs w:val="24"/>
              </w:rPr>
              <w:t>1.67 (1.26)</w:t>
            </w:r>
          </w:p>
        </w:tc>
        <w:tc>
          <w:tcPr>
            <w:tcW w:w="2672" w:type="dxa"/>
            <w:tcBorders>
              <w:top w:val="nil"/>
              <w:left w:val="nil"/>
              <w:bottom w:val="nil"/>
              <w:right w:val="nil"/>
            </w:tcBorders>
            <w:shd w:val="clear" w:color="auto" w:fill="auto"/>
            <w:noWrap/>
            <w:vAlign w:val="bottom"/>
            <w:hideMark/>
          </w:tcPr>
          <w:p w14:paraId="2A62369C" w14:textId="77777777" w:rsidR="002E72CF" w:rsidRPr="002E72CF" w:rsidRDefault="002E72CF" w:rsidP="002E72CF">
            <w:pPr>
              <w:spacing w:after="0" w:line="240" w:lineRule="auto"/>
              <w:rPr>
                <w:rFonts w:eastAsia="Times New Roman" w:cstheme="minorHAnsi"/>
                <w:sz w:val="24"/>
                <w:szCs w:val="24"/>
              </w:rPr>
            </w:pPr>
            <w:r w:rsidRPr="002E72CF">
              <w:rPr>
                <w:rFonts w:eastAsia="Times New Roman" w:cstheme="minorHAnsi"/>
                <w:sz w:val="24"/>
                <w:szCs w:val="24"/>
              </w:rPr>
              <w:t>1.62 (1.03)</w:t>
            </w:r>
          </w:p>
        </w:tc>
        <w:tc>
          <w:tcPr>
            <w:tcW w:w="2769" w:type="dxa"/>
            <w:tcBorders>
              <w:top w:val="nil"/>
              <w:left w:val="nil"/>
              <w:bottom w:val="nil"/>
              <w:right w:val="nil"/>
            </w:tcBorders>
            <w:shd w:val="clear" w:color="auto" w:fill="auto"/>
            <w:noWrap/>
            <w:vAlign w:val="bottom"/>
            <w:hideMark/>
          </w:tcPr>
          <w:p w14:paraId="14D5D943" w14:textId="77777777" w:rsidR="002E72CF" w:rsidRPr="002E72CF" w:rsidRDefault="002E72CF" w:rsidP="002E72CF">
            <w:pPr>
              <w:spacing w:after="0" w:line="240" w:lineRule="auto"/>
              <w:rPr>
                <w:rFonts w:eastAsia="Times New Roman" w:cstheme="minorHAnsi"/>
                <w:sz w:val="24"/>
                <w:szCs w:val="24"/>
              </w:rPr>
            </w:pPr>
            <w:r w:rsidRPr="002E72CF">
              <w:rPr>
                <w:rFonts w:eastAsia="Times New Roman" w:cstheme="minorHAnsi"/>
                <w:sz w:val="24"/>
                <w:szCs w:val="24"/>
              </w:rPr>
              <w:t>0.97 (0.67 - 1.42)</w:t>
            </w:r>
          </w:p>
        </w:tc>
      </w:tr>
      <w:tr w:rsidR="002E72CF" w:rsidRPr="002E72CF" w14:paraId="1510D8AE" w14:textId="77777777" w:rsidTr="00FE2D6B">
        <w:trPr>
          <w:trHeight w:val="345"/>
        </w:trPr>
        <w:tc>
          <w:tcPr>
            <w:tcW w:w="3212" w:type="dxa"/>
            <w:tcBorders>
              <w:top w:val="nil"/>
              <w:left w:val="nil"/>
              <w:bottom w:val="nil"/>
              <w:right w:val="nil"/>
            </w:tcBorders>
            <w:shd w:val="clear" w:color="auto" w:fill="auto"/>
            <w:noWrap/>
            <w:vAlign w:val="bottom"/>
            <w:hideMark/>
          </w:tcPr>
          <w:p w14:paraId="7A1165A2" w14:textId="77777777" w:rsidR="002E72CF" w:rsidRPr="002E72CF" w:rsidRDefault="002E72CF" w:rsidP="002E72CF">
            <w:pPr>
              <w:spacing w:after="0" w:line="240" w:lineRule="auto"/>
              <w:rPr>
                <w:rFonts w:eastAsia="Times New Roman" w:cstheme="minorHAnsi"/>
                <w:sz w:val="24"/>
                <w:szCs w:val="24"/>
              </w:rPr>
            </w:pPr>
            <w:r w:rsidRPr="002E72CF">
              <w:rPr>
                <w:rFonts w:eastAsia="Times New Roman" w:cstheme="minorHAnsi"/>
                <w:sz w:val="24"/>
                <w:szCs w:val="24"/>
              </w:rPr>
              <w:t>AUC</w:t>
            </w:r>
            <w:r w:rsidRPr="002E72CF">
              <w:rPr>
                <w:rFonts w:eastAsia="Times New Roman" w:cstheme="minorHAnsi"/>
                <w:sz w:val="24"/>
                <w:szCs w:val="24"/>
                <w:vertAlign w:val="subscript"/>
              </w:rPr>
              <w:t xml:space="preserve">0-12 </w:t>
            </w:r>
            <w:r w:rsidRPr="002E72CF">
              <w:rPr>
                <w:rFonts w:eastAsia="Times New Roman" w:cstheme="minorHAnsi"/>
                <w:sz w:val="24"/>
                <w:szCs w:val="24"/>
              </w:rPr>
              <w:t>(</w:t>
            </w:r>
            <w:proofErr w:type="spellStart"/>
            <w:r w:rsidRPr="002E72CF">
              <w:rPr>
                <w:rFonts w:eastAsia="Times New Roman" w:cstheme="minorHAnsi"/>
                <w:sz w:val="24"/>
                <w:szCs w:val="24"/>
              </w:rPr>
              <w:t>ng</w:t>
            </w:r>
            <w:r w:rsidRPr="002E72CF">
              <w:rPr>
                <w:rFonts w:eastAsia="Times New Roman" w:cstheme="minorHAnsi"/>
                <w:b/>
                <w:bCs/>
                <w:sz w:val="24"/>
                <w:szCs w:val="24"/>
              </w:rPr>
              <w:t>·</w:t>
            </w:r>
            <w:r w:rsidRPr="002E72CF">
              <w:rPr>
                <w:rFonts w:eastAsia="Times New Roman" w:cstheme="minorHAnsi"/>
                <w:sz w:val="24"/>
                <w:szCs w:val="24"/>
              </w:rPr>
              <w:t>h</w:t>
            </w:r>
            <w:proofErr w:type="spellEnd"/>
            <w:r w:rsidRPr="002E72CF">
              <w:rPr>
                <w:rFonts w:eastAsia="Times New Roman" w:cstheme="minorHAnsi"/>
                <w:sz w:val="24"/>
                <w:szCs w:val="24"/>
              </w:rPr>
              <w:t xml:space="preserve"> ml</w:t>
            </w:r>
            <w:r w:rsidRPr="002E72CF">
              <w:rPr>
                <w:rFonts w:eastAsia="Times New Roman" w:cstheme="minorHAnsi"/>
                <w:sz w:val="24"/>
                <w:szCs w:val="24"/>
                <w:vertAlign w:val="superscript"/>
              </w:rPr>
              <w:t>-1</w:t>
            </w:r>
            <w:r w:rsidRPr="002E72CF">
              <w:rPr>
                <w:rFonts w:eastAsia="Times New Roman" w:cstheme="minorHAnsi"/>
                <w:sz w:val="24"/>
                <w:szCs w:val="24"/>
              </w:rPr>
              <w:t>)</w:t>
            </w:r>
          </w:p>
        </w:tc>
        <w:tc>
          <w:tcPr>
            <w:tcW w:w="2728" w:type="dxa"/>
            <w:tcBorders>
              <w:top w:val="nil"/>
              <w:left w:val="nil"/>
              <w:bottom w:val="nil"/>
              <w:right w:val="nil"/>
            </w:tcBorders>
            <w:shd w:val="clear" w:color="auto" w:fill="auto"/>
            <w:noWrap/>
            <w:vAlign w:val="bottom"/>
            <w:hideMark/>
          </w:tcPr>
          <w:p w14:paraId="0874F044" w14:textId="77777777" w:rsidR="002E72CF" w:rsidRPr="002E72CF" w:rsidRDefault="002E72CF" w:rsidP="002E72CF">
            <w:pPr>
              <w:spacing w:after="0" w:line="240" w:lineRule="auto"/>
              <w:rPr>
                <w:rFonts w:eastAsia="Times New Roman" w:cstheme="minorHAnsi"/>
                <w:sz w:val="24"/>
                <w:szCs w:val="24"/>
              </w:rPr>
            </w:pPr>
            <w:r w:rsidRPr="002E72CF">
              <w:rPr>
                <w:rFonts w:eastAsia="Times New Roman" w:cstheme="minorHAnsi"/>
                <w:sz w:val="24"/>
                <w:szCs w:val="24"/>
              </w:rPr>
              <w:t>88 018 (31 868)</w:t>
            </w:r>
          </w:p>
        </w:tc>
        <w:tc>
          <w:tcPr>
            <w:tcW w:w="2672" w:type="dxa"/>
            <w:tcBorders>
              <w:top w:val="nil"/>
              <w:left w:val="nil"/>
              <w:bottom w:val="nil"/>
              <w:right w:val="nil"/>
            </w:tcBorders>
            <w:shd w:val="clear" w:color="auto" w:fill="auto"/>
            <w:noWrap/>
            <w:vAlign w:val="bottom"/>
            <w:hideMark/>
          </w:tcPr>
          <w:p w14:paraId="09321049" w14:textId="77777777" w:rsidR="002E72CF" w:rsidRPr="002E72CF" w:rsidRDefault="002E72CF" w:rsidP="002E72CF">
            <w:pPr>
              <w:spacing w:after="0" w:line="240" w:lineRule="auto"/>
              <w:rPr>
                <w:rFonts w:eastAsia="Times New Roman" w:cstheme="minorHAnsi"/>
                <w:sz w:val="24"/>
                <w:szCs w:val="24"/>
              </w:rPr>
            </w:pPr>
            <w:r w:rsidRPr="002E72CF">
              <w:rPr>
                <w:rFonts w:eastAsia="Times New Roman" w:cstheme="minorHAnsi"/>
                <w:sz w:val="24"/>
                <w:szCs w:val="24"/>
              </w:rPr>
              <w:t>85 655 (33 820)</w:t>
            </w:r>
          </w:p>
        </w:tc>
        <w:tc>
          <w:tcPr>
            <w:tcW w:w="2769" w:type="dxa"/>
            <w:tcBorders>
              <w:top w:val="nil"/>
              <w:left w:val="nil"/>
              <w:bottom w:val="nil"/>
              <w:right w:val="nil"/>
            </w:tcBorders>
            <w:shd w:val="clear" w:color="auto" w:fill="auto"/>
            <w:noWrap/>
            <w:vAlign w:val="bottom"/>
            <w:hideMark/>
          </w:tcPr>
          <w:p w14:paraId="60A7811B" w14:textId="77777777" w:rsidR="002E72CF" w:rsidRPr="002E72CF" w:rsidRDefault="002E72CF" w:rsidP="002E72CF">
            <w:pPr>
              <w:spacing w:after="0" w:line="240" w:lineRule="auto"/>
              <w:rPr>
                <w:rFonts w:eastAsia="Times New Roman" w:cstheme="minorHAnsi"/>
                <w:sz w:val="24"/>
                <w:szCs w:val="24"/>
              </w:rPr>
            </w:pPr>
            <w:r w:rsidRPr="002E72CF">
              <w:rPr>
                <w:rFonts w:eastAsia="Times New Roman" w:cstheme="minorHAnsi"/>
                <w:sz w:val="24"/>
                <w:szCs w:val="24"/>
              </w:rPr>
              <w:t>0.97 (0.93 - 1.02)</w:t>
            </w:r>
          </w:p>
        </w:tc>
      </w:tr>
      <w:tr w:rsidR="002E72CF" w:rsidRPr="002E72CF" w14:paraId="4516E72E" w14:textId="77777777" w:rsidTr="00FE2D6B">
        <w:trPr>
          <w:trHeight w:val="345"/>
        </w:trPr>
        <w:tc>
          <w:tcPr>
            <w:tcW w:w="3212" w:type="dxa"/>
            <w:tcBorders>
              <w:top w:val="nil"/>
              <w:left w:val="nil"/>
              <w:bottom w:val="nil"/>
              <w:right w:val="nil"/>
            </w:tcBorders>
            <w:shd w:val="clear" w:color="auto" w:fill="auto"/>
            <w:noWrap/>
            <w:vAlign w:val="bottom"/>
            <w:hideMark/>
          </w:tcPr>
          <w:p w14:paraId="425545F4" w14:textId="77777777" w:rsidR="002E72CF" w:rsidRPr="002E72CF" w:rsidRDefault="002E72CF" w:rsidP="002E72CF">
            <w:pPr>
              <w:spacing w:after="0" w:line="240" w:lineRule="auto"/>
              <w:rPr>
                <w:rFonts w:eastAsia="Times New Roman" w:cstheme="minorHAnsi"/>
                <w:sz w:val="24"/>
                <w:szCs w:val="24"/>
              </w:rPr>
            </w:pPr>
            <w:r w:rsidRPr="002E72CF">
              <w:rPr>
                <w:rFonts w:eastAsia="Times New Roman" w:cstheme="minorHAnsi"/>
                <w:sz w:val="24"/>
                <w:szCs w:val="24"/>
              </w:rPr>
              <w:t>t</w:t>
            </w:r>
            <w:r w:rsidRPr="002E72CF">
              <w:rPr>
                <w:rFonts w:eastAsia="Times New Roman" w:cstheme="minorHAnsi"/>
                <w:sz w:val="24"/>
                <w:szCs w:val="24"/>
                <w:vertAlign w:val="subscript"/>
              </w:rPr>
              <w:t xml:space="preserve">1/2 </w:t>
            </w:r>
            <w:r w:rsidRPr="002E72CF">
              <w:rPr>
                <w:rFonts w:eastAsia="Times New Roman" w:cstheme="minorHAnsi"/>
                <w:sz w:val="24"/>
                <w:szCs w:val="24"/>
              </w:rPr>
              <w:t>(h)</w:t>
            </w:r>
          </w:p>
        </w:tc>
        <w:tc>
          <w:tcPr>
            <w:tcW w:w="2728" w:type="dxa"/>
            <w:tcBorders>
              <w:top w:val="nil"/>
              <w:left w:val="nil"/>
              <w:bottom w:val="nil"/>
              <w:right w:val="nil"/>
            </w:tcBorders>
            <w:shd w:val="clear" w:color="auto" w:fill="auto"/>
            <w:noWrap/>
            <w:vAlign w:val="bottom"/>
            <w:hideMark/>
          </w:tcPr>
          <w:p w14:paraId="5C698B10" w14:textId="77777777" w:rsidR="002E72CF" w:rsidRPr="002E72CF" w:rsidRDefault="002E72CF" w:rsidP="002E72CF">
            <w:pPr>
              <w:spacing w:after="0" w:line="240" w:lineRule="auto"/>
              <w:rPr>
                <w:rFonts w:eastAsia="Times New Roman" w:cstheme="minorHAnsi"/>
                <w:sz w:val="24"/>
                <w:szCs w:val="24"/>
              </w:rPr>
            </w:pPr>
            <w:r w:rsidRPr="002E72CF">
              <w:rPr>
                <w:rFonts w:eastAsia="Times New Roman" w:cstheme="minorHAnsi"/>
                <w:sz w:val="24"/>
                <w:szCs w:val="24"/>
              </w:rPr>
              <w:t>22 (9)</w:t>
            </w:r>
          </w:p>
        </w:tc>
        <w:tc>
          <w:tcPr>
            <w:tcW w:w="2672" w:type="dxa"/>
            <w:tcBorders>
              <w:top w:val="nil"/>
              <w:left w:val="nil"/>
              <w:bottom w:val="nil"/>
              <w:right w:val="nil"/>
            </w:tcBorders>
            <w:shd w:val="clear" w:color="auto" w:fill="auto"/>
            <w:noWrap/>
            <w:vAlign w:val="bottom"/>
            <w:hideMark/>
          </w:tcPr>
          <w:p w14:paraId="5808D474" w14:textId="77777777" w:rsidR="002E72CF" w:rsidRPr="002E72CF" w:rsidRDefault="002E72CF" w:rsidP="002E72CF">
            <w:pPr>
              <w:spacing w:after="0" w:line="240" w:lineRule="auto"/>
              <w:rPr>
                <w:rFonts w:eastAsia="Times New Roman" w:cstheme="minorHAnsi"/>
                <w:sz w:val="24"/>
                <w:szCs w:val="24"/>
              </w:rPr>
            </w:pPr>
            <w:r w:rsidRPr="002E72CF">
              <w:rPr>
                <w:rFonts w:eastAsia="Times New Roman" w:cstheme="minorHAnsi"/>
                <w:sz w:val="24"/>
                <w:szCs w:val="24"/>
              </w:rPr>
              <w:t>24 (8)</w:t>
            </w:r>
          </w:p>
        </w:tc>
        <w:tc>
          <w:tcPr>
            <w:tcW w:w="2769" w:type="dxa"/>
            <w:tcBorders>
              <w:top w:val="nil"/>
              <w:left w:val="nil"/>
              <w:bottom w:val="nil"/>
              <w:right w:val="nil"/>
            </w:tcBorders>
            <w:shd w:val="clear" w:color="auto" w:fill="auto"/>
            <w:noWrap/>
            <w:vAlign w:val="bottom"/>
            <w:hideMark/>
          </w:tcPr>
          <w:p w14:paraId="65CB58B4" w14:textId="77777777" w:rsidR="002E72CF" w:rsidRPr="002E72CF" w:rsidRDefault="002E72CF" w:rsidP="002E72CF">
            <w:pPr>
              <w:spacing w:after="0" w:line="240" w:lineRule="auto"/>
              <w:rPr>
                <w:rFonts w:eastAsia="Times New Roman" w:cstheme="minorHAnsi"/>
                <w:sz w:val="24"/>
                <w:szCs w:val="24"/>
              </w:rPr>
            </w:pPr>
            <w:r w:rsidRPr="002E72CF">
              <w:rPr>
                <w:rFonts w:eastAsia="Times New Roman" w:cstheme="minorHAnsi"/>
                <w:sz w:val="24"/>
                <w:szCs w:val="24"/>
              </w:rPr>
              <w:t>1.10 (0.95 - 1.28)</w:t>
            </w:r>
          </w:p>
        </w:tc>
      </w:tr>
      <w:tr w:rsidR="002E72CF" w:rsidRPr="002E72CF" w14:paraId="2ACEEABB" w14:textId="77777777" w:rsidTr="00FE2D6B">
        <w:trPr>
          <w:trHeight w:val="345"/>
        </w:trPr>
        <w:tc>
          <w:tcPr>
            <w:tcW w:w="3212" w:type="dxa"/>
            <w:tcBorders>
              <w:top w:val="nil"/>
              <w:left w:val="nil"/>
              <w:bottom w:val="nil"/>
              <w:right w:val="nil"/>
            </w:tcBorders>
            <w:shd w:val="clear" w:color="auto" w:fill="auto"/>
            <w:noWrap/>
            <w:vAlign w:val="bottom"/>
            <w:hideMark/>
          </w:tcPr>
          <w:p w14:paraId="1AAF97DF" w14:textId="77777777" w:rsidR="002E72CF" w:rsidRPr="002E72CF" w:rsidRDefault="002E72CF" w:rsidP="002E72CF">
            <w:pPr>
              <w:spacing w:after="0" w:line="240" w:lineRule="auto"/>
              <w:rPr>
                <w:rFonts w:eastAsia="Times New Roman" w:cstheme="minorHAnsi"/>
                <w:sz w:val="24"/>
                <w:szCs w:val="24"/>
              </w:rPr>
            </w:pPr>
            <w:r w:rsidRPr="002E72CF">
              <w:rPr>
                <w:rFonts w:eastAsia="Times New Roman" w:cstheme="minorHAnsi"/>
                <w:sz w:val="24"/>
                <w:szCs w:val="24"/>
              </w:rPr>
              <w:t>CL/F (l h</w:t>
            </w:r>
            <w:r w:rsidRPr="002E72CF">
              <w:rPr>
                <w:rFonts w:eastAsia="Times New Roman" w:cstheme="minorHAnsi"/>
                <w:sz w:val="24"/>
                <w:szCs w:val="24"/>
                <w:vertAlign w:val="superscript"/>
              </w:rPr>
              <w:t>-1</w:t>
            </w:r>
            <w:r w:rsidRPr="002E72CF">
              <w:rPr>
                <w:rFonts w:eastAsia="Times New Roman" w:cstheme="minorHAnsi"/>
                <w:sz w:val="24"/>
                <w:szCs w:val="24"/>
              </w:rPr>
              <w:t>)</w:t>
            </w:r>
          </w:p>
        </w:tc>
        <w:tc>
          <w:tcPr>
            <w:tcW w:w="2728" w:type="dxa"/>
            <w:tcBorders>
              <w:top w:val="nil"/>
              <w:left w:val="nil"/>
              <w:bottom w:val="nil"/>
              <w:right w:val="nil"/>
            </w:tcBorders>
            <w:shd w:val="clear" w:color="auto" w:fill="auto"/>
            <w:noWrap/>
            <w:vAlign w:val="bottom"/>
            <w:hideMark/>
          </w:tcPr>
          <w:p w14:paraId="5D61F66A" w14:textId="77777777" w:rsidR="002E72CF" w:rsidRPr="002E72CF" w:rsidRDefault="002E72CF" w:rsidP="002E72CF">
            <w:pPr>
              <w:spacing w:after="0" w:line="240" w:lineRule="auto"/>
              <w:rPr>
                <w:rFonts w:eastAsia="Times New Roman" w:cstheme="minorHAnsi"/>
                <w:sz w:val="24"/>
                <w:szCs w:val="24"/>
              </w:rPr>
            </w:pPr>
            <w:r w:rsidRPr="002E72CF">
              <w:rPr>
                <w:rFonts w:eastAsia="Times New Roman" w:cstheme="minorHAnsi"/>
                <w:sz w:val="24"/>
                <w:szCs w:val="24"/>
              </w:rPr>
              <w:t>1.37 (0.83)</w:t>
            </w:r>
          </w:p>
        </w:tc>
        <w:tc>
          <w:tcPr>
            <w:tcW w:w="2672" w:type="dxa"/>
            <w:tcBorders>
              <w:top w:val="nil"/>
              <w:left w:val="nil"/>
              <w:bottom w:val="nil"/>
              <w:right w:val="nil"/>
            </w:tcBorders>
            <w:shd w:val="clear" w:color="auto" w:fill="auto"/>
            <w:noWrap/>
            <w:vAlign w:val="bottom"/>
            <w:hideMark/>
          </w:tcPr>
          <w:p w14:paraId="12372763" w14:textId="77777777" w:rsidR="002E72CF" w:rsidRPr="002E72CF" w:rsidRDefault="002E72CF" w:rsidP="002E72CF">
            <w:pPr>
              <w:spacing w:after="0" w:line="240" w:lineRule="auto"/>
              <w:rPr>
                <w:rFonts w:eastAsia="Times New Roman" w:cstheme="minorHAnsi"/>
                <w:sz w:val="24"/>
                <w:szCs w:val="24"/>
              </w:rPr>
            </w:pPr>
            <w:r w:rsidRPr="002E72CF">
              <w:rPr>
                <w:rFonts w:eastAsia="Times New Roman" w:cstheme="minorHAnsi"/>
                <w:sz w:val="24"/>
                <w:szCs w:val="24"/>
              </w:rPr>
              <w:t>1.32 (1.03)</w:t>
            </w:r>
          </w:p>
        </w:tc>
        <w:tc>
          <w:tcPr>
            <w:tcW w:w="2769" w:type="dxa"/>
            <w:tcBorders>
              <w:top w:val="nil"/>
              <w:left w:val="nil"/>
              <w:bottom w:val="nil"/>
              <w:right w:val="nil"/>
            </w:tcBorders>
            <w:shd w:val="clear" w:color="auto" w:fill="auto"/>
            <w:noWrap/>
            <w:vAlign w:val="bottom"/>
            <w:hideMark/>
          </w:tcPr>
          <w:p w14:paraId="68EEC380" w14:textId="77777777" w:rsidR="002E72CF" w:rsidRPr="002E72CF" w:rsidRDefault="002E72CF" w:rsidP="002E72CF">
            <w:pPr>
              <w:spacing w:after="0" w:line="240" w:lineRule="auto"/>
              <w:rPr>
                <w:rFonts w:eastAsia="Times New Roman" w:cstheme="minorHAnsi"/>
                <w:sz w:val="24"/>
                <w:szCs w:val="24"/>
              </w:rPr>
            </w:pPr>
            <w:r w:rsidRPr="002E72CF">
              <w:rPr>
                <w:rFonts w:eastAsia="Times New Roman" w:cstheme="minorHAnsi"/>
                <w:sz w:val="24"/>
                <w:szCs w:val="24"/>
              </w:rPr>
              <w:t>0.97 (0.83 - 1.12)</w:t>
            </w:r>
          </w:p>
        </w:tc>
      </w:tr>
      <w:tr w:rsidR="002E72CF" w:rsidRPr="002E72CF" w14:paraId="4BBE5654" w14:textId="77777777" w:rsidTr="00FE2D6B">
        <w:trPr>
          <w:trHeight w:val="345"/>
        </w:trPr>
        <w:tc>
          <w:tcPr>
            <w:tcW w:w="3212" w:type="dxa"/>
            <w:tcBorders>
              <w:top w:val="nil"/>
              <w:left w:val="nil"/>
              <w:bottom w:val="single" w:sz="4" w:space="0" w:color="auto"/>
              <w:right w:val="nil"/>
            </w:tcBorders>
            <w:shd w:val="clear" w:color="auto" w:fill="auto"/>
            <w:vAlign w:val="bottom"/>
            <w:hideMark/>
          </w:tcPr>
          <w:p w14:paraId="5F0FCA9E" w14:textId="77777777" w:rsidR="002E72CF" w:rsidRPr="002E72CF" w:rsidRDefault="002E72CF" w:rsidP="002E72CF">
            <w:pPr>
              <w:spacing w:after="0" w:line="240" w:lineRule="auto"/>
              <w:rPr>
                <w:rFonts w:eastAsia="Times New Roman" w:cstheme="minorHAnsi"/>
                <w:sz w:val="24"/>
                <w:szCs w:val="24"/>
              </w:rPr>
            </w:pPr>
            <w:proofErr w:type="spellStart"/>
            <w:r w:rsidRPr="002E72CF">
              <w:rPr>
                <w:rFonts w:eastAsia="Times New Roman" w:cstheme="minorHAnsi"/>
                <w:sz w:val="24"/>
                <w:szCs w:val="24"/>
              </w:rPr>
              <w:t>C</w:t>
            </w:r>
            <w:r w:rsidRPr="002E72CF">
              <w:rPr>
                <w:rFonts w:eastAsia="Times New Roman" w:cstheme="minorHAnsi"/>
                <w:sz w:val="24"/>
                <w:szCs w:val="24"/>
                <w:vertAlign w:val="subscript"/>
              </w:rPr>
              <w:t>trough</w:t>
            </w:r>
            <w:proofErr w:type="spellEnd"/>
            <w:r w:rsidRPr="002E72CF">
              <w:rPr>
                <w:rFonts w:eastAsia="Times New Roman" w:cstheme="minorHAnsi"/>
                <w:sz w:val="24"/>
                <w:szCs w:val="24"/>
                <w:vertAlign w:val="subscript"/>
              </w:rPr>
              <w:t xml:space="preserve"> </w:t>
            </w:r>
            <w:r w:rsidRPr="002E72CF">
              <w:rPr>
                <w:rFonts w:eastAsia="Times New Roman" w:cstheme="minorHAnsi"/>
                <w:sz w:val="24"/>
                <w:szCs w:val="24"/>
              </w:rPr>
              <w:t>&lt; MEC (%)</w:t>
            </w:r>
          </w:p>
        </w:tc>
        <w:tc>
          <w:tcPr>
            <w:tcW w:w="2728" w:type="dxa"/>
            <w:tcBorders>
              <w:top w:val="nil"/>
              <w:left w:val="nil"/>
              <w:bottom w:val="single" w:sz="4" w:space="0" w:color="auto"/>
              <w:right w:val="nil"/>
            </w:tcBorders>
            <w:shd w:val="clear" w:color="auto" w:fill="auto"/>
            <w:noWrap/>
            <w:vAlign w:val="bottom"/>
            <w:hideMark/>
          </w:tcPr>
          <w:p w14:paraId="7BDD028F" w14:textId="77777777" w:rsidR="002E72CF" w:rsidRPr="002E72CF" w:rsidRDefault="002E72CF" w:rsidP="002E72CF">
            <w:pPr>
              <w:spacing w:after="0" w:line="240" w:lineRule="auto"/>
              <w:rPr>
                <w:rFonts w:eastAsia="Times New Roman" w:cstheme="minorHAnsi"/>
                <w:sz w:val="24"/>
                <w:szCs w:val="24"/>
              </w:rPr>
            </w:pPr>
            <w:r w:rsidRPr="002E72CF">
              <w:rPr>
                <w:rFonts w:eastAsia="Times New Roman" w:cstheme="minorHAnsi"/>
                <w:sz w:val="24"/>
                <w:szCs w:val="24"/>
              </w:rPr>
              <w:t>-</w:t>
            </w:r>
          </w:p>
        </w:tc>
        <w:tc>
          <w:tcPr>
            <w:tcW w:w="2672" w:type="dxa"/>
            <w:tcBorders>
              <w:top w:val="nil"/>
              <w:left w:val="nil"/>
              <w:bottom w:val="single" w:sz="4" w:space="0" w:color="auto"/>
              <w:right w:val="nil"/>
            </w:tcBorders>
            <w:shd w:val="clear" w:color="auto" w:fill="auto"/>
            <w:noWrap/>
            <w:vAlign w:val="bottom"/>
            <w:hideMark/>
          </w:tcPr>
          <w:p w14:paraId="68B82F1E" w14:textId="77777777" w:rsidR="002E72CF" w:rsidRPr="002E72CF" w:rsidRDefault="002E72CF" w:rsidP="002E72CF">
            <w:pPr>
              <w:spacing w:after="0" w:line="240" w:lineRule="auto"/>
              <w:rPr>
                <w:rFonts w:eastAsia="Times New Roman" w:cstheme="minorHAnsi"/>
                <w:sz w:val="24"/>
                <w:szCs w:val="24"/>
              </w:rPr>
            </w:pPr>
            <w:r w:rsidRPr="002E72CF">
              <w:rPr>
                <w:rFonts w:eastAsia="Times New Roman" w:cstheme="minorHAnsi"/>
                <w:sz w:val="24"/>
                <w:szCs w:val="24"/>
              </w:rPr>
              <w:t>3</w:t>
            </w:r>
          </w:p>
        </w:tc>
        <w:tc>
          <w:tcPr>
            <w:tcW w:w="2769" w:type="dxa"/>
            <w:tcBorders>
              <w:top w:val="nil"/>
              <w:left w:val="nil"/>
              <w:bottom w:val="single" w:sz="4" w:space="0" w:color="auto"/>
              <w:right w:val="nil"/>
            </w:tcBorders>
            <w:shd w:val="clear" w:color="auto" w:fill="auto"/>
            <w:noWrap/>
            <w:vAlign w:val="bottom"/>
            <w:hideMark/>
          </w:tcPr>
          <w:p w14:paraId="7CF485CF" w14:textId="77777777" w:rsidR="002E72CF" w:rsidRPr="002E72CF" w:rsidRDefault="002E72CF" w:rsidP="002E72CF">
            <w:pPr>
              <w:spacing w:after="0" w:line="240" w:lineRule="auto"/>
              <w:rPr>
                <w:rFonts w:eastAsia="Times New Roman" w:cstheme="minorHAnsi"/>
                <w:sz w:val="24"/>
                <w:szCs w:val="24"/>
              </w:rPr>
            </w:pPr>
          </w:p>
        </w:tc>
      </w:tr>
      <w:tr w:rsidR="002E72CF" w:rsidRPr="002E72CF" w14:paraId="5FA8C498" w14:textId="77777777" w:rsidTr="00FE2D6B">
        <w:trPr>
          <w:trHeight w:val="345"/>
        </w:trPr>
        <w:tc>
          <w:tcPr>
            <w:tcW w:w="11381" w:type="dxa"/>
            <w:gridSpan w:val="4"/>
            <w:tcBorders>
              <w:top w:val="single" w:sz="4" w:space="0" w:color="auto"/>
              <w:left w:val="nil"/>
              <w:bottom w:val="nil"/>
              <w:right w:val="nil"/>
            </w:tcBorders>
            <w:shd w:val="clear" w:color="auto" w:fill="auto"/>
            <w:noWrap/>
            <w:vAlign w:val="bottom"/>
            <w:hideMark/>
          </w:tcPr>
          <w:p w14:paraId="60029F5E" w14:textId="77777777" w:rsidR="002E72CF" w:rsidRPr="002E72CF" w:rsidRDefault="002E72CF" w:rsidP="002E72CF">
            <w:pPr>
              <w:spacing w:after="0" w:line="240" w:lineRule="auto"/>
              <w:rPr>
                <w:rFonts w:eastAsia="Times New Roman" w:cstheme="minorHAnsi"/>
                <w:sz w:val="24"/>
                <w:szCs w:val="24"/>
              </w:rPr>
            </w:pPr>
            <w:r w:rsidRPr="002E72CF">
              <w:rPr>
                <w:rFonts w:eastAsia="Times New Roman" w:cstheme="minorHAnsi"/>
                <w:sz w:val="24"/>
                <w:szCs w:val="24"/>
              </w:rPr>
              <w:t>All data presented as geometric mean (standard deviation). Abbreviations: AL, artemether-lumefantrine; AUC</w:t>
            </w:r>
            <w:r w:rsidRPr="002E72CF">
              <w:rPr>
                <w:rFonts w:eastAsia="Times New Roman" w:cstheme="minorHAnsi"/>
                <w:sz w:val="24"/>
                <w:szCs w:val="24"/>
                <w:vertAlign w:val="subscript"/>
              </w:rPr>
              <w:t>0-12</w:t>
            </w:r>
            <w:r w:rsidRPr="002E72CF">
              <w:rPr>
                <w:rFonts w:eastAsia="Times New Roman" w:cstheme="minorHAnsi"/>
                <w:sz w:val="24"/>
                <w:szCs w:val="24"/>
              </w:rPr>
              <w:t>, area under the plasma concentration-time curve during a 12-hour dosing interval; CI, confidence interval; CL/F, apparent clearance; C</w:t>
            </w:r>
            <w:r w:rsidRPr="002E72CF">
              <w:rPr>
                <w:rFonts w:eastAsia="Times New Roman" w:cstheme="minorHAnsi"/>
                <w:sz w:val="24"/>
                <w:szCs w:val="24"/>
                <w:vertAlign w:val="subscript"/>
              </w:rPr>
              <w:t>max</w:t>
            </w:r>
            <w:r w:rsidRPr="002E72CF">
              <w:rPr>
                <w:rFonts w:eastAsia="Times New Roman" w:cstheme="minorHAnsi"/>
                <w:sz w:val="24"/>
                <w:szCs w:val="24"/>
              </w:rPr>
              <w:t xml:space="preserve">, maximum plasma concentration; </w:t>
            </w:r>
            <w:proofErr w:type="spellStart"/>
            <w:r w:rsidRPr="002E72CF">
              <w:rPr>
                <w:rFonts w:eastAsia="Times New Roman" w:cstheme="minorHAnsi"/>
                <w:sz w:val="24"/>
                <w:szCs w:val="24"/>
              </w:rPr>
              <w:t>C</w:t>
            </w:r>
            <w:r w:rsidRPr="002E72CF">
              <w:rPr>
                <w:rFonts w:eastAsia="Times New Roman" w:cstheme="minorHAnsi"/>
                <w:sz w:val="24"/>
                <w:szCs w:val="24"/>
                <w:vertAlign w:val="subscript"/>
              </w:rPr>
              <w:t>trough</w:t>
            </w:r>
            <w:proofErr w:type="spellEnd"/>
            <w:r w:rsidRPr="002E72CF">
              <w:rPr>
                <w:rFonts w:eastAsia="Times New Roman" w:cstheme="minorHAnsi"/>
                <w:sz w:val="24"/>
                <w:szCs w:val="24"/>
              </w:rPr>
              <w:t xml:space="preserve">, minimum plasma concentration; GMR, geometric mean ratio [i.e. (NVP + AL)/NVP (baseline)]; MEC, minimum effective concentration; n, sample size; NVP, nevirapine; t1/2, half-life; </w:t>
            </w:r>
            <w:proofErr w:type="spellStart"/>
            <w:r w:rsidRPr="002E72CF">
              <w:rPr>
                <w:rFonts w:eastAsia="Times New Roman" w:cstheme="minorHAnsi"/>
                <w:sz w:val="24"/>
                <w:szCs w:val="24"/>
              </w:rPr>
              <w:t>T</w:t>
            </w:r>
            <w:r w:rsidRPr="002E72CF">
              <w:rPr>
                <w:rFonts w:eastAsia="Times New Roman" w:cstheme="minorHAnsi"/>
                <w:sz w:val="24"/>
                <w:szCs w:val="24"/>
                <w:vertAlign w:val="subscript"/>
              </w:rPr>
              <w:t>max</w:t>
            </w:r>
            <w:proofErr w:type="spellEnd"/>
            <w:r w:rsidRPr="002E72CF">
              <w:rPr>
                <w:rFonts w:eastAsia="Times New Roman" w:cstheme="minorHAnsi"/>
                <w:sz w:val="24"/>
                <w:szCs w:val="24"/>
              </w:rPr>
              <w:t>, time to reach maximum plasma concentration.</w:t>
            </w:r>
          </w:p>
        </w:tc>
      </w:tr>
    </w:tbl>
    <w:p w14:paraId="688AE730" w14:textId="77777777" w:rsidR="002E72CF" w:rsidRPr="002E72CF" w:rsidRDefault="002E72CF" w:rsidP="002E72CF">
      <w:pPr>
        <w:tabs>
          <w:tab w:val="left" w:pos="4860"/>
        </w:tabs>
        <w:spacing w:line="480" w:lineRule="auto"/>
        <w:rPr>
          <w:rFonts w:cstheme="minorHAnsi"/>
          <w:sz w:val="24"/>
          <w:szCs w:val="24"/>
          <w:lang w:val="en-GB"/>
        </w:rPr>
      </w:pPr>
      <w:r w:rsidRPr="002E72CF">
        <w:rPr>
          <w:rFonts w:cstheme="minorHAnsi"/>
          <w:sz w:val="24"/>
          <w:szCs w:val="24"/>
          <w:lang w:val="en-GB"/>
        </w:rPr>
        <w:fldChar w:fldCharType="begin"/>
      </w:r>
      <w:r w:rsidRPr="002E72CF">
        <w:rPr>
          <w:rFonts w:cstheme="minorHAnsi"/>
          <w:sz w:val="24"/>
          <w:szCs w:val="24"/>
          <w:lang w:val="en-GB"/>
        </w:rPr>
        <w:instrText xml:space="preserve"> LINK Excel.Sheet.8 "C:\\Users\\HP\\Documents\\Documents\\JAC manuscript\\Copy of Results_01_JAC_2.xls" Sheet10!R1C1:R35C4 \a \f 4 \h  \* MERGEFORMAT </w:instrText>
      </w:r>
      <w:r w:rsidRPr="002E72CF">
        <w:rPr>
          <w:rFonts w:cstheme="minorHAnsi"/>
          <w:sz w:val="24"/>
          <w:szCs w:val="24"/>
          <w:lang w:val="en-GB"/>
        </w:rPr>
        <w:fldChar w:fldCharType="end"/>
      </w:r>
    </w:p>
    <w:p w14:paraId="33D412D3" w14:textId="77777777" w:rsidR="002E72CF" w:rsidRPr="002E72CF" w:rsidRDefault="002E72CF" w:rsidP="002E72CF">
      <w:pPr>
        <w:tabs>
          <w:tab w:val="left" w:pos="4860"/>
        </w:tabs>
        <w:spacing w:line="480" w:lineRule="auto"/>
        <w:rPr>
          <w:rFonts w:cstheme="minorHAnsi"/>
          <w:b/>
          <w:sz w:val="24"/>
          <w:szCs w:val="24"/>
          <w:lang w:val="en-GB"/>
        </w:rPr>
        <w:sectPr w:rsidR="002E72CF" w:rsidRPr="002E72CF" w:rsidSect="003B47E7">
          <w:type w:val="continuous"/>
          <w:pgSz w:w="16838" w:h="11906" w:orient="landscape"/>
          <w:pgMar w:top="1440" w:right="1440" w:bottom="1440" w:left="1440" w:header="709" w:footer="709" w:gutter="0"/>
          <w:lnNumType w:countBy="1" w:restart="continuous"/>
          <w:cols w:space="708"/>
          <w:docGrid w:linePitch="360"/>
        </w:sectPr>
      </w:pPr>
    </w:p>
    <w:p w14:paraId="7FF4973C" w14:textId="77777777" w:rsidR="00750B95" w:rsidRPr="00F31F78" w:rsidRDefault="00750B95" w:rsidP="00750B95">
      <w:pPr>
        <w:rPr>
          <w:rFonts w:ascii="Calibri" w:eastAsia="Calibri" w:hAnsi="Calibri" w:cs="Calibri"/>
          <w:sz w:val="24"/>
          <w:szCs w:val="24"/>
          <w:lang w:val="en-GB"/>
        </w:rPr>
      </w:pPr>
      <w:r w:rsidRPr="00F31F78">
        <w:rPr>
          <w:rFonts w:ascii="Calibri" w:eastAsia="Calibri" w:hAnsi="Calibri" w:cs="Calibri"/>
          <w:sz w:val="24"/>
          <w:szCs w:val="24"/>
          <w:lang w:val="en-GB"/>
        </w:rPr>
        <w:object w:dxaOrig="14021" w:dyaOrig="11513" w14:anchorId="6979C7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363pt" o:ole="">
            <v:imagedata r:id="rId10" o:title=""/>
          </v:shape>
          <o:OLEObject Type="Embed" ProgID="Prism6.Document" ShapeID="_x0000_i1025" DrawAspect="Content" ObjectID="_1610868101" r:id="rId11"/>
        </w:object>
      </w:r>
    </w:p>
    <w:p w14:paraId="655ADCF8" w14:textId="77777777" w:rsidR="00750B95" w:rsidRDefault="00750B95" w:rsidP="00750B95">
      <w:pPr>
        <w:spacing w:line="480" w:lineRule="auto"/>
        <w:rPr>
          <w:rFonts w:ascii="Calibri" w:eastAsia="Calibri" w:hAnsi="Calibri" w:cs="Calibri"/>
          <w:sz w:val="24"/>
          <w:szCs w:val="24"/>
          <w:lang w:val="en-GB"/>
        </w:rPr>
      </w:pPr>
      <w:r w:rsidRPr="00F31F78">
        <w:rPr>
          <w:rFonts w:ascii="Calibri" w:eastAsia="Calibri" w:hAnsi="Calibri" w:cs="Calibri"/>
          <w:sz w:val="24"/>
          <w:szCs w:val="24"/>
          <w:lang w:val="en-GB"/>
        </w:rPr>
        <w:t xml:space="preserve">Figure 1: Scatter dot plots indicating significant differences between plasma nevirapine concentrations of A) </w:t>
      </w:r>
      <w:r w:rsidRPr="00F31F78">
        <w:rPr>
          <w:rFonts w:ascii="Calibri" w:eastAsia="Calibri" w:hAnsi="Calibri" w:cs="Calibri"/>
          <w:i/>
          <w:sz w:val="24"/>
          <w:szCs w:val="24"/>
          <w:lang w:val="en-GB"/>
        </w:rPr>
        <w:t>CYP2B6</w:t>
      </w:r>
      <w:r w:rsidRPr="00F31F78">
        <w:rPr>
          <w:rFonts w:ascii="Calibri" w:eastAsia="Calibri" w:hAnsi="Calibri" w:cs="Calibri"/>
          <w:sz w:val="24"/>
          <w:szCs w:val="24"/>
          <w:lang w:val="en-GB"/>
        </w:rPr>
        <w:t xml:space="preserve"> c.516G&gt;T genotypes, B) </w:t>
      </w:r>
      <w:r w:rsidRPr="00F31F78">
        <w:rPr>
          <w:rFonts w:ascii="Calibri" w:eastAsia="Calibri" w:hAnsi="Calibri" w:cs="Calibri"/>
          <w:i/>
          <w:sz w:val="24"/>
          <w:szCs w:val="24"/>
          <w:lang w:val="en-GB"/>
        </w:rPr>
        <w:t xml:space="preserve">CYP2B6 </w:t>
      </w:r>
      <w:r w:rsidRPr="00F31F78">
        <w:rPr>
          <w:rFonts w:ascii="Calibri" w:eastAsia="Calibri" w:hAnsi="Calibri" w:cs="Calibri"/>
          <w:sz w:val="24"/>
          <w:szCs w:val="24"/>
          <w:lang w:val="en-GB"/>
        </w:rPr>
        <w:t xml:space="preserve">c.785A&gt;G genotypes, C) </w:t>
      </w:r>
      <w:r w:rsidRPr="00F31F78">
        <w:rPr>
          <w:rFonts w:ascii="Calibri" w:eastAsia="Calibri" w:hAnsi="Calibri" w:cs="Calibri"/>
          <w:i/>
          <w:sz w:val="24"/>
          <w:szCs w:val="24"/>
          <w:lang w:val="en-GB"/>
        </w:rPr>
        <w:t>CYP2B6</w:t>
      </w:r>
      <w:r w:rsidRPr="00F31F78">
        <w:rPr>
          <w:rFonts w:ascii="Calibri" w:eastAsia="Calibri" w:hAnsi="Calibri" w:cs="Calibri"/>
          <w:sz w:val="24"/>
          <w:szCs w:val="24"/>
          <w:lang w:val="en-GB"/>
        </w:rPr>
        <w:t xml:space="preserve"> c.983T&gt;C genotypes and D) Gender. </w:t>
      </w:r>
    </w:p>
    <w:p w14:paraId="69DBFFD1" w14:textId="77777777" w:rsidR="00750B95" w:rsidRDefault="00750B95" w:rsidP="00750B95">
      <w:pPr>
        <w:rPr>
          <w:rFonts w:ascii="Calibri" w:eastAsia="Calibri" w:hAnsi="Calibri" w:cs="Calibri"/>
          <w:sz w:val="24"/>
          <w:szCs w:val="24"/>
          <w:lang w:val="en-GB"/>
        </w:rPr>
      </w:pPr>
    </w:p>
    <w:p w14:paraId="360E7E95" w14:textId="77777777" w:rsidR="00750B95" w:rsidRPr="00F31F78" w:rsidRDefault="00750B95" w:rsidP="00750B95">
      <w:pPr>
        <w:rPr>
          <w:rFonts w:ascii="Calibri" w:eastAsia="Calibri" w:hAnsi="Calibri" w:cs="Calibri"/>
          <w:sz w:val="24"/>
          <w:szCs w:val="24"/>
          <w:lang w:val="en-GB"/>
        </w:rPr>
      </w:pPr>
      <w:r w:rsidRPr="00F31F78">
        <w:rPr>
          <w:rFonts w:ascii="Calibri" w:eastAsia="Calibri" w:hAnsi="Calibri" w:cs="Calibri"/>
          <w:sz w:val="24"/>
          <w:szCs w:val="24"/>
          <w:lang w:val="en-GB"/>
        </w:rPr>
        <w:object w:dxaOrig="11127" w:dyaOrig="8604" w14:anchorId="2A0C5465">
          <v:shape id="_x0000_i1027" type="#_x0000_t75" style="width:471.75pt;height:364.5pt" o:ole="">
            <v:imagedata r:id="rId12" o:title=""/>
          </v:shape>
          <o:OLEObject Type="Embed" ProgID="Prism6.Document" ShapeID="_x0000_i1027" DrawAspect="Content" ObjectID="_1610868102" r:id="rId13"/>
        </w:object>
      </w:r>
    </w:p>
    <w:p w14:paraId="364AA5EC" w14:textId="008C1624" w:rsidR="00546BCA" w:rsidRDefault="00750B95" w:rsidP="00750B95">
      <w:pPr>
        <w:spacing w:line="480" w:lineRule="auto"/>
      </w:pPr>
      <w:r w:rsidRPr="00F31F78">
        <w:rPr>
          <w:rFonts w:ascii="Calibri" w:eastAsia="Calibri" w:hAnsi="Calibri" w:cs="Calibri"/>
          <w:noProof/>
          <w:sz w:val="24"/>
          <w:szCs w:val="24"/>
          <w:lang w:val="en-GB" w:eastAsia="en-GB"/>
        </w:rPr>
        <w:t xml:space="preserve">Figure 2: </w:t>
      </w:r>
      <w:r w:rsidRPr="00F31F78">
        <w:rPr>
          <w:rFonts w:ascii="Calibri" w:eastAsia="Calibri" w:hAnsi="Calibri" w:cs="Calibri"/>
          <w:sz w:val="24"/>
          <w:szCs w:val="24"/>
          <w:lang w:val="en-GB"/>
        </w:rPr>
        <w:t xml:space="preserve">Plasma concentration-time profiles of nevirapine baseline (NVP) and in the presence of artemether-lumefantrine (NVP + AL) in A) all the patients and when stratified based on composite </w:t>
      </w:r>
      <w:r w:rsidRPr="00F31F78">
        <w:rPr>
          <w:rFonts w:ascii="Calibri" w:eastAsia="Calibri" w:hAnsi="Calibri" w:cs="Calibri"/>
          <w:i/>
          <w:sz w:val="24"/>
          <w:szCs w:val="24"/>
          <w:lang w:val="en-GB"/>
        </w:rPr>
        <w:t>CYP2B6</w:t>
      </w:r>
      <w:r w:rsidRPr="00F31F78">
        <w:rPr>
          <w:rFonts w:ascii="Calibri" w:eastAsia="Calibri" w:hAnsi="Calibri" w:cs="Calibri"/>
          <w:sz w:val="24"/>
          <w:szCs w:val="24"/>
          <w:lang w:val="en-GB"/>
        </w:rPr>
        <w:t xml:space="preserve"> c.516/983 B) extensive (EMs), C) intermediate (IMs) and D) poor metabolisers (PMs). MEC: - minimum effective concentration (3,400 ng ml</w:t>
      </w:r>
      <w:r w:rsidRPr="00F31F78">
        <w:rPr>
          <w:rFonts w:ascii="Calibri" w:eastAsia="Calibri" w:hAnsi="Calibri" w:cs="Calibri"/>
          <w:sz w:val="24"/>
          <w:szCs w:val="24"/>
          <w:vertAlign w:val="superscript"/>
          <w:lang w:val="en-GB"/>
        </w:rPr>
        <w:t>-1</w:t>
      </w:r>
      <w:r w:rsidRPr="00F31F78">
        <w:rPr>
          <w:rFonts w:ascii="Calibri" w:eastAsia="Calibri" w:hAnsi="Calibri" w:cs="Calibri"/>
          <w:sz w:val="24"/>
          <w:szCs w:val="24"/>
          <w:lang w:val="en-GB"/>
        </w:rPr>
        <w:t xml:space="preserve">). </w:t>
      </w:r>
    </w:p>
    <w:sectPr w:rsidR="00546BCA" w:rsidSect="00750B95">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B32155" w14:textId="77777777" w:rsidR="00595DCE" w:rsidRDefault="00595DCE">
      <w:pPr>
        <w:spacing w:after="0" w:line="240" w:lineRule="auto"/>
      </w:pPr>
      <w:r>
        <w:separator/>
      </w:r>
    </w:p>
  </w:endnote>
  <w:endnote w:type="continuationSeparator" w:id="0">
    <w:p w14:paraId="1F045CA5" w14:textId="77777777" w:rsidR="00595DCE" w:rsidRDefault="00595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7892100"/>
      <w:docPartObj>
        <w:docPartGallery w:val="Page Numbers (Bottom of Page)"/>
        <w:docPartUnique/>
      </w:docPartObj>
    </w:sdtPr>
    <w:sdtEndPr>
      <w:rPr>
        <w:noProof/>
      </w:rPr>
    </w:sdtEndPr>
    <w:sdtContent>
      <w:p w14:paraId="2A377740" w14:textId="77777777" w:rsidR="004D0521" w:rsidRDefault="002E72CF">
        <w:pPr>
          <w:pStyle w:val="Footer"/>
          <w:jc w:val="center"/>
        </w:pPr>
        <w:r>
          <w:fldChar w:fldCharType="begin"/>
        </w:r>
        <w:r>
          <w:instrText xml:space="preserve"> PAGE   \* MERGEFORMAT </w:instrText>
        </w:r>
        <w:r>
          <w:fldChar w:fldCharType="separate"/>
        </w:r>
        <w:r>
          <w:rPr>
            <w:noProof/>
          </w:rPr>
          <w:t>18</w:t>
        </w:r>
        <w:r>
          <w:rPr>
            <w:noProof/>
          </w:rPr>
          <w:fldChar w:fldCharType="end"/>
        </w:r>
      </w:p>
    </w:sdtContent>
  </w:sdt>
  <w:p w14:paraId="2CE6AC17" w14:textId="77777777" w:rsidR="004D0521" w:rsidRDefault="00595D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4351E0" w14:textId="77777777" w:rsidR="00595DCE" w:rsidRDefault="00595DCE">
      <w:pPr>
        <w:spacing w:after="0" w:line="240" w:lineRule="auto"/>
      </w:pPr>
      <w:r>
        <w:separator/>
      </w:r>
    </w:p>
  </w:footnote>
  <w:footnote w:type="continuationSeparator" w:id="0">
    <w:p w14:paraId="709D5822" w14:textId="77777777" w:rsidR="00595DCE" w:rsidRDefault="00595D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20685A"/>
    <w:multiLevelType w:val="hybridMultilevel"/>
    <w:tmpl w:val="2A6A8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F6E1EAE"/>
    <w:multiLevelType w:val="hybridMultilevel"/>
    <w:tmpl w:val="8E608F0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0CD432E"/>
    <w:multiLevelType w:val="hybridMultilevel"/>
    <w:tmpl w:val="70F035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99F146E"/>
    <w:multiLevelType w:val="hybridMultilevel"/>
    <w:tmpl w:val="531A87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F2500AC"/>
    <w:multiLevelType w:val="hybridMultilevel"/>
    <w:tmpl w:val="EE7E1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2CF"/>
    <w:rsid w:val="002E72CF"/>
    <w:rsid w:val="00546BCA"/>
    <w:rsid w:val="00595DCE"/>
    <w:rsid w:val="00750B95"/>
    <w:rsid w:val="0082598C"/>
    <w:rsid w:val="00B03C9D"/>
    <w:rsid w:val="00EC7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47097"/>
  <w15:chartTrackingRefBased/>
  <w15:docId w15:val="{2C16EBDC-9B7A-42B9-8662-402840AE0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E72CF"/>
    <w:rPr>
      <w:sz w:val="16"/>
      <w:szCs w:val="16"/>
    </w:rPr>
  </w:style>
  <w:style w:type="paragraph" w:styleId="CommentText">
    <w:name w:val="annotation text"/>
    <w:basedOn w:val="Normal"/>
    <w:link w:val="CommentTextChar"/>
    <w:uiPriority w:val="99"/>
    <w:semiHidden/>
    <w:unhideWhenUsed/>
    <w:rsid w:val="002E72CF"/>
    <w:pPr>
      <w:spacing w:after="200" w:line="240" w:lineRule="auto"/>
    </w:pPr>
    <w:rPr>
      <w:rFonts w:ascii="Calibri" w:eastAsia="Calibri" w:hAnsi="Calibri" w:cs="Times New Roman"/>
      <w:sz w:val="20"/>
      <w:szCs w:val="20"/>
      <w:lang w:val="en-GB"/>
    </w:rPr>
  </w:style>
  <w:style w:type="character" w:customStyle="1" w:styleId="CommentTextChar">
    <w:name w:val="Comment Text Char"/>
    <w:basedOn w:val="DefaultParagraphFont"/>
    <w:link w:val="CommentText"/>
    <w:uiPriority w:val="99"/>
    <w:semiHidden/>
    <w:rsid w:val="002E72CF"/>
    <w:rPr>
      <w:rFonts w:ascii="Calibri" w:eastAsia="Calibri" w:hAnsi="Calibri" w:cs="Times New Roman"/>
      <w:sz w:val="20"/>
      <w:szCs w:val="20"/>
      <w:lang w:val="en-GB"/>
    </w:rPr>
  </w:style>
  <w:style w:type="paragraph" w:styleId="ListParagraph">
    <w:name w:val="List Paragraph"/>
    <w:basedOn w:val="Normal"/>
    <w:uiPriority w:val="34"/>
    <w:qFormat/>
    <w:rsid w:val="002E72CF"/>
    <w:pPr>
      <w:ind w:left="720"/>
      <w:contextualSpacing/>
    </w:pPr>
    <w:rPr>
      <w:lang w:val="en-GB"/>
    </w:rPr>
  </w:style>
  <w:style w:type="paragraph" w:styleId="NoSpacing">
    <w:name w:val="No Spacing"/>
    <w:uiPriority w:val="1"/>
    <w:qFormat/>
    <w:rsid w:val="002E72CF"/>
    <w:pPr>
      <w:spacing w:after="0" w:line="240" w:lineRule="auto"/>
    </w:pPr>
    <w:rPr>
      <w:rFonts w:ascii="Calibri" w:eastAsia="Calibri" w:hAnsi="Calibri" w:cs="Times New Roman"/>
      <w:lang w:val="en-GB"/>
    </w:rPr>
  </w:style>
  <w:style w:type="character" w:customStyle="1" w:styleId="bodytext">
    <w:name w:val="bodytext"/>
    <w:basedOn w:val="DefaultParagraphFont"/>
    <w:rsid w:val="002E72CF"/>
  </w:style>
  <w:style w:type="character" w:customStyle="1" w:styleId="apple-converted-space">
    <w:name w:val="apple-converted-space"/>
    <w:basedOn w:val="DefaultParagraphFont"/>
    <w:rsid w:val="002E72CF"/>
  </w:style>
  <w:style w:type="paragraph" w:styleId="Header">
    <w:name w:val="header"/>
    <w:basedOn w:val="Normal"/>
    <w:link w:val="HeaderChar"/>
    <w:uiPriority w:val="99"/>
    <w:unhideWhenUsed/>
    <w:rsid w:val="002E72CF"/>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2E72CF"/>
    <w:rPr>
      <w:lang w:val="en-GB"/>
    </w:rPr>
  </w:style>
  <w:style w:type="paragraph" w:styleId="Footer">
    <w:name w:val="footer"/>
    <w:basedOn w:val="Normal"/>
    <w:link w:val="FooterChar"/>
    <w:uiPriority w:val="99"/>
    <w:unhideWhenUsed/>
    <w:rsid w:val="002E72CF"/>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2E72CF"/>
    <w:rPr>
      <w:lang w:val="en-GB"/>
    </w:rPr>
  </w:style>
  <w:style w:type="character" w:styleId="PlaceholderText">
    <w:name w:val="Placeholder Text"/>
    <w:basedOn w:val="DefaultParagraphFont"/>
    <w:uiPriority w:val="99"/>
    <w:semiHidden/>
    <w:rsid w:val="002E72CF"/>
    <w:rPr>
      <w:color w:val="808080"/>
    </w:rPr>
  </w:style>
  <w:style w:type="character" w:styleId="Hyperlink">
    <w:name w:val="Hyperlink"/>
    <w:basedOn w:val="DefaultParagraphFont"/>
    <w:uiPriority w:val="99"/>
    <w:unhideWhenUsed/>
    <w:rsid w:val="002E72CF"/>
    <w:rPr>
      <w:color w:val="0563C1" w:themeColor="hyperlink"/>
      <w:u w:val="single"/>
    </w:rPr>
  </w:style>
  <w:style w:type="character" w:styleId="LineNumber">
    <w:name w:val="line number"/>
    <w:basedOn w:val="DefaultParagraphFont"/>
    <w:uiPriority w:val="99"/>
    <w:semiHidden/>
    <w:unhideWhenUsed/>
    <w:rsid w:val="002E72CF"/>
  </w:style>
  <w:style w:type="paragraph" w:styleId="Caption">
    <w:name w:val="caption"/>
    <w:basedOn w:val="Normal"/>
    <w:next w:val="Normal"/>
    <w:uiPriority w:val="35"/>
    <w:unhideWhenUsed/>
    <w:qFormat/>
    <w:rsid w:val="002E72CF"/>
    <w:pPr>
      <w:spacing w:after="200" w:line="240" w:lineRule="auto"/>
    </w:pPr>
    <w:rPr>
      <w:i/>
      <w:iCs/>
      <w:color w:val="44546A" w:themeColor="text2"/>
      <w:sz w:val="18"/>
      <w:szCs w:val="18"/>
      <w:lang w:val="en-GB"/>
    </w:rPr>
  </w:style>
  <w:style w:type="character" w:styleId="UnresolvedMention">
    <w:name w:val="Unresolved Mention"/>
    <w:basedOn w:val="DefaultParagraphFont"/>
    <w:uiPriority w:val="99"/>
    <w:semiHidden/>
    <w:unhideWhenUsed/>
    <w:rsid w:val="002E72CF"/>
    <w:rPr>
      <w:color w:val="808080"/>
      <w:shd w:val="clear" w:color="auto" w:fill="E6E6E6"/>
    </w:rPr>
  </w:style>
  <w:style w:type="paragraph" w:styleId="BalloonText">
    <w:name w:val="Balloon Text"/>
    <w:basedOn w:val="Normal"/>
    <w:link w:val="BalloonTextChar"/>
    <w:uiPriority w:val="99"/>
    <w:semiHidden/>
    <w:unhideWhenUsed/>
    <w:rsid w:val="002E72CF"/>
    <w:pPr>
      <w:spacing w:after="0" w:line="240" w:lineRule="auto"/>
    </w:pPr>
    <w:rPr>
      <w:rFonts w:ascii="Segoe UI" w:hAnsi="Segoe UI" w:cs="Segoe UI"/>
      <w:sz w:val="18"/>
      <w:szCs w:val="18"/>
      <w:lang w:val="en-GB"/>
    </w:rPr>
  </w:style>
  <w:style w:type="character" w:customStyle="1" w:styleId="BalloonTextChar">
    <w:name w:val="Balloon Text Char"/>
    <w:basedOn w:val="DefaultParagraphFont"/>
    <w:link w:val="BalloonText"/>
    <w:uiPriority w:val="99"/>
    <w:semiHidden/>
    <w:rsid w:val="002E72CF"/>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docs/en_GB/document_library/Scientific_guideline/2012/02/WC500121954.pdf" TargetMode="External"/><Relationship Id="rId13"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hyperlink" Target="mailto:aeolagunuju@oauife.edu.ng" TargetMode="External"/><Relationship Id="rId12"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7095</Words>
  <Characters>40448</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SA'AD</dc:creator>
  <cp:keywords/>
  <dc:description/>
  <cp:lastModifiedBy>Adeniyi Olagunju</cp:lastModifiedBy>
  <cp:revision>2</cp:revision>
  <dcterms:created xsi:type="dcterms:W3CDTF">2019-02-05T09:35:00Z</dcterms:created>
  <dcterms:modified xsi:type="dcterms:W3CDTF">2019-02-05T09:35:00Z</dcterms:modified>
</cp:coreProperties>
</file>