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F7B8" w14:textId="1AC9A6C3" w:rsidR="00706B22" w:rsidRPr="009A1694" w:rsidRDefault="00F01DCD" w:rsidP="0053726B">
      <w:pPr>
        <w:spacing w:line="240" w:lineRule="auto"/>
        <w:jc w:val="center"/>
        <w:rPr>
          <w:rFonts w:ascii="Garamond" w:hAnsi="Garamond"/>
          <w:b/>
          <w:sz w:val="24"/>
          <w:szCs w:val="24"/>
        </w:rPr>
      </w:pPr>
      <w:r w:rsidRPr="009A1694">
        <w:rPr>
          <w:rFonts w:ascii="Garamond" w:hAnsi="Garamond"/>
          <w:b/>
          <w:sz w:val="24"/>
          <w:szCs w:val="24"/>
        </w:rPr>
        <w:t>Suspension and E</w:t>
      </w:r>
      <w:r w:rsidR="00706B22" w:rsidRPr="009A1694">
        <w:rPr>
          <w:rFonts w:ascii="Garamond" w:hAnsi="Garamond"/>
          <w:b/>
          <w:sz w:val="24"/>
          <w:szCs w:val="24"/>
        </w:rPr>
        <w:t>xpulsion</w:t>
      </w:r>
      <w:r w:rsidR="00F0480F">
        <w:rPr>
          <w:rFonts w:ascii="Garamond" w:hAnsi="Garamond"/>
          <w:b/>
          <w:sz w:val="24"/>
          <w:szCs w:val="24"/>
        </w:rPr>
        <w:t xml:space="preserve"> of the Members of the Council of Europe: Difficult Decisions in Troubled Times</w:t>
      </w:r>
      <w:r w:rsidR="003154AD">
        <w:rPr>
          <w:rStyle w:val="FootnoteReference"/>
          <w:rFonts w:ascii="Garamond" w:hAnsi="Garamond"/>
          <w:b/>
          <w:sz w:val="24"/>
          <w:szCs w:val="24"/>
        </w:rPr>
        <w:footnoteReference w:id="1"/>
      </w:r>
    </w:p>
    <w:p w14:paraId="6F073983" w14:textId="2D7A448E" w:rsidR="00F01DCD" w:rsidRPr="009A1694" w:rsidRDefault="00F01DCD" w:rsidP="0053726B">
      <w:pPr>
        <w:spacing w:line="240" w:lineRule="auto"/>
        <w:jc w:val="center"/>
        <w:rPr>
          <w:rFonts w:ascii="Garamond" w:hAnsi="Garamond"/>
          <w:sz w:val="24"/>
          <w:szCs w:val="24"/>
        </w:rPr>
      </w:pPr>
      <w:r w:rsidRPr="009A1694">
        <w:rPr>
          <w:rFonts w:ascii="Garamond" w:hAnsi="Garamond"/>
          <w:sz w:val="24"/>
          <w:szCs w:val="24"/>
        </w:rPr>
        <w:t>Kanstantsin Dzehtsiarou</w:t>
      </w:r>
      <w:r w:rsidR="00133823">
        <w:rPr>
          <w:rStyle w:val="FootnoteReference"/>
          <w:rFonts w:ascii="Garamond" w:hAnsi="Garamond"/>
          <w:sz w:val="24"/>
          <w:szCs w:val="24"/>
        </w:rPr>
        <w:footnoteReference w:id="2"/>
      </w:r>
      <w:r w:rsidR="00D72765">
        <w:rPr>
          <w:rFonts w:ascii="Garamond" w:hAnsi="Garamond"/>
          <w:sz w:val="24"/>
          <w:szCs w:val="24"/>
        </w:rPr>
        <w:t xml:space="preserve"> and </w:t>
      </w:r>
      <w:r w:rsidR="00D72765" w:rsidRPr="009A1694">
        <w:rPr>
          <w:rFonts w:ascii="Garamond" w:hAnsi="Garamond"/>
          <w:sz w:val="24"/>
          <w:szCs w:val="24"/>
        </w:rPr>
        <w:t>Donal K. Coffey</w:t>
      </w:r>
      <w:r w:rsidR="00D72765">
        <w:rPr>
          <w:rStyle w:val="FootnoteReference"/>
          <w:rFonts w:ascii="Garamond" w:hAnsi="Garamond"/>
          <w:sz w:val="24"/>
          <w:szCs w:val="24"/>
        </w:rPr>
        <w:footnoteReference w:id="3"/>
      </w:r>
    </w:p>
    <w:p w14:paraId="03365778" w14:textId="77777777" w:rsidR="007B67A9" w:rsidRPr="007B67A9" w:rsidRDefault="007B67A9">
      <w:pPr>
        <w:rPr>
          <w:rFonts w:ascii="Garamond" w:hAnsi="Garamond"/>
          <w:sz w:val="24"/>
          <w:szCs w:val="24"/>
        </w:rPr>
      </w:pPr>
      <w:r>
        <w:rPr>
          <w:rFonts w:ascii="Garamond" w:hAnsi="Garamond"/>
          <w:sz w:val="24"/>
          <w:szCs w:val="24"/>
        </w:rPr>
        <w:t>Abstract</w:t>
      </w:r>
    </w:p>
    <w:p w14:paraId="56C65A41" w14:textId="28D0F16B" w:rsidR="007B67A9" w:rsidRPr="00356D6B" w:rsidRDefault="003102F5" w:rsidP="00356D6B">
      <w:pPr>
        <w:jc w:val="both"/>
        <w:rPr>
          <w:rFonts w:ascii="Garamond" w:hAnsi="Garamond"/>
          <w:sz w:val="24"/>
          <w:szCs w:val="24"/>
        </w:rPr>
      </w:pPr>
      <w:r w:rsidRPr="000119B9">
        <w:rPr>
          <w:rFonts w:ascii="Garamond" w:hAnsi="Garamond"/>
          <w:sz w:val="24"/>
          <w:szCs w:val="24"/>
        </w:rPr>
        <w:t xml:space="preserve">The </w:t>
      </w:r>
      <w:r w:rsidR="000119B9">
        <w:rPr>
          <w:rFonts w:ascii="Garamond" w:hAnsi="Garamond"/>
          <w:sz w:val="24"/>
          <w:szCs w:val="24"/>
        </w:rPr>
        <w:t xml:space="preserve">effectiveness and legitimacy of the </w:t>
      </w:r>
      <w:r w:rsidR="0026418C">
        <w:rPr>
          <w:rFonts w:ascii="Garamond" w:hAnsi="Garamond"/>
          <w:sz w:val="24"/>
          <w:szCs w:val="24"/>
        </w:rPr>
        <w:t>C</w:t>
      </w:r>
      <w:r w:rsidR="00C917B8">
        <w:rPr>
          <w:rFonts w:ascii="Garamond" w:hAnsi="Garamond"/>
          <w:sz w:val="24"/>
          <w:szCs w:val="24"/>
        </w:rPr>
        <w:t xml:space="preserve">ouncil </w:t>
      </w:r>
      <w:r w:rsidR="0026418C">
        <w:rPr>
          <w:rFonts w:ascii="Garamond" w:hAnsi="Garamond"/>
          <w:sz w:val="24"/>
          <w:szCs w:val="24"/>
        </w:rPr>
        <w:t>o</w:t>
      </w:r>
      <w:r w:rsidR="00C917B8">
        <w:rPr>
          <w:rFonts w:ascii="Garamond" w:hAnsi="Garamond"/>
          <w:sz w:val="24"/>
          <w:szCs w:val="24"/>
        </w:rPr>
        <w:t xml:space="preserve">f </w:t>
      </w:r>
      <w:r w:rsidR="0026418C">
        <w:rPr>
          <w:rFonts w:ascii="Garamond" w:hAnsi="Garamond"/>
          <w:sz w:val="24"/>
          <w:szCs w:val="24"/>
        </w:rPr>
        <w:t>E</w:t>
      </w:r>
      <w:r w:rsidR="00C917B8">
        <w:rPr>
          <w:rFonts w:ascii="Garamond" w:hAnsi="Garamond"/>
          <w:sz w:val="24"/>
          <w:szCs w:val="24"/>
        </w:rPr>
        <w:t>urope</w:t>
      </w:r>
      <w:r w:rsidR="0026418C">
        <w:rPr>
          <w:rFonts w:ascii="Garamond" w:hAnsi="Garamond"/>
          <w:sz w:val="24"/>
          <w:szCs w:val="24"/>
        </w:rPr>
        <w:t xml:space="preserve"> </w:t>
      </w:r>
      <w:r w:rsidR="000119B9">
        <w:rPr>
          <w:rFonts w:ascii="Garamond" w:hAnsi="Garamond"/>
          <w:sz w:val="24"/>
          <w:szCs w:val="24"/>
        </w:rPr>
        <w:t>can be undermined by</w:t>
      </w:r>
      <w:r w:rsidR="00356D6B" w:rsidRPr="000119B9">
        <w:rPr>
          <w:rFonts w:ascii="Garamond" w:hAnsi="Garamond"/>
          <w:sz w:val="24"/>
          <w:szCs w:val="24"/>
        </w:rPr>
        <w:t xml:space="preserve"> the actions of</w:t>
      </w:r>
      <w:r w:rsidR="00945F21">
        <w:rPr>
          <w:rFonts w:ascii="Garamond" w:hAnsi="Garamond"/>
          <w:sz w:val="24"/>
          <w:szCs w:val="24"/>
        </w:rPr>
        <w:t xml:space="preserve"> </w:t>
      </w:r>
      <w:r w:rsidR="00AA264D">
        <w:rPr>
          <w:rFonts w:ascii="Garamond" w:hAnsi="Garamond"/>
          <w:sz w:val="24"/>
          <w:szCs w:val="24"/>
        </w:rPr>
        <w:t>member state</w:t>
      </w:r>
      <w:r w:rsidRPr="000119B9">
        <w:rPr>
          <w:rFonts w:ascii="Garamond" w:hAnsi="Garamond"/>
          <w:sz w:val="24"/>
          <w:szCs w:val="24"/>
        </w:rPr>
        <w:t xml:space="preserve">s </w:t>
      </w:r>
      <w:r w:rsidR="00945F21">
        <w:rPr>
          <w:rFonts w:ascii="Garamond" w:hAnsi="Garamond"/>
          <w:sz w:val="24"/>
          <w:szCs w:val="24"/>
        </w:rPr>
        <w:t>which</w:t>
      </w:r>
      <w:r w:rsidRPr="000119B9">
        <w:rPr>
          <w:rFonts w:ascii="Garamond" w:hAnsi="Garamond"/>
          <w:sz w:val="24"/>
          <w:szCs w:val="24"/>
        </w:rPr>
        <w:t xml:space="preserve"> fail to comply with their international law obl</w:t>
      </w:r>
      <w:r w:rsidR="000119B9">
        <w:rPr>
          <w:rFonts w:ascii="Garamond" w:hAnsi="Garamond"/>
          <w:sz w:val="24"/>
          <w:szCs w:val="24"/>
        </w:rPr>
        <w:t>igations</w:t>
      </w:r>
      <w:r w:rsidR="00945F21">
        <w:rPr>
          <w:rFonts w:ascii="Garamond" w:hAnsi="Garamond"/>
          <w:sz w:val="24"/>
          <w:szCs w:val="24"/>
        </w:rPr>
        <w:t xml:space="preserve"> </w:t>
      </w:r>
      <w:r w:rsidR="007A42F6">
        <w:rPr>
          <w:rFonts w:ascii="Garamond" w:hAnsi="Garamond"/>
          <w:sz w:val="24"/>
          <w:szCs w:val="24"/>
        </w:rPr>
        <w:t>of</w:t>
      </w:r>
      <w:r w:rsidR="00945F21">
        <w:rPr>
          <w:rFonts w:ascii="Garamond" w:hAnsi="Garamond"/>
          <w:sz w:val="24"/>
          <w:szCs w:val="24"/>
        </w:rPr>
        <w:t xml:space="preserve"> genuine cooperat</w:t>
      </w:r>
      <w:r w:rsidR="007A42F6">
        <w:rPr>
          <w:rFonts w:ascii="Garamond" w:hAnsi="Garamond"/>
          <w:sz w:val="24"/>
          <w:szCs w:val="24"/>
        </w:rPr>
        <w:t>ion</w:t>
      </w:r>
      <w:r w:rsidR="00945F21">
        <w:rPr>
          <w:rFonts w:ascii="Garamond" w:hAnsi="Garamond"/>
          <w:sz w:val="24"/>
          <w:szCs w:val="24"/>
        </w:rPr>
        <w:t xml:space="preserve"> with the organisation</w:t>
      </w:r>
      <w:r w:rsidR="000119B9">
        <w:rPr>
          <w:rFonts w:ascii="Garamond" w:hAnsi="Garamond"/>
          <w:sz w:val="24"/>
          <w:szCs w:val="24"/>
        </w:rPr>
        <w:t xml:space="preserve">. This article first </w:t>
      </w:r>
      <w:r w:rsidR="00C917B8">
        <w:rPr>
          <w:rFonts w:ascii="Garamond" w:hAnsi="Garamond"/>
          <w:sz w:val="24"/>
          <w:szCs w:val="24"/>
        </w:rPr>
        <w:t xml:space="preserve">briefly examines </w:t>
      </w:r>
      <w:r w:rsidR="00C03C4E">
        <w:rPr>
          <w:rFonts w:ascii="Garamond" w:hAnsi="Garamond"/>
          <w:sz w:val="24"/>
          <w:szCs w:val="24"/>
        </w:rPr>
        <w:t xml:space="preserve">the </w:t>
      </w:r>
      <w:r w:rsidR="00C917B8">
        <w:rPr>
          <w:rFonts w:ascii="Garamond" w:hAnsi="Garamond"/>
          <w:sz w:val="24"/>
          <w:szCs w:val="24"/>
        </w:rPr>
        <w:t xml:space="preserve">practice of international organisations in applying sanctions such as expulsion and suspension to its members. It then </w:t>
      </w:r>
      <w:r w:rsidR="00845A28">
        <w:rPr>
          <w:rFonts w:ascii="Garamond" w:hAnsi="Garamond"/>
          <w:sz w:val="24"/>
          <w:szCs w:val="24"/>
        </w:rPr>
        <w:t xml:space="preserve">explains why </w:t>
      </w:r>
      <w:r w:rsidR="00945F21">
        <w:rPr>
          <w:rFonts w:ascii="Garamond" w:hAnsi="Garamond"/>
          <w:sz w:val="24"/>
          <w:szCs w:val="24"/>
        </w:rPr>
        <w:t xml:space="preserve">it is necessary </w:t>
      </w:r>
      <w:r w:rsidR="000119B9">
        <w:rPr>
          <w:rFonts w:ascii="Garamond" w:hAnsi="Garamond"/>
          <w:sz w:val="24"/>
          <w:szCs w:val="24"/>
        </w:rPr>
        <w:t xml:space="preserve">to discuss </w:t>
      </w:r>
      <w:r w:rsidRPr="000119B9">
        <w:rPr>
          <w:rFonts w:ascii="Garamond" w:hAnsi="Garamond"/>
          <w:sz w:val="24"/>
          <w:szCs w:val="24"/>
        </w:rPr>
        <w:t xml:space="preserve">potential sanctions </w:t>
      </w:r>
      <w:r w:rsidR="000119B9">
        <w:rPr>
          <w:rFonts w:ascii="Garamond" w:hAnsi="Garamond"/>
          <w:sz w:val="24"/>
          <w:szCs w:val="24"/>
        </w:rPr>
        <w:t>that the Council can apply</w:t>
      </w:r>
      <w:r w:rsidR="007A42F6">
        <w:rPr>
          <w:rFonts w:ascii="Garamond" w:hAnsi="Garamond"/>
          <w:sz w:val="24"/>
          <w:szCs w:val="24"/>
        </w:rPr>
        <w:t xml:space="preserve"> in the context of current controversies involving the Council and member states</w:t>
      </w:r>
      <w:r w:rsidRPr="000119B9">
        <w:rPr>
          <w:rFonts w:ascii="Garamond" w:hAnsi="Garamond"/>
          <w:sz w:val="24"/>
          <w:szCs w:val="24"/>
        </w:rPr>
        <w:t>.</w:t>
      </w:r>
      <w:r w:rsidR="000119B9">
        <w:rPr>
          <w:rFonts w:ascii="Garamond" w:hAnsi="Garamond"/>
          <w:sz w:val="24"/>
          <w:szCs w:val="24"/>
        </w:rPr>
        <w:t xml:space="preserve"> It will be argued that the scale and intensity of challenges distinguish the current state of affairs</w:t>
      </w:r>
      <w:r w:rsidR="00011367">
        <w:rPr>
          <w:rFonts w:ascii="Garamond" w:hAnsi="Garamond"/>
          <w:sz w:val="24"/>
          <w:szCs w:val="24"/>
        </w:rPr>
        <w:t xml:space="preserve"> from other ‘problematic’ periods in the Council’s history. </w:t>
      </w:r>
      <w:r w:rsidRPr="000119B9">
        <w:rPr>
          <w:rFonts w:ascii="Garamond" w:hAnsi="Garamond"/>
          <w:sz w:val="24"/>
          <w:szCs w:val="24"/>
        </w:rPr>
        <w:t xml:space="preserve">It proceeds to outline the considerations that should </w:t>
      </w:r>
      <w:r w:rsidR="00356D6B" w:rsidRPr="000119B9">
        <w:rPr>
          <w:rFonts w:ascii="Garamond" w:hAnsi="Garamond"/>
          <w:sz w:val="24"/>
          <w:szCs w:val="24"/>
        </w:rPr>
        <w:t xml:space="preserve">be taken into account in deciding </w:t>
      </w:r>
      <w:r w:rsidR="00945F21">
        <w:rPr>
          <w:rFonts w:ascii="Garamond" w:hAnsi="Garamond"/>
          <w:sz w:val="24"/>
          <w:szCs w:val="24"/>
        </w:rPr>
        <w:t>whether</w:t>
      </w:r>
      <w:r w:rsidR="00356D6B" w:rsidRPr="000119B9">
        <w:rPr>
          <w:rFonts w:ascii="Garamond" w:hAnsi="Garamond"/>
          <w:sz w:val="24"/>
          <w:szCs w:val="24"/>
        </w:rPr>
        <w:t xml:space="preserve"> a </w:t>
      </w:r>
      <w:r w:rsidR="00AA264D">
        <w:rPr>
          <w:rFonts w:ascii="Garamond" w:hAnsi="Garamond"/>
          <w:sz w:val="24"/>
          <w:szCs w:val="24"/>
        </w:rPr>
        <w:t>member state</w:t>
      </w:r>
      <w:r w:rsidR="00356D6B" w:rsidRPr="000119B9">
        <w:rPr>
          <w:rFonts w:ascii="Garamond" w:hAnsi="Garamond"/>
          <w:sz w:val="24"/>
          <w:szCs w:val="24"/>
        </w:rPr>
        <w:t xml:space="preserve"> should be suspended or expelled</w:t>
      </w:r>
      <w:r w:rsidRPr="000119B9">
        <w:rPr>
          <w:rFonts w:ascii="Garamond" w:hAnsi="Garamond"/>
          <w:sz w:val="24"/>
          <w:szCs w:val="24"/>
        </w:rPr>
        <w:t>.</w:t>
      </w:r>
      <w:r w:rsidR="00853C8E" w:rsidRPr="000119B9">
        <w:rPr>
          <w:rFonts w:ascii="Garamond" w:hAnsi="Garamond"/>
          <w:sz w:val="24"/>
          <w:szCs w:val="24"/>
        </w:rPr>
        <w:t xml:space="preserve"> </w:t>
      </w:r>
      <w:r w:rsidR="00FD7710" w:rsidRPr="000119B9">
        <w:rPr>
          <w:rFonts w:ascii="Garamond" w:hAnsi="Garamond"/>
          <w:sz w:val="24"/>
          <w:szCs w:val="24"/>
        </w:rPr>
        <w:t xml:space="preserve">These considerations include </w:t>
      </w:r>
      <w:r w:rsidR="005A604F">
        <w:rPr>
          <w:rFonts w:ascii="Garamond" w:hAnsi="Garamond"/>
          <w:sz w:val="24"/>
          <w:szCs w:val="24"/>
        </w:rPr>
        <w:t xml:space="preserve">the </w:t>
      </w:r>
      <w:r w:rsidR="00FD7710" w:rsidRPr="000119B9">
        <w:rPr>
          <w:rFonts w:ascii="Garamond" w:hAnsi="Garamond"/>
          <w:sz w:val="24"/>
          <w:szCs w:val="24"/>
        </w:rPr>
        <w:t xml:space="preserve">implications of sanctions on the legitimacy of the Council of Europe, the level of human rights protection and </w:t>
      </w:r>
      <w:r w:rsidR="007A42F6">
        <w:rPr>
          <w:rFonts w:ascii="Garamond" w:hAnsi="Garamond"/>
          <w:sz w:val="24"/>
          <w:szCs w:val="24"/>
        </w:rPr>
        <w:t xml:space="preserve">the </w:t>
      </w:r>
      <w:r w:rsidR="00FD7710" w:rsidRPr="000119B9">
        <w:rPr>
          <w:rFonts w:ascii="Garamond" w:hAnsi="Garamond"/>
          <w:sz w:val="24"/>
          <w:szCs w:val="24"/>
        </w:rPr>
        <w:t>financial stability of the organisation.</w:t>
      </w:r>
      <w:r w:rsidR="007B67A9" w:rsidRPr="00356D6B">
        <w:rPr>
          <w:rFonts w:ascii="Garamond" w:hAnsi="Garamond"/>
          <w:sz w:val="24"/>
          <w:szCs w:val="24"/>
        </w:rPr>
        <w:br w:type="page"/>
      </w:r>
    </w:p>
    <w:p w14:paraId="12814A48" w14:textId="4B93D901" w:rsidR="00AC5047" w:rsidRPr="00945F21" w:rsidRDefault="00A351A3" w:rsidP="0053726B">
      <w:pPr>
        <w:spacing w:line="240" w:lineRule="auto"/>
        <w:jc w:val="both"/>
        <w:rPr>
          <w:rFonts w:ascii="Garamond" w:hAnsi="Garamond"/>
          <w:b/>
          <w:sz w:val="24"/>
          <w:szCs w:val="24"/>
        </w:rPr>
      </w:pPr>
      <w:r w:rsidRPr="00945F21">
        <w:rPr>
          <w:rFonts w:ascii="Garamond" w:hAnsi="Garamond"/>
          <w:b/>
          <w:sz w:val="24"/>
          <w:szCs w:val="24"/>
        </w:rPr>
        <w:lastRenderedPageBreak/>
        <w:t>Introduction</w:t>
      </w:r>
      <w:r w:rsidR="00AA264D">
        <w:rPr>
          <w:rFonts w:ascii="Garamond" w:hAnsi="Garamond"/>
          <w:b/>
          <w:sz w:val="24"/>
          <w:szCs w:val="24"/>
        </w:rPr>
        <w:t>.</w:t>
      </w:r>
    </w:p>
    <w:p w14:paraId="7C988945" w14:textId="7046430D" w:rsidR="000A58AB" w:rsidRDefault="00D66FEF" w:rsidP="00C276F6">
      <w:pPr>
        <w:jc w:val="both"/>
        <w:rPr>
          <w:rFonts w:ascii="Garamond" w:hAnsi="Garamond"/>
          <w:sz w:val="24"/>
          <w:szCs w:val="24"/>
        </w:rPr>
      </w:pPr>
      <w:r w:rsidRPr="00945F21">
        <w:rPr>
          <w:rFonts w:ascii="Garamond" w:hAnsi="Garamond"/>
          <w:sz w:val="24"/>
          <w:szCs w:val="24"/>
        </w:rPr>
        <w:t xml:space="preserve">The European legal systems are in crisis. </w:t>
      </w:r>
      <w:r w:rsidR="00DA0137" w:rsidRPr="00945F21">
        <w:rPr>
          <w:rFonts w:ascii="Garamond" w:hAnsi="Garamond"/>
          <w:sz w:val="24"/>
          <w:szCs w:val="24"/>
        </w:rPr>
        <w:t xml:space="preserve">Brexit means that the legal order of the European Union, founded on a policy of integration, </w:t>
      </w:r>
      <w:r w:rsidR="007A42F6">
        <w:rPr>
          <w:rFonts w:ascii="Garamond" w:hAnsi="Garamond"/>
          <w:sz w:val="24"/>
          <w:szCs w:val="24"/>
        </w:rPr>
        <w:t>faces a</w:t>
      </w:r>
      <w:r w:rsidR="00DA0137" w:rsidRPr="00945F21">
        <w:rPr>
          <w:rFonts w:ascii="Garamond" w:hAnsi="Garamond"/>
          <w:sz w:val="24"/>
          <w:szCs w:val="24"/>
        </w:rPr>
        <w:t xml:space="preserve"> </w:t>
      </w:r>
      <w:r w:rsidR="00E15196" w:rsidRPr="00945F21">
        <w:rPr>
          <w:rFonts w:ascii="Garamond" w:hAnsi="Garamond"/>
          <w:sz w:val="24"/>
          <w:szCs w:val="24"/>
        </w:rPr>
        <w:t>challenge</w:t>
      </w:r>
      <w:r w:rsidR="00DA0137" w:rsidRPr="00945F21">
        <w:rPr>
          <w:rFonts w:ascii="Garamond" w:hAnsi="Garamond"/>
          <w:sz w:val="24"/>
          <w:szCs w:val="24"/>
        </w:rPr>
        <w:t xml:space="preserve"> of disintegration.</w:t>
      </w:r>
      <w:r w:rsidR="003C0373" w:rsidRPr="00945F21">
        <w:rPr>
          <w:rFonts w:ascii="Garamond" w:hAnsi="Garamond"/>
          <w:sz w:val="24"/>
          <w:szCs w:val="24"/>
        </w:rPr>
        <w:t xml:space="preserve"> The other great European legal order, that of the Council of Europe</w:t>
      </w:r>
      <w:r w:rsidR="00BB548C">
        <w:rPr>
          <w:rFonts w:ascii="Garamond" w:hAnsi="Garamond"/>
          <w:sz w:val="24"/>
          <w:szCs w:val="24"/>
        </w:rPr>
        <w:t xml:space="preserve"> (CoE)</w:t>
      </w:r>
      <w:r w:rsidR="003C0373" w:rsidRPr="00945F21">
        <w:rPr>
          <w:rFonts w:ascii="Garamond" w:hAnsi="Garamond"/>
          <w:sz w:val="24"/>
          <w:szCs w:val="24"/>
        </w:rPr>
        <w:t xml:space="preserve">, faces a more insidious crisis: the liberal system on which it is based is being undermined through more subtle means by </w:t>
      </w:r>
      <w:r w:rsidR="00CD1CDD" w:rsidRPr="00945F21">
        <w:rPr>
          <w:rFonts w:ascii="Garamond" w:hAnsi="Garamond"/>
          <w:sz w:val="24"/>
          <w:szCs w:val="24"/>
        </w:rPr>
        <w:t>some</w:t>
      </w:r>
      <w:r w:rsidR="003C0373" w:rsidRPr="00945F21">
        <w:rPr>
          <w:rFonts w:ascii="Garamond" w:hAnsi="Garamond"/>
          <w:sz w:val="24"/>
          <w:szCs w:val="24"/>
        </w:rPr>
        <w:t xml:space="preserve"> states. </w:t>
      </w:r>
      <w:r w:rsidR="000442D8" w:rsidRPr="00945F21">
        <w:rPr>
          <w:rFonts w:ascii="Garamond" w:hAnsi="Garamond"/>
          <w:sz w:val="24"/>
          <w:szCs w:val="24"/>
        </w:rPr>
        <w:t xml:space="preserve">The nature of this crisis prompts consideration of steps </w:t>
      </w:r>
      <w:r w:rsidR="007A42F6">
        <w:rPr>
          <w:rFonts w:ascii="Garamond" w:hAnsi="Garamond"/>
          <w:sz w:val="24"/>
          <w:szCs w:val="24"/>
        </w:rPr>
        <w:t xml:space="preserve">that </w:t>
      </w:r>
      <w:r w:rsidR="000442D8" w:rsidRPr="00945F21">
        <w:rPr>
          <w:rFonts w:ascii="Garamond" w:hAnsi="Garamond"/>
          <w:sz w:val="24"/>
          <w:szCs w:val="24"/>
        </w:rPr>
        <w:t xml:space="preserve">can be taken to deal with </w:t>
      </w:r>
      <w:r w:rsidR="00133823" w:rsidRPr="00945F21">
        <w:rPr>
          <w:rFonts w:ascii="Garamond" w:hAnsi="Garamond"/>
          <w:sz w:val="24"/>
          <w:szCs w:val="24"/>
        </w:rPr>
        <w:t>it</w:t>
      </w:r>
      <w:r w:rsidR="000442D8" w:rsidRPr="00945F21">
        <w:rPr>
          <w:rFonts w:ascii="Garamond" w:hAnsi="Garamond"/>
          <w:sz w:val="24"/>
          <w:szCs w:val="24"/>
        </w:rPr>
        <w:t xml:space="preserve">. This article proposes a new approach to interpretation of </w:t>
      </w:r>
      <w:r w:rsidR="00810A72" w:rsidRPr="00945F21">
        <w:rPr>
          <w:rFonts w:ascii="Garamond" w:hAnsi="Garamond"/>
          <w:sz w:val="24"/>
          <w:szCs w:val="24"/>
        </w:rPr>
        <w:t xml:space="preserve">when and how </w:t>
      </w:r>
      <w:r w:rsidR="000442D8" w:rsidRPr="00945F21">
        <w:rPr>
          <w:rFonts w:ascii="Garamond" w:hAnsi="Garamond"/>
          <w:sz w:val="24"/>
          <w:szCs w:val="24"/>
        </w:rPr>
        <w:t xml:space="preserve">the Statute of the </w:t>
      </w:r>
      <w:r w:rsidR="0026418C">
        <w:rPr>
          <w:rFonts w:ascii="Garamond" w:hAnsi="Garamond"/>
          <w:sz w:val="24"/>
          <w:szCs w:val="24"/>
        </w:rPr>
        <w:t xml:space="preserve">CoE </w:t>
      </w:r>
      <w:r w:rsidR="00810A72" w:rsidRPr="00945F21">
        <w:rPr>
          <w:rFonts w:ascii="Garamond" w:hAnsi="Garamond"/>
          <w:sz w:val="24"/>
          <w:szCs w:val="24"/>
        </w:rPr>
        <w:t>should be invoked</w:t>
      </w:r>
      <w:r w:rsidR="000442D8" w:rsidRPr="00945F21">
        <w:rPr>
          <w:rFonts w:ascii="Garamond" w:hAnsi="Garamond"/>
          <w:sz w:val="24"/>
          <w:szCs w:val="24"/>
        </w:rPr>
        <w:t xml:space="preserve"> in relation to </w:t>
      </w:r>
      <w:r w:rsidR="007A42F6">
        <w:rPr>
          <w:rFonts w:ascii="Garamond" w:hAnsi="Garamond"/>
          <w:sz w:val="24"/>
          <w:szCs w:val="24"/>
        </w:rPr>
        <w:t xml:space="preserve">the </w:t>
      </w:r>
      <w:r w:rsidR="00D13DBE">
        <w:rPr>
          <w:rFonts w:ascii="Garamond" w:hAnsi="Garamond"/>
          <w:sz w:val="24"/>
          <w:szCs w:val="24"/>
        </w:rPr>
        <w:t xml:space="preserve">suspension and </w:t>
      </w:r>
      <w:r w:rsidR="000442D8" w:rsidRPr="00945F21">
        <w:rPr>
          <w:rFonts w:ascii="Garamond" w:hAnsi="Garamond"/>
          <w:sz w:val="24"/>
          <w:szCs w:val="24"/>
        </w:rPr>
        <w:t xml:space="preserve">expulsion of its </w:t>
      </w:r>
      <w:r w:rsidR="00AA264D">
        <w:rPr>
          <w:rFonts w:ascii="Garamond" w:hAnsi="Garamond"/>
          <w:sz w:val="24"/>
          <w:szCs w:val="24"/>
        </w:rPr>
        <w:t>member state</w:t>
      </w:r>
      <w:r w:rsidR="000442D8" w:rsidRPr="00945F21">
        <w:rPr>
          <w:rFonts w:ascii="Garamond" w:hAnsi="Garamond"/>
          <w:sz w:val="24"/>
          <w:szCs w:val="24"/>
        </w:rPr>
        <w:t xml:space="preserve">s for failing to comply with </w:t>
      </w:r>
      <w:r w:rsidR="007A42F6">
        <w:rPr>
          <w:rFonts w:ascii="Garamond" w:hAnsi="Garamond"/>
          <w:sz w:val="24"/>
          <w:szCs w:val="24"/>
        </w:rPr>
        <w:t>their</w:t>
      </w:r>
      <w:r w:rsidR="000442D8" w:rsidRPr="00945F21">
        <w:rPr>
          <w:rFonts w:ascii="Garamond" w:hAnsi="Garamond"/>
          <w:sz w:val="24"/>
          <w:szCs w:val="24"/>
        </w:rPr>
        <w:t xml:space="preserve"> obligation</w:t>
      </w:r>
      <w:r w:rsidR="00C51D8E">
        <w:rPr>
          <w:rFonts w:ascii="Garamond" w:hAnsi="Garamond"/>
          <w:sz w:val="24"/>
          <w:szCs w:val="24"/>
        </w:rPr>
        <w:t>s</w:t>
      </w:r>
      <w:r w:rsidR="000442D8" w:rsidRPr="00945F21">
        <w:rPr>
          <w:rFonts w:ascii="Garamond" w:hAnsi="Garamond"/>
          <w:sz w:val="24"/>
          <w:szCs w:val="24"/>
        </w:rPr>
        <w:t xml:space="preserve"> under the Statute. </w:t>
      </w:r>
      <w:r w:rsidR="00C51D8E">
        <w:rPr>
          <w:rFonts w:ascii="Garamond" w:hAnsi="Garamond"/>
          <w:sz w:val="24"/>
          <w:szCs w:val="24"/>
        </w:rPr>
        <w:t>An important</w:t>
      </w:r>
      <w:r w:rsidR="002E390C">
        <w:rPr>
          <w:rFonts w:ascii="Garamond" w:hAnsi="Garamond"/>
          <w:sz w:val="24"/>
          <w:szCs w:val="24"/>
        </w:rPr>
        <w:t xml:space="preserve"> decision such as suspension and expulsion is </w:t>
      </w:r>
      <w:r w:rsidR="00C72581">
        <w:rPr>
          <w:rFonts w:ascii="Garamond" w:hAnsi="Garamond"/>
          <w:sz w:val="24"/>
          <w:szCs w:val="24"/>
        </w:rPr>
        <w:t>burdened</w:t>
      </w:r>
      <w:r w:rsidR="002E390C">
        <w:rPr>
          <w:rFonts w:ascii="Garamond" w:hAnsi="Garamond"/>
          <w:sz w:val="24"/>
          <w:szCs w:val="24"/>
        </w:rPr>
        <w:t xml:space="preserve"> with </w:t>
      </w:r>
      <w:r w:rsidR="00C72581">
        <w:rPr>
          <w:rFonts w:ascii="Garamond" w:hAnsi="Garamond"/>
          <w:sz w:val="24"/>
          <w:szCs w:val="24"/>
        </w:rPr>
        <w:t xml:space="preserve">multiple </w:t>
      </w:r>
      <w:r w:rsidR="002E390C">
        <w:rPr>
          <w:rFonts w:ascii="Garamond" w:hAnsi="Garamond"/>
          <w:sz w:val="24"/>
          <w:szCs w:val="24"/>
        </w:rPr>
        <w:t xml:space="preserve">arguments for and against it. This article suggests </w:t>
      </w:r>
      <w:r w:rsidR="00BD7024">
        <w:rPr>
          <w:rFonts w:ascii="Garamond" w:hAnsi="Garamond"/>
          <w:sz w:val="24"/>
          <w:szCs w:val="24"/>
        </w:rPr>
        <w:t>a</w:t>
      </w:r>
      <w:r w:rsidR="00A20204">
        <w:rPr>
          <w:rFonts w:ascii="Garamond" w:hAnsi="Garamond"/>
          <w:sz w:val="24"/>
          <w:szCs w:val="24"/>
        </w:rPr>
        <w:t xml:space="preserve"> framework that would assist the decision-makers </w:t>
      </w:r>
      <w:r w:rsidR="00C51D8E">
        <w:rPr>
          <w:rFonts w:ascii="Garamond" w:hAnsi="Garamond"/>
          <w:sz w:val="24"/>
          <w:szCs w:val="24"/>
        </w:rPr>
        <w:t>in</w:t>
      </w:r>
      <w:r w:rsidR="002E390C">
        <w:rPr>
          <w:rFonts w:ascii="Garamond" w:hAnsi="Garamond"/>
          <w:sz w:val="24"/>
          <w:szCs w:val="24"/>
        </w:rPr>
        <w:t xml:space="preserve"> systematis</w:t>
      </w:r>
      <w:r w:rsidR="00C51D8E">
        <w:rPr>
          <w:rFonts w:ascii="Garamond" w:hAnsi="Garamond"/>
          <w:sz w:val="24"/>
          <w:szCs w:val="24"/>
        </w:rPr>
        <w:t>ing</w:t>
      </w:r>
      <w:r w:rsidR="002E390C">
        <w:rPr>
          <w:rFonts w:ascii="Garamond" w:hAnsi="Garamond"/>
          <w:sz w:val="24"/>
          <w:szCs w:val="24"/>
        </w:rPr>
        <w:t xml:space="preserve"> and weigh</w:t>
      </w:r>
      <w:r w:rsidR="00C51D8E">
        <w:rPr>
          <w:rFonts w:ascii="Garamond" w:hAnsi="Garamond"/>
          <w:sz w:val="24"/>
          <w:szCs w:val="24"/>
        </w:rPr>
        <w:t>ing</w:t>
      </w:r>
      <w:r w:rsidR="00A20204">
        <w:rPr>
          <w:rFonts w:ascii="Garamond" w:hAnsi="Garamond"/>
          <w:sz w:val="24"/>
          <w:szCs w:val="24"/>
        </w:rPr>
        <w:t xml:space="preserve"> the competing arguments</w:t>
      </w:r>
      <w:r w:rsidR="002E390C">
        <w:rPr>
          <w:rFonts w:ascii="Garamond" w:hAnsi="Garamond"/>
          <w:sz w:val="24"/>
          <w:szCs w:val="24"/>
        </w:rPr>
        <w:t xml:space="preserve">. </w:t>
      </w:r>
    </w:p>
    <w:p w14:paraId="05D2F042" w14:textId="4AA0C3EE" w:rsidR="007B21BA" w:rsidRPr="00945F21" w:rsidRDefault="007A42F6" w:rsidP="00C276F6">
      <w:pPr>
        <w:jc w:val="both"/>
        <w:rPr>
          <w:rFonts w:ascii="Garamond" w:hAnsi="Garamond"/>
          <w:sz w:val="24"/>
          <w:szCs w:val="24"/>
        </w:rPr>
      </w:pPr>
      <w:r>
        <w:rPr>
          <w:rFonts w:ascii="Garamond" w:hAnsi="Garamond"/>
          <w:sz w:val="24"/>
          <w:szCs w:val="24"/>
        </w:rPr>
        <w:t>The analysis is based</w:t>
      </w:r>
      <w:r w:rsidR="007B21BA">
        <w:rPr>
          <w:rFonts w:ascii="Garamond" w:hAnsi="Garamond"/>
          <w:sz w:val="24"/>
          <w:szCs w:val="24"/>
        </w:rPr>
        <w:t xml:space="preserve"> on the experience of other international organisations in </w:t>
      </w:r>
      <w:r w:rsidR="007C592C">
        <w:rPr>
          <w:rFonts w:ascii="Garamond" w:hAnsi="Garamond"/>
          <w:sz w:val="24"/>
          <w:szCs w:val="24"/>
        </w:rPr>
        <w:t xml:space="preserve">their </w:t>
      </w:r>
      <w:r w:rsidR="007B21BA">
        <w:rPr>
          <w:rFonts w:ascii="Garamond" w:hAnsi="Garamond"/>
          <w:sz w:val="24"/>
          <w:szCs w:val="24"/>
        </w:rPr>
        <w:t>application of the sanction</w:t>
      </w:r>
      <w:r w:rsidR="007C592C">
        <w:rPr>
          <w:rFonts w:ascii="Garamond" w:hAnsi="Garamond"/>
          <w:sz w:val="24"/>
          <w:szCs w:val="24"/>
        </w:rPr>
        <w:t>s</w:t>
      </w:r>
      <w:r w:rsidR="007B21BA">
        <w:rPr>
          <w:rFonts w:ascii="Garamond" w:hAnsi="Garamond"/>
          <w:sz w:val="24"/>
          <w:szCs w:val="24"/>
        </w:rPr>
        <w:t xml:space="preserve"> </w:t>
      </w:r>
      <w:r w:rsidR="007C592C">
        <w:rPr>
          <w:rFonts w:ascii="Garamond" w:hAnsi="Garamond"/>
          <w:sz w:val="24"/>
          <w:szCs w:val="24"/>
        </w:rPr>
        <w:t xml:space="preserve">of </w:t>
      </w:r>
      <w:r w:rsidR="007B21BA">
        <w:rPr>
          <w:rFonts w:ascii="Garamond" w:hAnsi="Garamond"/>
          <w:sz w:val="24"/>
          <w:szCs w:val="24"/>
        </w:rPr>
        <w:t xml:space="preserve">suspension and expulsion. </w:t>
      </w:r>
      <w:r w:rsidR="007C592C">
        <w:rPr>
          <w:rFonts w:ascii="Garamond" w:hAnsi="Garamond"/>
          <w:sz w:val="24"/>
          <w:szCs w:val="24"/>
        </w:rPr>
        <w:t>It is notable that a consensus does</w:t>
      </w:r>
      <w:r w:rsidR="00182ADE">
        <w:rPr>
          <w:rFonts w:ascii="Garamond" w:hAnsi="Garamond"/>
          <w:sz w:val="24"/>
          <w:szCs w:val="24"/>
        </w:rPr>
        <w:t xml:space="preserve"> </w:t>
      </w:r>
      <w:r w:rsidR="007C592C">
        <w:rPr>
          <w:rFonts w:ascii="Garamond" w:hAnsi="Garamond"/>
          <w:sz w:val="24"/>
          <w:szCs w:val="24"/>
        </w:rPr>
        <w:t>n</w:t>
      </w:r>
      <w:r w:rsidR="00182ADE">
        <w:rPr>
          <w:rFonts w:ascii="Garamond" w:hAnsi="Garamond"/>
          <w:sz w:val="24"/>
          <w:szCs w:val="24"/>
        </w:rPr>
        <w:t>o</w:t>
      </w:r>
      <w:r w:rsidR="007C592C">
        <w:rPr>
          <w:rFonts w:ascii="Garamond" w:hAnsi="Garamond"/>
          <w:sz w:val="24"/>
          <w:szCs w:val="24"/>
        </w:rPr>
        <w:t>t exist on the question of the deployment of sanctions in any circumstance.</w:t>
      </w:r>
      <w:r w:rsidR="00A20204">
        <w:rPr>
          <w:rFonts w:ascii="Garamond" w:hAnsi="Garamond"/>
          <w:sz w:val="24"/>
          <w:szCs w:val="24"/>
        </w:rPr>
        <w:t xml:space="preserve"> </w:t>
      </w:r>
      <w:r w:rsidR="007B21BA">
        <w:rPr>
          <w:rFonts w:ascii="Garamond" w:hAnsi="Garamond"/>
          <w:sz w:val="24"/>
          <w:szCs w:val="24"/>
        </w:rPr>
        <w:t>Some commentators argue that expulsion is not a good idea because it cuts all the ties between the state in question and the organisation</w:t>
      </w:r>
      <w:r w:rsidR="007C592C">
        <w:rPr>
          <w:rFonts w:ascii="Garamond" w:hAnsi="Garamond"/>
          <w:sz w:val="24"/>
          <w:szCs w:val="24"/>
        </w:rPr>
        <w:t>, which prevents the organisation influencing the state.</w:t>
      </w:r>
      <w:bookmarkStart w:id="0" w:name="_Ref536173308"/>
      <w:r w:rsidR="007B21BA">
        <w:rPr>
          <w:rStyle w:val="FootnoteReference"/>
          <w:rFonts w:ascii="Garamond" w:hAnsi="Garamond"/>
          <w:sz w:val="24"/>
          <w:szCs w:val="24"/>
        </w:rPr>
        <w:footnoteReference w:id="4"/>
      </w:r>
      <w:bookmarkEnd w:id="0"/>
      <w:r w:rsidR="007B21BA">
        <w:rPr>
          <w:rFonts w:ascii="Garamond" w:hAnsi="Garamond"/>
          <w:sz w:val="24"/>
          <w:szCs w:val="24"/>
        </w:rPr>
        <w:t xml:space="preserve"> </w:t>
      </w:r>
      <w:r w:rsidR="006A0DFE">
        <w:rPr>
          <w:rFonts w:ascii="Garamond" w:hAnsi="Garamond"/>
          <w:sz w:val="24"/>
          <w:szCs w:val="24"/>
        </w:rPr>
        <w:t xml:space="preserve">However, this argument does not </w:t>
      </w:r>
      <w:r w:rsidR="00C51D8E">
        <w:rPr>
          <w:rFonts w:ascii="Garamond" w:hAnsi="Garamond"/>
          <w:sz w:val="24"/>
          <w:szCs w:val="24"/>
        </w:rPr>
        <w:t xml:space="preserve">apply </w:t>
      </w:r>
      <w:r w:rsidR="00972717">
        <w:rPr>
          <w:rFonts w:ascii="Garamond" w:hAnsi="Garamond"/>
          <w:sz w:val="24"/>
          <w:szCs w:val="24"/>
        </w:rPr>
        <w:t xml:space="preserve">equiponderantly </w:t>
      </w:r>
      <w:r w:rsidR="00C51D8E">
        <w:rPr>
          <w:rFonts w:ascii="Garamond" w:hAnsi="Garamond"/>
          <w:sz w:val="24"/>
          <w:szCs w:val="24"/>
        </w:rPr>
        <w:t>to every international organisation</w:t>
      </w:r>
      <w:r w:rsidR="006A0DFE">
        <w:rPr>
          <w:rFonts w:ascii="Garamond" w:hAnsi="Garamond"/>
          <w:sz w:val="24"/>
          <w:szCs w:val="24"/>
        </w:rPr>
        <w:t xml:space="preserve">. The </w:t>
      </w:r>
      <w:r w:rsidR="0026418C">
        <w:rPr>
          <w:rFonts w:ascii="Garamond" w:hAnsi="Garamond"/>
          <w:sz w:val="24"/>
          <w:szCs w:val="24"/>
        </w:rPr>
        <w:t xml:space="preserve">CoE </w:t>
      </w:r>
      <w:r w:rsidR="006A0DFE">
        <w:rPr>
          <w:rFonts w:ascii="Garamond" w:hAnsi="Garamond"/>
          <w:sz w:val="24"/>
          <w:szCs w:val="24"/>
        </w:rPr>
        <w:t xml:space="preserve">is a regional organisation that </w:t>
      </w:r>
      <w:r w:rsidR="000542D0">
        <w:rPr>
          <w:rFonts w:ascii="Garamond" w:hAnsi="Garamond"/>
          <w:sz w:val="24"/>
          <w:szCs w:val="24"/>
        </w:rPr>
        <w:t xml:space="preserve">is </w:t>
      </w:r>
      <w:r w:rsidR="006A0DFE">
        <w:rPr>
          <w:rFonts w:ascii="Garamond" w:hAnsi="Garamond"/>
          <w:sz w:val="24"/>
          <w:szCs w:val="24"/>
        </w:rPr>
        <w:t xml:space="preserve">designed to promote human rights, democracy and </w:t>
      </w:r>
      <w:r w:rsidR="000542D0">
        <w:rPr>
          <w:rFonts w:ascii="Garamond" w:hAnsi="Garamond"/>
          <w:sz w:val="24"/>
          <w:szCs w:val="24"/>
        </w:rPr>
        <w:t xml:space="preserve">the </w:t>
      </w:r>
      <w:r w:rsidR="006A0DFE">
        <w:rPr>
          <w:rFonts w:ascii="Garamond" w:hAnsi="Garamond"/>
          <w:sz w:val="24"/>
          <w:szCs w:val="24"/>
        </w:rPr>
        <w:t xml:space="preserve">rule of law. </w:t>
      </w:r>
      <w:r w:rsidR="00C01B9A">
        <w:rPr>
          <w:rFonts w:ascii="Garamond" w:hAnsi="Garamond"/>
          <w:sz w:val="24"/>
          <w:szCs w:val="24"/>
        </w:rPr>
        <w:t>If one of the members of this organisation drastically violates these principles it undermines the credibility of the whole organisation</w:t>
      </w:r>
      <w:r w:rsidR="00972717">
        <w:rPr>
          <w:rFonts w:ascii="Garamond" w:hAnsi="Garamond"/>
          <w:sz w:val="24"/>
          <w:szCs w:val="24"/>
        </w:rPr>
        <w:t>,</w:t>
      </w:r>
      <w:r w:rsidR="00C51D8E">
        <w:rPr>
          <w:rFonts w:ascii="Garamond" w:hAnsi="Garamond"/>
          <w:sz w:val="24"/>
          <w:szCs w:val="24"/>
        </w:rPr>
        <w:t xml:space="preserve"> making it unable to fulfil its statutory functions</w:t>
      </w:r>
      <w:r w:rsidR="00C01B9A">
        <w:rPr>
          <w:rFonts w:ascii="Garamond" w:hAnsi="Garamond"/>
          <w:sz w:val="24"/>
          <w:szCs w:val="24"/>
        </w:rPr>
        <w:t xml:space="preserve">. </w:t>
      </w:r>
      <w:r w:rsidR="00BD7024">
        <w:rPr>
          <w:rFonts w:ascii="Garamond" w:hAnsi="Garamond"/>
          <w:sz w:val="24"/>
          <w:szCs w:val="24"/>
        </w:rPr>
        <w:t>It would be akin to the</w:t>
      </w:r>
      <w:r w:rsidR="00C01B9A">
        <w:rPr>
          <w:rFonts w:ascii="Garamond" w:hAnsi="Garamond"/>
          <w:sz w:val="24"/>
          <w:szCs w:val="24"/>
        </w:rPr>
        <w:t xml:space="preserve"> </w:t>
      </w:r>
      <w:r w:rsidR="00C01B9A" w:rsidRPr="00C01B9A">
        <w:rPr>
          <w:rFonts w:ascii="Garamond" w:hAnsi="Garamond"/>
          <w:sz w:val="24"/>
          <w:szCs w:val="24"/>
        </w:rPr>
        <w:t>Ku Klux Klan</w:t>
      </w:r>
      <w:r w:rsidR="00C01B9A">
        <w:rPr>
          <w:rFonts w:ascii="Garamond" w:hAnsi="Garamond"/>
          <w:sz w:val="24"/>
          <w:szCs w:val="24"/>
        </w:rPr>
        <w:t xml:space="preserve"> </w:t>
      </w:r>
      <w:r w:rsidR="00D3747F">
        <w:rPr>
          <w:rFonts w:ascii="Garamond" w:hAnsi="Garamond"/>
          <w:sz w:val="24"/>
          <w:szCs w:val="24"/>
        </w:rPr>
        <w:t>attempting to joi</w:t>
      </w:r>
      <w:r w:rsidR="00BD7024">
        <w:rPr>
          <w:rFonts w:ascii="Garamond" w:hAnsi="Garamond"/>
          <w:sz w:val="24"/>
          <w:szCs w:val="24"/>
        </w:rPr>
        <w:t>n</w:t>
      </w:r>
      <w:r w:rsidR="00D3747F">
        <w:rPr>
          <w:rFonts w:ascii="Garamond" w:hAnsi="Garamond"/>
          <w:sz w:val="24"/>
          <w:szCs w:val="24"/>
        </w:rPr>
        <w:t xml:space="preserve"> the National Association for the Advancement of Coloured People. </w:t>
      </w:r>
      <w:r w:rsidR="004D3C26">
        <w:rPr>
          <w:rFonts w:ascii="Garamond" w:hAnsi="Garamond"/>
          <w:sz w:val="24"/>
          <w:szCs w:val="24"/>
        </w:rPr>
        <w:t xml:space="preserve">Therefore, this article </w:t>
      </w:r>
      <w:r w:rsidR="00C51D8E">
        <w:rPr>
          <w:rFonts w:ascii="Garamond" w:hAnsi="Garamond"/>
          <w:sz w:val="24"/>
          <w:szCs w:val="24"/>
        </w:rPr>
        <w:t>bases</w:t>
      </w:r>
      <w:r w:rsidR="004D3C26">
        <w:rPr>
          <w:rFonts w:ascii="Garamond" w:hAnsi="Garamond"/>
          <w:sz w:val="24"/>
          <w:szCs w:val="24"/>
        </w:rPr>
        <w:t xml:space="preserve"> its arguments on the experience of international organisations but </w:t>
      </w:r>
      <w:r w:rsidR="00D3747F">
        <w:rPr>
          <w:rFonts w:ascii="Garamond" w:hAnsi="Garamond"/>
          <w:sz w:val="24"/>
          <w:szCs w:val="24"/>
        </w:rPr>
        <w:t xml:space="preserve">pays particular attention to </w:t>
      </w:r>
      <w:r w:rsidR="004D3C26">
        <w:rPr>
          <w:rFonts w:ascii="Garamond" w:hAnsi="Garamond"/>
          <w:sz w:val="24"/>
          <w:szCs w:val="24"/>
        </w:rPr>
        <w:t xml:space="preserve">the role and the function of the </w:t>
      </w:r>
      <w:r w:rsidR="0026418C">
        <w:rPr>
          <w:rFonts w:ascii="Garamond" w:hAnsi="Garamond"/>
          <w:sz w:val="24"/>
          <w:szCs w:val="24"/>
        </w:rPr>
        <w:t>CoE</w:t>
      </w:r>
      <w:r w:rsidR="004D3C26">
        <w:rPr>
          <w:rFonts w:ascii="Garamond" w:hAnsi="Garamond"/>
          <w:sz w:val="24"/>
          <w:szCs w:val="24"/>
        </w:rPr>
        <w:t>.</w:t>
      </w:r>
      <w:r w:rsidR="00A20204">
        <w:rPr>
          <w:rFonts w:ascii="Garamond" w:hAnsi="Garamond"/>
          <w:sz w:val="24"/>
          <w:szCs w:val="24"/>
        </w:rPr>
        <w:t xml:space="preserve"> The</w:t>
      </w:r>
      <w:r w:rsidR="00C51D8E">
        <w:rPr>
          <w:rFonts w:ascii="Garamond" w:hAnsi="Garamond"/>
          <w:sz w:val="24"/>
          <w:szCs w:val="24"/>
        </w:rPr>
        <w:t xml:space="preserve"> arguments</w:t>
      </w:r>
      <w:r w:rsidR="00A20204">
        <w:rPr>
          <w:rFonts w:ascii="Garamond" w:hAnsi="Garamond"/>
          <w:sz w:val="24"/>
          <w:szCs w:val="24"/>
        </w:rPr>
        <w:t xml:space="preserve"> </w:t>
      </w:r>
      <w:r w:rsidR="00D3747F">
        <w:rPr>
          <w:rFonts w:ascii="Garamond" w:hAnsi="Garamond"/>
          <w:sz w:val="24"/>
          <w:szCs w:val="24"/>
        </w:rPr>
        <w:t xml:space="preserve">that are advanced here are therefore more appropriately directed towards equivalent regional human rights organisations in future cases. </w:t>
      </w:r>
    </w:p>
    <w:p w14:paraId="2296E20C" w14:textId="38AAC835" w:rsidR="003F1AB4" w:rsidRPr="00945F21" w:rsidRDefault="00845A28" w:rsidP="00C276F6">
      <w:pPr>
        <w:jc w:val="both"/>
        <w:rPr>
          <w:rFonts w:ascii="Garamond" w:hAnsi="Garamond"/>
          <w:sz w:val="24"/>
          <w:szCs w:val="24"/>
        </w:rPr>
      </w:pPr>
      <w:r>
        <w:rPr>
          <w:rFonts w:ascii="Garamond" w:hAnsi="Garamond"/>
          <w:sz w:val="24"/>
          <w:szCs w:val="24"/>
        </w:rPr>
        <w:t xml:space="preserve">In this </w:t>
      </w:r>
      <w:r w:rsidR="00BD7024">
        <w:rPr>
          <w:rFonts w:ascii="Garamond" w:hAnsi="Garamond"/>
          <w:sz w:val="24"/>
          <w:szCs w:val="24"/>
        </w:rPr>
        <w:t>article</w:t>
      </w:r>
      <w:r>
        <w:rPr>
          <w:rFonts w:ascii="Garamond" w:hAnsi="Garamond"/>
          <w:sz w:val="24"/>
          <w:szCs w:val="24"/>
        </w:rPr>
        <w:t xml:space="preserve"> we examine</w:t>
      </w:r>
      <w:r w:rsidR="000A3EE8" w:rsidRPr="00165DFB">
        <w:rPr>
          <w:rFonts w:ascii="Garamond" w:hAnsi="Garamond"/>
          <w:sz w:val="24"/>
          <w:szCs w:val="24"/>
        </w:rPr>
        <w:t xml:space="preserve"> the behaviour of states</w:t>
      </w:r>
      <w:r w:rsidR="00D3747F">
        <w:rPr>
          <w:rFonts w:ascii="Garamond" w:hAnsi="Garamond"/>
          <w:sz w:val="24"/>
          <w:szCs w:val="24"/>
        </w:rPr>
        <w:t>,</w:t>
      </w:r>
      <w:r w:rsidR="000A3EE8" w:rsidRPr="00165DFB">
        <w:rPr>
          <w:rFonts w:ascii="Garamond" w:hAnsi="Garamond"/>
          <w:sz w:val="24"/>
          <w:szCs w:val="24"/>
        </w:rPr>
        <w:t xml:space="preserve"> particularly behaviour t</w:t>
      </w:r>
      <w:r w:rsidR="00955F7D" w:rsidRPr="00165DFB">
        <w:rPr>
          <w:rFonts w:ascii="Garamond" w:hAnsi="Garamond"/>
          <w:sz w:val="24"/>
          <w:szCs w:val="24"/>
        </w:rPr>
        <w:t>hat</w:t>
      </w:r>
      <w:r w:rsidR="00955F7D" w:rsidRPr="00945F21">
        <w:rPr>
          <w:rFonts w:ascii="Garamond" w:hAnsi="Garamond"/>
          <w:sz w:val="24"/>
          <w:szCs w:val="24"/>
        </w:rPr>
        <w:t xml:space="preserve"> show</w:t>
      </w:r>
      <w:r w:rsidR="000A3EE8" w:rsidRPr="00945F21">
        <w:rPr>
          <w:rFonts w:ascii="Garamond" w:hAnsi="Garamond"/>
          <w:sz w:val="24"/>
          <w:szCs w:val="24"/>
        </w:rPr>
        <w:t>s a</w:t>
      </w:r>
      <w:r w:rsidR="00955F7D" w:rsidRPr="00945F21">
        <w:rPr>
          <w:rFonts w:ascii="Garamond" w:hAnsi="Garamond"/>
          <w:sz w:val="24"/>
          <w:szCs w:val="24"/>
        </w:rPr>
        <w:t xml:space="preserve"> persistent and clear disregard </w:t>
      </w:r>
      <w:r w:rsidR="000A3EE8" w:rsidRPr="00945F21">
        <w:rPr>
          <w:rFonts w:ascii="Garamond" w:hAnsi="Garamond"/>
          <w:sz w:val="24"/>
          <w:szCs w:val="24"/>
        </w:rPr>
        <w:t>of</w:t>
      </w:r>
      <w:r w:rsidR="00955F7D" w:rsidRPr="00945F21">
        <w:rPr>
          <w:rFonts w:ascii="Garamond" w:hAnsi="Garamond"/>
          <w:sz w:val="24"/>
          <w:szCs w:val="24"/>
        </w:rPr>
        <w:t xml:space="preserve"> the values and aims of the </w:t>
      </w:r>
      <w:r w:rsidR="00A20204">
        <w:rPr>
          <w:rFonts w:ascii="Garamond" w:hAnsi="Garamond"/>
          <w:sz w:val="24"/>
          <w:szCs w:val="24"/>
        </w:rPr>
        <w:t>CoE</w:t>
      </w:r>
      <w:r w:rsidR="00955F7D" w:rsidRPr="00945F21">
        <w:rPr>
          <w:rFonts w:ascii="Garamond" w:hAnsi="Garamond"/>
          <w:sz w:val="24"/>
          <w:szCs w:val="24"/>
        </w:rPr>
        <w:t xml:space="preserve">. </w:t>
      </w:r>
      <w:r w:rsidR="00A1548C">
        <w:rPr>
          <w:rFonts w:ascii="Garamond" w:hAnsi="Garamond"/>
          <w:sz w:val="24"/>
          <w:szCs w:val="24"/>
        </w:rPr>
        <w:t>W</w:t>
      </w:r>
      <w:r w:rsidR="00955F7D" w:rsidRPr="00945F21">
        <w:rPr>
          <w:rFonts w:ascii="Garamond" w:hAnsi="Garamond"/>
          <w:sz w:val="24"/>
          <w:szCs w:val="24"/>
        </w:rPr>
        <w:t xml:space="preserve">e </w:t>
      </w:r>
      <w:r w:rsidR="00BD7024">
        <w:rPr>
          <w:rFonts w:ascii="Garamond" w:hAnsi="Garamond"/>
          <w:sz w:val="24"/>
          <w:szCs w:val="24"/>
        </w:rPr>
        <w:t>consider the examples of</w:t>
      </w:r>
      <w:r w:rsidR="00955F7D" w:rsidRPr="00945F21">
        <w:rPr>
          <w:rFonts w:ascii="Garamond" w:hAnsi="Garamond"/>
          <w:sz w:val="24"/>
          <w:szCs w:val="24"/>
        </w:rPr>
        <w:t xml:space="preserve"> Russia, Turkey and Azerbaijan but this list is not exhaustive. </w:t>
      </w:r>
      <w:r w:rsidR="000A3EE8" w:rsidRPr="00945F21">
        <w:rPr>
          <w:rFonts w:ascii="Garamond" w:hAnsi="Garamond"/>
          <w:sz w:val="24"/>
          <w:szCs w:val="24"/>
        </w:rPr>
        <w:t xml:space="preserve">The behaviour of </w:t>
      </w:r>
      <w:r w:rsidR="00955F7D" w:rsidRPr="00945F21">
        <w:rPr>
          <w:rFonts w:ascii="Garamond" w:hAnsi="Garamond"/>
          <w:sz w:val="24"/>
          <w:szCs w:val="24"/>
        </w:rPr>
        <w:t xml:space="preserve">Russia </w:t>
      </w:r>
      <w:r w:rsidR="000A3EE8" w:rsidRPr="00945F21">
        <w:rPr>
          <w:rFonts w:ascii="Garamond" w:hAnsi="Garamond"/>
          <w:sz w:val="24"/>
          <w:szCs w:val="24"/>
        </w:rPr>
        <w:t>that we are concerned with is</w:t>
      </w:r>
      <w:r w:rsidR="00955F7D" w:rsidRPr="00945F21">
        <w:rPr>
          <w:rFonts w:ascii="Garamond" w:hAnsi="Garamond"/>
          <w:sz w:val="24"/>
          <w:szCs w:val="24"/>
        </w:rPr>
        <w:t xml:space="preserve"> it</w:t>
      </w:r>
      <w:r w:rsidR="000A3EE8" w:rsidRPr="00945F21">
        <w:rPr>
          <w:rFonts w:ascii="Garamond" w:hAnsi="Garamond"/>
          <w:sz w:val="24"/>
          <w:szCs w:val="24"/>
        </w:rPr>
        <w:t>s</w:t>
      </w:r>
      <w:r w:rsidR="00955F7D" w:rsidRPr="00945F21">
        <w:rPr>
          <w:rFonts w:ascii="Garamond" w:hAnsi="Garamond"/>
          <w:sz w:val="24"/>
          <w:szCs w:val="24"/>
        </w:rPr>
        <w:t xml:space="preserve"> occup</w:t>
      </w:r>
      <w:r w:rsidR="000A3EE8" w:rsidRPr="00945F21">
        <w:rPr>
          <w:rFonts w:ascii="Garamond" w:hAnsi="Garamond"/>
          <w:sz w:val="24"/>
          <w:szCs w:val="24"/>
        </w:rPr>
        <w:t>ation of</w:t>
      </w:r>
      <w:r w:rsidR="00955F7D" w:rsidRPr="00945F21">
        <w:rPr>
          <w:rFonts w:ascii="Garamond" w:hAnsi="Garamond"/>
          <w:sz w:val="24"/>
          <w:szCs w:val="24"/>
        </w:rPr>
        <w:t xml:space="preserve"> a </w:t>
      </w:r>
      <w:r w:rsidR="001F623E" w:rsidRPr="00945F21">
        <w:rPr>
          <w:rFonts w:ascii="Garamond" w:hAnsi="Garamond"/>
          <w:sz w:val="24"/>
          <w:szCs w:val="24"/>
        </w:rPr>
        <w:t xml:space="preserve">part of the territory of another </w:t>
      </w:r>
      <w:r w:rsidR="00AA264D">
        <w:rPr>
          <w:rFonts w:ascii="Garamond" w:hAnsi="Garamond"/>
          <w:sz w:val="24"/>
          <w:szCs w:val="24"/>
        </w:rPr>
        <w:t>member state</w:t>
      </w:r>
      <w:r w:rsidR="001F623E" w:rsidRPr="00945F21">
        <w:rPr>
          <w:rFonts w:ascii="Garamond" w:hAnsi="Garamond"/>
          <w:sz w:val="24"/>
          <w:szCs w:val="24"/>
        </w:rPr>
        <w:t xml:space="preserve"> to the </w:t>
      </w:r>
      <w:r w:rsidR="00A20204">
        <w:rPr>
          <w:rFonts w:ascii="Garamond" w:hAnsi="Garamond"/>
          <w:sz w:val="24"/>
          <w:szCs w:val="24"/>
        </w:rPr>
        <w:t>CoE</w:t>
      </w:r>
      <w:r w:rsidR="001F623E" w:rsidRPr="00945F21">
        <w:rPr>
          <w:rFonts w:ascii="Garamond" w:hAnsi="Garamond"/>
          <w:sz w:val="24"/>
          <w:szCs w:val="24"/>
        </w:rPr>
        <w:t>, it</w:t>
      </w:r>
      <w:r w:rsidR="000A3EE8" w:rsidRPr="00945F21">
        <w:rPr>
          <w:rFonts w:ascii="Garamond" w:hAnsi="Garamond"/>
          <w:sz w:val="24"/>
          <w:szCs w:val="24"/>
        </w:rPr>
        <w:t>s</w:t>
      </w:r>
      <w:r w:rsidR="001F623E" w:rsidRPr="00945F21">
        <w:rPr>
          <w:rFonts w:ascii="Garamond" w:hAnsi="Garamond"/>
          <w:sz w:val="24"/>
          <w:szCs w:val="24"/>
        </w:rPr>
        <w:t xml:space="preserve"> support</w:t>
      </w:r>
      <w:r w:rsidR="000A3EE8" w:rsidRPr="00945F21">
        <w:rPr>
          <w:rFonts w:ascii="Garamond" w:hAnsi="Garamond"/>
          <w:sz w:val="24"/>
          <w:szCs w:val="24"/>
        </w:rPr>
        <w:t xml:space="preserve"> for</w:t>
      </w:r>
      <w:r w:rsidR="001F623E" w:rsidRPr="00945F21">
        <w:rPr>
          <w:rFonts w:ascii="Garamond" w:hAnsi="Garamond"/>
          <w:sz w:val="24"/>
          <w:szCs w:val="24"/>
        </w:rPr>
        <w:t xml:space="preserve"> separatists’ movements in the region, </w:t>
      </w:r>
      <w:r w:rsidR="000A3EE8" w:rsidRPr="00945F21">
        <w:rPr>
          <w:rFonts w:ascii="Garamond" w:hAnsi="Garamond"/>
          <w:sz w:val="24"/>
          <w:szCs w:val="24"/>
        </w:rPr>
        <w:t xml:space="preserve">its </w:t>
      </w:r>
      <w:r w:rsidR="001F623E" w:rsidRPr="00945F21">
        <w:rPr>
          <w:rFonts w:ascii="Garamond" w:hAnsi="Garamond"/>
          <w:sz w:val="24"/>
          <w:szCs w:val="24"/>
        </w:rPr>
        <w:t>refus</w:t>
      </w:r>
      <w:r w:rsidR="000A3EE8" w:rsidRPr="00945F21">
        <w:rPr>
          <w:rFonts w:ascii="Garamond" w:hAnsi="Garamond"/>
          <w:sz w:val="24"/>
          <w:szCs w:val="24"/>
        </w:rPr>
        <w:t>al</w:t>
      </w:r>
      <w:r w:rsidR="001F623E" w:rsidRPr="00945F21">
        <w:rPr>
          <w:rFonts w:ascii="Garamond" w:hAnsi="Garamond"/>
          <w:sz w:val="24"/>
          <w:szCs w:val="24"/>
        </w:rPr>
        <w:t xml:space="preserve"> to collaborate with the </w:t>
      </w:r>
      <w:r w:rsidR="0026418C">
        <w:rPr>
          <w:rFonts w:ascii="Garamond" w:hAnsi="Garamond"/>
          <w:sz w:val="24"/>
          <w:szCs w:val="24"/>
        </w:rPr>
        <w:t xml:space="preserve">CoE </w:t>
      </w:r>
      <w:r w:rsidR="001F623E" w:rsidRPr="00945F21">
        <w:rPr>
          <w:rFonts w:ascii="Garamond" w:hAnsi="Garamond"/>
          <w:sz w:val="24"/>
          <w:szCs w:val="24"/>
        </w:rPr>
        <w:t xml:space="preserve">and </w:t>
      </w:r>
      <w:r w:rsidR="000A3EE8" w:rsidRPr="00945F21">
        <w:rPr>
          <w:rFonts w:ascii="Garamond" w:hAnsi="Garamond"/>
          <w:sz w:val="24"/>
          <w:szCs w:val="24"/>
        </w:rPr>
        <w:t xml:space="preserve">its failure to comply with </w:t>
      </w:r>
      <w:r w:rsidR="001F623E" w:rsidRPr="00945F21">
        <w:rPr>
          <w:rFonts w:ascii="Garamond" w:hAnsi="Garamond"/>
          <w:sz w:val="24"/>
          <w:szCs w:val="24"/>
        </w:rPr>
        <w:t xml:space="preserve">the judgments of </w:t>
      </w:r>
      <w:r w:rsidR="003008DC" w:rsidRPr="00945F21">
        <w:rPr>
          <w:rFonts w:ascii="Garamond" w:hAnsi="Garamond"/>
          <w:sz w:val="24"/>
          <w:szCs w:val="24"/>
        </w:rPr>
        <w:t xml:space="preserve">the </w:t>
      </w:r>
      <w:r w:rsidR="001F623E" w:rsidRPr="00945F21">
        <w:rPr>
          <w:rFonts w:ascii="Garamond" w:hAnsi="Garamond"/>
          <w:sz w:val="24"/>
          <w:szCs w:val="24"/>
        </w:rPr>
        <w:t>European Court of Human Rights</w:t>
      </w:r>
      <w:r w:rsidR="003008DC" w:rsidRPr="00945F21">
        <w:rPr>
          <w:rFonts w:ascii="Garamond" w:hAnsi="Garamond"/>
          <w:sz w:val="24"/>
          <w:szCs w:val="24"/>
        </w:rPr>
        <w:t xml:space="preserve"> (ECtHR)</w:t>
      </w:r>
      <w:r w:rsidR="001F623E" w:rsidRPr="00945F21">
        <w:rPr>
          <w:rFonts w:ascii="Garamond" w:hAnsi="Garamond"/>
          <w:sz w:val="24"/>
          <w:szCs w:val="24"/>
        </w:rPr>
        <w:t>.</w:t>
      </w:r>
      <w:r w:rsidR="00C72581">
        <w:rPr>
          <w:rFonts w:ascii="Garamond" w:hAnsi="Garamond"/>
          <w:sz w:val="24"/>
          <w:szCs w:val="24"/>
        </w:rPr>
        <w:t xml:space="preserve"> </w:t>
      </w:r>
      <w:r w:rsidR="001F623E" w:rsidRPr="00945F21">
        <w:rPr>
          <w:rFonts w:ascii="Garamond" w:hAnsi="Garamond"/>
          <w:sz w:val="24"/>
          <w:szCs w:val="24"/>
        </w:rPr>
        <w:t>Turkey</w:t>
      </w:r>
      <w:r w:rsidR="000A3EE8" w:rsidRPr="00945F21">
        <w:rPr>
          <w:rFonts w:ascii="Garamond" w:hAnsi="Garamond"/>
          <w:sz w:val="24"/>
          <w:szCs w:val="24"/>
        </w:rPr>
        <w:t>’s</w:t>
      </w:r>
      <w:r w:rsidR="001F623E" w:rsidRPr="00945F21">
        <w:rPr>
          <w:rFonts w:ascii="Garamond" w:hAnsi="Garamond"/>
          <w:sz w:val="24"/>
          <w:szCs w:val="24"/>
        </w:rPr>
        <w:t xml:space="preserve"> </w:t>
      </w:r>
      <w:r w:rsidR="000A3EE8" w:rsidRPr="00945F21">
        <w:rPr>
          <w:rFonts w:ascii="Garamond" w:hAnsi="Garamond"/>
          <w:sz w:val="24"/>
          <w:szCs w:val="24"/>
        </w:rPr>
        <w:t xml:space="preserve">attempts to </w:t>
      </w:r>
      <w:r w:rsidR="001F623E" w:rsidRPr="00945F21">
        <w:rPr>
          <w:rFonts w:ascii="Garamond" w:hAnsi="Garamond"/>
          <w:sz w:val="24"/>
          <w:szCs w:val="24"/>
        </w:rPr>
        <w:t>undermin</w:t>
      </w:r>
      <w:r w:rsidR="000A3EE8" w:rsidRPr="00945F21">
        <w:rPr>
          <w:rFonts w:ascii="Garamond" w:hAnsi="Garamond"/>
          <w:sz w:val="24"/>
          <w:szCs w:val="24"/>
        </w:rPr>
        <w:t>e</w:t>
      </w:r>
      <w:r w:rsidR="001F623E" w:rsidRPr="00945F21">
        <w:rPr>
          <w:rFonts w:ascii="Garamond" w:hAnsi="Garamond"/>
          <w:sz w:val="24"/>
          <w:szCs w:val="24"/>
        </w:rPr>
        <w:t xml:space="preserve"> the legitimacy of the </w:t>
      </w:r>
      <w:r w:rsidR="003008DC" w:rsidRPr="00945F21">
        <w:rPr>
          <w:rFonts w:ascii="Garamond" w:hAnsi="Garamond"/>
          <w:sz w:val="24"/>
          <w:szCs w:val="24"/>
        </w:rPr>
        <w:t>ECtHR</w:t>
      </w:r>
      <w:r w:rsidR="001F623E" w:rsidRPr="00945F21">
        <w:rPr>
          <w:rFonts w:ascii="Garamond" w:hAnsi="Garamond"/>
          <w:sz w:val="24"/>
          <w:szCs w:val="24"/>
        </w:rPr>
        <w:t xml:space="preserve"> by </w:t>
      </w:r>
      <w:r w:rsidR="00A1548C">
        <w:rPr>
          <w:rFonts w:ascii="Garamond" w:hAnsi="Garamond"/>
          <w:sz w:val="24"/>
          <w:szCs w:val="24"/>
        </w:rPr>
        <w:t xml:space="preserve">Turkey’s </w:t>
      </w:r>
      <w:r w:rsidR="001F623E" w:rsidRPr="00945F21">
        <w:rPr>
          <w:rFonts w:ascii="Garamond" w:hAnsi="Garamond"/>
          <w:sz w:val="24"/>
          <w:szCs w:val="24"/>
        </w:rPr>
        <w:t>failure to execute its rulings</w:t>
      </w:r>
      <w:r w:rsidR="00810A72" w:rsidRPr="00945F21">
        <w:rPr>
          <w:rFonts w:ascii="Garamond" w:hAnsi="Garamond"/>
          <w:sz w:val="24"/>
          <w:szCs w:val="24"/>
        </w:rPr>
        <w:t xml:space="preserve"> and </w:t>
      </w:r>
      <w:r w:rsidR="00A1548C">
        <w:rPr>
          <w:rFonts w:ascii="Garamond" w:hAnsi="Garamond"/>
          <w:sz w:val="24"/>
          <w:szCs w:val="24"/>
        </w:rPr>
        <w:t>Turkish</w:t>
      </w:r>
      <w:r w:rsidR="00810A72" w:rsidRPr="00945F21">
        <w:rPr>
          <w:rFonts w:ascii="Garamond" w:hAnsi="Garamond"/>
          <w:sz w:val="24"/>
          <w:szCs w:val="24"/>
        </w:rPr>
        <w:t xml:space="preserve"> actions in relation to financial contributions</w:t>
      </w:r>
      <w:r w:rsidR="000A3EE8" w:rsidRPr="00945F21">
        <w:rPr>
          <w:rFonts w:ascii="Garamond" w:hAnsi="Garamond"/>
          <w:sz w:val="24"/>
          <w:szCs w:val="24"/>
        </w:rPr>
        <w:t xml:space="preserve"> are also </w:t>
      </w:r>
      <w:r w:rsidR="00A20204">
        <w:rPr>
          <w:rFonts w:ascii="Garamond" w:hAnsi="Garamond"/>
          <w:sz w:val="24"/>
          <w:szCs w:val="24"/>
        </w:rPr>
        <w:t xml:space="preserve">a </w:t>
      </w:r>
      <w:r w:rsidR="000A3EE8" w:rsidRPr="00945F21">
        <w:rPr>
          <w:rFonts w:ascii="Garamond" w:hAnsi="Garamond"/>
          <w:sz w:val="24"/>
          <w:szCs w:val="24"/>
        </w:rPr>
        <w:t>cause for concern</w:t>
      </w:r>
      <w:r w:rsidR="001F623E" w:rsidRPr="00945F21">
        <w:rPr>
          <w:rFonts w:ascii="Garamond" w:hAnsi="Garamond"/>
          <w:sz w:val="24"/>
          <w:szCs w:val="24"/>
        </w:rPr>
        <w:t xml:space="preserve">. </w:t>
      </w:r>
      <w:r w:rsidR="00A1548C">
        <w:rPr>
          <w:rFonts w:ascii="Garamond" w:hAnsi="Garamond"/>
          <w:sz w:val="24"/>
          <w:szCs w:val="24"/>
        </w:rPr>
        <w:t>We also consider the case of Azerbaijan due to t</w:t>
      </w:r>
      <w:r w:rsidR="000A3EE8" w:rsidRPr="00945F21">
        <w:rPr>
          <w:rFonts w:ascii="Garamond" w:hAnsi="Garamond"/>
          <w:sz w:val="24"/>
          <w:szCs w:val="24"/>
        </w:rPr>
        <w:t xml:space="preserve">he </w:t>
      </w:r>
      <w:r w:rsidR="001F623E" w:rsidRPr="00945F21">
        <w:rPr>
          <w:rFonts w:ascii="Garamond" w:hAnsi="Garamond"/>
          <w:sz w:val="24"/>
          <w:szCs w:val="24"/>
        </w:rPr>
        <w:t>Azerbaijan</w:t>
      </w:r>
      <w:r w:rsidR="000A3EE8" w:rsidRPr="00945F21">
        <w:rPr>
          <w:rFonts w:ascii="Garamond" w:hAnsi="Garamond"/>
          <w:sz w:val="24"/>
          <w:szCs w:val="24"/>
        </w:rPr>
        <w:t xml:space="preserve">i </w:t>
      </w:r>
      <w:r w:rsidR="00C72581" w:rsidRPr="00945F21">
        <w:rPr>
          <w:rFonts w:ascii="Garamond" w:hAnsi="Garamond"/>
          <w:sz w:val="24"/>
          <w:szCs w:val="24"/>
        </w:rPr>
        <w:t>authorities’</w:t>
      </w:r>
      <w:r w:rsidR="001F623E" w:rsidRPr="00945F21">
        <w:rPr>
          <w:rFonts w:ascii="Garamond" w:hAnsi="Garamond"/>
          <w:sz w:val="24"/>
          <w:szCs w:val="24"/>
        </w:rPr>
        <w:t xml:space="preserve"> lack of respect </w:t>
      </w:r>
      <w:r w:rsidR="000A3EE8" w:rsidRPr="00945F21">
        <w:rPr>
          <w:rFonts w:ascii="Garamond" w:hAnsi="Garamond"/>
          <w:sz w:val="24"/>
          <w:szCs w:val="24"/>
        </w:rPr>
        <w:t>for</w:t>
      </w:r>
      <w:r w:rsidR="00CE0003" w:rsidRPr="00945F21">
        <w:rPr>
          <w:rFonts w:ascii="Garamond" w:hAnsi="Garamond"/>
          <w:sz w:val="24"/>
          <w:szCs w:val="24"/>
        </w:rPr>
        <w:t xml:space="preserve"> </w:t>
      </w:r>
      <w:r w:rsidR="001936AC" w:rsidRPr="00945F21">
        <w:rPr>
          <w:rFonts w:ascii="Garamond" w:hAnsi="Garamond"/>
          <w:sz w:val="24"/>
          <w:szCs w:val="24"/>
        </w:rPr>
        <w:t xml:space="preserve">human rights, </w:t>
      </w:r>
      <w:r w:rsidR="000A3EE8" w:rsidRPr="00945F21">
        <w:rPr>
          <w:rFonts w:ascii="Garamond" w:hAnsi="Garamond"/>
          <w:sz w:val="24"/>
          <w:szCs w:val="24"/>
        </w:rPr>
        <w:t xml:space="preserve">the </w:t>
      </w:r>
      <w:r w:rsidR="001936AC" w:rsidRPr="00945F21">
        <w:rPr>
          <w:rFonts w:ascii="Garamond" w:hAnsi="Garamond"/>
          <w:sz w:val="24"/>
          <w:szCs w:val="24"/>
        </w:rPr>
        <w:t>existence of political prisoners in the country</w:t>
      </w:r>
      <w:r w:rsidR="000A3EE8" w:rsidRPr="00945F21">
        <w:rPr>
          <w:rFonts w:ascii="Garamond" w:hAnsi="Garamond"/>
          <w:sz w:val="24"/>
          <w:szCs w:val="24"/>
        </w:rPr>
        <w:t>,</w:t>
      </w:r>
      <w:r w:rsidR="001936AC" w:rsidRPr="00945F21">
        <w:rPr>
          <w:rFonts w:ascii="Garamond" w:hAnsi="Garamond"/>
          <w:sz w:val="24"/>
          <w:szCs w:val="24"/>
        </w:rPr>
        <w:t xml:space="preserve"> </w:t>
      </w:r>
      <w:r w:rsidR="00C72581">
        <w:rPr>
          <w:rFonts w:ascii="Garamond" w:hAnsi="Garamond"/>
          <w:sz w:val="24"/>
          <w:szCs w:val="24"/>
        </w:rPr>
        <w:t xml:space="preserve">accusations of corruption </w:t>
      </w:r>
      <w:r w:rsidR="001936AC" w:rsidRPr="00945F21">
        <w:rPr>
          <w:rFonts w:ascii="Garamond" w:hAnsi="Garamond"/>
          <w:sz w:val="24"/>
          <w:szCs w:val="24"/>
        </w:rPr>
        <w:t xml:space="preserve">and </w:t>
      </w:r>
      <w:r w:rsidR="000A3EE8" w:rsidRPr="00945F21">
        <w:rPr>
          <w:rFonts w:ascii="Garamond" w:hAnsi="Garamond"/>
          <w:sz w:val="24"/>
          <w:szCs w:val="24"/>
        </w:rPr>
        <w:t xml:space="preserve">the </w:t>
      </w:r>
      <w:r w:rsidR="001936AC" w:rsidRPr="00945F21">
        <w:rPr>
          <w:rFonts w:ascii="Garamond" w:hAnsi="Garamond"/>
          <w:sz w:val="24"/>
          <w:szCs w:val="24"/>
        </w:rPr>
        <w:t xml:space="preserve">failure to enforce the judgments of the </w:t>
      </w:r>
      <w:r w:rsidR="003008DC" w:rsidRPr="00945F21">
        <w:rPr>
          <w:rFonts w:ascii="Garamond" w:hAnsi="Garamond"/>
          <w:sz w:val="24"/>
          <w:szCs w:val="24"/>
        </w:rPr>
        <w:t>ECtHR</w:t>
      </w:r>
      <w:r w:rsidR="000A3EE8" w:rsidRPr="00945F21">
        <w:rPr>
          <w:rFonts w:ascii="Garamond" w:hAnsi="Garamond"/>
          <w:sz w:val="24"/>
          <w:szCs w:val="24"/>
        </w:rPr>
        <w:t>.</w:t>
      </w:r>
    </w:p>
    <w:p w14:paraId="65B765FC" w14:textId="1645BAA5" w:rsidR="00A1548C" w:rsidRDefault="00A1548C" w:rsidP="00C276F6">
      <w:pPr>
        <w:jc w:val="both"/>
        <w:rPr>
          <w:rFonts w:ascii="Garamond" w:hAnsi="Garamond"/>
          <w:sz w:val="24"/>
          <w:szCs w:val="24"/>
        </w:rPr>
      </w:pPr>
      <w:r>
        <w:rPr>
          <w:rFonts w:ascii="Garamond" w:hAnsi="Garamond"/>
          <w:sz w:val="24"/>
          <w:szCs w:val="24"/>
        </w:rPr>
        <w:t xml:space="preserve">The examples considered in this paper necessarily implicate the field of politics and international relations. There are rich literatures in these fields dealing with international organisations. We are primarily concerned with a legal analysis of the provisions relating to suspension and expulsion, but it is clear that this cannot be considered in monastic seclusion from politics and international relations. Accordingly we try to incorporate insights from these fields, where appropriate, in our </w:t>
      </w:r>
      <w:r>
        <w:rPr>
          <w:rFonts w:ascii="Garamond" w:hAnsi="Garamond"/>
          <w:sz w:val="24"/>
          <w:szCs w:val="24"/>
        </w:rPr>
        <w:lastRenderedPageBreak/>
        <w:t xml:space="preserve">analysis. The primary focus of this paper is, however, legal, and this paper outlines considerations of justification and motivation for possible decisions that might be taken by the CoE. </w:t>
      </w:r>
    </w:p>
    <w:p w14:paraId="55642CC1" w14:textId="4511E8CE" w:rsidR="00C72581" w:rsidRDefault="00C72581" w:rsidP="00C276F6">
      <w:pPr>
        <w:jc w:val="both"/>
        <w:rPr>
          <w:rFonts w:ascii="Garamond" w:hAnsi="Garamond"/>
          <w:sz w:val="24"/>
          <w:szCs w:val="24"/>
        </w:rPr>
      </w:pPr>
      <w:r>
        <w:rPr>
          <w:rFonts w:ascii="Garamond" w:hAnsi="Garamond"/>
          <w:sz w:val="24"/>
          <w:szCs w:val="24"/>
        </w:rPr>
        <w:t xml:space="preserve">This is useful because </w:t>
      </w:r>
      <w:r w:rsidR="00AA264D">
        <w:rPr>
          <w:rFonts w:ascii="Garamond" w:hAnsi="Garamond"/>
          <w:sz w:val="24"/>
          <w:szCs w:val="24"/>
        </w:rPr>
        <w:t xml:space="preserve">in the interests of legitimacy and transparency </w:t>
      </w:r>
      <w:r>
        <w:rPr>
          <w:rFonts w:ascii="Garamond" w:hAnsi="Garamond"/>
          <w:sz w:val="24"/>
          <w:szCs w:val="24"/>
        </w:rPr>
        <w:t xml:space="preserve">the Committee of Ministers of the </w:t>
      </w:r>
      <w:r w:rsidR="0026418C">
        <w:rPr>
          <w:rFonts w:ascii="Garamond" w:hAnsi="Garamond"/>
          <w:sz w:val="24"/>
          <w:szCs w:val="24"/>
        </w:rPr>
        <w:t xml:space="preserve">CoE </w:t>
      </w:r>
      <w:r>
        <w:rPr>
          <w:rFonts w:ascii="Garamond" w:hAnsi="Garamond"/>
          <w:sz w:val="24"/>
          <w:szCs w:val="24"/>
        </w:rPr>
        <w:t xml:space="preserve">and the Parliamentary Assembly of the </w:t>
      </w:r>
      <w:r w:rsidR="0026418C">
        <w:rPr>
          <w:rFonts w:ascii="Garamond" w:hAnsi="Garamond"/>
          <w:sz w:val="24"/>
          <w:szCs w:val="24"/>
        </w:rPr>
        <w:t xml:space="preserve">CoE </w:t>
      </w:r>
      <w:r>
        <w:rPr>
          <w:rFonts w:ascii="Garamond" w:hAnsi="Garamond"/>
          <w:sz w:val="24"/>
          <w:szCs w:val="24"/>
        </w:rPr>
        <w:t>(PACE)</w:t>
      </w:r>
      <w:r>
        <w:rPr>
          <w:rStyle w:val="FootnoteReference"/>
          <w:rFonts w:ascii="Garamond" w:hAnsi="Garamond"/>
          <w:sz w:val="24"/>
          <w:szCs w:val="24"/>
        </w:rPr>
        <w:footnoteReference w:id="5"/>
      </w:r>
      <w:r>
        <w:rPr>
          <w:rFonts w:ascii="Garamond" w:hAnsi="Garamond"/>
          <w:sz w:val="24"/>
          <w:szCs w:val="24"/>
        </w:rPr>
        <w:t xml:space="preserve"> will have to explain and justify their decisions to suspend and expel a particular member state. Therefore, this paper offers a comprehensive overview of the procedure and factors that can influence suspension and expulsions of members. It also argues that the decision-makers </w:t>
      </w:r>
      <w:r w:rsidR="00154CA4">
        <w:rPr>
          <w:rFonts w:ascii="Garamond" w:hAnsi="Garamond"/>
          <w:sz w:val="24"/>
          <w:szCs w:val="24"/>
        </w:rPr>
        <w:t xml:space="preserve">should </w:t>
      </w:r>
      <w:r>
        <w:rPr>
          <w:rFonts w:ascii="Garamond" w:hAnsi="Garamond"/>
          <w:sz w:val="24"/>
          <w:szCs w:val="24"/>
        </w:rPr>
        <w:t xml:space="preserve">be more eager to apply sanctions to persistent violators </w:t>
      </w:r>
      <w:r w:rsidR="00AA264D">
        <w:rPr>
          <w:rFonts w:ascii="Garamond" w:hAnsi="Garamond"/>
          <w:sz w:val="24"/>
          <w:szCs w:val="24"/>
        </w:rPr>
        <w:t xml:space="preserve">of the foundational values of the </w:t>
      </w:r>
      <w:r w:rsidR="00A20204">
        <w:rPr>
          <w:rFonts w:ascii="Garamond" w:hAnsi="Garamond"/>
          <w:sz w:val="24"/>
          <w:szCs w:val="24"/>
        </w:rPr>
        <w:t>CoE</w:t>
      </w:r>
      <w:r w:rsidR="00AA264D">
        <w:rPr>
          <w:rFonts w:ascii="Garamond" w:hAnsi="Garamond"/>
          <w:sz w:val="24"/>
          <w:szCs w:val="24"/>
        </w:rPr>
        <w:t>.</w:t>
      </w:r>
    </w:p>
    <w:p w14:paraId="611D4BA5" w14:textId="246F2392" w:rsidR="00A351A3" w:rsidRDefault="00AA264D" w:rsidP="00C276F6">
      <w:pPr>
        <w:jc w:val="both"/>
        <w:rPr>
          <w:rFonts w:ascii="Garamond" w:hAnsi="Garamond"/>
          <w:sz w:val="24"/>
          <w:szCs w:val="24"/>
        </w:rPr>
      </w:pPr>
      <w:r>
        <w:rPr>
          <w:rFonts w:ascii="Garamond" w:hAnsi="Garamond"/>
          <w:sz w:val="24"/>
          <w:szCs w:val="24"/>
        </w:rPr>
        <w:t xml:space="preserve">This argument will be </w:t>
      </w:r>
      <w:r w:rsidR="00FE7451">
        <w:rPr>
          <w:rFonts w:ascii="Garamond" w:hAnsi="Garamond"/>
          <w:sz w:val="24"/>
          <w:szCs w:val="24"/>
        </w:rPr>
        <w:t xml:space="preserve">unpacked in stages and </w:t>
      </w:r>
      <w:r w:rsidR="00C51D8E">
        <w:rPr>
          <w:rFonts w:ascii="Garamond" w:hAnsi="Garamond"/>
          <w:sz w:val="24"/>
          <w:szCs w:val="24"/>
        </w:rPr>
        <w:t xml:space="preserve">the </w:t>
      </w:r>
      <w:r w:rsidR="00FE7451">
        <w:rPr>
          <w:rFonts w:ascii="Garamond" w:hAnsi="Garamond"/>
          <w:sz w:val="24"/>
          <w:szCs w:val="24"/>
        </w:rPr>
        <w:t xml:space="preserve">emphasis will be made on the legitimacy of </w:t>
      </w:r>
      <w:r w:rsidR="00A1548C">
        <w:rPr>
          <w:rFonts w:ascii="Garamond" w:hAnsi="Garamond"/>
          <w:sz w:val="24"/>
          <w:szCs w:val="24"/>
        </w:rPr>
        <w:t xml:space="preserve">a decision of the </w:t>
      </w:r>
      <w:r w:rsidR="00FE7451">
        <w:rPr>
          <w:rFonts w:ascii="Garamond" w:hAnsi="Garamond"/>
          <w:sz w:val="24"/>
          <w:szCs w:val="24"/>
        </w:rPr>
        <w:t>CoE to suspend and expel members</w:t>
      </w:r>
      <w:r>
        <w:rPr>
          <w:rFonts w:ascii="Garamond" w:hAnsi="Garamond"/>
          <w:sz w:val="24"/>
          <w:szCs w:val="24"/>
        </w:rPr>
        <w:t xml:space="preserve">. </w:t>
      </w:r>
      <w:r w:rsidR="00DA7510" w:rsidRPr="00945F21">
        <w:rPr>
          <w:rFonts w:ascii="Garamond" w:hAnsi="Garamond"/>
          <w:sz w:val="24"/>
          <w:szCs w:val="24"/>
        </w:rPr>
        <w:t>Section</w:t>
      </w:r>
      <w:r w:rsidR="00676DD1" w:rsidRPr="00945F21">
        <w:rPr>
          <w:rFonts w:ascii="Garamond" w:hAnsi="Garamond"/>
          <w:sz w:val="24"/>
          <w:szCs w:val="24"/>
        </w:rPr>
        <w:t xml:space="preserve"> </w:t>
      </w:r>
      <w:r w:rsidR="00C51D8E">
        <w:rPr>
          <w:rFonts w:ascii="Garamond" w:hAnsi="Garamond"/>
          <w:sz w:val="24"/>
          <w:szCs w:val="24"/>
        </w:rPr>
        <w:t>1</w:t>
      </w:r>
      <w:r w:rsidR="00676DD1" w:rsidRPr="00945F21">
        <w:rPr>
          <w:rFonts w:ascii="Garamond" w:hAnsi="Garamond"/>
          <w:sz w:val="24"/>
          <w:szCs w:val="24"/>
        </w:rPr>
        <w:t xml:space="preserve"> of this article </w:t>
      </w:r>
      <w:r w:rsidR="00FE7451">
        <w:rPr>
          <w:rFonts w:ascii="Garamond" w:hAnsi="Garamond"/>
          <w:sz w:val="24"/>
          <w:szCs w:val="24"/>
        </w:rPr>
        <w:t xml:space="preserve">briefly explains the practice of international organisations in the area of expulsion. </w:t>
      </w:r>
      <w:r w:rsidR="00A1548C">
        <w:rPr>
          <w:rFonts w:ascii="Garamond" w:hAnsi="Garamond"/>
          <w:sz w:val="24"/>
          <w:szCs w:val="24"/>
        </w:rPr>
        <w:t>As we shall see, c</w:t>
      </w:r>
      <w:r w:rsidR="00FE7451">
        <w:rPr>
          <w:rFonts w:ascii="Garamond" w:hAnsi="Garamond"/>
          <w:sz w:val="24"/>
          <w:szCs w:val="24"/>
        </w:rPr>
        <w:t xml:space="preserve">ommentators often point </w:t>
      </w:r>
      <w:r w:rsidR="00BD7024">
        <w:rPr>
          <w:rFonts w:ascii="Garamond" w:hAnsi="Garamond"/>
          <w:sz w:val="24"/>
          <w:szCs w:val="24"/>
        </w:rPr>
        <w:t>out that expulsion is a fruitless</w:t>
      </w:r>
      <w:r w:rsidR="00FE7451">
        <w:rPr>
          <w:rFonts w:ascii="Garamond" w:hAnsi="Garamond"/>
          <w:sz w:val="24"/>
          <w:szCs w:val="24"/>
        </w:rPr>
        <w:t xml:space="preserve"> sanction when it comes to global organisations </w:t>
      </w:r>
      <w:r w:rsidR="00A1548C">
        <w:rPr>
          <w:rFonts w:ascii="Garamond" w:hAnsi="Garamond"/>
          <w:sz w:val="24"/>
          <w:szCs w:val="24"/>
        </w:rPr>
        <w:t>which are dedicated to</w:t>
      </w:r>
      <w:r w:rsidR="00FE7451">
        <w:rPr>
          <w:rFonts w:ascii="Garamond" w:hAnsi="Garamond"/>
          <w:sz w:val="24"/>
          <w:szCs w:val="24"/>
        </w:rPr>
        <w:t xml:space="preserve"> peace and security. We argue here that the CoE</w:t>
      </w:r>
      <w:r w:rsidR="00A1548C">
        <w:rPr>
          <w:rFonts w:ascii="Garamond" w:hAnsi="Garamond"/>
          <w:sz w:val="24"/>
          <w:szCs w:val="24"/>
        </w:rPr>
        <w:t xml:space="preserve"> can be distinguished from the focal cases considered in the literature.</w:t>
      </w:r>
      <w:r w:rsidR="00FE7451">
        <w:rPr>
          <w:rFonts w:ascii="Garamond" w:hAnsi="Garamond"/>
          <w:sz w:val="24"/>
          <w:szCs w:val="24"/>
        </w:rPr>
        <w:t xml:space="preserve"> Section </w:t>
      </w:r>
      <w:r w:rsidR="00C51D8E">
        <w:rPr>
          <w:rFonts w:ascii="Garamond" w:hAnsi="Garamond"/>
          <w:sz w:val="24"/>
          <w:szCs w:val="24"/>
        </w:rPr>
        <w:t>2</w:t>
      </w:r>
      <w:r w:rsidR="00FE7451">
        <w:rPr>
          <w:rFonts w:ascii="Garamond" w:hAnsi="Garamond"/>
          <w:sz w:val="24"/>
          <w:szCs w:val="24"/>
        </w:rPr>
        <w:t xml:space="preserve"> shows that</w:t>
      </w:r>
      <w:r w:rsidR="00231EE4">
        <w:rPr>
          <w:rFonts w:ascii="Garamond" w:hAnsi="Garamond"/>
          <w:sz w:val="24"/>
          <w:szCs w:val="24"/>
        </w:rPr>
        <w:t xml:space="preserve"> although</w:t>
      </w:r>
      <w:r w:rsidR="00FE7451">
        <w:rPr>
          <w:rFonts w:ascii="Garamond" w:hAnsi="Garamond"/>
          <w:sz w:val="24"/>
          <w:szCs w:val="24"/>
        </w:rPr>
        <w:t xml:space="preserve"> the CoE is entitled to expel its members</w:t>
      </w:r>
      <w:r w:rsidR="00231EE4">
        <w:rPr>
          <w:rFonts w:ascii="Garamond" w:hAnsi="Garamond"/>
          <w:sz w:val="24"/>
          <w:szCs w:val="24"/>
        </w:rPr>
        <w:t>,</w:t>
      </w:r>
      <w:r w:rsidR="00FE7451">
        <w:rPr>
          <w:rFonts w:ascii="Garamond" w:hAnsi="Garamond"/>
          <w:sz w:val="24"/>
          <w:szCs w:val="24"/>
        </w:rPr>
        <w:t xml:space="preserve"> the relevant procedure</w:t>
      </w:r>
      <w:r w:rsidR="00C51D8E">
        <w:rPr>
          <w:rFonts w:ascii="Garamond" w:hAnsi="Garamond"/>
          <w:sz w:val="24"/>
          <w:szCs w:val="24"/>
        </w:rPr>
        <w:t>s</w:t>
      </w:r>
      <w:r w:rsidR="00FE7451">
        <w:rPr>
          <w:rFonts w:ascii="Garamond" w:hAnsi="Garamond"/>
          <w:sz w:val="24"/>
          <w:szCs w:val="24"/>
        </w:rPr>
        <w:t xml:space="preserve"> </w:t>
      </w:r>
      <w:r w:rsidR="00C51D8E">
        <w:rPr>
          <w:rFonts w:ascii="Garamond" w:hAnsi="Garamond"/>
          <w:sz w:val="24"/>
          <w:szCs w:val="24"/>
        </w:rPr>
        <w:t xml:space="preserve">are not entirely </w:t>
      </w:r>
      <w:r w:rsidR="00FE7451">
        <w:rPr>
          <w:rFonts w:ascii="Garamond" w:hAnsi="Garamond"/>
          <w:sz w:val="24"/>
          <w:szCs w:val="24"/>
        </w:rPr>
        <w:t xml:space="preserve">clear. </w:t>
      </w:r>
      <w:r w:rsidR="00C51D8E">
        <w:rPr>
          <w:rFonts w:ascii="Garamond" w:hAnsi="Garamond"/>
          <w:sz w:val="24"/>
          <w:szCs w:val="24"/>
        </w:rPr>
        <w:t xml:space="preserve">We offer our view on how this process can be organised. </w:t>
      </w:r>
      <w:r w:rsidR="00223323">
        <w:rPr>
          <w:rFonts w:ascii="Garamond" w:hAnsi="Garamond"/>
          <w:sz w:val="24"/>
          <w:szCs w:val="24"/>
        </w:rPr>
        <w:t>Section 3 argues that decision</w:t>
      </w:r>
      <w:r w:rsidR="00231EE4">
        <w:rPr>
          <w:rFonts w:ascii="Garamond" w:hAnsi="Garamond"/>
          <w:sz w:val="24"/>
          <w:szCs w:val="24"/>
        </w:rPr>
        <w:t>s</w:t>
      </w:r>
      <w:r w:rsidR="00223323">
        <w:rPr>
          <w:rFonts w:ascii="Garamond" w:hAnsi="Garamond"/>
          <w:sz w:val="24"/>
          <w:szCs w:val="24"/>
        </w:rPr>
        <w:t xml:space="preserve"> to expel ha</w:t>
      </w:r>
      <w:r w:rsidR="00231EE4">
        <w:rPr>
          <w:rFonts w:ascii="Garamond" w:hAnsi="Garamond"/>
          <w:sz w:val="24"/>
          <w:szCs w:val="24"/>
        </w:rPr>
        <w:t>ve</w:t>
      </w:r>
      <w:r w:rsidR="00223323">
        <w:rPr>
          <w:rFonts w:ascii="Garamond" w:hAnsi="Garamond"/>
          <w:sz w:val="24"/>
          <w:szCs w:val="24"/>
        </w:rPr>
        <w:t xml:space="preserve"> at least three aspects: </w:t>
      </w:r>
      <w:r w:rsidR="00231EE4">
        <w:rPr>
          <w:rFonts w:ascii="Garamond" w:hAnsi="Garamond"/>
          <w:sz w:val="24"/>
          <w:szCs w:val="24"/>
        </w:rPr>
        <w:t xml:space="preserve">a </w:t>
      </w:r>
      <w:r w:rsidR="00223323">
        <w:rPr>
          <w:rFonts w:ascii="Garamond" w:hAnsi="Garamond"/>
          <w:sz w:val="24"/>
          <w:szCs w:val="24"/>
        </w:rPr>
        <w:t xml:space="preserve">legal right to expel, the </w:t>
      </w:r>
      <w:r w:rsidR="00231EE4">
        <w:rPr>
          <w:rFonts w:ascii="Garamond" w:hAnsi="Garamond"/>
          <w:sz w:val="24"/>
          <w:szCs w:val="24"/>
        </w:rPr>
        <w:t xml:space="preserve">factual matrix giving rise to and surrounding the </w:t>
      </w:r>
      <w:r w:rsidR="00223323">
        <w:rPr>
          <w:rFonts w:ascii="Garamond" w:hAnsi="Garamond"/>
          <w:sz w:val="24"/>
          <w:szCs w:val="24"/>
        </w:rPr>
        <w:t xml:space="preserve">crisis and </w:t>
      </w:r>
      <w:r w:rsidR="00231EE4">
        <w:rPr>
          <w:rFonts w:ascii="Garamond" w:hAnsi="Garamond"/>
          <w:sz w:val="24"/>
          <w:szCs w:val="24"/>
        </w:rPr>
        <w:t xml:space="preserve">an </w:t>
      </w:r>
      <w:r w:rsidR="00223323">
        <w:rPr>
          <w:rFonts w:ascii="Garamond" w:hAnsi="Garamond"/>
          <w:sz w:val="24"/>
          <w:szCs w:val="24"/>
        </w:rPr>
        <w:t xml:space="preserve">interpretation of the pros and cons of expulsion. This framework is then applied to the situation of the CoE. </w:t>
      </w:r>
      <w:r w:rsidR="00C51D8E">
        <w:rPr>
          <w:rFonts w:ascii="Garamond" w:hAnsi="Garamond"/>
          <w:sz w:val="24"/>
          <w:szCs w:val="24"/>
        </w:rPr>
        <w:t xml:space="preserve">Section </w:t>
      </w:r>
      <w:r w:rsidR="00223323">
        <w:rPr>
          <w:rFonts w:ascii="Garamond" w:hAnsi="Garamond"/>
          <w:sz w:val="24"/>
          <w:szCs w:val="24"/>
        </w:rPr>
        <w:t>4</w:t>
      </w:r>
      <w:r w:rsidR="00FE7451">
        <w:rPr>
          <w:rFonts w:ascii="Garamond" w:hAnsi="Garamond"/>
          <w:sz w:val="24"/>
          <w:szCs w:val="24"/>
        </w:rPr>
        <w:t xml:space="preserve"> </w:t>
      </w:r>
      <w:r w:rsidR="00231EE4">
        <w:rPr>
          <w:rFonts w:ascii="Garamond" w:hAnsi="Garamond"/>
          <w:sz w:val="24"/>
          <w:szCs w:val="24"/>
        </w:rPr>
        <w:t xml:space="preserve">substantiates </w:t>
      </w:r>
      <w:r w:rsidR="00676DD1" w:rsidRPr="00945F21">
        <w:rPr>
          <w:rFonts w:ascii="Garamond" w:hAnsi="Garamond"/>
          <w:sz w:val="24"/>
          <w:szCs w:val="24"/>
        </w:rPr>
        <w:t xml:space="preserve">the signs of </w:t>
      </w:r>
      <w:r w:rsidR="00C51D8E">
        <w:rPr>
          <w:rFonts w:ascii="Garamond" w:hAnsi="Garamond"/>
          <w:sz w:val="24"/>
          <w:szCs w:val="24"/>
        </w:rPr>
        <w:t>a</w:t>
      </w:r>
      <w:r w:rsidR="00C51D8E" w:rsidRPr="00945F21">
        <w:rPr>
          <w:rFonts w:ascii="Garamond" w:hAnsi="Garamond"/>
          <w:sz w:val="24"/>
          <w:szCs w:val="24"/>
        </w:rPr>
        <w:t xml:space="preserve"> </w:t>
      </w:r>
      <w:r w:rsidR="00676DD1" w:rsidRPr="00945F21">
        <w:rPr>
          <w:rFonts w:ascii="Garamond" w:hAnsi="Garamond"/>
          <w:sz w:val="24"/>
          <w:szCs w:val="24"/>
        </w:rPr>
        <w:t>cris</w:t>
      </w:r>
      <w:r w:rsidR="00A746B1" w:rsidRPr="00945F21">
        <w:rPr>
          <w:rFonts w:ascii="Garamond" w:hAnsi="Garamond"/>
          <w:sz w:val="24"/>
          <w:szCs w:val="24"/>
        </w:rPr>
        <w:t>i</w:t>
      </w:r>
      <w:r w:rsidR="00676DD1" w:rsidRPr="00945F21">
        <w:rPr>
          <w:rFonts w:ascii="Garamond" w:hAnsi="Garamond"/>
          <w:sz w:val="24"/>
          <w:szCs w:val="24"/>
        </w:rPr>
        <w:t>s</w:t>
      </w:r>
      <w:r>
        <w:rPr>
          <w:rFonts w:ascii="Garamond" w:hAnsi="Garamond"/>
          <w:sz w:val="24"/>
          <w:szCs w:val="24"/>
        </w:rPr>
        <w:t xml:space="preserve"> of the </w:t>
      </w:r>
      <w:r w:rsidR="00202CB4">
        <w:rPr>
          <w:rFonts w:ascii="Garamond" w:hAnsi="Garamond"/>
          <w:sz w:val="24"/>
          <w:szCs w:val="24"/>
        </w:rPr>
        <w:t>CoE</w:t>
      </w:r>
      <w:r w:rsidR="00676DD1" w:rsidRPr="00945F21">
        <w:rPr>
          <w:rFonts w:ascii="Garamond" w:hAnsi="Garamond"/>
          <w:sz w:val="24"/>
          <w:szCs w:val="24"/>
        </w:rPr>
        <w:t xml:space="preserve">: </w:t>
      </w:r>
      <w:r w:rsidR="00E8375D" w:rsidRPr="00945F21">
        <w:rPr>
          <w:rFonts w:ascii="Garamond" w:hAnsi="Garamond"/>
          <w:sz w:val="24"/>
          <w:szCs w:val="24"/>
        </w:rPr>
        <w:t xml:space="preserve">a </w:t>
      </w:r>
      <w:r w:rsidR="00676DD1" w:rsidRPr="00945F21">
        <w:rPr>
          <w:rFonts w:ascii="Garamond" w:hAnsi="Garamond"/>
          <w:sz w:val="24"/>
          <w:szCs w:val="24"/>
        </w:rPr>
        <w:t xml:space="preserve">lack of genuine commitment to collaborate is intertwined with financial </w:t>
      </w:r>
      <w:r w:rsidR="00E8375D" w:rsidRPr="00945F21">
        <w:rPr>
          <w:rFonts w:ascii="Garamond" w:hAnsi="Garamond"/>
          <w:sz w:val="24"/>
          <w:szCs w:val="24"/>
        </w:rPr>
        <w:t>threats to the organisation</w:t>
      </w:r>
      <w:r w:rsidR="00676DD1" w:rsidRPr="00945F21">
        <w:rPr>
          <w:rFonts w:ascii="Garamond" w:hAnsi="Garamond"/>
          <w:sz w:val="24"/>
          <w:szCs w:val="24"/>
        </w:rPr>
        <w:t xml:space="preserve">. The </w:t>
      </w:r>
      <w:r w:rsidR="0026418C">
        <w:rPr>
          <w:rFonts w:ascii="Garamond" w:hAnsi="Garamond"/>
          <w:sz w:val="24"/>
          <w:szCs w:val="24"/>
        </w:rPr>
        <w:t xml:space="preserve">CoE </w:t>
      </w:r>
      <w:r w:rsidR="00676DD1" w:rsidRPr="00945F21">
        <w:rPr>
          <w:rFonts w:ascii="Garamond" w:hAnsi="Garamond"/>
          <w:sz w:val="24"/>
          <w:szCs w:val="24"/>
        </w:rPr>
        <w:t>needs to respond firmly to these challenges</w:t>
      </w:r>
      <w:r w:rsidR="006F72AD" w:rsidRPr="00945F21">
        <w:rPr>
          <w:rFonts w:ascii="Garamond" w:hAnsi="Garamond"/>
          <w:sz w:val="24"/>
          <w:szCs w:val="24"/>
        </w:rPr>
        <w:t xml:space="preserve"> in order to preserve the legitimacy and</w:t>
      </w:r>
      <w:r w:rsidR="00FD7710" w:rsidRPr="00945F21">
        <w:rPr>
          <w:rFonts w:ascii="Garamond" w:hAnsi="Garamond"/>
          <w:sz w:val="24"/>
          <w:szCs w:val="24"/>
        </w:rPr>
        <w:t xml:space="preserve"> reputation of the organisation</w:t>
      </w:r>
      <w:r w:rsidR="00E85B7C" w:rsidRPr="00945F21">
        <w:rPr>
          <w:rFonts w:ascii="Garamond" w:hAnsi="Garamond"/>
          <w:sz w:val="24"/>
          <w:szCs w:val="24"/>
        </w:rPr>
        <w:t xml:space="preserve"> </w:t>
      </w:r>
      <w:r w:rsidR="00810A72" w:rsidRPr="00945F21">
        <w:rPr>
          <w:rFonts w:ascii="Garamond" w:hAnsi="Garamond"/>
          <w:sz w:val="24"/>
          <w:szCs w:val="24"/>
        </w:rPr>
        <w:t xml:space="preserve">which </w:t>
      </w:r>
      <w:r w:rsidR="00E85B7C" w:rsidRPr="00945F21">
        <w:rPr>
          <w:rFonts w:ascii="Garamond" w:hAnsi="Garamond"/>
          <w:sz w:val="24"/>
          <w:szCs w:val="24"/>
        </w:rPr>
        <w:t>reinforce</w:t>
      </w:r>
      <w:r w:rsidR="00810A72" w:rsidRPr="00945F21">
        <w:rPr>
          <w:rFonts w:ascii="Garamond" w:hAnsi="Garamond"/>
          <w:sz w:val="24"/>
          <w:szCs w:val="24"/>
        </w:rPr>
        <w:t>s</w:t>
      </w:r>
      <w:r w:rsidR="00E85B7C" w:rsidRPr="00945F21">
        <w:rPr>
          <w:rFonts w:ascii="Garamond" w:hAnsi="Garamond"/>
          <w:sz w:val="24"/>
          <w:szCs w:val="24"/>
        </w:rPr>
        <w:t xml:space="preserve"> </w:t>
      </w:r>
      <w:r w:rsidR="00810A72" w:rsidRPr="00945F21">
        <w:rPr>
          <w:rFonts w:ascii="Garamond" w:hAnsi="Garamond"/>
          <w:sz w:val="24"/>
          <w:szCs w:val="24"/>
        </w:rPr>
        <w:t>its</w:t>
      </w:r>
      <w:r w:rsidR="00E85B7C" w:rsidRPr="00945F21">
        <w:rPr>
          <w:rFonts w:ascii="Garamond" w:hAnsi="Garamond"/>
          <w:sz w:val="24"/>
          <w:szCs w:val="24"/>
        </w:rPr>
        <w:t xml:space="preserve"> role </w:t>
      </w:r>
      <w:r w:rsidR="00C51D8E">
        <w:rPr>
          <w:rFonts w:ascii="Garamond" w:hAnsi="Garamond"/>
          <w:sz w:val="24"/>
          <w:szCs w:val="24"/>
        </w:rPr>
        <w:t xml:space="preserve">in </w:t>
      </w:r>
      <w:r w:rsidR="00E85B7C" w:rsidRPr="00945F21">
        <w:rPr>
          <w:rFonts w:ascii="Garamond" w:hAnsi="Garamond"/>
          <w:sz w:val="24"/>
          <w:szCs w:val="24"/>
        </w:rPr>
        <w:t>protecting human right</w:t>
      </w:r>
      <w:r w:rsidR="00810A72" w:rsidRPr="00945F21">
        <w:rPr>
          <w:rFonts w:ascii="Garamond" w:hAnsi="Garamond"/>
          <w:sz w:val="24"/>
          <w:szCs w:val="24"/>
        </w:rPr>
        <w:t>s</w:t>
      </w:r>
      <w:r w:rsidR="00E85B7C" w:rsidRPr="00945F21">
        <w:rPr>
          <w:rFonts w:ascii="Garamond" w:hAnsi="Garamond"/>
          <w:sz w:val="24"/>
          <w:szCs w:val="24"/>
        </w:rPr>
        <w:t xml:space="preserve">, </w:t>
      </w:r>
      <w:r w:rsidR="00810A72" w:rsidRPr="00945F21">
        <w:rPr>
          <w:rFonts w:ascii="Garamond" w:hAnsi="Garamond"/>
          <w:sz w:val="24"/>
          <w:szCs w:val="24"/>
        </w:rPr>
        <w:t xml:space="preserve">the </w:t>
      </w:r>
      <w:r w:rsidR="00E85B7C" w:rsidRPr="00945F21">
        <w:rPr>
          <w:rFonts w:ascii="Garamond" w:hAnsi="Garamond"/>
          <w:sz w:val="24"/>
          <w:szCs w:val="24"/>
        </w:rPr>
        <w:t>rule of law and democracy</w:t>
      </w:r>
      <w:r w:rsidR="00676DD1" w:rsidRPr="00945F21">
        <w:rPr>
          <w:rFonts w:ascii="Garamond" w:hAnsi="Garamond"/>
          <w:sz w:val="24"/>
          <w:szCs w:val="24"/>
        </w:rPr>
        <w:t xml:space="preserve">. </w:t>
      </w:r>
      <w:r w:rsidR="00810A72" w:rsidRPr="00945F21">
        <w:rPr>
          <w:rFonts w:ascii="Garamond" w:hAnsi="Garamond"/>
          <w:sz w:val="24"/>
          <w:szCs w:val="24"/>
        </w:rPr>
        <w:t xml:space="preserve">Section </w:t>
      </w:r>
      <w:r w:rsidR="00223323">
        <w:rPr>
          <w:rFonts w:ascii="Garamond" w:hAnsi="Garamond"/>
          <w:sz w:val="24"/>
          <w:szCs w:val="24"/>
        </w:rPr>
        <w:t>5</w:t>
      </w:r>
      <w:r w:rsidR="00810A72" w:rsidRPr="00945F21">
        <w:rPr>
          <w:rFonts w:ascii="Garamond" w:hAnsi="Garamond"/>
          <w:sz w:val="24"/>
          <w:szCs w:val="24"/>
        </w:rPr>
        <w:t xml:space="preserve"> then </w:t>
      </w:r>
      <w:r>
        <w:rPr>
          <w:rFonts w:ascii="Garamond" w:hAnsi="Garamond"/>
          <w:sz w:val="24"/>
          <w:szCs w:val="24"/>
        </w:rPr>
        <w:t>examines the factors</w:t>
      </w:r>
      <w:r w:rsidR="00810A72" w:rsidRPr="00945F21">
        <w:rPr>
          <w:rFonts w:ascii="Garamond" w:hAnsi="Garamond"/>
          <w:sz w:val="24"/>
          <w:szCs w:val="24"/>
        </w:rPr>
        <w:t xml:space="preserve"> that should be considered in </w:t>
      </w:r>
      <w:r w:rsidR="00231EE4">
        <w:rPr>
          <w:rFonts w:ascii="Garamond" w:hAnsi="Garamond"/>
          <w:sz w:val="24"/>
          <w:szCs w:val="24"/>
        </w:rPr>
        <w:t xml:space="preserve">the </w:t>
      </w:r>
      <w:r w:rsidR="00810A72" w:rsidRPr="00945F21">
        <w:rPr>
          <w:rFonts w:ascii="Garamond" w:hAnsi="Garamond"/>
          <w:sz w:val="24"/>
          <w:szCs w:val="24"/>
        </w:rPr>
        <w:t>application of suspension and expulsion</w:t>
      </w:r>
      <w:r w:rsidR="00231EE4">
        <w:rPr>
          <w:rFonts w:ascii="Garamond" w:hAnsi="Garamond"/>
          <w:sz w:val="24"/>
          <w:szCs w:val="24"/>
        </w:rPr>
        <w:t xml:space="preserve"> procedures</w:t>
      </w:r>
      <w:r w:rsidR="00810A72" w:rsidRPr="00945F21">
        <w:rPr>
          <w:rFonts w:ascii="Garamond" w:hAnsi="Garamond"/>
          <w:sz w:val="24"/>
          <w:szCs w:val="24"/>
        </w:rPr>
        <w:t xml:space="preserve">. </w:t>
      </w:r>
      <w:r>
        <w:rPr>
          <w:rFonts w:ascii="Garamond" w:hAnsi="Garamond"/>
          <w:sz w:val="24"/>
          <w:szCs w:val="24"/>
        </w:rPr>
        <w:t>I</w:t>
      </w:r>
      <w:r w:rsidR="00810A72" w:rsidRPr="00945F21">
        <w:rPr>
          <w:rFonts w:ascii="Garamond" w:hAnsi="Garamond"/>
          <w:sz w:val="24"/>
          <w:szCs w:val="24"/>
        </w:rPr>
        <w:t xml:space="preserve">t analyses how the legitimacy of an international organisation can be reduced or enhanced through the use or failure to use such </w:t>
      </w:r>
      <w:r w:rsidR="00231EE4">
        <w:rPr>
          <w:rFonts w:ascii="Garamond" w:hAnsi="Garamond"/>
          <w:sz w:val="24"/>
          <w:szCs w:val="24"/>
        </w:rPr>
        <w:t>means</w:t>
      </w:r>
      <w:r w:rsidR="00810A72" w:rsidRPr="00945F21">
        <w:rPr>
          <w:rFonts w:ascii="Garamond" w:hAnsi="Garamond"/>
          <w:sz w:val="24"/>
          <w:szCs w:val="24"/>
        </w:rPr>
        <w:t xml:space="preserve">. </w:t>
      </w:r>
      <w:r w:rsidR="00B736E9" w:rsidRPr="00945F21">
        <w:rPr>
          <w:rFonts w:ascii="Garamond" w:hAnsi="Garamond"/>
          <w:sz w:val="24"/>
          <w:szCs w:val="24"/>
        </w:rPr>
        <w:t xml:space="preserve">It suggests </w:t>
      </w:r>
      <w:r w:rsidR="00FE7451">
        <w:rPr>
          <w:rFonts w:ascii="Garamond" w:hAnsi="Garamond"/>
          <w:sz w:val="24"/>
          <w:szCs w:val="24"/>
        </w:rPr>
        <w:t>two</w:t>
      </w:r>
      <w:r w:rsidR="00FE7451" w:rsidRPr="00945F21">
        <w:rPr>
          <w:rFonts w:ascii="Garamond" w:hAnsi="Garamond"/>
          <w:sz w:val="24"/>
          <w:szCs w:val="24"/>
        </w:rPr>
        <w:t xml:space="preserve"> </w:t>
      </w:r>
      <w:r w:rsidR="00B736E9" w:rsidRPr="00945F21">
        <w:rPr>
          <w:rFonts w:ascii="Garamond" w:hAnsi="Garamond"/>
          <w:sz w:val="24"/>
          <w:szCs w:val="24"/>
        </w:rPr>
        <w:t>sets of calculations that can show if suspension should be applied. First</w:t>
      </w:r>
      <w:r w:rsidR="00FE7451">
        <w:rPr>
          <w:rFonts w:ascii="Garamond" w:hAnsi="Garamond"/>
          <w:sz w:val="24"/>
          <w:szCs w:val="24"/>
        </w:rPr>
        <w:t xml:space="preserve">, </w:t>
      </w:r>
      <w:r w:rsidR="00761C67" w:rsidRPr="00945F21">
        <w:rPr>
          <w:rFonts w:ascii="Garamond" w:hAnsi="Garamond"/>
          <w:sz w:val="24"/>
          <w:szCs w:val="24"/>
        </w:rPr>
        <w:t xml:space="preserve">it </w:t>
      </w:r>
      <w:r w:rsidR="00231EE4">
        <w:rPr>
          <w:rFonts w:ascii="Garamond" w:hAnsi="Garamond"/>
          <w:sz w:val="24"/>
          <w:szCs w:val="24"/>
        </w:rPr>
        <w:t>argues that</w:t>
      </w:r>
      <w:r w:rsidR="00B736E9" w:rsidRPr="00945F21">
        <w:rPr>
          <w:rFonts w:ascii="Garamond" w:hAnsi="Garamond"/>
          <w:sz w:val="24"/>
          <w:szCs w:val="24"/>
        </w:rPr>
        <w:t xml:space="preserve"> if the membership of a particular state in the </w:t>
      </w:r>
      <w:r w:rsidR="0026418C">
        <w:rPr>
          <w:rFonts w:ascii="Garamond" w:hAnsi="Garamond"/>
          <w:sz w:val="24"/>
          <w:szCs w:val="24"/>
        </w:rPr>
        <w:t xml:space="preserve">CoE </w:t>
      </w:r>
      <w:r w:rsidR="00B736E9" w:rsidRPr="00945F21">
        <w:rPr>
          <w:rFonts w:ascii="Garamond" w:hAnsi="Garamond"/>
          <w:sz w:val="24"/>
          <w:szCs w:val="24"/>
        </w:rPr>
        <w:t>is more detrimental for the legitimacy</w:t>
      </w:r>
      <w:r w:rsidR="00FE7451">
        <w:rPr>
          <w:rFonts w:ascii="Garamond" w:hAnsi="Garamond"/>
          <w:sz w:val="24"/>
          <w:szCs w:val="24"/>
        </w:rPr>
        <w:t>, effectiveness</w:t>
      </w:r>
      <w:r w:rsidR="00B736E9" w:rsidRPr="00945F21">
        <w:rPr>
          <w:rFonts w:ascii="Garamond" w:hAnsi="Garamond"/>
          <w:sz w:val="24"/>
          <w:szCs w:val="24"/>
        </w:rPr>
        <w:t xml:space="preserve"> and reputation of the organisation than its expulsion then </w:t>
      </w:r>
      <w:r w:rsidR="00A819A3" w:rsidRPr="00945F21">
        <w:rPr>
          <w:rFonts w:ascii="Garamond" w:hAnsi="Garamond"/>
          <w:sz w:val="24"/>
          <w:szCs w:val="24"/>
        </w:rPr>
        <w:t>this</w:t>
      </w:r>
      <w:r w:rsidR="00B736E9" w:rsidRPr="00945F21">
        <w:rPr>
          <w:rFonts w:ascii="Garamond" w:hAnsi="Garamond"/>
          <w:sz w:val="24"/>
          <w:szCs w:val="24"/>
        </w:rPr>
        <w:t xml:space="preserve"> </w:t>
      </w:r>
      <w:r w:rsidR="00231EE4">
        <w:rPr>
          <w:rFonts w:ascii="Garamond" w:hAnsi="Garamond"/>
          <w:sz w:val="24"/>
          <w:szCs w:val="24"/>
        </w:rPr>
        <w:t xml:space="preserve">indicates a preference in favour of expelling or suspending the </w:t>
      </w:r>
      <w:r w:rsidR="00B736E9" w:rsidRPr="00945F21">
        <w:rPr>
          <w:rFonts w:ascii="Garamond" w:hAnsi="Garamond"/>
          <w:sz w:val="24"/>
          <w:szCs w:val="24"/>
        </w:rPr>
        <w:t xml:space="preserve">state. Second, </w:t>
      </w:r>
      <w:r w:rsidR="00231EE4">
        <w:rPr>
          <w:rFonts w:ascii="Garamond" w:hAnsi="Garamond"/>
          <w:sz w:val="24"/>
          <w:szCs w:val="24"/>
        </w:rPr>
        <w:t xml:space="preserve">it concludes that </w:t>
      </w:r>
      <w:r w:rsidR="00B736E9" w:rsidRPr="00945F21">
        <w:rPr>
          <w:rFonts w:ascii="Garamond" w:hAnsi="Garamond"/>
          <w:sz w:val="24"/>
          <w:szCs w:val="24"/>
        </w:rPr>
        <w:t xml:space="preserve">some worsening of protection of human rights </w:t>
      </w:r>
      <w:r w:rsidR="00353937" w:rsidRPr="00945F21">
        <w:rPr>
          <w:rFonts w:ascii="Garamond" w:hAnsi="Garamond"/>
          <w:sz w:val="24"/>
          <w:szCs w:val="24"/>
        </w:rPr>
        <w:t xml:space="preserve">on an individual level </w:t>
      </w:r>
      <w:r w:rsidR="00B736E9" w:rsidRPr="00945F21">
        <w:rPr>
          <w:rFonts w:ascii="Garamond" w:hAnsi="Garamond"/>
          <w:sz w:val="24"/>
          <w:szCs w:val="24"/>
        </w:rPr>
        <w:t xml:space="preserve">cannot </w:t>
      </w:r>
      <w:r w:rsidR="00D6224C">
        <w:rPr>
          <w:rFonts w:ascii="Garamond" w:hAnsi="Garamond"/>
          <w:sz w:val="24"/>
          <w:szCs w:val="24"/>
        </w:rPr>
        <w:t xml:space="preserve">endlessly </w:t>
      </w:r>
      <w:r w:rsidR="00B736E9" w:rsidRPr="00945F21">
        <w:rPr>
          <w:rFonts w:ascii="Garamond" w:hAnsi="Garamond"/>
          <w:sz w:val="24"/>
          <w:szCs w:val="24"/>
        </w:rPr>
        <w:t xml:space="preserve">justify continuation </w:t>
      </w:r>
      <w:r w:rsidR="00223323" w:rsidRPr="00945F21">
        <w:rPr>
          <w:rFonts w:ascii="Garamond" w:hAnsi="Garamond"/>
          <w:sz w:val="24"/>
          <w:szCs w:val="24"/>
        </w:rPr>
        <w:t>of</w:t>
      </w:r>
      <w:r w:rsidR="00223323">
        <w:rPr>
          <w:rFonts w:ascii="Garamond" w:hAnsi="Garamond"/>
          <w:sz w:val="24"/>
          <w:szCs w:val="24"/>
        </w:rPr>
        <w:t xml:space="preserve"> </w:t>
      </w:r>
      <w:r w:rsidR="00B736E9" w:rsidRPr="00945F21">
        <w:rPr>
          <w:rFonts w:ascii="Garamond" w:hAnsi="Garamond"/>
          <w:sz w:val="24"/>
          <w:szCs w:val="24"/>
        </w:rPr>
        <w:t xml:space="preserve">membership if the </w:t>
      </w:r>
      <w:r w:rsidR="0026418C">
        <w:rPr>
          <w:rFonts w:ascii="Garamond" w:hAnsi="Garamond"/>
          <w:sz w:val="24"/>
          <w:szCs w:val="24"/>
        </w:rPr>
        <w:t xml:space="preserve">CoE </w:t>
      </w:r>
      <w:r w:rsidR="00B736E9" w:rsidRPr="00945F21">
        <w:rPr>
          <w:rFonts w:ascii="Garamond" w:hAnsi="Garamond"/>
          <w:sz w:val="24"/>
          <w:szCs w:val="24"/>
        </w:rPr>
        <w:t xml:space="preserve">is incapable of strategically improving the situation with human rights protection in </w:t>
      </w:r>
      <w:r w:rsidR="00223323">
        <w:rPr>
          <w:rFonts w:ascii="Garamond" w:hAnsi="Garamond"/>
          <w:sz w:val="24"/>
          <w:szCs w:val="24"/>
        </w:rPr>
        <w:t>the</w:t>
      </w:r>
      <w:r w:rsidR="00223323" w:rsidRPr="00945F21">
        <w:rPr>
          <w:rFonts w:ascii="Garamond" w:hAnsi="Garamond"/>
          <w:sz w:val="24"/>
          <w:szCs w:val="24"/>
        </w:rPr>
        <w:t xml:space="preserve"> </w:t>
      </w:r>
      <w:r w:rsidR="00B736E9" w:rsidRPr="00945F21">
        <w:rPr>
          <w:rFonts w:ascii="Garamond" w:hAnsi="Garamond"/>
          <w:sz w:val="24"/>
          <w:szCs w:val="24"/>
        </w:rPr>
        <w:t>state</w:t>
      </w:r>
      <w:r w:rsidR="00223323">
        <w:rPr>
          <w:rFonts w:ascii="Garamond" w:hAnsi="Garamond"/>
          <w:sz w:val="24"/>
          <w:szCs w:val="24"/>
        </w:rPr>
        <w:t xml:space="preserve"> in question</w:t>
      </w:r>
      <w:r w:rsidR="00B736E9" w:rsidRPr="00945F21">
        <w:rPr>
          <w:rFonts w:ascii="Garamond" w:hAnsi="Garamond"/>
          <w:sz w:val="24"/>
          <w:szCs w:val="24"/>
        </w:rPr>
        <w:t xml:space="preserve">. These </w:t>
      </w:r>
      <w:r w:rsidR="00FE7451">
        <w:rPr>
          <w:rFonts w:ascii="Garamond" w:hAnsi="Garamond"/>
          <w:sz w:val="24"/>
          <w:szCs w:val="24"/>
        </w:rPr>
        <w:t>two</w:t>
      </w:r>
      <w:r w:rsidR="00FE7451" w:rsidRPr="00945F21">
        <w:rPr>
          <w:rFonts w:ascii="Garamond" w:hAnsi="Garamond"/>
          <w:sz w:val="24"/>
          <w:szCs w:val="24"/>
        </w:rPr>
        <w:t xml:space="preserve"> </w:t>
      </w:r>
      <w:r w:rsidR="00B736E9" w:rsidRPr="00945F21">
        <w:rPr>
          <w:rFonts w:ascii="Garamond" w:hAnsi="Garamond"/>
          <w:sz w:val="24"/>
          <w:szCs w:val="24"/>
        </w:rPr>
        <w:t xml:space="preserve">sets of calculations </w:t>
      </w:r>
      <w:r w:rsidR="00605490" w:rsidRPr="00945F21">
        <w:rPr>
          <w:rFonts w:ascii="Garamond" w:hAnsi="Garamond"/>
          <w:sz w:val="24"/>
          <w:szCs w:val="24"/>
        </w:rPr>
        <w:t xml:space="preserve">should, we argue, inform the </w:t>
      </w:r>
      <w:r w:rsidR="00B736E9" w:rsidRPr="00945F21">
        <w:rPr>
          <w:rFonts w:ascii="Garamond" w:hAnsi="Garamond"/>
          <w:sz w:val="24"/>
          <w:szCs w:val="24"/>
        </w:rPr>
        <w:t xml:space="preserve">interpretation of Articles 7 and 8 of the Statute of the </w:t>
      </w:r>
      <w:r w:rsidR="0026418C">
        <w:rPr>
          <w:rFonts w:ascii="Garamond" w:hAnsi="Garamond"/>
          <w:sz w:val="24"/>
          <w:szCs w:val="24"/>
        </w:rPr>
        <w:t xml:space="preserve">CoE </w:t>
      </w:r>
      <w:r w:rsidR="00B736E9" w:rsidRPr="00945F21">
        <w:rPr>
          <w:rFonts w:ascii="Garamond" w:hAnsi="Garamond"/>
          <w:sz w:val="24"/>
          <w:szCs w:val="24"/>
        </w:rPr>
        <w:t xml:space="preserve">that provide </w:t>
      </w:r>
      <w:r w:rsidR="00605490" w:rsidRPr="00945F21">
        <w:rPr>
          <w:rFonts w:ascii="Garamond" w:hAnsi="Garamond"/>
          <w:sz w:val="24"/>
          <w:szCs w:val="24"/>
        </w:rPr>
        <w:t xml:space="preserve">a </w:t>
      </w:r>
      <w:r w:rsidR="00B736E9" w:rsidRPr="00945F21">
        <w:rPr>
          <w:rFonts w:ascii="Garamond" w:hAnsi="Garamond"/>
          <w:sz w:val="24"/>
          <w:szCs w:val="24"/>
        </w:rPr>
        <w:t xml:space="preserve">legal </w:t>
      </w:r>
      <w:r w:rsidR="00605490" w:rsidRPr="00945F21">
        <w:rPr>
          <w:rFonts w:ascii="Garamond" w:hAnsi="Garamond"/>
          <w:sz w:val="24"/>
          <w:szCs w:val="24"/>
        </w:rPr>
        <w:t>basis for the expulsion of members</w:t>
      </w:r>
      <w:r w:rsidR="00B736E9" w:rsidRPr="00945F21">
        <w:rPr>
          <w:rFonts w:ascii="Garamond" w:hAnsi="Garamond"/>
          <w:sz w:val="24"/>
          <w:szCs w:val="24"/>
        </w:rPr>
        <w:t xml:space="preserve"> of the </w:t>
      </w:r>
      <w:r w:rsidR="00202CB4">
        <w:rPr>
          <w:rFonts w:ascii="Garamond" w:hAnsi="Garamond"/>
          <w:sz w:val="24"/>
          <w:szCs w:val="24"/>
        </w:rPr>
        <w:t>CoE</w:t>
      </w:r>
      <w:r w:rsidR="00B736E9" w:rsidRPr="00945F21">
        <w:rPr>
          <w:rFonts w:ascii="Garamond" w:hAnsi="Garamond"/>
          <w:sz w:val="24"/>
          <w:szCs w:val="24"/>
        </w:rPr>
        <w:t>.</w:t>
      </w:r>
    </w:p>
    <w:p w14:paraId="0AE5C502" w14:textId="0108220C" w:rsidR="0065092C" w:rsidRDefault="00706B22" w:rsidP="0053726B">
      <w:pPr>
        <w:spacing w:line="240" w:lineRule="auto"/>
        <w:jc w:val="both"/>
        <w:rPr>
          <w:rFonts w:ascii="Garamond" w:hAnsi="Garamond"/>
          <w:b/>
          <w:sz w:val="24"/>
          <w:szCs w:val="24"/>
        </w:rPr>
      </w:pPr>
      <w:r w:rsidRPr="009A1694">
        <w:rPr>
          <w:rFonts w:ascii="Garamond" w:hAnsi="Garamond"/>
          <w:b/>
          <w:sz w:val="24"/>
          <w:szCs w:val="24"/>
        </w:rPr>
        <w:t xml:space="preserve">1. </w:t>
      </w:r>
      <w:r w:rsidR="0065092C">
        <w:rPr>
          <w:rFonts w:ascii="Garamond" w:hAnsi="Garamond"/>
          <w:b/>
          <w:sz w:val="24"/>
          <w:szCs w:val="24"/>
        </w:rPr>
        <w:t xml:space="preserve">To Expel or not to Expel: </w:t>
      </w:r>
      <w:r w:rsidR="00231EE4">
        <w:rPr>
          <w:rFonts w:ascii="Garamond" w:hAnsi="Garamond"/>
          <w:b/>
          <w:sz w:val="24"/>
          <w:szCs w:val="24"/>
        </w:rPr>
        <w:t xml:space="preserve">An </w:t>
      </w:r>
      <w:r w:rsidR="0065092C">
        <w:rPr>
          <w:rFonts w:ascii="Garamond" w:hAnsi="Garamond"/>
          <w:b/>
          <w:sz w:val="24"/>
          <w:szCs w:val="24"/>
        </w:rPr>
        <w:t xml:space="preserve">Existential Dilemma of International Organisations. </w:t>
      </w:r>
    </w:p>
    <w:p w14:paraId="1C07391A" w14:textId="0AC30D05" w:rsidR="0065092C" w:rsidRDefault="00231EE4" w:rsidP="00484332">
      <w:pPr>
        <w:spacing w:line="240" w:lineRule="auto"/>
        <w:jc w:val="both"/>
        <w:rPr>
          <w:rFonts w:ascii="Garamond" w:hAnsi="Garamond"/>
          <w:sz w:val="24"/>
          <w:szCs w:val="24"/>
        </w:rPr>
      </w:pPr>
      <w:r>
        <w:rPr>
          <w:rFonts w:ascii="Garamond" w:hAnsi="Garamond"/>
          <w:sz w:val="24"/>
          <w:szCs w:val="24"/>
        </w:rPr>
        <w:t xml:space="preserve">The scholarly literature demonstrates no consensus on whether or not the expulsion of states </w:t>
      </w:r>
      <w:r w:rsidR="00484332">
        <w:rPr>
          <w:rFonts w:ascii="Garamond" w:hAnsi="Garamond"/>
          <w:sz w:val="24"/>
          <w:szCs w:val="24"/>
        </w:rPr>
        <w:t xml:space="preserve">is justified. </w:t>
      </w:r>
      <w:r w:rsidR="008A332C">
        <w:rPr>
          <w:rFonts w:ascii="Garamond" w:hAnsi="Garamond"/>
          <w:sz w:val="24"/>
          <w:szCs w:val="24"/>
        </w:rPr>
        <w:t xml:space="preserve">Some commentators oppose the </w:t>
      </w:r>
      <w:r w:rsidR="008F26D5">
        <w:rPr>
          <w:rFonts w:ascii="Garamond" w:hAnsi="Garamond"/>
          <w:sz w:val="24"/>
          <w:szCs w:val="24"/>
        </w:rPr>
        <w:t>idea</w:t>
      </w:r>
      <w:r w:rsidR="008A332C">
        <w:rPr>
          <w:rFonts w:ascii="Garamond" w:hAnsi="Garamond"/>
          <w:sz w:val="24"/>
          <w:szCs w:val="24"/>
        </w:rPr>
        <w:t xml:space="preserve"> of expulsion because after using this ‘clumsy weapon’</w:t>
      </w:r>
      <w:bookmarkStart w:id="1" w:name="_Ref532481727"/>
      <w:r w:rsidR="008A332C">
        <w:rPr>
          <w:rStyle w:val="FootnoteReference"/>
          <w:rFonts w:ascii="Garamond" w:hAnsi="Garamond"/>
          <w:sz w:val="24"/>
          <w:szCs w:val="24"/>
        </w:rPr>
        <w:footnoteReference w:id="6"/>
      </w:r>
      <w:bookmarkEnd w:id="1"/>
      <w:r w:rsidR="008A332C">
        <w:rPr>
          <w:rFonts w:ascii="Garamond" w:hAnsi="Garamond"/>
          <w:sz w:val="24"/>
          <w:szCs w:val="24"/>
        </w:rPr>
        <w:t xml:space="preserve"> the organisation removes the ‘recalcitrant member’ from the pressures of the organisation.</w:t>
      </w:r>
      <w:bookmarkStart w:id="2" w:name="_Ref532554078"/>
      <w:r w:rsidR="008A332C">
        <w:rPr>
          <w:rStyle w:val="FootnoteReference"/>
          <w:rFonts w:ascii="Garamond" w:hAnsi="Garamond"/>
          <w:sz w:val="24"/>
          <w:szCs w:val="24"/>
        </w:rPr>
        <w:footnoteReference w:id="7"/>
      </w:r>
      <w:bookmarkEnd w:id="2"/>
      <w:r w:rsidR="008A332C">
        <w:rPr>
          <w:rFonts w:ascii="Garamond" w:hAnsi="Garamond"/>
          <w:sz w:val="24"/>
          <w:szCs w:val="24"/>
        </w:rPr>
        <w:t xml:space="preserve"> </w:t>
      </w:r>
      <w:r w:rsidR="009F6D05">
        <w:rPr>
          <w:rFonts w:ascii="Garamond" w:hAnsi="Garamond"/>
          <w:sz w:val="24"/>
          <w:szCs w:val="24"/>
        </w:rPr>
        <w:t>This argument is made especially forcefully in relation to global organisations for which peace, integration and cooperation are the key objectives.</w:t>
      </w:r>
      <w:r w:rsidR="00F90C67">
        <w:rPr>
          <w:rStyle w:val="FootnoteReference"/>
          <w:rFonts w:ascii="Garamond" w:hAnsi="Garamond"/>
          <w:sz w:val="24"/>
          <w:szCs w:val="24"/>
        </w:rPr>
        <w:footnoteReference w:id="8"/>
      </w:r>
      <w:r w:rsidR="00657553">
        <w:rPr>
          <w:rFonts w:ascii="Garamond" w:hAnsi="Garamond"/>
          <w:sz w:val="24"/>
          <w:szCs w:val="24"/>
        </w:rPr>
        <w:t xml:space="preserve"> Indeed</w:t>
      </w:r>
      <w:r w:rsidR="00F90C67">
        <w:rPr>
          <w:rFonts w:ascii="Garamond" w:hAnsi="Garamond"/>
          <w:sz w:val="24"/>
          <w:szCs w:val="24"/>
        </w:rPr>
        <w:t xml:space="preserve">, there are very few </w:t>
      </w:r>
      <w:r w:rsidR="00F90C67">
        <w:rPr>
          <w:rFonts w:ascii="Garamond" w:hAnsi="Garamond"/>
          <w:sz w:val="24"/>
          <w:szCs w:val="24"/>
        </w:rPr>
        <w:lastRenderedPageBreak/>
        <w:t xml:space="preserve">examples of expulsion from </w:t>
      </w:r>
      <w:r w:rsidR="00657553">
        <w:rPr>
          <w:rFonts w:ascii="Garamond" w:hAnsi="Garamond"/>
          <w:sz w:val="24"/>
          <w:szCs w:val="24"/>
        </w:rPr>
        <w:t xml:space="preserve">such </w:t>
      </w:r>
      <w:r w:rsidR="00F90C67">
        <w:rPr>
          <w:rFonts w:ascii="Garamond" w:hAnsi="Garamond"/>
          <w:sz w:val="24"/>
          <w:szCs w:val="24"/>
        </w:rPr>
        <w:t>global organisations.</w:t>
      </w:r>
      <w:r w:rsidR="00F90C67">
        <w:rPr>
          <w:rStyle w:val="FootnoteReference"/>
          <w:rFonts w:ascii="Garamond" w:hAnsi="Garamond"/>
          <w:sz w:val="24"/>
          <w:szCs w:val="24"/>
        </w:rPr>
        <w:footnoteReference w:id="9"/>
      </w:r>
      <w:r w:rsidR="00F90C67">
        <w:rPr>
          <w:rFonts w:ascii="Garamond" w:hAnsi="Garamond"/>
          <w:sz w:val="24"/>
          <w:szCs w:val="24"/>
        </w:rPr>
        <w:t xml:space="preserve"> </w:t>
      </w:r>
      <w:r w:rsidR="00484332">
        <w:rPr>
          <w:rFonts w:ascii="Garamond" w:hAnsi="Garamond"/>
          <w:sz w:val="24"/>
          <w:szCs w:val="24"/>
        </w:rPr>
        <w:t>R</w:t>
      </w:r>
      <w:r w:rsidR="00F90C67">
        <w:rPr>
          <w:rFonts w:ascii="Garamond" w:hAnsi="Garamond"/>
          <w:sz w:val="24"/>
          <w:szCs w:val="24"/>
        </w:rPr>
        <w:t xml:space="preserve">egional human rights organisations </w:t>
      </w:r>
      <w:r w:rsidR="00484332">
        <w:rPr>
          <w:rFonts w:ascii="Garamond" w:hAnsi="Garamond"/>
          <w:sz w:val="24"/>
          <w:szCs w:val="24"/>
        </w:rPr>
        <w:t xml:space="preserve">are, however, subject to different considerations than global groupings. </w:t>
      </w:r>
      <w:r w:rsidR="00F90C67">
        <w:rPr>
          <w:rFonts w:ascii="Garamond" w:hAnsi="Garamond"/>
          <w:sz w:val="24"/>
          <w:szCs w:val="24"/>
        </w:rPr>
        <w:t xml:space="preserve"> For these ‘closed’ </w:t>
      </w:r>
      <w:r w:rsidR="00484332">
        <w:rPr>
          <w:rFonts w:ascii="Garamond" w:hAnsi="Garamond"/>
          <w:sz w:val="24"/>
          <w:szCs w:val="24"/>
        </w:rPr>
        <w:t xml:space="preserve">regional </w:t>
      </w:r>
      <w:r w:rsidR="00F90C67">
        <w:rPr>
          <w:rFonts w:ascii="Garamond" w:hAnsi="Garamond"/>
          <w:sz w:val="24"/>
          <w:szCs w:val="24"/>
        </w:rPr>
        <w:t>organisations</w:t>
      </w:r>
      <w:r w:rsidR="00484332">
        <w:rPr>
          <w:rFonts w:ascii="Garamond" w:hAnsi="Garamond"/>
          <w:sz w:val="24"/>
          <w:szCs w:val="24"/>
        </w:rPr>
        <w:t>, such as the CoE,</w:t>
      </w:r>
      <w:r w:rsidR="00F90C67">
        <w:rPr>
          <w:rFonts w:ascii="Garamond" w:hAnsi="Garamond"/>
          <w:sz w:val="24"/>
          <w:szCs w:val="24"/>
        </w:rPr>
        <w:t xml:space="preserve"> it is important that their members share common values</w:t>
      </w:r>
      <w:r w:rsidR="00657553">
        <w:rPr>
          <w:rFonts w:ascii="Garamond" w:hAnsi="Garamond"/>
          <w:sz w:val="24"/>
          <w:szCs w:val="24"/>
        </w:rPr>
        <w:t xml:space="preserve"> and actively engage in achieving its aims</w:t>
      </w:r>
      <w:r w:rsidR="00F90C67">
        <w:rPr>
          <w:rFonts w:ascii="Garamond" w:hAnsi="Garamond"/>
          <w:sz w:val="24"/>
          <w:szCs w:val="24"/>
        </w:rPr>
        <w:t>.</w:t>
      </w:r>
      <w:r w:rsidR="00F90C67">
        <w:rPr>
          <w:rStyle w:val="FootnoteReference"/>
          <w:rFonts w:ascii="Garamond" w:hAnsi="Garamond"/>
          <w:sz w:val="24"/>
          <w:szCs w:val="24"/>
        </w:rPr>
        <w:footnoteReference w:id="10"/>
      </w:r>
      <w:r w:rsidR="00F90C67">
        <w:rPr>
          <w:rFonts w:ascii="Garamond" w:hAnsi="Garamond"/>
          <w:sz w:val="24"/>
          <w:szCs w:val="24"/>
        </w:rPr>
        <w:t xml:space="preserve"> </w:t>
      </w:r>
      <w:r w:rsidR="009E512C">
        <w:rPr>
          <w:rFonts w:ascii="Garamond" w:hAnsi="Garamond"/>
          <w:sz w:val="24"/>
          <w:szCs w:val="24"/>
        </w:rPr>
        <w:t xml:space="preserve">An attempt by a member state to undermine the values of an organisation with a relatively limited number of members has </w:t>
      </w:r>
      <w:r w:rsidR="00D6224C">
        <w:rPr>
          <w:rFonts w:ascii="Garamond" w:hAnsi="Garamond"/>
          <w:sz w:val="24"/>
          <w:szCs w:val="24"/>
        </w:rPr>
        <w:t xml:space="preserve">arguably </w:t>
      </w:r>
      <w:r w:rsidR="009E512C">
        <w:rPr>
          <w:rFonts w:ascii="Garamond" w:hAnsi="Garamond"/>
          <w:sz w:val="24"/>
          <w:szCs w:val="24"/>
        </w:rPr>
        <w:t xml:space="preserve">a greater effect than such actions would have in a global organisation. </w:t>
      </w:r>
      <w:r w:rsidR="00F90C67">
        <w:rPr>
          <w:rFonts w:ascii="Garamond" w:hAnsi="Garamond"/>
          <w:sz w:val="24"/>
          <w:szCs w:val="24"/>
        </w:rPr>
        <w:t xml:space="preserve">Even in this case </w:t>
      </w:r>
      <w:r w:rsidR="00657553">
        <w:rPr>
          <w:rFonts w:ascii="Garamond" w:hAnsi="Garamond"/>
          <w:sz w:val="24"/>
          <w:szCs w:val="24"/>
        </w:rPr>
        <w:t xml:space="preserve">expulsion </w:t>
      </w:r>
      <w:r w:rsidR="008A332C">
        <w:rPr>
          <w:rFonts w:ascii="Garamond" w:hAnsi="Garamond"/>
          <w:sz w:val="24"/>
          <w:szCs w:val="24"/>
        </w:rPr>
        <w:t>should</w:t>
      </w:r>
      <w:r w:rsidR="0065092C">
        <w:rPr>
          <w:rFonts w:ascii="Garamond" w:hAnsi="Garamond"/>
          <w:sz w:val="24"/>
          <w:szCs w:val="24"/>
        </w:rPr>
        <w:t xml:space="preserve"> only </w:t>
      </w:r>
      <w:r w:rsidR="00657553">
        <w:rPr>
          <w:rFonts w:ascii="Garamond" w:hAnsi="Garamond"/>
          <w:sz w:val="24"/>
          <w:szCs w:val="24"/>
        </w:rPr>
        <w:t xml:space="preserve">be </w:t>
      </w:r>
      <w:r w:rsidR="0065092C">
        <w:rPr>
          <w:rFonts w:ascii="Garamond" w:hAnsi="Garamond"/>
          <w:sz w:val="24"/>
          <w:szCs w:val="24"/>
        </w:rPr>
        <w:t>used when the organisation is unable to fulfil its statutory functions through an</w:t>
      </w:r>
      <w:r w:rsidR="00484332">
        <w:rPr>
          <w:rFonts w:ascii="Garamond" w:hAnsi="Garamond"/>
          <w:sz w:val="24"/>
          <w:szCs w:val="24"/>
        </w:rPr>
        <w:t>other</w:t>
      </w:r>
      <w:r w:rsidR="0065092C">
        <w:rPr>
          <w:rFonts w:ascii="Garamond" w:hAnsi="Garamond"/>
          <w:sz w:val="24"/>
          <w:szCs w:val="24"/>
        </w:rPr>
        <w:t xml:space="preserve"> means. </w:t>
      </w:r>
    </w:p>
    <w:p w14:paraId="30A3ABB8" w14:textId="3D3B8F51" w:rsidR="000E4BAF" w:rsidRDefault="000E4BAF">
      <w:pPr>
        <w:spacing w:line="240" w:lineRule="auto"/>
        <w:jc w:val="both"/>
        <w:rPr>
          <w:rFonts w:ascii="Garamond" w:hAnsi="Garamond"/>
          <w:sz w:val="24"/>
          <w:szCs w:val="24"/>
        </w:rPr>
      </w:pPr>
      <w:r>
        <w:rPr>
          <w:rFonts w:ascii="Garamond" w:hAnsi="Garamond"/>
          <w:sz w:val="24"/>
          <w:szCs w:val="24"/>
        </w:rPr>
        <w:t>The aim</w:t>
      </w:r>
      <w:r w:rsidR="00CD1600">
        <w:rPr>
          <w:rFonts w:ascii="Garamond" w:hAnsi="Garamond"/>
          <w:sz w:val="24"/>
          <w:szCs w:val="24"/>
        </w:rPr>
        <w:t>s</w:t>
      </w:r>
      <w:r>
        <w:rPr>
          <w:rFonts w:ascii="Garamond" w:hAnsi="Garamond"/>
          <w:sz w:val="24"/>
          <w:szCs w:val="24"/>
        </w:rPr>
        <w:t xml:space="preserve"> of the </w:t>
      </w:r>
      <w:r w:rsidR="0026418C">
        <w:rPr>
          <w:rFonts w:ascii="Garamond" w:hAnsi="Garamond"/>
          <w:sz w:val="24"/>
          <w:szCs w:val="24"/>
        </w:rPr>
        <w:t xml:space="preserve">CoE </w:t>
      </w:r>
      <w:r w:rsidR="00CD1600">
        <w:rPr>
          <w:rFonts w:ascii="Garamond" w:hAnsi="Garamond"/>
          <w:sz w:val="24"/>
          <w:szCs w:val="24"/>
        </w:rPr>
        <w:t xml:space="preserve">are </w:t>
      </w:r>
      <w:r>
        <w:rPr>
          <w:rFonts w:ascii="Garamond" w:hAnsi="Garamond"/>
          <w:sz w:val="24"/>
          <w:szCs w:val="24"/>
        </w:rPr>
        <w:t xml:space="preserve">stated in Article 1 </w:t>
      </w:r>
      <w:r w:rsidR="00705920">
        <w:rPr>
          <w:rFonts w:ascii="Garamond" w:hAnsi="Garamond"/>
          <w:sz w:val="24"/>
          <w:szCs w:val="24"/>
        </w:rPr>
        <w:t xml:space="preserve">of </w:t>
      </w:r>
      <w:r w:rsidR="00FC0ABF">
        <w:rPr>
          <w:rFonts w:ascii="Garamond" w:hAnsi="Garamond"/>
          <w:sz w:val="24"/>
          <w:szCs w:val="24"/>
        </w:rPr>
        <w:t>its</w:t>
      </w:r>
      <w:r>
        <w:rPr>
          <w:rFonts w:ascii="Garamond" w:hAnsi="Garamond"/>
          <w:sz w:val="24"/>
          <w:szCs w:val="24"/>
        </w:rPr>
        <w:t xml:space="preserve"> Statute:</w:t>
      </w:r>
    </w:p>
    <w:p w14:paraId="11FF8039" w14:textId="64AA5D21" w:rsidR="000E4BAF" w:rsidRPr="007E603C" w:rsidRDefault="000E4BAF" w:rsidP="000E4BAF">
      <w:pPr>
        <w:spacing w:line="240" w:lineRule="auto"/>
        <w:ind w:left="720"/>
        <w:jc w:val="both"/>
        <w:rPr>
          <w:rFonts w:ascii="Garamond" w:hAnsi="Garamond"/>
          <w:sz w:val="24"/>
          <w:szCs w:val="24"/>
        </w:rPr>
      </w:pPr>
      <w:r w:rsidRPr="007E603C">
        <w:rPr>
          <w:rFonts w:ascii="Garamond" w:hAnsi="Garamond"/>
          <w:sz w:val="24"/>
          <w:szCs w:val="24"/>
        </w:rPr>
        <w:t>A</w:t>
      </w:r>
      <w:r>
        <w:rPr>
          <w:rFonts w:ascii="Garamond" w:hAnsi="Garamond"/>
          <w:sz w:val="24"/>
          <w:szCs w:val="24"/>
        </w:rPr>
        <w:t xml:space="preserve">. </w:t>
      </w:r>
      <w:r w:rsidRPr="007E603C">
        <w:rPr>
          <w:rFonts w:ascii="Garamond" w:hAnsi="Garamond"/>
          <w:sz w:val="24"/>
          <w:szCs w:val="24"/>
        </w:rPr>
        <w:t xml:space="preserve">The aim of the </w:t>
      </w:r>
      <w:r w:rsidR="0026418C">
        <w:rPr>
          <w:rFonts w:ascii="Garamond" w:hAnsi="Garamond"/>
          <w:sz w:val="24"/>
          <w:szCs w:val="24"/>
        </w:rPr>
        <w:t xml:space="preserve">CoE </w:t>
      </w:r>
      <w:r w:rsidRPr="007E603C">
        <w:rPr>
          <w:rFonts w:ascii="Garamond" w:hAnsi="Garamond"/>
          <w:sz w:val="24"/>
          <w:szCs w:val="24"/>
        </w:rPr>
        <w:t>is to achieve a greater unity between its members for the purpose of safeguarding and realising the ideals and principles which are their common heritage and facilitating thei</w:t>
      </w:r>
      <w:r>
        <w:rPr>
          <w:rFonts w:ascii="Garamond" w:hAnsi="Garamond"/>
          <w:sz w:val="24"/>
          <w:szCs w:val="24"/>
        </w:rPr>
        <w:t>r economic and social progress.</w:t>
      </w:r>
    </w:p>
    <w:p w14:paraId="11E6BE09" w14:textId="77777777" w:rsidR="000E4BAF" w:rsidRPr="007E603C" w:rsidRDefault="000E4BAF" w:rsidP="000E4BAF">
      <w:pPr>
        <w:spacing w:line="240" w:lineRule="auto"/>
        <w:ind w:left="720"/>
        <w:jc w:val="both"/>
        <w:rPr>
          <w:rFonts w:ascii="Garamond" w:hAnsi="Garamond"/>
          <w:sz w:val="24"/>
          <w:szCs w:val="24"/>
        </w:rPr>
      </w:pPr>
      <w:r>
        <w:rPr>
          <w:rFonts w:ascii="Garamond" w:hAnsi="Garamond"/>
          <w:sz w:val="24"/>
          <w:szCs w:val="24"/>
        </w:rPr>
        <w:t xml:space="preserve">B. </w:t>
      </w:r>
      <w:r w:rsidRPr="007E603C">
        <w:rPr>
          <w:rFonts w:ascii="Garamond" w:hAnsi="Garamond"/>
          <w:sz w:val="24"/>
          <w:szCs w:val="24"/>
        </w:rPr>
        <w:t>This aim shall be pursued through the organs of the Council by discussion of questions of common concern and by agreements and common action in economic, social, cultural, scientific, legal and administrative matters and in the maintenance and further realisation of human rights and fundamental freedoms.</w:t>
      </w:r>
    </w:p>
    <w:p w14:paraId="73E1DE15" w14:textId="67269E0C" w:rsidR="000E4BAF" w:rsidRDefault="000E4BAF" w:rsidP="0053726B">
      <w:pPr>
        <w:spacing w:line="240" w:lineRule="auto"/>
        <w:jc w:val="both"/>
        <w:rPr>
          <w:rFonts w:ascii="Garamond" w:hAnsi="Garamond"/>
          <w:sz w:val="24"/>
          <w:szCs w:val="24"/>
        </w:rPr>
      </w:pPr>
      <w:r>
        <w:rPr>
          <w:rFonts w:ascii="Garamond" w:hAnsi="Garamond"/>
          <w:sz w:val="24"/>
          <w:szCs w:val="24"/>
        </w:rPr>
        <w:t xml:space="preserve">These aims can only be achieved if the </w:t>
      </w:r>
      <w:r w:rsidR="0026418C">
        <w:rPr>
          <w:rFonts w:ascii="Garamond" w:hAnsi="Garamond"/>
          <w:sz w:val="24"/>
          <w:szCs w:val="24"/>
        </w:rPr>
        <w:t xml:space="preserve">CoE </w:t>
      </w:r>
      <w:r>
        <w:rPr>
          <w:rFonts w:ascii="Garamond" w:hAnsi="Garamond"/>
          <w:sz w:val="24"/>
          <w:szCs w:val="24"/>
        </w:rPr>
        <w:t>is formed of likeminded states that share a commitment to ‘</w:t>
      </w:r>
      <w:r w:rsidRPr="002E3A91">
        <w:rPr>
          <w:rFonts w:ascii="Garamond" w:hAnsi="Garamond"/>
          <w:sz w:val="24"/>
          <w:szCs w:val="24"/>
        </w:rPr>
        <w:t>individual freedom, political liberty and the rule of law, principles which form the basis of all genuine democracy</w:t>
      </w:r>
      <w:r>
        <w:rPr>
          <w:rFonts w:ascii="Garamond" w:hAnsi="Garamond"/>
          <w:sz w:val="24"/>
          <w:szCs w:val="24"/>
        </w:rPr>
        <w:t xml:space="preserve">’ as the Preamble to the Statute puts it. </w:t>
      </w:r>
      <w:r w:rsidR="00705920">
        <w:rPr>
          <w:rFonts w:ascii="Garamond" w:hAnsi="Garamond"/>
          <w:sz w:val="24"/>
          <w:szCs w:val="24"/>
        </w:rPr>
        <w:t xml:space="preserve">The use of </w:t>
      </w:r>
      <w:r>
        <w:rPr>
          <w:rFonts w:ascii="Garamond" w:hAnsi="Garamond"/>
          <w:sz w:val="24"/>
          <w:szCs w:val="24"/>
        </w:rPr>
        <w:t xml:space="preserve">the </w:t>
      </w:r>
      <w:r w:rsidR="0026418C">
        <w:rPr>
          <w:rFonts w:ascii="Garamond" w:hAnsi="Garamond"/>
          <w:sz w:val="24"/>
          <w:szCs w:val="24"/>
        </w:rPr>
        <w:t xml:space="preserve">CoE </w:t>
      </w:r>
      <w:r w:rsidR="00705920">
        <w:rPr>
          <w:rFonts w:ascii="Garamond" w:hAnsi="Garamond"/>
          <w:sz w:val="24"/>
          <w:szCs w:val="24"/>
        </w:rPr>
        <w:t>as</w:t>
      </w:r>
      <w:r>
        <w:rPr>
          <w:rFonts w:ascii="Garamond" w:hAnsi="Garamond"/>
          <w:sz w:val="24"/>
          <w:szCs w:val="24"/>
        </w:rPr>
        <w:t xml:space="preserve"> a</w:t>
      </w:r>
      <w:r w:rsidR="00FC0ABF">
        <w:rPr>
          <w:rFonts w:ascii="Garamond" w:hAnsi="Garamond"/>
          <w:sz w:val="24"/>
          <w:szCs w:val="24"/>
        </w:rPr>
        <w:t xml:space="preserve"> </w:t>
      </w:r>
      <w:r w:rsidR="00806EDF">
        <w:rPr>
          <w:rFonts w:ascii="Garamond" w:hAnsi="Garamond"/>
          <w:sz w:val="24"/>
          <w:szCs w:val="24"/>
        </w:rPr>
        <w:t>baseline on which to build international cooperation</w:t>
      </w:r>
      <w:r w:rsidR="00FC0ABF">
        <w:rPr>
          <w:rFonts w:ascii="Garamond" w:hAnsi="Garamond"/>
          <w:sz w:val="24"/>
          <w:szCs w:val="24"/>
        </w:rPr>
        <w:t xml:space="preserve"> </w:t>
      </w:r>
      <w:r w:rsidR="00705920">
        <w:rPr>
          <w:rFonts w:ascii="Garamond" w:hAnsi="Garamond"/>
          <w:sz w:val="24"/>
          <w:szCs w:val="24"/>
        </w:rPr>
        <w:t xml:space="preserve">can be seen in the </w:t>
      </w:r>
      <w:r w:rsidR="00FC0ABF">
        <w:rPr>
          <w:rFonts w:ascii="Garamond" w:hAnsi="Garamond"/>
          <w:sz w:val="24"/>
          <w:szCs w:val="24"/>
        </w:rPr>
        <w:t>h</w:t>
      </w:r>
      <w:r>
        <w:rPr>
          <w:rFonts w:ascii="Garamond" w:hAnsi="Garamond"/>
          <w:sz w:val="24"/>
          <w:szCs w:val="24"/>
        </w:rPr>
        <w:t xml:space="preserve">undreds of treaties </w:t>
      </w:r>
      <w:r w:rsidR="00705920">
        <w:rPr>
          <w:rFonts w:ascii="Garamond" w:hAnsi="Garamond"/>
          <w:sz w:val="24"/>
          <w:szCs w:val="24"/>
        </w:rPr>
        <w:t xml:space="preserve">which have been </w:t>
      </w:r>
      <w:r>
        <w:rPr>
          <w:rFonts w:ascii="Garamond" w:hAnsi="Garamond"/>
          <w:sz w:val="24"/>
          <w:szCs w:val="24"/>
        </w:rPr>
        <w:t xml:space="preserve">concluded </w:t>
      </w:r>
      <w:r w:rsidR="00433DA2">
        <w:rPr>
          <w:rFonts w:ascii="Garamond" w:hAnsi="Garamond"/>
          <w:sz w:val="24"/>
          <w:szCs w:val="24"/>
        </w:rPr>
        <w:t>in Strasbourg</w:t>
      </w:r>
      <w:r w:rsidR="00FC0ABF">
        <w:rPr>
          <w:rFonts w:ascii="Garamond" w:hAnsi="Garamond"/>
          <w:sz w:val="24"/>
          <w:szCs w:val="24"/>
        </w:rPr>
        <w:t>.</w:t>
      </w:r>
      <w:r w:rsidR="00705920">
        <w:rPr>
          <w:rStyle w:val="FootnoteReference"/>
          <w:rFonts w:ascii="Garamond" w:hAnsi="Garamond"/>
          <w:sz w:val="24"/>
          <w:szCs w:val="24"/>
        </w:rPr>
        <w:footnoteReference w:id="11"/>
      </w:r>
      <w:r w:rsidR="00FC0ABF">
        <w:rPr>
          <w:rFonts w:ascii="Garamond" w:hAnsi="Garamond"/>
          <w:sz w:val="24"/>
          <w:szCs w:val="24"/>
        </w:rPr>
        <w:t xml:space="preserve"> A lot has been done to ensure </w:t>
      </w:r>
      <w:r w:rsidR="00705920">
        <w:rPr>
          <w:rFonts w:ascii="Garamond" w:hAnsi="Garamond"/>
          <w:sz w:val="24"/>
          <w:szCs w:val="24"/>
        </w:rPr>
        <w:t xml:space="preserve">a </w:t>
      </w:r>
      <w:r w:rsidR="00FC0ABF">
        <w:rPr>
          <w:rFonts w:ascii="Garamond" w:hAnsi="Garamond"/>
          <w:sz w:val="24"/>
          <w:szCs w:val="24"/>
        </w:rPr>
        <w:t>high level of human rights protection in Europe:</w:t>
      </w:r>
      <w:r>
        <w:rPr>
          <w:rFonts w:ascii="Garamond" w:hAnsi="Garamond"/>
          <w:sz w:val="24"/>
          <w:szCs w:val="24"/>
        </w:rPr>
        <w:t xml:space="preserve"> </w:t>
      </w:r>
      <w:r w:rsidR="00705920">
        <w:rPr>
          <w:rFonts w:ascii="Garamond" w:hAnsi="Garamond"/>
          <w:sz w:val="24"/>
          <w:szCs w:val="24"/>
        </w:rPr>
        <w:t>the</w:t>
      </w:r>
      <w:r>
        <w:rPr>
          <w:rFonts w:ascii="Garamond" w:hAnsi="Garamond"/>
          <w:sz w:val="24"/>
          <w:szCs w:val="24"/>
        </w:rPr>
        <w:t xml:space="preserve"> Convention for the Protection of Human Rights and Fundamental Freedoms and the European Court of Human Rights </w:t>
      </w:r>
      <w:r w:rsidR="00705920">
        <w:rPr>
          <w:rFonts w:ascii="Garamond" w:hAnsi="Garamond"/>
          <w:sz w:val="24"/>
          <w:szCs w:val="24"/>
        </w:rPr>
        <w:t xml:space="preserve">are, by common consensus, </w:t>
      </w:r>
      <w:r>
        <w:rPr>
          <w:rFonts w:ascii="Garamond" w:hAnsi="Garamond"/>
          <w:sz w:val="24"/>
          <w:szCs w:val="24"/>
        </w:rPr>
        <w:t>the most effective system of regional human rights protection in the world.</w:t>
      </w:r>
      <w:r w:rsidR="004872D5">
        <w:rPr>
          <w:rStyle w:val="FootnoteReference"/>
          <w:rFonts w:ascii="Garamond" w:hAnsi="Garamond"/>
          <w:sz w:val="24"/>
          <w:szCs w:val="24"/>
        </w:rPr>
        <w:footnoteReference w:id="12"/>
      </w:r>
      <w:r>
        <w:rPr>
          <w:rFonts w:ascii="Garamond" w:hAnsi="Garamond"/>
          <w:sz w:val="24"/>
          <w:szCs w:val="24"/>
        </w:rPr>
        <w:t xml:space="preserve"> </w:t>
      </w:r>
    </w:p>
    <w:p w14:paraId="3D3D99B8" w14:textId="5AAB68E9" w:rsidR="00CB101C" w:rsidRDefault="009748F1" w:rsidP="0053726B">
      <w:pPr>
        <w:spacing w:line="240" w:lineRule="auto"/>
        <w:jc w:val="both"/>
        <w:rPr>
          <w:rFonts w:ascii="Garamond" w:hAnsi="Garamond"/>
          <w:sz w:val="24"/>
          <w:szCs w:val="24"/>
        </w:rPr>
      </w:pPr>
      <w:r>
        <w:rPr>
          <w:rFonts w:ascii="Garamond" w:hAnsi="Garamond"/>
          <w:sz w:val="24"/>
          <w:szCs w:val="24"/>
        </w:rPr>
        <w:t>The f</w:t>
      </w:r>
      <w:r w:rsidR="00CD1600">
        <w:rPr>
          <w:rFonts w:ascii="Garamond" w:hAnsi="Garamond"/>
          <w:sz w:val="24"/>
          <w:szCs w:val="24"/>
        </w:rPr>
        <w:t>ocus on h</w:t>
      </w:r>
      <w:r w:rsidR="00CB101C">
        <w:rPr>
          <w:rFonts w:ascii="Garamond" w:hAnsi="Garamond"/>
          <w:sz w:val="24"/>
          <w:szCs w:val="24"/>
        </w:rPr>
        <w:t xml:space="preserve">uman </w:t>
      </w:r>
      <w:r w:rsidR="00CD1600">
        <w:rPr>
          <w:rFonts w:ascii="Garamond" w:hAnsi="Garamond"/>
          <w:sz w:val="24"/>
          <w:szCs w:val="24"/>
        </w:rPr>
        <w:t>r</w:t>
      </w:r>
      <w:r w:rsidR="00CB101C">
        <w:rPr>
          <w:rFonts w:ascii="Garamond" w:hAnsi="Garamond"/>
          <w:sz w:val="24"/>
          <w:szCs w:val="24"/>
        </w:rPr>
        <w:t>ights,</w:t>
      </w:r>
      <w:r w:rsidR="00CD1600">
        <w:rPr>
          <w:rFonts w:ascii="Garamond" w:hAnsi="Garamond"/>
          <w:sz w:val="24"/>
          <w:szCs w:val="24"/>
        </w:rPr>
        <w:t xml:space="preserve"> the</w:t>
      </w:r>
      <w:r w:rsidR="00CB101C">
        <w:rPr>
          <w:rFonts w:ascii="Garamond" w:hAnsi="Garamond"/>
          <w:sz w:val="24"/>
          <w:szCs w:val="24"/>
        </w:rPr>
        <w:t xml:space="preserve"> </w:t>
      </w:r>
      <w:r w:rsidR="00CD1600">
        <w:rPr>
          <w:rFonts w:ascii="Garamond" w:hAnsi="Garamond"/>
          <w:sz w:val="24"/>
          <w:szCs w:val="24"/>
        </w:rPr>
        <w:t>r</w:t>
      </w:r>
      <w:r w:rsidR="00CB101C">
        <w:rPr>
          <w:rFonts w:ascii="Garamond" w:hAnsi="Garamond"/>
          <w:sz w:val="24"/>
          <w:szCs w:val="24"/>
        </w:rPr>
        <w:t xml:space="preserve">ule of </w:t>
      </w:r>
      <w:r w:rsidR="00CD1600">
        <w:rPr>
          <w:rFonts w:ascii="Garamond" w:hAnsi="Garamond"/>
          <w:sz w:val="24"/>
          <w:szCs w:val="24"/>
        </w:rPr>
        <w:t>law, d</w:t>
      </w:r>
      <w:r w:rsidR="00CB101C">
        <w:rPr>
          <w:rFonts w:ascii="Garamond" w:hAnsi="Garamond"/>
          <w:sz w:val="24"/>
          <w:szCs w:val="24"/>
        </w:rPr>
        <w:t xml:space="preserve">emocracy and peaceful cooperation makes the </w:t>
      </w:r>
      <w:r w:rsidR="0026418C">
        <w:rPr>
          <w:rFonts w:ascii="Garamond" w:hAnsi="Garamond"/>
          <w:sz w:val="24"/>
          <w:szCs w:val="24"/>
        </w:rPr>
        <w:t xml:space="preserve">CoE </w:t>
      </w:r>
      <w:r>
        <w:rPr>
          <w:rFonts w:ascii="Garamond" w:hAnsi="Garamond"/>
          <w:sz w:val="24"/>
          <w:szCs w:val="24"/>
        </w:rPr>
        <w:t xml:space="preserve">especially </w:t>
      </w:r>
      <w:r w:rsidR="009F15A3">
        <w:rPr>
          <w:rFonts w:ascii="Garamond" w:hAnsi="Garamond"/>
          <w:sz w:val="24"/>
          <w:szCs w:val="24"/>
        </w:rPr>
        <w:t>prone</w:t>
      </w:r>
      <w:r w:rsidR="00CB101C">
        <w:rPr>
          <w:rFonts w:ascii="Garamond" w:hAnsi="Garamond"/>
          <w:sz w:val="24"/>
          <w:szCs w:val="24"/>
        </w:rPr>
        <w:t xml:space="preserve"> to applying expulsion as a sanction of last resort. </w:t>
      </w:r>
      <w:r w:rsidR="009F15A3">
        <w:rPr>
          <w:rFonts w:ascii="Garamond" w:hAnsi="Garamond"/>
          <w:sz w:val="24"/>
          <w:szCs w:val="24"/>
        </w:rPr>
        <w:t xml:space="preserve">The aim of this sanction is </w:t>
      </w:r>
      <w:r w:rsidR="00B04056">
        <w:rPr>
          <w:rFonts w:ascii="Garamond" w:hAnsi="Garamond"/>
          <w:sz w:val="24"/>
          <w:szCs w:val="24"/>
        </w:rPr>
        <w:t xml:space="preserve">to </w:t>
      </w:r>
      <w:r w:rsidR="009F15A3">
        <w:rPr>
          <w:rFonts w:ascii="Garamond" w:hAnsi="Garamond"/>
          <w:sz w:val="24"/>
          <w:szCs w:val="24"/>
        </w:rPr>
        <w:t>ensure that the member state</w:t>
      </w:r>
      <w:r w:rsidR="00B04056">
        <w:rPr>
          <w:rFonts w:ascii="Garamond" w:hAnsi="Garamond"/>
          <w:sz w:val="24"/>
          <w:szCs w:val="24"/>
        </w:rPr>
        <w:t>s comply</w:t>
      </w:r>
      <w:r w:rsidR="009F15A3">
        <w:rPr>
          <w:rFonts w:ascii="Garamond" w:hAnsi="Garamond"/>
          <w:sz w:val="24"/>
          <w:szCs w:val="24"/>
        </w:rPr>
        <w:t xml:space="preserve"> with the </w:t>
      </w:r>
      <w:r w:rsidR="00906CE6">
        <w:rPr>
          <w:rFonts w:ascii="Garamond" w:hAnsi="Garamond"/>
          <w:sz w:val="24"/>
          <w:szCs w:val="24"/>
        </w:rPr>
        <w:t xml:space="preserve">normative </w:t>
      </w:r>
      <w:r w:rsidR="009F15A3">
        <w:rPr>
          <w:rFonts w:ascii="Garamond" w:hAnsi="Garamond"/>
          <w:sz w:val="24"/>
          <w:szCs w:val="24"/>
        </w:rPr>
        <w:t xml:space="preserve">obligations </w:t>
      </w:r>
      <w:r w:rsidR="00906CE6">
        <w:rPr>
          <w:rFonts w:ascii="Garamond" w:hAnsi="Garamond"/>
          <w:sz w:val="24"/>
          <w:szCs w:val="24"/>
        </w:rPr>
        <w:t>of</w:t>
      </w:r>
      <w:r w:rsidR="009F15A3">
        <w:rPr>
          <w:rFonts w:ascii="Garamond" w:hAnsi="Garamond"/>
          <w:sz w:val="24"/>
          <w:szCs w:val="24"/>
        </w:rPr>
        <w:t xml:space="preserve"> the organisation. The secondary aim is to maintain the legitimacy of the organisation in general. In other words, the state in question may be expelled if there is no other way to </w:t>
      </w:r>
      <w:r w:rsidR="00906CE6">
        <w:rPr>
          <w:rFonts w:ascii="Garamond" w:hAnsi="Garamond"/>
          <w:sz w:val="24"/>
          <w:szCs w:val="24"/>
        </w:rPr>
        <w:t>induce or compel</w:t>
      </w:r>
      <w:r w:rsidR="009F15A3">
        <w:rPr>
          <w:rFonts w:ascii="Garamond" w:hAnsi="Garamond"/>
          <w:sz w:val="24"/>
          <w:szCs w:val="24"/>
        </w:rPr>
        <w:t xml:space="preserve"> it to comply</w:t>
      </w:r>
      <w:r w:rsidR="00906CE6">
        <w:rPr>
          <w:rFonts w:ascii="Garamond" w:hAnsi="Garamond"/>
          <w:sz w:val="24"/>
          <w:szCs w:val="24"/>
        </w:rPr>
        <w:t xml:space="preserve"> with its obligations</w:t>
      </w:r>
      <w:r w:rsidR="009F15A3">
        <w:rPr>
          <w:rFonts w:ascii="Garamond" w:hAnsi="Garamond"/>
          <w:sz w:val="24"/>
          <w:szCs w:val="24"/>
        </w:rPr>
        <w:t xml:space="preserve">. At the same time expulsion </w:t>
      </w:r>
      <w:r w:rsidR="00906CE6">
        <w:rPr>
          <w:rFonts w:ascii="Garamond" w:hAnsi="Garamond"/>
          <w:sz w:val="24"/>
          <w:szCs w:val="24"/>
        </w:rPr>
        <w:t>may serve to</w:t>
      </w:r>
      <w:r w:rsidR="009F15A3">
        <w:rPr>
          <w:rFonts w:ascii="Garamond" w:hAnsi="Garamond"/>
          <w:sz w:val="24"/>
          <w:szCs w:val="24"/>
        </w:rPr>
        <w:t xml:space="preserve"> increase the legitimacy of the international organisation because it would show that th</w:t>
      </w:r>
      <w:r w:rsidR="00906CE6">
        <w:rPr>
          <w:rFonts w:ascii="Garamond" w:hAnsi="Garamond"/>
          <w:sz w:val="24"/>
          <w:szCs w:val="24"/>
        </w:rPr>
        <w:t>e</w:t>
      </w:r>
      <w:r w:rsidR="009F15A3">
        <w:rPr>
          <w:rFonts w:ascii="Garamond" w:hAnsi="Garamond"/>
          <w:sz w:val="24"/>
          <w:szCs w:val="24"/>
        </w:rPr>
        <w:t xml:space="preserve"> organisat</w:t>
      </w:r>
      <w:r w:rsidR="003509A3">
        <w:rPr>
          <w:rFonts w:ascii="Garamond" w:hAnsi="Garamond"/>
          <w:sz w:val="24"/>
          <w:szCs w:val="24"/>
        </w:rPr>
        <w:t xml:space="preserve">ion </w:t>
      </w:r>
      <w:r w:rsidR="00906CE6">
        <w:rPr>
          <w:rFonts w:ascii="Garamond" w:hAnsi="Garamond"/>
          <w:sz w:val="24"/>
          <w:szCs w:val="24"/>
        </w:rPr>
        <w:t xml:space="preserve">in question </w:t>
      </w:r>
      <w:r w:rsidR="003509A3">
        <w:rPr>
          <w:rFonts w:ascii="Garamond" w:hAnsi="Garamond"/>
          <w:sz w:val="24"/>
          <w:szCs w:val="24"/>
        </w:rPr>
        <w:t>takes compliance seriously.</w:t>
      </w:r>
    </w:p>
    <w:p w14:paraId="722B0AF6" w14:textId="792AD2D7" w:rsidR="003509A3" w:rsidRDefault="00906CE6" w:rsidP="0053726B">
      <w:pPr>
        <w:spacing w:line="240" w:lineRule="auto"/>
        <w:jc w:val="both"/>
        <w:rPr>
          <w:rFonts w:ascii="Garamond" w:hAnsi="Garamond"/>
          <w:sz w:val="24"/>
          <w:szCs w:val="24"/>
        </w:rPr>
      </w:pPr>
      <w:r>
        <w:rPr>
          <w:rFonts w:ascii="Garamond" w:hAnsi="Garamond"/>
          <w:sz w:val="24"/>
          <w:szCs w:val="24"/>
        </w:rPr>
        <w:t xml:space="preserve">There are some discernible patterns in relation to the reasons given for and the means by which suspension and expulsion of members are carried out by international organisations. </w:t>
      </w:r>
      <w:r w:rsidR="003509A3">
        <w:rPr>
          <w:rFonts w:ascii="Garamond" w:hAnsi="Garamond"/>
          <w:sz w:val="24"/>
          <w:szCs w:val="24"/>
        </w:rPr>
        <w:t xml:space="preserve">Three </w:t>
      </w:r>
      <w:r>
        <w:rPr>
          <w:rFonts w:ascii="Garamond" w:hAnsi="Garamond"/>
          <w:sz w:val="24"/>
          <w:szCs w:val="24"/>
        </w:rPr>
        <w:t xml:space="preserve">elements are noteworthy for the purposes of this paper. </w:t>
      </w:r>
      <w:r w:rsidR="003509A3">
        <w:rPr>
          <w:rFonts w:ascii="Garamond" w:hAnsi="Garamond"/>
          <w:sz w:val="24"/>
          <w:szCs w:val="24"/>
        </w:rPr>
        <w:t xml:space="preserve">First, </w:t>
      </w:r>
      <w:r w:rsidR="008D51D7">
        <w:rPr>
          <w:rFonts w:ascii="Garamond" w:hAnsi="Garamond"/>
          <w:sz w:val="24"/>
          <w:szCs w:val="24"/>
        </w:rPr>
        <w:t xml:space="preserve">the founding documents of an international organisation should </w:t>
      </w:r>
      <w:r>
        <w:rPr>
          <w:rFonts w:ascii="Garamond" w:hAnsi="Garamond"/>
          <w:sz w:val="24"/>
          <w:szCs w:val="24"/>
        </w:rPr>
        <w:t>explicitly provide for the possibility of expulsion.</w:t>
      </w:r>
      <w:r w:rsidR="008D51D7">
        <w:rPr>
          <w:rFonts w:ascii="Garamond" w:hAnsi="Garamond"/>
          <w:sz w:val="24"/>
          <w:szCs w:val="24"/>
        </w:rPr>
        <w:t xml:space="preserve"> </w:t>
      </w:r>
      <w:r>
        <w:rPr>
          <w:rFonts w:ascii="Garamond" w:hAnsi="Garamond"/>
          <w:sz w:val="24"/>
          <w:szCs w:val="24"/>
        </w:rPr>
        <w:t>If the statute of an international organisation does not provide for such a power, and there are examples of this, then a purported expulsion may be viewed as illegitimate.</w:t>
      </w:r>
      <w:r w:rsidR="008D51D7">
        <w:rPr>
          <w:rStyle w:val="FootnoteReference"/>
          <w:rFonts w:ascii="Garamond" w:hAnsi="Garamond"/>
          <w:sz w:val="24"/>
          <w:szCs w:val="24"/>
        </w:rPr>
        <w:footnoteReference w:id="13"/>
      </w:r>
      <w:r w:rsidR="003509A3">
        <w:rPr>
          <w:rFonts w:ascii="Garamond" w:hAnsi="Garamond"/>
          <w:sz w:val="24"/>
          <w:szCs w:val="24"/>
        </w:rPr>
        <w:t xml:space="preserve"> </w:t>
      </w:r>
    </w:p>
    <w:p w14:paraId="707291F3" w14:textId="0D720996" w:rsidR="00E37D37" w:rsidRDefault="00E37D37" w:rsidP="0053726B">
      <w:pPr>
        <w:spacing w:line="240" w:lineRule="auto"/>
        <w:jc w:val="both"/>
        <w:rPr>
          <w:rFonts w:ascii="Garamond" w:hAnsi="Garamond"/>
          <w:sz w:val="24"/>
          <w:szCs w:val="24"/>
        </w:rPr>
      </w:pPr>
      <w:r>
        <w:rPr>
          <w:rFonts w:ascii="Garamond" w:hAnsi="Garamond"/>
          <w:sz w:val="24"/>
          <w:szCs w:val="24"/>
        </w:rPr>
        <w:lastRenderedPageBreak/>
        <w:t xml:space="preserve">Second, </w:t>
      </w:r>
      <w:r w:rsidR="008D51D7">
        <w:rPr>
          <w:rFonts w:ascii="Garamond" w:hAnsi="Garamond"/>
          <w:sz w:val="24"/>
          <w:szCs w:val="24"/>
        </w:rPr>
        <w:t xml:space="preserve">there should be </w:t>
      </w:r>
      <w:r w:rsidR="00906CE6">
        <w:rPr>
          <w:rFonts w:ascii="Garamond" w:hAnsi="Garamond"/>
          <w:sz w:val="24"/>
          <w:szCs w:val="24"/>
        </w:rPr>
        <w:t>a level of conflict with member states which rises beyond the normal level one might anti</w:t>
      </w:r>
      <w:r w:rsidR="00134470">
        <w:rPr>
          <w:rFonts w:ascii="Garamond" w:hAnsi="Garamond"/>
          <w:sz w:val="24"/>
          <w:szCs w:val="24"/>
        </w:rPr>
        <w:t xml:space="preserve">cipate in an organisation: there must be a crisis. </w:t>
      </w:r>
      <w:r w:rsidR="00B04056">
        <w:rPr>
          <w:rFonts w:ascii="Garamond" w:hAnsi="Garamond"/>
          <w:sz w:val="24"/>
          <w:szCs w:val="24"/>
        </w:rPr>
        <w:t xml:space="preserve"> </w:t>
      </w:r>
      <w:r w:rsidR="00134470">
        <w:rPr>
          <w:rFonts w:ascii="Garamond" w:hAnsi="Garamond"/>
          <w:sz w:val="24"/>
          <w:szCs w:val="24"/>
        </w:rPr>
        <w:t xml:space="preserve">By this, </w:t>
      </w:r>
      <w:r w:rsidR="00B04056">
        <w:rPr>
          <w:rFonts w:ascii="Garamond" w:hAnsi="Garamond"/>
          <w:sz w:val="24"/>
          <w:szCs w:val="24"/>
        </w:rPr>
        <w:t>we mean that member states</w:t>
      </w:r>
      <w:r w:rsidR="008D51D7">
        <w:rPr>
          <w:rFonts w:ascii="Garamond" w:hAnsi="Garamond"/>
          <w:sz w:val="24"/>
          <w:szCs w:val="24"/>
        </w:rPr>
        <w:t xml:space="preserve"> </w:t>
      </w:r>
      <w:r w:rsidR="00CD1600">
        <w:rPr>
          <w:rFonts w:ascii="Garamond" w:hAnsi="Garamond"/>
          <w:sz w:val="24"/>
          <w:szCs w:val="24"/>
        </w:rPr>
        <w:t>show</w:t>
      </w:r>
      <w:r w:rsidR="00134470">
        <w:rPr>
          <w:rFonts w:ascii="Garamond" w:hAnsi="Garamond"/>
          <w:sz w:val="24"/>
          <w:szCs w:val="24"/>
        </w:rPr>
        <w:t xml:space="preserve"> serious </w:t>
      </w:r>
      <w:r w:rsidR="008D51D7">
        <w:rPr>
          <w:rFonts w:ascii="Garamond" w:hAnsi="Garamond"/>
          <w:sz w:val="24"/>
          <w:szCs w:val="24"/>
        </w:rPr>
        <w:t xml:space="preserve">disregard </w:t>
      </w:r>
      <w:r w:rsidR="00134470">
        <w:rPr>
          <w:rFonts w:ascii="Garamond" w:hAnsi="Garamond"/>
          <w:sz w:val="24"/>
          <w:szCs w:val="24"/>
        </w:rPr>
        <w:t>of</w:t>
      </w:r>
      <w:r w:rsidR="008D51D7">
        <w:rPr>
          <w:rFonts w:ascii="Garamond" w:hAnsi="Garamond"/>
          <w:sz w:val="24"/>
          <w:szCs w:val="24"/>
        </w:rPr>
        <w:t xml:space="preserve"> the statutory aims of the organisation.</w:t>
      </w:r>
      <w:r w:rsidR="00B04056">
        <w:rPr>
          <w:rFonts w:ascii="Garamond" w:hAnsi="Garamond"/>
          <w:sz w:val="24"/>
          <w:szCs w:val="24"/>
        </w:rPr>
        <w:t xml:space="preserve"> The crisis should reach</w:t>
      </w:r>
      <w:r w:rsidR="00CD1600">
        <w:rPr>
          <w:rFonts w:ascii="Garamond" w:hAnsi="Garamond"/>
          <w:sz w:val="24"/>
          <w:szCs w:val="24"/>
        </w:rPr>
        <w:t xml:space="preserve"> a</w:t>
      </w:r>
      <w:r w:rsidR="00B04056">
        <w:rPr>
          <w:rFonts w:ascii="Garamond" w:hAnsi="Garamond"/>
          <w:sz w:val="24"/>
          <w:szCs w:val="24"/>
        </w:rPr>
        <w:t xml:space="preserve"> certain magnitude</w:t>
      </w:r>
      <w:r w:rsidR="00CD1600">
        <w:rPr>
          <w:rFonts w:ascii="Garamond" w:hAnsi="Garamond"/>
          <w:sz w:val="24"/>
          <w:szCs w:val="24"/>
        </w:rPr>
        <w:t xml:space="preserve"> to raise the question of expulsion</w:t>
      </w:r>
      <w:r w:rsidR="00841D9B">
        <w:rPr>
          <w:rFonts w:ascii="Garamond" w:hAnsi="Garamond"/>
          <w:sz w:val="24"/>
          <w:szCs w:val="24"/>
        </w:rPr>
        <w:t xml:space="preserve">, e.g. an act of aggression in an organisation dedicated to peace. </w:t>
      </w:r>
    </w:p>
    <w:p w14:paraId="08F07E09" w14:textId="49ACF91E" w:rsidR="00317519" w:rsidRDefault="002A0F41" w:rsidP="0053726B">
      <w:pPr>
        <w:spacing w:line="240" w:lineRule="auto"/>
        <w:jc w:val="both"/>
        <w:rPr>
          <w:rFonts w:ascii="Garamond" w:hAnsi="Garamond"/>
          <w:sz w:val="24"/>
          <w:szCs w:val="24"/>
        </w:rPr>
      </w:pPr>
      <w:r>
        <w:rPr>
          <w:rFonts w:ascii="Garamond" w:hAnsi="Garamond"/>
          <w:sz w:val="24"/>
          <w:szCs w:val="24"/>
        </w:rPr>
        <w:t xml:space="preserve">Finally, even if the statute of an international organisation </w:t>
      </w:r>
      <w:r w:rsidR="00841D9B">
        <w:rPr>
          <w:rFonts w:ascii="Garamond" w:hAnsi="Garamond"/>
          <w:sz w:val="24"/>
          <w:szCs w:val="24"/>
        </w:rPr>
        <w:t>provides for the possibility of expulsion,</w:t>
      </w:r>
      <w:r>
        <w:rPr>
          <w:rFonts w:ascii="Garamond" w:hAnsi="Garamond"/>
          <w:sz w:val="24"/>
          <w:szCs w:val="24"/>
        </w:rPr>
        <w:t xml:space="preserve"> this international organisation should only use </w:t>
      </w:r>
      <w:r w:rsidR="00B04056">
        <w:rPr>
          <w:rFonts w:ascii="Garamond" w:hAnsi="Garamond"/>
          <w:sz w:val="24"/>
          <w:szCs w:val="24"/>
        </w:rPr>
        <w:t>this sanction</w:t>
      </w:r>
      <w:r>
        <w:rPr>
          <w:rFonts w:ascii="Garamond" w:hAnsi="Garamond"/>
          <w:sz w:val="24"/>
          <w:szCs w:val="24"/>
        </w:rPr>
        <w:t xml:space="preserve"> as a matter of last resort </w:t>
      </w:r>
      <w:r w:rsidR="00B04056">
        <w:rPr>
          <w:rFonts w:ascii="Garamond" w:hAnsi="Garamond"/>
          <w:sz w:val="24"/>
          <w:szCs w:val="24"/>
        </w:rPr>
        <w:t xml:space="preserve">by </w:t>
      </w:r>
      <w:r>
        <w:rPr>
          <w:rFonts w:ascii="Garamond" w:hAnsi="Garamond"/>
          <w:sz w:val="24"/>
          <w:szCs w:val="24"/>
        </w:rPr>
        <w:t xml:space="preserve">carefully </w:t>
      </w:r>
      <w:r w:rsidR="00841D9B">
        <w:rPr>
          <w:rFonts w:ascii="Garamond" w:hAnsi="Garamond"/>
          <w:sz w:val="24"/>
          <w:szCs w:val="24"/>
        </w:rPr>
        <w:t>considering</w:t>
      </w:r>
      <w:r w:rsidR="00B04056">
        <w:rPr>
          <w:rFonts w:ascii="Garamond" w:hAnsi="Garamond"/>
          <w:sz w:val="24"/>
          <w:szCs w:val="24"/>
        </w:rPr>
        <w:t xml:space="preserve"> all relevant factors</w:t>
      </w:r>
      <w:r>
        <w:rPr>
          <w:rFonts w:ascii="Garamond" w:hAnsi="Garamond"/>
          <w:sz w:val="24"/>
          <w:szCs w:val="24"/>
        </w:rPr>
        <w:t xml:space="preserve">. This </w:t>
      </w:r>
      <w:r w:rsidR="00B04056">
        <w:rPr>
          <w:rFonts w:ascii="Garamond" w:hAnsi="Garamond"/>
          <w:sz w:val="24"/>
          <w:szCs w:val="24"/>
        </w:rPr>
        <w:t>article</w:t>
      </w:r>
      <w:r>
        <w:rPr>
          <w:rFonts w:ascii="Garamond" w:hAnsi="Garamond"/>
          <w:sz w:val="24"/>
          <w:szCs w:val="24"/>
        </w:rPr>
        <w:t xml:space="preserve"> will briefly look </w:t>
      </w:r>
      <w:r w:rsidR="00841D9B">
        <w:rPr>
          <w:rFonts w:ascii="Garamond" w:hAnsi="Garamond"/>
          <w:sz w:val="24"/>
          <w:szCs w:val="24"/>
        </w:rPr>
        <w:t>at</w:t>
      </w:r>
      <w:r>
        <w:rPr>
          <w:rFonts w:ascii="Garamond" w:hAnsi="Garamond"/>
          <w:sz w:val="24"/>
          <w:szCs w:val="24"/>
        </w:rPr>
        <w:t xml:space="preserve"> the practice </w:t>
      </w:r>
      <w:r w:rsidR="00BA0F12">
        <w:rPr>
          <w:rFonts w:ascii="Garamond" w:hAnsi="Garamond"/>
          <w:sz w:val="24"/>
          <w:szCs w:val="24"/>
        </w:rPr>
        <w:t>of international organisations</w:t>
      </w:r>
      <w:r w:rsidR="00B04056">
        <w:rPr>
          <w:rFonts w:ascii="Garamond" w:hAnsi="Garamond"/>
          <w:sz w:val="24"/>
          <w:szCs w:val="24"/>
        </w:rPr>
        <w:t xml:space="preserve"> to establish some common patterns</w:t>
      </w:r>
      <w:r w:rsidR="007C562B">
        <w:rPr>
          <w:rFonts w:ascii="Garamond" w:hAnsi="Garamond"/>
          <w:sz w:val="24"/>
          <w:szCs w:val="24"/>
        </w:rPr>
        <w:t xml:space="preserve"> </w:t>
      </w:r>
      <w:r w:rsidR="00841D9B">
        <w:rPr>
          <w:rFonts w:ascii="Garamond" w:hAnsi="Garamond"/>
          <w:sz w:val="24"/>
          <w:szCs w:val="24"/>
        </w:rPr>
        <w:t>in relation to</w:t>
      </w:r>
      <w:r w:rsidR="007C562B">
        <w:rPr>
          <w:rFonts w:ascii="Garamond" w:hAnsi="Garamond"/>
          <w:sz w:val="24"/>
          <w:szCs w:val="24"/>
        </w:rPr>
        <w:t xml:space="preserve"> these three aspects of expulsion</w:t>
      </w:r>
      <w:r>
        <w:rPr>
          <w:rFonts w:ascii="Garamond" w:hAnsi="Garamond"/>
          <w:sz w:val="24"/>
          <w:szCs w:val="24"/>
        </w:rPr>
        <w:t xml:space="preserve">. </w:t>
      </w:r>
    </w:p>
    <w:p w14:paraId="185B3AEC" w14:textId="5D58823A" w:rsidR="00A94DCB" w:rsidRPr="004943DC" w:rsidRDefault="00A94DCB" w:rsidP="0053726B">
      <w:pPr>
        <w:spacing w:line="240" w:lineRule="auto"/>
        <w:jc w:val="both"/>
        <w:rPr>
          <w:rFonts w:ascii="Garamond" w:hAnsi="Garamond"/>
          <w:b/>
          <w:sz w:val="24"/>
          <w:szCs w:val="24"/>
        </w:rPr>
      </w:pPr>
      <w:r w:rsidRPr="004943DC">
        <w:rPr>
          <w:rFonts w:ascii="Garamond" w:hAnsi="Garamond"/>
          <w:b/>
          <w:sz w:val="24"/>
          <w:szCs w:val="24"/>
        </w:rPr>
        <w:t>2. Three aspects of expulsion.</w:t>
      </w:r>
    </w:p>
    <w:p w14:paraId="050715F2" w14:textId="310C65CE" w:rsidR="000774E9" w:rsidRPr="004943DC" w:rsidRDefault="00A51B64" w:rsidP="0053726B">
      <w:pPr>
        <w:spacing w:line="240" w:lineRule="auto"/>
        <w:jc w:val="both"/>
        <w:rPr>
          <w:rFonts w:ascii="Garamond" w:hAnsi="Garamond"/>
          <w:b/>
          <w:sz w:val="24"/>
          <w:szCs w:val="24"/>
        </w:rPr>
      </w:pPr>
      <w:r w:rsidRPr="00A51B64">
        <w:rPr>
          <w:rFonts w:ascii="Garamond" w:hAnsi="Garamond"/>
          <w:b/>
          <w:sz w:val="24"/>
          <w:szCs w:val="24"/>
        </w:rPr>
        <w:t>2.1 Legal P</w:t>
      </w:r>
      <w:r w:rsidR="009B5B3C">
        <w:rPr>
          <w:rFonts w:ascii="Garamond" w:hAnsi="Garamond"/>
          <w:b/>
          <w:sz w:val="24"/>
          <w:szCs w:val="24"/>
        </w:rPr>
        <w:t>ower to E</w:t>
      </w:r>
      <w:r w:rsidR="000774E9" w:rsidRPr="004943DC">
        <w:rPr>
          <w:rFonts w:ascii="Garamond" w:hAnsi="Garamond"/>
          <w:b/>
          <w:sz w:val="24"/>
          <w:szCs w:val="24"/>
        </w:rPr>
        <w:t>xpel</w:t>
      </w:r>
    </w:p>
    <w:p w14:paraId="7BE18E32" w14:textId="33C44FE7" w:rsidR="000774E9" w:rsidRDefault="00A41BD5" w:rsidP="00A41BD5">
      <w:pPr>
        <w:spacing w:line="240" w:lineRule="auto"/>
        <w:jc w:val="both"/>
        <w:rPr>
          <w:rFonts w:ascii="Garamond" w:hAnsi="Garamond"/>
          <w:sz w:val="24"/>
          <w:szCs w:val="24"/>
        </w:rPr>
      </w:pPr>
      <w:r>
        <w:rPr>
          <w:rFonts w:ascii="Garamond" w:hAnsi="Garamond"/>
          <w:sz w:val="24"/>
          <w:szCs w:val="24"/>
        </w:rPr>
        <w:t>While some international organisations, as noted, lack a clear power to expel, this is not the case in relation to the CoE where the power is enshrined in the Statute.</w:t>
      </w:r>
      <w:r w:rsidR="00641667">
        <w:rPr>
          <w:rStyle w:val="FootnoteReference"/>
          <w:rFonts w:ascii="Garamond" w:hAnsi="Garamond"/>
          <w:sz w:val="24"/>
          <w:szCs w:val="24"/>
        </w:rPr>
        <w:footnoteReference w:id="14"/>
      </w:r>
      <w:r w:rsidR="000774E9">
        <w:rPr>
          <w:rFonts w:ascii="Garamond" w:hAnsi="Garamond"/>
          <w:sz w:val="24"/>
          <w:szCs w:val="24"/>
        </w:rPr>
        <w:t xml:space="preserve"> </w:t>
      </w:r>
      <w:r>
        <w:rPr>
          <w:rFonts w:ascii="Garamond" w:hAnsi="Garamond"/>
          <w:sz w:val="24"/>
          <w:szCs w:val="24"/>
        </w:rPr>
        <w:t xml:space="preserve">Two points should, however, be noted. </w:t>
      </w:r>
      <w:r w:rsidR="00E2782D">
        <w:rPr>
          <w:rFonts w:ascii="Garamond" w:hAnsi="Garamond"/>
          <w:sz w:val="24"/>
          <w:szCs w:val="24"/>
        </w:rPr>
        <w:t xml:space="preserve">First, </w:t>
      </w:r>
      <w:r>
        <w:rPr>
          <w:rFonts w:ascii="Garamond" w:hAnsi="Garamond"/>
          <w:sz w:val="24"/>
          <w:szCs w:val="24"/>
        </w:rPr>
        <w:t xml:space="preserve">an explicit power to expel is more weighty than a non-textual expulsion power. The fact that a non-textual power has been used in some circumstances means that a textually-grounded power rests on an even stronger base. </w:t>
      </w:r>
      <w:r w:rsidR="00E2782D">
        <w:rPr>
          <w:rFonts w:ascii="Garamond" w:hAnsi="Garamond"/>
          <w:sz w:val="24"/>
          <w:szCs w:val="24"/>
        </w:rPr>
        <w:t xml:space="preserve">Second, </w:t>
      </w:r>
      <w:r>
        <w:rPr>
          <w:rFonts w:ascii="Garamond" w:hAnsi="Garamond"/>
          <w:sz w:val="24"/>
          <w:szCs w:val="24"/>
        </w:rPr>
        <w:t xml:space="preserve">it could be argued that </w:t>
      </w:r>
      <w:r w:rsidR="00E2782D">
        <w:rPr>
          <w:rFonts w:ascii="Garamond" w:hAnsi="Garamond"/>
          <w:sz w:val="24"/>
          <w:szCs w:val="24"/>
        </w:rPr>
        <w:t xml:space="preserve">a power to expel creates an </w:t>
      </w:r>
      <w:r w:rsidR="007115EF">
        <w:rPr>
          <w:rFonts w:ascii="Garamond" w:hAnsi="Garamond"/>
          <w:sz w:val="24"/>
          <w:szCs w:val="24"/>
        </w:rPr>
        <w:t>impression that</w:t>
      </w:r>
      <w:r w:rsidR="00E2782D">
        <w:rPr>
          <w:rFonts w:ascii="Garamond" w:hAnsi="Garamond"/>
          <w:sz w:val="24"/>
          <w:szCs w:val="24"/>
        </w:rPr>
        <w:t xml:space="preserve"> some benefit of a doubt should be given to the accessing states </w:t>
      </w:r>
      <w:r>
        <w:rPr>
          <w:rFonts w:ascii="Garamond" w:hAnsi="Garamond"/>
          <w:sz w:val="24"/>
          <w:szCs w:val="24"/>
        </w:rPr>
        <w:t xml:space="preserve">at the point of accession </w:t>
      </w:r>
      <w:r w:rsidR="00E2782D">
        <w:rPr>
          <w:rFonts w:ascii="Garamond" w:hAnsi="Garamond"/>
          <w:sz w:val="24"/>
          <w:szCs w:val="24"/>
        </w:rPr>
        <w:t>and a</w:t>
      </w:r>
      <w:r>
        <w:rPr>
          <w:rFonts w:ascii="Garamond" w:hAnsi="Garamond"/>
          <w:sz w:val="24"/>
          <w:szCs w:val="24"/>
        </w:rPr>
        <w:t>ny pre-existing anomalies</w:t>
      </w:r>
      <w:r w:rsidR="00E2782D">
        <w:rPr>
          <w:rFonts w:ascii="Garamond" w:hAnsi="Garamond"/>
          <w:sz w:val="24"/>
          <w:szCs w:val="24"/>
        </w:rPr>
        <w:t xml:space="preserve"> can </w:t>
      </w:r>
      <w:r w:rsidR="0072006A">
        <w:rPr>
          <w:rFonts w:ascii="Garamond" w:hAnsi="Garamond"/>
          <w:sz w:val="24"/>
          <w:szCs w:val="24"/>
        </w:rPr>
        <w:t xml:space="preserve">be </w:t>
      </w:r>
      <w:r w:rsidR="00E2782D">
        <w:rPr>
          <w:rFonts w:ascii="Garamond" w:hAnsi="Garamond"/>
          <w:sz w:val="24"/>
          <w:szCs w:val="24"/>
        </w:rPr>
        <w:t xml:space="preserve">rectified. </w:t>
      </w:r>
      <w:r w:rsidR="005831AF">
        <w:rPr>
          <w:rFonts w:ascii="Garamond" w:hAnsi="Garamond"/>
          <w:sz w:val="24"/>
          <w:szCs w:val="24"/>
        </w:rPr>
        <w:t>We will consi</w:t>
      </w:r>
      <w:r w:rsidR="00945CA1">
        <w:rPr>
          <w:rFonts w:ascii="Garamond" w:hAnsi="Garamond"/>
          <w:sz w:val="24"/>
          <w:szCs w:val="24"/>
        </w:rPr>
        <w:t>der these two observations in tu</w:t>
      </w:r>
      <w:r w:rsidR="005831AF">
        <w:rPr>
          <w:rFonts w:ascii="Garamond" w:hAnsi="Garamond"/>
          <w:sz w:val="24"/>
          <w:szCs w:val="24"/>
        </w:rPr>
        <w:t>rn.</w:t>
      </w:r>
    </w:p>
    <w:p w14:paraId="1DFCD450" w14:textId="7D27E959" w:rsidR="00C432E3" w:rsidRDefault="00403131" w:rsidP="0053726B">
      <w:pPr>
        <w:spacing w:line="240" w:lineRule="auto"/>
        <w:jc w:val="both"/>
        <w:rPr>
          <w:rFonts w:ascii="Garamond" w:hAnsi="Garamond"/>
          <w:sz w:val="24"/>
          <w:szCs w:val="24"/>
        </w:rPr>
      </w:pPr>
      <w:r>
        <w:rPr>
          <w:rFonts w:ascii="Garamond" w:hAnsi="Garamond"/>
          <w:sz w:val="24"/>
          <w:szCs w:val="24"/>
        </w:rPr>
        <w:t xml:space="preserve">The </w:t>
      </w:r>
      <w:r w:rsidR="002345A7">
        <w:rPr>
          <w:rFonts w:ascii="Garamond" w:hAnsi="Garamond"/>
          <w:sz w:val="24"/>
          <w:szCs w:val="24"/>
        </w:rPr>
        <w:t>Charter</w:t>
      </w:r>
      <w:r>
        <w:rPr>
          <w:rFonts w:ascii="Garamond" w:hAnsi="Garamond"/>
          <w:sz w:val="24"/>
          <w:szCs w:val="24"/>
        </w:rPr>
        <w:t xml:space="preserve"> of the</w:t>
      </w:r>
      <w:r w:rsidR="0072006A">
        <w:rPr>
          <w:rFonts w:ascii="Garamond" w:hAnsi="Garamond"/>
          <w:sz w:val="24"/>
          <w:szCs w:val="24"/>
        </w:rPr>
        <w:t xml:space="preserve"> Organiz</w:t>
      </w:r>
      <w:r>
        <w:rPr>
          <w:rFonts w:ascii="Garamond" w:hAnsi="Garamond"/>
          <w:sz w:val="24"/>
          <w:szCs w:val="24"/>
        </w:rPr>
        <w:t>ation of American States</w:t>
      </w:r>
      <w:r w:rsidR="002345A7">
        <w:rPr>
          <w:rFonts w:ascii="Garamond" w:hAnsi="Garamond"/>
          <w:sz w:val="24"/>
          <w:szCs w:val="24"/>
        </w:rPr>
        <w:t xml:space="preserve"> as adopted in 1948</w:t>
      </w:r>
      <w:r>
        <w:rPr>
          <w:rFonts w:ascii="Garamond" w:hAnsi="Garamond"/>
          <w:sz w:val="24"/>
          <w:szCs w:val="24"/>
        </w:rPr>
        <w:t xml:space="preserve"> did not </w:t>
      </w:r>
      <w:r w:rsidR="00C432E3">
        <w:rPr>
          <w:rFonts w:ascii="Garamond" w:hAnsi="Garamond"/>
          <w:sz w:val="24"/>
          <w:szCs w:val="24"/>
        </w:rPr>
        <w:t xml:space="preserve">explicitly provide for </w:t>
      </w:r>
      <w:r>
        <w:rPr>
          <w:rFonts w:ascii="Garamond" w:hAnsi="Garamond"/>
          <w:sz w:val="24"/>
          <w:szCs w:val="24"/>
        </w:rPr>
        <w:t xml:space="preserve">expulsion. </w:t>
      </w:r>
      <w:r w:rsidR="00C432E3">
        <w:rPr>
          <w:rFonts w:ascii="Garamond" w:hAnsi="Garamond"/>
          <w:sz w:val="24"/>
          <w:szCs w:val="24"/>
        </w:rPr>
        <w:t>After the Cuban revolution in 1958, this lacuna was regarded as pr</w:t>
      </w:r>
      <w:r w:rsidR="00903706">
        <w:rPr>
          <w:rFonts w:ascii="Garamond" w:hAnsi="Garamond"/>
          <w:sz w:val="24"/>
          <w:szCs w:val="24"/>
        </w:rPr>
        <w:t>oblematic by the other members.</w:t>
      </w:r>
      <w:r w:rsidR="007B6D30">
        <w:rPr>
          <w:rStyle w:val="FootnoteReference"/>
          <w:rFonts w:ascii="Garamond" w:hAnsi="Garamond"/>
          <w:sz w:val="24"/>
          <w:szCs w:val="24"/>
        </w:rPr>
        <w:footnoteReference w:id="15"/>
      </w:r>
      <w:r w:rsidR="007B6D30">
        <w:rPr>
          <w:rFonts w:ascii="Garamond" w:hAnsi="Garamond"/>
          <w:sz w:val="24"/>
          <w:szCs w:val="24"/>
        </w:rPr>
        <w:t xml:space="preserve"> </w:t>
      </w:r>
      <w:r w:rsidR="00C432E3">
        <w:rPr>
          <w:rFonts w:ascii="Garamond" w:hAnsi="Garamond"/>
          <w:sz w:val="24"/>
          <w:szCs w:val="24"/>
        </w:rPr>
        <w:t>Notwithstanding the l</w:t>
      </w:r>
      <w:r w:rsidR="007B6D30">
        <w:rPr>
          <w:rFonts w:ascii="Garamond" w:hAnsi="Garamond"/>
          <w:sz w:val="24"/>
          <w:szCs w:val="24"/>
        </w:rPr>
        <w:t>ack of provision</w:t>
      </w:r>
      <w:r w:rsidR="00C432E3">
        <w:rPr>
          <w:rFonts w:ascii="Garamond" w:hAnsi="Garamond"/>
          <w:sz w:val="24"/>
          <w:szCs w:val="24"/>
        </w:rPr>
        <w:t>,</w:t>
      </w:r>
      <w:r w:rsidR="007B6D30">
        <w:rPr>
          <w:rFonts w:ascii="Garamond" w:hAnsi="Garamond"/>
          <w:sz w:val="24"/>
          <w:szCs w:val="24"/>
        </w:rPr>
        <w:t xml:space="preserve"> the remaining members declare</w:t>
      </w:r>
      <w:r w:rsidR="00C432E3">
        <w:rPr>
          <w:rFonts w:ascii="Garamond" w:hAnsi="Garamond"/>
          <w:sz w:val="24"/>
          <w:szCs w:val="24"/>
        </w:rPr>
        <w:t>d</w:t>
      </w:r>
      <w:r w:rsidR="007B6D30">
        <w:rPr>
          <w:rFonts w:ascii="Garamond" w:hAnsi="Garamond"/>
          <w:sz w:val="24"/>
          <w:szCs w:val="24"/>
        </w:rPr>
        <w:t xml:space="preserve"> that the government of Cuba ‘placed itself outside the inter-American system’.</w:t>
      </w:r>
      <w:r w:rsidR="007B6D30">
        <w:rPr>
          <w:rStyle w:val="FootnoteReference"/>
          <w:rFonts w:ascii="Garamond" w:hAnsi="Garamond"/>
          <w:sz w:val="24"/>
          <w:szCs w:val="24"/>
        </w:rPr>
        <w:footnoteReference w:id="16"/>
      </w:r>
      <w:r w:rsidR="007B6D30">
        <w:rPr>
          <w:rFonts w:ascii="Garamond" w:hAnsi="Garamond"/>
          <w:sz w:val="24"/>
          <w:szCs w:val="24"/>
        </w:rPr>
        <w:t xml:space="preserve"> This creative reading of the founding document was </w:t>
      </w:r>
      <w:r w:rsidR="00945CA1">
        <w:rPr>
          <w:rFonts w:ascii="Garamond" w:hAnsi="Garamond"/>
          <w:sz w:val="24"/>
          <w:szCs w:val="24"/>
        </w:rPr>
        <w:t xml:space="preserve">not </w:t>
      </w:r>
      <w:r w:rsidR="00BA0F12">
        <w:rPr>
          <w:rFonts w:ascii="Garamond" w:hAnsi="Garamond"/>
          <w:sz w:val="24"/>
          <w:szCs w:val="24"/>
        </w:rPr>
        <w:t>accepted by all member states</w:t>
      </w:r>
      <w:r w:rsidR="007B6D30">
        <w:rPr>
          <w:rFonts w:ascii="Garamond" w:hAnsi="Garamond"/>
          <w:sz w:val="24"/>
          <w:szCs w:val="24"/>
        </w:rPr>
        <w:t>.</w:t>
      </w:r>
      <w:r w:rsidR="00BA0F12">
        <w:rPr>
          <w:rStyle w:val="FootnoteReference"/>
          <w:rFonts w:ascii="Garamond" w:hAnsi="Garamond"/>
          <w:sz w:val="24"/>
          <w:szCs w:val="24"/>
        </w:rPr>
        <w:footnoteReference w:id="17"/>
      </w:r>
      <w:r w:rsidR="007B6D30">
        <w:rPr>
          <w:rFonts w:ascii="Garamond" w:hAnsi="Garamond"/>
          <w:sz w:val="24"/>
          <w:szCs w:val="24"/>
        </w:rPr>
        <w:t xml:space="preserve"> </w:t>
      </w:r>
      <w:r w:rsidR="00BA0F12">
        <w:rPr>
          <w:rFonts w:ascii="Garamond" w:hAnsi="Garamond"/>
          <w:sz w:val="24"/>
          <w:szCs w:val="24"/>
        </w:rPr>
        <w:t>Fenwick</w:t>
      </w:r>
      <w:r w:rsidR="00C432E3">
        <w:rPr>
          <w:rFonts w:ascii="Garamond" w:hAnsi="Garamond"/>
          <w:sz w:val="24"/>
          <w:szCs w:val="24"/>
        </w:rPr>
        <w:t>, on the other hand, has</w:t>
      </w:r>
      <w:r w:rsidR="00BA0F12">
        <w:rPr>
          <w:rFonts w:ascii="Garamond" w:hAnsi="Garamond"/>
          <w:sz w:val="24"/>
          <w:szCs w:val="24"/>
        </w:rPr>
        <w:t xml:space="preserve"> argued that if a member state violates a foundational document of an international organisation this organisation has an implied right to expel.</w:t>
      </w:r>
      <w:r w:rsidR="00BA0F12">
        <w:rPr>
          <w:rStyle w:val="FootnoteReference"/>
          <w:rFonts w:ascii="Garamond" w:hAnsi="Garamond"/>
          <w:sz w:val="24"/>
          <w:szCs w:val="24"/>
        </w:rPr>
        <w:footnoteReference w:id="18"/>
      </w:r>
      <w:r w:rsidR="00BA0F12">
        <w:rPr>
          <w:rFonts w:ascii="Garamond" w:hAnsi="Garamond"/>
          <w:sz w:val="24"/>
          <w:szCs w:val="24"/>
        </w:rPr>
        <w:t xml:space="preserve"> </w:t>
      </w:r>
      <w:r w:rsidR="00C432E3">
        <w:rPr>
          <w:rFonts w:ascii="Garamond" w:hAnsi="Garamond"/>
          <w:sz w:val="24"/>
          <w:szCs w:val="24"/>
        </w:rPr>
        <w:t>It is not necessary here to consider which side had the better of the argument, it is sufficient to note that the legitimacy of expulsion is far greater where there is an explicit power to expel.</w:t>
      </w:r>
    </w:p>
    <w:p w14:paraId="5ED7E166" w14:textId="653A4D0D" w:rsidR="00E2782D" w:rsidRDefault="00C432E3" w:rsidP="0053726B">
      <w:pPr>
        <w:spacing w:line="240" w:lineRule="auto"/>
        <w:jc w:val="both"/>
        <w:rPr>
          <w:rFonts w:ascii="Garamond" w:hAnsi="Garamond"/>
          <w:sz w:val="24"/>
          <w:szCs w:val="24"/>
        </w:rPr>
      </w:pPr>
      <w:r>
        <w:rPr>
          <w:rFonts w:ascii="Garamond" w:hAnsi="Garamond"/>
          <w:sz w:val="24"/>
          <w:szCs w:val="24"/>
        </w:rPr>
        <w:t xml:space="preserve">The power to expel can sometimes be linked to arguments in favour of the application of looser adherence standards at the moment where a member state accedes to an organisation. </w:t>
      </w:r>
      <w:r w:rsidR="00401947">
        <w:rPr>
          <w:rFonts w:ascii="Garamond" w:hAnsi="Garamond"/>
          <w:sz w:val="24"/>
          <w:szCs w:val="24"/>
        </w:rPr>
        <w:t xml:space="preserve">The Russian accession to the </w:t>
      </w:r>
      <w:r w:rsidR="0026418C">
        <w:rPr>
          <w:rFonts w:ascii="Garamond" w:hAnsi="Garamond"/>
          <w:sz w:val="24"/>
          <w:szCs w:val="24"/>
        </w:rPr>
        <w:t xml:space="preserve">CoE </w:t>
      </w:r>
      <w:r w:rsidR="00A51B64">
        <w:rPr>
          <w:rFonts w:ascii="Garamond" w:hAnsi="Garamond"/>
          <w:sz w:val="24"/>
          <w:szCs w:val="24"/>
        </w:rPr>
        <w:t>illustrate</w:t>
      </w:r>
      <w:r>
        <w:rPr>
          <w:rFonts w:ascii="Garamond" w:hAnsi="Garamond"/>
          <w:sz w:val="24"/>
          <w:szCs w:val="24"/>
        </w:rPr>
        <w:t>s</w:t>
      </w:r>
      <w:r w:rsidR="00A51B64">
        <w:rPr>
          <w:rFonts w:ascii="Garamond" w:hAnsi="Garamond"/>
          <w:sz w:val="24"/>
          <w:szCs w:val="24"/>
        </w:rPr>
        <w:t xml:space="preserve"> this point. Many argued </w:t>
      </w:r>
      <w:r w:rsidR="00945CA1">
        <w:rPr>
          <w:rFonts w:ascii="Garamond" w:hAnsi="Garamond"/>
          <w:sz w:val="24"/>
          <w:szCs w:val="24"/>
        </w:rPr>
        <w:t>that Russia wa</w:t>
      </w:r>
      <w:r w:rsidR="00A51B64">
        <w:rPr>
          <w:rFonts w:ascii="Garamond" w:hAnsi="Garamond"/>
          <w:sz w:val="24"/>
          <w:szCs w:val="24"/>
        </w:rPr>
        <w:t xml:space="preserve">s not ready to join the </w:t>
      </w:r>
      <w:r w:rsidR="00945CA1">
        <w:rPr>
          <w:rFonts w:ascii="Garamond" w:hAnsi="Garamond"/>
          <w:sz w:val="24"/>
          <w:szCs w:val="24"/>
        </w:rPr>
        <w:t>CoE in the late 90s</w:t>
      </w:r>
      <w:r w:rsidR="00401947">
        <w:rPr>
          <w:rFonts w:ascii="Garamond" w:hAnsi="Garamond"/>
          <w:sz w:val="24"/>
          <w:szCs w:val="24"/>
        </w:rPr>
        <w:t>.</w:t>
      </w:r>
      <w:r w:rsidR="00E65B79">
        <w:rPr>
          <w:rStyle w:val="FootnoteReference"/>
          <w:rFonts w:ascii="Garamond" w:hAnsi="Garamond"/>
          <w:sz w:val="24"/>
          <w:szCs w:val="24"/>
        </w:rPr>
        <w:footnoteReference w:id="19"/>
      </w:r>
      <w:r w:rsidR="00401947">
        <w:rPr>
          <w:rFonts w:ascii="Garamond" w:hAnsi="Garamond"/>
          <w:sz w:val="24"/>
          <w:szCs w:val="24"/>
        </w:rPr>
        <w:t xml:space="preserve"> </w:t>
      </w:r>
      <w:r w:rsidR="00A51B64">
        <w:rPr>
          <w:rFonts w:ascii="Garamond" w:hAnsi="Garamond"/>
          <w:sz w:val="24"/>
          <w:szCs w:val="24"/>
        </w:rPr>
        <w:t xml:space="preserve">However, one of the arguments in favour of </w:t>
      </w:r>
      <w:r w:rsidR="0072006A">
        <w:rPr>
          <w:rFonts w:ascii="Garamond" w:hAnsi="Garamond"/>
          <w:sz w:val="24"/>
          <w:szCs w:val="24"/>
        </w:rPr>
        <w:t xml:space="preserve">its </w:t>
      </w:r>
      <w:r w:rsidR="00A51B64">
        <w:rPr>
          <w:rFonts w:ascii="Garamond" w:hAnsi="Garamond"/>
          <w:sz w:val="24"/>
          <w:szCs w:val="24"/>
        </w:rPr>
        <w:t xml:space="preserve">accession was offered by </w:t>
      </w:r>
      <w:r w:rsidR="00A51B64" w:rsidRPr="00A51B64">
        <w:rPr>
          <w:rFonts w:ascii="Garamond" w:hAnsi="Garamond"/>
          <w:sz w:val="24"/>
          <w:szCs w:val="24"/>
        </w:rPr>
        <w:t xml:space="preserve">David Atkinson, a British delegate to the Assembly, </w:t>
      </w:r>
      <w:r w:rsidR="00A51B64">
        <w:rPr>
          <w:rFonts w:ascii="Garamond" w:hAnsi="Garamond"/>
          <w:sz w:val="24"/>
          <w:szCs w:val="24"/>
        </w:rPr>
        <w:t>who pointed out that if Russia fail</w:t>
      </w:r>
      <w:r w:rsidR="0005420D">
        <w:rPr>
          <w:rFonts w:ascii="Garamond" w:hAnsi="Garamond"/>
          <w:sz w:val="24"/>
          <w:szCs w:val="24"/>
        </w:rPr>
        <w:t>ed</w:t>
      </w:r>
      <w:r w:rsidR="00A51B64" w:rsidRPr="00A51B64">
        <w:rPr>
          <w:rFonts w:ascii="Garamond" w:hAnsi="Garamond"/>
          <w:sz w:val="24"/>
          <w:szCs w:val="24"/>
        </w:rPr>
        <w:t xml:space="preserve"> to fulfil its obligations, it c</w:t>
      </w:r>
      <w:r w:rsidR="0005420D">
        <w:rPr>
          <w:rFonts w:ascii="Garamond" w:hAnsi="Garamond"/>
          <w:sz w:val="24"/>
          <w:szCs w:val="24"/>
        </w:rPr>
        <w:t>ould</w:t>
      </w:r>
      <w:r w:rsidR="00A51B64" w:rsidRPr="00A51B64">
        <w:rPr>
          <w:rFonts w:ascii="Garamond" w:hAnsi="Garamond"/>
          <w:sz w:val="24"/>
          <w:szCs w:val="24"/>
        </w:rPr>
        <w:t xml:space="preserve"> always be suspended</w:t>
      </w:r>
      <w:r w:rsidR="00A51B64">
        <w:rPr>
          <w:rFonts w:ascii="Garamond" w:hAnsi="Garamond"/>
          <w:sz w:val="24"/>
          <w:szCs w:val="24"/>
        </w:rPr>
        <w:t>.</w:t>
      </w:r>
      <w:r w:rsidR="00A51B64">
        <w:rPr>
          <w:rStyle w:val="FootnoteReference"/>
          <w:rFonts w:ascii="Garamond" w:hAnsi="Garamond"/>
          <w:sz w:val="24"/>
          <w:szCs w:val="24"/>
        </w:rPr>
        <w:footnoteReference w:id="20"/>
      </w:r>
      <w:r w:rsidR="00A51B64">
        <w:rPr>
          <w:rFonts w:ascii="Garamond" w:hAnsi="Garamond"/>
          <w:sz w:val="24"/>
          <w:szCs w:val="24"/>
        </w:rPr>
        <w:t xml:space="preserve"> </w:t>
      </w:r>
      <w:r w:rsidR="0005420D">
        <w:rPr>
          <w:rFonts w:ascii="Garamond" w:hAnsi="Garamond"/>
          <w:sz w:val="24"/>
          <w:szCs w:val="24"/>
        </w:rPr>
        <w:t>Despite a clearly established expulsion power, however, the practical application of Atkinson’s point is rather more difficult once a member state is part of an international organisation.</w:t>
      </w:r>
      <w:bookmarkStart w:id="3" w:name="_Ref534799707"/>
      <w:r w:rsidR="00A51B64">
        <w:rPr>
          <w:rStyle w:val="FootnoteReference"/>
          <w:rFonts w:ascii="Garamond" w:hAnsi="Garamond"/>
          <w:sz w:val="24"/>
          <w:szCs w:val="24"/>
        </w:rPr>
        <w:footnoteReference w:id="21"/>
      </w:r>
      <w:bookmarkEnd w:id="3"/>
    </w:p>
    <w:p w14:paraId="2805F2DB" w14:textId="0C967695" w:rsidR="00BC7E66" w:rsidRPr="004943DC" w:rsidRDefault="00BC7E66" w:rsidP="004943DC">
      <w:pPr>
        <w:tabs>
          <w:tab w:val="left" w:pos="1692"/>
        </w:tabs>
        <w:spacing w:line="240" w:lineRule="auto"/>
        <w:jc w:val="both"/>
        <w:rPr>
          <w:rFonts w:ascii="Garamond" w:hAnsi="Garamond"/>
          <w:b/>
          <w:sz w:val="24"/>
          <w:szCs w:val="24"/>
        </w:rPr>
      </w:pPr>
      <w:r w:rsidRPr="004943DC">
        <w:rPr>
          <w:rFonts w:ascii="Garamond" w:hAnsi="Garamond"/>
          <w:b/>
          <w:sz w:val="24"/>
          <w:szCs w:val="24"/>
        </w:rPr>
        <w:lastRenderedPageBreak/>
        <w:t>2.</w:t>
      </w:r>
      <w:r w:rsidR="000774E9" w:rsidRPr="004943DC">
        <w:rPr>
          <w:rFonts w:ascii="Garamond" w:hAnsi="Garamond"/>
          <w:b/>
          <w:sz w:val="24"/>
          <w:szCs w:val="24"/>
        </w:rPr>
        <w:t>2</w:t>
      </w:r>
      <w:r w:rsidRPr="004943DC">
        <w:rPr>
          <w:rFonts w:ascii="Garamond" w:hAnsi="Garamond"/>
          <w:b/>
          <w:sz w:val="24"/>
          <w:szCs w:val="24"/>
        </w:rPr>
        <w:t xml:space="preserve"> Crisis</w:t>
      </w:r>
    </w:p>
    <w:p w14:paraId="7EF02215" w14:textId="2E5ACD87" w:rsidR="00A94DCB" w:rsidRDefault="009343AA" w:rsidP="0053726B">
      <w:pPr>
        <w:spacing w:line="240" w:lineRule="auto"/>
        <w:jc w:val="both"/>
        <w:rPr>
          <w:rFonts w:ascii="Garamond" w:hAnsi="Garamond"/>
          <w:sz w:val="24"/>
          <w:szCs w:val="24"/>
        </w:rPr>
      </w:pPr>
      <w:r>
        <w:rPr>
          <w:rFonts w:ascii="Garamond" w:hAnsi="Garamond"/>
          <w:sz w:val="24"/>
          <w:szCs w:val="24"/>
        </w:rPr>
        <w:t>A sustained failure of member states to comply with their obligations could be considered as a sign of crisis within an international organisation. Notwithstanding this point, t</w:t>
      </w:r>
      <w:r w:rsidR="00BC7E66">
        <w:rPr>
          <w:rFonts w:ascii="Garamond" w:hAnsi="Garamond"/>
          <w:sz w:val="24"/>
          <w:szCs w:val="24"/>
        </w:rPr>
        <w:t xml:space="preserve">here is no consistency as to </w:t>
      </w:r>
      <w:r w:rsidR="00DD44AA">
        <w:rPr>
          <w:rFonts w:ascii="Garamond" w:hAnsi="Garamond"/>
          <w:sz w:val="24"/>
          <w:szCs w:val="24"/>
        </w:rPr>
        <w:t xml:space="preserve">how a crisis is </w:t>
      </w:r>
      <w:r>
        <w:rPr>
          <w:rFonts w:ascii="Garamond" w:hAnsi="Garamond"/>
          <w:sz w:val="24"/>
          <w:szCs w:val="24"/>
        </w:rPr>
        <w:t xml:space="preserve">to be </w:t>
      </w:r>
      <w:r w:rsidR="00DD44AA">
        <w:rPr>
          <w:rFonts w:ascii="Garamond" w:hAnsi="Garamond"/>
          <w:sz w:val="24"/>
          <w:szCs w:val="24"/>
        </w:rPr>
        <w:t xml:space="preserve">understood and </w:t>
      </w:r>
      <w:r w:rsidR="00BC7E66">
        <w:rPr>
          <w:rFonts w:ascii="Garamond" w:hAnsi="Garamond"/>
          <w:sz w:val="24"/>
          <w:szCs w:val="24"/>
        </w:rPr>
        <w:t xml:space="preserve">what precisely would constitute a reason for initiating expulsion procedures. </w:t>
      </w:r>
      <w:r w:rsidR="00DD44AA">
        <w:rPr>
          <w:rFonts w:ascii="Garamond" w:hAnsi="Garamond"/>
          <w:sz w:val="24"/>
          <w:szCs w:val="24"/>
        </w:rPr>
        <w:t xml:space="preserve">Moreover, it is not entirely clear what sort of evidence an international organisation should produce in order to substantiate its decision to suspend and expel. </w:t>
      </w:r>
      <w:r w:rsidR="00DE78EF">
        <w:rPr>
          <w:rFonts w:ascii="Garamond" w:hAnsi="Garamond"/>
          <w:sz w:val="24"/>
          <w:szCs w:val="24"/>
        </w:rPr>
        <w:t>Judging from the practice of various international organisations t</w:t>
      </w:r>
      <w:r w:rsidR="00DD44AA">
        <w:rPr>
          <w:rFonts w:ascii="Garamond" w:hAnsi="Garamond"/>
          <w:sz w:val="24"/>
          <w:szCs w:val="24"/>
        </w:rPr>
        <w:t xml:space="preserve">hree main reasons are usually </w:t>
      </w:r>
      <w:r>
        <w:rPr>
          <w:rFonts w:ascii="Garamond" w:hAnsi="Garamond"/>
          <w:sz w:val="24"/>
          <w:szCs w:val="24"/>
        </w:rPr>
        <w:t xml:space="preserve">viewed </w:t>
      </w:r>
      <w:r w:rsidR="00DD44AA">
        <w:rPr>
          <w:rFonts w:ascii="Garamond" w:hAnsi="Garamond"/>
          <w:sz w:val="24"/>
          <w:szCs w:val="24"/>
        </w:rPr>
        <w:t>as serious enough to initiate suspension and expulsion</w:t>
      </w:r>
      <w:r>
        <w:rPr>
          <w:rFonts w:ascii="Garamond" w:hAnsi="Garamond"/>
          <w:sz w:val="24"/>
          <w:szCs w:val="24"/>
        </w:rPr>
        <w:t>:</w:t>
      </w:r>
      <w:r w:rsidR="00DD44AA">
        <w:rPr>
          <w:rFonts w:ascii="Garamond" w:hAnsi="Garamond"/>
          <w:sz w:val="24"/>
          <w:szCs w:val="24"/>
        </w:rPr>
        <w:t xml:space="preserve"> </w:t>
      </w:r>
      <w:r>
        <w:rPr>
          <w:rFonts w:ascii="Garamond" w:hAnsi="Garamond"/>
          <w:sz w:val="24"/>
          <w:szCs w:val="24"/>
        </w:rPr>
        <w:t>f</w:t>
      </w:r>
      <w:r w:rsidR="001F5F9C">
        <w:rPr>
          <w:rFonts w:ascii="Garamond" w:hAnsi="Garamond"/>
          <w:sz w:val="24"/>
          <w:szCs w:val="24"/>
        </w:rPr>
        <w:t>irst, a change of a political regime from democratic to anti-democratic; second, an act of armed aggression; and finally, human rights violations</w:t>
      </w:r>
      <w:r w:rsidR="00523FB0">
        <w:rPr>
          <w:rFonts w:ascii="Garamond" w:hAnsi="Garamond"/>
          <w:sz w:val="24"/>
          <w:szCs w:val="24"/>
        </w:rPr>
        <w:t xml:space="preserve"> and </w:t>
      </w:r>
      <w:r>
        <w:rPr>
          <w:rFonts w:ascii="Garamond" w:hAnsi="Garamond"/>
          <w:sz w:val="24"/>
          <w:szCs w:val="24"/>
        </w:rPr>
        <w:t xml:space="preserve">a </w:t>
      </w:r>
      <w:r w:rsidR="00523FB0">
        <w:rPr>
          <w:rFonts w:ascii="Garamond" w:hAnsi="Garamond"/>
          <w:sz w:val="24"/>
          <w:szCs w:val="24"/>
        </w:rPr>
        <w:t>failure to collaborate with the international organisation</w:t>
      </w:r>
      <w:r w:rsidR="001F5F9C">
        <w:rPr>
          <w:rFonts w:ascii="Garamond" w:hAnsi="Garamond"/>
          <w:sz w:val="24"/>
          <w:szCs w:val="24"/>
        </w:rPr>
        <w:t xml:space="preserve">. </w:t>
      </w:r>
      <w:r w:rsidR="00523FB0">
        <w:rPr>
          <w:rFonts w:ascii="Garamond" w:hAnsi="Garamond"/>
          <w:sz w:val="24"/>
          <w:szCs w:val="24"/>
        </w:rPr>
        <w:t>In practice</w:t>
      </w:r>
      <w:r w:rsidR="0072006A">
        <w:rPr>
          <w:rFonts w:ascii="Garamond" w:hAnsi="Garamond"/>
          <w:sz w:val="24"/>
          <w:szCs w:val="24"/>
        </w:rPr>
        <w:t>,</w:t>
      </w:r>
      <w:r w:rsidR="00523FB0">
        <w:rPr>
          <w:rFonts w:ascii="Garamond" w:hAnsi="Garamond"/>
          <w:sz w:val="24"/>
          <w:szCs w:val="24"/>
        </w:rPr>
        <w:t xml:space="preserve"> there is normally a combination of these reasons but for </w:t>
      </w:r>
      <w:r w:rsidR="0072006A">
        <w:rPr>
          <w:rFonts w:ascii="Garamond" w:hAnsi="Garamond"/>
          <w:sz w:val="24"/>
          <w:szCs w:val="24"/>
        </w:rPr>
        <w:t xml:space="preserve">the </w:t>
      </w:r>
      <w:r w:rsidR="00523FB0">
        <w:rPr>
          <w:rFonts w:ascii="Garamond" w:hAnsi="Garamond"/>
          <w:sz w:val="24"/>
          <w:szCs w:val="24"/>
        </w:rPr>
        <w:t>analytical purposes we will discuss them in turn.</w:t>
      </w:r>
    </w:p>
    <w:p w14:paraId="3178D9B6" w14:textId="4172C167" w:rsidR="008E65B6" w:rsidRDefault="00C1015D" w:rsidP="008E65B6">
      <w:pPr>
        <w:spacing w:line="240" w:lineRule="auto"/>
        <w:jc w:val="both"/>
        <w:rPr>
          <w:rFonts w:ascii="Garamond" w:hAnsi="Garamond"/>
          <w:sz w:val="24"/>
          <w:szCs w:val="24"/>
        </w:rPr>
      </w:pPr>
      <w:r>
        <w:rPr>
          <w:rFonts w:ascii="Garamond" w:hAnsi="Garamond"/>
          <w:sz w:val="24"/>
          <w:szCs w:val="24"/>
        </w:rPr>
        <w:t xml:space="preserve">The abrupt change of political regime was a reason why Cuba was effectively </w:t>
      </w:r>
      <w:r w:rsidR="00372352">
        <w:rPr>
          <w:rFonts w:ascii="Garamond" w:hAnsi="Garamond"/>
          <w:sz w:val="24"/>
          <w:szCs w:val="24"/>
        </w:rPr>
        <w:t>expelled from the Organiz</w:t>
      </w:r>
      <w:r>
        <w:rPr>
          <w:rFonts w:ascii="Garamond" w:hAnsi="Garamond"/>
          <w:sz w:val="24"/>
          <w:szCs w:val="24"/>
        </w:rPr>
        <w:t xml:space="preserve">ation of American States. In 2010, Niger was suspended from the African Union because </w:t>
      </w:r>
      <w:r w:rsidR="009343AA">
        <w:rPr>
          <w:rFonts w:ascii="Garamond" w:hAnsi="Garamond"/>
          <w:sz w:val="24"/>
          <w:szCs w:val="24"/>
        </w:rPr>
        <w:t xml:space="preserve">of </w:t>
      </w:r>
      <w:r>
        <w:rPr>
          <w:rFonts w:ascii="Garamond" w:hAnsi="Garamond"/>
          <w:sz w:val="24"/>
          <w:szCs w:val="24"/>
        </w:rPr>
        <w:t>a military coup in that country.</w:t>
      </w:r>
      <w:r>
        <w:rPr>
          <w:rStyle w:val="FootnoteReference"/>
          <w:rFonts w:ascii="Garamond" w:hAnsi="Garamond"/>
          <w:sz w:val="24"/>
          <w:szCs w:val="24"/>
        </w:rPr>
        <w:footnoteReference w:id="22"/>
      </w:r>
      <w:r w:rsidR="00740291">
        <w:rPr>
          <w:rFonts w:ascii="Garamond" w:hAnsi="Garamond"/>
          <w:sz w:val="24"/>
          <w:szCs w:val="24"/>
        </w:rPr>
        <w:t xml:space="preserve"> The history of the </w:t>
      </w:r>
      <w:r w:rsidR="0026418C">
        <w:rPr>
          <w:rFonts w:ascii="Garamond" w:hAnsi="Garamond"/>
          <w:sz w:val="24"/>
          <w:szCs w:val="24"/>
        </w:rPr>
        <w:t xml:space="preserve">CoE </w:t>
      </w:r>
      <w:r w:rsidR="00740291">
        <w:rPr>
          <w:rFonts w:ascii="Garamond" w:hAnsi="Garamond"/>
          <w:sz w:val="24"/>
          <w:szCs w:val="24"/>
        </w:rPr>
        <w:t>also</w:t>
      </w:r>
      <w:r w:rsidR="009343AA">
        <w:rPr>
          <w:rFonts w:ascii="Garamond" w:hAnsi="Garamond"/>
          <w:sz w:val="24"/>
          <w:szCs w:val="24"/>
        </w:rPr>
        <w:t xml:space="preserve"> provides an example of</w:t>
      </w:r>
      <w:r w:rsidR="00740291">
        <w:rPr>
          <w:rFonts w:ascii="Garamond" w:hAnsi="Garamond"/>
          <w:sz w:val="24"/>
          <w:szCs w:val="24"/>
        </w:rPr>
        <w:t xml:space="preserve"> suspension as a result of </w:t>
      </w:r>
      <w:r w:rsidR="00372352">
        <w:rPr>
          <w:rFonts w:ascii="Garamond" w:hAnsi="Garamond"/>
          <w:sz w:val="24"/>
          <w:szCs w:val="24"/>
        </w:rPr>
        <w:t xml:space="preserve">a </w:t>
      </w:r>
      <w:r w:rsidR="00740291">
        <w:rPr>
          <w:rFonts w:ascii="Garamond" w:hAnsi="Garamond"/>
          <w:sz w:val="24"/>
          <w:szCs w:val="24"/>
        </w:rPr>
        <w:t xml:space="preserve">sudden change of government. </w:t>
      </w:r>
    </w:p>
    <w:p w14:paraId="24D39325" w14:textId="641CDEE5" w:rsidR="00DE78EF" w:rsidRPr="009A1694" w:rsidRDefault="008E65B6" w:rsidP="008E65B6">
      <w:pPr>
        <w:spacing w:line="240" w:lineRule="auto"/>
        <w:jc w:val="both"/>
        <w:rPr>
          <w:rFonts w:ascii="Garamond" w:hAnsi="Garamond"/>
          <w:sz w:val="24"/>
          <w:szCs w:val="24"/>
        </w:rPr>
      </w:pPr>
      <w:r>
        <w:rPr>
          <w:rFonts w:ascii="Garamond" w:hAnsi="Garamond"/>
          <w:sz w:val="24"/>
          <w:szCs w:val="24"/>
        </w:rPr>
        <w:t>A</w:t>
      </w:r>
      <w:r w:rsidRPr="009A1694">
        <w:rPr>
          <w:rFonts w:ascii="Garamond" w:hAnsi="Garamond"/>
          <w:sz w:val="24"/>
          <w:szCs w:val="24"/>
        </w:rPr>
        <w:t xml:space="preserve"> military coup occurred </w:t>
      </w:r>
      <w:r>
        <w:rPr>
          <w:rFonts w:ascii="Garamond" w:hAnsi="Garamond"/>
          <w:sz w:val="24"/>
          <w:szCs w:val="24"/>
        </w:rPr>
        <w:t xml:space="preserve">in Greece </w:t>
      </w:r>
      <w:r w:rsidRPr="009A1694">
        <w:rPr>
          <w:rFonts w:ascii="Garamond" w:hAnsi="Garamond"/>
          <w:sz w:val="24"/>
          <w:szCs w:val="24"/>
        </w:rPr>
        <w:t xml:space="preserve">in 1967, </w:t>
      </w:r>
      <w:r>
        <w:rPr>
          <w:rFonts w:ascii="Garamond" w:hAnsi="Garamond"/>
          <w:sz w:val="24"/>
          <w:szCs w:val="24"/>
        </w:rPr>
        <w:t xml:space="preserve">as a result of which </w:t>
      </w:r>
      <w:r w:rsidRPr="009A1694">
        <w:rPr>
          <w:rFonts w:ascii="Garamond" w:hAnsi="Garamond"/>
          <w:sz w:val="24"/>
          <w:szCs w:val="24"/>
        </w:rPr>
        <w:t xml:space="preserve">an </w:t>
      </w:r>
      <w:r>
        <w:rPr>
          <w:rFonts w:ascii="Garamond" w:hAnsi="Garamond"/>
          <w:sz w:val="24"/>
          <w:szCs w:val="24"/>
        </w:rPr>
        <w:t xml:space="preserve">inter-state </w:t>
      </w:r>
      <w:r w:rsidRPr="009A1694">
        <w:rPr>
          <w:rFonts w:ascii="Garamond" w:hAnsi="Garamond"/>
          <w:sz w:val="24"/>
          <w:szCs w:val="24"/>
        </w:rPr>
        <w:t xml:space="preserve">application against the Greek </w:t>
      </w:r>
      <w:r w:rsidR="0072006A">
        <w:rPr>
          <w:rFonts w:ascii="Garamond" w:hAnsi="Garamond"/>
          <w:sz w:val="24"/>
          <w:szCs w:val="24"/>
        </w:rPr>
        <w:t>g</w:t>
      </w:r>
      <w:r w:rsidRPr="009A1694">
        <w:rPr>
          <w:rFonts w:ascii="Garamond" w:hAnsi="Garamond"/>
          <w:sz w:val="24"/>
          <w:szCs w:val="24"/>
        </w:rPr>
        <w:t>overnment was brought by Denmark, Norway, Sweden, and the Netherlands</w:t>
      </w:r>
      <w:r>
        <w:rPr>
          <w:rFonts w:ascii="Garamond" w:hAnsi="Garamond"/>
          <w:sz w:val="24"/>
          <w:szCs w:val="24"/>
        </w:rPr>
        <w:t xml:space="preserve"> pursuant to Article 33 of the ECHR. T</w:t>
      </w:r>
      <w:r w:rsidRPr="009A1694">
        <w:rPr>
          <w:rFonts w:ascii="Garamond" w:hAnsi="Garamond"/>
          <w:sz w:val="24"/>
          <w:szCs w:val="24"/>
        </w:rPr>
        <w:t>he</w:t>
      </w:r>
      <w:r>
        <w:rPr>
          <w:rFonts w:ascii="Garamond" w:hAnsi="Garamond"/>
          <w:sz w:val="24"/>
          <w:szCs w:val="24"/>
        </w:rPr>
        <w:t xml:space="preserve"> now defunct European</w:t>
      </w:r>
      <w:r w:rsidRPr="009A1694">
        <w:rPr>
          <w:rFonts w:ascii="Garamond" w:hAnsi="Garamond"/>
          <w:sz w:val="24"/>
          <w:szCs w:val="24"/>
        </w:rPr>
        <w:t xml:space="preserve"> Commission </w:t>
      </w:r>
      <w:r>
        <w:rPr>
          <w:rFonts w:ascii="Garamond" w:hAnsi="Garamond"/>
          <w:sz w:val="24"/>
          <w:szCs w:val="24"/>
        </w:rPr>
        <w:t xml:space="preserve">on Human Rights </w:t>
      </w:r>
      <w:r w:rsidRPr="009A1694">
        <w:rPr>
          <w:rFonts w:ascii="Garamond" w:hAnsi="Garamond"/>
          <w:sz w:val="24"/>
          <w:szCs w:val="24"/>
        </w:rPr>
        <w:t xml:space="preserve">found that the derogations </w:t>
      </w:r>
      <w:r>
        <w:rPr>
          <w:rFonts w:ascii="Garamond" w:hAnsi="Garamond"/>
          <w:sz w:val="24"/>
          <w:szCs w:val="24"/>
        </w:rPr>
        <w:t xml:space="preserve">from the ECHR declared by Greece </w:t>
      </w:r>
      <w:r w:rsidRPr="009A1694">
        <w:rPr>
          <w:rFonts w:ascii="Garamond" w:hAnsi="Garamond"/>
          <w:sz w:val="24"/>
          <w:szCs w:val="24"/>
        </w:rPr>
        <w:t>were not justified under Article 15 and that the Greek government was therefore in a systemic breach of the provisions of the Convention. Becket records two views within the organs of the Council: one was to simply expel Greece as they were in violation of the Convention and the rules of the Council, while the other maintained that it was necessary to keep Greece within the system as the Council would have no influence on Greece if it were expelled.</w:t>
      </w:r>
      <w:r w:rsidRPr="009A1694">
        <w:rPr>
          <w:rStyle w:val="FootnoteReference"/>
          <w:rFonts w:ascii="Garamond" w:hAnsi="Garamond"/>
          <w:sz w:val="24"/>
          <w:szCs w:val="24"/>
        </w:rPr>
        <w:footnoteReference w:id="23"/>
      </w:r>
      <w:r w:rsidRPr="009A1694">
        <w:rPr>
          <w:rFonts w:ascii="Garamond" w:hAnsi="Garamond"/>
          <w:sz w:val="24"/>
          <w:szCs w:val="24"/>
        </w:rPr>
        <w:t xml:space="preserve"> Becket also notes that behind the first view was the belief that only the restoration of democratic governance would solve the crisis and expulsion could help bring this about. </w:t>
      </w:r>
      <w:r>
        <w:rPr>
          <w:rFonts w:ascii="Garamond" w:hAnsi="Garamond"/>
          <w:sz w:val="24"/>
          <w:szCs w:val="24"/>
        </w:rPr>
        <w:t xml:space="preserve">The same sort of dilemma exists in relation to the questions posed by the actions of states towards the </w:t>
      </w:r>
      <w:r w:rsidR="0026418C">
        <w:rPr>
          <w:rFonts w:ascii="Garamond" w:hAnsi="Garamond"/>
          <w:sz w:val="24"/>
          <w:szCs w:val="24"/>
        </w:rPr>
        <w:t xml:space="preserve">CoE </w:t>
      </w:r>
      <w:r>
        <w:rPr>
          <w:rFonts w:ascii="Garamond" w:hAnsi="Garamond"/>
          <w:sz w:val="24"/>
          <w:szCs w:val="24"/>
        </w:rPr>
        <w:t xml:space="preserve">nowadays. The narrative is often framed in terms of </w:t>
      </w:r>
      <w:r w:rsidRPr="009A1694">
        <w:rPr>
          <w:rFonts w:ascii="Garamond" w:hAnsi="Garamond"/>
          <w:sz w:val="24"/>
          <w:szCs w:val="24"/>
        </w:rPr>
        <w:t>whether to expel a member from an international organisation as a result of the failure to comply with the normative structure, or to keep them within the system in order to retain some influence over them notwithstanding their breaches</w:t>
      </w:r>
      <w:r>
        <w:rPr>
          <w:rFonts w:ascii="Garamond" w:hAnsi="Garamond"/>
          <w:sz w:val="24"/>
          <w:szCs w:val="24"/>
        </w:rPr>
        <w:t>. In the Greek case,</w:t>
      </w:r>
      <w:r w:rsidRPr="009A1694">
        <w:rPr>
          <w:rFonts w:ascii="Garamond" w:hAnsi="Garamond"/>
          <w:sz w:val="24"/>
          <w:szCs w:val="24"/>
        </w:rPr>
        <w:t xml:space="preserve"> the situation was taken out of the hands of the </w:t>
      </w:r>
      <w:r w:rsidR="0026418C">
        <w:rPr>
          <w:rFonts w:ascii="Garamond" w:hAnsi="Garamond"/>
          <w:sz w:val="24"/>
          <w:szCs w:val="24"/>
        </w:rPr>
        <w:t xml:space="preserve">CoE </w:t>
      </w:r>
      <w:r w:rsidRPr="009A1694">
        <w:rPr>
          <w:rFonts w:ascii="Garamond" w:hAnsi="Garamond"/>
          <w:sz w:val="24"/>
          <w:szCs w:val="24"/>
        </w:rPr>
        <w:t xml:space="preserve">by the Greek government’s </w:t>
      </w:r>
      <w:r w:rsidR="00372352">
        <w:rPr>
          <w:rFonts w:ascii="Garamond" w:hAnsi="Garamond"/>
          <w:sz w:val="24"/>
          <w:szCs w:val="24"/>
        </w:rPr>
        <w:t>withdrawal from the CoE</w:t>
      </w:r>
      <w:r w:rsidRPr="009A1694">
        <w:rPr>
          <w:rFonts w:ascii="Garamond" w:hAnsi="Garamond"/>
          <w:sz w:val="24"/>
          <w:szCs w:val="24"/>
        </w:rPr>
        <w:t xml:space="preserve">. </w:t>
      </w:r>
    </w:p>
    <w:p w14:paraId="08E41D9D" w14:textId="06A056EA" w:rsidR="008A3F24" w:rsidRDefault="00F23907" w:rsidP="0053726B">
      <w:pPr>
        <w:spacing w:line="240" w:lineRule="auto"/>
        <w:jc w:val="both"/>
        <w:rPr>
          <w:rFonts w:ascii="Garamond" w:hAnsi="Garamond"/>
          <w:sz w:val="24"/>
          <w:szCs w:val="24"/>
        </w:rPr>
      </w:pPr>
      <w:r>
        <w:rPr>
          <w:rFonts w:ascii="Garamond" w:hAnsi="Garamond"/>
          <w:sz w:val="24"/>
          <w:szCs w:val="24"/>
        </w:rPr>
        <w:t>A</w:t>
      </w:r>
      <w:r w:rsidR="008E65B6">
        <w:rPr>
          <w:rFonts w:ascii="Garamond" w:hAnsi="Garamond"/>
          <w:sz w:val="24"/>
          <w:szCs w:val="24"/>
        </w:rPr>
        <w:t xml:space="preserve"> second sign of crisis is </w:t>
      </w:r>
      <w:r>
        <w:rPr>
          <w:rFonts w:ascii="Garamond" w:hAnsi="Garamond"/>
          <w:sz w:val="24"/>
          <w:szCs w:val="24"/>
        </w:rPr>
        <w:t>an</w:t>
      </w:r>
      <w:r w:rsidR="008E65B6">
        <w:rPr>
          <w:rFonts w:ascii="Garamond" w:hAnsi="Garamond"/>
          <w:sz w:val="24"/>
          <w:szCs w:val="24"/>
        </w:rPr>
        <w:t xml:space="preserve"> act of aggression. </w:t>
      </w:r>
      <w:r w:rsidR="00BF5A96">
        <w:rPr>
          <w:rFonts w:ascii="Garamond" w:hAnsi="Garamond"/>
          <w:sz w:val="24"/>
          <w:szCs w:val="24"/>
        </w:rPr>
        <w:t>Yugoslavia was excluded from the Conference for Security and Cooperation in Europe (CSCE) for its aggression against neighbouring countries in 1992. Yugoslavia was excluded for ‘</w:t>
      </w:r>
      <w:r w:rsidR="00BF5A96" w:rsidRPr="00BF5A96">
        <w:rPr>
          <w:rFonts w:ascii="Garamond" w:hAnsi="Garamond"/>
          <w:sz w:val="24"/>
          <w:szCs w:val="24"/>
        </w:rPr>
        <w:t>clear, gross and uncorrected violations of relevant CSCE principles’</w:t>
      </w:r>
      <w:r w:rsidR="00DE78EF">
        <w:rPr>
          <w:rFonts w:ascii="Garamond" w:hAnsi="Garamond"/>
          <w:sz w:val="24"/>
          <w:szCs w:val="24"/>
        </w:rPr>
        <w:t>;</w:t>
      </w:r>
      <w:r w:rsidR="00BF5A96">
        <w:rPr>
          <w:rStyle w:val="FootnoteReference"/>
          <w:rFonts w:ascii="Garamond" w:hAnsi="Garamond"/>
          <w:sz w:val="24"/>
          <w:szCs w:val="24"/>
        </w:rPr>
        <w:footnoteReference w:id="24"/>
      </w:r>
      <w:r w:rsidR="00DE78EF">
        <w:rPr>
          <w:rFonts w:ascii="Garamond" w:hAnsi="Garamond"/>
          <w:sz w:val="24"/>
          <w:szCs w:val="24"/>
        </w:rPr>
        <w:t xml:space="preserve"> the act of aggression was mentioned as a reason for inability to continue Yugoslavia’s participation in this organisation.</w:t>
      </w:r>
      <w:r w:rsidR="00DE78EF">
        <w:rPr>
          <w:rStyle w:val="FootnoteReference"/>
          <w:rFonts w:ascii="Garamond" w:hAnsi="Garamond"/>
          <w:sz w:val="24"/>
          <w:szCs w:val="24"/>
        </w:rPr>
        <w:footnoteReference w:id="25"/>
      </w:r>
      <w:r w:rsidR="00641667">
        <w:rPr>
          <w:rFonts w:ascii="Garamond" w:hAnsi="Garamond"/>
          <w:sz w:val="24"/>
          <w:szCs w:val="24"/>
        </w:rPr>
        <w:t xml:space="preserve"> This reason is relevant to the current context of the </w:t>
      </w:r>
      <w:r w:rsidR="00E03740">
        <w:rPr>
          <w:rFonts w:ascii="Garamond" w:hAnsi="Garamond"/>
          <w:sz w:val="24"/>
          <w:szCs w:val="24"/>
        </w:rPr>
        <w:t>CoE</w:t>
      </w:r>
      <w:r w:rsidR="00641667">
        <w:rPr>
          <w:rFonts w:ascii="Garamond" w:hAnsi="Garamond"/>
          <w:sz w:val="24"/>
          <w:szCs w:val="24"/>
        </w:rPr>
        <w:t xml:space="preserve">. Russian occupation of Crimea was the key reason for </w:t>
      </w:r>
      <w:r w:rsidR="00E03740">
        <w:rPr>
          <w:rFonts w:ascii="Garamond" w:hAnsi="Garamond"/>
          <w:sz w:val="24"/>
          <w:szCs w:val="24"/>
        </w:rPr>
        <w:t>the</w:t>
      </w:r>
      <w:r w:rsidR="00641667">
        <w:rPr>
          <w:rFonts w:ascii="Garamond" w:hAnsi="Garamond"/>
          <w:sz w:val="24"/>
          <w:szCs w:val="24"/>
        </w:rPr>
        <w:t xml:space="preserve"> standoff between the Russian government and the </w:t>
      </w:r>
      <w:r w:rsidR="0072006A">
        <w:rPr>
          <w:rFonts w:ascii="Garamond" w:hAnsi="Garamond"/>
          <w:sz w:val="24"/>
          <w:szCs w:val="24"/>
        </w:rPr>
        <w:t>PACE</w:t>
      </w:r>
      <w:r w:rsidR="00641667">
        <w:rPr>
          <w:rFonts w:ascii="Garamond" w:hAnsi="Garamond"/>
          <w:sz w:val="24"/>
          <w:szCs w:val="24"/>
        </w:rPr>
        <w:t>. This issue will be dealt in more detail in the subsequent section</w:t>
      </w:r>
      <w:r w:rsidR="00E03740">
        <w:rPr>
          <w:rFonts w:ascii="Garamond" w:hAnsi="Garamond"/>
          <w:sz w:val="24"/>
          <w:szCs w:val="24"/>
        </w:rPr>
        <w:t>s</w:t>
      </w:r>
      <w:r w:rsidR="00641667">
        <w:rPr>
          <w:rFonts w:ascii="Garamond" w:hAnsi="Garamond"/>
          <w:sz w:val="24"/>
          <w:szCs w:val="24"/>
        </w:rPr>
        <w:t xml:space="preserve"> of this article, it suffices to say here that military aggression can</w:t>
      </w:r>
      <w:r w:rsidR="00E03740">
        <w:rPr>
          <w:rFonts w:ascii="Garamond" w:hAnsi="Garamond"/>
          <w:sz w:val="24"/>
          <w:szCs w:val="24"/>
        </w:rPr>
        <w:t xml:space="preserve"> clearly</w:t>
      </w:r>
      <w:r w:rsidR="00641667">
        <w:rPr>
          <w:rFonts w:ascii="Garamond" w:hAnsi="Garamond"/>
          <w:sz w:val="24"/>
          <w:szCs w:val="24"/>
        </w:rPr>
        <w:t xml:space="preserve"> raise the question of expulsion.</w:t>
      </w:r>
    </w:p>
    <w:p w14:paraId="417758AC" w14:textId="79D06DBB" w:rsidR="00303093" w:rsidRDefault="00DE78EF" w:rsidP="0053726B">
      <w:pPr>
        <w:spacing w:line="240" w:lineRule="auto"/>
        <w:jc w:val="both"/>
        <w:rPr>
          <w:rFonts w:ascii="Garamond" w:hAnsi="Garamond"/>
          <w:sz w:val="24"/>
          <w:szCs w:val="24"/>
        </w:rPr>
      </w:pPr>
      <w:r>
        <w:rPr>
          <w:rFonts w:ascii="Garamond" w:hAnsi="Garamond"/>
          <w:sz w:val="24"/>
          <w:szCs w:val="24"/>
        </w:rPr>
        <w:t xml:space="preserve">Finally, </w:t>
      </w:r>
      <w:r w:rsidR="0072006A">
        <w:rPr>
          <w:rFonts w:ascii="Garamond" w:hAnsi="Garamond"/>
          <w:sz w:val="24"/>
          <w:szCs w:val="24"/>
        </w:rPr>
        <w:t xml:space="preserve">the </w:t>
      </w:r>
      <w:r>
        <w:rPr>
          <w:rFonts w:ascii="Garamond" w:hAnsi="Garamond"/>
          <w:sz w:val="24"/>
          <w:szCs w:val="24"/>
        </w:rPr>
        <w:t xml:space="preserve">lack of cooperation with the organisation and gross violations of human rights </w:t>
      </w:r>
      <w:r w:rsidR="00B823E6">
        <w:rPr>
          <w:rFonts w:ascii="Garamond" w:hAnsi="Garamond"/>
          <w:sz w:val="24"/>
          <w:szCs w:val="24"/>
        </w:rPr>
        <w:t>can be considered</w:t>
      </w:r>
      <w:r>
        <w:rPr>
          <w:rFonts w:ascii="Garamond" w:hAnsi="Garamond"/>
          <w:sz w:val="24"/>
          <w:szCs w:val="24"/>
        </w:rPr>
        <w:t xml:space="preserve"> as reasons for expulsion. </w:t>
      </w:r>
      <w:r w:rsidR="00B823E6">
        <w:rPr>
          <w:rFonts w:ascii="Garamond" w:hAnsi="Garamond"/>
          <w:sz w:val="24"/>
          <w:szCs w:val="24"/>
        </w:rPr>
        <w:t xml:space="preserve">This </w:t>
      </w:r>
      <w:r w:rsidR="00F23907">
        <w:rPr>
          <w:rFonts w:ascii="Garamond" w:hAnsi="Garamond"/>
          <w:sz w:val="24"/>
          <w:szCs w:val="24"/>
        </w:rPr>
        <w:t>lacks the immediacy of the other reasons</w:t>
      </w:r>
      <w:r w:rsidR="00B823E6">
        <w:rPr>
          <w:rFonts w:ascii="Garamond" w:hAnsi="Garamond"/>
          <w:sz w:val="24"/>
          <w:szCs w:val="24"/>
        </w:rPr>
        <w:t xml:space="preserve"> but </w:t>
      </w:r>
      <w:r w:rsidR="0072006A">
        <w:rPr>
          <w:rFonts w:ascii="Garamond" w:hAnsi="Garamond"/>
          <w:sz w:val="24"/>
          <w:szCs w:val="24"/>
        </w:rPr>
        <w:t xml:space="preserve">it reflects </w:t>
      </w:r>
      <w:r w:rsidR="0072006A">
        <w:rPr>
          <w:rFonts w:ascii="Garamond" w:hAnsi="Garamond"/>
          <w:sz w:val="24"/>
          <w:szCs w:val="24"/>
        </w:rPr>
        <w:lastRenderedPageBreak/>
        <w:t xml:space="preserve">a </w:t>
      </w:r>
      <w:r w:rsidR="00B73049">
        <w:rPr>
          <w:rFonts w:ascii="Garamond" w:hAnsi="Garamond"/>
          <w:sz w:val="24"/>
          <w:szCs w:val="24"/>
        </w:rPr>
        <w:t>slow deterioration of human rights situation in the country to the point whe</w:t>
      </w:r>
      <w:r w:rsidR="00F23907">
        <w:rPr>
          <w:rFonts w:ascii="Garamond" w:hAnsi="Garamond"/>
          <w:sz w:val="24"/>
          <w:szCs w:val="24"/>
        </w:rPr>
        <w:t>re</w:t>
      </w:r>
      <w:r w:rsidR="00B73049">
        <w:rPr>
          <w:rFonts w:ascii="Garamond" w:hAnsi="Garamond"/>
          <w:sz w:val="24"/>
          <w:szCs w:val="24"/>
        </w:rPr>
        <w:t xml:space="preserve"> any effective collaboratio</w:t>
      </w:r>
      <w:r w:rsidR="00EC4059">
        <w:rPr>
          <w:rFonts w:ascii="Garamond" w:hAnsi="Garamond"/>
          <w:sz w:val="24"/>
          <w:szCs w:val="24"/>
        </w:rPr>
        <w:t>n with an organisation based on</w:t>
      </w:r>
      <w:r w:rsidR="00B73049">
        <w:rPr>
          <w:rFonts w:ascii="Garamond" w:hAnsi="Garamond"/>
          <w:sz w:val="24"/>
          <w:szCs w:val="24"/>
        </w:rPr>
        <w:t xml:space="preserve"> human rights</w:t>
      </w:r>
      <w:r w:rsidR="00F23907">
        <w:rPr>
          <w:rFonts w:ascii="Garamond" w:hAnsi="Garamond"/>
          <w:sz w:val="24"/>
          <w:szCs w:val="24"/>
        </w:rPr>
        <w:t xml:space="preserve"> values</w:t>
      </w:r>
      <w:r w:rsidR="00B73049">
        <w:rPr>
          <w:rFonts w:ascii="Garamond" w:hAnsi="Garamond"/>
          <w:sz w:val="24"/>
          <w:szCs w:val="24"/>
        </w:rPr>
        <w:t xml:space="preserve"> </w:t>
      </w:r>
      <w:r w:rsidR="00B77B5D">
        <w:rPr>
          <w:rFonts w:ascii="Garamond" w:hAnsi="Garamond"/>
          <w:sz w:val="24"/>
          <w:szCs w:val="24"/>
        </w:rPr>
        <w:t xml:space="preserve">becomes impossible. </w:t>
      </w:r>
      <w:r w:rsidR="00EC4059">
        <w:rPr>
          <w:rFonts w:ascii="Garamond" w:hAnsi="Garamond"/>
          <w:sz w:val="24"/>
          <w:szCs w:val="24"/>
        </w:rPr>
        <w:t>In order to establish</w:t>
      </w:r>
      <w:r w:rsidR="00B77B5D">
        <w:rPr>
          <w:rFonts w:ascii="Garamond" w:hAnsi="Garamond"/>
          <w:sz w:val="24"/>
          <w:szCs w:val="24"/>
        </w:rPr>
        <w:t xml:space="preserve"> this reason</w:t>
      </w:r>
      <w:r w:rsidR="00F23907">
        <w:rPr>
          <w:rFonts w:ascii="Garamond" w:hAnsi="Garamond"/>
          <w:sz w:val="24"/>
          <w:szCs w:val="24"/>
        </w:rPr>
        <w:t>, there must be</w:t>
      </w:r>
      <w:r w:rsidR="00B77B5D">
        <w:rPr>
          <w:rFonts w:ascii="Garamond" w:hAnsi="Garamond"/>
          <w:sz w:val="24"/>
          <w:szCs w:val="24"/>
        </w:rPr>
        <w:t xml:space="preserve"> a pattern of ignoring of </w:t>
      </w:r>
      <w:r w:rsidR="00E03740">
        <w:rPr>
          <w:rFonts w:ascii="Garamond" w:hAnsi="Garamond"/>
          <w:sz w:val="24"/>
          <w:szCs w:val="24"/>
        </w:rPr>
        <w:t xml:space="preserve">the </w:t>
      </w:r>
      <w:r w:rsidR="00B77B5D">
        <w:rPr>
          <w:rFonts w:ascii="Garamond" w:hAnsi="Garamond"/>
          <w:sz w:val="24"/>
          <w:szCs w:val="24"/>
        </w:rPr>
        <w:t xml:space="preserve">key human rights obligations. </w:t>
      </w:r>
      <w:r w:rsidR="0072006A">
        <w:rPr>
          <w:rFonts w:ascii="Garamond" w:hAnsi="Garamond"/>
          <w:sz w:val="24"/>
          <w:szCs w:val="24"/>
        </w:rPr>
        <w:t>A</w:t>
      </w:r>
      <w:r w:rsidR="00B77B5D">
        <w:rPr>
          <w:rFonts w:ascii="Garamond" w:hAnsi="Garamond"/>
          <w:sz w:val="24"/>
          <w:szCs w:val="24"/>
        </w:rPr>
        <w:t xml:space="preserve"> member state </w:t>
      </w:r>
      <w:r w:rsidR="00E03740">
        <w:rPr>
          <w:rFonts w:ascii="Garamond" w:hAnsi="Garamond"/>
          <w:sz w:val="24"/>
          <w:szCs w:val="24"/>
        </w:rPr>
        <w:t>need</w:t>
      </w:r>
      <w:r w:rsidR="0072006A">
        <w:rPr>
          <w:rFonts w:ascii="Garamond" w:hAnsi="Garamond"/>
          <w:sz w:val="24"/>
          <w:szCs w:val="24"/>
        </w:rPr>
        <w:t>s</w:t>
      </w:r>
      <w:r w:rsidR="00E03740">
        <w:rPr>
          <w:rFonts w:ascii="Garamond" w:hAnsi="Garamond"/>
          <w:sz w:val="24"/>
          <w:szCs w:val="24"/>
        </w:rPr>
        <w:t xml:space="preserve"> to </w:t>
      </w:r>
      <w:r w:rsidR="00B77B5D">
        <w:rPr>
          <w:rFonts w:ascii="Garamond" w:hAnsi="Garamond"/>
          <w:sz w:val="24"/>
          <w:szCs w:val="24"/>
        </w:rPr>
        <w:t>grossly violate human rights and refuse to collaborate with the international organisation to rectify this violation. It seems that this reason</w:t>
      </w:r>
      <w:r w:rsidR="0072006A">
        <w:rPr>
          <w:rFonts w:ascii="Garamond" w:hAnsi="Garamond"/>
          <w:sz w:val="24"/>
          <w:szCs w:val="24"/>
        </w:rPr>
        <w:t>,</w:t>
      </w:r>
      <w:r w:rsidR="00B77B5D">
        <w:rPr>
          <w:rFonts w:ascii="Garamond" w:hAnsi="Garamond"/>
          <w:sz w:val="24"/>
          <w:szCs w:val="24"/>
        </w:rPr>
        <w:t xml:space="preserve"> more than others</w:t>
      </w:r>
      <w:r w:rsidR="0072006A">
        <w:rPr>
          <w:rFonts w:ascii="Garamond" w:hAnsi="Garamond"/>
          <w:sz w:val="24"/>
          <w:szCs w:val="24"/>
        </w:rPr>
        <w:t>,</w:t>
      </w:r>
      <w:r w:rsidR="00B77B5D">
        <w:rPr>
          <w:rFonts w:ascii="Garamond" w:hAnsi="Garamond"/>
          <w:sz w:val="24"/>
          <w:szCs w:val="24"/>
        </w:rPr>
        <w:t xml:space="preserve"> requires </w:t>
      </w:r>
      <w:r w:rsidR="0074045E">
        <w:rPr>
          <w:rFonts w:ascii="Garamond" w:hAnsi="Garamond"/>
          <w:sz w:val="24"/>
          <w:szCs w:val="24"/>
        </w:rPr>
        <w:t xml:space="preserve">substantiation and evidence that human rights violations </w:t>
      </w:r>
      <w:r w:rsidR="00E03740">
        <w:rPr>
          <w:rFonts w:ascii="Garamond" w:hAnsi="Garamond"/>
          <w:sz w:val="24"/>
          <w:szCs w:val="24"/>
        </w:rPr>
        <w:t xml:space="preserve">of a particular magnitude </w:t>
      </w:r>
      <w:r w:rsidR="0074045E">
        <w:rPr>
          <w:rFonts w:ascii="Garamond" w:hAnsi="Garamond"/>
          <w:sz w:val="24"/>
          <w:szCs w:val="24"/>
        </w:rPr>
        <w:t>did happen.</w:t>
      </w:r>
      <w:r w:rsidR="004C2B7F">
        <w:rPr>
          <w:rFonts w:ascii="Garamond" w:hAnsi="Garamond"/>
          <w:sz w:val="24"/>
          <w:szCs w:val="24"/>
        </w:rPr>
        <w:t xml:space="preserve"> The critics of this reason to expel argue that ‘in practice organisations have tended to restrict the use of suspension to a limited range of behaviours, suggesting a selective approach to rights enforcement’.</w:t>
      </w:r>
      <w:r w:rsidR="004C2B7F">
        <w:rPr>
          <w:rStyle w:val="FootnoteReference"/>
          <w:rFonts w:ascii="Garamond" w:hAnsi="Garamond"/>
          <w:sz w:val="24"/>
          <w:szCs w:val="24"/>
        </w:rPr>
        <w:footnoteReference w:id="26"/>
      </w:r>
      <w:r w:rsidR="004C2B7F">
        <w:rPr>
          <w:rFonts w:ascii="Garamond" w:hAnsi="Garamond"/>
          <w:sz w:val="24"/>
          <w:szCs w:val="24"/>
        </w:rPr>
        <w:t xml:space="preserve"> To respond to this criticism the decision of expulsion on this basis should be well substantiated</w:t>
      </w:r>
      <w:r w:rsidR="0072006A">
        <w:rPr>
          <w:rFonts w:ascii="Garamond" w:hAnsi="Garamond"/>
          <w:sz w:val="24"/>
          <w:szCs w:val="24"/>
        </w:rPr>
        <w:t xml:space="preserve"> and based for example on the inter-state judgment of the ECtHR or a decision in the infringement procedure under Article 46(4)</w:t>
      </w:r>
      <w:r w:rsidR="004C2B7F">
        <w:rPr>
          <w:rFonts w:ascii="Garamond" w:hAnsi="Garamond"/>
          <w:sz w:val="24"/>
          <w:szCs w:val="24"/>
        </w:rPr>
        <w:t>.</w:t>
      </w:r>
      <w:r w:rsidR="00F23907">
        <w:rPr>
          <w:rFonts w:ascii="Garamond" w:hAnsi="Garamond"/>
          <w:sz w:val="24"/>
          <w:szCs w:val="24"/>
        </w:rPr>
        <w:t xml:space="preserve"> Expulsion for this reason can serve to strengthen the underlying values that the organisation is committed to. This reason can present itself in conjunction with the reasons outlined above.</w:t>
      </w:r>
      <w:r w:rsidR="00EC4059">
        <w:rPr>
          <w:rFonts w:ascii="Garamond" w:hAnsi="Garamond"/>
          <w:sz w:val="24"/>
          <w:szCs w:val="24"/>
        </w:rPr>
        <w:t xml:space="preserve"> </w:t>
      </w:r>
      <w:r w:rsidR="00F23907">
        <w:rPr>
          <w:rFonts w:ascii="Garamond" w:hAnsi="Garamond"/>
          <w:sz w:val="24"/>
          <w:szCs w:val="24"/>
        </w:rPr>
        <w:t xml:space="preserve">Human rights violations have served as the basis for suspension and expulsion proceedings in some international organisations. </w:t>
      </w:r>
      <w:r w:rsidR="00AE1B2E">
        <w:rPr>
          <w:rFonts w:ascii="Garamond" w:hAnsi="Garamond"/>
          <w:sz w:val="24"/>
          <w:szCs w:val="24"/>
        </w:rPr>
        <w:t xml:space="preserve">The Commonwealth of Nations </w:t>
      </w:r>
      <w:r w:rsidR="00F518BC">
        <w:rPr>
          <w:rFonts w:ascii="Garamond" w:hAnsi="Garamond"/>
          <w:sz w:val="24"/>
          <w:szCs w:val="24"/>
        </w:rPr>
        <w:t>offers</w:t>
      </w:r>
      <w:r w:rsidR="00AE1B2E">
        <w:rPr>
          <w:rFonts w:ascii="Garamond" w:hAnsi="Garamond"/>
          <w:sz w:val="24"/>
          <w:szCs w:val="24"/>
        </w:rPr>
        <w:t xml:space="preserve"> an example of how expulsion can work to strengthen the normative core of an international organisation.</w:t>
      </w:r>
      <w:r w:rsidR="00E124D4">
        <w:rPr>
          <w:rStyle w:val="FootnoteReference"/>
          <w:rFonts w:ascii="Garamond" w:hAnsi="Garamond"/>
          <w:sz w:val="24"/>
          <w:szCs w:val="24"/>
        </w:rPr>
        <w:footnoteReference w:id="27"/>
      </w:r>
      <w:r w:rsidR="00AE1B2E" w:rsidRPr="009A1694">
        <w:rPr>
          <w:rFonts w:ascii="Garamond" w:hAnsi="Garamond"/>
          <w:sz w:val="24"/>
          <w:szCs w:val="24"/>
        </w:rPr>
        <w:t xml:space="preserve"> </w:t>
      </w:r>
      <w:r w:rsidR="00AE1B2E">
        <w:rPr>
          <w:rFonts w:ascii="Garamond" w:hAnsi="Garamond"/>
          <w:sz w:val="24"/>
          <w:szCs w:val="24"/>
        </w:rPr>
        <w:t>In 2009</w:t>
      </w:r>
      <w:r w:rsidR="00D43FA1">
        <w:rPr>
          <w:rFonts w:ascii="Garamond" w:hAnsi="Garamond"/>
          <w:sz w:val="24"/>
          <w:szCs w:val="24"/>
        </w:rPr>
        <w:t>,</w:t>
      </w:r>
      <w:r w:rsidR="00AE1B2E">
        <w:rPr>
          <w:rFonts w:ascii="Garamond" w:hAnsi="Garamond"/>
          <w:sz w:val="24"/>
          <w:szCs w:val="24"/>
        </w:rPr>
        <w:t xml:space="preserve"> Fiji was fully suspended for restrictions on freedom of expression and assembly, arbitrary arrest and breaches of principle of judicial independence.</w:t>
      </w:r>
      <w:r w:rsidR="00AE1B2E">
        <w:rPr>
          <w:rStyle w:val="FootnoteReference"/>
          <w:rFonts w:ascii="Garamond" w:hAnsi="Garamond"/>
          <w:sz w:val="24"/>
          <w:szCs w:val="24"/>
        </w:rPr>
        <w:footnoteReference w:id="28"/>
      </w:r>
      <w:r w:rsidR="00D43FA1">
        <w:rPr>
          <w:rFonts w:ascii="Garamond" w:hAnsi="Garamond"/>
          <w:sz w:val="24"/>
          <w:szCs w:val="24"/>
        </w:rPr>
        <w:t xml:space="preserve"> </w:t>
      </w:r>
      <w:r w:rsidR="00AE1B2E" w:rsidRPr="009A1694">
        <w:rPr>
          <w:rFonts w:ascii="Garamond" w:hAnsi="Garamond"/>
          <w:sz w:val="24"/>
          <w:szCs w:val="24"/>
        </w:rPr>
        <w:t>In 2002, Zimbabwe was suspended from the ministerial councils on the basis of the politically motivated violence which had occurred in the presidential election in March 2002.</w:t>
      </w:r>
      <w:r w:rsidR="00AE1B2E" w:rsidRPr="009A1694">
        <w:rPr>
          <w:rStyle w:val="FootnoteReference"/>
          <w:rFonts w:ascii="Garamond" w:hAnsi="Garamond"/>
          <w:sz w:val="24"/>
          <w:szCs w:val="24"/>
        </w:rPr>
        <w:footnoteReference w:id="29"/>
      </w:r>
      <w:r w:rsidR="00AE1B2E" w:rsidRPr="009A1694">
        <w:rPr>
          <w:rFonts w:ascii="Garamond" w:hAnsi="Garamond"/>
          <w:sz w:val="24"/>
          <w:szCs w:val="24"/>
        </w:rPr>
        <w:t xml:space="preserve"> The initial 12 month suspension was to be followed by an indefinite suspension, at which point Zimbabwe withdrew from the Commonwealth.</w:t>
      </w:r>
      <w:r w:rsidR="00AE1B2E" w:rsidRPr="009A1694">
        <w:rPr>
          <w:rStyle w:val="FootnoteReference"/>
          <w:rFonts w:ascii="Garamond" w:hAnsi="Garamond"/>
          <w:sz w:val="24"/>
          <w:szCs w:val="24"/>
        </w:rPr>
        <w:footnoteReference w:id="30"/>
      </w:r>
      <w:r w:rsidR="00AE1B2E" w:rsidRPr="009A1694">
        <w:rPr>
          <w:rFonts w:ascii="Garamond" w:hAnsi="Garamond"/>
          <w:sz w:val="24"/>
          <w:szCs w:val="24"/>
        </w:rPr>
        <w:t xml:space="preserve"> This was driven by the need to uphold </w:t>
      </w:r>
      <w:r w:rsidR="00AE1B2E">
        <w:rPr>
          <w:rFonts w:ascii="Garamond" w:hAnsi="Garamond"/>
          <w:sz w:val="24"/>
          <w:szCs w:val="24"/>
        </w:rPr>
        <w:t>human rights</w:t>
      </w:r>
      <w:r w:rsidR="00AE1B2E" w:rsidRPr="009A1694">
        <w:rPr>
          <w:rFonts w:ascii="Garamond" w:hAnsi="Garamond"/>
          <w:sz w:val="24"/>
          <w:szCs w:val="24"/>
        </w:rPr>
        <w:t xml:space="preserve"> norms and also by the failure of Zimbabwe to engage with the process initiated in 2002 to promote reconciliation.</w:t>
      </w:r>
      <w:r w:rsidR="00AE1B2E">
        <w:rPr>
          <w:rStyle w:val="FootnoteReference"/>
          <w:rFonts w:ascii="Garamond" w:hAnsi="Garamond"/>
          <w:sz w:val="24"/>
          <w:szCs w:val="24"/>
        </w:rPr>
        <w:footnoteReference w:id="31"/>
      </w:r>
      <w:r w:rsidR="00AE1B2E" w:rsidRPr="009A1694">
        <w:rPr>
          <w:rFonts w:ascii="Garamond" w:hAnsi="Garamond"/>
          <w:sz w:val="24"/>
          <w:szCs w:val="24"/>
        </w:rPr>
        <w:t xml:space="preserve"> </w:t>
      </w:r>
    </w:p>
    <w:p w14:paraId="34AAE373" w14:textId="39D1C869" w:rsidR="00DE78EF" w:rsidRPr="004943DC" w:rsidRDefault="004554A2" w:rsidP="004943DC">
      <w:pPr>
        <w:pStyle w:val="ListParagraph"/>
        <w:numPr>
          <w:ilvl w:val="1"/>
          <w:numId w:val="9"/>
        </w:numPr>
        <w:spacing w:line="240" w:lineRule="auto"/>
        <w:jc w:val="both"/>
        <w:rPr>
          <w:rFonts w:ascii="Garamond" w:hAnsi="Garamond"/>
          <w:b/>
          <w:sz w:val="24"/>
          <w:szCs w:val="24"/>
        </w:rPr>
      </w:pPr>
      <w:r w:rsidRPr="004943DC">
        <w:rPr>
          <w:rFonts w:ascii="Garamond" w:hAnsi="Garamond"/>
          <w:b/>
          <w:sz w:val="24"/>
          <w:szCs w:val="24"/>
        </w:rPr>
        <w:t xml:space="preserve">Interpretation </w:t>
      </w:r>
    </w:p>
    <w:p w14:paraId="1AE47BE9" w14:textId="76A367CA" w:rsidR="00DE78EF" w:rsidRDefault="00E641BE" w:rsidP="0053726B">
      <w:pPr>
        <w:spacing w:line="240" w:lineRule="auto"/>
        <w:jc w:val="both"/>
        <w:rPr>
          <w:rFonts w:ascii="Garamond" w:hAnsi="Garamond"/>
          <w:sz w:val="24"/>
          <w:szCs w:val="24"/>
        </w:rPr>
      </w:pPr>
      <w:r>
        <w:rPr>
          <w:rFonts w:ascii="Garamond" w:hAnsi="Garamond"/>
          <w:sz w:val="24"/>
          <w:szCs w:val="24"/>
        </w:rPr>
        <w:t xml:space="preserve">Even when an organisation has a legal right to expel and there are reasons to </w:t>
      </w:r>
      <w:r w:rsidR="0057074D">
        <w:rPr>
          <w:rFonts w:ascii="Garamond" w:hAnsi="Garamond"/>
          <w:sz w:val="24"/>
          <w:szCs w:val="24"/>
        </w:rPr>
        <w:t>do so,</w:t>
      </w:r>
      <w:r w:rsidR="004A3DEC">
        <w:rPr>
          <w:rFonts w:ascii="Garamond" w:hAnsi="Garamond"/>
          <w:sz w:val="24"/>
          <w:szCs w:val="24"/>
        </w:rPr>
        <w:t xml:space="preserve"> </w:t>
      </w:r>
      <w:r w:rsidR="0055276D">
        <w:rPr>
          <w:rFonts w:ascii="Garamond" w:hAnsi="Garamond"/>
          <w:sz w:val="24"/>
          <w:szCs w:val="24"/>
        </w:rPr>
        <w:t>such</w:t>
      </w:r>
      <w:r w:rsidR="0057074D">
        <w:rPr>
          <w:rFonts w:ascii="Garamond" w:hAnsi="Garamond"/>
          <w:sz w:val="24"/>
          <w:szCs w:val="24"/>
        </w:rPr>
        <w:t xml:space="preserve"> organisation has to </w:t>
      </w:r>
      <w:r w:rsidR="0055276D">
        <w:rPr>
          <w:rFonts w:ascii="Garamond" w:hAnsi="Garamond"/>
          <w:sz w:val="24"/>
          <w:szCs w:val="24"/>
        </w:rPr>
        <w:t>carefully weigh all</w:t>
      </w:r>
      <w:r w:rsidR="0057074D">
        <w:rPr>
          <w:rFonts w:ascii="Garamond" w:hAnsi="Garamond"/>
          <w:sz w:val="24"/>
          <w:szCs w:val="24"/>
        </w:rPr>
        <w:t xml:space="preserve"> relevant considerations and consequences of this decision</w:t>
      </w:r>
      <w:r w:rsidR="004A3DEC">
        <w:rPr>
          <w:rFonts w:ascii="Garamond" w:hAnsi="Garamond"/>
          <w:sz w:val="24"/>
          <w:szCs w:val="24"/>
        </w:rPr>
        <w:t>.</w:t>
      </w:r>
      <w:r w:rsidR="0057074D">
        <w:rPr>
          <w:rFonts w:ascii="Garamond" w:hAnsi="Garamond"/>
          <w:sz w:val="24"/>
          <w:szCs w:val="24"/>
        </w:rPr>
        <w:t xml:space="preserve"> A decision to expel or not might prove vital for the fate of the organisation. In the past, some organisations chose the strategy </w:t>
      </w:r>
      <w:r w:rsidR="004863B8">
        <w:rPr>
          <w:rFonts w:ascii="Garamond" w:hAnsi="Garamond"/>
          <w:sz w:val="24"/>
          <w:szCs w:val="24"/>
        </w:rPr>
        <w:t xml:space="preserve">of </w:t>
      </w:r>
      <w:r w:rsidR="0057074D">
        <w:rPr>
          <w:rFonts w:ascii="Garamond" w:hAnsi="Garamond"/>
          <w:sz w:val="24"/>
          <w:szCs w:val="24"/>
        </w:rPr>
        <w:t>avoiding expulsions.</w:t>
      </w:r>
      <w:r w:rsidR="004A3DEC">
        <w:rPr>
          <w:rFonts w:ascii="Garamond" w:hAnsi="Garamond"/>
          <w:sz w:val="24"/>
          <w:szCs w:val="24"/>
        </w:rPr>
        <w:t xml:space="preserve"> For instance, Sohn observed in relation to </w:t>
      </w:r>
      <w:r w:rsidR="00B823E6">
        <w:rPr>
          <w:rFonts w:ascii="Garamond" w:hAnsi="Garamond"/>
          <w:sz w:val="24"/>
          <w:szCs w:val="24"/>
        </w:rPr>
        <w:t>the League of Nations that despite the ability to expel</w:t>
      </w:r>
      <w:r w:rsidR="004863B8">
        <w:rPr>
          <w:rFonts w:ascii="Garamond" w:hAnsi="Garamond"/>
          <w:sz w:val="24"/>
          <w:szCs w:val="24"/>
        </w:rPr>
        <w:t>,</w:t>
      </w:r>
      <w:r w:rsidR="00B823E6">
        <w:rPr>
          <w:rFonts w:ascii="Garamond" w:hAnsi="Garamond"/>
          <w:sz w:val="24"/>
          <w:szCs w:val="24"/>
        </w:rPr>
        <w:t xml:space="preserve"> the League of Nations </w:t>
      </w:r>
      <w:r w:rsidR="004863B8">
        <w:rPr>
          <w:rFonts w:ascii="Garamond" w:hAnsi="Garamond"/>
          <w:sz w:val="24"/>
          <w:szCs w:val="24"/>
        </w:rPr>
        <w:t xml:space="preserve">did </w:t>
      </w:r>
      <w:r w:rsidR="00B823E6">
        <w:rPr>
          <w:rFonts w:ascii="Garamond" w:hAnsi="Garamond"/>
          <w:sz w:val="24"/>
          <w:szCs w:val="24"/>
        </w:rPr>
        <w:t xml:space="preserve">not even formally attempt to expel Japan for its aggression to China or Italy for </w:t>
      </w:r>
      <w:r w:rsidR="004863B8">
        <w:rPr>
          <w:rFonts w:ascii="Garamond" w:hAnsi="Garamond"/>
          <w:sz w:val="24"/>
          <w:szCs w:val="24"/>
        </w:rPr>
        <w:t>its</w:t>
      </w:r>
      <w:r w:rsidR="00B823E6">
        <w:rPr>
          <w:rFonts w:ascii="Garamond" w:hAnsi="Garamond"/>
          <w:sz w:val="24"/>
          <w:szCs w:val="24"/>
        </w:rPr>
        <w:t xml:space="preserve"> aggression to Ethiopia</w:t>
      </w:r>
      <w:r w:rsidR="004863B8">
        <w:rPr>
          <w:rFonts w:ascii="Garamond" w:hAnsi="Garamond"/>
          <w:sz w:val="24"/>
          <w:szCs w:val="24"/>
        </w:rPr>
        <w:t>:</w:t>
      </w:r>
      <w:r w:rsidR="00B823E6">
        <w:rPr>
          <w:rFonts w:ascii="Garamond" w:hAnsi="Garamond"/>
          <w:sz w:val="24"/>
          <w:szCs w:val="24"/>
        </w:rPr>
        <w:t xml:space="preserve"> ‘Both Japan and Italy, and Germany as well, withdrew from the League, and the efforts of most nations were devoted to urging them to retain their membership’.</w:t>
      </w:r>
      <w:r w:rsidR="00B823E6">
        <w:rPr>
          <w:rStyle w:val="FootnoteReference"/>
          <w:rFonts w:ascii="Garamond" w:hAnsi="Garamond"/>
          <w:sz w:val="24"/>
          <w:szCs w:val="24"/>
        </w:rPr>
        <w:footnoteReference w:id="32"/>
      </w:r>
      <w:r w:rsidR="0055276D">
        <w:rPr>
          <w:rFonts w:ascii="Garamond" w:hAnsi="Garamond"/>
          <w:sz w:val="24"/>
          <w:szCs w:val="24"/>
        </w:rPr>
        <w:t xml:space="preserve"> </w:t>
      </w:r>
      <w:r w:rsidR="004863B8">
        <w:rPr>
          <w:rFonts w:ascii="Garamond" w:hAnsi="Garamond"/>
          <w:sz w:val="24"/>
          <w:szCs w:val="24"/>
        </w:rPr>
        <w:t xml:space="preserve">This strategy proved fatal for this organisation. </w:t>
      </w:r>
    </w:p>
    <w:p w14:paraId="75399505" w14:textId="75D1BA06" w:rsidR="001C1B89" w:rsidRDefault="0043714E" w:rsidP="0053726B">
      <w:pPr>
        <w:spacing w:line="240" w:lineRule="auto"/>
        <w:jc w:val="both"/>
        <w:rPr>
          <w:rFonts w:ascii="Garamond" w:hAnsi="Garamond"/>
          <w:sz w:val="24"/>
          <w:szCs w:val="24"/>
        </w:rPr>
      </w:pPr>
      <w:r>
        <w:rPr>
          <w:rFonts w:ascii="Garamond" w:hAnsi="Garamond"/>
          <w:sz w:val="24"/>
          <w:szCs w:val="24"/>
        </w:rPr>
        <w:t xml:space="preserve">Legal provisions that empower an international organisation to suspend and expel its members leave a broad area of discretion and political decision-making. </w:t>
      </w:r>
      <w:r w:rsidR="000E2408">
        <w:rPr>
          <w:rFonts w:ascii="Garamond" w:hAnsi="Garamond"/>
          <w:sz w:val="24"/>
          <w:szCs w:val="24"/>
        </w:rPr>
        <w:t xml:space="preserve">The subsequent </w:t>
      </w:r>
      <w:r w:rsidR="000640B4">
        <w:rPr>
          <w:rFonts w:ascii="Garamond" w:hAnsi="Garamond"/>
          <w:sz w:val="24"/>
          <w:szCs w:val="24"/>
        </w:rPr>
        <w:t>sections</w:t>
      </w:r>
      <w:r w:rsidR="000E2408">
        <w:rPr>
          <w:rFonts w:ascii="Garamond" w:hAnsi="Garamond"/>
          <w:sz w:val="24"/>
          <w:szCs w:val="24"/>
        </w:rPr>
        <w:t xml:space="preserve"> consider if the </w:t>
      </w:r>
      <w:r w:rsidR="0026418C">
        <w:rPr>
          <w:rFonts w:ascii="Garamond" w:hAnsi="Garamond"/>
          <w:sz w:val="24"/>
          <w:szCs w:val="24"/>
        </w:rPr>
        <w:t xml:space="preserve">CoE </w:t>
      </w:r>
      <w:r w:rsidR="000E2408">
        <w:rPr>
          <w:rFonts w:ascii="Garamond" w:hAnsi="Garamond"/>
          <w:sz w:val="24"/>
          <w:szCs w:val="24"/>
        </w:rPr>
        <w:t xml:space="preserve">can </w:t>
      </w:r>
      <w:r w:rsidR="002903EF">
        <w:rPr>
          <w:rFonts w:ascii="Garamond" w:hAnsi="Garamond"/>
          <w:sz w:val="24"/>
          <w:szCs w:val="24"/>
        </w:rPr>
        <w:t xml:space="preserve">legally </w:t>
      </w:r>
      <w:r w:rsidR="000E2408">
        <w:rPr>
          <w:rFonts w:ascii="Garamond" w:hAnsi="Garamond"/>
          <w:sz w:val="24"/>
          <w:szCs w:val="24"/>
        </w:rPr>
        <w:t>suspend and terminate the membership</w:t>
      </w:r>
      <w:r w:rsidR="002903EF">
        <w:rPr>
          <w:rFonts w:ascii="Garamond" w:hAnsi="Garamond"/>
          <w:sz w:val="24"/>
          <w:szCs w:val="24"/>
        </w:rPr>
        <w:t xml:space="preserve"> of its members</w:t>
      </w:r>
      <w:r w:rsidR="000E2408">
        <w:rPr>
          <w:rFonts w:ascii="Garamond" w:hAnsi="Garamond"/>
          <w:sz w:val="24"/>
          <w:szCs w:val="24"/>
        </w:rPr>
        <w:t xml:space="preserve">, then it will look into </w:t>
      </w:r>
      <w:r w:rsidR="000E2408">
        <w:rPr>
          <w:rFonts w:ascii="Garamond" w:hAnsi="Garamond"/>
          <w:sz w:val="24"/>
          <w:szCs w:val="24"/>
        </w:rPr>
        <w:lastRenderedPageBreak/>
        <w:t xml:space="preserve">whether there are signs of crisis in the </w:t>
      </w:r>
      <w:r w:rsidR="0026418C">
        <w:rPr>
          <w:rFonts w:ascii="Garamond" w:hAnsi="Garamond"/>
          <w:sz w:val="24"/>
          <w:szCs w:val="24"/>
        </w:rPr>
        <w:t xml:space="preserve">CoE </w:t>
      </w:r>
      <w:r w:rsidR="000E2408">
        <w:rPr>
          <w:rFonts w:ascii="Garamond" w:hAnsi="Garamond"/>
          <w:sz w:val="24"/>
          <w:szCs w:val="24"/>
        </w:rPr>
        <w:t xml:space="preserve">and finally it will offer a </w:t>
      </w:r>
      <w:r w:rsidR="00154CA4">
        <w:rPr>
          <w:rFonts w:ascii="Garamond" w:hAnsi="Garamond"/>
          <w:sz w:val="24"/>
          <w:szCs w:val="24"/>
        </w:rPr>
        <w:t xml:space="preserve">framework of calculations that would allow the </w:t>
      </w:r>
      <w:r w:rsidR="0026418C">
        <w:rPr>
          <w:rFonts w:ascii="Garamond" w:hAnsi="Garamond"/>
          <w:sz w:val="24"/>
          <w:szCs w:val="24"/>
        </w:rPr>
        <w:t xml:space="preserve">CoE </w:t>
      </w:r>
      <w:r w:rsidR="00154CA4">
        <w:rPr>
          <w:rFonts w:ascii="Garamond" w:hAnsi="Garamond"/>
          <w:sz w:val="24"/>
          <w:szCs w:val="24"/>
        </w:rPr>
        <w:t>to balance the pros and cons of expulsion of its members.</w:t>
      </w:r>
    </w:p>
    <w:p w14:paraId="3D16D089" w14:textId="77777777" w:rsidR="001C1B89" w:rsidRDefault="001C1B89" w:rsidP="0053726B">
      <w:pPr>
        <w:spacing w:line="240" w:lineRule="auto"/>
        <w:jc w:val="both"/>
        <w:rPr>
          <w:rFonts w:ascii="Garamond" w:hAnsi="Garamond"/>
          <w:sz w:val="24"/>
          <w:szCs w:val="24"/>
        </w:rPr>
      </w:pPr>
    </w:p>
    <w:p w14:paraId="7A55AC59" w14:textId="5C4E021B" w:rsidR="00464444" w:rsidRPr="004943DC" w:rsidRDefault="00464444" w:rsidP="004943DC">
      <w:pPr>
        <w:spacing w:line="240" w:lineRule="auto"/>
        <w:jc w:val="both"/>
        <w:rPr>
          <w:rFonts w:ascii="Garamond" w:hAnsi="Garamond"/>
          <w:b/>
          <w:sz w:val="24"/>
          <w:szCs w:val="24"/>
        </w:rPr>
      </w:pPr>
      <w:r>
        <w:rPr>
          <w:rFonts w:ascii="Garamond" w:hAnsi="Garamond"/>
          <w:b/>
          <w:sz w:val="24"/>
          <w:szCs w:val="24"/>
        </w:rPr>
        <w:t xml:space="preserve">3. </w:t>
      </w:r>
      <w:r w:rsidRPr="004943DC">
        <w:rPr>
          <w:rFonts w:ascii="Garamond" w:hAnsi="Garamond"/>
          <w:b/>
          <w:sz w:val="24"/>
          <w:szCs w:val="24"/>
        </w:rPr>
        <w:t>Legal Regulation of Suspension, Termination of Membership and Request to Withdraw</w:t>
      </w:r>
    </w:p>
    <w:p w14:paraId="43C1CBA4" w14:textId="6513A361" w:rsidR="00464444" w:rsidRPr="009A1694" w:rsidRDefault="00464444" w:rsidP="00464444">
      <w:pPr>
        <w:spacing w:line="240" w:lineRule="auto"/>
        <w:jc w:val="both"/>
        <w:rPr>
          <w:rFonts w:ascii="Garamond" w:hAnsi="Garamond"/>
          <w:sz w:val="24"/>
          <w:szCs w:val="24"/>
        </w:rPr>
      </w:pPr>
      <w:r w:rsidRPr="009A1694">
        <w:rPr>
          <w:rFonts w:ascii="Garamond" w:hAnsi="Garamond"/>
          <w:sz w:val="24"/>
          <w:szCs w:val="24"/>
        </w:rPr>
        <w:t xml:space="preserve">This </w:t>
      </w:r>
      <w:r w:rsidR="00BF7AD4">
        <w:rPr>
          <w:rFonts w:ascii="Garamond" w:hAnsi="Garamond"/>
          <w:sz w:val="24"/>
          <w:szCs w:val="24"/>
        </w:rPr>
        <w:t xml:space="preserve">section </w:t>
      </w:r>
      <w:r>
        <w:rPr>
          <w:rFonts w:ascii="Garamond" w:hAnsi="Garamond"/>
          <w:sz w:val="24"/>
          <w:szCs w:val="24"/>
        </w:rPr>
        <w:t xml:space="preserve">explains the </w:t>
      </w:r>
      <w:r w:rsidRPr="009A1694">
        <w:rPr>
          <w:rFonts w:ascii="Garamond" w:hAnsi="Garamond"/>
          <w:sz w:val="24"/>
          <w:szCs w:val="24"/>
        </w:rPr>
        <w:t>legal background of expulsion</w:t>
      </w:r>
      <w:r w:rsidR="00904DCF">
        <w:rPr>
          <w:rFonts w:ascii="Garamond" w:hAnsi="Garamond"/>
          <w:sz w:val="24"/>
          <w:szCs w:val="24"/>
        </w:rPr>
        <w:t>.</w:t>
      </w:r>
      <w:r w:rsidRPr="009A1694">
        <w:rPr>
          <w:rFonts w:ascii="Garamond" w:hAnsi="Garamond"/>
          <w:sz w:val="24"/>
          <w:szCs w:val="24"/>
        </w:rPr>
        <w:t xml:space="preserve"> </w:t>
      </w:r>
      <w:r w:rsidR="00904DCF">
        <w:rPr>
          <w:rFonts w:ascii="Garamond" w:hAnsi="Garamond"/>
          <w:sz w:val="24"/>
          <w:szCs w:val="24"/>
        </w:rPr>
        <w:t>U</w:t>
      </w:r>
      <w:r w:rsidR="00BF7AD4">
        <w:rPr>
          <w:rFonts w:ascii="Garamond" w:hAnsi="Garamond"/>
          <w:sz w:val="24"/>
          <w:szCs w:val="24"/>
        </w:rPr>
        <w:t>nlike statutes of some other international organisations</w:t>
      </w:r>
      <w:r w:rsidR="00904DCF">
        <w:rPr>
          <w:rFonts w:ascii="Garamond" w:hAnsi="Garamond"/>
          <w:sz w:val="24"/>
          <w:szCs w:val="24"/>
        </w:rPr>
        <w:t>,</w:t>
      </w:r>
      <w:r w:rsidR="00234D99">
        <w:rPr>
          <w:rStyle w:val="FootnoteReference"/>
          <w:rFonts w:ascii="Garamond" w:hAnsi="Garamond"/>
          <w:sz w:val="24"/>
          <w:szCs w:val="24"/>
        </w:rPr>
        <w:footnoteReference w:id="33"/>
      </w:r>
      <w:r w:rsidR="00BF7AD4">
        <w:rPr>
          <w:rFonts w:ascii="Garamond" w:hAnsi="Garamond"/>
          <w:sz w:val="24"/>
          <w:szCs w:val="24"/>
        </w:rPr>
        <w:t xml:space="preserve"> the Statute of the </w:t>
      </w:r>
      <w:r w:rsidR="0026418C">
        <w:rPr>
          <w:rFonts w:ascii="Garamond" w:hAnsi="Garamond"/>
          <w:sz w:val="24"/>
          <w:szCs w:val="24"/>
        </w:rPr>
        <w:t xml:space="preserve">CoE </w:t>
      </w:r>
      <w:r w:rsidR="00BF7AD4">
        <w:rPr>
          <w:rFonts w:ascii="Garamond" w:hAnsi="Garamond"/>
          <w:sz w:val="24"/>
          <w:szCs w:val="24"/>
        </w:rPr>
        <w:t>clearly gives it a power to suspend and expel its member</w:t>
      </w:r>
      <w:r w:rsidRPr="009A1694">
        <w:rPr>
          <w:rFonts w:ascii="Garamond" w:hAnsi="Garamond"/>
          <w:sz w:val="24"/>
          <w:szCs w:val="24"/>
        </w:rPr>
        <w:t>.</w:t>
      </w:r>
      <w:r w:rsidR="00BF7AD4">
        <w:rPr>
          <w:rFonts w:ascii="Garamond" w:hAnsi="Garamond"/>
          <w:sz w:val="24"/>
          <w:szCs w:val="24"/>
        </w:rPr>
        <w:t xml:space="preserve"> There are challenges as to the practical application of this right</w:t>
      </w:r>
      <w:r w:rsidR="00BF7AD4">
        <w:rPr>
          <w:rStyle w:val="FootnoteReference"/>
          <w:rFonts w:ascii="Garamond" w:hAnsi="Garamond"/>
          <w:sz w:val="24"/>
          <w:szCs w:val="24"/>
        </w:rPr>
        <w:footnoteReference w:id="34"/>
      </w:r>
      <w:r w:rsidR="00BF7AD4">
        <w:rPr>
          <w:rFonts w:ascii="Garamond" w:hAnsi="Garamond"/>
          <w:sz w:val="24"/>
          <w:szCs w:val="24"/>
        </w:rPr>
        <w:t xml:space="preserve"> but the right is there.</w:t>
      </w:r>
    </w:p>
    <w:p w14:paraId="7CAE2F69" w14:textId="482B8E9E" w:rsidR="00464444" w:rsidRDefault="000640B4" w:rsidP="00464444">
      <w:pPr>
        <w:spacing w:line="240" w:lineRule="auto"/>
        <w:jc w:val="both"/>
        <w:rPr>
          <w:rFonts w:ascii="Garamond" w:hAnsi="Garamond"/>
          <w:sz w:val="24"/>
          <w:szCs w:val="24"/>
        </w:rPr>
      </w:pPr>
      <w:r>
        <w:rPr>
          <w:rFonts w:ascii="Garamond" w:hAnsi="Garamond"/>
          <w:sz w:val="24"/>
          <w:szCs w:val="24"/>
        </w:rPr>
        <w:t>The s</w:t>
      </w:r>
      <w:r w:rsidR="00464444" w:rsidRPr="009A1694">
        <w:rPr>
          <w:rFonts w:ascii="Garamond" w:hAnsi="Garamond"/>
          <w:sz w:val="24"/>
          <w:szCs w:val="24"/>
        </w:rPr>
        <w:t xml:space="preserve">uspension and termination of membership </w:t>
      </w:r>
      <w:r w:rsidR="00904DCF">
        <w:rPr>
          <w:rFonts w:ascii="Garamond" w:hAnsi="Garamond"/>
          <w:sz w:val="24"/>
          <w:szCs w:val="24"/>
        </w:rPr>
        <w:t>are</w:t>
      </w:r>
      <w:r w:rsidR="00464444" w:rsidRPr="009A1694">
        <w:rPr>
          <w:rFonts w:ascii="Garamond" w:hAnsi="Garamond"/>
          <w:sz w:val="24"/>
          <w:szCs w:val="24"/>
        </w:rPr>
        <w:t xml:space="preserve"> regulated by Article 8 of the Statute of the </w:t>
      </w:r>
      <w:r w:rsidR="00202CB4">
        <w:rPr>
          <w:rFonts w:ascii="Garamond" w:hAnsi="Garamond"/>
          <w:sz w:val="24"/>
          <w:szCs w:val="24"/>
        </w:rPr>
        <w:t>CoE</w:t>
      </w:r>
      <w:r w:rsidR="00464444" w:rsidRPr="009A1694">
        <w:rPr>
          <w:rFonts w:ascii="Garamond" w:hAnsi="Garamond"/>
          <w:sz w:val="24"/>
          <w:szCs w:val="24"/>
        </w:rPr>
        <w:t xml:space="preserve">. It provides that any member of the </w:t>
      </w:r>
      <w:r w:rsidR="0026418C">
        <w:rPr>
          <w:rFonts w:ascii="Garamond" w:hAnsi="Garamond"/>
          <w:sz w:val="24"/>
          <w:szCs w:val="24"/>
        </w:rPr>
        <w:t xml:space="preserve">CoE </w:t>
      </w:r>
      <w:r w:rsidR="00464444" w:rsidRPr="009A1694">
        <w:rPr>
          <w:rFonts w:ascii="Garamond" w:hAnsi="Garamond"/>
          <w:sz w:val="24"/>
          <w:szCs w:val="24"/>
        </w:rPr>
        <w:t xml:space="preserve">which has seriously violated Article 3 may be suspended from its rights of representation and requested by the Committee of Ministers to withdraw under Article 7. </w:t>
      </w:r>
      <w:r w:rsidR="00464444">
        <w:rPr>
          <w:rFonts w:ascii="Garamond" w:hAnsi="Garamond"/>
          <w:sz w:val="24"/>
          <w:szCs w:val="24"/>
        </w:rPr>
        <w:t xml:space="preserve">Article 3 establishes that all members of the </w:t>
      </w:r>
      <w:r w:rsidR="0026418C">
        <w:rPr>
          <w:rFonts w:ascii="Garamond" w:hAnsi="Garamond"/>
          <w:sz w:val="24"/>
          <w:szCs w:val="24"/>
        </w:rPr>
        <w:t xml:space="preserve">CoE </w:t>
      </w:r>
      <w:r w:rsidR="00464444">
        <w:rPr>
          <w:rFonts w:ascii="Garamond" w:hAnsi="Garamond"/>
          <w:sz w:val="24"/>
          <w:szCs w:val="24"/>
        </w:rPr>
        <w:t xml:space="preserve">should accept the principles of </w:t>
      </w:r>
      <w:r w:rsidR="00904DCF">
        <w:rPr>
          <w:rFonts w:ascii="Garamond" w:hAnsi="Garamond"/>
          <w:sz w:val="24"/>
          <w:szCs w:val="24"/>
        </w:rPr>
        <w:t xml:space="preserve">the </w:t>
      </w:r>
      <w:r w:rsidR="00464444">
        <w:rPr>
          <w:rFonts w:ascii="Garamond" w:hAnsi="Garamond"/>
          <w:sz w:val="24"/>
          <w:szCs w:val="24"/>
        </w:rPr>
        <w:t xml:space="preserve">rule of law and human rights and </w:t>
      </w:r>
      <w:r w:rsidR="005E6B2D">
        <w:rPr>
          <w:rFonts w:ascii="Garamond" w:hAnsi="Garamond"/>
          <w:sz w:val="24"/>
          <w:szCs w:val="24"/>
        </w:rPr>
        <w:t xml:space="preserve">that </w:t>
      </w:r>
      <w:r w:rsidR="00464444">
        <w:rPr>
          <w:rFonts w:ascii="Garamond" w:hAnsi="Garamond"/>
          <w:sz w:val="24"/>
          <w:szCs w:val="24"/>
        </w:rPr>
        <w:t xml:space="preserve">they should </w:t>
      </w:r>
      <w:r w:rsidR="00464444" w:rsidRPr="00191829">
        <w:rPr>
          <w:rFonts w:ascii="Garamond" w:hAnsi="Garamond"/>
          <w:sz w:val="24"/>
          <w:szCs w:val="24"/>
        </w:rPr>
        <w:t>collaborate sincerely and effectively in the realisation of the aim</w:t>
      </w:r>
      <w:r w:rsidR="00464444">
        <w:rPr>
          <w:rFonts w:ascii="Garamond" w:hAnsi="Garamond"/>
          <w:sz w:val="24"/>
          <w:szCs w:val="24"/>
        </w:rPr>
        <w:t>s</w:t>
      </w:r>
      <w:r w:rsidR="00464444" w:rsidRPr="00191829">
        <w:rPr>
          <w:rFonts w:ascii="Garamond" w:hAnsi="Garamond"/>
          <w:sz w:val="24"/>
          <w:szCs w:val="24"/>
        </w:rPr>
        <w:t xml:space="preserve"> of the Council</w:t>
      </w:r>
      <w:r w:rsidR="00464444">
        <w:rPr>
          <w:rFonts w:ascii="Garamond" w:hAnsi="Garamond"/>
          <w:sz w:val="24"/>
          <w:szCs w:val="24"/>
        </w:rPr>
        <w:t>. Pursuant to Article 8 of the Statute, i</w:t>
      </w:r>
      <w:r w:rsidR="00464444" w:rsidRPr="009A1694">
        <w:rPr>
          <w:rFonts w:ascii="Garamond" w:hAnsi="Garamond"/>
          <w:sz w:val="24"/>
          <w:szCs w:val="24"/>
        </w:rPr>
        <w:t xml:space="preserve">f </w:t>
      </w:r>
      <w:r w:rsidR="00464444">
        <w:rPr>
          <w:rFonts w:ascii="Garamond" w:hAnsi="Garamond"/>
          <w:sz w:val="24"/>
          <w:szCs w:val="24"/>
        </w:rPr>
        <w:t xml:space="preserve">a member state that was requested to withdraw </w:t>
      </w:r>
      <w:r w:rsidR="00464444" w:rsidRPr="009A1694">
        <w:rPr>
          <w:rFonts w:ascii="Garamond" w:hAnsi="Garamond"/>
          <w:sz w:val="24"/>
          <w:szCs w:val="24"/>
        </w:rPr>
        <w:t>does not comply, the Committee may decide that it has ceased to be a member of the Council. Article 8 makes the Committee of Ministers an ultimate decision-maker in the process of suspension and termination of membership</w:t>
      </w:r>
      <w:r w:rsidR="005E6B2D">
        <w:rPr>
          <w:rFonts w:ascii="Garamond" w:hAnsi="Garamond"/>
          <w:sz w:val="24"/>
          <w:szCs w:val="24"/>
        </w:rPr>
        <w:t>, subject to consultation with the PACE.</w:t>
      </w:r>
      <w:r w:rsidR="00464444" w:rsidRPr="009A1694">
        <w:rPr>
          <w:rStyle w:val="FootnoteReference"/>
          <w:rFonts w:ascii="Garamond" w:hAnsi="Garamond"/>
          <w:sz w:val="24"/>
          <w:szCs w:val="24"/>
        </w:rPr>
        <w:footnoteReference w:id="35"/>
      </w:r>
      <w:r w:rsidR="00464444">
        <w:rPr>
          <w:rFonts w:ascii="Garamond" w:hAnsi="Garamond"/>
          <w:sz w:val="24"/>
          <w:szCs w:val="24"/>
        </w:rPr>
        <w:t xml:space="preserve"> The Rules of Procedure of the Committee of Ministers are quite concise </w:t>
      </w:r>
      <w:r w:rsidR="00401540">
        <w:rPr>
          <w:rFonts w:ascii="Garamond" w:hAnsi="Garamond"/>
          <w:sz w:val="24"/>
          <w:szCs w:val="24"/>
        </w:rPr>
        <w:t>and lack</w:t>
      </w:r>
      <w:r w:rsidR="00464444">
        <w:rPr>
          <w:rFonts w:ascii="Garamond" w:hAnsi="Garamond"/>
          <w:sz w:val="24"/>
          <w:szCs w:val="24"/>
        </w:rPr>
        <w:t xml:space="preserve"> guidelines </w:t>
      </w:r>
      <w:r w:rsidR="00904DCF">
        <w:rPr>
          <w:rFonts w:ascii="Garamond" w:hAnsi="Garamond"/>
          <w:sz w:val="24"/>
          <w:szCs w:val="24"/>
        </w:rPr>
        <w:t>as to</w:t>
      </w:r>
      <w:r w:rsidR="00464444">
        <w:rPr>
          <w:rFonts w:ascii="Garamond" w:hAnsi="Garamond"/>
          <w:sz w:val="24"/>
          <w:szCs w:val="24"/>
        </w:rPr>
        <w:t xml:space="preserve"> how the decisions of suspension and expulsion should be made in practice. Article 26</w:t>
      </w:r>
      <w:r w:rsidR="00904DCF">
        <w:rPr>
          <w:rFonts w:ascii="Garamond" w:hAnsi="Garamond"/>
          <w:sz w:val="24"/>
          <w:szCs w:val="24"/>
        </w:rPr>
        <w:t xml:space="preserve"> only</w:t>
      </w:r>
      <w:r w:rsidR="00464444">
        <w:rPr>
          <w:rFonts w:ascii="Garamond" w:hAnsi="Garamond"/>
          <w:sz w:val="24"/>
          <w:szCs w:val="24"/>
        </w:rPr>
        <w:t xml:space="preserve"> provid</w:t>
      </w:r>
      <w:r w:rsidR="00A2134D">
        <w:rPr>
          <w:rFonts w:ascii="Garamond" w:hAnsi="Garamond"/>
          <w:sz w:val="24"/>
          <w:szCs w:val="24"/>
        </w:rPr>
        <w:t>es</w:t>
      </w:r>
      <w:r w:rsidR="00464444">
        <w:rPr>
          <w:rFonts w:ascii="Garamond" w:hAnsi="Garamond"/>
          <w:sz w:val="24"/>
          <w:szCs w:val="24"/>
        </w:rPr>
        <w:t xml:space="preserve"> that </w:t>
      </w:r>
    </w:p>
    <w:p w14:paraId="415DD15F" w14:textId="77777777" w:rsidR="00464444" w:rsidRDefault="00464444" w:rsidP="00464444">
      <w:pPr>
        <w:spacing w:line="240" w:lineRule="auto"/>
        <w:ind w:left="709"/>
        <w:jc w:val="both"/>
        <w:rPr>
          <w:rFonts w:ascii="Garamond" w:hAnsi="Garamond"/>
          <w:sz w:val="24"/>
          <w:szCs w:val="24"/>
        </w:rPr>
      </w:pPr>
      <w:r w:rsidRPr="00BE7D00">
        <w:rPr>
          <w:rFonts w:ascii="Garamond" w:hAnsi="Garamond"/>
          <w:sz w:val="24"/>
          <w:szCs w:val="24"/>
        </w:rPr>
        <w:t>All consideration of the suspension of a member must begin by a proposal for suspension</w:t>
      </w:r>
      <w:r>
        <w:rPr>
          <w:rFonts w:ascii="Garamond" w:hAnsi="Garamond"/>
          <w:sz w:val="24"/>
          <w:szCs w:val="24"/>
        </w:rPr>
        <w:t xml:space="preserve"> </w:t>
      </w:r>
      <w:r w:rsidRPr="00BE7D00">
        <w:rPr>
          <w:rFonts w:ascii="Garamond" w:hAnsi="Garamond"/>
          <w:sz w:val="24"/>
          <w:szCs w:val="24"/>
        </w:rPr>
        <w:t>put forward by at least one representative. The proposal must have been included in</w:t>
      </w:r>
      <w:r>
        <w:rPr>
          <w:rFonts w:ascii="Garamond" w:hAnsi="Garamond"/>
          <w:sz w:val="24"/>
          <w:szCs w:val="24"/>
        </w:rPr>
        <w:t xml:space="preserve"> </w:t>
      </w:r>
      <w:r w:rsidRPr="00BE7D00">
        <w:rPr>
          <w:rFonts w:ascii="Garamond" w:hAnsi="Garamond"/>
          <w:sz w:val="24"/>
          <w:szCs w:val="24"/>
        </w:rPr>
        <w:t>the agenda of the session at which it is discussed. The member concerned shall receive</w:t>
      </w:r>
      <w:r>
        <w:rPr>
          <w:rFonts w:ascii="Garamond" w:hAnsi="Garamond"/>
          <w:sz w:val="24"/>
          <w:szCs w:val="24"/>
        </w:rPr>
        <w:t xml:space="preserve"> </w:t>
      </w:r>
      <w:r w:rsidRPr="00BE7D00">
        <w:rPr>
          <w:rFonts w:ascii="Garamond" w:hAnsi="Garamond"/>
          <w:sz w:val="24"/>
          <w:szCs w:val="24"/>
        </w:rPr>
        <w:t>through the Secretary General a notification of the decision reached in its case. This notification</w:t>
      </w:r>
      <w:r>
        <w:rPr>
          <w:rFonts w:ascii="Garamond" w:hAnsi="Garamond"/>
          <w:sz w:val="24"/>
          <w:szCs w:val="24"/>
        </w:rPr>
        <w:t xml:space="preserve"> </w:t>
      </w:r>
      <w:r w:rsidRPr="00BE7D00">
        <w:rPr>
          <w:rFonts w:ascii="Garamond" w:hAnsi="Garamond"/>
          <w:sz w:val="24"/>
          <w:szCs w:val="24"/>
        </w:rPr>
        <w:t>shall set out the legal and financial consequences of the decision.</w:t>
      </w:r>
      <w:r>
        <w:rPr>
          <w:rStyle w:val="FootnoteReference"/>
          <w:rFonts w:ascii="Garamond" w:hAnsi="Garamond"/>
          <w:sz w:val="24"/>
          <w:szCs w:val="24"/>
        </w:rPr>
        <w:footnoteReference w:id="36"/>
      </w:r>
    </w:p>
    <w:p w14:paraId="4735F7A9" w14:textId="3D65F848" w:rsidR="00464444" w:rsidRDefault="00464444" w:rsidP="00464444">
      <w:pPr>
        <w:spacing w:line="240" w:lineRule="auto"/>
        <w:jc w:val="both"/>
        <w:rPr>
          <w:rFonts w:ascii="Garamond" w:hAnsi="Garamond"/>
          <w:sz w:val="24"/>
          <w:szCs w:val="24"/>
        </w:rPr>
      </w:pPr>
      <w:r>
        <w:rPr>
          <w:rFonts w:ascii="Garamond" w:hAnsi="Garamond"/>
          <w:sz w:val="24"/>
          <w:szCs w:val="24"/>
        </w:rPr>
        <w:t>According to Article 27 of the Rules of Procedure the same mechanism should be followed when the Committee is deciding whether the suspended member should cease to be a member or cease to be suspended. There are a few possible modalities of how this procedure can operate in practice. The process of suspension and expulsion can be logically divided into two stages: ‘trigger’ and ‘response’.</w:t>
      </w:r>
    </w:p>
    <w:p w14:paraId="13CEF586" w14:textId="683BE604" w:rsidR="004A7C45" w:rsidRDefault="00464444" w:rsidP="00464444">
      <w:pPr>
        <w:spacing w:line="240" w:lineRule="auto"/>
        <w:jc w:val="both"/>
        <w:rPr>
          <w:rFonts w:ascii="Garamond" w:hAnsi="Garamond"/>
          <w:sz w:val="24"/>
          <w:szCs w:val="24"/>
        </w:rPr>
      </w:pPr>
      <w:r>
        <w:rPr>
          <w:rFonts w:ascii="Garamond" w:hAnsi="Garamond"/>
          <w:sz w:val="24"/>
          <w:szCs w:val="24"/>
        </w:rPr>
        <w:t xml:space="preserve">Under ‘trigger’ we mean events, statements or processes that can act as reasons to commence the procedure. The statutory documents of the </w:t>
      </w:r>
      <w:r w:rsidR="0026418C">
        <w:rPr>
          <w:rFonts w:ascii="Garamond" w:hAnsi="Garamond"/>
          <w:sz w:val="24"/>
          <w:szCs w:val="24"/>
        </w:rPr>
        <w:t xml:space="preserve">CoE </w:t>
      </w:r>
      <w:r>
        <w:rPr>
          <w:rFonts w:ascii="Garamond" w:hAnsi="Garamond"/>
          <w:sz w:val="24"/>
          <w:szCs w:val="24"/>
        </w:rPr>
        <w:t xml:space="preserve">are quite vague as to what can trigger initiation of the Article </w:t>
      </w:r>
      <w:r w:rsidR="00EC26CA">
        <w:rPr>
          <w:rFonts w:ascii="Garamond" w:hAnsi="Garamond"/>
          <w:sz w:val="24"/>
          <w:szCs w:val="24"/>
        </w:rPr>
        <w:t>8</w:t>
      </w:r>
      <w:r>
        <w:rPr>
          <w:rFonts w:ascii="Garamond" w:hAnsi="Garamond"/>
          <w:sz w:val="24"/>
          <w:szCs w:val="24"/>
        </w:rPr>
        <w:t xml:space="preserve"> procedure. </w:t>
      </w:r>
      <w:r w:rsidR="00A2134D">
        <w:rPr>
          <w:rFonts w:ascii="Garamond" w:hAnsi="Garamond"/>
          <w:sz w:val="24"/>
          <w:szCs w:val="24"/>
        </w:rPr>
        <w:t>A</w:t>
      </w:r>
      <w:r>
        <w:rPr>
          <w:rFonts w:ascii="Garamond" w:hAnsi="Garamond"/>
          <w:sz w:val="24"/>
          <w:szCs w:val="24"/>
        </w:rPr>
        <w:t xml:space="preserve"> failure to comply with Article 3 of the Statute is </w:t>
      </w:r>
      <w:r w:rsidR="00A2134D">
        <w:rPr>
          <w:rFonts w:ascii="Garamond" w:hAnsi="Garamond"/>
          <w:sz w:val="24"/>
          <w:szCs w:val="24"/>
        </w:rPr>
        <w:t>sufficient</w:t>
      </w:r>
      <w:r w:rsidR="00EC26CA">
        <w:rPr>
          <w:rFonts w:ascii="Garamond" w:hAnsi="Garamond"/>
          <w:sz w:val="24"/>
          <w:szCs w:val="24"/>
        </w:rPr>
        <w:t>, but only if it has been ‘seriously violated’, although this term is not defined</w:t>
      </w:r>
      <w:r>
        <w:rPr>
          <w:rFonts w:ascii="Garamond" w:hAnsi="Garamond"/>
          <w:sz w:val="24"/>
          <w:szCs w:val="24"/>
        </w:rPr>
        <w:t xml:space="preserve">. Thus, any member state can propose </w:t>
      </w:r>
      <w:r w:rsidR="00EC26CA">
        <w:rPr>
          <w:rFonts w:ascii="Garamond" w:hAnsi="Garamond"/>
          <w:sz w:val="24"/>
          <w:szCs w:val="24"/>
        </w:rPr>
        <w:t>that</w:t>
      </w:r>
      <w:r w:rsidR="00904DCF">
        <w:rPr>
          <w:rFonts w:ascii="Garamond" w:hAnsi="Garamond"/>
          <w:sz w:val="24"/>
          <w:szCs w:val="24"/>
        </w:rPr>
        <w:t xml:space="preserve"> </w:t>
      </w:r>
      <w:r>
        <w:rPr>
          <w:rFonts w:ascii="Garamond" w:hAnsi="Garamond"/>
          <w:sz w:val="24"/>
          <w:szCs w:val="24"/>
        </w:rPr>
        <w:t xml:space="preserve">the Committee of Ministers consider suspension of a member state </w:t>
      </w:r>
      <w:r w:rsidR="00A2134D">
        <w:rPr>
          <w:rFonts w:ascii="Garamond" w:hAnsi="Garamond"/>
          <w:sz w:val="24"/>
          <w:szCs w:val="24"/>
        </w:rPr>
        <w:t>for any violation of</w:t>
      </w:r>
      <w:r>
        <w:rPr>
          <w:rFonts w:ascii="Garamond" w:hAnsi="Garamond"/>
          <w:sz w:val="24"/>
          <w:szCs w:val="24"/>
        </w:rPr>
        <w:t xml:space="preserve"> Article 3.</w:t>
      </w:r>
      <w:r w:rsidR="00A2134D">
        <w:rPr>
          <w:rFonts w:ascii="Garamond" w:hAnsi="Garamond"/>
          <w:sz w:val="24"/>
          <w:szCs w:val="24"/>
        </w:rPr>
        <w:t xml:space="preserve"> </w:t>
      </w:r>
      <w:r w:rsidR="00EC26CA">
        <w:rPr>
          <w:rFonts w:ascii="Garamond" w:hAnsi="Garamond"/>
          <w:sz w:val="24"/>
          <w:szCs w:val="24"/>
        </w:rPr>
        <w:t xml:space="preserve">This is particularly problematic because of the abstract nature of the values protected under Article 3 – human rights, democracy, and the rule of law – makes a determination of ‘serious violation’ difficult to assess. A more precise trigger would certainly be fairer and more transparent. </w:t>
      </w:r>
      <w:r w:rsidR="004A7C45">
        <w:rPr>
          <w:rFonts w:ascii="Garamond" w:hAnsi="Garamond"/>
          <w:sz w:val="24"/>
          <w:szCs w:val="24"/>
        </w:rPr>
        <w:lastRenderedPageBreak/>
        <w:t xml:space="preserve">Moreover, </w:t>
      </w:r>
      <w:r w:rsidR="00904DCF">
        <w:rPr>
          <w:rFonts w:ascii="Garamond" w:hAnsi="Garamond"/>
          <w:sz w:val="24"/>
          <w:szCs w:val="24"/>
        </w:rPr>
        <w:t xml:space="preserve">other </w:t>
      </w:r>
      <w:r w:rsidR="004A7C45">
        <w:rPr>
          <w:rFonts w:ascii="Garamond" w:hAnsi="Garamond"/>
          <w:sz w:val="24"/>
          <w:szCs w:val="24"/>
        </w:rPr>
        <w:t xml:space="preserve">international organisations </w:t>
      </w:r>
      <w:r w:rsidR="00EC26CA">
        <w:rPr>
          <w:rFonts w:ascii="Garamond" w:hAnsi="Garamond"/>
          <w:sz w:val="24"/>
          <w:szCs w:val="24"/>
        </w:rPr>
        <w:t>have been criticised for a lack of transparency in relation to the</w:t>
      </w:r>
      <w:r w:rsidR="004A7C45">
        <w:rPr>
          <w:rFonts w:ascii="Garamond" w:hAnsi="Garamond"/>
          <w:sz w:val="24"/>
          <w:szCs w:val="24"/>
        </w:rPr>
        <w:t xml:space="preserve"> reasons for which suspension or expulsion procedures were triggered.</w:t>
      </w:r>
      <w:r w:rsidR="004A7C45" w:rsidRPr="00157D02">
        <w:rPr>
          <w:rStyle w:val="FootnoteReference"/>
          <w:rFonts w:ascii="Garamond" w:hAnsi="Garamond"/>
          <w:sz w:val="24"/>
          <w:szCs w:val="24"/>
        </w:rPr>
        <w:footnoteReference w:id="37"/>
      </w:r>
    </w:p>
    <w:p w14:paraId="7C6AF98A" w14:textId="14D4D4D4" w:rsidR="00464444" w:rsidRDefault="00464444" w:rsidP="00464444">
      <w:pPr>
        <w:spacing w:line="240" w:lineRule="auto"/>
        <w:jc w:val="both"/>
        <w:rPr>
          <w:rFonts w:ascii="Garamond" w:hAnsi="Garamond"/>
          <w:sz w:val="24"/>
          <w:szCs w:val="24"/>
        </w:rPr>
      </w:pPr>
      <w:r>
        <w:rPr>
          <w:rFonts w:ascii="Garamond" w:hAnsi="Garamond"/>
          <w:sz w:val="24"/>
          <w:szCs w:val="24"/>
        </w:rPr>
        <w:t xml:space="preserve">In the 60s, a decision of the European Commission on Human Rights </w:t>
      </w:r>
      <w:r w:rsidR="00234D99">
        <w:rPr>
          <w:rFonts w:ascii="Garamond" w:hAnsi="Garamond"/>
          <w:sz w:val="24"/>
          <w:szCs w:val="24"/>
        </w:rPr>
        <w:t>finding numerous violations of the European Convention on Human Rights in</w:t>
      </w:r>
      <w:r>
        <w:rPr>
          <w:rFonts w:ascii="Garamond" w:hAnsi="Garamond"/>
          <w:sz w:val="24"/>
          <w:szCs w:val="24"/>
        </w:rPr>
        <w:t xml:space="preserve"> Greece acted as such a trigger.</w:t>
      </w:r>
      <w:r>
        <w:rPr>
          <w:rStyle w:val="FootnoteReference"/>
          <w:rFonts w:ascii="Garamond" w:hAnsi="Garamond"/>
          <w:sz w:val="24"/>
          <w:szCs w:val="24"/>
        </w:rPr>
        <w:footnoteReference w:id="38"/>
      </w:r>
      <w:r>
        <w:rPr>
          <w:rFonts w:ascii="Garamond" w:hAnsi="Garamond"/>
          <w:sz w:val="24"/>
          <w:szCs w:val="24"/>
        </w:rPr>
        <w:t xml:space="preserve"> </w:t>
      </w:r>
      <w:r w:rsidR="00CD7C21">
        <w:rPr>
          <w:rFonts w:ascii="Garamond" w:hAnsi="Garamond"/>
          <w:sz w:val="24"/>
          <w:szCs w:val="24"/>
        </w:rPr>
        <w:t xml:space="preserve">Indeed, a ‘trigger’ </w:t>
      </w:r>
      <w:r w:rsidR="00B249BB">
        <w:rPr>
          <w:rFonts w:ascii="Garamond" w:hAnsi="Garamond"/>
          <w:sz w:val="24"/>
          <w:szCs w:val="24"/>
        </w:rPr>
        <w:t>which seems to m</w:t>
      </w:r>
      <w:r w:rsidR="00D73005">
        <w:rPr>
          <w:rFonts w:ascii="Garamond" w:hAnsi="Garamond"/>
          <w:sz w:val="24"/>
          <w:szCs w:val="24"/>
        </w:rPr>
        <w:t>eet the Article 8 requirements c</w:t>
      </w:r>
      <w:r w:rsidR="00B249BB">
        <w:rPr>
          <w:rFonts w:ascii="Garamond" w:hAnsi="Garamond"/>
          <w:sz w:val="24"/>
          <w:szCs w:val="24"/>
        </w:rPr>
        <w:t>ould</w:t>
      </w:r>
      <w:r w:rsidR="00CD7C21">
        <w:rPr>
          <w:rFonts w:ascii="Garamond" w:hAnsi="Garamond"/>
          <w:sz w:val="24"/>
          <w:szCs w:val="24"/>
        </w:rPr>
        <w:t xml:space="preserve"> be an inter-state judgment of the ECtHR identifying mass violations of human rights in a situation which is still ongoing. A report by the PACE or investigation by the Human Rights Commissioner describing mass violations of human rights can perhaps also trigger the Article </w:t>
      </w:r>
      <w:r w:rsidR="00B249BB">
        <w:rPr>
          <w:rFonts w:ascii="Garamond" w:hAnsi="Garamond"/>
          <w:sz w:val="24"/>
          <w:szCs w:val="24"/>
        </w:rPr>
        <w:t>8</w:t>
      </w:r>
      <w:r w:rsidR="00CD7C21">
        <w:rPr>
          <w:rFonts w:ascii="Garamond" w:hAnsi="Garamond"/>
          <w:sz w:val="24"/>
          <w:szCs w:val="24"/>
        </w:rPr>
        <w:t xml:space="preserve"> procedure. </w:t>
      </w:r>
      <w:r>
        <w:rPr>
          <w:rFonts w:ascii="Garamond" w:hAnsi="Garamond"/>
          <w:sz w:val="24"/>
          <w:szCs w:val="24"/>
        </w:rPr>
        <w:t xml:space="preserve">A decision of the </w:t>
      </w:r>
      <w:r w:rsidR="00904DCF">
        <w:rPr>
          <w:rFonts w:ascii="Garamond" w:hAnsi="Garamond"/>
          <w:sz w:val="24"/>
          <w:szCs w:val="24"/>
        </w:rPr>
        <w:t>ECtHR</w:t>
      </w:r>
      <w:r>
        <w:rPr>
          <w:rFonts w:ascii="Garamond" w:hAnsi="Garamond"/>
          <w:sz w:val="24"/>
          <w:szCs w:val="24"/>
        </w:rPr>
        <w:t xml:space="preserve"> under Article 46(4) confirming failure to implement a judgment of the Court can potentially also act as such a trigger. </w:t>
      </w:r>
      <w:r w:rsidR="00234D99">
        <w:rPr>
          <w:rFonts w:ascii="Garamond" w:hAnsi="Garamond"/>
          <w:sz w:val="24"/>
          <w:szCs w:val="24"/>
        </w:rPr>
        <w:t xml:space="preserve">Article 46(4) introduced </w:t>
      </w:r>
      <w:r w:rsidR="00CD7C21">
        <w:rPr>
          <w:rFonts w:ascii="Garamond" w:hAnsi="Garamond"/>
          <w:sz w:val="24"/>
          <w:szCs w:val="24"/>
        </w:rPr>
        <w:t>an</w:t>
      </w:r>
      <w:r w:rsidR="00234D99">
        <w:rPr>
          <w:rFonts w:ascii="Garamond" w:hAnsi="Garamond"/>
          <w:sz w:val="24"/>
          <w:szCs w:val="24"/>
        </w:rPr>
        <w:t xml:space="preserve"> infringement procedure for refusal to abide by </w:t>
      </w:r>
      <w:r w:rsidR="00B249BB">
        <w:rPr>
          <w:rFonts w:ascii="Garamond" w:hAnsi="Garamond"/>
          <w:sz w:val="24"/>
          <w:szCs w:val="24"/>
        </w:rPr>
        <w:t>an</w:t>
      </w:r>
      <w:r w:rsidR="00234D99">
        <w:rPr>
          <w:rFonts w:ascii="Garamond" w:hAnsi="Garamond"/>
          <w:sz w:val="24"/>
          <w:szCs w:val="24"/>
        </w:rPr>
        <w:t xml:space="preserve"> ECtHR judgement. According to this </w:t>
      </w:r>
      <w:r w:rsidR="00556686">
        <w:rPr>
          <w:rFonts w:ascii="Garamond" w:hAnsi="Garamond"/>
          <w:sz w:val="24"/>
          <w:szCs w:val="24"/>
        </w:rPr>
        <w:t>procedure</w:t>
      </w:r>
      <w:r w:rsidR="00234D99">
        <w:rPr>
          <w:rFonts w:ascii="Garamond" w:hAnsi="Garamond"/>
          <w:sz w:val="24"/>
          <w:szCs w:val="24"/>
        </w:rPr>
        <w:t xml:space="preserve"> the Committee of Ministers can ‘send’ a case back to the Grand Chamber of the ECtHR to establish that </w:t>
      </w:r>
      <w:r w:rsidR="00556686">
        <w:rPr>
          <w:rFonts w:ascii="Garamond" w:hAnsi="Garamond"/>
          <w:sz w:val="24"/>
          <w:szCs w:val="24"/>
        </w:rPr>
        <w:t>the state in question failed to implement the judgment.</w:t>
      </w:r>
      <w:bookmarkStart w:id="4" w:name="_Ref536195070"/>
      <w:r w:rsidR="00556686">
        <w:rPr>
          <w:rStyle w:val="FootnoteReference"/>
          <w:rFonts w:ascii="Garamond" w:hAnsi="Garamond"/>
          <w:sz w:val="24"/>
          <w:szCs w:val="24"/>
        </w:rPr>
        <w:footnoteReference w:id="39"/>
      </w:r>
      <w:bookmarkEnd w:id="4"/>
      <w:r w:rsidR="00556686">
        <w:rPr>
          <w:rFonts w:ascii="Garamond" w:hAnsi="Garamond"/>
          <w:sz w:val="24"/>
          <w:szCs w:val="24"/>
        </w:rPr>
        <w:t xml:space="preserve"> </w:t>
      </w:r>
      <w:r>
        <w:rPr>
          <w:rFonts w:ascii="Garamond" w:hAnsi="Garamond"/>
          <w:sz w:val="24"/>
          <w:szCs w:val="24"/>
        </w:rPr>
        <w:t>It is unlikely that after the Court’s extraordinary judgment pursuant to Article 46(4)</w:t>
      </w:r>
      <w:r w:rsidR="00CD7C21">
        <w:rPr>
          <w:rFonts w:ascii="Garamond" w:hAnsi="Garamond"/>
          <w:sz w:val="24"/>
          <w:szCs w:val="24"/>
        </w:rPr>
        <w:t>,</w:t>
      </w:r>
      <w:r>
        <w:rPr>
          <w:rFonts w:ascii="Garamond" w:hAnsi="Garamond"/>
          <w:sz w:val="24"/>
          <w:szCs w:val="24"/>
        </w:rPr>
        <w:t xml:space="preserve"> the Committee of Ministers would continue ordinary supervision of the execution of the </w:t>
      </w:r>
      <w:r w:rsidR="00556686">
        <w:rPr>
          <w:rFonts w:ascii="Garamond" w:hAnsi="Garamond"/>
          <w:sz w:val="24"/>
          <w:szCs w:val="24"/>
        </w:rPr>
        <w:t xml:space="preserve">original </w:t>
      </w:r>
      <w:r>
        <w:rPr>
          <w:rFonts w:ascii="Garamond" w:hAnsi="Garamond"/>
          <w:sz w:val="24"/>
          <w:szCs w:val="24"/>
        </w:rPr>
        <w:t>judgment. The Court might indicate a time limit to enforce its Article 46</w:t>
      </w:r>
      <w:r w:rsidR="00234D99">
        <w:rPr>
          <w:rFonts w:ascii="Garamond" w:hAnsi="Garamond"/>
          <w:sz w:val="24"/>
          <w:szCs w:val="24"/>
        </w:rPr>
        <w:t>(</w:t>
      </w:r>
      <w:r>
        <w:rPr>
          <w:rFonts w:ascii="Garamond" w:hAnsi="Garamond"/>
          <w:sz w:val="24"/>
          <w:szCs w:val="24"/>
        </w:rPr>
        <w:t>4</w:t>
      </w:r>
      <w:r w:rsidR="00234D99">
        <w:rPr>
          <w:rFonts w:ascii="Garamond" w:hAnsi="Garamond"/>
          <w:sz w:val="24"/>
          <w:szCs w:val="24"/>
        </w:rPr>
        <w:t>)</w:t>
      </w:r>
      <w:r>
        <w:rPr>
          <w:rFonts w:ascii="Garamond" w:hAnsi="Garamond"/>
          <w:sz w:val="24"/>
          <w:szCs w:val="24"/>
        </w:rPr>
        <w:t xml:space="preserve"> judgment and after that the Committee of Ministers should </w:t>
      </w:r>
      <w:r w:rsidR="00556686">
        <w:rPr>
          <w:rFonts w:ascii="Garamond" w:hAnsi="Garamond"/>
          <w:sz w:val="24"/>
          <w:szCs w:val="24"/>
        </w:rPr>
        <w:t>raise the question of</w:t>
      </w:r>
      <w:r>
        <w:rPr>
          <w:rFonts w:ascii="Garamond" w:hAnsi="Garamond"/>
          <w:sz w:val="24"/>
          <w:szCs w:val="24"/>
        </w:rPr>
        <w:t xml:space="preserve"> suspension. </w:t>
      </w:r>
    </w:p>
    <w:p w14:paraId="2EF41999" w14:textId="271727EE" w:rsidR="00464444" w:rsidRDefault="00464444" w:rsidP="00464444">
      <w:pPr>
        <w:spacing w:line="240" w:lineRule="auto"/>
        <w:jc w:val="both"/>
        <w:rPr>
          <w:rFonts w:ascii="Garamond" w:hAnsi="Garamond"/>
          <w:sz w:val="24"/>
          <w:szCs w:val="24"/>
        </w:rPr>
      </w:pPr>
      <w:r>
        <w:rPr>
          <w:rFonts w:ascii="Garamond" w:hAnsi="Garamond"/>
          <w:sz w:val="24"/>
          <w:szCs w:val="24"/>
        </w:rPr>
        <w:t xml:space="preserve">Under ‘response’ we mean the procedures and actions within the </w:t>
      </w:r>
      <w:r w:rsidR="0026418C">
        <w:rPr>
          <w:rFonts w:ascii="Garamond" w:hAnsi="Garamond"/>
          <w:sz w:val="24"/>
          <w:szCs w:val="24"/>
        </w:rPr>
        <w:t xml:space="preserve">CoE </w:t>
      </w:r>
      <w:r>
        <w:rPr>
          <w:rFonts w:ascii="Garamond" w:hAnsi="Garamond"/>
          <w:sz w:val="24"/>
          <w:szCs w:val="24"/>
        </w:rPr>
        <w:t xml:space="preserve">that follow the trigger. </w:t>
      </w:r>
      <w:r w:rsidR="00016AFC">
        <w:rPr>
          <w:rFonts w:ascii="Garamond" w:hAnsi="Garamond"/>
          <w:sz w:val="24"/>
          <w:szCs w:val="24"/>
        </w:rPr>
        <w:t>Luckily</w:t>
      </w:r>
      <w:r w:rsidR="006B63E4">
        <w:rPr>
          <w:rFonts w:ascii="Garamond" w:hAnsi="Garamond"/>
          <w:sz w:val="24"/>
          <w:szCs w:val="24"/>
        </w:rPr>
        <w:t>,</w:t>
      </w:r>
      <w:r w:rsidR="00016AFC">
        <w:rPr>
          <w:rFonts w:ascii="Garamond" w:hAnsi="Garamond"/>
          <w:sz w:val="24"/>
          <w:szCs w:val="24"/>
        </w:rPr>
        <w:t xml:space="preserve"> t</w:t>
      </w:r>
      <w:r>
        <w:rPr>
          <w:rFonts w:ascii="Garamond" w:hAnsi="Garamond"/>
          <w:sz w:val="24"/>
          <w:szCs w:val="24"/>
        </w:rPr>
        <w:t xml:space="preserve">he </w:t>
      </w:r>
      <w:r w:rsidR="0026418C">
        <w:rPr>
          <w:rFonts w:ascii="Garamond" w:hAnsi="Garamond"/>
          <w:sz w:val="24"/>
          <w:szCs w:val="24"/>
        </w:rPr>
        <w:t xml:space="preserve">CoE </w:t>
      </w:r>
      <w:r w:rsidR="00B249BB">
        <w:rPr>
          <w:rFonts w:ascii="Garamond" w:hAnsi="Garamond"/>
          <w:sz w:val="24"/>
          <w:szCs w:val="24"/>
        </w:rPr>
        <w:t>has not had</w:t>
      </w:r>
      <w:r w:rsidR="00016AFC">
        <w:rPr>
          <w:rFonts w:ascii="Garamond" w:hAnsi="Garamond"/>
          <w:sz w:val="24"/>
          <w:szCs w:val="24"/>
        </w:rPr>
        <w:t xml:space="preserve"> </w:t>
      </w:r>
      <w:r w:rsidR="00B249BB">
        <w:rPr>
          <w:rFonts w:ascii="Garamond" w:hAnsi="Garamond"/>
          <w:sz w:val="24"/>
          <w:szCs w:val="24"/>
        </w:rPr>
        <w:t xml:space="preserve">many </w:t>
      </w:r>
      <w:r w:rsidR="00016AFC">
        <w:rPr>
          <w:rFonts w:ascii="Garamond" w:hAnsi="Garamond"/>
          <w:sz w:val="24"/>
          <w:szCs w:val="24"/>
        </w:rPr>
        <w:t xml:space="preserve">opportunities to </w:t>
      </w:r>
      <w:r w:rsidR="00904DCF">
        <w:rPr>
          <w:rFonts w:ascii="Garamond" w:hAnsi="Garamond"/>
          <w:sz w:val="24"/>
          <w:szCs w:val="24"/>
        </w:rPr>
        <w:t>‘</w:t>
      </w:r>
      <w:r w:rsidR="00016AFC">
        <w:rPr>
          <w:rFonts w:ascii="Garamond" w:hAnsi="Garamond"/>
          <w:sz w:val="24"/>
          <w:szCs w:val="24"/>
        </w:rPr>
        <w:t>polish</w:t>
      </w:r>
      <w:r w:rsidR="00904DCF">
        <w:rPr>
          <w:rFonts w:ascii="Garamond" w:hAnsi="Garamond"/>
          <w:sz w:val="24"/>
          <w:szCs w:val="24"/>
        </w:rPr>
        <w:t>’</w:t>
      </w:r>
      <w:r w:rsidR="00016AFC">
        <w:rPr>
          <w:rFonts w:ascii="Garamond" w:hAnsi="Garamond"/>
          <w:sz w:val="24"/>
          <w:szCs w:val="24"/>
        </w:rPr>
        <w:t xml:space="preserve"> its procedures of</w:t>
      </w:r>
      <w:r>
        <w:rPr>
          <w:rFonts w:ascii="Garamond" w:hAnsi="Garamond"/>
          <w:sz w:val="24"/>
          <w:szCs w:val="24"/>
        </w:rPr>
        <w:t xml:space="preserve"> exp</w:t>
      </w:r>
      <w:r w:rsidR="00B249BB">
        <w:rPr>
          <w:rFonts w:ascii="Garamond" w:hAnsi="Garamond"/>
          <w:sz w:val="24"/>
          <w:szCs w:val="24"/>
        </w:rPr>
        <w:t>ulsion</w:t>
      </w:r>
      <w:r w:rsidR="00016AFC">
        <w:rPr>
          <w:rFonts w:ascii="Garamond" w:hAnsi="Garamond"/>
          <w:sz w:val="24"/>
          <w:szCs w:val="24"/>
        </w:rPr>
        <w:t>.</w:t>
      </w:r>
      <w:r>
        <w:rPr>
          <w:rFonts w:ascii="Garamond" w:hAnsi="Garamond"/>
          <w:sz w:val="24"/>
          <w:szCs w:val="24"/>
        </w:rPr>
        <w:t xml:space="preserve"> </w:t>
      </w:r>
      <w:r w:rsidR="00016AFC">
        <w:rPr>
          <w:rFonts w:ascii="Garamond" w:hAnsi="Garamond"/>
          <w:sz w:val="24"/>
          <w:szCs w:val="24"/>
        </w:rPr>
        <w:t>T</w:t>
      </w:r>
      <w:r>
        <w:rPr>
          <w:rFonts w:ascii="Garamond" w:hAnsi="Garamond"/>
          <w:sz w:val="24"/>
          <w:szCs w:val="24"/>
        </w:rPr>
        <w:t>herefore</w:t>
      </w:r>
      <w:r w:rsidR="00016AFC">
        <w:rPr>
          <w:rFonts w:ascii="Garamond" w:hAnsi="Garamond"/>
          <w:sz w:val="24"/>
          <w:szCs w:val="24"/>
        </w:rPr>
        <w:t>,</w:t>
      </w:r>
      <w:r>
        <w:rPr>
          <w:rFonts w:ascii="Garamond" w:hAnsi="Garamond"/>
          <w:sz w:val="24"/>
          <w:szCs w:val="24"/>
        </w:rPr>
        <w:t xml:space="preserve"> the Committee of Ministers will </w:t>
      </w:r>
      <w:r w:rsidR="00016AFC">
        <w:rPr>
          <w:rFonts w:ascii="Garamond" w:hAnsi="Garamond"/>
          <w:sz w:val="24"/>
          <w:szCs w:val="24"/>
        </w:rPr>
        <w:t xml:space="preserve">be </w:t>
      </w:r>
      <w:r w:rsidR="00904DCF">
        <w:rPr>
          <w:rFonts w:ascii="Garamond" w:hAnsi="Garamond"/>
          <w:sz w:val="24"/>
          <w:szCs w:val="24"/>
        </w:rPr>
        <w:t>sailing</w:t>
      </w:r>
      <w:r>
        <w:rPr>
          <w:rFonts w:ascii="Garamond" w:hAnsi="Garamond"/>
          <w:sz w:val="24"/>
          <w:szCs w:val="24"/>
        </w:rPr>
        <w:t xml:space="preserve"> in uncharted waters if the suspension procedure is triggered. It is argued here that it is logical that the suspension and expulsion procedures would mirror the admission procedures. The </w:t>
      </w:r>
      <w:r w:rsidR="0026418C">
        <w:rPr>
          <w:rFonts w:ascii="Garamond" w:hAnsi="Garamond"/>
          <w:sz w:val="24"/>
          <w:szCs w:val="24"/>
        </w:rPr>
        <w:t xml:space="preserve">CoE </w:t>
      </w:r>
      <w:r w:rsidR="006D1ADE">
        <w:rPr>
          <w:rFonts w:ascii="Garamond" w:hAnsi="Garamond"/>
          <w:sz w:val="24"/>
          <w:szCs w:val="24"/>
        </w:rPr>
        <w:t xml:space="preserve">has </w:t>
      </w:r>
      <w:r w:rsidR="00B249BB">
        <w:rPr>
          <w:rFonts w:ascii="Garamond" w:hAnsi="Garamond"/>
          <w:sz w:val="24"/>
          <w:szCs w:val="24"/>
        </w:rPr>
        <w:t>greater</w:t>
      </w:r>
      <w:r w:rsidR="006D1ADE">
        <w:rPr>
          <w:rFonts w:ascii="Garamond" w:hAnsi="Garamond"/>
          <w:sz w:val="24"/>
          <w:szCs w:val="24"/>
        </w:rPr>
        <w:t xml:space="preserve"> experience in admitting members and this experience can be used in the unfortunate event of expulsion</w:t>
      </w:r>
      <w:r>
        <w:rPr>
          <w:rFonts w:ascii="Garamond" w:hAnsi="Garamond"/>
          <w:sz w:val="24"/>
          <w:szCs w:val="24"/>
        </w:rPr>
        <w:t xml:space="preserve">. Guy de Vel explains the process of granting membership in the </w:t>
      </w:r>
      <w:r w:rsidR="00202CB4">
        <w:rPr>
          <w:rFonts w:ascii="Garamond" w:hAnsi="Garamond"/>
          <w:sz w:val="24"/>
          <w:szCs w:val="24"/>
        </w:rPr>
        <w:t>CoE</w:t>
      </w:r>
      <w:r>
        <w:rPr>
          <w:rFonts w:ascii="Garamond" w:hAnsi="Garamond"/>
          <w:sz w:val="24"/>
          <w:szCs w:val="24"/>
        </w:rPr>
        <w:t>:</w:t>
      </w:r>
    </w:p>
    <w:p w14:paraId="6586BCCD" w14:textId="77777777" w:rsidR="00464444" w:rsidRDefault="00464444" w:rsidP="00464444">
      <w:pPr>
        <w:spacing w:line="240" w:lineRule="auto"/>
        <w:ind w:left="709"/>
        <w:jc w:val="both"/>
        <w:rPr>
          <w:rFonts w:ascii="Garamond" w:hAnsi="Garamond"/>
          <w:sz w:val="24"/>
          <w:szCs w:val="24"/>
        </w:rPr>
      </w:pPr>
      <w:r>
        <w:rPr>
          <w:rFonts w:ascii="Garamond" w:hAnsi="Garamond"/>
          <w:sz w:val="24"/>
          <w:szCs w:val="24"/>
        </w:rPr>
        <w:t>The Committee of Ministers requests the Assembly to express its opinion in the form of a resolution. [They] often contain messages to the Assembly relating to the problems or questions of particular concern to the Committee of Ministers. Once the Assembly has given its opinion, the Committee of Ministers adopts, if appropriate, a resolution inviting the applicant State to become a member and instructing the Secretary General to address the invitation to its government… The powers vested in the Committee of Ministers regarding the admission of new members may be exercised – as indeed they are in most cases at present – by the Ministers’ Deputies. A decision to invite a State to join the Organisation, however, requires, at ministerial level, a majority of two-thirds of the representatives entitled to sit on the Committee, while at Deputies’ level a unanimous vote is required.</w:t>
      </w:r>
      <w:r>
        <w:rPr>
          <w:rStyle w:val="FootnoteReference"/>
          <w:rFonts w:ascii="Garamond" w:hAnsi="Garamond"/>
          <w:sz w:val="24"/>
          <w:szCs w:val="24"/>
        </w:rPr>
        <w:footnoteReference w:id="40"/>
      </w:r>
    </w:p>
    <w:p w14:paraId="7D05E37A" w14:textId="3E638EB5" w:rsidR="00464444" w:rsidRDefault="00464444" w:rsidP="00464444">
      <w:pPr>
        <w:spacing w:line="240" w:lineRule="auto"/>
        <w:jc w:val="both"/>
        <w:rPr>
          <w:rFonts w:ascii="Garamond" w:hAnsi="Garamond"/>
          <w:sz w:val="24"/>
          <w:szCs w:val="24"/>
        </w:rPr>
      </w:pPr>
      <w:r>
        <w:rPr>
          <w:rFonts w:ascii="Garamond" w:hAnsi="Garamond"/>
          <w:sz w:val="24"/>
          <w:szCs w:val="24"/>
        </w:rPr>
        <w:t xml:space="preserve">The resolution of the Committee of Ministers should invite the PACE to express its opinion whether this suspension is indeed necessary. In the interest of transparency and fairness the Committee of Ministers must disclose the trigger for its decision to initiate the Article </w:t>
      </w:r>
      <w:r w:rsidR="00B0009E">
        <w:rPr>
          <w:rFonts w:ascii="Garamond" w:hAnsi="Garamond"/>
          <w:sz w:val="24"/>
          <w:szCs w:val="24"/>
        </w:rPr>
        <w:t>8</w:t>
      </w:r>
      <w:r>
        <w:rPr>
          <w:rFonts w:ascii="Garamond" w:hAnsi="Garamond"/>
          <w:sz w:val="24"/>
          <w:szCs w:val="24"/>
        </w:rPr>
        <w:t xml:space="preserve"> procedure. The PACE can then comment on each individual reason and generally on the necessity of suspension of membership.</w:t>
      </w:r>
      <w:r w:rsidR="003A051D">
        <w:rPr>
          <w:rStyle w:val="FootnoteReference"/>
          <w:rFonts w:ascii="Garamond" w:hAnsi="Garamond"/>
          <w:sz w:val="24"/>
          <w:szCs w:val="24"/>
        </w:rPr>
        <w:footnoteReference w:id="41"/>
      </w:r>
    </w:p>
    <w:p w14:paraId="65F4CBCF" w14:textId="0C6686E8" w:rsidR="00464444" w:rsidRPr="009A1694" w:rsidRDefault="00464444" w:rsidP="00464444">
      <w:pPr>
        <w:spacing w:line="240" w:lineRule="auto"/>
        <w:jc w:val="both"/>
        <w:rPr>
          <w:rFonts w:ascii="Garamond" w:hAnsi="Garamond"/>
          <w:sz w:val="24"/>
          <w:szCs w:val="24"/>
        </w:rPr>
      </w:pPr>
      <w:r>
        <w:rPr>
          <w:rFonts w:ascii="Garamond" w:hAnsi="Garamond"/>
          <w:sz w:val="24"/>
          <w:szCs w:val="24"/>
        </w:rPr>
        <w:lastRenderedPageBreak/>
        <w:t xml:space="preserve">After obtaining the opinion </w:t>
      </w:r>
      <w:r w:rsidR="00B0009E">
        <w:rPr>
          <w:rFonts w:ascii="Garamond" w:hAnsi="Garamond"/>
          <w:sz w:val="24"/>
          <w:szCs w:val="24"/>
        </w:rPr>
        <w:t>of</w:t>
      </w:r>
      <w:r>
        <w:rPr>
          <w:rFonts w:ascii="Garamond" w:hAnsi="Garamond"/>
          <w:sz w:val="24"/>
          <w:szCs w:val="24"/>
        </w:rPr>
        <w:t xml:space="preserve"> the PACE</w:t>
      </w:r>
      <w:r w:rsidR="00B0009E">
        <w:rPr>
          <w:rFonts w:ascii="Garamond" w:hAnsi="Garamond"/>
          <w:sz w:val="24"/>
          <w:szCs w:val="24"/>
        </w:rPr>
        <w:t>,</w:t>
      </w:r>
      <w:r>
        <w:rPr>
          <w:rFonts w:ascii="Garamond" w:hAnsi="Garamond"/>
          <w:sz w:val="24"/>
          <w:szCs w:val="24"/>
        </w:rPr>
        <w:t xml:space="preserve"> the Committee of Ministers might decide on suspension of membership. It seems that the Committee of Ministers can give the member state under question some time to show its willingness to collaborate and set clear indicators that need to be fulfilled in a certain period of time. If the state fails to comply then the Committee of Ministers can suspend the membership. </w:t>
      </w:r>
      <w:r w:rsidRPr="009A1694">
        <w:rPr>
          <w:rFonts w:ascii="Garamond" w:hAnsi="Garamond"/>
          <w:sz w:val="24"/>
          <w:szCs w:val="24"/>
        </w:rPr>
        <w:t xml:space="preserve">After suspension, the </w:t>
      </w:r>
      <w:r>
        <w:rPr>
          <w:rFonts w:ascii="Garamond" w:hAnsi="Garamond"/>
          <w:sz w:val="24"/>
          <w:szCs w:val="24"/>
        </w:rPr>
        <w:t>member state</w:t>
      </w:r>
      <w:r w:rsidRPr="009A1694">
        <w:rPr>
          <w:rFonts w:ascii="Garamond" w:hAnsi="Garamond"/>
          <w:sz w:val="24"/>
          <w:szCs w:val="24"/>
        </w:rPr>
        <w:t xml:space="preserve"> in question can </w:t>
      </w:r>
      <w:r>
        <w:rPr>
          <w:rFonts w:ascii="Garamond" w:hAnsi="Garamond"/>
          <w:sz w:val="24"/>
          <w:szCs w:val="24"/>
        </w:rPr>
        <w:t xml:space="preserve">voluntarily withdraw. If this </w:t>
      </w:r>
      <w:r w:rsidRPr="009A1694">
        <w:rPr>
          <w:rFonts w:ascii="Garamond" w:hAnsi="Garamond"/>
          <w:sz w:val="24"/>
          <w:szCs w:val="24"/>
        </w:rPr>
        <w:t>does not happen and the violation</w:t>
      </w:r>
      <w:r>
        <w:rPr>
          <w:rFonts w:ascii="Garamond" w:hAnsi="Garamond"/>
          <w:sz w:val="24"/>
          <w:szCs w:val="24"/>
        </w:rPr>
        <w:t>s</w:t>
      </w:r>
      <w:r w:rsidRPr="009A1694">
        <w:rPr>
          <w:rFonts w:ascii="Garamond" w:hAnsi="Garamond"/>
          <w:sz w:val="24"/>
          <w:szCs w:val="24"/>
        </w:rPr>
        <w:t xml:space="preserve"> of fundamental principles of the </w:t>
      </w:r>
      <w:r w:rsidR="0026418C">
        <w:rPr>
          <w:rFonts w:ascii="Garamond" w:hAnsi="Garamond"/>
          <w:sz w:val="24"/>
          <w:szCs w:val="24"/>
        </w:rPr>
        <w:t xml:space="preserve">CoE </w:t>
      </w:r>
      <w:r w:rsidRPr="009A1694">
        <w:rPr>
          <w:rFonts w:ascii="Garamond" w:hAnsi="Garamond"/>
          <w:sz w:val="24"/>
          <w:szCs w:val="24"/>
        </w:rPr>
        <w:t>persist</w:t>
      </w:r>
      <w:r>
        <w:rPr>
          <w:rFonts w:ascii="Garamond" w:hAnsi="Garamond"/>
          <w:sz w:val="24"/>
          <w:szCs w:val="24"/>
        </w:rPr>
        <w:t>,</w:t>
      </w:r>
      <w:r w:rsidRPr="009A1694">
        <w:rPr>
          <w:rFonts w:ascii="Garamond" w:hAnsi="Garamond"/>
          <w:sz w:val="24"/>
          <w:szCs w:val="24"/>
        </w:rPr>
        <w:t xml:space="preserve"> the Committee of Ministers can terminate the membership.</w:t>
      </w:r>
      <w:r>
        <w:rPr>
          <w:rFonts w:ascii="Garamond" w:hAnsi="Garamond"/>
          <w:sz w:val="24"/>
          <w:szCs w:val="24"/>
        </w:rPr>
        <w:t xml:space="preserve"> </w:t>
      </w:r>
    </w:p>
    <w:p w14:paraId="5388DE36" w14:textId="6CDE87E6" w:rsidR="00464444" w:rsidRPr="00C65C39" w:rsidRDefault="00464444" w:rsidP="0053726B">
      <w:pPr>
        <w:spacing w:line="240" w:lineRule="auto"/>
        <w:jc w:val="both"/>
        <w:rPr>
          <w:rFonts w:ascii="Garamond" w:hAnsi="Garamond"/>
          <w:sz w:val="24"/>
          <w:szCs w:val="24"/>
        </w:rPr>
      </w:pPr>
      <w:r w:rsidRPr="009A1694">
        <w:rPr>
          <w:rFonts w:ascii="Garamond" w:hAnsi="Garamond"/>
          <w:sz w:val="24"/>
          <w:szCs w:val="24"/>
        </w:rPr>
        <w:t xml:space="preserve">Technically this process is not particularly difficult </w:t>
      </w:r>
      <w:r>
        <w:rPr>
          <w:rFonts w:ascii="Garamond" w:hAnsi="Garamond"/>
          <w:sz w:val="24"/>
          <w:szCs w:val="24"/>
        </w:rPr>
        <w:t xml:space="preserve">or </w:t>
      </w:r>
      <w:r w:rsidRPr="009A1694">
        <w:rPr>
          <w:rFonts w:ascii="Garamond" w:hAnsi="Garamond"/>
          <w:sz w:val="24"/>
          <w:szCs w:val="24"/>
        </w:rPr>
        <w:t xml:space="preserve">lengthy. Moreover, the Committee of Ministers retains wide discretion as to </w:t>
      </w:r>
      <w:r>
        <w:rPr>
          <w:rFonts w:ascii="Garamond" w:hAnsi="Garamond"/>
          <w:sz w:val="24"/>
          <w:szCs w:val="24"/>
        </w:rPr>
        <w:t xml:space="preserve">how to interpret Article 3 and how to regulate the Article </w:t>
      </w:r>
      <w:r w:rsidR="00B0009E">
        <w:rPr>
          <w:rFonts w:ascii="Garamond" w:hAnsi="Garamond"/>
          <w:sz w:val="24"/>
          <w:szCs w:val="24"/>
        </w:rPr>
        <w:t>8</w:t>
      </w:r>
      <w:r>
        <w:rPr>
          <w:rFonts w:ascii="Garamond" w:hAnsi="Garamond"/>
          <w:sz w:val="24"/>
          <w:szCs w:val="24"/>
        </w:rPr>
        <w:t xml:space="preserve"> procedure in practice</w:t>
      </w:r>
      <w:r w:rsidRPr="009A1694">
        <w:rPr>
          <w:rFonts w:ascii="Garamond" w:hAnsi="Garamond"/>
          <w:sz w:val="24"/>
          <w:szCs w:val="24"/>
        </w:rPr>
        <w:t xml:space="preserve">. It seems that really serious breaches of human rights </w:t>
      </w:r>
      <w:r>
        <w:rPr>
          <w:rFonts w:ascii="Garamond" w:hAnsi="Garamond"/>
          <w:sz w:val="24"/>
          <w:szCs w:val="24"/>
        </w:rPr>
        <w:t xml:space="preserve">might </w:t>
      </w:r>
      <w:r w:rsidRPr="009A1694">
        <w:rPr>
          <w:rFonts w:ascii="Garamond" w:hAnsi="Garamond"/>
          <w:sz w:val="24"/>
          <w:szCs w:val="24"/>
        </w:rPr>
        <w:t>justify the commencement of the process of suspension and termination</w:t>
      </w:r>
      <w:r>
        <w:rPr>
          <w:rFonts w:ascii="Garamond" w:hAnsi="Garamond"/>
          <w:sz w:val="24"/>
          <w:szCs w:val="24"/>
        </w:rPr>
        <w:t>, although</w:t>
      </w:r>
      <w:r w:rsidRPr="009A1694">
        <w:rPr>
          <w:rFonts w:ascii="Garamond" w:hAnsi="Garamond"/>
          <w:sz w:val="24"/>
          <w:szCs w:val="24"/>
        </w:rPr>
        <w:t xml:space="preserve"> Klein argues that ‘…in spite of many </w:t>
      </w:r>
      <w:r>
        <w:rPr>
          <w:rFonts w:ascii="Garamond" w:hAnsi="Garamond"/>
          <w:sz w:val="24"/>
          <w:szCs w:val="24"/>
        </w:rPr>
        <w:t>“</w:t>
      </w:r>
      <w:r w:rsidRPr="009A1694">
        <w:rPr>
          <w:rFonts w:ascii="Garamond" w:hAnsi="Garamond"/>
          <w:sz w:val="24"/>
          <w:szCs w:val="24"/>
        </w:rPr>
        <w:t>serious violations</w:t>
      </w:r>
      <w:r>
        <w:rPr>
          <w:rFonts w:ascii="Garamond" w:hAnsi="Garamond"/>
          <w:sz w:val="24"/>
          <w:szCs w:val="24"/>
        </w:rPr>
        <w:t>”</w:t>
      </w:r>
      <w:r w:rsidRPr="009A1694">
        <w:rPr>
          <w:rFonts w:ascii="Garamond" w:hAnsi="Garamond"/>
          <w:sz w:val="24"/>
          <w:szCs w:val="24"/>
        </w:rPr>
        <w:t xml:space="preserve"> of [Article 3] principles having been committed by members, until today neither a suspension of the rights of representation nor an exclusion from the organisation nor a voluntary withdrawal from the Council of the basis of a resolution of the Committee in the sense of Article 8 CoE Statute has taken place’.</w:t>
      </w:r>
      <w:r w:rsidRPr="009A1694">
        <w:rPr>
          <w:rStyle w:val="FootnoteReference"/>
          <w:rFonts w:ascii="Garamond" w:hAnsi="Garamond"/>
          <w:sz w:val="24"/>
          <w:szCs w:val="24"/>
        </w:rPr>
        <w:footnoteReference w:id="42"/>
      </w:r>
      <w:r w:rsidRPr="009A1694">
        <w:rPr>
          <w:rFonts w:ascii="Garamond" w:hAnsi="Garamond"/>
          <w:sz w:val="24"/>
          <w:szCs w:val="24"/>
        </w:rPr>
        <w:t xml:space="preserve"> </w:t>
      </w:r>
      <w:r>
        <w:rPr>
          <w:rFonts w:ascii="Garamond" w:hAnsi="Garamond"/>
          <w:sz w:val="24"/>
          <w:szCs w:val="24"/>
        </w:rPr>
        <w:t>This article argues that consideration</w:t>
      </w:r>
      <w:r w:rsidR="004A4BA2">
        <w:rPr>
          <w:rFonts w:ascii="Garamond" w:hAnsi="Garamond"/>
          <w:sz w:val="24"/>
          <w:szCs w:val="24"/>
        </w:rPr>
        <w:t>s should</w:t>
      </w:r>
      <w:r>
        <w:rPr>
          <w:rFonts w:ascii="Garamond" w:hAnsi="Garamond"/>
          <w:sz w:val="24"/>
          <w:szCs w:val="24"/>
        </w:rPr>
        <w:t xml:space="preserve"> be given to a more rigorous application of Articles 7 and 8 of the Statute if States’ behaviour undermines the normative foundations of the Convention system.</w:t>
      </w:r>
    </w:p>
    <w:p w14:paraId="65C4DD7E" w14:textId="7FFD71F4" w:rsidR="004057AC" w:rsidRPr="009A1694" w:rsidRDefault="009C67EA" w:rsidP="0053726B">
      <w:pPr>
        <w:spacing w:line="240" w:lineRule="auto"/>
        <w:jc w:val="both"/>
        <w:rPr>
          <w:rFonts w:ascii="Garamond" w:hAnsi="Garamond"/>
          <w:b/>
          <w:sz w:val="24"/>
          <w:szCs w:val="24"/>
        </w:rPr>
      </w:pPr>
      <w:r>
        <w:rPr>
          <w:rFonts w:ascii="Garamond" w:hAnsi="Garamond"/>
          <w:b/>
          <w:sz w:val="24"/>
          <w:szCs w:val="24"/>
        </w:rPr>
        <w:t>4</w:t>
      </w:r>
      <w:r w:rsidR="00706B22" w:rsidRPr="009A1694">
        <w:rPr>
          <w:rFonts w:ascii="Garamond" w:hAnsi="Garamond"/>
          <w:b/>
          <w:sz w:val="24"/>
          <w:szCs w:val="24"/>
        </w:rPr>
        <w:t xml:space="preserve"> </w:t>
      </w:r>
      <w:r w:rsidR="00F01DCD" w:rsidRPr="009A1694">
        <w:rPr>
          <w:rFonts w:ascii="Garamond" w:hAnsi="Garamond"/>
          <w:b/>
          <w:sz w:val="24"/>
          <w:szCs w:val="24"/>
        </w:rPr>
        <w:t xml:space="preserve">The </w:t>
      </w:r>
      <w:r w:rsidR="00297D67">
        <w:rPr>
          <w:rFonts w:ascii="Garamond" w:hAnsi="Garamond"/>
          <w:b/>
          <w:sz w:val="24"/>
          <w:szCs w:val="24"/>
        </w:rPr>
        <w:t>Signs of C</w:t>
      </w:r>
      <w:r w:rsidR="00A351A3">
        <w:rPr>
          <w:rFonts w:ascii="Garamond" w:hAnsi="Garamond"/>
          <w:b/>
          <w:sz w:val="24"/>
          <w:szCs w:val="24"/>
        </w:rPr>
        <w:t>risis</w:t>
      </w:r>
    </w:p>
    <w:p w14:paraId="3D893A60" w14:textId="42137184" w:rsidR="00D7798F" w:rsidRDefault="009E757D" w:rsidP="0053726B">
      <w:pPr>
        <w:spacing w:line="240" w:lineRule="auto"/>
        <w:jc w:val="both"/>
        <w:rPr>
          <w:rFonts w:ascii="Garamond" w:hAnsi="Garamond"/>
          <w:sz w:val="24"/>
          <w:szCs w:val="24"/>
        </w:rPr>
      </w:pPr>
      <w:r>
        <w:rPr>
          <w:rFonts w:ascii="Garamond" w:hAnsi="Garamond"/>
          <w:sz w:val="24"/>
          <w:szCs w:val="24"/>
        </w:rPr>
        <w:t xml:space="preserve">The </w:t>
      </w:r>
      <w:r w:rsidR="0099031B">
        <w:rPr>
          <w:rFonts w:ascii="Garamond" w:hAnsi="Garamond"/>
          <w:sz w:val="24"/>
          <w:szCs w:val="24"/>
        </w:rPr>
        <w:t xml:space="preserve">integrity </w:t>
      </w:r>
      <w:r>
        <w:rPr>
          <w:rFonts w:ascii="Garamond" w:hAnsi="Garamond"/>
          <w:sz w:val="24"/>
          <w:szCs w:val="24"/>
        </w:rPr>
        <w:t xml:space="preserve">of the </w:t>
      </w:r>
      <w:r w:rsidR="00202CB4">
        <w:rPr>
          <w:rFonts w:ascii="Garamond" w:hAnsi="Garamond"/>
          <w:sz w:val="24"/>
          <w:szCs w:val="24"/>
        </w:rPr>
        <w:t>CoE</w:t>
      </w:r>
      <w:r w:rsidR="0099031B">
        <w:rPr>
          <w:rFonts w:ascii="Garamond" w:hAnsi="Garamond"/>
          <w:sz w:val="24"/>
          <w:szCs w:val="24"/>
        </w:rPr>
        <w:t xml:space="preserve"> is </w:t>
      </w:r>
      <w:r w:rsidR="001C7C73">
        <w:rPr>
          <w:rFonts w:ascii="Garamond" w:hAnsi="Garamond"/>
          <w:sz w:val="24"/>
          <w:szCs w:val="24"/>
        </w:rPr>
        <w:t>in</w:t>
      </w:r>
      <w:r w:rsidR="0099031B">
        <w:rPr>
          <w:rFonts w:ascii="Garamond" w:hAnsi="Garamond"/>
          <w:sz w:val="24"/>
          <w:szCs w:val="24"/>
        </w:rPr>
        <w:t xml:space="preserve"> peril</w:t>
      </w:r>
      <w:r>
        <w:rPr>
          <w:rFonts w:ascii="Garamond" w:hAnsi="Garamond"/>
          <w:sz w:val="24"/>
          <w:szCs w:val="24"/>
        </w:rPr>
        <w:t xml:space="preserve">. </w:t>
      </w:r>
      <w:r w:rsidR="0099031B">
        <w:rPr>
          <w:rFonts w:ascii="Garamond" w:hAnsi="Garamond"/>
          <w:sz w:val="24"/>
          <w:szCs w:val="24"/>
        </w:rPr>
        <w:t xml:space="preserve">This </w:t>
      </w:r>
      <w:r>
        <w:rPr>
          <w:rFonts w:ascii="Garamond" w:hAnsi="Garamond"/>
          <w:sz w:val="24"/>
          <w:szCs w:val="24"/>
        </w:rPr>
        <w:t xml:space="preserve">integrity is threatened not by external forces but by the actions of the </w:t>
      </w:r>
      <w:r w:rsidR="00AA264D">
        <w:rPr>
          <w:rFonts w:ascii="Garamond" w:hAnsi="Garamond"/>
          <w:sz w:val="24"/>
          <w:szCs w:val="24"/>
        </w:rPr>
        <w:t>member state</w:t>
      </w:r>
      <w:r>
        <w:rPr>
          <w:rFonts w:ascii="Garamond" w:hAnsi="Garamond"/>
          <w:sz w:val="24"/>
          <w:szCs w:val="24"/>
        </w:rPr>
        <w:t xml:space="preserve">s of the Council itself. The threat concerns the values which underpin the Council system; the Statute of the Council refers to the values as </w:t>
      </w:r>
      <w:r>
        <w:rPr>
          <w:rFonts w:ascii="Garamond" w:hAnsi="Garamond"/>
          <w:i/>
          <w:sz w:val="24"/>
          <w:szCs w:val="24"/>
        </w:rPr>
        <w:t xml:space="preserve">inter alia </w:t>
      </w:r>
      <w:r>
        <w:rPr>
          <w:rFonts w:ascii="Garamond" w:hAnsi="Garamond"/>
          <w:sz w:val="24"/>
          <w:szCs w:val="24"/>
        </w:rPr>
        <w:t>‘the maintenance and further realisation of human rights and fundamental freedoms.’ The manifestation of the threats can be seen in a series of crises that span Europe: the resurgence of xenophobia in</w:t>
      </w:r>
      <w:r w:rsidR="007B6D30">
        <w:rPr>
          <w:rFonts w:ascii="Garamond" w:hAnsi="Garamond"/>
          <w:sz w:val="24"/>
          <w:szCs w:val="24"/>
        </w:rPr>
        <w:t xml:space="preserve"> </w:t>
      </w:r>
      <w:r>
        <w:rPr>
          <w:rFonts w:ascii="Garamond" w:hAnsi="Garamond"/>
          <w:sz w:val="24"/>
          <w:szCs w:val="24"/>
        </w:rPr>
        <w:t>many European states; the occupation of Crimea and support of a separatist movement in Eastern Ukraine</w:t>
      </w:r>
      <w:r w:rsidR="00BF4150">
        <w:rPr>
          <w:rFonts w:ascii="Garamond" w:hAnsi="Garamond"/>
          <w:sz w:val="24"/>
          <w:szCs w:val="24"/>
        </w:rPr>
        <w:t xml:space="preserve"> and Georgia</w:t>
      </w:r>
      <w:r>
        <w:rPr>
          <w:rFonts w:ascii="Garamond" w:hAnsi="Garamond"/>
          <w:sz w:val="24"/>
          <w:szCs w:val="24"/>
        </w:rPr>
        <w:t>; and the actions of Turkey after the alleged military coup in 2016 which has led to severe human rights restrictions</w:t>
      </w:r>
      <w:r w:rsidR="005A5AC2">
        <w:rPr>
          <w:rFonts w:ascii="Garamond" w:hAnsi="Garamond"/>
          <w:sz w:val="24"/>
          <w:szCs w:val="24"/>
        </w:rPr>
        <w:t>.</w:t>
      </w:r>
      <w:r>
        <w:rPr>
          <w:rFonts w:ascii="Garamond" w:hAnsi="Garamond"/>
          <w:sz w:val="24"/>
          <w:szCs w:val="24"/>
        </w:rPr>
        <w:t xml:space="preserve"> In isolation, these challenges are not unprecedented</w:t>
      </w:r>
      <w:r w:rsidR="005A5AC2">
        <w:rPr>
          <w:rFonts w:ascii="Garamond" w:hAnsi="Garamond"/>
          <w:sz w:val="24"/>
          <w:szCs w:val="24"/>
        </w:rPr>
        <w:t xml:space="preserve"> but </w:t>
      </w:r>
      <w:r w:rsidR="00A7700F">
        <w:rPr>
          <w:rFonts w:ascii="Garamond" w:hAnsi="Garamond"/>
          <w:sz w:val="24"/>
          <w:szCs w:val="24"/>
        </w:rPr>
        <w:t>cumulatively</w:t>
      </w:r>
      <w:r w:rsidR="005A5AC2">
        <w:rPr>
          <w:rFonts w:ascii="Garamond" w:hAnsi="Garamond"/>
          <w:sz w:val="24"/>
          <w:szCs w:val="24"/>
        </w:rPr>
        <w:t xml:space="preserve"> they </w:t>
      </w:r>
      <w:r w:rsidR="00ED492E">
        <w:rPr>
          <w:rFonts w:ascii="Garamond" w:hAnsi="Garamond"/>
          <w:sz w:val="24"/>
          <w:szCs w:val="24"/>
        </w:rPr>
        <w:t>constitute</w:t>
      </w:r>
      <w:r w:rsidR="005A5AC2">
        <w:rPr>
          <w:rFonts w:ascii="Garamond" w:hAnsi="Garamond"/>
          <w:sz w:val="24"/>
          <w:szCs w:val="24"/>
        </w:rPr>
        <w:t xml:space="preserve"> significant </w:t>
      </w:r>
      <w:r w:rsidR="00ED492E">
        <w:rPr>
          <w:rFonts w:ascii="Garamond" w:hAnsi="Garamond"/>
          <w:sz w:val="24"/>
          <w:szCs w:val="24"/>
        </w:rPr>
        <w:t>threats</w:t>
      </w:r>
      <w:r w:rsidR="005A5AC2">
        <w:rPr>
          <w:rFonts w:ascii="Garamond" w:hAnsi="Garamond"/>
          <w:sz w:val="24"/>
          <w:szCs w:val="24"/>
        </w:rPr>
        <w:t xml:space="preserve"> to the Council system</w:t>
      </w:r>
      <w:r>
        <w:rPr>
          <w:rFonts w:ascii="Garamond" w:hAnsi="Garamond"/>
          <w:sz w:val="24"/>
          <w:szCs w:val="24"/>
        </w:rPr>
        <w:t>.</w:t>
      </w:r>
      <w:r w:rsidR="005005B4">
        <w:rPr>
          <w:rStyle w:val="FootnoteReference"/>
          <w:rFonts w:ascii="Garamond" w:hAnsi="Garamond"/>
          <w:sz w:val="24"/>
          <w:szCs w:val="24"/>
        </w:rPr>
        <w:footnoteReference w:id="43"/>
      </w:r>
      <w:r>
        <w:rPr>
          <w:rFonts w:ascii="Garamond" w:hAnsi="Garamond"/>
          <w:sz w:val="24"/>
          <w:szCs w:val="24"/>
        </w:rPr>
        <w:t xml:space="preserve"> </w:t>
      </w:r>
      <w:r w:rsidR="0099031B">
        <w:rPr>
          <w:rFonts w:ascii="Garamond" w:hAnsi="Garamond"/>
          <w:sz w:val="24"/>
          <w:szCs w:val="24"/>
        </w:rPr>
        <w:t xml:space="preserve">This section argues that there are signs of crisis that justify </w:t>
      </w:r>
      <w:r w:rsidR="00A7700F">
        <w:rPr>
          <w:rFonts w:ascii="Garamond" w:hAnsi="Garamond"/>
          <w:sz w:val="24"/>
          <w:szCs w:val="24"/>
        </w:rPr>
        <w:t>the consideration</w:t>
      </w:r>
      <w:r w:rsidR="0099031B">
        <w:rPr>
          <w:rFonts w:ascii="Garamond" w:hAnsi="Garamond"/>
          <w:sz w:val="24"/>
          <w:szCs w:val="24"/>
        </w:rPr>
        <w:t xml:space="preserve"> of </w:t>
      </w:r>
      <w:r w:rsidR="00A7700F">
        <w:rPr>
          <w:rFonts w:ascii="Garamond" w:hAnsi="Garamond"/>
          <w:sz w:val="24"/>
          <w:szCs w:val="24"/>
        </w:rPr>
        <w:t>the use of</w:t>
      </w:r>
      <w:r w:rsidR="0099031B">
        <w:rPr>
          <w:rFonts w:ascii="Garamond" w:hAnsi="Garamond"/>
          <w:sz w:val="24"/>
          <w:szCs w:val="24"/>
        </w:rPr>
        <w:t xml:space="preserve"> the sanction</w:t>
      </w:r>
      <w:r w:rsidR="00A7700F">
        <w:rPr>
          <w:rFonts w:ascii="Garamond" w:hAnsi="Garamond"/>
          <w:sz w:val="24"/>
          <w:szCs w:val="24"/>
        </w:rPr>
        <w:t>s</w:t>
      </w:r>
      <w:r w:rsidR="0099031B">
        <w:rPr>
          <w:rFonts w:ascii="Garamond" w:hAnsi="Garamond"/>
          <w:sz w:val="24"/>
          <w:szCs w:val="24"/>
        </w:rPr>
        <w:t xml:space="preserve"> of last resort, namely suspension and expulsion. </w:t>
      </w:r>
    </w:p>
    <w:p w14:paraId="647D200C" w14:textId="65EEB214" w:rsidR="00D7798F" w:rsidRPr="005B0569" w:rsidRDefault="00652F85" w:rsidP="0053726B">
      <w:pPr>
        <w:spacing w:line="240" w:lineRule="auto"/>
        <w:jc w:val="both"/>
        <w:rPr>
          <w:rFonts w:ascii="Garamond" w:hAnsi="Garamond"/>
          <w:b/>
          <w:sz w:val="24"/>
          <w:szCs w:val="24"/>
        </w:rPr>
      </w:pPr>
      <w:r>
        <w:rPr>
          <w:rFonts w:ascii="Garamond" w:hAnsi="Garamond"/>
          <w:b/>
          <w:sz w:val="24"/>
          <w:szCs w:val="24"/>
        </w:rPr>
        <w:t>4</w:t>
      </w:r>
      <w:r w:rsidR="00D7798F" w:rsidRPr="005B0569">
        <w:rPr>
          <w:rFonts w:ascii="Garamond" w:hAnsi="Garamond"/>
          <w:b/>
          <w:sz w:val="24"/>
          <w:szCs w:val="24"/>
        </w:rPr>
        <w:t xml:space="preserve">.1 </w:t>
      </w:r>
      <w:r w:rsidR="00E02A16">
        <w:rPr>
          <w:rFonts w:ascii="Garamond" w:hAnsi="Garamond"/>
          <w:b/>
          <w:sz w:val="24"/>
          <w:szCs w:val="24"/>
        </w:rPr>
        <w:t xml:space="preserve">The </w:t>
      </w:r>
      <w:r w:rsidR="00A30A9B">
        <w:rPr>
          <w:rFonts w:ascii="Garamond" w:hAnsi="Garamond"/>
          <w:b/>
          <w:sz w:val="24"/>
          <w:szCs w:val="24"/>
        </w:rPr>
        <w:t>Magnitude of the Present</w:t>
      </w:r>
      <w:r w:rsidR="00B21D69">
        <w:rPr>
          <w:rFonts w:ascii="Garamond" w:hAnsi="Garamond"/>
          <w:b/>
          <w:sz w:val="24"/>
          <w:szCs w:val="24"/>
        </w:rPr>
        <w:t xml:space="preserve"> Crisis</w:t>
      </w:r>
    </w:p>
    <w:p w14:paraId="1B0DFB89" w14:textId="539E509E" w:rsidR="00E02080" w:rsidRPr="00B8355D" w:rsidRDefault="008B179A">
      <w:pPr>
        <w:spacing w:line="240" w:lineRule="auto"/>
        <w:jc w:val="both"/>
        <w:rPr>
          <w:rFonts w:ascii="Garamond" w:hAnsi="Garamond"/>
          <w:sz w:val="24"/>
          <w:szCs w:val="24"/>
        </w:rPr>
      </w:pPr>
      <w:r>
        <w:rPr>
          <w:rFonts w:ascii="Garamond" w:hAnsi="Garamond"/>
          <w:sz w:val="24"/>
          <w:szCs w:val="24"/>
        </w:rPr>
        <w:t xml:space="preserve">The </w:t>
      </w:r>
      <w:r w:rsidR="0026418C">
        <w:rPr>
          <w:rFonts w:ascii="Garamond" w:hAnsi="Garamond"/>
          <w:sz w:val="24"/>
          <w:szCs w:val="24"/>
        </w:rPr>
        <w:t xml:space="preserve">CoE </w:t>
      </w:r>
      <w:r>
        <w:rPr>
          <w:rFonts w:ascii="Garamond" w:hAnsi="Garamond"/>
          <w:sz w:val="24"/>
          <w:szCs w:val="24"/>
        </w:rPr>
        <w:t xml:space="preserve">has </w:t>
      </w:r>
      <w:r w:rsidR="005A5AC2">
        <w:rPr>
          <w:rFonts w:ascii="Garamond" w:hAnsi="Garamond"/>
          <w:sz w:val="24"/>
          <w:szCs w:val="24"/>
        </w:rPr>
        <w:t xml:space="preserve">had </w:t>
      </w:r>
      <w:r>
        <w:rPr>
          <w:rFonts w:ascii="Garamond" w:hAnsi="Garamond"/>
          <w:sz w:val="24"/>
          <w:szCs w:val="24"/>
        </w:rPr>
        <w:t xml:space="preserve">to deal with crises in its past. </w:t>
      </w:r>
      <w:r w:rsidR="0093586A">
        <w:rPr>
          <w:rFonts w:ascii="Garamond" w:hAnsi="Garamond"/>
          <w:sz w:val="24"/>
          <w:szCs w:val="24"/>
        </w:rPr>
        <w:t xml:space="preserve">Greece withdrew from the </w:t>
      </w:r>
      <w:r w:rsidR="0026418C">
        <w:rPr>
          <w:rFonts w:ascii="Garamond" w:hAnsi="Garamond"/>
          <w:sz w:val="24"/>
          <w:szCs w:val="24"/>
        </w:rPr>
        <w:t xml:space="preserve">CoE </w:t>
      </w:r>
      <w:r w:rsidR="0093586A">
        <w:rPr>
          <w:rFonts w:ascii="Garamond" w:hAnsi="Garamond"/>
          <w:sz w:val="24"/>
          <w:szCs w:val="24"/>
        </w:rPr>
        <w:t xml:space="preserve">in the 60s. </w:t>
      </w:r>
      <w:r w:rsidR="00A7700F">
        <w:rPr>
          <w:rFonts w:ascii="Garamond" w:hAnsi="Garamond"/>
          <w:sz w:val="24"/>
          <w:szCs w:val="24"/>
        </w:rPr>
        <w:t>The</w:t>
      </w:r>
      <w:r w:rsidR="0093586A">
        <w:rPr>
          <w:rFonts w:ascii="Garamond" w:hAnsi="Garamond"/>
          <w:sz w:val="24"/>
          <w:szCs w:val="24"/>
        </w:rPr>
        <w:t xml:space="preserve"> measures </w:t>
      </w:r>
      <w:r w:rsidR="00A7700F">
        <w:rPr>
          <w:rFonts w:ascii="Garamond" w:hAnsi="Garamond"/>
          <w:sz w:val="24"/>
          <w:szCs w:val="24"/>
        </w:rPr>
        <w:t>pursued by</w:t>
      </w:r>
      <w:r w:rsidR="0093586A">
        <w:rPr>
          <w:rFonts w:ascii="Garamond" w:hAnsi="Garamond"/>
          <w:sz w:val="24"/>
          <w:szCs w:val="24"/>
        </w:rPr>
        <w:t xml:space="preserve"> the United Kingdom in Northern Ireland led to an inter-state complaint</w:t>
      </w:r>
      <w:r w:rsidR="00015991">
        <w:rPr>
          <w:rFonts w:ascii="Garamond" w:hAnsi="Garamond"/>
          <w:sz w:val="24"/>
          <w:szCs w:val="24"/>
        </w:rPr>
        <w:t>.</w:t>
      </w:r>
      <w:r w:rsidR="0093586A">
        <w:rPr>
          <w:rStyle w:val="FootnoteReference"/>
          <w:rFonts w:ascii="Garamond" w:hAnsi="Garamond"/>
          <w:sz w:val="24"/>
          <w:szCs w:val="24"/>
        </w:rPr>
        <w:footnoteReference w:id="44"/>
      </w:r>
      <w:r w:rsidR="0093586A">
        <w:rPr>
          <w:rFonts w:ascii="Garamond" w:hAnsi="Garamond"/>
          <w:sz w:val="24"/>
          <w:szCs w:val="24"/>
        </w:rPr>
        <w:t xml:space="preserve"> </w:t>
      </w:r>
      <w:r w:rsidR="00CA1087">
        <w:rPr>
          <w:rFonts w:ascii="Garamond" w:hAnsi="Garamond"/>
          <w:sz w:val="24"/>
          <w:szCs w:val="24"/>
        </w:rPr>
        <w:t>Russia was admitted to the Council</w:t>
      </w:r>
      <w:r w:rsidR="00015991">
        <w:rPr>
          <w:rFonts w:ascii="Garamond" w:hAnsi="Garamond"/>
          <w:sz w:val="24"/>
          <w:szCs w:val="24"/>
        </w:rPr>
        <w:t xml:space="preserve"> in 1996</w:t>
      </w:r>
      <w:r w:rsidR="00CA1087">
        <w:rPr>
          <w:rFonts w:ascii="Garamond" w:hAnsi="Garamond"/>
          <w:sz w:val="24"/>
          <w:szCs w:val="24"/>
        </w:rPr>
        <w:t xml:space="preserve"> but</w:t>
      </w:r>
      <w:r w:rsidR="003802BA" w:rsidRPr="00B8355D">
        <w:rPr>
          <w:rFonts w:ascii="Garamond" w:hAnsi="Garamond"/>
          <w:sz w:val="24"/>
          <w:szCs w:val="24"/>
        </w:rPr>
        <w:t xml:space="preserve"> subsequently </w:t>
      </w:r>
      <w:r w:rsidR="00015991">
        <w:rPr>
          <w:rFonts w:ascii="Garamond" w:hAnsi="Garamond"/>
          <w:sz w:val="24"/>
          <w:szCs w:val="24"/>
        </w:rPr>
        <w:t>its</w:t>
      </w:r>
      <w:r w:rsidR="00015991" w:rsidRPr="00B8355D">
        <w:rPr>
          <w:rFonts w:ascii="Garamond" w:hAnsi="Garamond"/>
          <w:sz w:val="24"/>
          <w:szCs w:val="24"/>
        </w:rPr>
        <w:t xml:space="preserve"> </w:t>
      </w:r>
      <w:r w:rsidR="003802BA" w:rsidRPr="00B8355D">
        <w:rPr>
          <w:rFonts w:ascii="Garamond" w:hAnsi="Garamond"/>
          <w:sz w:val="24"/>
          <w:szCs w:val="24"/>
        </w:rPr>
        <w:t>voting rights were suspended in 2000-2001 as</w:t>
      </w:r>
      <w:r w:rsidR="003B5308" w:rsidRPr="00B8355D">
        <w:rPr>
          <w:rFonts w:ascii="Garamond" w:hAnsi="Garamond"/>
          <w:sz w:val="24"/>
          <w:szCs w:val="24"/>
        </w:rPr>
        <w:t xml:space="preserve"> a result of the Second Cheche</w:t>
      </w:r>
      <w:r w:rsidR="003802BA" w:rsidRPr="00B8355D">
        <w:rPr>
          <w:rFonts w:ascii="Garamond" w:hAnsi="Garamond"/>
          <w:sz w:val="24"/>
          <w:szCs w:val="24"/>
        </w:rPr>
        <w:t>n War. The re-introduction of voting</w:t>
      </w:r>
      <w:r w:rsidR="003B5308" w:rsidRPr="00B8355D">
        <w:rPr>
          <w:rFonts w:ascii="Garamond" w:hAnsi="Garamond"/>
          <w:sz w:val="24"/>
          <w:szCs w:val="24"/>
        </w:rPr>
        <w:t xml:space="preserve"> rights in 2001 was based on Russia’s </w:t>
      </w:r>
      <w:r w:rsidR="000A6C5D" w:rsidRPr="00B8355D">
        <w:rPr>
          <w:rFonts w:ascii="Garamond" w:hAnsi="Garamond"/>
          <w:sz w:val="24"/>
          <w:szCs w:val="24"/>
        </w:rPr>
        <w:t xml:space="preserve">perceived </w:t>
      </w:r>
      <w:r w:rsidR="003B5308" w:rsidRPr="00B8355D">
        <w:rPr>
          <w:rFonts w:ascii="Garamond" w:hAnsi="Garamond"/>
          <w:sz w:val="24"/>
          <w:szCs w:val="24"/>
        </w:rPr>
        <w:t>wil</w:t>
      </w:r>
      <w:r w:rsidR="00516218" w:rsidRPr="00B8355D">
        <w:rPr>
          <w:rFonts w:ascii="Garamond" w:hAnsi="Garamond"/>
          <w:sz w:val="24"/>
          <w:szCs w:val="24"/>
        </w:rPr>
        <w:t>ling</w:t>
      </w:r>
      <w:r w:rsidR="003B5308" w:rsidRPr="00B8355D">
        <w:rPr>
          <w:rFonts w:ascii="Garamond" w:hAnsi="Garamond"/>
          <w:sz w:val="24"/>
          <w:szCs w:val="24"/>
        </w:rPr>
        <w:t xml:space="preserve">ness to work for a solution ‘in conformity with the </w:t>
      </w:r>
      <w:r w:rsidR="00202CB4">
        <w:rPr>
          <w:rFonts w:ascii="Garamond" w:hAnsi="Garamond"/>
          <w:sz w:val="24"/>
          <w:szCs w:val="24"/>
        </w:rPr>
        <w:t>CoE</w:t>
      </w:r>
      <w:r w:rsidR="003B5308" w:rsidRPr="00B8355D">
        <w:rPr>
          <w:rFonts w:ascii="Garamond" w:hAnsi="Garamond"/>
          <w:sz w:val="24"/>
          <w:szCs w:val="24"/>
        </w:rPr>
        <w:t>’s standards and values’.</w:t>
      </w:r>
      <w:r w:rsidR="003B5308" w:rsidRPr="00B8355D">
        <w:rPr>
          <w:rStyle w:val="FootnoteReference"/>
          <w:rFonts w:ascii="Garamond" w:hAnsi="Garamond"/>
          <w:sz w:val="24"/>
          <w:szCs w:val="24"/>
        </w:rPr>
        <w:footnoteReference w:id="45"/>
      </w:r>
      <w:r w:rsidR="000A6C5D" w:rsidRPr="00B8355D">
        <w:rPr>
          <w:rFonts w:ascii="Garamond" w:hAnsi="Garamond"/>
          <w:sz w:val="24"/>
          <w:szCs w:val="24"/>
        </w:rPr>
        <w:t xml:space="preserve"> Similarly, in the case of Turkey, the suspension of voting rights due to a failure to establish a democratic form of government in 1981 prompted a positive interaction by the Turkish Foreign Minister with the institutions of the </w:t>
      </w:r>
      <w:r w:rsidR="00202CB4">
        <w:rPr>
          <w:rFonts w:ascii="Garamond" w:hAnsi="Garamond"/>
          <w:sz w:val="24"/>
          <w:szCs w:val="24"/>
        </w:rPr>
        <w:t>CoE</w:t>
      </w:r>
      <w:r w:rsidR="000A6C5D" w:rsidRPr="00B8355D">
        <w:rPr>
          <w:rFonts w:ascii="Garamond" w:hAnsi="Garamond"/>
          <w:sz w:val="24"/>
          <w:szCs w:val="24"/>
        </w:rPr>
        <w:t xml:space="preserve">, resulting eventually in the lifting of </w:t>
      </w:r>
      <w:r w:rsidR="000A6C5D" w:rsidRPr="00B8355D">
        <w:rPr>
          <w:rFonts w:ascii="Garamond" w:hAnsi="Garamond"/>
          <w:sz w:val="24"/>
          <w:szCs w:val="24"/>
        </w:rPr>
        <w:lastRenderedPageBreak/>
        <w:t>voting sanctions.</w:t>
      </w:r>
      <w:r w:rsidR="000A6C5D" w:rsidRPr="00B8355D">
        <w:rPr>
          <w:rStyle w:val="FootnoteReference"/>
          <w:rFonts w:ascii="Garamond" w:hAnsi="Garamond"/>
          <w:sz w:val="24"/>
          <w:szCs w:val="24"/>
        </w:rPr>
        <w:footnoteReference w:id="46"/>
      </w:r>
      <w:r w:rsidR="000A6C5D" w:rsidRPr="00B8355D">
        <w:rPr>
          <w:rFonts w:ascii="Garamond" w:hAnsi="Garamond"/>
          <w:sz w:val="24"/>
          <w:szCs w:val="24"/>
        </w:rPr>
        <w:t xml:space="preserve"> In these cases, it was the fact that the </w:t>
      </w:r>
      <w:r w:rsidR="00AA264D">
        <w:rPr>
          <w:rFonts w:ascii="Garamond" w:hAnsi="Garamond"/>
          <w:sz w:val="24"/>
          <w:szCs w:val="24"/>
        </w:rPr>
        <w:t>member state</w:t>
      </w:r>
      <w:r w:rsidR="000A6C5D" w:rsidRPr="00B8355D">
        <w:rPr>
          <w:rFonts w:ascii="Garamond" w:hAnsi="Garamond"/>
          <w:sz w:val="24"/>
          <w:szCs w:val="24"/>
        </w:rPr>
        <w:t xml:space="preserve">s were perceived as positively engaging with the Council that ensured the situation did not escalate further. </w:t>
      </w:r>
    </w:p>
    <w:p w14:paraId="03E468B5" w14:textId="49208FB7" w:rsidR="00F34139" w:rsidRDefault="008B179A" w:rsidP="0053726B">
      <w:pPr>
        <w:spacing w:line="240" w:lineRule="auto"/>
        <w:jc w:val="both"/>
        <w:rPr>
          <w:rFonts w:ascii="Garamond" w:hAnsi="Garamond"/>
          <w:sz w:val="24"/>
          <w:szCs w:val="24"/>
        </w:rPr>
      </w:pPr>
      <w:r>
        <w:rPr>
          <w:rFonts w:ascii="Garamond" w:hAnsi="Garamond"/>
          <w:sz w:val="24"/>
          <w:szCs w:val="24"/>
        </w:rPr>
        <w:t>T</w:t>
      </w:r>
      <w:r w:rsidR="00CA1087">
        <w:rPr>
          <w:rFonts w:ascii="Garamond" w:hAnsi="Garamond"/>
          <w:sz w:val="24"/>
          <w:szCs w:val="24"/>
        </w:rPr>
        <w:t>he</w:t>
      </w:r>
      <w:r w:rsidR="00D55334">
        <w:rPr>
          <w:rFonts w:ascii="Garamond" w:hAnsi="Garamond"/>
          <w:sz w:val="24"/>
          <w:szCs w:val="24"/>
        </w:rPr>
        <w:t>se</w:t>
      </w:r>
      <w:r w:rsidR="00CA1087">
        <w:rPr>
          <w:rFonts w:ascii="Garamond" w:hAnsi="Garamond"/>
          <w:sz w:val="24"/>
          <w:szCs w:val="24"/>
        </w:rPr>
        <w:t xml:space="preserve"> events show that t</w:t>
      </w:r>
      <w:r>
        <w:rPr>
          <w:rFonts w:ascii="Garamond" w:hAnsi="Garamond"/>
          <w:sz w:val="24"/>
          <w:szCs w:val="24"/>
        </w:rPr>
        <w:t xml:space="preserve">he </w:t>
      </w:r>
      <w:r w:rsidR="0026418C">
        <w:rPr>
          <w:rFonts w:ascii="Garamond" w:hAnsi="Garamond"/>
          <w:sz w:val="24"/>
          <w:szCs w:val="24"/>
        </w:rPr>
        <w:t xml:space="preserve">CoE </w:t>
      </w:r>
      <w:r>
        <w:rPr>
          <w:rFonts w:ascii="Garamond" w:hAnsi="Garamond"/>
          <w:sz w:val="24"/>
          <w:szCs w:val="24"/>
        </w:rPr>
        <w:t>lived through some significant social, political and military crises</w:t>
      </w:r>
      <w:r w:rsidR="00CA1087">
        <w:rPr>
          <w:rFonts w:ascii="Garamond" w:hAnsi="Garamond"/>
          <w:sz w:val="24"/>
          <w:szCs w:val="24"/>
        </w:rPr>
        <w:t>,</w:t>
      </w:r>
      <w:r>
        <w:rPr>
          <w:rFonts w:ascii="Garamond" w:hAnsi="Garamond"/>
          <w:sz w:val="24"/>
          <w:szCs w:val="24"/>
        </w:rPr>
        <w:t xml:space="preserve"> </w:t>
      </w:r>
      <w:r w:rsidR="00CA1087">
        <w:rPr>
          <w:rFonts w:ascii="Garamond" w:hAnsi="Garamond"/>
          <w:sz w:val="24"/>
          <w:szCs w:val="24"/>
        </w:rPr>
        <w:t>h</w:t>
      </w:r>
      <w:r w:rsidR="00C8281B">
        <w:rPr>
          <w:rFonts w:ascii="Garamond" w:hAnsi="Garamond"/>
          <w:sz w:val="24"/>
          <w:szCs w:val="24"/>
        </w:rPr>
        <w:t>owever, it has never used its powers to expel members.</w:t>
      </w:r>
      <w:r w:rsidR="00AB5D76">
        <w:rPr>
          <w:rStyle w:val="FootnoteReference"/>
          <w:rFonts w:ascii="Garamond" w:hAnsi="Garamond"/>
          <w:sz w:val="24"/>
          <w:szCs w:val="24"/>
        </w:rPr>
        <w:footnoteReference w:id="47"/>
      </w:r>
      <w:r w:rsidR="00C8281B">
        <w:rPr>
          <w:rFonts w:ascii="Garamond" w:hAnsi="Garamond"/>
          <w:sz w:val="24"/>
          <w:szCs w:val="24"/>
        </w:rPr>
        <w:t xml:space="preserve"> T</w:t>
      </w:r>
      <w:r w:rsidR="00D73718">
        <w:rPr>
          <w:rFonts w:ascii="Garamond" w:hAnsi="Garamond"/>
          <w:sz w:val="24"/>
          <w:szCs w:val="24"/>
        </w:rPr>
        <w:t>wo</w:t>
      </w:r>
      <w:r w:rsidR="00C8281B">
        <w:rPr>
          <w:rFonts w:ascii="Garamond" w:hAnsi="Garamond"/>
          <w:sz w:val="24"/>
          <w:szCs w:val="24"/>
        </w:rPr>
        <w:t xml:space="preserve"> </w:t>
      </w:r>
      <w:r w:rsidR="00CA1087">
        <w:rPr>
          <w:rFonts w:ascii="Garamond" w:hAnsi="Garamond"/>
          <w:sz w:val="24"/>
          <w:szCs w:val="24"/>
        </w:rPr>
        <w:t xml:space="preserve">key </w:t>
      </w:r>
      <w:r w:rsidR="00C8281B">
        <w:rPr>
          <w:rFonts w:ascii="Garamond" w:hAnsi="Garamond"/>
          <w:sz w:val="24"/>
          <w:szCs w:val="24"/>
        </w:rPr>
        <w:t xml:space="preserve">reasons distinguish the current crisis from </w:t>
      </w:r>
      <w:r w:rsidR="00D55334">
        <w:rPr>
          <w:rFonts w:ascii="Garamond" w:hAnsi="Garamond"/>
          <w:sz w:val="24"/>
          <w:szCs w:val="24"/>
        </w:rPr>
        <w:t>past events</w:t>
      </w:r>
      <w:r w:rsidR="00C8281B">
        <w:rPr>
          <w:rFonts w:ascii="Garamond" w:hAnsi="Garamond"/>
          <w:sz w:val="24"/>
          <w:szCs w:val="24"/>
        </w:rPr>
        <w:t xml:space="preserve">. First, the </w:t>
      </w:r>
      <w:r w:rsidR="00563D4A">
        <w:rPr>
          <w:rFonts w:ascii="Garamond" w:hAnsi="Garamond"/>
          <w:sz w:val="24"/>
          <w:szCs w:val="24"/>
        </w:rPr>
        <w:t xml:space="preserve">current </w:t>
      </w:r>
      <w:r w:rsidR="0026418C">
        <w:rPr>
          <w:rFonts w:ascii="Garamond" w:hAnsi="Garamond"/>
          <w:sz w:val="24"/>
          <w:szCs w:val="24"/>
        </w:rPr>
        <w:t xml:space="preserve">CoE </w:t>
      </w:r>
      <w:r w:rsidR="00E02A16">
        <w:rPr>
          <w:rFonts w:ascii="Garamond" w:hAnsi="Garamond"/>
          <w:sz w:val="24"/>
          <w:szCs w:val="24"/>
        </w:rPr>
        <w:t xml:space="preserve">consists of a high number of </w:t>
      </w:r>
      <w:r w:rsidR="00AA264D">
        <w:rPr>
          <w:rFonts w:ascii="Garamond" w:hAnsi="Garamond"/>
          <w:sz w:val="24"/>
          <w:szCs w:val="24"/>
        </w:rPr>
        <w:t>member state</w:t>
      </w:r>
      <w:r w:rsidR="00E02A16">
        <w:rPr>
          <w:rFonts w:ascii="Garamond" w:hAnsi="Garamond"/>
          <w:sz w:val="24"/>
          <w:szCs w:val="24"/>
        </w:rPr>
        <w:t>s;</w:t>
      </w:r>
      <w:r w:rsidR="00E02A16">
        <w:rPr>
          <w:rStyle w:val="FootnoteReference"/>
          <w:rFonts w:ascii="Garamond" w:hAnsi="Garamond"/>
          <w:sz w:val="24"/>
          <w:szCs w:val="24"/>
        </w:rPr>
        <w:footnoteReference w:id="48"/>
      </w:r>
      <w:r w:rsidR="00C8281B">
        <w:rPr>
          <w:rFonts w:ascii="Garamond" w:hAnsi="Garamond"/>
          <w:sz w:val="24"/>
          <w:szCs w:val="24"/>
        </w:rPr>
        <w:t xml:space="preserve"> </w:t>
      </w:r>
      <w:r w:rsidR="00E02A16">
        <w:rPr>
          <w:rFonts w:ascii="Garamond" w:hAnsi="Garamond"/>
          <w:sz w:val="24"/>
          <w:szCs w:val="24"/>
        </w:rPr>
        <w:t xml:space="preserve">it is </w:t>
      </w:r>
      <w:r w:rsidR="00563D4A">
        <w:rPr>
          <w:rFonts w:ascii="Garamond" w:hAnsi="Garamond"/>
          <w:sz w:val="24"/>
          <w:szCs w:val="24"/>
        </w:rPr>
        <w:t xml:space="preserve">more </w:t>
      </w:r>
      <w:r w:rsidR="00C8281B">
        <w:rPr>
          <w:rFonts w:ascii="Garamond" w:hAnsi="Garamond"/>
          <w:sz w:val="24"/>
          <w:szCs w:val="24"/>
        </w:rPr>
        <w:t xml:space="preserve">diverse </w:t>
      </w:r>
      <w:r w:rsidR="00563D4A">
        <w:rPr>
          <w:rFonts w:ascii="Garamond" w:hAnsi="Garamond"/>
          <w:sz w:val="24"/>
          <w:szCs w:val="24"/>
        </w:rPr>
        <w:t>than ever</w:t>
      </w:r>
      <w:r w:rsidR="00E02A16">
        <w:rPr>
          <w:rFonts w:ascii="Garamond" w:hAnsi="Garamond"/>
          <w:sz w:val="24"/>
          <w:szCs w:val="24"/>
        </w:rPr>
        <w:t>. This</w:t>
      </w:r>
      <w:r w:rsidR="00C8281B">
        <w:rPr>
          <w:rFonts w:ascii="Garamond" w:hAnsi="Garamond"/>
          <w:sz w:val="24"/>
          <w:szCs w:val="24"/>
        </w:rPr>
        <w:t xml:space="preserve"> </w:t>
      </w:r>
      <w:r w:rsidR="00563D4A">
        <w:rPr>
          <w:rFonts w:ascii="Garamond" w:hAnsi="Garamond"/>
          <w:sz w:val="24"/>
          <w:szCs w:val="24"/>
        </w:rPr>
        <w:t>presents</w:t>
      </w:r>
      <w:r w:rsidR="00C8281B">
        <w:rPr>
          <w:rFonts w:ascii="Garamond" w:hAnsi="Garamond"/>
          <w:sz w:val="24"/>
          <w:szCs w:val="24"/>
        </w:rPr>
        <w:t xml:space="preserve"> advantage</w:t>
      </w:r>
      <w:r w:rsidR="00563D4A">
        <w:rPr>
          <w:rFonts w:ascii="Garamond" w:hAnsi="Garamond"/>
          <w:sz w:val="24"/>
          <w:szCs w:val="24"/>
        </w:rPr>
        <w:t>s</w:t>
      </w:r>
      <w:r w:rsidR="00C8281B">
        <w:rPr>
          <w:rFonts w:ascii="Garamond" w:hAnsi="Garamond"/>
          <w:sz w:val="24"/>
          <w:szCs w:val="24"/>
        </w:rPr>
        <w:t xml:space="preserve"> </w:t>
      </w:r>
      <w:r w:rsidR="00563D4A">
        <w:rPr>
          <w:rFonts w:ascii="Garamond" w:hAnsi="Garamond"/>
          <w:sz w:val="24"/>
          <w:szCs w:val="24"/>
        </w:rPr>
        <w:t xml:space="preserve">and challenges to </w:t>
      </w:r>
      <w:r w:rsidR="00C8281B">
        <w:rPr>
          <w:rFonts w:ascii="Garamond" w:hAnsi="Garamond"/>
          <w:sz w:val="24"/>
          <w:szCs w:val="24"/>
        </w:rPr>
        <w:t>the organisation</w:t>
      </w:r>
      <w:r w:rsidR="00563D4A">
        <w:rPr>
          <w:rFonts w:ascii="Garamond" w:hAnsi="Garamond"/>
          <w:sz w:val="24"/>
          <w:szCs w:val="24"/>
        </w:rPr>
        <w:t>.</w:t>
      </w:r>
      <w:r w:rsidR="00C8281B">
        <w:rPr>
          <w:rFonts w:ascii="Garamond" w:hAnsi="Garamond"/>
          <w:sz w:val="24"/>
          <w:szCs w:val="24"/>
        </w:rPr>
        <w:t xml:space="preserve"> </w:t>
      </w:r>
      <w:r w:rsidR="00563D4A">
        <w:rPr>
          <w:rFonts w:ascii="Garamond" w:hAnsi="Garamond"/>
          <w:sz w:val="24"/>
          <w:szCs w:val="24"/>
        </w:rPr>
        <w:t>In the past, it can be argued that the core members shared certain democratic values. This, in a sense, simplifies the history of the organisation; Turkey</w:t>
      </w:r>
      <w:r w:rsidR="00CA1087">
        <w:rPr>
          <w:rFonts w:ascii="Garamond" w:hAnsi="Garamond"/>
          <w:sz w:val="24"/>
          <w:szCs w:val="24"/>
        </w:rPr>
        <w:t xml:space="preserve"> and Greece</w:t>
      </w:r>
      <w:r w:rsidR="00563D4A">
        <w:rPr>
          <w:rFonts w:ascii="Garamond" w:hAnsi="Garamond"/>
          <w:sz w:val="24"/>
          <w:szCs w:val="24"/>
        </w:rPr>
        <w:t xml:space="preserve">, for example, </w:t>
      </w:r>
      <w:r w:rsidR="00CA1087">
        <w:rPr>
          <w:rFonts w:ascii="Garamond" w:hAnsi="Garamond"/>
          <w:sz w:val="24"/>
          <w:szCs w:val="24"/>
        </w:rPr>
        <w:t>were members almost from the creation of the organisation but both suffered</w:t>
      </w:r>
      <w:r w:rsidR="00563D4A">
        <w:rPr>
          <w:rFonts w:ascii="Garamond" w:hAnsi="Garamond"/>
          <w:sz w:val="24"/>
          <w:szCs w:val="24"/>
        </w:rPr>
        <w:t xml:space="preserve"> military coup</w:t>
      </w:r>
      <w:r w:rsidR="00CA1087">
        <w:rPr>
          <w:rFonts w:ascii="Garamond" w:hAnsi="Garamond"/>
          <w:sz w:val="24"/>
          <w:szCs w:val="24"/>
        </w:rPr>
        <w:t>s</w:t>
      </w:r>
      <w:r w:rsidR="00563D4A">
        <w:rPr>
          <w:rFonts w:ascii="Garamond" w:hAnsi="Garamond"/>
          <w:sz w:val="24"/>
          <w:szCs w:val="24"/>
        </w:rPr>
        <w:t xml:space="preserve">. Nonetheless, it is clear that the expansion </w:t>
      </w:r>
      <w:r w:rsidR="00D73718">
        <w:rPr>
          <w:rFonts w:ascii="Garamond" w:hAnsi="Garamond"/>
          <w:sz w:val="24"/>
          <w:szCs w:val="24"/>
        </w:rPr>
        <w:t>of members means that there is</w:t>
      </w:r>
      <w:r w:rsidR="00563D4A">
        <w:rPr>
          <w:rFonts w:ascii="Garamond" w:hAnsi="Garamond"/>
          <w:sz w:val="24"/>
          <w:szCs w:val="24"/>
        </w:rPr>
        <w:t xml:space="preserve"> less </w:t>
      </w:r>
      <w:r w:rsidR="00D55334">
        <w:rPr>
          <w:rFonts w:ascii="Garamond" w:hAnsi="Garamond"/>
          <w:sz w:val="24"/>
          <w:szCs w:val="24"/>
        </w:rPr>
        <w:t>homogeneity</w:t>
      </w:r>
      <w:r w:rsidR="00D73718">
        <w:rPr>
          <w:rFonts w:ascii="Garamond" w:hAnsi="Garamond"/>
          <w:sz w:val="24"/>
          <w:szCs w:val="24"/>
        </w:rPr>
        <w:t xml:space="preserve"> to the </w:t>
      </w:r>
      <w:r w:rsidR="0026418C">
        <w:rPr>
          <w:rFonts w:ascii="Garamond" w:hAnsi="Garamond"/>
          <w:sz w:val="24"/>
          <w:szCs w:val="24"/>
        </w:rPr>
        <w:t xml:space="preserve">CoE </w:t>
      </w:r>
      <w:r w:rsidR="00D73718">
        <w:rPr>
          <w:rFonts w:ascii="Garamond" w:hAnsi="Garamond"/>
          <w:sz w:val="24"/>
          <w:szCs w:val="24"/>
        </w:rPr>
        <w:t xml:space="preserve">now than there was in the 1950s. </w:t>
      </w:r>
      <w:r w:rsidR="00D55334">
        <w:rPr>
          <w:rFonts w:ascii="Garamond" w:hAnsi="Garamond"/>
          <w:sz w:val="24"/>
          <w:szCs w:val="24"/>
        </w:rPr>
        <w:t xml:space="preserve">The diverse heritages of current members, as well as the kaleidoscope of political constellations in those members, make it more difficult to discern an overarching agreement on core values. </w:t>
      </w:r>
      <w:r w:rsidR="00D73718">
        <w:rPr>
          <w:rFonts w:ascii="Garamond" w:hAnsi="Garamond"/>
          <w:sz w:val="24"/>
          <w:szCs w:val="24"/>
        </w:rPr>
        <w:t>S</w:t>
      </w:r>
      <w:r w:rsidR="00E02A16">
        <w:rPr>
          <w:rFonts w:ascii="Garamond" w:hAnsi="Garamond"/>
          <w:sz w:val="24"/>
          <w:szCs w:val="24"/>
        </w:rPr>
        <w:t xml:space="preserve">tate </w:t>
      </w:r>
      <w:r w:rsidR="004523F0">
        <w:rPr>
          <w:rFonts w:ascii="Garamond" w:hAnsi="Garamond"/>
          <w:sz w:val="24"/>
          <w:szCs w:val="24"/>
        </w:rPr>
        <w:t xml:space="preserve">accession to the </w:t>
      </w:r>
      <w:r w:rsidR="0026418C">
        <w:rPr>
          <w:rFonts w:ascii="Garamond" w:hAnsi="Garamond"/>
          <w:sz w:val="24"/>
          <w:szCs w:val="24"/>
        </w:rPr>
        <w:t xml:space="preserve">CoE </w:t>
      </w:r>
      <w:r w:rsidR="004523F0">
        <w:rPr>
          <w:rFonts w:ascii="Garamond" w:hAnsi="Garamond"/>
          <w:sz w:val="24"/>
          <w:szCs w:val="24"/>
        </w:rPr>
        <w:t xml:space="preserve">in the 90s was </w:t>
      </w:r>
      <w:r w:rsidR="00D73718">
        <w:rPr>
          <w:rFonts w:ascii="Garamond" w:hAnsi="Garamond"/>
          <w:sz w:val="24"/>
          <w:szCs w:val="24"/>
        </w:rPr>
        <w:t>often</w:t>
      </w:r>
      <w:r w:rsidR="004523F0">
        <w:rPr>
          <w:rFonts w:ascii="Garamond" w:hAnsi="Garamond"/>
          <w:sz w:val="24"/>
          <w:szCs w:val="24"/>
        </w:rPr>
        <w:t xml:space="preserve"> based on promises</w:t>
      </w:r>
      <w:r w:rsidR="00D73718">
        <w:rPr>
          <w:rFonts w:ascii="Garamond" w:hAnsi="Garamond"/>
          <w:sz w:val="24"/>
          <w:szCs w:val="24"/>
        </w:rPr>
        <w:t xml:space="preserve"> and potential</w:t>
      </w:r>
      <w:r w:rsidR="004523F0">
        <w:rPr>
          <w:rFonts w:ascii="Garamond" w:hAnsi="Garamond"/>
          <w:sz w:val="24"/>
          <w:szCs w:val="24"/>
        </w:rPr>
        <w:t xml:space="preserve"> rather than on </w:t>
      </w:r>
      <w:r w:rsidR="00D73718">
        <w:rPr>
          <w:rFonts w:ascii="Garamond" w:hAnsi="Garamond"/>
          <w:sz w:val="24"/>
          <w:szCs w:val="24"/>
        </w:rPr>
        <w:t xml:space="preserve">concrete evidence of </w:t>
      </w:r>
      <w:r w:rsidR="004523F0">
        <w:rPr>
          <w:rFonts w:ascii="Garamond" w:hAnsi="Garamond"/>
          <w:sz w:val="24"/>
          <w:szCs w:val="24"/>
        </w:rPr>
        <w:t xml:space="preserve">real progress </w:t>
      </w:r>
      <w:r w:rsidR="00D73718">
        <w:rPr>
          <w:rFonts w:ascii="Garamond" w:hAnsi="Garamond"/>
          <w:sz w:val="24"/>
          <w:szCs w:val="24"/>
        </w:rPr>
        <w:t>in</w:t>
      </w:r>
      <w:r w:rsidR="004523F0">
        <w:rPr>
          <w:rFonts w:ascii="Garamond" w:hAnsi="Garamond"/>
          <w:sz w:val="24"/>
          <w:szCs w:val="24"/>
        </w:rPr>
        <w:t xml:space="preserve"> </w:t>
      </w:r>
      <w:r w:rsidR="00E02A16">
        <w:rPr>
          <w:rFonts w:ascii="Garamond" w:hAnsi="Garamond"/>
          <w:sz w:val="24"/>
          <w:szCs w:val="24"/>
        </w:rPr>
        <w:t xml:space="preserve">the </w:t>
      </w:r>
      <w:r w:rsidR="004523F0">
        <w:rPr>
          <w:rFonts w:ascii="Garamond" w:hAnsi="Garamond"/>
          <w:sz w:val="24"/>
          <w:szCs w:val="24"/>
        </w:rPr>
        <w:t>new democracies.</w:t>
      </w:r>
      <w:r w:rsidR="00F34139">
        <w:rPr>
          <w:rFonts w:ascii="Garamond" w:hAnsi="Garamond"/>
          <w:sz w:val="24"/>
          <w:szCs w:val="24"/>
        </w:rPr>
        <w:t xml:space="preserve"> This approach in itself is not a violation of the Statute of the </w:t>
      </w:r>
      <w:r w:rsidR="0026418C">
        <w:rPr>
          <w:rFonts w:ascii="Garamond" w:hAnsi="Garamond"/>
          <w:sz w:val="24"/>
          <w:szCs w:val="24"/>
        </w:rPr>
        <w:t xml:space="preserve">CoE </w:t>
      </w:r>
      <w:r w:rsidR="00F34139">
        <w:rPr>
          <w:rFonts w:ascii="Garamond" w:hAnsi="Garamond"/>
          <w:sz w:val="24"/>
          <w:szCs w:val="24"/>
        </w:rPr>
        <w:t xml:space="preserve">as new members </w:t>
      </w:r>
      <w:r w:rsidR="00D55334">
        <w:rPr>
          <w:rFonts w:ascii="Garamond" w:hAnsi="Garamond"/>
          <w:sz w:val="24"/>
          <w:szCs w:val="24"/>
        </w:rPr>
        <w:t>are unlikely to have attained the same democratic institutional framework at the point of accession as more established members</w:t>
      </w:r>
      <w:r w:rsidR="00F34139">
        <w:rPr>
          <w:rFonts w:ascii="Garamond" w:hAnsi="Garamond"/>
          <w:sz w:val="24"/>
          <w:szCs w:val="24"/>
        </w:rPr>
        <w:t xml:space="preserve">. However, in that case, post-accession monitoring and the Council’s ability to reverse its decision of accession are </w:t>
      </w:r>
      <w:r w:rsidR="00ED4088">
        <w:rPr>
          <w:rFonts w:ascii="Garamond" w:hAnsi="Garamond"/>
          <w:sz w:val="24"/>
          <w:szCs w:val="24"/>
        </w:rPr>
        <w:t xml:space="preserve">of </w:t>
      </w:r>
      <w:r w:rsidR="00F34139">
        <w:rPr>
          <w:rFonts w:ascii="Garamond" w:hAnsi="Garamond"/>
          <w:sz w:val="24"/>
          <w:szCs w:val="24"/>
        </w:rPr>
        <w:t>crucial</w:t>
      </w:r>
      <w:r w:rsidR="00ED4088">
        <w:rPr>
          <w:rFonts w:ascii="Garamond" w:hAnsi="Garamond"/>
          <w:sz w:val="24"/>
          <w:szCs w:val="24"/>
        </w:rPr>
        <w:t xml:space="preserve"> importance</w:t>
      </w:r>
      <w:r w:rsidR="00F34139">
        <w:rPr>
          <w:rFonts w:ascii="Garamond" w:hAnsi="Garamond"/>
          <w:sz w:val="24"/>
          <w:szCs w:val="24"/>
        </w:rPr>
        <w:t>.</w:t>
      </w:r>
      <w:r w:rsidR="004523F0">
        <w:rPr>
          <w:rFonts w:ascii="Garamond" w:hAnsi="Garamond"/>
          <w:sz w:val="24"/>
          <w:szCs w:val="24"/>
        </w:rPr>
        <w:t xml:space="preserve"> </w:t>
      </w:r>
    </w:p>
    <w:p w14:paraId="6A67588C" w14:textId="10F1EA6F" w:rsidR="004523F0" w:rsidRDefault="000E7A77" w:rsidP="0053726B">
      <w:pPr>
        <w:spacing w:line="240" w:lineRule="auto"/>
        <w:jc w:val="both"/>
        <w:rPr>
          <w:rFonts w:ascii="Garamond" w:hAnsi="Garamond"/>
          <w:sz w:val="24"/>
          <w:szCs w:val="24"/>
        </w:rPr>
      </w:pPr>
      <w:r>
        <w:rPr>
          <w:rFonts w:ascii="Garamond" w:hAnsi="Garamond"/>
          <w:sz w:val="24"/>
          <w:szCs w:val="24"/>
        </w:rPr>
        <w:t>In 1995</w:t>
      </w:r>
      <w:r w:rsidR="00047B8C">
        <w:rPr>
          <w:rFonts w:ascii="Garamond" w:hAnsi="Garamond"/>
          <w:sz w:val="24"/>
          <w:szCs w:val="24"/>
        </w:rPr>
        <w:t>,</w:t>
      </w:r>
      <w:r>
        <w:rPr>
          <w:rFonts w:ascii="Garamond" w:hAnsi="Garamond"/>
          <w:sz w:val="24"/>
          <w:szCs w:val="24"/>
        </w:rPr>
        <w:t xml:space="preserve"> </w:t>
      </w:r>
      <w:r w:rsidR="00D55334">
        <w:rPr>
          <w:rFonts w:ascii="Garamond" w:hAnsi="Garamond"/>
          <w:sz w:val="24"/>
          <w:szCs w:val="24"/>
        </w:rPr>
        <w:t xml:space="preserve">the </w:t>
      </w:r>
      <w:r>
        <w:rPr>
          <w:rFonts w:ascii="Garamond" w:hAnsi="Garamond"/>
          <w:sz w:val="24"/>
          <w:szCs w:val="24"/>
        </w:rPr>
        <w:t>UK member of the PACE</w:t>
      </w:r>
      <w:r w:rsidR="00D73718">
        <w:rPr>
          <w:rFonts w:ascii="Garamond" w:hAnsi="Garamond"/>
          <w:sz w:val="24"/>
          <w:szCs w:val="24"/>
        </w:rPr>
        <w:t>,</w:t>
      </w:r>
      <w:r>
        <w:rPr>
          <w:rFonts w:ascii="Garamond" w:hAnsi="Garamond"/>
          <w:sz w:val="24"/>
          <w:szCs w:val="24"/>
        </w:rPr>
        <w:t xml:space="preserve"> David Atkinson</w:t>
      </w:r>
      <w:r w:rsidR="00D73718">
        <w:rPr>
          <w:rFonts w:ascii="Garamond" w:hAnsi="Garamond"/>
          <w:sz w:val="24"/>
          <w:szCs w:val="24"/>
        </w:rPr>
        <w:t>,</w:t>
      </w:r>
      <w:r>
        <w:rPr>
          <w:rFonts w:ascii="Garamond" w:hAnsi="Garamond"/>
          <w:sz w:val="24"/>
          <w:szCs w:val="24"/>
        </w:rPr>
        <w:t xml:space="preserve"> opined that ‘[w]e have been accepting into full membership counties which have not reached out standards, nor satisfied our qualifications. We have been tolerating the continuing failure of new members to honour their commitments, and we have turned a blind eye to old member states for behaviour that we condemn in non-member countries’.</w:t>
      </w:r>
      <w:r>
        <w:rPr>
          <w:rStyle w:val="FootnoteReference"/>
          <w:rFonts w:ascii="Garamond" w:hAnsi="Garamond"/>
          <w:sz w:val="24"/>
          <w:szCs w:val="24"/>
        </w:rPr>
        <w:footnoteReference w:id="49"/>
      </w:r>
      <w:r>
        <w:rPr>
          <w:rFonts w:ascii="Garamond" w:hAnsi="Garamond"/>
          <w:sz w:val="24"/>
          <w:szCs w:val="24"/>
        </w:rPr>
        <w:t xml:space="preserve"> </w:t>
      </w:r>
      <w:r w:rsidR="00F32D55">
        <w:rPr>
          <w:rFonts w:ascii="Garamond" w:hAnsi="Garamond"/>
          <w:sz w:val="24"/>
          <w:szCs w:val="24"/>
        </w:rPr>
        <w:t xml:space="preserve">The accession procedures of, </w:t>
      </w:r>
      <w:r w:rsidR="00F32D55">
        <w:rPr>
          <w:rFonts w:ascii="Garamond" w:hAnsi="Garamond"/>
          <w:i/>
          <w:sz w:val="24"/>
          <w:szCs w:val="24"/>
        </w:rPr>
        <w:t xml:space="preserve">inter </w:t>
      </w:r>
      <w:r w:rsidR="00F32D55" w:rsidRPr="00F32D55">
        <w:rPr>
          <w:rFonts w:ascii="Garamond" w:hAnsi="Garamond"/>
          <w:i/>
          <w:sz w:val="24"/>
          <w:szCs w:val="24"/>
        </w:rPr>
        <w:t>alia</w:t>
      </w:r>
      <w:r w:rsidR="00F32D55">
        <w:rPr>
          <w:rFonts w:ascii="Garamond" w:hAnsi="Garamond"/>
          <w:sz w:val="24"/>
          <w:szCs w:val="24"/>
        </w:rPr>
        <w:t xml:space="preserve"> </w:t>
      </w:r>
      <w:r w:rsidRPr="00F32D55">
        <w:rPr>
          <w:rFonts w:ascii="Garamond" w:hAnsi="Garamond"/>
          <w:sz w:val="24"/>
          <w:szCs w:val="24"/>
        </w:rPr>
        <w:t>Russia</w:t>
      </w:r>
      <w:r>
        <w:rPr>
          <w:rFonts w:ascii="Garamond" w:hAnsi="Garamond"/>
          <w:sz w:val="24"/>
          <w:szCs w:val="24"/>
        </w:rPr>
        <w:t>, Ukrain</w:t>
      </w:r>
      <w:r w:rsidR="00F32D55">
        <w:rPr>
          <w:rFonts w:ascii="Garamond" w:hAnsi="Garamond"/>
          <w:sz w:val="24"/>
          <w:szCs w:val="24"/>
        </w:rPr>
        <w:t>e</w:t>
      </w:r>
      <w:r>
        <w:rPr>
          <w:rFonts w:ascii="Garamond" w:hAnsi="Garamond"/>
          <w:sz w:val="24"/>
          <w:szCs w:val="24"/>
        </w:rPr>
        <w:t xml:space="preserve">, Romania, </w:t>
      </w:r>
      <w:r w:rsidR="00F32D55">
        <w:rPr>
          <w:rFonts w:ascii="Garamond" w:hAnsi="Garamond"/>
          <w:sz w:val="24"/>
          <w:szCs w:val="24"/>
        </w:rPr>
        <w:t xml:space="preserve">and </w:t>
      </w:r>
      <w:r>
        <w:rPr>
          <w:rFonts w:ascii="Garamond" w:hAnsi="Garamond"/>
          <w:sz w:val="24"/>
          <w:szCs w:val="24"/>
        </w:rPr>
        <w:t xml:space="preserve">Croatia were problematic and </w:t>
      </w:r>
      <w:r w:rsidR="00F32D55">
        <w:rPr>
          <w:rFonts w:ascii="Garamond" w:hAnsi="Garamond"/>
          <w:sz w:val="24"/>
          <w:szCs w:val="24"/>
        </w:rPr>
        <w:t>the benefit of the doubt was often given</w:t>
      </w:r>
      <w:r w:rsidR="00D73718">
        <w:rPr>
          <w:rFonts w:ascii="Garamond" w:hAnsi="Garamond"/>
          <w:sz w:val="24"/>
          <w:szCs w:val="24"/>
        </w:rPr>
        <w:t xml:space="preserve">, sometimes over-optimistically, </w:t>
      </w:r>
      <w:r w:rsidR="00F32D55">
        <w:rPr>
          <w:rFonts w:ascii="Garamond" w:hAnsi="Garamond"/>
          <w:sz w:val="24"/>
          <w:szCs w:val="24"/>
        </w:rPr>
        <w:t>to</w:t>
      </w:r>
      <w:r>
        <w:rPr>
          <w:rFonts w:ascii="Garamond" w:hAnsi="Garamond"/>
          <w:sz w:val="24"/>
          <w:szCs w:val="24"/>
        </w:rPr>
        <w:t xml:space="preserve"> the new members.</w:t>
      </w:r>
      <w:r>
        <w:rPr>
          <w:rStyle w:val="FootnoteReference"/>
          <w:rFonts w:ascii="Garamond" w:hAnsi="Garamond"/>
          <w:sz w:val="24"/>
          <w:szCs w:val="24"/>
        </w:rPr>
        <w:footnoteReference w:id="50"/>
      </w:r>
      <w:r>
        <w:rPr>
          <w:rFonts w:ascii="Garamond" w:hAnsi="Garamond"/>
          <w:sz w:val="24"/>
          <w:szCs w:val="24"/>
        </w:rPr>
        <w:t xml:space="preserve"> In many cases this quick expansion</w:t>
      </w:r>
      <w:r w:rsidR="00D73718">
        <w:rPr>
          <w:rFonts w:ascii="Garamond" w:hAnsi="Garamond"/>
          <w:sz w:val="24"/>
          <w:szCs w:val="24"/>
        </w:rPr>
        <w:t>, and accompanying optimism,</w:t>
      </w:r>
      <w:r>
        <w:rPr>
          <w:rFonts w:ascii="Garamond" w:hAnsi="Garamond"/>
          <w:sz w:val="24"/>
          <w:szCs w:val="24"/>
        </w:rPr>
        <w:t xml:space="preserve"> </w:t>
      </w:r>
      <w:r w:rsidR="00E02A16">
        <w:rPr>
          <w:rFonts w:ascii="Garamond" w:hAnsi="Garamond"/>
          <w:sz w:val="24"/>
          <w:szCs w:val="24"/>
        </w:rPr>
        <w:t>became</w:t>
      </w:r>
      <w:r>
        <w:rPr>
          <w:rFonts w:ascii="Garamond" w:hAnsi="Garamond"/>
          <w:sz w:val="24"/>
          <w:szCs w:val="24"/>
        </w:rPr>
        <w:t xml:space="preserve"> the root </w:t>
      </w:r>
      <w:r w:rsidR="00E02A16">
        <w:rPr>
          <w:rFonts w:ascii="Garamond" w:hAnsi="Garamond"/>
          <w:sz w:val="24"/>
          <w:szCs w:val="24"/>
        </w:rPr>
        <w:t xml:space="preserve">cause </w:t>
      </w:r>
      <w:r>
        <w:rPr>
          <w:rFonts w:ascii="Garamond" w:hAnsi="Garamond"/>
          <w:sz w:val="24"/>
          <w:szCs w:val="24"/>
        </w:rPr>
        <w:t>of the challenges that the Council is currently facing.</w:t>
      </w:r>
      <w:r w:rsidR="00D73718">
        <w:rPr>
          <w:rFonts w:ascii="Garamond" w:hAnsi="Garamond"/>
          <w:sz w:val="24"/>
          <w:szCs w:val="24"/>
        </w:rPr>
        <w:t xml:space="preserve"> It is incumbent on the PACE and Committee of Ministers to take measures to prevent crises occurring</w:t>
      </w:r>
      <w:r w:rsidR="007B4E9D">
        <w:rPr>
          <w:rFonts w:ascii="Garamond" w:hAnsi="Garamond"/>
          <w:sz w:val="24"/>
          <w:szCs w:val="24"/>
        </w:rPr>
        <w:t>, and remedy those which have occurred,</w:t>
      </w:r>
      <w:r w:rsidR="00D73718">
        <w:rPr>
          <w:rFonts w:ascii="Garamond" w:hAnsi="Garamond"/>
          <w:sz w:val="24"/>
          <w:szCs w:val="24"/>
        </w:rPr>
        <w:t xml:space="preserve"> as a result of the decisions of the 1990s.</w:t>
      </w:r>
    </w:p>
    <w:p w14:paraId="4C72158C" w14:textId="1080F00F" w:rsidR="009E757D" w:rsidRPr="0004203D" w:rsidRDefault="00C8281B" w:rsidP="0053726B">
      <w:pPr>
        <w:spacing w:line="240" w:lineRule="auto"/>
        <w:jc w:val="both"/>
        <w:rPr>
          <w:rFonts w:ascii="Garamond" w:hAnsi="Garamond"/>
          <w:sz w:val="24"/>
          <w:szCs w:val="24"/>
        </w:rPr>
      </w:pPr>
      <w:r>
        <w:rPr>
          <w:rFonts w:ascii="Garamond" w:hAnsi="Garamond"/>
          <w:sz w:val="24"/>
          <w:szCs w:val="24"/>
        </w:rPr>
        <w:t xml:space="preserve">The second reason is the depth of the crisis. </w:t>
      </w:r>
      <w:r w:rsidR="009E757D">
        <w:rPr>
          <w:rFonts w:ascii="Garamond" w:hAnsi="Garamond"/>
          <w:sz w:val="24"/>
          <w:szCs w:val="24"/>
        </w:rPr>
        <w:t>What is new</w:t>
      </w:r>
      <w:r w:rsidR="00F02BB8">
        <w:rPr>
          <w:rFonts w:ascii="Garamond" w:hAnsi="Garamond"/>
          <w:sz w:val="24"/>
          <w:szCs w:val="24"/>
        </w:rPr>
        <w:t xml:space="preserve"> now</w:t>
      </w:r>
      <w:r w:rsidR="009E757D">
        <w:rPr>
          <w:rFonts w:ascii="Garamond" w:hAnsi="Garamond"/>
          <w:sz w:val="24"/>
          <w:szCs w:val="24"/>
        </w:rPr>
        <w:t xml:space="preserve">, and what makes the issue existential, is the manner in which </w:t>
      </w:r>
      <w:r w:rsidR="008B179A">
        <w:rPr>
          <w:rFonts w:ascii="Garamond" w:hAnsi="Garamond"/>
          <w:sz w:val="24"/>
          <w:szCs w:val="24"/>
        </w:rPr>
        <w:t xml:space="preserve">the </w:t>
      </w:r>
      <w:r w:rsidR="009E757D">
        <w:rPr>
          <w:rFonts w:ascii="Garamond" w:hAnsi="Garamond"/>
          <w:sz w:val="24"/>
          <w:szCs w:val="24"/>
        </w:rPr>
        <w:t xml:space="preserve">developments </w:t>
      </w:r>
      <w:r w:rsidR="008B179A">
        <w:rPr>
          <w:rFonts w:ascii="Garamond" w:hAnsi="Garamond"/>
          <w:sz w:val="24"/>
          <w:szCs w:val="24"/>
        </w:rPr>
        <w:t xml:space="preserve">such as failure to pay budgetary contributions, disregard </w:t>
      </w:r>
      <w:r w:rsidR="00D73718">
        <w:rPr>
          <w:rFonts w:ascii="Garamond" w:hAnsi="Garamond"/>
          <w:sz w:val="24"/>
          <w:szCs w:val="24"/>
        </w:rPr>
        <w:t>of</w:t>
      </w:r>
      <w:r w:rsidR="008B179A">
        <w:rPr>
          <w:rFonts w:ascii="Garamond" w:hAnsi="Garamond"/>
          <w:sz w:val="24"/>
          <w:szCs w:val="24"/>
        </w:rPr>
        <w:t xml:space="preserve"> the judgments of the ECtHR </w:t>
      </w:r>
      <w:r w:rsidR="009E757D">
        <w:rPr>
          <w:rFonts w:ascii="Garamond" w:hAnsi="Garamond"/>
          <w:sz w:val="24"/>
          <w:szCs w:val="24"/>
        </w:rPr>
        <w:t xml:space="preserve">are being combined and used in order to justify a failure to collaborate or, one could even argue, a </w:t>
      </w:r>
      <w:r w:rsidR="00FB710B">
        <w:rPr>
          <w:rFonts w:ascii="Garamond" w:hAnsi="Garamond"/>
          <w:sz w:val="24"/>
          <w:szCs w:val="24"/>
        </w:rPr>
        <w:t xml:space="preserve">strong indication of an intention to obstruct the manner in which </w:t>
      </w:r>
      <w:r w:rsidR="009E757D">
        <w:rPr>
          <w:rFonts w:ascii="Garamond" w:hAnsi="Garamond"/>
          <w:sz w:val="24"/>
          <w:szCs w:val="24"/>
        </w:rPr>
        <w:t xml:space="preserve">the </w:t>
      </w:r>
      <w:r w:rsidR="0026418C">
        <w:rPr>
          <w:rFonts w:ascii="Garamond" w:hAnsi="Garamond"/>
          <w:sz w:val="24"/>
          <w:szCs w:val="24"/>
        </w:rPr>
        <w:t xml:space="preserve">CoE </w:t>
      </w:r>
      <w:r w:rsidR="00FB710B">
        <w:rPr>
          <w:rFonts w:ascii="Garamond" w:hAnsi="Garamond"/>
          <w:sz w:val="24"/>
          <w:szCs w:val="24"/>
        </w:rPr>
        <w:t>works</w:t>
      </w:r>
      <w:r w:rsidR="009E757D">
        <w:rPr>
          <w:rFonts w:ascii="Garamond" w:hAnsi="Garamond"/>
          <w:sz w:val="24"/>
          <w:szCs w:val="24"/>
        </w:rPr>
        <w:t xml:space="preserve">. </w:t>
      </w:r>
      <w:r w:rsidR="00D73718">
        <w:rPr>
          <w:rFonts w:ascii="Garamond" w:hAnsi="Garamond"/>
          <w:sz w:val="24"/>
          <w:szCs w:val="24"/>
        </w:rPr>
        <w:t xml:space="preserve">In the past, </w:t>
      </w:r>
      <w:r w:rsidR="00AA264D">
        <w:rPr>
          <w:rFonts w:ascii="Garamond" w:hAnsi="Garamond"/>
          <w:sz w:val="24"/>
          <w:szCs w:val="24"/>
        </w:rPr>
        <w:t>member state</w:t>
      </w:r>
      <w:r w:rsidR="00D73718">
        <w:rPr>
          <w:rFonts w:ascii="Garamond" w:hAnsi="Garamond"/>
          <w:sz w:val="24"/>
          <w:szCs w:val="24"/>
        </w:rPr>
        <w:t xml:space="preserve">s either set their faces against compliance (such as in the Greek case) or appeared to collaborate proactively with the Council institutions (such as the UK or </w:t>
      </w:r>
      <w:r w:rsidR="00DA6E0B">
        <w:rPr>
          <w:rFonts w:ascii="Garamond" w:hAnsi="Garamond"/>
          <w:sz w:val="24"/>
          <w:szCs w:val="24"/>
        </w:rPr>
        <w:t>Turkey in the 80s</w:t>
      </w:r>
      <w:r w:rsidR="00D73718">
        <w:rPr>
          <w:rFonts w:ascii="Garamond" w:hAnsi="Garamond"/>
          <w:sz w:val="24"/>
          <w:szCs w:val="24"/>
        </w:rPr>
        <w:t xml:space="preserve">). What is becoming clear now, however, is that some of the apparent collaboration has failed to bear fruit. </w:t>
      </w:r>
      <w:r w:rsidR="009E757D">
        <w:rPr>
          <w:rFonts w:ascii="Garamond" w:hAnsi="Garamond"/>
          <w:sz w:val="24"/>
          <w:szCs w:val="24"/>
        </w:rPr>
        <w:t xml:space="preserve">In order to appreciate the point here, it is necessary to sketch briefly the areas in which this lack of collaboration has occurred. </w:t>
      </w:r>
    </w:p>
    <w:p w14:paraId="4FB16F7B" w14:textId="134B6D58" w:rsidR="004057AC" w:rsidRDefault="00F01DCD" w:rsidP="004943DC">
      <w:pPr>
        <w:pStyle w:val="ListParagraph"/>
        <w:numPr>
          <w:ilvl w:val="1"/>
          <w:numId w:val="10"/>
        </w:numPr>
        <w:spacing w:line="240" w:lineRule="auto"/>
        <w:jc w:val="both"/>
        <w:rPr>
          <w:rFonts w:ascii="Garamond" w:hAnsi="Garamond"/>
          <w:b/>
          <w:sz w:val="24"/>
          <w:szCs w:val="24"/>
        </w:rPr>
      </w:pPr>
      <w:r w:rsidRPr="004943DC">
        <w:rPr>
          <w:rFonts w:ascii="Garamond" w:hAnsi="Garamond"/>
          <w:b/>
          <w:sz w:val="24"/>
          <w:szCs w:val="24"/>
        </w:rPr>
        <w:t xml:space="preserve">Failure to </w:t>
      </w:r>
      <w:r w:rsidR="00F478D9" w:rsidRPr="004943DC">
        <w:rPr>
          <w:rFonts w:ascii="Garamond" w:hAnsi="Garamond"/>
          <w:b/>
          <w:sz w:val="24"/>
          <w:szCs w:val="24"/>
        </w:rPr>
        <w:t>Cooperat</w:t>
      </w:r>
      <w:r w:rsidR="00000C3B" w:rsidRPr="004943DC">
        <w:rPr>
          <w:rFonts w:ascii="Garamond" w:hAnsi="Garamond"/>
          <w:b/>
          <w:sz w:val="24"/>
          <w:szCs w:val="24"/>
        </w:rPr>
        <w:t>e with the Council of Europe</w:t>
      </w:r>
    </w:p>
    <w:p w14:paraId="255D99E5" w14:textId="4DD740C5" w:rsidR="00257D2D" w:rsidRDefault="00257D2D" w:rsidP="004943DC">
      <w:pPr>
        <w:spacing w:line="240" w:lineRule="auto"/>
        <w:jc w:val="both"/>
        <w:rPr>
          <w:rFonts w:ascii="Garamond" w:hAnsi="Garamond"/>
          <w:b/>
          <w:sz w:val="24"/>
          <w:szCs w:val="24"/>
        </w:rPr>
      </w:pPr>
      <w:r>
        <w:rPr>
          <w:rFonts w:ascii="Garamond" w:hAnsi="Garamond"/>
          <w:b/>
          <w:sz w:val="24"/>
          <w:szCs w:val="24"/>
        </w:rPr>
        <w:t xml:space="preserve">4.2.1 </w:t>
      </w:r>
      <w:r w:rsidR="00747134">
        <w:rPr>
          <w:rFonts w:ascii="Garamond" w:hAnsi="Garamond"/>
          <w:b/>
          <w:sz w:val="24"/>
          <w:szCs w:val="24"/>
        </w:rPr>
        <w:t>Reaction of the PACE to the O</w:t>
      </w:r>
      <w:r>
        <w:rPr>
          <w:rFonts w:ascii="Garamond" w:hAnsi="Garamond"/>
          <w:b/>
          <w:sz w:val="24"/>
          <w:szCs w:val="24"/>
        </w:rPr>
        <w:t>ccupation of Crimea.</w:t>
      </w:r>
    </w:p>
    <w:p w14:paraId="0DE5D619" w14:textId="2E3B742B" w:rsidR="00257D2D" w:rsidRDefault="00000C3B">
      <w:pPr>
        <w:spacing w:line="240" w:lineRule="auto"/>
        <w:jc w:val="both"/>
        <w:rPr>
          <w:rFonts w:ascii="Garamond" w:hAnsi="Garamond"/>
          <w:sz w:val="24"/>
          <w:szCs w:val="24"/>
        </w:rPr>
      </w:pPr>
      <w:r>
        <w:rPr>
          <w:rFonts w:ascii="Garamond" w:hAnsi="Garamond"/>
          <w:sz w:val="24"/>
          <w:szCs w:val="24"/>
        </w:rPr>
        <w:lastRenderedPageBreak/>
        <w:t xml:space="preserve">An international organisation can fulfil its aims </w:t>
      </w:r>
      <w:r w:rsidR="00463261">
        <w:rPr>
          <w:rFonts w:ascii="Garamond" w:hAnsi="Garamond"/>
          <w:sz w:val="24"/>
          <w:szCs w:val="24"/>
        </w:rPr>
        <w:t>when</w:t>
      </w:r>
      <w:r>
        <w:rPr>
          <w:rFonts w:ascii="Garamond" w:hAnsi="Garamond"/>
          <w:sz w:val="24"/>
          <w:szCs w:val="24"/>
        </w:rPr>
        <w:t xml:space="preserve"> its members are willing to collaborate. Although some organisations </w:t>
      </w:r>
      <w:r w:rsidR="00463261">
        <w:rPr>
          <w:rFonts w:ascii="Garamond" w:hAnsi="Garamond"/>
          <w:sz w:val="24"/>
          <w:szCs w:val="24"/>
        </w:rPr>
        <w:t xml:space="preserve">have severe sanctions for </w:t>
      </w:r>
      <w:r w:rsidR="00532E35">
        <w:rPr>
          <w:rFonts w:ascii="Garamond" w:hAnsi="Garamond"/>
          <w:sz w:val="24"/>
          <w:szCs w:val="24"/>
        </w:rPr>
        <w:t xml:space="preserve">the </w:t>
      </w:r>
      <w:r w:rsidR="00463261">
        <w:rPr>
          <w:rFonts w:ascii="Garamond" w:hAnsi="Garamond"/>
          <w:sz w:val="24"/>
          <w:szCs w:val="24"/>
        </w:rPr>
        <w:t xml:space="preserve">lack of engagement, ultimately it is voluntary collaboration that makes an international organisation successful. </w:t>
      </w:r>
      <w:r w:rsidR="00605490">
        <w:rPr>
          <w:rFonts w:ascii="Garamond" w:hAnsi="Garamond"/>
          <w:sz w:val="24"/>
          <w:szCs w:val="24"/>
        </w:rPr>
        <w:t xml:space="preserve">A blatant failure to engage with the requirements of the organisation undermines the </w:t>
      </w:r>
      <w:r w:rsidR="009E6423">
        <w:rPr>
          <w:rFonts w:ascii="Garamond" w:hAnsi="Garamond"/>
          <w:sz w:val="24"/>
          <w:szCs w:val="24"/>
        </w:rPr>
        <w:t>reputation</w:t>
      </w:r>
      <w:r w:rsidR="00605490">
        <w:rPr>
          <w:rFonts w:ascii="Garamond" w:hAnsi="Garamond"/>
          <w:sz w:val="24"/>
          <w:szCs w:val="24"/>
        </w:rPr>
        <w:t xml:space="preserve"> and weakens </w:t>
      </w:r>
      <w:r w:rsidR="009E7D30">
        <w:rPr>
          <w:rFonts w:ascii="Garamond" w:hAnsi="Garamond"/>
          <w:sz w:val="24"/>
          <w:szCs w:val="24"/>
        </w:rPr>
        <w:t xml:space="preserve">its </w:t>
      </w:r>
      <w:r w:rsidR="00605490">
        <w:rPr>
          <w:rFonts w:ascii="Garamond" w:hAnsi="Garamond"/>
          <w:sz w:val="24"/>
          <w:szCs w:val="24"/>
        </w:rPr>
        <w:t xml:space="preserve">legitimacy. </w:t>
      </w:r>
      <w:r w:rsidR="00591F70">
        <w:rPr>
          <w:rFonts w:ascii="Garamond" w:hAnsi="Garamond"/>
          <w:sz w:val="24"/>
          <w:szCs w:val="24"/>
        </w:rPr>
        <w:t xml:space="preserve">For instance, in 2015 the </w:t>
      </w:r>
      <w:r w:rsidR="000C3834">
        <w:rPr>
          <w:rFonts w:ascii="Garamond" w:hAnsi="Garamond"/>
          <w:sz w:val="24"/>
          <w:szCs w:val="24"/>
        </w:rPr>
        <w:t>PACE</w:t>
      </w:r>
      <w:r w:rsidR="00591F70">
        <w:rPr>
          <w:rFonts w:ascii="Garamond" w:hAnsi="Garamond"/>
          <w:sz w:val="24"/>
          <w:szCs w:val="24"/>
        </w:rPr>
        <w:t xml:space="preserve"> </w:t>
      </w:r>
      <w:r w:rsidR="005B04D2">
        <w:rPr>
          <w:rFonts w:ascii="Garamond" w:hAnsi="Garamond"/>
          <w:sz w:val="24"/>
          <w:szCs w:val="24"/>
        </w:rPr>
        <w:t xml:space="preserve">adopted a resolution in which it </w:t>
      </w:r>
      <w:r w:rsidR="00591F70">
        <w:rPr>
          <w:rFonts w:ascii="Garamond" w:hAnsi="Garamond"/>
          <w:sz w:val="24"/>
          <w:szCs w:val="24"/>
        </w:rPr>
        <w:t xml:space="preserve">demanded </w:t>
      </w:r>
      <w:r w:rsidR="00605490">
        <w:rPr>
          <w:rFonts w:ascii="Garamond" w:hAnsi="Garamond"/>
          <w:sz w:val="24"/>
          <w:szCs w:val="24"/>
        </w:rPr>
        <w:t xml:space="preserve">that </w:t>
      </w:r>
      <w:r w:rsidR="00591F70">
        <w:rPr>
          <w:rFonts w:ascii="Garamond" w:hAnsi="Garamond"/>
          <w:sz w:val="24"/>
          <w:szCs w:val="24"/>
        </w:rPr>
        <w:t xml:space="preserve">Russia withdraw from Crimea and stop supporting separatists in Eastern Ukraine; </w:t>
      </w:r>
      <w:r w:rsidR="00605490">
        <w:rPr>
          <w:rFonts w:ascii="Garamond" w:hAnsi="Garamond"/>
          <w:sz w:val="24"/>
          <w:szCs w:val="24"/>
        </w:rPr>
        <w:t xml:space="preserve">this </w:t>
      </w:r>
      <w:r w:rsidR="00D275D7">
        <w:rPr>
          <w:rFonts w:ascii="Garamond" w:hAnsi="Garamond"/>
          <w:sz w:val="24"/>
          <w:szCs w:val="24"/>
        </w:rPr>
        <w:t xml:space="preserve">was </w:t>
      </w:r>
      <w:r w:rsidR="00257D2D">
        <w:rPr>
          <w:rFonts w:ascii="Garamond" w:hAnsi="Garamond"/>
          <w:sz w:val="24"/>
          <w:szCs w:val="24"/>
        </w:rPr>
        <w:t>to no effect</w:t>
      </w:r>
      <w:r w:rsidR="00591F70">
        <w:rPr>
          <w:rFonts w:ascii="Garamond" w:hAnsi="Garamond"/>
          <w:sz w:val="24"/>
          <w:szCs w:val="24"/>
        </w:rPr>
        <w:t>.</w:t>
      </w:r>
      <w:r w:rsidR="002B2811">
        <w:rPr>
          <w:rStyle w:val="FootnoteReference"/>
          <w:rFonts w:ascii="Garamond" w:hAnsi="Garamond"/>
          <w:sz w:val="24"/>
          <w:szCs w:val="24"/>
        </w:rPr>
        <w:footnoteReference w:id="51"/>
      </w:r>
      <w:r w:rsidR="00591F70">
        <w:rPr>
          <w:rFonts w:ascii="Garamond" w:hAnsi="Garamond"/>
          <w:sz w:val="24"/>
          <w:szCs w:val="24"/>
        </w:rPr>
        <w:t xml:space="preserve"> </w:t>
      </w:r>
      <w:r w:rsidR="005B04D2">
        <w:rPr>
          <w:rFonts w:ascii="Garamond" w:hAnsi="Garamond"/>
          <w:sz w:val="24"/>
          <w:szCs w:val="24"/>
        </w:rPr>
        <w:t>Such</w:t>
      </w:r>
      <w:r w:rsidR="001604D2">
        <w:rPr>
          <w:rFonts w:ascii="Garamond" w:hAnsi="Garamond"/>
          <w:sz w:val="24"/>
          <w:szCs w:val="24"/>
        </w:rPr>
        <w:t xml:space="preserve"> a</w:t>
      </w:r>
      <w:r w:rsidR="005B04D2">
        <w:rPr>
          <w:rFonts w:ascii="Garamond" w:hAnsi="Garamond"/>
          <w:sz w:val="24"/>
          <w:szCs w:val="24"/>
        </w:rPr>
        <w:t xml:space="preserve"> resolution is not binding and does not create a </w:t>
      </w:r>
      <w:r w:rsidR="009E6423">
        <w:rPr>
          <w:rFonts w:ascii="Garamond" w:hAnsi="Garamond"/>
          <w:sz w:val="24"/>
          <w:szCs w:val="24"/>
        </w:rPr>
        <w:t>direct</w:t>
      </w:r>
      <w:r w:rsidR="005B04D2">
        <w:rPr>
          <w:rFonts w:ascii="Garamond" w:hAnsi="Garamond"/>
          <w:sz w:val="24"/>
          <w:szCs w:val="24"/>
        </w:rPr>
        <w:t xml:space="preserve"> international obligation for Russia.</w:t>
      </w:r>
      <w:r w:rsidR="005B04D2">
        <w:rPr>
          <w:rStyle w:val="FootnoteReference"/>
          <w:rFonts w:ascii="Garamond" w:hAnsi="Garamond"/>
          <w:sz w:val="24"/>
          <w:szCs w:val="24"/>
        </w:rPr>
        <w:footnoteReference w:id="52"/>
      </w:r>
      <w:r w:rsidR="005B04D2">
        <w:rPr>
          <w:rFonts w:ascii="Garamond" w:hAnsi="Garamond"/>
          <w:sz w:val="24"/>
          <w:szCs w:val="24"/>
        </w:rPr>
        <w:t xml:space="preserve"> However, </w:t>
      </w:r>
      <w:r w:rsidR="00532E35">
        <w:rPr>
          <w:rFonts w:ascii="Garamond" w:hAnsi="Garamond"/>
          <w:sz w:val="24"/>
          <w:szCs w:val="24"/>
        </w:rPr>
        <w:t xml:space="preserve">the </w:t>
      </w:r>
      <w:r w:rsidR="00257D2D">
        <w:rPr>
          <w:rFonts w:ascii="Garamond" w:hAnsi="Garamond"/>
          <w:sz w:val="24"/>
          <w:szCs w:val="24"/>
        </w:rPr>
        <w:t xml:space="preserve">lack of cooperation </w:t>
      </w:r>
      <w:r w:rsidR="005B04D2">
        <w:rPr>
          <w:rFonts w:ascii="Garamond" w:hAnsi="Garamond"/>
          <w:sz w:val="24"/>
          <w:szCs w:val="24"/>
        </w:rPr>
        <w:t xml:space="preserve">shows </w:t>
      </w:r>
      <w:r w:rsidR="005223AB">
        <w:rPr>
          <w:rFonts w:ascii="Garamond" w:hAnsi="Garamond"/>
          <w:sz w:val="24"/>
          <w:szCs w:val="24"/>
        </w:rPr>
        <w:t xml:space="preserve">the </w:t>
      </w:r>
      <w:r w:rsidR="008603EC">
        <w:rPr>
          <w:rFonts w:ascii="Garamond" w:hAnsi="Garamond"/>
          <w:sz w:val="24"/>
          <w:szCs w:val="24"/>
        </w:rPr>
        <w:t>un</w:t>
      </w:r>
      <w:r w:rsidR="005B04D2">
        <w:rPr>
          <w:rFonts w:ascii="Garamond" w:hAnsi="Garamond"/>
          <w:sz w:val="24"/>
          <w:szCs w:val="24"/>
        </w:rPr>
        <w:t xml:space="preserve">willingness of a </w:t>
      </w:r>
      <w:r w:rsidR="00AA264D">
        <w:rPr>
          <w:rFonts w:ascii="Garamond" w:hAnsi="Garamond"/>
          <w:sz w:val="24"/>
          <w:szCs w:val="24"/>
        </w:rPr>
        <w:t>member state</w:t>
      </w:r>
      <w:r w:rsidR="005B04D2">
        <w:rPr>
          <w:rFonts w:ascii="Garamond" w:hAnsi="Garamond"/>
          <w:sz w:val="24"/>
          <w:szCs w:val="24"/>
        </w:rPr>
        <w:t xml:space="preserve"> to participate in the work of an international organisation. </w:t>
      </w:r>
      <w:r w:rsidR="00591F70">
        <w:rPr>
          <w:rFonts w:ascii="Garamond" w:hAnsi="Garamond"/>
          <w:sz w:val="24"/>
          <w:szCs w:val="24"/>
        </w:rPr>
        <w:t xml:space="preserve">Moreover, </w:t>
      </w:r>
      <w:r w:rsidR="009E6423">
        <w:rPr>
          <w:rFonts w:ascii="Garamond" w:hAnsi="Garamond"/>
          <w:sz w:val="24"/>
          <w:szCs w:val="24"/>
        </w:rPr>
        <w:t xml:space="preserve">the situation concerned military aggression of one member of the Council </w:t>
      </w:r>
      <w:r w:rsidR="00D275D7">
        <w:rPr>
          <w:rFonts w:ascii="Garamond" w:hAnsi="Garamond"/>
          <w:sz w:val="24"/>
          <w:szCs w:val="24"/>
        </w:rPr>
        <w:t>against</w:t>
      </w:r>
      <w:r w:rsidR="009E6423">
        <w:rPr>
          <w:rFonts w:ascii="Garamond" w:hAnsi="Garamond"/>
          <w:sz w:val="24"/>
          <w:szCs w:val="24"/>
        </w:rPr>
        <w:t xml:space="preserve"> another </w:t>
      </w:r>
      <w:r w:rsidR="00532E35">
        <w:rPr>
          <w:rFonts w:ascii="Garamond" w:hAnsi="Garamond"/>
          <w:sz w:val="24"/>
          <w:szCs w:val="24"/>
        </w:rPr>
        <w:t>m</w:t>
      </w:r>
      <w:r w:rsidR="009E6423">
        <w:rPr>
          <w:rFonts w:ascii="Garamond" w:hAnsi="Garamond"/>
          <w:sz w:val="24"/>
          <w:szCs w:val="24"/>
        </w:rPr>
        <w:t>ember</w:t>
      </w:r>
      <w:r w:rsidR="00D275D7">
        <w:rPr>
          <w:rFonts w:ascii="Garamond" w:hAnsi="Garamond"/>
          <w:sz w:val="24"/>
          <w:szCs w:val="24"/>
        </w:rPr>
        <w:t>,</w:t>
      </w:r>
      <w:r w:rsidR="009E6423">
        <w:rPr>
          <w:rFonts w:ascii="Garamond" w:hAnsi="Garamond"/>
          <w:sz w:val="24"/>
          <w:szCs w:val="24"/>
        </w:rPr>
        <w:t xml:space="preserve"> which </w:t>
      </w:r>
      <w:r w:rsidR="0084444F">
        <w:rPr>
          <w:rFonts w:ascii="Garamond" w:hAnsi="Garamond"/>
          <w:sz w:val="24"/>
          <w:szCs w:val="24"/>
        </w:rPr>
        <w:t>demonstrates</w:t>
      </w:r>
      <w:r w:rsidR="009E6423">
        <w:rPr>
          <w:rFonts w:ascii="Garamond" w:hAnsi="Garamond"/>
          <w:sz w:val="24"/>
          <w:szCs w:val="24"/>
        </w:rPr>
        <w:t xml:space="preserve"> </w:t>
      </w:r>
      <w:r w:rsidR="001604D2">
        <w:rPr>
          <w:rFonts w:ascii="Garamond" w:hAnsi="Garamond"/>
          <w:sz w:val="24"/>
          <w:szCs w:val="24"/>
        </w:rPr>
        <w:t xml:space="preserve">the </w:t>
      </w:r>
      <w:r w:rsidR="00D275D7">
        <w:rPr>
          <w:rFonts w:ascii="Garamond" w:hAnsi="Garamond"/>
          <w:sz w:val="24"/>
          <w:szCs w:val="24"/>
        </w:rPr>
        <w:t xml:space="preserve">Council’s </w:t>
      </w:r>
      <w:r w:rsidR="009E6423">
        <w:rPr>
          <w:rFonts w:ascii="Garamond" w:hAnsi="Garamond"/>
          <w:sz w:val="24"/>
          <w:szCs w:val="24"/>
        </w:rPr>
        <w:t xml:space="preserve">inability to prevent war. As a result of </w:t>
      </w:r>
      <w:r w:rsidR="001604D2">
        <w:rPr>
          <w:rFonts w:ascii="Garamond" w:hAnsi="Garamond"/>
          <w:sz w:val="24"/>
          <w:szCs w:val="24"/>
        </w:rPr>
        <w:t xml:space="preserve">the </w:t>
      </w:r>
      <w:r w:rsidR="009E6423">
        <w:rPr>
          <w:rFonts w:ascii="Garamond" w:hAnsi="Garamond"/>
          <w:sz w:val="24"/>
          <w:szCs w:val="24"/>
        </w:rPr>
        <w:t xml:space="preserve">negative reaction of the PACE to military occupation, </w:t>
      </w:r>
      <w:r w:rsidR="00BF4150">
        <w:rPr>
          <w:rFonts w:ascii="Garamond" w:hAnsi="Garamond"/>
          <w:sz w:val="24"/>
          <w:szCs w:val="24"/>
        </w:rPr>
        <w:t xml:space="preserve">Russia </w:t>
      </w:r>
      <w:r w:rsidR="00591F70">
        <w:rPr>
          <w:rFonts w:ascii="Garamond" w:hAnsi="Garamond"/>
          <w:sz w:val="24"/>
          <w:szCs w:val="24"/>
        </w:rPr>
        <w:t xml:space="preserve">stopped collaborating with </w:t>
      </w:r>
      <w:r w:rsidR="009E6423">
        <w:rPr>
          <w:rFonts w:ascii="Garamond" w:hAnsi="Garamond"/>
          <w:sz w:val="24"/>
          <w:szCs w:val="24"/>
        </w:rPr>
        <w:t>it</w:t>
      </w:r>
      <w:r w:rsidR="00591F70">
        <w:rPr>
          <w:rFonts w:ascii="Garamond" w:hAnsi="Garamond"/>
          <w:sz w:val="24"/>
          <w:szCs w:val="24"/>
        </w:rPr>
        <w:t xml:space="preserve">. As a </w:t>
      </w:r>
      <w:r w:rsidR="00C7689E">
        <w:rPr>
          <w:rFonts w:ascii="Garamond" w:hAnsi="Garamond"/>
          <w:sz w:val="24"/>
          <w:szCs w:val="24"/>
        </w:rPr>
        <w:t>reaction</w:t>
      </w:r>
      <w:r w:rsidR="00591F70">
        <w:rPr>
          <w:rFonts w:ascii="Garamond" w:hAnsi="Garamond"/>
          <w:sz w:val="24"/>
          <w:szCs w:val="24"/>
        </w:rPr>
        <w:t xml:space="preserve"> to the </w:t>
      </w:r>
      <w:r w:rsidR="00D275D7">
        <w:rPr>
          <w:rFonts w:ascii="Garamond" w:hAnsi="Garamond"/>
          <w:sz w:val="24"/>
          <w:szCs w:val="24"/>
        </w:rPr>
        <w:t xml:space="preserve">subsequent </w:t>
      </w:r>
      <w:r w:rsidR="00591F70">
        <w:rPr>
          <w:rFonts w:ascii="Garamond" w:hAnsi="Garamond"/>
          <w:sz w:val="24"/>
          <w:szCs w:val="24"/>
        </w:rPr>
        <w:t>crisis in Ukraine</w:t>
      </w:r>
      <w:r w:rsidR="00BF4150">
        <w:rPr>
          <w:rFonts w:ascii="Garamond" w:hAnsi="Garamond"/>
          <w:sz w:val="24"/>
          <w:szCs w:val="24"/>
        </w:rPr>
        <w:t>,</w:t>
      </w:r>
      <w:r w:rsidR="00591F70">
        <w:rPr>
          <w:rFonts w:ascii="Garamond" w:hAnsi="Garamond"/>
          <w:sz w:val="24"/>
          <w:szCs w:val="24"/>
        </w:rPr>
        <w:t xml:space="preserve"> the PACE</w:t>
      </w:r>
      <w:r w:rsidR="00591F70" w:rsidRPr="009A1694">
        <w:rPr>
          <w:rFonts w:ascii="Garamond" w:hAnsi="Garamond"/>
          <w:sz w:val="24"/>
          <w:szCs w:val="24"/>
        </w:rPr>
        <w:t xml:space="preserve"> suspended </w:t>
      </w:r>
      <w:r w:rsidR="00591F70">
        <w:rPr>
          <w:rFonts w:ascii="Garamond" w:hAnsi="Garamond"/>
          <w:sz w:val="24"/>
          <w:szCs w:val="24"/>
        </w:rPr>
        <w:t xml:space="preserve">some rights of the Russian Delegation including </w:t>
      </w:r>
      <w:r w:rsidR="00E949FD">
        <w:rPr>
          <w:rFonts w:ascii="Garamond" w:hAnsi="Garamond"/>
          <w:sz w:val="24"/>
          <w:szCs w:val="24"/>
        </w:rPr>
        <w:t xml:space="preserve">the </w:t>
      </w:r>
      <w:r w:rsidR="00591F70">
        <w:rPr>
          <w:rFonts w:ascii="Garamond" w:hAnsi="Garamond"/>
          <w:sz w:val="24"/>
          <w:szCs w:val="24"/>
        </w:rPr>
        <w:t>right to</w:t>
      </w:r>
      <w:r w:rsidR="00591F70" w:rsidRPr="009A1694">
        <w:rPr>
          <w:rFonts w:ascii="Garamond" w:hAnsi="Garamond"/>
          <w:sz w:val="24"/>
          <w:szCs w:val="24"/>
        </w:rPr>
        <w:t xml:space="preserve"> vote </w:t>
      </w:r>
      <w:r w:rsidR="00591F70">
        <w:rPr>
          <w:rFonts w:ascii="Garamond" w:hAnsi="Garamond"/>
          <w:sz w:val="24"/>
          <w:szCs w:val="24"/>
        </w:rPr>
        <w:t>in</w:t>
      </w:r>
      <w:r w:rsidR="00591F70" w:rsidRPr="009A1694">
        <w:rPr>
          <w:rFonts w:ascii="Garamond" w:hAnsi="Garamond"/>
          <w:sz w:val="24"/>
          <w:szCs w:val="24"/>
        </w:rPr>
        <w:t xml:space="preserve"> 2014</w:t>
      </w:r>
      <w:r w:rsidR="00591F70" w:rsidRPr="009A1694">
        <w:rPr>
          <w:rStyle w:val="FootnoteReference"/>
          <w:rFonts w:ascii="Garamond" w:hAnsi="Garamond"/>
          <w:sz w:val="24"/>
          <w:szCs w:val="24"/>
        </w:rPr>
        <w:footnoteReference w:id="53"/>
      </w:r>
      <w:r w:rsidR="00591F70">
        <w:rPr>
          <w:rFonts w:ascii="Garamond" w:hAnsi="Garamond"/>
          <w:sz w:val="24"/>
          <w:szCs w:val="24"/>
        </w:rPr>
        <w:t xml:space="preserve"> and 2015</w:t>
      </w:r>
      <w:r w:rsidR="00591F70" w:rsidRPr="009A1694">
        <w:rPr>
          <w:rFonts w:ascii="Garamond" w:hAnsi="Garamond"/>
          <w:sz w:val="24"/>
          <w:szCs w:val="24"/>
        </w:rPr>
        <w:t>.</w:t>
      </w:r>
      <w:r w:rsidR="00591F70">
        <w:rPr>
          <w:rStyle w:val="FootnoteReference"/>
          <w:rFonts w:ascii="Garamond" w:hAnsi="Garamond"/>
          <w:sz w:val="24"/>
          <w:szCs w:val="24"/>
        </w:rPr>
        <w:footnoteReference w:id="54"/>
      </w:r>
      <w:r w:rsidR="009E6423">
        <w:rPr>
          <w:rFonts w:ascii="Garamond" w:hAnsi="Garamond"/>
          <w:sz w:val="24"/>
          <w:szCs w:val="24"/>
        </w:rPr>
        <w:t xml:space="preserve"> </w:t>
      </w:r>
      <w:r w:rsidR="00591F70">
        <w:rPr>
          <w:rFonts w:ascii="Garamond" w:hAnsi="Garamond"/>
          <w:sz w:val="24"/>
          <w:szCs w:val="24"/>
        </w:rPr>
        <w:t>The Russian Delegation was not</w:t>
      </w:r>
      <w:r w:rsidR="007703D3">
        <w:rPr>
          <w:rFonts w:ascii="Garamond" w:hAnsi="Garamond"/>
          <w:sz w:val="24"/>
          <w:szCs w:val="24"/>
        </w:rPr>
        <w:t>,</w:t>
      </w:r>
      <w:r w:rsidR="00591F70">
        <w:rPr>
          <w:rFonts w:ascii="Garamond" w:hAnsi="Garamond"/>
          <w:sz w:val="24"/>
          <w:szCs w:val="24"/>
        </w:rPr>
        <w:t xml:space="preserve"> however</w:t>
      </w:r>
      <w:r w:rsidR="007703D3">
        <w:rPr>
          <w:rFonts w:ascii="Garamond" w:hAnsi="Garamond"/>
          <w:sz w:val="24"/>
          <w:szCs w:val="24"/>
        </w:rPr>
        <w:t>,</w:t>
      </w:r>
      <w:r w:rsidR="00591F70">
        <w:rPr>
          <w:rFonts w:ascii="Garamond" w:hAnsi="Garamond"/>
          <w:sz w:val="24"/>
          <w:szCs w:val="24"/>
        </w:rPr>
        <w:t xml:space="preserve"> expelled from the PACE. The members of the delegation could still participate in certain areas of work of the PACE. </w:t>
      </w:r>
      <w:r w:rsidR="00532E35">
        <w:rPr>
          <w:rFonts w:ascii="Garamond" w:hAnsi="Garamond"/>
          <w:sz w:val="24"/>
          <w:szCs w:val="24"/>
        </w:rPr>
        <w:t>T</w:t>
      </w:r>
      <w:r w:rsidR="00591F70">
        <w:rPr>
          <w:rFonts w:ascii="Garamond" w:hAnsi="Garamond"/>
          <w:sz w:val="24"/>
          <w:szCs w:val="24"/>
        </w:rPr>
        <w:t xml:space="preserve">he PACE </w:t>
      </w:r>
      <w:r w:rsidR="00D275D7">
        <w:rPr>
          <w:rFonts w:ascii="Garamond" w:hAnsi="Garamond"/>
          <w:sz w:val="24"/>
          <w:szCs w:val="24"/>
        </w:rPr>
        <w:t>did</w:t>
      </w:r>
      <w:r w:rsidR="00591F70">
        <w:rPr>
          <w:rFonts w:ascii="Garamond" w:hAnsi="Garamond"/>
          <w:sz w:val="24"/>
          <w:szCs w:val="24"/>
        </w:rPr>
        <w:t xml:space="preserve"> not revoke the credentials of the Russian Delegation</w:t>
      </w:r>
      <w:r w:rsidR="00CE0003">
        <w:rPr>
          <w:rFonts w:ascii="Garamond" w:hAnsi="Garamond"/>
          <w:sz w:val="24"/>
          <w:szCs w:val="24"/>
        </w:rPr>
        <w:t xml:space="preserve"> </w:t>
      </w:r>
      <w:r w:rsidR="00F87710">
        <w:rPr>
          <w:rFonts w:ascii="Garamond" w:hAnsi="Garamond"/>
          <w:sz w:val="24"/>
          <w:szCs w:val="24"/>
        </w:rPr>
        <w:t xml:space="preserve">in </w:t>
      </w:r>
      <w:r w:rsidR="00E949FD">
        <w:rPr>
          <w:rFonts w:ascii="Garamond" w:hAnsi="Garamond"/>
          <w:sz w:val="24"/>
          <w:szCs w:val="24"/>
        </w:rPr>
        <w:t>2015</w:t>
      </w:r>
      <w:r w:rsidR="00257D2D">
        <w:rPr>
          <w:rFonts w:ascii="Garamond" w:hAnsi="Garamond"/>
          <w:sz w:val="24"/>
          <w:szCs w:val="24"/>
        </w:rPr>
        <w:t>, in other words the rights to representation were not suspended</w:t>
      </w:r>
      <w:r w:rsidR="00591F70">
        <w:rPr>
          <w:rFonts w:ascii="Garamond" w:hAnsi="Garamond"/>
          <w:sz w:val="24"/>
          <w:szCs w:val="24"/>
        </w:rPr>
        <w:t xml:space="preserve">. </w:t>
      </w:r>
      <w:r w:rsidR="00F87710">
        <w:rPr>
          <w:rFonts w:ascii="Garamond" w:hAnsi="Garamond"/>
          <w:sz w:val="24"/>
          <w:szCs w:val="24"/>
        </w:rPr>
        <w:t xml:space="preserve">Pursuant </w:t>
      </w:r>
      <w:r w:rsidR="001604D2">
        <w:rPr>
          <w:rFonts w:ascii="Garamond" w:hAnsi="Garamond"/>
          <w:sz w:val="24"/>
          <w:szCs w:val="24"/>
        </w:rPr>
        <w:t>to</w:t>
      </w:r>
      <w:r w:rsidR="00F87710">
        <w:rPr>
          <w:rFonts w:ascii="Garamond" w:hAnsi="Garamond"/>
          <w:sz w:val="24"/>
          <w:szCs w:val="24"/>
        </w:rPr>
        <w:t xml:space="preserve"> its internal procedures, t</w:t>
      </w:r>
      <w:r w:rsidR="00E949FD">
        <w:rPr>
          <w:rFonts w:ascii="Garamond" w:hAnsi="Garamond"/>
          <w:sz w:val="24"/>
          <w:szCs w:val="24"/>
        </w:rPr>
        <w:t xml:space="preserve">he PACE has to ratify the credential of delegations from all </w:t>
      </w:r>
      <w:r w:rsidR="00AA264D">
        <w:rPr>
          <w:rFonts w:ascii="Garamond" w:hAnsi="Garamond"/>
          <w:sz w:val="24"/>
          <w:szCs w:val="24"/>
        </w:rPr>
        <w:t>member state</w:t>
      </w:r>
      <w:r w:rsidR="00E949FD">
        <w:rPr>
          <w:rFonts w:ascii="Garamond" w:hAnsi="Garamond"/>
          <w:sz w:val="24"/>
          <w:szCs w:val="24"/>
        </w:rPr>
        <w:t xml:space="preserve">s annually. </w:t>
      </w:r>
      <w:r w:rsidR="00591F70">
        <w:rPr>
          <w:rFonts w:ascii="Garamond" w:hAnsi="Garamond"/>
          <w:sz w:val="24"/>
          <w:szCs w:val="24"/>
        </w:rPr>
        <w:t xml:space="preserve">Since Russia failed to comply with the </w:t>
      </w:r>
      <w:r w:rsidR="00E949FD">
        <w:rPr>
          <w:rFonts w:ascii="Garamond" w:hAnsi="Garamond"/>
          <w:sz w:val="24"/>
          <w:szCs w:val="24"/>
        </w:rPr>
        <w:t>resolution</w:t>
      </w:r>
      <w:r w:rsidR="00591F70">
        <w:rPr>
          <w:rFonts w:ascii="Garamond" w:hAnsi="Garamond"/>
          <w:sz w:val="24"/>
          <w:szCs w:val="24"/>
        </w:rPr>
        <w:t xml:space="preserve"> of the PACE </w:t>
      </w:r>
      <w:r w:rsidR="00E949FD">
        <w:rPr>
          <w:rFonts w:ascii="Garamond" w:hAnsi="Garamond"/>
          <w:sz w:val="24"/>
          <w:szCs w:val="24"/>
        </w:rPr>
        <w:t>in 2015</w:t>
      </w:r>
      <w:r w:rsidR="007703D3">
        <w:rPr>
          <w:rFonts w:ascii="Garamond" w:hAnsi="Garamond"/>
          <w:sz w:val="24"/>
          <w:szCs w:val="24"/>
        </w:rPr>
        <w:t xml:space="preserve">, there was a </w:t>
      </w:r>
      <w:r w:rsidR="00E949FD">
        <w:rPr>
          <w:rFonts w:ascii="Garamond" w:hAnsi="Garamond"/>
          <w:sz w:val="24"/>
          <w:szCs w:val="24"/>
        </w:rPr>
        <w:t xml:space="preserve">high </w:t>
      </w:r>
      <w:r w:rsidR="007703D3">
        <w:rPr>
          <w:rFonts w:ascii="Garamond" w:hAnsi="Garamond"/>
          <w:sz w:val="24"/>
          <w:szCs w:val="24"/>
        </w:rPr>
        <w:t>probability</w:t>
      </w:r>
      <w:r w:rsidR="00CE0003">
        <w:rPr>
          <w:rFonts w:ascii="Garamond" w:hAnsi="Garamond"/>
          <w:sz w:val="24"/>
          <w:szCs w:val="24"/>
        </w:rPr>
        <w:t xml:space="preserve"> </w:t>
      </w:r>
      <w:r w:rsidR="007703D3">
        <w:rPr>
          <w:rFonts w:ascii="Garamond" w:hAnsi="Garamond"/>
          <w:sz w:val="24"/>
          <w:szCs w:val="24"/>
        </w:rPr>
        <w:t>the PACE</w:t>
      </w:r>
      <w:r w:rsidR="00591F70">
        <w:rPr>
          <w:rFonts w:ascii="Garamond" w:hAnsi="Garamond"/>
          <w:sz w:val="24"/>
          <w:szCs w:val="24"/>
        </w:rPr>
        <w:t xml:space="preserve"> would not ratify the credentials of the Russian Delegation in 2016. In</w:t>
      </w:r>
      <w:r w:rsidR="007703D3">
        <w:rPr>
          <w:rFonts w:ascii="Garamond" w:hAnsi="Garamond"/>
          <w:sz w:val="24"/>
          <w:szCs w:val="24"/>
        </w:rPr>
        <w:t xml:space="preserve"> order to avoid this potential humiliation</w:t>
      </w:r>
      <w:r w:rsidR="00591F70">
        <w:rPr>
          <w:rFonts w:ascii="Garamond" w:hAnsi="Garamond"/>
          <w:sz w:val="24"/>
          <w:szCs w:val="24"/>
        </w:rPr>
        <w:t>, the Russian authorities decided not to submit these credentials for ratification at all</w:t>
      </w:r>
      <w:r w:rsidR="00257D2D">
        <w:rPr>
          <w:rFonts w:ascii="Garamond" w:hAnsi="Garamond"/>
          <w:sz w:val="24"/>
          <w:szCs w:val="24"/>
        </w:rPr>
        <w:t xml:space="preserve"> which effectively led to a self-induced suspension of representation in the PACE</w:t>
      </w:r>
      <w:r w:rsidR="00591F70">
        <w:rPr>
          <w:rFonts w:ascii="Garamond" w:hAnsi="Garamond"/>
          <w:sz w:val="24"/>
          <w:szCs w:val="24"/>
        </w:rPr>
        <w:t>.</w:t>
      </w:r>
      <w:r w:rsidR="00591F70">
        <w:rPr>
          <w:rStyle w:val="FootnoteReference"/>
          <w:rFonts w:ascii="Garamond" w:hAnsi="Garamond"/>
          <w:sz w:val="24"/>
          <w:szCs w:val="24"/>
        </w:rPr>
        <w:footnoteReference w:id="55"/>
      </w:r>
      <w:r w:rsidR="00591F70">
        <w:rPr>
          <w:rFonts w:ascii="Garamond" w:hAnsi="Garamond"/>
          <w:sz w:val="24"/>
          <w:szCs w:val="24"/>
        </w:rPr>
        <w:t xml:space="preserve"> </w:t>
      </w:r>
      <w:r w:rsidR="00257D2D">
        <w:rPr>
          <w:rFonts w:ascii="Garamond" w:hAnsi="Garamond"/>
          <w:sz w:val="24"/>
          <w:szCs w:val="24"/>
        </w:rPr>
        <w:t>The credentials were not presented</w:t>
      </w:r>
      <w:r w:rsidR="00591F70">
        <w:rPr>
          <w:rFonts w:ascii="Garamond" w:hAnsi="Garamond"/>
          <w:sz w:val="24"/>
          <w:szCs w:val="24"/>
        </w:rPr>
        <w:t xml:space="preserve"> in 2017 </w:t>
      </w:r>
      <w:r w:rsidR="004A775B">
        <w:rPr>
          <w:rFonts w:ascii="Garamond" w:hAnsi="Garamond"/>
          <w:sz w:val="24"/>
          <w:szCs w:val="24"/>
        </w:rPr>
        <w:t>or again</w:t>
      </w:r>
      <w:r w:rsidR="00591F70">
        <w:rPr>
          <w:rFonts w:ascii="Garamond" w:hAnsi="Garamond"/>
          <w:sz w:val="24"/>
          <w:szCs w:val="24"/>
        </w:rPr>
        <w:t xml:space="preserve"> in 2018. It means that the Russian </w:t>
      </w:r>
      <w:r w:rsidR="00E949FD">
        <w:rPr>
          <w:rFonts w:ascii="Garamond" w:hAnsi="Garamond"/>
          <w:sz w:val="24"/>
          <w:szCs w:val="24"/>
        </w:rPr>
        <w:t xml:space="preserve">authorities </w:t>
      </w:r>
      <w:r w:rsidR="00591F70">
        <w:rPr>
          <w:rFonts w:ascii="Garamond" w:hAnsi="Garamond"/>
          <w:sz w:val="24"/>
          <w:szCs w:val="24"/>
        </w:rPr>
        <w:t xml:space="preserve">stopped participating in the PACE </w:t>
      </w:r>
      <w:r w:rsidR="007703D3">
        <w:rPr>
          <w:rFonts w:ascii="Garamond" w:hAnsi="Garamond"/>
          <w:sz w:val="24"/>
          <w:szCs w:val="24"/>
        </w:rPr>
        <w:t xml:space="preserve">of </w:t>
      </w:r>
      <w:r w:rsidR="009E6423">
        <w:rPr>
          <w:rFonts w:ascii="Garamond" w:hAnsi="Garamond"/>
          <w:sz w:val="24"/>
          <w:szCs w:val="24"/>
        </w:rPr>
        <w:t>their</w:t>
      </w:r>
      <w:r w:rsidR="007703D3">
        <w:rPr>
          <w:rFonts w:ascii="Garamond" w:hAnsi="Garamond"/>
          <w:sz w:val="24"/>
          <w:szCs w:val="24"/>
        </w:rPr>
        <w:t xml:space="preserve"> own volition.</w:t>
      </w:r>
      <w:r w:rsidR="007D461C">
        <w:rPr>
          <w:rStyle w:val="FootnoteReference"/>
          <w:rFonts w:ascii="Garamond" w:hAnsi="Garamond"/>
          <w:sz w:val="24"/>
          <w:szCs w:val="24"/>
        </w:rPr>
        <w:footnoteReference w:id="56"/>
      </w:r>
      <w:r w:rsidR="006D1058">
        <w:rPr>
          <w:rFonts w:ascii="Garamond" w:hAnsi="Garamond"/>
          <w:sz w:val="24"/>
          <w:szCs w:val="24"/>
        </w:rPr>
        <w:t xml:space="preserve"> </w:t>
      </w:r>
    </w:p>
    <w:p w14:paraId="650E906E" w14:textId="36BDB4B2" w:rsidR="00000C3B" w:rsidRPr="004943DC" w:rsidRDefault="00257D2D">
      <w:pPr>
        <w:spacing w:line="240" w:lineRule="auto"/>
        <w:jc w:val="both"/>
        <w:rPr>
          <w:rFonts w:ascii="Garamond" w:hAnsi="Garamond"/>
          <w:b/>
          <w:sz w:val="24"/>
          <w:szCs w:val="24"/>
        </w:rPr>
      </w:pPr>
      <w:r w:rsidRPr="004943DC">
        <w:rPr>
          <w:rFonts w:ascii="Garamond" w:hAnsi="Garamond"/>
          <w:b/>
          <w:sz w:val="24"/>
          <w:szCs w:val="24"/>
        </w:rPr>
        <w:t>4.2.2 Failure to Fulfil Financial Obligations</w:t>
      </w:r>
    </w:p>
    <w:p w14:paraId="7AC7C87D" w14:textId="39E45CBB" w:rsidR="00AB5935" w:rsidRPr="009A1694" w:rsidRDefault="00157A2A">
      <w:pPr>
        <w:spacing w:line="240" w:lineRule="auto"/>
        <w:jc w:val="both"/>
        <w:rPr>
          <w:rFonts w:ascii="Garamond" w:hAnsi="Garamond"/>
          <w:sz w:val="24"/>
          <w:szCs w:val="24"/>
        </w:rPr>
      </w:pPr>
      <w:r w:rsidRPr="009A1694">
        <w:rPr>
          <w:rFonts w:ascii="Garamond" w:hAnsi="Garamond"/>
          <w:sz w:val="24"/>
          <w:szCs w:val="24"/>
        </w:rPr>
        <w:t xml:space="preserve">In order to fulfil its statutory aims the </w:t>
      </w:r>
      <w:r w:rsidR="0026418C">
        <w:rPr>
          <w:rFonts w:ascii="Garamond" w:hAnsi="Garamond"/>
          <w:sz w:val="24"/>
          <w:szCs w:val="24"/>
        </w:rPr>
        <w:t xml:space="preserve">CoE </w:t>
      </w:r>
      <w:r w:rsidRPr="009A1694">
        <w:rPr>
          <w:rFonts w:ascii="Garamond" w:hAnsi="Garamond"/>
          <w:sz w:val="24"/>
          <w:szCs w:val="24"/>
        </w:rPr>
        <w:t xml:space="preserve">needs financial resources. </w:t>
      </w:r>
      <w:r w:rsidR="009130B8" w:rsidRPr="009A1694">
        <w:rPr>
          <w:rFonts w:ascii="Garamond" w:hAnsi="Garamond"/>
          <w:sz w:val="24"/>
          <w:szCs w:val="24"/>
        </w:rPr>
        <w:t xml:space="preserve">Its budget is formed through the contributions of the </w:t>
      </w:r>
      <w:r w:rsidR="00AA264D">
        <w:rPr>
          <w:rFonts w:ascii="Garamond" w:hAnsi="Garamond"/>
          <w:sz w:val="24"/>
          <w:szCs w:val="24"/>
        </w:rPr>
        <w:t>member state</w:t>
      </w:r>
      <w:r w:rsidR="009130B8" w:rsidRPr="009A1694">
        <w:rPr>
          <w:rFonts w:ascii="Garamond" w:hAnsi="Garamond"/>
          <w:sz w:val="24"/>
          <w:szCs w:val="24"/>
        </w:rPr>
        <w:t>s</w:t>
      </w:r>
      <w:r w:rsidR="007703D3">
        <w:rPr>
          <w:rFonts w:ascii="Garamond" w:hAnsi="Garamond"/>
          <w:sz w:val="24"/>
          <w:szCs w:val="24"/>
        </w:rPr>
        <w:t>; this</w:t>
      </w:r>
      <w:r w:rsidR="009130B8" w:rsidRPr="009A1694">
        <w:rPr>
          <w:rFonts w:ascii="Garamond" w:hAnsi="Garamond"/>
          <w:sz w:val="24"/>
          <w:szCs w:val="24"/>
        </w:rPr>
        <w:t xml:space="preserve"> is calculated through a special formula which takes into account </w:t>
      </w:r>
      <w:r w:rsidR="00E149EF">
        <w:rPr>
          <w:rFonts w:ascii="Garamond" w:hAnsi="Garamond"/>
          <w:sz w:val="24"/>
          <w:szCs w:val="24"/>
        </w:rPr>
        <w:t xml:space="preserve">the </w:t>
      </w:r>
      <w:r w:rsidR="009130B8" w:rsidRPr="009A1694">
        <w:rPr>
          <w:rFonts w:ascii="Garamond" w:hAnsi="Garamond"/>
          <w:sz w:val="24"/>
          <w:szCs w:val="24"/>
        </w:rPr>
        <w:t xml:space="preserve">population and GDP of the country concerned. </w:t>
      </w:r>
      <w:r w:rsidR="00AB5935" w:rsidRPr="009A1694">
        <w:rPr>
          <w:rFonts w:ascii="Garamond" w:hAnsi="Garamond"/>
          <w:sz w:val="24"/>
          <w:szCs w:val="24"/>
        </w:rPr>
        <w:t>In 201</w:t>
      </w:r>
      <w:r w:rsidR="00E149EF">
        <w:rPr>
          <w:rFonts w:ascii="Garamond" w:hAnsi="Garamond"/>
          <w:sz w:val="24"/>
          <w:szCs w:val="24"/>
        </w:rPr>
        <w:t>8</w:t>
      </w:r>
      <w:r w:rsidR="00AB5935" w:rsidRPr="009A1694">
        <w:rPr>
          <w:rFonts w:ascii="Garamond" w:hAnsi="Garamond"/>
          <w:sz w:val="24"/>
          <w:szCs w:val="24"/>
        </w:rPr>
        <w:t xml:space="preserve">, the budget of the </w:t>
      </w:r>
      <w:r w:rsidR="0026418C">
        <w:rPr>
          <w:rFonts w:ascii="Garamond" w:hAnsi="Garamond"/>
          <w:sz w:val="24"/>
          <w:szCs w:val="24"/>
        </w:rPr>
        <w:t xml:space="preserve">CoE </w:t>
      </w:r>
      <w:r w:rsidR="00AB5935" w:rsidRPr="009A1694">
        <w:rPr>
          <w:rFonts w:ascii="Garamond" w:hAnsi="Garamond"/>
          <w:sz w:val="24"/>
          <w:szCs w:val="24"/>
        </w:rPr>
        <w:t xml:space="preserve">was slightly over </w:t>
      </w:r>
      <w:r w:rsidR="00E149EF">
        <w:rPr>
          <w:rFonts w:ascii="Garamond" w:hAnsi="Garamond"/>
          <w:sz w:val="24"/>
          <w:szCs w:val="24"/>
        </w:rPr>
        <w:t>€</w:t>
      </w:r>
      <w:r w:rsidR="00AB5935" w:rsidRPr="009A1694">
        <w:rPr>
          <w:rFonts w:ascii="Garamond" w:hAnsi="Garamond"/>
          <w:sz w:val="24"/>
          <w:szCs w:val="24"/>
        </w:rPr>
        <w:t>4</w:t>
      </w:r>
      <w:r w:rsidR="00E149EF">
        <w:rPr>
          <w:rFonts w:ascii="Garamond" w:hAnsi="Garamond"/>
          <w:sz w:val="24"/>
          <w:szCs w:val="24"/>
        </w:rPr>
        <w:t>66</w:t>
      </w:r>
      <w:r w:rsidR="00AB5935" w:rsidRPr="009A1694">
        <w:rPr>
          <w:rFonts w:ascii="Garamond" w:hAnsi="Garamond"/>
          <w:sz w:val="24"/>
          <w:szCs w:val="24"/>
        </w:rPr>
        <w:t xml:space="preserve"> million </w:t>
      </w:r>
      <w:r w:rsidR="009D135F" w:rsidRPr="009A1694">
        <w:rPr>
          <w:rFonts w:ascii="Garamond" w:hAnsi="Garamond"/>
          <w:sz w:val="24"/>
          <w:szCs w:val="24"/>
        </w:rPr>
        <w:t xml:space="preserve">of which </w:t>
      </w:r>
      <w:r w:rsidR="004A775B">
        <w:rPr>
          <w:rFonts w:ascii="Garamond" w:hAnsi="Garamond"/>
          <w:sz w:val="24"/>
          <w:szCs w:val="24"/>
        </w:rPr>
        <w:t>the</w:t>
      </w:r>
      <w:r w:rsidR="009D135F" w:rsidRPr="009A1694">
        <w:rPr>
          <w:rFonts w:ascii="Garamond" w:hAnsi="Garamond"/>
          <w:sz w:val="24"/>
          <w:szCs w:val="24"/>
        </w:rPr>
        <w:t xml:space="preserve"> ordinary budget</w:t>
      </w:r>
      <w:r w:rsidR="000258CC">
        <w:rPr>
          <w:rStyle w:val="FootnoteReference"/>
          <w:rFonts w:ascii="Garamond" w:hAnsi="Garamond"/>
          <w:sz w:val="24"/>
          <w:szCs w:val="24"/>
        </w:rPr>
        <w:footnoteReference w:id="57"/>
      </w:r>
      <w:r w:rsidR="009D135F" w:rsidRPr="009A1694">
        <w:rPr>
          <w:rFonts w:ascii="Garamond" w:hAnsi="Garamond"/>
          <w:sz w:val="24"/>
          <w:szCs w:val="24"/>
        </w:rPr>
        <w:t xml:space="preserve"> is </w:t>
      </w:r>
      <w:r w:rsidR="00E149EF">
        <w:rPr>
          <w:rFonts w:ascii="Garamond" w:hAnsi="Garamond"/>
          <w:sz w:val="24"/>
          <w:szCs w:val="24"/>
        </w:rPr>
        <w:t>approximately</w:t>
      </w:r>
      <w:r w:rsidR="006F6BC0">
        <w:rPr>
          <w:rFonts w:ascii="Garamond" w:hAnsi="Garamond"/>
          <w:sz w:val="24"/>
          <w:szCs w:val="24"/>
        </w:rPr>
        <w:t xml:space="preserve"> </w:t>
      </w:r>
      <w:r w:rsidR="00E149EF">
        <w:rPr>
          <w:rFonts w:ascii="Garamond" w:hAnsi="Garamond"/>
          <w:sz w:val="24"/>
          <w:szCs w:val="24"/>
        </w:rPr>
        <w:t>€</w:t>
      </w:r>
      <w:r w:rsidR="009D135F" w:rsidRPr="009A1694">
        <w:rPr>
          <w:rFonts w:ascii="Garamond" w:hAnsi="Garamond"/>
          <w:sz w:val="24"/>
          <w:szCs w:val="24"/>
        </w:rPr>
        <w:t>260 million</w:t>
      </w:r>
      <w:r w:rsidR="00AB5935" w:rsidRPr="009A1694">
        <w:rPr>
          <w:rFonts w:ascii="Garamond" w:hAnsi="Garamond"/>
          <w:sz w:val="24"/>
          <w:szCs w:val="24"/>
        </w:rPr>
        <w:t>.</w:t>
      </w:r>
      <w:r w:rsidR="00AB5935" w:rsidRPr="009A1694">
        <w:rPr>
          <w:rStyle w:val="FootnoteReference"/>
          <w:rFonts w:ascii="Garamond" w:hAnsi="Garamond"/>
          <w:sz w:val="24"/>
          <w:szCs w:val="24"/>
        </w:rPr>
        <w:footnoteReference w:id="58"/>
      </w:r>
      <w:r w:rsidR="006F6BC0">
        <w:rPr>
          <w:rFonts w:ascii="Garamond" w:hAnsi="Garamond"/>
          <w:sz w:val="24"/>
          <w:szCs w:val="24"/>
        </w:rPr>
        <w:t xml:space="preserve"> </w:t>
      </w:r>
      <w:r w:rsidR="00AB5935" w:rsidRPr="009A1694">
        <w:rPr>
          <w:rFonts w:ascii="Garamond" w:hAnsi="Garamond"/>
          <w:sz w:val="24"/>
          <w:szCs w:val="24"/>
        </w:rPr>
        <w:t>To compare</w:t>
      </w:r>
      <w:r w:rsidR="000258CC">
        <w:rPr>
          <w:rFonts w:ascii="Garamond" w:hAnsi="Garamond"/>
          <w:sz w:val="24"/>
          <w:szCs w:val="24"/>
        </w:rPr>
        <w:t>,</w:t>
      </w:r>
      <w:r w:rsidR="00AB5935" w:rsidRPr="009A1694">
        <w:rPr>
          <w:rFonts w:ascii="Garamond" w:hAnsi="Garamond"/>
          <w:sz w:val="24"/>
          <w:szCs w:val="24"/>
        </w:rPr>
        <w:t xml:space="preserve"> the annual budget of the Court of Justice of the European Union</w:t>
      </w:r>
      <w:r w:rsidR="000258CC">
        <w:rPr>
          <w:rFonts w:ascii="Garamond" w:hAnsi="Garamond"/>
          <w:sz w:val="24"/>
          <w:szCs w:val="24"/>
        </w:rPr>
        <w:t xml:space="preserve"> (CJEU)</w:t>
      </w:r>
      <w:r w:rsidR="00AB5935" w:rsidRPr="009A1694">
        <w:rPr>
          <w:rFonts w:ascii="Garamond" w:hAnsi="Garamond"/>
          <w:sz w:val="24"/>
          <w:szCs w:val="24"/>
        </w:rPr>
        <w:t xml:space="preserve"> is almost </w:t>
      </w:r>
      <w:r w:rsidR="00E149EF">
        <w:rPr>
          <w:rFonts w:ascii="Garamond" w:hAnsi="Garamond"/>
          <w:sz w:val="24"/>
          <w:szCs w:val="24"/>
        </w:rPr>
        <w:t>€</w:t>
      </w:r>
      <w:r w:rsidR="00AB5935" w:rsidRPr="009A1694">
        <w:rPr>
          <w:rFonts w:ascii="Garamond" w:hAnsi="Garamond"/>
          <w:sz w:val="24"/>
          <w:szCs w:val="24"/>
        </w:rPr>
        <w:t xml:space="preserve">400 </w:t>
      </w:r>
      <w:r w:rsidR="00AB5935" w:rsidRPr="009A1694">
        <w:rPr>
          <w:rFonts w:ascii="Garamond" w:hAnsi="Garamond"/>
          <w:sz w:val="24"/>
          <w:szCs w:val="24"/>
        </w:rPr>
        <w:lastRenderedPageBreak/>
        <w:t>millio</w:t>
      </w:r>
      <w:r w:rsidR="00E149EF">
        <w:rPr>
          <w:rFonts w:ascii="Garamond" w:hAnsi="Garamond"/>
          <w:sz w:val="24"/>
          <w:szCs w:val="24"/>
        </w:rPr>
        <w:t>n</w:t>
      </w:r>
      <w:r w:rsidR="00AB5935" w:rsidRPr="009A1694">
        <w:rPr>
          <w:rFonts w:ascii="Garamond" w:hAnsi="Garamond"/>
          <w:sz w:val="24"/>
          <w:szCs w:val="24"/>
        </w:rPr>
        <w:t>.</w:t>
      </w:r>
      <w:r w:rsidR="00996A1C">
        <w:rPr>
          <w:rStyle w:val="FootnoteReference"/>
          <w:rFonts w:ascii="Garamond" w:hAnsi="Garamond"/>
          <w:sz w:val="24"/>
          <w:szCs w:val="24"/>
        </w:rPr>
        <w:footnoteReference w:id="59"/>
      </w:r>
      <w:r w:rsidR="00AB5935" w:rsidRPr="009A1694">
        <w:rPr>
          <w:rFonts w:ascii="Garamond" w:hAnsi="Garamond"/>
          <w:sz w:val="24"/>
          <w:szCs w:val="24"/>
        </w:rPr>
        <w:t xml:space="preserve"> </w:t>
      </w:r>
      <w:r w:rsidR="00E149EF">
        <w:rPr>
          <w:rFonts w:ascii="Garamond" w:hAnsi="Garamond"/>
          <w:sz w:val="24"/>
          <w:szCs w:val="24"/>
        </w:rPr>
        <w:t xml:space="preserve">In contrast, the operation of the </w:t>
      </w:r>
      <w:r w:rsidR="00F87710">
        <w:rPr>
          <w:rFonts w:ascii="Garamond" w:hAnsi="Garamond"/>
          <w:sz w:val="24"/>
          <w:szCs w:val="24"/>
        </w:rPr>
        <w:t>ECtHR</w:t>
      </w:r>
      <w:r w:rsidR="00E149EF">
        <w:rPr>
          <w:rFonts w:ascii="Garamond" w:hAnsi="Garamond"/>
          <w:sz w:val="24"/>
          <w:szCs w:val="24"/>
        </w:rPr>
        <w:t xml:space="preserve">, including the execution of its judgments, amounts to almost </w:t>
      </w:r>
      <w:r w:rsidR="00226480">
        <w:rPr>
          <w:rFonts w:ascii="Garamond" w:hAnsi="Garamond"/>
          <w:sz w:val="24"/>
          <w:szCs w:val="24"/>
        </w:rPr>
        <w:t xml:space="preserve">€78 million or less than a quarter of </w:t>
      </w:r>
      <w:r w:rsidR="001604D2">
        <w:rPr>
          <w:rFonts w:ascii="Garamond" w:hAnsi="Garamond"/>
          <w:sz w:val="24"/>
          <w:szCs w:val="24"/>
        </w:rPr>
        <w:t>its</w:t>
      </w:r>
      <w:r w:rsidR="00226480">
        <w:rPr>
          <w:rFonts w:ascii="Garamond" w:hAnsi="Garamond"/>
          <w:sz w:val="24"/>
          <w:szCs w:val="24"/>
        </w:rPr>
        <w:t xml:space="preserve"> EU counterpart.</w:t>
      </w:r>
      <w:r w:rsidR="00226480">
        <w:rPr>
          <w:rStyle w:val="FootnoteReference"/>
          <w:rFonts w:ascii="Garamond" w:hAnsi="Garamond"/>
          <w:sz w:val="24"/>
          <w:szCs w:val="24"/>
        </w:rPr>
        <w:footnoteReference w:id="60"/>
      </w:r>
      <w:r w:rsidR="00226480">
        <w:rPr>
          <w:rFonts w:ascii="Garamond" w:hAnsi="Garamond"/>
          <w:sz w:val="24"/>
          <w:szCs w:val="24"/>
        </w:rPr>
        <w:t xml:space="preserve"> Comparatively speaking, therefore, the budget of the </w:t>
      </w:r>
      <w:r w:rsidR="0026418C">
        <w:rPr>
          <w:rFonts w:ascii="Garamond" w:hAnsi="Garamond"/>
          <w:sz w:val="24"/>
          <w:szCs w:val="24"/>
        </w:rPr>
        <w:t xml:space="preserve">CoE </w:t>
      </w:r>
      <w:r w:rsidR="00226480">
        <w:rPr>
          <w:rFonts w:ascii="Garamond" w:hAnsi="Garamond"/>
          <w:sz w:val="24"/>
          <w:szCs w:val="24"/>
        </w:rPr>
        <w:t xml:space="preserve">seems </w:t>
      </w:r>
      <w:r w:rsidR="00F87710">
        <w:rPr>
          <w:rFonts w:ascii="Garamond" w:hAnsi="Garamond"/>
          <w:sz w:val="24"/>
          <w:szCs w:val="24"/>
        </w:rPr>
        <w:t xml:space="preserve">quite </w:t>
      </w:r>
      <w:r w:rsidR="00226480">
        <w:rPr>
          <w:rFonts w:ascii="Garamond" w:hAnsi="Garamond"/>
          <w:sz w:val="24"/>
          <w:szCs w:val="24"/>
        </w:rPr>
        <w:t xml:space="preserve">limited. Notwithstanding this relative parsimony, </w:t>
      </w:r>
      <w:r w:rsidR="00AB5935" w:rsidRPr="009A1694">
        <w:rPr>
          <w:rFonts w:ascii="Garamond" w:hAnsi="Garamond"/>
          <w:sz w:val="24"/>
          <w:szCs w:val="24"/>
        </w:rPr>
        <w:t xml:space="preserve">in recent years some </w:t>
      </w:r>
      <w:r w:rsidR="00AA264D">
        <w:rPr>
          <w:rFonts w:ascii="Garamond" w:hAnsi="Garamond"/>
          <w:sz w:val="24"/>
          <w:szCs w:val="24"/>
        </w:rPr>
        <w:t>member state</w:t>
      </w:r>
      <w:r w:rsidR="00AB5935" w:rsidRPr="009A1694">
        <w:rPr>
          <w:rFonts w:ascii="Garamond" w:hAnsi="Garamond"/>
          <w:sz w:val="24"/>
          <w:szCs w:val="24"/>
        </w:rPr>
        <w:t xml:space="preserve">s adopted a practice of financial </w:t>
      </w:r>
      <w:r w:rsidR="00226480">
        <w:rPr>
          <w:rFonts w:ascii="Garamond" w:hAnsi="Garamond"/>
          <w:sz w:val="24"/>
          <w:szCs w:val="24"/>
        </w:rPr>
        <w:t>recalcitrance</w:t>
      </w:r>
      <w:r w:rsidR="00CE0003">
        <w:rPr>
          <w:rFonts w:ascii="Garamond" w:hAnsi="Garamond"/>
          <w:sz w:val="24"/>
          <w:szCs w:val="24"/>
        </w:rPr>
        <w:t xml:space="preserve"> </w:t>
      </w:r>
      <w:r w:rsidR="0021437B">
        <w:rPr>
          <w:rFonts w:ascii="Garamond" w:hAnsi="Garamond"/>
          <w:sz w:val="24"/>
          <w:szCs w:val="24"/>
        </w:rPr>
        <w:t>towards</w:t>
      </w:r>
      <w:r w:rsidR="00AB5935" w:rsidRPr="009A1694">
        <w:rPr>
          <w:rFonts w:ascii="Garamond" w:hAnsi="Garamond"/>
          <w:sz w:val="24"/>
          <w:szCs w:val="24"/>
        </w:rPr>
        <w:t xml:space="preserve"> the </w:t>
      </w:r>
      <w:r w:rsidR="00202CB4">
        <w:rPr>
          <w:rFonts w:ascii="Garamond" w:hAnsi="Garamond"/>
          <w:sz w:val="24"/>
          <w:szCs w:val="24"/>
        </w:rPr>
        <w:t>CoE</w:t>
      </w:r>
      <w:r w:rsidR="00AB5935" w:rsidRPr="009A1694">
        <w:rPr>
          <w:rFonts w:ascii="Garamond" w:hAnsi="Garamond"/>
          <w:sz w:val="24"/>
          <w:szCs w:val="24"/>
        </w:rPr>
        <w:t xml:space="preserve">. </w:t>
      </w:r>
      <w:r w:rsidR="00FC5195">
        <w:rPr>
          <w:rFonts w:ascii="Garamond" w:hAnsi="Garamond"/>
          <w:sz w:val="24"/>
          <w:szCs w:val="24"/>
        </w:rPr>
        <w:t>T</w:t>
      </w:r>
      <w:r w:rsidR="00AB5935" w:rsidRPr="009A1694">
        <w:rPr>
          <w:rFonts w:ascii="Garamond" w:hAnsi="Garamond"/>
          <w:sz w:val="24"/>
          <w:szCs w:val="24"/>
        </w:rPr>
        <w:t>hey fail</w:t>
      </w:r>
      <w:r w:rsidR="00226480">
        <w:rPr>
          <w:rFonts w:ascii="Garamond" w:hAnsi="Garamond"/>
          <w:sz w:val="24"/>
          <w:szCs w:val="24"/>
        </w:rPr>
        <w:t>ed</w:t>
      </w:r>
      <w:r w:rsidR="00AB5935" w:rsidRPr="009A1694">
        <w:rPr>
          <w:rFonts w:ascii="Garamond" w:hAnsi="Garamond"/>
          <w:sz w:val="24"/>
          <w:szCs w:val="24"/>
        </w:rPr>
        <w:t xml:space="preserve"> to </w:t>
      </w:r>
      <w:r w:rsidR="00226480">
        <w:rPr>
          <w:rFonts w:ascii="Garamond" w:hAnsi="Garamond"/>
          <w:sz w:val="24"/>
          <w:szCs w:val="24"/>
        </w:rPr>
        <w:t>pay</w:t>
      </w:r>
      <w:r w:rsidR="00AB5935" w:rsidRPr="009A1694">
        <w:rPr>
          <w:rFonts w:ascii="Garamond" w:hAnsi="Garamond"/>
          <w:sz w:val="24"/>
          <w:szCs w:val="24"/>
        </w:rPr>
        <w:t xml:space="preserve"> their contributions to the budget of the organisation in </w:t>
      </w:r>
      <w:r w:rsidR="001604D2">
        <w:rPr>
          <w:rFonts w:ascii="Garamond" w:hAnsi="Garamond"/>
          <w:sz w:val="24"/>
          <w:szCs w:val="24"/>
        </w:rPr>
        <w:t>retaliation</w:t>
      </w:r>
      <w:r w:rsidR="00AB5935" w:rsidRPr="009A1694">
        <w:rPr>
          <w:rFonts w:ascii="Garamond" w:hAnsi="Garamond"/>
          <w:sz w:val="24"/>
          <w:szCs w:val="24"/>
        </w:rPr>
        <w:t xml:space="preserve"> for decisions that the </w:t>
      </w:r>
      <w:r w:rsidR="0026418C">
        <w:rPr>
          <w:rFonts w:ascii="Garamond" w:hAnsi="Garamond"/>
          <w:sz w:val="24"/>
          <w:szCs w:val="24"/>
        </w:rPr>
        <w:t xml:space="preserve">CoE </w:t>
      </w:r>
      <w:r w:rsidR="00AB5935" w:rsidRPr="009A1694">
        <w:rPr>
          <w:rFonts w:ascii="Garamond" w:hAnsi="Garamond"/>
          <w:sz w:val="24"/>
          <w:szCs w:val="24"/>
        </w:rPr>
        <w:t>has taken.</w:t>
      </w:r>
    </w:p>
    <w:p w14:paraId="5D635F44" w14:textId="36C0C5DB" w:rsidR="00AB5935" w:rsidRPr="009A1694" w:rsidRDefault="00226480" w:rsidP="0053726B">
      <w:pPr>
        <w:spacing w:line="240" w:lineRule="auto"/>
        <w:jc w:val="both"/>
        <w:rPr>
          <w:rFonts w:ascii="Garamond" w:hAnsi="Garamond"/>
          <w:sz w:val="24"/>
          <w:szCs w:val="24"/>
        </w:rPr>
      </w:pPr>
      <w:r>
        <w:rPr>
          <w:rFonts w:ascii="Garamond" w:hAnsi="Garamond"/>
          <w:sz w:val="24"/>
          <w:szCs w:val="24"/>
        </w:rPr>
        <w:t>I</w:t>
      </w:r>
      <w:r w:rsidR="00AB5935" w:rsidRPr="009A1694">
        <w:rPr>
          <w:rFonts w:ascii="Garamond" w:hAnsi="Garamond"/>
          <w:sz w:val="24"/>
          <w:szCs w:val="24"/>
        </w:rPr>
        <w:t>n 2017</w:t>
      </w:r>
      <w:r>
        <w:rPr>
          <w:rFonts w:ascii="Garamond" w:hAnsi="Garamond"/>
          <w:sz w:val="24"/>
          <w:szCs w:val="24"/>
        </w:rPr>
        <w:t>,</w:t>
      </w:r>
      <w:r w:rsidR="00AB5935" w:rsidRPr="009A1694">
        <w:rPr>
          <w:rFonts w:ascii="Garamond" w:hAnsi="Garamond"/>
          <w:sz w:val="24"/>
          <w:szCs w:val="24"/>
        </w:rPr>
        <w:t xml:space="preserve"> Russia failed to </w:t>
      </w:r>
      <w:r w:rsidR="007819A8" w:rsidRPr="009A1694">
        <w:rPr>
          <w:rFonts w:ascii="Garamond" w:hAnsi="Garamond"/>
          <w:sz w:val="24"/>
          <w:szCs w:val="24"/>
        </w:rPr>
        <w:t xml:space="preserve">pay </w:t>
      </w:r>
      <w:r w:rsidR="00547A28">
        <w:rPr>
          <w:rFonts w:ascii="Garamond" w:hAnsi="Garamond"/>
          <w:sz w:val="24"/>
          <w:szCs w:val="24"/>
        </w:rPr>
        <w:t>two thirds</w:t>
      </w:r>
      <w:r w:rsidR="007819A8" w:rsidRPr="009A1694">
        <w:rPr>
          <w:rFonts w:ascii="Garamond" w:hAnsi="Garamond"/>
          <w:sz w:val="24"/>
          <w:szCs w:val="24"/>
        </w:rPr>
        <w:t xml:space="preserve"> of its contribution to the </w:t>
      </w:r>
      <w:r w:rsidR="009D135F" w:rsidRPr="009A1694">
        <w:rPr>
          <w:rFonts w:ascii="Garamond" w:hAnsi="Garamond"/>
          <w:sz w:val="24"/>
          <w:szCs w:val="24"/>
        </w:rPr>
        <w:t xml:space="preserve">ordinary </w:t>
      </w:r>
      <w:r w:rsidR="007819A8" w:rsidRPr="009A1694">
        <w:rPr>
          <w:rFonts w:ascii="Garamond" w:hAnsi="Garamond"/>
          <w:sz w:val="24"/>
          <w:szCs w:val="24"/>
        </w:rPr>
        <w:t xml:space="preserve">budget of the </w:t>
      </w:r>
      <w:r w:rsidR="00202CB4">
        <w:rPr>
          <w:rFonts w:ascii="Garamond" w:hAnsi="Garamond"/>
          <w:sz w:val="24"/>
          <w:szCs w:val="24"/>
        </w:rPr>
        <w:t>CoE</w:t>
      </w:r>
      <w:r w:rsidR="007819A8" w:rsidRPr="009A1694">
        <w:rPr>
          <w:rFonts w:ascii="Garamond" w:hAnsi="Garamond"/>
          <w:sz w:val="24"/>
          <w:szCs w:val="24"/>
        </w:rPr>
        <w:t xml:space="preserve">. </w:t>
      </w:r>
      <w:r w:rsidR="00E949FD">
        <w:rPr>
          <w:rFonts w:ascii="Garamond" w:hAnsi="Garamond"/>
          <w:sz w:val="24"/>
          <w:szCs w:val="24"/>
        </w:rPr>
        <w:t>They</w:t>
      </w:r>
      <w:r w:rsidR="009A6442">
        <w:rPr>
          <w:rFonts w:ascii="Garamond" w:hAnsi="Garamond"/>
          <w:sz w:val="24"/>
          <w:szCs w:val="24"/>
        </w:rPr>
        <w:t xml:space="preserve"> justified </w:t>
      </w:r>
      <w:r w:rsidR="00E949FD">
        <w:rPr>
          <w:rFonts w:ascii="Garamond" w:hAnsi="Garamond"/>
          <w:sz w:val="24"/>
          <w:szCs w:val="24"/>
        </w:rPr>
        <w:t xml:space="preserve">it </w:t>
      </w:r>
      <w:r w:rsidR="009A6442">
        <w:rPr>
          <w:rFonts w:ascii="Garamond" w:hAnsi="Garamond"/>
          <w:sz w:val="24"/>
          <w:szCs w:val="24"/>
        </w:rPr>
        <w:t xml:space="preserve">by references to </w:t>
      </w:r>
      <w:r w:rsidR="004A775B">
        <w:rPr>
          <w:rFonts w:ascii="Garamond" w:hAnsi="Garamond"/>
          <w:sz w:val="24"/>
          <w:szCs w:val="24"/>
        </w:rPr>
        <w:t xml:space="preserve">the </w:t>
      </w:r>
      <w:r w:rsidR="009A6442">
        <w:rPr>
          <w:rFonts w:ascii="Garamond" w:hAnsi="Garamond"/>
          <w:sz w:val="24"/>
          <w:szCs w:val="24"/>
        </w:rPr>
        <w:t>lack of participation of the Russian Delegation in the PACE which was</w:t>
      </w:r>
      <w:r w:rsidR="004A775B">
        <w:rPr>
          <w:rFonts w:ascii="Garamond" w:hAnsi="Garamond"/>
          <w:sz w:val="24"/>
          <w:szCs w:val="24"/>
        </w:rPr>
        <w:t>, as described above,</w:t>
      </w:r>
      <w:r w:rsidR="009A6442">
        <w:rPr>
          <w:rFonts w:ascii="Garamond" w:hAnsi="Garamond"/>
          <w:sz w:val="24"/>
          <w:szCs w:val="24"/>
        </w:rPr>
        <w:t xml:space="preserve"> effectively self-inflicted. This financial </w:t>
      </w:r>
      <w:r w:rsidR="00303BFC">
        <w:rPr>
          <w:rFonts w:ascii="Garamond" w:hAnsi="Garamond"/>
          <w:sz w:val="24"/>
          <w:szCs w:val="24"/>
        </w:rPr>
        <w:t>pressure</w:t>
      </w:r>
      <w:r w:rsidR="009A6442">
        <w:rPr>
          <w:rFonts w:ascii="Garamond" w:hAnsi="Garamond"/>
          <w:sz w:val="24"/>
          <w:szCs w:val="24"/>
        </w:rPr>
        <w:t xml:space="preserve"> continue</w:t>
      </w:r>
      <w:r w:rsidR="00303BFC">
        <w:rPr>
          <w:rFonts w:ascii="Garamond" w:hAnsi="Garamond"/>
          <w:sz w:val="24"/>
          <w:szCs w:val="24"/>
        </w:rPr>
        <w:t>d</w:t>
      </w:r>
      <w:r w:rsidR="009A6442">
        <w:rPr>
          <w:rFonts w:ascii="Garamond" w:hAnsi="Garamond"/>
          <w:sz w:val="24"/>
          <w:szCs w:val="24"/>
        </w:rPr>
        <w:t xml:space="preserve"> in 2018</w:t>
      </w:r>
      <w:r w:rsidR="00303BFC">
        <w:rPr>
          <w:rFonts w:ascii="Garamond" w:hAnsi="Garamond"/>
          <w:sz w:val="24"/>
          <w:szCs w:val="24"/>
        </w:rPr>
        <w:t>, when Russia refused to pay €11</w:t>
      </w:r>
      <w:r w:rsidR="0026418C">
        <w:rPr>
          <w:rFonts w:ascii="Garamond" w:hAnsi="Garamond"/>
          <w:sz w:val="24"/>
          <w:szCs w:val="24"/>
        </w:rPr>
        <w:t xml:space="preserve"> </w:t>
      </w:r>
      <w:r w:rsidR="00303BFC">
        <w:rPr>
          <w:rFonts w:ascii="Garamond" w:hAnsi="Garamond"/>
          <w:sz w:val="24"/>
          <w:szCs w:val="24"/>
        </w:rPr>
        <w:t>million due on 28 February</w:t>
      </w:r>
      <w:r w:rsidR="009A6442">
        <w:rPr>
          <w:rFonts w:ascii="Garamond" w:hAnsi="Garamond"/>
          <w:sz w:val="24"/>
          <w:szCs w:val="24"/>
        </w:rPr>
        <w:t>.</w:t>
      </w:r>
      <w:r w:rsidR="009A6442">
        <w:rPr>
          <w:rStyle w:val="FootnoteReference"/>
          <w:rFonts w:ascii="Garamond" w:hAnsi="Garamond"/>
          <w:sz w:val="24"/>
          <w:szCs w:val="24"/>
        </w:rPr>
        <w:footnoteReference w:id="61"/>
      </w:r>
      <w:r w:rsidR="006F6BC0">
        <w:rPr>
          <w:rFonts w:ascii="Garamond" w:hAnsi="Garamond"/>
          <w:sz w:val="24"/>
          <w:szCs w:val="24"/>
        </w:rPr>
        <w:t xml:space="preserve"> </w:t>
      </w:r>
      <w:r w:rsidR="001604D2">
        <w:rPr>
          <w:rFonts w:ascii="Garamond" w:hAnsi="Garamond"/>
          <w:sz w:val="24"/>
          <w:szCs w:val="24"/>
        </w:rPr>
        <w:t xml:space="preserve">These actions </w:t>
      </w:r>
      <w:r w:rsidR="00B865F8">
        <w:rPr>
          <w:rFonts w:ascii="Garamond" w:hAnsi="Garamond"/>
          <w:sz w:val="24"/>
          <w:szCs w:val="24"/>
        </w:rPr>
        <w:t>fall short of</w:t>
      </w:r>
      <w:r w:rsidR="001604D2">
        <w:rPr>
          <w:rFonts w:ascii="Garamond" w:hAnsi="Garamond"/>
          <w:sz w:val="24"/>
          <w:szCs w:val="24"/>
        </w:rPr>
        <w:t xml:space="preserve"> the standard</w:t>
      </w:r>
      <w:r w:rsidR="00B865F8">
        <w:rPr>
          <w:rFonts w:ascii="Garamond" w:hAnsi="Garamond"/>
          <w:sz w:val="24"/>
          <w:szCs w:val="24"/>
        </w:rPr>
        <w:t xml:space="preserve"> </w:t>
      </w:r>
      <w:r w:rsidR="001604D2">
        <w:rPr>
          <w:rFonts w:ascii="Garamond" w:hAnsi="Garamond"/>
          <w:sz w:val="24"/>
          <w:szCs w:val="24"/>
        </w:rPr>
        <w:t>of ‘</w:t>
      </w:r>
      <w:r w:rsidR="00C84B45">
        <w:rPr>
          <w:rFonts w:ascii="Garamond" w:hAnsi="Garamond"/>
          <w:sz w:val="24"/>
          <w:szCs w:val="24"/>
        </w:rPr>
        <w:t>sincere</w:t>
      </w:r>
      <w:r w:rsidR="00B865F8">
        <w:rPr>
          <w:rFonts w:ascii="Garamond" w:hAnsi="Garamond"/>
          <w:sz w:val="24"/>
          <w:szCs w:val="24"/>
        </w:rPr>
        <w:t xml:space="preserve"> collaboration</w:t>
      </w:r>
      <w:r w:rsidR="001604D2">
        <w:rPr>
          <w:rFonts w:ascii="Garamond" w:hAnsi="Garamond"/>
          <w:sz w:val="24"/>
          <w:szCs w:val="24"/>
        </w:rPr>
        <w:t xml:space="preserve">’ established under Article 3 of the Statute of the </w:t>
      </w:r>
      <w:r w:rsidR="00202CB4">
        <w:rPr>
          <w:rFonts w:ascii="Garamond" w:hAnsi="Garamond"/>
          <w:sz w:val="24"/>
          <w:szCs w:val="24"/>
        </w:rPr>
        <w:t>CoE</w:t>
      </w:r>
      <w:r w:rsidR="00B865F8">
        <w:rPr>
          <w:rFonts w:ascii="Garamond" w:hAnsi="Garamond"/>
          <w:sz w:val="24"/>
          <w:szCs w:val="24"/>
        </w:rPr>
        <w:t xml:space="preserve">. </w:t>
      </w:r>
    </w:p>
    <w:p w14:paraId="28AF8485" w14:textId="0D5975CA" w:rsidR="00321C09" w:rsidRDefault="00321C09" w:rsidP="00321C09">
      <w:pPr>
        <w:spacing w:line="240" w:lineRule="auto"/>
        <w:jc w:val="both"/>
        <w:rPr>
          <w:rFonts w:ascii="Garamond" w:hAnsi="Garamond"/>
          <w:sz w:val="24"/>
          <w:szCs w:val="24"/>
        </w:rPr>
      </w:pPr>
      <w:r>
        <w:rPr>
          <w:rFonts w:ascii="Garamond" w:hAnsi="Garamond"/>
          <w:sz w:val="24"/>
          <w:szCs w:val="24"/>
        </w:rPr>
        <w:t>The CoE</w:t>
      </w:r>
      <w:r w:rsidRPr="009A1694">
        <w:rPr>
          <w:rFonts w:ascii="Garamond" w:hAnsi="Garamond"/>
          <w:sz w:val="24"/>
          <w:szCs w:val="24"/>
        </w:rPr>
        <w:t xml:space="preserve"> cannot </w:t>
      </w:r>
      <w:r>
        <w:rPr>
          <w:rFonts w:ascii="Garamond" w:hAnsi="Garamond"/>
          <w:sz w:val="24"/>
          <w:szCs w:val="24"/>
        </w:rPr>
        <w:t>allow fiscal intransigence to undermine the normative structure of the Strasbourg system.</w:t>
      </w:r>
      <w:r w:rsidRPr="009A1694">
        <w:rPr>
          <w:rFonts w:ascii="Garamond" w:hAnsi="Garamond"/>
          <w:sz w:val="24"/>
          <w:szCs w:val="24"/>
        </w:rPr>
        <w:t xml:space="preserve"> </w:t>
      </w:r>
      <w:r>
        <w:rPr>
          <w:rFonts w:ascii="Garamond" w:hAnsi="Garamond"/>
          <w:sz w:val="24"/>
          <w:szCs w:val="24"/>
        </w:rPr>
        <w:t>Engel has noted that Russia’s unwillingness to pay its bills threatens the job security of employees of the Council;</w:t>
      </w:r>
      <w:r>
        <w:rPr>
          <w:rStyle w:val="FootnoteReference"/>
          <w:rFonts w:ascii="Garamond" w:hAnsi="Garamond"/>
          <w:sz w:val="24"/>
          <w:szCs w:val="24"/>
        </w:rPr>
        <w:footnoteReference w:id="62"/>
      </w:r>
      <w:r>
        <w:rPr>
          <w:rFonts w:ascii="Garamond" w:hAnsi="Garamond"/>
          <w:sz w:val="24"/>
          <w:szCs w:val="24"/>
        </w:rPr>
        <w:t xml:space="preserve"> these employees may choose to pursue careers with other institutions if such uncertainty continues. </w:t>
      </w:r>
      <w:r w:rsidRPr="009A1694">
        <w:rPr>
          <w:rFonts w:ascii="Garamond" w:hAnsi="Garamond"/>
          <w:sz w:val="24"/>
          <w:szCs w:val="24"/>
        </w:rPr>
        <w:t xml:space="preserve">The Statute of the </w:t>
      </w:r>
      <w:r>
        <w:rPr>
          <w:rFonts w:ascii="Garamond" w:hAnsi="Garamond"/>
          <w:sz w:val="24"/>
          <w:szCs w:val="24"/>
        </w:rPr>
        <w:t>CoE envisages</w:t>
      </w:r>
      <w:r w:rsidRPr="009A1694">
        <w:rPr>
          <w:rFonts w:ascii="Garamond" w:hAnsi="Garamond"/>
          <w:sz w:val="24"/>
          <w:szCs w:val="24"/>
        </w:rPr>
        <w:t xml:space="preserve"> a sanction for failure to comply with the states’ financial obligations. According to Article 9, the Committee of Ministers</w:t>
      </w:r>
      <w:r>
        <w:rPr>
          <w:rFonts w:ascii="Garamond" w:hAnsi="Garamond"/>
          <w:sz w:val="24"/>
          <w:szCs w:val="24"/>
        </w:rPr>
        <w:t xml:space="preserve"> of the CoE </w:t>
      </w:r>
      <w:r w:rsidRPr="009A1694">
        <w:rPr>
          <w:rFonts w:ascii="Garamond" w:hAnsi="Garamond"/>
          <w:sz w:val="24"/>
          <w:szCs w:val="24"/>
        </w:rPr>
        <w:t xml:space="preserve">may suspend the right of representation on the Committee and on the </w:t>
      </w:r>
      <w:r>
        <w:rPr>
          <w:rFonts w:ascii="Garamond" w:hAnsi="Garamond"/>
          <w:sz w:val="24"/>
          <w:szCs w:val="24"/>
        </w:rPr>
        <w:t>PACE</w:t>
      </w:r>
      <w:r w:rsidRPr="009A1694">
        <w:rPr>
          <w:rFonts w:ascii="Garamond" w:hAnsi="Garamond"/>
          <w:sz w:val="24"/>
          <w:szCs w:val="24"/>
        </w:rPr>
        <w:t xml:space="preserve"> of a member which has failed to fulfil its financial obligations. In </w:t>
      </w:r>
      <w:r>
        <w:rPr>
          <w:rFonts w:ascii="Garamond" w:hAnsi="Garamond"/>
          <w:sz w:val="24"/>
          <w:szCs w:val="24"/>
        </w:rPr>
        <w:t xml:space="preserve">the </w:t>
      </w:r>
      <w:r w:rsidRPr="009A1694">
        <w:rPr>
          <w:rFonts w:ascii="Garamond" w:hAnsi="Garamond"/>
          <w:sz w:val="24"/>
          <w:szCs w:val="24"/>
        </w:rPr>
        <w:t xml:space="preserve">case of Russia, the </w:t>
      </w:r>
      <w:r>
        <w:rPr>
          <w:rFonts w:ascii="Garamond" w:hAnsi="Garamond"/>
          <w:sz w:val="24"/>
          <w:szCs w:val="24"/>
        </w:rPr>
        <w:t xml:space="preserve">CoE </w:t>
      </w:r>
      <w:r w:rsidRPr="009A1694">
        <w:rPr>
          <w:rFonts w:ascii="Garamond" w:hAnsi="Garamond"/>
          <w:sz w:val="24"/>
          <w:szCs w:val="24"/>
        </w:rPr>
        <w:t>can only suspend the right of representation on the Committee</w:t>
      </w:r>
      <w:r>
        <w:rPr>
          <w:rFonts w:ascii="Garamond" w:hAnsi="Garamond"/>
          <w:sz w:val="24"/>
          <w:szCs w:val="24"/>
        </w:rPr>
        <w:t>,</w:t>
      </w:r>
      <w:r w:rsidRPr="009A1694">
        <w:rPr>
          <w:rFonts w:ascii="Garamond" w:hAnsi="Garamond"/>
          <w:sz w:val="24"/>
          <w:szCs w:val="24"/>
        </w:rPr>
        <w:t xml:space="preserve"> as </w:t>
      </w:r>
      <w:r>
        <w:rPr>
          <w:rFonts w:ascii="Garamond" w:hAnsi="Garamond"/>
          <w:sz w:val="24"/>
          <w:szCs w:val="24"/>
        </w:rPr>
        <w:t>Russia’</w:t>
      </w:r>
      <w:r w:rsidRPr="009A1694">
        <w:rPr>
          <w:rFonts w:ascii="Garamond" w:hAnsi="Garamond"/>
          <w:sz w:val="24"/>
          <w:szCs w:val="24"/>
        </w:rPr>
        <w:t xml:space="preserve">s representation in the </w:t>
      </w:r>
      <w:r>
        <w:rPr>
          <w:rFonts w:ascii="Garamond" w:hAnsi="Garamond"/>
          <w:sz w:val="24"/>
          <w:szCs w:val="24"/>
        </w:rPr>
        <w:t>PACE is de facto suspended</w:t>
      </w:r>
      <w:r w:rsidRPr="009A1694">
        <w:rPr>
          <w:rFonts w:ascii="Garamond" w:hAnsi="Garamond"/>
          <w:sz w:val="24"/>
          <w:szCs w:val="24"/>
        </w:rPr>
        <w:t xml:space="preserve">. If </w:t>
      </w:r>
      <w:r>
        <w:rPr>
          <w:rFonts w:ascii="Garamond" w:hAnsi="Garamond"/>
          <w:sz w:val="24"/>
          <w:szCs w:val="24"/>
        </w:rPr>
        <w:t>a member state</w:t>
      </w:r>
      <w:r w:rsidRPr="009A1694">
        <w:rPr>
          <w:rFonts w:ascii="Garamond" w:hAnsi="Garamond"/>
          <w:sz w:val="24"/>
          <w:szCs w:val="24"/>
        </w:rPr>
        <w:t xml:space="preserve"> does not fulfil its obligations persistently than it can be requested to withdraw from the organisation.</w:t>
      </w:r>
      <w:r w:rsidRPr="009A1694">
        <w:rPr>
          <w:rStyle w:val="FootnoteReference"/>
          <w:rFonts w:ascii="Garamond" w:hAnsi="Garamond"/>
          <w:sz w:val="24"/>
          <w:szCs w:val="24"/>
        </w:rPr>
        <w:footnoteReference w:id="63"/>
      </w:r>
    </w:p>
    <w:p w14:paraId="484A9748" w14:textId="0BE0C6D6" w:rsidR="0000245B" w:rsidRPr="009A1694" w:rsidRDefault="003B11B4" w:rsidP="00C35F5A">
      <w:pPr>
        <w:spacing w:line="240" w:lineRule="auto"/>
        <w:jc w:val="both"/>
        <w:rPr>
          <w:rFonts w:ascii="Garamond" w:hAnsi="Garamond"/>
          <w:sz w:val="24"/>
          <w:szCs w:val="24"/>
        </w:rPr>
      </w:pPr>
      <w:r w:rsidRPr="009A1694">
        <w:rPr>
          <w:rFonts w:ascii="Garamond" w:hAnsi="Garamond"/>
          <w:sz w:val="24"/>
          <w:szCs w:val="24"/>
        </w:rPr>
        <w:t xml:space="preserve">Another example of using financial instruments </w:t>
      </w:r>
      <w:r w:rsidR="001604D2">
        <w:rPr>
          <w:rFonts w:ascii="Garamond" w:hAnsi="Garamond"/>
          <w:sz w:val="24"/>
          <w:szCs w:val="24"/>
        </w:rPr>
        <w:t>to put</w:t>
      </w:r>
      <w:r w:rsidRPr="009A1694">
        <w:rPr>
          <w:rFonts w:ascii="Garamond" w:hAnsi="Garamond"/>
          <w:sz w:val="24"/>
          <w:szCs w:val="24"/>
        </w:rPr>
        <w:t xml:space="preserve"> pressure on the </w:t>
      </w:r>
      <w:r w:rsidR="0026418C">
        <w:rPr>
          <w:rFonts w:ascii="Garamond" w:hAnsi="Garamond"/>
          <w:sz w:val="24"/>
          <w:szCs w:val="24"/>
        </w:rPr>
        <w:t xml:space="preserve">CoE </w:t>
      </w:r>
      <w:r w:rsidRPr="009A1694">
        <w:rPr>
          <w:rFonts w:ascii="Garamond" w:hAnsi="Garamond"/>
          <w:sz w:val="24"/>
          <w:szCs w:val="24"/>
        </w:rPr>
        <w:t xml:space="preserve">is Turkey. In 2016, </w:t>
      </w:r>
      <w:r w:rsidR="00104249">
        <w:rPr>
          <w:rFonts w:ascii="Garamond" w:hAnsi="Garamond"/>
          <w:sz w:val="24"/>
          <w:szCs w:val="24"/>
        </w:rPr>
        <w:t xml:space="preserve">the </w:t>
      </w:r>
      <w:r w:rsidRPr="009A1694">
        <w:rPr>
          <w:rFonts w:ascii="Garamond" w:hAnsi="Garamond"/>
          <w:sz w:val="24"/>
          <w:szCs w:val="24"/>
        </w:rPr>
        <w:t>Turk</w:t>
      </w:r>
      <w:r w:rsidR="00104249">
        <w:rPr>
          <w:rFonts w:ascii="Garamond" w:hAnsi="Garamond"/>
          <w:sz w:val="24"/>
          <w:szCs w:val="24"/>
        </w:rPr>
        <w:t>ish authorities</w:t>
      </w:r>
      <w:r w:rsidRPr="009A1694">
        <w:rPr>
          <w:rFonts w:ascii="Garamond" w:hAnsi="Garamond"/>
          <w:sz w:val="24"/>
          <w:szCs w:val="24"/>
        </w:rPr>
        <w:t xml:space="preserve"> decided to become a major contributor to </w:t>
      </w:r>
      <w:r w:rsidR="00676D8B">
        <w:rPr>
          <w:rFonts w:ascii="Garamond" w:hAnsi="Garamond"/>
          <w:sz w:val="24"/>
          <w:szCs w:val="24"/>
        </w:rPr>
        <w:t xml:space="preserve">the </w:t>
      </w:r>
      <w:r w:rsidR="00202CB4">
        <w:rPr>
          <w:rFonts w:ascii="Garamond" w:hAnsi="Garamond"/>
          <w:sz w:val="24"/>
          <w:szCs w:val="24"/>
        </w:rPr>
        <w:t>CoE</w:t>
      </w:r>
      <w:r w:rsidRPr="009A1694">
        <w:rPr>
          <w:rFonts w:ascii="Garamond" w:hAnsi="Garamond"/>
          <w:sz w:val="24"/>
          <w:szCs w:val="24"/>
        </w:rPr>
        <w:t>.</w:t>
      </w:r>
      <w:r w:rsidRPr="009A1694">
        <w:rPr>
          <w:rStyle w:val="FootnoteReference"/>
          <w:rFonts w:ascii="Garamond" w:hAnsi="Garamond"/>
          <w:sz w:val="24"/>
          <w:szCs w:val="24"/>
        </w:rPr>
        <w:footnoteReference w:id="64"/>
      </w:r>
      <w:r w:rsidRPr="009A1694">
        <w:rPr>
          <w:rFonts w:ascii="Garamond" w:hAnsi="Garamond"/>
          <w:sz w:val="24"/>
          <w:szCs w:val="24"/>
        </w:rPr>
        <w:t xml:space="preserve"> Major contributors are the biggest countries in Europe: France, Germany, Italy, Russia, the United Kingdom and</w:t>
      </w:r>
      <w:r w:rsidR="0021437B">
        <w:rPr>
          <w:rFonts w:ascii="Garamond" w:hAnsi="Garamond"/>
          <w:sz w:val="24"/>
          <w:szCs w:val="24"/>
        </w:rPr>
        <w:t>,</w:t>
      </w:r>
      <w:r w:rsidRPr="009A1694">
        <w:rPr>
          <w:rFonts w:ascii="Garamond" w:hAnsi="Garamond"/>
          <w:sz w:val="24"/>
          <w:szCs w:val="24"/>
        </w:rPr>
        <w:t xml:space="preserve"> since 2016</w:t>
      </w:r>
      <w:r w:rsidR="0021437B">
        <w:rPr>
          <w:rFonts w:ascii="Garamond" w:hAnsi="Garamond"/>
          <w:sz w:val="24"/>
          <w:szCs w:val="24"/>
        </w:rPr>
        <w:t>,</w:t>
      </w:r>
      <w:r w:rsidRPr="009A1694">
        <w:rPr>
          <w:rFonts w:ascii="Garamond" w:hAnsi="Garamond"/>
          <w:sz w:val="24"/>
          <w:szCs w:val="24"/>
        </w:rPr>
        <w:t xml:space="preserve"> Turkey. They </w:t>
      </w:r>
      <w:r w:rsidR="00C35F5A">
        <w:rPr>
          <w:rFonts w:ascii="Garamond" w:hAnsi="Garamond"/>
          <w:sz w:val="24"/>
          <w:szCs w:val="24"/>
        </w:rPr>
        <w:t>each</w:t>
      </w:r>
      <w:r w:rsidRPr="009A1694">
        <w:rPr>
          <w:rFonts w:ascii="Garamond" w:hAnsi="Garamond"/>
          <w:sz w:val="24"/>
          <w:szCs w:val="24"/>
        </w:rPr>
        <w:t xml:space="preserve"> pay over 10 percent of the Council’</w:t>
      </w:r>
      <w:r w:rsidR="008277F1" w:rsidRPr="009A1694">
        <w:rPr>
          <w:rFonts w:ascii="Garamond" w:hAnsi="Garamond"/>
          <w:sz w:val="24"/>
          <w:szCs w:val="24"/>
        </w:rPr>
        <w:t>s budget.</w:t>
      </w:r>
      <w:r w:rsidR="008277F1" w:rsidRPr="009A1694">
        <w:rPr>
          <w:rStyle w:val="FootnoteReference"/>
          <w:rFonts w:ascii="Garamond" w:hAnsi="Garamond"/>
          <w:sz w:val="24"/>
          <w:szCs w:val="24"/>
        </w:rPr>
        <w:footnoteReference w:id="65"/>
      </w:r>
      <w:r w:rsidR="008277F1" w:rsidRPr="009A1694">
        <w:rPr>
          <w:rFonts w:ascii="Garamond" w:hAnsi="Garamond"/>
          <w:sz w:val="24"/>
          <w:szCs w:val="24"/>
        </w:rPr>
        <w:t xml:space="preserve"> In 2017, Turkey </w:t>
      </w:r>
      <w:r w:rsidR="001128F7">
        <w:rPr>
          <w:rFonts w:ascii="Garamond" w:hAnsi="Garamond"/>
          <w:sz w:val="24"/>
          <w:szCs w:val="24"/>
        </w:rPr>
        <w:t>revoked</w:t>
      </w:r>
      <w:r w:rsidR="008277F1" w:rsidRPr="009A1694">
        <w:rPr>
          <w:rFonts w:ascii="Garamond" w:hAnsi="Garamond"/>
          <w:sz w:val="24"/>
          <w:szCs w:val="24"/>
        </w:rPr>
        <w:t xml:space="preserve"> its status as a major contributor of the </w:t>
      </w:r>
      <w:r w:rsidR="0026418C">
        <w:rPr>
          <w:rFonts w:ascii="Garamond" w:hAnsi="Garamond"/>
          <w:sz w:val="24"/>
          <w:szCs w:val="24"/>
        </w:rPr>
        <w:t xml:space="preserve">CoE </w:t>
      </w:r>
      <w:r w:rsidR="008277F1" w:rsidRPr="009A1694">
        <w:rPr>
          <w:rFonts w:ascii="Garamond" w:hAnsi="Garamond"/>
          <w:sz w:val="24"/>
          <w:szCs w:val="24"/>
        </w:rPr>
        <w:t xml:space="preserve">in response to </w:t>
      </w:r>
      <w:r w:rsidR="00797BE7" w:rsidRPr="009A1694">
        <w:rPr>
          <w:rFonts w:ascii="Garamond" w:hAnsi="Garamond"/>
          <w:sz w:val="24"/>
          <w:szCs w:val="24"/>
        </w:rPr>
        <w:t xml:space="preserve">increased </w:t>
      </w:r>
      <w:r w:rsidR="00D42417">
        <w:rPr>
          <w:rFonts w:ascii="Garamond" w:hAnsi="Garamond"/>
          <w:sz w:val="24"/>
          <w:szCs w:val="24"/>
        </w:rPr>
        <w:t>demands directed to</w:t>
      </w:r>
      <w:r w:rsidR="00797BE7" w:rsidRPr="009A1694">
        <w:rPr>
          <w:rFonts w:ascii="Garamond" w:hAnsi="Garamond"/>
          <w:sz w:val="24"/>
          <w:szCs w:val="24"/>
        </w:rPr>
        <w:t xml:space="preserve"> the Turkish authorities to stop widespread human rights violations</w:t>
      </w:r>
      <w:r w:rsidR="00797BE7" w:rsidRPr="009A1694">
        <w:rPr>
          <w:rStyle w:val="FootnoteReference"/>
          <w:rFonts w:ascii="Garamond" w:hAnsi="Garamond"/>
          <w:sz w:val="24"/>
          <w:szCs w:val="24"/>
        </w:rPr>
        <w:footnoteReference w:id="66"/>
      </w:r>
      <w:r w:rsidR="00797BE7" w:rsidRPr="009A1694">
        <w:rPr>
          <w:rFonts w:ascii="Garamond" w:hAnsi="Garamond"/>
          <w:sz w:val="24"/>
          <w:szCs w:val="24"/>
        </w:rPr>
        <w:t xml:space="preserve"> and</w:t>
      </w:r>
      <w:r w:rsidR="0021437B">
        <w:rPr>
          <w:rFonts w:ascii="Garamond" w:hAnsi="Garamond"/>
          <w:sz w:val="24"/>
          <w:szCs w:val="24"/>
        </w:rPr>
        <w:t xml:space="preserve"> the </w:t>
      </w:r>
      <w:r w:rsidR="008277F1" w:rsidRPr="009A1694">
        <w:rPr>
          <w:rFonts w:ascii="Garamond" w:hAnsi="Garamond"/>
          <w:sz w:val="24"/>
          <w:szCs w:val="24"/>
        </w:rPr>
        <w:t xml:space="preserve">award </w:t>
      </w:r>
      <w:r w:rsidR="0021437B">
        <w:rPr>
          <w:rFonts w:ascii="Garamond" w:hAnsi="Garamond"/>
          <w:sz w:val="24"/>
          <w:szCs w:val="24"/>
        </w:rPr>
        <w:t xml:space="preserve">of the Václav Havel Human Rights prize to </w:t>
      </w:r>
      <w:r w:rsidR="008277F1" w:rsidRPr="009A1694">
        <w:rPr>
          <w:rFonts w:ascii="Garamond" w:hAnsi="Garamond"/>
          <w:sz w:val="24"/>
          <w:szCs w:val="24"/>
        </w:rPr>
        <w:t>Murat</w:t>
      </w:r>
      <w:r w:rsidR="00CE0003">
        <w:rPr>
          <w:rFonts w:ascii="Garamond" w:hAnsi="Garamond"/>
          <w:sz w:val="24"/>
          <w:szCs w:val="24"/>
        </w:rPr>
        <w:t xml:space="preserve"> </w:t>
      </w:r>
      <w:r w:rsidR="00A3539D" w:rsidRPr="00A3539D">
        <w:rPr>
          <w:rFonts w:ascii="Garamond" w:hAnsi="Garamond"/>
          <w:sz w:val="24"/>
          <w:szCs w:val="24"/>
        </w:rPr>
        <w:t>Aslan</w:t>
      </w:r>
      <w:r w:rsidR="00797BE7" w:rsidRPr="009A1694">
        <w:rPr>
          <w:rFonts w:ascii="Garamond" w:hAnsi="Garamond"/>
          <w:sz w:val="24"/>
          <w:szCs w:val="24"/>
        </w:rPr>
        <w:t>.</w:t>
      </w:r>
      <w:r w:rsidR="008277F1" w:rsidRPr="009A1694">
        <w:rPr>
          <w:rStyle w:val="FootnoteReference"/>
          <w:rFonts w:ascii="Garamond" w:hAnsi="Garamond"/>
          <w:sz w:val="24"/>
          <w:szCs w:val="24"/>
        </w:rPr>
        <w:footnoteReference w:id="67"/>
      </w:r>
      <w:r w:rsidR="00797BE7" w:rsidRPr="009A1694">
        <w:rPr>
          <w:rFonts w:ascii="Garamond" w:hAnsi="Garamond"/>
          <w:sz w:val="24"/>
          <w:szCs w:val="24"/>
        </w:rPr>
        <w:t xml:space="preserve"> Although Turkey will continue contributing to the budget, its contribution will be substantively reduced.</w:t>
      </w:r>
      <w:r w:rsidR="00547A28">
        <w:rPr>
          <w:rFonts w:ascii="Garamond" w:hAnsi="Garamond"/>
          <w:sz w:val="24"/>
          <w:szCs w:val="24"/>
        </w:rPr>
        <w:t xml:space="preserve"> Due to this actions the </w:t>
      </w:r>
      <w:r w:rsidR="0026418C">
        <w:rPr>
          <w:rFonts w:ascii="Garamond" w:hAnsi="Garamond"/>
          <w:sz w:val="24"/>
          <w:szCs w:val="24"/>
        </w:rPr>
        <w:t xml:space="preserve">CoE </w:t>
      </w:r>
      <w:r w:rsidR="001604D2">
        <w:rPr>
          <w:rFonts w:ascii="Garamond" w:hAnsi="Garamond"/>
          <w:sz w:val="24"/>
          <w:szCs w:val="24"/>
        </w:rPr>
        <w:t xml:space="preserve">noted </w:t>
      </w:r>
      <w:r w:rsidR="00547A28">
        <w:rPr>
          <w:rFonts w:ascii="Garamond" w:hAnsi="Garamond"/>
          <w:sz w:val="24"/>
          <w:szCs w:val="24"/>
        </w:rPr>
        <w:t>‘</w:t>
      </w:r>
      <w:r w:rsidR="00547A28" w:rsidRPr="00547A28">
        <w:rPr>
          <w:rFonts w:ascii="Garamond" w:hAnsi="Garamond"/>
          <w:sz w:val="24"/>
          <w:szCs w:val="24"/>
        </w:rPr>
        <w:t>a cumulative financial risk of €42.65 million for the first time in its history</w:t>
      </w:r>
      <w:r w:rsidR="00547A28">
        <w:rPr>
          <w:rFonts w:ascii="Garamond" w:hAnsi="Garamond"/>
          <w:sz w:val="24"/>
          <w:szCs w:val="24"/>
        </w:rPr>
        <w:t>’.</w:t>
      </w:r>
      <w:r w:rsidR="00547A28">
        <w:rPr>
          <w:rStyle w:val="FootnoteReference"/>
          <w:rFonts w:ascii="Garamond" w:hAnsi="Garamond"/>
          <w:sz w:val="24"/>
          <w:szCs w:val="24"/>
        </w:rPr>
        <w:footnoteReference w:id="68"/>
      </w:r>
      <w:r w:rsidR="00547A28">
        <w:rPr>
          <w:rFonts w:ascii="Garamond" w:hAnsi="Garamond"/>
          <w:sz w:val="24"/>
          <w:szCs w:val="24"/>
        </w:rPr>
        <w:t xml:space="preserve"> </w:t>
      </w:r>
      <w:r w:rsidR="0026418C">
        <w:rPr>
          <w:rFonts w:ascii="Garamond" w:hAnsi="Garamond"/>
          <w:sz w:val="24"/>
          <w:szCs w:val="24"/>
        </w:rPr>
        <w:t xml:space="preserve">Unlike </w:t>
      </w:r>
      <w:r w:rsidR="00C35F5A">
        <w:rPr>
          <w:rFonts w:ascii="Garamond" w:hAnsi="Garamond"/>
          <w:sz w:val="24"/>
          <w:szCs w:val="24"/>
        </w:rPr>
        <w:t>the</w:t>
      </w:r>
      <w:r w:rsidR="0026418C">
        <w:rPr>
          <w:rFonts w:ascii="Garamond" w:hAnsi="Garamond"/>
          <w:sz w:val="24"/>
          <w:szCs w:val="24"/>
        </w:rPr>
        <w:t xml:space="preserve"> case of </w:t>
      </w:r>
      <w:r w:rsidR="0026418C">
        <w:rPr>
          <w:rFonts w:ascii="Garamond" w:hAnsi="Garamond"/>
          <w:sz w:val="24"/>
          <w:szCs w:val="24"/>
        </w:rPr>
        <w:lastRenderedPageBreak/>
        <w:t xml:space="preserve">Russia, Turkey was free to withdraw its </w:t>
      </w:r>
      <w:r w:rsidR="00C35F5A">
        <w:rPr>
          <w:rFonts w:ascii="Garamond" w:hAnsi="Garamond"/>
          <w:sz w:val="24"/>
          <w:szCs w:val="24"/>
        </w:rPr>
        <w:t>support, as it was voluntary,</w:t>
      </w:r>
      <w:r w:rsidR="0026418C">
        <w:rPr>
          <w:rFonts w:ascii="Garamond" w:hAnsi="Garamond"/>
          <w:sz w:val="24"/>
          <w:szCs w:val="24"/>
        </w:rPr>
        <w:t xml:space="preserve"> but the manner in which it was done </w:t>
      </w:r>
      <w:r w:rsidR="00C35F5A">
        <w:rPr>
          <w:rFonts w:ascii="Garamond" w:hAnsi="Garamond"/>
          <w:sz w:val="24"/>
          <w:szCs w:val="24"/>
        </w:rPr>
        <w:t xml:space="preserve">seems to run contrary to the duty of sincere cooperation. </w:t>
      </w:r>
      <w:r w:rsidR="00AE31BF" w:rsidRPr="00AE31BF">
        <w:rPr>
          <w:rFonts w:ascii="Garamond" w:hAnsi="Garamond"/>
          <w:sz w:val="24"/>
          <w:szCs w:val="24"/>
        </w:rPr>
        <w:t>In the face of Russian and Turkish financial abstinence</w:t>
      </w:r>
      <w:r w:rsidR="0026418C">
        <w:rPr>
          <w:rFonts w:ascii="Garamond" w:hAnsi="Garamond"/>
          <w:sz w:val="24"/>
          <w:szCs w:val="24"/>
        </w:rPr>
        <w:t xml:space="preserve"> </w:t>
      </w:r>
      <w:r w:rsidR="00AE31BF" w:rsidRPr="00AE31BF">
        <w:rPr>
          <w:rFonts w:ascii="Garamond" w:hAnsi="Garamond"/>
          <w:sz w:val="24"/>
          <w:szCs w:val="24"/>
        </w:rPr>
        <w:t xml:space="preserve">it seems likely that the final result will be the loss of jobs and the suspension of </w:t>
      </w:r>
      <w:r w:rsidR="00C35F5A">
        <w:rPr>
          <w:rFonts w:ascii="Garamond" w:hAnsi="Garamond"/>
          <w:sz w:val="24"/>
          <w:szCs w:val="24"/>
        </w:rPr>
        <w:t xml:space="preserve">some </w:t>
      </w:r>
      <w:r w:rsidR="00AE31BF" w:rsidRPr="00AE31BF">
        <w:rPr>
          <w:rFonts w:ascii="Garamond" w:hAnsi="Garamond"/>
          <w:sz w:val="24"/>
          <w:szCs w:val="24"/>
        </w:rPr>
        <w:t>human rights programmes</w:t>
      </w:r>
      <w:r w:rsidR="004F3CDE">
        <w:rPr>
          <w:rFonts w:ascii="Garamond" w:hAnsi="Garamond"/>
          <w:sz w:val="24"/>
          <w:szCs w:val="24"/>
        </w:rPr>
        <w:t xml:space="preserve"> administered by the CoE</w:t>
      </w:r>
      <w:r w:rsidR="00AE31BF" w:rsidRPr="00AE31BF">
        <w:rPr>
          <w:rFonts w:ascii="Garamond" w:hAnsi="Garamond"/>
          <w:sz w:val="24"/>
          <w:szCs w:val="24"/>
        </w:rPr>
        <w:t>.</w:t>
      </w:r>
    </w:p>
    <w:p w14:paraId="2F548EBB" w14:textId="4F656033" w:rsidR="00BB7E97" w:rsidRPr="004943DC" w:rsidRDefault="00BB7E97" w:rsidP="0053726B">
      <w:pPr>
        <w:spacing w:line="240" w:lineRule="auto"/>
        <w:jc w:val="both"/>
        <w:rPr>
          <w:rFonts w:ascii="Garamond" w:hAnsi="Garamond"/>
          <w:b/>
          <w:sz w:val="24"/>
          <w:szCs w:val="24"/>
        </w:rPr>
      </w:pPr>
      <w:r w:rsidRPr="004943DC">
        <w:rPr>
          <w:rFonts w:ascii="Garamond" w:hAnsi="Garamond"/>
          <w:b/>
          <w:sz w:val="24"/>
          <w:szCs w:val="24"/>
        </w:rPr>
        <w:t>4.2.3 Allegations of Corruption</w:t>
      </w:r>
    </w:p>
    <w:p w14:paraId="45BEFF79" w14:textId="6A290DFF" w:rsidR="00B23C43" w:rsidRPr="009A1694" w:rsidRDefault="00B23C43" w:rsidP="00E663E0">
      <w:pPr>
        <w:spacing w:line="240" w:lineRule="auto"/>
        <w:jc w:val="both"/>
        <w:rPr>
          <w:rFonts w:ascii="Garamond" w:hAnsi="Garamond"/>
          <w:sz w:val="24"/>
          <w:szCs w:val="24"/>
        </w:rPr>
      </w:pPr>
      <w:r>
        <w:rPr>
          <w:rFonts w:ascii="Garamond" w:hAnsi="Garamond"/>
          <w:sz w:val="24"/>
          <w:szCs w:val="24"/>
        </w:rPr>
        <w:t xml:space="preserve">Finally, </w:t>
      </w:r>
      <w:r w:rsidR="004C5B9F">
        <w:rPr>
          <w:rFonts w:ascii="Garamond" w:hAnsi="Garamond"/>
          <w:sz w:val="24"/>
          <w:szCs w:val="24"/>
        </w:rPr>
        <w:t>corruption</w:t>
      </w:r>
      <w:r w:rsidR="003A017D">
        <w:rPr>
          <w:rFonts w:ascii="Garamond" w:hAnsi="Garamond"/>
          <w:sz w:val="24"/>
          <w:szCs w:val="24"/>
        </w:rPr>
        <w:t xml:space="preserve"> allegations were recently investigated against some members of the PACE. </w:t>
      </w:r>
      <w:r w:rsidR="002E19B6">
        <w:rPr>
          <w:rFonts w:ascii="Garamond" w:hAnsi="Garamond"/>
          <w:sz w:val="24"/>
          <w:szCs w:val="24"/>
        </w:rPr>
        <w:t>M</w:t>
      </w:r>
      <w:r w:rsidR="00AA264D">
        <w:rPr>
          <w:rFonts w:ascii="Garamond" w:hAnsi="Garamond"/>
          <w:sz w:val="24"/>
          <w:szCs w:val="24"/>
        </w:rPr>
        <w:t>ember state</w:t>
      </w:r>
      <w:r w:rsidR="003A017D">
        <w:rPr>
          <w:rFonts w:ascii="Garamond" w:hAnsi="Garamond"/>
          <w:sz w:val="24"/>
          <w:szCs w:val="24"/>
        </w:rPr>
        <w:t xml:space="preserve">s that </w:t>
      </w:r>
      <w:r w:rsidR="002E19B6">
        <w:rPr>
          <w:rFonts w:ascii="Garamond" w:hAnsi="Garamond"/>
          <w:sz w:val="24"/>
          <w:szCs w:val="24"/>
        </w:rPr>
        <w:t xml:space="preserve">use </w:t>
      </w:r>
      <w:r w:rsidR="003A017D">
        <w:rPr>
          <w:rFonts w:ascii="Garamond" w:hAnsi="Garamond"/>
          <w:sz w:val="24"/>
          <w:szCs w:val="24"/>
        </w:rPr>
        <w:t xml:space="preserve">corrupt methods cannot be considered as collaborating properly </w:t>
      </w:r>
      <w:r w:rsidR="006644F1">
        <w:rPr>
          <w:rFonts w:ascii="Garamond" w:hAnsi="Garamond"/>
          <w:sz w:val="24"/>
          <w:szCs w:val="24"/>
        </w:rPr>
        <w:t xml:space="preserve">and genuinely </w:t>
      </w:r>
      <w:r w:rsidR="003A017D">
        <w:rPr>
          <w:rFonts w:ascii="Garamond" w:hAnsi="Garamond"/>
          <w:sz w:val="24"/>
          <w:szCs w:val="24"/>
        </w:rPr>
        <w:t xml:space="preserve">within the framework of the </w:t>
      </w:r>
      <w:r w:rsidR="00202CB4">
        <w:rPr>
          <w:rFonts w:ascii="Garamond" w:hAnsi="Garamond"/>
          <w:sz w:val="24"/>
          <w:szCs w:val="24"/>
        </w:rPr>
        <w:t>CoE</w:t>
      </w:r>
      <w:r w:rsidR="003A017D">
        <w:rPr>
          <w:rFonts w:ascii="Garamond" w:hAnsi="Garamond"/>
          <w:sz w:val="24"/>
          <w:szCs w:val="24"/>
        </w:rPr>
        <w:t>.</w:t>
      </w:r>
      <w:r w:rsidR="003937CB">
        <w:rPr>
          <w:rFonts w:ascii="Garamond" w:hAnsi="Garamond"/>
          <w:sz w:val="24"/>
          <w:szCs w:val="24"/>
        </w:rPr>
        <w:t xml:space="preserve"> </w:t>
      </w:r>
      <w:r w:rsidR="00C35F5A">
        <w:rPr>
          <w:rFonts w:ascii="Garamond" w:hAnsi="Garamond"/>
          <w:sz w:val="24"/>
          <w:szCs w:val="24"/>
        </w:rPr>
        <w:t>The Independent Investigation Body of the PACE investigated a number of countries</w:t>
      </w:r>
      <w:r w:rsidR="003937CB">
        <w:rPr>
          <w:rStyle w:val="FootnoteReference"/>
          <w:rFonts w:ascii="Garamond" w:hAnsi="Garamond"/>
          <w:sz w:val="24"/>
          <w:szCs w:val="24"/>
        </w:rPr>
        <w:footnoteReference w:id="69"/>
      </w:r>
      <w:r w:rsidR="003937CB">
        <w:rPr>
          <w:rFonts w:ascii="Garamond" w:hAnsi="Garamond"/>
          <w:sz w:val="24"/>
          <w:szCs w:val="24"/>
        </w:rPr>
        <w:t xml:space="preserve"> </w:t>
      </w:r>
      <w:r w:rsidR="00C35F5A">
        <w:rPr>
          <w:rFonts w:ascii="Garamond" w:hAnsi="Garamond"/>
          <w:sz w:val="24"/>
          <w:szCs w:val="24"/>
        </w:rPr>
        <w:t xml:space="preserve">but </w:t>
      </w:r>
      <w:r w:rsidR="003937CB">
        <w:rPr>
          <w:rFonts w:ascii="Garamond" w:hAnsi="Garamond"/>
          <w:sz w:val="24"/>
          <w:szCs w:val="24"/>
        </w:rPr>
        <w:t xml:space="preserve">the main part of the report </w:t>
      </w:r>
      <w:r w:rsidR="00C35F5A">
        <w:rPr>
          <w:rFonts w:ascii="Garamond" w:hAnsi="Garamond"/>
          <w:sz w:val="24"/>
          <w:szCs w:val="24"/>
        </w:rPr>
        <w:t xml:space="preserve">relates to </w:t>
      </w:r>
      <w:r w:rsidR="003937CB">
        <w:rPr>
          <w:rFonts w:ascii="Garamond" w:hAnsi="Garamond"/>
          <w:sz w:val="24"/>
          <w:szCs w:val="24"/>
        </w:rPr>
        <w:t xml:space="preserve">the allegation of corruption received from Azerbaijan. The Investigation Body </w:t>
      </w:r>
      <w:r w:rsidR="006644F1">
        <w:rPr>
          <w:rFonts w:ascii="Garamond" w:hAnsi="Garamond"/>
          <w:sz w:val="24"/>
          <w:szCs w:val="24"/>
        </w:rPr>
        <w:t>opined</w:t>
      </w:r>
      <w:r w:rsidR="003937CB">
        <w:rPr>
          <w:rFonts w:ascii="Garamond" w:hAnsi="Garamond"/>
          <w:sz w:val="24"/>
          <w:szCs w:val="24"/>
        </w:rPr>
        <w:t xml:space="preserve"> that </w:t>
      </w:r>
      <w:r w:rsidR="006644F1">
        <w:rPr>
          <w:rFonts w:ascii="Garamond" w:hAnsi="Garamond"/>
          <w:sz w:val="24"/>
          <w:szCs w:val="24"/>
        </w:rPr>
        <w:t>as a</w:t>
      </w:r>
      <w:r w:rsidR="003937CB">
        <w:rPr>
          <w:rFonts w:ascii="Garamond" w:hAnsi="Garamond"/>
          <w:sz w:val="24"/>
          <w:szCs w:val="24"/>
        </w:rPr>
        <w:t xml:space="preserve"> result of corruption </w:t>
      </w:r>
      <w:r w:rsidR="006644F1">
        <w:rPr>
          <w:rFonts w:ascii="Garamond" w:hAnsi="Garamond"/>
          <w:sz w:val="24"/>
          <w:szCs w:val="24"/>
        </w:rPr>
        <w:t>the PACE softened its</w:t>
      </w:r>
      <w:r w:rsidR="003937CB">
        <w:rPr>
          <w:rFonts w:ascii="Garamond" w:hAnsi="Garamond"/>
          <w:sz w:val="24"/>
          <w:szCs w:val="24"/>
        </w:rPr>
        <w:t xml:space="preserve"> position in respect of human rights violations in Azerbaijan.</w:t>
      </w:r>
      <w:r w:rsidR="003937CB">
        <w:rPr>
          <w:rStyle w:val="FootnoteReference"/>
          <w:rFonts w:ascii="Garamond" w:hAnsi="Garamond"/>
          <w:sz w:val="24"/>
          <w:szCs w:val="24"/>
        </w:rPr>
        <w:footnoteReference w:id="70"/>
      </w:r>
      <w:r w:rsidR="00244005">
        <w:rPr>
          <w:rFonts w:ascii="Garamond" w:hAnsi="Garamond"/>
          <w:sz w:val="24"/>
          <w:szCs w:val="24"/>
        </w:rPr>
        <w:t xml:space="preserve"> </w:t>
      </w:r>
      <w:r w:rsidR="00E663E0">
        <w:rPr>
          <w:rFonts w:ascii="Garamond" w:hAnsi="Garamond"/>
          <w:sz w:val="24"/>
          <w:szCs w:val="24"/>
        </w:rPr>
        <w:t>According to the report “</w:t>
      </w:r>
      <w:r w:rsidR="00704FD4">
        <w:rPr>
          <w:rFonts w:ascii="Garamond" w:hAnsi="Garamond"/>
          <w:sz w:val="24"/>
          <w:szCs w:val="24"/>
        </w:rPr>
        <w:t>[m]</w:t>
      </w:r>
      <w:r w:rsidR="00E663E0" w:rsidRPr="00E663E0">
        <w:rPr>
          <w:rFonts w:ascii="Garamond" w:hAnsi="Garamond"/>
          <w:sz w:val="24"/>
          <w:szCs w:val="24"/>
        </w:rPr>
        <w:t xml:space="preserve">any witnesses heard by the Investigation Body also had the impression that </w:t>
      </w:r>
      <w:r w:rsidR="00704FD4">
        <w:rPr>
          <w:rFonts w:ascii="Garamond" w:hAnsi="Garamond"/>
          <w:sz w:val="24"/>
          <w:szCs w:val="24"/>
        </w:rPr>
        <w:t xml:space="preserve">gifts </w:t>
      </w:r>
      <w:r w:rsidR="00E663E0" w:rsidRPr="00E663E0">
        <w:rPr>
          <w:rFonts w:ascii="Garamond" w:hAnsi="Garamond"/>
          <w:sz w:val="24"/>
          <w:szCs w:val="24"/>
        </w:rPr>
        <w:t xml:space="preserve">and different </w:t>
      </w:r>
      <w:r w:rsidR="00704FD4">
        <w:rPr>
          <w:rFonts w:ascii="Garamond" w:hAnsi="Garamond"/>
          <w:sz w:val="24"/>
          <w:szCs w:val="24"/>
        </w:rPr>
        <w:t>forms of benefits, in some instances even money, had played a role in</w:t>
      </w:r>
      <w:r w:rsidR="00E663E0" w:rsidRPr="00E663E0">
        <w:rPr>
          <w:rFonts w:ascii="Garamond" w:hAnsi="Garamond"/>
          <w:sz w:val="24"/>
          <w:szCs w:val="24"/>
        </w:rPr>
        <w:t xml:space="preserve"> the decision-making pr</w:t>
      </w:r>
      <w:r w:rsidR="00704FD4">
        <w:rPr>
          <w:rFonts w:ascii="Garamond" w:hAnsi="Garamond"/>
          <w:sz w:val="24"/>
          <w:szCs w:val="24"/>
        </w:rPr>
        <w:t>ocesses concerning Azerbaijan</w:t>
      </w:r>
      <w:r w:rsidR="00E663E0">
        <w:rPr>
          <w:rFonts w:ascii="Garamond" w:hAnsi="Garamond"/>
          <w:sz w:val="24"/>
          <w:szCs w:val="24"/>
        </w:rPr>
        <w:t>”</w:t>
      </w:r>
      <w:r w:rsidR="00704FD4">
        <w:rPr>
          <w:rFonts w:ascii="Garamond" w:hAnsi="Garamond"/>
          <w:sz w:val="24"/>
          <w:szCs w:val="24"/>
        </w:rPr>
        <w:t>.</w:t>
      </w:r>
      <w:r w:rsidR="00704FD4">
        <w:rPr>
          <w:rStyle w:val="FootnoteReference"/>
          <w:rFonts w:ascii="Garamond" w:hAnsi="Garamond"/>
          <w:sz w:val="24"/>
          <w:szCs w:val="24"/>
        </w:rPr>
        <w:footnoteReference w:id="71"/>
      </w:r>
      <w:r w:rsidR="005F08E9">
        <w:rPr>
          <w:rFonts w:ascii="Garamond" w:hAnsi="Garamond"/>
          <w:sz w:val="24"/>
          <w:szCs w:val="24"/>
        </w:rPr>
        <w:t xml:space="preserve"> </w:t>
      </w:r>
      <w:r w:rsidR="00830EAE">
        <w:rPr>
          <w:rFonts w:ascii="Garamond" w:hAnsi="Garamond"/>
          <w:sz w:val="24"/>
          <w:szCs w:val="24"/>
        </w:rPr>
        <w:t xml:space="preserve">In considering how to respond to such methods, it may be tempting to conclude that it is the isolated behaviour of a small number of individuals. </w:t>
      </w:r>
      <w:r w:rsidR="007355E2">
        <w:rPr>
          <w:rFonts w:ascii="Garamond" w:hAnsi="Garamond"/>
          <w:sz w:val="24"/>
          <w:szCs w:val="24"/>
        </w:rPr>
        <w:t>This</w:t>
      </w:r>
      <w:r w:rsidR="00830EAE">
        <w:rPr>
          <w:rFonts w:ascii="Garamond" w:hAnsi="Garamond"/>
          <w:sz w:val="24"/>
          <w:szCs w:val="24"/>
        </w:rPr>
        <w:t xml:space="preserve"> temptation must, however, be interrogated contextually to </w:t>
      </w:r>
      <w:r w:rsidR="007355E2">
        <w:rPr>
          <w:rFonts w:ascii="Garamond" w:hAnsi="Garamond"/>
          <w:sz w:val="24"/>
          <w:szCs w:val="24"/>
        </w:rPr>
        <w:t>determine</w:t>
      </w:r>
      <w:r w:rsidR="00830EAE">
        <w:rPr>
          <w:rFonts w:ascii="Garamond" w:hAnsi="Garamond"/>
          <w:sz w:val="24"/>
          <w:szCs w:val="24"/>
        </w:rPr>
        <w:t xml:space="preserve"> whether it is simply a limited number of people, or part of a larger pattern of behaviour of that </w:t>
      </w:r>
      <w:r w:rsidR="00AA264D">
        <w:rPr>
          <w:rFonts w:ascii="Garamond" w:hAnsi="Garamond"/>
          <w:sz w:val="24"/>
          <w:szCs w:val="24"/>
        </w:rPr>
        <w:t>member state</w:t>
      </w:r>
      <w:r w:rsidR="00830EAE">
        <w:rPr>
          <w:rFonts w:ascii="Garamond" w:hAnsi="Garamond"/>
          <w:sz w:val="24"/>
          <w:szCs w:val="24"/>
        </w:rPr>
        <w:t xml:space="preserve">’s interaction with the </w:t>
      </w:r>
      <w:r w:rsidR="00202CB4">
        <w:rPr>
          <w:rFonts w:ascii="Garamond" w:hAnsi="Garamond"/>
          <w:sz w:val="24"/>
          <w:szCs w:val="24"/>
        </w:rPr>
        <w:t>CoE</w:t>
      </w:r>
      <w:r w:rsidR="00830EAE">
        <w:rPr>
          <w:rFonts w:ascii="Garamond" w:hAnsi="Garamond"/>
          <w:sz w:val="24"/>
          <w:szCs w:val="24"/>
        </w:rPr>
        <w:t xml:space="preserve">. In the latter case, the </w:t>
      </w:r>
      <w:r w:rsidR="000A1C47">
        <w:rPr>
          <w:rFonts w:ascii="Garamond" w:hAnsi="Garamond"/>
          <w:sz w:val="24"/>
          <w:szCs w:val="24"/>
        </w:rPr>
        <w:t xml:space="preserve">CoE </w:t>
      </w:r>
      <w:r w:rsidR="00830EAE">
        <w:rPr>
          <w:rFonts w:ascii="Garamond" w:hAnsi="Garamond"/>
          <w:sz w:val="24"/>
          <w:szCs w:val="24"/>
        </w:rPr>
        <w:t xml:space="preserve">should be prepared to consider the allegations holistically and act accordingly. </w:t>
      </w:r>
    </w:p>
    <w:p w14:paraId="745413CB" w14:textId="3C8872DA" w:rsidR="00797BE7" w:rsidRPr="004943DC" w:rsidRDefault="00814065" w:rsidP="004943DC">
      <w:pPr>
        <w:pStyle w:val="ListParagraph"/>
        <w:numPr>
          <w:ilvl w:val="1"/>
          <w:numId w:val="10"/>
        </w:numPr>
        <w:spacing w:line="240" w:lineRule="auto"/>
        <w:jc w:val="both"/>
        <w:rPr>
          <w:rFonts w:ascii="Garamond" w:hAnsi="Garamond"/>
          <w:b/>
          <w:sz w:val="24"/>
          <w:szCs w:val="24"/>
        </w:rPr>
      </w:pPr>
      <w:r w:rsidRPr="004943DC">
        <w:rPr>
          <w:rFonts w:ascii="Garamond" w:hAnsi="Garamond"/>
          <w:b/>
          <w:sz w:val="24"/>
          <w:szCs w:val="24"/>
        </w:rPr>
        <w:t xml:space="preserve">Creating </w:t>
      </w:r>
      <w:r w:rsidR="00D61B5F" w:rsidRPr="004943DC">
        <w:rPr>
          <w:rFonts w:ascii="Garamond" w:hAnsi="Garamond"/>
          <w:b/>
          <w:sz w:val="24"/>
          <w:szCs w:val="24"/>
        </w:rPr>
        <w:t xml:space="preserve">Domestic Legal </w:t>
      </w:r>
      <w:r w:rsidRPr="004943DC">
        <w:rPr>
          <w:rFonts w:ascii="Garamond" w:hAnsi="Garamond"/>
          <w:b/>
          <w:sz w:val="24"/>
          <w:szCs w:val="24"/>
        </w:rPr>
        <w:t>Obstacles for E</w:t>
      </w:r>
      <w:r w:rsidR="00797BE7" w:rsidRPr="004943DC">
        <w:rPr>
          <w:rFonts w:ascii="Garamond" w:hAnsi="Garamond"/>
          <w:b/>
          <w:sz w:val="24"/>
          <w:szCs w:val="24"/>
        </w:rPr>
        <w:t xml:space="preserve">xecution of </w:t>
      </w:r>
      <w:r w:rsidRPr="004943DC">
        <w:rPr>
          <w:rFonts w:ascii="Garamond" w:hAnsi="Garamond"/>
          <w:b/>
          <w:sz w:val="24"/>
          <w:szCs w:val="24"/>
        </w:rPr>
        <w:t>J</w:t>
      </w:r>
      <w:r w:rsidR="00797BE7" w:rsidRPr="004943DC">
        <w:rPr>
          <w:rFonts w:ascii="Garamond" w:hAnsi="Garamond"/>
          <w:b/>
          <w:sz w:val="24"/>
          <w:szCs w:val="24"/>
        </w:rPr>
        <w:t>udgments of the European Court of Human Rights</w:t>
      </w:r>
    </w:p>
    <w:p w14:paraId="588851C0" w14:textId="552718EF" w:rsidR="00E743F7" w:rsidRDefault="00F424C2" w:rsidP="0053726B">
      <w:pPr>
        <w:spacing w:line="240" w:lineRule="auto"/>
        <w:jc w:val="both"/>
        <w:rPr>
          <w:rFonts w:ascii="Garamond" w:hAnsi="Garamond"/>
          <w:sz w:val="24"/>
          <w:szCs w:val="24"/>
        </w:rPr>
      </w:pPr>
      <w:r w:rsidRPr="009A1694">
        <w:rPr>
          <w:rFonts w:ascii="Garamond" w:hAnsi="Garamond"/>
          <w:sz w:val="24"/>
          <w:szCs w:val="24"/>
        </w:rPr>
        <w:t xml:space="preserve">The </w:t>
      </w:r>
      <w:r w:rsidR="00C33DE8">
        <w:rPr>
          <w:rFonts w:ascii="Garamond" w:hAnsi="Garamond"/>
          <w:sz w:val="24"/>
          <w:szCs w:val="24"/>
        </w:rPr>
        <w:t>ECHR</w:t>
      </w:r>
      <w:r w:rsidRPr="009A1694">
        <w:rPr>
          <w:rFonts w:ascii="Garamond" w:hAnsi="Garamond"/>
          <w:sz w:val="24"/>
          <w:szCs w:val="24"/>
        </w:rPr>
        <w:t xml:space="preserve"> and the </w:t>
      </w:r>
      <w:r w:rsidR="000A1C47">
        <w:rPr>
          <w:rFonts w:ascii="Garamond" w:hAnsi="Garamond"/>
          <w:sz w:val="24"/>
          <w:szCs w:val="24"/>
        </w:rPr>
        <w:t xml:space="preserve">Strasbourg Court </w:t>
      </w:r>
      <w:r w:rsidRPr="009A1694">
        <w:rPr>
          <w:rFonts w:ascii="Garamond" w:hAnsi="Garamond"/>
          <w:sz w:val="24"/>
          <w:szCs w:val="24"/>
        </w:rPr>
        <w:t xml:space="preserve">are </w:t>
      </w:r>
      <w:r w:rsidR="001128F7">
        <w:rPr>
          <w:rFonts w:ascii="Garamond" w:hAnsi="Garamond"/>
          <w:sz w:val="24"/>
          <w:szCs w:val="24"/>
        </w:rPr>
        <w:t>‘</w:t>
      </w:r>
      <w:r w:rsidRPr="009A1694">
        <w:rPr>
          <w:rFonts w:ascii="Garamond" w:hAnsi="Garamond"/>
          <w:sz w:val="24"/>
          <w:szCs w:val="24"/>
        </w:rPr>
        <w:t>the crown jewel</w:t>
      </w:r>
      <w:r w:rsidR="001128F7">
        <w:rPr>
          <w:rFonts w:ascii="Garamond" w:hAnsi="Garamond"/>
          <w:sz w:val="24"/>
          <w:szCs w:val="24"/>
        </w:rPr>
        <w:t>’</w:t>
      </w:r>
      <w:r w:rsidRPr="009A1694">
        <w:rPr>
          <w:rFonts w:ascii="Garamond" w:hAnsi="Garamond"/>
          <w:sz w:val="24"/>
          <w:szCs w:val="24"/>
        </w:rPr>
        <w:t xml:space="preserve"> of the </w:t>
      </w:r>
      <w:r w:rsidR="000A1C47">
        <w:rPr>
          <w:rFonts w:ascii="Garamond" w:hAnsi="Garamond"/>
          <w:sz w:val="24"/>
          <w:szCs w:val="24"/>
        </w:rPr>
        <w:t>CoE</w:t>
      </w:r>
      <w:r w:rsidRPr="009A1694">
        <w:rPr>
          <w:rFonts w:ascii="Garamond" w:hAnsi="Garamond"/>
          <w:sz w:val="24"/>
          <w:szCs w:val="24"/>
        </w:rPr>
        <w:t xml:space="preserve">. They are the essential parts of the Council and </w:t>
      </w:r>
      <w:r w:rsidR="00334A96">
        <w:rPr>
          <w:rFonts w:ascii="Garamond" w:hAnsi="Garamond"/>
          <w:sz w:val="24"/>
          <w:szCs w:val="24"/>
        </w:rPr>
        <w:t xml:space="preserve">the </w:t>
      </w:r>
      <w:r w:rsidRPr="009A1694">
        <w:rPr>
          <w:rFonts w:ascii="Garamond" w:hAnsi="Garamond"/>
          <w:sz w:val="24"/>
          <w:szCs w:val="24"/>
        </w:rPr>
        <w:t>key elements of the Strasbourg system of human rights protection.</w:t>
      </w:r>
      <w:r w:rsidR="00C54806" w:rsidRPr="009A1694">
        <w:rPr>
          <w:rFonts w:ascii="Garamond" w:hAnsi="Garamond"/>
          <w:sz w:val="24"/>
          <w:szCs w:val="24"/>
        </w:rPr>
        <w:t xml:space="preserve"> Failure to cooperate with the ECtHR effectively means failure to collaborate with the </w:t>
      </w:r>
      <w:r w:rsidR="000A1C47">
        <w:rPr>
          <w:rFonts w:ascii="Garamond" w:hAnsi="Garamond"/>
          <w:sz w:val="24"/>
          <w:szCs w:val="24"/>
        </w:rPr>
        <w:t>CoE</w:t>
      </w:r>
      <w:r w:rsidR="00C54806" w:rsidRPr="009A1694">
        <w:rPr>
          <w:rFonts w:ascii="Garamond" w:hAnsi="Garamond"/>
          <w:sz w:val="24"/>
          <w:szCs w:val="24"/>
        </w:rPr>
        <w:t xml:space="preserve">. </w:t>
      </w:r>
      <w:r w:rsidR="00E743F7">
        <w:rPr>
          <w:rFonts w:ascii="Garamond" w:hAnsi="Garamond"/>
          <w:sz w:val="24"/>
          <w:szCs w:val="24"/>
        </w:rPr>
        <w:t xml:space="preserve">The recent </w:t>
      </w:r>
      <w:r w:rsidR="000A1C47">
        <w:rPr>
          <w:rFonts w:ascii="Garamond" w:hAnsi="Garamond"/>
          <w:sz w:val="24"/>
          <w:szCs w:val="24"/>
        </w:rPr>
        <w:t>developments in</w:t>
      </w:r>
      <w:r w:rsidR="00E743F7">
        <w:rPr>
          <w:rFonts w:ascii="Garamond" w:hAnsi="Garamond"/>
          <w:sz w:val="24"/>
          <w:szCs w:val="24"/>
        </w:rPr>
        <w:t xml:space="preserve"> Russia in this regard </w:t>
      </w:r>
      <w:r w:rsidR="000A1C47">
        <w:rPr>
          <w:rFonts w:ascii="Garamond" w:hAnsi="Garamond"/>
          <w:sz w:val="24"/>
          <w:szCs w:val="24"/>
        </w:rPr>
        <w:t xml:space="preserve">are </w:t>
      </w:r>
      <w:r w:rsidR="00E743F7">
        <w:rPr>
          <w:rFonts w:ascii="Garamond" w:hAnsi="Garamond"/>
          <w:sz w:val="24"/>
          <w:szCs w:val="24"/>
        </w:rPr>
        <w:t xml:space="preserve">particularly troubling. </w:t>
      </w:r>
      <w:r w:rsidR="00C35F5A">
        <w:rPr>
          <w:rFonts w:ascii="Garamond" w:hAnsi="Garamond"/>
          <w:sz w:val="24"/>
          <w:szCs w:val="24"/>
        </w:rPr>
        <w:t>Russia</w:t>
      </w:r>
      <w:r w:rsidR="007C412A">
        <w:rPr>
          <w:rFonts w:ascii="Garamond" w:hAnsi="Garamond"/>
          <w:sz w:val="24"/>
          <w:szCs w:val="24"/>
        </w:rPr>
        <w:t xml:space="preserve"> has threatened </w:t>
      </w:r>
      <w:r w:rsidR="00E743F7">
        <w:rPr>
          <w:rFonts w:ascii="Garamond" w:hAnsi="Garamond"/>
          <w:sz w:val="24"/>
          <w:szCs w:val="24"/>
        </w:rPr>
        <w:t>to denounce the ECHR because of the belief that the ECtHR delivers judgments adverse to Russian national interests</w:t>
      </w:r>
      <w:r w:rsidR="007C412A">
        <w:rPr>
          <w:rFonts w:ascii="Garamond" w:hAnsi="Garamond"/>
          <w:sz w:val="24"/>
          <w:szCs w:val="24"/>
        </w:rPr>
        <w:t xml:space="preserve">; such </w:t>
      </w:r>
      <w:r w:rsidR="0033792C">
        <w:rPr>
          <w:rFonts w:ascii="Garamond" w:hAnsi="Garamond"/>
          <w:sz w:val="24"/>
          <w:szCs w:val="24"/>
        </w:rPr>
        <w:t xml:space="preserve">a </w:t>
      </w:r>
      <w:r w:rsidR="007C412A">
        <w:rPr>
          <w:rFonts w:ascii="Garamond" w:hAnsi="Garamond"/>
          <w:sz w:val="24"/>
          <w:szCs w:val="24"/>
        </w:rPr>
        <w:t>threat</w:t>
      </w:r>
      <w:r w:rsidR="00E743F7">
        <w:rPr>
          <w:rFonts w:ascii="Garamond" w:hAnsi="Garamond"/>
          <w:sz w:val="24"/>
          <w:szCs w:val="24"/>
        </w:rPr>
        <w:t xml:space="preserve"> is in conflict with a commitment to collaborate in </w:t>
      </w:r>
      <w:r w:rsidR="007C412A">
        <w:rPr>
          <w:rFonts w:ascii="Garamond" w:hAnsi="Garamond"/>
          <w:sz w:val="24"/>
          <w:szCs w:val="24"/>
        </w:rPr>
        <w:t>the area of</w:t>
      </w:r>
      <w:r w:rsidR="00E743F7">
        <w:rPr>
          <w:rFonts w:ascii="Garamond" w:hAnsi="Garamond"/>
          <w:sz w:val="24"/>
          <w:szCs w:val="24"/>
        </w:rPr>
        <w:t xml:space="preserve"> human rights protection</w:t>
      </w:r>
      <w:r w:rsidR="0033792C">
        <w:rPr>
          <w:rFonts w:ascii="Garamond" w:hAnsi="Garamond"/>
          <w:sz w:val="24"/>
          <w:szCs w:val="24"/>
        </w:rPr>
        <w:t xml:space="preserve"> and can be seen as an attempt to influence the </w:t>
      </w:r>
      <w:r w:rsidR="000A1C47">
        <w:rPr>
          <w:rFonts w:ascii="Garamond" w:hAnsi="Garamond"/>
          <w:sz w:val="24"/>
          <w:szCs w:val="24"/>
        </w:rPr>
        <w:t xml:space="preserve">outcomes </w:t>
      </w:r>
      <w:r w:rsidR="0033792C">
        <w:rPr>
          <w:rFonts w:ascii="Garamond" w:hAnsi="Garamond"/>
          <w:sz w:val="24"/>
          <w:szCs w:val="24"/>
        </w:rPr>
        <w:t>of cases in a manner more amenable to Russian interests</w:t>
      </w:r>
      <w:r w:rsidR="00E743F7">
        <w:rPr>
          <w:rFonts w:ascii="Garamond" w:hAnsi="Garamond"/>
          <w:sz w:val="24"/>
          <w:szCs w:val="24"/>
        </w:rPr>
        <w:t>.</w:t>
      </w:r>
      <w:r w:rsidR="00D74530">
        <w:rPr>
          <w:rStyle w:val="FootnoteReference"/>
          <w:rFonts w:ascii="Garamond" w:hAnsi="Garamond"/>
          <w:sz w:val="24"/>
          <w:szCs w:val="24"/>
        </w:rPr>
        <w:footnoteReference w:id="72"/>
      </w:r>
      <w:r w:rsidR="00E743F7">
        <w:rPr>
          <w:rFonts w:ascii="Garamond" w:hAnsi="Garamond"/>
          <w:sz w:val="24"/>
          <w:szCs w:val="24"/>
        </w:rPr>
        <w:t xml:space="preserve"> </w:t>
      </w:r>
      <w:r w:rsidR="007009FF">
        <w:rPr>
          <w:rFonts w:ascii="Garamond" w:hAnsi="Garamond"/>
          <w:sz w:val="24"/>
          <w:szCs w:val="24"/>
        </w:rPr>
        <w:t>T</w:t>
      </w:r>
      <w:r w:rsidR="00853C8E">
        <w:rPr>
          <w:rFonts w:ascii="Garamond" w:hAnsi="Garamond"/>
          <w:sz w:val="24"/>
          <w:szCs w:val="24"/>
        </w:rPr>
        <w:t>he</w:t>
      </w:r>
      <w:r w:rsidR="00E743F7">
        <w:rPr>
          <w:rFonts w:ascii="Garamond" w:hAnsi="Garamond"/>
          <w:sz w:val="24"/>
          <w:szCs w:val="24"/>
        </w:rPr>
        <w:t xml:space="preserve"> </w:t>
      </w:r>
      <w:r w:rsidR="00881F0A">
        <w:rPr>
          <w:rFonts w:ascii="Garamond" w:hAnsi="Garamond"/>
          <w:sz w:val="24"/>
          <w:szCs w:val="24"/>
        </w:rPr>
        <w:t>lack of cooperation of</w:t>
      </w:r>
      <w:r w:rsidR="00E743F7">
        <w:rPr>
          <w:rFonts w:ascii="Garamond" w:hAnsi="Garamond"/>
          <w:sz w:val="24"/>
          <w:szCs w:val="24"/>
        </w:rPr>
        <w:t xml:space="preserve"> Russia </w:t>
      </w:r>
      <w:r w:rsidR="00881F0A">
        <w:rPr>
          <w:rFonts w:ascii="Garamond" w:hAnsi="Garamond"/>
          <w:sz w:val="24"/>
          <w:szCs w:val="24"/>
        </w:rPr>
        <w:t>with the</w:t>
      </w:r>
      <w:r w:rsidR="00E743F7">
        <w:rPr>
          <w:rFonts w:ascii="Garamond" w:hAnsi="Garamond"/>
          <w:sz w:val="24"/>
          <w:szCs w:val="24"/>
        </w:rPr>
        <w:t xml:space="preserve"> PACE has led to the incredible suggestion</w:t>
      </w:r>
      <w:r w:rsidR="0033792C">
        <w:rPr>
          <w:rFonts w:ascii="Garamond" w:hAnsi="Garamond"/>
          <w:sz w:val="24"/>
          <w:szCs w:val="24"/>
        </w:rPr>
        <w:t xml:space="preserve"> made by the Speaker of the Russian Senate</w:t>
      </w:r>
      <w:r w:rsidR="00E743F7">
        <w:rPr>
          <w:rFonts w:ascii="Garamond" w:hAnsi="Garamond"/>
          <w:sz w:val="24"/>
          <w:szCs w:val="24"/>
        </w:rPr>
        <w:t xml:space="preserve"> that the judges of the ECtHR </w:t>
      </w:r>
      <w:r w:rsidR="00881F0A">
        <w:rPr>
          <w:rFonts w:ascii="Garamond" w:hAnsi="Garamond"/>
          <w:sz w:val="24"/>
          <w:szCs w:val="24"/>
        </w:rPr>
        <w:t>who</w:t>
      </w:r>
      <w:r w:rsidR="00E743F7">
        <w:rPr>
          <w:rFonts w:ascii="Garamond" w:hAnsi="Garamond"/>
          <w:sz w:val="24"/>
          <w:szCs w:val="24"/>
        </w:rPr>
        <w:t xml:space="preserve"> were </w:t>
      </w:r>
      <w:r w:rsidR="00881F0A">
        <w:rPr>
          <w:rFonts w:ascii="Garamond" w:hAnsi="Garamond"/>
          <w:sz w:val="24"/>
          <w:szCs w:val="24"/>
        </w:rPr>
        <w:t>elected</w:t>
      </w:r>
      <w:r w:rsidR="00E743F7">
        <w:rPr>
          <w:rFonts w:ascii="Garamond" w:hAnsi="Garamond"/>
          <w:sz w:val="24"/>
          <w:szCs w:val="24"/>
        </w:rPr>
        <w:t xml:space="preserve"> after the </w:t>
      </w:r>
      <w:r w:rsidR="000A1C47">
        <w:rPr>
          <w:rFonts w:ascii="Garamond" w:hAnsi="Garamond"/>
          <w:sz w:val="24"/>
          <w:szCs w:val="24"/>
        </w:rPr>
        <w:t xml:space="preserve">self-induced </w:t>
      </w:r>
      <w:r w:rsidR="00881F0A">
        <w:rPr>
          <w:rFonts w:ascii="Garamond" w:hAnsi="Garamond"/>
          <w:sz w:val="24"/>
          <w:szCs w:val="24"/>
        </w:rPr>
        <w:t>departure</w:t>
      </w:r>
      <w:r w:rsidR="00E743F7">
        <w:rPr>
          <w:rFonts w:ascii="Garamond" w:hAnsi="Garamond"/>
          <w:sz w:val="24"/>
          <w:szCs w:val="24"/>
        </w:rPr>
        <w:t xml:space="preserve"> of the</w:t>
      </w:r>
      <w:r w:rsidR="00CE0003">
        <w:rPr>
          <w:rFonts w:ascii="Garamond" w:hAnsi="Garamond"/>
          <w:sz w:val="24"/>
          <w:szCs w:val="24"/>
        </w:rPr>
        <w:t xml:space="preserve"> </w:t>
      </w:r>
      <w:r w:rsidR="00E743F7">
        <w:rPr>
          <w:rFonts w:ascii="Garamond" w:hAnsi="Garamond"/>
          <w:sz w:val="24"/>
          <w:szCs w:val="24"/>
        </w:rPr>
        <w:t xml:space="preserve">Russian </w:t>
      </w:r>
      <w:r w:rsidR="00676443">
        <w:rPr>
          <w:rFonts w:ascii="Garamond" w:hAnsi="Garamond"/>
          <w:sz w:val="24"/>
          <w:szCs w:val="24"/>
        </w:rPr>
        <w:t>D</w:t>
      </w:r>
      <w:r w:rsidR="00E743F7">
        <w:rPr>
          <w:rFonts w:ascii="Garamond" w:hAnsi="Garamond"/>
          <w:sz w:val="24"/>
          <w:szCs w:val="24"/>
        </w:rPr>
        <w:t>elegation</w:t>
      </w:r>
      <w:r w:rsidR="00881F0A">
        <w:rPr>
          <w:rFonts w:ascii="Garamond" w:hAnsi="Garamond"/>
          <w:sz w:val="24"/>
          <w:szCs w:val="24"/>
        </w:rPr>
        <w:t xml:space="preserve"> from the PACE</w:t>
      </w:r>
      <w:r w:rsidR="00E743F7">
        <w:rPr>
          <w:rFonts w:ascii="Garamond" w:hAnsi="Garamond"/>
          <w:sz w:val="24"/>
          <w:szCs w:val="24"/>
        </w:rPr>
        <w:t xml:space="preserve"> should not give judgments against Russia</w:t>
      </w:r>
      <w:r w:rsidR="00881F0A">
        <w:rPr>
          <w:rFonts w:ascii="Garamond" w:hAnsi="Garamond"/>
          <w:sz w:val="24"/>
          <w:szCs w:val="24"/>
        </w:rPr>
        <w:t xml:space="preserve">. </w:t>
      </w:r>
      <w:r w:rsidR="0033792C">
        <w:rPr>
          <w:rFonts w:ascii="Garamond" w:hAnsi="Garamond"/>
          <w:sz w:val="24"/>
          <w:szCs w:val="24"/>
        </w:rPr>
        <w:t>On this view, i</w:t>
      </w:r>
      <w:r w:rsidR="00881F0A">
        <w:rPr>
          <w:rFonts w:ascii="Garamond" w:hAnsi="Garamond"/>
          <w:sz w:val="24"/>
          <w:szCs w:val="24"/>
        </w:rPr>
        <w:t>f at least one such judge is on the bench then</w:t>
      </w:r>
      <w:r w:rsidR="00E743F7">
        <w:rPr>
          <w:rFonts w:ascii="Garamond" w:hAnsi="Garamond"/>
          <w:sz w:val="24"/>
          <w:szCs w:val="24"/>
        </w:rPr>
        <w:t xml:space="preserve"> these judgments </w:t>
      </w:r>
      <w:r w:rsidR="00881F0A">
        <w:rPr>
          <w:rFonts w:ascii="Garamond" w:hAnsi="Garamond"/>
          <w:sz w:val="24"/>
          <w:szCs w:val="24"/>
        </w:rPr>
        <w:t>are</w:t>
      </w:r>
      <w:r w:rsidR="00E743F7">
        <w:rPr>
          <w:rFonts w:ascii="Garamond" w:hAnsi="Garamond"/>
          <w:sz w:val="24"/>
          <w:szCs w:val="24"/>
        </w:rPr>
        <w:t xml:space="preserve"> illegitimate and should not be executed.</w:t>
      </w:r>
      <w:r w:rsidR="008B3A58">
        <w:rPr>
          <w:rStyle w:val="FootnoteReference"/>
          <w:rFonts w:ascii="Garamond" w:hAnsi="Garamond"/>
          <w:sz w:val="24"/>
          <w:szCs w:val="24"/>
        </w:rPr>
        <w:footnoteReference w:id="73"/>
      </w:r>
      <w:r w:rsidR="009A66FE">
        <w:rPr>
          <w:rFonts w:ascii="Garamond" w:hAnsi="Garamond"/>
          <w:sz w:val="24"/>
          <w:szCs w:val="24"/>
        </w:rPr>
        <w:t xml:space="preserve"> </w:t>
      </w:r>
      <w:r w:rsidR="00E743F7">
        <w:rPr>
          <w:rFonts w:ascii="Garamond" w:hAnsi="Garamond"/>
          <w:sz w:val="24"/>
          <w:szCs w:val="24"/>
        </w:rPr>
        <w:t xml:space="preserve">Legally speaking, this is </w:t>
      </w:r>
      <w:r w:rsidR="007C412A">
        <w:rPr>
          <w:rFonts w:ascii="Garamond" w:hAnsi="Garamond"/>
          <w:sz w:val="24"/>
          <w:szCs w:val="24"/>
        </w:rPr>
        <w:t xml:space="preserve">clearly </w:t>
      </w:r>
      <w:r w:rsidR="00E743F7">
        <w:rPr>
          <w:rFonts w:ascii="Garamond" w:hAnsi="Garamond"/>
          <w:sz w:val="24"/>
          <w:szCs w:val="24"/>
        </w:rPr>
        <w:lastRenderedPageBreak/>
        <w:t>incorrect as</w:t>
      </w:r>
      <w:r w:rsidR="00E8007A">
        <w:rPr>
          <w:rFonts w:ascii="Garamond" w:hAnsi="Garamond"/>
          <w:sz w:val="24"/>
          <w:szCs w:val="24"/>
        </w:rPr>
        <w:t xml:space="preserve"> the Convention only indicates that the judges should be elected by the </w:t>
      </w:r>
      <w:r w:rsidR="00881F0A">
        <w:rPr>
          <w:rFonts w:ascii="Garamond" w:hAnsi="Garamond"/>
          <w:sz w:val="24"/>
          <w:szCs w:val="24"/>
        </w:rPr>
        <w:t>PACE</w:t>
      </w:r>
      <w:r w:rsidR="00E8007A">
        <w:rPr>
          <w:rFonts w:ascii="Garamond" w:hAnsi="Garamond"/>
          <w:sz w:val="24"/>
          <w:szCs w:val="24"/>
        </w:rPr>
        <w:t>;</w:t>
      </w:r>
      <w:r w:rsidR="00E8007A">
        <w:rPr>
          <w:rStyle w:val="FootnoteReference"/>
          <w:rFonts w:ascii="Garamond" w:hAnsi="Garamond"/>
          <w:sz w:val="24"/>
          <w:szCs w:val="24"/>
        </w:rPr>
        <w:footnoteReference w:id="74"/>
      </w:r>
      <w:r w:rsidR="00E743F7">
        <w:rPr>
          <w:rFonts w:ascii="Garamond" w:hAnsi="Garamond"/>
          <w:sz w:val="24"/>
          <w:szCs w:val="24"/>
        </w:rPr>
        <w:t xml:space="preserve"> it does not</w:t>
      </w:r>
      <w:r w:rsidR="00E8007A">
        <w:rPr>
          <w:rFonts w:ascii="Garamond" w:hAnsi="Garamond"/>
          <w:sz w:val="24"/>
          <w:szCs w:val="24"/>
        </w:rPr>
        <w:t xml:space="preserve"> state the exact composition of the PACE. All election</w:t>
      </w:r>
      <w:r w:rsidR="00E743F7">
        <w:rPr>
          <w:rFonts w:ascii="Garamond" w:hAnsi="Garamond"/>
          <w:sz w:val="24"/>
          <w:szCs w:val="24"/>
        </w:rPr>
        <w:t>s</w:t>
      </w:r>
      <w:r w:rsidR="00E8007A">
        <w:rPr>
          <w:rFonts w:ascii="Garamond" w:hAnsi="Garamond"/>
          <w:sz w:val="24"/>
          <w:szCs w:val="24"/>
        </w:rPr>
        <w:t xml:space="preserve"> were conducted in accordance with the internal procedures of the PACE and therefore </w:t>
      </w:r>
      <w:r w:rsidR="00E743F7">
        <w:rPr>
          <w:rFonts w:ascii="Garamond" w:hAnsi="Garamond"/>
          <w:sz w:val="24"/>
          <w:szCs w:val="24"/>
        </w:rPr>
        <w:t xml:space="preserve">the </w:t>
      </w:r>
      <w:r w:rsidR="00E8007A">
        <w:rPr>
          <w:rFonts w:ascii="Garamond" w:hAnsi="Garamond"/>
          <w:sz w:val="24"/>
          <w:szCs w:val="24"/>
        </w:rPr>
        <w:t xml:space="preserve">lack of participation </w:t>
      </w:r>
      <w:r w:rsidR="00E743F7">
        <w:rPr>
          <w:rFonts w:ascii="Garamond" w:hAnsi="Garamond"/>
          <w:sz w:val="24"/>
          <w:szCs w:val="24"/>
        </w:rPr>
        <w:t xml:space="preserve">of Russia </w:t>
      </w:r>
      <w:r w:rsidR="00E8007A">
        <w:rPr>
          <w:rFonts w:ascii="Garamond" w:hAnsi="Garamond"/>
          <w:sz w:val="24"/>
          <w:szCs w:val="24"/>
        </w:rPr>
        <w:t xml:space="preserve">does not negate the legitimacy of the Court. </w:t>
      </w:r>
      <w:r w:rsidR="00E743F7">
        <w:rPr>
          <w:rFonts w:ascii="Garamond" w:hAnsi="Garamond"/>
          <w:sz w:val="24"/>
          <w:szCs w:val="24"/>
        </w:rPr>
        <w:t xml:space="preserve">Moreover, the argument is further flawed as it would mean that a country which </w:t>
      </w:r>
      <w:r w:rsidR="009C5107">
        <w:rPr>
          <w:rFonts w:ascii="Garamond" w:hAnsi="Garamond"/>
          <w:sz w:val="24"/>
          <w:szCs w:val="24"/>
        </w:rPr>
        <w:t>intended to commit a systemic violation of human rights</w:t>
      </w:r>
      <w:r w:rsidR="00E743F7">
        <w:rPr>
          <w:rFonts w:ascii="Garamond" w:hAnsi="Garamond"/>
          <w:sz w:val="24"/>
          <w:szCs w:val="24"/>
        </w:rPr>
        <w:t xml:space="preserve"> could withdraw their delegation and subsequently argue </w:t>
      </w:r>
      <w:r w:rsidR="00C33DE8">
        <w:rPr>
          <w:rFonts w:ascii="Garamond" w:hAnsi="Garamond"/>
          <w:sz w:val="24"/>
          <w:szCs w:val="24"/>
        </w:rPr>
        <w:t xml:space="preserve">that </w:t>
      </w:r>
      <w:r w:rsidR="00E743F7">
        <w:rPr>
          <w:rFonts w:ascii="Garamond" w:hAnsi="Garamond"/>
          <w:sz w:val="24"/>
          <w:szCs w:val="24"/>
        </w:rPr>
        <w:t xml:space="preserve">judgments </w:t>
      </w:r>
      <w:r w:rsidR="00CE0003">
        <w:rPr>
          <w:rFonts w:ascii="Garamond" w:hAnsi="Garamond"/>
          <w:sz w:val="24"/>
          <w:szCs w:val="24"/>
        </w:rPr>
        <w:t>which were adverse to</w:t>
      </w:r>
      <w:r w:rsidR="00E743F7">
        <w:rPr>
          <w:rFonts w:ascii="Garamond" w:hAnsi="Garamond"/>
          <w:sz w:val="24"/>
          <w:szCs w:val="24"/>
        </w:rPr>
        <w:t xml:space="preserve"> them</w:t>
      </w:r>
      <w:r w:rsidR="009C5107">
        <w:rPr>
          <w:rFonts w:ascii="Garamond" w:hAnsi="Garamond"/>
          <w:sz w:val="24"/>
          <w:szCs w:val="24"/>
        </w:rPr>
        <w:t xml:space="preserve"> were invalid</w:t>
      </w:r>
      <w:r w:rsidR="00E743F7">
        <w:rPr>
          <w:rFonts w:ascii="Garamond" w:hAnsi="Garamond"/>
          <w:sz w:val="24"/>
          <w:szCs w:val="24"/>
        </w:rPr>
        <w:t xml:space="preserve">. </w:t>
      </w:r>
    </w:p>
    <w:p w14:paraId="00B50819" w14:textId="4A3A840C" w:rsidR="0004203D" w:rsidRDefault="00C54806" w:rsidP="0053726B">
      <w:pPr>
        <w:spacing w:line="240" w:lineRule="auto"/>
        <w:jc w:val="both"/>
        <w:rPr>
          <w:rFonts w:ascii="Garamond" w:hAnsi="Garamond"/>
          <w:sz w:val="24"/>
          <w:szCs w:val="24"/>
        </w:rPr>
      </w:pPr>
      <w:r w:rsidRPr="009A1694">
        <w:rPr>
          <w:rFonts w:ascii="Garamond" w:hAnsi="Garamond"/>
          <w:sz w:val="24"/>
          <w:szCs w:val="24"/>
        </w:rPr>
        <w:t xml:space="preserve">In recent years, attempts have been made to justify </w:t>
      </w:r>
      <w:r w:rsidR="009C5107">
        <w:rPr>
          <w:rFonts w:ascii="Garamond" w:hAnsi="Garamond"/>
          <w:sz w:val="24"/>
          <w:szCs w:val="24"/>
        </w:rPr>
        <w:t xml:space="preserve">the </w:t>
      </w:r>
      <w:r w:rsidR="00050C44" w:rsidRPr="009A1694">
        <w:rPr>
          <w:rFonts w:ascii="Garamond" w:hAnsi="Garamond"/>
          <w:sz w:val="24"/>
          <w:szCs w:val="24"/>
        </w:rPr>
        <w:t>failure to implement the judgments of the ECtHR b</w:t>
      </w:r>
      <w:r w:rsidR="0004203D">
        <w:rPr>
          <w:rFonts w:ascii="Garamond" w:hAnsi="Garamond"/>
          <w:sz w:val="24"/>
          <w:szCs w:val="24"/>
        </w:rPr>
        <w:t>y</w:t>
      </w:r>
      <w:r w:rsidR="00050C44" w:rsidRPr="009A1694">
        <w:rPr>
          <w:rFonts w:ascii="Garamond" w:hAnsi="Garamond"/>
          <w:sz w:val="24"/>
          <w:szCs w:val="24"/>
        </w:rPr>
        <w:t xml:space="preserve"> reference to the provisions of </w:t>
      </w:r>
      <w:r w:rsidR="0004203D">
        <w:rPr>
          <w:rFonts w:ascii="Garamond" w:hAnsi="Garamond"/>
          <w:sz w:val="24"/>
          <w:szCs w:val="24"/>
        </w:rPr>
        <w:t>n</w:t>
      </w:r>
      <w:r w:rsidR="00050C44" w:rsidRPr="009A1694">
        <w:rPr>
          <w:rFonts w:ascii="Garamond" w:hAnsi="Garamond"/>
          <w:sz w:val="24"/>
          <w:szCs w:val="24"/>
        </w:rPr>
        <w:t xml:space="preserve">ational </w:t>
      </w:r>
      <w:r w:rsidR="0004203D">
        <w:rPr>
          <w:rFonts w:ascii="Garamond" w:hAnsi="Garamond"/>
          <w:sz w:val="24"/>
          <w:szCs w:val="24"/>
        </w:rPr>
        <w:t>law</w:t>
      </w:r>
      <w:r w:rsidR="00050C44" w:rsidRPr="009A1694">
        <w:rPr>
          <w:rFonts w:ascii="Garamond" w:hAnsi="Garamond"/>
          <w:sz w:val="24"/>
          <w:szCs w:val="24"/>
        </w:rPr>
        <w:t xml:space="preserve">. </w:t>
      </w:r>
      <w:r w:rsidR="0004203D">
        <w:rPr>
          <w:rFonts w:ascii="Garamond" w:hAnsi="Garamond"/>
          <w:sz w:val="24"/>
          <w:szCs w:val="24"/>
        </w:rPr>
        <w:t xml:space="preserve">The issue </w:t>
      </w:r>
      <w:r w:rsidR="001128F7">
        <w:rPr>
          <w:rFonts w:ascii="Garamond" w:hAnsi="Garamond"/>
          <w:sz w:val="24"/>
          <w:szCs w:val="24"/>
        </w:rPr>
        <w:t xml:space="preserve">manifests </w:t>
      </w:r>
      <w:r w:rsidR="00330578">
        <w:rPr>
          <w:rFonts w:ascii="Garamond" w:hAnsi="Garamond"/>
          <w:sz w:val="24"/>
          <w:szCs w:val="24"/>
        </w:rPr>
        <w:t xml:space="preserve">itself </w:t>
      </w:r>
      <w:r w:rsidR="0004203D">
        <w:rPr>
          <w:rFonts w:ascii="Garamond" w:hAnsi="Garamond"/>
          <w:sz w:val="24"/>
          <w:szCs w:val="24"/>
        </w:rPr>
        <w:t xml:space="preserve">in the following manner: in cases of conflict between the requirements of the ECtHR and national constitutions, national courts may choose to follow their own constitutional </w:t>
      </w:r>
      <w:r w:rsidR="001128F7">
        <w:rPr>
          <w:rFonts w:ascii="Garamond" w:hAnsi="Garamond"/>
          <w:sz w:val="24"/>
          <w:szCs w:val="24"/>
        </w:rPr>
        <w:t xml:space="preserve">provisions </w:t>
      </w:r>
      <w:r w:rsidR="0004203D">
        <w:rPr>
          <w:rFonts w:ascii="Garamond" w:hAnsi="Garamond"/>
          <w:sz w:val="24"/>
          <w:szCs w:val="24"/>
        </w:rPr>
        <w:t xml:space="preserve">rather than the judgments of the ECtHR. </w:t>
      </w:r>
      <w:r w:rsidR="001128F7">
        <w:rPr>
          <w:rFonts w:ascii="Garamond" w:hAnsi="Garamond"/>
          <w:sz w:val="24"/>
          <w:szCs w:val="24"/>
        </w:rPr>
        <w:t xml:space="preserve">This </w:t>
      </w:r>
      <w:r w:rsidR="0003463C">
        <w:rPr>
          <w:rFonts w:ascii="Garamond" w:hAnsi="Garamond"/>
          <w:sz w:val="24"/>
          <w:szCs w:val="24"/>
        </w:rPr>
        <w:t xml:space="preserve">approach is highly problematic because it </w:t>
      </w:r>
      <w:r w:rsidR="0004203D">
        <w:rPr>
          <w:rFonts w:ascii="Garamond" w:hAnsi="Garamond"/>
          <w:sz w:val="24"/>
          <w:szCs w:val="24"/>
        </w:rPr>
        <w:t>is in contravention of Article 27 of the Vienna Convention on the Law of Treaties.</w:t>
      </w:r>
      <w:r w:rsidR="006644F1">
        <w:rPr>
          <w:rStyle w:val="FootnoteReference"/>
          <w:rFonts w:ascii="Garamond" w:hAnsi="Garamond"/>
          <w:sz w:val="24"/>
          <w:szCs w:val="24"/>
        </w:rPr>
        <w:footnoteReference w:id="75"/>
      </w:r>
      <w:r w:rsidR="0004203D">
        <w:rPr>
          <w:rFonts w:ascii="Garamond" w:hAnsi="Garamond"/>
          <w:sz w:val="24"/>
          <w:szCs w:val="24"/>
        </w:rPr>
        <w:t xml:space="preserve"> </w:t>
      </w:r>
      <w:r w:rsidR="007C38EC">
        <w:rPr>
          <w:rFonts w:ascii="Garamond" w:hAnsi="Garamond"/>
          <w:sz w:val="24"/>
          <w:szCs w:val="24"/>
        </w:rPr>
        <w:t>International obligations continue to exist even if the national law says otherwise and the state in question is responsible for the</w:t>
      </w:r>
      <w:r w:rsidR="00702CA5">
        <w:rPr>
          <w:rFonts w:ascii="Garamond" w:hAnsi="Garamond"/>
          <w:sz w:val="24"/>
          <w:szCs w:val="24"/>
        </w:rPr>
        <w:t>ir violations.</w:t>
      </w:r>
      <w:r w:rsidR="001128F7">
        <w:rPr>
          <w:rStyle w:val="FootnoteReference"/>
          <w:rFonts w:ascii="Garamond" w:hAnsi="Garamond"/>
          <w:sz w:val="24"/>
          <w:szCs w:val="24"/>
        </w:rPr>
        <w:footnoteReference w:id="76"/>
      </w:r>
      <w:r w:rsidR="00FE51EB">
        <w:rPr>
          <w:rFonts w:ascii="Garamond" w:hAnsi="Garamond"/>
          <w:sz w:val="24"/>
          <w:szCs w:val="24"/>
        </w:rPr>
        <w:t xml:space="preserve"> </w:t>
      </w:r>
      <w:r w:rsidR="00702CA5">
        <w:rPr>
          <w:rFonts w:ascii="Garamond" w:hAnsi="Garamond"/>
          <w:sz w:val="24"/>
          <w:szCs w:val="24"/>
        </w:rPr>
        <w:t>In the past if such conflicts ar</w:t>
      </w:r>
      <w:r w:rsidR="009C5107">
        <w:rPr>
          <w:rFonts w:ascii="Garamond" w:hAnsi="Garamond"/>
          <w:sz w:val="24"/>
          <w:szCs w:val="24"/>
        </w:rPr>
        <w:t>o</w:t>
      </w:r>
      <w:r w:rsidR="00702CA5">
        <w:rPr>
          <w:rFonts w:ascii="Garamond" w:hAnsi="Garamond"/>
          <w:sz w:val="24"/>
          <w:szCs w:val="24"/>
        </w:rPr>
        <w:t>se the apex courts tried to solve them through the means of interpretation.</w:t>
      </w:r>
      <w:bookmarkStart w:id="5" w:name="_Ref536194567"/>
      <w:r w:rsidR="007C412A">
        <w:rPr>
          <w:rStyle w:val="FootnoteReference"/>
          <w:rFonts w:ascii="Garamond" w:hAnsi="Garamond"/>
          <w:sz w:val="24"/>
          <w:szCs w:val="24"/>
        </w:rPr>
        <w:footnoteReference w:id="77"/>
      </w:r>
      <w:bookmarkEnd w:id="5"/>
      <w:r w:rsidR="00702CA5">
        <w:rPr>
          <w:rFonts w:ascii="Garamond" w:hAnsi="Garamond"/>
          <w:sz w:val="24"/>
          <w:szCs w:val="24"/>
        </w:rPr>
        <w:t xml:space="preserve"> </w:t>
      </w:r>
      <w:r w:rsidR="009C5107">
        <w:rPr>
          <w:rFonts w:ascii="Garamond" w:hAnsi="Garamond"/>
          <w:sz w:val="24"/>
          <w:szCs w:val="24"/>
        </w:rPr>
        <w:t>M</w:t>
      </w:r>
      <w:r w:rsidR="00FE51EB">
        <w:rPr>
          <w:rFonts w:ascii="Garamond" w:hAnsi="Garamond"/>
          <w:sz w:val="24"/>
          <w:szCs w:val="24"/>
        </w:rPr>
        <w:t>ore recent activities in th</w:t>
      </w:r>
      <w:r w:rsidR="009C5107">
        <w:rPr>
          <w:rFonts w:ascii="Garamond" w:hAnsi="Garamond"/>
          <w:sz w:val="24"/>
          <w:szCs w:val="24"/>
        </w:rPr>
        <w:t>is</w:t>
      </w:r>
      <w:r w:rsidR="00FE51EB">
        <w:rPr>
          <w:rFonts w:ascii="Garamond" w:hAnsi="Garamond"/>
          <w:sz w:val="24"/>
          <w:szCs w:val="24"/>
        </w:rPr>
        <w:t xml:space="preserve"> area are, however, the </w:t>
      </w:r>
      <w:r w:rsidR="001128F7">
        <w:rPr>
          <w:rFonts w:ascii="Garamond" w:hAnsi="Garamond"/>
          <w:sz w:val="24"/>
          <w:szCs w:val="24"/>
        </w:rPr>
        <w:t xml:space="preserve">distorted mirror </w:t>
      </w:r>
      <w:r w:rsidR="00FE51EB">
        <w:rPr>
          <w:rFonts w:ascii="Garamond" w:hAnsi="Garamond"/>
          <w:sz w:val="24"/>
          <w:szCs w:val="24"/>
        </w:rPr>
        <w:t xml:space="preserve">image of the previous alignment: states are using the legal basis of a constitutional system in order to elide the political lack of will to comply with ECtHR judgments with which the state disagrees. </w:t>
      </w:r>
    </w:p>
    <w:p w14:paraId="3C04564A" w14:textId="5699587F" w:rsidR="005D320B" w:rsidRPr="009A1694" w:rsidRDefault="005D320B" w:rsidP="0053726B">
      <w:pPr>
        <w:spacing w:line="240" w:lineRule="auto"/>
        <w:jc w:val="both"/>
        <w:rPr>
          <w:rFonts w:ascii="Garamond" w:hAnsi="Garamond"/>
          <w:sz w:val="24"/>
          <w:szCs w:val="24"/>
        </w:rPr>
      </w:pPr>
      <w:r w:rsidRPr="009A1694">
        <w:rPr>
          <w:rFonts w:ascii="Garamond" w:hAnsi="Garamond"/>
          <w:sz w:val="24"/>
          <w:szCs w:val="24"/>
        </w:rPr>
        <w:t xml:space="preserve">The example of Russia is </w:t>
      </w:r>
      <w:r w:rsidR="00330578">
        <w:rPr>
          <w:rFonts w:ascii="Garamond" w:hAnsi="Garamond"/>
          <w:sz w:val="24"/>
          <w:szCs w:val="24"/>
        </w:rPr>
        <w:t>of interest</w:t>
      </w:r>
      <w:r w:rsidR="00330578" w:rsidRPr="009A1694">
        <w:rPr>
          <w:rFonts w:ascii="Garamond" w:hAnsi="Garamond"/>
          <w:sz w:val="24"/>
          <w:szCs w:val="24"/>
        </w:rPr>
        <w:t xml:space="preserve"> </w:t>
      </w:r>
      <w:r w:rsidRPr="009A1694">
        <w:rPr>
          <w:rFonts w:ascii="Garamond" w:hAnsi="Garamond"/>
          <w:sz w:val="24"/>
          <w:szCs w:val="24"/>
        </w:rPr>
        <w:t xml:space="preserve">here. </w:t>
      </w:r>
      <w:r w:rsidR="00CE7465" w:rsidRPr="009A1694">
        <w:rPr>
          <w:rFonts w:ascii="Garamond" w:hAnsi="Garamond"/>
          <w:sz w:val="24"/>
          <w:szCs w:val="24"/>
        </w:rPr>
        <w:t xml:space="preserve">On 31 July 2014, the ECtHR awarded the applicant in the case of </w:t>
      </w:r>
      <w:r w:rsidR="00CE7465" w:rsidRPr="009A1694">
        <w:rPr>
          <w:rFonts w:ascii="Garamond" w:hAnsi="Garamond"/>
          <w:i/>
          <w:sz w:val="24"/>
          <w:szCs w:val="24"/>
        </w:rPr>
        <w:t>Yukos v. Russia</w:t>
      </w:r>
      <w:r w:rsidR="00CE7465" w:rsidRPr="009A1694">
        <w:rPr>
          <w:rFonts w:ascii="Garamond" w:hAnsi="Garamond"/>
          <w:sz w:val="24"/>
          <w:szCs w:val="24"/>
        </w:rPr>
        <w:t xml:space="preserve"> almost </w:t>
      </w:r>
      <w:r w:rsidR="00FE51EB">
        <w:rPr>
          <w:rFonts w:ascii="Garamond" w:hAnsi="Garamond"/>
          <w:sz w:val="24"/>
          <w:szCs w:val="24"/>
        </w:rPr>
        <w:t>€</w:t>
      </w:r>
      <w:r w:rsidR="00CE7465" w:rsidRPr="009A1694">
        <w:rPr>
          <w:rFonts w:ascii="Garamond" w:hAnsi="Garamond"/>
          <w:sz w:val="24"/>
          <w:szCs w:val="24"/>
        </w:rPr>
        <w:t xml:space="preserve">2 billion </w:t>
      </w:r>
      <w:r w:rsidR="00676443">
        <w:rPr>
          <w:rFonts w:ascii="Garamond" w:hAnsi="Garamond"/>
          <w:sz w:val="24"/>
          <w:szCs w:val="24"/>
        </w:rPr>
        <w:t>of</w:t>
      </w:r>
      <w:r w:rsidR="00676443" w:rsidRPr="009A1694">
        <w:rPr>
          <w:rFonts w:ascii="Garamond" w:hAnsi="Garamond"/>
          <w:sz w:val="24"/>
          <w:szCs w:val="24"/>
        </w:rPr>
        <w:t xml:space="preserve"> </w:t>
      </w:r>
      <w:r w:rsidR="00CE7465" w:rsidRPr="009A1694">
        <w:rPr>
          <w:rFonts w:ascii="Garamond" w:hAnsi="Garamond"/>
          <w:sz w:val="24"/>
          <w:szCs w:val="24"/>
        </w:rPr>
        <w:t>just satisfaction.</w:t>
      </w:r>
      <w:r w:rsidR="00CE7465" w:rsidRPr="009A1694">
        <w:rPr>
          <w:rStyle w:val="FootnoteReference"/>
          <w:rFonts w:ascii="Garamond" w:hAnsi="Garamond"/>
          <w:sz w:val="24"/>
          <w:szCs w:val="24"/>
        </w:rPr>
        <w:footnoteReference w:id="78"/>
      </w:r>
      <w:r w:rsidR="00CE7465" w:rsidRPr="009A1694">
        <w:rPr>
          <w:rFonts w:ascii="Garamond" w:hAnsi="Garamond"/>
          <w:sz w:val="24"/>
          <w:szCs w:val="24"/>
        </w:rPr>
        <w:t xml:space="preserve"> This event triggered </w:t>
      </w:r>
      <w:r w:rsidR="006E6A55">
        <w:rPr>
          <w:rFonts w:ascii="Garamond" w:hAnsi="Garamond"/>
          <w:sz w:val="24"/>
          <w:szCs w:val="24"/>
        </w:rPr>
        <w:t xml:space="preserve">the </w:t>
      </w:r>
      <w:r w:rsidR="00CE7465" w:rsidRPr="009A1694">
        <w:rPr>
          <w:rFonts w:ascii="Garamond" w:hAnsi="Garamond"/>
          <w:sz w:val="24"/>
          <w:szCs w:val="24"/>
        </w:rPr>
        <w:t>creation of the legal instrument that would allow Russia to avoid compliance with th</w:t>
      </w:r>
      <w:r w:rsidR="0003463C">
        <w:rPr>
          <w:rFonts w:ascii="Garamond" w:hAnsi="Garamond"/>
          <w:sz w:val="24"/>
          <w:szCs w:val="24"/>
        </w:rPr>
        <w:t>is</w:t>
      </w:r>
      <w:r w:rsidR="00CE7465" w:rsidRPr="009A1694">
        <w:rPr>
          <w:rFonts w:ascii="Garamond" w:hAnsi="Garamond"/>
          <w:sz w:val="24"/>
          <w:szCs w:val="24"/>
        </w:rPr>
        <w:t xml:space="preserve"> judgment of the ECtHR.</w:t>
      </w:r>
      <w:bookmarkStart w:id="6" w:name="_Ref536194678"/>
      <w:r w:rsidR="003C701F">
        <w:rPr>
          <w:rStyle w:val="FootnoteReference"/>
          <w:rFonts w:ascii="Garamond" w:hAnsi="Garamond"/>
          <w:sz w:val="24"/>
          <w:szCs w:val="24"/>
        </w:rPr>
        <w:footnoteReference w:id="79"/>
      </w:r>
      <w:bookmarkEnd w:id="6"/>
      <w:r w:rsidR="00A42C7F">
        <w:rPr>
          <w:rFonts w:ascii="Garamond" w:hAnsi="Garamond"/>
          <w:sz w:val="24"/>
          <w:szCs w:val="24"/>
        </w:rPr>
        <w:t xml:space="preserve"> </w:t>
      </w:r>
      <w:r w:rsidR="008D11FB">
        <w:rPr>
          <w:rFonts w:ascii="Garamond" w:hAnsi="Garamond"/>
          <w:sz w:val="24"/>
          <w:szCs w:val="24"/>
        </w:rPr>
        <w:t>The first step for</w:t>
      </w:r>
      <w:r w:rsidR="00447F54">
        <w:rPr>
          <w:rFonts w:ascii="Garamond" w:hAnsi="Garamond"/>
          <w:sz w:val="24"/>
          <w:szCs w:val="24"/>
        </w:rPr>
        <w:t xml:space="preserve"> </w:t>
      </w:r>
      <w:r w:rsidR="00A0600C" w:rsidRPr="009A1694">
        <w:rPr>
          <w:rFonts w:ascii="Garamond" w:hAnsi="Garamond"/>
          <w:sz w:val="24"/>
          <w:szCs w:val="24"/>
        </w:rPr>
        <w:t xml:space="preserve">creation of this system was </w:t>
      </w:r>
      <w:r w:rsidR="00FE51EB">
        <w:rPr>
          <w:rFonts w:ascii="Garamond" w:hAnsi="Garamond"/>
          <w:sz w:val="24"/>
          <w:szCs w:val="24"/>
        </w:rPr>
        <w:t>a</w:t>
      </w:r>
      <w:r w:rsidR="00A0600C" w:rsidRPr="009A1694">
        <w:rPr>
          <w:rFonts w:ascii="Garamond" w:hAnsi="Garamond"/>
          <w:sz w:val="24"/>
          <w:szCs w:val="24"/>
        </w:rPr>
        <w:t xml:space="preserve"> decision of the Russian Constitutional Court</w:t>
      </w:r>
      <w:r w:rsidR="008D11FB">
        <w:rPr>
          <w:rFonts w:ascii="Garamond" w:hAnsi="Garamond"/>
          <w:sz w:val="24"/>
          <w:szCs w:val="24"/>
        </w:rPr>
        <w:t xml:space="preserve"> of 14 July 2015</w:t>
      </w:r>
      <w:r w:rsidR="00E83D67">
        <w:rPr>
          <w:rFonts w:ascii="Garamond" w:hAnsi="Garamond"/>
          <w:sz w:val="24"/>
          <w:szCs w:val="24"/>
        </w:rPr>
        <w:t>, in which</w:t>
      </w:r>
      <w:r w:rsidR="00330578">
        <w:rPr>
          <w:rFonts w:ascii="Garamond" w:hAnsi="Garamond"/>
          <w:sz w:val="24"/>
          <w:szCs w:val="24"/>
        </w:rPr>
        <w:t xml:space="preserve"> </w:t>
      </w:r>
      <w:r w:rsidR="003C701F">
        <w:rPr>
          <w:rFonts w:ascii="Garamond" w:hAnsi="Garamond"/>
          <w:sz w:val="24"/>
          <w:szCs w:val="24"/>
        </w:rPr>
        <w:t>it</w:t>
      </w:r>
      <w:r w:rsidR="00A0600C" w:rsidRPr="009A1694">
        <w:rPr>
          <w:rFonts w:ascii="Garamond" w:hAnsi="Garamond"/>
          <w:sz w:val="24"/>
          <w:szCs w:val="24"/>
        </w:rPr>
        <w:t xml:space="preserve"> posited that judgments of the ECtHR should be executed by the national authorities </w:t>
      </w:r>
      <w:r w:rsidR="0003463C">
        <w:rPr>
          <w:rFonts w:ascii="Garamond" w:hAnsi="Garamond"/>
          <w:sz w:val="24"/>
          <w:szCs w:val="24"/>
        </w:rPr>
        <w:t>unless</w:t>
      </w:r>
      <w:r w:rsidR="00A0600C" w:rsidRPr="009A1694">
        <w:rPr>
          <w:rFonts w:ascii="Garamond" w:hAnsi="Garamond"/>
          <w:sz w:val="24"/>
          <w:szCs w:val="24"/>
        </w:rPr>
        <w:t xml:space="preserve"> the execution would lead to breaches of the foundational principles and norms of the Russian Constitution.</w:t>
      </w:r>
      <w:r w:rsidR="00A0600C" w:rsidRPr="009A1694">
        <w:rPr>
          <w:rStyle w:val="FootnoteReference"/>
          <w:rFonts w:ascii="Garamond" w:hAnsi="Garamond"/>
          <w:sz w:val="24"/>
          <w:szCs w:val="24"/>
        </w:rPr>
        <w:footnoteReference w:id="80"/>
      </w:r>
      <w:r w:rsidR="00A0225F" w:rsidRPr="009A1694">
        <w:rPr>
          <w:rFonts w:ascii="Garamond" w:hAnsi="Garamond"/>
          <w:sz w:val="24"/>
          <w:szCs w:val="24"/>
        </w:rPr>
        <w:t xml:space="preserve"> This </w:t>
      </w:r>
      <w:r w:rsidR="00E83D67">
        <w:rPr>
          <w:rFonts w:ascii="Garamond" w:hAnsi="Garamond"/>
          <w:sz w:val="24"/>
          <w:szCs w:val="24"/>
        </w:rPr>
        <w:t>decision</w:t>
      </w:r>
      <w:r w:rsidR="00A0225F" w:rsidRPr="009A1694">
        <w:rPr>
          <w:rFonts w:ascii="Garamond" w:hAnsi="Garamond"/>
          <w:sz w:val="24"/>
          <w:szCs w:val="24"/>
        </w:rPr>
        <w:t xml:space="preserve"> was quickly followed by the amendment to the law of the Constitutional Court that allow</w:t>
      </w:r>
      <w:r w:rsidR="003C701F">
        <w:rPr>
          <w:rFonts w:ascii="Garamond" w:hAnsi="Garamond"/>
          <w:sz w:val="24"/>
          <w:szCs w:val="24"/>
        </w:rPr>
        <w:t>ed</w:t>
      </w:r>
      <w:r w:rsidR="00A0225F" w:rsidRPr="009A1694">
        <w:rPr>
          <w:rFonts w:ascii="Garamond" w:hAnsi="Garamond"/>
          <w:sz w:val="24"/>
          <w:szCs w:val="24"/>
        </w:rPr>
        <w:t xml:space="preserve"> it to consider if a judgment of the ECtHR</w:t>
      </w:r>
      <w:r w:rsidR="009C5107">
        <w:rPr>
          <w:rFonts w:ascii="Garamond" w:hAnsi="Garamond"/>
          <w:sz w:val="24"/>
          <w:szCs w:val="24"/>
        </w:rPr>
        <w:t>,</w:t>
      </w:r>
      <w:r w:rsidR="00A0225F" w:rsidRPr="009A1694">
        <w:rPr>
          <w:rFonts w:ascii="Garamond" w:hAnsi="Garamond"/>
          <w:sz w:val="24"/>
          <w:szCs w:val="24"/>
        </w:rPr>
        <w:t xml:space="preserve"> </w:t>
      </w:r>
      <w:r w:rsidR="00E270CF">
        <w:rPr>
          <w:rFonts w:ascii="Garamond" w:hAnsi="Garamond"/>
          <w:sz w:val="24"/>
          <w:szCs w:val="24"/>
        </w:rPr>
        <w:t xml:space="preserve">in </w:t>
      </w:r>
      <w:r w:rsidR="00E270CF">
        <w:rPr>
          <w:rFonts w:ascii="Garamond" w:hAnsi="Garamond"/>
          <w:sz w:val="24"/>
          <w:szCs w:val="24"/>
        </w:rPr>
        <w:lastRenderedPageBreak/>
        <w:t>fact</w:t>
      </w:r>
      <w:r w:rsidR="009C5107">
        <w:rPr>
          <w:rFonts w:ascii="Garamond" w:hAnsi="Garamond"/>
          <w:sz w:val="24"/>
          <w:szCs w:val="24"/>
        </w:rPr>
        <w:t>,</w:t>
      </w:r>
      <w:r w:rsidR="00A0225F" w:rsidRPr="009A1694">
        <w:rPr>
          <w:rFonts w:ascii="Garamond" w:hAnsi="Garamond"/>
          <w:sz w:val="24"/>
          <w:szCs w:val="24"/>
        </w:rPr>
        <w:t xml:space="preserve"> violates </w:t>
      </w:r>
      <w:r w:rsidR="009C5107">
        <w:rPr>
          <w:rFonts w:ascii="Garamond" w:hAnsi="Garamond"/>
          <w:sz w:val="24"/>
          <w:szCs w:val="24"/>
        </w:rPr>
        <w:t xml:space="preserve">the </w:t>
      </w:r>
      <w:r w:rsidR="00A0225F" w:rsidRPr="009A1694">
        <w:rPr>
          <w:rFonts w:ascii="Garamond" w:hAnsi="Garamond"/>
          <w:sz w:val="24"/>
          <w:szCs w:val="24"/>
        </w:rPr>
        <w:t xml:space="preserve">principles and norms of the Russian Constitution. Effectively the Russian Constitutional Court became an appeal tribunal for the judgments of the ECtHR where the Russian authorities could </w:t>
      </w:r>
      <w:r w:rsidR="00E270CF">
        <w:rPr>
          <w:rFonts w:ascii="Garamond" w:hAnsi="Garamond"/>
          <w:sz w:val="24"/>
          <w:szCs w:val="24"/>
        </w:rPr>
        <w:t xml:space="preserve">now </w:t>
      </w:r>
      <w:r w:rsidR="00A0225F" w:rsidRPr="009A1694">
        <w:rPr>
          <w:rFonts w:ascii="Garamond" w:hAnsi="Garamond"/>
          <w:sz w:val="24"/>
          <w:szCs w:val="24"/>
        </w:rPr>
        <w:t xml:space="preserve">apply to strip the ECtHR judgment of any legal effects in the Russian domestic </w:t>
      </w:r>
      <w:r w:rsidR="00E270CF">
        <w:rPr>
          <w:rFonts w:ascii="Garamond" w:hAnsi="Garamond"/>
          <w:sz w:val="24"/>
          <w:szCs w:val="24"/>
        </w:rPr>
        <w:t>legal order</w:t>
      </w:r>
      <w:r w:rsidR="006175A1">
        <w:rPr>
          <w:rFonts w:ascii="Garamond" w:hAnsi="Garamond"/>
          <w:sz w:val="24"/>
          <w:szCs w:val="24"/>
        </w:rPr>
        <w:t xml:space="preserve">. As a result, </w:t>
      </w:r>
      <w:r w:rsidR="00A0225F" w:rsidRPr="009A1694">
        <w:rPr>
          <w:rFonts w:ascii="Garamond" w:hAnsi="Garamond"/>
          <w:sz w:val="24"/>
          <w:szCs w:val="24"/>
        </w:rPr>
        <w:t xml:space="preserve">the </w:t>
      </w:r>
      <w:r w:rsidR="00E270CF">
        <w:rPr>
          <w:rFonts w:ascii="Garamond" w:hAnsi="Garamond"/>
          <w:sz w:val="24"/>
          <w:szCs w:val="24"/>
        </w:rPr>
        <w:t xml:space="preserve">Russian </w:t>
      </w:r>
      <w:r w:rsidR="00A0225F" w:rsidRPr="009A1694">
        <w:rPr>
          <w:rFonts w:ascii="Garamond" w:hAnsi="Garamond"/>
          <w:sz w:val="24"/>
          <w:szCs w:val="24"/>
        </w:rPr>
        <w:t xml:space="preserve">authorities can </w:t>
      </w:r>
      <w:r w:rsidR="00E270CF">
        <w:rPr>
          <w:rFonts w:ascii="Garamond" w:hAnsi="Garamond"/>
          <w:sz w:val="24"/>
          <w:szCs w:val="24"/>
        </w:rPr>
        <w:t xml:space="preserve">pick and choose those </w:t>
      </w:r>
      <w:r w:rsidR="00A0225F" w:rsidRPr="009A1694">
        <w:rPr>
          <w:rFonts w:ascii="Garamond" w:hAnsi="Garamond"/>
          <w:sz w:val="24"/>
          <w:szCs w:val="24"/>
        </w:rPr>
        <w:t xml:space="preserve">judgments they are willing to execute. The Russian Constitutional Court </w:t>
      </w:r>
      <w:r w:rsidR="0028174A">
        <w:rPr>
          <w:rFonts w:ascii="Garamond" w:hAnsi="Garamond"/>
          <w:sz w:val="24"/>
          <w:szCs w:val="24"/>
        </w:rPr>
        <w:t>first</w:t>
      </w:r>
      <w:r w:rsidR="00CE0003">
        <w:rPr>
          <w:rFonts w:ascii="Garamond" w:hAnsi="Garamond"/>
          <w:sz w:val="24"/>
          <w:szCs w:val="24"/>
        </w:rPr>
        <w:t xml:space="preserve"> </w:t>
      </w:r>
      <w:r w:rsidR="006E6A55">
        <w:rPr>
          <w:rFonts w:ascii="Garamond" w:hAnsi="Garamond"/>
          <w:sz w:val="24"/>
          <w:szCs w:val="24"/>
        </w:rPr>
        <w:t>adjudicated on</w:t>
      </w:r>
      <w:r w:rsidR="00A0225F" w:rsidRPr="009A1694">
        <w:rPr>
          <w:rFonts w:ascii="Garamond" w:hAnsi="Garamond"/>
          <w:sz w:val="24"/>
          <w:szCs w:val="24"/>
        </w:rPr>
        <w:t xml:space="preserve"> these newly obtained competences in a case of </w:t>
      </w:r>
      <w:r w:rsidR="00A0225F" w:rsidRPr="009A1694">
        <w:rPr>
          <w:rFonts w:ascii="Garamond" w:hAnsi="Garamond"/>
          <w:i/>
          <w:sz w:val="24"/>
          <w:szCs w:val="24"/>
        </w:rPr>
        <w:t>Anchugov and Gladkov v. Russia</w:t>
      </w:r>
      <w:r w:rsidR="00AD30EB" w:rsidRPr="009A1694">
        <w:rPr>
          <w:rFonts w:ascii="Garamond" w:hAnsi="Garamond"/>
          <w:sz w:val="24"/>
          <w:szCs w:val="24"/>
        </w:rPr>
        <w:t xml:space="preserve"> concerning </w:t>
      </w:r>
      <w:r w:rsidR="00E91FCF">
        <w:rPr>
          <w:rFonts w:ascii="Garamond" w:hAnsi="Garamond"/>
          <w:sz w:val="24"/>
          <w:szCs w:val="24"/>
        </w:rPr>
        <w:t xml:space="preserve">the </w:t>
      </w:r>
      <w:r w:rsidR="00E270CF">
        <w:rPr>
          <w:rFonts w:ascii="Garamond" w:hAnsi="Garamond"/>
          <w:sz w:val="24"/>
          <w:szCs w:val="24"/>
        </w:rPr>
        <w:t xml:space="preserve">blanket </w:t>
      </w:r>
      <w:r w:rsidR="00AD30EB" w:rsidRPr="009A1694">
        <w:rPr>
          <w:rFonts w:ascii="Garamond" w:hAnsi="Garamond"/>
          <w:sz w:val="24"/>
          <w:szCs w:val="24"/>
        </w:rPr>
        <w:t xml:space="preserve">disenfranchisement of </w:t>
      </w:r>
      <w:r w:rsidR="00E270CF">
        <w:rPr>
          <w:rFonts w:ascii="Garamond" w:hAnsi="Garamond"/>
          <w:sz w:val="24"/>
          <w:szCs w:val="24"/>
        </w:rPr>
        <w:t xml:space="preserve">all </w:t>
      </w:r>
      <w:r w:rsidR="00AD30EB" w:rsidRPr="009A1694">
        <w:rPr>
          <w:rFonts w:ascii="Garamond" w:hAnsi="Garamond"/>
          <w:sz w:val="24"/>
          <w:szCs w:val="24"/>
        </w:rPr>
        <w:t>prisoners which is provided in the Constitution of Russia</w:t>
      </w:r>
      <w:r w:rsidR="00E270CF">
        <w:rPr>
          <w:rFonts w:ascii="Garamond" w:hAnsi="Garamond"/>
          <w:sz w:val="24"/>
          <w:szCs w:val="24"/>
        </w:rPr>
        <w:t xml:space="preserve">. It declared </w:t>
      </w:r>
      <w:r w:rsidR="00A3539D">
        <w:rPr>
          <w:rFonts w:ascii="Garamond" w:hAnsi="Garamond"/>
          <w:sz w:val="24"/>
          <w:szCs w:val="24"/>
        </w:rPr>
        <w:t xml:space="preserve">that </w:t>
      </w:r>
      <w:r w:rsidR="00E270CF">
        <w:rPr>
          <w:rFonts w:ascii="Garamond" w:hAnsi="Garamond"/>
          <w:sz w:val="24"/>
          <w:szCs w:val="24"/>
        </w:rPr>
        <w:t>at least some aspects of th</w:t>
      </w:r>
      <w:r w:rsidR="007009FF">
        <w:rPr>
          <w:rFonts w:ascii="Garamond" w:hAnsi="Garamond"/>
          <w:sz w:val="24"/>
          <w:szCs w:val="24"/>
        </w:rPr>
        <w:t>at</w:t>
      </w:r>
      <w:r w:rsidR="00E270CF">
        <w:rPr>
          <w:rFonts w:ascii="Garamond" w:hAnsi="Garamond"/>
          <w:sz w:val="24"/>
          <w:szCs w:val="24"/>
        </w:rPr>
        <w:t xml:space="preserve"> ECtHR judgment </w:t>
      </w:r>
      <w:r w:rsidR="007009FF">
        <w:rPr>
          <w:rFonts w:ascii="Garamond" w:hAnsi="Garamond"/>
          <w:sz w:val="24"/>
          <w:szCs w:val="24"/>
        </w:rPr>
        <w:t>were</w:t>
      </w:r>
      <w:r w:rsidR="00A3539D">
        <w:rPr>
          <w:rFonts w:ascii="Garamond" w:hAnsi="Garamond"/>
          <w:sz w:val="24"/>
          <w:szCs w:val="24"/>
        </w:rPr>
        <w:t xml:space="preserve"> </w:t>
      </w:r>
      <w:r w:rsidR="00E270CF">
        <w:rPr>
          <w:rFonts w:ascii="Garamond" w:hAnsi="Garamond"/>
          <w:sz w:val="24"/>
          <w:szCs w:val="24"/>
        </w:rPr>
        <w:t>impossible to execute</w:t>
      </w:r>
      <w:r w:rsidR="00AD30EB" w:rsidRPr="009A1694">
        <w:rPr>
          <w:rFonts w:ascii="Garamond" w:hAnsi="Garamond"/>
          <w:sz w:val="24"/>
          <w:szCs w:val="24"/>
        </w:rPr>
        <w:t>.</w:t>
      </w:r>
      <w:r w:rsidR="00AD30EB" w:rsidRPr="009A1694">
        <w:rPr>
          <w:rStyle w:val="FootnoteReference"/>
          <w:rFonts w:ascii="Garamond" w:hAnsi="Garamond"/>
          <w:sz w:val="24"/>
          <w:szCs w:val="24"/>
        </w:rPr>
        <w:footnoteReference w:id="81"/>
      </w:r>
      <w:r w:rsidR="00E270CF">
        <w:rPr>
          <w:rFonts w:ascii="Garamond" w:hAnsi="Garamond"/>
          <w:sz w:val="24"/>
          <w:szCs w:val="24"/>
        </w:rPr>
        <w:t xml:space="preserve"> O</w:t>
      </w:r>
      <w:r w:rsidR="00AD30EB" w:rsidRPr="009A1694">
        <w:rPr>
          <w:rFonts w:ascii="Garamond" w:hAnsi="Garamond"/>
          <w:sz w:val="24"/>
          <w:szCs w:val="24"/>
        </w:rPr>
        <w:t xml:space="preserve">n 19 January 2017, the Russian Constitutional Court </w:t>
      </w:r>
      <w:r w:rsidR="00E270CF">
        <w:rPr>
          <w:rFonts w:ascii="Garamond" w:hAnsi="Garamond"/>
          <w:sz w:val="24"/>
          <w:szCs w:val="24"/>
        </w:rPr>
        <w:t xml:space="preserve">also </w:t>
      </w:r>
      <w:r w:rsidR="00AD30EB" w:rsidRPr="009A1694">
        <w:rPr>
          <w:rFonts w:ascii="Garamond" w:hAnsi="Garamond"/>
          <w:sz w:val="24"/>
          <w:szCs w:val="24"/>
        </w:rPr>
        <w:t xml:space="preserve">declared the judgment in </w:t>
      </w:r>
      <w:r w:rsidR="00AD30EB" w:rsidRPr="00C276F6">
        <w:rPr>
          <w:rFonts w:ascii="Garamond" w:hAnsi="Garamond"/>
          <w:i/>
          <w:sz w:val="24"/>
          <w:szCs w:val="24"/>
        </w:rPr>
        <w:t>Yukos</w:t>
      </w:r>
      <w:r w:rsidR="00AD30EB" w:rsidRPr="009A1694">
        <w:rPr>
          <w:rFonts w:ascii="Garamond" w:hAnsi="Garamond"/>
          <w:sz w:val="24"/>
          <w:szCs w:val="24"/>
        </w:rPr>
        <w:t xml:space="preserve"> unexecutable.</w:t>
      </w:r>
      <w:r w:rsidR="00AD30EB" w:rsidRPr="009A1694">
        <w:rPr>
          <w:rStyle w:val="FootnoteReference"/>
          <w:rFonts w:ascii="Garamond" w:hAnsi="Garamond"/>
          <w:sz w:val="24"/>
          <w:szCs w:val="24"/>
        </w:rPr>
        <w:footnoteReference w:id="82"/>
      </w:r>
    </w:p>
    <w:p w14:paraId="0D6F18FF" w14:textId="52979249" w:rsidR="00AD30EB" w:rsidRPr="00E30D4E" w:rsidRDefault="00D314B0" w:rsidP="0053726B">
      <w:pPr>
        <w:spacing w:line="240" w:lineRule="auto"/>
        <w:jc w:val="both"/>
        <w:rPr>
          <w:rFonts w:ascii="Garamond" w:hAnsi="Garamond"/>
          <w:sz w:val="24"/>
          <w:szCs w:val="24"/>
        </w:rPr>
      </w:pPr>
      <w:r w:rsidRPr="009A1694">
        <w:rPr>
          <w:rFonts w:ascii="Garamond" w:hAnsi="Garamond"/>
          <w:sz w:val="24"/>
          <w:szCs w:val="24"/>
        </w:rPr>
        <w:t xml:space="preserve">The judgment of the Russian Constitutional Court in </w:t>
      </w:r>
      <w:r w:rsidRPr="009A1694">
        <w:rPr>
          <w:rFonts w:ascii="Garamond" w:hAnsi="Garamond"/>
          <w:i/>
          <w:sz w:val="24"/>
          <w:szCs w:val="24"/>
        </w:rPr>
        <w:t>Yukos</w:t>
      </w:r>
      <w:r w:rsidRPr="009A1694">
        <w:rPr>
          <w:rFonts w:ascii="Garamond" w:hAnsi="Garamond"/>
          <w:sz w:val="24"/>
          <w:szCs w:val="24"/>
        </w:rPr>
        <w:t xml:space="preserve"> </w:t>
      </w:r>
      <w:r w:rsidR="006175A1">
        <w:rPr>
          <w:rFonts w:ascii="Garamond" w:hAnsi="Garamond"/>
          <w:sz w:val="24"/>
          <w:szCs w:val="24"/>
        </w:rPr>
        <w:t xml:space="preserve">stands as an </w:t>
      </w:r>
      <w:r w:rsidRPr="009A1694">
        <w:rPr>
          <w:rFonts w:ascii="Garamond" w:hAnsi="Garamond"/>
          <w:sz w:val="24"/>
          <w:szCs w:val="24"/>
        </w:rPr>
        <w:t xml:space="preserve">example of the state’s avoidance of </w:t>
      </w:r>
      <w:r w:rsidR="00E91FCF">
        <w:rPr>
          <w:rFonts w:ascii="Garamond" w:hAnsi="Garamond"/>
          <w:sz w:val="24"/>
          <w:szCs w:val="24"/>
        </w:rPr>
        <w:t>a</w:t>
      </w:r>
      <w:r w:rsidRPr="009A1694">
        <w:rPr>
          <w:rFonts w:ascii="Garamond" w:hAnsi="Garamond"/>
          <w:sz w:val="24"/>
          <w:szCs w:val="24"/>
        </w:rPr>
        <w:t xml:space="preserve"> judgment of the ECtHR</w:t>
      </w:r>
      <w:r w:rsidR="00A42C7F">
        <w:rPr>
          <w:rFonts w:ascii="Garamond" w:hAnsi="Garamond"/>
          <w:sz w:val="24"/>
          <w:szCs w:val="24"/>
        </w:rPr>
        <w:t xml:space="preserve"> which</w:t>
      </w:r>
      <w:r w:rsidRPr="009A1694">
        <w:rPr>
          <w:rFonts w:ascii="Garamond" w:hAnsi="Garamond"/>
          <w:sz w:val="24"/>
          <w:szCs w:val="24"/>
        </w:rPr>
        <w:t xml:space="preserve"> involves major monetary compensation to the applicant. </w:t>
      </w:r>
      <w:r w:rsidR="00A42C7F">
        <w:rPr>
          <w:rFonts w:ascii="Garamond" w:hAnsi="Garamond"/>
          <w:sz w:val="24"/>
          <w:szCs w:val="24"/>
        </w:rPr>
        <w:t>N</w:t>
      </w:r>
      <w:r w:rsidRPr="009A1694">
        <w:rPr>
          <w:rFonts w:ascii="Garamond" w:hAnsi="Garamond"/>
          <w:sz w:val="24"/>
          <w:szCs w:val="24"/>
        </w:rPr>
        <w:t>othing in the Russian Constitution directly prohibits payment of just satisfaction. Unlike other European</w:t>
      </w:r>
      <w:r w:rsidR="00236029">
        <w:rPr>
          <w:rFonts w:ascii="Garamond" w:hAnsi="Garamond"/>
          <w:sz w:val="24"/>
          <w:szCs w:val="24"/>
        </w:rPr>
        <w:t xml:space="preserve"> national</w:t>
      </w:r>
      <w:r w:rsidRPr="009A1694">
        <w:rPr>
          <w:rFonts w:ascii="Garamond" w:hAnsi="Garamond"/>
          <w:sz w:val="24"/>
          <w:szCs w:val="24"/>
        </w:rPr>
        <w:t xml:space="preserve"> courts</w:t>
      </w:r>
      <w:r w:rsidRPr="009A1694">
        <w:rPr>
          <w:rStyle w:val="FootnoteReference"/>
          <w:rFonts w:ascii="Garamond" w:hAnsi="Garamond"/>
          <w:sz w:val="24"/>
          <w:szCs w:val="24"/>
        </w:rPr>
        <w:footnoteReference w:id="83"/>
      </w:r>
      <w:r w:rsidRPr="009A1694">
        <w:rPr>
          <w:rFonts w:ascii="Garamond" w:hAnsi="Garamond"/>
          <w:sz w:val="24"/>
          <w:szCs w:val="24"/>
        </w:rPr>
        <w:t xml:space="preserve"> that tried to find </w:t>
      </w:r>
      <w:r w:rsidR="00E91FCF">
        <w:rPr>
          <w:rFonts w:ascii="Garamond" w:hAnsi="Garamond"/>
          <w:sz w:val="24"/>
          <w:szCs w:val="24"/>
        </w:rPr>
        <w:t>a</w:t>
      </w:r>
      <w:r w:rsidRPr="009A1694">
        <w:rPr>
          <w:rFonts w:ascii="Garamond" w:hAnsi="Garamond"/>
          <w:sz w:val="24"/>
          <w:szCs w:val="24"/>
        </w:rPr>
        <w:t xml:space="preserve"> way to reconcile the case law of the ECtHR and national constitutional order</w:t>
      </w:r>
      <w:r w:rsidR="006E6A55">
        <w:rPr>
          <w:rFonts w:ascii="Garamond" w:hAnsi="Garamond"/>
          <w:sz w:val="24"/>
          <w:szCs w:val="24"/>
        </w:rPr>
        <w:t>,</w:t>
      </w:r>
      <w:r w:rsidRPr="009A1694">
        <w:rPr>
          <w:rFonts w:ascii="Garamond" w:hAnsi="Garamond"/>
          <w:sz w:val="24"/>
          <w:szCs w:val="24"/>
        </w:rPr>
        <w:t xml:space="preserve"> the Russian Constitutional Court selected </w:t>
      </w:r>
      <w:r w:rsidR="00E270CF">
        <w:rPr>
          <w:rFonts w:ascii="Garamond" w:hAnsi="Garamond"/>
          <w:sz w:val="24"/>
          <w:szCs w:val="24"/>
        </w:rPr>
        <w:t xml:space="preserve">a </w:t>
      </w:r>
      <w:r w:rsidRPr="009A1694">
        <w:rPr>
          <w:rFonts w:ascii="Garamond" w:hAnsi="Garamond"/>
          <w:sz w:val="24"/>
          <w:szCs w:val="24"/>
        </w:rPr>
        <w:t>direct confrontation</w:t>
      </w:r>
      <w:r w:rsidR="00145AB9">
        <w:rPr>
          <w:rFonts w:ascii="Garamond" w:hAnsi="Garamond"/>
          <w:sz w:val="24"/>
          <w:szCs w:val="24"/>
        </w:rPr>
        <w:t>, manufacturing a new line of jurisprudence in order to avoid compliance with the state’s obligations under the ECHR</w:t>
      </w:r>
      <w:r w:rsidRPr="009A1694">
        <w:rPr>
          <w:rFonts w:ascii="Garamond" w:hAnsi="Garamond"/>
          <w:sz w:val="24"/>
          <w:szCs w:val="24"/>
        </w:rPr>
        <w:t>.</w:t>
      </w:r>
      <w:r w:rsidR="00D87F6A">
        <w:rPr>
          <w:rStyle w:val="FootnoteReference"/>
          <w:rFonts w:ascii="Garamond" w:hAnsi="Garamond"/>
          <w:sz w:val="24"/>
          <w:szCs w:val="24"/>
        </w:rPr>
        <w:footnoteReference w:id="84"/>
      </w:r>
      <w:r w:rsidR="00E30D4E">
        <w:rPr>
          <w:rFonts w:ascii="Garamond" w:hAnsi="Garamond"/>
          <w:sz w:val="24"/>
          <w:szCs w:val="24"/>
        </w:rPr>
        <w:t xml:space="preserve"> </w:t>
      </w:r>
    </w:p>
    <w:p w14:paraId="7A1EB1D8" w14:textId="53E4E36A" w:rsidR="000677B2" w:rsidRPr="009A1694" w:rsidRDefault="000677B2" w:rsidP="0053726B">
      <w:pPr>
        <w:spacing w:line="240" w:lineRule="auto"/>
        <w:jc w:val="both"/>
        <w:rPr>
          <w:rFonts w:ascii="Garamond" w:hAnsi="Garamond"/>
          <w:sz w:val="24"/>
          <w:szCs w:val="24"/>
        </w:rPr>
      </w:pPr>
      <w:r w:rsidRPr="009A1694">
        <w:rPr>
          <w:rFonts w:ascii="Garamond" w:hAnsi="Garamond"/>
          <w:sz w:val="24"/>
          <w:szCs w:val="24"/>
        </w:rPr>
        <w:t xml:space="preserve">The judgments of the Russian Constitutional Court in </w:t>
      </w:r>
      <w:r w:rsidRPr="009A1694">
        <w:rPr>
          <w:rFonts w:ascii="Garamond" w:hAnsi="Garamond"/>
          <w:i/>
          <w:sz w:val="24"/>
          <w:szCs w:val="24"/>
        </w:rPr>
        <w:t>Anchugov and Gladkov</w:t>
      </w:r>
      <w:r w:rsidRPr="009A1694">
        <w:rPr>
          <w:rFonts w:ascii="Garamond" w:hAnsi="Garamond"/>
          <w:sz w:val="24"/>
          <w:szCs w:val="24"/>
        </w:rPr>
        <w:t xml:space="preserve"> and in </w:t>
      </w:r>
      <w:r w:rsidRPr="009A1694">
        <w:rPr>
          <w:rFonts w:ascii="Garamond" w:hAnsi="Garamond"/>
          <w:i/>
          <w:sz w:val="24"/>
          <w:szCs w:val="24"/>
        </w:rPr>
        <w:t>Yukos</w:t>
      </w:r>
      <w:r w:rsidRPr="009A1694">
        <w:rPr>
          <w:rFonts w:ascii="Garamond" w:hAnsi="Garamond"/>
          <w:sz w:val="24"/>
          <w:szCs w:val="24"/>
        </w:rPr>
        <w:t xml:space="preserve"> </w:t>
      </w:r>
      <w:r w:rsidR="002A5CAE">
        <w:rPr>
          <w:rFonts w:ascii="Garamond" w:hAnsi="Garamond"/>
          <w:sz w:val="24"/>
          <w:szCs w:val="24"/>
        </w:rPr>
        <w:t>limit the ability of the national authorities to execute the ECtHR judgments; even if there was a political will to comply</w:t>
      </w:r>
      <w:r w:rsidR="005E7849">
        <w:rPr>
          <w:rFonts w:ascii="Garamond" w:hAnsi="Garamond"/>
          <w:sz w:val="24"/>
          <w:szCs w:val="24"/>
        </w:rPr>
        <w:t>,</w:t>
      </w:r>
      <w:r w:rsidR="002A5CAE">
        <w:rPr>
          <w:rFonts w:ascii="Garamond" w:hAnsi="Garamond"/>
          <w:sz w:val="24"/>
          <w:szCs w:val="24"/>
        </w:rPr>
        <w:t xml:space="preserve"> now they might be prevented from doing </w:t>
      </w:r>
      <w:r w:rsidR="00895673">
        <w:rPr>
          <w:rFonts w:ascii="Garamond" w:hAnsi="Garamond"/>
          <w:sz w:val="24"/>
          <w:szCs w:val="24"/>
        </w:rPr>
        <w:t>so</w:t>
      </w:r>
      <w:r w:rsidR="002A5CAE">
        <w:rPr>
          <w:rFonts w:ascii="Garamond" w:hAnsi="Garamond"/>
          <w:sz w:val="24"/>
          <w:szCs w:val="24"/>
        </w:rPr>
        <w:t xml:space="preserve"> by the Constitutional Court</w:t>
      </w:r>
      <w:r w:rsidRPr="009A1694">
        <w:rPr>
          <w:rFonts w:ascii="Garamond" w:hAnsi="Garamond"/>
          <w:sz w:val="24"/>
          <w:szCs w:val="24"/>
        </w:rPr>
        <w:t>.</w:t>
      </w:r>
      <w:r w:rsidR="002B2B3F">
        <w:rPr>
          <w:rStyle w:val="FootnoteReference"/>
          <w:rFonts w:ascii="Garamond" w:hAnsi="Garamond"/>
          <w:sz w:val="24"/>
          <w:szCs w:val="24"/>
        </w:rPr>
        <w:footnoteReference w:id="85"/>
      </w:r>
      <w:r w:rsidR="006175A1">
        <w:rPr>
          <w:rFonts w:ascii="Garamond" w:hAnsi="Garamond"/>
          <w:sz w:val="24"/>
          <w:szCs w:val="24"/>
        </w:rPr>
        <w:t xml:space="preserve"> </w:t>
      </w:r>
      <w:r w:rsidR="009C7328" w:rsidRPr="009A1694">
        <w:rPr>
          <w:rFonts w:ascii="Garamond" w:hAnsi="Garamond"/>
          <w:sz w:val="24"/>
          <w:szCs w:val="24"/>
        </w:rPr>
        <w:t xml:space="preserve">On the one hand, these decisions </w:t>
      </w:r>
      <w:r w:rsidR="00145AB9">
        <w:rPr>
          <w:rFonts w:ascii="Garamond" w:hAnsi="Garamond"/>
          <w:sz w:val="24"/>
          <w:szCs w:val="24"/>
        </w:rPr>
        <w:t>do not alter the</w:t>
      </w:r>
      <w:r w:rsidR="009C7328" w:rsidRPr="009A1694">
        <w:rPr>
          <w:rFonts w:ascii="Garamond" w:hAnsi="Garamond"/>
          <w:sz w:val="24"/>
          <w:szCs w:val="24"/>
        </w:rPr>
        <w:t xml:space="preserve"> international obligations of Russia and</w:t>
      </w:r>
      <w:r w:rsidR="00145AB9">
        <w:rPr>
          <w:rFonts w:ascii="Garamond" w:hAnsi="Garamond"/>
          <w:sz w:val="24"/>
          <w:szCs w:val="24"/>
        </w:rPr>
        <w:t>,</w:t>
      </w:r>
      <w:r w:rsidR="009C7328" w:rsidRPr="009A1694">
        <w:rPr>
          <w:rFonts w:ascii="Garamond" w:hAnsi="Garamond"/>
          <w:sz w:val="24"/>
          <w:szCs w:val="24"/>
        </w:rPr>
        <w:t xml:space="preserve"> according to Article 46 of the ECHR</w:t>
      </w:r>
      <w:r w:rsidR="00145AB9">
        <w:rPr>
          <w:rFonts w:ascii="Garamond" w:hAnsi="Garamond"/>
          <w:sz w:val="24"/>
          <w:szCs w:val="24"/>
        </w:rPr>
        <w:t>,</w:t>
      </w:r>
      <w:r w:rsidR="009C7328" w:rsidRPr="009A1694">
        <w:rPr>
          <w:rFonts w:ascii="Garamond" w:hAnsi="Garamond"/>
          <w:sz w:val="24"/>
          <w:szCs w:val="24"/>
        </w:rPr>
        <w:t xml:space="preserve"> it needs to implement both judgments. On the other hand, this can</w:t>
      </w:r>
      <w:r w:rsidR="00FB681C">
        <w:rPr>
          <w:rFonts w:ascii="Garamond" w:hAnsi="Garamond"/>
          <w:sz w:val="24"/>
          <w:szCs w:val="24"/>
        </w:rPr>
        <w:t xml:space="preserve"> hardly</w:t>
      </w:r>
      <w:r w:rsidR="009C7328" w:rsidRPr="009A1694">
        <w:rPr>
          <w:rFonts w:ascii="Garamond" w:hAnsi="Garamond"/>
          <w:sz w:val="24"/>
          <w:szCs w:val="24"/>
        </w:rPr>
        <w:t xml:space="preserve"> be done on the national level because the decision</w:t>
      </w:r>
      <w:r w:rsidR="00FB681C">
        <w:rPr>
          <w:rFonts w:ascii="Garamond" w:hAnsi="Garamond"/>
          <w:sz w:val="24"/>
          <w:szCs w:val="24"/>
        </w:rPr>
        <w:t>s</w:t>
      </w:r>
      <w:r w:rsidR="009C7328" w:rsidRPr="009A1694">
        <w:rPr>
          <w:rFonts w:ascii="Garamond" w:hAnsi="Garamond"/>
          <w:sz w:val="24"/>
          <w:szCs w:val="24"/>
        </w:rPr>
        <w:t xml:space="preserve"> of the Constitutional Court</w:t>
      </w:r>
      <w:r w:rsidR="00145AB9">
        <w:rPr>
          <w:rFonts w:ascii="Garamond" w:hAnsi="Garamond"/>
          <w:sz w:val="24"/>
          <w:szCs w:val="24"/>
        </w:rPr>
        <w:t xml:space="preserve"> prohibit enforcement.</w:t>
      </w:r>
      <w:r w:rsidR="002A5CAE">
        <w:rPr>
          <w:rStyle w:val="FootnoteReference"/>
          <w:rFonts w:ascii="Garamond" w:hAnsi="Garamond"/>
          <w:sz w:val="24"/>
          <w:szCs w:val="24"/>
        </w:rPr>
        <w:footnoteReference w:id="86"/>
      </w:r>
      <w:r w:rsidR="00CE0003">
        <w:rPr>
          <w:rFonts w:ascii="Garamond" w:hAnsi="Garamond"/>
          <w:sz w:val="24"/>
          <w:szCs w:val="24"/>
        </w:rPr>
        <w:t xml:space="preserve"> </w:t>
      </w:r>
      <w:r w:rsidR="00F46B39" w:rsidRPr="009A1694">
        <w:rPr>
          <w:rFonts w:ascii="Garamond" w:hAnsi="Garamond"/>
          <w:sz w:val="24"/>
          <w:szCs w:val="24"/>
        </w:rPr>
        <w:t xml:space="preserve">This behaviour of the state </w:t>
      </w:r>
      <w:r w:rsidR="007009FF">
        <w:rPr>
          <w:rFonts w:ascii="Garamond" w:hAnsi="Garamond"/>
          <w:sz w:val="24"/>
          <w:szCs w:val="24"/>
        </w:rPr>
        <w:t>leads not only</w:t>
      </w:r>
      <w:r w:rsidR="00F46B39" w:rsidRPr="009A1694">
        <w:rPr>
          <w:rFonts w:ascii="Garamond" w:hAnsi="Garamond"/>
          <w:sz w:val="24"/>
          <w:szCs w:val="24"/>
        </w:rPr>
        <w:t xml:space="preserve"> to </w:t>
      </w:r>
      <w:r w:rsidR="00FB681C">
        <w:rPr>
          <w:rFonts w:ascii="Garamond" w:hAnsi="Garamond"/>
          <w:sz w:val="24"/>
          <w:szCs w:val="24"/>
        </w:rPr>
        <w:t>difficult</w:t>
      </w:r>
      <w:r w:rsidR="00F46B39" w:rsidRPr="009A1694">
        <w:rPr>
          <w:rFonts w:ascii="Garamond" w:hAnsi="Garamond"/>
          <w:sz w:val="24"/>
          <w:szCs w:val="24"/>
        </w:rPr>
        <w:t xml:space="preserve"> legal </w:t>
      </w:r>
      <w:r w:rsidR="005E7849">
        <w:rPr>
          <w:rFonts w:ascii="Garamond" w:hAnsi="Garamond"/>
          <w:sz w:val="24"/>
          <w:szCs w:val="24"/>
        </w:rPr>
        <w:t>questions involving conflict of laws</w:t>
      </w:r>
      <w:r w:rsidR="00F46B39" w:rsidRPr="009A1694">
        <w:rPr>
          <w:rFonts w:ascii="Garamond" w:hAnsi="Garamond"/>
          <w:sz w:val="24"/>
          <w:szCs w:val="24"/>
        </w:rPr>
        <w:t xml:space="preserve"> but also shows </w:t>
      </w:r>
      <w:r w:rsidR="006175A1">
        <w:rPr>
          <w:rFonts w:ascii="Garamond" w:hAnsi="Garamond"/>
          <w:sz w:val="24"/>
          <w:szCs w:val="24"/>
        </w:rPr>
        <w:t xml:space="preserve">a </w:t>
      </w:r>
      <w:r w:rsidR="00F46B39" w:rsidRPr="009A1694">
        <w:rPr>
          <w:rFonts w:ascii="Garamond" w:hAnsi="Garamond"/>
          <w:sz w:val="24"/>
          <w:szCs w:val="24"/>
        </w:rPr>
        <w:t xml:space="preserve">lack of commitment to the ideals of </w:t>
      </w:r>
      <w:r w:rsidR="005E7849">
        <w:rPr>
          <w:rFonts w:ascii="Garamond" w:hAnsi="Garamond"/>
          <w:sz w:val="24"/>
          <w:szCs w:val="24"/>
        </w:rPr>
        <w:t xml:space="preserve">the </w:t>
      </w:r>
      <w:r w:rsidR="00F46B39" w:rsidRPr="009A1694">
        <w:rPr>
          <w:rFonts w:ascii="Garamond" w:hAnsi="Garamond"/>
          <w:sz w:val="24"/>
          <w:szCs w:val="24"/>
        </w:rPr>
        <w:t xml:space="preserve">rule of law and human rights which are </w:t>
      </w:r>
      <w:r w:rsidR="005E7849">
        <w:rPr>
          <w:rFonts w:ascii="Garamond" w:hAnsi="Garamond"/>
          <w:sz w:val="24"/>
          <w:szCs w:val="24"/>
        </w:rPr>
        <w:t xml:space="preserve">the </w:t>
      </w:r>
      <w:r w:rsidR="00F46B39" w:rsidRPr="009A1694">
        <w:rPr>
          <w:rFonts w:ascii="Garamond" w:hAnsi="Garamond"/>
          <w:sz w:val="24"/>
          <w:szCs w:val="24"/>
        </w:rPr>
        <w:t xml:space="preserve">founding pillars of the </w:t>
      </w:r>
      <w:r w:rsidR="00202CB4">
        <w:rPr>
          <w:rFonts w:ascii="Garamond" w:hAnsi="Garamond"/>
          <w:sz w:val="24"/>
          <w:szCs w:val="24"/>
        </w:rPr>
        <w:t>CoE</w:t>
      </w:r>
      <w:r w:rsidR="00F46B39" w:rsidRPr="009A1694">
        <w:rPr>
          <w:rFonts w:ascii="Garamond" w:hAnsi="Garamond"/>
          <w:sz w:val="24"/>
          <w:szCs w:val="24"/>
        </w:rPr>
        <w:t>.</w:t>
      </w:r>
      <w:r w:rsidR="00F46B39" w:rsidRPr="009A1694">
        <w:rPr>
          <w:rStyle w:val="FootnoteReference"/>
          <w:rFonts w:ascii="Garamond" w:hAnsi="Garamond"/>
          <w:sz w:val="24"/>
          <w:szCs w:val="24"/>
        </w:rPr>
        <w:footnoteReference w:id="87"/>
      </w:r>
      <w:r w:rsidR="007B43F4">
        <w:rPr>
          <w:rFonts w:ascii="Garamond" w:hAnsi="Garamond"/>
          <w:sz w:val="24"/>
          <w:szCs w:val="24"/>
        </w:rPr>
        <w:t xml:space="preserve"> This behaviour can become contagious as Azerbaijan for example is considering introducing a similar institutionalised system of disobedience with ECtHR judgments.</w:t>
      </w:r>
      <w:r w:rsidR="007B43F4">
        <w:rPr>
          <w:rStyle w:val="FootnoteReference"/>
          <w:rFonts w:ascii="Garamond" w:hAnsi="Garamond"/>
          <w:sz w:val="24"/>
          <w:szCs w:val="24"/>
        </w:rPr>
        <w:footnoteReference w:id="88"/>
      </w:r>
    </w:p>
    <w:p w14:paraId="0699A90D" w14:textId="10150217" w:rsidR="00F46B39" w:rsidRPr="004943DC" w:rsidRDefault="00811D08" w:rsidP="004943DC">
      <w:pPr>
        <w:pStyle w:val="ListParagraph"/>
        <w:numPr>
          <w:ilvl w:val="1"/>
          <w:numId w:val="10"/>
        </w:numPr>
        <w:spacing w:line="240" w:lineRule="auto"/>
        <w:jc w:val="both"/>
        <w:rPr>
          <w:rFonts w:ascii="Garamond" w:hAnsi="Garamond"/>
          <w:b/>
          <w:sz w:val="24"/>
          <w:szCs w:val="24"/>
        </w:rPr>
      </w:pPr>
      <w:r w:rsidRPr="004943DC">
        <w:rPr>
          <w:rFonts w:ascii="Garamond" w:hAnsi="Garamond"/>
          <w:b/>
          <w:sz w:val="24"/>
          <w:szCs w:val="24"/>
        </w:rPr>
        <w:lastRenderedPageBreak/>
        <w:t xml:space="preserve">Failure to Execute </w:t>
      </w:r>
      <w:r w:rsidR="000B1FC7" w:rsidRPr="004943DC">
        <w:rPr>
          <w:rFonts w:ascii="Garamond" w:hAnsi="Garamond"/>
          <w:b/>
          <w:sz w:val="24"/>
          <w:szCs w:val="24"/>
        </w:rPr>
        <w:t xml:space="preserve">Individual Judgments </w:t>
      </w:r>
      <w:r w:rsidRPr="004943DC">
        <w:rPr>
          <w:rFonts w:ascii="Garamond" w:hAnsi="Garamond"/>
          <w:b/>
          <w:sz w:val="24"/>
          <w:szCs w:val="24"/>
        </w:rPr>
        <w:t>or Lack of Engagement with the Committee of Ministers</w:t>
      </w:r>
    </w:p>
    <w:p w14:paraId="4FF71BAF" w14:textId="4EDEE29E" w:rsidR="00811D08" w:rsidRPr="009A1694" w:rsidRDefault="00A006FE" w:rsidP="0053726B">
      <w:pPr>
        <w:spacing w:line="240" w:lineRule="auto"/>
        <w:jc w:val="both"/>
        <w:rPr>
          <w:rFonts w:ascii="Garamond" w:hAnsi="Garamond"/>
          <w:sz w:val="24"/>
          <w:szCs w:val="24"/>
        </w:rPr>
      </w:pPr>
      <w:r w:rsidRPr="009A1694">
        <w:rPr>
          <w:rFonts w:ascii="Garamond" w:hAnsi="Garamond"/>
          <w:sz w:val="24"/>
          <w:szCs w:val="24"/>
        </w:rPr>
        <w:t>C</w:t>
      </w:r>
      <w:r w:rsidR="000A07B0" w:rsidRPr="009A1694">
        <w:rPr>
          <w:rFonts w:ascii="Garamond" w:hAnsi="Garamond"/>
          <w:sz w:val="24"/>
          <w:szCs w:val="24"/>
        </w:rPr>
        <w:t xml:space="preserve">reating </w:t>
      </w:r>
      <w:r w:rsidRPr="009A1694">
        <w:rPr>
          <w:rFonts w:ascii="Garamond" w:hAnsi="Garamond"/>
          <w:sz w:val="24"/>
          <w:szCs w:val="24"/>
        </w:rPr>
        <w:t xml:space="preserve">legal </w:t>
      </w:r>
      <w:r w:rsidR="000A07B0" w:rsidRPr="009A1694">
        <w:rPr>
          <w:rFonts w:ascii="Garamond" w:hAnsi="Garamond"/>
          <w:sz w:val="24"/>
          <w:szCs w:val="24"/>
        </w:rPr>
        <w:t xml:space="preserve">obstacles </w:t>
      </w:r>
      <w:r w:rsidR="007F0CDB">
        <w:rPr>
          <w:rFonts w:ascii="Garamond" w:hAnsi="Garamond"/>
          <w:sz w:val="24"/>
          <w:szCs w:val="24"/>
        </w:rPr>
        <w:t>to</w:t>
      </w:r>
      <w:r w:rsidR="000A07B0" w:rsidRPr="009A1694">
        <w:rPr>
          <w:rFonts w:ascii="Garamond" w:hAnsi="Garamond"/>
          <w:sz w:val="24"/>
          <w:szCs w:val="24"/>
        </w:rPr>
        <w:t xml:space="preserve"> execution </w:t>
      </w:r>
      <w:r w:rsidRPr="009A1694">
        <w:rPr>
          <w:rFonts w:ascii="Garamond" w:hAnsi="Garamond"/>
          <w:sz w:val="24"/>
          <w:szCs w:val="24"/>
        </w:rPr>
        <w:t xml:space="preserve">discussed in the previous section </w:t>
      </w:r>
      <w:r w:rsidR="000A07B0" w:rsidRPr="009A1694">
        <w:rPr>
          <w:rFonts w:ascii="Garamond" w:hAnsi="Garamond"/>
          <w:sz w:val="24"/>
          <w:szCs w:val="24"/>
        </w:rPr>
        <w:t xml:space="preserve">is a systemic challenge; the respondent state builds a </w:t>
      </w:r>
      <w:r w:rsidR="007F0CDB">
        <w:rPr>
          <w:rFonts w:ascii="Garamond" w:hAnsi="Garamond"/>
          <w:sz w:val="24"/>
          <w:szCs w:val="24"/>
        </w:rPr>
        <w:t>juristic pathway</w:t>
      </w:r>
      <w:r w:rsidR="00CE0003">
        <w:rPr>
          <w:rFonts w:ascii="Garamond" w:hAnsi="Garamond"/>
          <w:sz w:val="24"/>
          <w:szCs w:val="24"/>
        </w:rPr>
        <w:t xml:space="preserve"> </w:t>
      </w:r>
      <w:r w:rsidR="007F0CDB">
        <w:rPr>
          <w:rFonts w:ascii="Garamond" w:hAnsi="Garamond"/>
          <w:sz w:val="24"/>
          <w:szCs w:val="24"/>
        </w:rPr>
        <w:t>to pre-emptively justify</w:t>
      </w:r>
      <w:r w:rsidR="000A07B0" w:rsidRPr="009A1694">
        <w:rPr>
          <w:rFonts w:ascii="Garamond" w:hAnsi="Garamond"/>
          <w:sz w:val="24"/>
          <w:szCs w:val="24"/>
        </w:rPr>
        <w:t xml:space="preserve"> its </w:t>
      </w:r>
      <w:r w:rsidR="007F0CDB">
        <w:rPr>
          <w:rFonts w:ascii="Garamond" w:hAnsi="Garamond"/>
          <w:sz w:val="24"/>
          <w:szCs w:val="24"/>
        </w:rPr>
        <w:t xml:space="preserve">(anticipated) </w:t>
      </w:r>
      <w:r w:rsidR="000A07B0" w:rsidRPr="009A1694">
        <w:rPr>
          <w:rFonts w:ascii="Garamond" w:hAnsi="Garamond"/>
          <w:sz w:val="24"/>
          <w:szCs w:val="24"/>
        </w:rPr>
        <w:t>failure to execute</w:t>
      </w:r>
      <w:r w:rsidR="00FC6677" w:rsidRPr="009A1694">
        <w:rPr>
          <w:rFonts w:ascii="Garamond" w:hAnsi="Garamond"/>
          <w:sz w:val="24"/>
          <w:szCs w:val="24"/>
        </w:rPr>
        <w:t xml:space="preserve"> judgments of the ECtHR. </w:t>
      </w:r>
      <w:r w:rsidR="00513CAD" w:rsidRPr="009A1694">
        <w:rPr>
          <w:rFonts w:ascii="Garamond" w:hAnsi="Garamond"/>
          <w:sz w:val="24"/>
          <w:szCs w:val="24"/>
        </w:rPr>
        <w:t xml:space="preserve">Some </w:t>
      </w:r>
      <w:r w:rsidR="00BA4B7D">
        <w:rPr>
          <w:rFonts w:ascii="Garamond" w:hAnsi="Garamond"/>
          <w:sz w:val="24"/>
          <w:szCs w:val="24"/>
        </w:rPr>
        <w:t>member states</w:t>
      </w:r>
      <w:r w:rsidR="00A11AA5" w:rsidRPr="009A1694">
        <w:rPr>
          <w:rFonts w:ascii="Garamond" w:hAnsi="Garamond"/>
          <w:sz w:val="24"/>
          <w:szCs w:val="24"/>
        </w:rPr>
        <w:t xml:space="preserve"> do not resort to such sophisticated schemes and merely fail to implement the judgments of the Court. Of course, a single failure to implement a judgment of the ECtHR cannot justify expulsion from the Convention. However, persistent</w:t>
      </w:r>
      <w:r w:rsidR="000B1FC7">
        <w:rPr>
          <w:rFonts w:ascii="Garamond" w:hAnsi="Garamond"/>
          <w:sz w:val="24"/>
          <w:szCs w:val="24"/>
        </w:rPr>
        <w:t>, gross</w:t>
      </w:r>
      <w:r w:rsidR="00A11AA5" w:rsidRPr="009A1694">
        <w:rPr>
          <w:rFonts w:ascii="Garamond" w:hAnsi="Garamond"/>
          <w:sz w:val="24"/>
          <w:szCs w:val="24"/>
        </w:rPr>
        <w:t xml:space="preserve"> </w:t>
      </w:r>
      <w:r w:rsidR="00E96FD3">
        <w:rPr>
          <w:rFonts w:ascii="Garamond" w:hAnsi="Garamond"/>
          <w:sz w:val="24"/>
          <w:szCs w:val="24"/>
        </w:rPr>
        <w:t>or</w:t>
      </w:r>
      <w:r w:rsidR="00A11AA5" w:rsidRPr="009A1694">
        <w:rPr>
          <w:rFonts w:ascii="Garamond" w:hAnsi="Garamond"/>
          <w:sz w:val="24"/>
          <w:szCs w:val="24"/>
        </w:rPr>
        <w:t xml:space="preserve"> systematic </w:t>
      </w:r>
      <w:r w:rsidR="007F0CDB">
        <w:rPr>
          <w:rFonts w:ascii="Garamond" w:hAnsi="Garamond"/>
          <w:sz w:val="24"/>
          <w:szCs w:val="24"/>
        </w:rPr>
        <w:t xml:space="preserve">avoidance of the </w:t>
      </w:r>
      <w:r w:rsidR="00A11AA5" w:rsidRPr="009A1694">
        <w:rPr>
          <w:rFonts w:ascii="Garamond" w:hAnsi="Garamond"/>
          <w:sz w:val="24"/>
          <w:szCs w:val="24"/>
        </w:rPr>
        <w:t xml:space="preserve">Strasbourg </w:t>
      </w:r>
      <w:r w:rsidR="007F0CDB">
        <w:rPr>
          <w:rFonts w:ascii="Garamond" w:hAnsi="Garamond"/>
          <w:i/>
          <w:sz w:val="24"/>
          <w:szCs w:val="24"/>
        </w:rPr>
        <w:t xml:space="preserve">acquis </w:t>
      </w:r>
      <w:r w:rsidR="00A11AA5" w:rsidRPr="009A1694">
        <w:rPr>
          <w:rFonts w:ascii="Garamond" w:hAnsi="Garamond"/>
          <w:sz w:val="24"/>
          <w:szCs w:val="24"/>
        </w:rPr>
        <w:t xml:space="preserve">should </w:t>
      </w:r>
      <w:r w:rsidR="006321EB" w:rsidRPr="009A1694">
        <w:rPr>
          <w:rFonts w:ascii="Garamond" w:hAnsi="Garamond"/>
          <w:sz w:val="24"/>
          <w:szCs w:val="24"/>
        </w:rPr>
        <w:t xml:space="preserve">be </w:t>
      </w:r>
      <w:r w:rsidR="00A11AA5" w:rsidRPr="009A1694">
        <w:rPr>
          <w:rFonts w:ascii="Garamond" w:hAnsi="Garamond"/>
          <w:sz w:val="24"/>
          <w:szCs w:val="24"/>
        </w:rPr>
        <w:t>taken seriously.</w:t>
      </w:r>
    </w:p>
    <w:p w14:paraId="55EDD8BF" w14:textId="6E419239" w:rsidR="000B1527" w:rsidRPr="009A1694" w:rsidRDefault="007F0CDB" w:rsidP="0053726B">
      <w:pPr>
        <w:spacing w:line="240" w:lineRule="auto"/>
        <w:jc w:val="both"/>
        <w:rPr>
          <w:rFonts w:ascii="Garamond" w:hAnsi="Garamond"/>
          <w:sz w:val="24"/>
          <w:szCs w:val="24"/>
        </w:rPr>
      </w:pPr>
      <w:r>
        <w:rPr>
          <w:rFonts w:ascii="Garamond" w:hAnsi="Garamond"/>
          <w:sz w:val="24"/>
          <w:szCs w:val="24"/>
        </w:rPr>
        <w:t>The ECHR system is based on the idea that a finding of</w:t>
      </w:r>
      <w:r w:rsidR="00CE0003">
        <w:rPr>
          <w:rFonts w:ascii="Garamond" w:hAnsi="Garamond"/>
          <w:sz w:val="24"/>
          <w:szCs w:val="24"/>
        </w:rPr>
        <w:t xml:space="preserve"> </w:t>
      </w:r>
      <w:r w:rsidR="00417168">
        <w:rPr>
          <w:rFonts w:ascii="Garamond" w:hAnsi="Garamond"/>
          <w:sz w:val="24"/>
          <w:szCs w:val="24"/>
        </w:rPr>
        <w:t xml:space="preserve">a </w:t>
      </w:r>
      <w:r w:rsidR="00AB3E56" w:rsidRPr="009A1694">
        <w:rPr>
          <w:rFonts w:ascii="Garamond" w:hAnsi="Garamond"/>
          <w:sz w:val="24"/>
          <w:szCs w:val="24"/>
        </w:rPr>
        <w:t>violation of the Convention by the ECtHR should be rectified. Three types of remedies are available:</w:t>
      </w:r>
      <w:r w:rsidR="00895673">
        <w:rPr>
          <w:rFonts w:ascii="Garamond" w:hAnsi="Garamond"/>
          <w:sz w:val="24"/>
          <w:szCs w:val="24"/>
        </w:rPr>
        <w:t xml:space="preserve"> first,</w:t>
      </w:r>
      <w:r w:rsidR="00AB3E56" w:rsidRPr="009A1694">
        <w:rPr>
          <w:rFonts w:ascii="Garamond" w:hAnsi="Garamond"/>
          <w:sz w:val="24"/>
          <w:szCs w:val="24"/>
        </w:rPr>
        <w:t xml:space="preserve"> </w:t>
      </w:r>
      <w:r w:rsidR="008A7D0A" w:rsidRPr="009A1694">
        <w:rPr>
          <w:rFonts w:ascii="Garamond" w:hAnsi="Garamond"/>
          <w:sz w:val="24"/>
          <w:szCs w:val="24"/>
        </w:rPr>
        <w:t xml:space="preserve">just satisfaction </w:t>
      </w:r>
      <w:r w:rsidR="00895673">
        <w:rPr>
          <w:rFonts w:ascii="Garamond" w:hAnsi="Garamond"/>
          <w:sz w:val="24"/>
          <w:szCs w:val="24"/>
        </w:rPr>
        <w:t>for</w:t>
      </w:r>
      <w:r w:rsidR="008A7D0A" w:rsidRPr="009A1694">
        <w:rPr>
          <w:rFonts w:ascii="Garamond" w:hAnsi="Garamond"/>
          <w:sz w:val="24"/>
          <w:szCs w:val="24"/>
        </w:rPr>
        <w:t xml:space="preserve"> pecuniary and non-pecuniary damage, </w:t>
      </w:r>
      <w:r w:rsidR="00895673">
        <w:rPr>
          <w:rFonts w:ascii="Garamond" w:hAnsi="Garamond"/>
          <w:sz w:val="24"/>
          <w:szCs w:val="24"/>
        </w:rPr>
        <w:t xml:space="preserve">second, </w:t>
      </w:r>
      <w:r w:rsidR="008A7D0A" w:rsidRPr="009A1694">
        <w:rPr>
          <w:rFonts w:ascii="Garamond" w:hAnsi="Garamond"/>
          <w:sz w:val="24"/>
          <w:szCs w:val="24"/>
        </w:rPr>
        <w:t xml:space="preserve">individual measures and </w:t>
      </w:r>
      <w:r w:rsidR="00895673">
        <w:rPr>
          <w:rFonts w:ascii="Garamond" w:hAnsi="Garamond"/>
          <w:sz w:val="24"/>
          <w:szCs w:val="24"/>
        </w:rPr>
        <w:t xml:space="preserve">finally, </w:t>
      </w:r>
      <w:r w:rsidR="008A7D0A" w:rsidRPr="009A1694">
        <w:rPr>
          <w:rFonts w:ascii="Garamond" w:hAnsi="Garamond"/>
          <w:sz w:val="24"/>
          <w:szCs w:val="24"/>
        </w:rPr>
        <w:t>general measures.</w:t>
      </w:r>
      <w:r w:rsidR="00D87F6A">
        <w:rPr>
          <w:rFonts w:ascii="Garamond" w:hAnsi="Garamond"/>
          <w:sz w:val="24"/>
          <w:szCs w:val="24"/>
        </w:rPr>
        <w:t xml:space="preserve"> The Committee of Ministers </w:t>
      </w:r>
      <w:r w:rsidR="00236029">
        <w:rPr>
          <w:rFonts w:ascii="Garamond" w:hAnsi="Garamond"/>
          <w:sz w:val="24"/>
          <w:szCs w:val="24"/>
        </w:rPr>
        <w:t>closes</w:t>
      </w:r>
      <w:r w:rsidR="00D87F6A">
        <w:rPr>
          <w:rFonts w:ascii="Garamond" w:hAnsi="Garamond"/>
          <w:sz w:val="24"/>
          <w:szCs w:val="24"/>
        </w:rPr>
        <w:t xml:space="preserve"> the execution when all necessary remedies are effectuated. </w:t>
      </w:r>
      <w:r w:rsidR="00954CF3">
        <w:rPr>
          <w:rFonts w:ascii="Garamond" w:hAnsi="Garamond"/>
          <w:sz w:val="24"/>
          <w:szCs w:val="24"/>
        </w:rPr>
        <w:t>Azerbaijan has the worst record of closed cases by the Committee of Ministers. Only 3 out of 206 were fully executed by the Azerbaijani government (less than 2%)</w:t>
      </w:r>
      <w:r w:rsidR="00994AEF">
        <w:rPr>
          <w:rFonts w:ascii="Garamond" w:hAnsi="Garamond"/>
          <w:sz w:val="24"/>
          <w:szCs w:val="24"/>
        </w:rPr>
        <w:t xml:space="preserve"> making it the worst country in terms of execution of ECtHR judgments</w:t>
      </w:r>
      <w:r w:rsidR="00954CF3">
        <w:rPr>
          <w:rFonts w:ascii="Garamond" w:hAnsi="Garamond"/>
          <w:sz w:val="24"/>
          <w:szCs w:val="24"/>
        </w:rPr>
        <w:t>.</w:t>
      </w:r>
      <w:r w:rsidR="00954CF3">
        <w:rPr>
          <w:rStyle w:val="FootnoteReference"/>
          <w:rFonts w:ascii="Garamond" w:hAnsi="Garamond"/>
          <w:sz w:val="24"/>
          <w:szCs w:val="24"/>
        </w:rPr>
        <w:footnoteReference w:id="89"/>
      </w:r>
      <w:r w:rsidR="00954CF3">
        <w:rPr>
          <w:rFonts w:ascii="Garamond" w:hAnsi="Garamond"/>
          <w:sz w:val="24"/>
          <w:szCs w:val="24"/>
        </w:rPr>
        <w:t xml:space="preserve"> For Russia, the Committee of Ministers closed 743 cases out of 2492 (less than 30%).</w:t>
      </w:r>
      <w:r w:rsidR="00954CF3">
        <w:rPr>
          <w:rStyle w:val="FootnoteReference"/>
          <w:rFonts w:ascii="Garamond" w:hAnsi="Garamond"/>
          <w:sz w:val="24"/>
          <w:szCs w:val="24"/>
        </w:rPr>
        <w:footnoteReference w:id="90"/>
      </w:r>
      <w:r w:rsidR="00994AEF">
        <w:rPr>
          <w:rFonts w:ascii="Garamond" w:hAnsi="Garamond"/>
          <w:sz w:val="24"/>
          <w:szCs w:val="24"/>
        </w:rPr>
        <w:t xml:space="preserve"> The record from Turkey is slightly better</w:t>
      </w:r>
      <w:r w:rsidR="00FF6FBE">
        <w:rPr>
          <w:rFonts w:ascii="Garamond" w:hAnsi="Garamond"/>
          <w:sz w:val="24"/>
          <w:szCs w:val="24"/>
        </w:rPr>
        <w:t xml:space="preserve"> – </w:t>
      </w:r>
      <w:r w:rsidR="00994AEF">
        <w:rPr>
          <w:rFonts w:ascii="Garamond" w:hAnsi="Garamond"/>
          <w:sz w:val="24"/>
          <w:szCs w:val="24"/>
        </w:rPr>
        <w:t>2568 closed cases out of 3819 (less than 70%).</w:t>
      </w:r>
      <w:r w:rsidR="00994AEF">
        <w:rPr>
          <w:rStyle w:val="FootnoteReference"/>
          <w:rFonts w:ascii="Garamond" w:hAnsi="Garamond"/>
          <w:sz w:val="24"/>
          <w:szCs w:val="24"/>
        </w:rPr>
        <w:footnoteReference w:id="91"/>
      </w:r>
      <w:r w:rsidR="00994AEF">
        <w:rPr>
          <w:rFonts w:ascii="Garamond" w:hAnsi="Garamond"/>
          <w:sz w:val="24"/>
          <w:szCs w:val="24"/>
        </w:rPr>
        <w:t xml:space="preserve"> </w:t>
      </w:r>
      <w:r w:rsidR="008303F3">
        <w:rPr>
          <w:rFonts w:ascii="Garamond" w:hAnsi="Garamond"/>
          <w:sz w:val="24"/>
          <w:szCs w:val="24"/>
        </w:rPr>
        <w:t xml:space="preserve">This section will </w:t>
      </w:r>
      <w:r w:rsidR="00247A31">
        <w:rPr>
          <w:rFonts w:ascii="Garamond" w:hAnsi="Garamond"/>
          <w:sz w:val="24"/>
          <w:szCs w:val="24"/>
        </w:rPr>
        <w:t>provide a snapshot of failures</w:t>
      </w:r>
      <w:r w:rsidR="008303F3">
        <w:rPr>
          <w:rFonts w:ascii="Garamond" w:hAnsi="Garamond"/>
          <w:sz w:val="24"/>
          <w:szCs w:val="24"/>
        </w:rPr>
        <w:t xml:space="preserve"> to </w:t>
      </w:r>
      <w:r w:rsidR="00247A31">
        <w:rPr>
          <w:rFonts w:ascii="Garamond" w:hAnsi="Garamond"/>
          <w:sz w:val="24"/>
          <w:szCs w:val="24"/>
        </w:rPr>
        <w:t>effectuate</w:t>
      </w:r>
      <w:r w:rsidR="008303F3">
        <w:rPr>
          <w:rFonts w:ascii="Garamond" w:hAnsi="Garamond"/>
          <w:sz w:val="24"/>
          <w:szCs w:val="24"/>
        </w:rPr>
        <w:t xml:space="preserve"> </w:t>
      </w:r>
      <w:r w:rsidR="00236029">
        <w:rPr>
          <w:rFonts w:ascii="Garamond" w:hAnsi="Garamond"/>
          <w:sz w:val="24"/>
          <w:szCs w:val="24"/>
        </w:rPr>
        <w:t xml:space="preserve">focusing on </w:t>
      </w:r>
      <w:r w:rsidR="008303F3">
        <w:rPr>
          <w:rFonts w:ascii="Garamond" w:hAnsi="Garamond"/>
          <w:sz w:val="24"/>
          <w:szCs w:val="24"/>
        </w:rPr>
        <w:t>each of the</w:t>
      </w:r>
      <w:r w:rsidR="00247A31">
        <w:rPr>
          <w:rFonts w:ascii="Garamond" w:hAnsi="Garamond"/>
          <w:sz w:val="24"/>
          <w:szCs w:val="24"/>
        </w:rPr>
        <w:t>se</w:t>
      </w:r>
      <w:r w:rsidR="008303F3">
        <w:rPr>
          <w:rFonts w:ascii="Garamond" w:hAnsi="Garamond"/>
          <w:sz w:val="24"/>
          <w:szCs w:val="24"/>
        </w:rPr>
        <w:t xml:space="preserve"> three types of remedies.</w:t>
      </w:r>
    </w:p>
    <w:p w14:paraId="20A0FEDD" w14:textId="0C688488" w:rsidR="006321EB" w:rsidRPr="009A1694" w:rsidRDefault="008A7D0A" w:rsidP="0053726B">
      <w:pPr>
        <w:spacing w:line="240" w:lineRule="auto"/>
        <w:jc w:val="both"/>
        <w:rPr>
          <w:rFonts w:ascii="Garamond" w:hAnsi="Garamond"/>
          <w:sz w:val="24"/>
          <w:szCs w:val="24"/>
        </w:rPr>
      </w:pPr>
      <w:r w:rsidRPr="009A1694">
        <w:rPr>
          <w:rFonts w:ascii="Garamond" w:hAnsi="Garamond"/>
          <w:sz w:val="24"/>
          <w:szCs w:val="24"/>
        </w:rPr>
        <w:t xml:space="preserve">Just satisfaction is the </w:t>
      </w:r>
      <w:r w:rsidR="00760028">
        <w:rPr>
          <w:rFonts w:ascii="Garamond" w:hAnsi="Garamond"/>
          <w:sz w:val="24"/>
          <w:szCs w:val="24"/>
        </w:rPr>
        <w:t>‘</w:t>
      </w:r>
      <w:r w:rsidR="007F0CDB">
        <w:rPr>
          <w:rFonts w:ascii="Garamond" w:hAnsi="Garamond"/>
          <w:sz w:val="24"/>
          <w:szCs w:val="24"/>
        </w:rPr>
        <w:t>simplest</w:t>
      </w:r>
      <w:r w:rsidR="00760028">
        <w:rPr>
          <w:rFonts w:ascii="Garamond" w:hAnsi="Garamond"/>
          <w:sz w:val="24"/>
          <w:szCs w:val="24"/>
        </w:rPr>
        <w:t>’</w:t>
      </w:r>
      <w:r w:rsidR="00CE0003">
        <w:rPr>
          <w:rFonts w:ascii="Garamond" w:hAnsi="Garamond"/>
          <w:sz w:val="24"/>
          <w:szCs w:val="24"/>
        </w:rPr>
        <w:t xml:space="preserve"> </w:t>
      </w:r>
      <w:r w:rsidR="00FB681C">
        <w:rPr>
          <w:rFonts w:ascii="Garamond" w:hAnsi="Garamond"/>
          <w:sz w:val="24"/>
          <w:szCs w:val="24"/>
        </w:rPr>
        <w:t>aspect</w:t>
      </w:r>
      <w:r w:rsidR="00CE0003">
        <w:rPr>
          <w:rFonts w:ascii="Garamond" w:hAnsi="Garamond"/>
          <w:sz w:val="24"/>
          <w:szCs w:val="24"/>
        </w:rPr>
        <w:t xml:space="preserve"> </w:t>
      </w:r>
      <w:r w:rsidRPr="009A1694">
        <w:rPr>
          <w:rFonts w:ascii="Garamond" w:hAnsi="Garamond"/>
          <w:sz w:val="24"/>
          <w:szCs w:val="24"/>
        </w:rPr>
        <w:t>of execution</w:t>
      </w:r>
      <w:r w:rsidR="007F0CDB">
        <w:rPr>
          <w:rFonts w:ascii="Garamond" w:hAnsi="Garamond"/>
          <w:sz w:val="24"/>
          <w:szCs w:val="24"/>
        </w:rPr>
        <w:t>; t</w:t>
      </w:r>
      <w:r w:rsidRPr="009A1694">
        <w:rPr>
          <w:rFonts w:ascii="Garamond" w:hAnsi="Garamond"/>
          <w:sz w:val="24"/>
          <w:szCs w:val="24"/>
        </w:rPr>
        <w:t xml:space="preserve">he respondent state needs to pay </w:t>
      </w:r>
      <w:r w:rsidR="00236029">
        <w:rPr>
          <w:rFonts w:ascii="Garamond" w:hAnsi="Garamond"/>
          <w:sz w:val="24"/>
          <w:szCs w:val="24"/>
        </w:rPr>
        <w:t xml:space="preserve">monetary </w:t>
      </w:r>
      <w:r w:rsidRPr="009A1694">
        <w:rPr>
          <w:rFonts w:ascii="Garamond" w:hAnsi="Garamond"/>
          <w:sz w:val="24"/>
          <w:szCs w:val="24"/>
        </w:rPr>
        <w:t>compensation to the injured party.</w:t>
      </w:r>
      <w:r w:rsidR="00CE0003">
        <w:rPr>
          <w:rFonts w:ascii="Garamond" w:hAnsi="Garamond"/>
          <w:sz w:val="24"/>
          <w:szCs w:val="24"/>
        </w:rPr>
        <w:t xml:space="preserve"> </w:t>
      </w:r>
      <w:r w:rsidR="007F0CDB">
        <w:rPr>
          <w:rFonts w:ascii="Garamond" w:hAnsi="Garamond"/>
          <w:sz w:val="24"/>
          <w:szCs w:val="24"/>
        </w:rPr>
        <w:t>Notwithstanding this simplicity, countries do not necessarily comply with this requirement, e.g. Turkey.</w:t>
      </w:r>
      <w:r w:rsidR="00CE0003">
        <w:rPr>
          <w:rFonts w:ascii="Garamond" w:hAnsi="Garamond"/>
          <w:sz w:val="24"/>
          <w:szCs w:val="24"/>
        </w:rPr>
        <w:t xml:space="preserve"> </w:t>
      </w:r>
      <w:r w:rsidR="006321EB" w:rsidRPr="009A1694">
        <w:rPr>
          <w:rFonts w:ascii="Garamond" w:hAnsi="Garamond"/>
          <w:sz w:val="24"/>
          <w:szCs w:val="24"/>
        </w:rPr>
        <w:t xml:space="preserve">Unlike </w:t>
      </w:r>
      <w:r w:rsidR="007F0CDB">
        <w:rPr>
          <w:rFonts w:ascii="Garamond" w:hAnsi="Garamond"/>
          <w:sz w:val="24"/>
          <w:szCs w:val="24"/>
        </w:rPr>
        <w:t xml:space="preserve">the </w:t>
      </w:r>
      <w:r w:rsidR="006321EB" w:rsidRPr="009A1694">
        <w:rPr>
          <w:rFonts w:ascii="Garamond" w:hAnsi="Garamond"/>
          <w:sz w:val="24"/>
          <w:szCs w:val="24"/>
        </w:rPr>
        <w:t>Russia</w:t>
      </w:r>
      <w:r w:rsidR="007F0CDB">
        <w:rPr>
          <w:rFonts w:ascii="Garamond" w:hAnsi="Garamond"/>
          <w:sz w:val="24"/>
          <w:szCs w:val="24"/>
        </w:rPr>
        <w:t>n juristic method of avoidance</w:t>
      </w:r>
      <w:r w:rsidR="006321EB" w:rsidRPr="009A1694">
        <w:rPr>
          <w:rFonts w:ascii="Garamond" w:hAnsi="Garamond"/>
          <w:sz w:val="24"/>
          <w:szCs w:val="24"/>
        </w:rPr>
        <w:t xml:space="preserve"> in the case of </w:t>
      </w:r>
      <w:r w:rsidR="006321EB" w:rsidRPr="009A1694">
        <w:rPr>
          <w:rFonts w:ascii="Garamond" w:hAnsi="Garamond"/>
          <w:i/>
          <w:sz w:val="24"/>
          <w:szCs w:val="24"/>
        </w:rPr>
        <w:t>Yukos</w:t>
      </w:r>
      <w:r w:rsidR="006321EB" w:rsidRPr="009A1694">
        <w:rPr>
          <w:rFonts w:ascii="Garamond" w:hAnsi="Garamond"/>
          <w:sz w:val="24"/>
          <w:szCs w:val="24"/>
        </w:rPr>
        <w:t xml:space="preserve">, Turkey did not create a sophisticated system </w:t>
      </w:r>
      <w:r w:rsidR="0028174A">
        <w:rPr>
          <w:rFonts w:ascii="Garamond" w:hAnsi="Garamond"/>
          <w:sz w:val="24"/>
          <w:szCs w:val="24"/>
        </w:rPr>
        <w:t>for the</w:t>
      </w:r>
      <w:r w:rsidR="006321EB" w:rsidRPr="009A1694">
        <w:rPr>
          <w:rFonts w:ascii="Garamond" w:hAnsi="Garamond"/>
          <w:sz w:val="24"/>
          <w:szCs w:val="24"/>
        </w:rPr>
        <w:t xml:space="preserve"> avoidance of </w:t>
      </w:r>
      <w:r w:rsidR="00FB681C">
        <w:rPr>
          <w:rFonts w:ascii="Garamond" w:hAnsi="Garamond"/>
          <w:sz w:val="24"/>
          <w:szCs w:val="24"/>
        </w:rPr>
        <w:t>compliance</w:t>
      </w:r>
      <w:r w:rsidR="00CE0003">
        <w:rPr>
          <w:rFonts w:ascii="Garamond" w:hAnsi="Garamond"/>
          <w:sz w:val="24"/>
          <w:szCs w:val="24"/>
        </w:rPr>
        <w:t xml:space="preserve"> </w:t>
      </w:r>
      <w:r w:rsidR="006321EB" w:rsidRPr="009A1694">
        <w:rPr>
          <w:rFonts w:ascii="Garamond" w:hAnsi="Garamond"/>
          <w:sz w:val="24"/>
          <w:szCs w:val="24"/>
        </w:rPr>
        <w:t xml:space="preserve">with the judgment of the ECtHR. Instead, the government simply declared that it </w:t>
      </w:r>
      <w:r w:rsidR="002000D7" w:rsidRPr="009A1694">
        <w:rPr>
          <w:rFonts w:ascii="Garamond" w:hAnsi="Garamond"/>
          <w:sz w:val="24"/>
          <w:szCs w:val="24"/>
        </w:rPr>
        <w:t>would</w:t>
      </w:r>
      <w:r w:rsidR="006321EB" w:rsidRPr="009A1694">
        <w:rPr>
          <w:rFonts w:ascii="Garamond" w:hAnsi="Garamond"/>
          <w:sz w:val="24"/>
          <w:szCs w:val="24"/>
        </w:rPr>
        <w:t xml:space="preserve"> not pay just satisfaction in the inter-state case of </w:t>
      </w:r>
      <w:r w:rsidR="006321EB" w:rsidRPr="009A1694">
        <w:rPr>
          <w:rFonts w:ascii="Garamond" w:hAnsi="Garamond"/>
          <w:i/>
          <w:sz w:val="24"/>
          <w:szCs w:val="24"/>
        </w:rPr>
        <w:t>Cyprus v. Turkey</w:t>
      </w:r>
      <w:r w:rsidR="006321EB" w:rsidRPr="009A1694">
        <w:rPr>
          <w:rFonts w:ascii="Garamond" w:hAnsi="Garamond"/>
          <w:sz w:val="24"/>
          <w:szCs w:val="24"/>
        </w:rPr>
        <w:t>.</w:t>
      </w:r>
      <w:r w:rsidR="002000D7" w:rsidRPr="009A1694">
        <w:rPr>
          <w:rStyle w:val="FootnoteReference"/>
          <w:rFonts w:ascii="Garamond" w:hAnsi="Garamond"/>
          <w:sz w:val="24"/>
          <w:szCs w:val="24"/>
        </w:rPr>
        <w:footnoteReference w:id="92"/>
      </w:r>
      <w:r w:rsidR="000B1527" w:rsidRPr="009A1694">
        <w:rPr>
          <w:rFonts w:ascii="Garamond" w:hAnsi="Garamond"/>
          <w:sz w:val="24"/>
          <w:szCs w:val="24"/>
        </w:rPr>
        <w:t xml:space="preserve"> At the time of writing (</w:t>
      </w:r>
      <w:r w:rsidR="00FF6FBE">
        <w:rPr>
          <w:rFonts w:ascii="Garamond" w:hAnsi="Garamond"/>
          <w:sz w:val="24"/>
          <w:szCs w:val="24"/>
        </w:rPr>
        <w:t>January 2019</w:t>
      </w:r>
      <w:r w:rsidR="000B1527" w:rsidRPr="009A1694">
        <w:rPr>
          <w:rFonts w:ascii="Garamond" w:hAnsi="Garamond"/>
          <w:sz w:val="24"/>
          <w:szCs w:val="24"/>
        </w:rPr>
        <w:t>) this issue has not been resolved, although the judgment on just satisfaction was delivered on 12 May 2014. Normally, the payment of just satisfaction is done within three month</w:t>
      </w:r>
      <w:r w:rsidR="00E6650A">
        <w:rPr>
          <w:rFonts w:ascii="Garamond" w:hAnsi="Garamond"/>
          <w:sz w:val="24"/>
          <w:szCs w:val="24"/>
        </w:rPr>
        <w:t>s</w:t>
      </w:r>
      <w:r w:rsidR="000B1527" w:rsidRPr="009A1694">
        <w:rPr>
          <w:rFonts w:ascii="Garamond" w:hAnsi="Garamond"/>
          <w:sz w:val="24"/>
          <w:szCs w:val="24"/>
        </w:rPr>
        <w:t>.</w:t>
      </w:r>
      <w:r w:rsidR="000D7FAE">
        <w:rPr>
          <w:rStyle w:val="FootnoteReference"/>
          <w:rFonts w:ascii="Garamond" w:hAnsi="Garamond"/>
          <w:sz w:val="24"/>
          <w:szCs w:val="24"/>
        </w:rPr>
        <w:footnoteReference w:id="93"/>
      </w:r>
    </w:p>
    <w:p w14:paraId="5B5E3834" w14:textId="039E6E23" w:rsidR="005B4CC5" w:rsidRDefault="003260BF" w:rsidP="004943DC">
      <w:pPr>
        <w:spacing w:line="240" w:lineRule="auto"/>
        <w:jc w:val="both"/>
        <w:rPr>
          <w:rFonts w:ascii="Garamond" w:hAnsi="Garamond"/>
          <w:sz w:val="24"/>
          <w:szCs w:val="24"/>
        </w:rPr>
      </w:pPr>
      <w:r w:rsidRPr="009A1694">
        <w:rPr>
          <w:rFonts w:ascii="Garamond" w:hAnsi="Garamond"/>
          <w:sz w:val="24"/>
          <w:szCs w:val="24"/>
        </w:rPr>
        <w:t xml:space="preserve">Under the rubric of individual </w:t>
      </w:r>
      <w:r w:rsidR="00FE3912" w:rsidRPr="009A1694">
        <w:rPr>
          <w:rFonts w:ascii="Garamond" w:hAnsi="Garamond"/>
          <w:sz w:val="24"/>
          <w:szCs w:val="24"/>
        </w:rPr>
        <w:t>measure</w:t>
      </w:r>
      <w:r w:rsidR="007F0CDB">
        <w:rPr>
          <w:rFonts w:ascii="Garamond" w:hAnsi="Garamond"/>
          <w:sz w:val="24"/>
          <w:szCs w:val="24"/>
        </w:rPr>
        <w:t>s</w:t>
      </w:r>
      <w:r w:rsidR="00FE3912" w:rsidRPr="009A1694">
        <w:rPr>
          <w:rFonts w:ascii="Garamond" w:hAnsi="Garamond"/>
          <w:sz w:val="24"/>
          <w:szCs w:val="24"/>
        </w:rPr>
        <w:t>,</w:t>
      </w:r>
      <w:r w:rsidRPr="009A1694">
        <w:rPr>
          <w:rFonts w:ascii="Garamond" w:hAnsi="Garamond"/>
          <w:sz w:val="24"/>
          <w:szCs w:val="24"/>
        </w:rPr>
        <w:t xml:space="preserve"> the Committee of Ministers of the </w:t>
      </w:r>
      <w:r w:rsidR="0026418C">
        <w:rPr>
          <w:rFonts w:ascii="Garamond" w:hAnsi="Garamond"/>
          <w:sz w:val="24"/>
          <w:szCs w:val="24"/>
        </w:rPr>
        <w:t xml:space="preserve">CoE </w:t>
      </w:r>
      <w:r w:rsidRPr="009A1694">
        <w:rPr>
          <w:rFonts w:ascii="Garamond" w:hAnsi="Garamond"/>
          <w:sz w:val="24"/>
          <w:szCs w:val="24"/>
        </w:rPr>
        <w:t xml:space="preserve">demands </w:t>
      </w:r>
      <w:r w:rsidR="00E6650A">
        <w:rPr>
          <w:rFonts w:ascii="Garamond" w:hAnsi="Garamond"/>
          <w:sz w:val="24"/>
          <w:szCs w:val="24"/>
        </w:rPr>
        <w:t xml:space="preserve">that </w:t>
      </w:r>
      <w:r w:rsidRPr="009A1694">
        <w:rPr>
          <w:rFonts w:ascii="Garamond" w:hAnsi="Garamond"/>
          <w:sz w:val="24"/>
          <w:szCs w:val="24"/>
        </w:rPr>
        <w:t xml:space="preserve">the </w:t>
      </w:r>
      <w:r w:rsidR="00986118" w:rsidRPr="009A1694">
        <w:rPr>
          <w:rFonts w:ascii="Garamond" w:hAnsi="Garamond"/>
          <w:sz w:val="24"/>
          <w:szCs w:val="24"/>
        </w:rPr>
        <w:t xml:space="preserve">respondent state </w:t>
      </w:r>
      <w:r w:rsidR="00FE3912" w:rsidRPr="009A1694">
        <w:rPr>
          <w:rFonts w:ascii="Garamond" w:hAnsi="Garamond"/>
          <w:sz w:val="24"/>
          <w:szCs w:val="24"/>
        </w:rPr>
        <w:t xml:space="preserve">remedy the situation of the victim of </w:t>
      </w:r>
      <w:r w:rsidR="00E6650A">
        <w:rPr>
          <w:rFonts w:ascii="Garamond" w:hAnsi="Garamond"/>
          <w:sz w:val="24"/>
          <w:szCs w:val="24"/>
        </w:rPr>
        <w:t xml:space="preserve">a </w:t>
      </w:r>
      <w:r w:rsidR="00FE3912" w:rsidRPr="009A1694">
        <w:rPr>
          <w:rFonts w:ascii="Garamond" w:hAnsi="Garamond"/>
          <w:sz w:val="24"/>
          <w:szCs w:val="24"/>
        </w:rPr>
        <w:t xml:space="preserve">human rights violation. </w:t>
      </w:r>
      <w:r w:rsidR="000B1FC7">
        <w:rPr>
          <w:rFonts w:ascii="Garamond" w:hAnsi="Garamond"/>
          <w:sz w:val="24"/>
          <w:szCs w:val="24"/>
        </w:rPr>
        <w:t>A</w:t>
      </w:r>
      <w:r w:rsidR="00AF1D0E">
        <w:rPr>
          <w:rFonts w:ascii="Garamond" w:hAnsi="Garamond"/>
          <w:sz w:val="24"/>
          <w:szCs w:val="24"/>
        </w:rPr>
        <w:t xml:space="preserve">n example </w:t>
      </w:r>
      <w:r w:rsidR="00FB681C">
        <w:rPr>
          <w:rFonts w:ascii="Garamond" w:hAnsi="Garamond"/>
          <w:sz w:val="24"/>
          <w:szCs w:val="24"/>
        </w:rPr>
        <w:t xml:space="preserve">here is </w:t>
      </w:r>
      <w:r w:rsidR="005D1B03">
        <w:rPr>
          <w:rFonts w:ascii="Garamond" w:hAnsi="Garamond"/>
          <w:sz w:val="24"/>
          <w:szCs w:val="24"/>
        </w:rPr>
        <w:t>the</w:t>
      </w:r>
      <w:r w:rsidR="00523D24" w:rsidRPr="009A1694">
        <w:rPr>
          <w:rFonts w:ascii="Garamond" w:hAnsi="Garamond"/>
          <w:sz w:val="24"/>
          <w:szCs w:val="24"/>
        </w:rPr>
        <w:t xml:space="preserve"> </w:t>
      </w:r>
      <w:r w:rsidR="00FE3912" w:rsidRPr="009A1694">
        <w:rPr>
          <w:rFonts w:ascii="Garamond" w:hAnsi="Garamond"/>
          <w:sz w:val="24"/>
          <w:szCs w:val="24"/>
        </w:rPr>
        <w:t xml:space="preserve">problematic case </w:t>
      </w:r>
      <w:r w:rsidR="00FB681C">
        <w:rPr>
          <w:rFonts w:ascii="Garamond" w:hAnsi="Garamond"/>
          <w:sz w:val="24"/>
          <w:szCs w:val="24"/>
        </w:rPr>
        <w:t>of</w:t>
      </w:r>
      <w:r w:rsidR="00CE0003">
        <w:rPr>
          <w:rFonts w:ascii="Garamond" w:hAnsi="Garamond"/>
          <w:sz w:val="24"/>
          <w:szCs w:val="24"/>
        </w:rPr>
        <w:t xml:space="preserve"> </w:t>
      </w:r>
      <w:r w:rsidR="00FE3912" w:rsidRPr="009A1694">
        <w:rPr>
          <w:rFonts w:ascii="Garamond" w:hAnsi="Garamond"/>
          <w:i/>
          <w:sz w:val="24"/>
          <w:szCs w:val="24"/>
        </w:rPr>
        <w:t>Ilgar Mammadov v. Azerbaijan</w:t>
      </w:r>
      <w:r w:rsidR="00FE3912" w:rsidRPr="009A1694">
        <w:rPr>
          <w:rFonts w:ascii="Garamond" w:hAnsi="Garamond"/>
          <w:sz w:val="24"/>
          <w:szCs w:val="24"/>
        </w:rPr>
        <w:t xml:space="preserve">. The applicant </w:t>
      </w:r>
      <w:r w:rsidR="00AF1D0E">
        <w:rPr>
          <w:rFonts w:ascii="Garamond" w:hAnsi="Garamond"/>
          <w:sz w:val="24"/>
          <w:szCs w:val="24"/>
        </w:rPr>
        <w:t>was</w:t>
      </w:r>
      <w:r w:rsidR="00CE0003">
        <w:rPr>
          <w:rFonts w:ascii="Garamond" w:hAnsi="Garamond"/>
          <w:sz w:val="24"/>
          <w:szCs w:val="24"/>
        </w:rPr>
        <w:t xml:space="preserve"> </w:t>
      </w:r>
      <w:r w:rsidR="00683AF9">
        <w:rPr>
          <w:rFonts w:ascii="Garamond" w:hAnsi="Garamond"/>
          <w:sz w:val="24"/>
          <w:szCs w:val="24"/>
        </w:rPr>
        <w:t xml:space="preserve">an </w:t>
      </w:r>
      <w:r w:rsidR="00FE3912" w:rsidRPr="009A1694">
        <w:rPr>
          <w:rFonts w:ascii="Garamond" w:hAnsi="Garamond"/>
          <w:sz w:val="24"/>
          <w:szCs w:val="24"/>
        </w:rPr>
        <w:t>opposition politician in Azerbaijan</w:t>
      </w:r>
      <w:r w:rsidR="00760028">
        <w:rPr>
          <w:rFonts w:ascii="Garamond" w:hAnsi="Garamond"/>
          <w:sz w:val="24"/>
          <w:szCs w:val="24"/>
        </w:rPr>
        <w:t xml:space="preserve"> who spent more than five years in prison</w:t>
      </w:r>
      <w:r w:rsidR="00FE3912" w:rsidRPr="009A1694">
        <w:rPr>
          <w:rFonts w:ascii="Garamond" w:hAnsi="Garamond"/>
          <w:sz w:val="24"/>
          <w:szCs w:val="24"/>
        </w:rPr>
        <w:t>. The ECtHR found a violation of Article 18 in conjunction with Article 5</w:t>
      </w:r>
      <w:r w:rsidR="00683AF9">
        <w:rPr>
          <w:rFonts w:ascii="Garamond" w:hAnsi="Garamond"/>
          <w:sz w:val="24"/>
          <w:szCs w:val="24"/>
        </w:rPr>
        <w:t>,</w:t>
      </w:r>
      <w:r w:rsidR="00FE3912" w:rsidRPr="009A1694">
        <w:rPr>
          <w:rFonts w:ascii="Garamond" w:hAnsi="Garamond"/>
          <w:sz w:val="24"/>
          <w:szCs w:val="24"/>
        </w:rPr>
        <w:t xml:space="preserve"> namely that his detention was for his political activities </w:t>
      </w:r>
      <w:r w:rsidR="00683AF9">
        <w:rPr>
          <w:rFonts w:ascii="Garamond" w:hAnsi="Garamond"/>
          <w:sz w:val="24"/>
          <w:szCs w:val="24"/>
        </w:rPr>
        <w:t xml:space="preserve">and </w:t>
      </w:r>
      <w:r w:rsidR="00FE3912" w:rsidRPr="009A1694">
        <w:rPr>
          <w:rFonts w:ascii="Garamond" w:hAnsi="Garamond"/>
          <w:sz w:val="24"/>
          <w:szCs w:val="24"/>
        </w:rPr>
        <w:t>not for the crimes he was accused</w:t>
      </w:r>
      <w:r w:rsidR="00683AF9">
        <w:rPr>
          <w:rFonts w:ascii="Garamond" w:hAnsi="Garamond"/>
          <w:sz w:val="24"/>
          <w:szCs w:val="24"/>
        </w:rPr>
        <w:t xml:space="preserve"> of</w:t>
      </w:r>
      <w:r w:rsidR="00FE3912" w:rsidRPr="009A1694">
        <w:rPr>
          <w:rFonts w:ascii="Garamond" w:hAnsi="Garamond"/>
          <w:sz w:val="24"/>
          <w:szCs w:val="24"/>
        </w:rPr>
        <w:t xml:space="preserve">. </w:t>
      </w:r>
      <w:r w:rsidR="002E5044" w:rsidRPr="009A1694">
        <w:rPr>
          <w:rFonts w:ascii="Garamond" w:hAnsi="Garamond"/>
          <w:sz w:val="24"/>
          <w:szCs w:val="24"/>
        </w:rPr>
        <w:t xml:space="preserve">The Committee of Ministers urged the </w:t>
      </w:r>
      <w:r w:rsidR="00523D24">
        <w:rPr>
          <w:rFonts w:ascii="Garamond" w:hAnsi="Garamond"/>
          <w:sz w:val="24"/>
          <w:szCs w:val="24"/>
        </w:rPr>
        <w:t>Azerbaijani</w:t>
      </w:r>
      <w:r w:rsidR="002E5044" w:rsidRPr="009A1694">
        <w:rPr>
          <w:rFonts w:ascii="Garamond" w:hAnsi="Garamond"/>
          <w:sz w:val="24"/>
          <w:szCs w:val="24"/>
        </w:rPr>
        <w:t xml:space="preserve"> authorities to release the applicant</w:t>
      </w:r>
      <w:r w:rsidR="000B1FC7">
        <w:rPr>
          <w:rFonts w:ascii="Garamond" w:hAnsi="Garamond"/>
          <w:sz w:val="24"/>
          <w:szCs w:val="24"/>
        </w:rPr>
        <w:t xml:space="preserve"> on a number of occasions</w:t>
      </w:r>
      <w:r w:rsidR="002E5044" w:rsidRPr="009A1694">
        <w:rPr>
          <w:rFonts w:ascii="Garamond" w:hAnsi="Garamond"/>
          <w:sz w:val="24"/>
          <w:szCs w:val="24"/>
        </w:rPr>
        <w:t>.</w:t>
      </w:r>
      <w:r w:rsidR="000B1FC7">
        <w:rPr>
          <w:rStyle w:val="FootnoteReference"/>
          <w:rFonts w:ascii="Garamond" w:hAnsi="Garamond"/>
          <w:sz w:val="24"/>
          <w:szCs w:val="24"/>
        </w:rPr>
        <w:footnoteReference w:id="94"/>
      </w:r>
      <w:r w:rsidR="00C91EBE">
        <w:rPr>
          <w:rFonts w:ascii="Garamond" w:hAnsi="Garamond"/>
          <w:sz w:val="24"/>
          <w:szCs w:val="24"/>
        </w:rPr>
        <w:t xml:space="preserve"> </w:t>
      </w:r>
      <w:r w:rsidR="00683AF9">
        <w:rPr>
          <w:rFonts w:ascii="Garamond" w:hAnsi="Garamond"/>
          <w:sz w:val="24"/>
          <w:szCs w:val="24"/>
        </w:rPr>
        <w:t xml:space="preserve">In November 2017 and pending the implementation of the first judgment, the Fifth Section found a further breach of Article 6 in </w:t>
      </w:r>
      <w:r w:rsidR="00683AF9">
        <w:rPr>
          <w:rFonts w:ascii="Garamond" w:hAnsi="Garamond"/>
          <w:i/>
          <w:sz w:val="24"/>
          <w:szCs w:val="24"/>
        </w:rPr>
        <w:t>Ilgar Mammadov v</w:t>
      </w:r>
      <w:r w:rsidR="00523D24">
        <w:rPr>
          <w:rFonts w:ascii="Garamond" w:hAnsi="Garamond"/>
          <w:i/>
          <w:sz w:val="24"/>
          <w:szCs w:val="24"/>
        </w:rPr>
        <w:t>.</w:t>
      </w:r>
      <w:r w:rsidR="00683AF9">
        <w:rPr>
          <w:rFonts w:ascii="Garamond" w:hAnsi="Garamond"/>
          <w:i/>
          <w:sz w:val="24"/>
          <w:szCs w:val="24"/>
        </w:rPr>
        <w:t xml:space="preserve"> Azerbaijan (No. 2)</w:t>
      </w:r>
      <w:r w:rsidR="00683AF9">
        <w:rPr>
          <w:rFonts w:ascii="Garamond" w:hAnsi="Garamond"/>
          <w:sz w:val="24"/>
          <w:szCs w:val="24"/>
        </w:rPr>
        <w:t>.</w:t>
      </w:r>
      <w:r w:rsidR="00683AF9">
        <w:rPr>
          <w:rStyle w:val="FootnoteReference"/>
          <w:rFonts w:ascii="Garamond" w:hAnsi="Garamond"/>
          <w:sz w:val="24"/>
          <w:szCs w:val="24"/>
        </w:rPr>
        <w:footnoteReference w:id="95"/>
      </w:r>
      <w:r w:rsidR="00683AF9">
        <w:rPr>
          <w:rFonts w:ascii="Garamond" w:hAnsi="Garamond"/>
          <w:sz w:val="24"/>
          <w:szCs w:val="24"/>
        </w:rPr>
        <w:t xml:space="preserve"> </w:t>
      </w:r>
      <w:r w:rsidR="007719CD">
        <w:rPr>
          <w:rFonts w:ascii="Garamond" w:hAnsi="Garamond"/>
          <w:sz w:val="24"/>
          <w:szCs w:val="24"/>
        </w:rPr>
        <w:t>In October 2017</w:t>
      </w:r>
      <w:r w:rsidR="000B1FC7">
        <w:rPr>
          <w:rFonts w:ascii="Garamond" w:hAnsi="Garamond"/>
          <w:sz w:val="24"/>
          <w:szCs w:val="24"/>
        </w:rPr>
        <w:t>,</w:t>
      </w:r>
      <w:r w:rsidR="007719CD">
        <w:rPr>
          <w:rFonts w:ascii="Garamond" w:hAnsi="Garamond"/>
          <w:sz w:val="24"/>
          <w:szCs w:val="24"/>
        </w:rPr>
        <w:t xml:space="preserve"> the Committee of Ministers indicated to </w:t>
      </w:r>
      <w:r w:rsidR="00523D24">
        <w:rPr>
          <w:rFonts w:ascii="Garamond" w:hAnsi="Garamond"/>
          <w:sz w:val="24"/>
          <w:szCs w:val="24"/>
        </w:rPr>
        <w:t>Azerbaijani</w:t>
      </w:r>
      <w:r w:rsidR="007719CD">
        <w:rPr>
          <w:rFonts w:ascii="Garamond" w:hAnsi="Garamond"/>
          <w:sz w:val="24"/>
          <w:szCs w:val="24"/>
        </w:rPr>
        <w:t xml:space="preserve"> authorities its int</w:t>
      </w:r>
      <w:r w:rsidR="00697CBC">
        <w:rPr>
          <w:rFonts w:ascii="Garamond" w:hAnsi="Garamond"/>
          <w:sz w:val="24"/>
          <w:szCs w:val="24"/>
        </w:rPr>
        <w:t>ention to invoke the Article 46(</w:t>
      </w:r>
      <w:r w:rsidR="007719CD">
        <w:rPr>
          <w:rFonts w:ascii="Garamond" w:hAnsi="Garamond"/>
          <w:sz w:val="24"/>
          <w:szCs w:val="24"/>
        </w:rPr>
        <w:t>4</w:t>
      </w:r>
      <w:r w:rsidR="00697CBC">
        <w:rPr>
          <w:rFonts w:ascii="Garamond" w:hAnsi="Garamond"/>
          <w:sz w:val="24"/>
          <w:szCs w:val="24"/>
        </w:rPr>
        <w:t>)</w:t>
      </w:r>
      <w:r w:rsidR="007719CD">
        <w:rPr>
          <w:rFonts w:ascii="Garamond" w:hAnsi="Garamond"/>
          <w:sz w:val="24"/>
          <w:szCs w:val="24"/>
        </w:rPr>
        <w:t xml:space="preserve"> procedure for failure to comply with </w:t>
      </w:r>
      <w:r w:rsidR="00236029">
        <w:rPr>
          <w:rFonts w:ascii="Garamond" w:hAnsi="Garamond"/>
          <w:sz w:val="24"/>
          <w:szCs w:val="24"/>
        </w:rPr>
        <w:t xml:space="preserve">the </w:t>
      </w:r>
      <w:r w:rsidR="007719CD">
        <w:rPr>
          <w:rFonts w:ascii="Garamond" w:hAnsi="Garamond"/>
          <w:sz w:val="24"/>
          <w:szCs w:val="24"/>
        </w:rPr>
        <w:t>ruling</w:t>
      </w:r>
      <w:r w:rsidR="00236029">
        <w:rPr>
          <w:rFonts w:ascii="Garamond" w:hAnsi="Garamond"/>
          <w:sz w:val="24"/>
          <w:szCs w:val="24"/>
        </w:rPr>
        <w:t xml:space="preserve"> in the first </w:t>
      </w:r>
      <w:r w:rsidR="00236029" w:rsidRPr="004943DC">
        <w:rPr>
          <w:rFonts w:ascii="Garamond" w:hAnsi="Garamond"/>
          <w:i/>
          <w:sz w:val="24"/>
          <w:szCs w:val="24"/>
        </w:rPr>
        <w:t>Mammadov</w:t>
      </w:r>
      <w:r w:rsidR="00236029">
        <w:rPr>
          <w:rFonts w:ascii="Garamond" w:hAnsi="Garamond"/>
          <w:sz w:val="24"/>
          <w:szCs w:val="24"/>
        </w:rPr>
        <w:t xml:space="preserve"> case</w:t>
      </w:r>
      <w:r w:rsidR="007719CD">
        <w:rPr>
          <w:rFonts w:ascii="Garamond" w:hAnsi="Garamond"/>
          <w:sz w:val="24"/>
          <w:szCs w:val="24"/>
        </w:rPr>
        <w:t>.</w:t>
      </w:r>
      <w:bookmarkStart w:id="7" w:name="_Ref536193268"/>
      <w:r w:rsidR="007719CD">
        <w:rPr>
          <w:rStyle w:val="FootnoteReference"/>
          <w:rFonts w:ascii="Garamond" w:hAnsi="Garamond"/>
          <w:sz w:val="24"/>
          <w:szCs w:val="24"/>
        </w:rPr>
        <w:footnoteReference w:id="96"/>
      </w:r>
      <w:bookmarkEnd w:id="7"/>
      <w:r w:rsidR="007719CD">
        <w:rPr>
          <w:rFonts w:ascii="Garamond" w:hAnsi="Garamond"/>
          <w:sz w:val="24"/>
          <w:szCs w:val="24"/>
        </w:rPr>
        <w:t xml:space="preserve"> In December 2017, and in light of the </w:t>
      </w:r>
      <w:r w:rsidR="009F06C0">
        <w:rPr>
          <w:rFonts w:ascii="Garamond" w:hAnsi="Garamond"/>
          <w:sz w:val="24"/>
          <w:szCs w:val="24"/>
        </w:rPr>
        <w:t xml:space="preserve">inability </w:t>
      </w:r>
      <w:r w:rsidR="007719CD">
        <w:rPr>
          <w:rFonts w:ascii="Garamond" w:hAnsi="Garamond"/>
          <w:sz w:val="24"/>
          <w:szCs w:val="24"/>
        </w:rPr>
        <w:t xml:space="preserve">of the </w:t>
      </w:r>
      <w:r w:rsidR="00523D24">
        <w:rPr>
          <w:rFonts w:ascii="Garamond" w:hAnsi="Garamond"/>
          <w:sz w:val="24"/>
          <w:szCs w:val="24"/>
        </w:rPr>
        <w:t>Azerbaijani</w:t>
      </w:r>
      <w:r w:rsidR="007719CD">
        <w:rPr>
          <w:rFonts w:ascii="Garamond" w:hAnsi="Garamond"/>
          <w:sz w:val="24"/>
          <w:szCs w:val="24"/>
        </w:rPr>
        <w:t xml:space="preserve"> authorities to offer a compelling justification for their failure to comply, the Committee </w:t>
      </w:r>
      <w:r w:rsidR="007719CD">
        <w:rPr>
          <w:rFonts w:ascii="Garamond" w:hAnsi="Garamond"/>
          <w:sz w:val="24"/>
          <w:szCs w:val="24"/>
        </w:rPr>
        <w:lastRenderedPageBreak/>
        <w:t xml:space="preserve">of Ministers referred the question </w:t>
      </w:r>
      <w:r w:rsidR="00417168">
        <w:rPr>
          <w:rFonts w:ascii="Garamond" w:hAnsi="Garamond"/>
          <w:sz w:val="24"/>
          <w:szCs w:val="24"/>
        </w:rPr>
        <w:t xml:space="preserve">back </w:t>
      </w:r>
      <w:r w:rsidR="007719CD">
        <w:rPr>
          <w:rFonts w:ascii="Garamond" w:hAnsi="Garamond"/>
          <w:sz w:val="24"/>
          <w:szCs w:val="24"/>
        </w:rPr>
        <w:t xml:space="preserve">to the </w:t>
      </w:r>
      <w:r w:rsidR="000B1FC7">
        <w:rPr>
          <w:rFonts w:ascii="Garamond" w:hAnsi="Garamond"/>
          <w:sz w:val="24"/>
          <w:szCs w:val="24"/>
        </w:rPr>
        <w:t>ECtHR</w:t>
      </w:r>
      <w:r w:rsidR="007719CD">
        <w:rPr>
          <w:rFonts w:ascii="Garamond" w:hAnsi="Garamond"/>
          <w:sz w:val="24"/>
          <w:szCs w:val="24"/>
        </w:rPr>
        <w:t>.</w:t>
      </w:r>
      <w:r w:rsidR="007719CD">
        <w:rPr>
          <w:rStyle w:val="FootnoteReference"/>
          <w:rFonts w:ascii="Garamond" w:hAnsi="Garamond"/>
          <w:sz w:val="24"/>
          <w:szCs w:val="24"/>
        </w:rPr>
        <w:footnoteReference w:id="97"/>
      </w:r>
      <w:r w:rsidR="00637D35">
        <w:rPr>
          <w:rFonts w:ascii="Garamond" w:hAnsi="Garamond"/>
          <w:sz w:val="24"/>
          <w:szCs w:val="24"/>
        </w:rPr>
        <w:t xml:space="preserve"> Significantly, the Article 46</w:t>
      </w:r>
      <w:r w:rsidR="00697CBC">
        <w:rPr>
          <w:rFonts w:ascii="Garamond" w:hAnsi="Garamond"/>
          <w:sz w:val="24"/>
          <w:szCs w:val="24"/>
        </w:rPr>
        <w:t>(</w:t>
      </w:r>
      <w:r w:rsidR="009F06C0">
        <w:rPr>
          <w:rFonts w:ascii="Garamond" w:hAnsi="Garamond"/>
          <w:sz w:val="24"/>
          <w:szCs w:val="24"/>
        </w:rPr>
        <w:t>4</w:t>
      </w:r>
      <w:r w:rsidR="00697CBC">
        <w:rPr>
          <w:rFonts w:ascii="Garamond" w:hAnsi="Garamond"/>
          <w:sz w:val="24"/>
          <w:szCs w:val="24"/>
        </w:rPr>
        <w:t>)</w:t>
      </w:r>
      <w:r w:rsidR="00637D35">
        <w:rPr>
          <w:rFonts w:ascii="Garamond" w:hAnsi="Garamond"/>
          <w:sz w:val="24"/>
          <w:szCs w:val="24"/>
        </w:rPr>
        <w:t xml:space="preserve"> procedure requires a two-thirds majority of the Committee of Ministers in order to refer the matter – the fact that this high threshold </w:t>
      </w:r>
      <w:r w:rsidR="005D1B03">
        <w:rPr>
          <w:rFonts w:ascii="Garamond" w:hAnsi="Garamond"/>
          <w:sz w:val="24"/>
          <w:szCs w:val="24"/>
        </w:rPr>
        <w:t>was</w:t>
      </w:r>
      <w:r w:rsidR="00637D35">
        <w:rPr>
          <w:rFonts w:ascii="Garamond" w:hAnsi="Garamond"/>
          <w:sz w:val="24"/>
          <w:szCs w:val="24"/>
        </w:rPr>
        <w:t xml:space="preserve"> reached indicates widespread dissatisfaction with the behaviour of the </w:t>
      </w:r>
      <w:r w:rsidR="00523D24">
        <w:rPr>
          <w:rFonts w:ascii="Garamond" w:hAnsi="Garamond"/>
          <w:sz w:val="24"/>
          <w:szCs w:val="24"/>
        </w:rPr>
        <w:t>Azerbaijani</w:t>
      </w:r>
      <w:r w:rsidR="00637D35">
        <w:rPr>
          <w:rFonts w:ascii="Garamond" w:hAnsi="Garamond"/>
          <w:sz w:val="24"/>
          <w:szCs w:val="24"/>
        </w:rPr>
        <w:t xml:space="preserve"> authorities in this case.</w:t>
      </w:r>
      <w:r w:rsidR="009F06C0">
        <w:rPr>
          <w:rStyle w:val="FootnoteReference"/>
          <w:rFonts w:ascii="Garamond" w:hAnsi="Garamond"/>
          <w:sz w:val="24"/>
          <w:szCs w:val="24"/>
        </w:rPr>
        <w:footnoteReference w:id="98"/>
      </w:r>
      <w:r w:rsidR="00637D35">
        <w:rPr>
          <w:rFonts w:ascii="Garamond" w:hAnsi="Garamond"/>
          <w:sz w:val="24"/>
          <w:szCs w:val="24"/>
        </w:rPr>
        <w:t xml:space="preserve"> </w:t>
      </w:r>
      <w:r w:rsidR="00760028">
        <w:rPr>
          <w:rFonts w:ascii="Garamond" w:hAnsi="Garamond"/>
          <w:sz w:val="24"/>
          <w:szCs w:val="24"/>
        </w:rPr>
        <w:t xml:space="preserve">On 13 August 2018, Mammadov was conditionally released from </w:t>
      </w:r>
      <w:r w:rsidR="00786635">
        <w:rPr>
          <w:rFonts w:ascii="Garamond" w:hAnsi="Garamond"/>
          <w:sz w:val="24"/>
          <w:szCs w:val="24"/>
        </w:rPr>
        <w:t>prison</w:t>
      </w:r>
      <w:r w:rsidR="00786635">
        <w:rPr>
          <w:rStyle w:val="FootnoteReference"/>
          <w:rFonts w:ascii="Garamond" w:hAnsi="Garamond"/>
          <w:sz w:val="24"/>
          <w:szCs w:val="24"/>
        </w:rPr>
        <w:footnoteReference w:id="99"/>
      </w:r>
      <w:r w:rsidR="00786635">
        <w:rPr>
          <w:rFonts w:ascii="Garamond" w:hAnsi="Garamond"/>
          <w:sz w:val="24"/>
          <w:szCs w:val="24"/>
        </w:rPr>
        <w:t xml:space="preserve"> but the ECtHR will </w:t>
      </w:r>
      <w:r w:rsidR="0057583C">
        <w:rPr>
          <w:rFonts w:ascii="Garamond" w:hAnsi="Garamond"/>
          <w:sz w:val="24"/>
          <w:szCs w:val="24"/>
        </w:rPr>
        <w:t xml:space="preserve">nevertheless have to decide if the judgment was properly executed as the Committee of Ministers did not revoke its request under 46(4). Although the effectiveness of this procedure </w:t>
      </w:r>
      <w:r w:rsidR="00236029">
        <w:rPr>
          <w:rFonts w:ascii="Garamond" w:hAnsi="Garamond"/>
          <w:sz w:val="24"/>
          <w:szCs w:val="24"/>
        </w:rPr>
        <w:t>is questionable</w:t>
      </w:r>
      <w:r w:rsidR="0057583C">
        <w:rPr>
          <w:rFonts w:ascii="Garamond" w:hAnsi="Garamond"/>
          <w:sz w:val="24"/>
          <w:szCs w:val="24"/>
        </w:rPr>
        <w:t>,</w:t>
      </w:r>
      <w:r w:rsidR="0057583C">
        <w:rPr>
          <w:rStyle w:val="FootnoteReference"/>
          <w:rFonts w:ascii="Garamond" w:hAnsi="Garamond"/>
          <w:sz w:val="24"/>
          <w:szCs w:val="24"/>
        </w:rPr>
        <w:footnoteReference w:id="100"/>
      </w:r>
      <w:r w:rsidR="0057583C">
        <w:rPr>
          <w:rFonts w:ascii="Garamond" w:hAnsi="Garamond"/>
          <w:sz w:val="24"/>
          <w:szCs w:val="24"/>
        </w:rPr>
        <w:t xml:space="preserve"> the decision of the ECtHR about the failure to execute its judgment can act as a justification for triggering the </w:t>
      </w:r>
      <w:r w:rsidR="00236029">
        <w:rPr>
          <w:rFonts w:ascii="Garamond" w:hAnsi="Garamond"/>
          <w:sz w:val="24"/>
          <w:szCs w:val="24"/>
        </w:rPr>
        <w:t xml:space="preserve">procedure for </w:t>
      </w:r>
      <w:r w:rsidR="0057583C">
        <w:rPr>
          <w:rFonts w:ascii="Garamond" w:hAnsi="Garamond"/>
          <w:sz w:val="24"/>
          <w:szCs w:val="24"/>
        </w:rPr>
        <w:t xml:space="preserve">suspension of </w:t>
      </w:r>
      <w:r w:rsidR="00236029">
        <w:rPr>
          <w:rFonts w:ascii="Garamond" w:hAnsi="Garamond"/>
          <w:sz w:val="24"/>
          <w:szCs w:val="24"/>
        </w:rPr>
        <w:t xml:space="preserve">the </w:t>
      </w:r>
      <w:r w:rsidR="0057583C">
        <w:rPr>
          <w:rFonts w:ascii="Garamond" w:hAnsi="Garamond"/>
          <w:sz w:val="24"/>
          <w:szCs w:val="24"/>
        </w:rPr>
        <w:t>CoE membership.</w:t>
      </w:r>
    </w:p>
    <w:p w14:paraId="489F0D83" w14:textId="704FE8D9" w:rsidR="00637D35" w:rsidRDefault="000F7730" w:rsidP="0053726B">
      <w:pPr>
        <w:spacing w:line="240" w:lineRule="auto"/>
        <w:jc w:val="both"/>
        <w:rPr>
          <w:rFonts w:ascii="Garamond" w:hAnsi="Garamond"/>
          <w:sz w:val="24"/>
          <w:szCs w:val="24"/>
        </w:rPr>
      </w:pPr>
      <w:r w:rsidRPr="009A1694">
        <w:rPr>
          <w:rFonts w:ascii="Garamond" w:hAnsi="Garamond"/>
          <w:sz w:val="24"/>
          <w:szCs w:val="24"/>
        </w:rPr>
        <w:t xml:space="preserve">Finally, the most complex part of execution of judgments – general measures. These measures </w:t>
      </w:r>
      <w:r w:rsidR="00637D35">
        <w:rPr>
          <w:rFonts w:ascii="Garamond" w:hAnsi="Garamond"/>
          <w:sz w:val="24"/>
          <w:szCs w:val="24"/>
        </w:rPr>
        <w:t>must</w:t>
      </w:r>
      <w:r w:rsidRPr="009A1694">
        <w:rPr>
          <w:rFonts w:ascii="Garamond" w:hAnsi="Garamond"/>
          <w:sz w:val="24"/>
          <w:szCs w:val="24"/>
        </w:rPr>
        <w:t xml:space="preserve"> ensure that the violation identified in the judgment does not happen again. </w:t>
      </w:r>
      <w:r w:rsidR="00637D35">
        <w:rPr>
          <w:rFonts w:ascii="Garamond" w:hAnsi="Garamond"/>
          <w:sz w:val="24"/>
          <w:szCs w:val="24"/>
        </w:rPr>
        <w:t>General</w:t>
      </w:r>
      <w:r w:rsidRPr="009A1694">
        <w:rPr>
          <w:rFonts w:ascii="Garamond" w:hAnsi="Garamond"/>
          <w:sz w:val="24"/>
          <w:szCs w:val="24"/>
        </w:rPr>
        <w:t xml:space="preserve"> measures are inherently problematic irrespective of whether the respondent states genuinely wish to comply with the judgments of the ECtHR. </w:t>
      </w:r>
      <w:r w:rsidR="00637D35">
        <w:rPr>
          <w:rFonts w:ascii="Garamond" w:hAnsi="Garamond"/>
          <w:sz w:val="24"/>
          <w:szCs w:val="24"/>
        </w:rPr>
        <w:t>The measures may require time-consuming legislative reform</w:t>
      </w:r>
      <w:r w:rsidR="008B670B">
        <w:rPr>
          <w:rFonts w:ascii="Garamond" w:hAnsi="Garamond"/>
          <w:sz w:val="24"/>
          <w:szCs w:val="24"/>
        </w:rPr>
        <w:t>s</w:t>
      </w:r>
      <w:r w:rsidR="00637D35">
        <w:rPr>
          <w:rFonts w:ascii="Garamond" w:hAnsi="Garamond"/>
          <w:sz w:val="24"/>
          <w:szCs w:val="24"/>
        </w:rPr>
        <w:t xml:space="preserve"> and these reforms can be complex in a pluralist democracy.</w:t>
      </w:r>
      <w:r w:rsidR="004958D3">
        <w:rPr>
          <w:rStyle w:val="FootnoteReference"/>
          <w:rFonts w:ascii="Garamond" w:hAnsi="Garamond"/>
          <w:sz w:val="24"/>
          <w:szCs w:val="24"/>
        </w:rPr>
        <w:footnoteReference w:id="101"/>
      </w:r>
      <w:r w:rsidR="00637D35">
        <w:rPr>
          <w:rFonts w:ascii="Garamond" w:hAnsi="Garamond"/>
          <w:sz w:val="24"/>
          <w:szCs w:val="24"/>
        </w:rPr>
        <w:t xml:space="preserve"> Notwithstanding these issues, </w:t>
      </w:r>
      <w:r w:rsidR="002D0FA9" w:rsidRPr="009A1694">
        <w:rPr>
          <w:rFonts w:ascii="Garamond" w:hAnsi="Garamond"/>
          <w:sz w:val="24"/>
          <w:szCs w:val="24"/>
        </w:rPr>
        <w:t xml:space="preserve">there are clear situations when the Contracting Parties </w:t>
      </w:r>
      <w:r w:rsidR="004958D3">
        <w:rPr>
          <w:rFonts w:ascii="Garamond" w:hAnsi="Garamond"/>
          <w:sz w:val="24"/>
          <w:szCs w:val="24"/>
        </w:rPr>
        <w:t>are perceived to undermine</w:t>
      </w:r>
      <w:r w:rsidR="002D0FA9" w:rsidRPr="009A1694">
        <w:rPr>
          <w:rFonts w:ascii="Garamond" w:hAnsi="Garamond"/>
          <w:sz w:val="24"/>
          <w:szCs w:val="24"/>
        </w:rPr>
        <w:t xml:space="preserve"> the </w:t>
      </w:r>
      <w:r w:rsidR="004958D3">
        <w:rPr>
          <w:rFonts w:ascii="Garamond" w:hAnsi="Garamond"/>
          <w:sz w:val="24"/>
          <w:szCs w:val="24"/>
        </w:rPr>
        <w:t>reputation</w:t>
      </w:r>
      <w:r w:rsidR="002D0FA9" w:rsidRPr="009A1694">
        <w:rPr>
          <w:rFonts w:ascii="Garamond" w:hAnsi="Garamond"/>
          <w:sz w:val="24"/>
          <w:szCs w:val="24"/>
        </w:rPr>
        <w:t xml:space="preserve"> and authority of the ECtHR by not implementing the judgments of the ECtHR. The case of </w:t>
      </w:r>
      <w:r w:rsidR="002D0FA9" w:rsidRPr="009A1694">
        <w:rPr>
          <w:rFonts w:ascii="Garamond" w:hAnsi="Garamond"/>
          <w:i/>
          <w:sz w:val="24"/>
          <w:szCs w:val="24"/>
        </w:rPr>
        <w:t>Hirst No 2 v</w:t>
      </w:r>
      <w:r w:rsidR="00417168">
        <w:rPr>
          <w:rFonts w:ascii="Garamond" w:hAnsi="Garamond"/>
          <w:i/>
          <w:sz w:val="24"/>
          <w:szCs w:val="24"/>
        </w:rPr>
        <w:t>.</w:t>
      </w:r>
      <w:r w:rsidR="002D0FA9" w:rsidRPr="009A1694">
        <w:rPr>
          <w:rFonts w:ascii="Garamond" w:hAnsi="Garamond"/>
          <w:i/>
          <w:sz w:val="24"/>
          <w:szCs w:val="24"/>
        </w:rPr>
        <w:t xml:space="preserve"> UK</w:t>
      </w:r>
      <w:r w:rsidR="00024252" w:rsidRPr="009A1694">
        <w:rPr>
          <w:rFonts w:ascii="Garamond" w:hAnsi="Garamond"/>
          <w:sz w:val="24"/>
          <w:szCs w:val="24"/>
        </w:rPr>
        <w:t xml:space="preserve"> is an appropriate example here.</w:t>
      </w:r>
      <w:r w:rsidR="00024252" w:rsidRPr="009A1694">
        <w:rPr>
          <w:rStyle w:val="FootnoteReference"/>
          <w:rFonts w:ascii="Garamond" w:hAnsi="Garamond"/>
          <w:sz w:val="24"/>
          <w:szCs w:val="24"/>
        </w:rPr>
        <w:footnoteReference w:id="102"/>
      </w:r>
      <w:r w:rsidR="00C65E78" w:rsidRPr="009A1694">
        <w:rPr>
          <w:rFonts w:ascii="Garamond" w:hAnsi="Garamond"/>
          <w:sz w:val="24"/>
          <w:szCs w:val="24"/>
        </w:rPr>
        <w:t xml:space="preserve"> In 2005</w:t>
      </w:r>
      <w:r w:rsidR="00A75BEE">
        <w:rPr>
          <w:rFonts w:ascii="Garamond" w:hAnsi="Garamond"/>
          <w:sz w:val="24"/>
          <w:szCs w:val="24"/>
        </w:rPr>
        <w:t>,</w:t>
      </w:r>
      <w:r w:rsidR="00C65E78" w:rsidRPr="009A1694">
        <w:rPr>
          <w:rFonts w:ascii="Garamond" w:hAnsi="Garamond"/>
          <w:sz w:val="24"/>
          <w:szCs w:val="24"/>
        </w:rPr>
        <w:t xml:space="preserve"> the ECtHR decided that </w:t>
      </w:r>
      <w:r w:rsidR="00637D35">
        <w:rPr>
          <w:rFonts w:ascii="Garamond" w:hAnsi="Garamond"/>
          <w:sz w:val="24"/>
          <w:szCs w:val="24"/>
        </w:rPr>
        <w:t>a blanket</w:t>
      </w:r>
      <w:r w:rsidR="00C65E78" w:rsidRPr="009A1694">
        <w:rPr>
          <w:rFonts w:ascii="Garamond" w:hAnsi="Garamond"/>
          <w:sz w:val="24"/>
          <w:szCs w:val="24"/>
        </w:rPr>
        <w:t xml:space="preserve"> ban on prisoner voting in the UK violates the ECHR. </w:t>
      </w:r>
      <w:r w:rsidR="00637D35">
        <w:rPr>
          <w:rFonts w:ascii="Garamond" w:hAnsi="Garamond"/>
          <w:sz w:val="24"/>
          <w:szCs w:val="24"/>
        </w:rPr>
        <w:t>Between 2005 and 2017, despite the efforts of the Committee of Ministers and the Court, the judgment was not implemented by British authorities.</w:t>
      </w:r>
      <w:r w:rsidR="00637D35">
        <w:rPr>
          <w:rStyle w:val="FootnoteReference"/>
          <w:rFonts w:ascii="Garamond" w:hAnsi="Garamond"/>
          <w:sz w:val="24"/>
          <w:szCs w:val="24"/>
        </w:rPr>
        <w:footnoteReference w:id="103"/>
      </w:r>
      <w:r w:rsidR="00433937">
        <w:rPr>
          <w:rFonts w:ascii="Garamond" w:hAnsi="Garamond"/>
          <w:sz w:val="24"/>
          <w:szCs w:val="24"/>
        </w:rPr>
        <w:t xml:space="preserve"> In 2017, the British Government indicated that it would change the administrative guidance governing prison rules in order to allow prisoners on short-term release or those serving their sentence via home detention curfew the right to vote. In December 2017, at the same meeting where the Committee of Ministers resolved to pursue the Article 46 case against Azerbaijan, the Committee of Ministers concluded the proposed changes ‘appear to be an adequate response’ to the cases.</w:t>
      </w:r>
      <w:r w:rsidR="00433937">
        <w:rPr>
          <w:rStyle w:val="FootnoteReference"/>
          <w:rFonts w:ascii="Garamond" w:hAnsi="Garamond"/>
          <w:sz w:val="24"/>
          <w:szCs w:val="24"/>
        </w:rPr>
        <w:footnoteReference w:id="104"/>
      </w:r>
    </w:p>
    <w:p w14:paraId="18D646A4" w14:textId="0941585D" w:rsidR="008A7D0A" w:rsidRPr="009A1694" w:rsidRDefault="00BA021F">
      <w:pPr>
        <w:spacing w:line="240" w:lineRule="auto"/>
        <w:jc w:val="both"/>
        <w:rPr>
          <w:rFonts w:ascii="Garamond" w:hAnsi="Garamond"/>
          <w:sz w:val="24"/>
          <w:szCs w:val="24"/>
        </w:rPr>
      </w:pPr>
      <w:r>
        <w:rPr>
          <w:rFonts w:ascii="Garamond" w:hAnsi="Garamond"/>
          <w:sz w:val="24"/>
          <w:szCs w:val="24"/>
        </w:rPr>
        <w:t>One can argue that a</w:t>
      </w:r>
      <w:r w:rsidR="00295403">
        <w:rPr>
          <w:rFonts w:ascii="Garamond" w:hAnsi="Garamond"/>
          <w:sz w:val="24"/>
          <w:szCs w:val="24"/>
        </w:rPr>
        <w:t xml:space="preserve">n isolated incident such as the </w:t>
      </w:r>
      <w:r w:rsidR="00295403">
        <w:rPr>
          <w:rFonts w:ascii="Garamond" w:hAnsi="Garamond"/>
          <w:i/>
          <w:sz w:val="24"/>
          <w:szCs w:val="24"/>
        </w:rPr>
        <w:t xml:space="preserve">Hirst </w:t>
      </w:r>
      <w:r w:rsidR="00295403">
        <w:rPr>
          <w:rFonts w:ascii="Garamond" w:hAnsi="Garamond"/>
          <w:sz w:val="24"/>
          <w:szCs w:val="24"/>
        </w:rPr>
        <w:t xml:space="preserve">case is not a compelling reason to initiate </w:t>
      </w:r>
      <w:r w:rsidR="00417168">
        <w:rPr>
          <w:rFonts w:ascii="Garamond" w:hAnsi="Garamond"/>
          <w:sz w:val="24"/>
          <w:szCs w:val="24"/>
        </w:rPr>
        <w:t xml:space="preserve">a </w:t>
      </w:r>
      <w:r w:rsidR="00295403">
        <w:rPr>
          <w:rFonts w:ascii="Garamond" w:hAnsi="Garamond"/>
          <w:sz w:val="24"/>
          <w:szCs w:val="24"/>
        </w:rPr>
        <w:t xml:space="preserve">disciplinary action against a </w:t>
      </w:r>
      <w:r w:rsidR="00AA264D">
        <w:rPr>
          <w:rFonts w:ascii="Garamond" w:hAnsi="Garamond"/>
          <w:sz w:val="24"/>
          <w:szCs w:val="24"/>
        </w:rPr>
        <w:t>member state</w:t>
      </w:r>
      <w:r w:rsidR="00295403">
        <w:rPr>
          <w:rFonts w:ascii="Garamond" w:hAnsi="Garamond"/>
          <w:sz w:val="24"/>
          <w:szCs w:val="24"/>
        </w:rPr>
        <w:t xml:space="preserve">; this would serve to entrench an intransigent approach to the </w:t>
      </w:r>
      <w:r w:rsidR="000B1FC7">
        <w:rPr>
          <w:rFonts w:ascii="Garamond" w:hAnsi="Garamond"/>
          <w:sz w:val="24"/>
          <w:szCs w:val="24"/>
        </w:rPr>
        <w:t>C</w:t>
      </w:r>
      <w:r w:rsidR="00295403">
        <w:rPr>
          <w:rFonts w:ascii="Garamond" w:hAnsi="Garamond"/>
          <w:sz w:val="24"/>
          <w:szCs w:val="24"/>
        </w:rPr>
        <w:t xml:space="preserve">onvention which would merely thin the ranks of </w:t>
      </w:r>
      <w:r w:rsidR="00AA264D">
        <w:rPr>
          <w:rFonts w:ascii="Garamond" w:hAnsi="Garamond"/>
          <w:sz w:val="24"/>
          <w:szCs w:val="24"/>
        </w:rPr>
        <w:t>member state</w:t>
      </w:r>
      <w:r w:rsidR="00295403">
        <w:rPr>
          <w:rFonts w:ascii="Garamond" w:hAnsi="Garamond"/>
          <w:sz w:val="24"/>
          <w:szCs w:val="24"/>
        </w:rPr>
        <w:t>s. While a</w:t>
      </w:r>
      <w:r w:rsidR="00AF1D0E">
        <w:rPr>
          <w:rFonts w:ascii="Garamond" w:hAnsi="Garamond"/>
          <w:sz w:val="24"/>
          <w:szCs w:val="24"/>
        </w:rPr>
        <w:t xml:space="preserve"> single</w:t>
      </w:r>
      <w:r w:rsidR="00295403">
        <w:rPr>
          <w:rFonts w:ascii="Garamond" w:hAnsi="Garamond"/>
          <w:sz w:val="24"/>
          <w:szCs w:val="24"/>
        </w:rPr>
        <w:t xml:space="preserve"> incident must be analysed proportionately, it is also clear that a failure to engage in the dialogue and </w:t>
      </w:r>
      <w:r w:rsidR="00966BA3">
        <w:rPr>
          <w:rFonts w:ascii="Garamond" w:hAnsi="Garamond"/>
          <w:sz w:val="24"/>
          <w:szCs w:val="24"/>
        </w:rPr>
        <w:t xml:space="preserve">cooperation </w:t>
      </w:r>
      <w:r w:rsidR="00295403">
        <w:rPr>
          <w:rFonts w:ascii="Garamond" w:hAnsi="Garamond"/>
          <w:sz w:val="24"/>
          <w:szCs w:val="24"/>
        </w:rPr>
        <w:t xml:space="preserve">with the institutions can reach a scale far removed from an isolated incident. </w:t>
      </w:r>
      <w:r w:rsidR="00E6650A">
        <w:rPr>
          <w:rFonts w:ascii="Garamond" w:hAnsi="Garamond"/>
          <w:sz w:val="24"/>
          <w:szCs w:val="24"/>
        </w:rPr>
        <w:t xml:space="preserve">In this regard, a persistent failure to engage with the institutions in relation to a single judgment may eventually become problematic, although this must be viewed contextually. </w:t>
      </w:r>
      <w:r w:rsidR="00295403">
        <w:rPr>
          <w:rFonts w:ascii="Garamond" w:hAnsi="Garamond"/>
          <w:sz w:val="24"/>
          <w:szCs w:val="24"/>
        </w:rPr>
        <w:t xml:space="preserve">This </w:t>
      </w:r>
      <w:r w:rsidR="00E6650A">
        <w:rPr>
          <w:rFonts w:ascii="Garamond" w:hAnsi="Garamond"/>
          <w:sz w:val="24"/>
          <w:szCs w:val="24"/>
        </w:rPr>
        <w:t xml:space="preserve">failure </w:t>
      </w:r>
      <w:r w:rsidR="00295403">
        <w:rPr>
          <w:rFonts w:ascii="Garamond" w:hAnsi="Garamond"/>
          <w:sz w:val="24"/>
          <w:szCs w:val="24"/>
        </w:rPr>
        <w:t xml:space="preserve">serves to </w:t>
      </w:r>
      <w:r w:rsidR="00295403">
        <w:rPr>
          <w:rFonts w:ascii="Garamond" w:hAnsi="Garamond"/>
          <w:sz w:val="24"/>
          <w:szCs w:val="24"/>
        </w:rPr>
        <w:lastRenderedPageBreak/>
        <w:t xml:space="preserve">undermine the collaborative framework outlined in Article 1 of the Statute of the </w:t>
      </w:r>
      <w:r w:rsidR="0026418C">
        <w:rPr>
          <w:rFonts w:ascii="Garamond" w:hAnsi="Garamond"/>
          <w:sz w:val="24"/>
          <w:szCs w:val="24"/>
        </w:rPr>
        <w:t>CoE</w:t>
      </w:r>
      <w:r w:rsidR="00295403">
        <w:rPr>
          <w:rFonts w:ascii="Garamond" w:hAnsi="Garamond"/>
          <w:sz w:val="24"/>
          <w:szCs w:val="24"/>
        </w:rPr>
        <w:t xml:space="preserve">. In this regard, it is necessary to take a holistic approach to the question of suspension of membership. Relevant considerations would, however, include </w:t>
      </w:r>
      <w:r w:rsidR="00E6650A">
        <w:rPr>
          <w:rFonts w:ascii="Garamond" w:hAnsi="Garamond"/>
          <w:sz w:val="24"/>
          <w:szCs w:val="24"/>
        </w:rPr>
        <w:t xml:space="preserve">those outlined in this section, i.e. </w:t>
      </w:r>
      <w:r w:rsidR="00295403">
        <w:rPr>
          <w:rFonts w:ascii="Garamond" w:hAnsi="Garamond"/>
          <w:sz w:val="24"/>
          <w:szCs w:val="24"/>
        </w:rPr>
        <w:t>a f</w:t>
      </w:r>
      <w:r w:rsidR="008A7D0A" w:rsidRPr="009A1694">
        <w:rPr>
          <w:rFonts w:ascii="Garamond" w:hAnsi="Garamond"/>
          <w:sz w:val="24"/>
          <w:szCs w:val="24"/>
        </w:rPr>
        <w:t xml:space="preserve">ailure to comply with budgetary obligations, </w:t>
      </w:r>
      <w:r w:rsidR="00295403">
        <w:rPr>
          <w:rFonts w:ascii="Garamond" w:hAnsi="Garamond"/>
          <w:sz w:val="24"/>
          <w:szCs w:val="24"/>
        </w:rPr>
        <w:t xml:space="preserve">the </w:t>
      </w:r>
      <w:r w:rsidR="008A7D0A" w:rsidRPr="009A1694">
        <w:rPr>
          <w:rFonts w:ascii="Garamond" w:hAnsi="Garamond"/>
          <w:sz w:val="24"/>
          <w:szCs w:val="24"/>
        </w:rPr>
        <w:t xml:space="preserve">creation of national obstacles </w:t>
      </w:r>
      <w:r w:rsidR="005B4CC5" w:rsidRPr="009A1694">
        <w:rPr>
          <w:rFonts w:ascii="Garamond" w:hAnsi="Garamond"/>
          <w:sz w:val="24"/>
          <w:szCs w:val="24"/>
        </w:rPr>
        <w:t>to execution of the ECtHR judgments</w:t>
      </w:r>
      <w:r w:rsidR="00295403">
        <w:rPr>
          <w:rFonts w:ascii="Garamond" w:hAnsi="Garamond"/>
          <w:sz w:val="24"/>
          <w:szCs w:val="24"/>
        </w:rPr>
        <w:t>,</w:t>
      </w:r>
      <w:r w:rsidR="005B4CC5" w:rsidRPr="009A1694">
        <w:rPr>
          <w:rFonts w:ascii="Garamond" w:hAnsi="Garamond"/>
          <w:sz w:val="24"/>
          <w:szCs w:val="24"/>
        </w:rPr>
        <w:t xml:space="preserve"> and failure to implement individual judgments.</w:t>
      </w:r>
      <w:r w:rsidR="00295403">
        <w:rPr>
          <w:rFonts w:ascii="Garamond" w:hAnsi="Garamond"/>
          <w:sz w:val="24"/>
          <w:szCs w:val="24"/>
        </w:rPr>
        <w:t xml:space="preserve"> The means by which a suspension can occur will now be briefly outlined.</w:t>
      </w:r>
    </w:p>
    <w:p w14:paraId="0A4B68E4" w14:textId="6F9DD70F" w:rsidR="00F85B95" w:rsidRPr="009A1694" w:rsidRDefault="00652F85" w:rsidP="004943DC">
      <w:pPr>
        <w:spacing w:line="240" w:lineRule="auto"/>
        <w:rPr>
          <w:rFonts w:ascii="Garamond" w:hAnsi="Garamond"/>
          <w:sz w:val="24"/>
          <w:szCs w:val="24"/>
        </w:rPr>
      </w:pPr>
      <w:r>
        <w:rPr>
          <w:rFonts w:ascii="Garamond" w:hAnsi="Garamond"/>
          <w:b/>
          <w:sz w:val="24"/>
          <w:szCs w:val="24"/>
        </w:rPr>
        <w:t xml:space="preserve">5. </w:t>
      </w:r>
      <w:r w:rsidR="0046071E">
        <w:rPr>
          <w:rFonts w:ascii="Garamond" w:hAnsi="Garamond"/>
          <w:b/>
          <w:sz w:val="24"/>
          <w:szCs w:val="24"/>
        </w:rPr>
        <w:t>Calculations</w:t>
      </w:r>
      <w:r w:rsidR="001E056F">
        <w:rPr>
          <w:rFonts w:ascii="Garamond" w:hAnsi="Garamond"/>
          <w:b/>
          <w:sz w:val="24"/>
          <w:szCs w:val="24"/>
        </w:rPr>
        <w:t xml:space="preserve"> for </w:t>
      </w:r>
      <w:r w:rsidR="00201DFC">
        <w:rPr>
          <w:rFonts w:ascii="Garamond" w:hAnsi="Garamond"/>
          <w:b/>
          <w:sz w:val="24"/>
          <w:szCs w:val="24"/>
        </w:rPr>
        <w:t>Suspension and Expulsion</w:t>
      </w:r>
    </w:p>
    <w:p w14:paraId="176061AF" w14:textId="047B6E9F" w:rsidR="00633C10" w:rsidRDefault="00F85B95" w:rsidP="0053726B">
      <w:pPr>
        <w:spacing w:line="240" w:lineRule="auto"/>
        <w:jc w:val="both"/>
        <w:rPr>
          <w:rFonts w:ascii="Garamond" w:hAnsi="Garamond"/>
          <w:sz w:val="24"/>
          <w:szCs w:val="24"/>
        </w:rPr>
      </w:pPr>
      <w:r w:rsidRPr="009A1694">
        <w:rPr>
          <w:rFonts w:ascii="Garamond" w:hAnsi="Garamond"/>
          <w:sz w:val="24"/>
          <w:szCs w:val="24"/>
        </w:rPr>
        <w:t xml:space="preserve">The Statute of the </w:t>
      </w:r>
      <w:r w:rsidR="0026418C">
        <w:rPr>
          <w:rFonts w:ascii="Garamond" w:hAnsi="Garamond"/>
          <w:sz w:val="24"/>
          <w:szCs w:val="24"/>
        </w:rPr>
        <w:t xml:space="preserve">CoE </w:t>
      </w:r>
      <w:r w:rsidR="009A1694" w:rsidRPr="009A1694">
        <w:rPr>
          <w:rFonts w:ascii="Garamond" w:hAnsi="Garamond"/>
          <w:sz w:val="24"/>
          <w:szCs w:val="24"/>
        </w:rPr>
        <w:t xml:space="preserve">provides a number of </w:t>
      </w:r>
      <w:r w:rsidR="000749F3">
        <w:rPr>
          <w:rFonts w:ascii="Garamond" w:hAnsi="Garamond"/>
          <w:sz w:val="24"/>
          <w:szCs w:val="24"/>
        </w:rPr>
        <w:t>ways</w:t>
      </w:r>
      <w:r w:rsidR="00CE0003">
        <w:rPr>
          <w:rFonts w:ascii="Garamond" w:hAnsi="Garamond"/>
          <w:sz w:val="24"/>
          <w:szCs w:val="24"/>
        </w:rPr>
        <w:t xml:space="preserve"> </w:t>
      </w:r>
      <w:r w:rsidR="009A1694" w:rsidRPr="009A1694">
        <w:rPr>
          <w:rFonts w:ascii="Garamond" w:hAnsi="Garamond"/>
          <w:sz w:val="24"/>
          <w:szCs w:val="24"/>
        </w:rPr>
        <w:t>to sanction</w:t>
      </w:r>
      <w:r w:rsidR="001134CC">
        <w:rPr>
          <w:rFonts w:ascii="Garamond" w:hAnsi="Garamond"/>
          <w:sz w:val="24"/>
          <w:szCs w:val="24"/>
        </w:rPr>
        <w:t xml:space="preserve"> </w:t>
      </w:r>
      <w:r w:rsidR="00633C10">
        <w:rPr>
          <w:rFonts w:ascii="Garamond" w:hAnsi="Garamond"/>
          <w:sz w:val="24"/>
          <w:szCs w:val="24"/>
        </w:rPr>
        <w:t>its</w:t>
      </w:r>
      <w:r w:rsidR="009A1694">
        <w:rPr>
          <w:rFonts w:ascii="Garamond" w:hAnsi="Garamond"/>
          <w:sz w:val="24"/>
          <w:szCs w:val="24"/>
        </w:rPr>
        <w:t xml:space="preserve"> members</w:t>
      </w:r>
      <w:r w:rsidR="00A07BE7">
        <w:rPr>
          <w:rFonts w:ascii="Garamond" w:hAnsi="Garamond"/>
          <w:sz w:val="24"/>
          <w:szCs w:val="24"/>
        </w:rPr>
        <w:t xml:space="preserve"> </w:t>
      </w:r>
      <w:r w:rsidR="00633C10">
        <w:rPr>
          <w:rFonts w:ascii="Garamond" w:hAnsi="Garamond"/>
          <w:sz w:val="24"/>
          <w:szCs w:val="24"/>
        </w:rPr>
        <w:t>for not complying</w:t>
      </w:r>
      <w:r w:rsidR="00CD1CDD">
        <w:rPr>
          <w:rFonts w:ascii="Garamond" w:hAnsi="Garamond"/>
          <w:sz w:val="24"/>
          <w:szCs w:val="24"/>
        </w:rPr>
        <w:t xml:space="preserve"> with its statutory aims</w:t>
      </w:r>
      <w:r w:rsidR="009A1694">
        <w:rPr>
          <w:rFonts w:ascii="Garamond" w:hAnsi="Garamond"/>
          <w:sz w:val="24"/>
          <w:szCs w:val="24"/>
        </w:rPr>
        <w:t xml:space="preserve">. </w:t>
      </w:r>
      <w:r w:rsidR="002E375A">
        <w:rPr>
          <w:rFonts w:ascii="Garamond" w:hAnsi="Garamond"/>
          <w:sz w:val="24"/>
          <w:szCs w:val="24"/>
        </w:rPr>
        <w:t>This</w:t>
      </w:r>
      <w:r w:rsidR="009A1694">
        <w:rPr>
          <w:rFonts w:ascii="Garamond" w:hAnsi="Garamond"/>
          <w:sz w:val="24"/>
          <w:szCs w:val="24"/>
        </w:rPr>
        <w:t xml:space="preserve"> </w:t>
      </w:r>
      <w:r w:rsidR="00DA7510">
        <w:rPr>
          <w:rFonts w:ascii="Garamond" w:hAnsi="Garamond"/>
          <w:sz w:val="24"/>
          <w:szCs w:val="24"/>
        </w:rPr>
        <w:t>section</w:t>
      </w:r>
      <w:r w:rsidR="002768CE">
        <w:rPr>
          <w:rFonts w:ascii="Garamond" w:hAnsi="Garamond"/>
          <w:sz w:val="24"/>
          <w:szCs w:val="24"/>
        </w:rPr>
        <w:t xml:space="preserve"> </w:t>
      </w:r>
      <w:r w:rsidR="009A1694">
        <w:rPr>
          <w:rFonts w:ascii="Garamond" w:hAnsi="Garamond"/>
          <w:sz w:val="24"/>
          <w:szCs w:val="24"/>
        </w:rPr>
        <w:t>suggest</w:t>
      </w:r>
      <w:r w:rsidR="002E375A">
        <w:rPr>
          <w:rFonts w:ascii="Garamond" w:hAnsi="Garamond"/>
          <w:sz w:val="24"/>
          <w:szCs w:val="24"/>
        </w:rPr>
        <w:t>s</w:t>
      </w:r>
      <w:r w:rsidR="009A1694">
        <w:rPr>
          <w:rFonts w:ascii="Garamond" w:hAnsi="Garamond"/>
          <w:sz w:val="24"/>
          <w:szCs w:val="24"/>
        </w:rPr>
        <w:t xml:space="preserve"> how these sanctions can be interpreted and </w:t>
      </w:r>
      <w:r w:rsidR="007E603C">
        <w:rPr>
          <w:rFonts w:ascii="Garamond" w:hAnsi="Garamond"/>
          <w:sz w:val="24"/>
          <w:szCs w:val="24"/>
        </w:rPr>
        <w:t xml:space="preserve">applied. </w:t>
      </w:r>
      <w:r w:rsidR="004B5C19">
        <w:rPr>
          <w:rFonts w:ascii="Garamond" w:hAnsi="Garamond"/>
          <w:sz w:val="24"/>
          <w:szCs w:val="24"/>
        </w:rPr>
        <w:t xml:space="preserve">The sanction mechanisms should be </w:t>
      </w:r>
      <w:r w:rsidR="00633C10">
        <w:rPr>
          <w:rFonts w:ascii="Garamond" w:hAnsi="Garamond"/>
          <w:sz w:val="24"/>
          <w:szCs w:val="24"/>
        </w:rPr>
        <w:t>used</w:t>
      </w:r>
      <w:r w:rsidR="004B5C19">
        <w:rPr>
          <w:rFonts w:ascii="Garamond" w:hAnsi="Garamond"/>
          <w:sz w:val="24"/>
          <w:szCs w:val="24"/>
        </w:rPr>
        <w:t xml:space="preserve"> with particular regard to the operation of the </w:t>
      </w:r>
      <w:r w:rsidR="0026418C">
        <w:rPr>
          <w:rFonts w:ascii="Garamond" w:hAnsi="Garamond"/>
          <w:sz w:val="24"/>
          <w:szCs w:val="24"/>
        </w:rPr>
        <w:t xml:space="preserve">CoE </w:t>
      </w:r>
      <w:r w:rsidR="004B5C19">
        <w:rPr>
          <w:rFonts w:ascii="Garamond" w:hAnsi="Garamond"/>
          <w:sz w:val="24"/>
          <w:szCs w:val="24"/>
        </w:rPr>
        <w:t xml:space="preserve">system as a whole. </w:t>
      </w:r>
      <w:r w:rsidR="00633C10">
        <w:rPr>
          <w:rFonts w:ascii="Garamond" w:hAnsi="Garamond"/>
          <w:sz w:val="24"/>
          <w:szCs w:val="24"/>
        </w:rPr>
        <w:t xml:space="preserve">The CoE is a regional system </w:t>
      </w:r>
      <w:r w:rsidR="00E77DED">
        <w:rPr>
          <w:rFonts w:ascii="Garamond" w:hAnsi="Garamond"/>
          <w:sz w:val="24"/>
          <w:szCs w:val="24"/>
        </w:rPr>
        <w:t xml:space="preserve">which </w:t>
      </w:r>
      <w:r w:rsidR="00633C10">
        <w:rPr>
          <w:rFonts w:ascii="Garamond" w:hAnsi="Garamond"/>
          <w:sz w:val="24"/>
          <w:szCs w:val="24"/>
        </w:rPr>
        <w:t>aim</w:t>
      </w:r>
      <w:r w:rsidR="00E77DED">
        <w:rPr>
          <w:rFonts w:ascii="Garamond" w:hAnsi="Garamond"/>
          <w:sz w:val="24"/>
          <w:szCs w:val="24"/>
        </w:rPr>
        <w:t>s</w:t>
      </w:r>
      <w:r w:rsidR="00633C10">
        <w:rPr>
          <w:rFonts w:ascii="Garamond" w:hAnsi="Garamond"/>
          <w:sz w:val="24"/>
          <w:szCs w:val="24"/>
        </w:rPr>
        <w:t xml:space="preserve"> to protect human rights, democracy and </w:t>
      </w:r>
      <w:r w:rsidR="00E77DED">
        <w:rPr>
          <w:rFonts w:ascii="Garamond" w:hAnsi="Garamond"/>
          <w:sz w:val="24"/>
          <w:szCs w:val="24"/>
        </w:rPr>
        <w:t xml:space="preserve">the </w:t>
      </w:r>
      <w:r w:rsidR="00633C10">
        <w:rPr>
          <w:rFonts w:ascii="Garamond" w:hAnsi="Garamond"/>
          <w:sz w:val="24"/>
          <w:szCs w:val="24"/>
        </w:rPr>
        <w:t xml:space="preserve">rule of law; these features of the CoE should inform the interpretation of Articles 7 and 8 of the CoE Statute. </w:t>
      </w:r>
    </w:p>
    <w:p w14:paraId="0A03B778" w14:textId="473ACAAD" w:rsidR="004B5C19" w:rsidRDefault="006622F8" w:rsidP="0053726B">
      <w:pPr>
        <w:spacing w:line="240" w:lineRule="auto"/>
        <w:jc w:val="both"/>
        <w:rPr>
          <w:rFonts w:ascii="Garamond" w:hAnsi="Garamond"/>
          <w:sz w:val="24"/>
          <w:szCs w:val="24"/>
        </w:rPr>
      </w:pPr>
      <w:r>
        <w:rPr>
          <w:rFonts w:ascii="Garamond" w:hAnsi="Garamond"/>
          <w:sz w:val="24"/>
          <w:szCs w:val="24"/>
        </w:rPr>
        <w:t>We do not aim to predict the outcomes or likelihood of these sanctions</w:t>
      </w:r>
      <w:r w:rsidR="001134CC">
        <w:rPr>
          <w:rFonts w:ascii="Garamond" w:hAnsi="Garamond"/>
          <w:sz w:val="24"/>
          <w:szCs w:val="24"/>
        </w:rPr>
        <w:t>, although</w:t>
      </w:r>
      <w:r w:rsidR="00406A4A">
        <w:rPr>
          <w:rFonts w:ascii="Garamond" w:hAnsi="Garamond"/>
          <w:sz w:val="24"/>
          <w:szCs w:val="24"/>
        </w:rPr>
        <w:t xml:space="preserve"> game theory provides </w:t>
      </w:r>
      <w:r>
        <w:rPr>
          <w:rFonts w:ascii="Garamond" w:hAnsi="Garamond"/>
          <w:sz w:val="24"/>
          <w:szCs w:val="24"/>
        </w:rPr>
        <w:t xml:space="preserve">a </w:t>
      </w:r>
      <w:r w:rsidR="00406A4A">
        <w:rPr>
          <w:rFonts w:ascii="Garamond" w:hAnsi="Garamond"/>
          <w:sz w:val="24"/>
          <w:szCs w:val="24"/>
        </w:rPr>
        <w:t>rational explanation of when and how sanctions to states that are failing to cooperate in multilateral context</w:t>
      </w:r>
      <w:r>
        <w:rPr>
          <w:rFonts w:ascii="Garamond" w:hAnsi="Garamond"/>
          <w:sz w:val="24"/>
          <w:szCs w:val="24"/>
        </w:rPr>
        <w:t xml:space="preserve"> can be applied</w:t>
      </w:r>
      <w:r w:rsidR="00E77DED">
        <w:rPr>
          <w:rFonts w:ascii="Garamond" w:hAnsi="Garamond"/>
          <w:sz w:val="24"/>
          <w:szCs w:val="24"/>
        </w:rPr>
        <w:t>,</w:t>
      </w:r>
      <w:r w:rsidR="00406A4A">
        <w:rPr>
          <w:rStyle w:val="FootnoteReference"/>
          <w:rFonts w:ascii="Garamond" w:hAnsi="Garamond"/>
          <w:sz w:val="24"/>
          <w:szCs w:val="24"/>
        </w:rPr>
        <w:footnoteReference w:id="105"/>
      </w:r>
      <w:r w:rsidR="00406A4A">
        <w:rPr>
          <w:rFonts w:ascii="Garamond" w:hAnsi="Garamond"/>
          <w:sz w:val="24"/>
          <w:szCs w:val="24"/>
        </w:rPr>
        <w:t xml:space="preserve"> </w:t>
      </w:r>
      <w:r w:rsidR="00E77DED">
        <w:rPr>
          <w:rFonts w:ascii="Garamond" w:hAnsi="Garamond"/>
          <w:sz w:val="24"/>
          <w:szCs w:val="24"/>
        </w:rPr>
        <w:t>nor do w</w:t>
      </w:r>
      <w:r w:rsidR="00406A4A">
        <w:rPr>
          <w:rFonts w:ascii="Garamond" w:hAnsi="Garamond"/>
          <w:sz w:val="24"/>
          <w:szCs w:val="24"/>
        </w:rPr>
        <w:t xml:space="preserve">e do </w:t>
      </w:r>
      <w:r w:rsidR="00E77DED">
        <w:rPr>
          <w:rFonts w:ascii="Garamond" w:hAnsi="Garamond"/>
          <w:sz w:val="24"/>
          <w:szCs w:val="24"/>
        </w:rPr>
        <w:t>elaborate a formulaic approach. Instead, we limit ourselves to</w:t>
      </w:r>
      <w:r w:rsidR="00406A4A">
        <w:rPr>
          <w:rFonts w:ascii="Garamond" w:hAnsi="Garamond"/>
          <w:sz w:val="24"/>
          <w:szCs w:val="24"/>
        </w:rPr>
        <w:t xml:space="preserve"> offering </w:t>
      </w:r>
      <w:r w:rsidR="001134CC">
        <w:rPr>
          <w:rFonts w:ascii="Garamond" w:hAnsi="Garamond"/>
          <w:sz w:val="24"/>
          <w:szCs w:val="24"/>
        </w:rPr>
        <w:t xml:space="preserve">some </w:t>
      </w:r>
      <w:r>
        <w:rPr>
          <w:rFonts w:ascii="Garamond" w:hAnsi="Garamond"/>
          <w:sz w:val="24"/>
          <w:szCs w:val="24"/>
        </w:rPr>
        <w:t>rough calculations that the statutory bodies of the Council can use in deciding</w:t>
      </w:r>
      <w:r w:rsidR="00406A4A">
        <w:rPr>
          <w:rFonts w:ascii="Garamond" w:hAnsi="Garamond"/>
          <w:sz w:val="24"/>
          <w:szCs w:val="24"/>
        </w:rPr>
        <w:t xml:space="preserve"> whether to apply harsh sanctions </w:t>
      </w:r>
      <w:r w:rsidR="00E0164A">
        <w:rPr>
          <w:rFonts w:ascii="Garamond" w:hAnsi="Garamond"/>
          <w:sz w:val="24"/>
          <w:szCs w:val="24"/>
        </w:rPr>
        <w:t xml:space="preserve">such </w:t>
      </w:r>
      <w:r w:rsidR="00406A4A">
        <w:rPr>
          <w:rFonts w:ascii="Garamond" w:hAnsi="Garamond"/>
          <w:sz w:val="24"/>
          <w:szCs w:val="24"/>
        </w:rPr>
        <w:t>as suspension and expulsion</w:t>
      </w:r>
      <w:r w:rsidR="001134CC">
        <w:rPr>
          <w:rFonts w:ascii="Garamond" w:hAnsi="Garamond"/>
          <w:sz w:val="24"/>
          <w:szCs w:val="24"/>
        </w:rPr>
        <w:t xml:space="preserve">, while acknowledging that the contextual nature of any such calculation makes the expression of binary choices </w:t>
      </w:r>
      <w:r w:rsidR="00E0164A">
        <w:rPr>
          <w:rFonts w:ascii="Garamond" w:hAnsi="Garamond"/>
          <w:sz w:val="24"/>
          <w:szCs w:val="24"/>
        </w:rPr>
        <w:t>difficult</w:t>
      </w:r>
      <w:r w:rsidR="001134CC">
        <w:rPr>
          <w:rFonts w:ascii="Garamond" w:hAnsi="Garamond"/>
          <w:sz w:val="24"/>
          <w:szCs w:val="24"/>
        </w:rPr>
        <w:t xml:space="preserve"> in such circumstances.</w:t>
      </w:r>
    </w:p>
    <w:p w14:paraId="461CB2C3" w14:textId="5EA317E1" w:rsidR="00977650" w:rsidRDefault="00C17219" w:rsidP="007E603C">
      <w:pPr>
        <w:spacing w:line="240" w:lineRule="auto"/>
        <w:jc w:val="both"/>
        <w:rPr>
          <w:rFonts w:ascii="Garamond" w:hAnsi="Garamond"/>
          <w:sz w:val="24"/>
          <w:szCs w:val="24"/>
        </w:rPr>
      </w:pPr>
      <w:r>
        <w:rPr>
          <w:rFonts w:ascii="Garamond" w:hAnsi="Garamond"/>
          <w:sz w:val="24"/>
          <w:szCs w:val="24"/>
        </w:rPr>
        <w:t xml:space="preserve">In this </w:t>
      </w:r>
      <w:r w:rsidR="00DA7510">
        <w:rPr>
          <w:rFonts w:ascii="Garamond" w:hAnsi="Garamond"/>
          <w:sz w:val="24"/>
          <w:szCs w:val="24"/>
        </w:rPr>
        <w:t>section</w:t>
      </w:r>
      <w:r w:rsidR="0046071E">
        <w:rPr>
          <w:rFonts w:ascii="Garamond" w:hAnsi="Garamond"/>
          <w:sz w:val="24"/>
          <w:szCs w:val="24"/>
        </w:rPr>
        <w:t xml:space="preserve"> </w:t>
      </w:r>
      <w:r>
        <w:rPr>
          <w:rFonts w:ascii="Garamond" w:hAnsi="Garamond"/>
          <w:sz w:val="24"/>
          <w:szCs w:val="24"/>
        </w:rPr>
        <w:t xml:space="preserve">we will explore </w:t>
      </w:r>
      <w:r w:rsidR="00633C10">
        <w:rPr>
          <w:rFonts w:ascii="Garamond" w:hAnsi="Garamond"/>
          <w:sz w:val="24"/>
          <w:szCs w:val="24"/>
        </w:rPr>
        <w:t xml:space="preserve">two </w:t>
      </w:r>
      <w:r>
        <w:rPr>
          <w:rFonts w:ascii="Garamond" w:hAnsi="Garamond"/>
          <w:sz w:val="24"/>
          <w:szCs w:val="24"/>
        </w:rPr>
        <w:t xml:space="preserve">sets of </w:t>
      </w:r>
      <w:r w:rsidR="00D45C8E">
        <w:rPr>
          <w:rFonts w:ascii="Garamond" w:hAnsi="Garamond"/>
          <w:sz w:val="24"/>
          <w:szCs w:val="24"/>
        </w:rPr>
        <w:t>considerations which can inform a decision about the necessity to deploy disciplinary mechanisms against a state</w:t>
      </w:r>
      <w:r w:rsidR="00CD1CDD">
        <w:rPr>
          <w:rFonts w:ascii="Garamond" w:hAnsi="Garamond"/>
          <w:sz w:val="24"/>
          <w:szCs w:val="24"/>
        </w:rPr>
        <w:t xml:space="preserve"> that </w:t>
      </w:r>
      <w:r w:rsidR="002C006F">
        <w:rPr>
          <w:rFonts w:ascii="Garamond" w:hAnsi="Garamond"/>
          <w:sz w:val="24"/>
          <w:szCs w:val="24"/>
        </w:rPr>
        <w:t xml:space="preserve">persistently, </w:t>
      </w:r>
      <w:r w:rsidR="00CD1CDD">
        <w:rPr>
          <w:rFonts w:ascii="Garamond" w:hAnsi="Garamond"/>
          <w:sz w:val="24"/>
          <w:szCs w:val="24"/>
        </w:rPr>
        <w:t xml:space="preserve">systematically or grossly undermines democracy, human rights and </w:t>
      </w:r>
      <w:r w:rsidR="00F16BD4">
        <w:rPr>
          <w:rFonts w:ascii="Garamond" w:hAnsi="Garamond"/>
          <w:sz w:val="24"/>
          <w:szCs w:val="24"/>
        </w:rPr>
        <w:t xml:space="preserve">the </w:t>
      </w:r>
      <w:r w:rsidR="00CD1CDD">
        <w:rPr>
          <w:rFonts w:ascii="Garamond" w:hAnsi="Garamond"/>
          <w:sz w:val="24"/>
          <w:szCs w:val="24"/>
        </w:rPr>
        <w:t>rule of law</w:t>
      </w:r>
      <w:r w:rsidR="00D45C8E">
        <w:rPr>
          <w:rFonts w:ascii="Garamond" w:hAnsi="Garamond"/>
          <w:sz w:val="24"/>
          <w:szCs w:val="24"/>
        </w:rPr>
        <w:t>. These should not be taken as exhaustive, but provide a means to weigh up the major</w:t>
      </w:r>
      <w:r w:rsidR="00541733">
        <w:rPr>
          <w:rFonts w:ascii="Garamond" w:hAnsi="Garamond"/>
          <w:sz w:val="24"/>
          <w:szCs w:val="24"/>
        </w:rPr>
        <w:t xml:space="preserve"> factors that can influence</w:t>
      </w:r>
      <w:r w:rsidR="00D45C8E">
        <w:rPr>
          <w:rFonts w:ascii="Garamond" w:hAnsi="Garamond"/>
          <w:sz w:val="24"/>
          <w:szCs w:val="24"/>
        </w:rPr>
        <w:t xml:space="preserve"> such a decision.</w:t>
      </w:r>
      <w:r w:rsidR="00A061D2">
        <w:rPr>
          <w:rFonts w:ascii="Garamond" w:hAnsi="Garamond"/>
          <w:sz w:val="24"/>
          <w:szCs w:val="24"/>
        </w:rPr>
        <w:t xml:space="preserve"> </w:t>
      </w:r>
      <w:r w:rsidR="00501970">
        <w:rPr>
          <w:rFonts w:ascii="Garamond" w:hAnsi="Garamond"/>
          <w:sz w:val="24"/>
          <w:szCs w:val="24"/>
        </w:rPr>
        <w:t xml:space="preserve">The calculations </w:t>
      </w:r>
      <w:r w:rsidR="009929A8">
        <w:rPr>
          <w:rFonts w:ascii="Garamond" w:hAnsi="Garamond"/>
          <w:sz w:val="24"/>
          <w:szCs w:val="24"/>
        </w:rPr>
        <w:t>deal</w:t>
      </w:r>
      <w:r w:rsidR="00501970">
        <w:rPr>
          <w:rFonts w:ascii="Garamond" w:hAnsi="Garamond"/>
          <w:sz w:val="24"/>
          <w:szCs w:val="24"/>
        </w:rPr>
        <w:t xml:space="preserve"> with the following </w:t>
      </w:r>
      <w:r w:rsidR="00633C10">
        <w:rPr>
          <w:rFonts w:ascii="Garamond" w:hAnsi="Garamond"/>
          <w:sz w:val="24"/>
          <w:szCs w:val="24"/>
        </w:rPr>
        <w:t xml:space="preserve">two </w:t>
      </w:r>
      <w:r w:rsidR="00A061D2">
        <w:rPr>
          <w:rFonts w:ascii="Garamond" w:hAnsi="Garamond"/>
          <w:sz w:val="24"/>
          <w:szCs w:val="24"/>
        </w:rPr>
        <w:t xml:space="preserve">broad </w:t>
      </w:r>
      <w:r w:rsidR="00501970">
        <w:rPr>
          <w:rFonts w:ascii="Garamond" w:hAnsi="Garamond"/>
          <w:sz w:val="24"/>
          <w:szCs w:val="24"/>
        </w:rPr>
        <w:t>areas</w:t>
      </w:r>
      <w:r>
        <w:rPr>
          <w:rFonts w:ascii="Garamond" w:hAnsi="Garamond"/>
          <w:sz w:val="24"/>
          <w:szCs w:val="24"/>
        </w:rPr>
        <w:t>:</w:t>
      </w:r>
    </w:p>
    <w:p w14:paraId="5602C97E" w14:textId="53446FE5" w:rsidR="00C17219" w:rsidRDefault="00C17219" w:rsidP="00C17219">
      <w:pPr>
        <w:pStyle w:val="ListParagraph"/>
        <w:numPr>
          <w:ilvl w:val="0"/>
          <w:numId w:val="5"/>
        </w:numPr>
        <w:spacing w:line="240" w:lineRule="auto"/>
        <w:jc w:val="both"/>
        <w:rPr>
          <w:rFonts w:ascii="Garamond" w:hAnsi="Garamond"/>
          <w:sz w:val="24"/>
          <w:szCs w:val="24"/>
        </w:rPr>
      </w:pPr>
      <w:r>
        <w:rPr>
          <w:rFonts w:ascii="Garamond" w:hAnsi="Garamond"/>
          <w:sz w:val="24"/>
          <w:szCs w:val="24"/>
        </w:rPr>
        <w:t>Legitimacy</w:t>
      </w:r>
      <w:r w:rsidR="00633C10">
        <w:rPr>
          <w:rFonts w:ascii="Garamond" w:hAnsi="Garamond"/>
          <w:sz w:val="24"/>
          <w:szCs w:val="24"/>
        </w:rPr>
        <w:t>, effectiveness</w:t>
      </w:r>
      <w:r>
        <w:rPr>
          <w:rFonts w:ascii="Garamond" w:hAnsi="Garamond"/>
          <w:sz w:val="24"/>
          <w:szCs w:val="24"/>
        </w:rPr>
        <w:t xml:space="preserve"> and reputation</w:t>
      </w:r>
    </w:p>
    <w:p w14:paraId="43F8BAC5" w14:textId="77777777" w:rsidR="00C17219" w:rsidRDefault="00C17219" w:rsidP="00C17219">
      <w:pPr>
        <w:pStyle w:val="ListParagraph"/>
        <w:numPr>
          <w:ilvl w:val="0"/>
          <w:numId w:val="5"/>
        </w:numPr>
        <w:spacing w:line="240" w:lineRule="auto"/>
        <w:jc w:val="both"/>
        <w:rPr>
          <w:rFonts w:ascii="Garamond" w:hAnsi="Garamond"/>
          <w:sz w:val="24"/>
          <w:szCs w:val="24"/>
        </w:rPr>
      </w:pPr>
      <w:r>
        <w:rPr>
          <w:rFonts w:ascii="Garamond" w:hAnsi="Garamond"/>
          <w:sz w:val="24"/>
          <w:szCs w:val="24"/>
        </w:rPr>
        <w:t>Protection of human rights</w:t>
      </w:r>
    </w:p>
    <w:p w14:paraId="4776568C" w14:textId="77777777" w:rsidR="00633C10" w:rsidRPr="004943DC" w:rsidRDefault="00633C10" w:rsidP="004943DC">
      <w:pPr>
        <w:spacing w:line="240" w:lineRule="auto"/>
        <w:jc w:val="both"/>
        <w:rPr>
          <w:rFonts w:ascii="Garamond" w:hAnsi="Garamond"/>
          <w:sz w:val="24"/>
          <w:szCs w:val="24"/>
        </w:rPr>
      </w:pPr>
    </w:p>
    <w:p w14:paraId="07066DAD" w14:textId="1AA324CB" w:rsidR="00977650" w:rsidRPr="00A22A28" w:rsidRDefault="00652F85" w:rsidP="007E603C">
      <w:pPr>
        <w:spacing w:line="240" w:lineRule="auto"/>
        <w:jc w:val="both"/>
        <w:rPr>
          <w:rFonts w:ascii="Garamond" w:hAnsi="Garamond"/>
          <w:b/>
          <w:sz w:val="24"/>
          <w:szCs w:val="24"/>
        </w:rPr>
      </w:pPr>
      <w:r>
        <w:rPr>
          <w:rFonts w:ascii="Garamond" w:hAnsi="Garamond"/>
          <w:b/>
          <w:sz w:val="24"/>
          <w:szCs w:val="24"/>
        </w:rPr>
        <w:t>5</w:t>
      </w:r>
      <w:r w:rsidR="00A22A28">
        <w:rPr>
          <w:rFonts w:ascii="Garamond" w:hAnsi="Garamond"/>
          <w:b/>
          <w:sz w:val="24"/>
          <w:szCs w:val="24"/>
        </w:rPr>
        <w:t xml:space="preserve">.1 </w:t>
      </w:r>
      <w:r w:rsidR="003F080D" w:rsidRPr="00A22A28">
        <w:rPr>
          <w:rFonts w:ascii="Garamond" w:hAnsi="Garamond"/>
          <w:b/>
          <w:sz w:val="24"/>
          <w:szCs w:val="24"/>
        </w:rPr>
        <w:t>Legitimacy</w:t>
      </w:r>
      <w:r w:rsidR="00633C10">
        <w:rPr>
          <w:rFonts w:ascii="Garamond" w:hAnsi="Garamond"/>
          <w:b/>
          <w:sz w:val="24"/>
          <w:szCs w:val="24"/>
        </w:rPr>
        <w:t>, Effectiveness</w:t>
      </w:r>
      <w:r w:rsidR="003F080D" w:rsidRPr="00A22A28">
        <w:rPr>
          <w:rFonts w:ascii="Garamond" w:hAnsi="Garamond"/>
          <w:b/>
          <w:sz w:val="24"/>
          <w:szCs w:val="24"/>
        </w:rPr>
        <w:t xml:space="preserve"> an</w:t>
      </w:r>
      <w:r w:rsidR="00EE5975">
        <w:rPr>
          <w:rFonts w:ascii="Garamond" w:hAnsi="Garamond"/>
          <w:b/>
          <w:sz w:val="24"/>
          <w:szCs w:val="24"/>
        </w:rPr>
        <w:t>d R</w:t>
      </w:r>
      <w:r w:rsidR="003F080D" w:rsidRPr="00A22A28">
        <w:rPr>
          <w:rFonts w:ascii="Garamond" w:hAnsi="Garamond"/>
          <w:b/>
          <w:sz w:val="24"/>
          <w:szCs w:val="24"/>
        </w:rPr>
        <w:t>eputation.</w:t>
      </w:r>
    </w:p>
    <w:p w14:paraId="1CAA36DA" w14:textId="6E6BAA16" w:rsidR="00977650" w:rsidRDefault="005709E5" w:rsidP="007E603C">
      <w:pPr>
        <w:spacing w:line="240" w:lineRule="auto"/>
        <w:jc w:val="both"/>
        <w:rPr>
          <w:rFonts w:ascii="Garamond" w:hAnsi="Garamond"/>
          <w:sz w:val="24"/>
          <w:szCs w:val="24"/>
        </w:rPr>
      </w:pPr>
      <w:r>
        <w:rPr>
          <w:rFonts w:ascii="Garamond" w:hAnsi="Garamond"/>
          <w:sz w:val="24"/>
          <w:szCs w:val="24"/>
        </w:rPr>
        <w:t>The e</w:t>
      </w:r>
      <w:r w:rsidR="00681DAE">
        <w:rPr>
          <w:rFonts w:ascii="Garamond" w:hAnsi="Garamond"/>
          <w:sz w:val="24"/>
          <w:szCs w:val="24"/>
        </w:rPr>
        <w:t xml:space="preserve">ffectiveness of an international organisation </w:t>
      </w:r>
      <w:r w:rsidR="00CB7085">
        <w:rPr>
          <w:rFonts w:ascii="Garamond" w:hAnsi="Garamond"/>
          <w:sz w:val="24"/>
          <w:szCs w:val="24"/>
        </w:rPr>
        <w:t>depends</w:t>
      </w:r>
      <w:r>
        <w:rPr>
          <w:rFonts w:ascii="Garamond" w:hAnsi="Garamond"/>
          <w:sz w:val="24"/>
          <w:szCs w:val="24"/>
        </w:rPr>
        <w:t>, to some degree,</w:t>
      </w:r>
      <w:r w:rsidR="00681DAE">
        <w:rPr>
          <w:rFonts w:ascii="Garamond" w:hAnsi="Garamond"/>
          <w:sz w:val="24"/>
          <w:szCs w:val="24"/>
        </w:rPr>
        <w:t xml:space="preserve"> on its reputation</w:t>
      </w:r>
      <w:r w:rsidR="00CB7085">
        <w:rPr>
          <w:rFonts w:ascii="Garamond" w:hAnsi="Garamond"/>
          <w:sz w:val="24"/>
          <w:szCs w:val="24"/>
        </w:rPr>
        <w:t>.</w:t>
      </w:r>
      <w:r w:rsidR="00CB7085">
        <w:rPr>
          <w:rStyle w:val="FootnoteReference"/>
          <w:rFonts w:ascii="Garamond" w:hAnsi="Garamond"/>
          <w:sz w:val="24"/>
          <w:szCs w:val="24"/>
        </w:rPr>
        <w:footnoteReference w:id="106"/>
      </w:r>
      <w:r w:rsidR="002E0A86">
        <w:rPr>
          <w:rFonts w:ascii="Garamond" w:hAnsi="Garamond"/>
          <w:sz w:val="24"/>
          <w:szCs w:val="24"/>
        </w:rPr>
        <w:t xml:space="preserve"> </w:t>
      </w:r>
      <w:r w:rsidR="00CB7085">
        <w:rPr>
          <w:rFonts w:ascii="Garamond" w:hAnsi="Garamond"/>
          <w:sz w:val="24"/>
          <w:szCs w:val="24"/>
        </w:rPr>
        <w:t xml:space="preserve">This reputation is based on how successful a particular organisation is in fulfilling its aims. </w:t>
      </w:r>
      <w:r w:rsidR="00504FE7">
        <w:rPr>
          <w:rFonts w:ascii="Garamond" w:hAnsi="Garamond"/>
          <w:sz w:val="24"/>
          <w:szCs w:val="24"/>
        </w:rPr>
        <w:t>This argument is</w:t>
      </w:r>
      <w:r w:rsidR="00E0164A">
        <w:rPr>
          <w:rFonts w:ascii="Garamond" w:hAnsi="Garamond"/>
          <w:sz w:val="24"/>
          <w:szCs w:val="24"/>
        </w:rPr>
        <w:t>, to a certain extent,</w:t>
      </w:r>
      <w:r w:rsidR="00504FE7">
        <w:rPr>
          <w:rFonts w:ascii="Garamond" w:hAnsi="Garamond"/>
          <w:sz w:val="24"/>
          <w:szCs w:val="24"/>
        </w:rPr>
        <w:t xml:space="preserve"> circular: s</w:t>
      </w:r>
      <w:r w:rsidR="00CB7085">
        <w:rPr>
          <w:rFonts w:ascii="Garamond" w:hAnsi="Garamond"/>
          <w:sz w:val="24"/>
          <w:szCs w:val="24"/>
        </w:rPr>
        <w:t xml:space="preserve">uccess begets success, and failure begets failure. </w:t>
      </w:r>
      <w:r w:rsidR="00950955">
        <w:rPr>
          <w:rFonts w:ascii="Garamond" w:hAnsi="Garamond"/>
          <w:sz w:val="24"/>
          <w:szCs w:val="24"/>
        </w:rPr>
        <w:t xml:space="preserve">Undoubtedly, expulsion of a </w:t>
      </w:r>
      <w:r w:rsidR="00AA264D">
        <w:rPr>
          <w:rFonts w:ascii="Garamond" w:hAnsi="Garamond"/>
          <w:sz w:val="24"/>
          <w:szCs w:val="24"/>
        </w:rPr>
        <w:t>member state</w:t>
      </w:r>
      <w:r w:rsidR="00950955">
        <w:rPr>
          <w:rFonts w:ascii="Garamond" w:hAnsi="Garamond"/>
          <w:sz w:val="24"/>
          <w:szCs w:val="24"/>
        </w:rPr>
        <w:t xml:space="preserve"> </w:t>
      </w:r>
      <w:r w:rsidR="00504FE7">
        <w:rPr>
          <w:rFonts w:ascii="Garamond" w:hAnsi="Garamond"/>
          <w:sz w:val="24"/>
          <w:szCs w:val="24"/>
        </w:rPr>
        <w:t xml:space="preserve">would </w:t>
      </w:r>
      <w:r w:rsidR="00950955">
        <w:rPr>
          <w:rFonts w:ascii="Garamond" w:hAnsi="Garamond"/>
          <w:sz w:val="24"/>
          <w:szCs w:val="24"/>
        </w:rPr>
        <w:t xml:space="preserve">damage the reputation of an international organisation. Expulsion means that the organisation </w:t>
      </w:r>
      <w:r w:rsidR="00993D56">
        <w:rPr>
          <w:rFonts w:ascii="Garamond" w:hAnsi="Garamond"/>
          <w:sz w:val="24"/>
          <w:szCs w:val="24"/>
        </w:rPr>
        <w:t xml:space="preserve">has </w:t>
      </w:r>
      <w:r w:rsidR="00950955">
        <w:rPr>
          <w:rFonts w:ascii="Garamond" w:hAnsi="Garamond"/>
          <w:sz w:val="24"/>
          <w:szCs w:val="24"/>
        </w:rPr>
        <w:t>failed in facilitating collaboration with the state</w:t>
      </w:r>
      <w:r>
        <w:rPr>
          <w:rFonts w:ascii="Garamond" w:hAnsi="Garamond"/>
          <w:sz w:val="24"/>
          <w:szCs w:val="24"/>
        </w:rPr>
        <w:t xml:space="preserve"> concerned</w:t>
      </w:r>
      <w:r w:rsidR="00993D56">
        <w:rPr>
          <w:rFonts w:ascii="Garamond" w:hAnsi="Garamond"/>
          <w:sz w:val="24"/>
          <w:szCs w:val="24"/>
        </w:rPr>
        <w:t xml:space="preserve">; it also failed to </w:t>
      </w:r>
      <w:r w:rsidR="002C006F">
        <w:rPr>
          <w:rFonts w:ascii="Garamond" w:hAnsi="Garamond"/>
          <w:sz w:val="24"/>
          <w:szCs w:val="24"/>
        </w:rPr>
        <w:t>‘</w:t>
      </w:r>
      <w:r w:rsidR="00395058">
        <w:rPr>
          <w:rFonts w:ascii="Garamond" w:hAnsi="Garamond"/>
          <w:sz w:val="24"/>
          <w:szCs w:val="24"/>
        </w:rPr>
        <w:t>domesticate</w:t>
      </w:r>
      <w:r w:rsidR="002C006F">
        <w:rPr>
          <w:rFonts w:ascii="Garamond" w:hAnsi="Garamond"/>
          <w:sz w:val="24"/>
          <w:szCs w:val="24"/>
        </w:rPr>
        <w:t>’</w:t>
      </w:r>
      <w:r w:rsidR="00395058">
        <w:rPr>
          <w:rFonts w:ascii="Garamond" w:hAnsi="Garamond"/>
          <w:sz w:val="24"/>
          <w:szCs w:val="24"/>
        </w:rPr>
        <w:t xml:space="preserve"> </w:t>
      </w:r>
      <w:r w:rsidR="00993D56">
        <w:rPr>
          <w:rFonts w:ascii="Garamond" w:hAnsi="Garamond"/>
          <w:sz w:val="24"/>
          <w:szCs w:val="24"/>
        </w:rPr>
        <w:t>it</w:t>
      </w:r>
      <w:r w:rsidR="00950955">
        <w:rPr>
          <w:rFonts w:ascii="Garamond" w:hAnsi="Garamond"/>
          <w:sz w:val="24"/>
          <w:szCs w:val="24"/>
        </w:rPr>
        <w:t xml:space="preserve">. </w:t>
      </w:r>
      <w:r w:rsidR="00AF4F5C">
        <w:rPr>
          <w:rFonts w:ascii="Garamond" w:hAnsi="Garamond"/>
          <w:sz w:val="24"/>
          <w:szCs w:val="24"/>
        </w:rPr>
        <w:t xml:space="preserve">In </w:t>
      </w:r>
      <w:r>
        <w:rPr>
          <w:rFonts w:ascii="Garamond" w:hAnsi="Garamond"/>
          <w:sz w:val="24"/>
          <w:szCs w:val="24"/>
        </w:rPr>
        <w:t xml:space="preserve">the </w:t>
      </w:r>
      <w:r w:rsidR="00AF4F5C">
        <w:rPr>
          <w:rFonts w:ascii="Garamond" w:hAnsi="Garamond"/>
          <w:sz w:val="24"/>
          <w:szCs w:val="24"/>
        </w:rPr>
        <w:t xml:space="preserve">case of the </w:t>
      </w:r>
      <w:r w:rsidR="00784394">
        <w:rPr>
          <w:rFonts w:ascii="Garamond" w:hAnsi="Garamond"/>
          <w:sz w:val="24"/>
          <w:szCs w:val="24"/>
        </w:rPr>
        <w:t>CoE</w:t>
      </w:r>
      <w:r>
        <w:rPr>
          <w:rFonts w:ascii="Garamond" w:hAnsi="Garamond"/>
          <w:sz w:val="24"/>
          <w:szCs w:val="24"/>
        </w:rPr>
        <w:t>,</w:t>
      </w:r>
      <w:r w:rsidR="00AF4F5C">
        <w:rPr>
          <w:rFonts w:ascii="Garamond" w:hAnsi="Garamond"/>
          <w:sz w:val="24"/>
          <w:szCs w:val="24"/>
        </w:rPr>
        <w:t xml:space="preserve"> t</w:t>
      </w:r>
      <w:r w:rsidR="00AF4F5C" w:rsidRPr="00950955">
        <w:rPr>
          <w:rFonts w:ascii="Garamond" w:hAnsi="Garamond"/>
          <w:sz w:val="24"/>
          <w:szCs w:val="24"/>
        </w:rPr>
        <w:t xml:space="preserve">he moral </w:t>
      </w:r>
      <w:r w:rsidR="00AF4F5C">
        <w:rPr>
          <w:rFonts w:ascii="Garamond" w:hAnsi="Garamond"/>
          <w:sz w:val="24"/>
          <w:szCs w:val="24"/>
        </w:rPr>
        <w:t>stance</w:t>
      </w:r>
      <w:r w:rsidR="00AF4F5C" w:rsidRPr="00950955">
        <w:rPr>
          <w:rFonts w:ascii="Garamond" w:hAnsi="Garamond"/>
          <w:sz w:val="24"/>
          <w:szCs w:val="24"/>
        </w:rPr>
        <w:t xml:space="preserve"> of Europe as a family of states might be undermined if one of its members is expelled. For example, in his interview </w:t>
      </w:r>
      <w:r w:rsidR="00085972">
        <w:rPr>
          <w:rFonts w:ascii="Garamond" w:hAnsi="Garamond"/>
          <w:sz w:val="24"/>
          <w:szCs w:val="24"/>
        </w:rPr>
        <w:t>with</w:t>
      </w:r>
      <w:r w:rsidR="00CE0003">
        <w:rPr>
          <w:rFonts w:ascii="Garamond" w:hAnsi="Garamond"/>
          <w:sz w:val="24"/>
          <w:szCs w:val="24"/>
        </w:rPr>
        <w:t xml:space="preserve"> </w:t>
      </w:r>
      <w:r w:rsidR="00AF4F5C" w:rsidRPr="0084331E">
        <w:rPr>
          <w:rFonts w:ascii="Garamond" w:hAnsi="Garamond"/>
          <w:i/>
          <w:sz w:val="24"/>
          <w:szCs w:val="24"/>
        </w:rPr>
        <w:t>The Financial Times</w:t>
      </w:r>
      <w:r w:rsidR="00AF4F5C" w:rsidRPr="00950955">
        <w:rPr>
          <w:rFonts w:ascii="Garamond" w:hAnsi="Garamond"/>
          <w:sz w:val="24"/>
          <w:szCs w:val="24"/>
        </w:rPr>
        <w:t xml:space="preserve"> the Secretary General of the </w:t>
      </w:r>
      <w:r w:rsidR="0026418C">
        <w:rPr>
          <w:rFonts w:ascii="Garamond" w:hAnsi="Garamond"/>
          <w:sz w:val="24"/>
          <w:szCs w:val="24"/>
        </w:rPr>
        <w:t xml:space="preserve">CoE </w:t>
      </w:r>
      <w:r w:rsidR="00DD4C99">
        <w:rPr>
          <w:rFonts w:ascii="Garamond" w:hAnsi="Garamond"/>
          <w:sz w:val="24"/>
          <w:szCs w:val="24"/>
        </w:rPr>
        <w:t>made the following remarks</w:t>
      </w:r>
      <w:r w:rsidR="00DD4C99" w:rsidRPr="00950955">
        <w:rPr>
          <w:rFonts w:ascii="Garamond" w:hAnsi="Garamond"/>
          <w:sz w:val="24"/>
          <w:szCs w:val="24"/>
        </w:rPr>
        <w:t xml:space="preserve"> </w:t>
      </w:r>
      <w:r w:rsidR="00085972">
        <w:rPr>
          <w:rFonts w:ascii="Garamond" w:hAnsi="Garamond"/>
          <w:sz w:val="24"/>
          <w:szCs w:val="24"/>
        </w:rPr>
        <w:t xml:space="preserve">concerning </w:t>
      </w:r>
      <w:r w:rsidR="00DD4C99">
        <w:rPr>
          <w:rFonts w:ascii="Garamond" w:hAnsi="Garamond"/>
          <w:sz w:val="24"/>
          <w:szCs w:val="24"/>
        </w:rPr>
        <w:t xml:space="preserve">a possible </w:t>
      </w:r>
      <w:r w:rsidR="00085972">
        <w:rPr>
          <w:rFonts w:ascii="Garamond" w:hAnsi="Garamond"/>
          <w:sz w:val="24"/>
          <w:szCs w:val="24"/>
        </w:rPr>
        <w:t>Russian expulsion</w:t>
      </w:r>
      <w:r w:rsidR="00DD4C99">
        <w:rPr>
          <w:rFonts w:ascii="Garamond" w:hAnsi="Garamond"/>
          <w:sz w:val="24"/>
          <w:szCs w:val="24"/>
        </w:rPr>
        <w:t>:</w:t>
      </w:r>
      <w:r w:rsidR="00085972">
        <w:rPr>
          <w:rFonts w:ascii="Garamond" w:hAnsi="Garamond"/>
          <w:sz w:val="24"/>
          <w:szCs w:val="24"/>
        </w:rPr>
        <w:t xml:space="preserve"> </w:t>
      </w:r>
      <w:r w:rsidR="00AF4F5C" w:rsidRPr="00950955">
        <w:rPr>
          <w:rFonts w:ascii="Garamond" w:hAnsi="Garamond"/>
          <w:sz w:val="24"/>
          <w:szCs w:val="24"/>
        </w:rPr>
        <w:t>‘</w:t>
      </w:r>
      <w:r w:rsidR="00E25395">
        <w:rPr>
          <w:rFonts w:ascii="Garamond" w:hAnsi="Garamond"/>
          <w:sz w:val="24"/>
          <w:szCs w:val="24"/>
        </w:rPr>
        <w:t>[i]</w:t>
      </w:r>
      <w:r w:rsidR="00AF4F5C" w:rsidRPr="00950955">
        <w:rPr>
          <w:rFonts w:ascii="Garamond" w:hAnsi="Garamond"/>
          <w:sz w:val="24"/>
          <w:szCs w:val="24"/>
        </w:rPr>
        <w:t>t will be a negative development for Europe, because we will have a Europe without Russia. It would be a big step back for Europe.’</w:t>
      </w:r>
      <w:r w:rsidR="00AF4F5C">
        <w:rPr>
          <w:rStyle w:val="FootnoteReference"/>
          <w:rFonts w:ascii="Garamond" w:hAnsi="Garamond"/>
          <w:sz w:val="24"/>
          <w:szCs w:val="24"/>
        </w:rPr>
        <w:footnoteReference w:id="107"/>
      </w:r>
      <w:r w:rsidR="00AF4F5C">
        <w:rPr>
          <w:rFonts w:ascii="Garamond" w:hAnsi="Garamond"/>
          <w:sz w:val="24"/>
          <w:szCs w:val="24"/>
        </w:rPr>
        <w:t xml:space="preserve"> This moral stance cannot</w:t>
      </w:r>
      <w:r>
        <w:rPr>
          <w:rFonts w:ascii="Garamond" w:hAnsi="Garamond"/>
          <w:sz w:val="24"/>
          <w:szCs w:val="24"/>
        </w:rPr>
        <w:t>, however,</w:t>
      </w:r>
      <w:r w:rsidR="00AF4F5C">
        <w:rPr>
          <w:rFonts w:ascii="Garamond" w:hAnsi="Garamond"/>
          <w:sz w:val="24"/>
          <w:szCs w:val="24"/>
        </w:rPr>
        <w:t xml:space="preserve"> justify keeping a particular </w:t>
      </w:r>
      <w:r w:rsidR="00AA264D">
        <w:rPr>
          <w:rFonts w:ascii="Garamond" w:hAnsi="Garamond"/>
          <w:sz w:val="24"/>
          <w:szCs w:val="24"/>
        </w:rPr>
        <w:t>member state</w:t>
      </w:r>
      <w:r w:rsidR="00AF4F5C">
        <w:rPr>
          <w:rFonts w:ascii="Garamond" w:hAnsi="Garamond"/>
          <w:sz w:val="24"/>
          <w:szCs w:val="24"/>
        </w:rPr>
        <w:t xml:space="preserve"> </w:t>
      </w:r>
      <w:r w:rsidR="00993D56">
        <w:rPr>
          <w:rFonts w:ascii="Garamond" w:hAnsi="Garamond"/>
          <w:sz w:val="24"/>
          <w:szCs w:val="24"/>
        </w:rPr>
        <w:t xml:space="preserve">within the </w:t>
      </w:r>
      <w:r w:rsidR="00085972">
        <w:rPr>
          <w:rFonts w:ascii="Garamond" w:hAnsi="Garamond"/>
          <w:sz w:val="24"/>
          <w:szCs w:val="24"/>
        </w:rPr>
        <w:t>organisation</w:t>
      </w:r>
      <w:r w:rsidR="00CE0003">
        <w:rPr>
          <w:rFonts w:ascii="Garamond" w:hAnsi="Garamond"/>
          <w:sz w:val="24"/>
          <w:szCs w:val="24"/>
        </w:rPr>
        <w:t xml:space="preserve"> </w:t>
      </w:r>
      <w:r>
        <w:rPr>
          <w:rFonts w:ascii="Garamond" w:hAnsi="Garamond"/>
          <w:sz w:val="24"/>
          <w:szCs w:val="24"/>
        </w:rPr>
        <w:t>merely</w:t>
      </w:r>
      <w:r w:rsidR="00CE0003">
        <w:rPr>
          <w:rFonts w:ascii="Garamond" w:hAnsi="Garamond"/>
          <w:sz w:val="24"/>
          <w:szCs w:val="24"/>
        </w:rPr>
        <w:t xml:space="preserve"> </w:t>
      </w:r>
      <w:r w:rsidR="00DD4C99">
        <w:rPr>
          <w:rFonts w:ascii="Garamond" w:hAnsi="Garamond"/>
          <w:sz w:val="24"/>
          <w:szCs w:val="24"/>
        </w:rPr>
        <w:t>because</w:t>
      </w:r>
      <w:r w:rsidR="00AF4F5C">
        <w:rPr>
          <w:rFonts w:ascii="Garamond" w:hAnsi="Garamond"/>
          <w:sz w:val="24"/>
          <w:szCs w:val="24"/>
        </w:rPr>
        <w:t xml:space="preserve"> </w:t>
      </w:r>
      <w:r w:rsidR="00AF4F5C">
        <w:rPr>
          <w:rFonts w:ascii="Garamond" w:hAnsi="Garamond"/>
          <w:sz w:val="24"/>
          <w:szCs w:val="24"/>
        </w:rPr>
        <w:lastRenderedPageBreak/>
        <w:t xml:space="preserve">it is European. </w:t>
      </w:r>
      <w:r w:rsidR="00993D56">
        <w:rPr>
          <w:rFonts w:ascii="Garamond" w:hAnsi="Garamond"/>
          <w:sz w:val="24"/>
          <w:szCs w:val="24"/>
        </w:rPr>
        <w:t>I</w:t>
      </w:r>
      <w:r w:rsidR="00085972">
        <w:rPr>
          <w:rFonts w:ascii="Garamond" w:hAnsi="Garamond"/>
          <w:sz w:val="24"/>
          <w:szCs w:val="24"/>
        </w:rPr>
        <w:t>f that were the case</w:t>
      </w:r>
      <w:r w:rsidR="00993D56">
        <w:rPr>
          <w:rFonts w:ascii="Garamond" w:hAnsi="Garamond"/>
          <w:sz w:val="24"/>
          <w:szCs w:val="24"/>
        </w:rPr>
        <w:t>,</w:t>
      </w:r>
      <w:r w:rsidR="00AF4F5C">
        <w:rPr>
          <w:rFonts w:ascii="Garamond" w:hAnsi="Garamond"/>
          <w:sz w:val="24"/>
          <w:szCs w:val="24"/>
        </w:rPr>
        <w:t xml:space="preserve"> the idea of </w:t>
      </w:r>
      <w:r w:rsidR="00993D56">
        <w:rPr>
          <w:rFonts w:ascii="Garamond" w:hAnsi="Garamond"/>
          <w:sz w:val="24"/>
          <w:szCs w:val="24"/>
        </w:rPr>
        <w:t xml:space="preserve">effective voluntary </w:t>
      </w:r>
      <w:r w:rsidR="00AF4F5C">
        <w:rPr>
          <w:rFonts w:ascii="Garamond" w:hAnsi="Garamond"/>
          <w:sz w:val="24"/>
          <w:szCs w:val="24"/>
        </w:rPr>
        <w:t xml:space="preserve">collaboration within the </w:t>
      </w:r>
      <w:r w:rsidR="008E3AF6">
        <w:rPr>
          <w:rFonts w:ascii="Garamond" w:hAnsi="Garamond"/>
          <w:sz w:val="24"/>
          <w:szCs w:val="24"/>
        </w:rPr>
        <w:t xml:space="preserve">organs of the </w:t>
      </w:r>
      <w:r w:rsidR="0026418C">
        <w:rPr>
          <w:rFonts w:ascii="Garamond" w:hAnsi="Garamond"/>
          <w:sz w:val="24"/>
          <w:szCs w:val="24"/>
        </w:rPr>
        <w:t xml:space="preserve">CoE </w:t>
      </w:r>
      <w:r w:rsidR="00DD4C99">
        <w:rPr>
          <w:rFonts w:ascii="Garamond" w:hAnsi="Garamond"/>
          <w:sz w:val="24"/>
          <w:szCs w:val="24"/>
        </w:rPr>
        <w:t xml:space="preserve">would </w:t>
      </w:r>
      <w:r w:rsidR="00AF4F5C">
        <w:rPr>
          <w:rFonts w:ascii="Garamond" w:hAnsi="Garamond"/>
          <w:sz w:val="24"/>
          <w:szCs w:val="24"/>
        </w:rPr>
        <w:t xml:space="preserve">become meaningless. </w:t>
      </w:r>
      <w:r w:rsidR="00950955">
        <w:rPr>
          <w:rFonts w:ascii="Garamond" w:hAnsi="Garamond"/>
          <w:sz w:val="24"/>
          <w:szCs w:val="24"/>
        </w:rPr>
        <w:t>Here, we suggest that the following calculation</w:t>
      </w:r>
      <w:r w:rsidR="00DD4C99">
        <w:rPr>
          <w:rFonts w:ascii="Garamond" w:hAnsi="Garamond"/>
          <w:sz w:val="24"/>
          <w:szCs w:val="24"/>
        </w:rPr>
        <w:t>s</w:t>
      </w:r>
      <w:r w:rsidR="00950955">
        <w:rPr>
          <w:rFonts w:ascii="Garamond" w:hAnsi="Garamond"/>
          <w:sz w:val="24"/>
          <w:szCs w:val="24"/>
        </w:rPr>
        <w:t xml:space="preserve"> </w:t>
      </w:r>
      <w:r w:rsidR="00993D56">
        <w:rPr>
          <w:rFonts w:ascii="Garamond" w:hAnsi="Garamond"/>
          <w:sz w:val="24"/>
          <w:szCs w:val="24"/>
        </w:rPr>
        <w:t>should be explored</w:t>
      </w:r>
      <w:r w:rsidR="00DD4C99">
        <w:rPr>
          <w:rFonts w:ascii="Garamond" w:hAnsi="Garamond"/>
          <w:sz w:val="24"/>
          <w:szCs w:val="24"/>
        </w:rPr>
        <w:t xml:space="preserve"> when the question of expulsion is raised</w:t>
      </w:r>
      <w:r w:rsidR="00993D56">
        <w:rPr>
          <w:rFonts w:ascii="Garamond" w:hAnsi="Garamond"/>
          <w:sz w:val="24"/>
          <w:szCs w:val="24"/>
        </w:rPr>
        <w:t xml:space="preserve"> </w:t>
      </w:r>
      <w:r w:rsidR="00950955">
        <w:rPr>
          <w:rFonts w:ascii="Garamond" w:hAnsi="Garamond"/>
          <w:sz w:val="24"/>
          <w:szCs w:val="24"/>
        </w:rPr>
        <w:t xml:space="preserve">– if the presence of a </w:t>
      </w:r>
      <w:r w:rsidR="00AA264D">
        <w:rPr>
          <w:rFonts w:ascii="Garamond" w:hAnsi="Garamond"/>
          <w:sz w:val="24"/>
          <w:szCs w:val="24"/>
        </w:rPr>
        <w:t>member state</w:t>
      </w:r>
      <w:r w:rsidR="00950955">
        <w:rPr>
          <w:rFonts w:ascii="Garamond" w:hAnsi="Garamond"/>
          <w:sz w:val="24"/>
          <w:szCs w:val="24"/>
        </w:rPr>
        <w:t xml:space="preserve"> in an organisation damages its reputation more than expulsion</w:t>
      </w:r>
      <w:r w:rsidR="002C006F">
        <w:rPr>
          <w:rFonts w:ascii="Garamond" w:hAnsi="Garamond"/>
          <w:sz w:val="24"/>
          <w:szCs w:val="24"/>
        </w:rPr>
        <w:t>,</w:t>
      </w:r>
      <w:r w:rsidR="00950955">
        <w:rPr>
          <w:rFonts w:ascii="Garamond" w:hAnsi="Garamond"/>
          <w:sz w:val="24"/>
          <w:szCs w:val="24"/>
        </w:rPr>
        <w:t xml:space="preserve"> then </w:t>
      </w:r>
      <w:r w:rsidR="00993D56">
        <w:rPr>
          <w:rFonts w:ascii="Garamond" w:hAnsi="Garamond"/>
          <w:sz w:val="24"/>
          <w:szCs w:val="24"/>
        </w:rPr>
        <w:t>th</w:t>
      </w:r>
      <w:r w:rsidR="00E0164A">
        <w:rPr>
          <w:rFonts w:ascii="Garamond" w:hAnsi="Garamond"/>
          <w:sz w:val="24"/>
          <w:szCs w:val="24"/>
        </w:rPr>
        <w:t>is is an argument in favour of the expulsion of this state.</w:t>
      </w:r>
      <w:r w:rsidR="00950955">
        <w:rPr>
          <w:rFonts w:ascii="Garamond" w:hAnsi="Garamond"/>
          <w:sz w:val="24"/>
          <w:szCs w:val="24"/>
        </w:rPr>
        <w:t xml:space="preserve"> </w:t>
      </w:r>
      <w:r w:rsidR="00085972">
        <w:rPr>
          <w:rFonts w:ascii="Garamond" w:hAnsi="Garamond"/>
          <w:sz w:val="24"/>
          <w:szCs w:val="24"/>
        </w:rPr>
        <w:t xml:space="preserve">We suggest </w:t>
      </w:r>
      <w:r w:rsidR="007511B9">
        <w:rPr>
          <w:rFonts w:ascii="Garamond" w:hAnsi="Garamond"/>
          <w:sz w:val="24"/>
          <w:szCs w:val="24"/>
        </w:rPr>
        <w:t xml:space="preserve">that </w:t>
      </w:r>
      <w:r w:rsidR="000944BE">
        <w:rPr>
          <w:rFonts w:ascii="Garamond" w:hAnsi="Garamond"/>
          <w:sz w:val="24"/>
          <w:szCs w:val="24"/>
        </w:rPr>
        <w:t>two</w:t>
      </w:r>
      <w:r w:rsidR="00DD2C2F">
        <w:rPr>
          <w:rFonts w:ascii="Garamond" w:hAnsi="Garamond"/>
          <w:sz w:val="24"/>
          <w:szCs w:val="24"/>
        </w:rPr>
        <w:t xml:space="preserve"> sets of</w:t>
      </w:r>
      <w:r w:rsidR="007511B9">
        <w:rPr>
          <w:rFonts w:ascii="Garamond" w:hAnsi="Garamond"/>
          <w:sz w:val="24"/>
          <w:szCs w:val="24"/>
        </w:rPr>
        <w:t xml:space="preserve"> </w:t>
      </w:r>
      <w:r w:rsidR="00085972">
        <w:rPr>
          <w:rFonts w:ascii="Garamond" w:hAnsi="Garamond"/>
          <w:sz w:val="24"/>
          <w:szCs w:val="24"/>
        </w:rPr>
        <w:t>considerations should be taken into account for this calculation.</w:t>
      </w:r>
    </w:p>
    <w:p w14:paraId="39ED8235" w14:textId="41ADBEF0" w:rsidR="007511B9" w:rsidRPr="004943DC" w:rsidRDefault="00304EE8" w:rsidP="007F33DA">
      <w:pPr>
        <w:spacing w:line="240" w:lineRule="auto"/>
        <w:jc w:val="both"/>
        <w:rPr>
          <w:rFonts w:ascii="Garamond" w:hAnsi="Garamond"/>
          <w:b/>
          <w:sz w:val="24"/>
          <w:szCs w:val="24"/>
        </w:rPr>
      </w:pPr>
      <w:r w:rsidRPr="004943DC">
        <w:rPr>
          <w:rFonts w:ascii="Garamond" w:hAnsi="Garamond"/>
          <w:b/>
          <w:sz w:val="24"/>
          <w:szCs w:val="24"/>
        </w:rPr>
        <w:t xml:space="preserve">5.1.1 Is Expulsion </w:t>
      </w:r>
      <w:r w:rsidR="00DD4C99">
        <w:rPr>
          <w:rFonts w:ascii="Garamond" w:hAnsi="Garamond"/>
          <w:b/>
          <w:sz w:val="24"/>
          <w:szCs w:val="24"/>
        </w:rPr>
        <w:t xml:space="preserve">of a Member State </w:t>
      </w:r>
      <w:r w:rsidRPr="004943DC">
        <w:rPr>
          <w:rFonts w:ascii="Garamond" w:hAnsi="Garamond"/>
          <w:b/>
          <w:sz w:val="24"/>
          <w:szCs w:val="24"/>
        </w:rPr>
        <w:t xml:space="preserve">Less Damaging for the CoE than </w:t>
      </w:r>
      <w:r w:rsidR="00DD4C99">
        <w:rPr>
          <w:rFonts w:ascii="Garamond" w:hAnsi="Garamond"/>
          <w:b/>
          <w:sz w:val="24"/>
          <w:szCs w:val="24"/>
        </w:rPr>
        <w:t xml:space="preserve">Its </w:t>
      </w:r>
      <w:r w:rsidRPr="004943DC">
        <w:rPr>
          <w:rFonts w:ascii="Garamond" w:hAnsi="Garamond"/>
          <w:b/>
          <w:sz w:val="24"/>
          <w:szCs w:val="24"/>
        </w:rPr>
        <w:t>Continuing Membership?</w:t>
      </w:r>
    </w:p>
    <w:p w14:paraId="67D143F0" w14:textId="0AFC6655" w:rsidR="007511B9" w:rsidRDefault="00DD4C99" w:rsidP="007F33DA">
      <w:pPr>
        <w:spacing w:line="240" w:lineRule="auto"/>
        <w:jc w:val="both"/>
        <w:rPr>
          <w:rFonts w:ascii="Garamond" w:hAnsi="Garamond"/>
          <w:sz w:val="24"/>
          <w:szCs w:val="24"/>
        </w:rPr>
      </w:pPr>
      <w:r>
        <w:rPr>
          <w:rFonts w:ascii="Garamond" w:hAnsi="Garamond"/>
          <w:sz w:val="24"/>
          <w:szCs w:val="24"/>
        </w:rPr>
        <w:t>D</w:t>
      </w:r>
      <w:r w:rsidR="00F16E50">
        <w:rPr>
          <w:rFonts w:ascii="Garamond" w:hAnsi="Garamond"/>
          <w:sz w:val="24"/>
          <w:szCs w:val="24"/>
        </w:rPr>
        <w:t xml:space="preserve">oes the </w:t>
      </w:r>
      <w:r w:rsidR="00950955">
        <w:rPr>
          <w:rFonts w:ascii="Garamond" w:hAnsi="Garamond"/>
          <w:sz w:val="24"/>
          <w:szCs w:val="24"/>
        </w:rPr>
        <w:t xml:space="preserve">mere presence in the organisation of </w:t>
      </w:r>
      <w:r w:rsidR="00E25395">
        <w:rPr>
          <w:rFonts w:ascii="Garamond" w:hAnsi="Garamond"/>
          <w:sz w:val="24"/>
          <w:szCs w:val="24"/>
        </w:rPr>
        <w:t xml:space="preserve">a </w:t>
      </w:r>
      <w:r w:rsidR="00950955">
        <w:rPr>
          <w:rFonts w:ascii="Garamond" w:hAnsi="Garamond"/>
          <w:sz w:val="24"/>
          <w:szCs w:val="24"/>
        </w:rPr>
        <w:t xml:space="preserve">particular </w:t>
      </w:r>
      <w:r w:rsidR="00AA264D">
        <w:rPr>
          <w:rFonts w:ascii="Garamond" w:hAnsi="Garamond"/>
          <w:sz w:val="24"/>
          <w:szCs w:val="24"/>
        </w:rPr>
        <w:t>member state</w:t>
      </w:r>
      <w:r w:rsidR="00950955">
        <w:rPr>
          <w:rFonts w:ascii="Garamond" w:hAnsi="Garamond"/>
          <w:sz w:val="24"/>
          <w:szCs w:val="24"/>
        </w:rPr>
        <w:t>s</w:t>
      </w:r>
      <w:r w:rsidR="00CE0003">
        <w:rPr>
          <w:rFonts w:ascii="Garamond" w:hAnsi="Garamond"/>
          <w:sz w:val="24"/>
          <w:szCs w:val="24"/>
        </w:rPr>
        <w:t xml:space="preserve"> </w:t>
      </w:r>
      <w:r w:rsidR="00950955">
        <w:rPr>
          <w:rFonts w:ascii="Garamond" w:hAnsi="Garamond"/>
          <w:sz w:val="24"/>
          <w:szCs w:val="24"/>
        </w:rPr>
        <w:t>further the aims of this organisation</w:t>
      </w:r>
      <w:r w:rsidR="00F16E50">
        <w:rPr>
          <w:rFonts w:ascii="Garamond" w:hAnsi="Garamond"/>
          <w:sz w:val="24"/>
          <w:szCs w:val="24"/>
        </w:rPr>
        <w:t>?</w:t>
      </w:r>
      <w:r w:rsidR="00CE0003">
        <w:rPr>
          <w:rFonts w:ascii="Garamond" w:hAnsi="Garamond"/>
          <w:sz w:val="24"/>
          <w:szCs w:val="24"/>
        </w:rPr>
        <w:t xml:space="preserve"> </w:t>
      </w:r>
      <w:r w:rsidR="007F33DA" w:rsidRPr="007F33DA">
        <w:rPr>
          <w:rFonts w:ascii="Garamond" w:hAnsi="Garamond"/>
          <w:sz w:val="24"/>
          <w:szCs w:val="24"/>
        </w:rPr>
        <w:t xml:space="preserve">The aim of the </w:t>
      </w:r>
      <w:r w:rsidR="0026418C">
        <w:rPr>
          <w:rFonts w:ascii="Garamond" w:hAnsi="Garamond"/>
          <w:sz w:val="24"/>
          <w:szCs w:val="24"/>
        </w:rPr>
        <w:t xml:space="preserve">CoE </w:t>
      </w:r>
      <w:r w:rsidR="007F33DA" w:rsidRPr="007F33DA">
        <w:rPr>
          <w:rFonts w:ascii="Garamond" w:hAnsi="Garamond"/>
          <w:sz w:val="24"/>
          <w:szCs w:val="24"/>
        </w:rPr>
        <w:t xml:space="preserve">is to enhance </w:t>
      </w:r>
      <w:r w:rsidR="007E14D2">
        <w:rPr>
          <w:rFonts w:ascii="Garamond" w:hAnsi="Garamond"/>
          <w:sz w:val="24"/>
          <w:szCs w:val="24"/>
        </w:rPr>
        <w:t xml:space="preserve">the </w:t>
      </w:r>
      <w:r w:rsidR="007F33DA" w:rsidRPr="007F33DA">
        <w:rPr>
          <w:rFonts w:ascii="Garamond" w:hAnsi="Garamond"/>
          <w:sz w:val="24"/>
          <w:szCs w:val="24"/>
        </w:rPr>
        <w:t xml:space="preserve">unity between the </w:t>
      </w:r>
      <w:r w:rsidR="00AA264D">
        <w:rPr>
          <w:rFonts w:ascii="Garamond" w:hAnsi="Garamond"/>
          <w:sz w:val="24"/>
          <w:szCs w:val="24"/>
        </w:rPr>
        <w:t>member state</w:t>
      </w:r>
      <w:r w:rsidR="00E0164A">
        <w:rPr>
          <w:rFonts w:ascii="Garamond" w:hAnsi="Garamond"/>
          <w:sz w:val="24"/>
          <w:szCs w:val="24"/>
        </w:rPr>
        <w:t>s</w:t>
      </w:r>
      <w:r w:rsidR="007F33DA" w:rsidRPr="007F33DA">
        <w:rPr>
          <w:rFonts w:ascii="Garamond" w:hAnsi="Garamond"/>
          <w:sz w:val="24"/>
          <w:szCs w:val="24"/>
        </w:rPr>
        <w:t xml:space="preserve"> through their commitment to democracy, human rights and </w:t>
      </w:r>
      <w:r w:rsidR="000944BE">
        <w:rPr>
          <w:rFonts w:ascii="Garamond" w:hAnsi="Garamond"/>
          <w:sz w:val="24"/>
          <w:szCs w:val="24"/>
        </w:rPr>
        <w:t xml:space="preserve">the </w:t>
      </w:r>
      <w:r w:rsidR="007F33DA" w:rsidRPr="007F33DA">
        <w:rPr>
          <w:rFonts w:ascii="Garamond" w:hAnsi="Garamond"/>
          <w:sz w:val="24"/>
          <w:szCs w:val="24"/>
        </w:rPr>
        <w:t xml:space="preserve">rule of law. If </w:t>
      </w:r>
      <w:r w:rsidR="00E25395">
        <w:rPr>
          <w:rFonts w:ascii="Garamond" w:hAnsi="Garamond"/>
          <w:sz w:val="24"/>
          <w:szCs w:val="24"/>
        </w:rPr>
        <w:t>a</w:t>
      </w:r>
      <w:r w:rsidR="00CE0003">
        <w:rPr>
          <w:rFonts w:ascii="Garamond" w:hAnsi="Garamond"/>
          <w:sz w:val="24"/>
          <w:szCs w:val="24"/>
        </w:rPr>
        <w:t xml:space="preserve"> </w:t>
      </w:r>
      <w:r w:rsidR="00AA264D">
        <w:rPr>
          <w:rFonts w:ascii="Garamond" w:hAnsi="Garamond"/>
          <w:sz w:val="24"/>
          <w:szCs w:val="24"/>
        </w:rPr>
        <w:t>member state</w:t>
      </w:r>
      <w:r w:rsidR="007F33DA" w:rsidRPr="007F33DA">
        <w:rPr>
          <w:rFonts w:ascii="Garamond" w:hAnsi="Garamond"/>
          <w:sz w:val="24"/>
          <w:szCs w:val="24"/>
        </w:rPr>
        <w:t xml:space="preserve"> become</w:t>
      </w:r>
      <w:r w:rsidR="003A171B">
        <w:rPr>
          <w:rFonts w:ascii="Garamond" w:hAnsi="Garamond"/>
          <w:sz w:val="24"/>
          <w:szCs w:val="24"/>
        </w:rPr>
        <w:t>s</w:t>
      </w:r>
      <w:r w:rsidR="007F33DA" w:rsidRPr="007F33DA">
        <w:rPr>
          <w:rFonts w:ascii="Garamond" w:hAnsi="Garamond"/>
          <w:sz w:val="24"/>
          <w:szCs w:val="24"/>
        </w:rPr>
        <w:t xml:space="preserve"> less democratic and less committed to human rights</w:t>
      </w:r>
      <w:r w:rsidR="00F16E50">
        <w:rPr>
          <w:rFonts w:ascii="Garamond" w:hAnsi="Garamond"/>
          <w:sz w:val="24"/>
          <w:szCs w:val="24"/>
        </w:rPr>
        <w:t xml:space="preserve">, then the </w:t>
      </w:r>
      <w:r w:rsidR="0026418C">
        <w:rPr>
          <w:rFonts w:ascii="Garamond" w:hAnsi="Garamond"/>
          <w:sz w:val="24"/>
          <w:szCs w:val="24"/>
        </w:rPr>
        <w:t xml:space="preserve">CoE </w:t>
      </w:r>
      <w:r w:rsidR="00F16E50">
        <w:rPr>
          <w:rFonts w:ascii="Garamond" w:hAnsi="Garamond"/>
          <w:sz w:val="24"/>
          <w:szCs w:val="24"/>
        </w:rPr>
        <w:t xml:space="preserve">is failing in </w:t>
      </w:r>
      <w:r w:rsidR="00381528">
        <w:rPr>
          <w:rFonts w:ascii="Garamond" w:hAnsi="Garamond"/>
          <w:sz w:val="24"/>
          <w:szCs w:val="24"/>
        </w:rPr>
        <w:t>its core function</w:t>
      </w:r>
      <w:r w:rsidR="00F16E50">
        <w:rPr>
          <w:rFonts w:ascii="Garamond" w:hAnsi="Garamond"/>
          <w:sz w:val="24"/>
          <w:szCs w:val="24"/>
        </w:rPr>
        <w:t xml:space="preserve">. While it is unfair to blame the international organisation for the decisions of </w:t>
      </w:r>
      <w:r w:rsidR="00AA264D">
        <w:rPr>
          <w:rFonts w:ascii="Garamond" w:hAnsi="Garamond"/>
          <w:sz w:val="24"/>
          <w:szCs w:val="24"/>
        </w:rPr>
        <w:t>member state</w:t>
      </w:r>
      <w:r w:rsidR="00F16E50">
        <w:rPr>
          <w:rFonts w:ascii="Garamond" w:hAnsi="Garamond"/>
          <w:sz w:val="24"/>
          <w:szCs w:val="24"/>
        </w:rPr>
        <w:t xml:space="preserve">s, which are often motivated by domestic concerns, it is </w:t>
      </w:r>
      <w:r w:rsidR="005E5920">
        <w:rPr>
          <w:rFonts w:ascii="Garamond" w:hAnsi="Garamond"/>
          <w:sz w:val="24"/>
          <w:szCs w:val="24"/>
        </w:rPr>
        <w:t xml:space="preserve">necessary </w:t>
      </w:r>
      <w:r w:rsidR="00F16E50">
        <w:rPr>
          <w:rFonts w:ascii="Garamond" w:hAnsi="Garamond"/>
          <w:sz w:val="24"/>
          <w:szCs w:val="24"/>
        </w:rPr>
        <w:t xml:space="preserve">to consider the reaction of the international organisation to the degradation of democracy and human rights within the </w:t>
      </w:r>
      <w:r w:rsidR="00AA264D">
        <w:rPr>
          <w:rFonts w:ascii="Garamond" w:hAnsi="Garamond"/>
          <w:sz w:val="24"/>
          <w:szCs w:val="24"/>
        </w:rPr>
        <w:t>member state</w:t>
      </w:r>
      <w:r w:rsidR="00F16E50">
        <w:rPr>
          <w:rFonts w:ascii="Garamond" w:hAnsi="Garamond"/>
          <w:sz w:val="24"/>
          <w:szCs w:val="24"/>
        </w:rPr>
        <w:t>s.</w:t>
      </w:r>
    </w:p>
    <w:p w14:paraId="30A72FA7" w14:textId="3074A1B4" w:rsidR="00CD242B" w:rsidRDefault="00CD242B" w:rsidP="007F33DA">
      <w:pPr>
        <w:spacing w:line="240" w:lineRule="auto"/>
        <w:jc w:val="both"/>
        <w:rPr>
          <w:rFonts w:ascii="Garamond" w:hAnsi="Garamond"/>
          <w:sz w:val="24"/>
          <w:szCs w:val="24"/>
        </w:rPr>
      </w:pPr>
      <w:r>
        <w:rPr>
          <w:rFonts w:ascii="Garamond" w:hAnsi="Garamond"/>
          <w:sz w:val="24"/>
          <w:szCs w:val="24"/>
        </w:rPr>
        <w:t xml:space="preserve">In some countries the human rights situation has deteriorated </w:t>
      </w:r>
      <w:r w:rsidR="00411613">
        <w:rPr>
          <w:rFonts w:ascii="Garamond" w:hAnsi="Garamond"/>
          <w:sz w:val="24"/>
          <w:szCs w:val="24"/>
        </w:rPr>
        <w:t>in recent years</w:t>
      </w:r>
      <w:r w:rsidR="00BC7E24">
        <w:rPr>
          <w:rFonts w:ascii="Garamond" w:hAnsi="Garamond"/>
          <w:sz w:val="24"/>
          <w:szCs w:val="24"/>
        </w:rPr>
        <w:t>.</w:t>
      </w:r>
      <w:r w:rsidR="00381528">
        <w:rPr>
          <w:rFonts w:ascii="Garamond" w:hAnsi="Garamond"/>
          <w:sz w:val="24"/>
          <w:szCs w:val="24"/>
        </w:rPr>
        <w:t xml:space="preserve"> I</w:t>
      </w:r>
      <w:r>
        <w:rPr>
          <w:rFonts w:ascii="Garamond" w:hAnsi="Garamond"/>
          <w:sz w:val="24"/>
          <w:szCs w:val="24"/>
        </w:rPr>
        <w:t xml:space="preserve">n Turkey the government violently </w:t>
      </w:r>
      <w:r w:rsidR="00381528">
        <w:rPr>
          <w:rFonts w:ascii="Garamond" w:hAnsi="Garamond"/>
          <w:sz w:val="24"/>
          <w:szCs w:val="24"/>
        </w:rPr>
        <w:t>supressed</w:t>
      </w:r>
      <w:r>
        <w:rPr>
          <w:rFonts w:ascii="Garamond" w:hAnsi="Garamond"/>
          <w:sz w:val="24"/>
          <w:szCs w:val="24"/>
        </w:rPr>
        <w:t xml:space="preserve"> </w:t>
      </w:r>
      <w:r w:rsidR="00F16E50">
        <w:rPr>
          <w:rFonts w:ascii="Garamond" w:hAnsi="Garamond"/>
          <w:sz w:val="24"/>
          <w:szCs w:val="24"/>
        </w:rPr>
        <w:t>an</w:t>
      </w:r>
      <w:r>
        <w:rPr>
          <w:rFonts w:ascii="Garamond" w:hAnsi="Garamond"/>
          <w:sz w:val="24"/>
          <w:szCs w:val="24"/>
        </w:rPr>
        <w:t xml:space="preserve"> alleged state coup. </w:t>
      </w:r>
      <w:r w:rsidR="00381528">
        <w:rPr>
          <w:rFonts w:ascii="Garamond" w:hAnsi="Garamond"/>
          <w:sz w:val="24"/>
          <w:szCs w:val="24"/>
        </w:rPr>
        <w:t>While the situation in Turkey was very serious, t</w:t>
      </w:r>
      <w:r>
        <w:rPr>
          <w:rFonts w:ascii="Garamond" w:hAnsi="Garamond"/>
          <w:sz w:val="24"/>
          <w:szCs w:val="24"/>
        </w:rPr>
        <w:t xml:space="preserve">he </w:t>
      </w:r>
      <w:r w:rsidR="0026418C">
        <w:rPr>
          <w:rFonts w:ascii="Garamond" w:hAnsi="Garamond"/>
          <w:sz w:val="24"/>
          <w:szCs w:val="24"/>
        </w:rPr>
        <w:t xml:space="preserve">CoE </w:t>
      </w:r>
      <w:r w:rsidR="00381528">
        <w:rPr>
          <w:rFonts w:ascii="Garamond" w:hAnsi="Garamond"/>
          <w:sz w:val="24"/>
          <w:szCs w:val="24"/>
        </w:rPr>
        <w:t xml:space="preserve">has been </w:t>
      </w:r>
      <w:r>
        <w:rPr>
          <w:rFonts w:ascii="Garamond" w:hAnsi="Garamond"/>
          <w:sz w:val="24"/>
          <w:szCs w:val="24"/>
        </w:rPr>
        <w:t xml:space="preserve">moderate in its </w:t>
      </w:r>
      <w:r w:rsidR="00381528">
        <w:rPr>
          <w:rFonts w:ascii="Garamond" w:hAnsi="Garamond"/>
          <w:sz w:val="24"/>
          <w:szCs w:val="24"/>
        </w:rPr>
        <w:t>reaction to it</w:t>
      </w:r>
      <w:r>
        <w:rPr>
          <w:rFonts w:ascii="Garamond" w:hAnsi="Garamond"/>
          <w:sz w:val="24"/>
          <w:szCs w:val="24"/>
        </w:rPr>
        <w:t>.</w:t>
      </w:r>
      <w:r>
        <w:rPr>
          <w:rStyle w:val="FootnoteReference"/>
          <w:rFonts w:ascii="Garamond" w:hAnsi="Garamond"/>
          <w:sz w:val="24"/>
          <w:szCs w:val="24"/>
        </w:rPr>
        <w:footnoteReference w:id="108"/>
      </w:r>
      <w:r w:rsidR="00DA62F8">
        <w:rPr>
          <w:rFonts w:ascii="Garamond" w:hAnsi="Garamond"/>
          <w:sz w:val="24"/>
          <w:szCs w:val="24"/>
        </w:rPr>
        <w:t xml:space="preserve"> </w:t>
      </w:r>
      <w:r w:rsidR="0018654C">
        <w:rPr>
          <w:rFonts w:ascii="Garamond" w:hAnsi="Garamond"/>
          <w:sz w:val="24"/>
          <w:szCs w:val="24"/>
        </w:rPr>
        <w:t xml:space="preserve">In 2008, </w:t>
      </w:r>
      <w:r w:rsidR="0037573A">
        <w:rPr>
          <w:rFonts w:ascii="Garamond" w:hAnsi="Garamond"/>
          <w:sz w:val="24"/>
          <w:szCs w:val="24"/>
        </w:rPr>
        <w:t>Russia</w:t>
      </w:r>
      <w:r w:rsidR="00CE0003">
        <w:rPr>
          <w:rFonts w:ascii="Garamond" w:hAnsi="Garamond"/>
          <w:sz w:val="24"/>
          <w:szCs w:val="24"/>
        </w:rPr>
        <w:t xml:space="preserve"> </w:t>
      </w:r>
      <w:r w:rsidR="00F16E50">
        <w:rPr>
          <w:rFonts w:ascii="Garamond" w:hAnsi="Garamond"/>
          <w:sz w:val="24"/>
          <w:szCs w:val="24"/>
        </w:rPr>
        <w:t>co</w:t>
      </w:r>
      <w:r w:rsidR="0018654C">
        <w:rPr>
          <w:rFonts w:ascii="Garamond" w:hAnsi="Garamond"/>
          <w:sz w:val="24"/>
          <w:szCs w:val="24"/>
        </w:rPr>
        <w:t>nducted a military operation in Georgia</w:t>
      </w:r>
      <w:r w:rsidR="00784394">
        <w:rPr>
          <w:rFonts w:ascii="Garamond" w:hAnsi="Garamond"/>
          <w:sz w:val="24"/>
          <w:szCs w:val="24"/>
        </w:rPr>
        <w:t xml:space="preserve"> and i</w:t>
      </w:r>
      <w:r w:rsidR="0018654C">
        <w:rPr>
          <w:rFonts w:ascii="Garamond" w:hAnsi="Garamond"/>
          <w:sz w:val="24"/>
          <w:szCs w:val="24"/>
        </w:rPr>
        <w:t>n 2014, Russia</w:t>
      </w:r>
      <w:r w:rsidR="0037573A">
        <w:rPr>
          <w:rFonts w:ascii="Garamond" w:hAnsi="Garamond"/>
          <w:sz w:val="24"/>
          <w:szCs w:val="24"/>
        </w:rPr>
        <w:t xml:space="preserve"> occupied the Crimea</w:t>
      </w:r>
      <w:r w:rsidR="0018654C">
        <w:rPr>
          <w:rFonts w:ascii="Garamond" w:hAnsi="Garamond"/>
          <w:sz w:val="24"/>
          <w:szCs w:val="24"/>
        </w:rPr>
        <w:t>n</w:t>
      </w:r>
      <w:r w:rsidR="0037573A">
        <w:rPr>
          <w:rFonts w:ascii="Garamond" w:hAnsi="Garamond"/>
          <w:sz w:val="24"/>
          <w:szCs w:val="24"/>
        </w:rPr>
        <w:t xml:space="preserve"> Peninsula – a part of the territory of another </w:t>
      </w:r>
      <w:r w:rsidR="00AA264D">
        <w:rPr>
          <w:rFonts w:ascii="Garamond" w:hAnsi="Garamond"/>
          <w:sz w:val="24"/>
          <w:szCs w:val="24"/>
        </w:rPr>
        <w:t>member state</w:t>
      </w:r>
      <w:r w:rsidR="0037573A">
        <w:rPr>
          <w:rFonts w:ascii="Garamond" w:hAnsi="Garamond"/>
          <w:sz w:val="24"/>
          <w:szCs w:val="24"/>
        </w:rPr>
        <w:t xml:space="preserve"> </w:t>
      </w:r>
      <w:r w:rsidR="00F16E50">
        <w:rPr>
          <w:rFonts w:ascii="Garamond" w:hAnsi="Garamond"/>
          <w:sz w:val="24"/>
          <w:szCs w:val="24"/>
        </w:rPr>
        <w:t>of</w:t>
      </w:r>
      <w:r w:rsidR="0037573A">
        <w:rPr>
          <w:rFonts w:ascii="Garamond" w:hAnsi="Garamond"/>
          <w:sz w:val="24"/>
          <w:szCs w:val="24"/>
        </w:rPr>
        <w:t xml:space="preserve"> the </w:t>
      </w:r>
      <w:r w:rsidR="0026418C">
        <w:rPr>
          <w:rFonts w:ascii="Garamond" w:hAnsi="Garamond"/>
          <w:sz w:val="24"/>
          <w:szCs w:val="24"/>
        </w:rPr>
        <w:t xml:space="preserve">CoE </w:t>
      </w:r>
      <w:r w:rsidR="00F16E50">
        <w:rPr>
          <w:rFonts w:ascii="Garamond" w:hAnsi="Garamond"/>
          <w:sz w:val="24"/>
          <w:szCs w:val="24"/>
        </w:rPr>
        <w:t>(</w:t>
      </w:r>
      <w:r w:rsidR="003A298A">
        <w:rPr>
          <w:rFonts w:ascii="Garamond" w:hAnsi="Garamond"/>
          <w:sz w:val="24"/>
          <w:szCs w:val="24"/>
        </w:rPr>
        <w:t>Ukraine</w:t>
      </w:r>
      <w:r w:rsidR="00F16E50">
        <w:rPr>
          <w:rFonts w:ascii="Garamond" w:hAnsi="Garamond"/>
          <w:sz w:val="24"/>
          <w:szCs w:val="24"/>
        </w:rPr>
        <w:t xml:space="preserve">) </w:t>
      </w:r>
      <w:r w:rsidR="0037573A">
        <w:rPr>
          <w:rFonts w:ascii="Garamond" w:hAnsi="Garamond"/>
          <w:sz w:val="24"/>
          <w:szCs w:val="24"/>
        </w:rPr>
        <w:t>– and</w:t>
      </w:r>
      <w:r w:rsidR="00F16E50">
        <w:rPr>
          <w:rFonts w:ascii="Garamond" w:hAnsi="Garamond"/>
          <w:sz w:val="24"/>
          <w:szCs w:val="24"/>
        </w:rPr>
        <w:t>,</w:t>
      </w:r>
      <w:r w:rsidR="0037573A">
        <w:rPr>
          <w:rFonts w:ascii="Garamond" w:hAnsi="Garamond"/>
          <w:sz w:val="24"/>
          <w:szCs w:val="24"/>
        </w:rPr>
        <w:t xml:space="preserve"> although </w:t>
      </w:r>
      <w:r w:rsidR="0018654C">
        <w:rPr>
          <w:rFonts w:ascii="Garamond" w:hAnsi="Garamond"/>
          <w:sz w:val="24"/>
          <w:szCs w:val="24"/>
        </w:rPr>
        <w:t xml:space="preserve">on that occasion </w:t>
      </w:r>
      <w:r w:rsidR="0037573A">
        <w:rPr>
          <w:rFonts w:ascii="Garamond" w:hAnsi="Garamond"/>
          <w:sz w:val="24"/>
          <w:szCs w:val="24"/>
        </w:rPr>
        <w:t xml:space="preserve">Russia lost its voting </w:t>
      </w:r>
      <w:r w:rsidR="00CA200A">
        <w:rPr>
          <w:rFonts w:ascii="Garamond" w:hAnsi="Garamond"/>
          <w:sz w:val="24"/>
          <w:szCs w:val="24"/>
        </w:rPr>
        <w:t xml:space="preserve">and some other </w:t>
      </w:r>
      <w:r w:rsidR="0037573A">
        <w:rPr>
          <w:rFonts w:ascii="Garamond" w:hAnsi="Garamond"/>
          <w:sz w:val="24"/>
          <w:szCs w:val="24"/>
        </w:rPr>
        <w:t>rights in the PACE</w:t>
      </w:r>
      <w:r w:rsidR="00F16E50">
        <w:rPr>
          <w:rFonts w:ascii="Garamond" w:hAnsi="Garamond"/>
          <w:sz w:val="24"/>
          <w:szCs w:val="24"/>
        </w:rPr>
        <w:t>,</w:t>
      </w:r>
      <w:r w:rsidR="00CA200A">
        <w:rPr>
          <w:rStyle w:val="FootnoteReference"/>
          <w:rFonts w:ascii="Garamond" w:hAnsi="Garamond"/>
          <w:sz w:val="24"/>
          <w:szCs w:val="24"/>
        </w:rPr>
        <w:footnoteReference w:id="109"/>
      </w:r>
      <w:r w:rsidR="0037573A">
        <w:rPr>
          <w:rFonts w:ascii="Garamond" w:hAnsi="Garamond"/>
          <w:sz w:val="24"/>
          <w:szCs w:val="24"/>
        </w:rPr>
        <w:t xml:space="preserve"> it still remains a member of the </w:t>
      </w:r>
      <w:r w:rsidR="00202CB4">
        <w:rPr>
          <w:rFonts w:ascii="Garamond" w:hAnsi="Garamond"/>
          <w:sz w:val="24"/>
          <w:szCs w:val="24"/>
        </w:rPr>
        <w:t>CoE</w:t>
      </w:r>
      <w:r w:rsidR="0037573A">
        <w:rPr>
          <w:rFonts w:ascii="Garamond" w:hAnsi="Garamond"/>
          <w:sz w:val="24"/>
          <w:szCs w:val="24"/>
        </w:rPr>
        <w:t>.</w:t>
      </w:r>
      <w:r w:rsidR="00CE0003">
        <w:rPr>
          <w:rFonts w:ascii="Garamond" w:hAnsi="Garamond"/>
          <w:sz w:val="24"/>
          <w:szCs w:val="24"/>
        </w:rPr>
        <w:t xml:space="preserve"> </w:t>
      </w:r>
      <w:r w:rsidR="00A911B4">
        <w:rPr>
          <w:rFonts w:ascii="Garamond" w:hAnsi="Garamond"/>
          <w:sz w:val="24"/>
          <w:szCs w:val="24"/>
        </w:rPr>
        <w:t xml:space="preserve">As Lauri </w:t>
      </w:r>
      <w:r w:rsidR="00CE0003" w:rsidRPr="00CE0003">
        <w:rPr>
          <w:rFonts w:ascii="Garamond" w:hAnsi="Garamond"/>
          <w:sz w:val="24"/>
          <w:szCs w:val="24"/>
        </w:rPr>
        <w:t>Mälksoo</w:t>
      </w:r>
      <w:r w:rsidR="00CE0003">
        <w:rPr>
          <w:rFonts w:ascii="Garamond" w:hAnsi="Garamond"/>
          <w:sz w:val="24"/>
          <w:szCs w:val="24"/>
        </w:rPr>
        <w:t xml:space="preserve"> </w:t>
      </w:r>
      <w:r w:rsidR="00A911B4">
        <w:rPr>
          <w:rFonts w:ascii="Garamond" w:hAnsi="Garamond"/>
          <w:sz w:val="24"/>
          <w:szCs w:val="24"/>
        </w:rPr>
        <w:t>concludes ‘instead of the desired approximation with liberal democracies in Western Europe, Russia’s membership in the CoE and acceptance of the jurisdiction of the ECtHR have not been able to prevent a backlash in terms of democracy and human rights in the country’.</w:t>
      </w:r>
      <w:r w:rsidR="00A911B4">
        <w:rPr>
          <w:rStyle w:val="FootnoteReference"/>
          <w:rFonts w:ascii="Garamond" w:hAnsi="Garamond"/>
          <w:sz w:val="24"/>
          <w:szCs w:val="24"/>
        </w:rPr>
        <w:footnoteReference w:id="110"/>
      </w:r>
      <w:r w:rsidR="003A171B">
        <w:rPr>
          <w:rFonts w:ascii="Garamond" w:hAnsi="Garamond"/>
          <w:sz w:val="24"/>
          <w:szCs w:val="24"/>
        </w:rPr>
        <w:t xml:space="preserve"> </w:t>
      </w:r>
      <w:r w:rsidR="0037573A">
        <w:rPr>
          <w:rFonts w:ascii="Garamond" w:hAnsi="Garamond"/>
          <w:sz w:val="24"/>
          <w:szCs w:val="24"/>
        </w:rPr>
        <w:t>In Azerbaijan it is widely accepted that there are political prisoners,</w:t>
      </w:r>
      <w:r w:rsidR="00CA200A">
        <w:rPr>
          <w:rStyle w:val="FootnoteReference"/>
          <w:rFonts w:ascii="Garamond" w:hAnsi="Garamond"/>
          <w:sz w:val="24"/>
          <w:szCs w:val="24"/>
        </w:rPr>
        <w:footnoteReference w:id="111"/>
      </w:r>
      <w:r w:rsidR="0037573A">
        <w:rPr>
          <w:rFonts w:ascii="Garamond" w:hAnsi="Garamond"/>
          <w:sz w:val="24"/>
          <w:szCs w:val="24"/>
        </w:rPr>
        <w:t xml:space="preserve"> </w:t>
      </w:r>
      <w:r w:rsidR="00624FE4">
        <w:rPr>
          <w:rFonts w:ascii="Garamond" w:hAnsi="Garamond"/>
          <w:sz w:val="24"/>
          <w:szCs w:val="24"/>
        </w:rPr>
        <w:t>the state does not</w:t>
      </w:r>
      <w:r w:rsidR="0057456E">
        <w:rPr>
          <w:rFonts w:ascii="Garamond" w:hAnsi="Garamond"/>
          <w:sz w:val="24"/>
          <w:szCs w:val="24"/>
        </w:rPr>
        <w:t xml:space="preserve"> </w:t>
      </w:r>
      <w:r w:rsidR="00624FE4">
        <w:rPr>
          <w:rFonts w:ascii="Garamond" w:hAnsi="Garamond"/>
          <w:sz w:val="24"/>
          <w:szCs w:val="24"/>
        </w:rPr>
        <w:t>always</w:t>
      </w:r>
      <w:r w:rsidR="0037573A">
        <w:rPr>
          <w:rFonts w:ascii="Garamond" w:hAnsi="Garamond"/>
          <w:sz w:val="24"/>
          <w:szCs w:val="24"/>
        </w:rPr>
        <w:t xml:space="preserve"> </w:t>
      </w:r>
      <w:r w:rsidR="00085972">
        <w:rPr>
          <w:rFonts w:ascii="Garamond" w:hAnsi="Garamond"/>
          <w:sz w:val="24"/>
          <w:szCs w:val="24"/>
        </w:rPr>
        <w:t>implement</w:t>
      </w:r>
      <w:r w:rsidR="0037573A">
        <w:rPr>
          <w:rFonts w:ascii="Garamond" w:hAnsi="Garamond"/>
          <w:sz w:val="24"/>
          <w:szCs w:val="24"/>
        </w:rPr>
        <w:t xml:space="preserve"> </w:t>
      </w:r>
      <w:r w:rsidR="00624FE4">
        <w:rPr>
          <w:rFonts w:ascii="Garamond" w:hAnsi="Garamond"/>
          <w:sz w:val="24"/>
          <w:szCs w:val="24"/>
        </w:rPr>
        <w:t xml:space="preserve">the </w:t>
      </w:r>
      <w:r w:rsidR="0037573A">
        <w:rPr>
          <w:rFonts w:ascii="Garamond" w:hAnsi="Garamond"/>
          <w:sz w:val="24"/>
          <w:szCs w:val="24"/>
        </w:rPr>
        <w:t>judgments of the ECtHR,</w:t>
      </w:r>
      <w:r w:rsidR="00CA200A">
        <w:rPr>
          <w:rStyle w:val="FootnoteReference"/>
          <w:rFonts w:ascii="Garamond" w:hAnsi="Garamond"/>
          <w:sz w:val="24"/>
          <w:szCs w:val="24"/>
        </w:rPr>
        <w:footnoteReference w:id="112"/>
      </w:r>
      <w:r w:rsidR="0037573A">
        <w:rPr>
          <w:rFonts w:ascii="Garamond" w:hAnsi="Garamond"/>
          <w:sz w:val="24"/>
          <w:szCs w:val="24"/>
        </w:rPr>
        <w:t xml:space="preserve"> and yet Azerbaijan is </w:t>
      </w:r>
      <w:r w:rsidR="0018654C">
        <w:rPr>
          <w:rFonts w:ascii="Garamond" w:hAnsi="Garamond"/>
          <w:sz w:val="24"/>
          <w:szCs w:val="24"/>
        </w:rPr>
        <w:t>a</w:t>
      </w:r>
      <w:r w:rsidR="0037573A">
        <w:rPr>
          <w:rFonts w:ascii="Garamond" w:hAnsi="Garamond"/>
          <w:sz w:val="24"/>
          <w:szCs w:val="24"/>
        </w:rPr>
        <w:t xml:space="preserve"> full member of the </w:t>
      </w:r>
      <w:r w:rsidR="00202CB4">
        <w:rPr>
          <w:rFonts w:ascii="Garamond" w:hAnsi="Garamond"/>
          <w:sz w:val="24"/>
          <w:szCs w:val="24"/>
        </w:rPr>
        <w:t>CoE</w:t>
      </w:r>
      <w:r w:rsidR="0037573A">
        <w:rPr>
          <w:rFonts w:ascii="Garamond" w:hAnsi="Garamond"/>
          <w:sz w:val="24"/>
          <w:szCs w:val="24"/>
        </w:rPr>
        <w:t>.</w:t>
      </w:r>
      <w:r w:rsidR="00AF4F5C">
        <w:rPr>
          <w:rFonts w:ascii="Garamond" w:hAnsi="Garamond"/>
          <w:sz w:val="24"/>
          <w:szCs w:val="24"/>
        </w:rPr>
        <w:t xml:space="preserve"> This </w:t>
      </w:r>
      <w:r w:rsidR="00F16E50">
        <w:rPr>
          <w:rFonts w:ascii="Garamond" w:hAnsi="Garamond"/>
          <w:sz w:val="24"/>
          <w:szCs w:val="24"/>
        </w:rPr>
        <w:t>raises</w:t>
      </w:r>
      <w:r w:rsidR="00AF4F5C">
        <w:rPr>
          <w:rFonts w:ascii="Garamond" w:hAnsi="Garamond"/>
          <w:sz w:val="24"/>
          <w:szCs w:val="24"/>
        </w:rPr>
        <w:t xml:space="preserve"> the question of whether the constant</w:t>
      </w:r>
      <w:r w:rsidR="00F16E50">
        <w:rPr>
          <w:rFonts w:ascii="Garamond" w:hAnsi="Garamond"/>
          <w:sz w:val="24"/>
          <w:szCs w:val="24"/>
        </w:rPr>
        <w:t>, and increasing,</w:t>
      </w:r>
      <w:r w:rsidR="00AF4F5C">
        <w:rPr>
          <w:rFonts w:ascii="Garamond" w:hAnsi="Garamond"/>
          <w:sz w:val="24"/>
          <w:szCs w:val="24"/>
        </w:rPr>
        <w:t xml:space="preserve"> reputation losses from the states that fail to comply with human rights on a systematic level outweigh a moral commitment to Europe as a family of states.</w:t>
      </w:r>
    </w:p>
    <w:p w14:paraId="2B7D72DD" w14:textId="0491A38B" w:rsidR="0061122F" w:rsidRDefault="000944BE" w:rsidP="0061122F">
      <w:pPr>
        <w:spacing w:line="240" w:lineRule="auto"/>
        <w:jc w:val="both"/>
        <w:rPr>
          <w:rFonts w:ascii="Garamond" w:hAnsi="Garamond"/>
          <w:sz w:val="24"/>
          <w:szCs w:val="24"/>
        </w:rPr>
      </w:pPr>
      <w:r>
        <w:rPr>
          <w:rFonts w:ascii="Garamond" w:hAnsi="Garamond"/>
          <w:sz w:val="24"/>
          <w:szCs w:val="24"/>
        </w:rPr>
        <w:t>An</w:t>
      </w:r>
      <w:r w:rsidR="00381528">
        <w:rPr>
          <w:rFonts w:ascii="Garamond" w:hAnsi="Garamond"/>
          <w:sz w:val="24"/>
          <w:szCs w:val="24"/>
        </w:rPr>
        <w:t xml:space="preserve"> argument that might explain the CoE</w:t>
      </w:r>
      <w:r>
        <w:rPr>
          <w:rFonts w:ascii="Garamond" w:hAnsi="Garamond"/>
          <w:sz w:val="24"/>
          <w:szCs w:val="24"/>
        </w:rPr>
        <w:t>’s</w:t>
      </w:r>
      <w:r w:rsidR="00381528">
        <w:rPr>
          <w:rFonts w:ascii="Garamond" w:hAnsi="Garamond"/>
          <w:sz w:val="24"/>
          <w:szCs w:val="24"/>
        </w:rPr>
        <w:t xml:space="preserve"> reluctance to resort to suspension and expulsion is that the membership can assist</w:t>
      </w:r>
      <w:r w:rsidR="0061122F">
        <w:rPr>
          <w:rFonts w:ascii="Garamond" w:hAnsi="Garamond"/>
          <w:sz w:val="24"/>
          <w:szCs w:val="24"/>
        </w:rPr>
        <w:t xml:space="preserve"> the resolution of conflict situation</w:t>
      </w:r>
      <w:r w:rsidR="00381528">
        <w:rPr>
          <w:rFonts w:ascii="Garamond" w:hAnsi="Garamond"/>
          <w:sz w:val="24"/>
          <w:szCs w:val="24"/>
        </w:rPr>
        <w:t>s.</w:t>
      </w:r>
      <w:r w:rsidR="0061122F">
        <w:rPr>
          <w:rStyle w:val="FootnoteReference"/>
          <w:rFonts w:ascii="Garamond" w:hAnsi="Garamond"/>
          <w:sz w:val="24"/>
          <w:szCs w:val="24"/>
        </w:rPr>
        <w:footnoteReference w:id="113"/>
      </w:r>
      <w:r w:rsidR="0061122F">
        <w:rPr>
          <w:rFonts w:ascii="Garamond" w:hAnsi="Garamond"/>
          <w:sz w:val="24"/>
          <w:szCs w:val="24"/>
        </w:rPr>
        <w:t xml:space="preserve"> The </w:t>
      </w:r>
      <w:r w:rsidR="00381528">
        <w:rPr>
          <w:rFonts w:ascii="Garamond" w:hAnsi="Garamond"/>
          <w:sz w:val="24"/>
          <w:szCs w:val="24"/>
        </w:rPr>
        <w:t>CoE</w:t>
      </w:r>
      <w:r w:rsidR="0061122F">
        <w:rPr>
          <w:rFonts w:ascii="Garamond" w:hAnsi="Garamond"/>
          <w:sz w:val="24"/>
          <w:szCs w:val="24"/>
        </w:rPr>
        <w:t xml:space="preserve">, for example, can </w:t>
      </w:r>
      <w:r w:rsidR="0061122F">
        <w:rPr>
          <w:rFonts w:ascii="Garamond" w:hAnsi="Garamond"/>
          <w:sz w:val="24"/>
          <w:szCs w:val="24"/>
        </w:rPr>
        <w:lastRenderedPageBreak/>
        <w:t xml:space="preserve">provide an arena for negotiations </w:t>
      </w:r>
      <w:r w:rsidR="006C04C6">
        <w:rPr>
          <w:rFonts w:ascii="Garamond" w:hAnsi="Garamond"/>
          <w:sz w:val="24"/>
          <w:szCs w:val="24"/>
        </w:rPr>
        <w:t>between parties to a conflict</w:t>
      </w:r>
      <w:r w:rsidR="0061122F">
        <w:rPr>
          <w:rFonts w:ascii="Garamond" w:hAnsi="Garamond"/>
          <w:sz w:val="24"/>
          <w:szCs w:val="24"/>
        </w:rPr>
        <w:t>. However, the conflicting parties need to engage with the CoE in their efforts to resolve the conflict. If the conflicting parties genuinely engage, it would be appropriate for the CoE to retain these member states within the organisation in order to complete the resolution of the conflict. If such engagement is purely formal or</w:t>
      </w:r>
      <w:r w:rsidR="006C04C6">
        <w:rPr>
          <w:rFonts w:ascii="Garamond" w:hAnsi="Garamond"/>
          <w:sz w:val="24"/>
          <w:szCs w:val="24"/>
        </w:rPr>
        <w:t>, even worse,</w:t>
      </w:r>
      <w:r w:rsidR="0061122F">
        <w:rPr>
          <w:rFonts w:ascii="Garamond" w:hAnsi="Garamond"/>
          <w:sz w:val="24"/>
          <w:szCs w:val="24"/>
        </w:rPr>
        <w:t xml:space="preserve"> absent then </w:t>
      </w:r>
      <w:r w:rsidR="006C04C6">
        <w:rPr>
          <w:rFonts w:ascii="Garamond" w:hAnsi="Garamond"/>
          <w:sz w:val="24"/>
          <w:szCs w:val="24"/>
        </w:rPr>
        <w:t xml:space="preserve">what can only ultimately be </w:t>
      </w:r>
      <w:r w:rsidR="0061122F">
        <w:rPr>
          <w:rFonts w:ascii="Garamond" w:hAnsi="Garamond"/>
          <w:sz w:val="24"/>
          <w:szCs w:val="24"/>
        </w:rPr>
        <w:t>fruitless efforts can undermine the credibility of the organisation. For example, Russia’s unwillingness to involve the CoE in dealing with the issue of occupation of Crimea or parts of Georgian territory can be seen as one such failure.</w:t>
      </w:r>
      <w:r w:rsidR="0061122F">
        <w:rPr>
          <w:rStyle w:val="FootnoteReference"/>
          <w:rFonts w:ascii="Garamond" w:hAnsi="Garamond"/>
          <w:sz w:val="24"/>
          <w:szCs w:val="24"/>
        </w:rPr>
        <w:footnoteReference w:id="114"/>
      </w:r>
    </w:p>
    <w:p w14:paraId="2A5DA789" w14:textId="750D7A98" w:rsidR="0061122F" w:rsidRDefault="0061122F" w:rsidP="0061122F">
      <w:pPr>
        <w:spacing w:line="240" w:lineRule="auto"/>
        <w:jc w:val="both"/>
        <w:rPr>
          <w:rFonts w:ascii="Garamond" w:hAnsi="Garamond"/>
          <w:sz w:val="24"/>
          <w:szCs w:val="24"/>
        </w:rPr>
      </w:pPr>
      <w:r>
        <w:rPr>
          <w:rFonts w:ascii="Garamond" w:hAnsi="Garamond"/>
          <w:sz w:val="24"/>
          <w:szCs w:val="24"/>
        </w:rPr>
        <w:t>It might be argued that having some impact on recalcitrant states would be better than having no impact at all if these states are expelled. Having said that, there is no guarantee that the Council would ever have any effect on the states that systematically undermine the purposes of the organisation; if this effect was significant the questions about expulsion would not emerge at all. The argument in favour of admitting a state such as Russia in the first instance rested on the idea that it would lead to a modification of behaviour – if that has not happened to date then future predictions about an impending change need to be treated with a degree of scepticism.</w:t>
      </w:r>
      <w:r>
        <w:rPr>
          <w:rStyle w:val="FootnoteReference"/>
          <w:rFonts w:ascii="Garamond" w:hAnsi="Garamond"/>
          <w:sz w:val="24"/>
          <w:szCs w:val="24"/>
        </w:rPr>
        <w:footnoteReference w:id="115"/>
      </w:r>
      <w:r>
        <w:rPr>
          <w:rFonts w:ascii="Garamond" w:hAnsi="Garamond"/>
          <w:sz w:val="24"/>
          <w:szCs w:val="24"/>
        </w:rPr>
        <w:t xml:space="preserve"> If the state concerned does not engage with the organisation or merely imitates engagement then a possible future impact cannot be the crucial argument in order to preserve its membership.</w:t>
      </w:r>
      <w:bookmarkStart w:id="8" w:name="_Ref534980787"/>
      <w:r>
        <w:rPr>
          <w:rStyle w:val="FootnoteReference"/>
          <w:rFonts w:ascii="Garamond" w:hAnsi="Garamond"/>
          <w:sz w:val="24"/>
          <w:szCs w:val="24"/>
        </w:rPr>
        <w:footnoteReference w:id="116"/>
      </w:r>
      <w:bookmarkEnd w:id="8"/>
    </w:p>
    <w:p w14:paraId="58248C22" w14:textId="18E77CAF" w:rsidR="00FC0DC5" w:rsidRDefault="00FC0DC5" w:rsidP="002E0A86">
      <w:pPr>
        <w:spacing w:line="240" w:lineRule="auto"/>
        <w:jc w:val="both"/>
        <w:rPr>
          <w:rFonts w:ascii="Garamond" w:hAnsi="Garamond"/>
          <w:sz w:val="24"/>
          <w:szCs w:val="24"/>
        </w:rPr>
      </w:pPr>
      <w:r>
        <w:rPr>
          <w:rFonts w:ascii="Garamond" w:hAnsi="Garamond"/>
          <w:sz w:val="24"/>
          <w:szCs w:val="24"/>
        </w:rPr>
        <w:t>Th</w:t>
      </w:r>
      <w:r w:rsidR="0061122F">
        <w:rPr>
          <w:rFonts w:ascii="Garamond" w:hAnsi="Garamond"/>
          <w:sz w:val="24"/>
          <w:szCs w:val="24"/>
        </w:rPr>
        <w:t xml:space="preserve">is discussion </w:t>
      </w:r>
      <w:r>
        <w:rPr>
          <w:rFonts w:ascii="Garamond" w:hAnsi="Garamond"/>
          <w:sz w:val="24"/>
          <w:szCs w:val="24"/>
        </w:rPr>
        <w:t>show</w:t>
      </w:r>
      <w:r w:rsidR="0061122F">
        <w:rPr>
          <w:rFonts w:ascii="Garamond" w:hAnsi="Garamond"/>
          <w:sz w:val="24"/>
          <w:szCs w:val="24"/>
        </w:rPr>
        <w:t>s</w:t>
      </w:r>
      <w:r>
        <w:rPr>
          <w:rFonts w:ascii="Garamond" w:hAnsi="Garamond"/>
          <w:sz w:val="24"/>
          <w:szCs w:val="24"/>
        </w:rPr>
        <w:t xml:space="preserve"> that in some circumstances the desire of an international organisation to keep a state that clearly fails to comply with its statutory aims can undermine the importance of this organisation. In </w:t>
      </w:r>
      <w:r w:rsidR="00381528">
        <w:rPr>
          <w:rFonts w:ascii="Garamond" w:hAnsi="Garamond"/>
          <w:sz w:val="24"/>
          <w:szCs w:val="24"/>
        </w:rPr>
        <w:t xml:space="preserve">such a </w:t>
      </w:r>
      <w:r>
        <w:rPr>
          <w:rFonts w:ascii="Garamond" w:hAnsi="Garamond"/>
          <w:sz w:val="24"/>
          <w:szCs w:val="24"/>
        </w:rPr>
        <w:t xml:space="preserve">case, an expulsion is a healthier option for the legitimacy and effectiveness of </w:t>
      </w:r>
      <w:r w:rsidR="000944BE">
        <w:rPr>
          <w:rFonts w:ascii="Garamond" w:hAnsi="Garamond"/>
          <w:sz w:val="24"/>
          <w:szCs w:val="24"/>
        </w:rPr>
        <w:t xml:space="preserve">such </w:t>
      </w:r>
      <w:r>
        <w:rPr>
          <w:rFonts w:ascii="Garamond" w:hAnsi="Garamond"/>
          <w:sz w:val="24"/>
          <w:szCs w:val="24"/>
        </w:rPr>
        <w:t>organisation.</w:t>
      </w:r>
    </w:p>
    <w:p w14:paraId="1D34C333" w14:textId="03A6F8E7" w:rsidR="0061122F" w:rsidRDefault="00E74EDE" w:rsidP="002E0A86">
      <w:pPr>
        <w:spacing w:line="240" w:lineRule="auto"/>
        <w:jc w:val="both"/>
        <w:rPr>
          <w:rFonts w:ascii="Garamond" w:hAnsi="Garamond"/>
          <w:b/>
          <w:sz w:val="24"/>
          <w:szCs w:val="24"/>
        </w:rPr>
      </w:pPr>
      <w:r>
        <w:rPr>
          <w:rFonts w:ascii="Garamond" w:hAnsi="Garamond"/>
          <w:b/>
          <w:sz w:val="24"/>
          <w:szCs w:val="24"/>
        </w:rPr>
        <w:t>5.1.2 The Domino Effect</w:t>
      </w:r>
    </w:p>
    <w:p w14:paraId="1D475AEF" w14:textId="6FEBAD0A" w:rsidR="003A0C25" w:rsidRDefault="00E74EDE" w:rsidP="00950955">
      <w:pPr>
        <w:spacing w:line="240" w:lineRule="auto"/>
        <w:jc w:val="both"/>
        <w:rPr>
          <w:rFonts w:ascii="Garamond" w:hAnsi="Garamond"/>
          <w:sz w:val="24"/>
          <w:szCs w:val="24"/>
        </w:rPr>
      </w:pPr>
      <w:r>
        <w:rPr>
          <w:rFonts w:ascii="Garamond" w:hAnsi="Garamond"/>
          <w:sz w:val="24"/>
          <w:szCs w:val="24"/>
        </w:rPr>
        <w:t>T</w:t>
      </w:r>
      <w:r w:rsidR="002A177D">
        <w:rPr>
          <w:rFonts w:ascii="Garamond" w:hAnsi="Garamond"/>
          <w:sz w:val="24"/>
          <w:szCs w:val="24"/>
        </w:rPr>
        <w:t xml:space="preserve">he </w:t>
      </w:r>
      <w:r w:rsidR="0026418C">
        <w:rPr>
          <w:rFonts w:ascii="Garamond" w:hAnsi="Garamond"/>
          <w:sz w:val="24"/>
          <w:szCs w:val="24"/>
        </w:rPr>
        <w:t xml:space="preserve">CoE </w:t>
      </w:r>
      <w:r w:rsidR="002A177D">
        <w:rPr>
          <w:rFonts w:ascii="Garamond" w:hAnsi="Garamond"/>
          <w:sz w:val="24"/>
          <w:szCs w:val="24"/>
        </w:rPr>
        <w:t xml:space="preserve">should consider if expulsion </w:t>
      </w:r>
      <w:r w:rsidR="00705CB4">
        <w:rPr>
          <w:rFonts w:ascii="Garamond" w:hAnsi="Garamond"/>
          <w:sz w:val="24"/>
          <w:szCs w:val="24"/>
        </w:rPr>
        <w:t xml:space="preserve">would </w:t>
      </w:r>
      <w:r w:rsidR="002A177D">
        <w:rPr>
          <w:rFonts w:ascii="Garamond" w:hAnsi="Garamond"/>
          <w:sz w:val="24"/>
          <w:szCs w:val="24"/>
        </w:rPr>
        <w:t xml:space="preserve">lead to other </w:t>
      </w:r>
      <w:r w:rsidR="00AA264D">
        <w:rPr>
          <w:rFonts w:ascii="Garamond" w:hAnsi="Garamond"/>
          <w:sz w:val="24"/>
          <w:szCs w:val="24"/>
        </w:rPr>
        <w:t>member state</w:t>
      </w:r>
      <w:r w:rsidR="002A177D">
        <w:rPr>
          <w:rFonts w:ascii="Garamond" w:hAnsi="Garamond"/>
          <w:sz w:val="24"/>
          <w:szCs w:val="24"/>
        </w:rPr>
        <w:t>s leaving the organisation</w:t>
      </w:r>
      <w:r w:rsidR="00ED3D60">
        <w:rPr>
          <w:rFonts w:ascii="Garamond" w:hAnsi="Garamond"/>
          <w:sz w:val="24"/>
          <w:szCs w:val="24"/>
        </w:rPr>
        <w:t xml:space="preserve">. </w:t>
      </w:r>
      <w:r w:rsidR="002A177D">
        <w:rPr>
          <w:rFonts w:ascii="Garamond" w:hAnsi="Garamond"/>
          <w:sz w:val="24"/>
          <w:szCs w:val="24"/>
        </w:rPr>
        <w:t xml:space="preserve">An organisation that is concerned about its self-preservation </w:t>
      </w:r>
      <w:r w:rsidR="003A0C25">
        <w:rPr>
          <w:rFonts w:ascii="Garamond" w:hAnsi="Garamond"/>
          <w:sz w:val="24"/>
          <w:szCs w:val="24"/>
        </w:rPr>
        <w:t>should</w:t>
      </w:r>
      <w:r w:rsidR="00CE0003">
        <w:rPr>
          <w:rFonts w:ascii="Garamond" w:hAnsi="Garamond"/>
          <w:sz w:val="24"/>
          <w:szCs w:val="24"/>
        </w:rPr>
        <w:t xml:space="preserve"> </w:t>
      </w:r>
      <w:r w:rsidR="003A0C25">
        <w:rPr>
          <w:rFonts w:ascii="Garamond" w:hAnsi="Garamond"/>
          <w:sz w:val="24"/>
          <w:szCs w:val="24"/>
        </w:rPr>
        <w:t>take into account</w:t>
      </w:r>
      <w:r w:rsidR="002A177D">
        <w:rPr>
          <w:rFonts w:ascii="Garamond" w:hAnsi="Garamond"/>
          <w:sz w:val="24"/>
          <w:szCs w:val="24"/>
        </w:rPr>
        <w:t xml:space="preserve"> that if one </w:t>
      </w:r>
      <w:r w:rsidR="00AA264D">
        <w:rPr>
          <w:rFonts w:ascii="Garamond" w:hAnsi="Garamond"/>
          <w:sz w:val="24"/>
          <w:szCs w:val="24"/>
        </w:rPr>
        <w:t>member state</w:t>
      </w:r>
      <w:r w:rsidR="002A177D">
        <w:rPr>
          <w:rFonts w:ascii="Garamond" w:hAnsi="Garamond"/>
          <w:sz w:val="24"/>
          <w:szCs w:val="24"/>
        </w:rPr>
        <w:t xml:space="preserve"> leaves or is expelled then </w:t>
      </w:r>
      <w:r w:rsidR="00CF3F50">
        <w:rPr>
          <w:rFonts w:ascii="Garamond" w:hAnsi="Garamond"/>
          <w:sz w:val="24"/>
          <w:szCs w:val="24"/>
        </w:rPr>
        <w:t>this</w:t>
      </w:r>
      <w:r w:rsidR="002A177D">
        <w:rPr>
          <w:rFonts w:ascii="Garamond" w:hAnsi="Garamond"/>
          <w:sz w:val="24"/>
          <w:szCs w:val="24"/>
        </w:rPr>
        <w:t xml:space="preserve"> </w:t>
      </w:r>
      <w:r w:rsidR="003A0C25">
        <w:rPr>
          <w:rFonts w:ascii="Garamond" w:hAnsi="Garamond"/>
          <w:sz w:val="24"/>
          <w:szCs w:val="24"/>
        </w:rPr>
        <w:t>might</w:t>
      </w:r>
      <w:r w:rsidR="002A177D">
        <w:rPr>
          <w:rFonts w:ascii="Garamond" w:hAnsi="Garamond"/>
          <w:sz w:val="24"/>
          <w:szCs w:val="24"/>
        </w:rPr>
        <w:t xml:space="preserve"> create an incentive for other countries to do the same. Although, this is an intuitively appealing argument</w:t>
      </w:r>
      <w:r w:rsidR="003A0C25">
        <w:rPr>
          <w:rFonts w:ascii="Garamond" w:hAnsi="Garamond"/>
          <w:sz w:val="24"/>
          <w:szCs w:val="24"/>
        </w:rPr>
        <w:t>,</w:t>
      </w:r>
      <w:r w:rsidR="00CE0003">
        <w:rPr>
          <w:rFonts w:ascii="Garamond" w:hAnsi="Garamond"/>
          <w:sz w:val="24"/>
          <w:szCs w:val="24"/>
        </w:rPr>
        <w:t xml:space="preserve"> </w:t>
      </w:r>
      <w:r w:rsidR="00B606D2">
        <w:rPr>
          <w:rFonts w:ascii="Garamond" w:hAnsi="Garamond"/>
          <w:sz w:val="24"/>
          <w:szCs w:val="24"/>
        </w:rPr>
        <w:t xml:space="preserve">the </w:t>
      </w:r>
      <w:r w:rsidR="00173D8A">
        <w:rPr>
          <w:rFonts w:ascii="Garamond" w:hAnsi="Garamond"/>
          <w:sz w:val="24"/>
          <w:szCs w:val="24"/>
        </w:rPr>
        <w:t>history</w:t>
      </w:r>
      <w:r w:rsidR="008363A0">
        <w:rPr>
          <w:rFonts w:ascii="Garamond" w:hAnsi="Garamond"/>
          <w:sz w:val="24"/>
          <w:szCs w:val="24"/>
        </w:rPr>
        <w:t xml:space="preserve"> </w:t>
      </w:r>
      <w:r w:rsidR="002A177D">
        <w:rPr>
          <w:rFonts w:ascii="Garamond" w:hAnsi="Garamond"/>
          <w:sz w:val="24"/>
          <w:szCs w:val="24"/>
        </w:rPr>
        <w:t>of international organisations does not</w:t>
      </w:r>
      <w:r w:rsidR="00822AF1">
        <w:rPr>
          <w:rFonts w:ascii="Garamond" w:hAnsi="Garamond"/>
          <w:sz w:val="24"/>
          <w:szCs w:val="24"/>
        </w:rPr>
        <w:t xml:space="preserve"> necessarily</w:t>
      </w:r>
      <w:r w:rsidR="002A177D">
        <w:rPr>
          <w:rFonts w:ascii="Garamond" w:hAnsi="Garamond"/>
          <w:sz w:val="24"/>
          <w:szCs w:val="24"/>
        </w:rPr>
        <w:t xml:space="preserve"> support it. The </w:t>
      </w:r>
      <w:r w:rsidR="0026418C">
        <w:rPr>
          <w:rFonts w:ascii="Garamond" w:hAnsi="Garamond"/>
          <w:sz w:val="24"/>
          <w:szCs w:val="24"/>
        </w:rPr>
        <w:t xml:space="preserve">CoE </w:t>
      </w:r>
      <w:r w:rsidR="00B606D2">
        <w:rPr>
          <w:rFonts w:ascii="Garamond" w:hAnsi="Garamond"/>
          <w:sz w:val="24"/>
          <w:szCs w:val="24"/>
        </w:rPr>
        <w:t>did</w:t>
      </w:r>
      <w:r w:rsidR="002A177D">
        <w:rPr>
          <w:rFonts w:ascii="Garamond" w:hAnsi="Garamond"/>
          <w:sz w:val="24"/>
          <w:szCs w:val="24"/>
        </w:rPr>
        <w:t xml:space="preserve"> not </w:t>
      </w:r>
      <w:r w:rsidR="008363A0">
        <w:rPr>
          <w:rFonts w:ascii="Garamond" w:hAnsi="Garamond"/>
          <w:sz w:val="24"/>
          <w:szCs w:val="24"/>
        </w:rPr>
        <w:t xml:space="preserve">fall </w:t>
      </w:r>
      <w:r w:rsidR="002A177D">
        <w:rPr>
          <w:rFonts w:ascii="Garamond" w:hAnsi="Garamond"/>
          <w:sz w:val="24"/>
          <w:szCs w:val="24"/>
        </w:rPr>
        <w:t xml:space="preserve">when Greece left it in the 60s. </w:t>
      </w:r>
      <w:r w:rsidR="002A177D" w:rsidRPr="00673A8D">
        <w:rPr>
          <w:rFonts w:ascii="Garamond" w:hAnsi="Garamond"/>
          <w:sz w:val="24"/>
          <w:szCs w:val="24"/>
        </w:rPr>
        <w:t>In America</w:t>
      </w:r>
      <w:r w:rsidR="008363A0">
        <w:rPr>
          <w:rFonts w:ascii="Garamond" w:hAnsi="Garamond"/>
          <w:sz w:val="24"/>
          <w:szCs w:val="24"/>
        </w:rPr>
        <w:t>,</w:t>
      </w:r>
      <w:r w:rsidR="002A177D" w:rsidRPr="00673A8D">
        <w:rPr>
          <w:rFonts w:ascii="Garamond" w:hAnsi="Garamond"/>
          <w:sz w:val="24"/>
          <w:szCs w:val="24"/>
        </w:rPr>
        <w:t xml:space="preserve"> Trinidad and Tobago and Venezuela – countries with significant problems in the area of human rights – have denounced the Amer</w:t>
      </w:r>
      <w:r w:rsidR="002A177D">
        <w:rPr>
          <w:rFonts w:ascii="Garamond" w:hAnsi="Garamond"/>
          <w:sz w:val="24"/>
          <w:szCs w:val="24"/>
        </w:rPr>
        <w:t>ican Convention on Human Rights</w:t>
      </w:r>
      <w:r w:rsidR="002A177D" w:rsidRPr="00673A8D">
        <w:rPr>
          <w:rStyle w:val="FootnoteReference"/>
          <w:rFonts w:ascii="Garamond" w:hAnsi="Garamond"/>
          <w:sz w:val="24"/>
          <w:szCs w:val="24"/>
        </w:rPr>
        <w:footnoteReference w:id="117"/>
      </w:r>
      <w:r w:rsidR="002A177D">
        <w:rPr>
          <w:rFonts w:ascii="Garamond" w:hAnsi="Garamond"/>
          <w:sz w:val="24"/>
          <w:szCs w:val="24"/>
        </w:rPr>
        <w:t xml:space="preserve"> and the Inter-American Court of Human Rights continued its existence. A number of states withdrew from the United Nations Industrial Development Organization and it is still in full operation.</w:t>
      </w:r>
      <w:r w:rsidR="002A177D">
        <w:rPr>
          <w:rStyle w:val="FootnoteReference"/>
          <w:rFonts w:ascii="Garamond" w:hAnsi="Garamond"/>
          <w:sz w:val="24"/>
          <w:szCs w:val="24"/>
        </w:rPr>
        <w:footnoteReference w:id="118"/>
      </w:r>
    </w:p>
    <w:p w14:paraId="55784C41" w14:textId="72F6F472" w:rsidR="00950955" w:rsidRDefault="00425945" w:rsidP="0014413C">
      <w:pPr>
        <w:spacing w:line="240" w:lineRule="auto"/>
        <w:jc w:val="both"/>
        <w:rPr>
          <w:rFonts w:ascii="Garamond" w:hAnsi="Garamond"/>
          <w:sz w:val="24"/>
          <w:szCs w:val="24"/>
        </w:rPr>
      </w:pPr>
      <w:r>
        <w:rPr>
          <w:rFonts w:ascii="Garamond" w:hAnsi="Garamond"/>
          <w:sz w:val="24"/>
          <w:szCs w:val="24"/>
        </w:rPr>
        <w:t>Based on</w:t>
      </w:r>
      <w:r w:rsidR="0014413C">
        <w:rPr>
          <w:rFonts w:ascii="Garamond" w:hAnsi="Garamond"/>
          <w:sz w:val="24"/>
          <w:szCs w:val="24"/>
        </w:rPr>
        <w:t xml:space="preserve"> the</w:t>
      </w:r>
      <w:r>
        <w:rPr>
          <w:rFonts w:ascii="Garamond" w:hAnsi="Garamond"/>
          <w:sz w:val="24"/>
          <w:szCs w:val="24"/>
        </w:rPr>
        <w:t>se</w:t>
      </w:r>
      <w:r w:rsidR="0014413C">
        <w:rPr>
          <w:rFonts w:ascii="Garamond" w:hAnsi="Garamond"/>
          <w:sz w:val="24"/>
          <w:szCs w:val="24"/>
        </w:rPr>
        <w:t xml:space="preserve"> historical examples there are three types of scenarios when expulsion can threaten the existence of an international organisation. </w:t>
      </w:r>
      <w:r w:rsidR="0014413C" w:rsidRPr="009E79F1">
        <w:rPr>
          <w:rFonts w:ascii="Garamond" w:hAnsi="Garamond"/>
          <w:sz w:val="24"/>
          <w:szCs w:val="24"/>
        </w:rPr>
        <w:t>First</w:t>
      </w:r>
      <w:r w:rsidR="0014413C">
        <w:rPr>
          <w:rFonts w:ascii="Garamond" w:hAnsi="Garamond"/>
          <w:sz w:val="24"/>
          <w:szCs w:val="24"/>
        </w:rPr>
        <w:t xml:space="preserve">, </w:t>
      </w:r>
      <w:r w:rsidR="00085972">
        <w:rPr>
          <w:rFonts w:ascii="Garamond" w:hAnsi="Garamond"/>
          <w:sz w:val="24"/>
          <w:szCs w:val="24"/>
        </w:rPr>
        <w:t xml:space="preserve">a </w:t>
      </w:r>
      <w:r w:rsidR="0014413C">
        <w:rPr>
          <w:rFonts w:ascii="Garamond" w:hAnsi="Garamond"/>
          <w:sz w:val="24"/>
          <w:szCs w:val="24"/>
        </w:rPr>
        <w:t xml:space="preserve">domino effect is perhaps possible if there is a growing dissatisfaction with the organisation among a large number of its </w:t>
      </w:r>
      <w:r w:rsidR="00AA264D">
        <w:rPr>
          <w:rFonts w:ascii="Garamond" w:hAnsi="Garamond"/>
          <w:sz w:val="24"/>
          <w:szCs w:val="24"/>
        </w:rPr>
        <w:t>member state</w:t>
      </w:r>
      <w:r w:rsidR="001935F3">
        <w:rPr>
          <w:rFonts w:ascii="Garamond" w:hAnsi="Garamond"/>
          <w:sz w:val="24"/>
          <w:szCs w:val="24"/>
        </w:rPr>
        <w:t>s</w:t>
      </w:r>
      <w:r w:rsidR="0014413C">
        <w:rPr>
          <w:rFonts w:ascii="Garamond" w:hAnsi="Garamond"/>
          <w:sz w:val="24"/>
          <w:szCs w:val="24"/>
        </w:rPr>
        <w:t>. For example, the failure of the League of Nations to prevent the outbreak of the Second World War meant that it was replaced by the United Nations after the cessation of hostilities.</w:t>
      </w:r>
      <w:r w:rsidR="00CE0003">
        <w:rPr>
          <w:rFonts w:ascii="Garamond" w:hAnsi="Garamond"/>
          <w:sz w:val="24"/>
          <w:szCs w:val="24"/>
        </w:rPr>
        <w:t xml:space="preserve"> </w:t>
      </w:r>
      <w:r w:rsidR="006047DF">
        <w:rPr>
          <w:rFonts w:ascii="Garamond" w:hAnsi="Garamond"/>
          <w:sz w:val="24"/>
          <w:szCs w:val="24"/>
        </w:rPr>
        <w:t xml:space="preserve">The second </w:t>
      </w:r>
      <w:r w:rsidR="006047DF">
        <w:rPr>
          <w:rFonts w:ascii="Garamond" w:hAnsi="Garamond"/>
          <w:sz w:val="24"/>
          <w:szCs w:val="24"/>
        </w:rPr>
        <w:lastRenderedPageBreak/>
        <w:t xml:space="preserve">scenario </w:t>
      </w:r>
      <w:r w:rsidR="00295824">
        <w:rPr>
          <w:rFonts w:ascii="Garamond" w:hAnsi="Garamond"/>
          <w:sz w:val="24"/>
          <w:szCs w:val="24"/>
        </w:rPr>
        <w:t>takes place</w:t>
      </w:r>
      <w:r w:rsidR="006047DF">
        <w:rPr>
          <w:rFonts w:ascii="Garamond" w:hAnsi="Garamond"/>
          <w:sz w:val="24"/>
          <w:szCs w:val="24"/>
        </w:rPr>
        <w:t xml:space="preserve"> when </w:t>
      </w:r>
      <w:r w:rsidR="009621C3">
        <w:rPr>
          <w:rFonts w:ascii="Garamond" w:hAnsi="Garamond"/>
          <w:sz w:val="24"/>
          <w:szCs w:val="24"/>
        </w:rPr>
        <w:t xml:space="preserve">a </w:t>
      </w:r>
      <w:r w:rsidR="00AA264D">
        <w:rPr>
          <w:rFonts w:ascii="Garamond" w:hAnsi="Garamond"/>
          <w:sz w:val="24"/>
          <w:szCs w:val="24"/>
        </w:rPr>
        <w:t>member state</w:t>
      </w:r>
      <w:r w:rsidR="009621C3">
        <w:rPr>
          <w:rFonts w:ascii="Garamond" w:hAnsi="Garamond"/>
          <w:sz w:val="24"/>
          <w:szCs w:val="24"/>
        </w:rPr>
        <w:t xml:space="preserve"> which is</w:t>
      </w:r>
      <w:r w:rsidR="002A177D">
        <w:rPr>
          <w:rFonts w:ascii="Garamond" w:hAnsi="Garamond"/>
          <w:sz w:val="24"/>
          <w:szCs w:val="24"/>
        </w:rPr>
        <w:t xml:space="preserve"> dominant in </w:t>
      </w:r>
      <w:r w:rsidR="006047DF">
        <w:rPr>
          <w:rFonts w:ascii="Garamond" w:hAnsi="Garamond"/>
          <w:sz w:val="24"/>
          <w:szCs w:val="24"/>
        </w:rPr>
        <w:t>a particular</w:t>
      </w:r>
      <w:r w:rsidR="002A177D">
        <w:rPr>
          <w:rFonts w:ascii="Garamond" w:hAnsi="Garamond"/>
          <w:sz w:val="24"/>
          <w:szCs w:val="24"/>
        </w:rPr>
        <w:t xml:space="preserve"> organisation</w:t>
      </w:r>
      <w:r w:rsidR="006047DF">
        <w:rPr>
          <w:rFonts w:ascii="Garamond" w:hAnsi="Garamond"/>
          <w:sz w:val="24"/>
          <w:szCs w:val="24"/>
        </w:rPr>
        <w:t xml:space="preserve"> withdraws</w:t>
      </w:r>
      <w:r w:rsidR="002A177D">
        <w:rPr>
          <w:rFonts w:ascii="Garamond" w:hAnsi="Garamond"/>
          <w:sz w:val="24"/>
          <w:szCs w:val="24"/>
        </w:rPr>
        <w:t xml:space="preserve">. </w:t>
      </w:r>
      <w:r w:rsidR="00295824">
        <w:rPr>
          <w:rFonts w:ascii="Garamond" w:hAnsi="Garamond"/>
          <w:sz w:val="24"/>
          <w:szCs w:val="24"/>
        </w:rPr>
        <w:t xml:space="preserve">In this situation an international organisation is likely to </w:t>
      </w:r>
      <w:r w:rsidR="003B775D">
        <w:rPr>
          <w:rFonts w:ascii="Garamond" w:hAnsi="Garamond"/>
          <w:sz w:val="24"/>
          <w:szCs w:val="24"/>
        </w:rPr>
        <w:t>collapse</w:t>
      </w:r>
      <w:r w:rsidR="00295824">
        <w:rPr>
          <w:rFonts w:ascii="Garamond" w:hAnsi="Garamond"/>
          <w:sz w:val="24"/>
          <w:szCs w:val="24"/>
        </w:rPr>
        <w:t xml:space="preserve"> as a result. For example, t</w:t>
      </w:r>
      <w:r w:rsidR="006047DF">
        <w:rPr>
          <w:rFonts w:ascii="Garamond" w:hAnsi="Garamond"/>
          <w:sz w:val="24"/>
          <w:szCs w:val="24"/>
        </w:rPr>
        <w:t>he w</w:t>
      </w:r>
      <w:r w:rsidR="002A177D">
        <w:rPr>
          <w:rFonts w:ascii="Garamond" w:hAnsi="Garamond"/>
          <w:sz w:val="24"/>
          <w:szCs w:val="24"/>
        </w:rPr>
        <w:t>ithdrawal of th</w:t>
      </w:r>
      <w:r w:rsidR="006047DF">
        <w:rPr>
          <w:rFonts w:ascii="Garamond" w:hAnsi="Garamond"/>
          <w:sz w:val="24"/>
          <w:szCs w:val="24"/>
        </w:rPr>
        <w:t>e Soviet Union from the Warsaw P</w:t>
      </w:r>
      <w:r w:rsidR="002A177D">
        <w:rPr>
          <w:rFonts w:ascii="Garamond" w:hAnsi="Garamond"/>
          <w:sz w:val="24"/>
          <w:szCs w:val="24"/>
        </w:rPr>
        <w:t xml:space="preserve">act signified </w:t>
      </w:r>
      <w:r w:rsidR="003B775D">
        <w:rPr>
          <w:rFonts w:ascii="Garamond" w:hAnsi="Garamond"/>
          <w:sz w:val="24"/>
          <w:szCs w:val="24"/>
        </w:rPr>
        <w:t>the effective end</w:t>
      </w:r>
      <w:r w:rsidR="002A177D">
        <w:rPr>
          <w:rFonts w:ascii="Garamond" w:hAnsi="Garamond"/>
          <w:sz w:val="24"/>
          <w:szCs w:val="24"/>
        </w:rPr>
        <w:t xml:space="preserve"> of this organisation.</w:t>
      </w:r>
      <w:r w:rsidR="006047DF">
        <w:rPr>
          <w:rStyle w:val="FootnoteReference"/>
          <w:rFonts w:ascii="Garamond" w:hAnsi="Garamond"/>
          <w:sz w:val="24"/>
          <w:szCs w:val="24"/>
        </w:rPr>
        <w:footnoteReference w:id="119"/>
      </w:r>
      <w:r w:rsidR="002A177D">
        <w:rPr>
          <w:rFonts w:ascii="Garamond" w:hAnsi="Garamond"/>
          <w:sz w:val="24"/>
          <w:szCs w:val="24"/>
        </w:rPr>
        <w:t xml:space="preserve"> Finally, a collapse of an organisation would be imminent if it only consists of two state</w:t>
      </w:r>
      <w:r w:rsidR="006047DF">
        <w:rPr>
          <w:rFonts w:ascii="Garamond" w:hAnsi="Garamond"/>
          <w:sz w:val="24"/>
          <w:szCs w:val="24"/>
        </w:rPr>
        <w:t>s</w:t>
      </w:r>
      <w:r w:rsidR="002A177D">
        <w:rPr>
          <w:rFonts w:ascii="Garamond" w:hAnsi="Garamond"/>
          <w:sz w:val="24"/>
          <w:szCs w:val="24"/>
        </w:rPr>
        <w:t xml:space="preserve"> parties and one of them decides to withdraw.</w:t>
      </w:r>
      <w:r w:rsidR="002A177D">
        <w:rPr>
          <w:rStyle w:val="FootnoteReference"/>
          <w:rFonts w:ascii="Garamond" w:hAnsi="Garamond"/>
          <w:sz w:val="24"/>
          <w:szCs w:val="24"/>
        </w:rPr>
        <w:footnoteReference w:id="120"/>
      </w:r>
      <w:r w:rsidR="002A177D">
        <w:rPr>
          <w:rFonts w:ascii="Garamond" w:hAnsi="Garamond"/>
          <w:sz w:val="24"/>
          <w:szCs w:val="24"/>
        </w:rPr>
        <w:t xml:space="preserve"> </w:t>
      </w:r>
      <w:r>
        <w:rPr>
          <w:rFonts w:ascii="Garamond" w:hAnsi="Garamond"/>
          <w:sz w:val="24"/>
          <w:szCs w:val="24"/>
        </w:rPr>
        <w:t>N</w:t>
      </w:r>
      <w:r w:rsidR="002A177D">
        <w:rPr>
          <w:rFonts w:ascii="Garamond" w:hAnsi="Garamond"/>
          <w:sz w:val="24"/>
          <w:szCs w:val="24"/>
        </w:rPr>
        <w:t>one of these</w:t>
      </w:r>
      <w:r w:rsidR="006047DF">
        <w:rPr>
          <w:rFonts w:ascii="Garamond" w:hAnsi="Garamond"/>
          <w:sz w:val="24"/>
          <w:szCs w:val="24"/>
        </w:rPr>
        <w:t xml:space="preserve"> scenarios</w:t>
      </w:r>
      <w:r w:rsidR="00CE0003">
        <w:rPr>
          <w:rFonts w:ascii="Garamond" w:hAnsi="Garamond"/>
          <w:sz w:val="24"/>
          <w:szCs w:val="24"/>
        </w:rPr>
        <w:t xml:space="preserve"> </w:t>
      </w:r>
      <w:r w:rsidR="00F3215B">
        <w:rPr>
          <w:rFonts w:ascii="Garamond" w:hAnsi="Garamond"/>
          <w:sz w:val="24"/>
          <w:szCs w:val="24"/>
        </w:rPr>
        <w:t>is applicable</w:t>
      </w:r>
      <w:r w:rsidR="002A177D">
        <w:rPr>
          <w:rFonts w:ascii="Garamond" w:hAnsi="Garamond"/>
          <w:sz w:val="24"/>
          <w:szCs w:val="24"/>
        </w:rPr>
        <w:t xml:space="preserve"> to the </w:t>
      </w:r>
      <w:r w:rsidR="008363A0">
        <w:rPr>
          <w:rFonts w:ascii="Garamond" w:hAnsi="Garamond"/>
          <w:sz w:val="24"/>
          <w:szCs w:val="24"/>
        </w:rPr>
        <w:t>CoE</w:t>
      </w:r>
      <w:r w:rsidR="002A177D">
        <w:rPr>
          <w:rFonts w:ascii="Garamond" w:hAnsi="Garamond"/>
          <w:sz w:val="24"/>
          <w:szCs w:val="24"/>
        </w:rPr>
        <w:t xml:space="preserve">. There is no dominant member that can destroy the organisation. It is made of 47 member states and </w:t>
      </w:r>
      <w:r>
        <w:rPr>
          <w:rFonts w:ascii="Garamond" w:hAnsi="Garamond"/>
          <w:sz w:val="24"/>
          <w:szCs w:val="24"/>
        </w:rPr>
        <w:t xml:space="preserve">the </w:t>
      </w:r>
      <w:r w:rsidR="002A177D">
        <w:rPr>
          <w:rFonts w:ascii="Garamond" w:hAnsi="Garamond"/>
          <w:sz w:val="24"/>
          <w:szCs w:val="24"/>
        </w:rPr>
        <w:t>expulsion of one</w:t>
      </w:r>
      <w:r w:rsidR="003B775D">
        <w:rPr>
          <w:rFonts w:ascii="Garamond" w:hAnsi="Garamond"/>
          <w:sz w:val="24"/>
          <w:szCs w:val="24"/>
        </w:rPr>
        <w:t>,</w:t>
      </w:r>
      <w:r w:rsidR="002A177D">
        <w:rPr>
          <w:rFonts w:ascii="Garamond" w:hAnsi="Garamond"/>
          <w:sz w:val="24"/>
          <w:szCs w:val="24"/>
        </w:rPr>
        <w:t xml:space="preserve"> or even all</w:t>
      </w:r>
      <w:r w:rsidR="003B775D">
        <w:rPr>
          <w:rFonts w:ascii="Garamond" w:hAnsi="Garamond"/>
          <w:sz w:val="24"/>
          <w:szCs w:val="24"/>
        </w:rPr>
        <w:t>,</w:t>
      </w:r>
      <w:r w:rsidR="00CE0003">
        <w:rPr>
          <w:rFonts w:ascii="Garamond" w:hAnsi="Garamond"/>
          <w:sz w:val="24"/>
          <w:szCs w:val="24"/>
        </w:rPr>
        <w:t xml:space="preserve"> </w:t>
      </w:r>
      <w:r w:rsidR="00E71B5C">
        <w:rPr>
          <w:rFonts w:ascii="Garamond" w:hAnsi="Garamond"/>
          <w:sz w:val="24"/>
          <w:szCs w:val="24"/>
        </w:rPr>
        <w:t xml:space="preserve">of the </w:t>
      </w:r>
      <w:r w:rsidR="002A177D">
        <w:rPr>
          <w:rFonts w:ascii="Garamond" w:hAnsi="Garamond"/>
          <w:sz w:val="24"/>
          <w:szCs w:val="24"/>
        </w:rPr>
        <w:t>states</w:t>
      </w:r>
      <w:r w:rsidR="00E71B5C">
        <w:rPr>
          <w:rFonts w:ascii="Garamond" w:hAnsi="Garamond"/>
          <w:sz w:val="24"/>
          <w:szCs w:val="24"/>
        </w:rPr>
        <w:t xml:space="preserve"> which we identify in this paper</w:t>
      </w:r>
      <w:r w:rsidR="002A177D">
        <w:rPr>
          <w:rFonts w:ascii="Garamond" w:hAnsi="Garamond"/>
          <w:sz w:val="24"/>
          <w:szCs w:val="24"/>
        </w:rPr>
        <w:t xml:space="preserve"> would not signify its collapse. </w:t>
      </w:r>
      <w:r w:rsidR="0096476D">
        <w:rPr>
          <w:rFonts w:ascii="Garamond" w:hAnsi="Garamond"/>
          <w:sz w:val="24"/>
          <w:szCs w:val="24"/>
        </w:rPr>
        <w:t xml:space="preserve">The most challenging </w:t>
      </w:r>
      <w:r>
        <w:rPr>
          <w:rFonts w:ascii="Garamond" w:hAnsi="Garamond"/>
          <w:sz w:val="24"/>
          <w:szCs w:val="24"/>
        </w:rPr>
        <w:t>pretext</w:t>
      </w:r>
      <w:r w:rsidR="0096476D">
        <w:rPr>
          <w:rFonts w:ascii="Garamond" w:hAnsi="Garamond"/>
          <w:sz w:val="24"/>
          <w:szCs w:val="24"/>
        </w:rPr>
        <w:t xml:space="preserve"> for </w:t>
      </w:r>
      <w:r>
        <w:rPr>
          <w:rFonts w:ascii="Garamond" w:hAnsi="Garamond"/>
          <w:sz w:val="24"/>
          <w:szCs w:val="24"/>
        </w:rPr>
        <w:t xml:space="preserve">a </w:t>
      </w:r>
      <w:r w:rsidR="0096476D">
        <w:rPr>
          <w:rFonts w:ascii="Garamond" w:hAnsi="Garamond"/>
          <w:sz w:val="24"/>
          <w:szCs w:val="24"/>
        </w:rPr>
        <w:t xml:space="preserve">domino effect in the context of the </w:t>
      </w:r>
      <w:r w:rsidR="0026418C">
        <w:rPr>
          <w:rFonts w:ascii="Garamond" w:hAnsi="Garamond"/>
          <w:sz w:val="24"/>
          <w:szCs w:val="24"/>
        </w:rPr>
        <w:t xml:space="preserve">CoE </w:t>
      </w:r>
      <w:r>
        <w:rPr>
          <w:rFonts w:ascii="Garamond" w:hAnsi="Garamond"/>
          <w:sz w:val="24"/>
          <w:szCs w:val="24"/>
        </w:rPr>
        <w:t>would be if</w:t>
      </w:r>
      <w:r w:rsidR="0096476D">
        <w:rPr>
          <w:rFonts w:ascii="Garamond" w:hAnsi="Garamond"/>
          <w:sz w:val="24"/>
          <w:szCs w:val="24"/>
        </w:rPr>
        <w:t xml:space="preserve"> the majority of the </w:t>
      </w:r>
      <w:r w:rsidR="00AA264D">
        <w:rPr>
          <w:rFonts w:ascii="Garamond" w:hAnsi="Garamond"/>
          <w:sz w:val="24"/>
          <w:szCs w:val="24"/>
        </w:rPr>
        <w:t>member state</w:t>
      </w:r>
      <w:r w:rsidR="0096476D">
        <w:rPr>
          <w:rFonts w:ascii="Garamond" w:hAnsi="Garamond"/>
          <w:sz w:val="24"/>
          <w:szCs w:val="24"/>
        </w:rPr>
        <w:t>s are dissatisfied with it</w:t>
      </w:r>
      <w:r w:rsidR="002A177D">
        <w:rPr>
          <w:rFonts w:ascii="Garamond" w:hAnsi="Garamond"/>
          <w:sz w:val="24"/>
          <w:szCs w:val="24"/>
        </w:rPr>
        <w:t>. This is a more subjective criterion but it is unlikely that withdrawal or expulsion of a state</w:t>
      </w:r>
      <w:r w:rsidR="0096476D">
        <w:rPr>
          <w:rFonts w:ascii="Garamond" w:hAnsi="Garamond"/>
          <w:sz w:val="24"/>
          <w:szCs w:val="24"/>
        </w:rPr>
        <w:t xml:space="preserve"> from the </w:t>
      </w:r>
      <w:r w:rsidR="0026418C">
        <w:rPr>
          <w:rFonts w:ascii="Garamond" w:hAnsi="Garamond"/>
          <w:sz w:val="24"/>
          <w:szCs w:val="24"/>
        </w:rPr>
        <w:t xml:space="preserve">CoE </w:t>
      </w:r>
      <w:r w:rsidR="002A177D">
        <w:rPr>
          <w:rFonts w:ascii="Garamond" w:hAnsi="Garamond"/>
          <w:sz w:val="24"/>
          <w:szCs w:val="24"/>
        </w:rPr>
        <w:t xml:space="preserve">would trigger </w:t>
      </w:r>
      <w:r>
        <w:rPr>
          <w:rFonts w:ascii="Garamond" w:hAnsi="Garamond"/>
          <w:sz w:val="24"/>
          <w:szCs w:val="24"/>
        </w:rPr>
        <w:t xml:space="preserve">the </w:t>
      </w:r>
      <w:r w:rsidR="002A177D">
        <w:rPr>
          <w:rFonts w:ascii="Garamond" w:hAnsi="Garamond"/>
          <w:sz w:val="24"/>
          <w:szCs w:val="24"/>
        </w:rPr>
        <w:t xml:space="preserve">withdrawal of those states that express commitments to human rights, democracy and </w:t>
      </w:r>
      <w:r w:rsidR="00705CB4">
        <w:rPr>
          <w:rFonts w:ascii="Garamond" w:hAnsi="Garamond"/>
          <w:sz w:val="24"/>
          <w:szCs w:val="24"/>
        </w:rPr>
        <w:t xml:space="preserve">the </w:t>
      </w:r>
      <w:r w:rsidR="002A177D">
        <w:rPr>
          <w:rFonts w:ascii="Garamond" w:hAnsi="Garamond"/>
          <w:sz w:val="24"/>
          <w:szCs w:val="24"/>
        </w:rPr>
        <w:t>rule of law</w:t>
      </w:r>
      <w:r w:rsidR="0096476D">
        <w:rPr>
          <w:rFonts w:ascii="Garamond" w:hAnsi="Garamond"/>
          <w:sz w:val="24"/>
          <w:szCs w:val="24"/>
        </w:rPr>
        <w:t xml:space="preserve"> even if they are also not fully satisfied with the activities of the Council</w:t>
      </w:r>
      <w:r w:rsidR="002A177D">
        <w:rPr>
          <w:rFonts w:ascii="Garamond" w:hAnsi="Garamond"/>
          <w:sz w:val="24"/>
          <w:szCs w:val="24"/>
        </w:rPr>
        <w:t xml:space="preserve">. In other words, </w:t>
      </w:r>
      <w:r w:rsidR="00E43A37">
        <w:rPr>
          <w:rFonts w:ascii="Garamond" w:hAnsi="Garamond"/>
          <w:sz w:val="24"/>
          <w:szCs w:val="24"/>
        </w:rPr>
        <w:t xml:space="preserve">hypothetically </w:t>
      </w:r>
      <w:r w:rsidR="002A177D">
        <w:rPr>
          <w:rFonts w:ascii="Garamond" w:hAnsi="Garamond"/>
          <w:sz w:val="24"/>
          <w:szCs w:val="24"/>
        </w:rPr>
        <w:t xml:space="preserve">it is unlikely that Turkey’s expulsion would trigger </w:t>
      </w:r>
      <w:r w:rsidR="003B775D">
        <w:rPr>
          <w:rFonts w:ascii="Garamond" w:hAnsi="Garamond"/>
          <w:sz w:val="24"/>
          <w:szCs w:val="24"/>
        </w:rPr>
        <w:t xml:space="preserve">the </w:t>
      </w:r>
      <w:r w:rsidR="002A177D">
        <w:rPr>
          <w:rFonts w:ascii="Garamond" w:hAnsi="Garamond"/>
          <w:sz w:val="24"/>
          <w:szCs w:val="24"/>
        </w:rPr>
        <w:t>withdrawal of</w:t>
      </w:r>
      <w:r w:rsidR="003B775D">
        <w:rPr>
          <w:rFonts w:ascii="Garamond" w:hAnsi="Garamond"/>
          <w:sz w:val="24"/>
          <w:szCs w:val="24"/>
        </w:rPr>
        <w:t>, say,</w:t>
      </w:r>
      <w:r w:rsidR="00CE0003">
        <w:rPr>
          <w:rFonts w:ascii="Garamond" w:hAnsi="Garamond"/>
          <w:sz w:val="24"/>
          <w:szCs w:val="24"/>
        </w:rPr>
        <w:t xml:space="preserve"> </w:t>
      </w:r>
      <w:r w:rsidR="003B775D">
        <w:rPr>
          <w:rFonts w:ascii="Garamond" w:hAnsi="Garamond"/>
          <w:sz w:val="24"/>
          <w:szCs w:val="24"/>
        </w:rPr>
        <w:t>Germany or France</w:t>
      </w:r>
      <w:r w:rsidR="002A177D">
        <w:rPr>
          <w:rFonts w:ascii="Garamond" w:hAnsi="Garamond"/>
          <w:sz w:val="24"/>
          <w:szCs w:val="24"/>
        </w:rPr>
        <w:t>.</w:t>
      </w:r>
    </w:p>
    <w:p w14:paraId="031233C2" w14:textId="3F5A3B2A" w:rsidR="00822AF1" w:rsidRDefault="003B690D" w:rsidP="00950955">
      <w:pPr>
        <w:spacing w:line="240" w:lineRule="auto"/>
        <w:jc w:val="both"/>
        <w:rPr>
          <w:rFonts w:ascii="Garamond" w:hAnsi="Garamond"/>
          <w:sz w:val="24"/>
          <w:szCs w:val="24"/>
        </w:rPr>
      </w:pPr>
      <w:r>
        <w:rPr>
          <w:rFonts w:ascii="Garamond" w:hAnsi="Garamond"/>
          <w:sz w:val="24"/>
          <w:szCs w:val="24"/>
        </w:rPr>
        <w:t>Despite the fact that a mass exodus of the member states is unlikely</w:t>
      </w:r>
      <w:r w:rsidR="00822AF1">
        <w:rPr>
          <w:rFonts w:ascii="Garamond" w:hAnsi="Garamond"/>
          <w:sz w:val="24"/>
          <w:szCs w:val="24"/>
        </w:rPr>
        <w:t xml:space="preserve">, </w:t>
      </w:r>
      <w:r w:rsidR="0096476D">
        <w:rPr>
          <w:rFonts w:ascii="Garamond" w:hAnsi="Garamond"/>
          <w:sz w:val="24"/>
          <w:szCs w:val="24"/>
        </w:rPr>
        <w:t xml:space="preserve">the </w:t>
      </w:r>
      <w:r w:rsidR="0026418C">
        <w:rPr>
          <w:rFonts w:ascii="Garamond" w:hAnsi="Garamond"/>
          <w:sz w:val="24"/>
          <w:szCs w:val="24"/>
        </w:rPr>
        <w:t xml:space="preserve">CoE </w:t>
      </w:r>
      <w:r w:rsidR="00E43A37">
        <w:rPr>
          <w:rFonts w:ascii="Garamond" w:hAnsi="Garamond"/>
          <w:sz w:val="24"/>
          <w:szCs w:val="24"/>
        </w:rPr>
        <w:t xml:space="preserve">statutory bodies </w:t>
      </w:r>
      <w:r w:rsidR="0096476D">
        <w:rPr>
          <w:rFonts w:ascii="Garamond" w:hAnsi="Garamond"/>
          <w:sz w:val="24"/>
          <w:szCs w:val="24"/>
        </w:rPr>
        <w:t xml:space="preserve">should take into </w:t>
      </w:r>
      <w:r w:rsidR="00173D8A">
        <w:rPr>
          <w:rFonts w:ascii="Garamond" w:hAnsi="Garamond"/>
          <w:sz w:val="24"/>
          <w:szCs w:val="24"/>
        </w:rPr>
        <w:t>consideration</w:t>
      </w:r>
      <w:r w:rsidR="0096476D">
        <w:rPr>
          <w:rFonts w:ascii="Garamond" w:hAnsi="Garamond"/>
          <w:sz w:val="24"/>
          <w:szCs w:val="24"/>
        </w:rPr>
        <w:t xml:space="preserve"> how expulsion will influence its further relation with the remaining </w:t>
      </w:r>
      <w:r w:rsidR="00AA264D">
        <w:rPr>
          <w:rFonts w:ascii="Garamond" w:hAnsi="Garamond"/>
          <w:sz w:val="24"/>
          <w:szCs w:val="24"/>
        </w:rPr>
        <w:t>member state</w:t>
      </w:r>
      <w:r w:rsidR="0096476D">
        <w:rPr>
          <w:rFonts w:ascii="Garamond" w:hAnsi="Garamond"/>
          <w:sz w:val="24"/>
          <w:szCs w:val="24"/>
        </w:rPr>
        <w:t xml:space="preserve">s, potential members, states worldwide and other international organisations. </w:t>
      </w:r>
      <w:r w:rsidR="00822AF1" w:rsidRPr="009A1694">
        <w:rPr>
          <w:rFonts w:ascii="Garamond" w:hAnsi="Garamond"/>
          <w:sz w:val="24"/>
          <w:szCs w:val="24"/>
        </w:rPr>
        <w:t>The risk with expulsion of a member from an international organi</w:t>
      </w:r>
      <w:r w:rsidR="00822AF1">
        <w:rPr>
          <w:rFonts w:ascii="Garamond" w:hAnsi="Garamond"/>
          <w:sz w:val="24"/>
          <w:szCs w:val="24"/>
        </w:rPr>
        <w:t>s</w:t>
      </w:r>
      <w:r w:rsidR="00822AF1" w:rsidRPr="009A1694">
        <w:rPr>
          <w:rFonts w:ascii="Garamond" w:hAnsi="Garamond"/>
          <w:sz w:val="24"/>
          <w:szCs w:val="24"/>
        </w:rPr>
        <w:t>ation is that it does not act as a lesson for other recalcitrant members; it changes the institutional dynamic within the international organi</w:t>
      </w:r>
      <w:r w:rsidR="00822AF1">
        <w:rPr>
          <w:rFonts w:ascii="Garamond" w:hAnsi="Garamond"/>
          <w:sz w:val="24"/>
          <w:szCs w:val="24"/>
        </w:rPr>
        <w:t>s</w:t>
      </w:r>
      <w:r w:rsidR="00822AF1" w:rsidRPr="009A1694">
        <w:rPr>
          <w:rFonts w:ascii="Garamond" w:hAnsi="Garamond"/>
          <w:sz w:val="24"/>
          <w:szCs w:val="24"/>
        </w:rPr>
        <w:t>ation itself so that it becomes more averse to taking action in relation to other misbehaving members. When apartheid South Africa, under threat of ejection,</w:t>
      </w:r>
      <w:r w:rsidR="00822AF1" w:rsidRPr="009A1694">
        <w:rPr>
          <w:rStyle w:val="FootnoteReference"/>
          <w:rFonts w:ascii="Garamond" w:hAnsi="Garamond"/>
          <w:sz w:val="24"/>
          <w:szCs w:val="24"/>
        </w:rPr>
        <w:footnoteReference w:id="121"/>
      </w:r>
      <w:r w:rsidR="00822AF1" w:rsidRPr="009A1694">
        <w:rPr>
          <w:rFonts w:ascii="Garamond" w:hAnsi="Garamond"/>
          <w:sz w:val="24"/>
          <w:szCs w:val="24"/>
        </w:rPr>
        <w:t xml:space="preserve"> withdrew from the International Labour Organisation, the behavio</w:t>
      </w:r>
      <w:r w:rsidR="00822AF1">
        <w:rPr>
          <w:rFonts w:ascii="Garamond" w:hAnsi="Garamond"/>
          <w:sz w:val="24"/>
          <w:szCs w:val="24"/>
        </w:rPr>
        <w:t>u</w:t>
      </w:r>
      <w:r w:rsidR="00822AF1" w:rsidRPr="009A1694">
        <w:rPr>
          <w:rFonts w:ascii="Garamond" w:hAnsi="Garamond"/>
          <w:sz w:val="24"/>
          <w:szCs w:val="24"/>
        </w:rPr>
        <w:t>r of Portugal in relation to its African territory was largely ignored, despite consistent criticism of Lisbon’s policies.</w:t>
      </w:r>
      <w:r w:rsidR="00822AF1" w:rsidRPr="009A1694">
        <w:rPr>
          <w:rStyle w:val="FootnoteReference"/>
          <w:rFonts w:ascii="Garamond" w:hAnsi="Garamond"/>
          <w:sz w:val="24"/>
          <w:szCs w:val="24"/>
        </w:rPr>
        <w:footnoteReference w:id="122"/>
      </w:r>
      <w:r w:rsidR="00822AF1" w:rsidRPr="009A1694">
        <w:rPr>
          <w:rFonts w:ascii="Garamond" w:hAnsi="Garamond"/>
          <w:sz w:val="24"/>
          <w:szCs w:val="24"/>
        </w:rPr>
        <w:t xml:space="preserve"> In a circumstance where the </w:t>
      </w:r>
      <w:r w:rsidR="0026418C">
        <w:rPr>
          <w:rFonts w:ascii="Garamond" w:hAnsi="Garamond"/>
          <w:sz w:val="24"/>
          <w:szCs w:val="24"/>
        </w:rPr>
        <w:t xml:space="preserve">CoE </w:t>
      </w:r>
      <w:r w:rsidR="00822AF1" w:rsidRPr="009A1694">
        <w:rPr>
          <w:rFonts w:ascii="Garamond" w:hAnsi="Garamond"/>
          <w:sz w:val="24"/>
          <w:szCs w:val="24"/>
        </w:rPr>
        <w:t xml:space="preserve">expelled </w:t>
      </w:r>
      <w:r w:rsidR="00822AF1">
        <w:rPr>
          <w:rFonts w:ascii="Garamond" w:hAnsi="Garamond"/>
          <w:sz w:val="24"/>
          <w:szCs w:val="24"/>
        </w:rPr>
        <w:t>state</w:t>
      </w:r>
      <w:r w:rsidR="00994249">
        <w:rPr>
          <w:rFonts w:ascii="Garamond" w:hAnsi="Garamond"/>
          <w:sz w:val="24"/>
          <w:szCs w:val="24"/>
        </w:rPr>
        <w:t>s that undermine its statutory aims</w:t>
      </w:r>
      <w:r w:rsidR="00822AF1" w:rsidRPr="009A1694">
        <w:rPr>
          <w:rFonts w:ascii="Garamond" w:hAnsi="Garamond"/>
          <w:sz w:val="24"/>
          <w:szCs w:val="24"/>
        </w:rPr>
        <w:t xml:space="preserve">, one has to consider the effect that this would have in relation to other members – would it mean that the </w:t>
      </w:r>
      <w:r w:rsidR="0026418C">
        <w:rPr>
          <w:rFonts w:ascii="Garamond" w:hAnsi="Garamond"/>
          <w:sz w:val="24"/>
          <w:szCs w:val="24"/>
        </w:rPr>
        <w:t xml:space="preserve">CoE </w:t>
      </w:r>
      <w:r w:rsidR="00822AF1">
        <w:rPr>
          <w:rFonts w:ascii="Garamond" w:hAnsi="Garamond"/>
          <w:sz w:val="24"/>
          <w:szCs w:val="24"/>
        </w:rPr>
        <w:t>organs</w:t>
      </w:r>
      <w:r w:rsidR="00822AF1" w:rsidRPr="009A1694">
        <w:rPr>
          <w:rFonts w:ascii="Garamond" w:hAnsi="Garamond"/>
          <w:sz w:val="24"/>
          <w:szCs w:val="24"/>
        </w:rPr>
        <w:t xml:space="preserve"> would then be less interventionist in order to prevent further damage to the institutions? As an example, how would it influence, if at all, the gradual integration of Belarus</w:t>
      </w:r>
      <w:r w:rsidR="0003441E">
        <w:rPr>
          <w:rStyle w:val="FootnoteReference"/>
          <w:rFonts w:ascii="Garamond" w:hAnsi="Garamond"/>
          <w:sz w:val="24"/>
          <w:szCs w:val="24"/>
        </w:rPr>
        <w:footnoteReference w:id="123"/>
      </w:r>
      <w:r w:rsidR="00822AF1" w:rsidRPr="009A1694">
        <w:rPr>
          <w:rFonts w:ascii="Garamond" w:hAnsi="Garamond"/>
          <w:sz w:val="24"/>
          <w:szCs w:val="24"/>
        </w:rPr>
        <w:t xml:space="preserve"> into the orbit of the Convention system?</w:t>
      </w:r>
    </w:p>
    <w:p w14:paraId="46FCC2F6" w14:textId="33A61026" w:rsidR="003B690D" w:rsidRPr="004943DC" w:rsidRDefault="003B690D" w:rsidP="00157D02">
      <w:pPr>
        <w:spacing w:line="240" w:lineRule="auto"/>
        <w:jc w:val="both"/>
        <w:rPr>
          <w:rFonts w:ascii="Garamond" w:hAnsi="Garamond"/>
          <w:b/>
          <w:sz w:val="24"/>
          <w:szCs w:val="24"/>
        </w:rPr>
      </w:pPr>
      <w:r w:rsidRPr="004943DC">
        <w:rPr>
          <w:rFonts w:ascii="Garamond" w:hAnsi="Garamond"/>
          <w:b/>
          <w:sz w:val="24"/>
          <w:szCs w:val="24"/>
        </w:rPr>
        <w:t>5.1.3 Financial Stability</w:t>
      </w:r>
    </w:p>
    <w:p w14:paraId="6C583A4B" w14:textId="574E9AE2" w:rsidR="00950955" w:rsidRDefault="00157D02" w:rsidP="00950955">
      <w:pPr>
        <w:spacing w:line="240" w:lineRule="auto"/>
        <w:jc w:val="both"/>
        <w:rPr>
          <w:rFonts w:ascii="Garamond" w:hAnsi="Garamond"/>
          <w:sz w:val="24"/>
          <w:szCs w:val="24"/>
        </w:rPr>
      </w:pPr>
      <w:r>
        <w:rPr>
          <w:rFonts w:ascii="Garamond" w:hAnsi="Garamond"/>
          <w:sz w:val="24"/>
          <w:szCs w:val="24"/>
        </w:rPr>
        <w:t>An international organisation cannot exist, let alon</w:t>
      </w:r>
      <w:r w:rsidR="00173D8A">
        <w:rPr>
          <w:rFonts w:ascii="Garamond" w:hAnsi="Garamond"/>
          <w:sz w:val="24"/>
          <w:szCs w:val="24"/>
        </w:rPr>
        <w:t>e</w:t>
      </w:r>
      <w:r>
        <w:rPr>
          <w:rFonts w:ascii="Garamond" w:hAnsi="Garamond"/>
          <w:sz w:val="24"/>
          <w:szCs w:val="24"/>
        </w:rPr>
        <w:t xml:space="preserve"> effectively fulfil its aims, without funding. Financial considerations are not ends themselves; they remain means to an end, but they are nonetheless important. S</w:t>
      </w:r>
      <w:r w:rsidRPr="004C75D8">
        <w:rPr>
          <w:rFonts w:ascii="Garamond" w:hAnsi="Garamond"/>
          <w:sz w:val="24"/>
          <w:szCs w:val="24"/>
        </w:rPr>
        <w:t xml:space="preserve">tates such as Russia and Turkey pay a </w:t>
      </w:r>
      <w:r>
        <w:rPr>
          <w:rFonts w:ascii="Garamond" w:hAnsi="Garamond"/>
          <w:sz w:val="24"/>
          <w:szCs w:val="24"/>
        </w:rPr>
        <w:t>substantial contribution to</w:t>
      </w:r>
      <w:r w:rsidRPr="004C75D8">
        <w:rPr>
          <w:rFonts w:ascii="Garamond" w:hAnsi="Garamond"/>
          <w:sz w:val="24"/>
          <w:szCs w:val="24"/>
        </w:rPr>
        <w:t xml:space="preserve"> the budget of the </w:t>
      </w:r>
      <w:r w:rsidR="00202CB4">
        <w:rPr>
          <w:rFonts w:ascii="Garamond" w:hAnsi="Garamond"/>
          <w:sz w:val="24"/>
          <w:szCs w:val="24"/>
        </w:rPr>
        <w:t>CoE</w:t>
      </w:r>
      <w:r w:rsidRPr="004C75D8">
        <w:rPr>
          <w:rFonts w:ascii="Garamond" w:hAnsi="Garamond"/>
          <w:sz w:val="24"/>
          <w:szCs w:val="24"/>
        </w:rPr>
        <w:t xml:space="preserve">. There are at least three considerations that should be taken into account </w:t>
      </w:r>
      <w:r>
        <w:rPr>
          <w:rFonts w:ascii="Garamond" w:hAnsi="Garamond"/>
          <w:sz w:val="24"/>
          <w:szCs w:val="24"/>
        </w:rPr>
        <w:t>here</w:t>
      </w:r>
      <w:r w:rsidRPr="004C75D8">
        <w:rPr>
          <w:rFonts w:ascii="Garamond" w:hAnsi="Garamond"/>
          <w:sz w:val="24"/>
          <w:szCs w:val="24"/>
        </w:rPr>
        <w:t>. First, and the most significant</w:t>
      </w:r>
      <w:r>
        <w:rPr>
          <w:rFonts w:ascii="Garamond" w:hAnsi="Garamond"/>
          <w:sz w:val="24"/>
          <w:szCs w:val="24"/>
        </w:rPr>
        <w:t>,</w:t>
      </w:r>
      <w:r w:rsidRPr="004C75D8">
        <w:rPr>
          <w:rFonts w:ascii="Garamond" w:hAnsi="Garamond"/>
          <w:sz w:val="24"/>
          <w:szCs w:val="24"/>
        </w:rPr>
        <w:t xml:space="preserve"> is that the </w:t>
      </w:r>
      <w:r>
        <w:rPr>
          <w:rFonts w:ascii="Garamond" w:hAnsi="Garamond"/>
          <w:sz w:val="24"/>
          <w:szCs w:val="24"/>
        </w:rPr>
        <w:t xml:space="preserve">CoE </w:t>
      </w:r>
      <w:r w:rsidRPr="004C75D8">
        <w:rPr>
          <w:rFonts w:ascii="Garamond" w:hAnsi="Garamond"/>
          <w:sz w:val="24"/>
          <w:szCs w:val="24"/>
        </w:rPr>
        <w:t xml:space="preserve">is based on liberal values. </w:t>
      </w:r>
      <w:r>
        <w:rPr>
          <w:rFonts w:ascii="Garamond" w:hAnsi="Garamond"/>
          <w:sz w:val="24"/>
          <w:szCs w:val="24"/>
        </w:rPr>
        <w:t>If the financial stability dominates the Council’s approach to Article 7 then it</w:t>
      </w:r>
      <w:r w:rsidRPr="004C75D8">
        <w:rPr>
          <w:rFonts w:ascii="Garamond" w:hAnsi="Garamond"/>
          <w:sz w:val="24"/>
          <w:szCs w:val="24"/>
        </w:rPr>
        <w:t xml:space="preserve"> can be accused of crude realism undermining its </w:t>
      </w:r>
      <w:r>
        <w:rPr>
          <w:rFonts w:ascii="Garamond" w:hAnsi="Garamond"/>
          <w:sz w:val="24"/>
          <w:szCs w:val="24"/>
        </w:rPr>
        <w:t>raison d’être</w:t>
      </w:r>
      <w:r w:rsidRPr="004C75D8">
        <w:rPr>
          <w:rFonts w:ascii="Garamond" w:hAnsi="Garamond"/>
          <w:sz w:val="24"/>
          <w:szCs w:val="24"/>
        </w:rPr>
        <w:t xml:space="preserve">. </w:t>
      </w:r>
      <w:r>
        <w:rPr>
          <w:rFonts w:ascii="Garamond" w:hAnsi="Garamond"/>
          <w:sz w:val="24"/>
          <w:szCs w:val="24"/>
        </w:rPr>
        <w:t>The approach according to which money can overshadow some lack of commitment</w:t>
      </w:r>
      <w:r w:rsidRPr="004C75D8">
        <w:rPr>
          <w:rFonts w:ascii="Garamond" w:hAnsi="Garamond"/>
          <w:sz w:val="24"/>
          <w:szCs w:val="24"/>
        </w:rPr>
        <w:t xml:space="preserve"> might undermine all those useful and beneficial project</w:t>
      </w:r>
      <w:r>
        <w:rPr>
          <w:rFonts w:ascii="Garamond" w:hAnsi="Garamond"/>
          <w:sz w:val="24"/>
          <w:szCs w:val="24"/>
        </w:rPr>
        <w:t>s</w:t>
      </w:r>
      <w:r w:rsidRPr="004C75D8">
        <w:rPr>
          <w:rFonts w:ascii="Garamond" w:hAnsi="Garamond"/>
          <w:sz w:val="24"/>
          <w:szCs w:val="24"/>
        </w:rPr>
        <w:t xml:space="preserve"> that the </w:t>
      </w:r>
      <w:r>
        <w:rPr>
          <w:rFonts w:ascii="Garamond" w:hAnsi="Garamond"/>
          <w:sz w:val="24"/>
          <w:szCs w:val="24"/>
        </w:rPr>
        <w:t xml:space="preserve">CoE </w:t>
      </w:r>
      <w:r w:rsidRPr="004C75D8">
        <w:rPr>
          <w:rFonts w:ascii="Garamond" w:hAnsi="Garamond"/>
          <w:sz w:val="24"/>
          <w:szCs w:val="24"/>
        </w:rPr>
        <w:t xml:space="preserve">can facilitate using these money. Second, states </w:t>
      </w:r>
      <w:r>
        <w:rPr>
          <w:rFonts w:ascii="Garamond" w:hAnsi="Garamond"/>
          <w:sz w:val="24"/>
          <w:szCs w:val="24"/>
        </w:rPr>
        <w:t>can stop paying their contributions without being expelled from the organisation</w:t>
      </w:r>
      <w:r w:rsidRPr="004C75D8">
        <w:rPr>
          <w:rFonts w:ascii="Garamond" w:hAnsi="Garamond"/>
          <w:sz w:val="24"/>
          <w:szCs w:val="24"/>
        </w:rPr>
        <w:t>. This put</w:t>
      </w:r>
      <w:r>
        <w:rPr>
          <w:rFonts w:ascii="Garamond" w:hAnsi="Garamond"/>
          <w:sz w:val="24"/>
          <w:szCs w:val="24"/>
        </w:rPr>
        <w:t>s</w:t>
      </w:r>
      <w:r w:rsidRPr="004C75D8">
        <w:rPr>
          <w:rFonts w:ascii="Garamond" w:hAnsi="Garamond"/>
          <w:sz w:val="24"/>
          <w:szCs w:val="24"/>
        </w:rPr>
        <w:t xml:space="preserve"> the </w:t>
      </w:r>
      <w:r>
        <w:rPr>
          <w:rFonts w:ascii="Garamond" w:hAnsi="Garamond"/>
          <w:sz w:val="24"/>
          <w:szCs w:val="24"/>
        </w:rPr>
        <w:t xml:space="preserve">CoE </w:t>
      </w:r>
      <w:r w:rsidRPr="004C75D8">
        <w:rPr>
          <w:rFonts w:ascii="Garamond" w:hAnsi="Garamond"/>
          <w:sz w:val="24"/>
          <w:szCs w:val="24"/>
        </w:rPr>
        <w:t>in a position of austerity as its activit</w:t>
      </w:r>
      <w:r>
        <w:rPr>
          <w:rFonts w:ascii="Garamond" w:hAnsi="Garamond"/>
          <w:sz w:val="24"/>
          <w:szCs w:val="24"/>
        </w:rPr>
        <w:t>ies</w:t>
      </w:r>
      <w:r w:rsidRPr="004C75D8">
        <w:rPr>
          <w:rFonts w:ascii="Garamond" w:hAnsi="Garamond"/>
          <w:sz w:val="24"/>
          <w:szCs w:val="24"/>
        </w:rPr>
        <w:t xml:space="preserve"> are </w:t>
      </w:r>
      <w:r>
        <w:rPr>
          <w:rFonts w:ascii="Garamond" w:hAnsi="Garamond"/>
          <w:sz w:val="24"/>
          <w:szCs w:val="24"/>
        </w:rPr>
        <w:t>budgeted</w:t>
      </w:r>
      <w:r w:rsidRPr="004C75D8">
        <w:rPr>
          <w:rFonts w:ascii="Garamond" w:hAnsi="Garamond"/>
          <w:sz w:val="24"/>
          <w:szCs w:val="24"/>
        </w:rPr>
        <w:t xml:space="preserve"> with the full contribution in mind</w:t>
      </w:r>
      <w:r>
        <w:rPr>
          <w:rFonts w:ascii="Garamond" w:hAnsi="Garamond"/>
          <w:sz w:val="24"/>
          <w:szCs w:val="24"/>
        </w:rPr>
        <w:t xml:space="preserve">. Therefore, </w:t>
      </w:r>
      <w:r w:rsidRPr="004C75D8">
        <w:rPr>
          <w:rFonts w:ascii="Garamond" w:hAnsi="Garamond"/>
          <w:sz w:val="24"/>
          <w:szCs w:val="24"/>
        </w:rPr>
        <w:t>some</w:t>
      </w:r>
      <w:r>
        <w:rPr>
          <w:rFonts w:ascii="Garamond" w:hAnsi="Garamond"/>
          <w:sz w:val="24"/>
          <w:szCs w:val="24"/>
        </w:rPr>
        <w:t xml:space="preserve"> substantive cuts need to be mad</w:t>
      </w:r>
      <w:r w:rsidRPr="004C75D8">
        <w:rPr>
          <w:rFonts w:ascii="Garamond" w:hAnsi="Garamond"/>
          <w:sz w:val="24"/>
          <w:szCs w:val="24"/>
        </w:rPr>
        <w:t>e</w:t>
      </w:r>
      <w:r>
        <w:rPr>
          <w:rFonts w:ascii="Garamond" w:hAnsi="Garamond"/>
          <w:sz w:val="24"/>
          <w:szCs w:val="24"/>
        </w:rPr>
        <w:t xml:space="preserve"> </w:t>
      </w:r>
      <w:r w:rsidRPr="004C75D8">
        <w:rPr>
          <w:rFonts w:ascii="Garamond" w:hAnsi="Garamond"/>
          <w:sz w:val="24"/>
          <w:szCs w:val="24"/>
        </w:rPr>
        <w:t xml:space="preserve">if </w:t>
      </w:r>
      <w:r>
        <w:rPr>
          <w:rFonts w:ascii="Garamond" w:hAnsi="Garamond"/>
          <w:sz w:val="24"/>
          <w:szCs w:val="24"/>
        </w:rPr>
        <w:t>a member state</w:t>
      </w:r>
      <w:r w:rsidRPr="004C75D8">
        <w:rPr>
          <w:rFonts w:ascii="Garamond" w:hAnsi="Garamond"/>
          <w:sz w:val="24"/>
          <w:szCs w:val="24"/>
        </w:rPr>
        <w:t xml:space="preserve"> fail</w:t>
      </w:r>
      <w:r w:rsidR="00173D8A">
        <w:rPr>
          <w:rFonts w:ascii="Garamond" w:hAnsi="Garamond"/>
          <w:sz w:val="24"/>
          <w:szCs w:val="24"/>
        </w:rPr>
        <w:t>s</w:t>
      </w:r>
      <w:r w:rsidRPr="004C75D8">
        <w:rPr>
          <w:rFonts w:ascii="Garamond" w:hAnsi="Garamond"/>
          <w:sz w:val="24"/>
          <w:szCs w:val="24"/>
        </w:rPr>
        <w:t xml:space="preserve"> to pay. This makes </w:t>
      </w:r>
      <w:r>
        <w:rPr>
          <w:rFonts w:ascii="Garamond" w:hAnsi="Garamond"/>
          <w:sz w:val="24"/>
          <w:szCs w:val="24"/>
        </w:rPr>
        <w:t>the</w:t>
      </w:r>
      <w:r w:rsidRPr="004C75D8">
        <w:rPr>
          <w:rFonts w:ascii="Garamond" w:hAnsi="Garamond"/>
          <w:sz w:val="24"/>
          <w:szCs w:val="24"/>
        </w:rPr>
        <w:t xml:space="preserve"> normal operation of the </w:t>
      </w:r>
      <w:r>
        <w:rPr>
          <w:rFonts w:ascii="Garamond" w:hAnsi="Garamond"/>
          <w:sz w:val="24"/>
          <w:szCs w:val="24"/>
        </w:rPr>
        <w:t xml:space="preserve">CoE </w:t>
      </w:r>
      <w:r w:rsidRPr="004C75D8">
        <w:rPr>
          <w:rFonts w:ascii="Garamond" w:hAnsi="Garamond"/>
          <w:sz w:val="24"/>
          <w:szCs w:val="24"/>
        </w:rPr>
        <w:t xml:space="preserve">challenging. Finally, </w:t>
      </w:r>
      <w:r>
        <w:rPr>
          <w:rFonts w:ascii="Garamond" w:hAnsi="Garamond"/>
          <w:sz w:val="24"/>
          <w:szCs w:val="24"/>
        </w:rPr>
        <w:t xml:space="preserve">it is not clear that </w:t>
      </w:r>
      <w:r>
        <w:rPr>
          <w:rFonts w:ascii="Garamond" w:hAnsi="Garamond"/>
          <w:sz w:val="24"/>
          <w:szCs w:val="24"/>
        </w:rPr>
        <w:lastRenderedPageBreak/>
        <w:t xml:space="preserve">the withdrawal of funds might not be offset by the corresponding decrease in caseload to the institutions of the </w:t>
      </w:r>
      <w:r w:rsidR="001A03A1">
        <w:rPr>
          <w:rFonts w:ascii="Garamond" w:hAnsi="Garamond"/>
          <w:sz w:val="24"/>
          <w:szCs w:val="24"/>
        </w:rPr>
        <w:t>CoE</w:t>
      </w:r>
      <w:r>
        <w:rPr>
          <w:rFonts w:ascii="Garamond" w:hAnsi="Garamond"/>
          <w:sz w:val="24"/>
          <w:szCs w:val="24"/>
        </w:rPr>
        <w:t>.</w:t>
      </w:r>
      <w:r w:rsidRPr="004C75D8">
        <w:rPr>
          <w:rFonts w:ascii="Garamond" w:hAnsi="Garamond"/>
          <w:sz w:val="24"/>
          <w:szCs w:val="24"/>
        </w:rPr>
        <w:t xml:space="preserve"> Of course, it is </w:t>
      </w:r>
      <w:r w:rsidR="00253BD8">
        <w:rPr>
          <w:rFonts w:ascii="Garamond" w:hAnsi="Garamond"/>
          <w:sz w:val="24"/>
          <w:szCs w:val="24"/>
        </w:rPr>
        <w:t>not</w:t>
      </w:r>
      <w:r w:rsidRPr="004C75D8">
        <w:rPr>
          <w:rFonts w:ascii="Garamond" w:hAnsi="Garamond"/>
          <w:sz w:val="24"/>
          <w:szCs w:val="24"/>
        </w:rPr>
        <w:t xml:space="preserve"> possible to provide </w:t>
      </w:r>
      <w:r>
        <w:rPr>
          <w:rFonts w:ascii="Garamond" w:hAnsi="Garamond"/>
          <w:sz w:val="24"/>
          <w:szCs w:val="24"/>
        </w:rPr>
        <w:t>an</w:t>
      </w:r>
      <w:r w:rsidRPr="004C75D8">
        <w:rPr>
          <w:rFonts w:ascii="Garamond" w:hAnsi="Garamond"/>
          <w:sz w:val="24"/>
          <w:szCs w:val="24"/>
        </w:rPr>
        <w:t xml:space="preserve"> exact calculation of the contributions and expenditures of an organisation like the </w:t>
      </w:r>
      <w:r w:rsidR="001A03A1">
        <w:rPr>
          <w:rFonts w:ascii="Garamond" w:hAnsi="Garamond"/>
          <w:sz w:val="24"/>
          <w:szCs w:val="24"/>
        </w:rPr>
        <w:t>CoE</w:t>
      </w:r>
      <w:r w:rsidR="00253BD8">
        <w:rPr>
          <w:rFonts w:ascii="Garamond" w:hAnsi="Garamond"/>
          <w:sz w:val="24"/>
          <w:szCs w:val="24"/>
        </w:rPr>
        <w:t>;</w:t>
      </w:r>
      <w:r w:rsidRPr="004C75D8">
        <w:rPr>
          <w:rFonts w:ascii="Garamond" w:hAnsi="Garamond"/>
          <w:sz w:val="24"/>
          <w:szCs w:val="24"/>
        </w:rPr>
        <w:t xml:space="preserve">  it is often </w:t>
      </w:r>
      <w:r>
        <w:rPr>
          <w:rFonts w:ascii="Garamond" w:hAnsi="Garamond"/>
          <w:sz w:val="24"/>
          <w:szCs w:val="24"/>
        </w:rPr>
        <w:t>not</w:t>
      </w:r>
      <w:r w:rsidRPr="004C75D8">
        <w:rPr>
          <w:rFonts w:ascii="Garamond" w:hAnsi="Garamond"/>
          <w:sz w:val="24"/>
          <w:szCs w:val="24"/>
        </w:rPr>
        <w:t xml:space="preserve"> possible to single out a particular country that benefits from the activities of the </w:t>
      </w:r>
      <w:r>
        <w:rPr>
          <w:rFonts w:ascii="Garamond" w:hAnsi="Garamond"/>
          <w:sz w:val="24"/>
          <w:szCs w:val="24"/>
        </w:rPr>
        <w:t xml:space="preserve">CoE </w:t>
      </w:r>
      <w:r w:rsidRPr="004C75D8">
        <w:rPr>
          <w:rFonts w:ascii="Garamond" w:hAnsi="Garamond"/>
          <w:sz w:val="24"/>
          <w:szCs w:val="24"/>
        </w:rPr>
        <w:t xml:space="preserve">and how this benefit is calculated. Having said </w:t>
      </w:r>
      <w:r>
        <w:rPr>
          <w:rFonts w:ascii="Garamond" w:hAnsi="Garamond"/>
          <w:sz w:val="24"/>
          <w:szCs w:val="24"/>
        </w:rPr>
        <w:t>this</w:t>
      </w:r>
      <w:r w:rsidRPr="004C75D8">
        <w:rPr>
          <w:rFonts w:ascii="Garamond" w:hAnsi="Garamond"/>
          <w:sz w:val="24"/>
          <w:szCs w:val="24"/>
        </w:rPr>
        <w:t xml:space="preserve">, we can use the caseload of the ECtHR </w:t>
      </w:r>
      <w:r>
        <w:rPr>
          <w:rFonts w:ascii="Garamond" w:hAnsi="Garamond"/>
          <w:sz w:val="24"/>
          <w:szCs w:val="24"/>
        </w:rPr>
        <w:t>as an indicator that demonstrates</w:t>
      </w:r>
      <w:r w:rsidRPr="004C75D8">
        <w:rPr>
          <w:rFonts w:ascii="Garamond" w:hAnsi="Garamond"/>
          <w:sz w:val="24"/>
          <w:szCs w:val="24"/>
        </w:rPr>
        <w:t xml:space="preserve"> how burdensome some states </w:t>
      </w:r>
      <w:r>
        <w:rPr>
          <w:rFonts w:ascii="Garamond" w:hAnsi="Garamond"/>
          <w:sz w:val="24"/>
          <w:szCs w:val="24"/>
        </w:rPr>
        <w:t>might be</w:t>
      </w:r>
      <w:r w:rsidRPr="004C75D8">
        <w:rPr>
          <w:rFonts w:ascii="Garamond" w:hAnsi="Garamond"/>
          <w:sz w:val="24"/>
          <w:szCs w:val="24"/>
        </w:rPr>
        <w:t xml:space="preserve">. As it was pointed out in </w:t>
      </w:r>
      <w:r>
        <w:rPr>
          <w:rFonts w:ascii="Garamond" w:hAnsi="Garamond"/>
          <w:sz w:val="24"/>
          <w:szCs w:val="24"/>
        </w:rPr>
        <w:t>section</w:t>
      </w:r>
      <w:r w:rsidRPr="004C75D8">
        <w:rPr>
          <w:rFonts w:ascii="Garamond" w:hAnsi="Garamond"/>
          <w:sz w:val="24"/>
          <w:szCs w:val="24"/>
        </w:rPr>
        <w:t xml:space="preserve"> 1, the Russian Federation and Turkey alongside with France, Italy, Germany and the UK were</w:t>
      </w:r>
      <w:r>
        <w:rPr>
          <w:rFonts w:ascii="Garamond" w:hAnsi="Garamond"/>
          <w:sz w:val="24"/>
          <w:szCs w:val="24"/>
        </w:rPr>
        <w:t xml:space="preserve"> the</w:t>
      </w:r>
      <w:r w:rsidRPr="004C75D8">
        <w:rPr>
          <w:rFonts w:ascii="Garamond" w:hAnsi="Garamond"/>
          <w:sz w:val="24"/>
          <w:szCs w:val="24"/>
        </w:rPr>
        <w:t xml:space="preserve"> major contributors</w:t>
      </w:r>
      <w:r>
        <w:rPr>
          <w:rFonts w:ascii="Garamond" w:hAnsi="Garamond"/>
          <w:sz w:val="24"/>
          <w:szCs w:val="24"/>
        </w:rPr>
        <w:t xml:space="preserve"> to the ordinary budget of the CoE </w:t>
      </w:r>
      <w:r w:rsidRPr="004C75D8">
        <w:rPr>
          <w:rFonts w:ascii="Garamond" w:hAnsi="Garamond"/>
          <w:sz w:val="24"/>
          <w:szCs w:val="24"/>
        </w:rPr>
        <w:t xml:space="preserve">and </w:t>
      </w:r>
      <w:r>
        <w:rPr>
          <w:rFonts w:ascii="Garamond" w:hAnsi="Garamond"/>
          <w:sz w:val="24"/>
          <w:szCs w:val="24"/>
        </w:rPr>
        <w:t>collectively they</w:t>
      </w:r>
      <w:r w:rsidRPr="004C75D8">
        <w:rPr>
          <w:rFonts w:ascii="Garamond" w:hAnsi="Garamond"/>
          <w:sz w:val="24"/>
          <w:szCs w:val="24"/>
        </w:rPr>
        <w:t xml:space="preserve"> were responsible for 65% of </w:t>
      </w:r>
      <w:r>
        <w:rPr>
          <w:rFonts w:ascii="Garamond" w:hAnsi="Garamond"/>
          <w:sz w:val="24"/>
          <w:szCs w:val="24"/>
        </w:rPr>
        <w:t>this</w:t>
      </w:r>
      <w:r w:rsidRPr="004C75D8">
        <w:rPr>
          <w:rFonts w:ascii="Garamond" w:hAnsi="Garamond"/>
          <w:sz w:val="24"/>
          <w:szCs w:val="24"/>
        </w:rPr>
        <w:t xml:space="preserve"> budget. It means that each of them cover</w:t>
      </w:r>
      <w:r>
        <w:rPr>
          <w:rFonts w:ascii="Garamond" w:hAnsi="Garamond"/>
          <w:sz w:val="24"/>
          <w:szCs w:val="24"/>
        </w:rPr>
        <w:t>s around 11</w:t>
      </w:r>
      <w:r w:rsidRPr="004C75D8">
        <w:rPr>
          <w:rFonts w:ascii="Garamond" w:hAnsi="Garamond"/>
          <w:sz w:val="24"/>
          <w:szCs w:val="24"/>
        </w:rPr>
        <w:t xml:space="preserve">% of the budget. In 2017, 12.2% of pending cases of the European Court of Human Rights were submitted against Russia and </w:t>
      </w:r>
      <w:r>
        <w:rPr>
          <w:rFonts w:ascii="Garamond" w:hAnsi="Garamond"/>
          <w:sz w:val="24"/>
          <w:szCs w:val="24"/>
        </w:rPr>
        <w:t xml:space="preserve">12.2% against </w:t>
      </w:r>
      <w:r w:rsidRPr="004C75D8">
        <w:rPr>
          <w:rFonts w:ascii="Garamond" w:hAnsi="Garamond"/>
          <w:sz w:val="24"/>
          <w:szCs w:val="24"/>
        </w:rPr>
        <w:t>Turkey.</w:t>
      </w:r>
      <w:r>
        <w:rPr>
          <w:rStyle w:val="FootnoteReference"/>
          <w:rFonts w:ascii="Garamond" w:hAnsi="Garamond"/>
          <w:sz w:val="24"/>
          <w:szCs w:val="24"/>
        </w:rPr>
        <w:footnoteReference w:id="124"/>
      </w:r>
      <w:r>
        <w:rPr>
          <w:rFonts w:ascii="Garamond" w:hAnsi="Garamond"/>
          <w:sz w:val="24"/>
          <w:szCs w:val="24"/>
        </w:rPr>
        <w:t xml:space="preserve"> This means that the share of Turkey and Russia in the case load of the ECtHR is bigger than their share in the budget of the ECtHR. </w:t>
      </w:r>
      <w:r w:rsidRPr="004C75D8">
        <w:rPr>
          <w:rFonts w:ascii="Garamond" w:hAnsi="Garamond"/>
          <w:sz w:val="24"/>
          <w:szCs w:val="24"/>
        </w:rPr>
        <w:t>While the correlation between the budget and the number of pending cases is not a direct one</w:t>
      </w:r>
      <w:r>
        <w:rPr>
          <w:rFonts w:ascii="Garamond" w:hAnsi="Garamond"/>
          <w:sz w:val="24"/>
          <w:szCs w:val="24"/>
        </w:rPr>
        <w:t>,</w:t>
      </w:r>
      <w:r w:rsidRPr="004C75D8">
        <w:rPr>
          <w:rFonts w:ascii="Garamond" w:hAnsi="Garamond"/>
          <w:sz w:val="24"/>
          <w:szCs w:val="24"/>
        </w:rPr>
        <w:t xml:space="preserve"> this analysis can be used to illustrate that the </w:t>
      </w:r>
      <w:r>
        <w:rPr>
          <w:rFonts w:ascii="Garamond" w:hAnsi="Garamond"/>
          <w:sz w:val="24"/>
          <w:szCs w:val="24"/>
        </w:rPr>
        <w:t xml:space="preserve">CoE </w:t>
      </w:r>
      <w:r w:rsidRPr="004C75D8">
        <w:rPr>
          <w:rFonts w:ascii="Garamond" w:hAnsi="Garamond"/>
          <w:sz w:val="24"/>
          <w:szCs w:val="24"/>
        </w:rPr>
        <w:t xml:space="preserve">will not </w:t>
      </w:r>
      <w:r>
        <w:rPr>
          <w:rFonts w:ascii="Garamond" w:hAnsi="Garamond"/>
          <w:sz w:val="24"/>
          <w:szCs w:val="24"/>
        </w:rPr>
        <w:t xml:space="preserve">necessarily </w:t>
      </w:r>
      <w:r w:rsidRPr="004C75D8">
        <w:rPr>
          <w:rFonts w:ascii="Garamond" w:hAnsi="Garamond"/>
          <w:sz w:val="24"/>
          <w:szCs w:val="24"/>
        </w:rPr>
        <w:t>be wor</w:t>
      </w:r>
      <w:r>
        <w:rPr>
          <w:rFonts w:ascii="Garamond" w:hAnsi="Garamond"/>
          <w:sz w:val="24"/>
          <w:szCs w:val="24"/>
        </w:rPr>
        <w:t>se</w:t>
      </w:r>
      <w:r w:rsidRPr="004C75D8">
        <w:rPr>
          <w:rFonts w:ascii="Garamond" w:hAnsi="Garamond"/>
          <w:sz w:val="24"/>
          <w:szCs w:val="24"/>
        </w:rPr>
        <w:t xml:space="preserve"> off financially if it </w:t>
      </w:r>
      <w:r>
        <w:rPr>
          <w:rFonts w:ascii="Garamond" w:hAnsi="Garamond"/>
          <w:sz w:val="24"/>
          <w:szCs w:val="24"/>
        </w:rPr>
        <w:t>expels member states who are human rights offenders</w:t>
      </w:r>
      <w:r w:rsidRPr="004C75D8">
        <w:rPr>
          <w:rFonts w:ascii="Garamond" w:hAnsi="Garamond"/>
          <w:sz w:val="24"/>
          <w:szCs w:val="24"/>
        </w:rPr>
        <w:t>.</w:t>
      </w:r>
    </w:p>
    <w:p w14:paraId="0FC13E85" w14:textId="39AD45BE" w:rsidR="00950955" w:rsidRPr="00A22A28" w:rsidRDefault="00652F85" w:rsidP="00950955">
      <w:pPr>
        <w:spacing w:line="240" w:lineRule="auto"/>
        <w:jc w:val="both"/>
        <w:rPr>
          <w:rFonts w:ascii="Garamond" w:hAnsi="Garamond"/>
          <w:b/>
          <w:sz w:val="24"/>
          <w:szCs w:val="24"/>
        </w:rPr>
      </w:pPr>
      <w:r>
        <w:rPr>
          <w:rFonts w:ascii="Garamond" w:hAnsi="Garamond"/>
          <w:b/>
          <w:sz w:val="24"/>
          <w:szCs w:val="24"/>
        </w:rPr>
        <w:t>5</w:t>
      </w:r>
      <w:r w:rsidR="00A22A28" w:rsidRPr="00A22A28">
        <w:rPr>
          <w:rFonts w:ascii="Garamond" w:hAnsi="Garamond"/>
          <w:b/>
          <w:sz w:val="24"/>
          <w:szCs w:val="24"/>
        </w:rPr>
        <w:t xml:space="preserve">.2 </w:t>
      </w:r>
      <w:r w:rsidR="006E0D74" w:rsidRPr="00A22A28">
        <w:rPr>
          <w:rFonts w:ascii="Garamond" w:hAnsi="Garamond"/>
          <w:b/>
          <w:sz w:val="24"/>
          <w:szCs w:val="24"/>
        </w:rPr>
        <w:t>Protection of Human Rights</w:t>
      </w:r>
    </w:p>
    <w:p w14:paraId="038834AF" w14:textId="1796AA97" w:rsidR="006E0D74" w:rsidRDefault="003C619C" w:rsidP="00950955">
      <w:pPr>
        <w:spacing w:line="240" w:lineRule="auto"/>
        <w:jc w:val="both"/>
        <w:rPr>
          <w:rFonts w:ascii="Garamond" w:hAnsi="Garamond"/>
          <w:sz w:val="24"/>
          <w:szCs w:val="24"/>
        </w:rPr>
      </w:pPr>
      <w:r>
        <w:rPr>
          <w:rFonts w:ascii="Garamond" w:hAnsi="Garamond"/>
          <w:sz w:val="24"/>
          <w:szCs w:val="24"/>
        </w:rPr>
        <w:t xml:space="preserve">Protection of human rights, democracy and rule of law is the key objective of the </w:t>
      </w:r>
      <w:r w:rsidR="001618A9">
        <w:rPr>
          <w:rFonts w:ascii="Garamond" w:hAnsi="Garamond"/>
          <w:sz w:val="24"/>
          <w:szCs w:val="24"/>
        </w:rPr>
        <w:t>CoE</w:t>
      </w:r>
      <w:r>
        <w:rPr>
          <w:rFonts w:ascii="Garamond" w:hAnsi="Garamond"/>
          <w:sz w:val="24"/>
          <w:szCs w:val="24"/>
        </w:rPr>
        <w:t>. Th</w:t>
      </w:r>
      <w:r w:rsidR="00E63D5A">
        <w:rPr>
          <w:rFonts w:ascii="Garamond" w:hAnsi="Garamond"/>
          <w:sz w:val="24"/>
          <w:szCs w:val="24"/>
        </w:rPr>
        <w:t xml:space="preserve">e </w:t>
      </w:r>
      <w:r>
        <w:rPr>
          <w:rFonts w:ascii="Garamond" w:hAnsi="Garamond"/>
          <w:sz w:val="24"/>
          <w:szCs w:val="24"/>
        </w:rPr>
        <w:t xml:space="preserve">set of calculations </w:t>
      </w:r>
      <w:r w:rsidR="00E63D5A">
        <w:rPr>
          <w:rFonts w:ascii="Garamond" w:hAnsi="Garamond"/>
          <w:sz w:val="24"/>
          <w:szCs w:val="24"/>
        </w:rPr>
        <w:t>considered here analyses</w:t>
      </w:r>
      <w:r w:rsidR="00CE0003">
        <w:rPr>
          <w:rFonts w:ascii="Garamond" w:hAnsi="Garamond"/>
          <w:sz w:val="24"/>
          <w:szCs w:val="24"/>
        </w:rPr>
        <w:t xml:space="preserve"> </w:t>
      </w:r>
      <w:r w:rsidR="001A75F0">
        <w:rPr>
          <w:rFonts w:ascii="Garamond" w:hAnsi="Garamond"/>
          <w:sz w:val="24"/>
          <w:szCs w:val="24"/>
        </w:rPr>
        <w:t xml:space="preserve">whether </w:t>
      </w:r>
      <w:r w:rsidR="00E63D5A">
        <w:rPr>
          <w:rFonts w:ascii="Garamond" w:hAnsi="Garamond"/>
          <w:sz w:val="24"/>
          <w:szCs w:val="24"/>
        </w:rPr>
        <w:t xml:space="preserve">a </w:t>
      </w:r>
      <w:r>
        <w:rPr>
          <w:rFonts w:ascii="Garamond" w:hAnsi="Garamond"/>
          <w:sz w:val="24"/>
          <w:szCs w:val="24"/>
        </w:rPr>
        <w:t xml:space="preserve">potential worsening of </w:t>
      </w:r>
      <w:r w:rsidR="001A75F0">
        <w:rPr>
          <w:rFonts w:ascii="Garamond" w:hAnsi="Garamond"/>
          <w:sz w:val="24"/>
          <w:szCs w:val="24"/>
        </w:rPr>
        <w:t xml:space="preserve">individual </w:t>
      </w:r>
      <w:r>
        <w:rPr>
          <w:rFonts w:ascii="Garamond" w:hAnsi="Garamond"/>
          <w:sz w:val="24"/>
          <w:szCs w:val="24"/>
        </w:rPr>
        <w:t xml:space="preserve">human rights protection in </w:t>
      </w:r>
      <w:r w:rsidR="00994249">
        <w:rPr>
          <w:rFonts w:ascii="Garamond" w:hAnsi="Garamond"/>
          <w:sz w:val="24"/>
          <w:szCs w:val="24"/>
        </w:rPr>
        <w:t xml:space="preserve">the expelled </w:t>
      </w:r>
      <w:r>
        <w:rPr>
          <w:rFonts w:ascii="Garamond" w:hAnsi="Garamond"/>
          <w:sz w:val="24"/>
          <w:szCs w:val="24"/>
        </w:rPr>
        <w:t xml:space="preserve">states can justify </w:t>
      </w:r>
      <w:r w:rsidR="003B775D">
        <w:rPr>
          <w:rFonts w:ascii="Garamond" w:hAnsi="Garamond"/>
          <w:sz w:val="24"/>
          <w:szCs w:val="24"/>
        </w:rPr>
        <w:t xml:space="preserve">a </w:t>
      </w:r>
      <w:r>
        <w:rPr>
          <w:rFonts w:ascii="Garamond" w:hAnsi="Garamond"/>
          <w:sz w:val="24"/>
          <w:szCs w:val="24"/>
        </w:rPr>
        <w:t>less rigorous interpretation of Article</w:t>
      </w:r>
      <w:r w:rsidR="004242AB">
        <w:rPr>
          <w:rFonts w:ascii="Garamond" w:hAnsi="Garamond"/>
          <w:sz w:val="24"/>
          <w:szCs w:val="24"/>
        </w:rPr>
        <w:t>s</w:t>
      </w:r>
      <w:r>
        <w:rPr>
          <w:rFonts w:ascii="Garamond" w:hAnsi="Garamond"/>
          <w:sz w:val="24"/>
          <w:szCs w:val="24"/>
        </w:rPr>
        <w:t xml:space="preserve"> 7</w:t>
      </w:r>
      <w:r w:rsidR="004242AB">
        <w:rPr>
          <w:rFonts w:ascii="Garamond" w:hAnsi="Garamond"/>
          <w:sz w:val="24"/>
          <w:szCs w:val="24"/>
        </w:rPr>
        <w:t xml:space="preserve"> and 8</w:t>
      </w:r>
      <w:r>
        <w:rPr>
          <w:rFonts w:ascii="Garamond" w:hAnsi="Garamond"/>
          <w:sz w:val="24"/>
          <w:szCs w:val="24"/>
        </w:rPr>
        <w:t xml:space="preserve"> of the </w:t>
      </w:r>
      <w:r w:rsidR="00E63D5A">
        <w:rPr>
          <w:rFonts w:ascii="Garamond" w:hAnsi="Garamond"/>
          <w:sz w:val="24"/>
          <w:szCs w:val="24"/>
        </w:rPr>
        <w:t xml:space="preserve">Statute of the </w:t>
      </w:r>
      <w:r w:rsidR="001618A9">
        <w:rPr>
          <w:rFonts w:ascii="Garamond" w:hAnsi="Garamond"/>
          <w:sz w:val="24"/>
          <w:szCs w:val="24"/>
        </w:rPr>
        <w:t>CoE</w:t>
      </w:r>
      <w:r>
        <w:rPr>
          <w:rFonts w:ascii="Garamond" w:hAnsi="Garamond"/>
          <w:sz w:val="24"/>
          <w:szCs w:val="24"/>
        </w:rPr>
        <w:t xml:space="preserve">. </w:t>
      </w:r>
      <w:r w:rsidR="003B775D">
        <w:rPr>
          <w:rFonts w:ascii="Garamond" w:hAnsi="Garamond"/>
          <w:sz w:val="24"/>
          <w:szCs w:val="24"/>
        </w:rPr>
        <w:t>It is important to stress</w:t>
      </w:r>
      <w:r w:rsidR="00CE0003">
        <w:rPr>
          <w:rFonts w:ascii="Garamond" w:hAnsi="Garamond"/>
          <w:sz w:val="24"/>
          <w:szCs w:val="24"/>
        </w:rPr>
        <w:t xml:space="preserve"> </w:t>
      </w:r>
      <w:r w:rsidR="003B775D">
        <w:rPr>
          <w:rFonts w:ascii="Garamond" w:hAnsi="Garamond"/>
          <w:sz w:val="24"/>
          <w:szCs w:val="24"/>
        </w:rPr>
        <w:t>that this type of calculation is not arithmetic;</w:t>
      </w:r>
      <w:r w:rsidR="00A00EB2">
        <w:rPr>
          <w:rFonts w:ascii="Garamond" w:hAnsi="Garamond"/>
          <w:sz w:val="24"/>
          <w:szCs w:val="24"/>
        </w:rPr>
        <w:t xml:space="preserve"> the decision-maker needs to accept a lot of approximation</w:t>
      </w:r>
      <w:r w:rsidR="00E63D5A">
        <w:rPr>
          <w:rFonts w:ascii="Garamond" w:hAnsi="Garamond"/>
          <w:sz w:val="24"/>
          <w:szCs w:val="24"/>
        </w:rPr>
        <w:t>s</w:t>
      </w:r>
      <w:r w:rsidR="00A00EB2">
        <w:rPr>
          <w:rFonts w:ascii="Garamond" w:hAnsi="Garamond"/>
          <w:sz w:val="24"/>
          <w:szCs w:val="24"/>
        </w:rPr>
        <w:t xml:space="preserve"> in </w:t>
      </w:r>
      <w:r w:rsidR="00E63D5A">
        <w:rPr>
          <w:rFonts w:ascii="Garamond" w:hAnsi="Garamond"/>
          <w:sz w:val="24"/>
          <w:szCs w:val="24"/>
        </w:rPr>
        <w:t>concluding</w:t>
      </w:r>
      <w:r w:rsidR="00A00EB2">
        <w:rPr>
          <w:rFonts w:ascii="Garamond" w:hAnsi="Garamond"/>
          <w:sz w:val="24"/>
          <w:szCs w:val="24"/>
        </w:rPr>
        <w:t xml:space="preserve"> how </w:t>
      </w:r>
      <w:r w:rsidR="00994249">
        <w:rPr>
          <w:rFonts w:ascii="Garamond" w:hAnsi="Garamond"/>
          <w:sz w:val="24"/>
          <w:szCs w:val="24"/>
        </w:rPr>
        <w:t xml:space="preserve">effective </w:t>
      </w:r>
      <w:r w:rsidR="00BC538B">
        <w:rPr>
          <w:rFonts w:ascii="Garamond" w:hAnsi="Garamond"/>
          <w:sz w:val="24"/>
          <w:szCs w:val="24"/>
        </w:rPr>
        <w:t xml:space="preserve">the </w:t>
      </w:r>
      <w:r w:rsidR="0026418C">
        <w:rPr>
          <w:rFonts w:ascii="Garamond" w:hAnsi="Garamond"/>
          <w:sz w:val="24"/>
          <w:szCs w:val="24"/>
        </w:rPr>
        <w:t xml:space="preserve">CoE </w:t>
      </w:r>
      <w:r w:rsidR="00994249">
        <w:rPr>
          <w:rFonts w:ascii="Garamond" w:hAnsi="Garamond"/>
          <w:sz w:val="24"/>
          <w:szCs w:val="24"/>
        </w:rPr>
        <w:t>is in securing</w:t>
      </w:r>
      <w:r w:rsidR="00E04E7C">
        <w:rPr>
          <w:rFonts w:ascii="Garamond" w:hAnsi="Garamond"/>
          <w:sz w:val="24"/>
          <w:szCs w:val="24"/>
        </w:rPr>
        <w:t xml:space="preserve"> </w:t>
      </w:r>
      <w:r w:rsidR="00BC538B">
        <w:rPr>
          <w:rFonts w:ascii="Garamond" w:hAnsi="Garamond"/>
          <w:sz w:val="24"/>
          <w:szCs w:val="24"/>
        </w:rPr>
        <w:t>human rights in the states</w:t>
      </w:r>
      <w:r w:rsidR="00994249">
        <w:rPr>
          <w:rFonts w:ascii="Garamond" w:hAnsi="Garamond"/>
          <w:sz w:val="24"/>
          <w:szCs w:val="24"/>
        </w:rPr>
        <w:t xml:space="preserve"> which are unwilling to participate sincerely in its operation</w:t>
      </w:r>
      <w:r w:rsidR="00BC538B">
        <w:rPr>
          <w:rFonts w:ascii="Garamond" w:hAnsi="Garamond"/>
          <w:sz w:val="24"/>
          <w:szCs w:val="24"/>
        </w:rPr>
        <w:t xml:space="preserve">. </w:t>
      </w:r>
      <w:r w:rsidR="00B332A6">
        <w:rPr>
          <w:rFonts w:ascii="Garamond" w:hAnsi="Garamond"/>
          <w:sz w:val="24"/>
          <w:szCs w:val="24"/>
        </w:rPr>
        <w:t xml:space="preserve">Although, undoubtedly rights of some individuals might be affected by the </w:t>
      </w:r>
      <w:r w:rsidR="001A75F0">
        <w:rPr>
          <w:rFonts w:ascii="Garamond" w:hAnsi="Garamond"/>
          <w:sz w:val="24"/>
          <w:szCs w:val="24"/>
        </w:rPr>
        <w:t xml:space="preserve">expulsion </w:t>
      </w:r>
      <w:r w:rsidR="00B332A6">
        <w:rPr>
          <w:rFonts w:ascii="Garamond" w:hAnsi="Garamond"/>
          <w:sz w:val="24"/>
          <w:szCs w:val="24"/>
        </w:rPr>
        <w:t xml:space="preserve">this section argues that </w:t>
      </w:r>
      <w:r w:rsidR="001A75F0">
        <w:rPr>
          <w:rFonts w:ascii="Garamond" w:hAnsi="Garamond"/>
          <w:sz w:val="24"/>
          <w:szCs w:val="24"/>
        </w:rPr>
        <w:t xml:space="preserve">it </w:t>
      </w:r>
      <w:r w:rsidR="00B332A6">
        <w:rPr>
          <w:rFonts w:ascii="Garamond" w:hAnsi="Garamond"/>
          <w:sz w:val="24"/>
          <w:szCs w:val="24"/>
        </w:rPr>
        <w:t xml:space="preserve">would not affect the </w:t>
      </w:r>
      <w:r w:rsidR="00994249">
        <w:rPr>
          <w:rFonts w:ascii="Garamond" w:hAnsi="Garamond"/>
          <w:sz w:val="24"/>
          <w:szCs w:val="24"/>
        </w:rPr>
        <w:t>expelled</w:t>
      </w:r>
      <w:r w:rsidR="00B332A6">
        <w:rPr>
          <w:rFonts w:ascii="Garamond" w:hAnsi="Garamond"/>
          <w:sz w:val="24"/>
          <w:szCs w:val="24"/>
        </w:rPr>
        <w:t xml:space="preserve"> state on the strategic level – namely, democratisation and protection of human rights within the state. </w:t>
      </w:r>
      <w:r w:rsidR="00C94E84">
        <w:rPr>
          <w:rFonts w:ascii="Garamond" w:hAnsi="Garamond"/>
          <w:sz w:val="24"/>
          <w:szCs w:val="24"/>
        </w:rPr>
        <w:t>Here,</w:t>
      </w:r>
      <w:r w:rsidR="003B775D">
        <w:rPr>
          <w:rFonts w:ascii="Garamond" w:hAnsi="Garamond"/>
          <w:sz w:val="24"/>
          <w:szCs w:val="24"/>
        </w:rPr>
        <w:t xml:space="preserve"> we</w:t>
      </w:r>
      <w:r w:rsidR="00E63D5A">
        <w:rPr>
          <w:rFonts w:ascii="Garamond" w:hAnsi="Garamond"/>
          <w:sz w:val="24"/>
          <w:szCs w:val="24"/>
        </w:rPr>
        <w:t xml:space="preserve"> will examine the </w:t>
      </w:r>
      <w:r w:rsidR="00BC538B">
        <w:rPr>
          <w:rFonts w:ascii="Garamond" w:hAnsi="Garamond"/>
          <w:sz w:val="24"/>
          <w:szCs w:val="24"/>
        </w:rPr>
        <w:t xml:space="preserve">inability of victims of human rights violations to bring </w:t>
      </w:r>
      <w:r w:rsidR="00E63D5A">
        <w:rPr>
          <w:rFonts w:ascii="Garamond" w:hAnsi="Garamond"/>
          <w:sz w:val="24"/>
          <w:szCs w:val="24"/>
        </w:rPr>
        <w:t>applications</w:t>
      </w:r>
      <w:r w:rsidR="00BC538B">
        <w:rPr>
          <w:rFonts w:ascii="Garamond" w:hAnsi="Garamond"/>
          <w:sz w:val="24"/>
          <w:szCs w:val="24"/>
        </w:rPr>
        <w:t xml:space="preserve"> to the ECtHR against the expelled states</w:t>
      </w:r>
      <w:r w:rsidR="00C94E84">
        <w:rPr>
          <w:rFonts w:ascii="Garamond" w:hAnsi="Garamond"/>
          <w:sz w:val="24"/>
          <w:szCs w:val="24"/>
        </w:rPr>
        <w:t>. There are many more areas in which expulsion can potentially reduce human rights protection of individuals. For example, Protocols 6 and 13 to the Convention</w:t>
      </w:r>
      <w:r w:rsidR="00253BD8">
        <w:rPr>
          <w:rFonts w:ascii="Garamond" w:hAnsi="Garamond"/>
          <w:sz w:val="24"/>
          <w:szCs w:val="24"/>
        </w:rPr>
        <w:t>, which</w:t>
      </w:r>
      <w:r w:rsidR="00C94E84">
        <w:rPr>
          <w:rFonts w:ascii="Garamond" w:hAnsi="Garamond"/>
          <w:sz w:val="24"/>
          <w:szCs w:val="24"/>
        </w:rPr>
        <w:t xml:space="preserve"> prohibit </w:t>
      </w:r>
      <w:r w:rsidR="0028174A">
        <w:rPr>
          <w:rFonts w:ascii="Garamond" w:hAnsi="Garamond"/>
          <w:sz w:val="24"/>
          <w:szCs w:val="24"/>
        </w:rPr>
        <w:t xml:space="preserve">the </w:t>
      </w:r>
      <w:r w:rsidR="00BC538B">
        <w:rPr>
          <w:rFonts w:ascii="Garamond" w:hAnsi="Garamond"/>
          <w:sz w:val="24"/>
          <w:szCs w:val="24"/>
        </w:rPr>
        <w:t>re-introduction of the death penalty</w:t>
      </w:r>
      <w:r w:rsidR="00253BD8">
        <w:rPr>
          <w:rFonts w:ascii="Garamond" w:hAnsi="Garamond"/>
          <w:sz w:val="24"/>
          <w:szCs w:val="24"/>
        </w:rPr>
        <w:t>,</w:t>
      </w:r>
      <w:r w:rsidR="00BC538B">
        <w:rPr>
          <w:rFonts w:ascii="Garamond" w:hAnsi="Garamond"/>
          <w:sz w:val="24"/>
          <w:szCs w:val="24"/>
        </w:rPr>
        <w:t xml:space="preserve"> </w:t>
      </w:r>
      <w:r w:rsidR="00C94E84">
        <w:rPr>
          <w:rFonts w:ascii="Garamond" w:hAnsi="Garamond"/>
          <w:sz w:val="24"/>
          <w:szCs w:val="24"/>
        </w:rPr>
        <w:t>w</w:t>
      </w:r>
      <w:r w:rsidR="00253BD8">
        <w:rPr>
          <w:rFonts w:ascii="Garamond" w:hAnsi="Garamond"/>
          <w:sz w:val="24"/>
          <w:szCs w:val="24"/>
        </w:rPr>
        <w:t>ould</w:t>
      </w:r>
      <w:r w:rsidR="00C94E84">
        <w:rPr>
          <w:rFonts w:ascii="Garamond" w:hAnsi="Garamond"/>
          <w:sz w:val="24"/>
          <w:szCs w:val="24"/>
        </w:rPr>
        <w:t xml:space="preserve"> not be applicable </w:t>
      </w:r>
      <w:r w:rsidR="00BC538B">
        <w:rPr>
          <w:rFonts w:ascii="Garamond" w:hAnsi="Garamond"/>
          <w:sz w:val="24"/>
          <w:szCs w:val="24"/>
        </w:rPr>
        <w:t xml:space="preserve">in </w:t>
      </w:r>
      <w:r w:rsidR="0037331D">
        <w:rPr>
          <w:rFonts w:ascii="Garamond" w:hAnsi="Garamond"/>
          <w:sz w:val="24"/>
          <w:szCs w:val="24"/>
        </w:rPr>
        <w:t>an</w:t>
      </w:r>
      <w:r w:rsidR="00BC538B">
        <w:rPr>
          <w:rFonts w:ascii="Garamond" w:hAnsi="Garamond"/>
          <w:sz w:val="24"/>
          <w:szCs w:val="24"/>
        </w:rPr>
        <w:t xml:space="preserve"> expelled state</w:t>
      </w:r>
      <w:r w:rsidR="00C94E84">
        <w:rPr>
          <w:rFonts w:ascii="Garamond" w:hAnsi="Garamond"/>
          <w:sz w:val="24"/>
          <w:szCs w:val="24"/>
        </w:rPr>
        <w:t xml:space="preserve"> as well as</w:t>
      </w:r>
      <w:r w:rsidR="00E04E7C">
        <w:rPr>
          <w:rFonts w:ascii="Garamond" w:hAnsi="Garamond"/>
          <w:sz w:val="24"/>
          <w:szCs w:val="24"/>
        </w:rPr>
        <w:t xml:space="preserve"> various</w:t>
      </w:r>
      <w:r w:rsidR="00CE0003">
        <w:rPr>
          <w:rFonts w:ascii="Garamond" w:hAnsi="Garamond"/>
          <w:sz w:val="24"/>
          <w:szCs w:val="24"/>
        </w:rPr>
        <w:t xml:space="preserve"> </w:t>
      </w:r>
      <w:r w:rsidR="00BC538B">
        <w:rPr>
          <w:rFonts w:ascii="Garamond" w:hAnsi="Garamond"/>
          <w:sz w:val="24"/>
          <w:szCs w:val="24"/>
        </w:rPr>
        <w:t xml:space="preserve">conventions and activities </w:t>
      </w:r>
      <w:r w:rsidR="00E04E7C">
        <w:rPr>
          <w:rFonts w:ascii="Garamond" w:hAnsi="Garamond"/>
          <w:sz w:val="24"/>
          <w:szCs w:val="24"/>
        </w:rPr>
        <w:t xml:space="preserve">of </w:t>
      </w:r>
      <w:r w:rsidR="00BC538B">
        <w:rPr>
          <w:rFonts w:ascii="Garamond" w:hAnsi="Garamond"/>
          <w:sz w:val="24"/>
          <w:szCs w:val="24"/>
        </w:rPr>
        <w:t xml:space="preserve">the </w:t>
      </w:r>
      <w:r w:rsidR="0026418C">
        <w:rPr>
          <w:rFonts w:ascii="Garamond" w:hAnsi="Garamond"/>
          <w:sz w:val="24"/>
          <w:szCs w:val="24"/>
        </w:rPr>
        <w:t xml:space="preserve">CoE </w:t>
      </w:r>
      <w:r w:rsidR="00E04E7C">
        <w:rPr>
          <w:rFonts w:ascii="Garamond" w:hAnsi="Garamond"/>
          <w:sz w:val="24"/>
          <w:szCs w:val="24"/>
        </w:rPr>
        <w:t>that are designed to improve</w:t>
      </w:r>
      <w:r w:rsidR="00E63D5A">
        <w:rPr>
          <w:rFonts w:ascii="Garamond" w:hAnsi="Garamond"/>
          <w:sz w:val="24"/>
          <w:szCs w:val="24"/>
        </w:rPr>
        <w:t xml:space="preserve"> human rights protection in </w:t>
      </w:r>
      <w:r w:rsidR="00E04E7C">
        <w:rPr>
          <w:rFonts w:ascii="Garamond" w:hAnsi="Garamond"/>
          <w:sz w:val="24"/>
          <w:szCs w:val="24"/>
        </w:rPr>
        <w:t xml:space="preserve">its </w:t>
      </w:r>
      <w:r w:rsidR="00AA264D">
        <w:rPr>
          <w:rFonts w:ascii="Garamond" w:hAnsi="Garamond"/>
          <w:sz w:val="24"/>
          <w:szCs w:val="24"/>
        </w:rPr>
        <w:t>member state</w:t>
      </w:r>
      <w:r w:rsidR="00C94E84">
        <w:rPr>
          <w:rFonts w:ascii="Garamond" w:hAnsi="Garamond"/>
          <w:sz w:val="24"/>
          <w:szCs w:val="24"/>
        </w:rPr>
        <w:t>.</w:t>
      </w:r>
      <w:r w:rsidR="0028174A">
        <w:rPr>
          <w:rStyle w:val="FootnoteReference"/>
          <w:rFonts w:ascii="Garamond" w:hAnsi="Garamond"/>
          <w:sz w:val="24"/>
          <w:szCs w:val="24"/>
        </w:rPr>
        <w:footnoteReference w:id="125"/>
      </w:r>
      <w:r w:rsidR="00C94E84">
        <w:rPr>
          <w:rFonts w:ascii="Garamond" w:hAnsi="Garamond"/>
          <w:sz w:val="24"/>
          <w:szCs w:val="24"/>
        </w:rPr>
        <w:t xml:space="preserve"> </w:t>
      </w:r>
      <w:r w:rsidR="001618A9">
        <w:rPr>
          <w:rFonts w:ascii="Garamond" w:hAnsi="Garamond"/>
          <w:sz w:val="24"/>
          <w:szCs w:val="24"/>
        </w:rPr>
        <w:t>Beyond the ECtHR, there are many more CoE human rights bodies that monitor human rights commitments of the member states.</w:t>
      </w:r>
      <w:r w:rsidR="001618A9">
        <w:rPr>
          <w:rStyle w:val="FootnoteReference"/>
          <w:rFonts w:ascii="Garamond" w:hAnsi="Garamond"/>
          <w:sz w:val="24"/>
          <w:szCs w:val="24"/>
        </w:rPr>
        <w:footnoteReference w:id="126"/>
      </w:r>
      <w:r w:rsidR="001618A9">
        <w:rPr>
          <w:rFonts w:ascii="Garamond" w:hAnsi="Garamond"/>
          <w:sz w:val="24"/>
          <w:szCs w:val="24"/>
        </w:rPr>
        <w:t xml:space="preserve"> It seems however that the ECtHR is the most significant part of the Strasbourg </w:t>
      </w:r>
      <w:r w:rsidR="005C60A5">
        <w:rPr>
          <w:rFonts w:ascii="Garamond" w:hAnsi="Garamond"/>
          <w:sz w:val="24"/>
          <w:szCs w:val="24"/>
        </w:rPr>
        <w:t>machinery</w:t>
      </w:r>
      <w:r w:rsidR="001618A9">
        <w:rPr>
          <w:rFonts w:ascii="Garamond" w:hAnsi="Garamond"/>
          <w:sz w:val="24"/>
          <w:szCs w:val="24"/>
        </w:rPr>
        <w:t xml:space="preserve"> of human rights protection and therefore we will mainly consider it.</w:t>
      </w:r>
    </w:p>
    <w:p w14:paraId="1B59D22D" w14:textId="32FF26B6" w:rsidR="005F7761" w:rsidRDefault="00BC538B" w:rsidP="00950955">
      <w:pPr>
        <w:spacing w:line="240" w:lineRule="auto"/>
        <w:jc w:val="both"/>
        <w:rPr>
          <w:rFonts w:ascii="Garamond" w:hAnsi="Garamond"/>
          <w:sz w:val="24"/>
          <w:szCs w:val="24"/>
        </w:rPr>
      </w:pPr>
      <w:r>
        <w:rPr>
          <w:rFonts w:ascii="Garamond" w:hAnsi="Garamond"/>
          <w:sz w:val="24"/>
          <w:szCs w:val="24"/>
        </w:rPr>
        <w:t xml:space="preserve">Expulsion from the </w:t>
      </w:r>
      <w:r w:rsidR="0026418C">
        <w:rPr>
          <w:rFonts w:ascii="Garamond" w:hAnsi="Garamond"/>
          <w:sz w:val="24"/>
          <w:szCs w:val="24"/>
        </w:rPr>
        <w:t xml:space="preserve">CoE </w:t>
      </w:r>
      <w:r>
        <w:rPr>
          <w:rFonts w:ascii="Garamond" w:hAnsi="Garamond"/>
          <w:sz w:val="24"/>
          <w:szCs w:val="24"/>
        </w:rPr>
        <w:t xml:space="preserve">will signify that any person under the jurisdiction of the </w:t>
      </w:r>
      <w:r w:rsidR="005F7761">
        <w:rPr>
          <w:rFonts w:ascii="Garamond" w:hAnsi="Garamond"/>
          <w:sz w:val="24"/>
          <w:szCs w:val="24"/>
        </w:rPr>
        <w:t xml:space="preserve">former </w:t>
      </w:r>
      <w:r w:rsidR="00AA264D">
        <w:rPr>
          <w:rFonts w:ascii="Garamond" w:hAnsi="Garamond"/>
          <w:sz w:val="24"/>
          <w:szCs w:val="24"/>
        </w:rPr>
        <w:t>member state</w:t>
      </w:r>
      <w:r>
        <w:rPr>
          <w:rFonts w:ascii="Garamond" w:hAnsi="Garamond"/>
          <w:sz w:val="24"/>
          <w:szCs w:val="24"/>
        </w:rPr>
        <w:t xml:space="preserve"> whose rights are </w:t>
      </w:r>
      <w:r w:rsidR="003715A6">
        <w:rPr>
          <w:rFonts w:ascii="Garamond" w:hAnsi="Garamond"/>
          <w:sz w:val="24"/>
          <w:szCs w:val="24"/>
        </w:rPr>
        <w:t xml:space="preserve">allegedly </w:t>
      </w:r>
      <w:r>
        <w:rPr>
          <w:rFonts w:ascii="Garamond" w:hAnsi="Garamond"/>
          <w:sz w:val="24"/>
          <w:szCs w:val="24"/>
        </w:rPr>
        <w:t xml:space="preserve">violated will lose an opportunity to apply to the ECtHR. The Secretary General of the </w:t>
      </w:r>
      <w:r w:rsidR="0026418C">
        <w:rPr>
          <w:rFonts w:ascii="Garamond" w:hAnsi="Garamond"/>
          <w:sz w:val="24"/>
          <w:szCs w:val="24"/>
        </w:rPr>
        <w:t xml:space="preserve">CoE </w:t>
      </w:r>
      <w:r>
        <w:rPr>
          <w:rFonts w:ascii="Garamond" w:hAnsi="Garamond"/>
          <w:sz w:val="24"/>
          <w:szCs w:val="24"/>
        </w:rPr>
        <w:t xml:space="preserve">has identified this as one of the key </w:t>
      </w:r>
      <w:r w:rsidR="001A75F0">
        <w:rPr>
          <w:rFonts w:ascii="Garamond" w:hAnsi="Garamond"/>
          <w:sz w:val="24"/>
          <w:szCs w:val="24"/>
        </w:rPr>
        <w:t xml:space="preserve">challenges </w:t>
      </w:r>
      <w:r w:rsidR="003715A6">
        <w:rPr>
          <w:rFonts w:ascii="Garamond" w:hAnsi="Garamond"/>
          <w:sz w:val="24"/>
          <w:szCs w:val="24"/>
        </w:rPr>
        <w:t>of expulsions or withdrawals</w:t>
      </w:r>
      <w:r>
        <w:rPr>
          <w:rFonts w:ascii="Garamond" w:hAnsi="Garamond"/>
          <w:sz w:val="24"/>
          <w:szCs w:val="24"/>
        </w:rPr>
        <w:t xml:space="preserve">. </w:t>
      </w:r>
      <w:r w:rsidR="003715A6">
        <w:rPr>
          <w:rFonts w:ascii="Garamond" w:hAnsi="Garamond"/>
          <w:sz w:val="24"/>
          <w:szCs w:val="24"/>
        </w:rPr>
        <w:t>On the example of Russia h</w:t>
      </w:r>
      <w:r>
        <w:rPr>
          <w:rFonts w:ascii="Garamond" w:hAnsi="Garamond"/>
          <w:sz w:val="24"/>
          <w:szCs w:val="24"/>
        </w:rPr>
        <w:t>e pointed out that: ‘</w:t>
      </w:r>
      <w:r w:rsidR="00BD6494">
        <w:rPr>
          <w:rFonts w:ascii="Garamond" w:hAnsi="Garamond"/>
          <w:sz w:val="24"/>
          <w:szCs w:val="24"/>
        </w:rPr>
        <w:t>[i]</w:t>
      </w:r>
      <w:r w:rsidRPr="001170B5">
        <w:rPr>
          <w:rFonts w:ascii="Garamond" w:hAnsi="Garamond"/>
          <w:sz w:val="24"/>
          <w:szCs w:val="24"/>
        </w:rPr>
        <w:t>t would really be very, very bad if Russia was to leave</w:t>
      </w:r>
      <w:r w:rsidRPr="001170B5">
        <w:rPr>
          <w:rFonts w:ascii="Times New Roman" w:hAnsi="Times New Roman" w:cs="Times New Roman"/>
          <w:sz w:val="24"/>
          <w:szCs w:val="24"/>
        </w:rPr>
        <w:t> </w:t>
      </w:r>
      <w:r w:rsidRPr="001170B5">
        <w:rPr>
          <w:rFonts w:ascii="Garamond" w:hAnsi="Garamond"/>
          <w:sz w:val="24"/>
          <w:szCs w:val="24"/>
        </w:rPr>
        <w:t>.</w:t>
      </w:r>
      <w:r w:rsidRPr="001170B5">
        <w:rPr>
          <w:rFonts w:ascii="Times New Roman" w:hAnsi="Times New Roman" w:cs="Times New Roman"/>
          <w:sz w:val="24"/>
          <w:szCs w:val="24"/>
        </w:rPr>
        <w:t> </w:t>
      </w:r>
      <w:r w:rsidRPr="001170B5">
        <w:rPr>
          <w:rFonts w:ascii="Garamond" w:hAnsi="Garamond"/>
          <w:sz w:val="24"/>
          <w:szCs w:val="24"/>
        </w:rPr>
        <w:t>.</w:t>
      </w:r>
      <w:r w:rsidRPr="001170B5">
        <w:rPr>
          <w:rFonts w:ascii="Times New Roman" w:hAnsi="Times New Roman" w:cs="Times New Roman"/>
          <w:sz w:val="24"/>
          <w:szCs w:val="24"/>
        </w:rPr>
        <w:t> </w:t>
      </w:r>
      <w:r w:rsidRPr="001170B5">
        <w:rPr>
          <w:rFonts w:ascii="Garamond" w:hAnsi="Garamond"/>
          <w:sz w:val="24"/>
          <w:szCs w:val="24"/>
        </w:rPr>
        <w:t>.</w:t>
      </w:r>
      <w:r w:rsidRPr="001170B5">
        <w:rPr>
          <w:rFonts w:ascii="Times New Roman" w:hAnsi="Times New Roman" w:cs="Times New Roman"/>
          <w:sz w:val="24"/>
          <w:szCs w:val="24"/>
        </w:rPr>
        <w:t> </w:t>
      </w:r>
      <w:r w:rsidRPr="001170B5">
        <w:rPr>
          <w:rFonts w:ascii="Garamond" w:hAnsi="Garamond"/>
          <w:sz w:val="24"/>
          <w:szCs w:val="24"/>
        </w:rPr>
        <w:t>because the convention and court has been so important for Russian citizens</w:t>
      </w:r>
      <w:r>
        <w:rPr>
          <w:rFonts w:ascii="Garamond" w:hAnsi="Garamond"/>
          <w:sz w:val="24"/>
          <w:szCs w:val="24"/>
        </w:rPr>
        <w:t>’.</w:t>
      </w:r>
      <w:r>
        <w:rPr>
          <w:rStyle w:val="FootnoteReference"/>
          <w:rFonts w:ascii="Garamond" w:hAnsi="Garamond"/>
          <w:sz w:val="24"/>
          <w:szCs w:val="24"/>
        </w:rPr>
        <w:footnoteReference w:id="127"/>
      </w:r>
      <w:r>
        <w:rPr>
          <w:rFonts w:ascii="Garamond" w:hAnsi="Garamond"/>
          <w:sz w:val="24"/>
          <w:szCs w:val="24"/>
        </w:rPr>
        <w:t xml:space="preserve"> Indeed, millions of people </w:t>
      </w:r>
      <w:r w:rsidR="00BD6494">
        <w:rPr>
          <w:rFonts w:ascii="Garamond" w:hAnsi="Garamond"/>
          <w:sz w:val="24"/>
          <w:szCs w:val="24"/>
        </w:rPr>
        <w:t xml:space="preserve">might </w:t>
      </w:r>
      <w:r>
        <w:rPr>
          <w:rFonts w:ascii="Garamond" w:hAnsi="Garamond"/>
          <w:sz w:val="24"/>
          <w:szCs w:val="24"/>
        </w:rPr>
        <w:t xml:space="preserve">lose the right to apply to the </w:t>
      </w:r>
      <w:r w:rsidR="001A75F0">
        <w:rPr>
          <w:rFonts w:ascii="Garamond" w:hAnsi="Garamond"/>
          <w:sz w:val="24"/>
          <w:szCs w:val="24"/>
        </w:rPr>
        <w:t>ECtHR</w:t>
      </w:r>
      <w:r>
        <w:rPr>
          <w:rFonts w:ascii="Garamond" w:hAnsi="Garamond"/>
          <w:sz w:val="24"/>
          <w:szCs w:val="24"/>
        </w:rPr>
        <w:t>.</w:t>
      </w:r>
      <w:r>
        <w:rPr>
          <w:rStyle w:val="FootnoteReference"/>
          <w:rFonts w:ascii="Garamond" w:hAnsi="Garamond"/>
          <w:sz w:val="24"/>
          <w:szCs w:val="24"/>
        </w:rPr>
        <w:footnoteReference w:id="128"/>
      </w:r>
      <w:r>
        <w:rPr>
          <w:rFonts w:ascii="Garamond" w:hAnsi="Garamond"/>
          <w:sz w:val="24"/>
          <w:szCs w:val="24"/>
        </w:rPr>
        <w:t xml:space="preserve"> This will likely</w:t>
      </w:r>
      <w:r w:rsidR="00CE0003">
        <w:rPr>
          <w:rFonts w:ascii="Garamond" w:hAnsi="Garamond"/>
          <w:sz w:val="24"/>
          <w:szCs w:val="24"/>
        </w:rPr>
        <w:t xml:space="preserve"> </w:t>
      </w:r>
      <w:r>
        <w:rPr>
          <w:rFonts w:ascii="Garamond" w:hAnsi="Garamond"/>
          <w:sz w:val="24"/>
          <w:szCs w:val="24"/>
        </w:rPr>
        <w:lastRenderedPageBreak/>
        <w:t>reduce the level of international supervision on the compliance w</w:t>
      </w:r>
      <w:r w:rsidR="005F7761">
        <w:rPr>
          <w:rFonts w:ascii="Garamond" w:hAnsi="Garamond"/>
          <w:sz w:val="24"/>
          <w:szCs w:val="24"/>
        </w:rPr>
        <w:t>ith human rights standards in these</w:t>
      </w:r>
      <w:r>
        <w:rPr>
          <w:rFonts w:ascii="Garamond" w:hAnsi="Garamond"/>
          <w:sz w:val="24"/>
          <w:szCs w:val="24"/>
        </w:rPr>
        <w:t xml:space="preserve"> states. </w:t>
      </w:r>
    </w:p>
    <w:p w14:paraId="5FE0CF74" w14:textId="0A1B17C2" w:rsidR="00B452F9" w:rsidRDefault="002E3A6A" w:rsidP="00950955">
      <w:pPr>
        <w:spacing w:line="240" w:lineRule="auto"/>
        <w:jc w:val="both"/>
        <w:rPr>
          <w:rFonts w:ascii="Garamond" w:hAnsi="Garamond"/>
          <w:sz w:val="24"/>
          <w:szCs w:val="24"/>
        </w:rPr>
      </w:pPr>
      <w:r>
        <w:rPr>
          <w:rFonts w:ascii="Garamond" w:hAnsi="Garamond"/>
          <w:sz w:val="24"/>
          <w:szCs w:val="24"/>
        </w:rPr>
        <w:t xml:space="preserve">At this </w:t>
      </w:r>
      <w:r w:rsidR="003715A6">
        <w:rPr>
          <w:rFonts w:ascii="Garamond" w:hAnsi="Garamond"/>
          <w:sz w:val="24"/>
          <w:szCs w:val="24"/>
        </w:rPr>
        <w:t>stage,</w:t>
      </w:r>
      <w:r>
        <w:rPr>
          <w:rFonts w:ascii="Garamond" w:hAnsi="Garamond"/>
          <w:sz w:val="24"/>
          <w:szCs w:val="24"/>
        </w:rPr>
        <w:t xml:space="preserve"> one </w:t>
      </w:r>
      <w:r w:rsidR="003715A6">
        <w:rPr>
          <w:rFonts w:ascii="Garamond" w:hAnsi="Garamond"/>
          <w:sz w:val="24"/>
          <w:szCs w:val="24"/>
        </w:rPr>
        <w:t xml:space="preserve">however </w:t>
      </w:r>
      <w:r>
        <w:rPr>
          <w:rFonts w:ascii="Garamond" w:hAnsi="Garamond"/>
          <w:sz w:val="24"/>
          <w:szCs w:val="24"/>
        </w:rPr>
        <w:t xml:space="preserve">needs to consider whether the </w:t>
      </w:r>
      <w:r w:rsidR="006D42F8">
        <w:rPr>
          <w:rFonts w:ascii="Garamond" w:hAnsi="Garamond"/>
          <w:sz w:val="24"/>
          <w:szCs w:val="24"/>
        </w:rPr>
        <w:t>ECtHR</w:t>
      </w:r>
      <w:r>
        <w:rPr>
          <w:rFonts w:ascii="Garamond" w:hAnsi="Garamond"/>
          <w:sz w:val="24"/>
          <w:szCs w:val="24"/>
        </w:rPr>
        <w:t xml:space="preserve"> has </w:t>
      </w:r>
      <w:r w:rsidR="006D42F8">
        <w:rPr>
          <w:rFonts w:ascii="Garamond" w:hAnsi="Garamond"/>
          <w:sz w:val="24"/>
          <w:szCs w:val="24"/>
        </w:rPr>
        <w:t xml:space="preserve">been </w:t>
      </w:r>
      <w:r w:rsidR="00162006">
        <w:rPr>
          <w:rFonts w:ascii="Garamond" w:hAnsi="Garamond"/>
          <w:sz w:val="24"/>
          <w:szCs w:val="24"/>
        </w:rPr>
        <w:t xml:space="preserve">indeed </w:t>
      </w:r>
      <w:r w:rsidR="006D42F8">
        <w:rPr>
          <w:rFonts w:ascii="Garamond" w:hAnsi="Garamond"/>
          <w:sz w:val="24"/>
          <w:szCs w:val="24"/>
        </w:rPr>
        <w:t>‘</w:t>
      </w:r>
      <w:r w:rsidR="006D42F8" w:rsidRPr="001170B5">
        <w:rPr>
          <w:rFonts w:ascii="Garamond" w:hAnsi="Garamond"/>
          <w:sz w:val="24"/>
          <w:szCs w:val="24"/>
        </w:rPr>
        <w:t xml:space="preserve">so important for </w:t>
      </w:r>
      <w:r w:rsidR="006D42F8">
        <w:rPr>
          <w:rFonts w:ascii="Garamond" w:hAnsi="Garamond"/>
          <w:sz w:val="24"/>
          <w:szCs w:val="24"/>
        </w:rPr>
        <w:t xml:space="preserve">[the] </w:t>
      </w:r>
      <w:r w:rsidR="006D42F8" w:rsidRPr="001170B5">
        <w:rPr>
          <w:rFonts w:ascii="Garamond" w:hAnsi="Garamond"/>
          <w:sz w:val="24"/>
          <w:szCs w:val="24"/>
        </w:rPr>
        <w:t>citizens</w:t>
      </w:r>
      <w:r w:rsidR="006D42F8">
        <w:rPr>
          <w:rFonts w:ascii="Garamond" w:hAnsi="Garamond"/>
          <w:sz w:val="24"/>
          <w:szCs w:val="24"/>
        </w:rPr>
        <w:t>’ of the</w:t>
      </w:r>
      <w:r>
        <w:rPr>
          <w:rFonts w:ascii="Garamond" w:hAnsi="Garamond"/>
          <w:sz w:val="24"/>
          <w:szCs w:val="24"/>
        </w:rPr>
        <w:t xml:space="preserve"> states</w:t>
      </w:r>
      <w:r w:rsidR="00994249">
        <w:rPr>
          <w:rFonts w:ascii="Garamond" w:hAnsi="Garamond"/>
          <w:sz w:val="24"/>
          <w:szCs w:val="24"/>
        </w:rPr>
        <w:t xml:space="preserve"> </w:t>
      </w:r>
      <w:r w:rsidR="005C60A5">
        <w:rPr>
          <w:rFonts w:ascii="Garamond" w:hAnsi="Garamond"/>
          <w:sz w:val="24"/>
          <w:szCs w:val="24"/>
        </w:rPr>
        <w:t>with a questionable human rights record</w:t>
      </w:r>
      <w:r>
        <w:rPr>
          <w:rFonts w:ascii="Garamond" w:hAnsi="Garamond"/>
          <w:sz w:val="24"/>
          <w:szCs w:val="24"/>
        </w:rPr>
        <w:t xml:space="preserve">. Of course, </w:t>
      </w:r>
      <w:r w:rsidR="00162006">
        <w:rPr>
          <w:rFonts w:ascii="Garamond" w:hAnsi="Garamond"/>
          <w:sz w:val="24"/>
          <w:szCs w:val="24"/>
        </w:rPr>
        <w:t>the Court is influential</w:t>
      </w:r>
      <w:r>
        <w:rPr>
          <w:rFonts w:ascii="Garamond" w:hAnsi="Garamond"/>
          <w:sz w:val="24"/>
          <w:szCs w:val="24"/>
        </w:rPr>
        <w:t xml:space="preserve"> in cases which are not politically sensitive and are not considered threatening or important by the authorities.</w:t>
      </w:r>
      <w:r w:rsidR="00E7641B">
        <w:rPr>
          <w:rStyle w:val="FootnoteReference"/>
          <w:rFonts w:ascii="Garamond" w:hAnsi="Garamond"/>
          <w:sz w:val="24"/>
          <w:szCs w:val="24"/>
        </w:rPr>
        <w:footnoteReference w:id="129"/>
      </w:r>
      <w:r w:rsidR="00E43A37">
        <w:rPr>
          <w:rFonts w:ascii="Garamond" w:hAnsi="Garamond"/>
          <w:sz w:val="24"/>
          <w:szCs w:val="24"/>
        </w:rPr>
        <w:t xml:space="preserve"> </w:t>
      </w:r>
      <w:r w:rsidR="00421A5B">
        <w:rPr>
          <w:rFonts w:ascii="Garamond" w:hAnsi="Garamond"/>
          <w:sz w:val="24"/>
          <w:szCs w:val="24"/>
        </w:rPr>
        <w:t xml:space="preserve">Often it is difficult to trace various changes in </w:t>
      </w:r>
      <w:r w:rsidR="005C60A5">
        <w:rPr>
          <w:rFonts w:ascii="Garamond" w:hAnsi="Garamond"/>
          <w:sz w:val="24"/>
          <w:szCs w:val="24"/>
        </w:rPr>
        <w:t xml:space="preserve">national </w:t>
      </w:r>
      <w:r w:rsidR="00421A5B">
        <w:rPr>
          <w:rFonts w:ascii="Garamond" w:hAnsi="Garamond"/>
          <w:sz w:val="24"/>
          <w:szCs w:val="24"/>
        </w:rPr>
        <w:t>law back to the ECtHR but these changes were clearly happening while Russia or other possible candidates for expulsion were members of the Council.</w:t>
      </w:r>
      <w:r w:rsidR="00421A5B">
        <w:rPr>
          <w:rStyle w:val="FootnoteReference"/>
          <w:rFonts w:ascii="Garamond" w:hAnsi="Garamond"/>
          <w:sz w:val="24"/>
          <w:szCs w:val="24"/>
        </w:rPr>
        <w:footnoteReference w:id="130"/>
      </w:r>
      <w:r w:rsidR="00421A5B">
        <w:rPr>
          <w:rFonts w:ascii="Garamond" w:hAnsi="Garamond"/>
          <w:sz w:val="24"/>
          <w:szCs w:val="24"/>
        </w:rPr>
        <w:t xml:space="preserve"> Having said that all </w:t>
      </w:r>
      <w:r w:rsidR="0019263A">
        <w:rPr>
          <w:rFonts w:ascii="Garamond" w:hAnsi="Garamond"/>
          <w:sz w:val="24"/>
          <w:szCs w:val="24"/>
        </w:rPr>
        <w:t xml:space="preserve">these </w:t>
      </w:r>
      <w:r w:rsidR="00421A5B">
        <w:rPr>
          <w:rFonts w:ascii="Garamond" w:hAnsi="Garamond"/>
          <w:sz w:val="24"/>
          <w:szCs w:val="24"/>
        </w:rPr>
        <w:t xml:space="preserve">changes were not enough to </w:t>
      </w:r>
      <w:r w:rsidR="0019263A">
        <w:rPr>
          <w:rFonts w:ascii="Garamond" w:hAnsi="Garamond"/>
          <w:sz w:val="24"/>
          <w:szCs w:val="24"/>
        </w:rPr>
        <w:t>firmly fix their political and legal</w:t>
      </w:r>
      <w:r w:rsidR="00421A5B">
        <w:rPr>
          <w:rFonts w:ascii="Garamond" w:hAnsi="Garamond"/>
          <w:sz w:val="24"/>
          <w:szCs w:val="24"/>
        </w:rPr>
        <w:t xml:space="preserve"> system </w:t>
      </w:r>
      <w:r w:rsidR="0019263A">
        <w:rPr>
          <w:rFonts w:ascii="Garamond" w:hAnsi="Garamond"/>
          <w:sz w:val="24"/>
          <w:szCs w:val="24"/>
        </w:rPr>
        <w:t xml:space="preserve">in the principles </w:t>
      </w:r>
      <w:r w:rsidR="00421A5B">
        <w:rPr>
          <w:rFonts w:ascii="Garamond" w:hAnsi="Garamond"/>
          <w:sz w:val="24"/>
          <w:szCs w:val="24"/>
        </w:rPr>
        <w:t xml:space="preserve">of human rights, democracy and rule of law. </w:t>
      </w:r>
      <w:r>
        <w:rPr>
          <w:rFonts w:ascii="Garamond" w:hAnsi="Garamond"/>
          <w:sz w:val="24"/>
          <w:szCs w:val="24"/>
        </w:rPr>
        <w:t>Roter argue</w:t>
      </w:r>
      <w:r w:rsidR="006D42F8">
        <w:rPr>
          <w:rFonts w:ascii="Garamond" w:hAnsi="Garamond"/>
          <w:sz w:val="24"/>
          <w:szCs w:val="24"/>
        </w:rPr>
        <w:t>s</w:t>
      </w:r>
      <w:r>
        <w:rPr>
          <w:rFonts w:ascii="Garamond" w:hAnsi="Garamond"/>
          <w:sz w:val="24"/>
          <w:szCs w:val="24"/>
        </w:rPr>
        <w:t xml:space="preserve"> that Russia</w:t>
      </w:r>
      <w:r w:rsidR="005C60A5">
        <w:rPr>
          <w:rFonts w:ascii="Garamond" w:hAnsi="Garamond"/>
          <w:sz w:val="24"/>
          <w:szCs w:val="24"/>
        </w:rPr>
        <w:t>, for example,</w:t>
      </w:r>
      <w:r>
        <w:rPr>
          <w:rFonts w:ascii="Garamond" w:hAnsi="Garamond"/>
          <w:sz w:val="24"/>
          <w:szCs w:val="24"/>
        </w:rPr>
        <w:t xml:space="preserve"> is using an </w:t>
      </w:r>
      <w:r w:rsidRPr="006D42F8">
        <w:rPr>
          <w:rFonts w:ascii="Garamond" w:hAnsi="Garamond"/>
          <w:i/>
          <w:sz w:val="24"/>
          <w:szCs w:val="24"/>
        </w:rPr>
        <w:t>a la carte</w:t>
      </w:r>
      <w:r>
        <w:rPr>
          <w:rFonts w:ascii="Garamond" w:hAnsi="Garamond"/>
          <w:sz w:val="24"/>
          <w:szCs w:val="24"/>
        </w:rPr>
        <w:t xml:space="preserve"> approach to the standards of the </w:t>
      </w:r>
      <w:r w:rsidR="005C60A5">
        <w:rPr>
          <w:rFonts w:ascii="Garamond" w:hAnsi="Garamond"/>
          <w:sz w:val="24"/>
          <w:szCs w:val="24"/>
        </w:rPr>
        <w:t>CoE</w:t>
      </w:r>
      <w:r>
        <w:rPr>
          <w:rFonts w:ascii="Garamond" w:hAnsi="Garamond"/>
          <w:sz w:val="24"/>
          <w:szCs w:val="24"/>
        </w:rPr>
        <w:t>.</w:t>
      </w:r>
      <w:bookmarkStart w:id="9" w:name="_Ref516672836"/>
      <w:r>
        <w:rPr>
          <w:rStyle w:val="FootnoteReference"/>
          <w:rFonts w:ascii="Garamond" w:hAnsi="Garamond"/>
          <w:sz w:val="24"/>
          <w:szCs w:val="24"/>
        </w:rPr>
        <w:footnoteReference w:id="131"/>
      </w:r>
      <w:bookmarkEnd w:id="9"/>
      <w:r>
        <w:rPr>
          <w:rFonts w:ascii="Garamond" w:hAnsi="Garamond"/>
          <w:sz w:val="24"/>
          <w:szCs w:val="24"/>
        </w:rPr>
        <w:t xml:space="preserve"> This means that</w:t>
      </w:r>
      <w:r w:rsidR="00244A63">
        <w:rPr>
          <w:rFonts w:ascii="Garamond" w:hAnsi="Garamond"/>
          <w:sz w:val="24"/>
          <w:szCs w:val="24"/>
        </w:rPr>
        <w:t xml:space="preserve"> the</w:t>
      </w:r>
      <w:r>
        <w:rPr>
          <w:rFonts w:ascii="Garamond" w:hAnsi="Garamond"/>
          <w:sz w:val="24"/>
          <w:szCs w:val="24"/>
        </w:rPr>
        <w:t xml:space="preserve"> rights of some people in politically non-sensitive cases will </w:t>
      </w:r>
      <w:r w:rsidR="00162006">
        <w:rPr>
          <w:rFonts w:ascii="Garamond" w:hAnsi="Garamond"/>
          <w:sz w:val="24"/>
          <w:szCs w:val="24"/>
        </w:rPr>
        <w:t>lose an extra level of protection</w:t>
      </w:r>
      <w:r>
        <w:rPr>
          <w:rFonts w:ascii="Garamond" w:hAnsi="Garamond"/>
          <w:sz w:val="24"/>
          <w:szCs w:val="24"/>
        </w:rPr>
        <w:t xml:space="preserve"> </w:t>
      </w:r>
      <w:r w:rsidR="00994249">
        <w:rPr>
          <w:rFonts w:ascii="Garamond" w:hAnsi="Garamond"/>
          <w:sz w:val="24"/>
          <w:szCs w:val="24"/>
        </w:rPr>
        <w:t>in the event of expulsion</w:t>
      </w:r>
      <w:r>
        <w:rPr>
          <w:rFonts w:ascii="Garamond" w:hAnsi="Garamond"/>
          <w:sz w:val="24"/>
          <w:szCs w:val="24"/>
        </w:rPr>
        <w:t xml:space="preserve">. </w:t>
      </w:r>
      <w:r w:rsidR="00B452F9">
        <w:rPr>
          <w:rFonts w:ascii="Garamond" w:hAnsi="Garamond"/>
          <w:sz w:val="24"/>
          <w:szCs w:val="24"/>
        </w:rPr>
        <w:t xml:space="preserve">This argument might be </w:t>
      </w:r>
      <w:r w:rsidR="001A75F0">
        <w:rPr>
          <w:rFonts w:ascii="Garamond" w:hAnsi="Garamond"/>
          <w:sz w:val="24"/>
          <w:szCs w:val="24"/>
        </w:rPr>
        <w:t xml:space="preserve">mitigated </w:t>
      </w:r>
      <w:r w:rsidR="00B452F9">
        <w:rPr>
          <w:rFonts w:ascii="Garamond" w:hAnsi="Garamond"/>
          <w:sz w:val="24"/>
          <w:szCs w:val="24"/>
        </w:rPr>
        <w:t xml:space="preserve">by the fact that the </w:t>
      </w:r>
      <w:r w:rsidR="00994249">
        <w:rPr>
          <w:rFonts w:ascii="Garamond" w:hAnsi="Garamond"/>
          <w:sz w:val="24"/>
          <w:szCs w:val="24"/>
        </w:rPr>
        <w:t>expelled</w:t>
      </w:r>
      <w:r w:rsidR="00B452F9">
        <w:rPr>
          <w:rFonts w:ascii="Garamond" w:hAnsi="Garamond"/>
          <w:sz w:val="24"/>
          <w:szCs w:val="24"/>
        </w:rPr>
        <w:t xml:space="preserve"> states might be signatories to other international human rights regimes such as </w:t>
      </w:r>
      <w:r w:rsidR="00107E60">
        <w:rPr>
          <w:rFonts w:ascii="Garamond" w:hAnsi="Garamond"/>
          <w:sz w:val="24"/>
          <w:szCs w:val="24"/>
        </w:rPr>
        <w:t xml:space="preserve">the </w:t>
      </w:r>
      <w:r w:rsidR="00B452F9">
        <w:rPr>
          <w:rFonts w:ascii="Garamond" w:hAnsi="Garamond"/>
          <w:sz w:val="24"/>
          <w:szCs w:val="24"/>
        </w:rPr>
        <w:t xml:space="preserve">UN Human Rights Committee. Moreover, </w:t>
      </w:r>
      <w:r w:rsidR="00107E60">
        <w:rPr>
          <w:rFonts w:ascii="Garamond" w:hAnsi="Garamond"/>
          <w:sz w:val="24"/>
          <w:szCs w:val="24"/>
        </w:rPr>
        <w:t>the existence of member states within the</w:t>
      </w:r>
      <w:r w:rsidR="00B452F9">
        <w:rPr>
          <w:rFonts w:ascii="Garamond" w:hAnsi="Garamond"/>
          <w:sz w:val="24"/>
          <w:szCs w:val="24"/>
        </w:rPr>
        <w:t xml:space="preserve"> Strasbourg system </w:t>
      </w:r>
      <w:r w:rsidR="00107E60">
        <w:rPr>
          <w:rFonts w:ascii="Garamond" w:hAnsi="Garamond"/>
          <w:sz w:val="24"/>
          <w:szCs w:val="24"/>
        </w:rPr>
        <w:t xml:space="preserve">is predicated on the basis that the states concerned </w:t>
      </w:r>
      <w:r w:rsidR="001E7620">
        <w:rPr>
          <w:rFonts w:ascii="Garamond" w:hAnsi="Garamond"/>
          <w:sz w:val="24"/>
          <w:szCs w:val="24"/>
        </w:rPr>
        <w:t>were supposed to create a domestic system of human rights protection. If that did not happen it leads us to our core argument in this section</w:t>
      </w:r>
      <w:r w:rsidR="0037331D">
        <w:rPr>
          <w:rFonts w:ascii="Garamond" w:hAnsi="Garamond"/>
          <w:sz w:val="24"/>
          <w:szCs w:val="24"/>
        </w:rPr>
        <w:t>,</w:t>
      </w:r>
      <w:r w:rsidR="001E7620">
        <w:rPr>
          <w:rFonts w:ascii="Garamond" w:hAnsi="Garamond"/>
          <w:sz w:val="24"/>
          <w:szCs w:val="24"/>
        </w:rPr>
        <w:t xml:space="preserve"> namely, that solution of individual cases cannot justify membership of </w:t>
      </w:r>
      <w:r w:rsidR="00107E60">
        <w:rPr>
          <w:rFonts w:ascii="Garamond" w:hAnsi="Garamond"/>
          <w:sz w:val="24"/>
          <w:szCs w:val="24"/>
        </w:rPr>
        <w:t xml:space="preserve">such </w:t>
      </w:r>
      <w:r w:rsidR="001E7620">
        <w:rPr>
          <w:rFonts w:ascii="Garamond" w:hAnsi="Garamond"/>
          <w:sz w:val="24"/>
          <w:szCs w:val="24"/>
        </w:rPr>
        <w:t xml:space="preserve">states in the </w:t>
      </w:r>
      <w:r w:rsidR="005C60A5">
        <w:rPr>
          <w:rFonts w:ascii="Garamond" w:hAnsi="Garamond"/>
          <w:sz w:val="24"/>
          <w:szCs w:val="24"/>
        </w:rPr>
        <w:t>CoE</w:t>
      </w:r>
      <w:r w:rsidR="001E7620">
        <w:rPr>
          <w:rFonts w:ascii="Garamond" w:hAnsi="Garamond"/>
          <w:sz w:val="24"/>
          <w:szCs w:val="24"/>
        </w:rPr>
        <w:t>.</w:t>
      </w:r>
    </w:p>
    <w:p w14:paraId="4E837D71" w14:textId="326B1A6C" w:rsidR="00BC538B" w:rsidRDefault="002E3A6A" w:rsidP="00950955">
      <w:pPr>
        <w:spacing w:line="240" w:lineRule="auto"/>
        <w:jc w:val="both"/>
        <w:rPr>
          <w:rFonts w:ascii="Garamond" w:hAnsi="Garamond"/>
          <w:sz w:val="24"/>
          <w:szCs w:val="24"/>
        </w:rPr>
      </w:pPr>
      <w:r>
        <w:rPr>
          <w:rFonts w:ascii="Garamond" w:hAnsi="Garamond"/>
          <w:sz w:val="24"/>
          <w:szCs w:val="24"/>
        </w:rPr>
        <w:t>T</w:t>
      </w:r>
      <w:r w:rsidR="00BC538B">
        <w:rPr>
          <w:rFonts w:ascii="Garamond" w:hAnsi="Garamond"/>
          <w:sz w:val="24"/>
          <w:szCs w:val="24"/>
        </w:rPr>
        <w:t xml:space="preserve">he drafters of </w:t>
      </w:r>
      <w:r w:rsidR="00577A5A">
        <w:rPr>
          <w:rFonts w:ascii="Garamond" w:hAnsi="Garamond"/>
          <w:sz w:val="24"/>
          <w:szCs w:val="24"/>
        </w:rPr>
        <w:t xml:space="preserve">the </w:t>
      </w:r>
      <w:r w:rsidR="00BC538B">
        <w:rPr>
          <w:rFonts w:ascii="Garamond" w:hAnsi="Garamond"/>
          <w:sz w:val="24"/>
          <w:szCs w:val="24"/>
        </w:rPr>
        <w:t xml:space="preserve">Convention </w:t>
      </w:r>
      <w:r>
        <w:rPr>
          <w:rFonts w:ascii="Garamond" w:hAnsi="Garamond"/>
          <w:sz w:val="24"/>
          <w:szCs w:val="24"/>
        </w:rPr>
        <w:t>considered that its key</w:t>
      </w:r>
      <w:r w:rsidR="00BC538B">
        <w:rPr>
          <w:rFonts w:ascii="Garamond" w:hAnsi="Garamond"/>
          <w:sz w:val="24"/>
          <w:szCs w:val="24"/>
        </w:rPr>
        <w:t xml:space="preserve"> purpose</w:t>
      </w:r>
      <w:r>
        <w:rPr>
          <w:rFonts w:ascii="Garamond" w:hAnsi="Garamond"/>
          <w:sz w:val="24"/>
          <w:szCs w:val="24"/>
        </w:rPr>
        <w:t xml:space="preserve"> is</w:t>
      </w:r>
      <w:r w:rsidR="00BC538B">
        <w:rPr>
          <w:rFonts w:ascii="Garamond" w:hAnsi="Garamond"/>
          <w:sz w:val="24"/>
          <w:szCs w:val="24"/>
        </w:rPr>
        <w:t xml:space="preserve"> preventing</w:t>
      </w:r>
      <w:r w:rsidR="00107E60">
        <w:rPr>
          <w:rFonts w:ascii="Garamond" w:hAnsi="Garamond"/>
          <w:sz w:val="24"/>
          <w:szCs w:val="24"/>
        </w:rPr>
        <w:t xml:space="preserve"> the</w:t>
      </w:r>
      <w:r w:rsidR="00BC538B">
        <w:rPr>
          <w:rFonts w:ascii="Garamond" w:hAnsi="Garamond"/>
          <w:sz w:val="24"/>
          <w:szCs w:val="24"/>
        </w:rPr>
        <w:t xml:space="preserve"> </w:t>
      </w:r>
      <w:r>
        <w:rPr>
          <w:rFonts w:ascii="Garamond" w:hAnsi="Garamond"/>
          <w:sz w:val="24"/>
          <w:szCs w:val="24"/>
        </w:rPr>
        <w:t xml:space="preserve">systemic reduction </w:t>
      </w:r>
      <w:r w:rsidR="006D42F8">
        <w:rPr>
          <w:rFonts w:ascii="Garamond" w:hAnsi="Garamond"/>
          <w:sz w:val="24"/>
          <w:szCs w:val="24"/>
        </w:rPr>
        <w:t xml:space="preserve">in protection </w:t>
      </w:r>
      <w:r>
        <w:rPr>
          <w:rFonts w:ascii="Garamond" w:hAnsi="Garamond"/>
          <w:sz w:val="24"/>
          <w:szCs w:val="24"/>
        </w:rPr>
        <w:t>of</w:t>
      </w:r>
      <w:r w:rsidR="00BC538B">
        <w:rPr>
          <w:rFonts w:ascii="Garamond" w:hAnsi="Garamond"/>
          <w:sz w:val="24"/>
          <w:szCs w:val="24"/>
        </w:rPr>
        <w:t xml:space="preserve"> rights and freedoms and establishment of </w:t>
      </w:r>
      <w:r w:rsidR="006D42F8">
        <w:rPr>
          <w:rFonts w:ascii="Garamond" w:hAnsi="Garamond"/>
          <w:sz w:val="24"/>
          <w:szCs w:val="24"/>
        </w:rPr>
        <w:t xml:space="preserve">a </w:t>
      </w:r>
      <w:r w:rsidR="00BC538B">
        <w:rPr>
          <w:rFonts w:ascii="Garamond" w:hAnsi="Garamond"/>
          <w:sz w:val="24"/>
          <w:szCs w:val="24"/>
        </w:rPr>
        <w:t>non-democratic government.</w:t>
      </w:r>
      <w:bookmarkStart w:id="10" w:name="_Ref536181293"/>
      <w:r w:rsidR="00BC538B">
        <w:rPr>
          <w:rStyle w:val="FootnoteReference"/>
          <w:rFonts w:ascii="Garamond" w:hAnsi="Garamond"/>
          <w:sz w:val="24"/>
          <w:szCs w:val="24"/>
        </w:rPr>
        <w:footnoteReference w:id="132"/>
      </w:r>
      <w:bookmarkEnd w:id="10"/>
      <w:r w:rsidR="00BC538B">
        <w:rPr>
          <w:rFonts w:ascii="Garamond" w:hAnsi="Garamond"/>
          <w:sz w:val="24"/>
          <w:szCs w:val="24"/>
        </w:rPr>
        <w:t xml:space="preserve"> This function of the Court is commonly referred to as constitutional.</w:t>
      </w:r>
      <w:r w:rsidR="00BC538B">
        <w:rPr>
          <w:rStyle w:val="FootnoteReference"/>
          <w:rFonts w:ascii="Garamond" w:hAnsi="Garamond"/>
          <w:sz w:val="24"/>
          <w:szCs w:val="24"/>
        </w:rPr>
        <w:footnoteReference w:id="133"/>
      </w:r>
      <w:r w:rsidR="00E43A37">
        <w:rPr>
          <w:rFonts w:ascii="Garamond" w:hAnsi="Garamond"/>
          <w:sz w:val="24"/>
          <w:szCs w:val="24"/>
        </w:rPr>
        <w:t xml:space="preserve"> </w:t>
      </w:r>
      <w:r w:rsidR="00162006">
        <w:rPr>
          <w:rFonts w:ascii="Garamond" w:hAnsi="Garamond"/>
          <w:sz w:val="24"/>
          <w:szCs w:val="24"/>
        </w:rPr>
        <w:t xml:space="preserve">The Court </w:t>
      </w:r>
      <w:r w:rsidR="00E71B5C">
        <w:rPr>
          <w:rFonts w:ascii="Garamond" w:hAnsi="Garamond"/>
          <w:sz w:val="24"/>
          <w:szCs w:val="24"/>
        </w:rPr>
        <w:t xml:space="preserve">is </w:t>
      </w:r>
      <w:r w:rsidR="00162006">
        <w:rPr>
          <w:rFonts w:ascii="Garamond" w:hAnsi="Garamond"/>
          <w:sz w:val="24"/>
          <w:szCs w:val="24"/>
        </w:rPr>
        <w:t>less effective in fulfilling this function</w:t>
      </w:r>
      <w:r w:rsidR="00E71B5C">
        <w:rPr>
          <w:rFonts w:ascii="Garamond" w:hAnsi="Garamond"/>
          <w:sz w:val="24"/>
          <w:szCs w:val="24"/>
        </w:rPr>
        <w:t xml:space="preserve"> than it is in its adjudicatory capacity</w:t>
      </w:r>
      <w:r w:rsidR="00162006">
        <w:rPr>
          <w:rFonts w:ascii="Garamond" w:hAnsi="Garamond"/>
          <w:sz w:val="24"/>
          <w:szCs w:val="24"/>
        </w:rPr>
        <w:t>.</w:t>
      </w:r>
      <w:r w:rsidR="00E71B5C">
        <w:rPr>
          <w:rStyle w:val="FootnoteReference"/>
          <w:rFonts w:ascii="Garamond" w:hAnsi="Garamond"/>
          <w:sz w:val="24"/>
          <w:szCs w:val="24"/>
        </w:rPr>
        <w:footnoteReference w:id="134"/>
      </w:r>
      <w:r w:rsidR="00E43A37">
        <w:rPr>
          <w:rFonts w:ascii="Garamond" w:hAnsi="Garamond"/>
          <w:sz w:val="24"/>
          <w:szCs w:val="24"/>
        </w:rPr>
        <w:t xml:space="preserve"> </w:t>
      </w:r>
      <w:r w:rsidR="00BC538B">
        <w:rPr>
          <w:rFonts w:ascii="Garamond" w:hAnsi="Garamond"/>
          <w:sz w:val="24"/>
          <w:szCs w:val="24"/>
        </w:rPr>
        <w:t xml:space="preserve">What the Court can do </w:t>
      </w:r>
      <w:r w:rsidR="00E71B5C">
        <w:rPr>
          <w:rFonts w:ascii="Garamond" w:hAnsi="Garamond"/>
          <w:sz w:val="24"/>
          <w:szCs w:val="24"/>
        </w:rPr>
        <w:t>well</w:t>
      </w:r>
      <w:r w:rsidR="00BC538B">
        <w:rPr>
          <w:rFonts w:ascii="Garamond" w:hAnsi="Garamond"/>
          <w:sz w:val="24"/>
          <w:szCs w:val="24"/>
        </w:rPr>
        <w:t xml:space="preserve"> is find violations</w:t>
      </w:r>
      <w:r w:rsidR="000F1649">
        <w:rPr>
          <w:rFonts w:ascii="Garamond" w:hAnsi="Garamond"/>
          <w:sz w:val="24"/>
          <w:szCs w:val="24"/>
        </w:rPr>
        <w:t xml:space="preserve"> in individual cases</w:t>
      </w:r>
      <w:r w:rsidR="00EF0471">
        <w:rPr>
          <w:rStyle w:val="FootnoteReference"/>
          <w:rFonts w:ascii="Garamond" w:hAnsi="Garamond"/>
          <w:sz w:val="24"/>
          <w:szCs w:val="24"/>
        </w:rPr>
        <w:footnoteReference w:id="135"/>
      </w:r>
      <w:r w:rsidR="00BC538B">
        <w:rPr>
          <w:rFonts w:ascii="Garamond" w:hAnsi="Garamond"/>
          <w:sz w:val="24"/>
          <w:szCs w:val="24"/>
        </w:rPr>
        <w:t xml:space="preserve"> and </w:t>
      </w:r>
      <w:r w:rsidR="00E71B5C">
        <w:rPr>
          <w:rFonts w:ascii="Garamond" w:hAnsi="Garamond"/>
          <w:sz w:val="24"/>
          <w:szCs w:val="24"/>
        </w:rPr>
        <w:t>perhaps</w:t>
      </w:r>
      <w:r w:rsidR="00BC538B">
        <w:rPr>
          <w:rFonts w:ascii="Garamond" w:hAnsi="Garamond"/>
          <w:sz w:val="24"/>
          <w:szCs w:val="24"/>
        </w:rPr>
        <w:t xml:space="preserve"> identify</w:t>
      </w:r>
      <w:r w:rsidR="00162006">
        <w:rPr>
          <w:rFonts w:ascii="Garamond" w:hAnsi="Garamond"/>
          <w:sz w:val="24"/>
          <w:szCs w:val="24"/>
        </w:rPr>
        <w:t xml:space="preserve"> </w:t>
      </w:r>
      <w:r w:rsidR="00BC538B">
        <w:rPr>
          <w:rFonts w:ascii="Garamond" w:hAnsi="Garamond"/>
          <w:sz w:val="24"/>
          <w:szCs w:val="24"/>
        </w:rPr>
        <w:t xml:space="preserve">structural problems in a particular </w:t>
      </w:r>
      <w:r w:rsidR="00EF0471">
        <w:rPr>
          <w:rFonts w:ascii="Garamond" w:hAnsi="Garamond"/>
          <w:sz w:val="24"/>
          <w:szCs w:val="24"/>
        </w:rPr>
        <w:t xml:space="preserve">area of the </w:t>
      </w:r>
      <w:r w:rsidR="00BC538B">
        <w:rPr>
          <w:rFonts w:ascii="Garamond" w:hAnsi="Garamond"/>
          <w:sz w:val="24"/>
          <w:szCs w:val="24"/>
        </w:rPr>
        <w:t>legal system.</w:t>
      </w:r>
      <w:r w:rsidR="00EF0471">
        <w:rPr>
          <w:rStyle w:val="FootnoteReference"/>
          <w:rFonts w:ascii="Garamond" w:hAnsi="Garamond"/>
          <w:sz w:val="24"/>
          <w:szCs w:val="24"/>
        </w:rPr>
        <w:footnoteReference w:id="136"/>
      </w:r>
      <w:r w:rsidR="00E43A37">
        <w:rPr>
          <w:rFonts w:ascii="Garamond" w:hAnsi="Garamond"/>
          <w:sz w:val="24"/>
          <w:szCs w:val="24"/>
        </w:rPr>
        <w:t xml:space="preserve"> </w:t>
      </w:r>
      <w:r w:rsidR="00EF0471">
        <w:rPr>
          <w:rFonts w:ascii="Garamond" w:hAnsi="Garamond"/>
          <w:sz w:val="24"/>
          <w:szCs w:val="24"/>
        </w:rPr>
        <w:t>The a</w:t>
      </w:r>
      <w:r w:rsidR="00BC538B">
        <w:rPr>
          <w:rFonts w:ascii="Garamond" w:hAnsi="Garamond"/>
          <w:sz w:val="24"/>
          <w:szCs w:val="24"/>
        </w:rPr>
        <w:t xml:space="preserve">djudicatory function is very important and it can </w:t>
      </w:r>
      <w:r w:rsidR="00EF0471">
        <w:rPr>
          <w:rFonts w:ascii="Garamond" w:hAnsi="Garamond"/>
          <w:sz w:val="24"/>
          <w:szCs w:val="24"/>
        </w:rPr>
        <w:t xml:space="preserve">have </w:t>
      </w:r>
      <w:r w:rsidR="00E54DA0">
        <w:rPr>
          <w:rFonts w:ascii="Garamond" w:hAnsi="Garamond"/>
          <w:sz w:val="24"/>
          <w:szCs w:val="24"/>
        </w:rPr>
        <w:t xml:space="preserve">an </w:t>
      </w:r>
      <w:r w:rsidR="00BC538B">
        <w:rPr>
          <w:rFonts w:ascii="Garamond" w:hAnsi="Garamond"/>
          <w:sz w:val="24"/>
          <w:szCs w:val="24"/>
        </w:rPr>
        <w:t>impact</w:t>
      </w:r>
      <w:r w:rsidR="00EF0471">
        <w:rPr>
          <w:rFonts w:ascii="Garamond" w:hAnsi="Garamond"/>
          <w:sz w:val="24"/>
          <w:szCs w:val="24"/>
        </w:rPr>
        <w:t xml:space="preserve"> on</w:t>
      </w:r>
      <w:r w:rsidR="00BC538B">
        <w:rPr>
          <w:rFonts w:ascii="Garamond" w:hAnsi="Garamond"/>
          <w:sz w:val="24"/>
          <w:szCs w:val="24"/>
        </w:rPr>
        <w:t xml:space="preserve"> the legal order</w:t>
      </w:r>
      <w:r w:rsidR="000F1649">
        <w:rPr>
          <w:rFonts w:ascii="Garamond" w:hAnsi="Garamond"/>
          <w:sz w:val="24"/>
          <w:szCs w:val="24"/>
        </w:rPr>
        <w:t xml:space="preserve">. </w:t>
      </w:r>
      <w:r w:rsidR="00EF0471">
        <w:rPr>
          <w:rFonts w:ascii="Garamond" w:hAnsi="Garamond"/>
          <w:sz w:val="24"/>
          <w:szCs w:val="24"/>
        </w:rPr>
        <w:t>However,</w:t>
      </w:r>
      <w:r w:rsidR="00BC538B">
        <w:rPr>
          <w:rFonts w:ascii="Garamond" w:hAnsi="Garamond"/>
          <w:sz w:val="24"/>
          <w:szCs w:val="24"/>
        </w:rPr>
        <w:t xml:space="preserve"> it is unlikely to have </w:t>
      </w:r>
      <w:r w:rsidR="00E71B5C">
        <w:rPr>
          <w:rFonts w:ascii="Garamond" w:hAnsi="Garamond"/>
          <w:sz w:val="24"/>
          <w:szCs w:val="24"/>
        </w:rPr>
        <w:t xml:space="preserve">a </w:t>
      </w:r>
      <w:r w:rsidR="00BC538B">
        <w:rPr>
          <w:rFonts w:ascii="Garamond" w:hAnsi="Garamond"/>
          <w:sz w:val="24"/>
          <w:szCs w:val="24"/>
        </w:rPr>
        <w:t xml:space="preserve">crucial </w:t>
      </w:r>
      <w:r w:rsidR="00EF0471">
        <w:rPr>
          <w:rFonts w:ascii="Garamond" w:hAnsi="Garamond"/>
          <w:sz w:val="24"/>
          <w:szCs w:val="24"/>
        </w:rPr>
        <w:t>influence</w:t>
      </w:r>
      <w:r w:rsidR="00BC538B">
        <w:rPr>
          <w:rFonts w:ascii="Garamond" w:hAnsi="Garamond"/>
          <w:sz w:val="24"/>
          <w:szCs w:val="24"/>
        </w:rPr>
        <w:t xml:space="preserve"> on a macro level. In other words, a judgment of the ECtHR or indeed any court </w:t>
      </w:r>
      <w:r w:rsidR="0037331D">
        <w:rPr>
          <w:rFonts w:ascii="Garamond" w:hAnsi="Garamond"/>
          <w:sz w:val="24"/>
          <w:szCs w:val="24"/>
        </w:rPr>
        <w:t>is unlikely to</w:t>
      </w:r>
      <w:r w:rsidR="00BC538B">
        <w:rPr>
          <w:rFonts w:ascii="Garamond" w:hAnsi="Garamond"/>
          <w:sz w:val="24"/>
          <w:szCs w:val="24"/>
        </w:rPr>
        <w:t xml:space="preserve"> be enough to protect democracy in a given country. Moreover, a state can </w:t>
      </w:r>
      <w:r w:rsidR="00131044">
        <w:rPr>
          <w:rFonts w:ascii="Garamond" w:hAnsi="Garamond"/>
          <w:sz w:val="24"/>
          <w:szCs w:val="24"/>
        </w:rPr>
        <w:t>damage the reputation</w:t>
      </w:r>
      <w:r w:rsidR="00BC538B">
        <w:rPr>
          <w:rFonts w:ascii="Garamond" w:hAnsi="Garamond"/>
          <w:sz w:val="24"/>
          <w:szCs w:val="24"/>
        </w:rPr>
        <w:t xml:space="preserve"> of the ECtHR by ignoring its judgments. Azerbaijan has demonstrated </w:t>
      </w:r>
      <w:r w:rsidR="00425DF6">
        <w:rPr>
          <w:rFonts w:ascii="Garamond" w:hAnsi="Garamond"/>
          <w:sz w:val="24"/>
          <w:szCs w:val="24"/>
        </w:rPr>
        <w:t xml:space="preserve">a </w:t>
      </w:r>
      <w:r w:rsidR="00BC538B">
        <w:rPr>
          <w:rFonts w:ascii="Garamond" w:hAnsi="Garamond"/>
          <w:sz w:val="24"/>
          <w:szCs w:val="24"/>
        </w:rPr>
        <w:t>continuing inability to comply with the judgments of the ECtHR.</w:t>
      </w:r>
      <w:r w:rsidR="00BC538B">
        <w:rPr>
          <w:rStyle w:val="FootnoteReference"/>
          <w:rFonts w:ascii="Garamond" w:hAnsi="Garamond"/>
          <w:sz w:val="24"/>
          <w:szCs w:val="24"/>
        </w:rPr>
        <w:footnoteReference w:id="137"/>
      </w:r>
      <w:r w:rsidR="00BC538B">
        <w:rPr>
          <w:rFonts w:ascii="Garamond" w:hAnsi="Garamond"/>
          <w:sz w:val="24"/>
          <w:szCs w:val="24"/>
        </w:rPr>
        <w:t xml:space="preserve"> Members of </w:t>
      </w:r>
      <w:r w:rsidR="000F1649">
        <w:rPr>
          <w:rFonts w:ascii="Garamond" w:hAnsi="Garamond"/>
          <w:sz w:val="24"/>
          <w:szCs w:val="24"/>
        </w:rPr>
        <w:t xml:space="preserve">the </w:t>
      </w:r>
      <w:r w:rsidR="00BC538B">
        <w:rPr>
          <w:rFonts w:ascii="Garamond" w:hAnsi="Garamond"/>
          <w:sz w:val="24"/>
          <w:szCs w:val="24"/>
        </w:rPr>
        <w:t>Russian Government ha</w:t>
      </w:r>
      <w:r w:rsidR="000F1649">
        <w:rPr>
          <w:rFonts w:ascii="Garamond" w:hAnsi="Garamond"/>
          <w:sz w:val="24"/>
          <w:szCs w:val="24"/>
        </w:rPr>
        <w:t>ve</w:t>
      </w:r>
      <w:r w:rsidR="00BC538B">
        <w:rPr>
          <w:rFonts w:ascii="Garamond" w:hAnsi="Garamond"/>
          <w:sz w:val="24"/>
          <w:szCs w:val="24"/>
        </w:rPr>
        <w:t xml:space="preserve"> threatened that </w:t>
      </w:r>
      <w:r w:rsidR="000F1649">
        <w:rPr>
          <w:rFonts w:ascii="Garamond" w:hAnsi="Garamond"/>
          <w:sz w:val="24"/>
          <w:szCs w:val="24"/>
        </w:rPr>
        <w:t>Russia</w:t>
      </w:r>
      <w:r w:rsidR="00BC538B">
        <w:rPr>
          <w:rFonts w:ascii="Garamond" w:hAnsi="Garamond"/>
          <w:sz w:val="24"/>
          <w:szCs w:val="24"/>
        </w:rPr>
        <w:t xml:space="preserve"> </w:t>
      </w:r>
      <w:r w:rsidR="00BC538B">
        <w:rPr>
          <w:rFonts w:ascii="Garamond" w:hAnsi="Garamond"/>
          <w:sz w:val="24"/>
          <w:szCs w:val="24"/>
        </w:rPr>
        <w:lastRenderedPageBreak/>
        <w:t xml:space="preserve">will start ignoring </w:t>
      </w:r>
      <w:r w:rsidR="00E71B5C">
        <w:rPr>
          <w:rFonts w:ascii="Garamond" w:hAnsi="Garamond"/>
          <w:sz w:val="24"/>
          <w:szCs w:val="24"/>
        </w:rPr>
        <w:t xml:space="preserve">the </w:t>
      </w:r>
      <w:r w:rsidR="00BC538B">
        <w:rPr>
          <w:rFonts w:ascii="Garamond" w:hAnsi="Garamond"/>
          <w:sz w:val="24"/>
          <w:szCs w:val="24"/>
        </w:rPr>
        <w:t>judgments of the ECtHR.</w:t>
      </w:r>
      <w:r w:rsidR="00BC538B">
        <w:rPr>
          <w:rStyle w:val="FootnoteReference"/>
          <w:rFonts w:ascii="Garamond" w:hAnsi="Garamond"/>
          <w:sz w:val="24"/>
          <w:szCs w:val="24"/>
        </w:rPr>
        <w:footnoteReference w:id="138"/>
      </w:r>
      <w:r w:rsidR="00E54DA0">
        <w:rPr>
          <w:rFonts w:ascii="Garamond" w:hAnsi="Garamond"/>
          <w:sz w:val="24"/>
          <w:szCs w:val="24"/>
        </w:rPr>
        <w:t xml:space="preserve"> </w:t>
      </w:r>
      <w:r w:rsidR="00A14166">
        <w:rPr>
          <w:rFonts w:ascii="Garamond" w:hAnsi="Garamond"/>
          <w:sz w:val="24"/>
          <w:szCs w:val="24"/>
        </w:rPr>
        <w:t xml:space="preserve">The most sensitive cases are not executed and political reforms that would prevent such sensitive cases from happening are not undertaken. </w:t>
      </w:r>
      <w:r w:rsidR="00BC538B">
        <w:rPr>
          <w:rFonts w:ascii="Garamond" w:hAnsi="Garamond"/>
          <w:sz w:val="24"/>
          <w:szCs w:val="24"/>
        </w:rPr>
        <w:t xml:space="preserve">This situation </w:t>
      </w:r>
      <w:r w:rsidR="00425DF6">
        <w:rPr>
          <w:rFonts w:ascii="Garamond" w:hAnsi="Garamond"/>
          <w:sz w:val="24"/>
          <w:szCs w:val="24"/>
        </w:rPr>
        <w:t>indicates</w:t>
      </w:r>
      <w:r w:rsidR="00BC538B">
        <w:rPr>
          <w:rFonts w:ascii="Garamond" w:hAnsi="Garamond"/>
          <w:sz w:val="24"/>
          <w:szCs w:val="24"/>
        </w:rPr>
        <w:t xml:space="preserve"> that </w:t>
      </w:r>
      <w:r w:rsidR="00820041">
        <w:rPr>
          <w:rFonts w:ascii="Garamond" w:hAnsi="Garamond"/>
          <w:sz w:val="24"/>
          <w:szCs w:val="24"/>
        </w:rPr>
        <w:t xml:space="preserve">the ECtHR is not likely to </w:t>
      </w:r>
      <w:r w:rsidR="003F4157">
        <w:rPr>
          <w:rFonts w:ascii="Garamond" w:hAnsi="Garamond"/>
          <w:sz w:val="24"/>
          <w:szCs w:val="24"/>
        </w:rPr>
        <w:t xml:space="preserve">trigger </w:t>
      </w:r>
      <w:r w:rsidR="00820041">
        <w:rPr>
          <w:rFonts w:ascii="Garamond" w:hAnsi="Garamond"/>
          <w:sz w:val="24"/>
          <w:szCs w:val="24"/>
        </w:rPr>
        <w:t xml:space="preserve">a structural change in the </w:t>
      </w:r>
      <w:r w:rsidR="00AA264D">
        <w:rPr>
          <w:rFonts w:ascii="Garamond" w:hAnsi="Garamond"/>
          <w:sz w:val="24"/>
          <w:szCs w:val="24"/>
        </w:rPr>
        <w:t>member state</w:t>
      </w:r>
      <w:r w:rsidR="00820041">
        <w:rPr>
          <w:rFonts w:ascii="Garamond" w:hAnsi="Garamond"/>
          <w:sz w:val="24"/>
          <w:szCs w:val="24"/>
        </w:rPr>
        <w:t xml:space="preserve"> especially if the </w:t>
      </w:r>
      <w:r w:rsidR="00AA264D">
        <w:rPr>
          <w:rFonts w:ascii="Garamond" w:hAnsi="Garamond"/>
          <w:sz w:val="24"/>
          <w:szCs w:val="24"/>
        </w:rPr>
        <w:t>member state</w:t>
      </w:r>
      <w:r w:rsidR="00820041">
        <w:rPr>
          <w:rFonts w:ascii="Garamond" w:hAnsi="Garamond"/>
          <w:sz w:val="24"/>
          <w:szCs w:val="24"/>
        </w:rPr>
        <w:t xml:space="preserve"> in question is resist</w:t>
      </w:r>
      <w:r w:rsidR="0037331D">
        <w:rPr>
          <w:rFonts w:ascii="Garamond" w:hAnsi="Garamond"/>
          <w:sz w:val="24"/>
          <w:szCs w:val="24"/>
        </w:rPr>
        <w:t>ant</w:t>
      </w:r>
      <w:r w:rsidR="00820041">
        <w:rPr>
          <w:rFonts w:ascii="Garamond" w:hAnsi="Garamond"/>
          <w:sz w:val="24"/>
          <w:szCs w:val="24"/>
        </w:rPr>
        <w:t xml:space="preserve"> to such changes.</w:t>
      </w:r>
      <w:r w:rsidR="00BC538B">
        <w:rPr>
          <w:rFonts w:ascii="Garamond" w:hAnsi="Garamond"/>
          <w:sz w:val="24"/>
          <w:szCs w:val="24"/>
        </w:rPr>
        <w:t xml:space="preserve"> </w:t>
      </w:r>
      <w:r w:rsidR="004A4AF5">
        <w:rPr>
          <w:rFonts w:ascii="Garamond" w:hAnsi="Garamond"/>
          <w:sz w:val="24"/>
          <w:szCs w:val="24"/>
        </w:rPr>
        <w:t xml:space="preserve">What is important here is not only the sheer scale of unexecuted judgments but </w:t>
      </w:r>
      <w:r w:rsidR="009433AA">
        <w:rPr>
          <w:rFonts w:ascii="Garamond" w:hAnsi="Garamond"/>
          <w:sz w:val="24"/>
          <w:szCs w:val="24"/>
        </w:rPr>
        <w:t xml:space="preserve">the lack of </w:t>
      </w:r>
      <w:r w:rsidR="004A4AF5">
        <w:rPr>
          <w:rFonts w:ascii="Garamond" w:hAnsi="Garamond"/>
          <w:sz w:val="24"/>
          <w:szCs w:val="24"/>
        </w:rPr>
        <w:t xml:space="preserve">the authorities’ genuine willingness to </w:t>
      </w:r>
      <w:r w:rsidR="00886A86">
        <w:rPr>
          <w:rFonts w:ascii="Garamond" w:hAnsi="Garamond"/>
          <w:sz w:val="24"/>
          <w:szCs w:val="24"/>
        </w:rPr>
        <w:t>at least try to implement these judgment</w:t>
      </w:r>
      <w:r w:rsidR="00381E40">
        <w:rPr>
          <w:rFonts w:ascii="Garamond" w:hAnsi="Garamond"/>
          <w:sz w:val="24"/>
          <w:szCs w:val="24"/>
        </w:rPr>
        <w:t>s</w:t>
      </w:r>
      <w:r w:rsidR="00886A86">
        <w:rPr>
          <w:rFonts w:ascii="Garamond" w:hAnsi="Garamond"/>
          <w:sz w:val="24"/>
          <w:szCs w:val="24"/>
        </w:rPr>
        <w:t xml:space="preserve">. This distinguishes the situation in Russia or Azerbaijan </w:t>
      </w:r>
      <w:r w:rsidR="009433AA">
        <w:rPr>
          <w:rFonts w:ascii="Garamond" w:hAnsi="Garamond"/>
          <w:sz w:val="24"/>
          <w:szCs w:val="24"/>
        </w:rPr>
        <w:t>from</w:t>
      </w:r>
      <w:r w:rsidR="00886A86">
        <w:rPr>
          <w:rFonts w:ascii="Garamond" w:hAnsi="Garamond"/>
          <w:sz w:val="24"/>
          <w:szCs w:val="24"/>
        </w:rPr>
        <w:t xml:space="preserve"> the situation in Ukraine which also h</w:t>
      </w:r>
      <w:r w:rsidR="00381E40">
        <w:rPr>
          <w:rFonts w:ascii="Garamond" w:hAnsi="Garamond"/>
          <w:sz w:val="24"/>
          <w:szCs w:val="24"/>
        </w:rPr>
        <w:t>as</w:t>
      </w:r>
      <w:r w:rsidR="00886A86">
        <w:rPr>
          <w:rFonts w:ascii="Garamond" w:hAnsi="Garamond"/>
          <w:sz w:val="24"/>
          <w:szCs w:val="24"/>
        </w:rPr>
        <w:t xml:space="preserve"> a </w:t>
      </w:r>
      <w:r w:rsidR="00381E40">
        <w:rPr>
          <w:rFonts w:ascii="Garamond" w:hAnsi="Garamond"/>
          <w:sz w:val="24"/>
          <w:szCs w:val="24"/>
        </w:rPr>
        <w:t>large</w:t>
      </w:r>
      <w:r w:rsidR="00886A86">
        <w:rPr>
          <w:rFonts w:ascii="Garamond" w:hAnsi="Garamond"/>
          <w:sz w:val="24"/>
          <w:szCs w:val="24"/>
        </w:rPr>
        <w:t xml:space="preserve"> number of cases pending before the Committee of Ministers.</w:t>
      </w:r>
      <w:r w:rsidR="00886A86">
        <w:rPr>
          <w:rStyle w:val="FootnoteReference"/>
          <w:rFonts w:ascii="Garamond" w:hAnsi="Garamond"/>
          <w:sz w:val="24"/>
          <w:szCs w:val="24"/>
        </w:rPr>
        <w:footnoteReference w:id="139"/>
      </w:r>
      <w:r w:rsidR="009433AA">
        <w:rPr>
          <w:rFonts w:ascii="Garamond" w:hAnsi="Garamond"/>
          <w:sz w:val="24"/>
          <w:szCs w:val="24"/>
        </w:rPr>
        <w:t xml:space="preserve"> The Ukrainian authorities consistently confirm their commitment to the values of human rights, democracy and rule of law. </w:t>
      </w:r>
      <w:r w:rsidR="00296103">
        <w:rPr>
          <w:rFonts w:ascii="Garamond" w:hAnsi="Garamond"/>
          <w:sz w:val="24"/>
          <w:szCs w:val="24"/>
        </w:rPr>
        <w:t>At least to a certain degree</w:t>
      </w:r>
      <w:r w:rsidR="009550DD">
        <w:rPr>
          <w:rFonts w:ascii="Garamond" w:hAnsi="Garamond"/>
          <w:sz w:val="24"/>
          <w:szCs w:val="24"/>
        </w:rPr>
        <w:t>,</w:t>
      </w:r>
      <w:r w:rsidR="00296103">
        <w:rPr>
          <w:rFonts w:ascii="Garamond" w:hAnsi="Garamond"/>
          <w:sz w:val="24"/>
          <w:szCs w:val="24"/>
        </w:rPr>
        <w:t xml:space="preserve"> a difficult economic and political situation in Ukraine is to be blamed for failures to implement certain judgments.</w:t>
      </w:r>
    </w:p>
    <w:p w14:paraId="25702BE6" w14:textId="20FEB33C" w:rsidR="000F1649" w:rsidRDefault="000F1649" w:rsidP="00950955">
      <w:pPr>
        <w:spacing w:line="240" w:lineRule="auto"/>
        <w:jc w:val="both"/>
        <w:rPr>
          <w:rFonts w:ascii="Garamond" w:hAnsi="Garamond"/>
          <w:sz w:val="24"/>
          <w:szCs w:val="24"/>
        </w:rPr>
      </w:pPr>
      <w:r>
        <w:rPr>
          <w:rFonts w:ascii="Garamond" w:hAnsi="Garamond"/>
          <w:sz w:val="24"/>
          <w:szCs w:val="24"/>
        </w:rPr>
        <w:t xml:space="preserve">The judgments of the ECtHR </w:t>
      </w:r>
      <w:r w:rsidR="001E7620">
        <w:rPr>
          <w:rFonts w:ascii="Garamond" w:hAnsi="Garamond"/>
          <w:sz w:val="24"/>
          <w:szCs w:val="24"/>
        </w:rPr>
        <w:t>can</w:t>
      </w:r>
      <w:r w:rsidR="00797607">
        <w:rPr>
          <w:rFonts w:ascii="Garamond" w:hAnsi="Garamond"/>
          <w:sz w:val="24"/>
          <w:szCs w:val="24"/>
        </w:rPr>
        <w:t>not</w:t>
      </w:r>
      <w:r w:rsidR="00CE0003">
        <w:rPr>
          <w:rFonts w:ascii="Garamond" w:hAnsi="Garamond"/>
          <w:sz w:val="24"/>
          <w:szCs w:val="24"/>
        </w:rPr>
        <w:t xml:space="preserve"> </w:t>
      </w:r>
      <w:r w:rsidR="00797607">
        <w:rPr>
          <w:rFonts w:ascii="Garamond" w:hAnsi="Garamond"/>
          <w:sz w:val="24"/>
          <w:szCs w:val="24"/>
        </w:rPr>
        <w:t>effectively</w:t>
      </w:r>
      <w:r>
        <w:rPr>
          <w:rFonts w:ascii="Garamond" w:hAnsi="Garamond"/>
          <w:sz w:val="24"/>
          <w:szCs w:val="24"/>
        </w:rPr>
        <w:t xml:space="preserve"> social</w:t>
      </w:r>
      <w:r w:rsidR="00797607">
        <w:rPr>
          <w:rFonts w:ascii="Garamond" w:hAnsi="Garamond"/>
          <w:sz w:val="24"/>
          <w:szCs w:val="24"/>
        </w:rPr>
        <w:t xml:space="preserve">ise </w:t>
      </w:r>
      <w:r>
        <w:rPr>
          <w:rFonts w:ascii="Garamond" w:hAnsi="Garamond"/>
          <w:sz w:val="24"/>
          <w:szCs w:val="24"/>
        </w:rPr>
        <w:t>states</w:t>
      </w:r>
      <w:r w:rsidR="00797607">
        <w:rPr>
          <w:rFonts w:ascii="Garamond" w:hAnsi="Garamond"/>
          <w:sz w:val="24"/>
          <w:szCs w:val="24"/>
        </w:rPr>
        <w:t xml:space="preserve"> </w:t>
      </w:r>
      <w:r w:rsidR="00820041">
        <w:rPr>
          <w:rFonts w:ascii="Garamond" w:hAnsi="Garamond"/>
          <w:sz w:val="24"/>
          <w:szCs w:val="24"/>
        </w:rPr>
        <w:t>which are not interested in protection of human rights and furthering democracy</w:t>
      </w:r>
      <w:r>
        <w:rPr>
          <w:rFonts w:ascii="Garamond" w:hAnsi="Garamond"/>
          <w:sz w:val="24"/>
          <w:szCs w:val="24"/>
        </w:rPr>
        <w:t xml:space="preserve">. Moreover, keeping them within the system hoping that they will </w:t>
      </w:r>
      <w:r w:rsidR="00887D06">
        <w:rPr>
          <w:rFonts w:ascii="Garamond" w:hAnsi="Garamond"/>
          <w:sz w:val="24"/>
          <w:szCs w:val="24"/>
        </w:rPr>
        <w:t>begin to socialise</w:t>
      </w:r>
      <w:r>
        <w:rPr>
          <w:rFonts w:ascii="Garamond" w:hAnsi="Garamond"/>
          <w:sz w:val="24"/>
          <w:szCs w:val="24"/>
        </w:rPr>
        <w:t xml:space="preserve"> </w:t>
      </w:r>
      <w:r w:rsidR="00060A96">
        <w:rPr>
          <w:rFonts w:ascii="Garamond" w:hAnsi="Garamond"/>
          <w:sz w:val="24"/>
          <w:szCs w:val="24"/>
        </w:rPr>
        <w:t xml:space="preserve">seems </w:t>
      </w:r>
      <w:r>
        <w:rPr>
          <w:rFonts w:ascii="Garamond" w:hAnsi="Garamond"/>
          <w:sz w:val="24"/>
          <w:szCs w:val="24"/>
        </w:rPr>
        <w:t>counter-productive. Roter rightly points out that ‘[i]nternational governmental organizations, as institutions with member states that adhere to the principle of sovereign equality of states, have hardly any suitable means to induce, if not force, socialization in their member states’.</w:t>
      </w:r>
      <w:r>
        <w:rPr>
          <w:rStyle w:val="FootnoteReference"/>
          <w:rFonts w:ascii="Garamond" w:hAnsi="Garamond"/>
          <w:sz w:val="24"/>
          <w:szCs w:val="24"/>
        </w:rPr>
        <w:footnoteReference w:id="140"/>
      </w:r>
      <w:r>
        <w:rPr>
          <w:rFonts w:ascii="Garamond" w:hAnsi="Garamond"/>
          <w:sz w:val="24"/>
          <w:szCs w:val="24"/>
        </w:rPr>
        <w:t xml:space="preserve"> </w:t>
      </w:r>
      <w:r w:rsidR="009550DD">
        <w:rPr>
          <w:rFonts w:ascii="Garamond" w:hAnsi="Garamond"/>
          <w:sz w:val="24"/>
          <w:szCs w:val="24"/>
        </w:rPr>
        <w:t>In the absence of voluntary socialisation, which appears not to have occurred in the cases outlined above, there is a clear disjunction between the actions of such member states and the values of the CoE.</w:t>
      </w:r>
      <w:r>
        <w:rPr>
          <w:rFonts w:ascii="Garamond" w:hAnsi="Garamond"/>
          <w:sz w:val="24"/>
          <w:szCs w:val="24"/>
        </w:rPr>
        <w:t xml:space="preserve"> Therefore, continu</w:t>
      </w:r>
      <w:r w:rsidR="009550DD">
        <w:rPr>
          <w:rFonts w:ascii="Garamond" w:hAnsi="Garamond"/>
          <w:sz w:val="24"/>
          <w:szCs w:val="24"/>
        </w:rPr>
        <w:t>ed</w:t>
      </w:r>
      <w:r>
        <w:rPr>
          <w:rFonts w:ascii="Garamond" w:hAnsi="Garamond"/>
          <w:sz w:val="24"/>
          <w:szCs w:val="24"/>
        </w:rPr>
        <w:t xml:space="preserve"> membership of a state</w:t>
      </w:r>
      <w:r w:rsidR="00E85767">
        <w:rPr>
          <w:rFonts w:ascii="Garamond" w:hAnsi="Garamond"/>
          <w:sz w:val="24"/>
          <w:szCs w:val="24"/>
        </w:rPr>
        <w:t xml:space="preserve"> merely to plug some holes in the legal system which are not considered serious or threatening to </w:t>
      </w:r>
      <w:r w:rsidR="00E85767" w:rsidRPr="009B6DBB">
        <w:rPr>
          <w:rFonts w:ascii="Garamond" w:hAnsi="Garamond"/>
          <w:sz w:val="24"/>
          <w:szCs w:val="24"/>
        </w:rPr>
        <w:t xml:space="preserve">the distribution of power </w:t>
      </w:r>
      <w:r w:rsidR="001E7360" w:rsidRPr="009B6DBB">
        <w:rPr>
          <w:rFonts w:ascii="Garamond" w:hAnsi="Garamond"/>
          <w:sz w:val="24"/>
          <w:szCs w:val="24"/>
        </w:rPr>
        <w:t xml:space="preserve">in the countries </w:t>
      </w:r>
      <w:r w:rsidR="00E85767" w:rsidRPr="009B6DBB">
        <w:rPr>
          <w:rFonts w:ascii="Garamond" w:hAnsi="Garamond"/>
          <w:sz w:val="24"/>
          <w:szCs w:val="24"/>
        </w:rPr>
        <w:t>might be counterproductive.</w:t>
      </w:r>
    </w:p>
    <w:p w14:paraId="6574B670" w14:textId="77777777" w:rsidR="0028061E" w:rsidRDefault="0028061E" w:rsidP="00E85767">
      <w:pPr>
        <w:spacing w:line="240" w:lineRule="auto"/>
        <w:jc w:val="both"/>
        <w:rPr>
          <w:rFonts w:ascii="Garamond" w:hAnsi="Garamond"/>
          <w:b/>
          <w:sz w:val="24"/>
          <w:szCs w:val="24"/>
        </w:rPr>
      </w:pPr>
    </w:p>
    <w:p w14:paraId="17E0ACA5" w14:textId="77777777" w:rsidR="00302E26" w:rsidRPr="00425DF6" w:rsidRDefault="00302E26" w:rsidP="00E85767">
      <w:pPr>
        <w:spacing w:line="240" w:lineRule="auto"/>
        <w:jc w:val="both"/>
        <w:rPr>
          <w:rFonts w:ascii="Garamond" w:hAnsi="Garamond"/>
          <w:b/>
          <w:sz w:val="24"/>
          <w:szCs w:val="24"/>
        </w:rPr>
      </w:pPr>
      <w:r w:rsidRPr="00425DF6">
        <w:rPr>
          <w:rFonts w:ascii="Garamond" w:hAnsi="Garamond"/>
          <w:b/>
          <w:sz w:val="24"/>
          <w:szCs w:val="24"/>
        </w:rPr>
        <w:t>Conclusion</w:t>
      </w:r>
    </w:p>
    <w:p w14:paraId="130C8D43" w14:textId="21B73282" w:rsidR="00705CB4" w:rsidRDefault="00705CB4" w:rsidP="00E85767">
      <w:pPr>
        <w:spacing w:line="240" w:lineRule="auto"/>
        <w:jc w:val="both"/>
        <w:rPr>
          <w:rFonts w:ascii="Garamond" w:hAnsi="Garamond"/>
          <w:sz w:val="24"/>
          <w:szCs w:val="24"/>
        </w:rPr>
      </w:pPr>
      <w:r>
        <w:rPr>
          <w:rFonts w:ascii="Garamond" w:hAnsi="Garamond"/>
          <w:sz w:val="24"/>
          <w:szCs w:val="24"/>
        </w:rPr>
        <w:t>There is no consensus among commentators as to whether the sanctions of last resort, namely suspension and expulsion, should be</w:t>
      </w:r>
      <w:r w:rsidR="004E04B6">
        <w:rPr>
          <w:rFonts w:ascii="Garamond" w:hAnsi="Garamond"/>
          <w:sz w:val="24"/>
          <w:szCs w:val="24"/>
        </w:rPr>
        <w:t xml:space="preserve"> ever</w:t>
      </w:r>
      <w:r>
        <w:rPr>
          <w:rFonts w:ascii="Garamond" w:hAnsi="Garamond"/>
          <w:sz w:val="24"/>
          <w:szCs w:val="24"/>
        </w:rPr>
        <w:t xml:space="preserve"> used by international organisations. We argued that a regional organisation like the CoE that is designed to protect human rights, democracy and the rule of law should apply such sanctions if there is a legal right to do so, if there are clear signs of crisis and it is more beneficial for the legitimacy, effectiveness and reputation of the international organisation to expel</w:t>
      </w:r>
      <w:r w:rsidR="004E04B6">
        <w:rPr>
          <w:rFonts w:ascii="Garamond" w:hAnsi="Garamond"/>
          <w:sz w:val="24"/>
          <w:szCs w:val="24"/>
        </w:rPr>
        <w:t xml:space="preserve"> recalcitrant members</w:t>
      </w:r>
      <w:r>
        <w:rPr>
          <w:rFonts w:ascii="Garamond" w:hAnsi="Garamond"/>
          <w:sz w:val="24"/>
          <w:szCs w:val="24"/>
        </w:rPr>
        <w:t xml:space="preserve">. </w:t>
      </w:r>
    </w:p>
    <w:p w14:paraId="7E3B0530" w14:textId="5A7CEDD6" w:rsidR="00425DF6" w:rsidRPr="004A4AF5" w:rsidRDefault="00296103" w:rsidP="009E0B0C">
      <w:pPr>
        <w:spacing w:line="240" w:lineRule="auto"/>
        <w:jc w:val="both"/>
        <w:rPr>
          <w:rFonts w:ascii="Garamond" w:hAnsi="Garamond"/>
          <w:sz w:val="24"/>
          <w:szCs w:val="24"/>
        </w:rPr>
      </w:pPr>
      <w:r>
        <w:rPr>
          <w:rFonts w:ascii="Garamond" w:hAnsi="Garamond"/>
          <w:sz w:val="24"/>
          <w:szCs w:val="24"/>
        </w:rPr>
        <w:t>In this article we</w:t>
      </w:r>
      <w:r w:rsidR="00F76B3A" w:rsidRPr="004A4AF5">
        <w:rPr>
          <w:rFonts w:ascii="Garamond" w:hAnsi="Garamond"/>
          <w:sz w:val="24"/>
          <w:szCs w:val="24"/>
        </w:rPr>
        <w:t xml:space="preserve"> have adumbrated various considerations which might </w:t>
      </w:r>
      <w:r w:rsidR="005373B0">
        <w:rPr>
          <w:rFonts w:ascii="Garamond" w:hAnsi="Garamond"/>
          <w:sz w:val="24"/>
          <w:szCs w:val="24"/>
        </w:rPr>
        <w:t>influence the</w:t>
      </w:r>
      <w:r w:rsidR="00F76B3A" w:rsidRPr="004A4AF5">
        <w:rPr>
          <w:rFonts w:ascii="Garamond" w:hAnsi="Garamond"/>
          <w:sz w:val="24"/>
          <w:szCs w:val="24"/>
        </w:rPr>
        <w:t xml:space="preserve"> </w:t>
      </w:r>
      <w:r w:rsidR="005373B0">
        <w:rPr>
          <w:rFonts w:ascii="Garamond" w:hAnsi="Garamond"/>
          <w:sz w:val="24"/>
          <w:szCs w:val="24"/>
        </w:rPr>
        <w:t>decision about deployment of suspension and expulsion</w:t>
      </w:r>
      <w:r w:rsidR="00F76B3A" w:rsidRPr="004A4AF5">
        <w:rPr>
          <w:rFonts w:ascii="Garamond" w:hAnsi="Garamond"/>
          <w:sz w:val="24"/>
          <w:szCs w:val="24"/>
        </w:rPr>
        <w:t xml:space="preserve">. </w:t>
      </w:r>
      <w:r w:rsidR="009E0B0C" w:rsidRPr="004A4AF5">
        <w:rPr>
          <w:rFonts w:ascii="Garamond" w:hAnsi="Garamond"/>
          <w:sz w:val="24"/>
          <w:szCs w:val="24"/>
        </w:rPr>
        <w:t xml:space="preserve">If a particular state undermines the founding principles of the organisation it needs to be decided if expulsion of this member is more or less detrimental to the organisation than its continuing membership. When expulsion becomes less detrimental the </w:t>
      </w:r>
      <w:r w:rsidR="0026418C">
        <w:rPr>
          <w:rFonts w:ascii="Garamond" w:hAnsi="Garamond"/>
          <w:sz w:val="24"/>
          <w:szCs w:val="24"/>
        </w:rPr>
        <w:t xml:space="preserve">CoE </w:t>
      </w:r>
      <w:r w:rsidR="009E0B0C" w:rsidRPr="004A4AF5">
        <w:rPr>
          <w:rFonts w:ascii="Garamond" w:hAnsi="Garamond"/>
          <w:sz w:val="24"/>
          <w:szCs w:val="24"/>
        </w:rPr>
        <w:t xml:space="preserve">has to apply Articles 7 and 8 of the Statute. It is also crucially important that the </w:t>
      </w:r>
      <w:r w:rsidR="005373B0">
        <w:rPr>
          <w:rFonts w:ascii="Garamond" w:hAnsi="Garamond"/>
          <w:sz w:val="24"/>
          <w:szCs w:val="24"/>
        </w:rPr>
        <w:t xml:space="preserve">Strasbourg system </w:t>
      </w:r>
      <w:r w:rsidR="009E0B0C" w:rsidRPr="004A4AF5">
        <w:rPr>
          <w:rFonts w:ascii="Garamond" w:hAnsi="Garamond"/>
          <w:sz w:val="24"/>
          <w:szCs w:val="24"/>
        </w:rPr>
        <w:t xml:space="preserve">is capable of changing human rights protection on </w:t>
      </w:r>
      <w:r w:rsidR="00853C8E" w:rsidRPr="004A4AF5">
        <w:rPr>
          <w:rFonts w:ascii="Garamond" w:hAnsi="Garamond"/>
          <w:sz w:val="24"/>
          <w:szCs w:val="24"/>
        </w:rPr>
        <w:t>a</w:t>
      </w:r>
      <w:r w:rsidR="003B3BD7" w:rsidRPr="004A4AF5">
        <w:rPr>
          <w:rFonts w:ascii="Garamond" w:hAnsi="Garamond"/>
          <w:sz w:val="24"/>
          <w:szCs w:val="24"/>
        </w:rPr>
        <w:t xml:space="preserve"> macro </w:t>
      </w:r>
      <w:r w:rsidR="009E0B0C" w:rsidRPr="004A4AF5">
        <w:rPr>
          <w:rFonts w:ascii="Garamond" w:hAnsi="Garamond"/>
          <w:sz w:val="24"/>
          <w:szCs w:val="24"/>
        </w:rPr>
        <w:t>level. If this is not possible in the state at hand</w:t>
      </w:r>
      <w:r w:rsidR="005373B0">
        <w:rPr>
          <w:rFonts w:ascii="Garamond" w:hAnsi="Garamond"/>
          <w:sz w:val="24"/>
          <w:szCs w:val="24"/>
        </w:rPr>
        <w:t>,</w:t>
      </w:r>
      <w:r w:rsidR="009E0B0C" w:rsidRPr="004A4AF5">
        <w:rPr>
          <w:rFonts w:ascii="Garamond" w:hAnsi="Garamond"/>
          <w:sz w:val="24"/>
          <w:szCs w:val="24"/>
        </w:rPr>
        <w:t xml:space="preserve"> some worsening of human rights protection in individual cases can</w:t>
      </w:r>
      <w:r w:rsidR="00887D06" w:rsidRPr="004A4AF5">
        <w:rPr>
          <w:rFonts w:ascii="Garamond" w:hAnsi="Garamond"/>
          <w:sz w:val="24"/>
          <w:szCs w:val="24"/>
        </w:rPr>
        <w:t>not</w:t>
      </w:r>
      <w:r w:rsidR="009E0B0C" w:rsidRPr="004A4AF5">
        <w:rPr>
          <w:rFonts w:ascii="Garamond" w:hAnsi="Garamond"/>
          <w:sz w:val="24"/>
          <w:szCs w:val="24"/>
        </w:rPr>
        <w:t xml:space="preserve"> justify continuation of membership. </w:t>
      </w:r>
    </w:p>
    <w:p w14:paraId="39430257" w14:textId="05BD1CDD" w:rsidR="0078743A" w:rsidRPr="00302E26" w:rsidRDefault="00490B52">
      <w:pPr>
        <w:spacing w:line="240" w:lineRule="auto"/>
        <w:jc w:val="both"/>
        <w:rPr>
          <w:rFonts w:ascii="Garamond" w:hAnsi="Garamond"/>
          <w:sz w:val="24"/>
          <w:szCs w:val="24"/>
        </w:rPr>
      </w:pPr>
      <w:r>
        <w:rPr>
          <w:rFonts w:ascii="Garamond" w:hAnsi="Garamond"/>
          <w:sz w:val="24"/>
          <w:szCs w:val="24"/>
        </w:rPr>
        <w:t>These factors create a frame</w:t>
      </w:r>
      <w:r w:rsidR="005373B0">
        <w:rPr>
          <w:rFonts w:ascii="Garamond" w:hAnsi="Garamond"/>
          <w:sz w:val="24"/>
          <w:szCs w:val="24"/>
        </w:rPr>
        <w:t xml:space="preserve">work </w:t>
      </w:r>
      <w:r>
        <w:rPr>
          <w:rFonts w:ascii="Garamond" w:hAnsi="Garamond"/>
          <w:sz w:val="24"/>
          <w:szCs w:val="24"/>
        </w:rPr>
        <w:t xml:space="preserve">for assessment of the situation in relation to particular member states. It cannot offer definite answers in difficult situation and a lot will depend on how these framework is approached. That said, it provides the decision-makers in Strasbourg and in the member states with a test that can be applied to the states that fail to cooperate with the </w:t>
      </w:r>
      <w:r w:rsidR="00202CB4">
        <w:rPr>
          <w:rFonts w:ascii="Garamond" w:hAnsi="Garamond"/>
          <w:sz w:val="24"/>
          <w:szCs w:val="24"/>
        </w:rPr>
        <w:t>CoE</w:t>
      </w:r>
      <w:r>
        <w:rPr>
          <w:rFonts w:ascii="Garamond" w:hAnsi="Garamond"/>
          <w:sz w:val="24"/>
          <w:szCs w:val="24"/>
        </w:rPr>
        <w:t>.</w:t>
      </w:r>
    </w:p>
    <w:sectPr w:rsidR="0078743A" w:rsidRPr="00302E26" w:rsidSect="00EC1F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22CF" w14:textId="77777777" w:rsidR="006266D0" w:rsidRDefault="006266D0" w:rsidP="005E3455">
      <w:pPr>
        <w:spacing w:after="0" w:line="240" w:lineRule="auto"/>
      </w:pPr>
      <w:r>
        <w:separator/>
      </w:r>
    </w:p>
  </w:endnote>
  <w:endnote w:type="continuationSeparator" w:id="0">
    <w:p w14:paraId="47321098" w14:textId="77777777" w:rsidR="006266D0" w:rsidRDefault="006266D0" w:rsidP="005E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660712"/>
      <w:docPartObj>
        <w:docPartGallery w:val="Page Numbers (Bottom of Page)"/>
        <w:docPartUnique/>
      </w:docPartObj>
    </w:sdtPr>
    <w:sdtEndPr>
      <w:rPr>
        <w:noProof/>
      </w:rPr>
    </w:sdtEndPr>
    <w:sdtContent>
      <w:p w14:paraId="22D655D1" w14:textId="35492C31" w:rsidR="00E71905" w:rsidRDefault="00E71905">
        <w:pPr>
          <w:pStyle w:val="Footer"/>
          <w:jc w:val="right"/>
        </w:pPr>
        <w:r>
          <w:fldChar w:fldCharType="begin"/>
        </w:r>
        <w:r>
          <w:instrText xml:space="preserve"> PAGE   \* MERGEFORMAT </w:instrText>
        </w:r>
        <w:r>
          <w:fldChar w:fldCharType="separate"/>
        </w:r>
        <w:r w:rsidR="009613DA">
          <w:rPr>
            <w:noProof/>
          </w:rPr>
          <w:t>24</w:t>
        </w:r>
        <w:r>
          <w:rPr>
            <w:noProof/>
          </w:rPr>
          <w:fldChar w:fldCharType="end"/>
        </w:r>
      </w:p>
    </w:sdtContent>
  </w:sdt>
  <w:p w14:paraId="6634D30F" w14:textId="77777777" w:rsidR="00E71905" w:rsidRDefault="00E71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A7F8" w14:textId="77777777" w:rsidR="006266D0" w:rsidRDefault="006266D0" w:rsidP="005E3455">
      <w:pPr>
        <w:spacing w:after="0" w:line="240" w:lineRule="auto"/>
      </w:pPr>
      <w:r>
        <w:separator/>
      </w:r>
    </w:p>
  </w:footnote>
  <w:footnote w:type="continuationSeparator" w:id="0">
    <w:p w14:paraId="2FF62686" w14:textId="77777777" w:rsidR="006266D0" w:rsidRDefault="006266D0" w:rsidP="005E3455">
      <w:pPr>
        <w:spacing w:after="0" w:line="240" w:lineRule="auto"/>
      </w:pPr>
      <w:r>
        <w:continuationSeparator/>
      </w:r>
    </w:p>
  </w:footnote>
  <w:footnote w:id="1">
    <w:p w14:paraId="3F14DC32" w14:textId="662EBA12"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We are grateful to Bill Bowring, Andrew Drzemczewski, Andrew Forde, Vassilis Tzevelekos and </w:t>
      </w:r>
      <w:r w:rsidRPr="000A411E">
        <w:rPr>
          <w:rFonts w:ascii="Garamond" w:hAnsi="Garamond" w:cs="Times New Roman"/>
        </w:rPr>
        <w:t>the</w:t>
      </w:r>
      <w:r w:rsidRPr="000A411E">
        <w:rPr>
          <w:rFonts w:ascii="Garamond" w:hAnsi="Garamond" w:cs="Times New Roman"/>
        </w:rPr>
        <w:t xml:space="preserve"> reviewers for their insightful comments on the earlier drafts of this paper. Usual disclaimers apply.</w:t>
      </w:r>
    </w:p>
  </w:footnote>
  <w:footnote w:id="2">
    <w:p w14:paraId="3783715C"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Senior lecturer, School of Law and Social Justice, University of Liverpool.</w:t>
      </w:r>
    </w:p>
  </w:footnote>
  <w:footnote w:id="3">
    <w:p w14:paraId="31A1F160" w14:textId="3E557DB2" w:rsidR="00E71905" w:rsidRPr="000A411E" w:rsidRDefault="00E71905" w:rsidP="000A411E">
      <w:pPr>
        <w:pStyle w:val="FootnoteText"/>
        <w:jc w:val="both"/>
        <w:rPr>
          <w:rFonts w:ascii="Garamond" w:hAnsi="Garamond" w:cs="Times New Roman"/>
          <w:lang w:val="en-US"/>
        </w:rPr>
      </w:pPr>
      <w:r w:rsidRPr="000A411E">
        <w:rPr>
          <w:rStyle w:val="FootnoteReference"/>
          <w:rFonts w:ascii="Garamond" w:hAnsi="Garamond" w:cs="Times New Roman"/>
        </w:rPr>
        <w:footnoteRef/>
      </w:r>
      <w:r w:rsidRPr="000A411E">
        <w:rPr>
          <w:rFonts w:ascii="Garamond" w:hAnsi="Garamond" w:cs="Times New Roman"/>
        </w:rPr>
        <w:t xml:space="preserve"> Senior research fellow, Max Planck Institute for European Legal History, Frankfurt-am-Main. </w:t>
      </w:r>
    </w:p>
  </w:footnote>
  <w:footnote w:id="4">
    <w:p w14:paraId="3BBA1903" w14:textId="0606B2C6"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for example N.D. White</w:t>
      </w:r>
      <w:r w:rsidRPr="000A411E">
        <w:rPr>
          <w:rFonts w:ascii="Garamond" w:hAnsi="Garamond" w:cs="Times New Roman"/>
        </w:rPr>
        <w:t>,</w:t>
      </w:r>
      <w:r w:rsidRPr="000A411E">
        <w:rPr>
          <w:rFonts w:ascii="Garamond" w:hAnsi="Garamond" w:cs="Times New Roman"/>
        </w:rPr>
        <w:t xml:space="preserve"> </w:t>
      </w:r>
      <w:r w:rsidRPr="000164BE">
        <w:rPr>
          <w:rFonts w:ascii="Garamond" w:hAnsi="Garamond" w:cs="Times New Roman"/>
          <w:i/>
        </w:rPr>
        <w:t>The Law of International Organisations</w:t>
      </w:r>
      <w:r w:rsidRPr="000A411E">
        <w:rPr>
          <w:rFonts w:ascii="Garamond" w:hAnsi="Garamond" w:cs="Times New Roman"/>
        </w:rPr>
        <w:t xml:space="preserve"> </w:t>
      </w:r>
      <w:r w:rsidRPr="000A411E">
        <w:rPr>
          <w:rFonts w:ascii="Garamond" w:hAnsi="Garamond" w:cs="Times New Roman"/>
        </w:rPr>
        <w:t xml:space="preserve">(MUP, 1996) </w:t>
      </w:r>
      <w:r w:rsidRPr="000A411E">
        <w:rPr>
          <w:rFonts w:ascii="Garamond" w:hAnsi="Garamond" w:cs="Times New Roman"/>
        </w:rPr>
        <w:t xml:space="preserve">, 64, </w:t>
      </w:r>
      <w:r w:rsidR="000164BE">
        <w:rPr>
          <w:rFonts w:ascii="Garamond" w:hAnsi="Garamond" w:cs="Times New Roman"/>
        </w:rPr>
        <w:t>F.</w:t>
      </w:r>
      <w:r w:rsidRPr="000A411E">
        <w:rPr>
          <w:rFonts w:ascii="Garamond" w:hAnsi="Garamond" w:cs="Times New Roman"/>
        </w:rPr>
        <w:t xml:space="preserve"> </w:t>
      </w:r>
      <w:r w:rsidRPr="000A411E">
        <w:rPr>
          <w:rFonts w:ascii="Garamond" w:hAnsi="Garamond" w:cs="Times New Roman"/>
        </w:rPr>
        <w:t xml:space="preserve">Morgenstern, </w:t>
      </w:r>
      <w:r w:rsidRPr="000164BE">
        <w:rPr>
          <w:rFonts w:ascii="Garamond" w:hAnsi="Garamond" w:cs="Times New Roman"/>
          <w:i/>
        </w:rPr>
        <w:t>Legal Problems of International Organizations</w:t>
      </w:r>
      <w:r w:rsidRPr="000A411E">
        <w:rPr>
          <w:rFonts w:ascii="Garamond" w:hAnsi="Garamond" w:cs="Times New Roman"/>
        </w:rPr>
        <w:t xml:space="preserve"> (CUP, 1986) </w:t>
      </w:r>
      <w:r w:rsidRPr="000A411E">
        <w:rPr>
          <w:rFonts w:ascii="Garamond" w:hAnsi="Garamond" w:cs="Times New Roman"/>
        </w:rPr>
        <w:t xml:space="preserve">p. 53; </w:t>
      </w:r>
      <w:r w:rsidRPr="000A411E">
        <w:rPr>
          <w:rFonts w:ascii="Garamond" w:hAnsi="Garamond" w:cs="Times New Roman"/>
        </w:rPr>
        <w:t xml:space="preserve">C.F. </w:t>
      </w:r>
      <w:r w:rsidRPr="000A411E">
        <w:rPr>
          <w:rFonts w:ascii="Garamond" w:hAnsi="Garamond" w:cs="Times New Roman"/>
        </w:rPr>
        <w:t xml:space="preserve">Amerasinghe, </w:t>
      </w:r>
      <w:r w:rsidRPr="000164BE">
        <w:rPr>
          <w:rFonts w:ascii="Garamond" w:hAnsi="Garamond" w:cs="Times New Roman"/>
          <w:i/>
        </w:rPr>
        <w:t>Principles of the Institutional Law of International Organizations</w:t>
      </w:r>
      <w:r w:rsidRPr="000A411E">
        <w:rPr>
          <w:rFonts w:ascii="Garamond" w:hAnsi="Garamond" w:cs="Times New Roman"/>
        </w:rPr>
        <w:t xml:space="preserve"> (2</w:t>
      </w:r>
      <w:r w:rsidRPr="000164BE">
        <w:rPr>
          <w:rFonts w:ascii="Garamond" w:hAnsi="Garamond" w:cs="Times New Roman"/>
          <w:vertAlign w:val="superscript"/>
        </w:rPr>
        <w:t>nd</w:t>
      </w:r>
      <w:r w:rsidRPr="000A411E">
        <w:rPr>
          <w:rFonts w:ascii="Garamond" w:hAnsi="Garamond" w:cs="Times New Roman"/>
        </w:rPr>
        <w:t xml:space="preserve"> ed, CUP, 2005) </w:t>
      </w:r>
      <w:r w:rsidRPr="000A411E">
        <w:rPr>
          <w:rFonts w:ascii="Garamond" w:hAnsi="Garamond" w:cs="Times New Roman"/>
        </w:rPr>
        <w:t>123;</w:t>
      </w:r>
      <w:r w:rsidRPr="000A411E">
        <w:rPr>
          <w:rFonts w:ascii="Garamond" w:hAnsi="Garamond" w:cs="Times New Roman"/>
        </w:rPr>
        <w:t xml:space="preserve"> C.Wilfred </w:t>
      </w:r>
      <w:r w:rsidRPr="000A411E">
        <w:rPr>
          <w:rFonts w:ascii="Garamond" w:hAnsi="Garamond" w:cs="Times New Roman"/>
        </w:rPr>
        <w:t>Jenks, ‘Expulsion from the League of Nations’</w:t>
      </w:r>
      <w:r w:rsidRPr="000A411E">
        <w:rPr>
          <w:rFonts w:ascii="Garamond" w:hAnsi="Garamond" w:cs="Times New Roman"/>
        </w:rPr>
        <w:t xml:space="preserve"> (1935) 16 </w:t>
      </w:r>
      <w:r w:rsidRPr="003E0579">
        <w:rPr>
          <w:rFonts w:ascii="Garamond" w:hAnsi="Garamond" w:cs="Times New Roman"/>
          <w:i/>
        </w:rPr>
        <w:t>British Yearbook of International Law</w:t>
      </w:r>
      <w:r w:rsidRPr="000A411E">
        <w:rPr>
          <w:rFonts w:ascii="Garamond" w:hAnsi="Garamond" w:cs="Times New Roman"/>
        </w:rPr>
        <w:t xml:space="preserve"> 155</w:t>
      </w:r>
      <w:r w:rsidRPr="000A411E">
        <w:rPr>
          <w:rFonts w:ascii="Garamond" w:hAnsi="Garamond" w:cs="Times New Roman"/>
        </w:rPr>
        <w:t>.</w:t>
      </w:r>
    </w:p>
  </w:footnote>
  <w:footnote w:id="5">
    <w:p w14:paraId="64E5863E" w14:textId="6B719E9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These are two key decision-making bodies when it comes to suspension and expulsion of members.</w:t>
      </w:r>
    </w:p>
  </w:footnote>
  <w:footnote w:id="6">
    <w:p w14:paraId="42CC1B95" w14:textId="75E36BFF"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C. Wilfred Jenks, ‘Due Process of Law in International Organizations’ (1965) 19 Int’l Org. 163 at 166</w:t>
      </w:r>
      <w:r w:rsidR="000164BE">
        <w:rPr>
          <w:rFonts w:ascii="Garamond" w:hAnsi="Garamond" w:cs="Times New Roman"/>
        </w:rPr>
        <w:t>.</w:t>
      </w:r>
    </w:p>
  </w:footnote>
  <w:footnote w:id="7">
    <w:p w14:paraId="6C59C132" w14:textId="30B3096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000164BE">
        <w:rPr>
          <w:rFonts w:ascii="Garamond" w:hAnsi="Garamond" w:cs="Times New Roman"/>
        </w:rPr>
        <w:t xml:space="preserve"> </w:t>
      </w:r>
      <w:r w:rsidRPr="000A411E">
        <w:rPr>
          <w:rFonts w:ascii="Garamond" w:hAnsi="Garamond" w:cs="Times New Roman"/>
        </w:rPr>
        <w:t xml:space="preserve">Amerasinghe, </w:t>
      </w:r>
      <w:r w:rsidRPr="000A411E">
        <w:rPr>
          <w:rFonts w:ascii="Garamond" w:hAnsi="Garamond" w:cs="Times New Roman"/>
        </w:rPr>
        <w:t xml:space="preserve">(n. </w:t>
      </w:r>
      <w:r w:rsidRPr="000A411E">
        <w:rPr>
          <w:rFonts w:ascii="Garamond" w:hAnsi="Garamond" w:cs="Times New Roman"/>
        </w:rPr>
        <w:fldChar w:fldCharType="begin"/>
      </w:r>
      <w:r w:rsidRPr="000A411E">
        <w:rPr>
          <w:rFonts w:ascii="Garamond" w:hAnsi="Garamond" w:cs="Times New Roman"/>
        </w:rPr>
        <w:instrText xml:space="preserve"> NOTEREF _Ref536173308 \h </w:instrText>
      </w:r>
      <w:r w:rsidRPr="000A411E">
        <w:rPr>
          <w:rFonts w:ascii="Garamond" w:hAnsi="Garamond" w:cs="Times New Roman"/>
        </w:rPr>
      </w:r>
      <w:r w:rsidR="000A411E" w:rsidRPr="000A411E">
        <w:rPr>
          <w:rFonts w:ascii="Garamond" w:hAnsi="Garamond" w:cs="Times New Roman"/>
        </w:rPr>
        <w:instrText xml:space="preserve"> \* MERGEFORMAT </w:instrText>
      </w:r>
      <w:r w:rsidRPr="000A411E">
        <w:rPr>
          <w:rFonts w:ascii="Garamond" w:hAnsi="Garamond" w:cs="Times New Roman"/>
        </w:rPr>
        <w:fldChar w:fldCharType="separate"/>
      </w:r>
      <w:r w:rsidRPr="000A411E">
        <w:rPr>
          <w:rFonts w:ascii="Garamond" w:hAnsi="Garamond" w:cs="Times New Roman"/>
        </w:rPr>
        <w:t>4</w:t>
      </w:r>
      <w:r w:rsidRPr="000A411E">
        <w:rPr>
          <w:rFonts w:ascii="Garamond" w:hAnsi="Garamond" w:cs="Times New Roman"/>
        </w:rPr>
        <w:fldChar w:fldCharType="end"/>
      </w:r>
      <w:r w:rsidRPr="000A411E">
        <w:rPr>
          <w:rFonts w:ascii="Garamond" w:hAnsi="Garamond" w:cs="Times New Roman"/>
        </w:rPr>
        <w:t xml:space="preserve">), </w:t>
      </w:r>
      <w:r w:rsidR="000164BE">
        <w:rPr>
          <w:rFonts w:ascii="Garamond" w:hAnsi="Garamond" w:cs="Times New Roman"/>
        </w:rPr>
        <w:t>123–4, A.</w:t>
      </w:r>
      <w:r w:rsidRPr="000A411E">
        <w:rPr>
          <w:rFonts w:ascii="Garamond" w:hAnsi="Garamond" w:cs="Times New Roman"/>
        </w:rPr>
        <w:t xml:space="preserve"> Duxbury</w:t>
      </w:r>
      <w:r w:rsidRPr="000A411E">
        <w:rPr>
          <w:rFonts w:ascii="Garamond" w:hAnsi="Garamond" w:cs="Times New Roman"/>
        </w:rPr>
        <w:t>,</w:t>
      </w:r>
      <w:r w:rsidRPr="000A411E">
        <w:rPr>
          <w:rFonts w:ascii="Garamond" w:hAnsi="Garamond" w:cs="Times New Roman"/>
        </w:rPr>
        <w:t xml:space="preserve"> </w:t>
      </w:r>
      <w:r w:rsidRPr="000164BE">
        <w:rPr>
          <w:rFonts w:ascii="Garamond" w:hAnsi="Garamond" w:cs="Times New Roman"/>
          <w:i/>
        </w:rPr>
        <w:t>The Participation of States in International Organisations</w:t>
      </w:r>
      <w:r w:rsidRPr="000A411E">
        <w:rPr>
          <w:rFonts w:ascii="Garamond" w:hAnsi="Garamond" w:cs="Times New Roman"/>
          <w:i/>
        </w:rPr>
        <w:t>:</w:t>
      </w:r>
      <w:r w:rsidRPr="000164BE">
        <w:rPr>
          <w:rFonts w:ascii="Garamond" w:hAnsi="Garamond" w:cs="Times New Roman"/>
          <w:i/>
        </w:rPr>
        <w:t xml:space="preserve"> The Role of Human Rights and Democracy</w:t>
      </w:r>
      <w:r w:rsidRPr="000A411E">
        <w:rPr>
          <w:rFonts w:ascii="Garamond" w:hAnsi="Garamond" w:cs="Times New Roman"/>
        </w:rPr>
        <w:t xml:space="preserve"> </w:t>
      </w:r>
      <w:r w:rsidRPr="000A411E">
        <w:rPr>
          <w:rFonts w:ascii="Garamond" w:hAnsi="Garamond" w:cs="Times New Roman"/>
        </w:rPr>
        <w:t>(</w:t>
      </w:r>
      <w:r w:rsidRPr="000A411E">
        <w:rPr>
          <w:rFonts w:ascii="Garamond" w:hAnsi="Garamond" w:cs="Times New Roman"/>
        </w:rPr>
        <w:t>CUP 2011</w:t>
      </w:r>
      <w:r w:rsidRPr="000A411E">
        <w:rPr>
          <w:rFonts w:ascii="Garamond" w:hAnsi="Garamond" w:cs="Times New Roman"/>
        </w:rPr>
        <w:t>)</w:t>
      </w:r>
      <w:r w:rsidR="000164BE">
        <w:rPr>
          <w:rFonts w:ascii="Garamond" w:hAnsi="Garamond" w:cs="Times New Roman"/>
        </w:rPr>
        <w:t xml:space="preserve">. See also, </w:t>
      </w:r>
      <w:r w:rsidRPr="000A411E">
        <w:rPr>
          <w:rFonts w:ascii="Garamond" w:hAnsi="Garamond" w:cs="Times New Roman"/>
        </w:rPr>
        <w:t>White</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(n. </w:t>
      </w:r>
      <w:r w:rsidRPr="000A411E">
        <w:rPr>
          <w:rFonts w:ascii="Garamond" w:hAnsi="Garamond" w:cs="Times New Roman"/>
        </w:rPr>
        <w:fldChar w:fldCharType="begin"/>
      </w:r>
      <w:r w:rsidRPr="000A411E">
        <w:rPr>
          <w:rFonts w:ascii="Garamond" w:hAnsi="Garamond" w:cs="Times New Roman"/>
        </w:rPr>
        <w:instrText xml:space="preserve"> NOTEREF _Ref536173308 \h </w:instrText>
      </w:r>
      <w:r w:rsidRPr="000A411E">
        <w:rPr>
          <w:rFonts w:ascii="Garamond" w:hAnsi="Garamond" w:cs="Times New Roman"/>
        </w:rPr>
      </w:r>
      <w:r w:rsidR="000A411E" w:rsidRPr="000A411E">
        <w:rPr>
          <w:rFonts w:ascii="Garamond" w:hAnsi="Garamond" w:cs="Times New Roman"/>
        </w:rPr>
        <w:instrText xml:space="preserve"> \* MERGEFORMAT </w:instrText>
      </w:r>
      <w:r w:rsidRPr="000A411E">
        <w:rPr>
          <w:rFonts w:ascii="Garamond" w:hAnsi="Garamond" w:cs="Times New Roman"/>
        </w:rPr>
        <w:fldChar w:fldCharType="separate"/>
      </w:r>
      <w:r w:rsidRPr="000A411E">
        <w:rPr>
          <w:rFonts w:ascii="Garamond" w:hAnsi="Garamond" w:cs="Times New Roman"/>
        </w:rPr>
        <w:t>4</w:t>
      </w:r>
      <w:r w:rsidRPr="000A411E">
        <w:rPr>
          <w:rFonts w:ascii="Garamond" w:hAnsi="Garamond" w:cs="Times New Roman"/>
        </w:rPr>
        <w:fldChar w:fldCharType="end"/>
      </w:r>
      <w:r w:rsidRPr="000A411E">
        <w:rPr>
          <w:rFonts w:ascii="Garamond" w:hAnsi="Garamond" w:cs="Times New Roman"/>
        </w:rPr>
        <w:t xml:space="preserve">), </w:t>
      </w:r>
      <w:r w:rsidRPr="000A411E">
        <w:rPr>
          <w:rFonts w:ascii="Garamond" w:hAnsi="Garamond" w:cs="Times New Roman"/>
        </w:rPr>
        <w:t xml:space="preserve"> 64</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Louis B. Sohn, ‘</w:t>
      </w:r>
      <w:r w:rsidRPr="000A411E">
        <w:rPr>
          <w:rFonts w:ascii="Garamond" w:hAnsi="Garamond" w:cs="Times New Roman"/>
        </w:rPr>
        <w:t>Expulsion or Forced Withdrawal from an International Organization</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(1964) 77 </w:t>
      </w:r>
      <w:r w:rsidRPr="000A411E">
        <w:rPr>
          <w:rFonts w:ascii="Garamond" w:hAnsi="Garamond" w:cs="Times New Roman"/>
        </w:rPr>
        <w:t>Harvard Law Review 1381-1425</w:t>
      </w:r>
      <w:r w:rsidR="000164BE">
        <w:rPr>
          <w:rFonts w:ascii="Garamond" w:hAnsi="Garamond" w:cs="Times New Roman"/>
        </w:rPr>
        <w:t>.</w:t>
      </w:r>
    </w:p>
  </w:footnote>
  <w:footnote w:id="8">
    <w:p w14:paraId="7B7089DB" w14:textId="7AA485F2"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Morgenstern, </w:t>
      </w:r>
      <w:r w:rsidRPr="000A411E">
        <w:rPr>
          <w:rFonts w:ascii="Garamond" w:hAnsi="Garamond" w:cs="Times New Roman"/>
        </w:rPr>
        <w:t xml:space="preserve">(n. </w:t>
      </w:r>
      <w:r w:rsidRPr="000A411E">
        <w:rPr>
          <w:rFonts w:ascii="Garamond" w:hAnsi="Garamond" w:cs="Times New Roman"/>
        </w:rPr>
        <w:fldChar w:fldCharType="begin"/>
      </w:r>
      <w:r w:rsidRPr="000A411E">
        <w:rPr>
          <w:rFonts w:ascii="Garamond" w:hAnsi="Garamond" w:cs="Times New Roman"/>
        </w:rPr>
        <w:instrText xml:space="preserve"> NOTEREF _Ref536173308 \h </w:instrText>
      </w:r>
      <w:r w:rsidRPr="000A411E">
        <w:rPr>
          <w:rFonts w:ascii="Garamond" w:hAnsi="Garamond" w:cs="Times New Roman"/>
        </w:rPr>
      </w:r>
      <w:r w:rsidR="000A411E" w:rsidRPr="000A411E">
        <w:rPr>
          <w:rFonts w:ascii="Garamond" w:hAnsi="Garamond" w:cs="Times New Roman"/>
        </w:rPr>
        <w:instrText xml:space="preserve"> \* MERGEFORMAT </w:instrText>
      </w:r>
      <w:r w:rsidRPr="000A411E">
        <w:rPr>
          <w:rFonts w:ascii="Garamond" w:hAnsi="Garamond" w:cs="Times New Roman"/>
        </w:rPr>
        <w:fldChar w:fldCharType="separate"/>
      </w:r>
      <w:r w:rsidRPr="000A411E">
        <w:rPr>
          <w:rFonts w:ascii="Garamond" w:hAnsi="Garamond" w:cs="Times New Roman"/>
        </w:rPr>
        <w:t>4</w:t>
      </w:r>
      <w:r w:rsidRPr="000A411E">
        <w:rPr>
          <w:rFonts w:ascii="Garamond" w:hAnsi="Garamond" w:cs="Times New Roman"/>
        </w:rPr>
        <w:fldChar w:fldCharType="end"/>
      </w:r>
      <w:r w:rsidRPr="000A411E">
        <w:rPr>
          <w:rFonts w:ascii="Garamond" w:hAnsi="Garamond" w:cs="Times New Roman"/>
        </w:rPr>
        <w:t>)</w:t>
      </w:r>
      <w:r w:rsidR="000164BE">
        <w:rPr>
          <w:rFonts w:ascii="Garamond" w:hAnsi="Garamond" w:cs="Times New Roman"/>
        </w:rPr>
        <w:t>,</w:t>
      </w:r>
      <w:r w:rsidRPr="000A411E">
        <w:rPr>
          <w:rFonts w:ascii="Garamond" w:hAnsi="Garamond" w:cs="Times New Roman"/>
        </w:rPr>
        <w:t xml:space="preserve"> 53; Amerasinghe, </w:t>
      </w:r>
      <w:r w:rsidRPr="000A411E">
        <w:rPr>
          <w:rFonts w:ascii="Garamond" w:hAnsi="Garamond" w:cs="Times New Roman"/>
        </w:rPr>
        <w:t xml:space="preserve">(n. </w:t>
      </w:r>
      <w:r w:rsidRPr="000A411E">
        <w:rPr>
          <w:rFonts w:ascii="Garamond" w:hAnsi="Garamond" w:cs="Times New Roman"/>
        </w:rPr>
        <w:fldChar w:fldCharType="begin"/>
      </w:r>
      <w:r w:rsidRPr="000A411E">
        <w:rPr>
          <w:rFonts w:ascii="Garamond" w:hAnsi="Garamond" w:cs="Times New Roman"/>
        </w:rPr>
        <w:instrText xml:space="preserve"> NOTEREF _Ref536173308 \h </w:instrText>
      </w:r>
      <w:r w:rsidRPr="000A411E">
        <w:rPr>
          <w:rFonts w:ascii="Garamond" w:hAnsi="Garamond" w:cs="Times New Roman"/>
        </w:rPr>
      </w:r>
      <w:r w:rsidR="000A411E" w:rsidRPr="000A411E">
        <w:rPr>
          <w:rFonts w:ascii="Garamond" w:hAnsi="Garamond" w:cs="Times New Roman"/>
        </w:rPr>
        <w:instrText xml:space="preserve"> \* MERGEFORMAT </w:instrText>
      </w:r>
      <w:r w:rsidRPr="000A411E">
        <w:rPr>
          <w:rFonts w:ascii="Garamond" w:hAnsi="Garamond" w:cs="Times New Roman"/>
        </w:rPr>
        <w:fldChar w:fldCharType="separate"/>
      </w:r>
      <w:r w:rsidRPr="000A411E">
        <w:rPr>
          <w:rFonts w:ascii="Garamond" w:hAnsi="Garamond" w:cs="Times New Roman"/>
        </w:rPr>
        <w:t>4</w:t>
      </w:r>
      <w:r w:rsidRPr="000A411E">
        <w:rPr>
          <w:rFonts w:ascii="Garamond" w:hAnsi="Garamond" w:cs="Times New Roman"/>
        </w:rPr>
        <w:fldChar w:fldCharType="end"/>
      </w:r>
      <w:r w:rsidRPr="000A411E">
        <w:rPr>
          <w:rFonts w:ascii="Garamond" w:hAnsi="Garamond" w:cs="Times New Roman"/>
        </w:rPr>
        <w:t>)</w:t>
      </w:r>
      <w:r w:rsidR="000164BE">
        <w:rPr>
          <w:rFonts w:ascii="Garamond" w:hAnsi="Garamond" w:cs="Times New Roman"/>
        </w:rPr>
        <w:t xml:space="preserve">, </w:t>
      </w:r>
      <w:r w:rsidRPr="000A411E">
        <w:rPr>
          <w:rFonts w:ascii="Garamond" w:hAnsi="Garamond" w:cs="Times New Roman"/>
        </w:rPr>
        <w:t>123.</w:t>
      </w:r>
    </w:p>
  </w:footnote>
  <w:footnote w:id="9">
    <w:p w14:paraId="5BD81FDE" w14:textId="7CC504C5"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The Union of Soviet Socialist Republics was expelled from the League of Nations. </w:t>
      </w:r>
    </w:p>
  </w:footnote>
  <w:footnote w:id="10">
    <w:p w14:paraId="0904054C" w14:textId="446DAFA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Jenks</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(n. </w:t>
      </w:r>
      <w:r w:rsidRPr="000A411E">
        <w:rPr>
          <w:rFonts w:ascii="Garamond" w:hAnsi="Garamond" w:cs="Times New Roman"/>
        </w:rPr>
        <w:fldChar w:fldCharType="begin"/>
      </w:r>
      <w:r w:rsidRPr="000A411E">
        <w:rPr>
          <w:rFonts w:ascii="Garamond" w:hAnsi="Garamond" w:cs="Times New Roman"/>
        </w:rPr>
        <w:instrText xml:space="preserve"> NOTEREF _Ref532481727 \h </w:instrText>
      </w:r>
      <w:r w:rsidRPr="000A411E">
        <w:rPr>
          <w:rFonts w:ascii="Garamond" w:hAnsi="Garamond" w:cs="Times New Roman"/>
        </w:rPr>
      </w:r>
      <w:r w:rsidR="000A411E" w:rsidRPr="000A411E">
        <w:rPr>
          <w:rFonts w:ascii="Garamond" w:hAnsi="Garamond" w:cs="Times New Roman"/>
        </w:rPr>
        <w:instrText xml:space="preserve"> \* MERGEFORMAT </w:instrText>
      </w:r>
      <w:r w:rsidRPr="000A411E">
        <w:rPr>
          <w:rFonts w:ascii="Garamond" w:hAnsi="Garamond" w:cs="Times New Roman"/>
        </w:rPr>
        <w:fldChar w:fldCharType="separate"/>
      </w:r>
      <w:r w:rsidRPr="000A411E">
        <w:rPr>
          <w:rFonts w:ascii="Garamond" w:hAnsi="Garamond" w:cs="Times New Roman"/>
        </w:rPr>
        <w:t>6</w:t>
      </w:r>
      <w:r w:rsidRPr="000A411E">
        <w:rPr>
          <w:rFonts w:ascii="Garamond" w:hAnsi="Garamond" w:cs="Times New Roman"/>
        </w:rPr>
        <w:fldChar w:fldCharType="end"/>
      </w:r>
      <w:r w:rsidRPr="000A411E">
        <w:rPr>
          <w:rFonts w:ascii="Garamond" w:hAnsi="Garamond" w:cs="Times New Roman"/>
        </w:rPr>
        <w:t>),</w:t>
      </w:r>
      <w:r w:rsidRPr="000A411E">
        <w:rPr>
          <w:rFonts w:ascii="Garamond" w:hAnsi="Garamond" w:cs="Times New Roman"/>
        </w:rPr>
        <w:t xml:space="preserve"> 160. </w:t>
      </w:r>
    </w:p>
  </w:footnote>
  <w:footnote w:id="11">
    <w:p w14:paraId="4395C293" w14:textId="5373ECB8"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On 15 May 2018, this stood at 222 treaties.</w:t>
      </w:r>
    </w:p>
  </w:footnote>
  <w:footnote w:id="12">
    <w:p w14:paraId="2612AB51" w14:textId="31F48772"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‘Defending the acquis of the Council of Europe: preserving 65 years of successful intergovernmental co-operation’:  </w:t>
      </w:r>
      <w:hyperlink r:id="rId1" w:history="1">
        <w:r w:rsidRPr="000A411E">
          <w:rPr>
            <w:rStyle w:val="Hyperlink"/>
            <w:rFonts w:ascii="Garamond" w:hAnsi="Garamond" w:cs="Times New Roman"/>
          </w:rPr>
          <w:t>http://semantic-pace.net/tools/pdf.aspx?doc=aHR0cDovL2Fzc2VtYmx5LmNvZS5pbnQvbncveG1sL1hSZWYvWDJILURXLWV4dHIuYXNwP2ZpbGVpZD0yNDAzMyZsYW5nPUVO&amp;xsl=aHR0cDovL3NlbWFudGljcGFjZS5uZXQvWHNsdC9QZGYvWFJlZi1XRC1BVC1YTUwyUERGLnhzbA==&amp;xsltparams=ZmlsZWlkPTI0MDMz</w:t>
        </w:r>
      </w:hyperlink>
      <w:r w:rsidRPr="000A411E">
        <w:rPr>
          <w:rFonts w:ascii="Garamond" w:hAnsi="Garamond" w:cs="Times New Roman"/>
        </w:rPr>
        <w:t xml:space="preserve"> </w:t>
      </w:r>
      <w:r w:rsidRPr="000A411E">
        <w:rPr>
          <w:rFonts w:ascii="Garamond" w:hAnsi="Garamond" w:cs="Times New Roman"/>
        </w:rPr>
        <w:t>(accessed 25.01.2019).</w:t>
      </w:r>
    </w:p>
  </w:footnote>
  <w:footnote w:id="13">
    <w:p w14:paraId="6684294F" w14:textId="3D3C1F18"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For example </w:t>
      </w:r>
      <w:r w:rsidRPr="000A411E">
        <w:rPr>
          <w:rFonts w:ascii="Garamond" w:hAnsi="Garamond" w:cs="Times New Roman"/>
        </w:rPr>
        <w:t xml:space="preserve">the </w:t>
      </w:r>
      <w:r w:rsidRPr="000A411E">
        <w:rPr>
          <w:rFonts w:ascii="Garamond" w:hAnsi="Garamond" w:cs="Times New Roman"/>
        </w:rPr>
        <w:t>Charter of the Organization of American States as adopted in 1948 did not have any provisions of membership sanctions.</w:t>
      </w:r>
    </w:p>
  </w:footnote>
  <w:footnote w:id="14">
    <w:p w14:paraId="5C0AA2C1" w14:textId="471217FF"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Article 8 of the Statute of the CoE.</w:t>
      </w:r>
    </w:p>
  </w:footnote>
  <w:footnote w:id="15">
    <w:p w14:paraId="4ABDBD44" w14:textId="1B935F42"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Duxbury</w:t>
      </w:r>
      <w:r w:rsidRPr="000A411E">
        <w:rPr>
          <w:rFonts w:ascii="Garamond" w:hAnsi="Garamond" w:cs="Times New Roman"/>
        </w:rPr>
        <w:t>,</w:t>
      </w:r>
      <w:r w:rsidRPr="000A411E">
        <w:rPr>
          <w:rFonts w:ascii="Garamond" w:hAnsi="Garamond" w:cs="Times New Roman"/>
        </w:rPr>
        <w:t xml:space="preserve"> </w:t>
      </w:r>
      <w:r w:rsidR="000164BE">
        <w:rPr>
          <w:rFonts w:ascii="Garamond" w:hAnsi="Garamond" w:cs="Times New Roman"/>
        </w:rPr>
        <w:t>(</w:t>
      </w:r>
      <w:r w:rsidRPr="000A411E">
        <w:rPr>
          <w:rFonts w:ascii="Garamond" w:hAnsi="Garamond" w:cs="Times New Roman"/>
        </w:rPr>
        <w:t>n</w:t>
      </w:r>
      <w:r w:rsidR="000164BE">
        <w:rPr>
          <w:rFonts w:ascii="Garamond" w:hAnsi="Garamond" w:cs="Times New Roman"/>
        </w:rPr>
        <w:t>.</w:t>
      </w:r>
      <w:r w:rsidRPr="000A411E">
        <w:rPr>
          <w:rFonts w:ascii="Garamond" w:hAnsi="Garamond" w:cs="Times New Roman"/>
        </w:rPr>
        <w:t xml:space="preserve"> </w:t>
      </w:r>
      <w:r w:rsidRPr="000A411E">
        <w:rPr>
          <w:rFonts w:ascii="Garamond" w:hAnsi="Garamond" w:cs="Times New Roman"/>
        </w:rPr>
        <w:fldChar w:fldCharType="begin"/>
      </w:r>
      <w:r w:rsidRPr="000A411E">
        <w:rPr>
          <w:rFonts w:ascii="Garamond" w:hAnsi="Garamond" w:cs="Times New Roman"/>
        </w:rPr>
        <w:instrText xml:space="preserve"> NOTEREF _Ref532554078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7</w:t>
      </w:r>
      <w:r w:rsidRPr="000A411E">
        <w:rPr>
          <w:rFonts w:ascii="Garamond" w:hAnsi="Garamond" w:cs="Times New Roman"/>
        </w:rPr>
        <w:fldChar w:fldCharType="end"/>
      </w:r>
      <w:r w:rsidRPr="000A411E">
        <w:rPr>
          <w:rFonts w:ascii="Garamond" w:hAnsi="Garamond" w:cs="Times New Roman"/>
        </w:rPr>
        <w:t>), 174.</w:t>
      </w:r>
    </w:p>
  </w:footnote>
  <w:footnote w:id="16">
    <w:p w14:paraId="0C58C7CF" w14:textId="4787FFF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Resolution VI – Exclusion of the Present Government of Cuba from Participation in the Inter-American System’, Final Act, Eighth Meeting of Consultation of Ministers of Foreign Affairs, Punta del Este, Uruguay, Doc. No. OEA/Ser.C/II.8, 22–31 January 1962.</w:t>
      </w:r>
    </w:p>
  </w:footnote>
  <w:footnote w:id="17">
    <w:p w14:paraId="58824EBE" w14:textId="274280CA"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Sohn</w:t>
      </w:r>
      <w:r w:rsidRPr="000A411E">
        <w:rPr>
          <w:rFonts w:ascii="Garamond" w:hAnsi="Garamond" w:cs="Times New Roman"/>
        </w:rPr>
        <w:t>,</w:t>
      </w:r>
      <w:r w:rsidRPr="000A411E">
        <w:rPr>
          <w:rFonts w:ascii="Garamond" w:hAnsi="Garamond" w:cs="Times New Roman"/>
        </w:rPr>
        <w:t xml:space="preserve"> (n. </w:t>
      </w:r>
      <w:r w:rsidRPr="000A411E">
        <w:rPr>
          <w:rFonts w:ascii="Garamond" w:hAnsi="Garamond" w:cs="Times New Roman"/>
        </w:rPr>
        <w:fldChar w:fldCharType="begin"/>
      </w:r>
      <w:r w:rsidRPr="000A411E">
        <w:rPr>
          <w:rFonts w:ascii="Garamond" w:hAnsi="Garamond" w:cs="Times New Roman"/>
        </w:rPr>
        <w:instrText xml:space="preserve"> NOTEREF _Ref532554078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7</w:t>
      </w:r>
      <w:r w:rsidRPr="000A411E">
        <w:rPr>
          <w:rFonts w:ascii="Garamond" w:hAnsi="Garamond" w:cs="Times New Roman"/>
        </w:rPr>
        <w:fldChar w:fldCharType="end"/>
      </w:r>
      <w:r w:rsidRPr="000A411E">
        <w:rPr>
          <w:rFonts w:ascii="Garamond" w:hAnsi="Garamond" w:cs="Times New Roman"/>
        </w:rPr>
        <w:t>), 1418.</w:t>
      </w:r>
    </w:p>
  </w:footnote>
  <w:footnote w:id="18">
    <w:p w14:paraId="2FDEBA3E" w14:textId="4FA77EFB"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C</w:t>
      </w:r>
      <w:r w:rsidR="000164BE">
        <w:rPr>
          <w:rFonts w:ascii="Garamond" w:hAnsi="Garamond" w:cs="Times New Roman"/>
        </w:rPr>
        <w:t>harles</w:t>
      </w:r>
      <w:r w:rsidRPr="000A411E">
        <w:rPr>
          <w:rFonts w:ascii="Garamond" w:hAnsi="Garamond" w:cs="Times New Roman"/>
        </w:rPr>
        <w:t xml:space="preserve"> G. Fenwick, ‘The Issues at Punte Del Este: Non-Intervention v Collective Security’ </w:t>
      </w:r>
      <w:r w:rsidR="000164BE">
        <w:rPr>
          <w:rFonts w:ascii="Garamond" w:hAnsi="Garamond" w:cs="Times New Roman"/>
        </w:rPr>
        <w:t>(1962) 56 Am. J. Int’l L. 469,</w:t>
      </w:r>
      <w:r w:rsidRPr="000A411E">
        <w:rPr>
          <w:rFonts w:ascii="Garamond" w:hAnsi="Garamond" w:cs="Times New Roman"/>
        </w:rPr>
        <w:t xml:space="preserve"> 474.</w:t>
      </w:r>
    </w:p>
  </w:footnote>
  <w:footnote w:id="19">
    <w:p w14:paraId="1605D24C" w14:textId="67BF4FD4"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Bill Bowring, </w:t>
      </w:r>
      <w:r w:rsidRPr="000A411E">
        <w:rPr>
          <w:rFonts w:ascii="Garamond" w:hAnsi="Garamond" w:cs="Times New Roman"/>
        </w:rPr>
        <w:t>‘</w:t>
      </w:r>
      <w:r w:rsidRPr="000A411E">
        <w:rPr>
          <w:rFonts w:ascii="Garamond" w:hAnsi="Garamond" w:cs="Times New Roman"/>
        </w:rPr>
        <w:t>Russia’s Accession to the CoE and Human Rights: Compliance or Cross-Purposes?</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(1997) 6 </w:t>
      </w:r>
      <w:r w:rsidRPr="000A411E">
        <w:rPr>
          <w:rFonts w:ascii="Garamond" w:hAnsi="Garamond" w:cs="Times New Roman"/>
        </w:rPr>
        <w:t>European Human Rights Law Review 628, 631-633.</w:t>
      </w:r>
    </w:p>
  </w:footnote>
  <w:footnote w:id="20">
    <w:p w14:paraId="2008DEC2" w14:textId="568F7513"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rPr>
        <w:t>‘</w:t>
      </w:r>
      <w:r w:rsidRPr="000A411E">
        <w:rPr>
          <w:rFonts w:ascii="Garamond" w:hAnsi="Garamond" w:cs="Times New Roman"/>
        </w:rPr>
        <w:t>CoE Votes Russia In</w:t>
      </w:r>
      <w:r w:rsidRPr="000A411E">
        <w:rPr>
          <w:rFonts w:ascii="Garamond" w:hAnsi="Garamond" w:cs="Times New Roman"/>
        </w:rPr>
        <w:t>’</w:t>
      </w:r>
      <w:r w:rsidRPr="000A411E">
        <w:rPr>
          <w:rFonts w:ascii="Garamond" w:hAnsi="Garamond" w:cs="Times New Roman"/>
        </w:rPr>
        <w:t xml:space="preserve"> </w:t>
      </w:r>
      <w:r w:rsidRPr="000164BE">
        <w:rPr>
          <w:rFonts w:ascii="Garamond" w:hAnsi="Garamond" w:cs="Times New Roman"/>
          <w:i/>
        </w:rPr>
        <w:t>Financial Times</w:t>
      </w:r>
      <w:r w:rsidRPr="000A411E">
        <w:rPr>
          <w:rFonts w:ascii="Garamond" w:hAnsi="Garamond" w:cs="Times New Roman"/>
        </w:rPr>
        <w:t xml:space="preserve"> </w:t>
      </w:r>
      <w:r w:rsidRPr="000A411E">
        <w:rPr>
          <w:rFonts w:ascii="Garamond" w:hAnsi="Garamond" w:cs="Times New Roman"/>
        </w:rPr>
        <w:t xml:space="preserve">(London, </w:t>
      </w:r>
      <w:r w:rsidRPr="000A411E">
        <w:rPr>
          <w:rFonts w:ascii="Garamond" w:hAnsi="Garamond" w:cs="Times New Roman"/>
        </w:rPr>
        <w:t>26 January 1996</w:t>
      </w:r>
      <w:r w:rsidRPr="000A411E">
        <w:rPr>
          <w:rFonts w:ascii="Garamond" w:hAnsi="Garamond" w:cs="Times New Roman"/>
        </w:rPr>
        <w:t>)</w:t>
      </w:r>
      <w:r w:rsidR="000164BE">
        <w:rPr>
          <w:rFonts w:ascii="Garamond" w:hAnsi="Garamond" w:cs="Times New Roman"/>
        </w:rPr>
        <w:t>,</w:t>
      </w:r>
      <w:r w:rsidRPr="000A411E">
        <w:rPr>
          <w:rFonts w:ascii="Garamond" w:hAnsi="Garamond" w:cs="Times New Roman"/>
        </w:rPr>
        <w:t xml:space="preserve"> 2.</w:t>
      </w:r>
    </w:p>
  </w:footnote>
  <w:footnote w:id="21">
    <w:p w14:paraId="0F73D937" w14:textId="6C8C0014"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000164BE">
        <w:rPr>
          <w:rFonts w:ascii="Garamond" w:hAnsi="Garamond" w:cs="Times New Roman"/>
        </w:rPr>
        <w:t xml:space="preserve"> K.</w:t>
      </w:r>
      <w:r w:rsidRPr="000A411E">
        <w:rPr>
          <w:rFonts w:ascii="Garamond" w:hAnsi="Garamond" w:cs="Times New Roman"/>
        </w:rPr>
        <w:t xml:space="preserve"> Magliveras, </w:t>
      </w:r>
      <w:r w:rsidRPr="000164BE">
        <w:rPr>
          <w:rFonts w:ascii="Garamond" w:hAnsi="Garamond" w:cs="Times New Roman"/>
          <w:i/>
        </w:rPr>
        <w:t>Exclusion from Participation in International Organisations</w:t>
      </w:r>
      <w:r w:rsidRPr="000A411E">
        <w:rPr>
          <w:rFonts w:ascii="Garamond" w:hAnsi="Garamond" w:cs="Times New Roman"/>
        </w:rPr>
        <w:t xml:space="preserve"> </w:t>
      </w:r>
      <w:r w:rsidRPr="000A411E">
        <w:rPr>
          <w:rFonts w:ascii="Garamond" w:hAnsi="Garamond" w:cs="Times New Roman"/>
        </w:rPr>
        <w:t>(</w:t>
      </w:r>
      <w:r w:rsidRPr="000A411E">
        <w:rPr>
          <w:rFonts w:ascii="Garamond" w:hAnsi="Garamond" w:cs="Times New Roman"/>
        </w:rPr>
        <w:t>Kluwer, 1999</w:t>
      </w:r>
      <w:r w:rsidRPr="000A411E">
        <w:rPr>
          <w:rFonts w:ascii="Garamond" w:hAnsi="Garamond" w:cs="Times New Roman"/>
        </w:rPr>
        <w:t>)</w:t>
      </w:r>
      <w:r w:rsidRPr="000A411E">
        <w:rPr>
          <w:rFonts w:ascii="Garamond" w:hAnsi="Garamond" w:cs="Times New Roman"/>
        </w:rPr>
        <w:t xml:space="preserve"> 87.</w:t>
      </w:r>
    </w:p>
  </w:footnote>
  <w:footnote w:id="22">
    <w:p w14:paraId="0A8C4255" w14:textId="488987FD"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For more details see, Duxbury (n. </w:t>
      </w:r>
      <w:r w:rsidRPr="000A411E">
        <w:rPr>
          <w:rFonts w:ascii="Garamond" w:hAnsi="Garamond" w:cs="Times New Roman"/>
        </w:rPr>
        <w:fldChar w:fldCharType="begin"/>
      </w:r>
      <w:r w:rsidRPr="000A411E">
        <w:rPr>
          <w:rFonts w:ascii="Garamond" w:hAnsi="Garamond" w:cs="Times New Roman"/>
        </w:rPr>
        <w:instrText xml:space="preserve"> NOTEREF _Ref532554078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7</w:t>
      </w:r>
      <w:r w:rsidRPr="000A411E">
        <w:rPr>
          <w:rFonts w:ascii="Garamond" w:hAnsi="Garamond" w:cs="Times New Roman"/>
        </w:rPr>
        <w:fldChar w:fldCharType="end"/>
      </w:r>
      <w:r w:rsidRPr="000A411E">
        <w:rPr>
          <w:rFonts w:ascii="Garamond" w:hAnsi="Garamond" w:cs="Times New Roman"/>
        </w:rPr>
        <w:t>), 191.</w:t>
      </w:r>
    </w:p>
  </w:footnote>
  <w:footnote w:id="23">
    <w:p w14:paraId="7A49B012" w14:textId="2CE47E8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James Becket, ‘The Greek Case before the European Human Rights Commission’ (1970) 1(1) </w:t>
      </w:r>
      <w:r w:rsidRPr="000A411E">
        <w:rPr>
          <w:rFonts w:ascii="Garamond" w:hAnsi="Garamond" w:cs="Times New Roman"/>
          <w:i/>
        </w:rPr>
        <w:t xml:space="preserve">Human Rights </w:t>
      </w:r>
      <w:r w:rsidR="007115EF">
        <w:rPr>
          <w:rFonts w:ascii="Garamond" w:hAnsi="Garamond" w:cs="Times New Roman"/>
        </w:rPr>
        <w:t>91,</w:t>
      </w:r>
      <w:r w:rsidRPr="000A411E">
        <w:rPr>
          <w:rFonts w:ascii="Garamond" w:hAnsi="Garamond" w:cs="Times New Roman"/>
        </w:rPr>
        <w:t xml:space="preserve"> 106.</w:t>
      </w:r>
    </w:p>
  </w:footnote>
  <w:footnote w:id="24">
    <w:p w14:paraId="45A6DDF2" w14:textId="5851B44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Prague Document on Further Development of CSCE Institutions and Structures’, Second Meeting of the Coun</w:t>
      </w:r>
      <w:r w:rsidR="007115EF">
        <w:rPr>
          <w:rFonts w:ascii="Garamond" w:hAnsi="Garamond" w:cs="Times New Roman"/>
        </w:rPr>
        <w:t>cil, Doc. No. 2PRAG92.e, 1992,</w:t>
      </w:r>
      <w:r w:rsidRPr="000A411E">
        <w:rPr>
          <w:rFonts w:ascii="Garamond" w:hAnsi="Garamond" w:cs="Times New Roman"/>
        </w:rPr>
        <w:t xml:space="preserve"> para. 16.</w:t>
      </w:r>
    </w:p>
  </w:footnote>
  <w:footnote w:id="25">
    <w:p w14:paraId="74EA4857" w14:textId="0A7BD22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164BE">
        <w:rPr>
          <w:rFonts w:ascii="Garamond" w:hAnsi="Garamond" w:cs="Times New Roman"/>
        </w:rPr>
        <w:t xml:space="preserve">‘Sixteenth CSO Meeting, Decisions of the Committee of Senior Officials, Prague, 16–18 September 1992’, in </w:t>
      </w:r>
      <w:r w:rsidR="007115EF">
        <w:rPr>
          <w:rFonts w:ascii="Garamond" w:hAnsi="Garamond" w:cs="Times New Roman"/>
        </w:rPr>
        <w:t>A.</w:t>
      </w:r>
      <w:r w:rsidRPr="000164BE">
        <w:rPr>
          <w:rFonts w:ascii="Garamond" w:hAnsi="Garamond" w:cs="Times New Roman"/>
        </w:rPr>
        <w:t xml:space="preserve"> </w:t>
      </w:r>
      <w:r w:rsidRPr="000164BE">
        <w:rPr>
          <w:rFonts w:ascii="Garamond" w:hAnsi="Garamond" w:cs="Times New Roman"/>
        </w:rPr>
        <w:t>Bloed</w:t>
      </w:r>
      <w:r w:rsidRPr="000164BE">
        <w:rPr>
          <w:rFonts w:ascii="Garamond" w:hAnsi="Garamond" w:cs="Times New Roman"/>
        </w:rPr>
        <w:t xml:space="preserve"> (ed)</w:t>
      </w:r>
      <w:r w:rsidRPr="000164BE">
        <w:rPr>
          <w:rFonts w:ascii="Garamond" w:hAnsi="Garamond" w:cs="Times New Roman"/>
        </w:rPr>
        <w:t xml:space="preserve">, </w:t>
      </w:r>
      <w:r w:rsidRPr="000A411E">
        <w:rPr>
          <w:rFonts w:ascii="Garamond" w:hAnsi="Garamond" w:cs="Times New Roman"/>
          <w:i/>
        </w:rPr>
        <w:t xml:space="preserve">The </w:t>
      </w:r>
      <w:r w:rsidRPr="000A411E">
        <w:rPr>
          <w:rFonts w:ascii="Garamond" w:hAnsi="Garamond" w:cs="Times New Roman"/>
          <w:i/>
        </w:rPr>
        <w:t>Conference on Security and Co-operation in Europe</w:t>
      </w:r>
      <w:r w:rsidRPr="000A411E">
        <w:rPr>
          <w:rFonts w:ascii="Garamond" w:hAnsi="Garamond" w:cs="Times New Roman"/>
          <w:i/>
        </w:rPr>
        <w:t>: Analysis and Basic Documents, 1972-1993</w:t>
      </w:r>
      <w:r w:rsidRPr="000A411E">
        <w:rPr>
          <w:rFonts w:ascii="Garamond" w:hAnsi="Garamond" w:cs="Times New Roman"/>
        </w:rPr>
        <w:t xml:space="preserve"> (Brill, 1993)</w:t>
      </w:r>
      <w:r w:rsidR="000164BE">
        <w:rPr>
          <w:rFonts w:ascii="Garamond" w:hAnsi="Garamond" w:cs="Times New Roman"/>
        </w:rPr>
        <w:t>,</w:t>
      </w:r>
      <w:r w:rsidRPr="000164BE">
        <w:rPr>
          <w:rFonts w:ascii="Garamond" w:hAnsi="Garamond" w:cs="Times New Roman"/>
        </w:rPr>
        <w:t xml:space="preserve"> 962.</w:t>
      </w:r>
    </w:p>
  </w:footnote>
  <w:footnote w:id="26">
    <w:p w14:paraId="6D4C7D13" w14:textId="3994800C"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Duxbury, (n. </w:t>
      </w:r>
      <w:r w:rsidRPr="000A411E">
        <w:rPr>
          <w:rFonts w:ascii="Garamond" w:hAnsi="Garamond" w:cs="Times New Roman"/>
        </w:rPr>
        <w:fldChar w:fldCharType="begin"/>
      </w:r>
      <w:r w:rsidRPr="000A411E">
        <w:rPr>
          <w:rFonts w:ascii="Garamond" w:hAnsi="Garamond" w:cs="Times New Roman"/>
        </w:rPr>
        <w:instrText xml:space="preserve"> NOTEREF _Ref532554078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7</w:t>
      </w:r>
      <w:r w:rsidRPr="000A411E">
        <w:rPr>
          <w:rFonts w:ascii="Garamond" w:hAnsi="Garamond" w:cs="Times New Roman"/>
        </w:rPr>
        <w:fldChar w:fldCharType="end"/>
      </w:r>
      <w:r w:rsidRPr="000A411E">
        <w:rPr>
          <w:rFonts w:ascii="Garamond" w:hAnsi="Garamond" w:cs="Times New Roman"/>
        </w:rPr>
        <w:t>), 214.</w:t>
      </w:r>
    </w:p>
  </w:footnote>
  <w:footnote w:id="27">
    <w:p w14:paraId="52C45AEB" w14:textId="7E2D37F2" w:rsidR="00E71905" w:rsidRPr="000164B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w:t>
      </w:r>
      <w:r w:rsidRPr="000164BE">
        <w:rPr>
          <w:rFonts w:ascii="Garamond" w:hAnsi="Garamond"/>
        </w:rPr>
        <w:t xml:space="preserve">The Commonwealth did not originally provide a means to leave, this was solved through political fiat; see Donal K. </w:t>
      </w:r>
      <w:r w:rsidRPr="000A411E">
        <w:rPr>
          <w:rFonts w:ascii="Garamond" w:hAnsi="Garamond"/>
        </w:rPr>
        <w:t xml:space="preserve">Coffey, ‘“The Right to Shoot Himself”: Secession in the British Commonwealth of Nations’ (2018) 39 </w:t>
      </w:r>
      <w:r w:rsidRPr="007115EF">
        <w:rPr>
          <w:rFonts w:ascii="Garamond" w:hAnsi="Garamond"/>
          <w:i/>
        </w:rPr>
        <w:t>The Journal of Legal History</w:t>
      </w:r>
      <w:r w:rsidRPr="000A411E">
        <w:rPr>
          <w:rFonts w:ascii="Garamond" w:hAnsi="Garamond"/>
        </w:rPr>
        <w:t xml:space="preserve"> 117.</w:t>
      </w:r>
    </w:p>
  </w:footnote>
  <w:footnote w:id="28">
    <w:p w14:paraId="2AFB4565" w14:textId="71042826"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Duxbury, (n. </w:t>
      </w:r>
      <w:r w:rsidRPr="000A411E">
        <w:rPr>
          <w:rFonts w:ascii="Garamond" w:hAnsi="Garamond" w:cs="Times New Roman"/>
        </w:rPr>
        <w:fldChar w:fldCharType="begin"/>
      </w:r>
      <w:r w:rsidRPr="000A411E">
        <w:rPr>
          <w:rFonts w:ascii="Garamond" w:hAnsi="Garamond" w:cs="Times New Roman"/>
        </w:rPr>
        <w:instrText xml:space="preserve"> NOTEREF _Ref532554078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7</w:t>
      </w:r>
      <w:r w:rsidRPr="000A411E">
        <w:rPr>
          <w:rFonts w:ascii="Garamond" w:hAnsi="Garamond" w:cs="Times New Roman"/>
        </w:rPr>
        <w:fldChar w:fldCharType="end"/>
      </w:r>
      <w:r w:rsidRPr="000A411E">
        <w:rPr>
          <w:rFonts w:ascii="Garamond" w:hAnsi="Garamond" w:cs="Times New Roman"/>
        </w:rPr>
        <w:t>), 208.</w:t>
      </w:r>
    </w:p>
  </w:footnote>
  <w:footnote w:id="29">
    <w:p w14:paraId="5656AA8C" w14:textId="1135BB7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‘Commonwealth Marlborough House Statement on Zimbabwe’ available online at </w:t>
      </w:r>
      <w:hyperlink r:id="rId2" w:history="1">
        <w:r w:rsidRPr="000A411E">
          <w:rPr>
            <w:rStyle w:val="Hyperlink"/>
            <w:rFonts w:ascii="Garamond" w:hAnsi="Garamond" w:cs="Times New Roman"/>
          </w:rPr>
          <w:t>http://www.dirco.gov.za/docs/2002/zimb0319a.htm accessed 28.12.2017</w:t>
        </w:r>
      </w:hyperlink>
      <w:r w:rsidRPr="000A411E">
        <w:rPr>
          <w:rFonts w:ascii="Garamond" w:hAnsi="Garamond" w:cs="Times New Roman"/>
        </w:rPr>
        <w:t>. On the background to the 2002 elections, see Ian Taylor and Paul Williams, ‘The Limits of Engagement: British Foreign Pol</w:t>
      </w:r>
      <w:r w:rsidR="007115EF">
        <w:rPr>
          <w:rFonts w:ascii="Garamond" w:hAnsi="Garamond" w:cs="Times New Roman"/>
        </w:rPr>
        <w:t>icy and the Crisis in Zimbabwe’</w:t>
      </w:r>
      <w:r w:rsidRPr="000A411E">
        <w:rPr>
          <w:rFonts w:ascii="Garamond" w:hAnsi="Garamond" w:cs="Times New Roman"/>
        </w:rPr>
        <w:t xml:space="preserve"> (2002) </w:t>
      </w:r>
      <w:r w:rsidRPr="000A411E">
        <w:rPr>
          <w:rFonts w:ascii="Garamond" w:hAnsi="Garamond" w:cs="Times New Roman"/>
        </w:rPr>
        <w:t xml:space="preserve">78(3) </w:t>
      </w:r>
      <w:r w:rsidRPr="000A411E">
        <w:rPr>
          <w:rFonts w:ascii="Garamond" w:hAnsi="Garamond" w:cs="Times New Roman"/>
          <w:i/>
        </w:rPr>
        <w:t xml:space="preserve">International Affairs </w:t>
      </w:r>
      <w:r w:rsidRPr="000A411E">
        <w:rPr>
          <w:rFonts w:ascii="Garamond" w:hAnsi="Garamond" w:cs="Times New Roman"/>
        </w:rPr>
        <w:t>547.</w:t>
      </w:r>
    </w:p>
  </w:footnote>
  <w:footnote w:id="30">
    <w:p w14:paraId="55D9AA2E"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The Zimbabwean Government argued that the initial 12 month suspension automatically lapsed unless it was renewed, although the Commonwealth Head of Government Meeting did not agree with this view.</w:t>
      </w:r>
    </w:p>
  </w:footnote>
  <w:footnote w:id="31">
    <w:p w14:paraId="1A628114"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Other countries who chose to engage at a similar time, for example Pakistan, were not subject to the same procedure.</w:t>
      </w:r>
    </w:p>
  </w:footnote>
  <w:footnote w:id="32">
    <w:p w14:paraId="1FE20FE5" w14:textId="6DDC029F"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Sohn, (n. </w:t>
      </w:r>
      <w:r w:rsidRPr="000A411E">
        <w:rPr>
          <w:rFonts w:ascii="Garamond" w:hAnsi="Garamond" w:cs="Times New Roman"/>
        </w:rPr>
        <w:fldChar w:fldCharType="begin"/>
      </w:r>
      <w:r w:rsidRPr="000A411E">
        <w:rPr>
          <w:rFonts w:ascii="Garamond" w:hAnsi="Garamond" w:cs="Times New Roman"/>
        </w:rPr>
        <w:instrText xml:space="preserve"> NOTEREF _Ref532554078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7</w:t>
      </w:r>
      <w:r w:rsidRPr="000A411E">
        <w:rPr>
          <w:rFonts w:ascii="Garamond" w:hAnsi="Garamond" w:cs="Times New Roman"/>
        </w:rPr>
        <w:fldChar w:fldCharType="end"/>
      </w:r>
      <w:r w:rsidRPr="000A411E">
        <w:rPr>
          <w:rFonts w:ascii="Garamond" w:hAnsi="Garamond" w:cs="Times New Roman"/>
        </w:rPr>
        <w:t>), 1388.</w:t>
      </w:r>
    </w:p>
  </w:footnote>
  <w:footnote w:id="33">
    <w:p w14:paraId="091D3CEA" w14:textId="1A2C0C7F"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for example the Charter of the Organization of American States. </w:t>
      </w:r>
    </w:p>
  </w:footnote>
  <w:footnote w:id="34">
    <w:p w14:paraId="668A2F74" w14:textId="6CF3B5BD"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By way of example, Magliveras examined the procedural difficulties of expelling Greece from the CoE in the 60s. He points out ‘[a] controversy erupted as to the whether the resolution on suspension required unanimity or qualified majority. Whereas voting is regulated in Article 20 of the Statute, suspension is not mentioned as an ‘important matter’ requiring unanimity. As Article 20 does not stipulate that interested parties are excluded from voting, this does not prevent the recalcitrant state from casting a negative vote, effectively vetoing the adoption of the resolution on suspension. The adopted solution was to apply the voting conditions regulating admission of new Members by analogy; thus, a two-thirds majority was sufficient.’</w:t>
      </w:r>
    </w:p>
  </w:footnote>
  <w:footnote w:id="35">
    <w:p w14:paraId="3C7D9106" w14:textId="1B3BD89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Resolution (51)30. Magliveras</w:t>
      </w:r>
      <w:r w:rsidRPr="000A411E">
        <w:rPr>
          <w:rFonts w:ascii="Garamond" w:hAnsi="Garamond" w:cs="Times New Roman"/>
        </w:rPr>
        <w:t>,</w:t>
      </w:r>
      <w:r w:rsidRPr="000A411E">
        <w:rPr>
          <w:rFonts w:ascii="Garamond" w:hAnsi="Garamond" w:cs="Times New Roman"/>
        </w:rPr>
        <w:t xml:space="preserve"> (n. </w:t>
      </w:r>
      <w:r w:rsidRPr="000A411E">
        <w:rPr>
          <w:rFonts w:ascii="Garamond" w:hAnsi="Garamond" w:cs="Times New Roman"/>
        </w:rPr>
        <w:fldChar w:fldCharType="begin"/>
      </w:r>
      <w:r w:rsidRPr="000A411E">
        <w:rPr>
          <w:rFonts w:ascii="Garamond" w:hAnsi="Garamond" w:cs="Times New Roman"/>
        </w:rPr>
        <w:instrText xml:space="preserve"> NOTEREF _Ref534799707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21</w:t>
      </w:r>
      <w:r w:rsidRPr="000A411E">
        <w:rPr>
          <w:rFonts w:ascii="Garamond" w:hAnsi="Garamond" w:cs="Times New Roman"/>
        </w:rPr>
        <w:fldChar w:fldCharType="end"/>
      </w:r>
      <w:r w:rsidRPr="000A411E">
        <w:rPr>
          <w:rFonts w:ascii="Garamond" w:hAnsi="Garamond" w:cs="Times New Roman"/>
        </w:rPr>
        <w:t>), 81.</w:t>
      </w:r>
    </w:p>
  </w:footnote>
  <w:footnote w:id="36">
    <w:p w14:paraId="38317483"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Article 26 of the Rules of Procedure of the Committee of Ministers.</w:t>
      </w:r>
    </w:p>
  </w:footnote>
  <w:footnote w:id="37">
    <w:p w14:paraId="467CD648" w14:textId="48FC2A06"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Duxbury</w:t>
      </w:r>
      <w:r w:rsidR="000164BE">
        <w:rPr>
          <w:rFonts w:ascii="Garamond" w:hAnsi="Garamond" w:cs="Times New Roman"/>
        </w:rPr>
        <w:t>,</w:t>
      </w:r>
      <w:r w:rsidRPr="000A411E">
        <w:rPr>
          <w:rFonts w:ascii="Garamond" w:hAnsi="Garamond" w:cs="Times New Roman"/>
        </w:rPr>
        <w:t xml:space="preserve"> (n. </w:t>
      </w:r>
      <w:r w:rsidRPr="000A411E">
        <w:rPr>
          <w:rFonts w:ascii="Garamond" w:hAnsi="Garamond" w:cs="Times New Roman"/>
        </w:rPr>
        <w:fldChar w:fldCharType="begin"/>
      </w:r>
      <w:r w:rsidRPr="000A411E">
        <w:rPr>
          <w:rFonts w:ascii="Garamond" w:hAnsi="Garamond" w:cs="Times New Roman"/>
        </w:rPr>
        <w:instrText xml:space="preserve"> NOTEREF _Ref532481727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6</w:t>
      </w:r>
      <w:r w:rsidRPr="000A411E">
        <w:rPr>
          <w:rFonts w:ascii="Garamond" w:hAnsi="Garamond" w:cs="Times New Roman"/>
        </w:rPr>
        <w:fldChar w:fldCharType="end"/>
      </w:r>
      <w:r w:rsidRPr="000A411E">
        <w:rPr>
          <w:rFonts w:ascii="Garamond" w:hAnsi="Garamond" w:cs="Times New Roman"/>
        </w:rPr>
        <w:t>), 714.</w:t>
      </w:r>
    </w:p>
  </w:footnote>
  <w:footnote w:id="38">
    <w:p w14:paraId="5C4F9D8E"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i/>
        </w:rPr>
        <w:t xml:space="preserve">Denmark, Norway, Sweden and the Netherlands v. Greece, </w:t>
      </w:r>
      <w:r w:rsidRPr="000A411E">
        <w:rPr>
          <w:rFonts w:ascii="Garamond" w:hAnsi="Garamond" w:cs="Times New Roman"/>
        </w:rPr>
        <w:t>no. 3321/67, 3322/67, 3323/67, 3344/67.</w:t>
      </w:r>
    </w:p>
  </w:footnote>
  <w:footnote w:id="39">
    <w:p w14:paraId="4E0BF2C0" w14:textId="4D7F249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The effectiveness of this procedure is discussed in </w:t>
      </w:r>
      <w:r w:rsidR="000164BE">
        <w:rPr>
          <w:rFonts w:ascii="Garamond" w:hAnsi="Garamond" w:cs="Times New Roman"/>
        </w:rPr>
        <w:t>Fiona</w:t>
      </w:r>
      <w:r w:rsidRPr="000A411E">
        <w:rPr>
          <w:rFonts w:ascii="Garamond" w:hAnsi="Garamond" w:cs="Times New Roman"/>
        </w:rPr>
        <w:t xml:space="preserve"> d</w:t>
      </w:r>
      <w:r w:rsidRPr="000A411E">
        <w:rPr>
          <w:rFonts w:ascii="Garamond" w:hAnsi="Garamond" w:cs="Times New Roman"/>
        </w:rPr>
        <w:t>e Londras</w:t>
      </w:r>
      <w:r w:rsidR="000164BE">
        <w:rPr>
          <w:rFonts w:ascii="Garamond" w:hAnsi="Garamond" w:cs="Times New Roman"/>
        </w:rPr>
        <w:t xml:space="preserve"> and Kanstantsin</w:t>
      </w:r>
      <w:r w:rsidRPr="000A411E">
        <w:rPr>
          <w:rFonts w:ascii="Garamond" w:hAnsi="Garamond" w:cs="Times New Roman"/>
        </w:rPr>
        <w:t xml:space="preserve"> Dzehtsiarou</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w:t>
      </w:r>
      <w:r w:rsidRPr="000A411E">
        <w:rPr>
          <w:rFonts w:ascii="Garamond" w:hAnsi="Garamond" w:cs="Times New Roman"/>
        </w:rPr>
        <w:t>Mission Impossible? Addressing Non-execution through Infringement Proceedings in the European Court of Human Rights</w:t>
      </w:r>
      <w:r w:rsidRPr="000A411E">
        <w:rPr>
          <w:rFonts w:ascii="Garamond" w:hAnsi="Garamond" w:cs="Times New Roman"/>
        </w:rPr>
        <w:t>’ (2917)</w:t>
      </w:r>
      <w:r w:rsidR="000164BE">
        <w:rPr>
          <w:rFonts w:ascii="Garamond" w:hAnsi="Garamond" w:cs="Times New Roman"/>
        </w:rPr>
        <w:t xml:space="preserve"> </w:t>
      </w:r>
      <w:r w:rsidRPr="000A411E">
        <w:rPr>
          <w:rFonts w:ascii="Garamond" w:hAnsi="Garamond" w:cs="Times New Roman"/>
        </w:rPr>
        <w:t>66(2)</w:t>
      </w:r>
      <w:r w:rsidRPr="000A411E">
        <w:rPr>
          <w:rFonts w:ascii="Garamond" w:hAnsi="Garamond" w:cs="Times New Roman"/>
        </w:rPr>
        <w:t xml:space="preserve"> </w:t>
      </w:r>
      <w:r w:rsidRPr="008A1947">
        <w:rPr>
          <w:rFonts w:ascii="Garamond" w:hAnsi="Garamond" w:cs="Times New Roman"/>
          <w:i/>
        </w:rPr>
        <w:t>International and Comparative Law Quarterly</w:t>
      </w:r>
      <w:r w:rsidRPr="000A411E">
        <w:rPr>
          <w:rFonts w:ascii="Garamond" w:hAnsi="Garamond" w:cs="Times New Roman"/>
        </w:rPr>
        <w:t xml:space="preserve"> 467.</w:t>
      </w:r>
    </w:p>
  </w:footnote>
  <w:footnote w:id="40">
    <w:p w14:paraId="755C33DD" w14:textId="5B264CB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00BE02C9">
        <w:rPr>
          <w:rFonts w:ascii="Garamond" w:hAnsi="Garamond" w:cs="Times New Roman"/>
        </w:rPr>
        <w:t xml:space="preserve"> G.</w:t>
      </w:r>
      <w:r w:rsidRPr="000A411E">
        <w:rPr>
          <w:rFonts w:ascii="Garamond" w:hAnsi="Garamond" w:cs="Times New Roman"/>
        </w:rPr>
        <w:t xml:space="preserve"> de Vel, </w:t>
      </w:r>
      <w:r w:rsidRPr="00BE02C9">
        <w:rPr>
          <w:rFonts w:ascii="Garamond" w:hAnsi="Garamond" w:cs="Times New Roman"/>
          <w:i/>
        </w:rPr>
        <w:t>The Committee of Ministers of the Co</w:t>
      </w:r>
      <w:r w:rsidRPr="000A411E">
        <w:rPr>
          <w:rFonts w:ascii="Garamond" w:hAnsi="Garamond" w:cs="Times New Roman"/>
          <w:i/>
        </w:rPr>
        <w:t xml:space="preserve">ncil of </w:t>
      </w:r>
      <w:r w:rsidRPr="00BE02C9">
        <w:rPr>
          <w:rFonts w:ascii="Garamond" w:hAnsi="Garamond" w:cs="Times New Roman"/>
          <w:i/>
        </w:rPr>
        <w:t>E</w:t>
      </w:r>
      <w:r w:rsidRPr="000A411E">
        <w:rPr>
          <w:rFonts w:ascii="Garamond" w:hAnsi="Garamond" w:cs="Times New Roman"/>
          <w:i/>
        </w:rPr>
        <w:t>urope</w:t>
      </w:r>
      <w:r w:rsidRPr="000A411E">
        <w:rPr>
          <w:rFonts w:ascii="Garamond" w:hAnsi="Garamond" w:cs="Times New Roman"/>
        </w:rPr>
        <w:t xml:space="preserve"> (Council of Europe</w:t>
      </w:r>
      <w:r w:rsidRPr="000A411E">
        <w:rPr>
          <w:rFonts w:ascii="Garamond" w:hAnsi="Garamond" w:cs="Times New Roman"/>
        </w:rPr>
        <w:t>, 1995</w:t>
      </w:r>
      <w:r w:rsidRPr="000A411E">
        <w:rPr>
          <w:rFonts w:ascii="Garamond" w:hAnsi="Garamond" w:cs="Times New Roman"/>
        </w:rPr>
        <w:t>) 49-50.</w:t>
      </w:r>
    </w:p>
  </w:footnote>
  <w:footnote w:id="41">
    <w:p w14:paraId="552C5A40" w14:textId="57270A0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Suspension of membership should not be confused with suspension of the right to representation at the PACE and the Committee of Ministers pursuant to Article 9 of the Statute. In the latter case, the delegations of the suspended countries are only prevented from taking part in the work of Committee of Ministers and the PACE, while all other membership rights continue to exist. Suspension of the right to representation should also be distinguished from the suspension of the right to vote in the PACE which is even more limited. This is important because as will be explained later Russia’s voting rights were suspended by the PACE, its suspension of right to representation was largely self-imposed.</w:t>
      </w:r>
    </w:p>
  </w:footnote>
  <w:footnote w:id="42">
    <w:p w14:paraId="6D3E98F9" w14:textId="614220A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E</w:t>
      </w:r>
      <w:r w:rsidR="00BE02C9">
        <w:rPr>
          <w:rFonts w:ascii="Garamond" w:hAnsi="Garamond" w:cs="Times New Roman"/>
        </w:rPr>
        <w:t>.</w:t>
      </w:r>
      <w:r w:rsidRPr="000A411E">
        <w:rPr>
          <w:rFonts w:ascii="Garamond" w:hAnsi="Garamond" w:cs="Times New Roman"/>
        </w:rPr>
        <w:t xml:space="preserve"> Klein</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w:t>
      </w:r>
      <w:r w:rsidRPr="000A411E">
        <w:rPr>
          <w:rFonts w:ascii="Garamond" w:hAnsi="Garamond" w:cs="Times New Roman"/>
        </w:rPr>
        <w:t>Membership and Observer Status</w:t>
      </w:r>
      <w:r w:rsidRPr="000A411E">
        <w:rPr>
          <w:rFonts w:ascii="Garamond" w:hAnsi="Garamond" w:cs="Times New Roman"/>
        </w:rPr>
        <w:t>’</w:t>
      </w:r>
      <w:r w:rsidRPr="000A411E">
        <w:rPr>
          <w:rFonts w:ascii="Garamond" w:hAnsi="Garamond" w:cs="Times New Roman"/>
        </w:rPr>
        <w:t xml:space="preserve"> in S</w:t>
      </w:r>
      <w:r w:rsidR="00BE02C9">
        <w:rPr>
          <w:rFonts w:ascii="Garamond" w:hAnsi="Garamond" w:cs="Times New Roman"/>
        </w:rPr>
        <w:t>.</w:t>
      </w:r>
      <w:r w:rsidRPr="000A411E">
        <w:rPr>
          <w:rFonts w:ascii="Garamond" w:hAnsi="Garamond" w:cs="Times New Roman"/>
        </w:rPr>
        <w:t xml:space="preserve"> Schmahl and M</w:t>
      </w:r>
      <w:r w:rsidR="00BE02C9">
        <w:rPr>
          <w:rFonts w:ascii="Garamond" w:hAnsi="Garamond" w:cs="Times New Roman"/>
        </w:rPr>
        <w:t>.</w:t>
      </w:r>
      <w:r w:rsidRPr="000A411E">
        <w:rPr>
          <w:rFonts w:ascii="Garamond" w:hAnsi="Garamond" w:cs="Times New Roman"/>
        </w:rPr>
        <w:t xml:space="preserve"> Breur (eds.) </w:t>
      </w:r>
      <w:r w:rsidRPr="000A411E">
        <w:rPr>
          <w:rFonts w:ascii="Garamond" w:hAnsi="Garamond" w:cs="Times New Roman"/>
          <w:i/>
        </w:rPr>
        <w:t xml:space="preserve">The Council of Europe. Its Law and Politics </w:t>
      </w:r>
      <w:r w:rsidRPr="000A411E">
        <w:rPr>
          <w:rFonts w:ascii="Garamond" w:hAnsi="Garamond" w:cs="Times New Roman"/>
        </w:rPr>
        <w:t>(OUP 2017)</w:t>
      </w:r>
      <w:r w:rsidR="00BE02C9">
        <w:rPr>
          <w:rFonts w:ascii="Garamond" w:hAnsi="Garamond" w:cs="Times New Roman"/>
        </w:rPr>
        <w:t>,</w:t>
      </w:r>
      <w:r w:rsidRPr="000A411E">
        <w:rPr>
          <w:rFonts w:ascii="Garamond" w:hAnsi="Garamond" w:cs="Times New Roman"/>
        </w:rPr>
        <w:t xml:space="preserve"> 67.</w:t>
      </w:r>
    </w:p>
  </w:footnote>
  <w:footnote w:id="43">
    <w:p w14:paraId="55C520F6" w14:textId="7426CD33"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Ed Bates has identified a number of instances in which the Contracting Parties to the Convention have threatened to leave the convention system or acted in a manner that falls short of genuine collaboration with the Council of Europe</w:t>
      </w:r>
      <w:r w:rsidRPr="000A411E">
        <w:rPr>
          <w:rFonts w:ascii="Garamond" w:hAnsi="Garamond" w:cs="Times New Roman"/>
        </w:rPr>
        <w:t>, see</w:t>
      </w:r>
      <w:r w:rsidRPr="000A411E">
        <w:rPr>
          <w:rFonts w:ascii="Garamond" w:hAnsi="Garamond" w:cs="Times New Roman"/>
        </w:rPr>
        <w:t xml:space="preserve"> </w:t>
      </w:r>
      <w:r w:rsidRPr="000A411E">
        <w:rPr>
          <w:rFonts w:ascii="Garamond" w:hAnsi="Garamond" w:cs="Times New Roman"/>
        </w:rPr>
        <w:t>E</w:t>
      </w:r>
      <w:r w:rsidR="00BE02C9">
        <w:rPr>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Bates, </w:t>
      </w:r>
      <w:r w:rsidRPr="00BE02C9">
        <w:rPr>
          <w:rFonts w:ascii="Garamond" w:hAnsi="Garamond" w:cs="Times New Roman"/>
          <w:i/>
        </w:rPr>
        <w:t>The Evolution of the European Convention on Human Rights</w:t>
      </w:r>
      <w:r w:rsidRPr="000A411E">
        <w:rPr>
          <w:rFonts w:ascii="Garamond" w:hAnsi="Garamond" w:cs="Times New Roman"/>
        </w:rPr>
        <w:t xml:space="preserve"> (</w:t>
      </w:r>
      <w:r w:rsidRPr="000A411E">
        <w:rPr>
          <w:rFonts w:ascii="Garamond" w:hAnsi="Garamond" w:cs="Times New Roman"/>
        </w:rPr>
        <w:t>OUP,</w:t>
      </w:r>
      <w:r w:rsidRPr="000A411E">
        <w:rPr>
          <w:rFonts w:ascii="Garamond" w:hAnsi="Garamond" w:cs="Times New Roman"/>
        </w:rPr>
        <w:t xml:space="preserve"> 2010), 286-288. </w:t>
      </w:r>
    </w:p>
  </w:footnote>
  <w:footnote w:id="44">
    <w:p w14:paraId="5B70E41F" w14:textId="4DE17478"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w:t>
      </w:r>
      <w:r w:rsidRPr="000A411E">
        <w:rPr>
          <w:rFonts w:ascii="Garamond" w:hAnsi="Garamond"/>
          <w:i/>
        </w:rPr>
        <w:t>Ireland v. the United Kingdom</w:t>
      </w:r>
      <w:r w:rsidRPr="000A411E">
        <w:rPr>
          <w:rFonts w:ascii="Garamond" w:hAnsi="Garamond"/>
        </w:rPr>
        <w:t>, 18 January 1978, Series A no. 25, for a</w:t>
      </w:r>
      <w:r w:rsidR="00BE02C9">
        <w:rPr>
          <w:rFonts w:ascii="Garamond" w:hAnsi="Garamond"/>
        </w:rPr>
        <w:t xml:space="preserve"> more detailed account see B.</w:t>
      </w:r>
      <w:r w:rsidRPr="000A411E">
        <w:rPr>
          <w:rFonts w:ascii="Garamond" w:hAnsi="Garamond"/>
        </w:rPr>
        <w:t xml:space="preserve"> Dickson, </w:t>
      </w:r>
      <w:r w:rsidRPr="00BE02C9">
        <w:rPr>
          <w:rFonts w:ascii="Garamond" w:hAnsi="Garamond"/>
          <w:i/>
        </w:rPr>
        <w:t>The European Convention on Human Rights and the Conflict in Northern Ireland</w:t>
      </w:r>
      <w:r w:rsidRPr="000A411E">
        <w:rPr>
          <w:rFonts w:ascii="Garamond" w:hAnsi="Garamond"/>
        </w:rPr>
        <w:t xml:space="preserve"> (OUP, 2010).</w:t>
      </w:r>
    </w:p>
  </w:footnote>
  <w:footnote w:id="45">
    <w:p w14:paraId="0F891DBA" w14:textId="4DE44E9B"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‘Conflict in the Chechen Republic – Recent Developments’ Report Doc. 8929 (20 Jan 2001).</w:t>
      </w:r>
    </w:p>
  </w:footnote>
  <w:footnote w:id="46">
    <w:p w14:paraId="1743B4BD" w14:textId="6DC7B3F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00BE02C9">
        <w:rPr>
          <w:rFonts w:ascii="Garamond" w:hAnsi="Garamond" w:cs="Times New Roman"/>
        </w:rPr>
        <w:t xml:space="preserve"> M.</w:t>
      </w:r>
      <w:r w:rsidRPr="000A411E">
        <w:rPr>
          <w:rFonts w:ascii="Garamond" w:hAnsi="Garamond" w:cs="Times New Roman"/>
        </w:rPr>
        <w:t xml:space="preserve"> Müftüler-Bac, </w:t>
      </w:r>
      <w:r w:rsidRPr="000A411E">
        <w:rPr>
          <w:rFonts w:ascii="Garamond" w:hAnsi="Garamond" w:cs="Times New Roman"/>
          <w:i/>
        </w:rPr>
        <w:t xml:space="preserve">Turkey’s Relations with a Changing Europe </w:t>
      </w:r>
      <w:r w:rsidRPr="000A411E">
        <w:rPr>
          <w:rFonts w:ascii="Garamond" w:hAnsi="Garamond" w:cs="Times New Roman"/>
        </w:rPr>
        <w:t>(M</w:t>
      </w:r>
      <w:r w:rsidRPr="000A411E">
        <w:rPr>
          <w:rFonts w:ascii="Garamond" w:hAnsi="Garamond" w:cs="Times New Roman"/>
        </w:rPr>
        <w:t>UP</w:t>
      </w:r>
      <w:r w:rsidRPr="000A411E">
        <w:rPr>
          <w:rFonts w:ascii="Garamond" w:hAnsi="Garamond" w:cs="Times New Roman"/>
        </w:rPr>
        <w:t>, 1997)</w:t>
      </w:r>
      <w:r w:rsidR="00BE02C9">
        <w:rPr>
          <w:rFonts w:ascii="Garamond" w:hAnsi="Garamond" w:cs="Times New Roman"/>
        </w:rPr>
        <w:t>,</w:t>
      </w:r>
      <w:r w:rsidRPr="000A411E">
        <w:rPr>
          <w:rFonts w:ascii="Garamond" w:hAnsi="Garamond" w:cs="Times New Roman"/>
        </w:rPr>
        <w:t xml:space="preserve"> 80-81.</w:t>
      </w:r>
    </w:p>
  </w:footnote>
  <w:footnote w:id="47">
    <w:p w14:paraId="617B9AE1" w14:textId="2AC56EE2"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Even in case of Greece formally  the Greek authorities withdrew from the Council. </w:t>
      </w:r>
    </w:p>
  </w:footnote>
  <w:footnote w:id="48">
    <w:p w14:paraId="53E330B8" w14:textId="0DD73C36"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There are 47 Members in the CoE covering all European states except Belarus.</w:t>
      </w:r>
    </w:p>
  </w:footnote>
  <w:footnote w:id="49">
    <w:p w14:paraId="7D780AA8" w14:textId="6466E13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Quoted from D</w:t>
      </w:r>
      <w:r w:rsidR="00BE02C9">
        <w:rPr>
          <w:rFonts w:ascii="Garamond" w:hAnsi="Garamond" w:cs="Times New Roman"/>
        </w:rPr>
        <w:t>.</w:t>
      </w:r>
      <w:r w:rsidRPr="000A411E">
        <w:rPr>
          <w:rFonts w:ascii="Garamond" w:hAnsi="Garamond" w:cs="Times New Roman"/>
        </w:rPr>
        <w:t xml:space="preserve"> Huber, A Decade </w:t>
      </w:r>
      <w:r w:rsidRPr="000A411E">
        <w:rPr>
          <w:rFonts w:ascii="Garamond" w:hAnsi="Garamond" w:cs="Times New Roman"/>
        </w:rPr>
        <w:t xml:space="preserve">which </w:t>
      </w:r>
      <w:r w:rsidRPr="000A411E">
        <w:rPr>
          <w:rFonts w:ascii="Garamond" w:hAnsi="Garamond" w:cs="Times New Roman"/>
        </w:rPr>
        <w:t>made History</w:t>
      </w:r>
      <w:r w:rsidRPr="000A411E">
        <w:rPr>
          <w:rFonts w:ascii="Garamond" w:hAnsi="Garamond" w:cs="Times New Roman"/>
        </w:rPr>
        <w:t>: The Council of Europe 1989-1999</w:t>
      </w:r>
      <w:r w:rsidRPr="000A411E">
        <w:rPr>
          <w:rFonts w:ascii="Garamond" w:hAnsi="Garamond" w:cs="Times New Roman"/>
        </w:rPr>
        <w:t xml:space="preserve"> (</w:t>
      </w:r>
      <w:r w:rsidRPr="000A411E">
        <w:rPr>
          <w:rFonts w:ascii="Garamond" w:hAnsi="Garamond" w:cs="Times New Roman"/>
        </w:rPr>
        <w:t xml:space="preserve">Council of Europe, </w:t>
      </w:r>
      <w:r w:rsidRPr="000A411E">
        <w:rPr>
          <w:rFonts w:ascii="Garamond" w:hAnsi="Garamond" w:cs="Times New Roman"/>
        </w:rPr>
        <w:t>1999)</w:t>
      </w:r>
      <w:r w:rsidR="00BE02C9">
        <w:rPr>
          <w:rFonts w:ascii="Garamond" w:hAnsi="Garamond" w:cs="Times New Roman"/>
        </w:rPr>
        <w:t>,</w:t>
      </w:r>
      <w:r w:rsidRPr="000A411E">
        <w:rPr>
          <w:rFonts w:ascii="Garamond" w:hAnsi="Garamond" w:cs="Times New Roman"/>
        </w:rPr>
        <w:t xml:space="preserve"> 126.</w:t>
      </w:r>
    </w:p>
  </w:footnote>
  <w:footnote w:id="50">
    <w:p w14:paraId="013DCF3D" w14:textId="678280EC" w:rsidR="00E71905" w:rsidRPr="000A411E" w:rsidRDefault="00E71905" w:rsidP="000A411E">
      <w:pPr>
        <w:autoSpaceDE w:val="0"/>
        <w:autoSpaceDN w:val="0"/>
        <w:adjustRightInd w:val="0"/>
        <w:spacing w:after="0" w:line="240" w:lineRule="auto"/>
        <w:jc w:val="both"/>
        <w:rPr>
          <w:rFonts w:ascii="Garamond" w:hAnsi="Garamond" w:cs="Times New Roman"/>
          <w:sz w:val="20"/>
          <w:szCs w:val="20"/>
        </w:rPr>
      </w:pPr>
      <w:r w:rsidRPr="000A411E">
        <w:rPr>
          <w:rStyle w:val="FootnoteReference"/>
          <w:rFonts w:ascii="Garamond" w:hAnsi="Garamond" w:cs="Times New Roman"/>
          <w:sz w:val="20"/>
          <w:szCs w:val="20"/>
        </w:rPr>
        <w:footnoteRef/>
      </w:r>
      <w:r w:rsidRPr="000A411E">
        <w:rPr>
          <w:rFonts w:ascii="Garamond" w:hAnsi="Garamond" w:cs="Times New Roman"/>
          <w:sz w:val="20"/>
          <w:szCs w:val="20"/>
        </w:rPr>
        <w:t xml:space="preserve"> For a helpful overview of accession of new members in the 90s, see P</w:t>
      </w:r>
      <w:r w:rsidR="00BE02C9">
        <w:rPr>
          <w:rFonts w:ascii="Garamond" w:hAnsi="Garamond" w:cs="Times New Roman"/>
          <w:sz w:val="20"/>
          <w:szCs w:val="20"/>
        </w:rPr>
        <w:t>.</w:t>
      </w:r>
      <w:r w:rsidRPr="000A411E">
        <w:rPr>
          <w:rFonts w:ascii="Garamond" w:hAnsi="Garamond" w:cs="Times New Roman"/>
          <w:sz w:val="20"/>
          <w:szCs w:val="20"/>
        </w:rPr>
        <w:t xml:space="preserve"> Leach, </w:t>
      </w:r>
      <w:r w:rsidRPr="000A411E">
        <w:rPr>
          <w:rFonts w:ascii="Garamond" w:hAnsi="Garamond" w:cs="Times New Roman"/>
          <w:sz w:val="20"/>
          <w:szCs w:val="20"/>
        </w:rPr>
        <w:t>‘</w:t>
      </w:r>
      <w:r w:rsidRPr="000A411E">
        <w:rPr>
          <w:rFonts w:ascii="Garamond" w:hAnsi="Garamond" w:cs="Times New Roman"/>
          <w:sz w:val="20"/>
          <w:szCs w:val="20"/>
        </w:rPr>
        <w:t>The Parliamentary Assembly of the Co</w:t>
      </w:r>
      <w:r w:rsidRPr="000A411E">
        <w:rPr>
          <w:rFonts w:ascii="Garamond" w:hAnsi="Garamond" w:cs="Times New Roman"/>
          <w:sz w:val="20"/>
          <w:szCs w:val="20"/>
        </w:rPr>
        <w:t xml:space="preserve">uncil of </w:t>
      </w:r>
      <w:r w:rsidRPr="000A411E">
        <w:rPr>
          <w:rFonts w:ascii="Garamond" w:hAnsi="Garamond" w:cs="Times New Roman"/>
          <w:sz w:val="20"/>
          <w:szCs w:val="20"/>
        </w:rPr>
        <w:t>E</w:t>
      </w:r>
      <w:r w:rsidRPr="000A411E">
        <w:rPr>
          <w:rFonts w:ascii="Garamond" w:hAnsi="Garamond" w:cs="Times New Roman"/>
          <w:sz w:val="20"/>
          <w:szCs w:val="20"/>
        </w:rPr>
        <w:t>urope’</w:t>
      </w:r>
      <w:r w:rsidRPr="000A411E">
        <w:rPr>
          <w:rFonts w:ascii="Garamond" w:hAnsi="Garamond" w:cs="Times New Roman"/>
          <w:sz w:val="20"/>
          <w:szCs w:val="20"/>
        </w:rPr>
        <w:t xml:space="preserve"> in S</w:t>
      </w:r>
      <w:r w:rsidR="00BE02C9">
        <w:rPr>
          <w:rFonts w:ascii="Garamond" w:hAnsi="Garamond" w:cs="Times New Roman"/>
          <w:sz w:val="20"/>
          <w:szCs w:val="20"/>
        </w:rPr>
        <w:t>.</w:t>
      </w:r>
      <w:r w:rsidRPr="000A411E">
        <w:rPr>
          <w:rFonts w:ascii="Garamond" w:hAnsi="Garamond" w:cs="Times New Roman"/>
          <w:sz w:val="20"/>
          <w:szCs w:val="20"/>
        </w:rPr>
        <w:t xml:space="preserve"> Schmahl and M</w:t>
      </w:r>
      <w:r w:rsidR="00BE02C9">
        <w:rPr>
          <w:rFonts w:ascii="Garamond" w:hAnsi="Garamond" w:cs="Times New Roman"/>
          <w:sz w:val="20"/>
          <w:szCs w:val="20"/>
        </w:rPr>
        <w:t>.</w:t>
      </w:r>
      <w:r w:rsidRPr="000A411E">
        <w:rPr>
          <w:rFonts w:ascii="Garamond" w:hAnsi="Garamond" w:cs="Times New Roman"/>
          <w:sz w:val="20"/>
          <w:szCs w:val="20"/>
        </w:rPr>
        <w:t xml:space="preserve"> Breuer (eds) </w:t>
      </w:r>
      <w:r w:rsidRPr="000A411E">
        <w:rPr>
          <w:rFonts w:ascii="Garamond" w:hAnsi="Garamond" w:cs="Times New Roman"/>
          <w:i/>
          <w:sz w:val="20"/>
          <w:szCs w:val="20"/>
        </w:rPr>
        <w:t>The Council of Europe</w:t>
      </w:r>
      <w:r w:rsidRPr="000A411E">
        <w:rPr>
          <w:rFonts w:ascii="Garamond" w:hAnsi="Garamond" w:cs="Times New Roman"/>
          <w:i/>
          <w:sz w:val="20"/>
          <w:szCs w:val="20"/>
        </w:rPr>
        <w:t>:</w:t>
      </w:r>
      <w:r w:rsidRPr="000A411E">
        <w:rPr>
          <w:rFonts w:ascii="Garamond" w:hAnsi="Garamond" w:cs="Times New Roman"/>
          <w:i/>
          <w:sz w:val="20"/>
          <w:szCs w:val="20"/>
        </w:rPr>
        <w:t xml:space="preserve"> Its Law and Policies </w:t>
      </w:r>
      <w:r w:rsidRPr="000A411E">
        <w:rPr>
          <w:rFonts w:ascii="Garamond" w:hAnsi="Garamond" w:cs="Times New Roman"/>
          <w:sz w:val="20"/>
          <w:szCs w:val="20"/>
        </w:rPr>
        <w:t>(OUP, 2017)</w:t>
      </w:r>
      <w:r w:rsidR="00BE02C9">
        <w:rPr>
          <w:rFonts w:ascii="Garamond" w:hAnsi="Garamond" w:cs="Times New Roman"/>
          <w:sz w:val="20"/>
          <w:szCs w:val="20"/>
        </w:rPr>
        <w:t>,</w:t>
      </w:r>
      <w:r w:rsidRPr="000A411E">
        <w:rPr>
          <w:rFonts w:ascii="Garamond" w:hAnsi="Garamond" w:cs="Times New Roman"/>
          <w:sz w:val="20"/>
          <w:szCs w:val="20"/>
        </w:rPr>
        <w:t xml:space="preserve"> 183-188; </w:t>
      </w:r>
      <w:r w:rsidRPr="000A411E">
        <w:rPr>
          <w:rFonts w:ascii="Garamond" w:hAnsi="Garamond" w:cs="Times New Roman"/>
          <w:sz w:val="20"/>
          <w:szCs w:val="20"/>
        </w:rPr>
        <w:t>A</w:t>
      </w:r>
      <w:r w:rsidR="00BE02C9">
        <w:rPr>
          <w:rFonts w:ascii="Garamond" w:hAnsi="Garamond" w:cs="Times New Roman"/>
          <w:sz w:val="20"/>
          <w:szCs w:val="20"/>
        </w:rPr>
        <w:t>ndrew</w:t>
      </w:r>
      <w:r w:rsidRPr="000A411E">
        <w:rPr>
          <w:rFonts w:ascii="Garamond" w:hAnsi="Garamond" w:cs="Times New Roman"/>
          <w:sz w:val="20"/>
          <w:szCs w:val="20"/>
        </w:rPr>
        <w:t xml:space="preserve"> </w:t>
      </w:r>
      <w:r w:rsidRPr="000A411E">
        <w:rPr>
          <w:rFonts w:ascii="Garamond" w:hAnsi="Garamond" w:cs="Times New Roman"/>
          <w:sz w:val="20"/>
          <w:szCs w:val="20"/>
        </w:rPr>
        <w:t xml:space="preserve">Drzemczewski, 'Human rights in Europe: an insider's views' (2017) </w:t>
      </w:r>
      <w:r w:rsidRPr="008A1947">
        <w:rPr>
          <w:rFonts w:ascii="Garamond" w:hAnsi="Garamond" w:cs="Times New Roman"/>
          <w:i/>
          <w:sz w:val="20"/>
          <w:szCs w:val="20"/>
        </w:rPr>
        <w:t>European Human Rights Law Review</w:t>
      </w:r>
      <w:r w:rsidRPr="000A411E">
        <w:rPr>
          <w:rFonts w:ascii="Garamond" w:hAnsi="Garamond" w:cs="Times New Roman"/>
          <w:sz w:val="20"/>
          <w:szCs w:val="20"/>
        </w:rPr>
        <w:t xml:space="preserve"> 134, 135-137. </w:t>
      </w:r>
    </w:p>
  </w:footnote>
  <w:footnote w:id="51">
    <w:p w14:paraId="12341D17" w14:textId="5D7E47C5"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Resolution 1988 (2014), </w:t>
      </w:r>
      <w:hyperlink r:id="rId3" w:history="1">
        <w:r w:rsidRPr="000A411E">
          <w:rPr>
            <w:rStyle w:val="Hyperlink"/>
            <w:rFonts w:ascii="Garamond" w:hAnsi="Garamond" w:cs="Times New Roman"/>
          </w:rPr>
          <w:t>http://assembly.coe.int/nw/xml/XRef/Xref-XML2HTML-en.asp?fileid=20873&amp;lang=en</w:t>
        </w:r>
      </w:hyperlink>
      <w:r w:rsidRPr="000A411E">
        <w:rPr>
          <w:rFonts w:ascii="Garamond" w:hAnsi="Garamond" w:cs="Times New Roman"/>
        </w:rPr>
        <w:t xml:space="preserve"> </w:t>
      </w:r>
      <w:r w:rsidRPr="000A411E">
        <w:rPr>
          <w:rFonts w:ascii="Garamond" w:hAnsi="Garamond" w:cs="Times New Roman"/>
        </w:rPr>
        <w:t>(accessed 25.01.2019).</w:t>
      </w:r>
    </w:p>
  </w:footnote>
  <w:footnote w:id="52">
    <w:p w14:paraId="53409A43" w14:textId="198A255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The fact that resolutions are soft law mechanisms does not mean that they have no legal value. For instance, the European Court of Human Rights uses them in its reasoning. See, for example </w:t>
      </w:r>
      <w:r w:rsidRPr="000A411E">
        <w:rPr>
          <w:rFonts w:ascii="Garamond" w:hAnsi="Garamond" w:cs="Times New Roman"/>
          <w:i/>
        </w:rPr>
        <w:t>El-Masri v. the former Yugoslav Republic of Macedonia</w:t>
      </w:r>
      <w:r w:rsidRPr="000A411E">
        <w:rPr>
          <w:rFonts w:ascii="Garamond" w:hAnsi="Garamond" w:cs="Times New Roman"/>
        </w:rPr>
        <w:t xml:space="preserve"> [GC], no. 39630/09, ECHR 2012, para. 99, </w:t>
      </w:r>
      <w:r w:rsidRPr="000A411E">
        <w:rPr>
          <w:rFonts w:ascii="Garamond" w:hAnsi="Garamond" w:cs="Times New Roman"/>
          <w:i/>
        </w:rPr>
        <w:t>Mozer v. the Republic of Moldova and Russia</w:t>
      </w:r>
      <w:r w:rsidRPr="000A411E">
        <w:rPr>
          <w:rFonts w:ascii="Garamond" w:hAnsi="Garamond" w:cs="Times New Roman"/>
        </w:rPr>
        <w:t xml:space="preserve"> [GC], no. 11138/10, ECHR 2016, para. 67, </w:t>
      </w:r>
      <w:r w:rsidRPr="000A411E">
        <w:rPr>
          <w:rFonts w:ascii="Garamond" w:hAnsi="Garamond" w:cs="Times New Roman"/>
          <w:i/>
        </w:rPr>
        <w:t xml:space="preserve">A. and Others v. the United Kingdom </w:t>
      </w:r>
      <w:r w:rsidRPr="000A411E">
        <w:rPr>
          <w:rFonts w:ascii="Garamond" w:hAnsi="Garamond" w:cs="Times New Roman"/>
        </w:rPr>
        <w:t>[GC], no. 3455/05, ECHR 2009, para. 106.</w:t>
      </w:r>
    </w:p>
  </w:footnote>
  <w:footnote w:id="53">
    <w:p w14:paraId="068E6632" w14:textId="50943B57" w:rsidR="00E71905" w:rsidRPr="000A411E" w:rsidRDefault="00E71905" w:rsidP="000A411E">
      <w:pPr>
        <w:pStyle w:val="FootnoteText"/>
        <w:jc w:val="both"/>
        <w:rPr>
          <w:rFonts w:ascii="Garamond" w:hAnsi="Garamond" w:cs="Times New Roman"/>
          <w:lang w:val="en-US"/>
        </w:rPr>
      </w:pPr>
      <w:r w:rsidRPr="000A411E">
        <w:rPr>
          <w:rStyle w:val="FootnoteReference"/>
          <w:rFonts w:ascii="Garamond" w:hAnsi="Garamond" w:cs="Times New Roman"/>
        </w:rPr>
        <w:footnoteRef/>
      </w:r>
      <w:r w:rsidRPr="000A411E">
        <w:rPr>
          <w:rFonts w:ascii="Garamond" w:hAnsi="Garamond" w:cs="Times New Roman"/>
        </w:rPr>
        <w:t xml:space="preserve"> Reconsideration on substantive grounds of the previously ratified credentials of the Russian delegation. Resolution 1990 (2014). PACE. </w:t>
      </w:r>
      <w:hyperlink r:id="rId4" w:history="1">
        <w:r w:rsidRPr="000A411E">
          <w:rPr>
            <w:rStyle w:val="Hyperlink"/>
            <w:rFonts w:ascii="Garamond" w:hAnsi="Garamond" w:cs="Times New Roman"/>
            <w:lang w:val="en-US"/>
          </w:rPr>
          <w:t>http://website-pace.net/documents/10643/110596/20140410-Resolution1990-EN.pdf/57ba4bca-8f5f-4b0a-8258-66ca26f7117b</w:t>
        </w:r>
      </w:hyperlink>
      <w:r w:rsidRPr="000A411E">
        <w:rPr>
          <w:rFonts w:ascii="Garamond" w:hAnsi="Garamond" w:cs="Times New Roman"/>
          <w:lang w:val="en-US"/>
        </w:rPr>
        <w:t xml:space="preserve">, </w:t>
      </w:r>
      <w:r w:rsidRPr="000A411E">
        <w:rPr>
          <w:rFonts w:ascii="Garamond" w:hAnsi="Garamond" w:cs="Times New Roman"/>
        </w:rPr>
        <w:t xml:space="preserve">(accessed 25.01.2019). </w:t>
      </w:r>
      <w:r w:rsidRPr="000A411E">
        <w:rPr>
          <w:rFonts w:ascii="Garamond" w:hAnsi="Garamond" w:cs="Times New Roman"/>
          <w:lang w:val="en-US"/>
        </w:rPr>
        <w:t>p.2.</w:t>
      </w:r>
    </w:p>
  </w:footnote>
  <w:footnote w:id="54">
    <w:p w14:paraId="1FF34410" w14:textId="1498DC5E" w:rsidR="00E71905" w:rsidRPr="000A411E" w:rsidRDefault="00E71905" w:rsidP="000A411E">
      <w:pPr>
        <w:pStyle w:val="FootnoteText"/>
        <w:jc w:val="both"/>
        <w:rPr>
          <w:rFonts w:ascii="Garamond" w:hAnsi="Garamond" w:cs="Times New Roman"/>
          <w:lang w:val="en-US"/>
        </w:rPr>
      </w:pPr>
      <w:r w:rsidRPr="000A411E">
        <w:rPr>
          <w:rStyle w:val="FootnoteReference"/>
          <w:rFonts w:ascii="Garamond" w:hAnsi="Garamond" w:cs="Times New Roman"/>
        </w:rPr>
        <w:footnoteRef/>
      </w:r>
      <w:r w:rsidRPr="000A411E">
        <w:rPr>
          <w:rFonts w:ascii="Garamond" w:hAnsi="Garamond" w:cs="Times New Roman"/>
        </w:rPr>
        <w:t xml:space="preserve"> Citing Crimea, PACE suspends voting rights of Russian delegation and excludes it from leading bodies, PACE news, </w:t>
      </w:r>
      <w:hyperlink r:id="rId5" w:history="1">
        <w:r w:rsidRPr="000A411E">
          <w:rPr>
            <w:rStyle w:val="Hyperlink"/>
            <w:rFonts w:ascii="Garamond" w:hAnsi="Garamond" w:cs="Times New Roman"/>
            <w:lang w:val="en-US"/>
          </w:rPr>
          <w:t>http://assembly.coe.int/nw/xml/News/News-View-EN.asp?newsid=4982&amp;cat=8</w:t>
        </w:r>
      </w:hyperlink>
      <w:r w:rsidRPr="000A411E">
        <w:rPr>
          <w:rStyle w:val="Hyperlink"/>
          <w:rFonts w:ascii="Garamond" w:hAnsi="Garamond" w:cs="Times New Roman"/>
          <w:lang w:val="en-US"/>
        </w:rPr>
        <w:t xml:space="preserve"> </w:t>
      </w:r>
      <w:r w:rsidRPr="000A411E">
        <w:rPr>
          <w:rFonts w:ascii="Garamond" w:hAnsi="Garamond" w:cs="Times New Roman"/>
        </w:rPr>
        <w:t>(accessed 25.01.2019).</w:t>
      </w:r>
    </w:p>
  </w:footnote>
  <w:footnote w:id="55">
    <w:p w14:paraId="5286E09E" w14:textId="474AB493" w:rsidR="00E71905" w:rsidRPr="000A411E" w:rsidRDefault="00E71905" w:rsidP="000A411E">
      <w:pPr>
        <w:pStyle w:val="FootnoteText"/>
        <w:jc w:val="both"/>
        <w:rPr>
          <w:rFonts w:ascii="Garamond" w:hAnsi="Garamond" w:cs="Times New Roman"/>
          <w:lang w:val="en-US"/>
        </w:rPr>
      </w:pPr>
      <w:r w:rsidRPr="000A411E">
        <w:rPr>
          <w:rStyle w:val="FootnoteReference"/>
          <w:rFonts w:ascii="Garamond" w:hAnsi="Garamond" w:cs="Times New Roman"/>
        </w:rPr>
        <w:footnoteRef/>
      </w:r>
      <w:r w:rsidRPr="000A411E">
        <w:rPr>
          <w:rFonts w:ascii="Garamond" w:hAnsi="Garamond" w:cs="Times New Roman"/>
        </w:rPr>
        <w:t xml:space="preserve"> President regrets Russian parliament’s decision not to participate in the work of the Assembly in 2016. PACE news, </w:t>
      </w:r>
      <w:hyperlink r:id="rId6" w:history="1">
        <w:r w:rsidRPr="000A411E">
          <w:rPr>
            <w:rStyle w:val="Hyperlink"/>
            <w:rFonts w:ascii="Garamond" w:hAnsi="Garamond" w:cs="Times New Roman"/>
            <w:lang w:val="en-US"/>
          </w:rPr>
          <w:t>http://www.assembly.coe.int/nw/xml/News/News-View-EN.asp?newsid=5980&amp;lang=2&amp;cat</w:t>
        </w:r>
      </w:hyperlink>
      <w:r w:rsidRPr="000A411E">
        <w:rPr>
          <w:rFonts w:ascii="Garamond" w:hAnsi="Garamond" w:cs="Times New Roman"/>
          <w:lang w:val="en-US"/>
        </w:rPr>
        <w:t>=</w:t>
      </w:r>
      <w:r w:rsidRPr="000A411E">
        <w:rPr>
          <w:rFonts w:ascii="Garamond" w:hAnsi="Garamond" w:cs="Times New Roman"/>
          <w:lang w:val="en-US"/>
        </w:rPr>
        <w:t xml:space="preserve"> </w:t>
      </w:r>
      <w:r w:rsidRPr="000A411E">
        <w:rPr>
          <w:rFonts w:ascii="Garamond" w:hAnsi="Garamond" w:cs="Times New Roman"/>
        </w:rPr>
        <w:t>(accessed 25.01.2019).</w:t>
      </w:r>
    </w:p>
  </w:footnote>
  <w:footnote w:id="56">
    <w:p w14:paraId="0338DD34" w14:textId="674A1D74"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 special ad hoc committee of the PACE was set to establish a dialogue with Russia on that matter. However, at the moment of writing no tangible outcome of this dialogue was reported (May 2018). Kuleba says ad hoc committee to discuss proposals on Russia’s return to PACE on March 16, </w:t>
      </w:r>
      <w:r w:rsidRPr="000A411E">
        <w:rPr>
          <w:rFonts w:ascii="Garamond" w:hAnsi="Garamond" w:cs="Times New Roman"/>
          <w:i/>
        </w:rPr>
        <w:t>Kiev Post</w:t>
      </w:r>
      <w:r w:rsidRPr="000A411E">
        <w:rPr>
          <w:rFonts w:ascii="Garamond" w:hAnsi="Garamond" w:cs="Times New Roman"/>
        </w:rPr>
        <w:t xml:space="preserve">, 2 February 2018. </w:t>
      </w:r>
      <w:hyperlink r:id="rId7" w:history="1">
        <w:r w:rsidRPr="000A411E">
          <w:rPr>
            <w:rStyle w:val="Hyperlink"/>
            <w:rFonts w:ascii="Garamond" w:hAnsi="Garamond" w:cs="Times New Roman"/>
          </w:rPr>
          <w:t>https://www.kyivpost.com/russia/kuleba-says-ad-hoc-committee-discuss-proposals-russias-return-pace-march-16.html</w:t>
        </w:r>
      </w:hyperlink>
      <w:r w:rsidRPr="000A411E">
        <w:rPr>
          <w:rFonts w:ascii="Garamond" w:hAnsi="Garamond" w:cs="Times New Roman"/>
        </w:rPr>
        <w:t xml:space="preserve"> </w:t>
      </w:r>
      <w:r w:rsidRPr="000A411E">
        <w:rPr>
          <w:rFonts w:ascii="Garamond" w:hAnsi="Garamond" w:cs="Times New Roman"/>
        </w:rPr>
        <w:t>(accessed 25.01.2019).</w:t>
      </w:r>
    </w:p>
  </w:footnote>
  <w:footnote w:id="57">
    <w:p w14:paraId="1B640031" w14:textId="0A9A2F2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w:t>
      </w:r>
      <w:r w:rsidR="00BE02C9">
        <w:rPr>
          <w:rFonts w:ascii="Garamond" w:hAnsi="Garamond" w:cs="Times New Roman"/>
        </w:rPr>
        <w:t>.</w:t>
      </w:r>
      <w:r w:rsidRPr="000A411E">
        <w:rPr>
          <w:rFonts w:ascii="Garamond" w:hAnsi="Garamond" w:cs="Times New Roman"/>
        </w:rPr>
        <w:t xml:space="preserve"> Schmahl, Budget and Finances, in S</w:t>
      </w:r>
      <w:r w:rsidR="00BE02C9">
        <w:rPr>
          <w:rFonts w:ascii="Garamond" w:hAnsi="Garamond" w:cs="Times New Roman"/>
        </w:rPr>
        <w:t>.</w:t>
      </w:r>
      <w:r w:rsidRPr="000A411E">
        <w:rPr>
          <w:rFonts w:ascii="Garamond" w:hAnsi="Garamond" w:cs="Times New Roman"/>
        </w:rPr>
        <w:t xml:space="preserve"> Schmahl and M</w:t>
      </w:r>
      <w:r w:rsidR="00BE02C9">
        <w:rPr>
          <w:rFonts w:ascii="Garamond" w:hAnsi="Garamond" w:cs="Times New Roman"/>
        </w:rPr>
        <w:t>.</w:t>
      </w:r>
      <w:r w:rsidRPr="000A411E">
        <w:rPr>
          <w:rFonts w:ascii="Garamond" w:hAnsi="Garamond" w:cs="Times New Roman"/>
        </w:rPr>
        <w:t xml:space="preserve"> Breur (eds.) </w:t>
      </w:r>
      <w:r w:rsidRPr="000A411E">
        <w:rPr>
          <w:rFonts w:ascii="Garamond" w:hAnsi="Garamond" w:cs="Times New Roman"/>
          <w:i/>
        </w:rPr>
        <w:t xml:space="preserve">The Council of Europe. Its Law and Politics </w:t>
      </w:r>
      <w:r w:rsidRPr="000A411E">
        <w:rPr>
          <w:rFonts w:ascii="Garamond" w:hAnsi="Garamond" w:cs="Times New Roman"/>
        </w:rPr>
        <w:t>(OUP 2017) 122-123.</w:t>
      </w:r>
    </w:p>
  </w:footnote>
  <w:footnote w:id="58">
    <w:p w14:paraId="666815C4" w14:textId="580FF17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CoE Programme and Budget 2018-2019, </w:t>
      </w:r>
      <w:hyperlink r:id="rId8" w:history="1">
        <w:r w:rsidRPr="000A411E">
          <w:rPr>
            <w:rStyle w:val="Hyperlink"/>
            <w:rFonts w:ascii="Garamond" w:hAnsi="Garamond" w:cs="Times New Roman"/>
          </w:rPr>
          <w:t>https://rm.coe.int/16807761cd</w:t>
        </w:r>
      </w:hyperlink>
      <w:r w:rsidRPr="000A411E">
        <w:rPr>
          <w:rFonts w:ascii="Garamond" w:hAnsi="Garamond" w:cs="Times New Roman"/>
        </w:rPr>
        <w:t xml:space="preserve"> (accessed 25.01.2019).</w:t>
      </w:r>
    </w:p>
  </w:footnote>
  <w:footnote w:id="59">
    <w:p w14:paraId="4217E25C"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The difference between the overall budget and ordinary budget is provided by voluntary contributions, programmes financed by the European Union etc.</w:t>
      </w:r>
    </w:p>
  </w:footnote>
  <w:footnote w:id="60">
    <w:p w14:paraId="2953BB51"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Ibid, p. 21.</w:t>
      </w:r>
    </w:p>
  </w:footnote>
  <w:footnote w:id="61">
    <w:p w14:paraId="0C45C861" w14:textId="76AE42B5"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Russia withholds payments to the Council of Europe, </w:t>
      </w:r>
      <w:r w:rsidRPr="000A411E">
        <w:rPr>
          <w:rFonts w:ascii="Garamond" w:hAnsi="Garamond" w:cs="Times New Roman"/>
          <w:i/>
        </w:rPr>
        <w:t>DW</w:t>
      </w:r>
      <w:r w:rsidRPr="000A411E">
        <w:rPr>
          <w:rFonts w:ascii="Garamond" w:hAnsi="Garamond" w:cs="Times New Roman"/>
        </w:rPr>
        <w:t xml:space="preserve">, </w:t>
      </w:r>
      <w:hyperlink r:id="rId9" w:history="1">
        <w:r w:rsidRPr="000A411E">
          <w:rPr>
            <w:rStyle w:val="Hyperlink"/>
            <w:rFonts w:ascii="Garamond" w:hAnsi="Garamond" w:cs="Times New Roman"/>
          </w:rPr>
          <w:t>http://www.dw.com/en/russia-withholds-payments-to-the-council-of-europe/a-42792673</w:t>
        </w:r>
      </w:hyperlink>
      <w:r w:rsidRPr="000A411E">
        <w:rPr>
          <w:rFonts w:ascii="Garamond" w:hAnsi="Garamond" w:cs="Times New Roman"/>
        </w:rPr>
        <w:t xml:space="preserve"> (accessed 25.01.2019).</w:t>
      </w:r>
    </w:p>
  </w:footnote>
  <w:footnote w:id="62">
    <w:p w14:paraId="707BAF7D" w14:textId="77777777" w:rsidR="00E71905" w:rsidRPr="000A411E" w:rsidRDefault="00E71905" w:rsidP="000A411E">
      <w:pPr>
        <w:pStyle w:val="FootnoteText"/>
        <w:jc w:val="both"/>
        <w:rPr>
          <w:rFonts w:ascii="Garamond" w:hAnsi="Garamond" w:cs="Times New Roman"/>
          <w:lang w:val="de-DE"/>
        </w:rPr>
      </w:pPr>
      <w:r w:rsidRPr="000A411E">
        <w:rPr>
          <w:rStyle w:val="FootnoteReference"/>
          <w:rFonts w:ascii="Garamond" w:hAnsi="Garamond" w:cs="Times New Roman"/>
        </w:rPr>
        <w:footnoteRef/>
      </w:r>
      <w:r w:rsidRPr="000A411E">
        <w:rPr>
          <w:rFonts w:ascii="Garamond" w:hAnsi="Garamond" w:cs="Times New Roman"/>
          <w:lang w:val="de-DE"/>
        </w:rPr>
        <w:t xml:space="preserve"> Norbert Paul Engel, ‘Russland teste das Rückgrad des Europarates’ (2017) </w:t>
      </w:r>
      <w:r w:rsidRPr="000A411E">
        <w:rPr>
          <w:rFonts w:ascii="Garamond" w:hAnsi="Garamond" w:cs="Times New Roman"/>
          <w:i/>
          <w:lang w:val="de-DE"/>
        </w:rPr>
        <w:t xml:space="preserve">Europäische Grundrechte Zeitschrift </w:t>
      </w:r>
      <w:r w:rsidRPr="000A411E">
        <w:rPr>
          <w:rFonts w:ascii="Garamond" w:hAnsi="Garamond" w:cs="Times New Roman"/>
          <w:lang w:val="de-DE"/>
        </w:rPr>
        <w:t>720, at 721.</w:t>
      </w:r>
    </w:p>
  </w:footnote>
  <w:footnote w:id="63">
    <w:p w14:paraId="5408520F" w14:textId="05EFE106"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F</w:t>
      </w:r>
      <w:r w:rsidR="008A1947">
        <w:rPr>
          <w:rFonts w:ascii="Garamond" w:hAnsi="Garamond" w:cs="Times New Roman"/>
        </w:rPr>
        <w:t>.</w:t>
      </w:r>
      <w:r w:rsidRPr="000A411E">
        <w:rPr>
          <w:rFonts w:ascii="Garamond" w:hAnsi="Garamond" w:cs="Times New Roman"/>
        </w:rPr>
        <w:t xml:space="preserve"> Benoit-Rohmer and H</w:t>
      </w:r>
      <w:r w:rsidR="008A1947">
        <w:rPr>
          <w:rFonts w:ascii="Garamond" w:hAnsi="Garamond" w:cs="Times New Roman"/>
        </w:rPr>
        <w:t xml:space="preserve">. </w:t>
      </w:r>
      <w:r w:rsidRPr="000A411E">
        <w:rPr>
          <w:rFonts w:ascii="Garamond" w:hAnsi="Garamond" w:cs="Times New Roman"/>
        </w:rPr>
        <w:t>Klebes, C</w:t>
      </w:r>
      <w:r w:rsidR="008A1947">
        <w:rPr>
          <w:rFonts w:ascii="Garamond" w:hAnsi="Garamond" w:cs="Times New Roman"/>
        </w:rPr>
        <w:t xml:space="preserve">ouncil </w:t>
      </w:r>
      <w:r w:rsidRPr="000A411E">
        <w:rPr>
          <w:rFonts w:ascii="Garamond" w:hAnsi="Garamond" w:cs="Times New Roman"/>
        </w:rPr>
        <w:t>o</w:t>
      </w:r>
      <w:r w:rsidR="008A1947">
        <w:rPr>
          <w:rFonts w:ascii="Garamond" w:hAnsi="Garamond" w:cs="Times New Roman"/>
        </w:rPr>
        <w:t xml:space="preserve">f </w:t>
      </w:r>
      <w:r w:rsidRPr="000A411E">
        <w:rPr>
          <w:rFonts w:ascii="Garamond" w:hAnsi="Garamond" w:cs="Times New Roman"/>
        </w:rPr>
        <w:t>E</w:t>
      </w:r>
      <w:r w:rsidR="008A1947">
        <w:rPr>
          <w:rFonts w:ascii="Garamond" w:hAnsi="Garamond" w:cs="Times New Roman"/>
        </w:rPr>
        <w:t>urope</w:t>
      </w:r>
      <w:r w:rsidRPr="000A411E">
        <w:rPr>
          <w:rFonts w:ascii="Garamond" w:hAnsi="Garamond" w:cs="Times New Roman"/>
        </w:rPr>
        <w:t xml:space="preserve"> Law: Towards a pan-European Legal Area (2005), 44.</w:t>
      </w:r>
    </w:p>
  </w:footnote>
  <w:footnote w:id="64">
    <w:p w14:paraId="6C24DC52" w14:textId="1641FE9C"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PACE welcomes Turkish authorities’ proposal to become a major contributor to the CoE Budget, PACE news, </w:t>
      </w:r>
      <w:hyperlink r:id="rId10" w:history="1">
        <w:r w:rsidRPr="000A411E">
          <w:rPr>
            <w:rStyle w:val="Hyperlink"/>
            <w:rFonts w:ascii="Garamond" w:hAnsi="Garamond" w:cs="Times New Roman"/>
          </w:rPr>
          <w:t>http://assembly.coe.int/nw/xml/News/News-View-EN.asp?newsid=5547&amp;lang=2&amp;cat</w:t>
        </w:r>
      </w:hyperlink>
      <w:r w:rsidRPr="000A411E">
        <w:rPr>
          <w:rFonts w:ascii="Garamond" w:hAnsi="Garamond" w:cs="Times New Roman"/>
        </w:rPr>
        <w:t>=</w:t>
      </w:r>
      <w:r w:rsidRPr="000A411E">
        <w:rPr>
          <w:rFonts w:ascii="Garamond" w:hAnsi="Garamond" w:cs="Times New Roman"/>
        </w:rPr>
        <w:t xml:space="preserve"> (accessed 25.01.2019).</w:t>
      </w:r>
    </w:p>
  </w:footnote>
  <w:footnote w:id="65">
    <w:p w14:paraId="5D2520A3" w14:textId="0FE0A06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w:t>
      </w:r>
      <w:r w:rsidR="008A1947">
        <w:rPr>
          <w:rFonts w:ascii="Garamond" w:hAnsi="Garamond" w:cs="Times New Roman"/>
        </w:rPr>
        <w:t>.</w:t>
      </w:r>
      <w:r w:rsidRPr="000A411E">
        <w:rPr>
          <w:rFonts w:ascii="Garamond" w:hAnsi="Garamond" w:cs="Times New Roman"/>
        </w:rPr>
        <w:t xml:space="preserve"> Schmahl, </w:t>
      </w:r>
      <w:r w:rsidRPr="000A411E">
        <w:rPr>
          <w:rFonts w:ascii="Garamond" w:hAnsi="Garamond" w:cs="Times New Roman"/>
        </w:rPr>
        <w:t>‘</w:t>
      </w:r>
      <w:r w:rsidRPr="000A411E">
        <w:rPr>
          <w:rFonts w:ascii="Garamond" w:hAnsi="Garamond" w:cs="Times New Roman"/>
        </w:rPr>
        <w:t>Budget and Finances</w:t>
      </w:r>
      <w:r w:rsidRPr="000A411E">
        <w:rPr>
          <w:rFonts w:ascii="Garamond" w:hAnsi="Garamond" w:cs="Times New Roman"/>
        </w:rPr>
        <w:t>’</w:t>
      </w:r>
      <w:r w:rsidRPr="000A411E">
        <w:rPr>
          <w:rFonts w:ascii="Garamond" w:hAnsi="Garamond" w:cs="Times New Roman"/>
        </w:rPr>
        <w:t xml:space="preserve"> in S</w:t>
      </w:r>
      <w:r w:rsidR="008A1947">
        <w:rPr>
          <w:rFonts w:ascii="Garamond" w:hAnsi="Garamond" w:cs="Times New Roman"/>
        </w:rPr>
        <w:t>.</w:t>
      </w:r>
      <w:r w:rsidRPr="000A411E">
        <w:rPr>
          <w:rFonts w:ascii="Garamond" w:hAnsi="Garamond" w:cs="Times New Roman"/>
        </w:rPr>
        <w:t xml:space="preserve"> Schmahl and M</w:t>
      </w:r>
      <w:r w:rsidR="008A1947">
        <w:rPr>
          <w:rFonts w:ascii="Garamond" w:hAnsi="Garamond" w:cs="Times New Roman"/>
        </w:rPr>
        <w:t>.</w:t>
      </w:r>
      <w:r w:rsidRPr="000A411E">
        <w:rPr>
          <w:rFonts w:ascii="Garamond" w:hAnsi="Garamond" w:cs="Times New Roman"/>
        </w:rPr>
        <w:t xml:space="preserve"> Breur (eds.) </w:t>
      </w:r>
      <w:r w:rsidRPr="000A411E">
        <w:rPr>
          <w:rFonts w:ascii="Garamond" w:hAnsi="Garamond" w:cs="Times New Roman"/>
          <w:i/>
        </w:rPr>
        <w:t xml:space="preserve">The Council of Europe. Its Law and Politics </w:t>
      </w:r>
      <w:r w:rsidRPr="000A411E">
        <w:rPr>
          <w:rFonts w:ascii="Garamond" w:hAnsi="Garamond" w:cs="Times New Roman"/>
        </w:rPr>
        <w:t>(OUP 2017) 110.</w:t>
      </w:r>
    </w:p>
  </w:footnote>
  <w:footnote w:id="66">
    <w:p w14:paraId="7461E7F3" w14:textId="0D7564FF"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Resolution 2156 (2017) ‘The Functioning of Democratic Institutions in Turkey’ accessible on </w:t>
      </w:r>
      <w:hyperlink r:id="rId11" w:history="1">
        <w:r w:rsidRPr="000A411E">
          <w:rPr>
            <w:rStyle w:val="Hyperlink"/>
            <w:rFonts w:ascii="Garamond" w:hAnsi="Garamond" w:cs="Times New Roman"/>
          </w:rPr>
          <w:t>http://semantic-pace.net/tools/pdf.aspx?doc=aHR0cDovL2Fzc2VtYmx5LmNvZS5pbnQvbncveG1sL1hSZWYvWDJILURXLWV4dHIuYXNwP2ZpbGVpZD0yMzY2NSZsYW5nPUVO&amp;xsl=aHR0cDovL3NlbWFudGljcGFjZS5uZXQvWHNsdC9QZGYvWFJlZi1XRC1BVC1YTUwyUERGLnhzbA==&amp;xsltparams=ZmlsZWlkPTIzNjY1</w:t>
        </w:r>
      </w:hyperlink>
      <w:r w:rsidRPr="000A411E">
        <w:rPr>
          <w:rStyle w:val="Hyperlink"/>
          <w:rFonts w:ascii="Garamond" w:hAnsi="Garamond" w:cs="Times New Roman"/>
        </w:rPr>
        <w:t xml:space="preserve"> </w:t>
      </w:r>
      <w:r w:rsidRPr="000A411E">
        <w:rPr>
          <w:rFonts w:ascii="Garamond" w:hAnsi="Garamond" w:cs="Times New Roman"/>
        </w:rPr>
        <w:t>(accessed 25.01.2019).</w:t>
      </w:r>
    </w:p>
  </w:footnote>
  <w:footnote w:id="67">
    <w:p w14:paraId="6B0C5434"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Murat Aslan is considered a member of the organisation that was allegedly behind the coup attempt in 2016 http://www.hurriyetdailynews.com/turkey-no-longer-major-council-of-europe-donor-minister-122219</w:t>
      </w:r>
    </w:p>
  </w:footnote>
  <w:footnote w:id="68">
    <w:p w14:paraId="46FCBBC2" w14:textId="6BB03C63"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Modification of the Assembly’s Rules of Procedure: the impact of the budgetary crisis on the list of working languages of the Assembly, </w:t>
      </w:r>
      <w:hyperlink r:id="rId12" w:history="1">
        <w:r w:rsidRPr="000A411E">
          <w:rPr>
            <w:rStyle w:val="Hyperlink"/>
            <w:rFonts w:ascii="Garamond" w:hAnsi="Garamond" w:cs="Times New Roman"/>
          </w:rPr>
          <w:t>http://assembly.coe.int/nw/xml/XRef/Xref-XML2HTML-en.asp?fileid=24545&amp;lang=en</w:t>
        </w:r>
      </w:hyperlink>
      <w:r w:rsidRPr="000A411E">
        <w:rPr>
          <w:rFonts w:ascii="Garamond" w:hAnsi="Garamond" w:cs="Times New Roman"/>
        </w:rPr>
        <w:t xml:space="preserve"> </w:t>
      </w:r>
      <w:r w:rsidRPr="000A411E">
        <w:rPr>
          <w:rFonts w:ascii="Garamond" w:hAnsi="Garamond" w:cs="Times New Roman"/>
        </w:rPr>
        <w:t>(accessed 25.01.2019).</w:t>
      </w:r>
    </w:p>
  </w:footnote>
  <w:footnote w:id="69">
    <w:p w14:paraId="1856FEBD" w14:textId="21F1E7C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Armenia, Russia, Ukraine and others. </w:t>
      </w:r>
    </w:p>
  </w:footnote>
  <w:footnote w:id="70">
    <w:p w14:paraId="55F94113" w14:textId="736C9F4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Report of the Independent Investigation Body on the allegations of corruption within the Parliamentary Assembly, </w:t>
      </w:r>
      <w:hyperlink r:id="rId13" w:history="1">
        <w:r w:rsidRPr="000A411E">
          <w:rPr>
            <w:rStyle w:val="Hyperlink"/>
            <w:rFonts w:ascii="Garamond" w:hAnsi="Garamond" w:cs="Times New Roman"/>
          </w:rPr>
          <w:t>http://assembly.coe.int/Communication/IBAC/IBAC-GIAC-Report-EN.pdf</w:t>
        </w:r>
      </w:hyperlink>
      <w:r w:rsidRPr="000A411E">
        <w:rPr>
          <w:rFonts w:ascii="Garamond" w:hAnsi="Garamond" w:cs="Times New Roman"/>
        </w:rPr>
        <w:t>, p. 22-23</w:t>
      </w:r>
      <w:r w:rsidRPr="000A411E">
        <w:rPr>
          <w:rFonts w:ascii="Garamond" w:hAnsi="Garamond" w:cs="Times New Roman"/>
        </w:rPr>
        <w:t xml:space="preserve"> (accessed 25.01.2019).</w:t>
      </w:r>
    </w:p>
  </w:footnote>
  <w:footnote w:id="71">
    <w:p w14:paraId="284B89FA" w14:textId="7E2834A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Ibid, 23. “[A]  PACE  secretariat member gave oral evidence to the Investigation Body explaining that in 2005 she had had lunch with several  of  her  colleagues  and  Mr Gross.  On that occasion Mr Gross had said that he knew from a very certain source that the then head of the office in Baku, a CoE staff member, had received a EUR 100,000 bribe from the Azerbaijani authorities. However, there had been no reaction to this in the COE, as nobody had taken this allegation seriously”.</w:t>
      </w:r>
    </w:p>
  </w:footnote>
  <w:footnote w:id="72">
    <w:p w14:paraId="58BD311F" w14:textId="25E58253"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A. Griffin, Russia could withdraw from European Convention on Human Rights, state news agency RIA reports, Independent, 1 March 2018, </w:t>
      </w:r>
      <w:hyperlink r:id="rId14" w:history="1">
        <w:r w:rsidRPr="000A411E">
          <w:rPr>
            <w:rStyle w:val="Hyperlink"/>
            <w:rFonts w:ascii="Garamond" w:hAnsi="Garamond" w:cs="Times New Roman"/>
          </w:rPr>
          <w:t>http://www.independent.co.uk/news/world/europe/russia-echr-human-rights-european-convention-putin-kremlin-eu-a8234086.html</w:t>
        </w:r>
      </w:hyperlink>
      <w:r w:rsidRPr="000A411E">
        <w:rPr>
          <w:rStyle w:val="Hyperlink"/>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(accessed 25.01.2019). </w:t>
      </w:r>
      <w:r w:rsidR="00BE02C9">
        <w:rPr>
          <w:rFonts w:ascii="Garamond" w:hAnsi="Garamond" w:cs="Times New Roman"/>
        </w:rPr>
        <w:t>See also A.</w:t>
      </w:r>
      <w:r w:rsidRPr="000A411E">
        <w:rPr>
          <w:rFonts w:ascii="Garamond" w:hAnsi="Garamond" w:cs="Times New Roman"/>
        </w:rPr>
        <w:t xml:space="preserve"> Matta and A</w:t>
      </w:r>
      <w:r w:rsidR="00BE02C9">
        <w:rPr>
          <w:rFonts w:ascii="Garamond" w:hAnsi="Garamond" w:cs="Times New Roman"/>
        </w:rPr>
        <w:t>.</w:t>
      </w:r>
      <w:r w:rsidRPr="000A411E">
        <w:rPr>
          <w:rFonts w:ascii="Garamond" w:hAnsi="Garamond" w:cs="Times New Roman"/>
        </w:rPr>
        <w:t xml:space="preserve"> Mazmanyan, </w:t>
      </w:r>
      <w:r w:rsidRPr="000A411E">
        <w:rPr>
          <w:rFonts w:ascii="Garamond" w:hAnsi="Garamond" w:cs="Times New Roman"/>
        </w:rPr>
        <w:t>‘</w:t>
      </w:r>
      <w:r w:rsidRPr="000A411E">
        <w:rPr>
          <w:rFonts w:ascii="Garamond" w:hAnsi="Garamond" w:cs="Times New Roman"/>
        </w:rPr>
        <w:t>Russia: In Quest for a European Identity</w:t>
      </w:r>
      <w:r w:rsidRPr="000A411E">
        <w:rPr>
          <w:rFonts w:ascii="Garamond" w:hAnsi="Garamond" w:cs="Times New Roman"/>
        </w:rPr>
        <w:t>’</w:t>
      </w:r>
      <w:r w:rsidR="00BE02C9">
        <w:rPr>
          <w:rFonts w:ascii="Garamond" w:hAnsi="Garamond" w:cs="Times New Roman"/>
        </w:rPr>
        <w:t xml:space="preserve"> in P. Popelier, S.</w:t>
      </w:r>
      <w:r w:rsidRPr="000A411E">
        <w:rPr>
          <w:rFonts w:ascii="Garamond" w:hAnsi="Garamond" w:cs="Times New Roman"/>
        </w:rPr>
        <w:t xml:space="preserve"> Lambrecht and K</w:t>
      </w:r>
      <w:r w:rsidR="00BE02C9">
        <w:rPr>
          <w:rFonts w:ascii="Garamond" w:hAnsi="Garamond" w:cs="Times New Roman"/>
        </w:rPr>
        <w:t xml:space="preserve">. </w:t>
      </w:r>
      <w:r w:rsidRPr="000A411E">
        <w:rPr>
          <w:rFonts w:ascii="Garamond" w:hAnsi="Garamond" w:cs="Times New Roman"/>
        </w:rPr>
        <w:t xml:space="preserve">Lemmens </w:t>
      </w:r>
      <w:r w:rsidRPr="000A411E">
        <w:rPr>
          <w:rFonts w:ascii="Garamond" w:hAnsi="Garamond" w:cs="Times New Roman"/>
          <w:i/>
        </w:rPr>
        <w:t xml:space="preserve">Criticism of the European Court of Human Rights </w:t>
      </w:r>
      <w:r w:rsidRPr="000A411E">
        <w:rPr>
          <w:rFonts w:ascii="Garamond" w:hAnsi="Garamond" w:cs="Times New Roman"/>
        </w:rPr>
        <w:t>(Intersentia, 2016)</w:t>
      </w:r>
      <w:r w:rsidRPr="000A411E">
        <w:rPr>
          <w:rFonts w:ascii="Garamond" w:hAnsi="Garamond" w:cs="Times New Roman"/>
        </w:rPr>
        <w:t>,</w:t>
      </w:r>
      <w:r w:rsidRPr="000A411E">
        <w:rPr>
          <w:rFonts w:ascii="Garamond" w:hAnsi="Garamond" w:cs="Times New Roman"/>
        </w:rPr>
        <w:t xml:space="preserve"> 495-496.</w:t>
      </w:r>
    </w:p>
  </w:footnote>
  <w:footnote w:id="73">
    <w:p w14:paraId="6D125F34" w14:textId="458D0BDA" w:rsidR="00E71905" w:rsidRPr="000A411E" w:rsidRDefault="00E71905" w:rsidP="000A411E">
      <w:pPr>
        <w:pStyle w:val="FootnoteText"/>
        <w:jc w:val="both"/>
        <w:rPr>
          <w:rFonts w:ascii="Garamond" w:hAnsi="Garamond" w:cs="Times New Roman"/>
          <w:lang w:val="ru-RU"/>
        </w:rPr>
      </w:pPr>
      <w:r w:rsidRPr="000A411E">
        <w:rPr>
          <w:rStyle w:val="FootnoteReference"/>
          <w:rFonts w:ascii="Garamond" w:hAnsi="Garamond" w:cs="Times New Roman"/>
        </w:rPr>
        <w:footnoteRef/>
      </w:r>
      <w:r w:rsidRPr="000A411E">
        <w:rPr>
          <w:rFonts w:ascii="Garamond" w:hAnsi="Garamond" w:cs="Times New Roman"/>
        </w:rPr>
        <w:t xml:space="preserve"> The Speaker of the Russian Senate claimed that Russia will not recognise the judgments of the ECtHR. </w:t>
      </w:r>
      <w:r w:rsidRPr="000A411E">
        <w:rPr>
          <w:rFonts w:ascii="Garamond" w:hAnsi="Garamond" w:cs="Times New Roman"/>
          <w:lang w:val="ru-RU"/>
        </w:rPr>
        <w:t xml:space="preserve">Матвиенко заявила об отказе России признавать решения ЕСПЧ из-за ПАСЕ, РБК, 9 </w:t>
      </w:r>
      <w:r w:rsidRPr="000A411E">
        <w:rPr>
          <w:rFonts w:ascii="Garamond" w:hAnsi="Garamond" w:cs="Times New Roman"/>
        </w:rPr>
        <w:t>October</w:t>
      </w:r>
      <w:r w:rsidRPr="000A411E">
        <w:rPr>
          <w:rFonts w:ascii="Garamond" w:hAnsi="Garamond" w:cs="Times New Roman"/>
          <w:lang w:val="ru-RU"/>
        </w:rPr>
        <w:t xml:space="preserve"> 2017, </w:t>
      </w:r>
      <w:hyperlink r:id="rId15" w:history="1">
        <w:r w:rsidRPr="000A411E">
          <w:rPr>
            <w:rStyle w:val="Hyperlink"/>
            <w:rFonts w:ascii="Garamond" w:hAnsi="Garamond" w:cs="Times New Roman"/>
          </w:rPr>
          <w:t>https</w:t>
        </w:r>
        <w:r w:rsidRPr="000A411E">
          <w:rPr>
            <w:rStyle w:val="Hyperlink"/>
            <w:rFonts w:ascii="Garamond" w:hAnsi="Garamond" w:cs="Times New Roman"/>
            <w:lang w:val="ru-RU"/>
          </w:rPr>
          <w:t>://</w:t>
        </w:r>
        <w:r w:rsidRPr="000A411E">
          <w:rPr>
            <w:rStyle w:val="Hyperlink"/>
            <w:rFonts w:ascii="Garamond" w:hAnsi="Garamond" w:cs="Times New Roman"/>
          </w:rPr>
          <w:t>www</w:t>
        </w:r>
        <w:r w:rsidRPr="000A411E">
          <w:rPr>
            <w:rStyle w:val="Hyperlink"/>
            <w:rFonts w:ascii="Garamond" w:hAnsi="Garamond" w:cs="Times New Roman"/>
            <w:lang w:val="ru-RU"/>
          </w:rPr>
          <w:t>.</w:t>
        </w:r>
        <w:r w:rsidRPr="000A411E">
          <w:rPr>
            <w:rStyle w:val="Hyperlink"/>
            <w:rFonts w:ascii="Garamond" w:hAnsi="Garamond" w:cs="Times New Roman"/>
          </w:rPr>
          <w:t>rbc</w:t>
        </w:r>
        <w:r w:rsidRPr="000A411E">
          <w:rPr>
            <w:rStyle w:val="Hyperlink"/>
            <w:rFonts w:ascii="Garamond" w:hAnsi="Garamond" w:cs="Times New Roman"/>
            <w:lang w:val="ru-RU"/>
          </w:rPr>
          <w:t>.</w:t>
        </w:r>
        <w:r w:rsidRPr="000A411E">
          <w:rPr>
            <w:rStyle w:val="Hyperlink"/>
            <w:rFonts w:ascii="Garamond" w:hAnsi="Garamond" w:cs="Times New Roman"/>
          </w:rPr>
          <w:t>ru</w:t>
        </w:r>
        <w:r w:rsidRPr="000A411E">
          <w:rPr>
            <w:rStyle w:val="Hyperlink"/>
            <w:rFonts w:ascii="Garamond" w:hAnsi="Garamond" w:cs="Times New Roman"/>
            <w:lang w:val="ru-RU"/>
          </w:rPr>
          <w:t>/</w:t>
        </w:r>
        <w:r w:rsidRPr="000A411E">
          <w:rPr>
            <w:rStyle w:val="Hyperlink"/>
            <w:rFonts w:ascii="Garamond" w:hAnsi="Garamond" w:cs="Times New Roman"/>
          </w:rPr>
          <w:t>politics</w:t>
        </w:r>
        <w:r w:rsidRPr="000A411E">
          <w:rPr>
            <w:rStyle w:val="Hyperlink"/>
            <w:rFonts w:ascii="Garamond" w:hAnsi="Garamond" w:cs="Times New Roman"/>
            <w:lang w:val="ru-RU"/>
          </w:rPr>
          <w:t>/09/10/2017/59</w:t>
        </w:r>
        <w:r w:rsidRPr="000A411E">
          <w:rPr>
            <w:rStyle w:val="Hyperlink"/>
            <w:rFonts w:ascii="Garamond" w:hAnsi="Garamond" w:cs="Times New Roman"/>
          </w:rPr>
          <w:t>db</w:t>
        </w:r>
        <w:r w:rsidRPr="000A411E">
          <w:rPr>
            <w:rStyle w:val="Hyperlink"/>
            <w:rFonts w:ascii="Garamond" w:hAnsi="Garamond" w:cs="Times New Roman"/>
            <w:lang w:val="ru-RU"/>
          </w:rPr>
          <w:t>7</w:t>
        </w:r>
        <w:r w:rsidRPr="000A411E">
          <w:rPr>
            <w:rStyle w:val="Hyperlink"/>
            <w:rFonts w:ascii="Garamond" w:hAnsi="Garamond" w:cs="Times New Roman"/>
          </w:rPr>
          <w:t>cdc</w:t>
        </w:r>
        <w:r w:rsidRPr="000A411E">
          <w:rPr>
            <w:rStyle w:val="Hyperlink"/>
            <w:rFonts w:ascii="Garamond" w:hAnsi="Garamond" w:cs="Times New Roman"/>
            <w:lang w:val="ru-RU"/>
          </w:rPr>
          <w:t>9</w:t>
        </w:r>
        <w:r w:rsidRPr="000A411E">
          <w:rPr>
            <w:rStyle w:val="Hyperlink"/>
            <w:rFonts w:ascii="Garamond" w:hAnsi="Garamond" w:cs="Times New Roman"/>
          </w:rPr>
          <w:t>a</w:t>
        </w:r>
        <w:r w:rsidRPr="000A411E">
          <w:rPr>
            <w:rStyle w:val="Hyperlink"/>
            <w:rFonts w:ascii="Garamond" w:hAnsi="Garamond" w:cs="Times New Roman"/>
            <w:lang w:val="ru-RU"/>
          </w:rPr>
          <w:t>79470249</w:t>
        </w:r>
        <w:r w:rsidRPr="000A411E">
          <w:rPr>
            <w:rStyle w:val="Hyperlink"/>
            <w:rFonts w:ascii="Garamond" w:hAnsi="Garamond" w:cs="Times New Roman"/>
          </w:rPr>
          <w:t>c</w:t>
        </w:r>
        <w:r w:rsidRPr="000A411E">
          <w:rPr>
            <w:rStyle w:val="Hyperlink"/>
            <w:rFonts w:ascii="Garamond" w:hAnsi="Garamond" w:cs="Times New Roman"/>
            <w:lang w:val="ru-RU"/>
          </w:rPr>
          <w:t>79</w:t>
        </w:r>
        <w:r w:rsidRPr="000A411E">
          <w:rPr>
            <w:rStyle w:val="Hyperlink"/>
            <w:rFonts w:ascii="Garamond" w:hAnsi="Garamond" w:cs="Times New Roman"/>
          </w:rPr>
          <w:t>eba</w:t>
        </w:r>
      </w:hyperlink>
      <w:r w:rsidRPr="000A411E">
        <w:rPr>
          <w:rFonts w:ascii="Garamond" w:hAnsi="Garamond" w:cs="Times New Roman"/>
          <w:lang w:val="ru-RU"/>
        </w:rPr>
        <w:t xml:space="preserve"> (</w:t>
      </w:r>
      <w:r w:rsidRPr="000A411E">
        <w:rPr>
          <w:rFonts w:ascii="Garamond" w:hAnsi="Garamond" w:cs="Times New Roman"/>
        </w:rPr>
        <w:t>in</w:t>
      </w:r>
      <w:r w:rsidRPr="000A411E">
        <w:rPr>
          <w:rFonts w:ascii="Garamond" w:hAnsi="Garamond" w:cs="Times New Roman"/>
          <w:lang w:val="ru-RU"/>
        </w:rPr>
        <w:t xml:space="preserve"> </w:t>
      </w:r>
      <w:r w:rsidRPr="000A411E">
        <w:rPr>
          <w:rFonts w:ascii="Garamond" w:hAnsi="Garamond" w:cs="Times New Roman"/>
        </w:rPr>
        <w:t>Russian</w:t>
      </w:r>
      <w:r w:rsidRPr="00BE02C9">
        <w:rPr>
          <w:rFonts w:ascii="Garamond" w:hAnsi="Garamond" w:cs="Times New Roman"/>
          <w:lang w:val="ru-RU"/>
        </w:rPr>
        <w:t xml:space="preserve">, </w:t>
      </w:r>
      <w:r w:rsidRPr="000A411E">
        <w:rPr>
          <w:rFonts w:ascii="Garamond" w:hAnsi="Garamond" w:cs="Times New Roman"/>
        </w:rPr>
        <w:t>accessed</w:t>
      </w:r>
      <w:r w:rsidRPr="00BE02C9">
        <w:rPr>
          <w:rFonts w:ascii="Garamond" w:hAnsi="Garamond" w:cs="Times New Roman"/>
          <w:lang w:val="ru-RU"/>
        </w:rPr>
        <w:t xml:space="preserve"> 25.01.2019</w:t>
      </w:r>
      <w:r w:rsidRPr="000A411E">
        <w:rPr>
          <w:rFonts w:ascii="Garamond" w:hAnsi="Garamond" w:cs="Times New Roman"/>
          <w:lang w:val="ru-RU"/>
        </w:rPr>
        <w:t xml:space="preserve">), </w:t>
      </w:r>
      <w:r w:rsidRPr="000A411E">
        <w:rPr>
          <w:rFonts w:ascii="Garamond" w:hAnsi="Garamond" w:cs="Times New Roman"/>
        </w:rPr>
        <w:t>see</w:t>
      </w:r>
      <w:r w:rsidRPr="000A411E">
        <w:rPr>
          <w:rFonts w:ascii="Garamond" w:hAnsi="Garamond" w:cs="Times New Roman"/>
          <w:lang w:val="ru-RU"/>
        </w:rPr>
        <w:t xml:space="preserve"> </w:t>
      </w:r>
      <w:r w:rsidRPr="000A411E">
        <w:rPr>
          <w:rFonts w:ascii="Garamond" w:hAnsi="Garamond" w:cs="Times New Roman"/>
        </w:rPr>
        <w:t>also</w:t>
      </w:r>
      <w:r w:rsidRPr="000A411E">
        <w:rPr>
          <w:rFonts w:ascii="Garamond" w:hAnsi="Garamond" w:cs="Times New Roman"/>
          <w:lang w:val="ru-RU"/>
        </w:rPr>
        <w:t xml:space="preserve"> Б. Тузмухамедов, Кто судит Россию в Страсбурге. ПАСЕ избирает служителей Фемиды в отсутствие голоса нашей страны, Независимая Газета, 13 </w:t>
      </w:r>
      <w:r w:rsidRPr="000A411E">
        <w:rPr>
          <w:rFonts w:ascii="Garamond" w:hAnsi="Garamond" w:cs="Times New Roman"/>
        </w:rPr>
        <w:t>February</w:t>
      </w:r>
      <w:r w:rsidRPr="000A411E">
        <w:rPr>
          <w:rFonts w:ascii="Garamond" w:hAnsi="Garamond" w:cs="Times New Roman"/>
          <w:lang w:val="ru-RU"/>
        </w:rPr>
        <w:t xml:space="preserve"> 2018, </w:t>
      </w:r>
      <w:hyperlink r:id="rId16" w:history="1">
        <w:r w:rsidRPr="000A411E">
          <w:rPr>
            <w:rStyle w:val="Hyperlink"/>
            <w:rFonts w:ascii="Garamond" w:hAnsi="Garamond" w:cs="Times New Roman"/>
          </w:rPr>
          <w:t>http</w:t>
        </w:r>
        <w:r w:rsidRPr="000A411E">
          <w:rPr>
            <w:rStyle w:val="Hyperlink"/>
            <w:rFonts w:ascii="Garamond" w:hAnsi="Garamond" w:cs="Times New Roman"/>
            <w:lang w:val="ru-RU"/>
          </w:rPr>
          <w:t>://</w:t>
        </w:r>
        <w:r w:rsidRPr="000A411E">
          <w:rPr>
            <w:rStyle w:val="Hyperlink"/>
            <w:rFonts w:ascii="Garamond" w:hAnsi="Garamond" w:cs="Times New Roman"/>
          </w:rPr>
          <w:t>www</w:t>
        </w:r>
        <w:r w:rsidRPr="000A411E">
          <w:rPr>
            <w:rStyle w:val="Hyperlink"/>
            <w:rFonts w:ascii="Garamond" w:hAnsi="Garamond" w:cs="Times New Roman"/>
            <w:lang w:val="ru-RU"/>
          </w:rPr>
          <w:t>.</w:t>
        </w:r>
        <w:r w:rsidRPr="000A411E">
          <w:rPr>
            <w:rStyle w:val="Hyperlink"/>
            <w:rFonts w:ascii="Garamond" w:hAnsi="Garamond" w:cs="Times New Roman"/>
          </w:rPr>
          <w:t>ng</w:t>
        </w:r>
        <w:r w:rsidRPr="000A411E">
          <w:rPr>
            <w:rStyle w:val="Hyperlink"/>
            <w:rFonts w:ascii="Garamond" w:hAnsi="Garamond" w:cs="Times New Roman"/>
            <w:lang w:val="ru-RU"/>
          </w:rPr>
          <w:t>.</w:t>
        </w:r>
        <w:r w:rsidRPr="000A411E">
          <w:rPr>
            <w:rStyle w:val="Hyperlink"/>
            <w:rFonts w:ascii="Garamond" w:hAnsi="Garamond" w:cs="Times New Roman"/>
          </w:rPr>
          <w:t>ru</w:t>
        </w:r>
        <w:r w:rsidRPr="000A411E">
          <w:rPr>
            <w:rStyle w:val="Hyperlink"/>
            <w:rFonts w:ascii="Garamond" w:hAnsi="Garamond" w:cs="Times New Roman"/>
            <w:lang w:val="ru-RU"/>
          </w:rPr>
          <w:t>/</w:t>
        </w:r>
        <w:r w:rsidRPr="000A411E">
          <w:rPr>
            <w:rStyle w:val="Hyperlink"/>
            <w:rFonts w:ascii="Garamond" w:hAnsi="Garamond" w:cs="Times New Roman"/>
          </w:rPr>
          <w:t>vision</w:t>
        </w:r>
        <w:r w:rsidRPr="000A411E">
          <w:rPr>
            <w:rStyle w:val="Hyperlink"/>
            <w:rFonts w:ascii="Garamond" w:hAnsi="Garamond" w:cs="Times New Roman"/>
            <w:lang w:val="ru-RU"/>
          </w:rPr>
          <w:t>/2018-02-13/2_7171_</w:t>
        </w:r>
        <w:r w:rsidRPr="000A411E">
          <w:rPr>
            <w:rStyle w:val="Hyperlink"/>
            <w:rFonts w:ascii="Garamond" w:hAnsi="Garamond" w:cs="Times New Roman"/>
          </w:rPr>
          <w:t>strasburg</w:t>
        </w:r>
        <w:r w:rsidRPr="000A411E">
          <w:rPr>
            <w:rStyle w:val="Hyperlink"/>
            <w:rFonts w:ascii="Garamond" w:hAnsi="Garamond" w:cs="Times New Roman"/>
            <w:lang w:val="ru-RU"/>
          </w:rPr>
          <w:t>.</w:t>
        </w:r>
        <w:r w:rsidRPr="000A411E">
          <w:rPr>
            <w:rStyle w:val="Hyperlink"/>
            <w:rFonts w:ascii="Garamond" w:hAnsi="Garamond" w:cs="Times New Roman"/>
          </w:rPr>
          <w:t>html</w:t>
        </w:r>
      </w:hyperlink>
      <w:r w:rsidRPr="000A411E">
        <w:rPr>
          <w:rFonts w:ascii="Garamond" w:hAnsi="Garamond" w:cs="Times New Roman"/>
          <w:lang w:val="ru-RU"/>
        </w:rPr>
        <w:t xml:space="preserve"> (</w:t>
      </w:r>
      <w:r w:rsidRPr="000A411E">
        <w:rPr>
          <w:rFonts w:ascii="Garamond" w:hAnsi="Garamond" w:cs="Times New Roman"/>
        </w:rPr>
        <w:t>in</w:t>
      </w:r>
      <w:r w:rsidRPr="000A411E">
        <w:rPr>
          <w:rFonts w:ascii="Garamond" w:hAnsi="Garamond" w:cs="Times New Roman"/>
          <w:lang w:val="ru-RU"/>
        </w:rPr>
        <w:t xml:space="preserve"> </w:t>
      </w:r>
      <w:r w:rsidRPr="000A411E">
        <w:rPr>
          <w:rFonts w:ascii="Garamond" w:hAnsi="Garamond" w:cs="Times New Roman"/>
        </w:rPr>
        <w:t>Russian</w:t>
      </w:r>
      <w:r w:rsidRPr="00BE02C9">
        <w:rPr>
          <w:rFonts w:ascii="Garamond" w:hAnsi="Garamond" w:cs="Times New Roman"/>
          <w:lang w:val="ru-RU"/>
        </w:rPr>
        <w:t xml:space="preserve">, </w:t>
      </w:r>
      <w:r w:rsidRPr="000A411E">
        <w:rPr>
          <w:rFonts w:ascii="Garamond" w:hAnsi="Garamond" w:cs="Times New Roman"/>
        </w:rPr>
        <w:t>accessed</w:t>
      </w:r>
      <w:r w:rsidRPr="00BE02C9">
        <w:rPr>
          <w:rFonts w:ascii="Garamond" w:hAnsi="Garamond" w:cs="Times New Roman"/>
          <w:lang w:val="ru-RU"/>
        </w:rPr>
        <w:t xml:space="preserve"> 25.01.2019</w:t>
      </w:r>
      <w:r w:rsidRPr="000A411E">
        <w:rPr>
          <w:rFonts w:ascii="Garamond" w:hAnsi="Garamond" w:cs="Times New Roman"/>
          <w:lang w:val="ru-RU"/>
        </w:rPr>
        <w:t>).</w:t>
      </w:r>
    </w:p>
  </w:footnote>
  <w:footnote w:id="74">
    <w:p w14:paraId="74DB5223" w14:textId="6DC3D265"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Article 22 ECHR</w:t>
      </w:r>
      <w:r w:rsidRPr="000A411E">
        <w:rPr>
          <w:rFonts w:ascii="Garamond" w:hAnsi="Garamond" w:cs="Times New Roman"/>
        </w:rPr>
        <w:t>.</w:t>
      </w:r>
    </w:p>
  </w:footnote>
  <w:footnote w:id="75">
    <w:p w14:paraId="0F273DB9" w14:textId="34F2D0E3"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Article 27 VCLT states that a party may not invoke the provisions of its internal law as justification for its failure to perform a treaty.</w:t>
      </w:r>
    </w:p>
  </w:footnote>
  <w:footnote w:id="76">
    <w:p w14:paraId="1CEAF97C" w14:textId="063FD676"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00BE02C9" w:rsidRPr="000A411E">
        <w:rPr>
          <w:rFonts w:ascii="Garamond" w:hAnsi="Garamond" w:cs="Times New Roman"/>
        </w:rPr>
        <w:t>G</w:t>
      </w:r>
      <w:r w:rsidR="00BE02C9">
        <w:rPr>
          <w:rFonts w:ascii="Garamond" w:hAnsi="Garamond" w:cs="Times New Roman"/>
        </w:rPr>
        <w:t>iuseppe</w:t>
      </w:r>
      <w:r w:rsidRPr="000A411E">
        <w:rPr>
          <w:rFonts w:ascii="Garamond" w:hAnsi="Garamond" w:cs="Times New Roman"/>
        </w:rPr>
        <w:t xml:space="preserve"> Martinico, </w:t>
      </w:r>
      <w:r w:rsidRPr="000A411E">
        <w:rPr>
          <w:rFonts w:ascii="Garamond" w:hAnsi="Garamond" w:cs="Times New Roman"/>
        </w:rPr>
        <w:t>‘</w:t>
      </w:r>
      <w:r w:rsidRPr="000A411E">
        <w:rPr>
          <w:rFonts w:ascii="Garamond" w:hAnsi="Garamond" w:cs="Times New Roman"/>
        </w:rPr>
        <w:t xml:space="preserve">Is the European Convention Going to Be </w:t>
      </w:r>
      <w:r w:rsidRPr="000A411E">
        <w:rPr>
          <w:rFonts w:ascii="Garamond" w:hAnsi="Garamond" w:cs="Times New Roman"/>
        </w:rPr>
        <w:t>“</w:t>
      </w:r>
      <w:r w:rsidRPr="000A411E">
        <w:rPr>
          <w:rFonts w:ascii="Garamond" w:hAnsi="Garamond" w:cs="Times New Roman"/>
        </w:rPr>
        <w:t>Supreme</w:t>
      </w:r>
      <w:r w:rsidRPr="000A411E">
        <w:rPr>
          <w:rFonts w:ascii="Garamond" w:hAnsi="Garamond" w:cs="Times New Roman"/>
        </w:rPr>
        <w:t>”</w:t>
      </w:r>
      <w:r w:rsidRPr="000A411E">
        <w:rPr>
          <w:rFonts w:ascii="Garamond" w:hAnsi="Garamond" w:cs="Times New Roman"/>
        </w:rPr>
        <w:t>? A Comparative-Constitutional Overview of ECHR and EU Law before National Courts</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(2012) 23 </w:t>
      </w:r>
      <w:r w:rsidRPr="000A411E">
        <w:rPr>
          <w:rFonts w:ascii="Garamond" w:hAnsi="Garamond" w:cs="Times New Roman"/>
          <w:i/>
        </w:rPr>
        <w:t>European Journal of International Law</w:t>
      </w:r>
      <w:r w:rsidRPr="000A411E">
        <w:rPr>
          <w:rFonts w:ascii="Garamond" w:hAnsi="Garamond" w:cs="Times New Roman"/>
        </w:rPr>
        <w:t xml:space="preserve"> 401, 422.</w:t>
      </w:r>
    </w:p>
  </w:footnote>
  <w:footnote w:id="77">
    <w:p w14:paraId="388C15A5" w14:textId="21196ECC" w:rsidR="00E71905" w:rsidRPr="000A411E" w:rsidRDefault="00E71905" w:rsidP="000A411E">
      <w:pPr>
        <w:pStyle w:val="SelectText"/>
        <w:spacing w:after="0"/>
        <w:rPr>
          <w:rFonts w:ascii="Garamond" w:hAnsi="Garamond"/>
        </w:rPr>
      </w:pPr>
      <w:r w:rsidRPr="000A411E">
        <w:rPr>
          <w:rStyle w:val="FootnoteReference"/>
          <w:rFonts w:ascii="Garamond" w:hAnsi="Garamond"/>
        </w:rPr>
        <w:footnoteRef/>
      </w:r>
      <w:r w:rsidRPr="000A411E">
        <w:rPr>
          <w:rFonts w:ascii="Garamond" w:hAnsi="Garamond"/>
        </w:rPr>
        <w:t xml:space="preserve"> See, </w:t>
      </w:r>
      <w:r w:rsidRPr="000A411E">
        <w:rPr>
          <w:rFonts w:ascii="Garamond" w:hAnsi="Garamond"/>
          <w:i/>
        </w:rPr>
        <w:t>Görgülü</w:t>
      </w:r>
      <w:r w:rsidRPr="000A411E">
        <w:rPr>
          <w:rFonts w:ascii="Garamond" w:hAnsi="Garamond"/>
        </w:rPr>
        <w:t xml:space="preserve"> 2 BvR 1481/04 (14 October 2004) BVerfGE 111, 307 (Ger), for more examples see </w:t>
      </w:r>
      <w:r w:rsidR="00BE02C9" w:rsidRPr="000A411E">
        <w:rPr>
          <w:rFonts w:ascii="Garamond" w:hAnsi="Garamond"/>
        </w:rPr>
        <w:t xml:space="preserve">K Dzehtsiarou and N Mavronicola, ‘Relation of Constitutional Courts / Supreme Courts to the ECtHR’ Max Planck Encyclopaedia of Comparative Constitutional Law, </w:t>
      </w:r>
      <w:hyperlink r:id="rId17" w:history="1">
        <w:r w:rsidR="00BE02C9" w:rsidRPr="000A411E">
          <w:rPr>
            <w:rStyle w:val="Hyperlink"/>
            <w:rFonts w:ascii="Garamond" w:hAnsi="Garamond"/>
          </w:rPr>
          <w:t>http://oxcon.ouplaw.com/view/10.1093/law-mpeccol/law-mpeccol-e572</w:t>
        </w:r>
      </w:hyperlink>
      <w:r w:rsidR="00BE02C9" w:rsidRPr="000A411E">
        <w:rPr>
          <w:rFonts w:ascii="Garamond" w:hAnsi="Garamond"/>
        </w:rPr>
        <w:t xml:space="preserve"> (accessed 25.01.2019)</w:t>
      </w:r>
    </w:p>
  </w:footnote>
  <w:footnote w:id="78">
    <w:p w14:paraId="7D71CBC1" w14:textId="36D1C3A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i/>
        </w:rPr>
        <w:t xml:space="preserve"> </w:t>
      </w:r>
      <w:r w:rsidRPr="000A411E">
        <w:rPr>
          <w:rFonts w:ascii="Garamond" w:hAnsi="Garamond" w:cs="Times New Roman"/>
          <w:i/>
        </w:rPr>
        <w:t>OAO Neftyanaya Kompaniya Yukos v. Russia</w:t>
      </w:r>
      <w:r w:rsidRPr="000A411E">
        <w:rPr>
          <w:rFonts w:ascii="Garamond" w:hAnsi="Garamond" w:cs="Times New Roman"/>
        </w:rPr>
        <w:t xml:space="preserve"> (just satisfaction), no. 14902/04, 31 July 2014.</w:t>
      </w:r>
    </w:p>
  </w:footnote>
  <w:footnote w:id="79">
    <w:p w14:paraId="11A2B6C8" w14:textId="3940DD7D"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For a more in-depth analysis of the Yukos case see, K</w:t>
      </w:r>
      <w:r w:rsidR="00BE02C9">
        <w:rPr>
          <w:rFonts w:ascii="Garamond" w:hAnsi="Garamond" w:cs="Times New Roman"/>
        </w:rPr>
        <w:t>anstantsin</w:t>
      </w:r>
      <w:r w:rsidRPr="000A411E">
        <w:rPr>
          <w:rFonts w:ascii="Garamond" w:hAnsi="Garamond" w:cs="Times New Roman"/>
        </w:rPr>
        <w:t xml:space="preserve"> Dzehtsiarou and F</w:t>
      </w:r>
      <w:r w:rsidR="00BE02C9">
        <w:rPr>
          <w:rFonts w:ascii="Garamond" w:hAnsi="Garamond" w:cs="Times New Roman"/>
        </w:rPr>
        <w:t>ilippo</w:t>
      </w:r>
      <w:r w:rsidRPr="000A411E">
        <w:rPr>
          <w:rFonts w:ascii="Garamond" w:hAnsi="Garamond" w:cs="Times New Roman"/>
        </w:rPr>
        <w:t xml:space="preserve"> Fontanelli, </w:t>
      </w:r>
      <w:r w:rsidRPr="000A411E">
        <w:rPr>
          <w:rFonts w:ascii="Garamond" w:hAnsi="Garamond" w:cs="Times New Roman"/>
        </w:rPr>
        <w:t>‘</w:t>
      </w:r>
      <w:r w:rsidRPr="000A411E">
        <w:rPr>
          <w:rFonts w:ascii="Garamond" w:hAnsi="Garamond" w:cs="Times New Roman"/>
        </w:rPr>
        <w:t>Unprincipled Disobedience to International Decisions: A Primer from the Russian Constitutional Court</w:t>
      </w:r>
      <w:r w:rsidRPr="000A411E">
        <w:rPr>
          <w:rFonts w:ascii="Garamond" w:hAnsi="Garamond" w:cs="Times New Roman"/>
        </w:rPr>
        <w:t>’</w:t>
      </w:r>
      <w:r w:rsidRPr="000A411E">
        <w:rPr>
          <w:rFonts w:ascii="Garamond" w:hAnsi="Garamond" w:cs="Times New Roman"/>
        </w:rPr>
        <w:t xml:space="preserve"> (2018) European Yearbook of Human Rights</w:t>
      </w:r>
      <w:r w:rsidRPr="000A411E">
        <w:rPr>
          <w:rFonts w:ascii="Garamond" w:hAnsi="Garamond" w:cs="Times New Roman"/>
        </w:rPr>
        <w:t xml:space="preserve"> 319</w:t>
      </w:r>
      <w:r w:rsidRPr="000A411E">
        <w:rPr>
          <w:rFonts w:ascii="Garamond" w:hAnsi="Garamond" w:cs="Times New Roman"/>
        </w:rPr>
        <w:t>; B</w:t>
      </w:r>
      <w:r w:rsidR="00BE02C9">
        <w:rPr>
          <w:rFonts w:ascii="Garamond" w:hAnsi="Garamond" w:cs="Times New Roman"/>
        </w:rPr>
        <w:t>.</w:t>
      </w:r>
      <w:r w:rsidRPr="000A411E">
        <w:rPr>
          <w:rFonts w:ascii="Garamond" w:hAnsi="Garamond" w:cs="Times New Roman"/>
        </w:rPr>
        <w:t xml:space="preserve"> Bowring ‘Russia’s cases in the ECtHR and the Question of Implementation’ in L</w:t>
      </w:r>
      <w:r w:rsidR="00BE02C9">
        <w:rPr>
          <w:rFonts w:ascii="Garamond" w:hAnsi="Garamond" w:cs="Times New Roman"/>
        </w:rPr>
        <w:t>.</w:t>
      </w:r>
      <w:r w:rsidRPr="000A411E">
        <w:rPr>
          <w:rFonts w:ascii="Garamond" w:hAnsi="Garamond" w:cs="Times New Roman"/>
        </w:rPr>
        <w:t xml:space="preserve"> Mälksoo and W</w:t>
      </w:r>
      <w:r w:rsidR="00BE02C9">
        <w:rPr>
          <w:rFonts w:ascii="Garamond" w:hAnsi="Garamond" w:cs="Times New Roman"/>
        </w:rPr>
        <w:t>.</w:t>
      </w:r>
      <w:r w:rsidRPr="000A411E">
        <w:rPr>
          <w:rFonts w:ascii="Garamond" w:hAnsi="Garamond" w:cs="Times New Roman"/>
        </w:rPr>
        <w:t xml:space="preserve"> Benedek (eds.) </w:t>
      </w:r>
      <w:r w:rsidRPr="00BE02C9">
        <w:rPr>
          <w:rFonts w:ascii="Garamond" w:hAnsi="Garamond" w:cs="Times New Roman"/>
          <w:i/>
        </w:rPr>
        <w:t>Russia and the European Court of Human Rights</w:t>
      </w:r>
      <w:r w:rsidRPr="000A411E">
        <w:rPr>
          <w:rFonts w:ascii="Garamond" w:hAnsi="Garamond" w:cs="Times New Roman"/>
        </w:rPr>
        <w:t xml:space="preserve"> (CUP, 2017); I</w:t>
      </w:r>
      <w:r w:rsidR="00BE02C9">
        <w:rPr>
          <w:rFonts w:ascii="Garamond" w:hAnsi="Garamond" w:cs="Times New Roman"/>
        </w:rPr>
        <w:t>.</w:t>
      </w:r>
      <w:r w:rsidRPr="000A411E">
        <w:rPr>
          <w:rFonts w:ascii="Garamond" w:hAnsi="Garamond" w:cs="Times New Roman"/>
        </w:rPr>
        <w:t xml:space="preserve"> Marchuck and M</w:t>
      </w:r>
      <w:r w:rsidR="00BE02C9">
        <w:rPr>
          <w:rFonts w:ascii="Garamond" w:hAnsi="Garamond" w:cs="Times New Roman"/>
        </w:rPr>
        <w:t>.</w:t>
      </w:r>
      <w:r w:rsidRPr="000A411E">
        <w:rPr>
          <w:rFonts w:ascii="Garamond" w:hAnsi="Garamond" w:cs="Times New Roman"/>
        </w:rPr>
        <w:t xml:space="preserve"> Aksenova</w:t>
      </w:r>
      <w:r w:rsidRPr="000A411E">
        <w:rPr>
          <w:rFonts w:ascii="Garamond" w:hAnsi="Garamond" w:cs="Times New Roman"/>
        </w:rPr>
        <w:t>,</w:t>
      </w:r>
      <w:r w:rsidRPr="000A411E">
        <w:rPr>
          <w:rFonts w:ascii="Garamond" w:hAnsi="Garamond" w:cs="Times New Roman"/>
        </w:rPr>
        <w:t xml:space="preserve"> The Tale of Yukos and of the Russian Constitutional Court’s Rebellion against the European Court of Human Rights (2017) </w:t>
      </w:r>
      <w:r w:rsidRPr="000A411E">
        <w:rPr>
          <w:rFonts w:ascii="Garamond" w:hAnsi="Garamond" w:cs="Times New Roman"/>
          <w:i/>
        </w:rPr>
        <w:t>Osservatorio Costituzionale</w:t>
      </w:r>
      <w:r w:rsidRPr="000A411E">
        <w:rPr>
          <w:rFonts w:ascii="Garamond" w:hAnsi="Garamond" w:cs="Times New Roman"/>
        </w:rPr>
        <w:t xml:space="preserve"> </w:t>
      </w:r>
      <w:hyperlink r:id="rId18" w:history="1">
        <w:r w:rsidRPr="000A411E">
          <w:rPr>
            <w:rStyle w:val="Hyperlink"/>
            <w:rFonts w:ascii="Garamond" w:hAnsi="Garamond" w:cs="Times New Roman"/>
          </w:rPr>
          <w:t>https://www.osservatorioaic.it/images/rivista/pdf/Marchuck-</w:t>
        </w:r>
      </w:hyperlink>
      <w:r w:rsidRPr="000A411E">
        <w:rPr>
          <w:rStyle w:val="Hyperlink"/>
          <w:rFonts w:ascii="Garamond" w:hAnsi="Garamond" w:cs="Times New Roman"/>
        </w:rPr>
        <w:t xml:space="preserve"> </w:t>
      </w:r>
      <w:r w:rsidRPr="000A411E">
        <w:rPr>
          <w:rFonts w:ascii="Garamond" w:hAnsi="Garamond" w:cs="Times New Roman"/>
        </w:rPr>
        <w:t xml:space="preserve">(accessed 25.01.2019). </w:t>
      </w:r>
      <w:r w:rsidRPr="000A411E">
        <w:rPr>
          <w:rStyle w:val="Hyperlink"/>
          <w:rFonts w:ascii="Garamond" w:hAnsi="Garamond" w:cs="Times New Roman"/>
        </w:rPr>
        <w:t>Aksenova%20Definitivo.pdf</w:t>
      </w:r>
      <w:r w:rsidRPr="000A411E">
        <w:rPr>
          <w:rFonts w:ascii="Garamond" w:hAnsi="Garamond" w:cs="Times New Roman"/>
        </w:rPr>
        <w:t>.</w:t>
      </w:r>
    </w:p>
  </w:footnote>
  <w:footnote w:id="80">
    <w:p w14:paraId="2A4AE050" w14:textId="6681DFC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Decision N 21-П </w:t>
      </w:r>
      <w:r w:rsidRPr="000A411E">
        <w:rPr>
          <w:rFonts w:ascii="Garamond" w:hAnsi="Garamond" w:cs="Times New Roman"/>
          <w:i/>
        </w:rPr>
        <w:t>Verification of Constitutionality of Art. 1 of the Federal Law ‘On Ratification of the Convention for the Protection of Human Rights and Fundamental Freedoms and Its Protocols’, Sections 1 and 2 of Art. 32 of the Federal Law ‘On International Treaties of the Russian Federation’, Sections 1 and 4 of Art. 11, Subsection 4 of Section 4 of Art. 392 of the Civil Procedural Code of the Russian Federation’, Sections 1 and 4 of Art. 13, Subsection 4 of Section 3 of Art. 311 of the Arbitration Procedural Code of the Russian Federation, Sections 1 and 4 of Art. 15, Subsection 4 of Section 1 of Art. 350 of the Administrative Court Proceedings Code of the Russian Federation, and Subsection 2 of Section 4 of Art. 413 of the Criminal Procedural Code of the Russian Federation in Relation to the request of the Group of the Members of State Duma (Parliament)</w:t>
      </w:r>
      <w:r w:rsidR="00BE02C9">
        <w:rPr>
          <w:rFonts w:ascii="Garamond" w:hAnsi="Garamond" w:cs="Times New Roman"/>
        </w:rPr>
        <w:t xml:space="preserve"> (14 July 2015). See also, </w:t>
      </w:r>
      <w:r w:rsidRPr="000A411E">
        <w:rPr>
          <w:rFonts w:ascii="Garamond" w:hAnsi="Garamond" w:cs="Times New Roman"/>
        </w:rPr>
        <w:t xml:space="preserve">Dzehtsiarou and </w:t>
      </w:r>
      <w:r w:rsidR="00BE02C9">
        <w:rPr>
          <w:rFonts w:ascii="Garamond" w:hAnsi="Garamond" w:cs="Times New Roman"/>
        </w:rPr>
        <w:t xml:space="preserve">Mavronicola (n. </w:t>
      </w:r>
      <w:r w:rsidR="00BE02C9">
        <w:rPr>
          <w:rFonts w:ascii="Garamond" w:hAnsi="Garamond" w:cs="Times New Roman"/>
        </w:rPr>
        <w:fldChar w:fldCharType="begin"/>
      </w:r>
      <w:r w:rsidR="00BE02C9">
        <w:rPr>
          <w:rFonts w:ascii="Garamond" w:hAnsi="Garamond" w:cs="Times New Roman"/>
        </w:rPr>
        <w:instrText xml:space="preserve"> NOTEREF _Ref536194567 \h </w:instrText>
      </w:r>
      <w:r w:rsidR="00BE02C9">
        <w:rPr>
          <w:rFonts w:ascii="Garamond" w:hAnsi="Garamond" w:cs="Times New Roman"/>
        </w:rPr>
      </w:r>
      <w:r w:rsidR="00BE02C9">
        <w:rPr>
          <w:rFonts w:ascii="Garamond" w:hAnsi="Garamond" w:cs="Times New Roman"/>
        </w:rPr>
        <w:fldChar w:fldCharType="separate"/>
      </w:r>
      <w:r w:rsidR="00BE02C9">
        <w:rPr>
          <w:rFonts w:ascii="Garamond" w:hAnsi="Garamond" w:cs="Times New Roman"/>
        </w:rPr>
        <w:t>77</w:t>
      </w:r>
      <w:r w:rsidR="00BE02C9">
        <w:rPr>
          <w:rFonts w:ascii="Garamond" w:hAnsi="Garamond" w:cs="Times New Roman"/>
        </w:rPr>
        <w:fldChar w:fldCharType="end"/>
      </w:r>
      <w:r w:rsidR="00BE02C9">
        <w:rPr>
          <w:rFonts w:ascii="Garamond" w:hAnsi="Garamond" w:cs="Times New Roman"/>
        </w:rPr>
        <w:t>)</w:t>
      </w:r>
      <w:r w:rsidRPr="000A411E">
        <w:rPr>
          <w:rFonts w:ascii="Garamond" w:hAnsi="Garamond" w:cs="Times New Roman"/>
        </w:rPr>
        <w:t xml:space="preserve">. For in-depth analysis see, </w:t>
      </w:r>
      <w:r w:rsidR="00BE02C9">
        <w:rPr>
          <w:rFonts w:ascii="Garamond" w:hAnsi="Garamond" w:cs="Times New Roman"/>
        </w:rPr>
        <w:t>Lauri</w:t>
      </w:r>
      <w:r w:rsidRPr="000A411E">
        <w:rPr>
          <w:rFonts w:ascii="Garamond" w:hAnsi="Garamond" w:cs="Times New Roman"/>
        </w:rPr>
        <w:t xml:space="preserve"> </w:t>
      </w:r>
      <w:r w:rsidRPr="00BE02C9">
        <w:rPr>
          <w:rFonts w:ascii="Garamond" w:hAnsi="Garamond" w:cs="Times New Roman"/>
        </w:rPr>
        <w:t>Mälksoo</w:t>
      </w:r>
      <w:r w:rsidRPr="000A411E">
        <w:rPr>
          <w:rFonts w:ascii="Garamond" w:hAnsi="Garamond" w:cs="Times New Roman"/>
        </w:rPr>
        <w:t xml:space="preserve">, ‘Russia’s Constitutional Court Defies the European Court of Human Rights. Constitutional Court of the Russian Federation Judgment of 14 July 2015, No 21-П/2015’ (2016) 12 </w:t>
      </w:r>
      <w:r w:rsidRPr="00BE02C9">
        <w:rPr>
          <w:rFonts w:ascii="Garamond" w:hAnsi="Garamond" w:cs="Times New Roman"/>
          <w:i/>
        </w:rPr>
        <w:t>European Constitutional Law Review</w:t>
      </w:r>
      <w:r w:rsidRPr="000A411E">
        <w:rPr>
          <w:rFonts w:ascii="Garamond" w:hAnsi="Garamond" w:cs="Times New Roman"/>
        </w:rPr>
        <w:t>, 377</w:t>
      </w:r>
      <w:r w:rsidRPr="000A411E">
        <w:rPr>
          <w:rFonts w:ascii="Garamond" w:hAnsi="Garamond" w:cs="Times New Roman"/>
        </w:rPr>
        <w:t>.</w:t>
      </w:r>
    </w:p>
  </w:footnote>
  <w:footnote w:id="81">
    <w:p w14:paraId="3C90CB35" w14:textId="0B90A60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rPr>
        <w:t>Possibility of Execution of the Judgment of the European Court of Human Rights in the Case of Anchugov and Gladkov v Russia), available at http://doc.ksrf.ru/decision/KSRFDecision230222.pdf (in Russian</w:t>
      </w:r>
      <w:r w:rsidRPr="000A411E">
        <w:rPr>
          <w:rFonts w:ascii="Garamond" w:hAnsi="Garamond" w:cs="Times New Roman"/>
        </w:rPr>
        <w:t>, accessed 25.01.2019</w:t>
      </w:r>
      <w:r w:rsidRPr="000A411E">
        <w:rPr>
          <w:rFonts w:ascii="Garamond" w:hAnsi="Garamond" w:cs="Times New Roman"/>
        </w:rPr>
        <w:t>). K</w:t>
      </w:r>
      <w:r w:rsidR="004F7D15">
        <w:rPr>
          <w:rFonts w:ascii="Garamond" w:hAnsi="Garamond" w:cs="Times New Roman"/>
        </w:rPr>
        <w:t>.</w:t>
      </w:r>
      <w:r w:rsidRPr="000A411E">
        <w:rPr>
          <w:rFonts w:ascii="Garamond" w:hAnsi="Garamond" w:cs="Times New Roman"/>
        </w:rPr>
        <w:t xml:space="preserve"> Dzehtsiarou, S</w:t>
      </w:r>
      <w:r w:rsidR="004F7D15">
        <w:rPr>
          <w:rFonts w:ascii="Garamond" w:hAnsi="Garamond" w:cs="Times New Roman"/>
        </w:rPr>
        <w:t>.</w:t>
      </w:r>
      <w:r w:rsidRPr="000A411E">
        <w:rPr>
          <w:rFonts w:ascii="Garamond" w:hAnsi="Garamond" w:cs="Times New Roman"/>
        </w:rPr>
        <w:t xml:space="preserve"> Golubok and M</w:t>
      </w:r>
      <w:r w:rsidR="004F7D15">
        <w:rPr>
          <w:rFonts w:ascii="Garamond" w:hAnsi="Garamond" w:cs="Times New Roman"/>
        </w:rPr>
        <w:t>.</w:t>
      </w:r>
      <w:r w:rsidRPr="000A411E">
        <w:rPr>
          <w:rFonts w:ascii="Garamond" w:hAnsi="Garamond" w:cs="Times New Roman"/>
        </w:rPr>
        <w:t xml:space="preserve"> Timofeev</w:t>
      </w:r>
      <w:r w:rsidR="004F7D15">
        <w:rPr>
          <w:rFonts w:ascii="Garamond" w:hAnsi="Garamond" w:cs="Times New Roman"/>
        </w:rPr>
        <w:t>,</w:t>
      </w:r>
      <w:r w:rsidRPr="000A411E">
        <w:rPr>
          <w:rFonts w:ascii="Garamond" w:hAnsi="Garamond" w:cs="Times New Roman"/>
        </w:rPr>
        <w:t xml:space="preserve"> The Russian Response to the Prisoner Voting Judgment (2016) ECHRblog, </w:t>
      </w:r>
      <w:hyperlink r:id="rId19" w:history="1">
        <w:r w:rsidRPr="000A411E">
          <w:rPr>
            <w:rStyle w:val="Hyperlink"/>
            <w:rFonts w:ascii="Garamond" w:hAnsi="Garamond" w:cs="Times New Roman"/>
          </w:rPr>
          <w:t>http://echrblog.blogspot.co.uk/2016/04/the-russian-response-to-prisoner-voting.html</w:t>
        </w:r>
      </w:hyperlink>
      <w:r w:rsidRPr="000A411E">
        <w:rPr>
          <w:rFonts w:ascii="Garamond" w:hAnsi="Garamond" w:cs="Times New Roman"/>
        </w:rPr>
        <w:t xml:space="preserve">. </w:t>
      </w:r>
      <w:r w:rsidRPr="000A411E">
        <w:rPr>
          <w:rFonts w:ascii="Garamond" w:hAnsi="Garamond" w:cs="Times New Roman"/>
        </w:rPr>
        <w:t>(accessed 25.01.2019).</w:t>
      </w:r>
    </w:p>
  </w:footnote>
  <w:footnote w:id="82">
    <w:p w14:paraId="19D07A49"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i/>
        </w:rPr>
        <w:t>Judgment of 19 January 2017 No. 1-П/2017 in the case concerning the resolution of the question of the possibility to execute in accordance with the Constitution of the Russian Federation the Judgment of the European Court of Human Rights of 31 July 2014 in the case of OAO Neftyanaya Kompaniya Yukos v Russia in connection with the request of the Ministry of Justice of the Russian Federation</w:t>
      </w:r>
      <w:r w:rsidRPr="000A411E">
        <w:rPr>
          <w:rFonts w:ascii="Garamond" w:hAnsi="Garamond" w:cs="Times New Roman"/>
        </w:rPr>
        <w:t>. A courtesy translation is available on the website of the Russian Constitutional Court, and all quotations will be drawn from it, unless otherwise noted &lt;http://www.ksrf.ru/en/Decision/Judgments/Documents/2017__January_19_1-P.pdf&gt;.</w:t>
      </w:r>
    </w:p>
  </w:footnote>
  <w:footnote w:id="83">
    <w:p w14:paraId="6DF007AD" w14:textId="526CE94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For example, the </w:t>
      </w:r>
      <w:r w:rsidRPr="000A411E">
        <w:rPr>
          <w:rFonts w:ascii="Garamond" w:hAnsi="Garamond" w:cs="Times New Roman"/>
        </w:rPr>
        <w:t>German Constitutional Court in Gorgulu, Italian Constitutional</w:t>
      </w:r>
      <w:r w:rsidR="00BE02C9">
        <w:rPr>
          <w:rFonts w:ascii="Garamond" w:hAnsi="Garamond" w:cs="Times New Roman"/>
        </w:rPr>
        <w:t xml:space="preserve"> Court and UK Supreme Court. </w:t>
      </w:r>
      <w:r w:rsidRPr="000A411E">
        <w:rPr>
          <w:rFonts w:ascii="Garamond" w:hAnsi="Garamond" w:cs="Times New Roman"/>
        </w:rPr>
        <w:t xml:space="preserve">Dzehtsiarou and Mavronicola, </w:t>
      </w:r>
      <w:r w:rsidR="00BE02C9">
        <w:rPr>
          <w:rFonts w:ascii="Garamond" w:hAnsi="Garamond" w:cs="Times New Roman"/>
        </w:rPr>
        <w:t xml:space="preserve">(n. </w:t>
      </w:r>
      <w:r w:rsidR="004F7D15">
        <w:rPr>
          <w:rFonts w:ascii="Garamond" w:hAnsi="Garamond" w:cs="Times New Roman"/>
        </w:rPr>
        <w:fldChar w:fldCharType="begin"/>
      </w:r>
      <w:r w:rsidR="004F7D15">
        <w:rPr>
          <w:rFonts w:ascii="Garamond" w:hAnsi="Garamond" w:cs="Times New Roman"/>
        </w:rPr>
        <w:instrText xml:space="preserve"> NOTEREF _Ref536194567 \h </w:instrText>
      </w:r>
      <w:r w:rsidR="004F7D15">
        <w:rPr>
          <w:rFonts w:ascii="Garamond" w:hAnsi="Garamond" w:cs="Times New Roman"/>
        </w:rPr>
      </w:r>
      <w:r w:rsidR="004F7D15">
        <w:rPr>
          <w:rFonts w:ascii="Garamond" w:hAnsi="Garamond" w:cs="Times New Roman"/>
        </w:rPr>
        <w:fldChar w:fldCharType="separate"/>
      </w:r>
      <w:r w:rsidR="004F7D15">
        <w:rPr>
          <w:rFonts w:ascii="Garamond" w:hAnsi="Garamond" w:cs="Times New Roman"/>
        </w:rPr>
        <w:t>77</w:t>
      </w:r>
      <w:r w:rsidR="004F7D15">
        <w:rPr>
          <w:rFonts w:ascii="Garamond" w:hAnsi="Garamond" w:cs="Times New Roman"/>
        </w:rPr>
        <w:fldChar w:fldCharType="end"/>
      </w:r>
      <w:r w:rsidRPr="000A411E">
        <w:rPr>
          <w:rFonts w:ascii="Garamond" w:hAnsi="Garamond" w:cs="Times New Roman"/>
        </w:rPr>
        <w:t>).</w:t>
      </w:r>
    </w:p>
  </w:footnote>
  <w:footnote w:id="84">
    <w:p w14:paraId="5C43F6EC" w14:textId="324477DA"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For a more detailed analysis of the Yukos case see, </w:t>
      </w:r>
      <w:r w:rsidRPr="000A411E">
        <w:rPr>
          <w:rFonts w:ascii="Garamond" w:hAnsi="Garamond" w:cs="Times New Roman"/>
        </w:rPr>
        <w:t xml:space="preserve">Dzehtsiarou and </w:t>
      </w:r>
      <w:r w:rsidR="00A03CB8">
        <w:rPr>
          <w:rFonts w:ascii="Garamond" w:hAnsi="Garamond" w:cs="Times New Roman"/>
        </w:rPr>
        <w:t>F</w:t>
      </w:r>
      <w:r w:rsidRPr="000A411E">
        <w:rPr>
          <w:rFonts w:ascii="Garamond" w:hAnsi="Garamond" w:cs="Times New Roman"/>
        </w:rPr>
        <w:t>ontanelli</w:t>
      </w:r>
      <w:r w:rsidR="00A03CB8">
        <w:rPr>
          <w:rFonts w:ascii="Garamond" w:hAnsi="Garamond" w:cs="Times New Roman"/>
        </w:rPr>
        <w:t xml:space="preserve"> (n. </w:t>
      </w:r>
      <w:r w:rsidR="00A03CB8">
        <w:rPr>
          <w:rFonts w:ascii="Garamond" w:hAnsi="Garamond" w:cs="Times New Roman"/>
        </w:rPr>
        <w:fldChar w:fldCharType="begin"/>
      </w:r>
      <w:r w:rsidR="00A03CB8">
        <w:rPr>
          <w:rFonts w:ascii="Garamond" w:hAnsi="Garamond" w:cs="Times New Roman"/>
        </w:rPr>
        <w:instrText xml:space="preserve"> NOTEREF _Ref536194678 \h </w:instrText>
      </w:r>
      <w:r w:rsidR="00A03CB8">
        <w:rPr>
          <w:rFonts w:ascii="Garamond" w:hAnsi="Garamond" w:cs="Times New Roman"/>
        </w:rPr>
      </w:r>
      <w:r w:rsidR="00A03CB8">
        <w:rPr>
          <w:rFonts w:ascii="Garamond" w:hAnsi="Garamond" w:cs="Times New Roman"/>
        </w:rPr>
        <w:fldChar w:fldCharType="separate"/>
      </w:r>
      <w:r w:rsidR="00A03CB8">
        <w:rPr>
          <w:rFonts w:ascii="Garamond" w:hAnsi="Garamond" w:cs="Times New Roman"/>
        </w:rPr>
        <w:t>79</w:t>
      </w:r>
      <w:r w:rsidR="00A03CB8">
        <w:rPr>
          <w:rFonts w:ascii="Garamond" w:hAnsi="Garamond" w:cs="Times New Roman"/>
        </w:rPr>
        <w:fldChar w:fldCharType="end"/>
      </w:r>
      <w:r w:rsidR="00A03CB8">
        <w:rPr>
          <w:rFonts w:ascii="Garamond" w:hAnsi="Garamond" w:cs="Times New Roman"/>
        </w:rPr>
        <w:t>).</w:t>
      </w:r>
    </w:p>
  </w:footnote>
  <w:footnote w:id="85">
    <w:p w14:paraId="2C636ACA" w14:textId="07B6C3EF"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It remains to be seen if the recent award against Gazprom by the Arbitration Institute of the Stockholm Chamber of Commerce for USD2.56 billion to Naftogaz will be complied with, or if the problem is regarded as being unique to the ECHR system.</w:t>
      </w:r>
    </w:p>
  </w:footnote>
  <w:footnote w:id="86">
    <w:p w14:paraId="5DFD41C6" w14:textId="3B72B93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For more detail see, Final Opinion on the Amendments to the Federal Constitutional Law on the Constitutional Court </w:t>
      </w:r>
      <w:hyperlink r:id="rId20" w:history="1">
        <w:r w:rsidRPr="000A411E">
          <w:rPr>
            <w:rStyle w:val="Hyperlink"/>
            <w:rFonts w:ascii="Garamond" w:hAnsi="Garamond" w:cs="Times New Roman"/>
          </w:rPr>
          <w:t>http://www.venice.coe.int/webforms/documents/default.aspx?pdffile=CDL-AD(2016)016-e</w:t>
        </w:r>
      </w:hyperlink>
      <w:r w:rsidRPr="000A411E">
        <w:rPr>
          <w:rFonts w:ascii="Garamond" w:hAnsi="Garamond" w:cs="Times New Roman"/>
        </w:rPr>
        <w:t xml:space="preserve"> para. 34</w:t>
      </w:r>
      <w:r w:rsidRPr="000A411E">
        <w:rPr>
          <w:rFonts w:ascii="Garamond" w:hAnsi="Garamond" w:cs="Times New Roman"/>
        </w:rPr>
        <w:t xml:space="preserve"> (accessed 25.01.2019)</w:t>
      </w:r>
      <w:r w:rsidRPr="000A411E">
        <w:rPr>
          <w:rFonts w:ascii="Garamond" w:hAnsi="Garamond" w:cs="Times New Roman"/>
        </w:rPr>
        <w:t>.</w:t>
      </w:r>
    </w:p>
  </w:footnote>
  <w:footnote w:id="87">
    <w:p w14:paraId="7D04936E" w14:textId="3A75F07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E</w:t>
      </w:r>
      <w:r w:rsidR="00A03CB8">
        <w:rPr>
          <w:rFonts w:ascii="Garamond" w:hAnsi="Garamond" w:cs="Times New Roman"/>
        </w:rPr>
        <w:t>.</w:t>
      </w:r>
      <w:r w:rsidRPr="000A411E">
        <w:rPr>
          <w:rFonts w:ascii="Garamond" w:hAnsi="Garamond" w:cs="Times New Roman"/>
        </w:rPr>
        <w:t xml:space="preserve"> Klein ‘Membership and Observer Status’ in S</w:t>
      </w:r>
      <w:r w:rsidR="00A03CB8">
        <w:rPr>
          <w:rFonts w:ascii="Garamond" w:hAnsi="Garamond" w:cs="Times New Roman"/>
        </w:rPr>
        <w:t>.</w:t>
      </w:r>
      <w:r w:rsidRPr="000A411E">
        <w:rPr>
          <w:rFonts w:ascii="Garamond" w:hAnsi="Garamond" w:cs="Times New Roman"/>
        </w:rPr>
        <w:t xml:space="preserve"> Schmahl and M</w:t>
      </w:r>
      <w:r w:rsidR="00A03CB8">
        <w:rPr>
          <w:rFonts w:ascii="Garamond" w:hAnsi="Garamond" w:cs="Times New Roman"/>
        </w:rPr>
        <w:t>.</w:t>
      </w:r>
      <w:r w:rsidRPr="000A411E">
        <w:rPr>
          <w:rFonts w:ascii="Garamond" w:hAnsi="Garamond" w:cs="Times New Roman"/>
        </w:rPr>
        <w:t xml:space="preserve"> Breur (eds.) </w:t>
      </w:r>
      <w:r w:rsidRPr="000A411E">
        <w:rPr>
          <w:rFonts w:ascii="Garamond" w:hAnsi="Garamond" w:cs="Times New Roman"/>
          <w:i/>
        </w:rPr>
        <w:t xml:space="preserve">The Council of Europe. Its Law and Politics </w:t>
      </w:r>
      <w:r w:rsidRPr="000A411E">
        <w:rPr>
          <w:rFonts w:ascii="Garamond" w:hAnsi="Garamond" w:cs="Times New Roman"/>
        </w:rPr>
        <w:t>(OUP 2017)</w:t>
      </w:r>
      <w:r w:rsidR="00A03CB8">
        <w:rPr>
          <w:rFonts w:ascii="Garamond" w:hAnsi="Garamond" w:cs="Times New Roman"/>
        </w:rPr>
        <w:t>,</w:t>
      </w:r>
      <w:r w:rsidRPr="000A411E">
        <w:rPr>
          <w:rFonts w:ascii="Garamond" w:hAnsi="Garamond" w:cs="Times New Roman"/>
        </w:rPr>
        <w:t xml:space="preserve"> 46.</w:t>
      </w:r>
    </w:p>
  </w:footnote>
  <w:footnote w:id="88">
    <w:p w14:paraId="478CEF81" w14:textId="3B372FB8"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“In Azerbaijan, a Draft Constitutional Law, along the lines of the Russian Constitutional Court law, has been introduced by one of the members of parliament during the 2016 spring session of the National Assembly.” </w:t>
      </w:r>
      <w:hyperlink r:id="rId21" w:history="1">
        <w:r w:rsidRPr="000A411E">
          <w:rPr>
            <w:rStyle w:val="Hyperlink"/>
            <w:rFonts w:ascii="Garamond" w:hAnsi="Garamond" w:cs="Times New Roman"/>
          </w:rPr>
          <w:t>https://www.coe.int/en/web/commissioner/-/non-implementation-of-the-court-s-judgments-our-shared-responsibility?desktop=true</w:t>
        </w:r>
      </w:hyperlink>
      <w:r w:rsidRPr="000A411E">
        <w:rPr>
          <w:rFonts w:ascii="Garamond" w:hAnsi="Garamond" w:cs="Times New Roman"/>
        </w:rPr>
        <w:t xml:space="preserve"> </w:t>
      </w:r>
      <w:r w:rsidRPr="000A411E">
        <w:rPr>
          <w:rFonts w:ascii="Garamond" w:hAnsi="Garamond" w:cs="Times New Roman"/>
        </w:rPr>
        <w:t xml:space="preserve">(accessed 25.01.2019). </w:t>
      </w:r>
      <w:r w:rsidRPr="000A411E">
        <w:rPr>
          <w:rFonts w:ascii="Garamond" w:hAnsi="Garamond" w:cs="Times New Roman"/>
        </w:rPr>
        <w:t>This law has not been yet adopted.</w:t>
      </w:r>
    </w:p>
  </w:footnote>
  <w:footnote w:id="89">
    <w:p w14:paraId="4B1FF864" w14:textId="4F2E720C"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Azerbaijan, country factsheet. Committee of Ministers. </w:t>
      </w:r>
      <w:hyperlink r:id="rId22" w:history="1">
        <w:r w:rsidRPr="000A411E">
          <w:rPr>
            <w:rStyle w:val="Hyperlink"/>
            <w:rFonts w:ascii="Garamond" w:hAnsi="Garamond"/>
          </w:rPr>
          <w:t>https://rm.coe.int/168070973e</w:t>
        </w:r>
      </w:hyperlink>
      <w:r w:rsidRPr="000A411E">
        <w:rPr>
          <w:rFonts w:ascii="Garamond" w:hAnsi="Garamond"/>
        </w:rPr>
        <w:t xml:space="preserve"> </w:t>
      </w:r>
      <w:r w:rsidRPr="000A411E">
        <w:rPr>
          <w:rFonts w:ascii="Garamond" w:hAnsi="Garamond" w:cs="Times New Roman"/>
        </w:rPr>
        <w:t>(accessed 25.01.2019).</w:t>
      </w:r>
    </w:p>
  </w:footnote>
  <w:footnote w:id="90">
    <w:p w14:paraId="6E54E0DC" w14:textId="43DA05C9"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Russian Federation, country factsheet. Committee of Ministers. </w:t>
      </w:r>
      <w:hyperlink r:id="rId23" w:history="1">
        <w:r w:rsidRPr="000A411E">
          <w:rPr>
            <w:rStyle w:val="Hyperlink"/>
            <w:rFonts w:ascii="Garamond" w:hAnsi="Garamond"/>
          </w:rPr>
          <w:t>https://rm.coe.int/russian-factsheet/1680764748</w:t>
        </w:r>
      </w:hyperlink>
      <w:r w:rsidRPr="000A411E">
        <w:rPr>
          <w:rFonts w:ascii="Garamond" w:hAnsi="Garamond"/>
        </w:rPr>
        <w:t xml:space="preserve"> </w:t>
      </w:r>
      <w:r w:rsidRPr="000A411E">
        <w:rPr>
          <w:rFonts w:ascii="Garamond" w:hAnsi="Garamond" w:cs="Times New Roman"/>
        </w:rPr>
        <w:t>(accessed 25.01.2019).</w:t>
      </w:r>
    </w:p>
  </w:footnote>
  <w:footnote w:id="91">
    <w:p w14:paraId="238A87EC" w14:textId="1E1CB82E"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Turkey, country factsheet. Committee of Ministers. </w:t>
      </w:r>
      <w:hyperlink r:id="rId24" w:history="1">
        <w:r w:rsidRPr="000A411E">
          <w:rPr>
            <w:rStyle w:val="Hyperlink"/>
            <w:rFonts w:ascii="Garamond" w:hAnsi="Garamond"/>
          </w:rPr>
          <w:t>https://rm.coe.int/1680709767</w:t>
        </w:r>
      </w:hyperlink>
      <w:r w:rsidRPr="000A411E">
        <w:rPr>
          <w:rFonts w:ascii="Garamond" w:hAnsi="Garamond"/>
        </w:rPr>
        <w:t xml:space="preserve"> </w:t>
      </w:r>
      <w:r w:rsidRPr="000A411E">
        <w:rPr>
          <w:rFonts w:ascii="Garamond" w:hAnsi="Garamond" w:cs="Times New Roman"/>
        </w:rPr>
        <w:t>(accessed 25.01.2019).</w:t>
      </w:r>
    </w:p>
  </w:footnote>
  <w:footnote w:id="92">
    <w:p w14:paraId="3398F12D" w14:textId="59972128"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i/>
        </w:rPr>
        <w:t xml:space="preserve"> Cyprus v. Turkey (just satisfaction) [GC], </w:t>
      </w:r>
      <w:r w:rsidRPr="000A411E">
        <w:rPr>
          <w:rFonts w:ascii="Garamond" w:hAnsi="Garamond" w:cs="Times New Roman"/>
        </w:rPr>
        <w:t xml:space="preserve">no. 25781/94, ECHR 2014. The response of Turkey: ‘Turkey won't pay Cyprus despite decision in Strasbourg’, </w:t>
      </w:r>
      <w:r w:rsidRPr="000A411E">
        <w:rPr>
          <w:rFonts w:ascii="Garamond" w:hAnsi="Garamond" w:cs="Times New Roman"/>
          <w:i/>
        </w:rPr>
        <w:t>Deutsche Welle,</w:t>
      </w:r>
      <w:r w:rsidRPr="000A411E">
        <w:rPr>
          <w:rFonts w:ascii="Garamond" w:hAnsi="Garamond" w:cs="Times New Roman"/>
        </w:rPr>
        <w:t xml:space="preserve"> 13 May 2014, available at </w:t>
      </w:r>
      <w:hyperlink r:id="rId25" w:history="1">
        <w:r w:rsidRPr="000A411E">
          <w:rPr>
            <w:rStyle w:val="Hyperlink"/>
            <w:rFonts w:ascii="Garamond" w:hAnsi="Garamond" w:cs="Times New Roman"/>
          </w:rPr>
          <w:t>http://www.dw.com/en/turkey-wont-pay-cyprus-despite-decision-in-strasbourg/a-17631966</w:t>
        </w:r>
      </w:hyperlink>
      <w:r w:rsidRPr="000A411E">
        <w:rPr>
          <w:rFonts w:ascii="Garamond" w:hAnsi="Garamond" w:cs="Times New Roman"/>
        </w:rPr>
        <w:t xml:space="preserve"> (accessed 25.01.2019).</w:t>
      </w:r>
    </w:p>
  </w:footnote>
  <w:footnote w:id="93">
    <w:p w14:paraId="7F16C255" w14:textId="36E8D4DA"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Although, we appreciate the fact that this is a complex case a four year delay cannot be considered adequate and proportionate.</w:t>
      </w:r>
    </w:p>
  </w:footnote>
  <w:footnote w:id="94">
    <w:p w14:paraId="0D691BE6" w14:textId="53CEFCE5"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i/>
        </w:rPr>
        <w:t>Ilgar Mammadov v. Azerbaijan</w:t>
      </w:r>
      <w:r w:rsidRPr="000A411E">
        <w:rPr>
          <w:rFonts w:ascii="Garamond" w:hAnsi="Garamond" w:cs="Times New Roman"/>
        </w:rPr>
        <w:t>, no. 15172/13, 22 May 2014.</w:t>
      </w:r>
    </w:p>
  </w:footnote>
  <w:footnote w:id="95">
    <w:p w14:paraId="14600426"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Application no. 919/15.</w:t>
      </w:r>
    </w:p>
  </w:footnote>
  <w:footnote w:id="96">
    <w:p w14:paraId="428BE51F" w14:textId="0978F55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For more details on Article 46(4) see, </w:t>
      </w:r>
      <w:r w:rsidRPr="000A411E">
        <w:rPr>
          <w:rFonts w:ascii="Garamond" w:hAnsi="Garamond" w:cs="Times New Roman"/>
        </w:rPr>
        <w:t>de Londras</w:t>
      </w:r>
      <w:r w:rsidR="00A03CB8">
        <w:rPr>
          <w:rFonts w:ascii="Garamond" w:hAnsi="Garamond" w:cs="Times New Roman"/>
        </w:rPr>
        <w:t xml:space="preserve"> and </w:t>
      </w:r>
      <w:r w:rsidRPr="000A411E">
        <w:rPr>
          <w:rFonts w:ascii="Garamond" w:hAnsi="Garamond" w:cs="Times New Roman"/>
        </w:rPr>
        <w:t>Dzehtsiarou</w:t>
      </w:r>
      <w:r w:rsidR="00A03CB8">
        <w:rPr>
          <w:rFonts w:ascii="Garamond" w:hAnsi="Garamond" w:cs="Times New Roman"/>
        </w:rPr>
        <w:t xml:space="preserve"> (n. </w:t>
      </w:r>
      <w:r w:rsidR="00A03CB8">
        <w:rPr>
          <w:rFonts w:ascii="Garamond" w:hAnsi="Garamond" w:cs="Times New Roman"/>
        </w:rPr>
        <w:fldChar w:fldCharType="begin"/>
      </w:r>
      <w:r w:rsidR="00A03CB8">
        <w:rPr>
          <w:rFonts w:ascii="Garamond" w:hAnsi="Garamond" w:cs="Times New Roman"/>
        </w:rPr>
        <w:instrText xml:space="preserve"> NOTEREF _Ref536195070 \h </w:instrText>
      </w:r>
      <w:r w:rsidR="00A03CB8">
        <w:rPr>
          <w:rFonts w:ascii="Garamond" w:hAnsi="Garamond" w:cs="Times New Roman"/>
        </w:rPr>
      </w:r>
      <w:r w:rsidR="00A03CB8">
        <w:rPr>
          <w:rFonts w:ascii="Garamond" w:hAnsi="Garamond" w:cs="Times New Roman"/>
        </w:rPr>
        <w:fldChar w:fldCharType="separate"/>
      </w:r>
      <w:r w:rsidR="00A03CB8">
        <w:rPr>
          <w:rFonts w:ascii="Garamond" w:hAnsi="Garamond" w:cs="Times New Roman"/>
        </w:rPr>
        <w:t>39</w:t>
      </w:r>
      <w:r w:rsidR="00A03CB8">
        <w:rPr>
          <w:rFonts w:ascii="Garamond" w:hAnsi="Garamond" w:cs="Times New Roman"/>
        </w:rPr>
        <w:fldChar w:fldCharType="end"/>
      </w:r>
      <w:r w:rsidR="00A03CB8">
        <w:rPr>
          <w:rFonts w:ascii="Garamond" w:hAnsi="Garamond" w:cs="Times New Roman"/>
        </w:rPr>
        <w:t>)</w:t>
      </w:r>
      <w:r w:rsidRPr="000A411E">
        <w:rPr>
          <w:rFonts w:ascii="Garamond" w:hAnsi="Garamond" w:cs="Times New Roman"/>
        </w:rPr>
        <w:t>.</w:t>
      </w:r>
    </w:p>
  </w:footnote>
  <w:footnote w:id="97">
    <w:p w14:paraId="0BE19C66" w14:textId="4E8464FA"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‘Interim Resolution CM/ResDH(2017)429: Execution of the judgment of the European Court of Human Rights Ilgar Mammadov against Azerbaijan’ </w:t>
      </w:r>
      <w:hyperlink r:id="rId26" w:history="1">
        <w:r w:rsidRPr="000A411E">
          <w:rPr>
            <w:rStyle w:val="Hyperlink"/>
            <w:rFonts w:ascii="Garamond" w:hAnsi="Garamond" w:cs="Times New Roman"/>
          </w:rPr>
          <w:t>https://search.coe.int/cm/Pages/result_details.aspx?ObjectID=090000168076f1fd</w:t>
        </w:r>
      </w:hyperlink>
      <w:r w:rsidRPr="000A411E">
        <w:rPr>
          <w:rFonts w:ascii="Garamond" w:hAnsi="Garamond" w:cs="Times New Roman"/>
        </w:rPr>
        <w:t xml:space="preserve"> (accessed 25.01.2019)</w:t>
      </w:r>
      <w:r w:rsidR="00A03CB8">
        <w:rPr>
          <w:rFonts w:ascii="Garamond" w:hAnsi="Garamond" w:cs="Times New Roman"/>
        </w:rPr>
        <w:t>.</w:t>
      </w:r>
    </w:p>
  </w:footnote>
  <w:footnote w:id="98">
    <w:p w14:paraId="6939A921" w14:textId="740DF952"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Call for referral of Mammadov case to the Strasbourg Court ‘as soon as possible’ on question of whether Azerbaijan has failed to abide by the judgment, PACE news, </w:t>
      </w:r>
      <w:hyperlink r:id="rId27" w:history="1">
        <w:r w:rsidRPr="000A411E">
          <w:rPr>
            <w:rStyle w:val="Hyperlink"/>
            <w:rFonts w:ascii="Garamond" w:hAnsi="Garamond" w:cs="Times New Roman"/>
          </w:rPr>
          <w:t>http://www.assembly.coe.int/nw/xml/News/News-View-EN.asp?newsid=6837&amp;lang=2&amp;cat</w:t>
        </w:r>
      </w:hyperlink>
      <w:r w:rsidRPr="000A411E">
        <w:rPr>
          <w:rFonts w:ascii="Garamond" w:hAnsi="Garamond" w:cs="Times New Roman"/>
        </w:rPr>
        <w:t>=</w:t>
      </w:r>
      <w:r w:rsidRPr="000A411E">
        <w:rPr>
          <w:rFonts w:ascii="Garamond" w:hAnsi="Garamond" w:cs="Times New Roman"/>
        </w:rPr>
        <w:t xml:space="preserve"> (accessed 25.01.2019)</w:t>
      </w:r>
      <w:r w:rsidR="00A03CB8">
        <w:rPr>
          <w:rFonts w:ascii="Garamond" w:hAnsi="Garamond" w:cs="Times New Roman"/>
        </w:rPr>
        <w:t>.</w:t>
      </w:r>
    </w:p>
  </w:footnote>
  <w:footnote w:id="99">
    <w:p w14:paraId="70218139" w14:textId="6C30DA91"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Azerbaijani Opposition Leader Mammadov Released From Prison. </w:t>
      </w:r>
      <w:hyperlink r:id="rId28" w:history="1">
        <w:r w:rsidRPr="000A411E">
          <w:rPr>
            <w:rStyle w:val="Hyperlink"/>
            <w:rFonts w:ascii="Garamond" w:hAnsi="Garamond"/>
          </w:rPr>
          <w:t>https://www.rferl.org/a/azerbaijani-opposition-leader-mammadov-released-prison/29430183.html</w:t>
        </w:r>
      </w:hyperlink>
      <w:r w:rsidRPr="000A411E">
        <w:rPr>
          <w:rStyle w:val="Hyperlink"/>
          <w:rFonts w:ascii="Garamond" w:hAnsi="Garamond"/>
        </w:rPr>
        <w:t xml:space="preserve"> </w:t>
      </w:r>
      <w:r w:rsidRPr="000A411E">
        <w:rPr>
          <w:rFonts w:ascii="Garamond" w:hAnsi="Garamond" w:cs="Times New Roman"/>
        </w:rPr>
        <w:t>(accessed 25.01.2019)</w:t>
      </w:r>
      <w:r w:rsidR="00A03CB8">
        <w:rPr>
          <w:rFonts w:ascii="Garamond" w:hAnsi="Garamond"/>
        </w:rPr>
        <w:t>.</w:t>
      </w:r>
    </w:p>
  </w:footnote>
  <w:footnote w:id="100">
    <w:p w14:paraId="7071FE1F" w14:textId="00B131DE"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w:t>
      </w:r>
      <w:r w:rsidR="00A03CB8">
        <w:rPr>
          <w:rFonts w:ascii="Garamond" w:hAnsi="Garamond"/>
        </w:rPr>
        <w:t xml:space="preserve">de Londras and </w:t>
      </w:r>
      <w:r w:rsidR="0057456E" w:rsidRPr="000A411E">
        <w:rPr>
          <w:rFonts w:ascii="Garamond" w:hAnsi="Garamond"/>
        </w:rPr>
        <w:t>Dzehtsiarou, (n.</w:t>
      </w:r>
      <w:r w:rsidR="00A03CB8">
        <w:rPr>
          <w:rFonts w:ascii="Garamond" w:hAnsi="Garamond"/>
        </w:rPr>
        <w:t xml:space="preserve"> </w:t>
      </w:r>
      <w:r w:rsidR="00A03CB8">
        <w:rPr>
          <w:rFonts w:ascii="Garamond" w:hAnsi="Garamond"/>
        </w:rPr>
        <w:fldChar w:fldCharType="begin"/>
      </w:r>
      <w:r w:rsidR="00A03CB8">
        <w:rPr>
          <w:rFonts w:ascii="Garamond" w:hAnsi="Garamond"/>
        </w:rPr>
        <w:instrText xml:space="preserve"> NOTEREF _Ref536195070 \h </w:instrText>
      </w:r>
      <w:r w:rsidR="00A03CB8">
        <w:rPr>
          <w:rFonts w:ascii="Garamond" w:hAnsi="Garamond"/>
        </w:rPr>
      </w:r>
      <w:r w:rsidR="00A03CB8">
        <w:rPr>
          <w:rFonts w:ascii="Garamond" w:hAnsi="Garamond"/>
        </w:rPr>
        <w:fldChar w:fldCharType="separate"/>
      </w:r>
      <w:r w:rsidR="00A03CB8">
        <w:rPr>
          <w:rFonts w:ascii="Garamond" w:hAnsi="Garamond"/>
        </w:rPr>
        <w:t>39</w:t>
      </w:r>
      <w:r w:rsidR="00A03CB8">
        <w:rPr>
          <w:rFonts w:ascii="Garamond" w:hAnsi="Garamond"/>
        </w:rPr>
        <w:fldChar w:fldCharType="end"/>
      </w:r>
      <w:r w:rsidR="0057456E" w:rsidRPr="000A411E">
        <w:rPr>
          <w:rFonts w:ascii="Garamond" w:hAnsi="Garamond"/>
        </w:rPr>
        <w:t>).</w:t>
      </w:r>
    </w:p>
  </w:footnote>
  <w:footnote w:id="101">
    <w:p w14:paraId="0A3D3227" w14:textId="18E58EBC"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These reforms can be politically difficult (enacting a piece of controversial legislation) or merely financially burdensome (for example building a new prison).</w:t>
      </w:r>
    </w:p>
  </w:footnote>
  <w:footnote w:id="102">
    <w:p w14:paraId="641A3A0B" w14:textId="69A4594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i/>
        </w:rPr>
        <w:t xml:space="preserve"> Hirst v. the United Kingdom (no. 2)</w:t>
      </w:r>
      <w:r w:rsidRPr="000A411E">
        <w:rPr>
          <w:rFonts w:ascii="Garamond" w:hAnsi="Garamond" w:cs="Times New Roman"/>
        </w:rPr>
        <w:t xml:space="preserve"> [GC], no. 74025/01, ECHR 2005-IX.</w:t>
      </w:r>
    </w:p>
  </w:footnote>
  <w:footnote w:id="103">
    <w:p w14:paraId="5D3196C7" w14:textId="28262793" w:rsidR="00E71905" w:rsidRPr="00A03CB8"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i/>
        </w:rPr>
        <w:t>Greens and M.T. v. the United Kingdom</w:t>
      </w:r>
      <w:r w:rsidRPr="000A411E">
        <w:rPr>
          <w:rFonts w:ascii="Garamond" w:hAnsi="Garamond" w:cs="Times New Roman"/>
        </w:rPr>
        <w:t>, nos. 60041/08 and 60054/08, ECHR 2010, Interim Resolution CM/ResDH(2015)251, K</w:t>
      </w:r>
      <w:r w:rsidR="00A03CB8">
        <w:rPr>
          <w:rFonts w:ascii="Garamond" w:hAnsi="Garamond" w:cs="Times New Roman"/>
        </w:rPr>
        <w:t>.</w:t>
      </w:r>
      <w:r w:rsidRPr="000A411E">
        <w:rPr>
          <w:rFonts w:ascii="Garamond" w:hAnsi="Garamond" w:cs="Times New Roman"/>
        </w:rPr>
        <w:t xml:space="preserve"> Dzehtsiarou, </w:t>
      </w:r>
      <w:r w:rsidRPr="000A411E">
        <w:rPr>
          <w:rFonts w:ascii="Garamond" w:hAnsi="Garamond" w:cs="Times New Roman"/>
        </w:rPr>
        <w:t>‘</w:t>
      </w:r>
      <w:r w:rsidRPr="000A411E">
        <w:rPr>
          <w:rFonts w:ascii="Garamond" w:hAnsi="Garamond" w:cs="Times New Roman"/>
        </w:rPr>
        <w:t>Prisoner Voting Saga: Reasons for Challenges</w:t>
      </w:r>
      <w:r w:rsidRPr="000A411E">
        <w:rPr>
          <w:rFonts w:ascii="Garamond" w:hAnsi="Garamond" w:cs="Times New Roman"/>
        </w:rPr>
        <w:t>’</w:t>
      </w:r>
      <w:r w:rsidRPr="000A411E">
        <w:rPr>
          <w:rFonts w:ascii="Garamond" w:hAnsi="Garamond" w:cs="Times New Roman"/>
        </w:rPr>
        <w:t xml:space="preserve"> in H</w:t>
      </w:r>
      <w:r w:rsidR="00A03CB8">
        <w:rPr>
          <w:rFonts w:ascii="Garamond" w:hAnsi="Garamond" w:cs="Times New Roman"/>
        </w:rPr>
        <w:t>.</w:t>
      </w:r>
      <w:r w:rsidRPr="000A411E">
        <w:rPr>
          <w:rFonts w:ascii="Garamond" w:hAnsi="Garamond" w:cs="Times New Roman"/>
        </w:rPr>
        <w:t xml:space="preserve"> Hardman and B</w:t>
      </w:r>
      <w:r w:rsidR="00A03CB8">
        <w:rPr>
          <w:rFonts w:ascii="Garamond" w:hAnsi="Garamond" w:cs="Times New Roman"/>
        </w:rPr>
        <w:t>.</w:t>
      </w:r>
      <w:r w:rsidRPr="000A411E">
        <w:rPr>
          <w:rFonts w:ascii="Garamond" w:hAnsi="Garamond" w:cs="Times New Roman"/>
        </w:rPr>
        <w:t xml:space="preserve"> Dickson, </w:t>
      </w:r>
      <w:r w:rsidRPr="00A03CB8">
        <w:rPr>
          <w:rFonts w:ascii="Garamond" w:hAnsi="Garamond" w:cs="Times New Roman"/>
          <w:i/>
        </w:rPr>
        <w:t>Electoral Rights in Europe</w:t>
      </w:r>
      <w:r w:rsidRPr="000A411E">
        <w:rPr>
          <w:rFonts w:ascii="Garamond" w:hAnsi="Garamond" w:cs="Times New Roman"/>
        </w:rPr>
        <w:t xml:space="preserve"> (Routledge, 2017), K Dzehtsiarou, </w:t>
      </w:r>
      <w:r w:rsidRPr="000A411E">
        <w:rPr>
          <w:rFonts w:ascii="Garamond" w:hAnsi="Garamond" w:cs="Times New Roman"/>
        </w:rPr>
        <w:t>‘</w:t>
      </w:r>
      <w:r w:rsidRPr="000A411E">
        <w:rPr>
          <w:rFonts w:ascii="Garamond" w:hAnsi="Garamond" w:cs="Times New Roman"/>
        </w:rPr>
        <w:t xml:space="preserve">Prisoner Voting and Power Struggle: A Never-Ending Story? </w:t>
      </w:r>
      <w:r w:rsidRPr="000A411E">
        <w:rPr>
          <w:rFonts w:ascii="Garamond" w:hAnsi="Garamond" w:cs="Times New Roman"/>
          <w:i/>
          <w:lang w:val="de-DE"/>
        </w:rPr>
        <w:t xml:space="preserve">Verfassungblog </w:t>
      </w:r>
      <w:hyperlink r:id="rId29" w:history="1">
        <w:r w:rsidRPr="000A411E">
          <w:rPr>
            <w:rStyle w:val="Hyperlink"/>
            <w:rFonts w:ascii="Garamond" w:hAnsi="Garamond" w:cs="Times New Roman"/>
            <w:lang w:val="de-DE"/>
          </w:rPr>
          <w:t>https://verfassungsblog.de/prisoner-voting-and-power-struggle-a-never-ending-story/</w:t>
        </w:r>
      </w:hyperlink>
      <w:r w:rsidRPr="000A411E">
        <w:rPr>
          <w:rFonts w:ascii="Garamond" w:hAnsi="Garamond" w:cs="Times New Roman"/>
          <w:lang w:val="de-DE"/>
        </w:rPr>
        <w:t>.</w:t>
      </w:r>
      <w:r w:rsidRPr="000A411E">
        <w:rPr>
          <w:rFonts w:ascii="Garamond" w:hAnsi="Garamond" w:cs="Times New Roman"/>
          <w:lang w:val="de-DE"/>
        </w:rPr>
        <w:t xml:space="preserve"> </w:t>
      </w:r>
      <w:r w:rsidRPr="000A411E">
        <w:rPr>
          <w:rFonts w:ascii="Garamond" w:hAnsi="Garamond" w:cs="Times New Roman"/>
        </w:rPr>
        <w:t>(accessed 25.01.2019)</w:t>
      </w:r>
      <w:r w:rsidR="00A03CB8">
        <w:rPr>
          <w:rFonts w:ascii="Garamond" w:hAnsi="Garamond" w:cs="Times New Roman"/>
        </w:rPr>
        <w:t>.</w:t>
      </w:r>
    </w:p>
  </w:footnote>
  <w:footnote w:id="104">
    <w:p w14:paraId="527247E1" w14:textId="5AC9026D" w:rsidR="00E71905" w:rsidRPr="000A411E" w:rsidRDefault="00E71905" w:rsidP="000A411E">
      <w:pPr>
        <w:pStyle w:val="FootnoteText"/>
        <w:jc w:val="both"/>
        <w:rPr>
          <w:rFonts w:ascii="Garamond" w:hAnsi="Garamond" w:cs="Times New Roman"/>
          <w:lang w:val="en-US"/>
        </w:rPr>
      </w:pPr>
      <w:r w:rsidRPr="000A411E">
        <w:rPr>
          <w:rStyle w:val="FootnoteReference"/>
          <w:rFonts w:ascii="Garamond" w:hAnsi="Garamond" w:cs="Times New Roman"/>
        </w:rPr>
        <w:footnoteRef/>
      </w:r>
      <w:r w:rsidRPr="000A411E">
        <w:rPr>
          <w:rFonts w:ascii="Garamond" w:hAnsi="Garamond" w:cs="Times New Roman"/>
        </w:rPr>
        <w:t xml:space="preserve"> 1302nd meeting, 5-7 December 2017 (DH), </w:t>
      </w:r>
      <w:hyperlink r:id="rId30" w:history="1">
        <w:r w:rsidRPr="000A411E">
          <w:rPr>
            <w:rStyle w:val="Hyperlink"/>
            <w:rFonts w:ascii="Garamond" w:hAnsi="Garamond" w:cs="Times New Roman"/>
            <w:lang w:val="en-US"/>
          </w:rPr>
          <w:t>https://search.coe.int/cm/pages/result_details.aspx?objectid=090000168076465d</w:t>
        </w:r>
      </w:hyperlink>
      <w:r w:rsidRPr="000A411E">
        <w:rPr>
          <w:rStyle w:val="Hyperlink"/>
          <w:rFonts w:ascii="Garamond" w:hAnsi="Garamond" w:cs="Times New Roman"/>
          <w:lang w:val="en-US"/>
        </w:rPr>
        <w:t xml:space="preserve"> </w:t>
      </w:r>
      <w:r w:rsidRPr="000A411E">
        <w:rPr>
          <w:rFonts w:ascii="Garamond" w:hAnsi="Garamond" w:cs="Times New Roman"/>
        </w:rPr>
        <w:t>(accessed 25.01.2019)</w:t>
      </w:r>
      <w:r w:rsidRPr="000A411E">
        <w:rPr>
          <w:rFonts w:ascii="Garamond" w:hAnsi="Garamond" w:cs="Times New Roman"/>
          <w:lang w:val="en-US"/>
        </w:rPr>
        <w:t xml:space="preserve">; the decision of the Committee of Ministers: </w:t>
      </w:r>
      <w:hyperlink r:id="rId31" w:history="1">
        <w:r w:rsidRPr="000A411E">
          <w:rPr>
            <w:rStyle w:val="Hyperlink"/>
            <w:rFonts w:ascii="Garamond" w:hAnsi="Garamond" w:cs="Times New Roman"/>
            <w:lang w:val="en-US"/>
          </w:rPr>
          <w:t>https://search.coe.int/cm/Pages/result_details.aspx?ObjectID=090000168076d59d</w:t>
        </w:r>
      </w:hyperlink>
      <w:r w:rsidRPr="000A411E">
        <w:rPr>
          <w:rStyle w:val="Hyperlink"/>
          <w:rFonts w:ascii="Garamond" w:hAnsi="Garamond" w:cs="Times New Roman"/>
          <w:lang w:val="en-US"/>
        </w:rPr>
        <w:t xml:space="preserve"> </w:t>
      </w:r>
      <w:r w:rsidRPr="000A411E">
        <w:rPr>
          <w:rFonts w:ascii="Garamond" w:hAnsi="Garamond" w:cs="Times New Roman"/>
        </w:rPr>
        <w:t>(accessed 25.01.2019)</w:t>
      </w:r>
      <w:r w:rsidR="00A03CB8">
        <w:rPr>
          <w:rFonts w:ascii="Garamond" w:hAnsi="Garamond" w:cs="Times New Roman"/>
        </w:rPr>
        <w:t>.</w:t>
      </w:r>
    </w:p>
  </w:footnote>
  <w:footnote w:id="105">
    <w:p w14:paraId="3621137F" w14:textId="0F939D08"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for example, A</w:t>
      </w:r>
      <w:r w:rsidR="00A03CB8">
        <w:rPr>
          <w:rFonts w:ascii="Garamond" w:hAnsi="Garamond" w:cs="Times New Roman"/>
        </w:rPr>
        <w:t>lexander</w:t>
      </w:r>
      <w:r w:rsidRPr="000A411E">
        <w:rPr>
          <w:rFonts w:ascii="Garamond" w:hAnsi="Garamond" w:cs="Times New Roman"/>
        </w:rPr>
        <w:t xml:space="preserve"> Thompson, ‘The Rational Enforcement of International Law: Solving the Sanctioners’ Dilemma’ (2009) </w:t>
      </w:r>
      <w:r w:rsidRPr="000A411E">
        <w:rPr>
          <w:rFonts w:ascii="Garamond" w:hAnsi="Garamond" w:cs="Times New Roman"/>
          <w:i/>
        </w:rPr>
        <w:t xml:space="preserve">International Theory </w:t>
      </w:r>
      <w:r w:rsidRPr="000A411E">
        <w:rPr>
          <w:rFonts w:ascii="Garamond" w:hAnsi="Garamond" w:cs="Times New Roman"/>
        </w:rPr>
        <w:t>307.</w:t>
      </w:r>
    </w:p>
  </w:footnote>
  <w:footnote w:id="106">
    <w:p w14:paraId="13BF9BE0" w14:textId="34DBC9CB"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Generally on the concept and definition of reputation see Sharman JC, </w:t>
      </w:r>
      <w:r w:rsidRPr="000A411E">
        <w:rPr>
          <w:rFonts w:ascii="Garamond" w:hAnsi="Garamond" w:cs="Times New Roman"/>
        </w:rPr>
        <w:t>‘</w:t>
      </w:r>
      <w:r w:rsidRPr="000A411E">
        <w:rPr>
          <w:rFonts w:ascii="Garamond" w:hAnsi="Garamond" w:cs="Times New Roman"/>
        </w:rPr>
        <w:t>Rationalist and Constructivist Perspectives on Reputation</w:t>
      </w:r>
      <w:r w:rsidRPr="000A411E">
        <w:rPr>
          <w:rFonts w:ascii="Garamond" w:hAnsi="Garamond" w:cs="Times New Roman"/>
        </w:rPr>
        <w:t>’</w:t>
      </w:r>
      <w:r w:rsidRPr="000A411E">
        <w:rPr>
          <w:rFonts w:ascii="Garamond" w:hAnsi="Garamond" w:cs="Times New Roman"/>
        </w:rPr>
        <w:t xml:space="preserve"> (2007) 55 Political Studies 20, see </w:t>
      </w:r>
      <w:r w:rsidRPr="000A411E">
        <w:rPr>
          <w:rFonts w:ascii="Garamond" w:hAnsi="Garamond" w:cs="Times New Roman"/>
        </w:rPr>
        <w:t xml:space="preserve">also </w:t>
      </w:r>
      <w:r w:rsidR="00A03CB8">
        <w:rPr>
          <w:rFonts w:ascii="Garamond" w:hAnsi="Garamond" w:cs="Times New Roman"/>
        </w:rPr>
        <w:t>S.</w:t>
      </w:r>
      <w:r w:rsidRPr="000A411E">
        <w:rPr>
          <w:rFonts w:ascii="Garamond" w:hAnsi="Garamond" w:cs="Times New Roman"/>
        </w:rPr>
        <w:t xml:space="preserve"> Dothan</w:t>
      </w:r>
      <w:r w:rsidRPr="000A411E">
        <w:rPr>
          <w:rFonts w:ascii="Garamond" w:hAnsi="Garamond" w:cs="Times New Roman"/>
        </w:rPr>
        <w:t>,</w:t>
      </w:r>
      <w:r w:rsidRPr="000A411E">
        <w:rPr>
          <w:rFonts w:ascii="Garamond" w:hAnsi="Garamond" w:cs="Times New Roman"/>
        </w:rPr>
        <w:t xml:space="preserve"> </w:t>
      </w:r>
      <w:r w:rsidRPr="00A03CB8">
        <w:rPr>
          <w:rFonts w:ascii="Garamond" w:hAnsi="Garamond" w:cs="Times New Roman"/>
          <w:i/>
        </w:rPr>
        <w:t>Reputation and Judicial Tactics</w:t>
      </w:r>
      <w:r w:rsidRPr="00A03CB8">
        <w:rPr>
          <w:rFonts w:ascii="Garamond" w:hAnsi="Garamond" w:cs="Times New Roman"/>
          <w:i/>
        </w:rPr>
        <w:t>: A Theory of National and International Courts</w:t>
      </w:r>
      <w:r w:rsidRPr="000A411E">
        <w:rPr>
          <w:rFonts w:ascii="Garamond" w:hAnsi="Garamond" w:cs="Times New Roman"/>
        </w:rPr>
        <w:t xml:space="preserve"> </w:t>
      </w:r>
      <w:r w:rsidRPr="000A411E">
        <w:rPr>
          <w:rFonts w:ascii="Garamond" w:hAnsi="Garamond" w:cs="Times New Roman"/>
        </w:rPr>
        <w:t xml:space="preserve">(CUP, 2014) </w:t>
      </w:r>
      <w:r w:rsidRPr="000A411E">
        <w:rPr>
          <w:rFonts w:ascii="Garamond" w:hAnsi="Garamond" w:cs="Times New Roman"/>
        </w:rPr>
        <w:t>for a discussion of the value of reputation in judicial decision-making.</w:t>
      </w:r>
    </w:p>
  </w:footnote>
  <w:footnote w:id="107">
    <w:p w14:paraId="38CB9E44" w14:textId="60DC534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Russia tests CoE in push to regain vote, </w:t>
      </w:r>
      <w:r w:rsidRPr="000A411E">
        <w:rPr>
          <w:rFonts w:ascii="Garamond" w:hAnsi="Garamond" w:cs="Times New Roman"/>
          <w:i/>
        </w:rPr>
        <w:t>Financial Times,</w:t>
      </w:r>
      <w:r w:rsidRPr="000A411E">
        <w:rPr>
          <w:rFonts w:ascii="Garamond" w:hAnsi="Garamond" w:cs="Times New Roman"/>
        </w:rPr>
        <w:t xml:space="preserve"> </w:t>
      </w:r>
      <w:hyperlink r:id="rId32" w:history="1">
        <w:r w:rsidRPr="000A411E">
          <w:rPr>
            <w:rStyle w:val="Hyperlink"/>
            <w:rFonts w:ascii="Garamond" w:hAnsi="Garamond" w:cs="Times New Roman"/>
          </w:rPr>
          <w:t>https://www.ft.com/content/3cccaf92-d12c-11e7-b781-794ce08b24dc</w:t>
        </w:r>
      </w:hyperlink>
      <w:r w:rsidRPr="000A411E">
        <w:rPr>
          <w:rStyle w:val="Hyperlink"/>
          <w:rFonts w:ascii="Garamond" w:hAnsi="Garamond" w:cs="Times New Roman"/>
        </w:rPr>
        <w:t xml:space="preserve"> </w:t>
      </w:r>
      <w:r w:rsidRPr="000A411E">
        <w:rPr>
          <w:rFonts w:ascii="Garamond" w:hAnsi="Garamond" w:cs="Times New Roman"/>
        </w:rPr>
        <w:t>(accessed 25.01.2019).</w:t>
      </w:r>
    </w:p>
  </w:footnote>
  <w:footnote w:id="108">
    <w:p w14:paraId="768371E3" w14:textId="67672555"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Both the political and the judicial organs of the CoE were criticised for their passive reaction to the crisis in Turkey. See, K Koroteev and S Golubok, ‘Erdogan’s unexpected ally’ </w:t>
      </w:r>
      <w:r w:rsidRPr="000A411E">
        <w:rPr>
          <w:rFonts w:ascii="Garamond" w:hAnsi="Garamond" w:cs="Times New Roman"/>
          <w:i/>
        </w:rPr>
        <w:t xml:space="preserve">OpenDemocracy </w:t>
      </w:r>
      <w:hyperlink r:id="rId33" w:history="1">
        <w:r w:rsidRPr="000A411E">
          <w:rPr>
            <w:rStyle w:val="Hyperlink"/>
            <w:rFonts w:ascii="Garamond" w:hAnsi="Garamond" w:cs="Times New Roman"/>
            <w:i/>
          </w:rPr>
          <w:t>https://www.opendemocracy.net/can-europe-make-it/kirill-koroteev-sergey-golubok/erdogan-s-unexpected-ally</w:t>
        </w:r>
      </w:hyperlink>
      <w:r w:rsidRPr="000A411E">
        <w:rPr>
          <w:rFonts w:ascii="Garamond" w:hAnsi="Garamond" w:cs="Times New Roman"/>
          <w:i/>
        </w:rPr>
        <w:t xml:space="preserve"> </w:t>
      </w:r>
      <w:r w:rsidRPr="000A411E">
        <w:rPr>
          <w:rFonts w:ascii="Garamond" w:hAnsi="Garamond" w:cs="Times New Roman"/>
        </w:rPr>
        <w:t>(accessed 25.01.2019).</w:t>
      </w:r>
      <w:r w:rsidRPr="000A411E">
        <w:rPr>
          <w:rFonts w:ascii="Garamond" w:hAnsi="Garamond" w:cs="Times New Roman"/>
          <w:i/>
        </w:rPr>
        <w:t xml:space="preserve"> </w:t>
      </w:r>
      <w:r w:rsidR="00335C36">
        <w:rPr>
          <w:rFonts w:ascii="Garamond" w:hAnsi="Garamond" w:cs="Times New Roman"/>
        </w:rPr>
        <w:t>E.</w:t>
      </w:r>
      <w:r w:rsidRPr="000A411E">
        <w:rPr>
          <w:rFonts w:ascii="Garamond" w:hAnsi="Garamond" w:cs="Times New Roman"/>
        </w:rPr>
        <w:t xml:space="preserve"> Turkut,  ‘Has the European Court of Human Rights Turned a Blind Eye to Alleged Rights Abuses in Turkey?’ </w:t>
      </w:r>
      <w:r w:rsidRPr="000A411E">
        <w:rPr>
          <w:rFonts w:ascii="Garamond" w:hAnsi="Garamond" w:cs="Times New Roman"/>
          <w:i/>
        </w:rPr>
        <w:t>EJIL:Talk</w:t>
      </w:r>
      <w:hyperlink r:id="rId34" w:history="1">
        <w:r w:rsidRPr="000A411E">
          <w:rPr>
            <w:rStyle w:val="Hyperlink"/>
            <w:rFonts w:ascii="Garamond" w:hAnsi="Garamond" w:cs="Times New Roman"/>
          </w:rPr>
          <w:t>https://www.ejiltalk.org/has-the-european-court-of-human-rights-turned-a-blind-eye-to-alleged-rights-abuses-in-turkey/</w:t>
        </w:r>
      </w:hyperlink>
      <w:r w:rsidRPr="000A411E">
        <w:rPr>
          <w:rStyle w:val="Hyperlink"/>
          <w:rFonts w:ascii="Garamond" w:hAnsi="Garamond" w:cs="Times New Roman"/>
        </w:rPr>
        <w:t xml:space="preserve"> </w:t>
      </w:r>
      <w:r w:rsidRPr="000A411E">
        <w:rPr>
          <w:rFonts w:ascii="Garamond" w:hAnsi="Garamond" w:cs="Times New Roman"/>
        </w:rPr>
        <w:t>(accessed 25.01.2019).</w:t>
      </w:r>
    </w:p>
  </w:footnote>
  <w:footnote w:id="109">
    <w:p w14:paraId="5CC6FB0B" w14:textId="27842329" w:rsidR="00E71905" w:rsidRPr="000A411E" w:rsidRDefault="00E71905" w:rsidP="000A411E">
      <w:pPr>
        <w:pStyle w:val="FootnoteText"/>
        <w:jc w:val="both"/>
        <w:rPr>
          <w:rFonts w:ascii="Garamond" w:hAnsi="Garamond" w:cs="Times New Roman"/>
          <w:lang w:val="en-US"/>
        </w:rPr>
      </w:pPr>
      <w:r w:rsidRPr="000A411E">
        <w:rPr>
          <w:rStyle w:val="FootnoteReference"/>
          <w:rFonts w:ascii="Garamond" w:hAnsi="Garamond" w:cs="Times New Roman"/>
        </w:rPr>
        <w:footnoteRef/>
      </w:r>
      <w:r w:rsidRPr="000A411E">
        <w:rPr>
          <w:rFonts w:ascii="Garamond" w:hAnsi="Garamond" w:cs="Times New Roman"/>
        </w:rPr>
        <w:t xml:space="preserve"> Reconsideration on substantive grounds of the previously ratified credentials of the Russian delegation. Resolution 1990 (2014), PACE, </w:t>
      </w:r>
      <w:hyperlink r:id="rId35" w:history="1">
        <w:r w:rsidRPr="000A411E">
          <w:rPr>
            <w:rStyle w:val="Hyperlink"/>
            <w:rFonts w:ascii="Garamond" w:hAnsi="Garamond" w:cs="Times New Roman"/>
            <w:lang w:val="en-US"/>
          </w:rPr>
          <w:t>http://website-pace.net/documents/10643/110596/20140410-Resolution1990-EN.pdf/57ba4bca-8f5f-4b0a-8258-66ca26f7117b</w:t>
        </w:r>
      </w:hyperlink>
      <w:r w:rsidRPr="000A411E">
        <w:rPr>
          <w:rFonts w:ascii="Garamond" w:hAnsi="Garamond" w:cs="Times New Roman"/>
          <w:lang w:val="en-US"/>
        </w:rPr>
        <w:t xml:space="preserve">, </w:t>
      </w:r>
      <w:r w:rsidRPr="000A411E">
        <w:rPr>
          <w:rFonts w:ascii="Garamond" w:hAnsi="Garamond" w:cs="Times New Roman"/>
        </w:rPr>
        <w:t xml:space="preserve">(accessed 25.01.2019) </w:t>
      </w:r>
      <w:r w:rsidRPr="000A411E">
        <w:rPr>
          <w:rFonts w:ascii="Garamond" w:hAnsi="Garamond" w:cs="Times New Roman"/>
          <w:lang w:val="en-US"/>
        </w:rPr>
        <w:t>p.2.</w:t>
      </w:r>
    </w:p>
  </w:footnote>
  <w:footnote w:id="110">
    <w:p w14:paraId="5899A9F7" w14:textId="5DA8EEFF"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L</w:t>
      </w:r>
      <w:r w:rsidR="00335C36">
        <w:rPr>
          <w:rFonts w:ascii="Garamond" w:hAnsi="Garamond" w:cs="Times New Roman"/>
        </w:rPr>
        <w:t>.</w:t>
      </w:r>
      <w:r w:rsidRPr="000A411E">
        <w:rPr>
          <w:rFonts w:ascii="Garamond" w:hAnsi="Garamond" w:cs="Times New Roman"/>
        </w:rPr>
        <w:t xml:space="preserve"> Malksoo, The Paradox of a Human Rights Backlash’ in L</w:t>
      </w:r>
      <w:r w:rsidR="00335C36">
        <w:rPr>
          <w:rFonts w:ascii="Garamond" w:hAnsi="Garamond" w:cs="Times New Roman"/>
        </w:rPr>
        <w:t>.</w:t>
      </w:r>
      <w:r w:rsidRPr="000A411E">
        <w:rPr>
          <w:rFonts w:ascii="Garamond" w:hAnsi="Garamond" w:cs="Times New Roman"/>
        </w:rPr>
        <w:t xml:space="preserve"> Malksoo and W</w:t>
      </w:r>
      <w:r w:rsidR="00335C36">
        <w:rPr>
          <w:rFonts w:ascii="Garamond" w:hAnsi="Garamond" w:cs="Times New Roman"/>
        </w:rPr>
        <w:t>.</w:t>
      </w:r>
      <w:r w:rsidRPr="000A411E">
        <w:rPr>
          <w:rFonts w:ascii="Garamond" w:hAnsi="Garamond" w:cs="Times New Roman"/>
        </w:rPr>
        <w:t xml:space="preserve"> Benedek </w:t>
      </w:r>
      <w:r w:rsidRPr="000A411E">
        <w:rPr>
          <w:rFonts w:ascii="Garamond" w:hAnsi="Garamond" w:cs="Times New Roman"/>
          <w:i/>
        </w:rPr>
        <w:t xml:space="preserve">Russia and the European Court of Human Rights </w:t>
      </w:r>
      <w:r w:rsidRPr="000A411E">
        <w:rPr>
          <w:rFonts w:ascii="Garamond" w:hAnsi="Garamond" w:cs="Times New Roman"/>
        </w:rPr>
        <w:t>(CUP, 2018), 5.</w:t>
      </w:r>
    </w:p>
  </w:footnote>
  <w:footnote w:id="111">
    <w:p w14:paraId="1A1A41D3" w14:textId="5F53015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Report on Azerbaijan, </w:t>
      </w:r>
      <w:r w:rsidRPr="000A411E">
        <w:rPr>
          <w:rFonts w:ascii="Garamond" w:hAnsi="Garamond" w:cs="Times New Roman"/>
          <w:i/>
        </w:rPr>
        <w:t>Human Rights Watch</w:t>
      </w:r>
      <w:r w:rsidRPr="000A411E">
        <w:rPr>
          <w:rFonts w:ascii="Garamond" w:hAnsi="Garamond" w:cs="Times New Roman"/>
        </w:rPr>
        <w:t xml:space="preserve">, </w:t>
      </w:r>
      <w:hyperlink r:id="rId36" w:history="1">
        <w:r w:rsidRPr="000A411E">
          <w:rPr>
            <w:rStyle w:val="Hyperlink"/>
            <w:rFonts w:ascii="Garamond" w:hAnsi="Garamond" w:cs="Times New Roman"/>
          </w:rPr>
          <w:t>https://www.hrw.org/world-report/2017/country-chapters/azerbaijan</w:t>
        </w:r>
      </w:hyperlink>
      <w:r w:rsidRPr="000A411E">
        <w:rPr>
          <w:rStyle w:val="Hyperlink"/>
          <w:rFonts w:ascii="Garamond" w:hAnsi="Garamond" w:cs="Times New Roman"/>
        </w:rPr>
        <w:t xml:space="preserve"> </w:t>
      </w:r>
      <w:r w:rsidRPr="000A411E">
        <w:rPr>
          <w:rFonts w:ascii="Garamond" w:hAnsi="Garamond" w:cs="Times New Roman"/>
        </w:rPr>
        <w:t>(accessed 25.01.2019)</w:t>
      </w:r>
      <w:r w:rsidRPr="000A411E">
        <w:rPr>
          <w:rFonts w:ascii="Garamond" w:hAnsi="Garamond" w:cs="Times New Roman"/>
        </w:rPr>
        <w:t xml:space="preserve">, List of Political Prisoners, </w:t>
      </w:r>
      <w:hyperlink r:id="rId37" w:history="1">
        <w:r w:rsidRPr="000A411E">
          <w:rPr>
            <w:rStyle w:val="Hyperlink"/>
            <w:rFonts w:ascii="Garamond" w:hAnsi="Garamond" w:cs="Times New Roman"/>
          </w:rPr>
          <w:t>https://humanrightsaz.wordpress.com/list-of-political-prisoners/</w:t>
        </w:r>
      </w:hyperlink>
      <w:r w:rsidRPr="000A411E">
        <w:rPr>
          <w:rStyle w:val="Hyperlink"/>
          <w:rFonts w:ascii="Garamond" w:hAnsi="Garamond" w:cs="Times New Roman"/>
        </w:rPr>
        <w:t xml:space="preserve"> </w:t>
      </w:r>
      <w:r w:rsidRPr="000A411E">
        <w:rPr>
          <w:rFonts w:ascii="Garamond" w:hAnsi="Garamond" w:cs="Times New Roman"/>
        </w:rPr>
        <w:t>(accessed 25.01.2019)</w:t>
      </w:r>
      <w:r w:rsidRPr="000A411E">
        <w:rPr>
          <w:rFonts w:ascii="Garamond" w:hAnsi="Garamond" w:cs="Times New Roman"/>
        </w:rPr>
        <w:t xml:space="preserve">; President Macron: Support political prisoners in Azerbaijan, </w:t>
      </w:r>
      <w:r w:rsidRPr="000A411E">
        <w:rPr>
          <w:rFonts w:ascii="Garamond" w:hAnsi="Garamond" w:cs="Times New Roman"/>
          <w:i/>
        </w:rPr>
        <w:t>Freedom Now,</w:t>
      </w:r>
      <w:r w:rsidRPr="000A411E">
        <w:rPr>
          <w:rFonts w:ascii="Garamond" w:hAnsi="Garamond" w:cs="Times New Roman"/>
        </w:rPr>
        <w:t xml:space="preserve"> </w:t>
      </w:r>
      <w:hyperlink r:id="rId38" w:history="1">
        <w:r w:rsidRPr="000A411E">
          <w:rPr>
            <w:rStyle w:val="Hyperlink"/>
            <w:rFonts w:ascii="Garamond" w:hAnsi="Garamond" w:cs="Times New Roman"/>
          </w:rPr>
          <w:t>http://www.freedom-now.org/news/president-macron-support-political-prisoners-in-azerbaijan/</w:t>
        </w:r>
      </w:hyperlink>
      <w:r w:rsidRPr="000A411E">
        <w:rPr>
          <w:rStyle w:val="Hyperlink"/>
          <w:rFonts w:ascii="Garamond" w:hAnsi="Garamond" w:cs="Times New Roman"/>
        </w:rPr>
        <w:t xml:space="preserve"> </w:t>
      </w:r>
      <w:r w:rsidRPr="000A411E">
        <w:rPr>
          <w:rFonts w:ascii="Garamond" w:hAnsi="Garamond" w:cs="Times New Roman"/>
        </w:rPr>
        <w:t>(accessed 25.01.2019).</w:t>
      </w:r>
    </w:p>
  </w:footnote>
  <w:footnote w:id="112">
    <w:p w14:paraId="7C5BEE00" w14:textId="3731ED2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i/>
        </w:rPr>
        <w:t>Insanov v. Azerbaijan</w:t>
      </w:r>
      <w:r w:rsidRPr="000A411E">
        <w:rPr>
          <w:rFonts w:ascii="Garamond" w:hAnsi="Garamond" w:cs="Times New Roman"/>
        </w:rPr>
        <w:t xml:space="preserve">, no. 16133/08, 14 March 2013; </w:t>
      </w:r>
      <w:r w:rsidRPr="000A411E">
        <w:rPr>
          <w:rFonts w:ascii="Garamond" w:hAnsi="Garamond" w:cs="Times New Roman"/>
          <w:i/>
        </w:rPr>
        <w:t>Mahmudov and Agazade v. Azerbaijan</w:t>
      </w:r>
      <w:r w:rsidRPr="000A411E">
        <w:rPr>
          <w:rFonts w:ascii="Garamond" w:hAnsi="Garamond" w:cs="Times New Roman"/>
        </w:rPr>
        <w:t>, no. 35877/04, 18 December 2008.</w:t>
      </w:r>
    </w:p>
  </w:footnote>
  <w:footnote w:id="113">
    <w:p w14:paraId="60BDE4E0" w14:textId="77F84A11"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We are aware of the fact that according to Article 1(d) of the CoE Statute matters relating to national defence do not fall within the scope of the CoE, however every conflict has a major human rights and rule of law aspect to it. The CoE could have potentially contribute there.</w:t>
      </w:r>
    </w:p>
  </w:footnote>
  <w:footnote w:id="114">
    <w:p w14:paraId="06AC5B3C" w14:textId="4C4D002A"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00A03CB8">
        <w:rPr>
          <w:rFonts w:ascii="Garamond" w:hAnsi="Garamond" w:cs="Times New Roman"/>
        </w:rPr>
        <w:t xml:space="preserve"> Council o</w:t>
      </w:r>
      <w:r w:rsidRPr="000A411E">
        <w:rPr>
          <w:rFonts w:ascii="Garamond" w:hAnsi="Garamond" w:cs="Times New Roman"/>
        </w:rPr>
        <w:t xml:space="preserve">f Europe's Rights Chief Decries Abuses, Says Russia 'Only Country Not Cooperating', </w:t>
      </w:r>
      <w:r w:rsidRPr="000A411E">
        <w:rPr>
          <w:rFonts w:ascii="Garamond" w:hAnsi="Garamond" w:cs="Times New Roman"/>
          <w:i/>
        </w:rPr>
        <w:t xml:space="preserve">Radio Free Europe, </w:t>
      </w:r>
      <w:hyperlink r:id="rId39" w:history="1">
        <w:r w:rsidRPr="000A411E">
          <w:rPr>
            <w:rStyle w:val="Hyperlink"/>
            <w:rFonts w:ascii="Garamond" w:hAnsi="Garamond" w:cs="Times New Roman"/>
          </w:rPr>
          <w:t>https://www.rferl.org/a/muizneks-russia-chechnya-azerbaijan-crimea-council-europe/28760684.html</w:t>
        </w:r>
      </w:hyperlink>
      <w:r w:rsidRPr="000A411E">
        <w:rPr>
          <w:rFonts w:ascii="Garamond" w:hAnsi="Garamond" w:cs="Times New Roman"/>
        </w:rPr>
        <w:t xml:space="preserve"> (accessed 25.01.2019).</w:t>
      </w:r>
    </w:p>
  </w:footnote>
  <w:footnote w:id="115">
    <w:p w14:paraId="65F1062A" w14:textId="07E5ACE8"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w:t>
      </w:r>
      <w:r w:rsidR="00A03CB8">
        <w:rPr>
          <w:rFonts w:ascii="Garamond" w:hAnsi="Garamond" w:cs="Times New Roman"/>
        </w:rPr>
        <w:t>Andrew</w:t>
      </w:r>
      <w:r w:rsidRPr="000A411E">
        <w:rPr>
          <w:rFonts w:ascii="Garamond" w:hAnsi="Garamond" w:cs="Times New Roman"/>
        </w:rPr>
        <w:t xml:space="preserve"> </w:t>
      </w:r>
      <w:r w:rsidRPr="000A411E">
        <w:rPr>
          <w:rFonts w:ascii="Garamond" w:hAnsi="Garamond" w:cs="Times New Roman"/>
        </w:rPr>
        <w:t xml:space="preserve">Drzemczewski, 'Human rights in Europe: an insider's views' (2017) </w:t>
      </w:r>
      <w:r w:rsidRPr="000A411E">
        <w:rPr>
          <w:rFonts w:ascii="Garamond" w:hAnsi="Garamond" w:cs="Times New Roman"/>
          <w:i/>
        </w:rPr>
        <w:t>European Human Rights Law Review</w:t>
      </w:r>
      <w:r w:rsidRPr="000A411E">
        <w:rPr>
          <w:rFonts w:ascii="Garamond" w:hAnsi="Garamond" w:cs="Times New Roman"/>
        </w:rPr>
        <w:t xml:space="preserve"> 134.</w:t>
      </w:r>
    </w:p>
  </w:footnote>
  <w:footnote w:id="116">
    <w:p w14:paraId="5EA47D8D" w14:textId="3994263C"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The states express a wide variety of reactions to the </w:t>
      </w:r>
      <w:r w:rsidR="00A03CB8">
        <w:rPr>
          <w:rFonts w:ascii="Garamond" w:hAnsi="Garamond"/>
        </w:rPr>
        <w:t>judgments of the ECtHR. See, D.</w:t>
      </w:r>
      <w:r w:rsidRPr="000A411E">
        <w:rPr>
          <w:rFonts w:ascii="Garamond" w:hAnsi="Garamond"/>
        </w:rPr>
        <w:t xml:space="preserve"> Anagnostou</w:t>
      </w:r>
      <w:r w:rsidRPr="000A411E">
        <w:rPr>
          <w:rFonts w:ascii="Garamond" w:hAnsi="Garamond"/>
        </w:rPr>
        <w:t>,</w:t>
      </w:r>
      <w:r w:rsidRPr="000A411E">
        <w:rPr>
          <w:rFonts w:ascii="Garamond" w:hAnsi="Garamond"/>
        </w:rPr>
        <w:t xml:space="preserve"> </w:t>
      </w:r>
      <w:r w:rsidRPr="000A411E">
        <w:rPr>
          <w:rFonts w:ascii="Garamond" w:hAnsi="Garamond"/>
        </w:rPr>
        <w:t>‘</w:t>
      </w:r>
      <w:r w:rsidRPr="000A411E">
        <w:rPr>
          <w:rFonts w:ascii="Garamond" w:hAnsi="Garamond"/>
        </w:rPr>
        <w:t>Untangling the domestic implementation of the European Court of Human Rights’ judgments</w:t>
      </w:r>
      <w:r w:rsidRPr="000A411E">
        <w:rPr>
          <w:rFonts w:ascii="Garamond" w:hAnsi="Garamond"/>
        </w:rPr>
        <w:t>’</w:t>
      </w:r>
      <w:r w:rsidRPr="000A411E">
        <w:rPr>
          <w:rFonts w:ascii="Garamond" w:hAnsi="Garamond"/>
        </w:rPr>
        <w:t xml:space="preserve"> </w:t>
      </w:r>
      <w:r w:rsidRPr="000A411E">
        <w:rPr>
          <w:rFonts w:ascii="Garamond" w:hAnsi="Garamond"/>
        </w:rPr>
        <w:t>i</w:t>
      </w:r>
      <w:r w:rsidRPr="000A411E">
        <w:rPr>
          <w:rFonts w:ascii="Garamond" w:hAnsi="Garamond"/>
        </w:rPr>
        <w:t xml:space="preserve">n </w:t>
      </w:r>
      <w:r w:rsidR="00A03CB8">
        <w:rPr>
          <w:rFonts w:ascii="Garamond" w:hAnsi="Garamond"/>
        </w:rPr>
        <w:t xml:space="preserve">D. </w:t>
      </w:r>
      <w:r w:rsidRPr="000A411E">
        <w:rPr>
          <w:rFonts w:ascii="Garamond" w:hAnsi="Garamond"/>
        </w:rPr>
        <w:t xml:space="preserve">Anagnostou (ed) </w:t>
      </w:r>
      <w:r w:rsidRPr="00A03CB8">
        <w:rPr>
          <w:rFonts w:ascii="Garamond" w:hAnsi="Garamond"/>
          <w:i/>
        </w:rPr>
        <w:t>Implementing Strasbourg’s Judgments on Domestic Policy</w:t>
      </w:r>
      <w:r w:rsidRPr="000A411E">
        <w:rPr>
          <w:rFonts w:ascii="Garamond" w:hAnsi="Garamond"/>
        </w:rPr>
        <w:t xml:space="preserve"> (Edinburgh University Press, 2013), 8. If the reaction is predominantly negative or formalistic, then the impact of the CoE is limited.</w:t>
      </w:r>
    </w:p>
  </w:footnote>
  <w:footnote w:id="117">
    <w:p w14:paraId="3C157AF1" w14:textId="038B9CB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Venezuela Denounces American Convention on Human Rights as IACHR Faces Reform, available at </w:t>
      </w:r>
      <w:hyperlink r:id="rId40" w:history="1">
        <w:r w:rsidRPr="000A411E">
          <w:rPr>
            <w:rStyle w:val="Hyperlink"/>
            <w:rFonts w:ascii="Garamond" w:hAnsi="Garamond" w:cs="Times New Roman"/>
          </w:rPr>
          <w:t>http://www.ijrcenter.org/2012/09/19/venezuela-denounces-american-convention-on-human-rights-as-iachr-faces-reform/</w:t>
        </w:r>
      </w:hyperlink>
      <w:r w:rsidRPr="000A411E">
        <w:rPr>
          <w:rFonts w:ascii="Garamond" w:hAnsi="Garamond" w:cs="Times New Roman"/>
        </w:rPr>
        <w:t xml:space="preserve">, </w:t>
      </w:r>
      <w:r w:rsidRPr="000A411E">
        <w:rPr>
          <w:rFonts w:ascii="Garamond" w:hAnsi="Garamond" w:cs="Times New Roman"/>
        </w:rPr>
        <w:t>(accessed 25.01.2019)</w:t>
      </w:r>
      <w:r w:rsidRPr="000A411E">
        <w:rPr>
          <w:rFonts w:ascii="Garamond" w:hAnsi="Garamond" w:cs="Times New Roman"/>
        </w:rPr>
        <w:t xml:space="preserve">. </w:t>
      </w:r>
    </w:p>
  </w:footnote>
  <w:footnote w:id="118">
    <w:p w14:paraId="1F1A40ED" w14:textId="1E081F4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Former Member States, UN Industrial Development Organization, </w:t>
      </w:r>
      <w:hyperlink r:id="rId41" w:history="1">
        <w:r w:rsidRPr="000A411E">
          <w:rPr>
            <w:rStyle w:val="Hyperlink"/>
            <w:rFonts w:ascii="Garamond" w:hAnsi="Garamond" w:cs="Times New Roman"/>
          </w:rPr>
          <w:t>https://www.unido.org/who-we-are/structure/member-states/former-member-states</w:t>
        </w:r>
      </w:hyperlink>
      <w:r w:rsidRPr="000A411E">
        <w:rPr>
          <w:rStyle w:val="Hyperlink"/>
          <w:rFonts w:ascii="Garamond" w:hAnsi="Garamond" w:cs="Times New Roman"/>
        </w:rPr>
        <w:t xml:space="preserve"> </w:t>
      </w:r>
      <w:r w:rsidRPr="000A411E">
        <w:rPr>
          <w:rFonts w:ascii="Garamond" w:hAnsi="Garamond" w:cs="Times New Roman"/>
        </w:rPr>
        <w:t>(accessed 25.01.2019)</w:t>
      </w:r>
      <w:r w:rsidR="00A03CB8">
        <w:rPr>
          <w:rFonts w:ascii="Garamond" w:hAnsi="Garamond" w:cs="Times New Roman"/>
        </w:rPr>
        <w:t>.</w:t>
      </w:r>
    </w:p>
  </w:footnote>
  <w:footnote w:id="119">
    <w:p w14:paraId="4D39819D" w14:textId="38A4B7D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C Bohlen, Warsaw Pact Agrees to Dissolve Its Military Alliance by March 31, The New York Times, 26 February 1991, </w:t>
      </w:r>
      <w:hyperlink r:id="rId42" w:history="1">
        <w:r w:rsidRPr="000A411E">
          <w:rPr>
            <w:rStyle w:val="Hyperlink"/>
            <w:rFonts w:ascii="Garamond" w:hAnsi="Garamond" w:cs="Times New Roman"/>
          </w:rPr>
          <w:t>http://www.nytimes.com/1991/02/26/world/warsaw-pact-agrees-to-dissolve-its-military-alliance-by-march-31.html</w:t>
        </w:r>
      </w:hyperlink>
      <w:r w:rsidRPr="000A411E">
        <w:rPr>
          <w:rStyle w:val="Hyperlink"/>
          <w:rFonts w:ascii="Garamond" w:hAnsi="Garamond" w:cs="Times New Roman"/>
        </w:rPr>
        <w:t xml:space="preserve"> </w:t>
      </w:r>
      <w:r w:rsidRPr="000A411E">
        <w:rPr>
          <w:rFonts w:ascii="Garamond" w:hAnsi="Garamond" w:cs="Times New Roman"/>
        </w:rPr>
        <w:t>(accessed 25.01.2019)</w:t>
      </w:r>
      <w:r w:rsidR="00A03CB8">
        <w:rPr>
          <w:rFonts w:ascii="Garamond" w:hAnsi="Garamond" w:cs="Times New Roman"/>
        </w:rPr>
        <w:t>.</w:t>
      </w:r>
    </w:p>
  </w:footnote>
  <w:footnote w:id="120">
    <w:p w14:paraId="322E42BF" w14:textId="361452DC"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Arnold Hughes ‘The collapse of the Senegambian confederation’ (1992) </w:t>
      </w:r>
      <w:r w:rsidR="00A03CB8">
        <w:rPr>
          <w:rFonts w:ascii="Garamond" w:hAnsi="Garamond" w:cs="Times New Roman"/>
        </w:rPr>
        <w:t>30</w:t>
      </w:r>
      <w:r w:rsidRPr="000A411E">
        <w:rPr>
          <w:rFonts w:ascii="Garamond" w:hAnsi="Garamond" w:cs="Times New Roman"/>
        </w:rPr>
        <w:t xml:space="preserve"> </w:t>
      </w:r>
      <w:r w:rsidRPr="00A03CB8">
        <w:rPr>
          <w:rFonts w:ascii="Garamond" w:hAnsi="Garamond" w:cs="Times New Roman"/>
          <w:i/>
        </w:rPr>
        <w:t>The Journal of Commonwealth &amp; Comparative Politics</w:t>
      </w:r>
      <w:r w:rsidRPr="000A411E">
        <w:rPr>
          <w:rFonts w:ascii="Garamond" w:hAnsi="Garamond" w:cs="Times New Roman"/>
        </w:rPr>
        <w:t xml:space="preserve"> </w:t>
      </w:r>
      <w:r w:rsidRPr="000A411E">
        <w:rPr>
          <w:rFonts w:ascii="Garamond" w:hAnsi="Garamond" w:cs="Times New Roman"/>
        </w:rPr>
        <w:t>200-222.</w:t>
      </w:r>
    </w:p>
  </w:footnote>
  <w:footnote w:id="121">
    <w:p w14:paraId="33C363A4" w14:textId="7777777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“Declaration concerning the Policy of ‘Apartheid’ of the Republic of South Africa” (1964) vol. XLVII, no. 3 </w:t>
      </w:r>
      <w:r w:rsidRPr="000A411E">
        <w:rPr>
          <w:rFonts w:ascii="Garamond" w:hAnsi="Garamond" w:cs="Times New Roman"/>
          <w:i/>
        </w:rPr>
        <w:t>International Labour Office Official Bulletin.</w:t>
      </w:r>
    </w:p>
  </w:footnote>
  <w:footnote w:id="122">
    <w:p w14:paraId="69D264A4" w14:textId="77777777" w:rsidR="00E71905" w:rsidRPr="000A411E" w:rsidRDefault="00E71905" w:rsidP="000A411E">
      <w:pPr>
        <w:pStyle w:val="FootnoteText"/>
        <w:jc w:val="both"/>
        <w:rPr>
          <w:rFonts w:ascii="Garamond" w:hAnsi="Garamond" w:cs="Times New Roman"/>
          <w:lang w:val="en-US"/>
        </w:rPr>
      </w:pPr>
      <w:r w:rsidRPr="000A411E">
        <w:rPr>
          <w:rStyle w:val="FootnoteReference"/>
          <w:rFonts w:ascii="Garamond" w:hAnsi="Garamond" w:cs="Times New Roman"/>
        </w:rPr>
        <w:footnoteRef/>
      </w:r>
      <w:r w:rsidRPr="000A411E">
        <w:rPr>
          <w:rFonts w:ascii="Garamond" w:hAnsi="Garamond" w:cs="Times New Roman"/>
        </w:rPr>
        <w:t xml:space="preserve"> Daniel Maul, </w:t>
      </w:r>
      <w:r w:rsidRPr="000A411E">
        <w:rPr>
          <w:rFonts w:ascii="Garamond" w:hAnsi="Garamond" w:cs="Times New Roman"/>
          <w:i/>
        </w:rPr>
        <w:t xml:space="preserve">Human Rights, Development and Decolonization: The International Labour Organization, 1940-70 </w:t>
      </w:r>
      <w:r w:rsidRPr="000A411E">
        <w:rPr>
          <w:rFonts w:ascii="Garamond" w:hAnsi="Garamond" w:cs="Times New Roman"/>
        </w:rPr>
        <w:t xml:space="preserve">(Palgrave Macmillan, 2012) </w:t>
      </w:r>
      <w:r w:rsidRPr="000A411E">
        <w:rPr>
          <w:rFonts w:ascii="Garamond" w:hAnsi="Garamond" w:cs="Times New Roman"/>
          <w:lang w:val="en-US"/>
        </w:rPr>
        <w:t>244-245.</w:t>
      </w:r>
    </w:p>
  </w:footnote>
  <w:footnote w:id="123">
    <w:p w14:paraId="14C28801" w14:textId="1646704B"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Belarus is the last country in Europe which is not a member of the Council of Europe.</w:t>
      </w:r>
    </w:p>
  </w:footnote>
  <w:footnote w:id="124">
    <w:p w14:paraId="29F6C809" w14:textId="6FB29E22"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Pending Applications Allocated to a Judicial Formation, ECtHR, 2017 </w:t>
      </w:r>
      <w:hyperlink r:id="rId43" w:history="1">
        <w:r w:rsidRPr="000A411E">
          <w:rPr>
            <w:rStyle w:val="Hyperlink"/>
            <w:rFonts w:ascii="Garamond" w:hAnsi="Garamond" w:cs="Times New Roman"/>
          </w:rPr>
          <w:t>http://www.echr.coe.int/Documents/Stats_pending_2017_BIL.pdf</w:t>
        </w:r>
      </w:hyperlink>
      <w:r w:rsidRPr="000A411E">
        <w:rPr>
          <w:rStyle w:val="Hyperlink"/>
          <w:rFonts w:ascii="Garamond" w:hAnsi="Garamond" w:cs="Times New Roman"/>
        </w:rPr>
        <w:t xml:space="preserve"> </w:t>
      </w:r>
      <w:r w:rsidRPr="000A411E">
        <w:rPr>
          <w:rFonts w:ascii="Garamond" w:hAnsi="Garamond" w:cs="Times New Roman"/>
        </w:rPr>
        <w:t>(accessed 25.01.2019).</w:t>
      </w:r>
    </w:p>
  </w:footnote>
  <w:footnote w:id="125">
    <w:p w14:paraId="476BCE28" w14:textId="57B0340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This may be protected under other international human rights instruments, e.g. Turkey ratified the Second Optional Protocol to the International Covenant on Civil and Political Rights in 2006, although this varies by country and treaty.</w:t>
      </w:r>
    </w:p>
  </w:footnote>
  <w:footnote w:id="126">
    <w:p w14:paraId="39A1B9FB" w14:textId="12AE0AE9" w:rsidR="00E71905" w:rsidRPr="000A411E" w:rsidRDefault="00E71905" w:rsidP="000A411E">
      <w:pPr>
        <w:pStyle w:val="FootnoteText"/>
        <w:jc w:val="both"/>
        <w:rPr>
          <w:rFonts w:ascii="Garamond" w:hAnsi="Garamond"/>
        </w:rPr>
      </w:pPr>
      <w:r w:rsidRPr="000A411E">
        <w:rPr>
          <w:rStyle w:val="FootnoteReference"/>
          <w:rFonts w:ascii="Garamond" w:hAnsi="Garamond"/>
        </w:rPr>
        <w:footnoteRef/>
      </w:r>
      <w:r w:rsidRPr="000A411E">
        <w:rPr>
          <w:rFonts w:ascii="Garamond" w:hAnsi="Garamond"/>
        </w:rPr>
        <w:t xml:space="preserve"> For example, the Committee for the Prevention of Tortures, the Group of States against Corruption just to name a few.</w:t>
      </w:r>
    </w:p>
  </w:footnote>
  <w:footnote w:id="127">
    <w:p w14:paraId="0DD0A190" w14:textId="44BB8ECC"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Russia tests CoE in push to regain vote, </w:t>
      </w:r>
      <w:r w:rsidRPr="000A411E">
        <w:rPr>
          <w:rFonts w:ascii="Garamond" w:hAnsi="Garamond" w:cs="Times New Roman"/>
          <w:i/>
        </w:rPr>
        <w:t>Financial Times,</w:t>
      </w:r>
      <w:r w:rsidRPr="000A411E">
        <w:rPr>
          <w:rFonts w:ascii="Garamond" w:hAnsi="Garamond" w:cs="Times New Roman"/>
        </w:rPr>
        <w:t xml:space="preserve"> </w:t>
      </w:r>
      <w:hyperlink r:id="rId44" w:history="1">
        <w:r w:rsidRPr="000A411E">
          <w:rPr>
            <w:rStyle w:val="Hyperlink"/>
            <w:rFonts w:ascii="Garamond" w:hAnsi="Garamond" w:cs="Times New Roman"/>
          </w:rPr>
          <w:t>https://www.ft.com/content/3cccaf92-d12c-11e7-b781-794ce08b24dc</w:t>
        </w:r>
      </w:hyperlink>
      <w:r w:rsidRPr="000A411E">
        <w:rPr>
          <w:rStyle w:val="Hyperlink"/>
          <w:rFonts w:ascii="Garamond" w:hAnsi="Garamond" w:cs="Times New Roman"/>
        </w:rPr>
        <w:t xml:space="preserve"> </w:t>
      </w:r>
      <w:r w:rsidRPr="000A411E">
        <w:rPr>
          <w:rFonts w:ascii="Garamond" w:hAnsi="Garamond" w:cs="Times New Roman"/>
        </w:rPr>
        <w:t>(accessed 25.01.2019)</w:t>
      </w:r>
      <w:r w:rsidR="00A03CB8">
        <w:rPr>
          <w:rFonts w:ascii="Garamond" w:hAnsi="Garamond" w:cs="Times New Roman"/>
        </w:rPr>
        <w:t>.</w:t>
      </w:r>
    </w:p>
  </w:footnote>
  <w:footnote w:id="128">
    <w:p w14:paraId="17D2BA4D" w14:textId="53AE64D5"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Pursuant to Article 1 the ECHR is only applicable to everyone who appears to be within the jurisdiction of the Contracting Parties to the Convention. </w:t>
      </w:r>
    </w:p>
  </w:footnote>
  <w:footnote w:id="129">
    <w:p w14:paraId="0A41DD2A" w14:textId="6E0D969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A03CB8">
        <w:rPr>
          <w:rFonts w:ascii="Garamond" w:hAnsi="Garamond" w:cs="Times New Roman"/>
          <w:lang w:val="fr-FR"/>
        </w:rPr>
        <w:t xml:space="preserve"> </w:t>
      </w:r>
      <w:r w:rsidRPr="00A03CB8">
        <w:rPr>
          <w:rFonts w:ascii="Garamond" w:hAnsi="Garamond" w:cs="Times New Roman"/>
          <w:lang w:val="fr-FR"/>
        </w:rPr>
        <w:t xml:space="preserve">de Londras and </w:t>
      </w:r>
      <w:r w:rsidRPr="000A411E">
        <w:rPr>
          <w:rFonts w:ascii="Garamond" w:hAnsi="Garamond" w:cs="Times New Roman"/>
        </w:rPr>
        <w:t xml:space="preserve">Dzehtsiarou, </w:t>
      </w:r>
      <w:r w:rsidR="00A03CB8">
        <w:rPr>
          <w:rFonts w:ascii="Garamond" w:hAnsi="Garamond" w:cs="Times New Roman"/>
        </w:rPr>
        <w:t xml:space="preserve">(n. </w:t>
      </w:r>
      <w:r w:rsidR="00A03CB8">
        <w:rPr>
          <w:rFonts w:ascii="Garamond" w:hAnsi="Garamond" w:cs="Times New Roman"/>
        </w:rPr>
        <w:fldChar w:fldCharType="begin"/>
      </w:r>
      <w:r w:rsidR="00A03CB8">
        <w:rPr>
          <w:rFonts w:ascii="Garamond" w:hAnsi="Garamond" w:cs="Times New Roman"/>
        </w:rPr>
        <w:instrText xml:space="preserve"> NOTEREF _Ref536195070 \h </w:instrText>
      </w:r>
      <w:r w:rsidR="00A03CB8">
        <w:rPr>
          <w:rFonts w:ascii="Garamond" w:hAnsi="Garamond" w:cs="Times New Roman"/>
        </w:rPr>
      </w:r>
      <w:r w:rsidR="00A03CB8">
        <w:rPr>
          <w:rFonts w:ascii="Garamond" w:hAnsi="Garamond" w:cs="Times New Roman"/>
        </w:rPr>
        <w:fldChar w:fldCharType="separate"/>
      </w:r>
      <w:r w:rsidR="00A03CB8">
        <w:rPr>
          <w:rFonts w:ascii="Garamond" w:hAnsi="Garamond" w:cs="Times New Roman"/>
        </w:rPr>
        <w:t>39</w:t>
      </w:r>
      <w:r w:rsidR="00A03CB8">
        <w:rPr>
          <w:rFonts w:ascii="Garamond" w:hAnsi="Garamond" w:cs="Times New Roman"/>
        </w:rPr>
        <w:fldChar w:fldCharType="end"/>
      </w:r>
      <w:r w:rsidR="00A03CB8">
        <w:rPr>
          <w:rFonts w:ascii="Garamond" w:hAnsi="Garamond" w:cs="Times New Roman"/>
        </w:rPr>
        <w:t>)</w:t>
      </w:r>
      <w:r w:rsidRPr="000A411E">
        <w:rPr>
          <w:rFonts w:ascii="Garamond" w:hAnsi="Garamond" w:cs="Times New Roman"/>
        </w:rPr>
        <w:t>.</w:t>
      </w:r>
    </w:p>
  </w:footnote>
  <w:footnote w:id="130">
    <w:p w14:paraId="76B6BAA2" w14:textId="421AD49F"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A</w:t>
      </w:r>
      <w:r w:rsidR="00A03CB8">
        <w:rPr>
          <w:rFonts w:ascii="Garamond" w:hAnsi="Garamond" w:cs="Times New Roman"/>
        </w:rPr>
        <w:t>.</w:t>
      </w:r>
      <w:r w:rsidRPr="000A411E">
        <w:rPr>
          <w:rFonts w:ascii="Garamond" w:hAnsi="Garamond" w:cs="Times New Roman"/>
        </w:rPr>
        <w:t xml:space="preserve"> Kovler</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w:t>
      </w:r>
      <w:r w:rsidRPr="000A411E">
        <w:rPr>
          <w:rFonts w:ascii="Garamond" w:hAnsi="Garamond" w:cs="Times New Roman"/>
        </w:rPr>
        <w:t>Russia: European Convention on Human Rights: Fifteen Years After</w:t>
      </w:r>
      <w:r w:rsidRPr="000A411E">
        <w:rPr>
          <w:rFonts w:ascii="Garamond" w:hAnsi="Garamond" w:cs="Times New Roman"/>
        </w:rPr>
        <w:t>’</w:t>
      </w:r>
      <w:r w:rsidRPr="000A411E">
        <w:rPr>
          <w:rFonts w:ascii="Garamond" w:hAnsi="Garamond" w:cs="Times New Roman"/>
        </w:rPr>
        <w:t xml:space="preserve"> in I</w:t>
      </w:r>
      <w:r w:rsidR="00A03CB8">
        <w:rPr>
          <w:rFonts w:ascii="Garamond" w:hAnsi="Garamond" w:cs="Times New Roman"/>
        </w:rPr>
        <w:t>.</w:t>
      </w:r>
      <w:r w:rsidRPr="000A411E">
        <w:rPr>
          <w:rFonts w:ascii="Garamond" w:hAnsi="Garamond" w:cs="Times New Roman"/>
        </w:rPr>
        <w:t xml:space="preserve"> Motoc and I</w:t>
      </w:r>
      <w:r w:rsidR="00A03CB8">
        <w:rPr>
          <w:rFonts w:ascii="Garamond" w:hAnsi="Garamond" w:cs="Times New Roman"/>
        </w:rPr>
        <w:t>.</w:t>
      </w:r>
      <w:r w:rsidRPr="000A411E">
        <w:rPr>
          <w:rFonts w:ascii="Garamond" w:hAnsi="Garamond" w:cs="Times New Roman"/>
        </w:rPr>
        <w:t xml:space="preserve"> Ziemele </w:t>
      </w:r>
      <w:r w:rsidRPr="000A411E">
        <w:rPr>
          <w:rFonts w:ascii="Garamond" w:hAnsi="Garamond" w:cs="Times New Roman"/>
          <w:i/>
        </w:rPr>
        <w:t xml:space="preserve">The Impact of the ECHR on Democratic Change in Central and Eastern Europe </w:t>
      </w:r>
      <w:r w:rsidRPr="000A411E">
        <w:rPr>
          <w:rFonts w:ascii="Garamond" w:hAnsi="Garamond" w:cs="Times New Roman"/>
        </w:rPr>
        <w:t xml:space="preserve">(CUP, 2016), A Burkov ‘The Use of European Human Rights Law in Russian Courts’ in L Malksoo and W Benedek </w:t>
      </w:r>
      <w:r w:rsidRPr="000A411E">
        <w:rPr>
          <w:rFonts w:ascii="Garamond" w:hAnsi="Garamond" w:cs="Times New Roman"/>
          <w:i/>
        </w:rPr>
        <w:t>Russia and the European Court of Human Rights</w:t>
      </w:r>
      <w:r w:rsidRPr="000A411E">
        <w:rPr>
          <w:rFonts w:ascii="Garamond" w:hAnsi="Garamond" w:cs="Times New Roman"/>
        </w:rPr>
        <w:t xml:space="preserve"> (CUP, 2018), L Malksoo ‘Introduction: Russia, Strasbourg, and the Paradox of a Human Rights Backlash’ in L Malksoo and W Benedek </w:t>
      </w:r>
      <w:r w:rsidRPr="000A411E">
        <w:rPr>
          <w:rFonts w:ascii="Garamond" w:hAnsi="Garamond" w:cs="Times New Roman"/>
          <w:i/>
        </w:rPr>
        <w:t>Russia and the European Court of Human Rights</w:t>
      </w:r>
      <w:r w:rsidRPr="000A411E">
        <w:rPr>
          <w:rFonts w:ascii="Garamond" w:hAnsi="Garamond" w:cs="Times New Roman"/>
        </w:rPr>
        <w:t xml:space="preserve"> (CUP, 2018); F van der Vet</w:t>
      </w:r>
      <w:r w:rsidRPr="000A411E">
        <w:rPr>
          <w:rFonts w:ascii="Garamond" w:hAnsi="Garamond" w:cs="Times New Roman"/>
        </w:rPr>
        <w:t>,</w:t>
      </w:r>
      <w:r w:rsidRPr="000A411E">
        <w:rPr>
          <w:rFonts w:ascii="Garamond" w:hAnsi="Garamond" w:cs="Times New Roman"/>
        </w:rPr>
        <w:t xml:space="preserve"> </w:t>
      </w:r>
      <w:r w:rsidRPr="000A411E">
        <w:rPr>
          <w:rFonts w:ascii="Garamond" w:hAnsi="Garamond" w:cs="Times New Roman"/>
        </w:rPr>
        <w:t>‘</w:t>
      </w:r>
      <w:r w:rsidRPr="000A411E">
        <w:rPr>
          <w:rFonts w:ascii="Garamond" w:hAnsi="Garamond" w:cs="Times New Roman"/>
        </w:rPr>
        <w:t>Holding on to Legalism: The Politics of Russian Litigation on Torture and Discrimination Before the European Court of Human Rights</w:t>
      </w:r>
      <w:r w:rsidRPr="000A411E">
        <w:rPr>
          <w:rFonts w:ascii="Garamond" w:hAnsi="Garamond" w:cs="Times New Roman"/>
        </w:rPr>
        <w:t>’</w:t>
      </w:r>
      <w:r w:rsidRPr="000A411E">
        <w:rPr>
          <w:rFonts w:ascii="Garamond" w:hAnsi="Garamond" w:cs="Times New Roman"/>
        </w:rPr>
        <w:t xml:space="preserve"> (2014)</w:t>
      </w:r>
      <w:r w:rsidRPr="000A411E">
        <w:rPr>
          <w:rFonts w:ascii="Garamond" w:hAnsi="Garamond" w:cs="Times New Roman"/>
        </w:rPr>
        <w:t xml:space="preserve"> 23</w:t>
      </w:r>
      <w:r w:rsidRPr="000A411E">
        <w:rPr>
          <w:rFonts w:ascii="Garamond" w:hAnsi="Garamond" w:cs="Times New Roman"/>
        </w:rPr>
        <w:t xml:space="preserve"> </w:t>
      </w:r>
      <w:r w:rsidRPr="000A411E">
        <w:rPr>
          <w:rFonts w:ascii="Garamond" w:hAnsi="Garamond" w:cs="Times New Roman"/>
          <w:i/>
        </w:rPr>
        <w:t xml:space="preserve">Social and Legal Studies </w:t>
      </w:r>
      <w:r w:rsidRPr="000A411E">
        <w:rPr>
          <w:rFonts w:ascii="Garamond" w:hAnsi="Garamond" w:cs="Times New Roman"/>
        </w:rPr>
        <w:t xml:space="preserve">361; </w:t>
      </w:r>
      <w:r w:rsidRPr="000A411E">
        <w:rPr>
          <w:rFonts w:ascii="Garamond" w:hAnsi="Garamond"/>
        </w:rPr>
        <w:t xml:space="preserve">Anagnostou (n. </w:t>
      </w:r>
      <w:r w:rsidRPr="000A411E">
        <w:rPr>
          <w:rFonts w:ascii="Garamond" w:hAnsi="Garamond"/>
        </w:rPr>
        <w:fldChar w:fldCharType="begin"/>
      </w:r>
      <w:r w:rsidRPr="000A411E">
        <w:rPr>
          <w:rFonts w:ascii="Garamond" w:hAnsi="Garamond"/>
        </w:rPr>
        <w:instrText xml:space="preserve"> NOTEREF _Ref534980787 \h  \* MERGEFORMAT </w:instrText>
      </w:r>
      <w:r w:rsidRPr="000A411E">
        <w:rPr>
          <w:rFonts w:ascii="Garamond" w:hAnsi="Garamond"/>
        </w:rPr>
      </w:r>
      <w:r w:rsidRPr="000A411E">
        <w:rPr>
          <w:rFonts w:ascii="Garamond" w:hAnsi="Garamond"/>
        </w:rPr>
        <w:fldChar w:fldCharType="separate"/>
      </w:r>
      <w:r w:rsidRPr="000A411E">
        <w:rPr>
          <w:rFonts w:ascii="Garamond" w:hAnsi="Garamond"/>
        </w:rPr>
        <w:t>116</w:t>
      </w:r>
      <w:r w:rsidRPr="000A411E">
        <w:rPr>
          <w:rFonts w:ascii="Garamond" w:hAnsi="Garamond"/>
        </w:rPr>
        <w:fldChar w:fldCharType="end"/>
      </w:r>
      <w:r w:rsidRPr="000A411E">
        <w:rPr>
          <w:rFonts w:ascii="Garamond" w:hAnsi="Garamond"/>
        </w:rPr>
        <w:t>).</w:t>
      </w:r>
    </w:p>
  </w:footnote>
  <w:footnote w:id="131">
    <w:p w14:paraId="1BCE48C9" w14:textId="68C75027"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P</w:t>
      </w:r>
      <w:r w:rsidR="00A03CB8">
        <w:rPr>
          <w:rFonts w:ascii="Garamond" w:hAnsi="Garamond" w:cs="Times New Roman"/>
        </w:rPr>
        <w:t>.</w:t>
      </w:r>
      <w:r w:rsidRPr="000A411E">
        <w:rPr>
          <w:rFonts w:ascii="Garamond" w:hAnsi="Garamond" w:cs="Times New Roman"/>
        </w:rPr>
        <w:t xml:space="preserve"> Roter, ‘Russia in the Council of Europe: Participation a la carte’ in L</w:t>
      </w:r>
      <w:r w:rsidR="00A03CB8">
        <w:rPr>
          <w:rFonts w:ascii="Garamond" w:hAnsi="Garamond" w:cs="Times New Roman"/>
        </w:rPr>
        <w:t>.</w:t>
      </w:r>
      <w:r w:rsidRPr="000A411E">
        <w:rPr>
          <w:rFonts w:ascii="Garamond" w:hAnsi="Garamond" w:cs="Times New Roman"/>
        </w:rPr>
        <w:t xml:space="preserve"> Malksoo and W</w:t>
      </w:r>
      <w:r w:rsidR="00A03CB8">
        <w:rPr>
          <w:rFonts w:ascii="Garamond" w:hAnsi="Garamond" w:cs="Times New Roman"/>
        </w:rPr>
        <w:t>.</w:t>
      </w:r>
      <w:r w:rsidRPr="000A411E">
        <w:rPr>
          <w:rFonts w:ascii="Garamond" w:hAnsi="Garamond" w:cs="Times New Roman"/>
        </w:rPr>
        <w:t xml:space="preserve"> Benedek </w:t>
      </w:r>
      <w:r w:rsidRPr="000A411E">
        <w:rPr>
          <w:rFonts w:ascii="Garamond" w:hAnsi="Garamond" w:cs="Times New Roman"/>
          <w:i/>
        </w:rPr>
        <w:t xml:space="preserve">Russia and the European Court of Human Rights </w:t>
      </w:r>
      <w:r w:rsidRPr="000A411E">
        <w:rPr>
          <w:rFonts w:ascii="Garamond" w:hAnsi="Garamond" w:cs="Times New Roman"/>
        </w:rPr>
        <w:t>(CUP, 2018)</w:t>
      </w:r>
      <w:r w:rsidRPr="000A411E">
        <w:rPr>
          <w:rFonts w:ascii="Garamond" w:hAnsi="Garamond" w:cs="Times New Roman"/>
        </w:rPr>
        <w:t>.</w:t>
      </w:r>
    </w:p>
  </w:footnote>
  <w:footnote w:id="132">
    <w:p w14:paraId="53CB0728" w14:textId="7737366C"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rPr>
        <w:t>E</w:t>
      </w:r>
      <w:r w:rsidR="00A03CB8">
        <w:rPr>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Bates, </w:t>
      </w:r>
      <w:r w:rsidRPr="000A411E">
        <w:rPr>
          <w:rFonts w:ascii="Garamond" w:hAnsi="Garamond" w:cs="Times New Roman"/>
          <w:i/>
        </w:rPr>
        <w:t>The Evolution of the European Convention on Human Rights</w:t>
      </w:r>
      <w:r w:rsidRPr="000A411E">
        <w:rPr>
          <w:rFonts w:ascii="Garamond" w:hAnsi="Garamond" w:cs="Times New Roman"/>
        </w:rPr>
        <w:t xml:space="preserve"> (</w:t>
      </w:r>
      <w:r w:rsidR="00A03CB8">
        <w:rPr>
          <w:rFonts w:ascii="Garamond" w:hAnsi="Garamond" w:cs="Times New Roman"/>
        </w:rPr>
        <w:t>OUP</w:t>
      </w:r>
      <w:r w:rsidRPr="000A411E">
        <w:rPr>
          <w:rFonts w:ascii="Garamond" w:hAnsi="Garamond" w:cs="Times New Roman"/>
        </w:rPr>
        <w:t xml:space="preserve"> 2010) 44-76.</w:t>
      </w:r>
    </w:p>
  </w:footnote>
  <w:footnote w:id="133">
    <w:p w14:paraId="2EDE75F4" w14:textId="70AB9671"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One of the drafters of the Convention Tietgen pointed out ‘Democracies do not become Nazi countries in one day. Evil progresses cunningly, with a minority operating, as it were, to remove the levels of control. One by one freedoms are suppressed, in one sphere after another. Public opinion and the entire national conscience are asphyxiated. And then, when everything is in order, the ‘Fuhrer’ is installed and the evolution continues even to the oven of the crematorium.’ Quoted from M</w:t>
      </w:r>
      <w:r w:rsidR="00BE5AB4">
        <w:rPr>
          <w:rFonts w:ascii="Garamond" w:hAnsi="Garamond" w:cs="Times New Roman"/>
        </w:rPr>
        <w:t>.</w:t>
      </w:r>
      <w:r w:rsidRPr="000A411E">
        <w:rPr>
          <w:rFonts w:ascii="Garamond" w:hAnsi="Garamond" w:cs="Times New Roman"/>
        </w:rPr>
        <w:t>W</w:t>
      </w:r>
      <w:r w:rsidR="00BE5AB4">
        <w:rPr>
          <w:rFonts w:ascii="Garamond" w:hAnsi="Garamond" w:cs="Times New Roman"/>
        </w:rPr>
        <w:t>.</w:t>
      </w:r>
      <w:r w:rsidRPr="000A411E">
        <w:rPr>
          <w:rFonts w:ascii="Garamond" w:hAnsi="Garamond" w:cs="Times New Roman"/>
        </w:rPr>
        <w:t xml:space="preserve"> Janis and R</w:t>
      </w:r>
      <w:r w:rsidR="00BE5AB4">
        <w:rPr>
          <w:rFonts w:ascii="Garamond" w:hAnsi="Garamond" w:cs="Times New Roman"/>
        </w:rPr>
        <w:t>.</w:t>
      </w:r>
      <w:r w:rsidRPr="000A411E">
        <w:rPr>
          <w:rFonts w:ascii="Garamond" w:hAnsi="Garamond" w:cs="Times New Roman"/>
        </w:rPr>
        <w:t>S</w:t>
      </w:r>
      <w:r w:rsidR="00BE5AB4">
        <w:rPr>
          <w:rFonts w:ascii="Garamond" w:hAnsi="Garamond" w:cs="Times New Roman"/>
        </w:rPr>
        <w:t>.</w:t>
      </w:r>
      <w:r w:rsidRPr="000A411E">
        <w:rPr>
          <w:rFonts w:ascii="Garamond" w:hAnsi="Garamond" w:cs="Times New Roman"/>
        </w:rPr>
        <w:t xml:space="preserve"> Kay, </w:t>
      </w:r>
      <w:r w:rsidRPr="00BE5AB4">
        <w:rPr>
          <w:rFonts w:ascii="Garamond" w:hAnsi="Garamond" w:cs="Times New Roman"/>
          <w:i/>
        </w:rPr>
        <w:t>European Human Rights Law</w:t>
      </w:r>
      <w:r w:rsidRPr="000A411E">
        <w:rPr>
          <w:rFonts w:ascii="Garamond" w:hAnsi="Garamond" w:cs="Times New Roman"/>
        </w:rPr>
        <w:t xml:space="preserve"> (1990), 28. This was said to support the initiative to establish the ECtHR.</w:t>
      </w:r>
    </w:p>
  </w:footnote>
  <w:footnote w:id="134">
    <w:p w14:paraId="275FE51D" w14:textId="5909BD16"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rPr>
        <w:t>E</w:t>
      </w:r>
      <w:r w:rsidR="00A03CB8">
        <w:rPr>
          <w:rFonts w:ascii="Garamond" w:hAnsi="Garamond" w:cs="Times New Roman"/>
        </w:rPr>
        <w:t>.</w:t>
      </w:r>
      <w:r w:rsidRPr="000A411E">
        <w:rPr>
          <w:rFonts w:ascii="Garamond" w:hAnsi="Garamond" w:cs="Times New Roman"/>
        </w:rPr>
        <w:t xml:space="preserve"> </w:t>
      </w:r>
      <w:r w:rsidRPr="000A411E">
        <w:rPr>
          <w:rFonts w:ascii="Garamond" w:hAnsi="Garamond" w:cs="Times New Roman"/>
        </w:rPr>
        <w:t xml:space="preserve">Bates, </w:t>
      </w:r>
      <w:r w:rsidR="00A03CB8">
        <w:rPr>
          <w:rFonts w:ascii="Garamond" w:hAnsi="Garamond" w:cs="Times New Roman"/>
        </w:rPr>
        <w:t>(</w:t>
      </w:r>
      <w:r w:rsidRPr="000A411E">
        <w:rPr>
          <w:rFonts w:ascii="Garamond" w:hAnsi="Garamond" w:cs="Times New Roman"/>
        </w:rPr>
        <w:t>n</w:t>
      </w:r>
      <w:r w:rsidR="00A03CB8">
        <w:rPr>
          <w:rFonts w:ascii="Garamond" w:hAnsi="Garamond" w:cs="Times New Roman"/>
        </w:rPr>
        <w:t>.</w:t>
      </w:r>
      <w:r w:rsidRPr="000A411E">
        <w:rPr>
          <w:rFonts w:ascii="Garamond" w:hAnsi="Garamond" w:cs="Times New Roman"/>
        </w:rPr>
        <w:t xml:space="preserve"> </w:t>
      </w:r>
      <w:r w:rsidRPr="000A411E">
        <w:rPr>
          <w:rFonts w:ascii="Garamond" w:hAnsi="Garamond" w:cs="Times New Roman"/>
        </w:rPr>
        <w:fldChar w:fldCharType="begin"/>
      </w:r>
      <w:r w:rsidRPr="000A411E">
        <w:rPr>
          <w:rFonts w:ascii="Garamond" w:hAnsi="Garamond" w:cs="Times New Roman"/>
        </w:rPr>
        <w:instrText xml:space="preserve"> NOTEREF _Ref536181293 \h </w:instrText>
      </w:r>
      <w:r w:rsidRPr="000A411E">
        <w:rPr>
          <w:rFonts w:ascii="Garamond" w:hAnsi="Garamond" w:cs="Times New Roman"/>
        </w:rPr>
      </w:r>
      <w:r w:rsidR="000A411E" w:rsidRPr="000A411E">
        <w:rPr>
          <w:rFonts w:ascii="Garamond" w:hAnsi="Garamond" w:cs="Times New Roman"/>
        </w:rPr>
        <w:instrText xml:space="preserve"> \* MERGEFORMAT </w:instrText>
      </w:r>
      <w:r w:rsidRPr="000A411E">
        <w:rPr>
          <w:rFonts w:ascii="Garamond" w:hAnsi="Garamond" w:cs="Times New Roman"/>
        </w:rPr>
        <w:fldChar w:fldCharType="separate"/>
      </w:r>
      <w:r w:rsidRPr="000A411E">
        <w:rPr>
          <w:rFonts w:ascii="Garamond" w:hAnsi="Garamond" w:cs="Times New Roman"/>
        </w:rPr>
        <w:t>132</w:t>
      </w:r>
      <w:r w:rsidRPr="000A411E">
        <w:rPr>
          <w:rFonts w:ascii="Garamond" w:hAnsi="Garamond" w:cs="Times New Roman"/>
        </w:rPr>
        <w:fldChar w:fldCharType="end"/>
      </w:r>
      <w:r w:rsidR="00A03CB8">
        <w:rPr>
          <w:rFonts w:ascii="Garamond" w:hAnsi="Garamond" w:cs="Times New Roman"/>
        </w:rPr>
        <w:t>),</w:t>
      </w:r>
      <w:r w:rsidRPr="000A411E">
        <w:rPr>
          <w:rFonts w:ascii="Garamond" w:hAnsi="Garamond" w:cs="Times New Roman"/>
        </w:rPr>
        <w:t xml:space="preserve"> 171-264 and </w:t>
      </w:r>
      <w:r w:rsidRPr="000A411E">
        <w:rPr>
          <w:rFonts w:ascii="Garamond" w:hAnsi="Garamond" w:cs="Times New Roman"/>
        </w:rPr>
        <w:t>K</w:t>
      </w:r>
      <w:r w:rsidR="00BE5AB4">
        <w:rPr>
          <w:rFonts w:ascii="Garamond" w:hAnsi="Garamond" w:cs="Times New Roman"/>
        </w:rPr>
        <w:t>anstantsin</w:t>
      </w:r>
      <w:r w:rsidRPr="000A411E">
        <w:rPr>
          <w:rFonts w:ascii="Garamond" w:hAnsi="Garamond" w:cs="Times New Roman"/>
        </w:rPr>
        <w:t xml:space="preserve"> </w:t>
      </w:r>
      <w:r w:rsidRPr="000A411E">
        <w:rPr>
          <w:rFonts w:ascii="Garamond" w:hAnsi="Garamond" w:cs="Times New Roman"/>
        </w:rPr>
        <w:t xml:space="preserve">Dzehtsiarou  and </w:t>
      </w:r>
      <w:r w:rsidRPr="000A411E">
        <w:rPr>
          <w:rFonts w:ascii="Garamond" w:hAnsi="Garamond" w:cs="Times New Roman"/>
        </w:rPr>
        <w:t>A</w:t>
      </w:r>
      <w:r w:rsidR="00BE5AB4">
        <w:rPr>
          <w:rFonts w:ascii="Garamond" w:hAnsi="Garamond" w:cs="Times New Roman"/>
        </w:rPr>
        <w:t>lan</w:t>
      </w:r>
      <w:r w:rsidRPr="000A411E">
        <w:rPr>
          <w:rFonts w:ascii="Garamond" w:hAnsi="Garamond" w:cs="Times New Roman"/>
        </w:rPr>
        <w:t xml:space="preserve"> </w:t>
      </w:r>
      <w:r w:rsidRPr="000A411E">
        <w:rPr>
          <w:rFonts w:ascii="Garamond" w:hAnsi="Garamond" w:cs="Times New Roman"/>
        </w:rPr>
        <w:t xml:space="preserve">Greene, 'Restructuring the European Court of Human Rights: Preserving the Right of Individual Petition and Promoting Constitutionalism' (2013) </w:t>
      </w:r>
      <w:r w:rsidRPr="00BE5AB4">
        <w:rPr>
          <w:rFonts w:ascii="Garamond" w:hAnsi="Garamond" w:cs="Times New Roman"/>
          <w:i/>
        </w:rPr>
        <w:t>Public Law</w:t>
      </w:r>
      <w:r w:rsidRPr="000A411E">
        <w:rPr>
          <w:rFonts w:ascii="Garamond" w:hAnsi="Garamond" w:cs="Times New Roman"/>
        </w:rPr>
        <w:t xml:space="preserve"> 710.</w:t>
      </w:r>
    </w:p>
  </w:footnote>
  <w:footnote w:id="135">
    <w:p w14:paraId="24E54A5A" w14:textId="038E1F8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for example, </w:t>
      </w:r>
      <w:r w:rsidRPr="000A411E">
        <w:rPr>
          <w:rFonts w:ascii="Garamond" w:hAnsi="Garamond" w:cs="Times New Roman"/>
          <w:i/>
        </w:rPr>
        <w:t>Marckx v. Belgium</w:t>
      </w:r>
      <w:r w:rsidRPr="000A411E">
        <w:rPr>
          <w:rFonts w:ascii="Garamond" w:hAnsi="Garamond" w:cs="Times New Roman"/>
        </w:rPr>
        <w:t>, 13 June 1979, Series A no. 31.</w:t>
      </w:r>
    </w:p>
  </w:footnote>
  <w:footnote w:id="136">
    <w:p w14:paraId="0B6216BF" w14:textId="7E5C8489"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See for example, </w:t>
      </w:r>
      <w:r w:rsidRPr="000A411E">
        <w:rPr>
          <w:rFonts w:ascii="Garamond" w:hAnsi="Garamond" w:cs="Times New Roman"/>
          <w:i/>
        </w:rPr>
        <w:t>Burdov v. Russia</w:t>
      </w:r>
      <w:r w:rsidRPr="000A411E">
        <w:rPr>
          <w:rFonts w:ascii="Garamond" w:hAnsi="Garamond" w:cs="Times New Roman"/>
        </w:rPr>
        <w:t xml:space="preserve"> (no. 2), no. 33509/04, ECHR 2009.</w:t>
      </w:r>
    </w:p>
  </w:footnote>
  <w:footnote w:id="137">
    <w:p w14:paraId="4D0F4BC4" w14:textId="41A365F0"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w:t>
      </w:r>
      <w:r w:rsidRPr="000A411E">
        <w:rPr>
          <w:rFonts w:ascii="Garamond" w:hAnsi="Garamond" w:cs="Times New Roman"/>
          <w:i/>
        </w:rPr>
        <w:t>Ilgar Mammadov v. Azerbaijan</w:t>
      </w:r>
      <w:r w:rsidRPr="000A411E">
        <w:rPr>
          <w:rFonts w:ascii="Garamond" w:hAnsi="Garamond" w:cs="Times New Roman"/>
        </w:rPr>
        <w:t xml:space="preserve">, no. 15172/13,22 May 2014, </w:t>
      </w:r>
      <w:r w:rsidRPr="009613DA">
        <w:rPr>
          <w:rFonts w:ascii="Garamond" w:hAnsi="Garamond" w:cs="Times New Roman"/>
          <w:i/>
        </w:rPr>
        <w:t>Sargsyan v. Azerbaijan</w:t>
      </w:r>
      <w:r w:rsidRPr="000A411E">
        <w:rPr>
          <w:rFonts w:ascii="Garamond" w:hAnsi="Garamond" w:cs="Times New Roman"/>
        </w:rPr>
        <w:t xml:space="preserve"> </w:t>
      </w:r>
      <w:hyperlink r:id="rId45" w:history="1">
        <w:r w:rsidRPr="000A411E">
          <w:rPr>
            <w:rStyle w:val="Hyperlink"/>
            <w:rFonts w:ascii="Garamond" w:hAnsi="Garamond" w:cs="Times New Roman"/>
          </w:rPr>
          <w:t>http://hudoc.exec.coe.int/eng?i=004-1717</w:t>
        </w:r>
      </w:hyperlink>
      <w:r w:rsidRPr="000A411E">
        <w:rPr>
          <w:rStyle w:val="Hyperlink"/>
          <w:rFonts w:ascii="Garamond" w:hAnsi="Garamond" w:cs="Times New Roman"/>
        </w:rPr>
        <w:t xml:space="preserve"> </w:t>
      </w:r>
      <w:r w:rsidRPr="000A411E">
        <w:rPr>
          <w:rFonts w:ascii="Garamond" w:hAnsi="Garamond" w:cs="Times New Roman"/>
        </w:rPr>
        <w:t>(accessed 25.01.2019)</w:t>
      </w:r>
      <w:r w:rsidRPr="000A411E">
        <w:rPr>
          <w:rFonts w:ascii="Garamond" w:hAnsi="Garamond" w:cs="Times New Roman"/>
        </w:rPr>
        <w:t xml:space="preserve">, </w:t>
      </w:r>
      <w:r w:rsidRPr="000A411E">
        <w:rPr>
          <w:rFonts w:ascii="Garamond" w:hAnsi="Garamond" w:cs="Times New Roman"/>
          <w:i/>
        </w:rPr>
        <w:t>Gafgaz Mammadov v Azerbaijan</w:t>
      </w:r>
      <w:r w:rsidRPr="000A411E">
        <w:rPr>
          <w:rFonts w:ascii="Garamond" w:hAnsi="Garamond" w:cs="Times New Roman"/>
        </w:rPr>
        <w:t xml:space="preserve"> </w:t>
      </w:r>
      <w:hyperlink r:id="rId46" w:history="1">
        <w:r w:rsidRPr="000A411E">
          <w:rPr>
            <w:rStyle w:val="Hyperlink"/>
            <w:rFonts w:ascii="Garamond" w:hAnsi="Garamond" w:cs="Times New Roman"/>
          </w:rPr>
          <w:t>http://hudoc.exec.coe.int/eng?i=004-1743</w:t>
        </w:r>
      </w:hyperlink>
      <w:r w:rsidRPr="000A411E">
        <w:rPr>
          <w:rStyle w:val="Hyperlink"/>
          <w:rFonts w:ascii="Garamond" w:hAnsi="Garamond" w:cs="Times New Roman"/>
        </w:rPr>
        <w:t xml:space="preserve"> </w:t>
      </w:r>
      <w:r w:rsidRPr="000A411E">
        <w:rPr>
          <w:rFonts w:ascii="Garamond" w:hAnsi="Garamond" w:cs="Times New Roman"/>
        </w:rPr>
        <w:t>(accessed 25.01.2019)</w:t>
      </w:r>
      <w:r w:rsidRPr="000A411E">
        <w:rPr>
          <w:rFonts w:ascii="Garamond" w:hAnsi="Garamond" w:cs="Times New Roman"/>
        </w:rPr>
        <w:t xml:space="preserve">. </w:t>
      </w:r>
    </w:p>
  </w:footnote>
  <w:footnote w:id="138">
    <w:p w14:paraId="5EDA88C0" w14:textId="348A7E48" w:rsidR="00E71905" w:rsidRPr="000A411E" w:rsidRDefault="00E71905" w:rsidP="000A411E">
      <w:pPr>
        <w:pStyle w:val="FootnoteText"/>
        <w:jc w:val="both"/>
        <w:rPr>
          <w:rFonts w:ascii="Garamond" w:hAnsi="Garamond" w:cs="Times New Roman"/>
          <w:lang w:val="ru-RU"/>
        </w:rPr>
      </w:pPr>
      <w:r w:rsidRPr="000A411E">
        <w:rPr>
          <w:rStyle w:val="FootnoteReference"/>
          <w:rFonts w:ascii="Garamond" w:hAnsi="Garamond" w:cs="Times New Roman"/>
        </w:rPr>
        <w:footnoteRef/>
      </w:r>
      <w:r w:rsidRPr="000A411E">
        <w:rPr>
          <w:rFonts w:ascii="Garamond" w:hAnsi="Garamond" w:cs="Times New Roman"/>
        </w:rPr>
        <w:t xml:space="preserve"> Speaker of the Russian Senate claimed that Russia will not recognise the judgments of the ECtHR. </w:t>
      </w:r>
      <w:r w:rsidRPr="000A411E">
        <w:rPr>
          <w:rFonts w:ascii="Garamond" w:hAnsi="Garamond" w:cs="Times New Roman"/>
          <w:lang w:val="ru-RU"/>
        </w:rPr>
        <w:t xml:space="preserve">Матвиенко заявила об отказе России признавать решения ЕСПЧ из-за ПАСЕ, </w:t>
      </w:r>
      <w:r w:rsidRPr="000A411E">
        <w:rPr>
          <w:rFonts w:ascii="Garamond" w:hAnsi="Garamond" w:cs="Times New Roman"/>
          <w:i/>
          <w:lang w:val="ru-RU"/>
        </w:rPr>
        <w:t>РБК</w:t>
      </w:r>
      <w:r w:rsidRPr="000A411E">
        <w:rPr>
          <w:rFonts w:ascii="Garamond" w:hAnsi="Garamond" w:cs="Times New Roman"/>
          <w:lang w:val="ru-RU"/>
        </w:rPr>
        <w:t xml:space="preserve">, </w:t>
      </w:r>
      <w:hyperlink r:id="rId47" w:history="1">
        <w:r w:rsidRPr="000A411E">
          <w:rPr>
            <w:rStyle w:val="Hyperlink"/>
            <w:rFonts w:ascii="Garamond" w:hAnsi="Garamond" w:cs="Times New Roman"/>
          </w:rPr>
          <w:t>https</w:t>
        </w:r>
        <w:r w:rsidRPr="000A411E">
          <w:rPr>
            <w:rStyle w:val="Hyperlink"/>
            <w:rFonts w:ascii="Garamond" w:hAnsi="Garamond" w:cs="Times New Roman"/>
            <w:lang w:val="ru-RU"/>
          </w:rPr>
          <w:t>://</w:t>
        </w:r>
        <w:r w:rsidRPr="000A411E">
          <w:rPr>
            <w:rStyle w:val="Hyperlink"/>
            <w:rFonts w:ascii="Garamond" w:hAnsi="Garamond" w:cs="Times New Roman"/>
          </w:rPr>
          <w:t>www</w:t>
        </w:r>
        <w:r w:rsidRPr="000A411E">
          <w:rPr>
            <w:rStyle w:val="Hyperlink"/>
            <w:rFonts w:ascii="Garamond" w:hAnsi="Garamond" w:cs="Times New Roman"/>
            <w:lang w:val="ru-RU"/>
          </w:rPr>
          <w:t>.</w:t>
        </w:r>
        <w:r w:rsidRPr="000A411E">
          <w:rPr>
            <w:rStyle w:val="Hyperlink"/>
            <w:rFonts w:ascii="Garamond" w:hAnsi="Garamond" w:cs="Times New Roman"/>
          </w:rPr>
          <w:t>rbc</w:t>
        </w:r>
        <w:r w:rsidRPr="000A411E">
          <w:rPr>
            <w:rStyle w:val="Hyperlink"/>
            <w:rFonts w:ascii="Garamond" w:hAnsi="Garamond" w:cs="Times New Roman"/>
            <w:lang w:val="ru-RU"/>
          </w:rPr>
          <w:t>.</w:t>
        </w:r>
        <w:r w:rsidRPr="000A411E">
          <w:rPr>
            <w:rStyle w:val="Hyperlink"/>
            <w:rFonts w:ascii="Garamond" w:hAnsi="Garamond" w:cs="Times New Roman"/>
          </w:rPr>
          <w:t>ru</w:t>
        </w:r>
        <w:r w:rsidRPr="000A411E">
          <w:rPr>
            <w:rStyle w:val="Hyperlink"/>
            <w:rFonts w:ascii="Garamond" w:hAnsi="Garamond" w:cs="Times New Roman"/>
            <w:lang w:val="ru-RU"/>
          </w:rPr>
          <w:t>/</w:t>
        </w:r>
        <w:r w:rsidRPr="000A411E">
          <w:rPr>
            <w:rStyle w:val="Hyperlink"/>
            <w:rFonts w:ascii="Garamond" w:hAnsi="Garamond" w:cs="Times New Roman"/>
          </w:rPr>
          <w:t>politics</w:t>
        </w:r>
        <w:r w:rsidRPr="000A411E">
          <w:rPr>
            <w:rStyle w:val="Hyperlink"/>
            <w:rFonts w:ascii="Garamond" w:hAnsi="Garamond" w:cs="Times New Roman"/>
            <w:lang w:val="ru-RU"/>
          </w:rPr>
          <w:t>/09/10/2017/59</w:t>
        </w:r>
        <w:r w:rsidRPr="000A411E">
          <w:rPr>
            <w:rStyle w:val="Hyperlink"/>
            <w:rFonts w:ascii="Garamond" w:hAnsi="Garamond" w:cs="Times New Roman"/>
          </w:rPr>
          <w:t>db</w:t>
        </w:r>
        <w:r w:rsidRPr="000A411E">
          <w:rPr>
            <w:rStyle w:val="Hyperlink"/>
            <w:rFonts w:ascii="Garamond" w:hAnsi="Garamond" w:cs="Times New Roman"/>
            <w:lang w:val="ru-RU"/>
          </w:rPr>
          <w:t>7</w:t>
        </w:r>
        <w:r w:rsidRPr="000A411E">
          <w:rPr>
            <w:rStyle w:val="Hyperlink"/>
            <w:rFonts w:ascii="Garamond" w:hAnsi="Garamond" w:cs="Times New Roman"/>
          </w:rPr>
          <w:t>cdc</w:t>
        </w:r>
        <w:r w:rsidRPr="000A411E">
          <w:rPr>
            <w:rStyle w:val="Hyperlink"/>
            <w:rFonts w:ascii="Garamond" w:hAnsi="Garamond" w:cs="Times New Roman"/>
            <w:lang w:val="ru-RU"/>
          </w:rPr>
          <w:t>9</w:t>
        </w:r>
        <w:r w:rsidRPr="000A411E">
          <w:rPr>
            <w:rStyle w:val="Hyperlink"/>
            <w:rFonts w:ascii="Garamond" w:hAnsi="Garamond" w:cs="Times New Roman"/>
          </w:rPr>
          <w:t>a</w:t>
        </w:r>
        <w:r w:rsidRPr="000A411E">
          <w:rPr>
            <w:rStyle w:val="Hyperlink"/>
            <w:rFonts w:ascii="Garamond" w:hAnsi="Garamond" w:cs="Times New Roman"/>
            <w:lang w:val="ru-RU"/>
          </w:rPr>
          <w:t>79470249</w:t>
        </w:r>
        <w:r w:rsidRPr="000A411E">
          <w:rPr>
            <w:rStyle w:val="Hyperlink"/>
            <w:rFonts w:ascii="Garamond" w:hAnsi="Garamond" w:cs="Times New Roman"/>
          </w:rPr>
          <w:t>c</w:t>
        </w:r>
        <w:r w:rsidRPr="000A411E">
          <w:rPr>
            <w:rStyle w:val="Hyperlink"/>
            <w:rFonts w:ascii="Garamond" w:hAnsi="Garamond" w:cs="Times New Roman"/>
            <w:lang w:val="ru-RU"/>
          </w:rPr>
          <w:t>79</w:t>
        </w:r>
        <w:r w:rsidRPr="000A411E">
          <w:rPr>
            <w:rStyle w:val="Hyperlink"/>
            <w:rFonts w:ascii="Garamond" w:hAnsi="Garamond" w:cs="Times New Roman"/>
          </w:rPr>
          <w:t>eba</w:t>
        </w:r>
      </w:hyperlink>
      <w:r w:rsidRPr="000A411E">
        <w:rPr>
          <w:rFonts w:ascii="Garamond" w:hAnsi="Garamond" w:cs="Times New Roman"/>
          <w:lang w:val="ru-RU"/>
        </w:rPr>
        <w:t xml:space="preserve"> (</w:t>
      </w:r>
      <w:r w:rsidRPr="000A411E">
        <w:rPr>
          <w:rFonts w:ascii="Garamond" w:hAnsi="Garamond" w:cs="Times New Roman"/>
        </w:rPr>
        <w:t>in</w:t>
      </w:r>
      <w:r w:rsidRPr="000A411E">
        <w:rPr>
          <w:rFonts w:ascii="Garamond" w:hAnsi="Garamond" w:cs="Times New Roman"/>
          <w:lang w:val="ru-RU"/>
        </w:rPr>
        <w:t xml:space="preserve"> </w:t>
      </w:r>
      <w:r w:rsidRPr="000A411E">
        <w:rPr>
          <w:rFonts w:ascii="Garamond" w:hAnsi="Garamond" w:cs="Times New Roman"/>
        </w:rPr>
        <w:t>Russian</w:t>
      </w:r>
      <w:r w:rsidRPr="00BE5AB4">
        <w:rPr>
          <w:rFonts w:ascii="Garamond" w:hAnsi="Garamond" w:cs="Times New Roman"/>
          <w:lang w:val="ru-RU"/>
        </w:rPr>
        <w:t xml:space="preserve"> </w:t>
      </w:r>
      <w:r w:rsidRPr="000A411E">
        <w:rPr>
          <w:rFonts w:ascii="Garamond" w:hAnsi="Garamond" w:cs="Times New Roman"/>
        </w:rPr>
        <w:t>accessed</w:t>
      </w:r>
      <w:r w:rsidRPr="00BE5AB4">
        <w:rPr>
          <w:rFonts w:ascii="Garamond" w:hAnsi="Garamond" w:cs="Times New Roman"/>
          <w:lang w:val="ru-RU"/>
        </w:rPr>
        <w:t xml:space="preserve"> 25.01.2019</w:t>
      </w:r>
      <w:r w:rsidRPr="000A411E">
        <w:rPr>
          <w:rFonts w:ascii="Garamond" w:hAnsi="Garamond" w:cs="Times New Roman"/>
          <w:lang w:val="ru-RU"/>
        </w:rPr>
        <w:t>).</w:t>
      </w:r>
    </w:p>
  </w:footnote>
  <w:footnote w:id="139">
    <w:p w14:paraId="571F8A4B" w14:textId="401B5EA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Country Factsheet. Ukraine. </w:t>
      </w:r>
      <w:hyperlink r:id="rId48" w:history="1">
        <w:r w:rsidRPr="000A411E">
          <w:rPr>
            <w:rStyle w:val="Hyperlink"/>
            <w:rFonts w:ascii="Garamond" w:hAnsi="Garamond" w:cs="Times New Roman"/>
          </w:rPr>
          <w:t>https://rm.coe.int/1680709769</w:t>
        </w:r>
      </w:hyperlink>
      <w:r w:rsidRPr="000A411E">
        <w:rPr>
          <w:rStyle w:val="Hyperlink"/>
          <w:rFonts w:ascii="Garamond" w:hAnsi="Garamond" w:cs="Times New Roman"/>
        </w:rPr>
        <w:t xml:space="preserve"> </w:t>
      </w:r>
      <w:r w:rsidRPr="000A411E">
        <w:rPr>
          <w:rFonts w:ascii="Garamond" w:hAnsi="Garamond" w:cs="Times New Roman"/>
        </w:rPr>
        <w:t>(accessed 25.01.2019)</w:t>
      </w:r>
      <w:r w:rsidRPr="000A411E">
        <w:rPr>
          <w:rFonts w:ascii="Garamond" w:hAnsi="Garamond" w:cs="Times New Roman"/>
        </w:rPr>
        <w:t xml:space="preserve">. </w:t>
      </w:r>
    </w:p>
  </w:footnote>
  <w:footnote w:id="140">
    <w:p w14:paraId="00BD12D5" w14:textId="5414FF2E" w:rsidR="00E71905" w:rsidRPr="000A411E" w:rsidRDefault="00E71905" w:rsidP="000A411E">
      <w:pPr>
        <w:pStyle w:val="FootnoteText"/>
        <w:jc w:val="both"/>
        <w:rPr>
          <w:rFonts w:ascii="Garamond" w:hAnsi="Garamond" w:cs="Times New Roman"/>
        </w:rPr>
      </w:pPr>
      <w:r w:rsidRPr="000A411E">
        <w:rPr>
          <w:rStyle w:val="FootnoteReference"/>
          <w:rFonts w:ascii="Garamond" w:hAnsi="Garamond" w:cs="Times New Roman"/>
        </w:rPr>
        <w:footnoteRef/>
      </w:r>
      <w:r w:rsidRPr="000A411E">
        <w:rPr>
          <w:rFonts w:ascii="Garamond" w:hAnsi="Garamond" w:cs="Times New Roman"/>
        </w:rPr>
        <w:t xml:space="preserve"> Roter (n. </w:t>
      </w:r>
      <w:r w:rsidRPr="000A411E">
        <w:rPr>
          <w:rFonts w:ascii="Garamond" w:hAnsi="Garamond" w:cs="Times New Roman"/>
        </w:rPr>
        <w:fldChar w:fldCharType="begin"/>
      </w:r>
      <w:r w:rsidRPr="000A411E">
        <w:rPr>
          <w:rFonts w:ascii="Garamond" w:hAnsi="Garamond" w:cs="Times New Roman"/>
        </w:rPr>
        <w:instrText xml:space="preserve"> NOTEREF _Ref516672836 \h  \* MERGEFORMAT </w:instrText>
      </w:r>
      <w:r w:rsidRPr="000A411E">
        <w:rPr>
          <w:rFonts w:ascii="Garamond" w:hAnsi="Garamond" w:cs="Times New Roman"/>
        </w:rPr>
      </w:r>
      <w:r w:rsidRPr="000A411E">
        <w:rPr>
          <w:rFonts w:ascii="Garamond" w:hAnsi="Garamond" w:cs="Times New Roman"/>
        </w:rPr>
        <w:fldChar w:fldCharType="separate"/>
      </w:r>
      <w:r w:rsidRPr="000A411E">
        <w:rPr>
          <w:rFonts w:ascii="Garamond" w:hAnsi="Garamond" w:cs="Times New Roman"/>
        </w:rPr>
        <w:t>131</w:t>
      </w:r>
      <w:r w:rsidRPr="000A411E">
        <w:rPr>
          <w:rFonts w:ascii="Garamond" w:hAnsi="Garamond" w:cs="Times New Roman"/>
        </w:rPr>
        <w:fldChar w:fldCharType="end"/>
      </w:r>
      <w:r w:rsidRPr="000A411E">
        <w:rPr>
          <w:rFonts w:ascii="Garamond" w:hAnsi="Garamond" w:cs="Times New Roman"/>
        </w:rPr>
        <w:t>)</w:t>
      </w:r>
      <w:r w:rsidR="009613DA">
        <w:rPr>
          <w:rFonts w:ascii="Garamond" w:hAnsi="Garamond" w:cs="Times New Roman"/>
        </w:rPr>
        <w:t>,</w:t>
      </w:r>
      <w:bookmarkStart w:id="11" w:name="_GoBack"/>
      <w:bookmarkEnd w:id="11"/>
      <w:r w:rsidRPr="000A411E">
        <w:rPr>
          <w:rFonts w:ascii="Garamond" w:hAnsi="Garamond" w:cs="Times New Roman"/>
        </w:rPr>
        <w:t xml:space="preserve"> 51-52.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7FE4"/>
    <w:multiLevelType w:val="hybridMultilevel"/>
    <w:tmpl w:val="AC1E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A6626"/>
    <w:multiLevelType w:val="multilevel"/>
    <w:tmpl w:val="203ADC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3FD3356"/>
    <w:multiLevelType w:val="hybridMultilevel"/>
    <w:tmpl w:val="947C0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013135"/>
    <w:multiLevelType w:val="multilevel"/>
    <w:tmpl w:val="07E2D07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A733AF"/>
    <w:multiLevelType w:val="hybridMultilevel"/>
    <w:tmpl w:val="6CFE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AD74D9"/>
    <w:multiLevelType w:val="multilevel"/>
    <w:tmpl w:val="F3B8699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255488"/>
    <w:multiLevelType w:val="multilevel"/>
    <w:tmpl w:val="803CE0E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D624358"/>
    <w:multiLevelType w:val="hybridMultilevel"/>
    <w:tmpl w:val="EFDED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1F6D9A"/>
    <w:multiLevelType w:val="multilevel"/>
    <w:tmpl w:val="D5FCE4C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5132A42"/>
    <w:multiLevelType w:val="multilevel"/>
    <w:tmpl w:val="D8DE77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7"/>
  </w:num>
  <w:num w:numId="4">
    <w:abstractNumId w:val="2"/>
  </w:num>
  <w:num w:numId="5">
    <w:abstractNumId w:val="0"/>
  </w:num>
  <w:num w:numId="6">
    <w:abstractNumId w:val="1"/>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ru-RU" w:vendorID="64" w:dllVersion="131078" w:nlCheck="1" w:checkStyle="0"/>
  <w:activeWritingStyle w:appName="MSWord" w:lang="de-DE" w:vendorID="64" w:dllVersion="131078" w:nlCheck="1" w:checkStyle="0"/>
  <w:activeWritingStyle w:appName="MSWord" w:lang="fr-FR"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22"/>
    <w:rsid w:val="000000E6"/>
    <w:rsid w:val="00000C3B"/>
    <w:rsid w:val="0000245B"/>
    <w:rsid w:val="00007B15"/>
    <w:rsid w:val="00011367"/>
    <w:rsid w:val="000113B7"/>
    <w:rsid w:val="000119B9"/>
    <w:rsid w:val="00014E73"/>
    <w:rsid w:val="00015991"/>
    <w:rsid w:val="000164BE"/>
    <w:rsid w:val="00016AFC"/>
    <w:rsid w:val="00024252"/>
    <w:rsid w:val="000258CC"/>
    <w:rsid w:val="0003441E"/>
    <w:rsid w:val="0003463C"/>
    <w:rsid w:val="00034C31"/>
    <w:rsid w:val="000401BB"/>
    <w:rsid w:val="0004203D"/>
    <w:rsid w:val="000442D8"/>
    <w:rsid w:val="0004764E"/>
    <w:rsid w:val="00047B8C"/>
    <w:rsid w:val="00050C44"/>
    <w:rsid w:val="000514E6"/>
    <w:rsid w:val="0005420D"/>
    <w:rsid w:val="000542D0"/>
    <w:rsid w:val="00054A8F"/>
    <w:rsid w:val="00055A83"/>
    <w:rsid w:val="000568A4"/>
    <w:rsid w:val="00056B4E"/>
    <w:rsid w:val="00057A5D"/>
    <w:rsid w:val="00060A96"/>
    <w:rsid w:val="000640B4"/>
    <w:rsid w:val="00064B7F"/>
    <w:rsid w:val="000677B2"/>
    <w:rsid w:val="000749F3"/>
    <w:rsid w:val="000760DE"/>
    <w:rsid w:val="000774E9"/>
    <w:rsid w:val="00081180"/>
    <w:rsid w:val="00085972"/>
    <w:rsid w:val="00086446"/>
    <w:rsid w:val="000905FA"/>
    <w:rsid w:val="0009083D"/>
    <w:rsid w:val="00094392"/>
    <w:rsid w:val="000944BE"/>
    <w:rsid w:val="00095742"/>
    <w:rsid w:val="00096F22"/>
    <w:rsid w:val="00097179"/>
    <w:rsid w:val="00097AAA"/>
    <w:rsid w:val="000A07B0"/>
    <w:rsid w:val="000A1C47"/>
    <w:rsid w:val="000A2B6F"/>
    <w:rsid w:val="000A3EE8"/>
    <w:rsid w:val="000A411E"/>
    <w:rsid w:val="000A55BE"/>
    <w:rsid w:val="000A58AB"/>
    <w:rsid w:val="000A6C5D"/>
    <w:rsid w:val="000A7E14"/>
    <w:rsid w:val="000B08EF"/>
    <w:rsid w:val="000B1527"/>
    <w:rsid w:val="000B1FC7"/>
    <w:rsid w:val="000C0288"/>
    <w:rsid w:val="000C3834"/>
    <w:rsid w:val="000C4E1D"/>
    <w:rsid w:val="000C6B01"/>
    <w:rsid w:val="000D1CF8"/>
    <w:rsid w:val="000D41E5"/>
    <w:rsid w:val="000D7FAE"/>
    <w:rsid w:val="000E2408"/>
    <w:rsid w:val="000E31CB"/>
    <w:rsid w:val="000E439A"/>
    <w:rsid w:val="000E4BAF"/>
    <w:rsid w:val="000E7A77"/>
    <w:rsid w:val="000F0468"/>
    <w:rsid w:val="000F1649"/>
    <w:rsid w:val="000F1F4F"/>
    <w:rsid w:val="000F29E6"/>
    <w:rsid w:val="000F7730"/>
    <w:rsid w:val="001033A7"/>
    <w:rsid w:val="00104249"/>
    <w:rsid w:val="00107E60"/>
    <w:rsid w:val="0011237C"/>
    <w:rsid w:val="001128F7"/>
    <w:rsid w:val="001134CC"/>
    <w:rsid w:val="00116B5E"/>
    <w:rsid w:val="001170B5"/>
    <w:rsid w:val="00125A96"/>
    <w:rsid w:val="00131044"/>
    <w:rsid w:val="001323D2"/>
    <w:rsid w:val="00132AAC"/>
    <w:rsid w:val="00132D2B"/>
    <w:rsid w:val="00133823"/>
    <w:rsid w:val="00134470"/>
    <w:rsid w:val="001350A4"/>
    <w:rsid w:val="0014413C"/>
    <w:rsid w:val="00145AB9"/>
    <w:rsid w:val="00146437"/>
    <w:rsid w:val="001527D3"/>
    <w:rsid w:val="00152F82"/>
    <w:rsid w:val="00153C39"/>
    <w:rsid w:val="00154CA4"/>
    <w:rsid w:val="0015720C"/>
    <w:rsid w:val="00157A2A"/>
    <w:rsid w:val="00157D02"/>
    <w:rsid w:val="0016042D"/>
    <w:rsid w:val="001604D2"/>
    <w:rsid w:val="00160FE0"/>
    <w:rsid w:val="001618A9"/>
    <w:rsid w:val="00162006"/>
    <w:rsid w:val="00163A45"/>
    <w:rsid w:val="00163E12"/>
    <w:rsid w:val="00165DFB"/>
    <w:rsid w:val="001662DE"/>
    <w:rsid w:val="00170F2A"/>
    <w:rsid w:val="00172E23"/>
    <w:rsid w:val="00173D8A"/>
    <w:rsid w:val="00180778"/>
    <w:rsid w:val="00182ADE"/>
    <w:rsid w:val="0018654C"/>
    <w:rsid w:val="00191829"/>
    <w:rsid w:val="0019263A"/>
    <w:rsid w:val="001935F3"/>
    <w:rsid w:val="001936AC"/>
    <w:rsid w:val="001A03A1"/>
    <w:rsid w:val="001A1527"/>
    <w:rsid w:val="001A7267"/>
    <w:rsid w:val="001A75F0"/>
    <w:rsid w:val="001B3F7B"/>
    <w:rsid w:val="001C1947"/>
    <w:rsid w:val="001C1B89"/>
    <w:rsid w:val="001C214F"/>
    <w:rsid w:val="001C7C73"/>
    <w:rsid w:val="001D0E07"/>
    <w:rsid w:val="001D128F"/>
    <w:rsid w:val="001D1828"/>
    <w:rsid w:val="001D2D77"/>
    <w:rsid w:val="001D53BD"/>
    <w:rsid w:val="001E056F"/>
    <w:rsid w:val="001E06D0"/>
    <w:rsid w:val="001E14B2"/>
    <w:rsid w:val="001E7360"/>
    <w:rsid w:val="001E7620"/>
    <w:rsid w:val="001F1ADB"/>
    <w:rsid w:val="001F5F9C"/>
    <w:rsid w:val="001F623E"/>
    <w:rsid w:val="002000D7"/>
    <w:rsid w:val="00200DAE"/>
    <w:rsid w:val="00201722"/>
    <w:rsid w:val="00201DFC"/>
    <w:rsid w:val="00202CB4"/>
    <w:rsid w:val="00204234"/>
    <w:rsid w:val="00210307"/>
    <w:rsid w:val="0021437B"/>
    <w:rsid w:val="00215B8A"/>
    <w:rsid w:val="00216871"/>
    <w:rsid w:val="00217F6A"/>
    <w:rsid w:val="00220CCE"/>
    <w:rsid w:val="00222714"/>
    <w:rsid w:val="00223323"/>
    <w:rsid w:val="00223CA8"/>
    <w:rsid w:val="0022434B"/>
    <w:rsid w:val="00226480"/>
    <w:rsid w:val="00231BFF"/>
    <w:rsid w:val="00231EE4"/>
    <w:rsid w:val="00233803"/>
    <w:rsid w:val="002345A7"/>
    <w:rsid w:val="00234D99"/>
    <w:rsid w:val="00236029"/>
    <w:rsid w:val="00244005"/>
    <w:rsid w:val="00244436"/>
    <w:rsid w:val="00244A63"/>
    <w:rsid w:val="00247A31"/>
    <w:rsid w:val="002524F7"/>
    <w:rsid w:val="00253BD8"/>
    <w:rsid w:val="002567F8"/>
    <w:rsid w:val="00257D2D"/>
    <w:rsid w:val="0026418C"/>
    <w:rsid w:val="002647DA"/>
    <w:rsid w:val="0027533C"/>
    <w:rsid w:val="00275510"/>
    <w:rsid w:val="002768CE"/>
    <w:rsid w:val="0028061E"/>
    <w:rsid w:val="0028174A"/>
    <w:rsid w:val="002817B0"/>
    <w:rsid w:val="002903EF"/>
    <w:rsid w:val="00295403"/>
    <w:rsid w:val="00295824"/>
    <w:rsid w:val="00296103"/>
    <w:rsid w:val="0029654A"/>
    <w:rsid w:val="00297D67"/>
    <w:rsid w:val="002A0F41"/>
    <w:rsid w:val="002A177D"/>
    <w:rsid w:val="002A2B99"/>
    <w:rsid w:val="002A43B3"/>
    <w:rsid w:val="002A5CAE"/>
    <w:rsid w:val="002A5F04"/>
    <w:rsid w:val="002B0B7C"/>
    <w:rsid w:val="002B2811"/>
    <w:rsid w:val="002B2B3F"/>
    <w:rsid w:val="002B55C9"/>
    <w:rsid w:val="002B5C82"/>
    <w:rsid w:val="002C006F"/>
    <w:rsid w:val="002C4800"/>
    <w:rsid w:val="002C7DF1"/>
    <w:rsid w:val="002D0FA9"/>
    <w:rsid w:val="002D38B5"/>
    <w:rsid w:val="002E0455"/>
    <w:rsid w:val="002E0A86"/>
    <w:rsid w:val="002E19B6"/>
    <w:rsid w:val="002E2C41"/>
    <w:rsid w:val="002E375A"/>
    <w:rsid w:val="002E390C"/>
    <w:rsid w:val="002E3A6A"/>
    <w:rsid w:val="002E3A91"/>
    <w:rsid w:val="002E5044"/>
    <w:rsid w:val="002E7C2E"/>
    <w:rsid w:val="0030089B"/>
    <w:rsid w:val="003008DC"/>
    <w:rsid w:val="003022D0"/>
    <w:rsid w:val="00302E26"/>
    <w:rsid w:val="00303093"/>
    <w:rsid w:val="00303BFC"/>
    <w:rsid w:val="00304EE8"/>
    <w:rsid w:val="003102F5"/>
    <w:rsid w:val="00310F7B"/>
    <w:rsid w:val="003154AD"/>
    <w:rsid w:val="00317380"/>
    <w:rsid w:val="00317519"/>
    <w:rsid w:val="00321C09"/>
    <w:rsid w:val="00322D67"/>
    <w:rsid w:val="003260BF"/>
    <w:rsid w:val="00330578"/>
    <w:rsid w:val="00331E6E"/>
    <w:rsid w:val="00334A96"/>
    <w:rsid w:val="00335C36"/>
    <w:rsid w:val="00336468"/>
    <w:rsid w:val="0033792C"/>
    <w:rsid w:val="00345E3B"/>
    <w:rsid w:val="003509A3"/>
    <w:rsid w:val="00353411"/>
    <w:rsid w:val="00353937"/>
    <w:rsid w:val="00354AE2"/>
    <w:rsid w:val="00356D6B"/>
    <w:rsid w:val="00362D76"/>
    <w:rsid w:val="00364800"/>
    <w:rsid w:val="00366CCE"/>
    <w:rsid w:val="00366D9D"/>
    <w:rsid w:val="003715A6"/>
    <w:rsid w:val="00372352"/>
    <w:rsid w:val="003725E4"/>
    <w:rsid w:val="0037331D"/>
    <w:rsid w:val="0037573A"/>
    <w:rsid w:val="00376983"/>
    <w:rsid w:val="0037737E"/>
    <w:rsid w:val="003802BA"/>
    <w:rsid w:val="00381528"/>
    <w:rsid w:val="00381E40"/>
    <w:rsid w:val="003838E7"/>
    <w:rsid w:val="003840BC"/>
    <w:rsid w:val="00384EDE"/>
    <w:rsid w:val="003937CB"/>
    <w:rsid w:val="00394BED"/>
    <w:rsid w:val="00395058"/>
    <w:rsid w:val="00395BFB"/>
    <w:rsid w:val="00396324"/>
    <w:rsid w:val="003979CE"/>
    <w:rsid w:val="003A017D"/>
    <w:rsid w:val="003A051D"/>
    <w:rsid w:val="003A0C25"/>
    <w:rsid w:val="003A171B"/>
    <w:rsid w:val="003A298A"/>
    <w:rsid w:val="003A38CB"/>
    <w:rsid w:val="003A46C8"/>
    <w:rsid w:val="003B11B4"/>
    <w:rsid w:val="003B3BD7"/>
    <w:rsid w:val="003B4724"/>
    <w:rsid w:val="003B5308"/>
    <w:rsid w:val="003B690D"/>
    <w:rsid w:val="003B775D"/>
    <w:rsid w:val="003C0373"/>
    <w:rsid w:val="003C2DE6"/>
    <w:rsid w:val="003C458D"/>
    <w:rsid w:val="003C5B45"/>
    <w:rsid w:val="003C5D5D"/>
    <w:rsid w:val="003C619C"/>
    <w:rsid w:val="003C701F"/>
    <w:rsid w:val="003D08FD"/>
    <w:rsid w:val="003D0BEE"/>
    <w:rsid w:val="003D1342"/>
    <w:rsid w:val="003D18F1"/>
    <w:rsid w:val="003D25DF"/>
    <w:rsid w:val="003D43EC"/>
    <w:rsid w:val="003E0579"/>
    <w:rsid w:val="003E3BED"/>
    <w:rsid w:val="003F080D"/>
    <w:rsid w:val="003F1AB4"/>
    <w:rsid w:val="003F38FF"/>
    <w:rsid w:val="003F4157"/>
    <w:rsid w:val="0040037E"/>
    <w:rsid w:val="00401540"/>
    <w:rsid w:val="00401947"/>
    <w:rsid w:val="00403131"/>
    <w:rsid w:val="004057AC"/>
    <w:rsid w:val="00406A4A"/>
    <w:rsid w:val="00411613"/>
    <w:rsid w:val="00413CD4"/>
    <w:rsid w:val="00413EF9"/>
    <w:rsid w:val="00417168"/>
    <w:rsid w:val="004206AB"/>
    <w:rsid w:val="00421A5B"/>
    <w:rsid w:val="00422A82"/>
    <w:rsid w:val="004242AB"/>
    <w:rsid w:val="00424FA4"/>
    <w:rsid w:val="00425945"/>
    <w:rsid w:val="00425DF6"/>
    <w:rsid w:val="00433937"/>
    <w:rsid w:val="00433DA2"/>
    <w:rsid w:val="0043714E"/>
    <w:rsid w:val="00437D30"/>
    <w:rsid w:val="004463C5"/>
    <w:rsid w:val="00447F54"/>
    <w:rsid w:val="0045185F"/>
    <w:rsid w:val="00452016"/>
    <w:rsid w:val="004523F0"/>
    <w:rsid w:val="00452E03"/>
    <w:rsid w:val="00454229"/>
    <w:rsid w:val="004554A2"/>
    <w:rsid w:val="0046071E"/>
    <w:rsid w:val="00463261"/>
    <w:rsid w:val="004636A9"/>
    <w:rsid w:val="00464444"/>
    <w:rsid w:val="0047560A"/>
    <w:rsid w:val="004822E7"/>
    <w:rsid w:val="00483A59"/>
    <w:rsid w:val="00484332"/>
    <w:rsid w:val="004863B8"/>
    <w:rsid w:val="00486F95"/>
    <w:rsid w:val="004872D5"/>
    <w:rsid w:val="00490837"/>
    <w:rsid w:val="00490B52"/>
    <w:rsid w:val="004943DC"/>
    <w:rsid w:val="004958D3"/>
    <w:rsid w:val="004A3DEC"/>
    <w:rsid w:val="004A4AF5"/>
    <w:rsid w:val="004A4BA2"/>
    <w:rsid w:val="004A4D43"/>
    <w:rsid w:val="004A775B"/>
    <w:rsid w:val="004A7C45"/>
    <w:rsid w:val="004B3306"/>
    <w:rsid w:val="004B3437"/>
    <w:rsid w:val="004B5C19"/>
    <w:rsid w:val="004C2B7F"/>
    <w:rsid w:val="004C5B9F"/>
    <w:rsid w:val="004C5FD2"/>
    <w:rsid w:val="004C75D8"/>
    <w:rsid w:val="004D2506"/>
    <w:rsid w:val="004D3C26"/>
    <w:rsid w:val="004D7593"/>
    <w:rsid w:val="004E04B6"/>
    <w:rsid w:val="004E0840"/>
    <w:rsid w:val="004E1E49"/>
    <w:rsid w:val="004E5B73"/>
    <w:rsid w:val="004E66B4"/>
    <w:rsid w:val="004E7985"/>
    <w:rsid w:val="004F3CDE"/>
    <w:rsid w:val="004F5251"/>
    <w:rsid w:val="004F7D15"/>
    <w:rsid w:val="005005B4"/>
    <w:rsid w:val="00501970"/>
    <w:rsid w:val="005035CF"/>
    <w:rsid w:val="00504B3E"/>
    <w:rsid w:val="00504FE7"/>
    <w:rsid w:val="00513483"/>
    <w:rsid w:val="00513CAD"/>
    <w:rsid w:val="00514D5A"/>
    <w:rsid w:val="00516218"/>
    <w:rsid w:val="0051763D"/>
    <w:rsid w:val="005223AB"/>
    <w:rsid w:val="00522B96"/>
    <w:rsid w:val="0052384A"/>
    <w:rsid w:val="00523D24"/>
    <w:rsid w:val="00523FB0"/>
    <w:rsid w:val="00532E35"/>
    <w:rsid w:val="0053726B"/>
    <w:rsid w:val="005373B0"/>
    <w:rsid w:val="00541733"/>
    <w:rsid w:val="00542253"/>
    <w:rsid w:val="005469BA"/>
    <w:rsid w:val="00547A28"/>
    <w:rsid w:val="00550E61"/>
    <w:rsid w:val="0055276D"/>
    <w:rsid w:val="00556686"/>
    <w:rsid w:val="005602D8"/>
    <w:rsid w:val="005609EE"/>
    <w:rsid w:val="00563D4A"/>
    <w:rsid w:val="0057074D"/>
    <w:rsid w:val="005709E5"/>
    <w:rsid w:val="0057456E"/>
    <w:rsid w:val="0057583C"/>
    <w:rsid w:val="00577A5A"/>
    <w:rsid w:val="00580C75"/>
    <w:rsid w:val="00580F97"/>
    <w:rsid w:val="005831AF"/>
    <w:rsid w:val="0058367D"/>
    <w:rsid w:val="00586B5E"/>
    <w:rsid w:val="00591F70"/>
    <w:rsid w:val="00593F71"/>
    <w:rsid w:val="00595814"/>
    <w:rsid w:val="00596323"/>
    <w:rsid w:val="005A0E93"/>
    <w:rsid w:val="005A3BA8"/>
    <w:rsid w:val="005A5AC2"/>
    <w:rsid w:val="005A604F"/>
    <w:rsid w:val="005B04D2"/>
    <w:rsid w:val="005B0569"/>
    <w:rsid w:val="005B4CC5"/>
    <w:rsid w:val="005C1360"/>
    <w:rsid w:val="005C60A5"/>
    <w:rsid w:val="005D0B30"/>
    <w:rsid w:val="005D1B03"/>
    <w:rsid w:val="005D2CFF"/>
    <w:rsid w:val="005D320B"/>
    <w:rsid w:val="005D6F52"/>
    <w:rsid w:val="005E0779"/>
    <w:rsid w:val="005E3455"/>
    <w:rsid w:val="005E370C"/>
    <w:rsid w:val="005E5920"/>
    <w:rsid w:val="005E6B2D"/>
    <w:rsid w:val="005E7849"/>
    <w:rsid w:val="005F08E9"/>
    <w:rsid w:val="005F376F"/>
    <w:rsid w:val="005F7761"/>
    <w:rsid w:val="006027E6"/>
    <w:rsid w:val="006047DF"/>
    <w:rsid w:val="00605490"/>
    <w:rsid w:val="0061122F"/>
    <w:rsid w:val="00614D30"/>
    <w:rsid w:val="00614FDE"/>
    <w:rsid w:val="006175A1"/>
    <w:rsid w:val="006241CF"/>
    <w:rsid w:val="00624FE4"/>
    <w:rsid w:val="006266D0"/>
    <w:rsid w:val="00626C07"/>
    <w:rsid w:val="006321EB"/>
    <w:rsid w:val="00633430"/>
    <w:rsid w:val="00633C10"/>
    <w:rsid w:val="0063690F"/>
    <w:rsid w:val="00637D35"/>
    <w:rsid w:val="00637DAD"/>
    <w:rsid w:val="006413ED"/>
    <w:rsid w:val="00641667"/>
    <w:rsid w:val="00644170"/>
    <w:rsid w:val="00644C66"/>
    <w:rsid w:val="00645E4C"/>
    <w:rsid w:val="0065092C"/>
    <w:rsid w:val="00650C73"/>
    <w:rsid w:val="00652F85"/>
    <w:rsid w:val="00653551"/>
    <w:rsid w:val="00657553"/>
    <w:rsid w:val="006578F5"/>
    <w:rsid w:val="00660F0A"/>
    <w:rsid w:val="006622F8"/>
    <w:rsid w:val="006644F1"/>
    <w:rsid w:val="00666563"/>
    <w:rsid w:val="00673920"/>
    <w:rsid w:val="0067501A"/>
    <w:rsid w:val="00675A1A"/>
    <w:rsid w:val="00676443"/>
    <w:rsid w:val="00676D8B"/>
    <w:rsid w:val="00676DD1"/>
    <w:rsid w:val="00681857"/>
    <w:rsid w:val="00681DAE"/>
    <w:rsid w:val="00682E4C"/>
    <w:rsid w:val="00683AF9"/>
    <w:rsid w:val="00685373"/>
    <w:rsid w:val="006853AB"/>
    <w:rsid w:val="006925FE"/>
    <w:rsid w:val="00693E1D"/>
    <w:rsid w:val="00697CBC"/>
    <w:rsid w:val="006A0DFE"/>
    <w:rsid w:val="006B3D00"/>
    <w:rsid w:val="006B47A8"/>
    <w:rsid w:val="006B63E4"/>
    <w:rsid w:val="006C04C6"/>
    <w:rsid w:val="006D1058"/>
    <w:rsid w:val="006D1ADE"/>
    <w:rsid w:val="006D261F"/>
    <w:rsid w:val="006D40B4"/>
    <w:rsid w:val="006D42F8"/>
    <w:rsid w:val="006D7459"/>
    <w:rsid w:val="006E0D74"/>
    <w:rsid w:val="006E169D"/>
    <w:rsid w:val="006E4A35"/>
    <w:rsid w:val="006E6A55"/>
    <w:rsid w:val="006F0B89"/>
    <w:rsid w:val="006F1656"/>
    <w:rsid w:val="006F6034"/>
    <w:rsid w:val="006F6BC0"/>
    <w:rsid w:val="006F6D5D"/>
    <w:rsid w:val="006F72AD"/>
    <w:rsid w:val="006F73DD"/>
    <w:rsid w:val="006F7F3E"/>
    <w:rsid w:val="007009FF"/>
    <w:rsid w:val="00702CA5"/>
    <w:rsid w:val="00704FD4"/>
    <w:rsid w:val="00705920"/>
    <w:rsid w:val="00705AD5"/>
    <w:rsid w:val="00705CB4"/>
    <w:rsid w:val="00706B22"/>
    <w:rsid w:val="00707628"/>
    <w:rsid w:val="007115EF"/>
    <w:rsid w:val="00716B73"/>
    <w:rsid w:val="007173CA"/>
    <w:rsid w:val="00717E25"/>
    <w:rsid w:val="0072006A"/>
    <w:rsid w:val="007252BC"/>
    <w:rsid w:val="00730860"/>
    <w:rsid w:val="007355E2"/>
    <w:rsid w:val="00740291"/>
    <w:rsid w:val="0074045E"/>
    <w:rsid w:val="00747134"/>
    <w:rsid w:val="00750758"/>
    <w:rsid w:val="007511B9"/>
    <w:rsid w:val="0075449E"/>
    <w:rsid w:val="00757AFB"/>
    <w:rsid w:val="00760028"/>
    <w:rsid w:val="00761C67"/>
    <w:rsid w:val="00765973"/>
    <w:rsid w:val="00766AC8"/>
    <w:rsid w:val="007703D3"/>
    <w:rsid w:val="007716A7"/>
    <w:rsid w:val="007719CD"/>
    <w:rsid w:val="00775A03"/>
    <w:rsid w:val="00775AD9"/>
    <w:rsid w:val="00775F92"/>
    <w:rsid w:val="00777923"/>
    <w:rsid w:val="00780D44"/>
    <w:rsid w:val="007819A8"/>
    <w:rsid w:val="00784394"/>
    <w:rsid w:val="007851D4"/>
    <w:rsid w:val="00786635"/>
    <w:rsid w:val="0078675A"/>
    <w:rsid w:val="0078743A"/>
    <w:rsid w:val="0079529F"/>
    <w:rsid w:val="00795DE5"/>
    <w:rsid w:val="00795EBD"/>
    <w:rsid w:val="00797607"/>
    <w:rsid w:val="00797BE7"/>
    <w:rsid w:val="007A08C2"/>
    <w:rsid w:val="007A11F2"/>
    <w:rsid w:val="007A3AD2"/>
    <w:rsid w:val="007A42F6"/>
    <w:rsid w:val="007A581F"/>
    <w:rsid w:val="007B11D5"/>
    <w:rsid w:val="007B21BA"/>
    <w:rsid w:val="007B35BE"/>
    <w:rsid w:val="007B43F4"/>
    <w:rsid w:val="007B4E9D"/>
    <w:rsid w:val="007B5BCD"/>
    <w:rsid w:val="007B600E"/>
    <w:rsid w:val="007B67A9"/>
    <w:rsid w:val="007B6D30"/>
    <w:rsid w:val="007C0E6D"/>
    <w:rsid w:val="007C1A43"/>
    <w:rsid w:val="007C38EC"/>
    <w:rsid w:val="007C412A"/>
    <w:rsid w:val="007C4EED"/>
    <w:rsid w:val="007C562B"/>
    <w:rsid w:val="007C592C"/>
    <w:rsid w:val="007C6854"/>
    <w:rsid w:val="007C6B30"/>
    <w:rsid w:val="007D2375"/>
    <w:rsid w:val="007D461C"/>
    <w:rsid w:val="007D47B1"/>
    <w:rsid w:val="007D6317"/>
    <w:rsid w:val="007E14D2"/>
    <w:rsid w:val="007E35D8"/>
    <w:rsid w:val="007E4854"/>
    <w:rsid w:val="007E603C"/>
    <w:rsid w:val="007E66A2"/>
    <w:rsid w:val="007F0CDB"/>
    <w:rsid w:val="007F0D8A"/>
    <w:rsid w:val="007F1122"/>
    <w:rsid w:val="007F1948"/>
    <w:rsid w:val="007F33DA"/>
    <w:rsid w:val="007F579C"/>
    <w:rsid w:val="007F598E"/>
    <w:rsid w:val="007F5CDA"/>
    <w:rsid w:val="007F6184"/>
    <w:rsid w:val="00802A8B"/>
    <w:rsid w:val="008047BF"/>
    <w:rsid w:val="00806EDF"/>
    <w:rsid w:val="00807AB2"/>
    <w:rsid w:val="00810A72"/>
    <w:rsid w:val="00810AC7"/>
    <w:rsid w:val="00811D08"/>
    <w:rsid w:val="00814065"/>
    <w:rsid w:val="00820041"/>
    <w:rsid w:val="00822AF1"/>
    <w:rsid w:val="008277F1"/>
    <w:rsid w:val="008303F3"/>
    <w:rsid w:val="00830EAE"/>
    <w:rsid w:val="008310FC"/>
    <w:rsid w:val="00832706"/>
    <w:rsid w:val="00835D2C"/>
    <w:rsid w:val="008363A0"/>
    <w:rsid w:val="0083661F"/>
    <w:rsid w:val="00840919"/>
    <w:rsid w:val="00841D9B"/>
    <w:rsid w:val="0084331E"/>
    <w:rsid w:val="00843CE0"/>
    <w:rsid w:val="0084444F"/>
    <w:rsid w:val="00845092"/>
    <w:rsid w:val="00845A28"/>
    <w:rsid w:val="008525AD"/>
    <w:rsid w:val="00853C8E"/>
    <w:rsid w:val="008603EC"/>
    <w:rsid w:val="008767A8"/>
    <w:rsid w:val="00877A24"/>
    <w:rsid w:val="00881F0A"/>
    <w:rsid w:val="008835D0"/>
    <w:rsid w:val="00886A86"/>
    <w:rsid w:val="00887072"/>
    <w:rsid w:val="00887606"/>
    <w:rsid w:val="00887D06"/>
    <w:rsid w:val="00895673"/>
    <w:rsid w:val="008A1947"/>
    <w:rsid w:val="008A332C"/>
    <w:rsid w:val="008A3F24"/>
    <w:rsid w:val="008A7D0A"/>
    <w:rsid w:val="008B179A"/>
    <w:rsid w:val="008B3A58"/>
    <w:rsid w:val="008B670B"/>
    <w:rsid w:val="008C0238"/>
    <w:rsid w:val="008D11FB"/>
    <w:rsid w:val="008D51D7"/>
    <w:rsid w:val="008D65E4"/>
    <w:rsid w:val="008E0B46"/>
    <w:rsid w:val="008E3AF6"/>
    <w:rsid w:val="008E4AFF"/>
    <w:rsid w:val="008E65B6"/>
    <w:rsid w:val="008F2593"/>
    <w:rsid w:val="008F26D5"/>
    <w:rsid w:val="008F28BD"/>
    <w:rsid w:val="008F4FF9"/>
    <w:rsid w:val="00902FDF"/>
    <w:rsid w:val="00903706"/>
    <w:rsid w:val="00904DCF"/>
    <w:rsid w:val="00906CE6"/>
    <w:rsid w:val="009073D2"/>
    <w:rsid w:val="009130B8"/>
    <w:rsid w:val="00913E38"/>
    <w:rsid w:val="00925B03"/>
    <w:rsid w:val="00930F5F"/>
    <w:rsid w:val="009322B2"/>
    <w:rsid w:val="009343AA"/>
    <w:rsid w:val="0093586A"/>
    <w:rsid w:val="00942E94"/>
    <w:rsid w:val="009433AA"/>
    <w:rsid w:val="00945CA1"/>
    <w:rsid w:val="00945F21"/>
    <w:rsid w:val="00950955"/>
    <w:rsid w:val="00954CF3"/>
    <w:rsid w:val="00954CF7"/>
    <w:rsid w:val="009550DD"/>
    <w:rsid w:val="00955F7D"/>
    <w:rsid w:val="009613DA"/>
    <w:rsid w:val="009621C3"/>
    <w:rsid w:val="0096476D"/>
    <w:rsid w:val="00966544"/>
    <w:rsid w:val="00966BA3"/>
    <w:rsid w:val="00970328"/>
    <w:rsid w:val="00970B98"/>
    <w:rsid w:val="00972717"/>
    <w:rsid w:val="00972FCE"/>
    <w:rsid w:val="009741CA"/>
    <w:rsid w:val="009748F1"/>
    <w:rsid w:val="00974F00"/>
    <w:rsid w:val="0097516D"/>
    <w:rsid w:val="00975202"/>
    <w:rsid w:val="009754AE"/>
    <w:rsid w:val="00975793"/>
    <w:rsid w:val="00977650"/>
    <w:rsid w:val="00977A1C"/>
    <w:rsid w:val="00985B0F"/>
    <w:rsid w:val="00986118"/>
    <w:rsid w:val="0098756E"/>
    <w:rsid w:val="0099031B"/>
    <w:rsid w:val="00990585"/>
    <w:rsid w:val="009929A8"/>
    <w:rsid w:val="00993D56"/>
    <w:rsid w:val="00994249"/>
    <w:rsid w:val="0099440B"/>
    <w:rsid w:val="00994AEF"/>
    <w:rsid w:val="00995E35"/>
    <w:rsid w:val="009969E8"/>
    <w:rsid w:val="00996A1C"/>
    <w:rsid w:val="009A1694"/>
    <w:rsid w:val="009A2530"/>
    <w:rsid w:val="009A6442"/>
    <w:rsid w:val="009A66FE"/>
    <w:rsid w:val="009A7349"/>
    <w:rsid w:val="009B254F"/>
    <w:rsid w:val="009B5B3C"/>
    <w:rsid w:val="009B6DBB"/>
    <w:rsid w:val="009C2CA2"/>
    <w:rsid w:val="009C5107"/>
    <w:rsid w:val="009C67EA"/>
    <w:rsid w:val="009C7328"/>
    <w:rsid w:val="009C7C7C"/>
    <w:rsid w:val="009C7DF4"/>
    <w:rsid w:val="009D0807"/>
    <w:rsid w:val="009D135F"/>
    <w:rsid w:val="009D3D12"/>
    <w:rsid w:val="009E07DF"/>
    <w:rsid w:val="009E0B0C"/>
    <w:rsid w:val="009E3563"/>
    <w:rsid w:val="009E512C"/>
    <w:rsid w:val="009E6423"/>
    <w:rsid w:val="009E757D"/>
    <w:rsid w:val="009E79F1"/>
    <w:rsid w:val="009E7D30"/>
    <w:rsid w:val="009F06C0"/>
    <w:rsid w:val="009F0D18"/>
    <w:rsid w:val="009F15A3"/>
    <w:rsid w:val="009F30A1"/>
    <w:rsid w:val="009F32F4"/>
    <w:rsid w:val="009F6D05"/>
    <w:rsid w:val="00A006FE"/>
    <w:rsid w:val="00A00EB2"/>
    <w:rsid w:val="00A0225F"/>
    <w:rsid w:val="00A03CB8"/>
    <w:rsid w:val="00A04488"/>
    <w:rsid w:val="00A0600C"/>
    <w:rsid w:val="00A060DE"/>
    <w:rsid w:val="00A061D2"/>
    <w:rsid w:val="00A07BE7"/>
    <w:rsid w:val="00A11AA5"/>
    <w:rsid w:val="00A135A2"/>
    <w:rsid w:val="00A14166"/>
    <w:rsid w:val="00A1548C"/>
    <w:rsid w:val="00A16904"/>
    <w:rsid w:val="00A20204"/>
    <w:rsid w:val="00A2134D"/>
    <w:rsid w:val="00A22A28"/>
    <w:rsid w:val="00A241C7"/>
    <w:rsid w:val="00A24C78"/>
    <w:rsid w:val="00A25F56"/>
    <w:rsid w:val="00A30A9B"/>
    <w:rsid w:val="00A32CAD"/>
    <w:rsid w:val="00A351A3"/>
    <w:rsid w:val="00A3539D"/>
    <w:rsid w:val="00A35810"/>
    <w:rsid w:val="00A37F4D"/>
    <w:rsid w:val="00A40056"/>
    <w:rsid w:val="00A41BD5"/>
    <w:rsid w:val="00A42C7F"/>
    <w:rsid w:val="00A456B6"/>
    <w:rsid w:val="00A51B64"/>
    <w:rsid w:val="00A51E02"/>
    <w:rsid w:val="00A546C7"/>
    <w:rsid w:val="00A746B1"/>
    <w:rsid w:val="00A74E0F"/>
    <w:rsid w:val="00A75BEE"/>
    <w:rsid w:val="00A76F8A"/>
    <w:rsid w:val="00A7700F"/>
    <w:rsid w:val="00A77063"/>
    <w:rsid w:val="00A819A3"/>
    <w:rsid w:val="00A81C08"/>
    <w:rsid w:val="00A84F21"/>
    <w:rsid w:val="00A86607"/>
    <w:rsid w:val="00A911B4"/>
    <w:rsid w:val="00A93D8D"/>
    <w:rsid w:val="00A94DCB"/>
    <w:rsid w:val="00AA027B"/>
    <w:rsid w:val="00AA0C00"/>
    <w:rsid w:val="00AA1DBB"/>
    <w:rsid w:val="00AA264D"/>
    <w:rsid w:val="00AA5CE4"/>
    <w:rsid w:val="00AB2C71"/>
    <w:rsid w:val="00AB3E56"/>
    <w:rsid w:val="00AB5935"/>
    <w:rsid w:val="00AB5D76"/>
    <w:rsid w:val="00AC5047"/>
    <w:rsid w:val="00AC5057"/>
    <w:rsid w:val="00AC5075"/>
    <w:rsid w:val="00AC6464"/>
    <w:rsid w:val="00AD30EB"/>
    <w:rsid w:val="00AD41DF"/>
    <w:rsid w:val="00AE0C77"/>
    <w:rsid w:val="00AE1B2E"/>
    <w:rsid w:val="00AE2891"/>
    <w:rsid w:val="00AE31BF"/>
    <w:rsid w:val="00AE4C21"/>
    <w:rsid w:val="00AE5490"/>
    <w:rsid w:val="00AE74C7"/>
    <w:rsid w:val="00AF1D0E"/>
    <w:rsid w:val="00AF362A"/>
    <w:rsid w:val="00AF4F5C"/>
    <w:rsid w:val="00AF580B"/>
    <w:rsid w:val="00B0009E"/>
    <w:rsid w:val="00B04056"/>
    <w:rsid w:val="00B04515"/>
    <w:rsid w:val="00B0793E"/>
    <w:rsid w:val="00B10F4F"/>
    <w:rsid w:val="00B166BA"/>
    <w:rsid w:val="00B21D69"/>
    <w:rsid w:val="00B223F9"/>
    <w:rsid w:val="00B22C0C"/>
    <w:rsid w:val="00B23A9A"/>
    <w:rsid w:val="00B23C43"/>
    <w:rsid w:val="00B24395"/>
    <w:rsid w:val="00B249BB"/>
    <w:rsid w:val="00B268B6"/>
    <w:rsid w:val="00B332A6"/>
    <w:rsid w:val="00B35552"/>
    <w:rsid w:val="00B423E7"/>
    <w:rsid w:val="00B452F9"/>
    <w:rsid w:val="00B5185F"/>
    <w:rsid w:val="00B51DE1"/>
    <w:rsid w:val="00B5710D"/>
    <w:rsid w:val="00B606D2"/>
    <w:rsid w:val="00B60B2A"/>
    <w:rsid w:val="00B61171"/>
    <w:rsid w:val="00B623CF"/>
    <w:rsid w:val="00B65ADF"/>
    <w:rsid w:val="00B65C23"/>
    <w:rsid w:val="00B72F84"/>
    <w:rsid w:val="00B73049"/>
    <w:rsid w:val="00B736E9"/>
    <w:rsid w:val="00B751E3"/>
    <w:rsid w:val="00B77B5D"/>
    <w:rsid w:val="00B823E6"/>
    <w:rsid w:val="00B83487"/>
    <w:rsid w:val="00B8355D"/>
    <w:rsid w:val="00B8370E"/>
    <w:rsid w:val="00B83758"/>
    <w:rsid w:val="00B84981"/>
    <w:rsid w:val="00B865F8"/>
    <w:rsid w:val="00B9088B"/>
    <w:rsid w:val="00B96789"/>
    <w:rsid w:val="00B96CBE"/>
    <w:rsid w:val="00B972F6"/>
    <w:rsid w:val="00BA021F"/>
    <w:rsid w:val="00BA0F12"/>
    <w:rsid w:val="00BA4B7D"/>
    <w:rsid w:val="00BA6484"/>
    <w:rsid w:val="00BB3D98"/>
    <w:rsid w:val="00BB548C"/>
    <w:rsid w:val="00BB73F4"/>
    <w:rsid w:val="00BB7E97"/>
    <w:rsid w:val="00BC31D7"/>
    <w:rsid w:val="00BC538B"/>
    <w:rsid w:val="00BC7E24"/>
    <w:rsid w:val="00BC7E66"/>
    <w:rsid w:val="00BD1145"/>
    <w:rsid w:val="00BD6494"/>
    <w:rsid w:val="00BD7024"/>
    <w:rsid w:val="00BE02C9"/>
    <w:rsid w:val="00BE1D55"/>
    <w:rsid w:val="00BE5AB4"/>
    <w:rsid w:val="00BE7D00"/>
    <w:rsid w:val="00BF0926"/>
    <w:rsid w:val="00BF4150"/>
    <w:rsid w:val="00BF5A96"/>
    <w:rsid w:val="00BF64E2"/>
    <w:rsid w:val="00BF7AD4"/>
    <w:rsid w:val="00C006F0"/>
    <w:rsid w:val="00C01B9A"/>
    <w:rsid w:val="00C02319"/>
    <w:rsid w:val="00C03C4E"/>
    <w:rsid w:val="00C1015D"/>
    <w:rsid w:val="00C1243D"/>
    <w:rsid w:val="00C1326B"/>
    <w:rsid w:val="00C17219"/>
    <w:rsid w:val="00C17BAC"/>
    <w:rsid w:val="00C21258"/>
    <w:rsid w:val="00C231C8"/>
    <w:rsid w:val="00C276F6"/>
    <w:rsid w:val="00C30725"/>
    <w:rsid w:val="00C33DE8"/>
    <w:rsid w:val="00C35F5A"/>
    <w:rsid w:val="00C432E3"/>
    <w:rsid w:val="00C43AA9"/>
    <w:rsid w:val="00C51D8E"/>
    <w:rsid w:val="00C54806"/>
    <w:rsid w:val="00C560E1"/>
    <w:rsid w:val="00C61552"/>
    <w:rsid w:val="00C65C39"/>
    <w:rsid w:val="00C65E78"/>
    <w:rsid w:val="00C711BF"/>
    <w:rsid w:val="00C72581"/>
    <w:rsid w:val="00C7264F"/>
    <w:rsid w:val="00C72B07"/>
    <w:rsid w:val="00C75D81"/>
    <w:rsid w:val="00C7689E"/>
    <w:rsid w:val="00C77D28"/>
    <w:rsid w:val="00C8281B"/>
    <w:rsid w:val="00C84B45"/>
    <w:rsid w:val="00C917B8"/>
    <w:rsid w:val="00C91EBE"/>
    <w:rsid w:val="00C94E84"/>
    <w:rsid w:val="00CA1087"/>
    <w:rsid w:val="00CA200A"/>
    <w:rsid w:val="00CA5E9B"/>
    <w:rsid w:val="00CB101C"/>
    <w:rsid w:val="00CB7085"/>
    <w:rsid w:val="00CC6DB6"/>
    <w:rsid w:val="00CD1600"/>
    <w:rsid w:val="00CD1CDD"/>
    <w:rsid w:val="00CD242B"/>
    <w:rsid w:val="00CD2A00"/>
    <w:rsid w:val="00CD2BC5"/>
    <w:rsid w:val="00CD7C21"/>
    <w:rsid w:val="00CE0003"/>
    <w:rsid w:val="00CE55F3"/>
    <w:rsid w:val="00CE6E70"/>
    <w:rsid w:val="00CE7465"/>
    <w:rsid w:val="00CF0157"/>
    <w:rsid w:val="00CF06F8"/>
    <w:rsid w:val="00CF0E9A"/>
    <w:rsid w:val="00CF3806"/>
    <w:rsid w:val="00CF3F50"/>
    <w:rsid w:val="00CF752B"/>
    <w:rsid w:val="00D00385"/>
    <w:rsid w:val="00D003BD"/>
    <w:rsid w:val="00D02920"/>
    <w:rsid w:val="00D078F0"/>
    <w:rsid w:val="00D104FE"/>
    <w:rsid w:val="00D11C4D"/>
    <w:rsid w:val="00D130BA"/>
    <w:rsid w:val="00D13DBE"/>
    <w:rsid w:val="00D14566"/>
    <w:rsid w:val="00D15896"/>
    <w:rsid w:val="00D2502D"/>
    <w:rsid w:val="00D275D7"/>
    <w:rsid w:val="00D279F6"/>
    <w:rsid w:val="00D314B0"/>
    <w:rsid w:val="00D36B4F"/>
    <w:rsid w:val="00D3747F"/>
    <w:rsid w:val="00D37C8A"/>
    <w:rsid w:val="00D42417"/>
    <w:rsid w:val="00D437FF"/>
    <w:rsid w:val="00D43FA1"/>
    <w:rsid w:val="00D44A6C"/>
    <w:rsid w:val="00D45C8E"/>
    <w:rsid w:val="00D47F3B"/>
    <w:rsid w:val="00D55334"/>
    <w:rsid w:val="00D558D2"/>
    <w:rsid w:val="00D57F43"/>
    <w:rsid w:val="00D614A1"/>
    <w:rsid w:val="00D61B5F"/>
    <w:rsid w:val="00D6224C"/>
    <w:rsid w:val="00D6575E"/>
    <w:rsid w:val="00D65E4D"/>
    <w:rsid w:val="00D66FEF"/>
    <w:rsid w:val="00D679E6"/>
    <w:rsid w:val="00D70B17"/>
    <w:rsid w:val="00D72765"/>
    <w:rsid w:val="00D73005"/>
    <w:rsid w:val="00D73718"/>
    <w:rsid w:val="00D74385"/>
    <w:rsid w:val="00D74530"/>
    <w:rsid w:val="00D7798F"/>
    <w:rsid w:val="00D82BF7"/>
    <w:rsid w:val="00D83FD0"/>
    <w:rsid w:val="00D87F6A"/>
    <w:rsid w:val="00D93086"/>
    <w:rsid w:val="00D93CB1"/>
    <w:rsid w:val="00DA0137"/>
    <w:rsid w:val="00DA2CD7"/>
    <w:rsid w:val="00DA2EA8"/>
    <w:rsid w:val="00DA4298"/>
    <w:rsid w:val="00DA62F8"/>
    <w:rsid w:val="00DA6E0B"/>
    <w:rsid w:val="00DA7510"/>
    <w:rsid w:val="00DB1DD7"/>
    <w:rsid w:val="00DB7643"/>
    <w:rsid w:val="00DC43CB"/>
    <w:rsid w:val="00DD1449"/>
    <w:rsid w:val="00DD2C2F"/>
    <w:rsid w:val="00DD3BEC"/>
    <w:rsid w:val="00DD44AA"/>
    <w:rsid w:val="00DD4C99"/>
    <w:rsid w:val="00DE0816"/>
    <w:rsid w:val="00DE78EF"/>
    <w:rsid w:val="00E015AD"/>
    <w:rsid w:val="00E0164A"/>
    <w:rsid w:val="00E02080"/>
    <w:rsid w:val="00E02A16"/>
    <w:rsid w:val="00E03740"/>
    <w:rsid w:val="00E0391A"/>
    <w:rsid w:val="00E03B4F"/>
    <w:rsid w:val="00E0411B"/>
    <w:rsid w:val="00E04E7C"/>
    <w:rsid w:val="00E124D4"/>
    <w:rsid w:val="00E149EF"/>
    <w:rsid w:val="00E15196"/>
    <w:rsid w:val="00E151D1"/>
    <w:rsid w:val="00E25395"/>
    <w:rsid w:val="00E2672C"/>
    <w:rsid w:val="00E270CF"/>
    <w:rsid w:val="00E2782D"/>
    <w:rsid w:val="00E30D4E"/>
    <w:rsid w:val="00E37D37"/>
    <w:rsid w:val="00E41D14"/>
    <w:rsid w:val="00E43A37"/>
    <w:rsid w:val="00E54DA0"/>
    <w:rsid w:val="00E62DE2"/>
    <w:rsid w:val="00E62E31"/>
    <w:rsid w:val="00E63D5A"/>
    <w:rsid w:val="00E641BE"/>
    <w:rsid w:val="00E65B79"/>
    <w:rsid w:val="00E663E0"/>
    <w:rsid w:val="00E6650A"/>
    <w:rsid w:val="00E704A4"/>
    <w:rsid w:val="00E718F4"/>
    <w:rsid w:val="00E71905"/>
    <w:rsid w:val="00E71B5C"/>
    <w:rsid w:val="00E743F7"/>
    <w:rsid w:val="00E74EDE"/>
    <w:rsid w:val="00E7641B"/>
    <w:rsid w:val="00E77DED"/>
    <w:rsid w:val="00E8007A"/>
    <w:rsid w:val="00E8087F"/>
    <w:rsid w:val="00E828FB"/>
    <w:rsid w:val="00E8375D"/>
    <w:rsid w:val="00E83D67"/>
    <w:rsid w:val="00E85767"/>
    <w:rsid w:val="00E8587C"/>
    <w:rsid w:val="00E85B7C"/>
    <w:rsid w:val="00E91FCF"/>
    <w:rsid w:val="00E941A2"/>
    <w:rsid w:val="00E949FD"/>
    <w:rsid w:val="00E96FD3"/>
    <w:rsid w:val="00EA69AC"/>
    <w:rsid w:val="00EB233F"/>
    <w:rsid w:val="00EB5B2B"/>
    <w:rsid w:val="00EC1F5C"/>
    <w:rsid w:val="00EC26CA"/>
    <w:rsid w:val="00EC4059"/>
    <w:rsid w:val="00EC5982"/>
    <w:rsid w:val="00EC635F"/>
    <w:rsid w:val="00ED1E45"/>
    <w:rsid w:val="00ED27CB"/>
    <w:rsid w:val="00ED3D60"/>
    <w:rsid w:val="00ED4088"/>
    <w:rsid w:val="00ED4620"/>
    <w:rsid w:val="00ED492E"/>
    <w:rsid w:val="00ED6CDD"/>
    <w:rsid w:val="00EE03B2"/>
    <w:rsid w:val="00EE28BD"/>
    <w:rsid w:val="00EE4F40"/>
    <w:rsid w:val="00EE5975"/>
    <w:rsid w:val="00EE6761"/>
    <w:rsid w:val="00EE6F9B"/>
    <w:rsid w:val="00EE7F40"/>
    <w:rsid w:val="00EF0471"/>
    <w:rsid w:val="00EF1205"/>
    <w:rsid w:val="00EF4066"/>
    <w:rsid w:val="00F01DCD"/>
    <w:rsid w:val="00F02BB8"/>
    <w:rsid w:val="00F0480F"/>
    <w:rsid w:val="00F14D88"/>
    <w:rsid w:val="00F16BD4"/>
    <w:rsid w:val="00F16E50"/>
    <w:rsid w:val="00F23907"/>
    <w:rsid w:val="00F247E6"/>
    <w:rsid w:val="00F30085"/>
    <w:rsid w:val="00F313A1"/>
    <w:rsid w:val="00F314BF"/>
    <w:rsid w:val="00F3215B"/>
    <w:rsid w:val="00F32D55"/>
    <w:rsid w:val="00F34139"/>
    <w:rsid w:val="00F34404"/>
    <w:rsid w:val="00F351E3"/>
    <w:rsid w:val="00F37318"/>
    <w:rsid w:val="00F3786B"/>
    <w:rsid w:val="00F424C2"/>
    <w:rsid w:val="00F42DB6"/>
    <w:rsid w:val="00F45377"/>
    <w:rsid w:val="00F46B39"/>
    <w:rsid w:val="00F478D9"/>
    <w:rsid w:val="00F518BC"/>
    <w:rsid w:val="00F57E26"/>
    <w:rsid w:val="00F608E6"/>
    <w:rsid w:val="00F64B69"/>
    <w:rsid w:val="00F717E6"/>
    <w:rsid w:val="00F71FEB"/>
    <w:rsid w:val="00F748DD"/>
    <w:rsid w:val="00F76B3A"/>
    <w:rsid w:val="00F800AB"/>
    <w:rsid w:val="00F80C6A"/>
    <w:rsid w:val="00F83321"/>
    <w:rsid w:val="00F83874"/>
    <w:rsid w:val="00F8430F"/>
    <w:rsid w:val="00F85B95"/>
    <w:rsid w:val="00F85BE9"/>
    <w:rsid w:val="00F86317"/>
    <w:rsid w:val="00F87710"/>
    <w:rsid w:val="00F90385"/>
    <w:rsid w:val="00F90C67"/>
    <w:rsid w:val="00F91C1F"/>
    <w:rsid w:val="00F93981"/>
    <w:rsid w:val="00F9581C"/>
    <w:rsid w:val="00FA2850"/>
    <w:rsid w:val="00FB681C"/>
    <w:rsid w:val="00FB710B"/>
    <w:rsid w:val="00FB72BE"/>
    <w:rsid w:val="00FB79FC"/>
    <w:rsid w:val="00FC0ABF"/>
    <w:rsid w:val="00FC0DC5"/>
    <w:rsid w:val="00FC5195"/>
    <w:rsid w:val="00FC6677"/>
    <w:rsid w:val="00FD5D12"/>
    <w:rsid w:val="00FD7710"/>
    <w:rsid w:val="00FE3912"/>
    <w:rsid w:val="00FE51EB"/>
    <w:rsid w:val="00FE7451"/>
    <w:rsid w:val="00FF6C25"/>
    <w:rsid w:val="00FF6FBE"/>
    <w:rsid w:val="00FF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FF48"/>
  <w15:docId w15:val="{68AC6E70-C5F4-46BD-B2BA-40557E1F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B22"/>
    <w:pPr>
      <w:ind w:left="720"/>
      <w:contextualSpacing/>
    </w:pPr>
  </w:style>
  <w:style w:type="paragraph" w:styleId="FootnoteText">
    <w:name w:val="footnote text"/>
    <w:basedOn w:val="Normal"/>
    <w:link w:val="FootnoteTextChar"/>
    <w:uiPriority w:val="99"/>
    <w:unhideWhenUsed/>
    <w:rsid w:val="005E3455"/>
    <w:pPr>
      <w:spacing w:after="0" w:line="240" w:lineRule="auto"/>
    </w:pPr>
    <w:rPr>
      <w:sz w:val="20"/>
      <w:szCs w:val="20"/>
    </w:rPr>
  </w:style>
  <w:style w:type="character" w:customStyle="1" w:styleId="FootnoteTextChar">
    <w:name w:val="Footnote Text Char"/>
    <w:basedOn w:val="DefaultParagraphFont"/>
    <w:link w:val="FootnoteText"/>
    <w:uiPriority w:val="99"/>
    <w:rsid w:val="005E3455"/>
    <w:rPr>
      <w:sz w:val="20"/>
      <w:szCs w:val="20"/>
    </w:rPr>
  </w:style>
  <w:style w:type="character" w:styleId="FootnoteReference">
    <w:name w:val="footnote reference"/>
    <w:basedOn w:val="DefaultParagraphFont"/>
    <w:uiPriority w:val="99"/>
    <w:semiHidden/>
    <w:unhideWhenUsed/>
    <w:rsid w:val="005E3455"/>
    <w:rPr>
      <w:vertAlign w:val="superscript"/>
    </w:rPr>
  </w:style>
  <w:style w:type="character" w:styleId="Hyperlink">
    <w:name w:val="Hyperlink"/>
    <w:basedOn w:val="DefaultParagraphFont"/>
    <w:uiPriority w:val="99"/>
    <w:unhideWhenUsed/>
    <w:rsid w:val="003C5D5D"/>
    <w:rPr>
      <w:color w:val="0563C1" w:themeColor="hyperlink"/>
      <w:u w:val="single"/>
    </w:rPr>
  </w:style>
  <w:style w:type="character" w:styleId="CommentReference">
    <w:name w:val="annotation reference"/>
    <w:basedOn w:val="DefaultParagraphFont"/>
    <w:uiPriority w:val="99"/>
    <w:semiHidden/>
    <w:unhideWhenUsed/>
    <w:rsid w:val="00B04515"/>
    <w:rPr>
      <w:sz w:val="16"/>
      <w:szCs w:val="16"/>
    </w:rPr>
  </w:style>
  <w:style w:type="paragraph" w:styleId="CommentText">
    <w:name w:val="annotation text"/>
    <w:basedOn w:val="Normal"/>
    <w:link w:val="CommentTextChar"/>
    <w:uiPriority w:val="99"/>
    <w:semiHidden/>
    <w:unhideWhenUsed/>
    <w:rsid w:val="00B04515"/>
    <w:pPr>
      <w:spacing w:line="240" w:lineRule="auto"/>
    </w:pPr>
    <w:rPr>
      <w:sz w:val="20"/>
      <w:szCs w:val="20"/>
    </w:rPr>
  </w:style>
  <w:style w:type="character" w:customStyle="1" w:styleId="CommentTextChar">
    <w:name w:val="Comment Text Char"/>
    <w:basedOn w:val="DefaultParagraphFont"/>
    <w:link w:val="CommentText"/>
    <w:uiPriority w:val="99"/>
    <w:semiHidden/>
    <w:rsid w:val="00B04515"/>
    <w:rPr>
      <w:sz w:val="20"/>
      <w:szCs w:val="20"/>
    </w:rPr>
  </w:style>
  <w:style w:type="paragraph" w:styleId="CommentSubject">
    <w:name w:val="annotation subject"/>
    <w:basedOn w:val="CommentText"/>
    <w:next w:val="CommentText"/>
    <w:link w:val="CommentSubjectChar"/>
    <w:uiPriority w:val="99"/>
    <w:semiHidden/>
    <w:unhideWhenUsed/>
    <w:rsid w:val="00B04515"/>
    <w:rPr>
      <w:b/>
      <w:bCs/>
    </w:rPr>
  </w:style>
  <w:style w:type="character" w:customStyle="1" w:styleId="CommentSubjectChar">
    <w:name w:val="Comment Subject Char"/>
    <w:basedOn w:val="CommentTextChar"/>
    <w:link w:val="CommentSubject"/>
    <w:uiPriority w:val="99"/>
    <w:semiHidden/>
    <w:rsid w:val="00B04515"/>
    <w:rPr>
      <w:b/>
      <w:bCs/>
      <w:sz w:val="20"/>
      <w:szCs w:val="20"/>
    </w:rPr>
  </w:style>
  <w:style w:type="paragraph" w:styleId="BalloonText">
    <w:name w:val="Balloon Text"/>
    <w:basedOn w:val="Normal"/>
    <w:link w:val="BalloonTextChar"/>
    <w:uiPriority w:val="99"/>
    <w:semiHidden/>
    <w:unhideWhenUsed/>
    <w:rsid w:val="00B0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15"/>
    <w:rPr>
      <w:rFonts w:ascii="Segoe UI" w:hAnsi="Segoe UI" w:cs="Segoe UI"/>
      <w:sz w:val="18"/>
      <w:szCs w:val="18"/>
    </w:rPr>
  </w:style>
  <w:style w:type="character" w:styleId="FollowedHyperlink">
    <w:name w:val="FollowedHyperlink"/>
    <w:basedOn w:val="DefaultParagraphFont"/>
    <w:uiPriority w:val="99"/>
    <w:semiHidden/>
    <w:unhideWhenUsed/>
    <w:rsid w:val="008525AD"/>
    <w:rPr>
      <w:color w:val="954F72" w:themeColor="followedHyperlink"/>
      <w:u w:val="single"/>
    </w:rPr>
  </w:style>
  <w:style w:type="paragraph" w:styleId="Header">
    <w:name w:val="header"/>
    <w:basedOn w:val="Normal"/>
    <w:link w:val="HeaderChar"/>
    <w:uiPriority w:val="99"/>
    <w:unhideWhenUsed/>
    <w:rsid w:val="00372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5E4"/>
  </w:style>
  <w:style w:type="paragraph" w:styleId="Footer">
    <w:name w:val="footer"/>
    <w:basedOn w:val="Normal"/>
    <w:link w:val="FooterChar"/>
    <w:uiPriority w:val="99"/>
    <w:unhideWhenUsed/>
    <w:rsid w:val="00372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5E4"/>
  </w:style>
  <w:style w:type="paragraph" w:customStyle="1" w:styleId="SelectText">
    <w:name w:val="Select_Text"/>
    <w:basedOn w:val="Normal"/>
    <w:rsid w:val="00447F54"/>
    <w:pPr>
      <w:spacing w:after="80" w:line="240" w:lineRule="auto"/>
      <w:jc w:val="both"/>
    </w:pPr>
    <w:rPr>
      <w:rFonts w:ascii="Times New Roman" w:eastAsia="Times New Roman" w:hAnsi="Times New Roman" w:cs="Times New Roman"/>
      <w:sz w:val="20"/>
      <w:szCs w:val="20"/>
      <w:lang w:eastAsia="de-DE"/>
    </w:rPr>
  </w:style>
  <w:style w:type="paragraph" w:styleId="EndnoteText">
    <w:name w:val="endnote text"/>
    <w:basedOn w:val="Normal"/>
    <w:link w:val="EndnoteTextChar"/>
    <w:uiPriority w:val="99"/>
    <w:semiHidden/>
    <w:unhideWhenUsed/>
    <w:rsid w:val="005566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686"/>
    <w:rPr>
      <w:sz w:val="20"/>
      <w:szCs w:val="20"/>
    </w:rPr>
  </w:style>
  <w:style w:type="character" w:styleId="EndnoteReference">
    <w:name w:val="endnote reference"/>
    <w:basedOn w:val="DefaultParagraphFont"/>
    <w:uiPriority w:val="99"/>
    <w:semiHidden/>
    <w:unhideWhenUsed/>
    <w:rsid w:val="00556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337">
      <w:bodyDiv w:val="1"/>
      <w:marLeft w:val="0"/>
      <w:marRight w:val="0"/>
      <w:marTop w:val="0"/>
      <w:marBottom w:val="0"/>
      <w:divBdr>
        <w:top w:val="none" w:sz="0" w:space="0" w:color="auto"/>
        <w:left w:val="none" w:sz="0" w:space="0" w:color="auto"/>
        <w:bottom w:val="none" w:sz="0" w:space="0" w:color="auto"/>
        <w:right w:val="none" w:sz="0" w:space="0" w:color="auto"/>
      </w:divBdr>
      <w:divsChild>
        <w:div w:id="529072490">
          <w:marLeft w:val="0"/>
          <w:marRight w:val="0"/>
          <w:marTop w:val="0"/>
          <w:marBottom w:val="0"/>
          <w:divBdr>
            <w:top w:val="none" w:sz="0" w:space="0" w:color="auto"/>
            <w:left w:val="none" w:sz="0" w:space="0" w:color="auto"/>
            <w:bottom w:val="none" w:sz="0" w:space="0" w:color="auto"/>
            <w:right w:val="none" w:sz="0" w:space="0" w:color="auto"/>
          </w:divBdr>
        </w:div>
        <w:div w:id="1399402056">
          <w:marLeft w:val="0"/>
          <w:marRight w:val="0"/>
          <w:marTop w:val="0"/>
          <w:marBottom w:val="0"/>
          <w:divBdr>
            <w:top w:val="none" w:sz="0" w:space="0" w:color="auto"/>
            <w:left w:val="none" w:sz="0" w:space="0" w:color="auto"/>
            <w:bottom w:val="none" w:sz="0" w:space="0" w:color="auto"/>
            <w:right w:val="none" w:sz="0" w:space="0" w:color="auto"/>
          </w:divBdr>
        </w:div>
      </w:divsChild>
    </w:div>
    <w:div w:id="69545001">
      <w:bodyDiv w:val="1"/>
      <w:marLeft w:val="0"/>
      <w:marRight w:val="0"/>
      <w:marTop w:val="0"/>
      <w:marBottom w:val="0"/>
      <w:divBdr>
        <w:top w:val="none" w:sz="0" w:space="0" w:color="auto"/>
        <w:left w:val="none" w:sz="0" w:space="0" w:color="auto"/>
        <w:bottom w:val="none" w:sz="0" w:space="0" w:color="auto"/>
        <w:right w:val="none" w:sz="0" w:space="0" w:color="auto"/>
      </w:divBdr>
    </w:div>
    <w:div w:id="109934879">
      <w:bodyDiv w:val="1"/>
      <w:marLeft w:val="0"/>
      <w:marRight w:val="0"/>
      <w:marTop w:val="0"/>
      <w:marBottom w:val="0"/>
      <w:divBdr>
        <w:top w:val="none" w:sz="0" w:space="0" w:color="auto"/>
        <w:left w:val="none" w:sz="0" w:space="0" w:color="auto"/>
        <w:bottom w:val="none" w:sz="0" w:space="0" w:color="auto"/>
        <w:right w:val="none" w:sz="0" w:space="0" w:color="auto"/>
      </w:divBdr>
    </w:div>
    <w:div w:id="126169409">
      <w:bodyDiv w:val="1"/>
      <w:marLeft w:val="0"/>
      <w:marRight w:val="0"/>
      <w:marTop w:val="0"/>
      <w:marBottom w:val="0"/>
      <w:divBdr>
        <w:top w:val="none" w:sz="0" w:space="0" w:color="auto"/>
        <w:left w:val="none" w:sz="0" w:space="0" w:color="auto"/>
        <w:bottom w:val="none" w:sz="0" w:space="0" w:color="auto"/>
        <w:right w:val="none" w:sz="0" w:space="0" w:color="auto"/>
      </w:divBdr>
    </w:div>
    <w:div w:id="145127369">
      <w:bodyDiv w:val="1"/>
      <w:marLeft w:val="0"/>
      <w:marRight w:val="0"/>
      <w:marTop w:val="0"/>
      <w:marBottom w:val="0"/>
      <w:divBdr>
        <w:top w:val="none" w:sz="0" w:space="0" w:color="auto"/>
        <w:left w:val="none" w:sz="0" w:space="0" w:color="auto"/>
        <w:bottom w:val="none" w:sz="0" w:space="0" w:color="auto"/>
        <w:right w:val="none" w:sz="0" w:space="0" w:color="auto"/>
      </w:divBdr>
      <w:divsChild>
        <w:div w:id="865413895">
          <w:marLeft w:val="0"/>
          <w:marRight w:val="0"/>
          <w:marTop w:val="0"/>
          <w:marBottom w:val="0"/>
          <w:divBdr>
            <w:top w:val="none" w:sz="0" w:space="0" w:color="auto"/>
            <w:left w:val="none" w:sz="0" w:space="0" w:color="auto"/>
            <w:bottom w:val="none" w:sz="0" w:space="0" w:color="auto"/>
            <w:right w:val="none" w:sz="0" w:space="0" w:color="auto"/>
          </w:divBdr>
        </w:div>
        <w:div w:id="850223756">
          <w:marLeft w:val="0"/>
          <w:marRight w:val="0"/>
          <w:marTop w:val="0"/>
          <w:marBottom w:val="0"/>
          <w:divBdr>
            <w:top w:val="none" w:sz="0" w:space="0" w:color="auto"/>
            <w:left w:val="none" w:sz="0" w:space="0" w:color="auto"/>
            <w:bottom w:val="none" w:sz="0" w:space="0" w:color="auto"/>
            <w:right w:val="none" w:sz="0" w:space="0" w:color="auto"/>
          </w:divBdr>
        </w:div>
        <w:div w:id="1221558208">
          <w:marLeft w:val="0"/>
          <w:marRight w:val="0"/>
          <w:marTop w:val="0"/>
          <w:marBottom w:val="0"/>
          <w:divBdr>
            <w:top w:val="none" w:sz="0" w:space="0" w:color="auto"/>
            <w:left w:val="none" w:sz="0" w:space="0" w:color="auto"/>
            <w:bottom w:val="none" w:sz="0" w:space="0" w:color="auto"/>
            <w:right w:val="none" w:sz="0" w:space="0" w:color="auto"/>
          </w:divBdr>
        </w:div>
        <w:div w:id="544293472">
          <w:marLeft w:val="0"/>
          <w:marRight w:val="0"/>
          <w:marTop w:val="0"/>
          <w:marBottom w:val="0"/>
          <w:divBdr>
            <w:top w:val="none" w:sz="0" w:space="0" w:color="auto"/>
            <w:left w:val="none" w:sz="0" w:space="0" w:color="auto"/>
            <w:bottom w:val="none" w:sz="0" w:space="0" w:color="auto"/>
            <w:right w:val="none" w:sz="0" w:space="0" w:color="auto"/>
          </w:divBdr>
        </w:div>
        <w:div w:id="120732386">
          <w:marLeft w:val="0"/>
          <w:marRight w:val="0"/>
          <w:marTop w:val="0"/>
          <w:marBottom w:val="0"/>
          <w:divBdr>
            <w:top w:val="none" w:sz="0" w:space="0" w:color="auto"/>
            <w:left w:val="none" w:sz="0" w:space="0" w:color="auto"/>
            <w:bottom w:val="none" w:sz="0" w:space="0" w:color="auto"/>
            <w:right w:val="none" w:sz="0" w:space="0" w:color="auto"/>
          </w:divBdr>
        </w:div>
        <w:div w:id="381639319">
          <w:marLeft w:val="0"/>
          <w:marRight w:val="0"/>
          <w:marTop w:val="0"/>
          <w:marBottom w:val="0"/>
          <w:divBdr>
            <w:top w:val="none" w:sz="0" w:space="0" w:color="auto"/>
            <w:left w:val="none" w:sz="0" w:space="0" w:color="auto"/>
            <w:bottom w:val="none" w:sz="0" w:space="0" w:color="auto"/>
            <w:right w:val="none" w:sz="0" w:space="0" w:color="auto"/>
          </w:divBdr>
        </w:div>
      </w:divsChild>
    </w:div>
    <w:div w:id="149250291">
      <w:bodyDiv w:val="1"/>
      <w:marLeft w:val="0"/>
      <w:marRight w:val="0"/>
      <w:marTop w:val="0"/>
      <w:marBottom w:val="0"/>
      <w:divBdr>
        <w:top w:val="none" w:sz="0" w:space="0" w:color="auto"/>
        <w:left w:val="none" w:sz="0" w:space="0" w:color="auto"/>
        <w:bottom w:val="none" w:sz="0" w:space="0" w:color="auto"/>
        <w:right w:val="none" w:sz="0" w:space="0" w:color="auto"/>
      </w:divBdr>
    </w:div>
    <w:div w:id="213003841">
      <w:bodyDiv w:val="1"/>
      <w:marLeft w:val="0"/>
      <w:marRight w:val="0"/>
      <w:marTop w:val="0"/>
      <w:marBottom w:val="0"/>
      <w:divBdr>
        <w:top w:val="none" w:sz="0" w:space="0" w:color="auto"/>
        <w:left w:val="none" w:sz="0" w:space="0" w:color="auto"/>
        <w:bottom w:val="none" w:sz="0" w:space="0" w:color="auto"/>
        <w:right w:val="none" w:sz="0" w:space="0" w:color="auto"/>
      </w:divBdr>
    </w:div>
    <w:div w:id="247662305">
      <w:bodyDiv w:val="1"/>
      <w:marLeft w:val="0"/>
      <w:marRight w:val="0"/>
      <w:marTop w:val="0"/>
      <w:marBottom w:val="0"/>
      <w:divBdr>
        <w:top w:val="none" w:sz="0" w:space="0" w:color="auto"/>
        <w:left w:val="none" w:sz="0" w:space="0" w:color="auto"/>
        <w:bottom w:val="none" w:sz="0" w:space="0" w:color="auto"/>
        <w:right w:val="none" w:sz="0" w:space="0" w:color="auto"/>
      </w:divBdr>
      <w:divsChild>
        <w:div w:id="948507997">
          <w:marLeft w:val="0"/>
          <w:marRight w:val="0"/>
          <w:marTop w:val="0"/>
          <w:marBottom w:val="0"/>
          <w:divBdr>
            <w:top w:val="none" w:sz="0" w:space="0" w:color="auto"/>
            <w:left w:val="none" w:sz="0" w:space="0" w:color="auto"/>
            <w:bottom w:val="none" w:sz="0" w:space="0" w:color="auto"/>
            <w:right w:val="none" w:sz="0" w:space="0" w:color="auto"/>
          </w:divBdr>
        </w:div>
        <w:div w:id="498276376">
          <w:marLeft w:val="0"/>
          <w:marRight w:val="0"/>
          <w:marTop w:val="0"/>
          <w:marBottom w:val="0"/>
          <w:divBdr>
            <w:top w:val="none" w:sz="0" w:space="0" w:color="auto"/>
            <w:left w:val="none" w:sz="0" w:space="0" w:color="auto"/>
            <w:bottom w:val="none" w:sz="0" w:space="0" w:color="auto"/>
            <w:right w:val="none" w:sz="0" w:space="0" w:color="auto"/>
          </w:divBdr>
        </w:div>
        <w:div w:id="1730494425">
          <w:marLeft w:val="0"/>
          <w:marRight w:val="0"/>
          <w:marTop w:val="0"/>
          <w:marBottom w:val="0"/>
          <w:divBdr>
            <w:top w:val="none" w:sz="0" w:space="0" w:color="auto"/>
            <w:left w:val="none" w:sz="0" w:space="0" w:color="auto"/>
            <w:bottom w:val="none" w:sz="0" w:space="0" w:color="auto"/>
            <w:right w:val="none" w:sz="0" w:space="0" w:color="auto"/>
          </w:divBdr>
        </w:div>
        <w:div w:id="196823385">
          <w:marLeft w:val="0"/>
          <w:marRight w:val="0"/>
          <w:marTop w:val="0"/>
          <w:marBottom w:val="0"/>
          <w:divBdr>
            <w:top w:val="none" w:sz="0" w:space="0" w:color="auto"/>
            <w:left w:val="none" w:sz="0" w:space="0" w:color="auto"/>
            <w:bottom w:val="none" w:sz="0" w:space="0" w:color="auto"/>
            <w:right w:val="none" w:sz="0" w:space="0" w:color="auto"/>
          </w:divBdr>
        </w:div>
        <w:div w:id="2145347395">
          <w:marLeft w:val="0"/>
          <w:marRight w:val="0"/>
          <w:marTop w:val="0"/>
          <w:marBottom w:val="0"/>
          <w:divBdr>
            <w:top w:val="none" w:sz="0" w:space="0" w:color="auto"/>
            <w:left w:val="none" w:sz="0" w:space="0" w:color="auto"/>
            <w:bottom w:val="none" w:sz="0" w:space="0" w:color="auto"/>
            <w:right w:val="none" w:sz="0" w:space="0" w:color="auto"/>
          </w:divBdr>
        </w:div>
        <w:div w:id="272977756">
          <w:marLeft w:val="0"/>
          <w:marRight w:val="0"/>
          <w:marTop w:val="0"/>
          <w:marBottom w:val="0"/>
          <w:divBdr>
            <w:top w:val="none" w:sz="0" w:space="0" w:color="auto"/>
            <w:left w:val="none" w:sz="0" w:space="0" w:color="auto"/>
            <w:bottom w:val="none" w:sz="0" w:space="0" w:color="auto"/>
            <w:right w:val="none" w:sz="0" w:space="0" w:color="auto"/>
          </w:divBdr>
        </w:div>
      </w:divsChild>
    </w:div>
    <w:div w:id="395276301">
      <w:bodyDiv w:val="1"/>
      <w:marLeft w:val="0"/>
      <w:marRight w:val="0"/>
      <w:marTop w:val="0"/>
      <w:marBottom w:val="0"/>
      <w:divBdr>
        <w:top w:val="none" w:sz="0" w:space="0" w:color="auto"/>
        <w:left w:val="none" w:sz="0" w:space="0" w:color="auto"/>
        <w:bottom w:val="none" w:sz="0" w:space="0" w:color="auto"/>
        <w:right w:val="none" w:sz="0" w:space="0" w:color="auto"/>
      </w:divBdr>
    </w:div>
    <w:div w:id="436171615">
      <w:bodyDiv w:val="1"/>
      <w:marLeft w:val="0"/>
      <w:marRight w:val="0"/>
      <w:marTop w:val="0"/>
      <w:marBottom w:val="0"/>
      <w:divBdr>
        <w:top w:val="none" w:sz="0" w:space="0" w:color="auto"/>
        <w:left w:val="none" w:sz="0" w:space="0" w:color="auto"/>
        <w:bottom w:val="none" w:sz="0" w:space="0" w:color="auto"/>
        <w:right w:val="none" w:sz="0" w:space="0" w:color="auto"/>
      </w:divBdr>
    </w:div>
    <w:div w:id="439299469">
      <w:bodyDiv w:val="1"/>
      <w:marLeft w:val="0"/>
      <w:marRight w:val="0"/>
      <w:marTop w:val="0"/>
      <w:marBottom w:val="0"/>
      <w:divBdr>
        <w:top w:val="none" w:sz="0" w:space="0" w:color="auto"/>
        <w:left w:val="none" w:sz="0" w:space="0" w:color="auto"/>
        <w:bottom w:val="none" w:sz="0" w:space="0" w:color="auto"/>
        <w:right w:val="none" w:sz="0" w:space="0" w:color="auto"/>
      </w:divBdr>
    </w:div>
    <w:div w:id="459298761">
      <w:bodyDiv w:val="1"/>
      <w:marLeft w:val="0"/>
      <w:marRight w:val="0"/>
      <w:marTop w:val="0"/>
      <w:marBottom w:val="0"/>
      <w:divBdr>
        <w:top w:val="none" w:sz="0" w:space="0" w:color="auto"/>
        <w:left w:val="none" w:sz="0" w:space="0" w:color="auto"/>
        <w:bottom w:val="none" w:sz="0" w:space="0" w:color="auto"/>
        <w:right w:val="none" w:sz="0" w:space="0" w:color="auto"/>
      </w:divBdr>
    </w:div>
    <w:div w:id="465202187">
      <w:bodyDiv w:val="1"/>
      <w:marLeft w:val="0"/>
      <w:marRight w:val="0"/>
      <w:marTop w:val="0"/>
      <w:marBottom w:val="0"/>
      <w:divBdr>
        <w:top w:val="none" w:sz="0" w:space="0" w:color="auto"/>
        <w:left w:val="none" w:sz="0" w:space="0" w:color="auto"/>
        <w:bottom w:val="none" w:sz="0" w:space="0" w:color="auto"/>
        <w:right w:val="none" w:sz="0" w:space="0" w:color="auto"/>
      </w:divBdr>
    </w:div>
    <w:div w:id="504056308">
      <w:bodyDiv w:val="1"/>
      <w:marLeft w:val="0"/>
      <w:marRight w:val="0"/>
      <w:marTop w:val="0"/>
      <w:marBottom w:val="0"/>
      <w:divBdr>
        <w:top w:val="none" w:sz="0" w:space="0" w:color="auto"/>
        <w:left w:val="none" w:sz="0" w:space="0" w:color="auto"/>
        <w:bottom w:val="none" w:sz="0" w:space="0" w:color="auto"/>
        <w:right w:val="none" w:sz="0" w:space="0" w:color="auto"/>
      </w:divBdr>
    </w:div>
    <w:div w:id="514343787">
      <w:bodyDiv w:val="1"/>
      <w:marLeft w:val="0"/>
      <w:marRight w:val="0"/>
      <w:marTop w:val="0"/>
      <w:marBottom w:val="0"/>
      <w:divBdr>
        <w:top w:val="none" w:sz="0" w:space="0" w:color="auto"/>
        <w:left w:val="none" w:sz="0" w:space="0" w:color="auto"/>
        <w:bottom w:val="none" w:sz="0" w:space="0" w:color="auto"/>
        <w:right w:val="none" w:sz="0" w:space="0" w:color="auto"/>
      </w:divBdr>
    </w:div>
    <w:div w:id="595748488">
      <w:bodyDiv w:val="1"/>
      <w:marLeft w:val="0"/>
      <w:marRight w:val="0"/>
      <w:marTop w:val="0"/>
      <w:marBottom w:val="0"/>
      <w:divBdr>
        <w:top w:val="none" w:sz="0" w:space="0" w:color="auto"/>
        <w:left w:val="none" w:sz="0" w:space="0" w:color="auto"/>
        <w:bottom w:val="none" w:sz="0" w:space="0" w:color="auto"/>
        <w:right w:val="none" w:sz="0" w:space="0" w:color="auto"/>
      </w:divBdr>
      <w:divsChild>
        <w:div w:id="111831458">
          <w:marLeft w:val="0"/>
          <w:marRight w:val="0"/>
          <w:marTop w:val="0"/>
          <w:marBottom w:val="0"/>
          <w:divBdr>
            <w:top w:val="none" w:sz="0" w:space="0" w:color="auto"/>
            <w:left w:val="none" w:sz="0" w:space="0" w:color="auto"/>
            <w:bottom w:val="none" w:sz="0" w:space="0" w:color="auto"/>
            <w:right w:val="none" w:sz="0" w:space="0" w:color="auto"/>
          </w:divBdr>
        </w:div>
        <w:div w:id="1422753651">
          <w:marLeft w:val="0"/>
          <w:marRight w:val="0"/>
          <w:marTop w:val="0"/>
          <w:marBottom w:val="0"/>
          <w:divBdr>
            <w:top w:val="none" w:sz="0" w:space="0" w:color="auto"/>
            <w:left w:val="none" w:sz="0" w:space="0" w:color="auto"/>
            <w:bottom w:val="none" w:sz="0" w:space="0" w:color="auto"/>
            <w:right w:val="none" w:sz="0" w:space="0" w:color="auto"/>
          </w:divBdr>
        </w:div>
      </w:divsChild>
    </w:div>
    <w:div w:id="619340419">
      <w:bodyDiv w:val="1"/>
      <w:marLeft w:val="0"/>
      <w:marRight w:val="0"/>
      <w:marTop w:val="0"/>
      <w:marBottom w:val="0"/>
      <w:divBdr>
        <w:top w:val="none" w:sz="0" w:space="0" w:color="auto"/>
        <w:left w:val="none" w:sz="0" w:space="0" w:color="auto"/>
        <w:bottom w:val="none" w:sz="0" w:space="0" w:color="auto"/>
        <w:right w:val="none" w:sz="0" w:space="0" w:color="auto"/>
      </w:divBdr>
    </w:div>
    <w:div w:id="694967414">
      <w:bodyDiv w:val="1"/>
      <w:marLeft w:val="0"/>
      <w:marRight w:val="0"/>
      <w:marTop w:val="0"/>
      <w:marBottom w:val="0"/>
      <w:divBdr>
        <w:top w:val="none" w:sz="0" w:space="0" w:color="auto"/>
        <w:left w:val="none" w:sz="0" w:space="0" w:color="auto"/>
        <w:bottom w:val="none" w:sz="0" w:space="0" w:color="auto"/>
        <w:right w:val="none" w:sz="0" w:space="0" w:color="auto"/>
      </w:divBdr>
      <w:divsChild>
        <w:div w:id="177744350">
          <w:marLeft w:val="0"/>
          <w:marRight w:val="0"/>
          <w:marTop w:val="0"/>
          <w:marBottom w:val="0"/>
          <w:divBdr>
            <w:top w:val="none" w:sz="0" w:space="0" w:color="auto"/>
            <w:left w:val="none" w:sz="0" w:space="0" w:color="auto"/>
            <w:bottom w:val="none" w:sz="0" w:space="0" w:color="auto"/>
            <w:right w:val="none" w:sz="0" w:space="0" w:color="auto"/>
          </w:divBdr>
        </w:div>
        <w:div w:id="623733987">
          <w:marLeft w:val="0"/>
          <w:marRight w:val="0"/>
          <w:marTop w:val="0"/>
          <w:marBottom w:val="0"/>
          <w:divBdr>
            <w:top w:val="none" w:sz="0" w:space="0" w:color="auto"/>
            <w:left w:val="none" w:sz="0" w:space="0" w:color="auto"/>
            <w:bottom w:val="none" w:sz="0" w:space="0" w:color="auto"/>
            <w:right w:val="none" w:sz="0" w:space="0" w:color="auto"/>
          </w:divBdr>
        </w:div>
        <w:div w:id="623854661">
          <w:marLeft w:val="0"/>
          <w:marRight w:val="0"/>
          <w:marTop w:val="0"/>
          <w:marBottom w:val="0"/>
          <w:divBdr>
            <w:top w:val="none" w:sz="0" w:space="0" w:color="auto"/>
            <w:left w:val="none" w:sz="0" w:space="0" w:color="auto"/>
            <w:bottom w:val="none" w:sz="0" w:space="0" w:color="auto"/>
            <w:right w:val="none" w:sz="0" w:space="0" w:color="auto"/>
          </w:divBdr>
        </w:div>
        <w:div w:id="786703529">
          <w:marLeft w:val="0"/>
          <w:marRight w:val="0"/>
          <w:marTop w:val="0"/>
          <w:marBottom w:val="0"/>
          <w:divBdr>
            <w:top w:val="none" w:sz="0" w:space="0" w:color="auto"/>
            <w:left w:val="none" w:sz="0" w:space="0" w:color="auto"/>
            <w:bottom w:val="none" w:sz="0" w:space="0" w:color="auto"/>
            <w:right w:val="none" w:sz="0" w:space="0" w:color="auto"/>
          </w:divBdr>
        </w:div>
        <w:div w:id="977302632">
          <w:marLeft w:val="0"/>
          <w:marRight w:val="0"/>
          <w:marTop w:val="0"/>
          <w:marBottom w:val="0"/>
          <w:divBdr>
            <w:top w:val="none" w:sz="0" w:space="0" w:color="auto"/>
            <w:left w:val="none" w:sz="0" w:space="0" w:color="auto"/>
            <w:bottom w:val="none" w:sz="0" w:space="0" w:color="auto"/>
            <w:right w:val="none" w:sz="0" w:space="0" w:color="auto"/>
          </w:divBdr>
        </w:div>
        <w:div w:id="988484438">
          <w:marLeft w:val="0"/>
          <w:marRight w:val="0"/>
          <w:marTop w:val="0"/>
          <w:marBottom w:val="0"/>
          <w:divBdr>
            <w:top w:val="none" w:sz="0" w:space="0" w:color="auto"/>
            <w:left w:val="none" w:sz="0" w:space="0" w:color="auto"/>
            <w:bottom w:val="none" w:sz="0" w:space="0" w:color="auto"/>
            <w:right w:val="none" w:sz="0" w:space="0" w:color="auto"/>
          </w:divBdr>
        </w:div>
        <w:div w:id="1309671491">
          <w:marLeft w:val="0"/>
          <w:marRight w:val="0"/>
          <w:marTop w:val="0"/>
          <w:marBottom w:val="0"/>
          <w:divBdr>
            <w:top w:val="none" w:sz="0" w:space="0" w:color="auto"/>
            <w:left w:val="none" w:sz="0" w:space="0" w:color="auto"/>
            <w:bottom w:val="none" w:sz="0" w:space="0" w:color="auto"/>
            <w:right w:val="none" w:sz="0" w:space="0" w:color="auto"/>
          </w:divBdr>
        </w:div>
        <w:div w:id="1849832619">
          <w:marLeft w:val="0"/>
          <w:marRight w:val="0"/>
          <w:marTop w:val="0"/>
          <w:marBottom w:val="0"/>
          <w:divBdr>
            <w:top w:val="none" w:sz="0" w:space="0" w:color="auto"/>
            <w:left w:val="none" w:sz="0" w:space="0" w:color="auto"/>
            <w:bottom w:val="none" w:sz="0" w:space="0" w:color="auto"/>
            <w:right w:val="none" w:sz="0" w:space="0" w:color="auto"/>
          </w:divBdr>
        </w:div>
        <w:div w:id="1851288711">
          <w:marLeft w:val="0"/>
          <w:marRight w:val="0"/>
          <w:marTop w:val="0"/>
          <w:marBottom w:val="0"/>
          <w:divBdr>
            <w:top w:val="none" w:sz="0" w:space="0" w:color="auto"/>
            <w:left w:val="none" w:sz="0" w:space="0" w:color="auto"/>
            <w:bottom w:val="none" w:sz="0" w:space="0" w:color="auto"/>
            <w:right w:val="none" w:sz="0" w:space="0" w:color="auto"/>
          </w:divBdr>
        </w:div>
        <w:div w:id="1853493519">
          <w:marLeft w:val="0"/>
          <w:marRight w:val="0"/>
          <w:marTop w:val="0"/>
          <w:marBottom w:val="0"/>
          <w:divBdr>
            <w:top w:val="none" w:sz="0" w:space="0" w:color="auto"/>
            <w:left w:val="none" w:sz="0" w:space="0" w:color="auto"/>
            <w:bottom w:val="none" w:sz="0" w:space="0" w:color="auto"/>
            <w:right w:val="none" w:sz="0" w:space="0" w:color="auto"/>
          </w:divBdr>
        </w:div>
        <w:div w:id="2079207852">
          <w:marLeft w:val="0"/>
          <w:marRight w:val="0"/>
          <w:marTop w:val="0"/>
          <w:marBottom w:val="0"/>
          <w:divBdr>
            <w:top w:val="none" w:sz="0" w:space="0" w:color="auto"/>
            <w:left w:val="none" w:sz="0" w:space="0" w:color="auto"/>
            <w:bottom w:val="none" w:sz="0" w:space="0" w:color="auto"/>
            <w:right w:val="none" w:sz="0" w:space="0" w:color="auto"/>
          </w:divBdr>
        </w:div>
      </w:divsChild>
    </w:div>
    <w:div w:id="709382457">
      <w:bodyDiv w:val="1"/>
      <w:marLeft w:val="0"/>
      <w:marRight w:val="0"/>
      <w:marTop w:val="0"/>
      <w:marBottom w:val="0"/>
      <w:divBdr>
        <w:top w:val="none" w:sz="0" w:space="0" w:color="auto"/>
        <w:left w:val="none" w:sz="0" w:space="0" w:color="auto"/>
        <w:bottom w:val="none" w:sz="0" w:space="0" w:color="auto"/>
        <w:right w:val="none" w:sz="0" w:space="0" w:color="auto"/>
      </w:divBdr>
      <w:divsChild>
        <w:div w:id="439374990">
          <w:marLeft w:val="0"/>
          <w:marRight w:val="0"/>
          <w:marTop w:val="0"/>
          <w:marBottom w:val="0"/>
          <w:divBdr>
            <w:top w:val="none" w:sz="0" w:space="0" w:color="auto"/>
            <w:left w:val="none" w:sz="0" w:space="0" w:color="auto"/>
            <w:bottom w:val="none" w:sz="0" w:space="0" w:color="auto"/>
            <w:right w:val="none" w:sz="0" w:space="0" w:color="auto"/>
          </w:divBdr>
        </w:div>
        <w:div w:id="2030713680">
          <w:marLeft w:val="0"/>
          <w:marRight w:val="0"/>
          <w:marTop w:val="0"/>
          <w:marBottom w:val="0"/>
          <w:divBdr>
            <w:top w:val="none" w:sz="0" w:space="0" w:color="auto"/>
            <w:left w:val="none" w:sz="0" w:space="0" w:color="auto"/>
            <w:bottom w:val="none" w:sz="0" w:space="0" w:color="auto"/>
            <w:right w:val="none" w:sz="0" w:space="0" w:color="auto"/>
          </w:divBdr>
        </w:div>
        <w:div w:id="2016423193">
          <w:marLeft w:val="0"/>
          <w:marRight w:val="0"/>
          <w:marTop w:val="0"/>
          <w:marBottom w:val="0"/>
          <w:divBdr>
            <w:top w:val="none" w:sz="0" w:space="0" w:color="auto"/>
            <w:left w:val="none" w:sz="0" w:space="0" w:color="auto"/>
            <w:bottom w:val="none" w:sz="0" w:space="0" w:color="auto"/>
            <w:right w:val="none" w:sz="0" w:space="0" w:color="auto"/>
          </w:divBdr>
        </w:div>
        <w:div w:id="937757838">
          <w:marLeft w:val="0"/>
          <w:marRight w:val="0"/>
          <w:marTop w:val="0"/>
          <w:marBottom w:val="0"/>
          <w:divBdr>
            <w:top w:val="none" w:sz="0" w:space="0" w:color="auto"/>
            <w:left w:val="none" w:sz="0" w:space="0" w:color="auto"/>
            <w:bottom w:val="none" w:sz="0" w:space="0" w:color="auto"/>
            <w:right w:val="none" w:sz="0" w:space="0" w:color="auto"/>
          </w:divBdr>
        </w:div>
        <w:div w:id="694234918">
          <w:marLeft w:val="0"/>
          <w:marRight w:val="0"/>
          <w:marTop w:val="0"/>
          <w:marBottom w:val="0"/>
          <w:divBdr>
            <w:top w:val="none" w:sz="0" w:space="0" w:color="auto"/>
            <w:left w:val="none" w:sz="0" w:space="0" w:color="auto"/>
            <w:bottom w:val="none" w:sz="0" w:space="0" w:color="auto"/>
            <w:right w:val="none" w:sz="0" w:space="0" w:color="auto"/>
          </w:divBdr>
        </w:div>
        <w:div w:id="1624920141">
          <w:marLeft w:val="0"/>
          <w:marRight w:val="0"/>
          <w:marTop w:val="0"/>
          <w:marBottom w:val="0"/>
          <w:divBdr>
            <w:top w:val="none" w:sz="0" w:space="0" w:color="auto"/>
            <w:left w:val="none" w:sz="0" w:space="0" w:color="auto"/>
            <w:bottom w:val="none" w:sz="0" w:space="0" w:color="auto"/>
            <w:right w:val="none" w:sz="0" w:space="0" w:color="auto"/>
          </w:divBdr>
        </w:div>
        <w:div w:id="1270506948">
          <w:marLeft w:val="0"/>
          <w:marRight w:val="0"/>
          <w:marTop w:val="0"/>
          <w:marBottom w:val="0"/>
          <w:divBdr>
            <w:top w:val="none" w:sz="0" w:space="0" w:color="auto"/>
            <w:left w:val="none" w:sz="0" w:space="0" w:color="auto"/>
            <w:bottom w:val="none" w:sz="0" w:space="0" w:color="auto"/>
            <w:right w:val="none" w:sz="0" w:space="0" w:color="auto"/>
          </w:divBdr>
        </w:div>
        <w:div w:id="656151328">
          <w:marLeft w:val="0"/>
          <w:marRight w:val="0"/>
          <w:marTop w:val="0"/>
          <w:marBottom w:val="0"/>
          <w:divBdr>
            <w:top w:val="none" w:sz="0" w:space="0" w:color="auto"/>
            <w:left w:val="none" w:sz="0" w:space="0" w:color="auto"/>
            <w:bottom w:val="none" w:sz="0" w:space="0" w:color="auto"/>
            <w:right w:val="none" w:sz="0" w:space="0" w:color="auto"/>
          </w:divBdr>
        </w:div>
        <w:div w:id="777724621">
          <w:marLeft w:val="0"/>
          <w:marRight w:val="0"/>
          <w:marTop w:val="0"/>
          <w:marBottom w:val="0"/>
          <w:divBdr>
            <w:top w:val="none" w:sz="0" w:space="0" w:color="auto"/>
            <w:left w:val="none" w:sz="0" w:space="0" w:color="auto"/>
            <w:bottom w:val="none" w:sz="0" w:space="0" w:color="auto"/>
            <w:right w:val="none" w:sz="0" w:space="0" w:color="auto"/>
          </w:divBdr>
        </w:div>
        <w:div w:id="630287871">
          <w:marLeft w:val="0"/>
          <w:marRight w:val="0"/>
          <w:marTop w:val="0"/>
          <w:marBottom w:val="0"/>
          <w:divBdr>
            <w:top w:val="none" w:sz="0" w:space="0" w:color="auto"/>
            <w:left w:val="none" w:sz="0" w:space="0" w:color="auto"/>
            <w:bottom w:val="none" w:sz="0" w:space="0" w:color="auto"/>
            <w:right w:val="none" w:sz="0" w:space="0" w:color="auto"/>
          </w:divBdr>
        </w:div>
        <w:div w:id="91976142">
          <w:marLeft w:val="0"/>
          <w:marRight w:val="0"/>
          <w:marTop w:val="0"/>
          <w:marBottom w:val="0"/>
          <w:divBdr>
            <w:top w:val="none" w:sz="0" w:space="0" w:color="auto"/>
            <w:left w:val="none" w:sz="0" w:space="0" w:color="auto"/>
            <w:bottom w:val="none" w:sz="0" w:space="0" w:color="auto"/>
            <w:right w:val="none" w:sz="0" w:space="0" w:color="auto"/>
          </w:divBdr>
        </w:div>
        <w:div w:id="580990858">
          <w:marLeft w:val="0"/>
          <w:marRight w:val="0"/>
          <w:marTop w:val="0"/>
          <w:marBottom w:val="0"/>
          <w:divBdr>
            <w:top w:val="none" w:sz="0" w:space="0" w:color="auto"/>
            <w:left w:val="none" w:sz="0" w:space="0" w:color="auto"/>
            <w:bottom w:val="none" w:sz="0" w:space="0" w:color="auto"/>
            <w:right w:val="none" w:sz="0" w:space="0" w:color="auto"/>
          </w:divBdr>
        </w:div>
        <w:div w:id="1104955665">
          <w:marLeft w:val="0"/>
          <w:marRight w:val="0"/>
          <w:marTop w:val="0"/>
          <w:marBottom w:val="0"/>
          <w:divBdr>
            <w:top w:val="none" w:sz="0" w:space="0" w:color="auto"/>
            <w:left w:val="none" w:sz="0" w:space="0" w:color="auto"/>
            <w:bottom w:val="none" w:sz="0" w:space="0" w:color="auto"/>
            <w:right w:val="none" w:sz="0" w:space="0" w:color="auto"/>
          </w:divBdr>
        </w:div>
        <w:div w:id="790973000">
          <w:marLeft w:val="0"/>
          <w:marRight w:val="0"/>
          <w:marTop w:val="0"/>
          <w:marBottom w:val="0"/>
          <w:divBdr>
            <w:top w:val="none" w:sz="0" w:space="0" w:color="auto"/>
            <w:left w:val="none" w:sz="0" w:space="0" w:color="auto"/>
            <w:bottom w:val="none" w:sz="0" w:space="0" w:color="auto"/>
            <w:right w:val="none" w:sz="0" w:space="0" w:color="auto"/>
          </w:divBdr>
        </w:div>
        <w:div w:id="1139300899">
          <w:marLeft w:val="0"/>
          <w:marRight w:val="0"/>
          <w:marTop w:val="0"/>
          <w:marBottom w:val="0"/>
          <w:divBdr>
            <w:top w:val="none" w:sz="0" w:space="0" w:color="auto"/>
            <w:left w:val="none" w:sz="0" w:space="0" w:color="auto"/>
            <w:bottom w:val="none" w:sz="0" w:space="0" w:color="auto"/>
            <w:right w:val="none" w:sz="0" w:space="0" w:color="auto"/>
          </w:divBdr>
        </w:div>
        <w:div w:id="579019955">
          <w:marLeft w:val="0"/>
          <w:marRight w:val="0"/>
          <w:marTop w:val="0"/>
          <w:marBottom w:val="0"/>
          <w:divBdr>
            <w:top w:val="none" w:sz="0" w:space="0" w:color="auto"/>
            <w:left w:val="none" w:sz="0" w:space="0" w:color="auto"/>
            <w:bottom w:val="none" w:sz="0" w:space="0" w:color="auto"/>
            <w:right w:val="none" w:sz="0" w:space="0" w:color="auto"/>
          </w:divBdr>
        </w:div>
        <w:div w:id="1786273376">
          <w:marLeft w:val="0"/>
          <w:marRight w:val="0"/>
          <w:marTop w:val="0"/>
          <w:marBottom w:val="0"/>
          <w:divBdr>
            <w:top w:val="none" w:sz="0" w:space="0" w:color="auto"/>
            <w:left w:val="none" w:sz="0" w:space="0" w:color="auto"/>
            <w:bottom w:val="none" w:sz="0" w:space="0" w:color="auto"/>
            <w:right w:val="none" w:sz="0" w:space="0" w:color="auto"/>
          </w:divBdr>
        </w:div>
        <w:div w:id="613246719">
          <w:marLeft w:val="0"/>
          <w:marRight w:val="0"/>
          <w:marTop w:val="0"/>
          <w:marBottom w:val="0"/>
          <w:divBdr>
            <w:top w:val="none" w:sz="0" w:space="0" w:color="auto"/>
            <w:left w:val="none" w:sz="0" w:space="0" w:color="auto"/>
            <w:bottom w:val="none" w:sz="0" w:space="0" w:color="auto"/>
            <w:right w:val="none" w:sz="0" w:space="0" w:color="auto"/>
          </w:divBdr>
        </w:div>
        <w:div w:id="1480655815">
          <w:marLeft w:val="0"/>
          <w:marRight w:val="0"/>
          <w:marTop w:val="0"/>
          <w:marBottom w:val="0"/>
          <w:divBdr>
            <w:top w:val="none" w:sz="0" w:space="0" w:color="auto"/>
            <w:left w:val="none" w:sz="0" w:space="0" w:color="auto"/>
            <w:bottom w:val="none" w:sz="0" w:space="0" w:color="auto"/>
            <w:right w:val="none" w:sz="0" w:space="0" w:color="auto"/>
          </w:divBdr>
        </w:div>
        <w:div w:id="77598952">
          <w:marLeft w:val="0"/>
          <w:marRight w:val="0"/>
          <w:marTop w:val="0"/>
          <w:marBottom w:val="0"/>
          <w:divBdr>
            <w:top w:val="none" w:sz="0" w:space="0" w:color="auto"/>
            <w:left w:val="none" w:sz="0" w:space="0" w:color="auto"/>
            <w:bottom w:val="none" w:sz="0" w:space="0" w:color="auto"/>
            <w:right w:val="none" w:sz="0" w:space="0" w:color="auto"/>
          </w:divBdr>
        </w:div>
      </w:divsChild>
    </w:div>
    <w:div w:id="719862522">
      <w:bodyDiv w:val="1"/>
      <w:marLeft w:val="0"/>
      <w:marRight w:val="0"/>
      <w:marTop w:val="0"/>
      <w:marBottom w:val="0"/>
      <w:divBdr>
        <w:top w:val="none" w:sz="0" w:space="0" w:color="auto"/>
        <w:left w:val="none" w:sz="0" w:space="0" w:color="auto"/>
        <w:bottom w:val="none" w:sz="0" w:space="0" w:color="auto"/>
        <w:right w:val="none" w:sz="0" w:space="0" w:color="auto"/>
      </w:divBdr>
      <w:divsChild>
        <w:div w:id="1329096045">
          <w:marLeft w:val="0"/>
          <w:marRight w:val="0"/>
          <w:marTop w:val="0"/>
          <w:marBottom w:val="0"/>
          <w:divBdr>
            <w:top w:val="none" w:sz="0" w:space="0" w:color="auto"/>
            <w:left w:val="none" w:sz="0" w:space="0" w:color="auto"/>
            <w:bottom w:val="none" w:sz="0" w:space="0" w:color="auto"/>
            <w:right w:val="none" w:sz="0" w:space="0" w:color="auto"/>
          </w:divBdr>
          <w:divsChild>
            <w:div w:id="1423377824">
              <w:marLeft w:val="0"/>
              <w:marRight w:val="0"/>
              <w:marTop w:val="0"/>
              <w:marBottom w:val="0"/>
              <w:divBdr>
                <w:top w:val="none" w:sz="0" w:space="0" w:color="auto"/>
                <w:left w:val="none" w:sz="0" w:space="0" w:color="auto"/>
                <w:bottom w:val="none" w:sz="0" w:space="0" w:color="auto"/>
                <w:right w:val="none" w:sz="0" w:space="0" w:color="auto"/>
              </w:divBdr>
              <w:divsChild>
                <w:div w:id="467820843">
                  <w:marLeft w:val="0"/>
                  <w:marRight w:val="0"/>
                  <w:marTop w:val="0"/>
                  <w:marBottom w:val="0"/>
                  <w:divBdr>
                    <w:top w:val="none" w:sz="0" w:space="0" w:color="auto"/>
                    <w:left w:val="none" w:sz="0" w:space="0" w:color="auto"/>
                    <w:bottom w:val="none" w:sz="0" w:space="0" w:color="auto"/>
                    <w:right w:val="none" w:sz="0" w:space="0" w:color="auto"/>
                  </w:divBdr>
                  <w:divsChild>
                    <w:div w:id="1351025585">
                      <w:marLeft w:val="0"/>
                      <w:marRight w:val="0"/>
                      <w:marTop w:val="0"/>
                      <w:marBottom w:val="0"/>
                      <w:divBdr>
                        <w:top w:val="none" w:sz="0" w:space="0" w:color="auto"/>
                        <w:left w:val="none" w:sz="0" w:space="0" w:color="auto"/>
                        <w:bottom w:val="none" w:sz="0" w:space="0" w:color="auto"/>
                        <w:right w:val="none" w:sz="0" w:space="0" w:color="auto"/>
                      </w:divBdr>
                      <w:divsChild>
                        <w:div w:id="20674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59016">
      <w:bodyDiv w:val="1"/>
      <w:marLeft w:val="0"/>
      <w:marRight w:val="0"/>
      <w:marTop w:val="0"/>
      <w:marBottom w:val="0"/>
      <w:divBdr>
        <w:top w:val="none" w:sz="0" w:space="0" w:color="auto"/>
        <w:left w:val="none" w:sz="0" w:space="0" w:color="auto"/>
        <w:bottom w:val="none" w:sz="0" w:space="0" w:color="auto"/>
        <w:right w:val="none" w:sz="0" w:space="0" w:color="auto"/>
      </w:divBdr>
      <w:divsChild>
        <w:div w:id="530732144">
          <w:marLeft w:val="0"/>
          <w:marRight w:val="0"/>
          <w:marTop w:val="0"/>
          <w:marBottom w:val="0"/>
          <w:divBdr>
            <w:top w:val="none" w:sz="0" w:space="0" w:color="auto"/>
            <w:left w:val="none" w:sz="0" w:space="0" w:color="auto"/>
            <w:bottom w:val="none" w:sz="0" w:space="0" w:color="auto"/>
            <w:right w:val="none" w:sz="0" w:space="0" w:color="auto"/>
          </w:divBdr>
        </w:div>
        <w:div w:id="2058897330">
          <w:marLeft w:val="0"/>
          <w:marRight w:val="0"/>
          <w:marTop w:val="0"/>
          <w:marBottom w:val="0"/>
          <w:divBdr>
            <w:top w:val="none" w:sz="0" w:space="0" w:color="auto"/>
            <w:left w:val="none" w:sz="0" w:space="0" w:color="auto"/>
            <w:bottom w:val="none" w:sz="0" w:space="0" w:color="auto"/>
            <w:right w:val="none" w:sz="0" w:space="0" w:color="auto"/>
          </w:divBdr>
        </w:div>
        <w:div w:id="408113223">
          <w:marLeft w:val="0"/>
          <w:marRight w:val="0"/>
          <w:marTop w:val="0"/>
          <w:marBottom w:val="0"/>
          <w:divBdr>
            <w:top w:val="none" w:sz="0" w:space="0" w:color="auto"/>
            <w:left w:val="none" w:sz="0" w:space="0" w:color="auto"/>
            <w:bottom w:val="none" w:sz="0" w:space="0" w:color="auto"/>
            <w:right w:val="none" w:sz="0" w:space="0" w:color="auto"/>
          </w:divBdr>
        </w:div>
        <w:div w:id="1641498830">
          <w:marLeft w:val="0"/>
          <w:marRight w:val="0"/>
          <w:marTop w:val="0"/>
          <w:marBottom w:val="0"/>
          <w:divBdr>
            <w:top w:val="none" w:sz="0" w:space="0" w:color="auto"/>
            <w:left w:val="none" w:sz="0" w:space="0" w:color="auto"/>
            <w:bottom w:val="none" w:sz="0" w:space="0" w:color="auto"/>
            <w:right w:val="none" w:sz="0" w:space="0" w:color="auto"/>
          </w:divBdr>
        </w:div>
        <w:div w:id="760879739">
          <w:marLeft w:val="0"/>
          <w:marRight w:val="0"/>
          <w:marTop w:val="0"/>
          <w:marBottom w:val="0"/>
          <w:divBdr>
            <w:top w:val="none" w:sz="0" w:space="0" w:color="auto"/>
            <w:left w:val="none" w:sz="0" w:space="0" w:color="auto"/>
            <w:bottom w:val="none" w:sz="0" w:space="0" w:color="auto"/>
            <w:right w:val="none" w:sz="0" w:space="0" w:color="auto"/>
          </w:divBdr>
        </w:div>
        <w:div w:id="1714843042">
          <w:marLeft w:val="0"/>
          <w:marRight w:val="0"/>
          <w:marTop w:val="0"/>
          <w:marBottom w:val="0"/>
          <w:divBdr>
            <w:top w:val="none" w:sz="0" w:space="0" w:color="auto"/>
            <w:left w:val="none" w:sz="0" w:space="0" w:color="auto"/>
            <w:bottom w:val="none" w:sz="0" w:space="0" w:color="auto"/>
            <w:right w:val="none" w:sz="0" w:space="0" w:color="auto"/>
          </w:divBdr>
        </w:div>
        <w:div w:id="2109541758">
          <w:marLeft w:val="0"/>
          <w:marRight w:val="0"/>
          <w:marTop w:val="0"/>
          <w:marBottom w:val="0"/>
          <w:divBdr>
            <w:top w:val="none" w:sz="0" w:space="0" w:color="auto"/>
            <w:left w:val="none" w:sz="0" w:space="0" w:color="auto"/>
            <w:bottom w:val="none" w:sz="0" w:space="0" w:color="auto"/>
            <w:right w:val="none" w:sz="0" w:space="0" w:color="auto"/>
          </w:divBdr>
        </w:div>
      </w:divsChild>
    </w:div>
    <w:div w:id="954098671">
      <w:bodyDiv w:val="1"/>
      <w:marLeft w:val="0"/>
      <w:marRight w:val="0"/>
      <w:marTop w:val="0"/>
      <w:marBottom w:val="0"/>
      <w:divBdr>
        <w:top w:val="none" w:sz="0" w:space="0" w:color="auto"/>
        <w:left w:val="none" w:sz="0" w:space="0" w:color="auto"/>
        <w:bottom w:val="none" w:sz="0" w:space="0" w:color="auto"/>
        <w:right w:val="none" w:sz="0" w:space="0" w:color="auto"/>
      </w:divBdr>
      <w:divsChild>
        <w:div w:id="1078208083">
          <w:marLeft w:val="0"/>
          <w:marRight w:val="0"/>
          <w:marTop w:val="0"/>
          <w:marBottom w:val="0"/>
          <w:divBdr>
            <w:top w:val="none" w:sz="0" w:space="0" w:color="auto"/>
            <w:left w:val="none" w:sz="0" w:space="0" w:color="auto"/>
            <w:bottom w:val="none" w:sz="0" w:space="0" w:color="auto"/>
            <w:right w:val="none" w:sz="0" w:space="0" w:color="auto"/>
          </w:divBdr>
        </w:div>
        <w:div w:id="1388797921">
          <w:marLeft w:val="0"/>
          <w:marRight w:val="0"/>
          <w:marTop w:val="0"/>
          <w:marBottom w:val="0"/>
          <w:divBdr>
            <w:top w:val="none" w:sz="0" w:space="0" w:color="auto"/>
            <w:left w:val="none" w:sz="0" w:space="0" w:color="auto"/>
            <w:bottom w:val="none" w:sz="0" w:space="0" w:color="auto"/>
            <w:right w:val="none" w:sz="0" w:space="0" w:color="auto"/>
          </w:divBdr>
        </w:div>
        <w:div w:id="1794129842">
          <w:marLeft w:val="0"/>
          <w:marRight w:val="0"/>
          <w:marTop w:val="0"/>
          <w:marBottom w:val="0"/>
          <w:divBdr>
            <w:top w:val="none" w:sz="0" w:space="0" w:color="auto"/>
            <w:left w:val="none" w:sz="0" w:space="0" w:color="auto"/>
            <w:bottom w:val="none" w:sz="0" w:space="0" w:color="auto"/>
            <w:right w:val="none" w:sz="0" w:space="0" w:color="auto"/>
          </w:divBdr>
        </w:div>
      </w:divsChild>
    </w:div>
    <w:div w:id="1044334406">
      <w:bodyDiv w:val="1"/>
      <w:marLeft w:val="0"/>
      <w:marRight w:val="0"/>
      <w:marTop w:val="0"/>
      <w:marBottom w:val="0"/>
      <w:divBdr>
        <w:top w:val="none" w:sz="0" w:space="0" w:color="auto"/>
        <w:left w:val="none" w:sz="0" w:space="0" w:color="auto"/>
        <w:bottom w:val="none" w:sz="0" w:space="0" w:color="auto"/>
        <w:right w:val="none" w:sz="0" w:space="0" w:color="auto"/>
      </w:divBdr>
      <w:divsChild>
        <w:div w:id="138309527">
          <w:marLeft w:val="0"/>
          <w:marRight w:val="0"/>
          <w:marTop w:val="0"/>
          <w:marBottom w:val="0"/>
          <w:divBdr>
            <w:top w:val="none" w:sz="0" w:space="0" w:color="auto"/>
            <w:left w:val="none" w:sz="0" w:space="0" w:color="auto"/>
            <w:bottom w:val="none" w:sz="0" w:space="0" w:color="auto"/>
            <w:right w:val="none" w:sz="0" w:space="0" w:color="auto"/>
          </w:divBdr>
        </w:div>
        <w:div w:id="479689788">
          <w:marLeft w:val="0"/>
          <w:marRight w:val="0"/>
          <w:marTop w:val="0"/>
          <w:marBottom w:val="0"/>
          <w:divBdr>
            <w:top w:val="none" w:sz="0" w:space="0" w:color="auto"/>
            <w:left w:val="none" w:sz="0" w:space="0" w:color="auto"/>
            <w:bottom w:val="none" w:sz="0" w:space="0" w:color="auto"/>
            <w:right w:val="none" w:sz="0" w:space="0" w:color="auto"/>
          </w:divBdr>
        </w:div>
      </w:divsChild>
    </w:div>
    <w:div w:id="1045374392">
      <w:bodyDiv w:val="1"/>
      <w:marLeft w:val="0"/>
      <w:marRight w:val="0"/>
      <w:marTop w:val="0"/>
      <w:marBottom w:val="0"/>
      <w:divBdr>
        <w:top w:val="none" w:sz="0" w:space="0" w:color="auto"/>
        <w:left w:val="none" w:sz="0" w:space="0" w:color="auto"/>
        <w:bottom w:val="none" w:sz="0" w:space="0" w:color="auto"/>
        <w:right w:val="none" w:sz="0" w:space="0" w:color="auto"/>
      </w:divBdr>
      <w:divsChild>
        <w:div w:id="93214457">
          <w:marLeft w:val="0"/>
          <w:marRight w:val="0"/>
          <w:marTop w:val="0"/>
          <w:marBottom w:val="0"/>
          <w:divBdr>
            <w:top w:val="none" w:sz="0" w:space="0" w:color="auto"/>
            <w:left w:val="none" w:sz="0" w:space="0" w:color="auto"/>
            <w:bottom w:val="none" w:sz="0" w:space="0" w:color="auto"/>
            <w:right w:val="none" w:sz="0" w:space="0" w:color="auto"/>
          </w:divBdr>
        </w:div>
      </w:divsChild>
    </w:div>
    <w:div w:id="1066956392">
      <w:bodyDiv w:val="1"/>
      <w:marLeft w:val="0"/>
      <w:marRight w:val="0"/>
      <w:marTop w:val="0"/>
      <w:marBottom w:val="0"/>
      <w:divBdr>
        <w:top w:val="none" w:sz="0" w:space="0" w:color="auto"/>
        <w:left w:val="none" w:sz="0" w:space="0" w:color="auto"/>
        <w:bottom w:val="none" w:sz="0" w:space="0" w:color="auto"/>
        <w:right w:val="none" w:sz="0" w:space="0" w:color="auto"/>
      </w:divBdr>
    </w:div>
    <w:div w:id="1328553847">
      <w:bodyDiv w:val="1"/>
      <w:marLeft w:val="0"/>
      <w:marRight w:val="0"/>
      <w:marTop w:val="0"/>
      <w:marBottom w:val="0"/>
      <w:divBdr>
        <w:top w:val="none" w:sz="0" w:space="0" w:color="auto"/>
        <w:left w:val="none" w:sz="0" w:space="0" w:color="auto"/>
        <w:bottom w:val="none" w:sz="0" w:space="0" w:color="auto"/>
        <w:right w:val="none" w:sz="0" w:space="0" w:color="auto"/>
      </w:divBdr>
    </w:div>
    <w:div w:id="1338730896">
      <w:bodyDiv w:val="1"/>
      <w:marLeft w:val="0"/>
      <w:marRight w:val="0"/>
      <w:marTop w:val="0"/>
      <w:marBottom w:val="0"/>
      <w:divBdr>
        <w:top w:val="none" w:sz="0" w:space="0" w:color="auto"/>
        <w:left w:val="none" w:sz="0" w:space="0" w:color="auto"/>
        <w:bottom w:val="none" w:sz="0" w:space="0" w:color="auto"/>
        <w:right w:val="none" w:sz="0" w:space="0" w:color="auto"/>
      </w:divBdr>
    </w:div>
    <w:div w:id="1340422987">
      <w:bodyDiv w:val="1"/>
      <w:marLeft w:val="0"/>
      <w:marRight w:val="0"/>
      <w:marTop w:val="0"/>
      <w:marBottom w:val="0"/>
      <w:divBdr>
        <w:top w:val="none" w:sz="0" w:space="0" w:color="auto"/>
        <w:left w:val="none" w:sz="0" w:space="0" w:color="auto"/>
        <w:bottom w:val="none" w:sz="0" w:space="0" w:color="auto"/>
        <w:right w:val="none" w:sz="0" w:space="0" w:color="auto"/>
      </w:divBdr>
    </w:div>
    <w:div w:id="1342077182">
      <w:bodyDiv w:val="1"/>
      <w:marLeft w:val="0"/>
      <w:marRight w:val="0"/>
      <w:marTop w:val="0"/>
      <w:marBottom w:val="0"/>
      <w:divBdr>
        <w:top w:val="none" w:sz="0" w:space="0" w:color="auto"/>
        <w:left w:val="none" w:sz="0" w:space="0" w:color="auto"/>
        <w:bottom w:val="none" w:sz="0" w:space="0" w:color="auto"/>
        <w:right w:val="none" w:sz="0" w:space="0" w:color="auto"/>
      </w:divBdr>
    </w:div>
    <w:div w:id="1383404529">
      <w:bodyDiv w:val="1"/>
      <w:marLeft w:val="0"/>
      <w:marRight w:val="0"/>
      <w:marTop w:val="0"/>
      <w:marBottom w:val="0"/>
      <w:divBdr>
        <w:top w:val="none" w:sz="0" w:space="0" w:color="auto"/>
        <w:left w:val="none" w:sz="0" w:space="0" w:color="auto"/>
        <w:bottom w:val="none" w:sz="0" w:space="0" w:color="auto"/>
        <w:right w:val="none" w:sz="0" w:space="0" w:color="auto"/>
      </w:divBdr>
    </w:div>
    <w:div w:id="1415973709">
      <w:bodyDiv w:val="1"/>
      <w:marLeft w:val="0"/>
      <w:marRight w:val="0"/>
      <w:marTop w:val="0"/>
      <w:marBottom w:val="0"/>
      <w:divBdr>
        <w:top w:val="none" w:sz="0" w:space="0" w:color="auto"/>
        <w:left w:val="none" w:sz="0" w:space="0" w:color="auto"/>
        <w:bottom w:val="none" w:sz="0" w:space="0" w:color="auto"/>
        <w:right w:val="none" w:sz="0" w:space="0" w:color="auto"/>
      </w:divBdr>
      <w:divsChild>
        <w:div w:id="856191134">
          <w:marLeft w:val="0"/>
          <w:marRight w:val="0"/>
          <w:marTop w:val="0"/>
          <w:marBottom w:val="0"/>
          <w:divBdr>
            <w:top w:val="none" w:sz="0" w:space="0" w:color="auto"/>
            <w:left w:val="none" w:sz="0" w:space="0" w:color="auto"/>
            <w:bottom w:val="none" w:sz="0" w:space="0" w:color="auto"/>
            <w:right w:val="none" w:sz="0" w:space="0" w:color="auto"/>
          </w:divBdr>
        </w:div>
        <w:div w:id="85731481">
          <w:marLeft w:val="0"/>
          <w:marRight w:val="0"/>
          <w:marTop w:val="0"/>
          <w:marBottom w:val="0"/>
          <w:divBdr>
            <w:top w:val="none" w:sz="0" w:space="0" w:color="auto"/>
            <w:left w:val="none" w:sz="0" w:space="0" w:color="auto"/>
            <w:bottom w:val="none" w:sz="0" w:space="0" w:color="auto"/>
            <w:right w:val="none" w:sz="0" w:space="0" w:color="auto"/>
          </w:divBdr>
        </w:div>
        <w:div w:id="163782589">
          <w:marLeft w:val="0"/>
          <w:marRight w:val="0"/>
          <w:marTop w:val="0"/>
          <w:marBottom w:val="0"/>
          <w:divBdr>
            <w:top w:val="none" w:sz="0" w:space="0" w:color="auto"/>
            <w:left w:val="none" w:sz="0" w:space="0" w:color="auto"/>
            <w:bottom w:val="none" w:sz="0" w:space="0" w:color="auto"/>
            <w:right w:val="none" w:sz="0" w:space="0" w:color="auto"/>
          </w:divBdr>
        </w:div>
        <w:div w:id="466826280">
          <w:marLeft w:val="0"/>
          <w:marRight w:val="0"/>
          <w:marTop w:val="0"/>
          <w:marBottom w:val="0"/>
          <w:divBdr>
            <w:top w:val="none" w:sz="0" w:space="0" w:color="auto"/>
            <w:left w:val="none" w:sz="0" w:space="0" w:color="auto"/>
            <w:bottom w:val="none" w:sz="0" w:space="0" w:color="auto"/>
            <w:right w:val="none" w:sz="0" w:space="0" w:color="auto"/>
          </w:divBdr>
        </w:div>
        <w:div w:id="1739940900">
          <w:marLeft w:val="0"/>
          <w:marRight w:val="0"/>
          <w:marTop w:val="0"/>
          <w:marBottom w:val="0"/>
          <w:divBdr>
            <w:top w:val="none" w:sz="0" w:space="0" w:color="auto"/>
            <w:left w:val="none" w:sz="0" w:space="0" w:color="auto"/>
            <w:bottom w:val="none" w:sz="0" w:space="0" w:color="auto"/>
            <w:right w:val="none" w:sz="0" w:space="0" w:color="auto"/>
          </w:divBdr>
        </w:div>
      </w:divsChild>
    </w:div>
    <w:div w:id="1455515622">
      <w:bodyDiv w:val="1"/>
      <w:marLeft w:val="0"/>
      <w:marRight w:val="0"/>
      <w:marTop w:val="0"/>
      <w:marBottom w:val="0"/>
      <w:divBdr>
        <w:top w:val="none" w:sz="0" w:space="0" w:color="auto"/>
        <w:left w:val="none" w:sz="0" w:space="0" w:color="auto"/>
        <w:bottom w:val="none" w:sz="0" w:space="0" w:color="auto"/>
        <w:right w:val="none" w:sz="0" w:space="0" w:color="auto"/>
      </w:divBdr>
    </w:div>
    <w:div w:id="1507210470">
      <w:bodyDiv w:val="1"/>
      <w:marLeft w:val="0"/>
      <w:marRight w:val="0"/>
      <w:marTop w:val="0"/>
      <w:marBottom w:val="0"/>
      <w:divBdr>
        <w:top w:val="none" w:sz="0" w:space="0" w:color="auto"/>
        <w:left w:val="none" w:sz="0" w:space="0" w:color="auto"/>
        <w:bottom w:val="none" w:sz="0" w:space="0" w:color="auto"/>
        <w:right w:val="none" w:sz="0" w:space="0" w:color="auto"/>
      </w:divBdr>
    </w:div>
    <w:div w:id="1591311076">
      <w:bodyDiv w:val="1"/>
      <w:marLeft w:val="0"/>
      <w:marRight w:val="0"/>
      <w:marTop w:val="0"/>
      <w:marBottom w:val="0"/>
      <w:divBdr>
        <w:top w:val="none" w:sz="0" w:space="0" w:color="auto"/>
        <w:left w:val="none" w:sz="0" w:space="0" w:color="auto"/>
        <w:bottom w:val="none" w:sz="0" w:space="0" w:color="auto"/>
        <w:right w:val="none" w:sz="0" w:space="0" w:color="auto"/>
      </w:divBdr>
    </w:div>
    <w:div w:id="1597400617">
      <w:bodyDiv w:val="1"/>
      <w:marLeft w:val="0"/>
      <w:marRight w:val="0"/>
      <w:marTop w:val="0"/>
      <w:marBottom w:val="0"/>
      <w:divBdr>
        <w:top w:val="none" w:sz="0" w:space="0" w:color="auto"/>
        <w:left w:val="none" w:sz="0" w:space="0" w:color="auto"/>
        <w:bottom w:val="none" w:sz="0" w:space="0" w:color="auto"/>
        <w:right w:val="none" w:sz="0" w:space="0" w:color="auto"/>
      </w:divBdr>
      <w:divsChild>
        <w:div w:id="701633894">
          <w:marLeft w:val="0"/>
          <w:marRight w:val="0"/>
          <w:marTop w:val="0"/>
          <w:marBottom w:val="0"/>
          <w:divBdr>
            <w:top w:val="none" w:sz="0" w:space="0" w:color="auto"/>
            <w:left w:val="none" w:sz="0" w:space="0" w:color="auto"/>
            <w:bottom w:val="none" w:sz="0" w:space="0" w:color="auto"/>
            <w:right w:val="none" w:sz="0" w:space="0" w:color="auto"/>
          </w:divBdr>
        </w:div>
        <w:div w:id="185025788">
          <w:marLeft w:val="0"/>
          <w:marRight w:val="0"/>
          <w:marTop w:val="0"/>
          <w:marBottom w:val="0"/>
          <w:divBdr>
            <w:top w:val="none" w:sz="0" w:space="0" w:color="auto"/>
            <w:left w:val="none" w:sz="0" w:space="0" w:color="auto"/>
            <w:bottom w:val="none" w:sz="0" w:space="0" w:color="auto"/>
            <w:right w:val="none" w:sz="0" w:space="0" w:color="auto"/>
          </w:divBdr>
        </w:div>
        <w:div w:id="239098157">
          <w:marLeft w:val="0"/>
          <w:marRight w:val="0"/>
          <w:marTop w:val="0"/>
          <w:marBottom w:val="0"/>
          <w:divBdr>
            <w:top w:val="none" w:sz="0" w:space="0" w:color="auto"/>
            <w:left w:val="none" w:sz="0" w:space="0" w:color="auto"/>
            <w:bottom w:val="none" w:sz="0" w:space="0" w:color="auto"/>
            <w:right w:val="none" w:sz="0" w:space="0" w:color="auto"/>
          </w:divBdr>
        </w:div>
        <w:div w:id="705300529">
          <w:marLeft w:val="0"/>
          <w:marRight w:val="0"/>
          <w:marTop w:val="0"/>
          <w:marBottom w:val="0"/>
          <w:divBdr>
            <w:top w:val="none" w:sz="0" w:space="0" w:color="auto"/>
            <w:left w:val="none" w:sz="0" w:space="0" w:color="auto"/>
            <w:bottom w:val="none" w:sz="0" w:space="0" w:color="auto"/>
            <w:right w:val="none" w:sz="0" w:space="0" w:color="auto"/>
          </w:divBdr>
        </w:div>
        <w:div w:id="1277181126">
          <w:marLeft w:val="0"/>
          <w:marRight w:val="0"/>
          <w:marTop w:val="0"/>
          <w:marBottom w:val="0"/>
          <w:divBdr>
            <w:top w:val="none" w:sz="0" w:space="0" w:color="auto"/>
            <w:left w:val="none" w:sz="0" w:space="0" w:color="auto"/>
            <w:bottom w:val="none" w:sz="0" w:space="0" w:color="auto"/>
            <w:right w:val="none" w:sz="0" w:space="0" w:color="auto"/>
          </w:divBdr>
        </w:div>
        <w:div w:id="2144930464">
          <w:marLeft w:val="0"/>
          <w:marRight w:val="0"/>
          <w:marTop w:val="0"/>
          <w:marBottom w:val="0"/>
          <w:divBdr>
            <w:top w:val="none" w:sz="0" w:space="0" w:color="auto"/>
            <w:left w:val="none" w:sz="0" w:space="0" w:color="auto"/>
            <w:bottom w:val="none" w:sz="0" w:space="0" w:color="auto"/>
            <w:right w:val="none" w:sz="0" w:space="0" w:color="auto"/>
          </w:divBdr>
        </w:div>
        <w:div w:id="642658573">
          <w:marLeft w:val="0"/>
          <w:marRight w:val="0"/>
          <w:marTop w:val="0"/>
          <w:marBottom w:val="0"/>
          <w:divBdr>
            <w:top w:val="none" w:sz="0" w:space="0" w:color="auto"/>
            <w:left w:val="none" w:sz="0" w:space="0" w:color="auto"/>
            <w:bottom w:val="none" w:sz="0" w:space="0" w:color="auto"/>
            <w:right w:val="none" w:sz="0" w:space="0" w:color="auto"/>
          </w:divBdr>
        </w:div>
        <w:div w:id="1601404463">
          <w:marLeft w:val="0"/>
          <w:marRight w:val="0"/>
          <w:marTop w:val="0"/>
          <w:marBottom w:val="0"/>
          <w:divBdr>
            <w:top w:val="none" w:sz="0" w:space="0" w:color="auto"/>
            <w:left w:val="none" w:sz="0" w:space="0" w:color="auto"/>
            <w:bottom w:val="none" w:sz="0" w:space="0" w:color="auto"/>
            <w:right w:val="none" w:sz="0" w:space="0" w:color="auto"/>
          </w:divBdr>
        </w:div>
        <w:div w:id="123936619">
          <w:marLeft w:val="0"/>
          <w:marRight w:val="0"/>
          <w:marTop w:val="0"/>
          <w:marBottom w:val="0"/>
          <w:divBdr>
            <w:top w:val="none" w:sz="0" w:space="0" w:color="auto"/>
            <w:left w:val="none" w:sz="0" w:space="0" w:color="auto"/>
            <w:bottom w:val="none" w:sz="0" w:space="0" w:color="auto"/>
            <w:right w:val="none" w:sz="0" w:space="0" w:color="auto"/>
          </w:divBdr>
        </w:div>
      </w:divsChild>
    </w:div>
    <w:div w:id="1697995845">
      <w:bodyDiv w:val="1"/>
      <w:marLeft w:val="0"/>
      <w:marRight w:val="0"/>
      <w:marTop w:val="0"/>
      <w:marBottom w:val="0"/>
      <w:divBdr>
        <w:top w:val="none" w:sz="0" w:space="0" w:color="auto"/>
        <w:left w:val="none" w:sz="0" w:space="0" w:color="auto"/>
        <w:bottom w:val="none" w:sz="0" w:space="0" w:color="auto"/>
        <w:right w:val="none" w:sz="0" w:space="0" w:color="auto"/>
      </w:divBdr>
    </w:div>
    <w:div w:id="1742941965">
      <w:bodyDiv w:val="1"/>
      <w:marLeft w:val="0"/>
      <w:marRight w:val="0"/>
      <w:marTop w:val="0"/>
      <w:marBottom w:val="0"/>
      <w:divBdr>
        <w:top w:val="none" w:sz="0" w:space="0" w:color="auto"/>
        <w:left w:val="none" w:sz="0" w:space="0" w:color="auto"/>
        <w:bottom w:val="none" w:sz="0" w:space="0" w:color="auto"/>
        <w:right w:val="none" w:sz="0" w:space="0" w:color="auto"/>
      </w:divBdr>
    </w:div>
    <w:div w:id="1764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2472625">
          <w:marLeft w:val="0"/>
          <w:marRight w:val="0"/>
          <w:marTop w:val="0"/>
          <w:marBottom w:val="0"/>
          <w:divBdr>
            <w:top w:val="none" w:sz="0" w:space="0" w:color="auto"/>
            <w:left w:val="none" w:sz="0" w:space="0" w:color="auto"/>
            <w:bottom w:val="none" w:sz="0" w:space="0" w:color="auto"/>
            <w:right w:val="none" w:sz="0" w:space="0" w:color="auto"/>
          </w:divBdr>
          <w:divsChild>
            <w:div w:id="517232792">
              <w:marLeft w:val="0"/>
              <w:marRight w:val="0"/>
              <w:marTop w:val="0"/>
              <w:marBottom w:val="0"/>
              <w:divBdr>
                <w:top w:val="none" w:sz="0" w:space="0" w:color="auto"/>
                <w:left w:val="none" w:sz="0" w:space="0" w:color="auto"/>
                <w:bottom w:val="none" w:sz="0" w:space="0" w:color="auto"/>
                <w:right w:val="none" w:sz="0" w:space="0" w:color="auto"/>
              </w:divBdr>
            </w:div>
            <w:div w:id="1627275670">
              <w:marLeft w:val="0"/>
              <w:marRight w:val="0"/>
              <w:marTop w:val="0"/>
              <w:marBottom w:val="0"/>
              <w:divBdr>
                <w:top w:val="none" w:sz="0" w:space="0" w:color="auto"/>
                <w:left w:val="none" w:sz="0" w:space="0" w:color="auto"/>
                <w:bottom w:val="none" w:sz="0" w:space="0" w:color="auto"/>
                <w:right w:val="none" w:sz="0" w:space="0" w:color="auto"/>
              </w:divBdr>
            </w:div>
            <w:div w:id="7569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128">
      <w:bodyDiv w:val="1"/>
      <w:marLeft w:val="0"/>
      <w:marRight w:val="0"/>
      <w:marTop w:val="0"/>
      <w:marBottom w:val="0"/>
      <w:divBdr>
        <w:top w:val="none" w:sz="0" w:space="0" w:color="auto"/>
        <w:left w:val="none" w:sz="0" w:space="0" w:color="auto"/>
        <w:bottom w:val="none" w:sz="0" w:space="0" w:color="auto"/>
        <w:right w:val="none" w:sz="0" w:space="0" w:color="auto"/>
      </w:divBdr>
    </w:div>
    <w:div w:id="1838030321">
      <w:bodyDiv w:val="1"/>
      <w:marLeft w:val="0"/>
      <w:marRight w:val="0"/>
      <w:marTop w:val="0"/>
      <w:marBottom w:val="0"/>
      <w:divBdr>
        <w:top w:val="none" w:sz="0" w:space="0" w:color="auto"/>
        <w:left w:val="none" w:sz="0" w:space="0" w:color="auto"/>
        <w:bottom w:val="none" w:sz="0" w:space="0" w:color="auto"/>
        <w:right w:val="none" w:sz="0" w:space="0" w:color="auto"/>
      </w:divBdr>
      <w:divsChild>
        <w:div w:id="705328142">
          <w:marLeft w:val="0"/>
          <w:marRight w:val="0"/>
          <w:marTop w:val="0"/>
          <w:marBottom w:val="0"/>
          <w:divBdr>
            <w:top w:val="none" w:sz="0" w:space="0" w:color="auto"/>
            <w:left w:val="none" w:sz="0" w:space="0" w:color="auto"/>
            <w:bottom w:val="none" w:sz="0" w:space="0" w:color="auto"/>
            <w:right w:val="none" w:sz="0" w:space="0" w:color="auto"/>
          </w:divBdr>
        </w:div>
        <w:div w:id="1739209353">
          <w:marLeft w:val="0"/>
          <w:marRight w:val="0"/>
          <w:marTop w:val="0"/>
          <w:marBottom w:val="0"/>
          <w:divBdr>
            <w:top w:val="none" w:sz="0" w:space="0" w:color="auto"/>
            <w:left w:val="none" w:sz="0" w:space="0" w:color="auto"/>
            <w:bottom w:val="none" w:sz="0" w:space="0" w:color="auto"/>
            <w:right w:val="none" w:sz="0" w:space="0" w:color="auto"/>
          </w:divBdr>
        </w:div>
      </w:divsChild>
    </w:div>
    <w:div w:id="1857957624">
      <w:bodyDiv w:val="1"/>
      <w:marLeft w:val="0"/>
      <w:marRight w:val="0"/>
      <w:marTop w:val="0"/>
      <w:marBottom w:val="0"/>
      <w:divBdr>
        <w:top w:val="none" w:sz="0" w:space="0" w:color="auto"/>
        <w:left w:val="none" w:sz="0" w:space="0" w:color="auto"/>
        <w:bottom w:val="none" w:sz="0" w:space="0" w:color="auto"/>
        <w:right w:val="none" w:sz="0" w:space="0" w:color="auto"/>
      </w:divBdr>
      <w:divsChild>
        <w:div w:id="856310467">
          <w:marLeft w:val="0"/>
          <w:marRight w:val="0"/>
          <w:marTop w:val="0"/>
          <w:marBottom w:val="0"/>
          <w:divBdr>
            <w:top w:val="none" w:sz="0" w:space="0" w:color="auto"/>
            <w:left w:val="none" w:sz="0" w:space="0" w:color="auto"/>
            <w:bottom w:val="none" w:sz="0" w:space="0" w:color="auto"/>
            <w:right w:val="none" w:sz="0" w:space="0" w:color="auto"/>
          </w:divBdr>
        </w:div>
        <w:div w:id="1413510044">
          <w:marLeft w:val="0"/>
          <w:marRight w:val="0"/>
          <w:marTop w:val="0"/>
          <w:marBottom w:val="0"/>
          <w:divBdr>
            <w:top w:val="none" w:sz="0" w:space="0" w:color="auto"/>
            <w:left w:val="none" w:sz="0" w:space="0" w:color="auto"/>
            <w:bottom w:val="none" w:sz="0" w:space="0" w:color="auto"/>
            <w:right w:val="none" w:sz="0" w:space="0" w:color="auto"/>
          </w:divBdr>
        </w:div>
        <w:div w:id="1479223105">
          <w:marLeft w:val="0"/>
          <w:marRight w:val="0"/>
          <w:marTop w:val="0"/>
          <w:marBottom w:val="0"/>
          <w:divBdr>
            <w:top w:val="none" w:sz="0" w:space="0" w:color="auto"/>
            <w:left w:val="none" w:sz="0" w:space="0" w:color="auto"/>
            <w:bottom w:val="none" w:sz="0" w:space="0" w:color="auto"/>
            <w:right w:val="none" w:sz="0" w:space="0" w:color="auto"/>
          </w:divBdr>
        </w:div>
        <w:div w:id="2027246268">
          <w:marLeft w:val="0"/>
          <w:marRight w:val="0"/>
          <w:marTop w:val="0"/>
          <w:marBottom w:val="0"/>
          <w:divBdr>
            <w:top w:val="none" w:sz="0" w:space="0" w:color="auto"/>
            <w:left w:val="none" w:sz="0" w:space="0" w:color="auto"/>
            <w:bottom w:val="none" w:sz="0" w:space="0" w:color="auto"/>
            <w:right w:val="none" w:sz="0" w:space="0" w:color="auto"/>
          </w:divBdr>
        </w:div>
        <w:div w:id="657613571">
          <w:marLeft w:val="0"/>
          <w:marRight w:val="0"/>
          <w:marTop w:val="0"/>
          <w:marBottom w:val="0"/>
          <w:divBdr>
            <w:top w:val="none" w:sz="0" w:space="0" w:color="auto"/>
            <w:left w:val="none" w:sz="0" w:space="0" w:color="auto"/>
            <w:bottom w:val="none" w:sz="0" w:space="0" w:color="auto"/>
            <w:right w:val="none" w:sz="0" w:space="0" w:color="auto"/>
          </w:divBdr>
        </w:div>
        <w:div w:id="398671450">
          <w:marLeft w:val="0"/>
          <w:marRight w:val="0"/>
          <w:marTop w:val="0"/>
          <w:marBottom w:val="0"/>
          <w:divBdr>
            <w:top w:val="none" w:sz="0" w:space="0" w:color="auto"/>
            <w:left w:val="none" w:sz="0" w:space="0" w:color="auto"/>
            <w:bottom w:val="none" w:sz="0" w:space="0" w:color="auto"/>
            <w:right w:val="none" w:sz="0" w:space="0" w:color="auto"/>
          </w:divBdr>
        </w:div>
        <w:div w:id="240069612">
          <w:marLeft w:val="0"/>
          <w:marRight w:val="0"/>
          <w:marTop w:val="0"/>
          <w:marBottom w:val="0"/>
          <w:divBdr>
            <w:top w:val="none" w:sz="0" w:space="0" w:color="auto"/>
            <w:left w:val="none" w:sz="0" w:space="0" w:color="auto"/>
            <w:bottom w:val="none" w:sz="0" w:space="0" w:color="auto"/>
            <w:right w:val="none" w:sz="0" w:space="0" w:color="auto"/>
          </w:divBdr>
        </w:div>
        <w:div w:id="2140343506">
          <w:marLeft w:val="0"/>
          <w:marRight w:val="0"/>
          <w:marTop w:val="0"/>
          <w:marBottom w:val="0"/>
          <w:divBdr>
            <w:top w:val="none" w:sz="0" w:space="0" w:color="auto"/>
            <w:left w:val="none" w:sz="0" w:space="0" w:color="auto"/>
            <w:bottom w:val="none" w:sz="0" w:space="0" w:color="auto"/>
            <w:right w:val="none" w:sz="0" w:space="0" w:color="auto"/>
          </w:divBdr>
        </w:div>
        <w:div w:id="1302267727">
          <w:marLeft w:val="0"/>
          <w:marRight w:val="0"/>
          <w:marTop w:val="0"/>
          <w:marBottom w:val="0"/>
          <w:divBdr>
            <w:top w:val="none" w:sz="0" w:space="0" w:color="auto"/>
            <w:left w:val="none" w:sz="0" w:space="0" w:color="auto"/>
            <w:bottom w:val="none" w:sz="0" w:space="0" w:color="auto"/>
            <w:right w:val="none" w:sz="0" w:space="0" w:color="auto"/>
          </w:divBdr>
        </w:div>
        <w:div w:id="1763061612">
          <w:marLeft w:val="0"/>
          <w:marRight w:val="0"/>
          <w:marTop w:val="0"/>
          <w:marBottom w:val="0"/>
          <w:divBdr>
            <w:top w:val="none" w:sz="0" w:space="0" w:color="auto"/>
            <w:left w:val="none" w:sz="0" w:space="0" w:color="auto"/>
            <w:bottom w:val="none" w:sz="0" w:space="0" w:color="auto"/>
            <w:right w:val="none" w:sz="0" w:space="0" w:color="auto"/>
          </w:divBdr>
        </w:div>
        <w:div w:id="1520970410">
          <w:marLeft w:val="0"/>
          <w:marRight w:val="0"/>
          <w:marTop w:val="0"/>
          <w:marBottom w:val="0"/>
          <w:divBdr>
            <w:top w:val="none" w:sz="0" w:space="0" w:color="auto"/>
            <w:left w:val="none" w:sz="0" w:space="0" w:color="auto"/>
            <w:bottom w:val="none" w:sz="0" w:space="0" w:color="auto"/>
            <w:right w:val="none" w:sz="0" w:space="0" w:color="auto"/>
          </w:divBdr>
        </w:div>
        <w:div w:id="1470512275">
          <w:marLeft w:val="0"/>
          <w:marRight w:val="0"/>
          <w:marTop w:val="0"/>
          <w:marBottom w:val="0"/>
          <w:divBdr>
            <w:top w:val="none" w:sz="0" w:space="0" w:color="auto"/>
            <w:left w:val="none" w:sz="0" w:space="0" w:color="auto"/>
            <w:bottom w:val="none" w:sz="0" w:space="0" w:color="auto"/>
            <w:right w:val="none" w:sz="0" w:space="0" w:color="auto"/>
          </w:divBdr>
        </w:div>
        <w:div w:id="1566262581">
          <w:marLeft w:val="0"/>
          <w:marRight w:val="0"/>
          <w:marTop w:val="0"/>
          <w:marBottom w:val="0"/>
          <w:divBdr>
            <w:top w:val="none" w:sz="0" w:space="0" w:color="auto"/>
            <w:left w:val="none" w:sz="0" w:space="0" w:color="auto"/>
            <w:bottom w:val="none" w:sz="0" w:space="0" w:color="auto"/>
            <w:right w:val="none" w:sz="0" w:space="0" w:color="auto"/>
          </w:divBdr>
        </w:div>
        <w:div w:id="491989712">
          <w:marLeft w:val="0"/>
          <w:marRight w:val="0"/>
          <w:marTop w:val="0"/>
          <w:marBottom w:val="0"/>
          <w:divBdr>
            <w:top w:val="none" w:sz="0" w:space="0" w:color="auto"/>
            <w:left w:val="none" w:sz="0" w:space="0" w:color="auto"/>
            <w:bottom w:val="none" w:sz="0" w:space="0" w:color="auto"/>
            <w:right w:val="none" w:sz="0" w:space="0" w:color="auto"/>
          </w:divBdr>
        </w:div>
        <w:div w:id="283275677">
          <w:marLeft w:val="0"/>
          <w:marRight w:val="0"/>
          <w:marTop w:val="0"/>
          <w:marBottom w:val="0"/>
          <w:divBdr>
            <w:top w:val="none" w:sz="0" w:space="0" w:color="auto"/>
            <w:left w:val="none" w:sz="0" w:space="0" w:color="auto"/>
            <w:bottom w:val="none" w:sz="0" w:space="0" w:color="auto"/>
            <w:right w:val="none" w:sz="0" w:space="0" w:color="auto"/>
          </w:divBdr>
        </w:div>
        <w:div w:id="1343625555">
          <w:marLeft w:val="0"/>
          <w:marRight w:val="0"/>
          <w:marTop w:val="0"/>
          <w:marBottom w:val="0"/>
          <w:divBdr>
            <w:top w:val="none" w:sz="0" w:space="0" w:color="auto"/>
            <w:left w:val="none" w:sz="0" w:space="0" w:color="auto"/>
            <w:bottom w:val="none" w:sz="0" w:space="0" w:color="auto"/>
            <w:right w:val="none" w:sz="0" w:space="0" w:color="auto"/>
          </w:divBdr>
        </w:div>
        <w:div w:id="290861784">
          <w:marLeft w:val="0"/>
          <w:marRight w:val="0"/>
          <w:marTop w:val="0"/>
          <w:marBottom w:val="0"/>
          <w:divBdr>
            <w:top w:val="none" w:sz="0" w:space="0" w:color="auto"/>
            <w:left w:val="none" w:sz="0" w:space="0" w:color="auto"/>
            <w:bottom w:val="none" w:sz="0" w:space="0" w:color="auto"/>
            <w:right w:val="none" w:sz="0" w:space="0" w:color="auto"/>
          </w:divBdr>
        </w:div>
        <w:div w:id="780147989">
          <w:marLeft w:val="0"/>
          <w:marRight w:val="0"/>
          <w:marTop w:val="0"/>
          <w:marBottom w:val="0"/>
          <w:divBdr>
            <w:top w:val="none" w:sz="0" w:space="0" w:color="auto"/>
            <w:left w:val="none" w:sz="0" w:space="0" w:color="auto"/>
            <w:bottom w:val="none" w:sz="0" w:space="0" w:color="auto"/>
            <w:right w:val="none" w:sz="0" w:space="0" w:color="auto"/>
          </w:divBdr>
        </w:div>
        <w:div w:id="1323856594">
          <w:marLeft w:val="0"/>
          <w:marRight w:val="0"/>
          <w:marTop w:val="0"/>
          <w:marBottom w:val="0"/>
          <w:divBdr>
            <w:top w:val="none" w:sz="0" w:space="0" w:color="auto"/>
            <w:left w:val="none" w:sz="0" w:space="0" w:color="auto"/>
            <w:bottom w:val="none" w:sz="0" w:space="0" w:color="auto"/>
            <w:right w:val="none" w:sz="0" w:space="0" w:color="auto"/>
          </w:divBdr>
        </w:div>
        <w:div w:id="495729794">
          <w:marLeft w:val="0"/>
          <w:marRight w:val="0"/>
          <w:marTop w:val="0"/>
          <w:marBottom w:val="0"/>
          <w:divBdr>
            <w:top w:val="none" w:sz="0" w:space="0" w:color="auto"/>
            <w:left w:val="none" w:sz="0" w:space="0" w:color="auto"/>
            <w:bottom w:val="none" w:sz="0" w:space="0" w:color="auto"/>
            <w:right w:val="none" w:sz="0" w:space="0" w:color="auto"/>
          </w:divBdr>
        </w:div>
        <w:div w:id="1375546035">
          <w:marLeft w:val="0"/>
          <w:marRight w:val="0"/>
          <w:marTop w:val="0"/>
          <w:marBottom w:val="0"/>
          <w:divBdr>
            <w:top w:val="none" w:sz="0" w:space="0" w:color="auto"/>
            <w:left w:val="none" w:sz="0" w:space="0" w:color="auto"/>
            <w:bottom w:val="none" w:sz="0" w:space="0" w:color="auto"/>
            <w:right w:val="none" w:sz="0" w:space="0" w:color="auto"/>
          </w:divBdr>
        </w:div>
        <w:div w:id="861673202">
          <w:marLeft w:val="0"/>
          <w:marRight w:val="0"/>
          <w:marTop w:val="0"/>
          <w:marBottom w:val="0"/>
          <w:divBdr>
            <w:top w:val="none" w:sz="0" w:space="0" w:color="auto"/>
            <w:left w:val="none" w:sz="0" w:space="0" w:color="auto"/>
            <w:bottom w:val="none" w:sz="0" w:space="0" w:color="auto"/>
            <w:right w:val="none" w:sz="0" w:space="0" w:color="auto"/>
          </w:divBdr>
        </w:div>
        <w:div w:id="1042245832">
          <w:marLeft w:val="0"/>
          <w:marRight w:val="0"/>
          <w:marTop w:val="0"/>
          <w:marBottom w:val="0"/>
          <w:divBdr>
            <w:top w:val="none" w:sz="0" w:space="0" w:color="auto"/>
            <w:left w:val="none" w:sz="0" w:space="0" w:color="auto"/>
            <w:bottom w:val="none" w:sz="0" w:space="0" w:color="auto"/>
            <w:right w:val="none" w:sz="0" w:space="0" w:color="auto"/>
          </w:divBdr>
        </w:div>
        <w:div w:id="1954287653">
          <w:marLeft w:val="0"/>
          <w:marRight w:val="0"/>
          <w:marTop w:val="0"/>
          <w:marBottom w:val="0"/>
          <w:divBdr>
            <w:top w:val="none" w:sz="0" w:space="0" w:color="auto"/>
            <w:left w:val="none" w:sz="0" w:space="0" w:color="auto"/>
            <w:bottom w:val="none" w:sz="0" w:space="0" w:color="auto"/>
            <w:right w:val="none" w:sz="0" w:space="0" w:color="auto"/>
          </w:divBdr>
        </w:div>
      </w:divsChild>
    </w:div>
    <w:div w:id="1926180455">
      <w:bodyDiv w:val="1"/>
      <w:marLeft w:val="0"/>
      <w:marRight w:val="0"/>
      <w:marTop w:val="0"/>
      <w:marBottom w:val="0"/>
      <w:divBdr>
        <w:top w:val="none" w:sz="0" w:space="0" w:color="auto"/>
        <w:left w:val="none" w:sz="0" w:space="0" w:color="auto"/>
        <w:bottom w:val="none" w:sz="0" w:space="0" w:color="auto"/>
        <w:right w:val="none" w:sz="0" w:space="0" w:color="auto"/>
      </w:divBdr>
      <w:divsChild>
        <w:div w:id="1745949040">
          <w:marLeft w:val="0"/>
          <w:marRight w:val="0"/>
          <w:marTop w:val="0"/>
          <w:marBottom w:val="0"/>
          <w:divBdr>
            <w:top w:val="none" w:sz="0" w:space="0" w:color="auto"/>
            <w:left w:val="none" w:sz="0" w:space="0" w:color="auto"/>
            <w:bottom w:val="none" w:sz="0" w:space="0" w:color="auto"/>
            <w:right w:val="none" w:sz="0" w:space="0" w:color="auto"/>
          </w:divBdr>
        </w:div>
      </w:divsChild>
    </w:div>
    <w:div w:id="1946959684">
      <w:bodyDiv w:val="1"/>
      <w:marLeft w:val="0"/>
      <w:marRight w:val="0"/>
      <w:marTop w:val="0"/>
      <w:marBottom w:val="0"/>
      <w:divBdr>
        <w:top w:val="none" w:sz="0" w:space="0" w:color="auto"/>
        <w:left w:val="none" w:sz="0" w:space="0" w:color="auto"/>
        <w:bottom w:val="none" w:sz="0" w:space="0" w:color="auto"/>
        <w:right w:val="none" w:sz="0" w:space="0" w:color="auto"/>
      </w:divBdr>
      <w:divsChild>
        <w:div w:id="1512332778">
          <w:marLeft w:val="0"/>
          <w:marRight w:val="0"/>
          <w:marTop w:val="0"/>
          <w:marBottom w:val="0"/>
          <w:divBdr>
            <w:top w:val="none" w:sz="0" w:space="0" w:color="auto"/>
            <w:left w:val="none" w:sz="0" w:space="0" w:color="auto"/>
            <w:bottom w:val="none" w:sz="0" w:space="0" w:color="auto"/>
            <w:right w:val="none" w:sz="0" w:space="0" w:color="auto"/>
          </w:divBdr>
          <w:divsChild>
            <w:div w:id="1523737202">
              <w:marLeft w:val="0"/>
              <w:marRight w:val="0"/>
              <w:marTop w:val="0"/>
              <w:marBottom w:val="0"/>
              <w:divBdr>
                <w:top w:val="none" w:sz="0" w:space="0" w:color="auto"/>
                <w:left w:val="none" w:sz="0" w:space="0" w:color="auto"/>
                <w:bottom w:val="none" w:sz="0" w:space="0" w:color="auto"/>
                <w:right w:val="none" w:sz="0" w:space="0" w:color="auto"/>
              </w:divBdr>
              <w:divsChild>
                <w:div w:id="6769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1460">
      <w:bodyDiv w:val="1"/>
      <w:marLeft w:val="0"/>
      <w:marRight w:val="0"/>
      <w:marTop w:val="0"/>
      <w:marBottom w:val="0"/>
      <w:divBdr>
        <w:top w:val="none" w:sz="0" w:space="0" w:color="auto"/>
        <w:left w:val="none" w:sz="0" w:space="0" w:color="auto"/>
        <w:bottom w:val="none" w:sz="0" w:space="0" w:color="auto"/>
        <w:right w:val="none" w:sz="0" w:space="0" w:color="auto"/>
      </w:divBdr>
      <w:divsChild>
        <w:div w:id="81878299">
          <w:marLeft w:val="0"/>
          <w:marRight w:val="0"/>
          <w:marTop w:val="0"/>
          <w:marBottom w:val="0"/>
          <w:divBdr>
            <w:top w:val="none" w:sz="0" w:space="0" w:color="auto"/>
            <w:left w:val="none" w:sz="0" w:space="0" w:color="auto"/>
            <w:bottom w:val="none" w:sz="0" w:space="0" w:color="auto"/>
            <w:right w:val="none" w:sz="0" w:space="0" w:color="auto"/>
          </w:divBdr>
        </w:div>
        <w:div w:id="960185431">
          <w:marLeft w:val="0"/>
          <w:marRight w:val="0"/>
          <w:marTop w:val="0"/>
          <w:marBottom w:val="0"/>
          <w:divBdr>
            <w:top w:val="none" w:sz="0" w:space="0" w:color="auto"/>
            <w:left w:val="none" w:sz="0" w:space="0" w:color="auto"/>
            <w:bottom w:val="none" w:sz="0" w:space="0" w:color="auto"/>
            <w:right w:val="none" w:sz="0" w:space="0" w:color="auto"/>
          </w:divBdr>
        </w:div>
        <w:div w:id="1791582779">
          <w:marLeft w:val="0"/>
          <w:marRight w:val="0"/>
          <w:marTop w:val="0"/>
          <w:marBottom w:val="0"/>
          <w:divBdr>
            <w:top w:val="none" w:sz="0" w:space="0" w:color="auto"/>
            <w:left w:val="none" w:sz="0" w:space="0" w:color="auto"/>
            <w:bottom w:val="none" w:sz="0" w:space="0" w:color="auto"/>
            <w:right w:val="none" w:sz="0" w:space="0" w:color="auto"/>
          </w:divBdr>
        </w:div>
      </w:divsChild>
    </w:div>
    <w:div w:id="1964188255">
      <w:bodyDiv w:val="1"/>
      <w:marLeft w:val="0"/>
      <w:marRight w:val="0"/>
      <w:marTop w:val="0"/>
      <w:marBottom w:val="0"/>
      <w:divBdr>
        <w:top w:val="none" w:sz="0" w:space="0" w:color="auto"/>
        <w:left w:val="none" w:sz="0" w:space="0" w:color="auto"/>
        <w:bottom w:val="none" w:sz="0" w:space="0" w:color="auto"/>
        <w:right w:val="none" w:sz="0" w:space="0" w:color="auto"/>
      </w:divBdr>
    </w:div>
    <w:div w:id="1987317081">
      <w:bodyDiv w:val="1"/>
      <w:marLeft w:val="0"/>
      <w:marRight w:val="0"/>
      <w:marTop w:val="0"/>
      <w:marBottom w:val="0"/>
      <w:divBdr>
        <w:top w:val="none" w:sz="0" w:space="0" w:color="auto"/>
        <w:left w:val="none" w:sz="0" w:space="0" w:color="auto"/>
        <w:bottom w:val="none" w:sz="0" w:space="0" w:color="auto"/>
        <w:right w:val="none" w:sz="0" w:space="0" w:color="auto"/>
      </w:divBdr>
    </w:div>
    <w:div w:id="2007827370">
      <w:bodyDiv w:val="1"/>
      <w:marLeft w:val="0"/>
      <w:marRight w:val="0"/>
      <w:marTop w:val="0"/>
      <w:marBottom w:val="0"/>
      <w:divBdr>
        <w:top w:val="none" w:sz="0" w:space="0" w:color="auto"/>
        <w:left w:val="none" w:sz="0" w:space="0" w:color="auto"/>
        <w:bottom w:val="none" w:sz="0" w:space="0" w:color="auto"/>
        <w:right w:val="none" w:sz="0" w:space="0" w:color="auto"/>
      </w:divBdr>
      <w:divsChild>
        <w:div w:id="1765689228">
          <w:marLeft w:val="0"/>
          <w:marRight w:val="0"/>
          <w:marTop w:val="0"/>
          <w:marBottom w:val="0"/>
          <w:divBdr>
            <w:top w:val="none" w:sz="0" w:space="0" w:color="auto"/>
            <w:left w:val="none" w:sz="0" w:space="0" w:color="auto"/>
            <w:bottom w:val="none" w:sz="0" w:space="0" w:color="auto"/>
            <w:right w:val="none" w:sz="0" w:space="0" w:color="auto"/>
          </w:divBdr>
        </w:div>
        <w:div w:id="1517621922">
          <w:marLeft w:val="0"/>
          <w:marRight w:val="0"/>
          <w:marTop w:val="0"/>
          <w:marBottom w:val="0"/>
          <w:divBdr>
            <w:top w:val="none" w:sz="0" w:space="0" w:color="auto"/>
            <w:left w:val="none" w:sz="0" w:space="0" w:color="auto"/>
            <w:bottom w:val="none" w:sz="0" w:space="0" w:color="auto"/>
            <w:right w:val="none" w:sz="0" w:space="0" w:color="auto"/>
          </w:divBdr>
        </w:div>
        <w:div w:id="154266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assembly.coe.int/Communication/IBAC/IBAC-GIAC-Report-EN.pdf" TargetMode="External"/><Relationship Id="rId18" Type="http://schemas.openxmlformats.org/officeDocument/2006/relationships/hyperlink" Target="https://www.osservatorioaic.it/images/rivista/pdf/Marchuck-" TargetMode="External"/><Relationship Id="rId26" Type="http://schemas.openxmlformats.org/officeDocument/2006/relationships/hyperlink" Target="https://search.coe.int/cm/Pages/result_details.aspx?ObjectID=090000168076f1fd" TargetMode="External"/><Relationship Id="rId39" Type="http://schemas.openxmlformats.org/officeDocument/2006/relationships/hyperlink" Target="https://www.rferl.org/a/muizneks-russia-chechnya-azerbaijan-crimea-council-europe/28760684.html" TargetMode="External"/><Relationship Id="rId21" Type="http://schemas.openxmlformats.org/officeDocument/2006/relationships/hyperlink" Target="https://www.coe.int/en/web/commissioner/-/non-implementation-of-the-court-s-judgments-our-shared-responsibility?desktop=true" TargetMode="External"/><Relationship Id="rId34" Type="http://schemas.openxmlformats.org/officeDocument/2006/relationships/hyperlink" Target="https://www.ejiltalk.org/has-the-european-court-of-human-rights-turned-a-blind-eye-to-alleged-rights-abuses-in-turkey/" TargetMode="External"/><Relationship Id="rId42" Type="http://schemas.openxmlformats.org/officeDocument/2006/relationships/hyperlink" Target="http://www.nytimes.com/1991/02/26/world/warsaw-pact-agrees-to-dissolve-its-military-alliance-by-march-31.html" TargetMode="External"/><Relationship Id="rId47" Type="http://schemas.openxmlformats.org/officeDocument/2006/relationships/hyperlink" Target="https://www.rbc.ru/politics/09/10/2017/59db7cdc9a79470249c79eba" TargetMode="External"/><Relationship Id="rId7" Type="http://schemas.openxmlformats.org/officeDocument/2006/relationships/hyperlink" Target="https://www.kyivpost.com/russia/kuleba-says-ad-hoc-committee-discuss-proposals-russias-return-pace-march-16.html" TargetMode="External"/><Relationship Id="rId2" Type="http://schemas.openxmlformats.org/officeDocument/2006/relationships/hyperlink" Target="http://www.dirco.gov.za/docs/2002/zimb0319a.htm%20accessed%2028.12.2017" TargetMode="External"/><Relationship Id="rId16" Type="http://schemas.openxmlformats.org/officeDocument/2006/relationships/hyperlink" Target="http://www.ng.ru/vision/2018-02-13/2_7171_strasburg.html" TargetMode="External"/><Relationship Id="rId29" Type="http://schemas.openxmlformats.org/officeDocument/2006/relationships/hyperlink" Target="https://verfassungsblog.de/prisoner-voting-and-power-struggle-a-never-ending-story/" TargetMode="External"/><Relationship Id="rId1" Type="http://schemas.openxmlformats.org/officeDocument/2006/relationships/hyperlink" Target="http://semantic-pace.net/tools/pdf.aspx?doc=aHR0cDovL2Fzc2VtYmx5LmNvZS5pbnQvbncveG1sL1hSZWYvWDJILURXLWV4dHIuYXNwP2ZpbGVpZD0yNDAzMyZsYW5nPUVO&amp;xsl=aHR0cDovL3NlbWFudGljcGFjZS5uZXQvWHNsdC9QZGYvWFJlZi1XRC1BVC1YTUwyUERGLnhzbA==&amp;xsltparams=ZmlsZWlkPTI0MDMz" TargetMode="External"/><Relationship Id="rId6" Type="http://schemas.openxmlformats.org/officeDocument/2006/relationships/hyperlink" Target="http://www.assembly.coe.int/nw/xml/News/News-View-EN.asp?newsid=5980&amp;lang=2&amp;cat" TargetMode="External"/><Relationship Id="rId11" Type="http://schemas.openxmlformats.org/officeDocument/2006/relationships/hyperlink" Target="http://semantic-pace.net/tools/pdf.aspx?doc=aHR0cDovL2Fzc2VtYmx5LmNvZS5pbnQvbncveG1sL1hSZWYvWDJILURXLWV4dHIuYXNwP2ZpbGVpZD0yMzY2NSZsYW5nPUVO&amp;xsl=aHR0cDovL3NlbWFudGljcGFjZS5uZXQvWHNsdC9QZGYvWFJlZi1XRC1BVC1YTUwyUERGLnhzbA==&amp;xsltparams=ZmlsZWlkPTIzNjY1" TargetMode="External"/><Relationship Id="rId24" Type="http://schemas.openxmlformats.org/officeDocument/2006/relationships/hyperlink" Target="https://rm.coe.int/1680709767" TargetMode="External"/><Relationship Id="rId32" Type="http://schemas.openxmlformats.org/officeDocument/2006/relationships/hyperlink" Target="https://www.ft.com/content/3cccaf92-d12c-11e7-b781-794ce08b24dc" TargetMode="External"/><Relationship Id="rId37" Type="http://schemas.openxmlformats.org/officeDocument/2006/relationships/hyperlink" Target="https://humanrightsaz.wordpress.com/list-of-political-prisoners/" TargetMode="External"/><Relationship Id="rId40" Type="http://schemas.openxmlformats.org/officeDocument/2006/relationships/hyperlink" Target="http://www.ijrcenter.org/2012/09/19/venezuela-denounces-american-convention-on-human-rights-as-iachr-faces-reform/" TargetMode="External"/><Relationship Id="rId45" Type="http://schemas.openxmlformats.org/officeDocument/2006/relationships/hyperlink" Target="http://hudoc.exec.coe.int/eng?i=004-1717" TargetMode="External"/><Relationship Id="rId5" Type="http://schemas.openxmlformats.org/officeDocument/2006/relationships/hyperlink" Target="http://assembly.coe.int/nw/xml/News/News-View-EN.asp?newsid=4982&amp;cat=8" TargetMode="External"/><Relationship Id="rId15" Type="http://schemas.openxmlformats.org/officeDocument/2006/relationships/hyperlink" Target="https://www.rbc.ru/politics/09/10/2017/59db7cdc9a79470249c79eba" TargetMode="External"/><Relationship Id="rId23" Type="http://schemas.openxmlformats.org/officeDocument/2006/relationships/hyperlink" Target="https://rm.coe.int/russian-factsheet/1680764748" TargetMode="External"/><Relationship Id="rId28" Type="http://schemas.openxmlformats.org/officeDocument/2006/relationships/hyperlink" Target="https://www.rferl.org/a/azerbaijani-opposition-leader-mammadov-released-prison/29430183.html" TargetMode="External"/><Relationship Id="rId36" Type="http://schemas.openxmlformats.org/officeDocument/2006/relationships/hyperlink" Target="https://www.hrw.org/world-report/2017/country-chapters/azerbaijan" TargetMode="External"/><Relationship Id="rId10" Type="http://schemas.openxmlformats.org/officeDocument/2006/relationships/hyperlink" Target="http://assembly.coe.int/nw/xml/News/News-View-EN.asp?newsid=5547&amp;lang=2&amp;cat" TargetMode="External"/><Relationship Id="rId19" Type="http://schemas.openxmlformats.org/officeDocument/2006/relationships/hyperlink" Target="http://echrblog.blogspot.co.uk/2016/04/the-russian-response-to-prisoner-voting.html" TargetMode="External"/><Relationship Id="rId31" Type="http://schemas.openxmlformats.org/officeDocument/2006/relationships/hyperlink" Target="https://search.coe.int/cm/Pages/result_details.aspx?ObjectID=090000168076d59d" TargetMode="External"/><Relationship Id="rId44" Type="http://schemas.openxmlformats.org/officeDocument/2006/relationships/hyperlink" Target="https://www.ft.com/content/3cccaf92-d12c-11e7-b781-794ce08b24dc" TargetMode="External"/><Relationship Id="rId4" Type="http://schemas.openxmlformats.org/officeDocument/2006/relationships/hyperlink" Target="http://website-pace.net/documents/10643/110596/20140410-Resolution1990-EN.pdf/57ba4bca-8f5f-4b0a-8258-66ca26f7117b" TargetMode="External"/><Relationship Id="rId9" Type="http://schemas.openxmlformats.org/officeDocument/2006/relationships/hyperlink" Target="http://www.dw.com/en/russia-withholds-payments-to-the-council-of-europe/a-42792673" TargetMode="External"/><Relationship Id="rId14" Type="http://schemas.openxmlformats.org/officeDocument/2006/relationships/hyperlink" Target="http://www.independent.co.uk/news/world/europe/russia-echr-human-rights-european-convention-putin-kremlin-eu-a8234086.html" TargetMode="External"/><Relationship Id="rId22" Type="http://schemas.openxmlformats.org/officeDocument/2006/relationships/hyperlink" Target="https://rm.coe.int/168070973e" TargetMode="External"/><Relationship Id="rId27" Type="http://schemas.openxmlformats.org/officeDocument/2006/relationships/hyperlink" Target="http://www.assembly.coe.int/nw/xml/News/News-View-EN.asp?newsid=6837&amp;lang=2&amp;cat" TargetMode="External"/><Relationship Id="rId30" Type="http://schemas.openxmlformats.org/officeDocument/2006/relationships/hyperlink" Target="https://search.coe.int/cm/pages/result_details.aspx?objectid=090000168076465d" TargetMode="External"/><Relationship Id="rId35" Type="http://schemas.openxmlformats.org/officeDocument/2006/relationships/hyperlink" Target="http://website-pace.net/documents/10643/110596/20140410-Resolution1990-EN.pdf/57ba4bca-8f5f-4b0a-8258-66ca26f7117b" TargetMode="External"/><Relationship Id="rId43" Type="http://schemas.openxmlformats.org/officeDocument/2006/relationships/hyperlink" Target="http://www.echr.coe.int/Documents/Stats_pending_2017_BIL.pdf" TargetMode="External"/><Relationship Id="rId48" Type="http://schemas.openxmlformats.org/officeDocument/2006/relationships/hyperlink" Target="https://rm.coe.int/1680709769" TargetMode="External"/><Relationship Id="rId8" Type="http://schemas.openxmlformats.org/officeDocument/2006/relationships/hyperlink" Target="https://rm.coe.int/16807761cd" TargetMode="External"/><Relationship Id="rId3" Type="http://schemas.openxmlformats.org/officeDocument/2006/relationships/hyperlink" Target="http://assembly.coe.int/nw/xml/XRef/Xref-XML2HTML-en.asp?fileid=20873&amp;lang=en" TargetMode="External"/><Relationship Id="rId12" Type="http://schemas.openxmlformats.org/officeDocument/2006/relationships/hyperlink" Target="http://assembly.coe.int/nw/xml/XRef/Xref-XML2HTML-en.asp?fileid=24545&amp;lang=en" TargetMode="External"/><Relationship Id="rId17" Type="http://schemas.openxmlformats.org/officeDocument/2006/relationships/hyperlink" Target="http://oxcon.ouplaw.com/view/10.1093/law-mpeccol/law-mpeccol-e572" TargetMode="External"/><Relationship Id="rId25" Type="http://schemas.openxmlformats.org/officeDocument/2006/relationships/hyperlink" Target="http://www.dw.com/en/turkey-wont-pay-cyprus-despite-decision-in-strasbourg/a-17631966" TargetMode="External"/><Relationship Id="rId33" Type="http://schemas.openxmlformats.org/officeDocument/2006/relationships/hyperlink" Target="https://www.opendemocracy.net/can-europe-make-it/kirill-koroteev-sergey-golubok/erdogan-s-unexpected-ally" TargetMode="External"/><Relationship Id="rId38" Type="http://schemas.openxmlformats.org/officeDocument/2006/relationships/hyperlink" Target="http://www.freedom-now.org/news/president-macron-support-political-prisoners-in-azerbaijan/" TargetMode="External"/><Relationship Id="rId46" Type="http://schemas.openxmlformats.org/officeDocument/2006/relationships/hyperlink" Target="http://hudoc.exec.coe.int/eng?i=004-1743" TargetMode="External"/><Relationship Id="rId20" Type="http://schemas.openxmlformats.org/officeDocument/2006/relationships/hyperlink" Target="http://www.venice.coe.int/webforms/documents/default.aspx?pdffile=CDL-AD(2016)016-e" TargetMode="External"/><Relationship Id="rId41" Type="http://schemas.openxmlformats.org/officeDocument/2006/relationships/hyperlink" Target="https://www.unido.org/who-we-are/structure/member-states/former-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4E19-CE29-4562-BA8A-8625B5CB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11616</Words>
  <Characters>66214</Characters>
  <Application>Microsoft Office Word</Application>
  <DocSecurity>0</DocSecurity>
  <Lines>551</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77675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Dzehtsiarou, Kanstantsin</dc:creator>
  <cp:lastModifiedBy>Dzehtsiarou, Kanstantsin</cp:lastModifiedBy>
  <cp:revision>26</cp:revision>
  <cp:lastPrinted>2018-06-13T16:06:00Z</cp:lastPrinted>
  <dcterms:created xsi:type="dcterms:W3CDTF">2019-01-25T11:22:00Z</dcterms:created>
  <dcterms:modified xsi:type="dcterms:W3CDTF">2019-01-25T16:05:00Z</dcterms:modified>
</cp:coreProperties>
</file>