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338" w:rsidRDefault="008D1337">
      <w:pPr>
        <w:pStyle w:val="JournalTitle"/>
        <w:rPr>
          <w:rStyle w:val="FootnoteReference"/>
          <w:caps w:val="0"/>
          <w:vertAlign w:val="baseline"/>
          <w:lang w:val="en-GB"/>
        </w:rPr>
      </w:pPr>
      <w:bookmarkStart w:id="0" w:name="_GoBack"/>
      <w:bookmarkEnd w:id="0"/>
      <w:r>
        <w:rPr>
          <w:rStyle w:val="FootnoteReference"/>
          <w:caps w:val="0"/>
          <w:szCs w:val="21"/>
          <w:vertAlign w:val="baseline"/>
          <w:lang w:val="en-GB" w:eastAsia="zh-CN"/>
        </w:rPr>
        <w:t>EXPERIMENTAL AND NUMERICAL STUDIES OF BOLTED JOINT</w:t>
      </w:r>
      <w:r>
        <w:rPr>
          <w:caps w:val="0"/>
          <w:szCs w:val="21"/>
          <w:lang w:val="en-GB" w:eastAsia="zh-CN"/>
        </w:rPr>
        <w:t>S</w:t>
      </w:r>
      <w:r>
        <w:rPr>
          <w:rStyle w:val="FootnoteReference"/>
          <w:caps w:val="0"/>
          <w:szCs w:val="21"/>
          <w:vertAlign w:val="baseline"/>
          <w:lang w:val="en-GB" w:eastAsia="zh-CN"/>
        </w:rPr>
        <w:t xml:space="preserve"> SUBJECTED TO TORSIONAL EXCITATION</w:t>
      </w:r>
    </w:p>
    <w:p w:rsidR="00944338" w:rsidRDefault="008D1337">
      <w:pPr>
        <w:pStyle w:val="Author"/>
        <w:rPr>
          <w:lang w:val="en-GB" w:eastAsia="zh-CN"/>
        </w:rPr>
      </w:pPr>
      <w:r>
        <w:rPr>
          <w:snapToGrid/>
          <w:lang w:val="en-GB" w:eastAsia="zh-CN"/>
        </w:rPr>
        <w:t>XUETONG LIU</w:t>
      </w:r>
      <w:r>
        <w:rPr>
          <w:snapToGrid/>
          <w:vertAlign w:val="superscript"/>
          <w:lang w:val="en-GB"/>
        </w:rPr>
        <w:t>1</w:t>
      </w:r>
      <w:r>
        <w:rPr>
          <w:snapToGrid/>
          <w:lang w:val="en-GB"/>
        </w:rPr>
        <w:t xml:space="preserve">, </w:t>
      </w:r>
      <w:r>
        <w:rPr>
          <w:lang w:val="en-GB"/>
        </w:rPr>
        <w:t>JIANHUA LIU</w:t>
      </w:r>
      <w:r>
        <w:rPr>
          <w:vertAlign w:val="superscript"/>
          <w:lang w:val="en-GB"/>
        </w:rPr>
        <w:t xml:space="preserve">1, </w:t>
      </w:r>
      <w:r>
        <w:rPr>
          <w:rStyle w:val="FootnoteReference"/>
          <w:lang w:val="en-GB"/>
        </w:rPr>
        <w:footnoteReference w:customMarkFollows="1" w:id="1"/>
        <w:t>*</w:t>
      </w:r>
      <w:r>
        <w:rPr>
          <w:lang w:val="en-GB"/>
        </w:rPr>
        <w:t>, HUAJIANG</w:t>
      </w:r>
      <w:r>
        <w:rPr>
          <w:lang w:val="en-GB" w:eastAsia="zh-CN"/>
        </w:rPr>
        <w:t xml:space="preserve"> OUYANG</w:t>
      </w:r>
      <w:r>
        <w:rPr>
          <w:vertAlign w:val="superscript"/>
          <w:lang w:val="en-GB" w:eastAsia="zh-CN"/>
        </w:rPr>
        <w:t>2</w:t>
      </w:r>
      <w:r>
        <w:rPr>
          <w:lang w:val="en-GB" w:eastAsia="zh-CN"/>
        </w:rPr>
        <w:t xml:space="preserve">, </w:t>
      </w:r>
      <w:r>
        <w:rPr>
          <w:lang w:val="en-GB"/>
        </w:rPr>
        <w:t>ZHENBING CAI</w:t>
      </w:r>
      <w:r>
        <w:rPr>
          <w:vertAlign w:val="superscript"/>
          <w:lang w:val="en-GB"/>
        </w:rPr>
        <w:t>1</w:t>
      </w:r>
      <w:r>
        <w:rPr>
          <w:lang w:val="en-GB"/>
        </w:rPr>
        <w:t>, JINFANG PENG</w:t>
      </w:r>
      <w:r>
        <w:rPr>
          <w:vertAlign w:val="superscript"/>
          <w:lang w:val="en-GB"/>
        </w:rPr>
        <w:t>1</w:t>
      </w:r>
      <w:r>
        <w:rPr>
          <w:lang w:val="en-GB"/>
        </w:rPr>
        <w:t>, MINHAO ZHU</w:t>
      </w:r>
      <w:r>
        <w:rPr>
          <w:vertAlign w:val="superscript"/>
          <w:lang w:val="en-GB"/>
        </w:rPr>
        <w:t>1</w:t>
      </w:r>
    </w:p>
    <w:p w:rsidR="00944338" w:rsidRDefault="008D1337">
      <w:pPr>
        <w:pStyle w:val="Affiliation"/>
        <w:spacing w:after="0"/>
        <w:rPr>
          <w:lang w:val="en-GB"/>
        </w:rPr>
      </w:pPr>
      <w:r>
        <w:rPr>
          <w:i w:val="0"/>
          <w:vertAlign w:val="superscript"/>
          <w:lang w:val="en-GB"/>
        </w:rPr>
        <w:t>1</w:t>
      </w:r>
      <w:r>
        <w:rPr>
          <w:lang w:val="en-GB"/>
        </w:rPr>
        <w:t xml:space="preserve">Tribology Research Institute, Southwest Jiaotong University, </w:t>
      </w:r>
    </w:p>
    <w:p w:rsidR="00944338" w:rsidRDefault="008D1337">
      <w:pPr>
        <w:pStyle w:val="Affiliation"/>
        <w:spacing w:after="0"/>
        <w:rPr>
          <w:lang w:val="en-GB"/>
        </w:rPr>
      </w:pPr>
      <w:r>
        <w:rPr>
          <w:lang w:val="en-GB"/>
        </w:rPr>
        <w:t>111#, the section of the northbound 1, the Second Ring Road, Chengdu 610031, China</w:t>
      </w:r>
    </w:p>
    <w:p w:rsidR="00944338" w:rsidRDefault="008D1337">
      <w:pPr>
        <w:pStyle w:val="Affiliation"/>
        <w:spacing w:after="0"/>
        <w:rPr>
          <w:lang w:val="en-GB"/>
        </w:rPr>
      </w:pPr>
      <w:r>
        <w:rPr>
          <w:i w:val="0"/>
          <w:vertAlign w:val="superscript"/>
          <w:lang w:val="en-GB"/>
        </w:rPr>
        <w:t>2</w:t>
      </w:r>
      <w:r>
        <w:rPr>
          <w:lang w:val="en-GB"/>
        </w:rPr>
        <w:t>School of Engineering, University of Liverpool, Brownlow Street, Liverpool L69 3GH, UK</w:t>
      </w:r>
    </w:p>
    <w:p w:rsidR="00944338" w:rsidRDefault="00944338">
      <w:pPr>
        <w:pStyle w:val="Author"/>
        <w:spacing w:before="0" w:after="0"/>
        <w:rPr>
          <w:lang w:val="en-GB" w:eastAsia="zh-CN"/>
        </w:rPr>
      </w:pPr>
    </w:p>
    <w:p w:rsidR="00944338" w:rsidRDefault="008D1337">
      <w:pPr>
        <w:pStyle w:val="Abstract"/>
        <w:rPr>
          <w:lang w:val="en-GB" w:eastAsia="zh-CN"/>
        </w:rPr>
      </w:pPr>
      <w:r>
        <w:rPr>
          <w:lang w:val="en-GB" w:eastAsia="zh-CN"/>
        </w:rPr>
        <w:t>The dynamic response of bolted joints subjected to torsional excitation is investigated experimentally and numerically. Firstly, the effects of the initial preload and the angular amplitude on axial force loss of the bolt were studied. Secondly, the change of hysteresis loops with the increasing number of loading cycles was found under a larger torsional angle. At last, a fine-meshed three-dimensional finite element model was built to simulate the bolted joint under torsional excitation, from which the hysteresis loops were obtained under varying angular amplitudes. The results of numerical analysis are in good agreement with those of experiments.</w:t>
      </w:r>
    </w:p>
    <w:p w:rsidR="00944338" w:rsidRDefault="008D1337">
      <w:pPr>
        <w:pStyle w:val="keywords"/>
        <w:ind w:left="363" w:right="363"/>
        <w:jc w:val="left"/>
        <w:rPr>
          <w:lang w:val="en-GB"/>
        </w:rPr>
      </w:pPr>
      <w:r>
        <w:rPr>
          <w:i/>
          <w:iCs/>
          <w:lang w:val="en-GB" w:eastAsia="zh-CN"/>
        </w:rPr>
        <w:t>Key words</w:t>
      </w:r>
      <w:r>
        <w:rPr>
          <w:lang w:val="en-GB" w:eastAsia="zh-CN"/>
        </w:rPr>
        <w:t xml:space="preserve">: bolted joint; torsional </w:t>
      </w:r>
      <w:bookmarkStart w:id="1" w:name="OLE_LINK9"/>
      <w:r>
        <w:rPr>
          <w:lang w:val="en-GB" w:eastAsia="zh-CN"/>
        </w:rPr>
        <w:t>excitation</w:t>
      </w:r>
      <w:bookmarkEnd w:id="1"/>
      <w:r>
        <w:rPr>
          <w:lang w:val="en-GB" w:eastAsia="zh-CN"/>
        </w:rPr>
        <w:t>; self-loosening; hysteresis loop; numerical analysis.</w:t>
      </w:r>
    </w:p>
    <w:p w:rsidR="00944338" w:rsidRDefault="008D1337">
      <w:pPr>
        <w:pStyle w:val="Heading1"/>
        <w:numPr>
          <w:ilvl w:val="0"/>
          <w:numId w:val="7"/>
        </w:numPr>
        <w:rPr>
          <w:lang w:val="en-GB"/>
        </w:rPr>
      </w:pPr>
      <w:r>
        <w:rPr>
          <w:lang w:val="en-GB"/>
        </w:rPr>
        <w:t>Introduction</w:t>
      </w:r>
    </w:p>
    <w:p w:rsidR="00944338" w:rsidRDefault="008D1337">
      <w:pPr>
        <w:snapToGrid w:val="0"/>
        <w:ind w:firstLineChars="100" w:firstLine="200"/>
        <w:rPr>
          <w:szCs w:val="20"/>
          <w:lang w:val="en-GB" w:eastAsia="zh-CN"/>
        </w:rPr>
      </w:pPr>
      <w:r>
        <w:rPr>
          <w:szCs w:val="20"/>
          <w:lang w:val="en-GB" w:eastAsia="zh-CN"/>
        </w:rPr>
        <w:t>Bolted joints are widely used in connecting structural components because of their high reliability and easy assembly/disassembly. Bolt loosening occurs as a result of a decrease of the axial bolt force caused by many factors</w:t>
      </w:r>
      <w:r>
        <w:rPr>
          <w:rFonts w:hint="eastAsia"/>
          <w:szCs w:val="20"/>
          <w:vertAlign w:val="superscript"/>
          <w:lang w:eastAsia="zh-CN"/>
        </w:rPr>
        <w:t>1-3</w:t>
      </w:r>
      <w:r>
        <w:rPr>
          <w:szCs w:val="20"/>
          <w:lang w:val="en-GB" w:eastAsia="zh-CN"/>
        </w:rPr>
        <w:t>, such as external loading, initial preload, bolt material, thread pitch and so on. The self-loosening process can be divided into two stages</w:t>
      </w:r>
      <w:r>
        <w:rPr>
          <w:rFonts w:hint="eastAsia"/>
          <w:szCs w:val="20"/>
          <w:vertAlign w:val="superscript"/>
          <w:lang w:eastAsia="zh-CN"/>
        </w:rPr>
        <w:t>4</w:t>
      </w:r>
      <w:r>
        <w:rPr>
          <w:szCs w:val="20"/>
          <w:lang w:val="en-GB" w:eastAsia="zh-CN"/>
        </w:rPr>
        <w:t>: plastic deformation of the bolt occurs in the early stage, and the second stage is featured by the relative rotation between male and female threads. Some researchers</w:t>
      </w:r>
      <w:r>
        <w:rPr>
          <w:rFonts w:hint="eastAsia"/>
          <w:szCs w:val="20"/>
          <w:vertAlign w:val="superscript"/>
          <w:lang w:eastAsia="zh-CN"/>
        </w:rPr>
        <w:t>5-7</w:t>
      </w:r>
      <w:r>
        <w:rPr>
          <w:szCs w:val="20"/>
          <w:lang w:val="en-GB" w:eastAsia="zh-CN"/>
        </w:rPr>
        <w:t xml:space="preserve"> pointed out that clamp load loss was due to material deformation beyond its elastic limit. Recently, Liu </w:t>
      </w:r>
      <w:r>
        <w:rPr>
          <w:i/>
          <w:szCs w:val="20"/>
          <w:lang w:val="en-GB" w:eastAsia="zh-CN"/>
        </w:rPr>
        <w:t>et al.</w:t>
      </w:r>
      <w:r>
        <w:rPr>
          <w:rFonts w:hint="eastAsia"/>
          <w:szCs w:val="20"/>
          <w:vertAlign w:val="superscript"/>
          <w:lang w:eastAsia="zh-CN"/>
        </w:rPr>
        <w:t>8-9</w:t>
      </w:r>
      <w:r>
        <w:rPr>
          <w:szCs w:val="20"/>
          <w:vertAlign w:val="superscript"/>
          <w:lang w:val="en-GB" w:eastAsia="zh-CN"/>
        </w:rPr>
        <w:t xml:space="preserve"> </w:t>
      </w:r>
      <w:r>
        <w:rPr>
          <w:szCs w:val="20"/>
          <w:lang w:val="en-GB" w:eastAsia="zh-CN"/>
        </w:rPr>
        <w:t xml:space="preserve">studied the self-loosening behaviour of bolted joints subjected to axial excitation by experimental and numerical methods. Fretting wear between the contact surfaces was found to be one of the reasons for the loss of clamping force. Padmanabhan </w:t>
      </w:r>
      <w:r>
        <w:rPr>
          <w:i/>
          <w:szCs w:val="20"/>
          <w:lang w:val="en-GB" w:eastAsia="zh-CN"/>
        </w:rPr>
        <w:t>et al.</w:t>
      </w:r>
      <w:r>
        <w:rPr>
          <w:rFonts w:hint="eastAsia"/>
          <w:szCs w:val="20"/>
          <w:vertAlign w:val="superscript"/>
          <w:lang w:eastAsia="zh-CN"/>
        </w:rPr>
        <w:t>10</w:t>
      </w:r>
      <w:r>
        <w:rPr>
          <w:szCs w:val="20"/>
          <w:lang w:val="en-GB" w:eastAsia="zh-CN"/>
        </w:rPr>
        <w:t xml:space="preserve"> reported that energy dissipation in machine joints subjected to dynamic shear load resulted in damped dynamic response. </w:t>
      </w:r>
    </w:p>
    <w:p w:rsidR="00944338" w:rsidRDefault="008D1337">
      <w:pPr>
        <w:snapToGrid w:val="0"/>
        <w:ind w:firstLineChars="100" w:firstLine="200"/>
        <w:rPr>
          <w:szCs w:val="20"/>
          <w:lang w:val="en-GB" w:eastAsia="zh-CN"/>
        </w:rPr>
      </w:pPr>
      <w:r>
        <w:rPr>
          <w:szCs w:val="20"/>
          <w:lang w:val="en-GB" w:eastAsia="zh-CN"/>
        </w:rPr>
        <w:t xml:space="preserve">Ouyang </w:t>
      </w:r>
      <w:r>
        <w:rPr>
          <w:i/>
          <w:szCs w:val="20"/>
          <w:lang w:val="en-GB" w:eastAsia="zh-CN"/>
        </w:rPr>
        <w:t>et al.</w:t>
      </w:r>
      <w:r>
        <w:rPr>
          <w:rFonts w:hint="eastAsia"/>
          <w:szCs w:val="20"/>
          <w:vertAlign w:val="superscript"/>
          <w:lang w:eastAsia="zh-CN"/>
        </w:rPr>
        <w:t>11</w:t>
      </w:r>
      <w:r>
        <w:rPr>
          <w:szCs w:val="20"/>
          <w:lang w:val="en-GB" w:eastAsia="zh-CN"/>
        </w:rPr>
        <w:t xml:space="preserve"> investigated a single bolted joint excited by torsional vibration by experiments and an analytical model. A model with Jenkins elements was used to fit the hysteresis loops obtained in experiments. Oldfield </w:t>
      </w:r>
      <w:r>
        <w:rPr>
          <w:i/>
          <w:szCs w:val="20"/>
          <w:lang w:val="en-GB" w:eastAsia="zh-CN"/>
        </w:rPr>
        <w:t>et al.</w:t>
      </w:r>
      <w:r>
        <w:rPr>
          <w:rFonts w:hint="eastAsia"/>
          <w:szCs w:val="20"/>
          <w:vertAlign w:val="superscript"/>
          <w:lang w:eastAsia="zh-CN"/>
        </w:rPr>
        <w:t>12</w:t>
      </w:r>
      <w:r>
        <w:rPr>
          <w:szCs w:val="20"/>
          <w:lang w:val="en-GB" w:eastAsia="zh-CN"/>
        </w:rPr>
        <w:t xml:space="preserve"> proposed two simplified models of a bolted joint under harmonic torsional loading, and compared experimental hysteresis loops with those from a detailed numerical model, showing good consistency. Yokoyama </w:t>
      </w:r>
      <w:r>
        <w:rPr>
          <w:i/>
          <w:szCs w:val="20"/>
          <w:lang w:val="en-GB" w:eastAsia="zh-CN"/>
        </w:rPr>
        <w:t>et al.</w:t>
      </w:r>
      <w:r>
        <w:rPr>
          <w:rFonts w:hint="eastAsia"/>
          <w:szCs w:val="20"/>
          <w:vertAlign w:val="superscript"/>
          <w:lang w:eastAsia="zh-CN"/>
        </w:rPr>
        <w:t>13</w:t>
      </w:r>
      <w:r>
        <w:rPr>
          <w:szCs w:val="20"/>
          <w:lang w:val="en-GB" w:eastAsia="zh-CN"/>
        </w:rPr>
        <w:t xml:space="preserve"> investigated the self-loosening mechanisms of a bolted joint subjected to torsional loading using three-dimensional FEM. The self-loosening mechanisms were explained by </w:t>
      </w:r>
      <w:r>
        <w:rPr>
          <w:szCs w:val="20"/>
          <w:lang w:val="en-GB" w:eastAsia="zh-CN"/>
        </w:rPr>
        <w:lastRenderedPageBreak/>
        <w:t>the means of the contact states between the thread surfaces and between the bearing surface of the bolt head and the surface of the clamped part. The study showed that self-loosening would not occur until the amplitude of the relative rotation angle applied to the bolted joint reached a critical value.</w:t>
      </w:r>
    </w:p>
    <w:p w:rsidR="00944338" w:rsidRDefault="008D1337">
      <w:pPr>
        <w:snapToGrid w:val="0"/>
        <w:ind w:firstLineChars="100" w:firstLine="200"/>
        <w:rPr>
          <w:szCs w:val="20"/>
          <w:lang w:val="en-GB"/>
        </w:rPr>
      </w:pPr>
      <w:r>
        <w:rPr>
          <w:szCs w:val="20"/>
          <w:lang w:val="en-GB" w:eastAsia="zh-CN"/>
        </w:rPr>
        <w:t xml:space="preserve">In this paper, the self-loosening behaviour of a single bolted joint subjected to harmonic torsional loading is </w:t>
      </w:r>
      <w:r>
        <w:rPr>
          <w:szCs w:val="20"/>
          <w:lang w:eastAsia="zh-CN"/>
        </w:rPr>
        <w:t xml:space="preserve">studied </w:t>
      </w:r>
      <w:r>
        <w:rPr>
          <w:szCs w:val="20"/>
          <w:lang w:val="en-GB" w:eastAsia="zh-CN"/>
        </w:rPr>
        <w:t xml:space="preserve">by experimental method. The response curves of the bolted joint structure were obtained at varying testing parameters: initial preload of bolt and amplitude of angular excitation. For building an accurate finite element model with fine-meshed threaded parts, the coordinates of nodes on threaded parts were modified with a Matlab program, then a high-quality hexahedral mesh of the bolt and the nut were implemented in ABAQUS. On the basis of </w:t>
      </w:r>
      <w:r>
        <w:rPr>
          <w:rFonts w:hint="eastAsia"/>
          <w:szCs w:val="20"/>
          <w:lang w:eastAsia="zh-CN"/>
        </w:rPr>
        <w:t>a</w:t>
      </w:r>
      <w:r>
        <w:rPr>
          <w:szCs w:val="20"/>
          <w:lang w:val="en-GB" w:eastAsia="zh-CN"/>
        </w:rPr>
        <w:t xml:space="preserve"> fine-meshed finite element model, the response curves </w:t>
      </w:r>
      <w:r>
        <w:rPr>
          <w:rFonts w:hint="eastAsia"/>
          <w:szCs w:val="20"/>
          <w:lang w:eastAsia="zh-CN"/>
        </w:rPr>
        <w:t>from</w:t>
      </w:r>
      <w:r>
        <w:rPr>
          <w:szCs w:val="20"/>
          <w:lang w:val="en-GB" w:eastAsia="zh-CN"/>
        </w:rPr>
        <w:t xml:space="preserve"> numerical analysis were obtained and then compared with the experimental results, demonstrating high consistency.</w:t>
      </w:r>
    </w:p>
    <w:p w:rsidR="00944338" w:rsidRDefault="008D1337">
      <w:pPr>
        <w:pStyle w:val="Heading1"/>
        <w:numPr>
          <w:ilvl w:val="0"/>
          <w:numId w:val="7"/>
        </w:numPr>
        <w:rPr>
          <w:lang w:val="en-GB"/>
        </w:rPr>
      </w:pPr>
      <w:r>
        <w:rPr>
          <w:lang w:val="en-GB"/>
        </w:rPr>
        <w:t>Experimental method</w:t>
      </w:r>
    </w:p>
    <w:p w:rsidR="00944338" w:rsidRDefault="008D1337">
      <w:pPr>
        <w:widowControl w:val="0"/>
        <w:snapToGrid w:val="0"/>
        <w:ind w:firstLineChars="100" w:firstLine="200"/>
        <w:rPr>
          <w:sz w:val="21"/>
          <w:szCs w:val="21"/>
          <w:lang w:val="en-GB" w:eastAsia="zh-CN"/>
        </w:rPr>
      </w:pPr>
      <w:r>
        <w:rPr>
          <w:szCs w:val="20"/>
          <w:lang w:val="en-GB" w:eastAsia="zh-CN"/>
        </w:rPr>
        <w:t xml:space="preserve">The loosening test apparatus of a single-bolted connection subjected to torsional loading is shown in Fig.1. The upper and lower fixtures are made of high-strength quenched and tempered steel, where lower fixture is fixed and the gripping position of the upper fixture is subjected to torsional excitation through the clamping chunk of a fatigue testing machine. The bolt under test passes through successively the upper fixture, a </w:t>
      </w:r>
      <w:r>
        <w:rPr>
          <w:rFonts w:hint="eastAsia"/>
          <w:szCs w:val="20"/>
          <w:lang w:eastAsia="zh-CN"/>
        </w:rPr>
        <w:t>washer</w:t>
      </w:r>
      <w:r>
        <w:rPr>
          <w:szCs w:val="20"/>
          <w:lang w:val="en-GB" w:eastAsia="zh-CN"/>
        </w:rPr>
        <w:t xml:space="preserve">, the lower fixture and a load cell, and connects these components by a nut. Moreover, the diameter of the inner holes of above-mentioned components is slightly larger than the nominal diameter of the testing bolts for avoiding the influence of undesirable friction. The testing nut is clamped by the holder and the clamp holder is fixed to the lower fixture by four bolts, which can prevent the testing nut from rotating during test. The load cell is connected to a data acquisition system, thereby the variation of axial bolt force can be monitored continuously. </w:t>
      </w:r>
    </w:p>
    <w:p w:rsidR="00944338" w:rsidRDefault="008D1337">
      <w:pPr>
        <w:spacing w:line="240" w:lineRule="auto"/>
        <w:ind w:firstLineChars="100" w:firstLine="210"/>
        <w:jc w:val="center"/>
        <w:rPr>
          <w:sz w:val="21"/>
          <w:szCs w:val="21"/>
          <w:lang w:val="en-GB" w:eastAsia="zh-CN"/>
        </w:rPr>
      </w:pPr>
      <w:r>
        <w:rPr>
          <w:noProof/>
          <w:sz w:val="21"/>
          <w:szCs w:val="21"/>
          <w:lang w:val="en-GB" w:eastAsia="zh-CN"/>
        </w:rPr>
        <w:drawing>
          <wp:inline distT="0" distB="0" distL="114300" distR="114300">
            <wp:extent cx="1256665" cy="1619885"/>
            <wp:effectExtent l="0" t="0" r="8255" b="10795"/>
            <wp:docPr id="1" name="图片 1" descr="夹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夹具图"/>
                    <pic:cNvPicPr>
                      <a:picLocks noChangeAspect="1"/>
                    </pic:cNvPicPr>
                  </pic:nvPicPr>
                  <pic:blipFill>
                    <a:blip r:embed="rId9"/>
                    <a:stretch>
                      <a:fillRect/>
                    </a:stretch>
                  </pic:blipFill>
                  <pic:spPr>
                    <a:xfrm>
                      <a:off x="0" y="0"/>
                      <a:ext cx="1256665" cy="1619885"/>
                    </a:xfrm>
                    <a:prstGeom prst="rect">
                      <a:avLst/>
                    </a:prstGeom>
                  </pic:spPr>
                </pic:pic>
              </a:graphicData>
            </a:graphic>
          </wp:inline>
        </w:drawing>
      </w:r>
    </w:p>
    <w:p w:rsidR="00944338" w:rsidRDefault="008D1337">
      <w:pPr>
        <w:snapToGrid w:val="0"/>
        <w:spacing w:line="200" w:lineRule="exact"/>
        <w:jc w:val="center"/>
        <w:rPr>
          <w:sz w:val="16"/>
          <w:szCs w:val="16"/>
          <w:lang w:val="en-GB" w:eastAsia="zh-CN"/>
        </w:rPr>
      </w:pPr>
      <w:r>
        <w:rPr>
          <w:sz w:val="16"/>
          <w:szCs w:val="16"/>
          <w:lang w:val="en-GB" w:eastAsia="zh-CN"/>
        </w:rPr>
        <w:t>Fig. 1 Experimental setup</w:t>
      </w:r>
    </w:p>
    <w:p w:rsidR="00944338" w:rsidRDefault="008D1337">
      <w:pPr>
        <w:ind w:firstLineChars="100" w:firstLine="200"/>
        <w:rPr>
          <w:lang w:val="en-GB" w:eastAsia="zh-CN"/>
        </w:rPr>
      </w:pPr>
      <w:r>
        <w:rPr>
          <w:szCs w:val="20"/>
          <w:lang w:val="en-GB" w:eastAsia="zh-CN"/>
        </w:rPr>
        <w:t xml:space="preserve">The testing procedure is presented below. Firstly, two pins are installed in locating holes respectively in order to ensure the central lines of the involved components aligned. Secondly, a preload is applied to the bolted joint using a torque wrench. Thirdly, the locating pins are removed. Subsequently, a set of testing parameters (torsion angle </w:t>
      </w:r>
      <w:r>
        <w:rPr>
          <w:i/>
          <w:iCs/>
          <w:szCs w:val="20"/>
          <w:lang w:val="en-GB" w:eastAsia="zh-CN"/>
        </w:rPr>
        <w:t>θ</w:t>
      </w:r>
      <w:r>
        <w:rPr>
          <w:szCs w:val="20"/>
          <w:lang w:val="en-GB" w:eastAsia="zh-CN"/>
        </w:rPr>
        <w:t xml:space="preserve">, excitation frequency </w:t>
      </w:r>
      <w:r>
        <w:rPr>
          <w:i/>
          <w:iCs/>
          <w:szCs w:val="20"/>
          <w:lang w:val="en-GB" w:eastAsia="zh-CN"/>
        </w:rPr>
        <w:t xml:space="preserve">f </w:t>
      </w:r>
      <w:r>
        <w:rPr>
          <w:szCs w:val="20"/>
          <w:lang w:val="en-GB" w:eastAsia="zh-CN"/>
        </w:rPr>
        <w:t>and number of cycles</w:t>
      </w:r>
      <w:r>
        <w:rPr>
          <w:i/>
          <w:iCs/>
          <w:szCs w:val="20"/>
          <w:lang w:val="en-GB" w:eastAsia="zh-CN"/>
        </w:rPr>
        <w:t xml:space="preserve"> N</w:t>
      </w:r>
      <w:r>
        <w:rPr>
          <w:iCs/>
          <w:szCs w:val="20"/>
          <w:lang w:val="en-GB" w:eastAsia="zh-CN"/>
        </w:rPr>
        <w:t>)</w:t>
      </w:r>
      <w:r>
        <w:rPr>
          <w:szCs w:val="20"/>
          <w:lang w:val="en-GB" w:eastAsia="zh-CN"/>
        </w:rPr>
        <w:t xml:space="preserve"> are imposed.</w:t>
      </w:r>
      <w:r>
        <w:rPr>
          <w:i/>
          <w:iCs/>
          <w:szCs w:val="20"/>
          <w:lang w:val="en-GB" w:eastAsia="zh-CN"/>
        </w:rPr>
        <w:t xml:space="preserve"> </w:t>
      </w:r>
      <w:r>
        <w:rPr>
          <w:szCs w:val="20"/>
          <w:lang w:val="en-GB" w:eastAsia="zh-CN"/>
        </w:rPr>
        <w:t xml:space="preserve">At last, the loosening test is </w:t>
      </w:r>
      <w:r>
        <w:rPr>
          <w:szCs w:val="20"/>
          <w:lang w:val="en-GB" w:eastAsia="zh-CN"/>
        </w:rPr>
        <w:lastRenderedPageBreak/>
        <w:t>started by a computer-controlled system. The tests for each set of experimental parameters are conducted independently for three times.</w:t>
      </w:r>
    </w:p>
    <w:p w:rsidR="00944338" w:rsidRDefault="008D1337">
      <w:pPr>
        <w:pStyle w:val="Heading1"/>
        <w:numPr>
          <w:ilvl w:val="0"/>
          <w:numId w:val="7"/>
        </w:numPr>
        <w:ind w:left="0" w:firstLine="0"/>
        <w:rPr>
          <w:lang w:val="en-GB"/>
        </w:rPr>
      </w:pPr>
      <w:r>
        <w:rPr>
          <w:lang w:val="en-GB" w:eastAsia="zh-CN"/>
        </w:rPr>
        <w:t>Experimental results and discussion</w:t>
      </w:r>
    </w:p>
    <w:p w:rsidR="00944338" w:rsidRDefault="008D1337">
      <w:pPr>
        <w:snapToGrid w:val="0"/>
        <w:spacing w:before="120" w:after="120"/>
        <w:outlineLvl w:val="1"/>
        <w:rPr>
          <w:rFonts w:eastAsia="SimHei"/>
          <w:b/>
          <w:bCs/>
          <w:i/>
          <w:szCs w:val="20"/>
          <w:lang w:val="en-GB" w:eastAsia="zh-CN"/>
        </w:rPr>
      </w:pPr>
      <w:bookmarkStart w:id="2" w:name="OLE_LINK4"/>
      <w:r>
        <w:rPr>
          <w:rFonts w:eastAsia="SimHei"/>
          <w:b/>
          <w:bCs/>
          <w:szCs w:val="20"/>
          <w:lang w:val="en-GB"/>
        </w:rPr>
        <w:t>3.</w:t>
      </w:r>
      <w:r>
        <w:rPr>
          <w:rFonts w:eastAsia="SimHei"/>
          <w:b/>
          <w:bCs/>
          <w:szCs w:val="20"/>
          <w:lang w:val="en-GB" w:eastAsia="zh-CN"/>
        </w:rPr>
        <w:t>1</w:t>
      </w:r>
      <w:r>
        <w:rPr>
          <w:rFonts w:eastAsia="SimHei"/>
          <w:b/>
          <w:bCs/>
          <w:i/>
          <w:szCs w:val="20"/>
          <w:lang w:val="en-GB" w:eastAsia="zh-CN"/>
        </w:rPr>
        <w:t xml:space="preserve"> Effects on self-loosening</w:t>
      </w:r>
    </w:p>
    <w:bookmarkEnd w:id="2"/>
    <w:p w:rsidR="00944338" w:rsidRDefault="008D1337" w:rsidP="003B39ED">
      <w:pPr>
        <w:rPr>
          <w:lang w:val="en-GB" w:eastAsia="zh-CN"/>
        </w:rPr>
      </w:pPr>
      <w:r>
        <w:rPr>
          <w:rFonts w:hint="eastAsia"/>
          <w:szCs w:val="18"/>
          <w:lang w:eastAsia="zh-CN"/>
        </w:rPr>
        <w:t>A</w:t>
      </w:r>
      <w:r>
        <w:rPr>
          <w:szCs w:val="18"/>
        </w:rPr>
        <w:t>ccording to ISO 3506-1:2009 and ISO 724:2010, the initial preload for M12 bolts made of 304</w:t>
      </w:r>
      <w:r>
        <w:rPr>
          <w:rFonts w:hint="eastAsia"/>
          <w:szCs w:val="18"/>
          <w:lang w:eastAsia="zh-CN"/>
        </w:rPr>
        <w:t xml:space="preserve"> </w:t>
      </w:r>
      <w:r w:rsidR="00935B4B" w:rsidRPr="00935B4B">
        <w:rPr>
          <w:szCs w:val="18"/>
          <w:lang w:eastAsia="zh-CN"/>
        </w:rPr>
        <w:t>stainless</w:t>
      </w:r>
      <w:r w:rsidR="00935B4B" w:rsidRPr="00935B4B">
        <w:rPr>
          <w:rFonts w:hint="eastAsia"/>
          <w:szCs w:val="18"/>
          <w:lang w:eastAsia="zh-CN"/>
        </w:rPr>
        <w:t xml:space="preserve"> </w:t>
      </w:r>
      <w:r>
        <w:rPr>
          <w:rFonts w:hint="eastAsia"/>
          <w:szCs w:val="18"/>
          <w:lang w:eastAsia="zh-CN"/>
        </w:rPr>
        <w:t>steel</w:t>
      </w:r>
      <w:r w:rsidR="00175DC2">
        <w:rPr>
          <w:szCs w:val="18"/>
          <w:lang w:eastAsia="zh-CN"/>
        </w:rPr>
        <w:t xml:space="preserve"> </w:t>
      </w:r>
      <w:r>
        <w:rPr>
          <w:rFonts w:hint="eastAsia"/>
          <w:szCs w:val="18"/>
          <w:lang w:eastAsia="zh-CN"/>
        </w:rPr>
        <w:t>(ASTM)</w:t>
      </w:r>
      <w:r>
        <w:rPr>
          <w:szCs w:val="18"/>
        </w:rPr>
        <w:t xml:space="preserve"> ranges from 18 kN to 24 kN</w:t>
      </w:r>
      <w:r>
        <w:rPr>
          <w:rFonts w:hint="eastAsia"/>
          <w:szCs w:val="18"/>
          <w:lang w:eastAsia="zh-CN"/>
        </w:rPr>
        <w:t xml:space="preserve"> with a 1.5kN preload interval. When the torsional angle reached a critical value, loosening occurs</w:t>
      </w:r>
      <w:r>
        <w:rPr>
          <w:rFonts w:hint="eastAsia"/>
          <w:szCs w:val="18"/>
          <w:vertAlign w:val="superscript"/>
          <w:lang w:eastAsia="zh-CN"/>
        </w:rPr>
        <w:t>13</w:t>
      </w:r>
      <w:r>
        <w:rPr>
          <w:rFonts w:hint="eastAsia"/>
          <w:szCs w:val="18"/>
          <w:lang w:eastAsia="zh-CN"/>
        </w:rPr>
        <w:t xml:space="preserve">. In experiments, the critical value of torsional angle </w:t>
      </w:r>
      <w:r>
        <w:rPr>
          <w:i/>
          <w:iCs/>
          <w:szCs w:val="18"/>
          <w:lang w:eastAsia="zh-CN"/>
        </w:rPr>
        <w:t>θ</w:t>
      </w:r>
      <w:r>
        <w:rPr>
          <w:rFonts w:hint="eastAsia"/>
          <w:i/>
          <w:iCs/>
          <w:szCs w:val="18"/>
          <w:lang w:eastAsia="zh-CN"/>
        </w:rPr>
        <w:t xml:space="preserve"> </w:t>
      </w:r>
      <w:r>
        <w:rPr>
          <w:rFonts w:hint="eastAsia"/>
          <w:szCs w:val="18"/>
          <w:lang w:eastAsia="zh-CN"/>
        </w:rPr>
        <w:t xml:space="preserve">is 0.5 deg. Moreover, the loosening behavior is explored at increased torsional angles: 1 deg, 2 deg and 3 deg. </w:t>
      </w:r>
      <w:r>
        <w:rPr>
          <w:szCs w:val="18"/>
          <w:lang w:val="en-GB" w:eastAsia="zh-CN"/>
        </w:rPr>
        <w:t>In order to describe the loosening process,</w:t>
      </w:r>
      <w:r>
        <w:rPr>
          <w:sz w:val="21"/>
          <w:szCs w:val="20"/>
          <w:lang w:val="en-GB" w:eastAsia="zh-CN"/>
        </w:rPr>
        <w:t xml:space="preserve"> function </w:t>
      </w:r>
      <w:r>
        <w:rPr>
          <w:i/>
          <w:sz w:val="21"/>
          <w:szCs w:val="20"/>
          <w:lang w:val="en-GB" w:eastAsia="zh-CN"/>
        </w:rPr>
        <w:t>R</w:t>
      </w:r>
      <w:r>
        <w:rPr>
          <w:sz w:val="21"/>
          <w:szCs w:val="20"/>
          <w:vertAlign w:val="subscript"/>
          <w:lang w:val="en-GB" w:eastAsia="zh-CN"/>
        </w:rPr>
        <w:t>F</w:t>
      </w:r>
      <w:r>
        <w:rPr>
          <w:sz w:val="21"/>
          <w:szCs w:val="20"/>
          <w:lang w:val="en-GB" w:eastAsia="zh-CN"/>
        </w:rPr>
        <w:t>(</w:t>
      </w:r>
      <w:r>
        <w:rPr>
          <w:i/>
          <w:sz w:val="21"/>
          <w:szCs w:val="20"/>
          <w:lang w:val="en-GB" w:eastAsia="zh-CN"/>
        </w:rPr>
        <w:t>N</w:t>
      </w:r>
      <w:r>
        <w:rPr>
          <w:sz w:val="21"/>
          <w:szCs w:val="20"/>
          <w:lang w:val="en-GB" w:eastAsia="zh-CN"/>
        </w:rPr>
        <w:t xml:space="preserve">) is defined as the percentage of the clamp force remaining in the bolt to the preload after </w:t>
      </w:r>
      <w:r>
        <w:rPr>
          <w:i/>
          <w:sz w:val="21"/>
          <w:szCs w:val="20"/>
          <w:lang w:val="en-GB" w:eastAsia="zh-CN"/>
        </w:rPr>
        <w:t>N</w:t>
      </w:r>
      <w:r>
        <w:rPr>
          <w:sz w:val="21"/>
          <w:szCs w:val="20"/>
          <w:lang w:val="en-GB" w:eastAsia="zh-CN"/>
        </w:rPr>
        <w:t xml:space="preserve"> loading cycles. </w:t>
      </w:r>
      <w:r>
        <w:rPr>
          <w:szCs w:val="20"/>
          <w:lang w:val="en-GB" w:eastAsia="zh-CN"/>
        </w:rPr>
        <w:t>As shown in Fig. 2(a), the curve of the loosening process can be divided into 3 stages. In the start-up phase (stage I), the bolted-connection structure experiences several torsion load cycles and axial bolt force decreases slowly. In stage Ⅱ, the loosening increases rapidly. Within 10 cycles, plastic deformation of the bolt material and the elimination of asperity on contacting surfaces cause a rapid decrease of the axial force. With the increase of loading cycles, the loosening test runs into stage III</w:t>
      </w:r>
      <w:r>
        <w:rPr>
          <w:rFonts w:hint="eastAsia"/>
          <w:szCs w:val="20"/>
          <w:lang w:eastAsia="zh-CN"/>
        </w:rPr>
        <w:t xml:space="preserve"> and the loosening increases gently.</w:t>
      </w:r>
    </w:p>
    <w:p w:rsidR="00944338" w:rsidRDefault="008D1337">
      <w:pPr>
        <w:ind w:firstLineChars="100" w:firstLine="200"/>
        <w:rPr>
          <w:szCs w:val="18"/>
          <w:lang w:val="en-GB" w:eastAsia="zh-CN"/>
        </w:rPr>
      </w:pPr>
      <w:r>
        <w:rPr>
          <w:szCs w:val="18"/>
          <w:lang w:val="en-GB" w:eastAsia="zh-CN"/>
        </w:rPr>
        <w:t>As shown in Fig. 2(a), the residual bolt axial force increases with the increase of the preload, which means the loosening rate drops. This phenomenon can be explained as follows: On one hand, an increase of bolt preload gives rise to an increase of contact stress between internal and external threads. Most of the asperities on thread surfaces are removed during pre-tightening process. As a result, fretting wear between contact surfaces reduces under a certain cyclic torsional loading. On the other hand, an increased contact area of threads leads to a decrease of plastic deformation under the same loading cycles.</w:t>
      </w:r>
      <w:r>
        <w:rPr>
          <w:rFonts w:hint="eastAsia"/>
          <w:szCs w:val="18"/>
          <w:lang w:eastAsia="zh-CN"/>
        </w:rPr>
        <w:t xml:space="preserve"> </w:t>
      </w:r>
      <w:r>
        <w:rPr>
          <w:szCs w:val="18"/>
          <w:lang w:val="en-GB" w:eastAsia="zh-CN"/>
        </w:rPr>
        <w:t>As shown in Fig. 2 (b), the residual axial force of the bolt decreases with the increase of torsional angle. After 10</w:t>
      </w:r>
      <w:r>
        <w:rPr>
          <w:szCs w:val="18"/>
          <w:vertAlign w:val="superscript"/>
          <w:lang w:val="en-GB" w:eastAsia="zh-CN"/>
        </w:rPr>
        <w:t>4</w:t>
      </w:r>
      <w:r>
        <w:rPr>
          <w:szCs w:val="18"/>
          <w:lang w:val="en-GB" w:eastAsia="zh-CN"/>
        </w:rPr>
        <w:t xml:space="preserve"> cycles, the axial force drops </w:t>
      </w:r>
      <w:r>
        <w:rPr>
          <w:rFonts w:hint="eastAsia"/>
          <w:szCs w:val="18"/>
          <w:lang w:val="en-GB" w:eastAsia="zh-CN"/>
        </w:rPr>
        <w:t>obviously</w:t>
      </w:r>
      <w:r>
        <w:rPr>
          <w:szCs w:val="18"/>
          <w:lang w:val="en-GB" w:eastAsia="zh-CN"/>
        </w:rPr>
        <w:t xml:space="preserve"> at </w:t>
      </w:r>
      <w:r>
        <w:rPr>
          <w:rFonts w:hint="eastAsia"/>
          <w:szCs w:val="18"/>
          <w:lang w:val="en-GB" w:eastAsia="zh-CN"/>
        </w:rPr>
        <w:t>an</w:t>
      </w:r>
      <w:r>
        <w:rPr>
          <w:szCs w:val="18"/>
          <w:lang w:val="en-GB" w:eastAsia="zh-CN"/>
        </w:rPr>
        <w:t xml:space="preserve"> </w:t>
      </w:r>
      <w:r>
        <w:rPr>
          <w:rFonts w:hint="eastAsia"/>
          <w:szCs w:val="18"/>
          <w:lang w:val="en-GB" w:eastAsia="zh-CN"/>
        </w:rPr>
        <w:t>excitation</w:t>
      </w:r>
      <w:r>
        <w:rPr>
          <w:szCs w:val="18"/>
          <w:lang w:val="en-GB" w:eastAsia="zh-CN"/>
        </w:rPr>
        <w:t xml:space="preserve"> </w:t>
      </w:r>
      <w:r>
        <w:rPr>
          <w:rFonts w:hint="eastAsia"/>
          <w:szCs w:val="18"/>
          <w:lang w:val="en-GB" w:eastAsia="zh-CN"/>
        </w:rPr>
        <w:t>amplitude</w:t>
      </w:r>
      <w:r>
        <w:rPr>
          <w:szCs w:val="18"/>
          <w:lang w:val="en-GB" w:eastAsia="zh-CN"/>
        </w:rPr>
        <w:t xml:space="preserve"> </w:t>
      </w:r>
      <w:r>
        <w:rPr>
          <w:rFonts w:hint="eastAsia"/>
          <w:szCs w:val="18"/>
          <w:lang w:val="en-GB" w:eastAsia="zh-CN"/>
        </w:rPr>
        <w:t>of</w:t>
      </w:r>
      <w:r>
        <w:rPr>
          <w:szCs w:val="18"/>
          <w:lang w:val="en-GB" w:eastAsia="zh-CN"/>
        </w:rPr>
        <w:t xml:space="preserve"> 2 deg, at 1</w:t>
      </w:r>
      <w:r>
        <w:rPr>
          <w:rFonts w:hint="eastAsia"/>
          <w:szCs w:val="18"/>
          <w:lang w:eastAsia="zh-CN"/>
        </w:rPr>
        <w:t xml:space="preserve"> </w:t>
      </w:r>
      <w:r>
        <w:rPr>
          <w:szCs w:val="18"/>
          <w:lang w:val="en-GB" w:eastAsia="zh-CN"/>
        </w:rPr>
        <w:t>deg excitation suffers a moderate loss, and at 0.5</w:t>
      </w:r>
      <w:r>
        <w:rPr>
          <w:rFonts w:hint="eastAsia"/>
          <w:szCs w:val="18"/>
          <w:lang w:eastAsia="zh-CN"/>
        </w:rPr>
        <w:t xml:space="preserve"> </w:t>
      </w:r>
      <w:r>
        <w:rPr>
          <w:szCs w:val="18"/>
          <w:lang w:val="en-GB" w:eastAsia="zh-CN"/>
        </w:rPr>
        <w:t>deg excitation reduces least. This is because deformation of a bolted joint is large and fretting wear between the contact surfaces is serious under high amplitude of angular excitation.</w:t>
      </w:r>
    </w:p>
    <w:p w:rsidR="00CC2851" w:rsidRDefault="00CC2851">
      <w:pPr>
        <w:ind w:firstLineChars="100" w:firstLine="200"/>
        <w:rPr>
          <w:szCs w:val="18"/>
          <w:lang w:val="en-GB" w:eastAsia="zh-CN"/>
        </w:rPr>
      </w:pPr>
    </w:p>
    <w:p w:rsidR="00944338" w:rsidRDefault="008D1337">
      <w:pPr>
        <w:spacing w:line="240" w:lineRule="auto"/>
        <w:ind w:firstLineChars="100" w:firstLine="200"/>
        <w:jc w:val="center"/>
        <w:rPr>
          <w:szCs w:val="18"/>
          <w:lang w:val="en-GB" w:eastAsia="zh-CN"/>
        </w:rPr>
      </w:pPr>
      <w:r>
        <w:rPr>
          <w:noProof/>
          <w:szCs w:val="18"/>
          <w:lang w:val="en-GB" w:eastAsia="zh-CN"/>
        </w:rPr>
        <w:drawing>
          <wp:inline distT="0" distB="0" distL="114300" distR="114300">
            <wp:extent cx="2093595" cy="1619885"/>
            <wp:effectExtent l="0" t="0" r="9525" b="10795"/>
            <wp:docPr id="5" name="图片 5" descr="1D-18-19.5-21-22.5-24k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D-18-19.5-21-22.5-24kN-3"/>
                    <pic:cNvPicPr>
                      <a:picLocks noChangeAspect="1"/>
                    </pic:cNvPicPr>
                  </pic:nvPicPr>
                  <pic:blipFill>
                    <a:blip r:embed="rId10"/>
                    <a:stretch>
                      <a:fillRect/>
                    </a:stretch>
                  </pic:blipFill>
                  <pic:spPr>
                    <a:xfrm>
                      <a:off x="0" y="0"/>
                      <a:ext cx="2093595" cy="1619885"/>
                    </a:xfrm>
                    <a:prstGeom prst="rect">
                      <a:avLst/>
                    </a:prstGeom>
                  </pic:spPr>
                </pic:pic>
              </a:graphicData>
            </a:graphic>
          </wp:inline>
        </w:drawing>
      </w:r>
      <w:r>
        <w:rPr>
          <w:szCs w:val="18"/>
          <w:lang w:val="en-GB" w:eastAsia="zh-CN"/>
        </w:rPr>
        <w:t xml:space="preserve">     </w:t>
      </w:r>
      <w:r>
        <w:rPr>
          <w:noProof/>
          <w:szCs w:val="18"/>
          <w:lang w:val="en-GB" w:eastAsia="zh-CN"/>
        </w:rPr>
        <w:drawing>
          <wp:inline distT="0" distB="0" distL="114300" distR="114300">
            <wp:extent cx="2016125" cy="1619885"/>
            <wp:effectExtent l="0" t="0" r="10795" b="10795"/>
            <wp:docPr id="7" name="图片 7" descr="0.5D-1D-2D-22.5k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5D-1D-2D-22.5kN3"/>
                    <pic:cNvPicPr>
                      <a:picLocks noChangeAspect="1"/>
                    </pic:cNvPicPr>
                  </pic:nvPicPr>
                  <pic:blipFill>
                    <a:blip r:embed="rId11"/>
                    <a:stretch>
                      <a:fillRect/>
                    </a:stretch>
                  </pic:blipFill>
                  <pic:spPr>
                    <a:xfrm>
                      <a:off x="0" y="0"/>
                      <a:ext cx="2016125" cy="1619885"/>
                    </a:xfrm>
                    <a:prstGeom prst="rect">
                      <a:avLst/>
                    </a:prstGeom>
                  </pic:spPr>
                </pic:pic>
              </a:graphicData>
            </a:graphic>
          </wp:inline>
        </w:drawing>
      </w:r>
    </w:p>
    <w:p w:rsidR="00944338" w:rsidRDefault="008D1337">
      <w:pPr>
        <w:snapToGrid w:val="0"/>
        <w:spacing w:line="200" w:lineRule="exact"/>
        <w:jc w:val="center"/>
        <w:rPr>
          <w:sz w:val="16"/>
          <w:szCs w:val="16"/>
          <w:lang w:val="en-GB" w:eastAsia="zh-CN"/>
        </w:rPr>
      </w:pPr>
      <w:r>
        <w:rPr>
          <w:sz w:val="16"/>
          <w:szCs w:val="16"/>
          <w:lang w:val="en-GB" w:eastAsia="zh-CN"/>
        </w:rPr>
        <w:t>Fig. 2 Self-loosening curves under varying constant preloads and constant amplitudes of angular excitation</w:t>
      </w:r>
    </w:p>
    <w:p w:rsidR="00944338" w:rsidRDefault="008D1337">
      <w:pPr>
        <w:numPr>
          <w:ilvl w:val="0"/>
          <w:numId w:val="8"/>
        </w:numPr>
        <w:snapToGrid w:val="0"/>
        <w:spacing w:line="200" w:lineRule="exact"/>
        <w:jc w:val="center"/>
        <w:rPr>
          <w:sz w:val="16"/>
          <w:szCs w:val="16"/>
          <w:lang w:val="en-GB" w:eastAsia="zh-CN"/>
        </w:rPr>
      </w:pPr>
      <w:r>
        <w:rPr>
          <w:sz w:val="16"/>
          <w:szCs w:val="16"/>
          <w:lang w:val="en-GB" w:eastAsia="zh-CN"/>
        </w:rPr>
        <w:t>Effect of preload (</w:t>
      </w:r>
      <w:r>
        <w:rPr>
          <w:i/>
          <w:iCs/>
          <w:sz w:val="16"/>
          <w:szCs w:val="16"/>
          <w:lang w:val="en-GB" w:eastAsia="zh-CN"/>
        </w:rPr>
        <w:t>θ</w:t>
      </w:r>
      <w:r>
        <w:rPr>
          <w:sz w:val="16"/>
          <w:szCs w:val="16"/>
          <w:lang w:val="en-GB" w:eastAsia="zh-CN"/>
        </w:rPr>
        <w:t>=1 deg); (b) Effect of angular amplitude (</w:t>
      </w:r>
      <w:r>
        <w:rPr>
          <w:i/>
          <w:iCs/>
          <w:sz w:val="16"/>
          <w:szCs w:val="16"/>
          <w:lang w:val="en-GB" w:eastAsia="zh-CN"/>
        </w:rPr>
        <w:t>P</w:t>
      </w:r>
      <w:r>
        <w:rPr>
          <w:sz w:val="16"/>
          <w:szCs w:val="16"/>
          <w:vertAlign w:val="subscript"/>
          <w:lang w:val="en-GB" w:eastAsia="zh-CN"/>
        </w:rPr>
        <w:t>0</w:t>
      </w:r>
      <w:r>
        <w:rPr>
          <w:sz w:val="16"/>
          <w:szCs w:val="16"/>
          <w:lang w:val="en-GB" w:eastAsia="zh-CN"/>
        </w:rPr>
        <w:t>=22.5 kN)</w:t>
      </w:r>
    </w:p>
    <w:p w:rsidR="00944338" w:rsidRDefault="008D1337">
      <w:pPr>
        <w:snapToGrid w:val="0"/>
        <w:spacing w:before="240" w:after="120"/>
        <w:outlineLvl w:val="1"/>
        <w:rPr>
          <w:sz w:val="16"/>
          <w:szCs w:val="16"/>
          <w:lang w:val="en-GB" w:eastAsia="zh-CN"/>
        </w:rPr>
      </w:pPr>
      <w:r>
        <w:rPr>
          <w:rFonts w:eastAsia="SimHei"/>
          <w:b/>
          <w:bCs/>
          <w:szCs w:val="20"/>
          <w:lang w:val="en-GB"/>
        </w:rPr>
        <w:lastRenderedPageBreak/>
        <w:t>3.</w:t>
      </w:r>
      <w:r>
        <w:rPr>
          <w:rFonts w:eastAsia="SimHei"/>
          <w:b/>
          <w:bCs/>
          <w:szCs w:val="20"/>
          <w:lang w:val="en-GB" w:eastAsia="zh-CN"/>
        </w:rPr>
        <w:t>2</w:t>
      </w:r>
      <w:r>
        <w:rPr>
          <w:rFonts w:eastAsia="SimHei"/>
          <w:b/>
          <w:bCs/>
          <w:i/>
          <w:szCs w:val="20"/>
          <w:lang w:val="en-GB" w:eastAsia="zh-CN"/>
        </w:rPr>
        <w:t xml:space="preserve"> </w:t>
      </w:r>
      <w:r>
        <w:rPr>
          <w:rFonts w:eastAsia="SimHei"/>
          <w:b/>
          <w:bCs/>
          <w:i/>
          <w:color w:val="000000" w:themeColor="text1"/>
          <w:szCs w:val="20"/>
          <w:lang w:val="en-GB" w:eastAsia="zh-CN"/>
        </w:rPr>
        <w:t>Hysteresis curves and energy dissipation</w:t>
      </w:r>
    </w:p>
    <w:p w:rsidR="00944338" w:rsidRDefault="008D1337">
      <w:pPr>
        <w:ind w:firstLineChars="100" w:firstLine="200"/>
        <w:rPr>
          <w:szCs w:val="18"/>
          <w:lang w:val="en-GB" w:eastAsia="zh-CN"/>
        </w:rPr>
      </w:pPr>
      <w:r>
        <w:rPr>
          <w:szCs w:val="18"/>
          <w:lang w:val="en-GB" w:eastAsia="zh-CN"/>
        </w:rPr>
        <w:t xml:space="preserve">It can be seen in Fig. 3 that the hysteresis curves show different shapes. With the increasing number of the loading cycles, there exists a transforming process. During the first 400 loading cycles, gross slip occurs between the contact threads, and the hysteresis curve shows parallel hexagon. After 400 loading cycles, relative rotation does not occur between the contact threads, and the hysteresis curve transforms into a parallelogram. </w:t>
      </w:r>
      <w:r>
        <w:rPr>
          <w:rFonts w:hint="eastAsia"/>
          <w:szCs w:val="18"/>
          <w:lang w:eastAsia="zh-CN"/>
        </w:rPr>
        <w:t>T</w:t>
      </w:r>
      <w:r>
        <w:rPr>
          <w:szCs w:val="18"/>
          <w:lang w:val="en-GB" w:eastAsia="zh-CN"/>
        </w:rPr>
        <w:t xml:space="preserve">he response </w:t>
      </w:r>
      <w:r>
        <w:rPr>
          <w:rFonts w:hint="eastAsia"/>
          <w:szCs w:val="18"/>
          <w:lang w:eastAsia="zh-CN"/>
        </w:rPr>
        <w:t>loops</w:t>
      </w:r>
      <w:r>
        <w:rPr>
          <w:szCs w:val="18"/>
          <w:lang w:val="en-GB" w:eastAsia="zh-CN"/>
        </w:rPr>
        <w:t xml:space="preserve"> can be divided into 2 phases. In phase Ⅰ, there is no gross slip between the upper fixture and the </w:t>
      </w:r>
      <w:r>
        <w:rPr>
          <w:rFonts w:hint="eastAsia"/>
          <w:szCs w:val="18"/>
          <w:lang w:eastAsia="zh-CN"/>
        </w:rPr>
        <w:t>washer</w:t>
      </w:r>
      <w:r>
        <w:rPr>
          <w:szCs w:val="18"/>
          <w:lang w:val="en-GB" w:eastAsia="zh-CN"/>
        </w:rPr>
        <w:t xml:space="preserve">, as well as between the lower fixture and the copper piece. The torque value increases rapidly with the increase of the angle of twist applied on the upper fixture. The gradient of the response curve remains constant with the increasing number of loading cycles, which is proportional to the torsional stiffness value of the bolted connection structure. Moreover, the maximal value of the torque in phase Ⅰ remains constant, which indicates that the coefficients of friction between the </w:t>
      </w:r>
      <w:r>
        <w:rPr>
          <w:rFonts w:hint="eastAsia"/>
          <w:szCs w:val="18"/>
          <w:lang w:eastAsia="zh-CN"/>
        </w:rPr>
        <w:t>washer</w:t>
      </w:r>
      <w:r>
        <w:rPr>
          <w:szCs w:val="18"/>
          <w:lang w:val="en-GB" w:eastAsia="zh-CN"/>
        </w:rPr>
        <w:t xml:space="preserve"> and the two fixtures remain the same value during the test. With the increase of the applied torsional angle, it enters phase Ⅱ. In phase Ⅱ, the gradient of the response curve presents intuitively a smaller value than that in phase Ⅰ, so the resultant torque value increases slowly with the torsional angle. Additionally, the gradient value of the response curve in phase Ⅱ increases slightly, indicating that the bolt material 304 </w:t>
      </w:r>
      <w:r w:rsidR="00175DC2" w:rsidRPr="00175DC2">
        <w:rPr>
          <w:szCs w:val="18"/>
          <w:lang w:val="en-GB" w:eastAsia="zh-CN"/>
        </w:rPr>
        <w:t xml:space="preserve">stainless </w:t>
      </w:r>
      <w:r>
        <w:rPr>
          <w:szCs w:val="18"/>
          <w:lang w:val="en-GB" w:eastAsia="zh-CN"/>
        </w:rPr>
        <w:t>steel (ASTM) is cyclic hardening.</w:t>
      </w:r>
    </w:p>
    <w:p w:rsidR="00944338" w:rsidRDefault="008D1337">
      <w:pPr>
        <w:spacing w:line="240" w:lineRule="auto"/>
        <w:ind w:firstLineChars="100" w:firstLine="200"/>
        <w:jc w:val="center"/>
        <w:rPr>
          <w:szCs w:val="18"/>
          <w:lang w:val="en-GB" w:eastAsia="zh-CN"/>
        </w:rPr>
      </w:pPr>
      <w:r>
        <w:rPr>
          <w:noProof/>
          <w:szCs w:val="18"/>
          <w:lang w:val="en-GB" w:eastAsia="zh-CN"/>
        </w:rPr>
        <w:drawing>
          <wp:inline distT="0" distB="0" distL="114300" distR="114300">
            <wp:extent cx="2000885" cy="1619885"/>
            <wp:effectExtent l="0" t="0" r="10795" b="10795"/>
            <wp:docPr id="2" name="图片 2" descr="21kN-3D-1Hz-1E4cycles-20171227-Test4 No M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kN-3D-1Hz-1E4cycles-20171227-Test4 No MoS2"/>
                    <pic:cNvPicPr>
                      <a:picLocks noChangeAspect="1"/>
                    </pic:cNvPicPr>
                  </pic:nvPicPr>
                  <pic:blipFill>
                    <a:blip r:embed="rId12"/>
                    <a:stretch>
                      <a:fillRect/>
                    </a:stretch>
                  </pic:blipFill>
                  <pic:spPr>
                    <a:xfrm>
                      <a:off x="0" y="0"/>
                      <a:ext cx="2000885" cy="1619885"/>
                    </a:xfrm>
                    <a:prstGeom prst="rect">
                      <a:avLst/>
                    </a:prstGeom>
                  </pic:spPr>
                </pic:pic>
              </a:graphicData>
            </a:graphic>
          </wp:inline>
        </w:drawing>
      </w:r>
    </w:p>
    <w:p w:rsidR="00944338" w:rsidRDefault="008D1337">
      <w:pPr>
        <w:snapToGrid w:val="0"/>
        <w:spacing w:line="200" w:lineRule="exact"/>
        <w:jc w:val="center"/>
        <w:rPr>
          <w:sz w:val="16"/>
          <w:szCs w:val="16"/>
          <w:lang w:val="en-GB" w:eastAsia="zh-CN"/>
        </w:rPr>
      </w:pPr>
      <w:r>
        <w:rPr>
          <w:sz w:val="16"/>
          <w:szCs w:val="16"/>
          <w:lang w:val="en-GB" w:eastAsia="zh-CN"/>
        </w:rPr>
        <w:t>Fig. 3 Transformation of hysteresis curves with the number of loading cycles (</w:t>
      </w:r>
      <w:r>
        <w:rPr>
          <w:i/>
          <w:iCs/>
          <w:sz w:val="16"/>
          <w:szCs w:val="16"/>
          <w:lang w:val="en-GB" w:eastAsia="zh-CN"/>
        </w:rPr>
        <w:t>P</w:t>
      </w:r>
      <w:r>
        <w:rPr>
          <w:sz w:val="16"/>
          <w:szCs w:val="16"/>
          <w:vertAlign w:val="subscript"/>
          <w:lang w:val="en-GB" w:eastAsia="zh-CN"/>
        </w:rPr>
        <w:t>0</w:t>
      </w:r>
      <w:r>
        <w:rPr>
          <w:sz w:val="16"/>
          <w:szCs w:val="16"/>
          <w:lang w:val="en-GB" w:eastAsia="zh-CN"/>
        </w:rPr>
        <w:t xml:space="preserve">=21 kN, </w:t>
      </w:r>
      <w:r>
        <w:rPr>
          <w:i/>
          <w:iCs/>
          <w:sz w:val="16"/>
          <w:szCs w:val="16"/>
          <w:lang w:val="en-GB" w:eastAsia="zh-CN"/>
        </w:rPr>
        <w:t>θ</w:t>
      </w:r>
      <w:r>
        <w:rPr>
          <w:sz w:val="16"/>
          <w:szCs w:val="16"/>
          <w:lang w:val="en-GB" w:eastAsia="zh-CN"/>
        </w:rPr>
        <w:t>=3 deg)</w:t>
      </w:r>
    </w:p>
    <w:p w:rsidR="00944338" w:rsidRDefault="008D1337">
      <w:pPr>
        <w:ind w:firstLineChars="100" w:firstLine="200"/>
        <w:rPr>
          <w:szCs w:val="18"/>
          <w:lang w:val="en-GB" w:eastAsia="zh-CN"/>
        </w:rPr>
      </w:pPr>
      <w:r>
        <w:rPr>
          <w:szCs w:val="20"/>
          <w:lang w:val="en-GB" w:eastAsia="zh-CN"/>
        </w:rPr>
        <w:t xml:space="preserve">Tab. 1 indicates that the dissipated energy increases with the increasing number of loading cycles. Due to fretting wear between the contact threads, the coefficient of friction increasing gradually. In addition, </w:t>
      </w:r>
      <w:r>
        <w:rPr>
          <w:szCs w:val="18"/>
          <w:lang w:val="en-GB" w:eastAsia="zh-CN"/>
        </w:rPr>
        <w:t>the torsional stiffness</w:t>
      </w:r>
      <w:r>
        <w:rPr>
          <w:szCs w:val="20"/>
          <w:lang w:val="en-GB" w:eastAsia="zh-CN"/>
        </w:rPr>
        <w:t xml:space="preserve"> of the bolt increases slightly in experiments. As a result, the maximum value of the torque</w:t>
      </w:r>
      <w:r>
        <w:rPr>
          <w:szCs w:val="18"/>
          <w:lang w:val="en-GB" w:eastAsia="zh-CN"/>
        </w:rPr>
        <w:t xml:space="preserve"> goes up and the area integrated by hysteresis curve correspondingly increases.</w:t>
      </w:r>
    </w:p>
    <w:p w:rsidR="00944338" w:rsidRDefault="008D1337">
      <w:pPr>
        <w:snapToGrid w:val="0"/>
        <w:spacing w:before="120" w:after="120" w:line="240" w:lineRule="auto"/>
        <w:jc w:val="center"/>
        <w:rPr>
          <w:bCs/>
          <w:sz w:val="16"/>
          <w:szCs w:val="16"/>
          <w:lang w:val="en-GB" w:eastAsia="zh-CN"/>
        </w:rPr>
      </w:pPr>
      <w:r>
        <w:rPr>
          <w:rFonts w:hint="eastAsia"/>
          <w:bCs/>
          <w:sz w:val="16"/>
          <w:szCs w:val="16"/>
          <w:lang w:eastAsia="zh-CN"/>
        </w:rPr>
        <w:t xml:space="preserve">Tab. </w:t>
      </w:r>
      <w:r>
        <w:rPr>
          <w:bCs/>
          <w:sz w:val="16"/>
          <w:szCs w:val="16"/>
          <w:lang w:val="en-GB" w:eastAsia="zh-CN"/>
        </w:rPr>
        <w:t>1 Variation of dissipated energy with cycles (</w:t>
      </w:r>
      <w:r>
        <w:rPr>
          <w:bCs/>
          <w:i/>
          <w:iCs/>
          <w:sz w:val="16"/>
          <w:szCs w:val="16"/>
          <w:lang w:val="en-GB" w:eastAsia="zh-CN"/>
        </w:rPr>
        <w:t>P</w:t>
      </w:r>
      <w:r>
        <w:rPr>
          <w:bCs/>
          <w:sz w:val="16"/>
          <w:szCs w:val="16"/>
          <w:vertAlign w:val="subscript"/>
          <w:lang w:val="en-GB" w:eastAsia="zh-CN"/>
        </w:rPr>
        <w:t>0</w:t>
      </w:r>
      <w:r>
        <w:rPr>
          <w:bCs/>
          <w:sz w:val="16"/>
          <w:szCs w:val="16"/>
          <w:lang w:val="en-GB" w:eastAsia="zh-CN"/>
        </w:rPr>
        <w:t xml:space="preserve">=21 kN, </w:t>
      </w:r>
      <w:r>
        <w:rPr>
          <w:bCs/>
          <w:i/>
          <w:iCs/>
          <w:sz w:val="16"/>
          <w:szCs w:val="16"/>
          <w:lang w:val="en-GB" w:eastAsia="zh-CN"/>
        </w:rPr>
        <w:t>θ</w:t>
      </w:r>
      <w:r>
        <w:rPr>
          <w:bCs/>
          <w:sz w:val="16"/>
          <w:szCs w:val="16"/>
          <w:lang w:val="en-GB" w:eastAsia="zh-CN"/>
        </w:rPr>
        <w:t>=2 deg).</w:t>
      </w:r>
    </w:p>
    <w:tbl>
      <w:tblPr>
        <w:tblStyle w:val="TableGrid"/>
        <w:tblW w:w="5669" w:type="dxa"/>
        <w:jc w:val="center"/>
        <w:tblBorders>
          <w:top w:val="single" w:sz="12" w:space="0" w:color="auto"/>
          <w:left w:val="none" w:sz="0" w:space="0" w:color="auto"/>
          <w:bottom w:val="single" w:sz="12" w:space="0" w:color="auto"/>
          <w:right w:val="none" w:sz="0" w:space="0" w:color="auto"/>
          <w:insideV w:val="none" w:sz="0" w:space="0" w:color="auto"/>
        </w:tblBorders>
        <w:tblLayout w:type="fixed"/>
        <w:tblLook w:val="04A0" w:firstRow="1" w:lastRow="0" w:firstColumn="1" w:lastColumn="0" w:noHBand="0" w:noVBand="1"/>
      </w:tblPr>
      <w:tblGrid>
        <w:gridCol w:w="2062"/>
        <w:gridCol w:w="723"/>
        <w:gridCol w:w="687"/>
        <w:gridCol w:w="718"/>
        <w:gridCol w:w="694"/>
        <w:gridCol w:w="785"/>
      </w:tblGrid>
      <w:tr w:rsidR="00944338">
        <w:trPr>
          <w:cantSplit/>
          <w:trHeight w:val="283"/>
          <w:jc w:val="center"/>
        </w:trPr>
        <w:tc>
          <w:tcPr>
            <w:tcW w:w="2062" w:type="dxa"/>
            <w:tcBorders>
              <w:tl2br w:val="nil"/>
              <w:tr2bl w:val="nil"/>
            </w:tcBorders>
            <w:vAlign w:val="center"/>
          </w:tcPr>
          <w:p w:rsidR="00944338" w:rsidRDefault="008D1337">
            <w:pPr>
              <w:jc w:val="center"/>
              <w:rPr>
                <w:sz w:val="16"/>
                <w:szCs w:val="15"/>
                <w:lang w:val="en-GB" w:eastAsia="zh-CN"/>
              </w:rPr>
            </w:pPr>
            <w:r>
              <w:rPr>
                <w:sz w:val="16"/>
                <w:szCs w:val="15"/>
                <w:lang w:val="en-GB" w:eastAsia="zh-CN"/>
              </w:rPr>
              <w:t>Number of cycles</w:t>
            </w:r>
          </w:p>
        </w:tc>
        <w:tc>
          <w:tcPr>
            <w:tcW w:w="723" w:type="dxa"/>
            <w:tcBorders>
              <w:tl2br w:val="nil"/>
              <w:tr2bl w:val="nil"/>
            </w:tcBorders>
            <w:vAlign w:val="center"/>
          </w:tcPr>
          <w:p w:rsidR="00944338" w:rsidRDefault="008D1337">
            <w:pPr>
              <w:jc w:val="center"/>
              <w:rPr>
                <w:sz w:val="16"/>
                <w:szCs w:val="15"/>
                <w:lang w:val="en-GB" w:eastAsia="zh-CN"/>
              </w:rPr>
            </w:pPr>
            <w:r>
              <w:rPr>
                <w:sz w:val="16"/>
                <w:szCs w:val="15"/>
                <w:lang w:val="en-GB" w:eastAsia="zh-CN"/>
              </w:rPr>
              <w:t>1</w:t>
            </w:r>
          </w:p>
        </w:tc>
        <w:tc>
          <w:tcPr>
            <w:tcW w:w="687" w:type="dxa"/>
            <w:tcBorders>
              <w:tl2br w:val="nil"/>
              <w:tr2bl w:val="nil"/>
            </w:tcBorders>
            <w:vAlign w:val="center"/>
          </w:tcPr>
          <w:p w:rsidR="00944338" w:rsidRDefault="008D1337">
            <w:pPr>
              <w:jc w:val="center"/>
              <w:rPr>
                <w:sz w:val="16"/>
                <w:szCs w:val="15"/>
                <w:lang w:val="en-GB" w:eastAsia="zh-CN"/>
              </w:rPr>
            </w:pPr>
            <w:r>
              <w:rPr>
                <w:sz w:val="16"/>
                <w:szCs w:val="15"/>
                <w:lang w:val="en-GB" w:eastAsia="zh-CN"/>
              </w:rPr>
              <w:t>10</w:t>
            </w:r>
          </w:p>
        </w:tc>
        <w:tc>
          <w:tcPr>
            <w:tcW w:w="718" w:type="dxa"/>
            <w:tcBorders>
              <w:tl2br w:val="nil"/>
              <w:tr2bl w:val="nil"/>
            </w:tcBorders>
            <w:vAlign w:val="center"/>
          </w:tcPr>
          <w:p w:rsidR="00944338" w:rsidRDefault="008D1337">
            <w:pPr>
              <w:jc w:val="center"/>
              <w:rPr>
                <w:sz w:val="16"/>
                <w:szCs w:val="15"/>
                <w:lang w:val="en-GB" w:eastAsia="zh-CN"/>
              </w:rPr>
            </w:pPr>
            <w:r>
              <w:rPr>
                <w:sz w:val="16"/>
                <w:szCs w:val="15"/>
                <w:lang w:val="en-GB" w:eastAsia="zh-CN"/>
              </w:rPr>
              <w:t>100</w:t>
            </w:r>
          </w:p>
        </w:tc>
        <w:tc>
          <w:tcPr>
            <w:tcW w:w="694" w:type="dxa"/>
            <w:tcBorders>
              <w:tl2br w:val="nil"/>
              <w:tr2bl w:val="nil"/>
            </w:tcBorders>
            <w:vAlign w:val="center"/>
          </w:tcPr>
          <w:p w:rsidR="00944338" w:rsidRDefault="008D1337">
            <w:pPr>
              <w:jc w:val="center"/>
              <w:rPr>
                <w:sz w:val="16"/>
                <w:szCs w:val="15"/>
                <w:lang w:val="en-GB" w:eastAsia="zh-CN"/>
              </w:rPr>
            </w:pPr>
            <w:r>
              <w:rPr>
                <w:sz w:val="16"/>
                <w:szCs w:val="15"/>
                <w:lang w:val="en-GB" w:eastAsia="zh-CN"/>
              </w:rPr>
              <w:t>1000</w:t>
            </w:r>
          </w:p>
        </w:tc>
        <w:tc>
          <w:tcPr>
            <w:tcW w:w="785" w:type="dxa"/>
            <w:tcBorders>
              <w:tl2br w:val="nil"/>
              <w:tr2bl w:val="nil"/>
            </w:tcBorders>
            <w:vAlign w:val="center"/>
          </w:tcPr>
          <w:p w:rsidR="00944338" w:rsidRDefault="008D1337">
            <w:pPr>
              <w:jc w:val="center"/>
              <w:rPr>
                <w:sz w:val="16"/>
                <w:szCs w:val="15"/>
                <w:lang w:val="en-GB" w:eastAsia="zh-CN"/>
              </w:rPr>
            </w:pPr>
            <w:r>
              <w:rPr>
                <w:sz w:val="16"/>
                <w:szCs w:val="15"/>
                <w:lang w:val="en-GB" w:eastAsia="zh-CN"/>
              </w:rPr>
              <w:t>10000</w:t>
            </w:r>
          </w:p>
        </w:tc>
      </w:tr>
      <w:tr w:rsidR="00944338">
        <w:trPr>
          <w:cantSplit/>
          <w:trHeight w:val="283"/>
          <w:jc w:val="center"/>
        </w:trPr>
        <w:tc>
          <w:tcPr>
            <w:tcW w:w="2062" w:type="dxa"/>
            <w:tcBorders>
              <w:tl2br w:val="nil"/>
              <w:tr2bl w:val="nil"/>
            </w:tcBorders>
            <w:vAlign w:val="center"/>
          </w:tcPr>
          <w:p w:rsidR="00944338" w:rsidRDefault="008D1337">
            <w:pPr>
              <w:jc w:val="center"/>
              <w:rPr>
                <w:sz w:val="16"/>
                <w:szCs w:val="15"/>
                <w:lang w:val="en-GB" w:eastAsia="zh-CN"/>
              </w:rPr>
            </w:pPr>
            <w:r>
              <w:rPr>
                <w:sz w:val="16"/>
                <w:szCs w:val="15"/>
                <w:lang w:val="en-GB" w:eastAsia="zh-CN"/>
              </w:rPr>
              <w:t>Dissipated energy (J)</w:t>
            </w:r>
          </w:p>
        </w:tc>
        <w:tc>
          <w:tcPr>
            <w:tcW w:w="723" w:type="dxa"/>
            <w:tcBorders>
              <w:tl2br w:val="nil"/>
              <w:tr2bl w:val="nil"/>
            </w:tcBorders>
            <w:vAlign w:val="center"/>
          </w:tcPr>
          <w:p w:rsidR="00944338" w:rsidRDefault="008D1337">
            <w:pPr>
              <w:jc w:val="center"/>
              <w:rPr>
                <w:sz w:val="16"/>
                <w:szCs w:val="15"/>
                <w:lang w:val="en-GB" w:eastAsia="zh-CN"/>
              </w:rPr>
            </w:pPr>
            <w:r>
              <w:rPr>
                <w:sz w:val="16"/>
                <w:szCs w:val="15"/>
                <w:lang w:val="en-GB" w:eastAsia="zh-CN"/>
              </w:rPr>
              <w:t>4.33</w:t>
            </w:r>
          </w:p>
        </w:tc>
        <w:tc>
          <w:tcPr>
            <w:tcW w:w="687" w:type="dxa"/>
            <w:tcBorders>
              <w:tl2br w:val="nil"/>
              <w:tr2bl w:val="nil"/>
            </w:tcBorders>
            <w:vAlign w:val="center"/>
          </w:tcPr>
          <w:p w:rsidR="00944338" w:rsidRDefault="008D1337">
            <w:pPr>
              <w:jc w:val="center"/>
              <w:rPr>
                <w:sz w:val="16"/>
                <w:szCs w:val="15"/>
                <w:lang w:val="en-GB" w:eastAsia="zh-CN"/>
              </w:rPr>
            </w:pPr>
            <w:r>
              <w:rPr>
                <w:sz w:val="16"/>
                <w:szCs w:val="15"/>
                <w:lang w:val="en-GB" w:eastAsia="zh-CN"/>
              </w:rPr>
              <w:t>4.92</w:t>
            </w:r>
          </w:p>
        </w:tc>
        <w:tc>
          <w:tcPr>
            <w:tcW w:w="718" w:type="dxa"/>
            <w:tcBorders>
              <w:tl2br w:val="nil"/>
              <w:tr2bl w:val="nil"/>
            </w:tcBorders>
            <w:vAlign w:val="center"/>
          </w:tcPr>
          <w:p w:rsidR="00944338" w:rsidRDefault="008D1337">
            <w:pPr>
              <w:jc w:val="center"/>
              <w:rPr>
                <w:sz w:val="16"/>
                <w:szCs w:val="15"/>
                <w:lang w:val="en-GB" w:eastAsia="zh-CN"/>
              </w:rPr>
            </w:pPr>
            <w:r>
              <w:rPr>
                <w:sz w:val="16"/>
                <w:szCs w:val="15"/>
                <w:lang w:val="en-GB" w:eastAsia="zh-CN"/>
              </w:rPr>
              <w:t>5.12</w:t>
            </w:r>
          </w:p>
        </w:tc>
        <w:tc>
          <w:tcPr>
            <w:tcW w:w="694" w:type="dxa"/>
            <w:tcBorders>
              <w:tl2br w:val="nil"/>
              <w:tr2bl w:val="nil"/>
            </w:tcBorders>
            <w:vAlign w:val="center"/>
          </w:tcPr>
          <w:p w:rsidR="00944338" w:rsidRDefault="008D1337">
            <w:pPr>
              <w:jc w:val="center"/>
              <w:rPr>
                <w:sz w:val="16"/>
                <w:szCs w:val="15"/>
                <w:lang w:val="en-GB" w:eastAsia="zh-CN"/>
              </w:rPr>
            </w:pPr>
            <w:r>
              <w:rPr>
                <w:sz w:val="16"/>
                <w:szCs w:val="15"/>
                <w:lang w:val="en-GB" w:eastAsia="zh-CN"/>
              </w:rPr>
              <w:t>5.42</w:t>
            </w:r>
          </w:p>
        </w:tc>
        <w:tc>
          <w:tcPr>
            <w:tcW w:w="785" w:type="dxa"/>
            <w:tcBorders>
              <w:tl2br w:val="nil"/>
              <w:tr2bl w:val="nil"/>
            </w:tcBorders>
            <w:vAlign w:val="center"/>
          </w:tcPr>
          <w:p w:rsidR="00944338" w:rsidRDefault="008D1337">
            <w:pPr>
              <w:jc w:val="center"/>
              <w:rPr>
                <w:sz w:val="16"/>
                <w:szCs w:val="15"/>
                <w:lang w:val="en-GB" w:eastAsia="zh-CN"/>
              </w:rPr>
            </w:pPr>
            <w:r>
              <w:rPr>
                <w:sz w:val="16"/>
                <w:szCs w:val="15"/>
                <w:lang w:val="en-GB" w:eastAsia="zh-CN"/>
              </w:rPr>
              <w:t>6.02</w:t>
            </w:r>
          </w:p>
        </w:tc>
      </w:tr>
    </w:tbl>
    <w:p w:rsidR="00944338" w:rsidRDefault="008D1337">
      <w:pPr>
        <w:pStyle w:val="Heading1"/>
        <w:numPr>
          <w:ilvl w:val="0"/>
          <w:numId w:val="7"/>
        </w:numPr>
        <w:spacing w:before="120"/>
        <w:ind w:left="0" w:right="289" w:firstLine="0"/>
        <w:rPr>
          <w:szCs w:val="20"/>
          <w:lang w:val="en-GB" w:eastAsia="zh-CN"/>
        </w:rPr>
      </w:pPr>
      <w:r>
        <w:rPr>
          <w:lang w:val="en-GB" w:eastAsia="zh-CN"/>
        </w:rPr>
        <w:t>Numerical analysis</w:t>
      </w:r>
    </w:p>
    <w:p w:rsidR="00944338" w:rsidRDefault="008D1337">
      <w:pPr>
        <w:pStyle w:val="Heading1"/>
        <w:numPr>
          <w:ilvl w:val="0"/>
          <w:numId w:val="0"/>
        </w:numPr>
        <w:spacing w:before="120"/>
        <w:ind w:right="289"/>
        <w:rPr>
          <w:szCs w:val="20"/>
          <w:lang w:val="en-GB" w:eastAsia="zh-CN"/>
        </w:rPr>
      </w:pPr>
      <w:r>
        <w:rPr>
          <w:rFonts w:eastAsia="SimHei"/>
          <w:bCs/>
          <w:iCs/>
          <w:szCs w:val="20"/>
          <w:lang w:val="en-GB" w:eastAsia="zh-CN"/>
        </w:rPr>
        <w:t>4.1</w:t>
      </w:r>
      <w:r>
        <w:rPr>
          <w:rFonts w:eastAsia="SimHei"/>
          <w:bCs/>
          <w:szCs w:val="20"/>
          <w:lang w:val="en-GB" w:eastAsia="zh-CN"/>
        </w:rPr>
        <w:t xml:space="preserve"> Description of finite element model</w:t>
      </w:r>
    </w:p>
    <w:p w:rsidR="00944338" w:rsidRDefault="008D1337">
      <w:pPr>
        <w:ind w:firstLineChars="100" w:firstLine="200"/>
        <w:rPr>
          <w:szCs w:val="20"/>
          <w:lang w:eastAsia="zh-CN"/>
        </w:rPr>
      </w:pPr>
      <w:r>
        <w:rPr>
          <w:rFonts w:hint="eastAsia"/>
          <w:szCs w:val="20"/>
          <w:lang w:eastAsia="zh-CN"/>
        </w:rPr>
        <w:t xml:space="preserve">According to the research of Fukuoka, </w:t>
      </w:r>
      <w:r>
        <w:rPr>
          <w:rFonts w:hint="eastAsia"/>
          <w:i/>
          <w:iCs/>
          <w:szCs w:val="20"/>
          <w:lang w:eastAsia="zh-CN"/>
        </w:rPr>
        <w:t>et al</w:t>
      </w:r>
      <w:r>
        <w:rPr>
          <w:rFonts w:hint="eastAsia"/>
          <w:szCs w:val="20"/>
          <w:vertAlign w:val="superscript"/>
          <w:lang w:eastAsia="zh-CN"/>
        </w:rPr>
        <w:t>14</w:t>
      </w:r>
      <w:r>
        <w:rPr>
          <w:rFonts w:hint="eastAsia"/>
          <w:szCs w:val="20"/>
          <w:lang w:eastAsia="zh-CN"/>
        </w:rPr>
        <w:t xml:space="preserve">, the external thread cross section profile can be mathematically expressed in form of polar coordinate. In order to build an accurate </w:t>
      </w:r>
      <w:r>
        <w:rPr>
          <w:rFonts w:hint="eastAsia"/>
          <w:szCs w:val="20"/>
          <w:lang w:eastAsia="zh-CN"/>
        </w:rPr>
        <w:lastRenderedPageBreak/>
        <w:t>mesh of the threaded part, a Matlab program was compiled according to the mathematical expressions.</w:t>
      </w:r>
    </w:p>
    <w:p w:rsidR="00944338" w:rsidRDefault="008D1337">
      <w:pPr>
        <w:ind w:firstLineChars="100" w:firstLine="200"/>
        <w:rPr>
          <w:szCs w:val="20"/>
          <w:lang w:val="en-GB" w:eastAsia="zh-CN"/>
        </w:rPr>
      </w:pPr>
      <w:r>
        <w:rPr>
          <w:szCs w:val="20"/>
          <w:lang w:val="en-GB" w:eastAsia="zh-CN"/>
        </w:rPr>
        <w:t>Fig. 4 shows the finite element model of the single bolted joint subjected to torsional loading.</w:t>
      </w:r>
      <w:r>
        <w:rPr>
          <w:rFonts w:hint="eastAsia"/>
          <w:szCs w:val="20"/>
          <w:lang w:eastAsia="zh-CN"/>
        </w:rPr>
        <w:t xml:space="preserve"> </w:t>
      </w:r>
      <w:r>
        <w:rPr>
          <w:szCs w:val="20"/>
          <w:lang w:val="en-GB" w:eastAsia="zh-CN"/>
        </w:rPr>
        <w:t xml:space="preserve">The nominal diameter </w:t>
      </w:r>
      <w:r>
        <w:rPr>
          <w:i/>
          <w:iCs/>
          <w:szCs w:val="20"/>
          <w:lang w:val="en-GB" w:eastAsia="zh-CN"/>
        </w:rPr>
        <w:t>d</w:t>
      </w:r>
      <w:r>
        <w:rPr>
          <w:szCs w:val="20"/>
          <w:lang w:val="en-GB" w:eastAsia="zh-CN"/>
        </w:rPr>
        <w:t xml:space="preserve"> of the bolt is 12 mm, and the thread pitch </w:t>
      </w:r>
      <w:r>
        <w:rPr>
          <w:i/>
          <w:iCs/>
          <w:szCs w:val="20"/>
          <w:lang w:val="en-GB" w:eastAsia="zh-CN"/>
        </w:rPr>
        <w:t>P</w:t>
      </w:r>
      <w:r>
        <w:rPr>
          <w:szCs w:val="20"/>
          <w:lang w:val="en-GB" w:eastAsia="zh-CN"/>
        </w:rPr>
        <w:t xml:space="preserve"> is 1.75 mm. In this finite element model, the engaged length between the bolt and the nut is in 6 pitches, the same as in the self-loosening experiment. Moreover, the other part of the bolt rod is not modeled with thread for the purpose of reducing modelling complicity and computational workload. When the preload and the external load are applied to the bolted joint model, the engaged threads and the material region near to them easily run into </w:t>
      </w:r>
      <w:bookmarkStart w:id="3" w:name="OLE_LINK3"/>
      <w:r>
        <w:rPr>
          <w:szCs w:val="20"/>
          <w:lang w:val="en-GB" w:eastAsia="zh-CN"/>
        </w:rPr>
        <w:fldChar w:fldCharType="begin"/>
      </w:r>
      <w:r>
        <w:rPr>
          <w:szCs w:val="20"/>
          <w:lang w:val="en-GB" w:eastAsia="zh-CN"/>
        </w:rPr>
        <w:instrText xml:space="preserve"> HYPERLINK "D:/Program%20Files%20(x86)/Dict/6.3.69.8341/resultui/frame/javascript:void(0);" </w:instrText>
      </w:r>
      <w:r>
        <w:rPr>
          <w:szCs w:val="20"/>
          <w:lang w:val="en-GB" w:eastAsia="zh-CN"/>
        </w:rPr>
        <w:fldChar w:fldCharType="separate"/>
      </w:r>
      <w:r>
        <w:rPr>
          <w:szCs w:val="20"/>
          <w:lang w:val="en-GB" w:eastAsia="zh-CN"/>
        </w:rPr>
        <w:t>plastic</w:t>
      </w:r>
      <w:r>
        <w:rPr>
          <w:szCs w:val="20"/>
          <w:lang w:val="en-GB" w:eastAsia="zh-CN"/>
        </w:rPr>
        <w:fldChar w:fldCharType="end"/>
      </w:r>
      <w:bookmarkEnd w:id="3"/>
      <w:r>
        <w:rPr>
          <w:szCs w:val="20"/>
          <w:lang w:val="en-GB" w:eastAsia="zh-CN"/>
        </w:rPr>
        <w:t xml:space="preserve"> </w:t>
      </w:r>
      <w:hyperlink r:id="rId13" w:history="1">
        <w:r>
          <w:rPr>
            <w:szCs w:val="20"/>
            <w:lang w:val="en-GB" w:eastAsia="zh-CN"/>
          </w:rPr>
          <w:t>deformation</w:t>
        </w:r>
      </w:hyperlink>
      <w:r>
        <w:rPr>
          <w:szCs w:val="20"/>
          <w:lang w:val="en-GB" w:eastAsia="zh-CN"/>
        </w:rPr>
        <w:t xml:space="preserve"> phase. Thus, it is necessary to define </w:t>
      </w:r>
      <w:hyperlink r:id="rId14" w:history="1">
        <w:r>
          <w:rPr>
            <w:szCs w:val="20"/>
            <w:lang w:val="en-GB" w:eastAsia="zh-CN"/>
          </w:rPr>
          <w:t>elastic-plastic</w:t>
        </w:r>
      </w:hyperlink>
      <w:r>
        <w:rPr>
          <w:szCs w:val="20"/>
          <w:lang w:val="en-GB" w:eastAsia="zh-CN"/>
        </w:rPr>
        <w:t xml:space="preserve"> deformation of the material properties for the bolt and the nut. In terms of the copper piece acting as washer, the Young’s modulus </w:t>
      </w:r>
      <w:r>
        <w:rPr>
          <w:i/>
          <w:szCs w:val="20"/>
          <w:lang w:val="en-GB" w:eastAsia="zh-CN"/>
        </w:rPr>
        <w:t>E</w:t>
      </w:r>
      <w:r>
        <w:rPr>
          <w:szCs w:val="20"/>
          <w:lang w:val="en-GB" w:eastAsia="zh-CN"/>
        </w:rPr>
        <w:t xml:space="preserve"> used is 110 GPa. For the material of the other parts</w:t>
      </w:r>
      <w:r>
        <w:rPr>
          <w:rFonts w:hint="eastAsia"/>
          <w:szCs w:val="20"/>
          <w:vertAlign w:val="superscript"/>
          <w:lang w:eastAsia="zh-CN"/>
        </w:rPr>
        <w:t>9</w:t>
      </w:r>
      <w:r>
        <w:rPr>
          <w:szCs w:val="20"/>
          <w:lang w:val="en-GB" w:eastAsia="zh-CN"/>
        </w:rPr>
        <w:t xml:space="preserve">, </w:t>
      </w:r>
      <w:r>
        <w:rPr>
          <w:i/>
          <w:szCs w:val="20"/>
          <w:lang w:val="en-GB" w:eastAsia="zh-CN"/>
        </w:rPr>
        <w:t>E</w:t>
      </w:r>
      <w:r>
        <w:rPr>
          <w:szCs w:val="20"/>
          <w:lang w:val="en-GB" w:eastAsia="zh-CN"/>
        </w:rPr>
        <w:t xml:space="preserve"> is taken to be 200 GPa</w:t>
      </w:r>
      <w:r>
        <w:rPr>
          <w:rFonts w:hint="eastAsia"/>
          <w:szCs w:val="20"/>
          <w:lang w:eastAsia="zh-CN"/>
        </w:rPr>
        <w:t xml:space="preserve"> and</w:t>
      </w:r>
      <w:r>
        <w:rPr>
          <w:szCs w:val="20"/>
          <w:lang w:val="en-GB" w:eastAsia="zh-CN"/>
        </w:rPr>
        <w:t xml:space="preserve"> Poisson’s ratios of all materials are taken to be 0.3.</w:t>
      </w:r>
    </w:p>
    <w:p w:rsidR="00944338" w:rsidRDefault="008D1337">
      <w:pPr>
        <w:ind w:firstLineChars="100" w:firstLine="200"/>
        <w:rPr>
          <w:szCs w:val="20"/>
          <w:lang w:eastAsia="zh-CN"/>
        </w:rPr>
      </w:pPr>
      <w:r>
        <w:rPr>
          <w:rFonts w:hint="eastAsia"/>
          <w:szCs w:val="20"/>
          <w:lang w:eastAsia="zh-CN"/>
        </w:rPr>
        <w:t xml:space="preserve">The lower fixture is fixed, and </w:t>
      </w:r>
      <w:r w:rsidR="00584ED0">
        <w:rPr>
          <w:szCs w:val="20"/>
          <w:lang w:eastAsia="zh-CN"/>
        </w:rPr>
        <w:t xml:space="preserve">the </w:t>
      </w:r>
      <w:r>
        <w:rPr>
          <w:rFonts w:hint="eastAsia"/>
          <w:szCs w:val="20"/>
          <w:lang w:eastAsia="zh-CN"/>
        </w:rPr>
        <w:t xml:space="preserve">upper fixture is just allowed </w:t>
      </w:r>
      <w:r w:rsidR="00584ED0">
        <w:rPr>
          <w:szCs w:val="20"/>
          <w:lang w:eastAsia="zh-CN"/>
        </w:rPr>
        <w:t xml:space="preserve">to </w:t>
      </w:r>
      <w:r w:rsidR="00584ED0" w:rsidRPr="00584ED0">
        <w:rPr>
          <w:szCs w:val="20"/>
          <w:lang w:eastAsia="zh-CN"/>
        </w:rPr>
        <w:t>twist</w:t>
      </w:r>
      <w:r>
        <w:rPr>
          <w:rFonts w:hint="eastAsia"/>
          <w:szCs w:val="20"/>
          <w:lang w:eastAsia="zh-CN"/>
        </w:rPr>
        <w:t xml:space="preserve"> around </w:t>
      </w:r>
      <w:r w:rsidR="00584ED0">
        <w:rPr>
          <w:szCs w:val="20"/>
          <w:lang w:eastAsia="zh-CN"/>
        </w:rPr>
        <w:t xml:space="preserve">the </w:t>
      </w:r>
      <w:r>
        <w:rPr>
          <w:rFonts w:hint="eastAsia"/>
          <w:szCs w:val="20"/>
          <w:lang w:eastAsia="zh-CN"/>
        </w:rPr>
        <w:t>bolt axi</w:t>
      </w:r>
      <w:r w:rsidR="00584ED0">
        <w:rPr>
          <w:szCs w:val="20"/>
          <w:lang w:eastAsia="zh-CN"/>
        </w:rPr>
        <w:t>s</w:t>
      </w:r>
      <w:r>
        <w:rPr>
          <w:rFonts w:hint="eastAsia"/>
          <w:szCs w:val="20"/>
          <w:lang w:eastAsia="zh-CN"/>
        </w:rPr>
        <w:t xml:space="preserve">. The clamping holder is tied to </w:t>
      </w:r>
      <w:r w:rsidR="00584ED0">
        <w:rPr>
          <w:szCs w:val="20"/>
          <w:lang w:eastAsia="zh-CN"/>
        </w:rPr>
        <w:t xml:space="preserve">the </w:t>
      </w:r>
      <w:r>
        <w:rPr>
          <w:rFonts w:hint="eastAsia"/>
          <w:szCs w:val="20"/>
          <w:lang w:eastAsia="zh-CN"/>
        </w:rPr>
        <w:t>lower fixture</w:t>
      </w:r>
      <w:r w:rsidR="00584ED0">
        <w:rPr>
          <w:szCs w:val="20"/>
          <w:lang w:eastAsia="zh-CN"/>
        </w:rPr>
        <w:t xml:space="preserve">. The </w:t>
      </w:r>
      <w:r>
        <w:rPr>
          <w:rFonts w:hint="eastAsia"/>
          <w:szCs w:val="20"/>
          <w:lang w:eastAsia="zh-CN"/>
        </w:rPr>
        <w:t xml:space="preserve">other contact surfaces are defined </w:t>
      </w:r>
      <w:r w:rsidR="00584ED0">
        <w:rPr>
          <w:szCs w:val="20"/>
          <w:lang w:eastAsia="zh-CN"/>
        </w:rPr>
        <w:t xml:space="preserve">as </w:t>
      </w:r>
      <w:r>
        <w:rPr>
          <w:rFonts w:hint="eastAsia"/>
          <w:szCs w:val="20"/>
          <w:lang w:eastAsia="zh-CN"/>
        </w:rPr>
        <w:t xml:space="preserve">frictional contact. </w:t>
      </w:r>
      <w:r w:rsidR="00584ED0">
        <w:rPr>
          <w:szCs w:val="20"/>
          <w:lang w:eastAsia="zh-CN"/>
        </w:rPr>
        <w:t>P</w:t>
      </w:r>
      <w:r w:rsidR="00584ED0" w:rsidRPr="00584ED0">
        <w:rPr>
          <w:szCs w:val="20"/>
          <w:lang w:eastAsia="zh-CN"/>
        </w:rPr>
        <w:t>reload</w:t>
      </w:r>
      <w:r w:rsidR="00584ED0">
        <w:rPr>
          <w:szCs w:val="20"/>
          <w:lang w:eastAsia="zh-CN"/>
        </w:rPr>
        <w:t>s</w:t>
      </w:r>
      <w:r w:rsidR="00584ED0" w:rsidRPr="00584ED0">
        <w:rPr>
          <w:szCs w:val="20"/>
          <w:lang w:eastAsia="zh-CN"/>
        </w:rPr>
        <w:t xml:space="preserve"> corresponding to experimental condition</w:t>
      </w:r>
      <w:r w:rsidR="00584ED0">
        <w:rPr>
          <w:szCs w:val="20"/>
          <w:lang w:eastAsia="zh-CN"/>
        </w:rPr>
        <w:t>s</w:t>
      </w:r>
      <w:r w:rsidR="00584ED0" w:rsidRPr="00584ED0">
        <w:rPr>
          <w:szCs w:val="20"/>
          <w:lang w:eastAsia="zh-CN"/>
        </w:rPr>
        <w:t xml:space="preserve"> is applied </w:t>
      </w:r>
      <w:r w:rsidR="00584ED0">
        <w:rPr>
          <w:szCs w:val="20"/>
          <w:lang w:eastAsia="zh-CN"/>
        </w:rPr>
        <w:t>to t</w:t>
      </w:r>
      <w:r w:rsidR="00584ED0" w:rsidRPr="00584ED0">
        <w:rPr>
          <w:szCs w:val="20"/>
          <w:lang w:eastAsia="zh-CN"/>
        </w:rPr>
        <w:t xml:space="preserve">he bolt. A torsional excitation is applied to the holding position of </w:t>
      </w:r>
      <w:r w:rsidR="00584ED0">
        <w:rPr>
          <w:szCs w:val="20"/>
          <w:lang w:eastAsia="zh-CN"/>
        </w:rPr>
        <w:t xml:space="preserve">the </w:t>
      </w:r>
      <w:r w:rsidR="00584ED0" w:rsidRPr="00584ED0">
        <w:rPr>
          <w:szCs w:val="20"/>
          <w:lang w:eastAsia="zh-CN"/>
        </w:rPr>
        <w:t>upper fixture.</w:t>
      </w:r>
    </w:p>
    <w:p w:rsidR="00944338" w:rsidRDefault="008D1337">
      <w:pPr>
        <w:spacing w:line="240" w:lineRule="auto"/>
        <w:jc w:val="center"/>
        <w:rPr>
          <w:szCs w:val="20"/>
          <w:lang w:eastAsia="zh-CN"/>
        </w:rPr>
      </w:pPr>
      <w:r>
        <w:rPr>
          <w:noProof/>
          <w:szCs w:val="20"/>
          <w:lang w:val="en-GB" w:eastAsia="zh-CN"/>
        </w:rPr>
        <w:drawing>
          <wp:inline distT="0" distB="0" distL="114300" distR="114300">
            <wp:extent cx="514985" cy="1619885"/>
            <wp:effectExtent l="0" t="0" r="3175" b="10795"/>
            <wp:docPr id="13" name="图片 13" descr="FEM1 - 副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EM1 - 副本 (2)"/>
                    <pic:cNvPicPr>
                      <a:picLocks noChangeAspect="1"/>
                    </pic:cNvPicPr>
                  </pic:nvPicPr>
                  <pic:blipFill>
                    <a:blip r:embed="rId15"/>
                    <a:stretch>
                      <a:fillRect/>
                    </a:stretch>
                  </pic:blipFill>
                  <pic:spPr>
                    <a:xfrm>
                      <a:off x="0" y="0"/>
                      <a:ext cx="514985" cy="1619885"/>
                    </a:xfrm>
                    <a:prstGeom prst="rect">
                      <a:avLst/>
                    </a:prstGeom>
                  </pic:spPr>
                </pic:pic>
              </a:graphicData>
            </a:graphic>
          </wp:inline>
        </w:drawing>
      </w:r>
      <w:r>
        <w:rPr>
          <w:rFonts w:hint="eastAsia"/>
          <w:szCs w:val="20"/>
          <w:lang w:eastAsia="zh-CN"/>
        </w:rPr>
        <w:t xml:space="preserve">     </w:t>
      </w:r>
      <w:r>
        <w:rPr>
          <w:noProof/>
          <w:szCs w:val="20"/>
          <w:lang w:val="en-GB" w:eastAsia="zh-CN"/>
        </w:rPr>
        <w:drawing>
          <wp:inline distT="0" distB="0" distL="114300" distR="114300">
            <wp:extent cx="1873885" cy="1619885"/>
            <wp:effectExtent l="0" t="0" r="635" b="10795"/>
            <wp:docPr id="14" name="图片 14" descr="FEM2 - 副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EM2 - 副本 (2)"/>
                    <pic:cNvPicPr>
                      <a:picLocks noChangeAspect="1"/>
                    </pic:cNvPicPr>
                  </pic:nvPicPr>
                  <pic:blipFill>
                    <a:blip r:embed="rId16"/>
                    <a:stretch>
                      <a:fillRect/>
                    </a:stretch>
                  </pic:blipFill>
                  <pic:spPr>
                    <a:xfrm>
                      <a:off x="0" y="0"/>
                      <a:ext cx="1873885" cy="1619885"/>
                    </a:xfrm>
                    <a:prstGeom prst="rect">
                      <a:avLst/>
                    </a:prstGeom>
                  </pic:spPr>
                </pic:pic>
              </a:graphicData>
            </a:graphic>
          </wp:inline>
        </w:drawing>
      </w:r>
    </w:p>
    <w:p w:rsidR="00944338" w:rsidRDefault="008D1337">
      <w:pPr>
        <w:snapToGrid w:val="0"/>
        <w:spacing w:line="200" w:lineRule="exact"/>
        <w:jc w:val="center"/>
        <w:rPr>
          <w:sz w:val="16"/>
          <w:szCs w:val="16"/>
          <w:lang w:val="en-GB" w:eastAsia="zh-CN"/>
        </w:rPr>
      </w:pPr>
      <w:r>
        <w:rPr>
          <w:sz w:val="16"/>
          <w:szCs w:val="16"/>
          <w:lang w:val="en-GB" w:eastAsia="zh-CN"/>
        </w:rPr>
        <w:t>Fig.4 Finite element model and local view of fine meshed threads of bolt and nut</w:t>
      </w:r>
    </w:p>
    <w:p w:rsidR="00944338" w:rsidRDefault="008D1337">
      <w:pPr>
        <w:numPr>
          <w:ilvl w:val="0"/>
          <w:numId w:val="9"/>
        </w:numPr>
        <w:snapToGrid w:val="0"/>
        <w:spacing w:line="200" w:lineRule="exact"/>
        <w:jc w:val="center"/>
        <w:rPr>
          <w:sz w:val="16"/>
          <w:szCs w:val="16"/>
          <w:lang w:val="en-GB" w:eastAsia="zh-CN"/>
        </w:rPr>
      </w:pPr>
      <w:r>
        <w:rPr>
          <w:sz w:val="16"/>
          <w:szCs w:val="16"/>
          <w:lang w:val="en-GB" w:eastAsia="zh-CN"/>
        </w:rPr>
        <w:t>The whole finite element model; (b) The engaged part of internal/external threads</w:t>
      </w:r>
    </w:p>
    <w:p w:rsidR="00944338" w:rsidRDefault="008D1337">
      <w:pPr>
        <w:snapToGrid w:val="0"/>
        <w:spacing w:before="120" w:after="120"/>
        <w:outlineLvl w:val="1"/>
        <w:rPr>
          <w:lang w:val="en-GB" w:eastAsia="zh-CN"/>
        </w:rPr>
      </w:pPr>
      <w:r>
        <w:rPr>
          <w:rFonts w:eastAsia="SimHei"/>
          <w:b/>
          <w:bCs/>
          <w:iCs/>
          <w:szCs w:val="20"/>
          <w:lang w:val="en-GB" w:eastAsia="zh-CN"/>
        </w:rPr>
        <w:t>4.2</w:t>
      </w:r>
      <w:r>
        <w:rPr>
          <w:rFonts w:eastAsia="SimHei"/>
          <w:b/>
          <w:bCs/>
          <w:i/>
          <w:szCs w:val="20"/>
          <w:lang w:val="en-GB" w:eastAsia="zh-CN"/>
        </w:rPr>
        <w:t xml:space="preserve"> Results of numerical analysis</w:t>
      </w:r>
    </w:p>
    <w:p w:rsidR="00944338" w:rsidRDefault="008D1337">
      <w:pPr>
        <w:ind w:firstLineChars="100" w:firstLine="200"/>
        <w:rPr>
          <w:szCs w:val="20"/>
          <w:lang w:val="en-GB" w:eastAsia="zh-CN"/>
        </w:rPr>
      </w:pPr>
      <w:r>
        <w:rPr>
          <w:szCs w:val="20"/>
          <w:lang w:val="en-GB" w:eastAsia="zh-CN"/>
        </w:rPr>
        <w:t>Fig. 5 shows the hysteresis loops of the experimental and numerical results at different amplitudes of angular excitation when the preload is 22.5 kN. It can be seen that the gradients of numerical loops match with the experimental results very well.</w:t>
      </w:r>
    </w:p>
    <w:p w:rsidR="00944338" w:rsidRDefault="008D1337">
      <w:pPr>
        <w:spacing w:line="240" w:lineRule="auto"/>
        <w:jc w:val="center"/>
        <w:rPr>
          <w:lang w:val="en-GB" w:eastAsia="zh-CN"/>
        </w:rPr>
      </w:pPr>
      <w:r>
        <w:rPr>
          <w:noProof/>
          <w:lang w:val="en-GB" w:eastAsia="zh-CN"/>
        </w:rPr>
        <w:drawing>
          <wp:inline distT="0" distB="0" distL="114300" distR="114300">
            <wp:extent cx="2100580" cy="1619885"/>
            <wp:effectExtent l="0" t="0" r="2540" b="10795"/>
            <wp:docPr id="28" name="图片 28" descr="1000th cycle-0.5D-1D-2D-22.5kN-20180623-F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000th cycle-0.5D-1D-2D-22.5kN-20180623-FEM2"/>
                    <pic:cNvPicPr>
                      <a:picLocks noChangeAspect="1"/>
                    </pic:cNvPicPr>
                  </pic:nvPicPr>
                  <pic:blipFill>
                    <a:blip r:embed="rId17"/>
                    <a:stretch>
                      <a:fillRect/>
                    </a:stretch>
                  </pic:blipFill>
                  <pic:spPr>
                    <a:xfrm>
                      <a:off x="0" y="0"/>
                      <a:ext cx="2100580" cy="1619885"/>
                    </a:xfrm>
                    <a:prstGeom prst="rect">
                      <a:avLst/>
                    </a:prstGeom>
                  </pic:spPr>
                </pic:pic>
              </a:graphicData>
            </a:graphic>
          </wp:inline>
        </w:drawing>
      </w:r>
    </w:p>
    <w:p w:rsidR="00944338" w:rsidRDefault="008D1337">
      <w:pPr>
        <w:snapToGrid w:val="0"/>
        <w:spacing w:line="200" w:lineRule="exact"/>
        <w:jc w:val="center"/>
        <w:rPr>
          <w:sz w:val="16"/>
          <w:szCs w:val="16"/>
          <w:lang w:val="en-GB" w:eastAsia="zh-CN"/>
        </w:rPr>
      </w:pPr>
      <w:r>
        <w:rPr>
          <w:sz w:val="16"/>
          <w:szCs w:val="16"/>
          <w:lang w:val="en-GB" w:eastAsia="zh-CN"/>
        </w:rPr>
        <w:t>Fig.5 Hysteresis curves of experimental and numerical results (</w:t>
      </w:r>
      <w:r>
        <w:rPr>
          <w:i/>
          <w:iCs/>
          <w:sz w:val="16"/>
          <w:szCs w:val="16"/>
          <w:lang w:val="en-GB" w:eastAsia="zh-CN"/>
        </w:rPr>
        <w:t>P</w:t>
      </w:r>
      <w:r>
        <w:rPr>
          <w:sz w:val="16"/>
          <w:szCs w:val="16"/>
          <w:vertAlign w:val="subscript"/>
          <w:lang w:val="en-GB" w:eastAsia="zh-CN"/>
        </w:rPr>
        <w:t>0</w:t>
      </w:r>
      <w:r>
        <w:rPr>
          <w:sz w:val="16"/>
          <w:szCs w:val="16"/>
          <w:lang w:val="en-GB" w:eastAsia="zh-CN"/>
        </w:rPr>
        <w:t>=22.5kN)</w:t>
      </w:r>
    </w:p>
    <w:p w:rsidR="00944338" w:rsidRDefault="008D1337">
      <w:pPr>
        <w:pStyle w:val="Heading1"/>
        <w:numPr>
          <w:ilvl w:val="0"/>
          <w:numId w:val="7"/>
        </w:numPr>
        <w:ind w:left="0" w:firstLine="0"/>
        <w:rPr>
          <w:sz w:val="21"/>
          <w:szCs w:val="20"/>
          <w:lang w:val="en-GB" w:eastAsia="zh-CN"/>
        </w:rPr>
      </w:pPr>
      <w:r>
        <w:rPr>
          <w:sz w:val="21"/>
          <w:szCs w:val="20"/>
          <w:lang w:val="en-GB" w:eastAsia="zh-CN"/>
        </w:rPr>
        <w:lastRenderedPageBreak/>
        <w:t>Conclusions</w:t>
      </w:r>
    </w:p>
    <w:p w:rsidR="00944338" w:rsidRDefault="008D1337">
      <w:pPr>
        <w:ind w:firstLineChars="100" w:firstLine="200"/>
        <w:rPr>
          <w:szCs w:val="20"/>
          <w:lang w:val="en-GB" w:eastAsia="zh-CN"/>
        </w:rPr>
      </w:pPr>
      <w:r>
        <w:rPr>
          <w:szCs w:val="20"/>
          <w:lang w:val="en-GB" w:eastAsia="zh-CN"/>
        </w:rPr>
        <w:t>In this paper, the loosening process and the dynamic response of bolted joints subjected to a harmonic angular excitation are investigated experimentally and numerically. The conclusions can be summarized as follows.</w:t>
      </w:r>
    </w:p>
    <w:p w:rsidR="00944338" w:rsidRDefault="008D1337">
      <w:pPr>
        <w:numPr>
          <w:ilvl w:val="0"/>
          <w:numId w:val="10"/>
        </w:numPr>
        <w:ind w:firstLineChars="100" w:firstLine="200"/>
        <w:rPr>
          <w:szCs w:val="20"/>
          <w:lang w:val="en-GB" w:eastAsia="zh-CN"/>
        </w:rPr>
      </w:pPr>
      <w:r>
        <w:rPr>
          <w:szCs w:val="20"/>
          <w:lang w:val="en-GB" w:eastAsia="zh-CN"/>
        </w:rPr>
        <w:t>The loosening process can be divided into 3 stages. The preload and the amplitude of angular excitation have a significant effect on the self-loosening process. Relative slip is not prone to occur between the contact surfaces because of the large contact stress under a high preload, and the bolted joint has a good anti-loosening performance. The larger amplitude of angular excitation will result in the more severe loosening.</w:t>
      </w:r>
    </w:p>
    <w:p w:rsidR="00944338" w:rsidRDefault="008D1337">
      <w:pPr>
        <w:numPr>
          <w:ilvl w:val="0"/>
          <w:numId w:val="10"/>
        </w:numPr>
        <w:ind w:firstLineChars="100" w:firstLine="200"/>
        <w:rPr>
          <w:szCs w:val="20"/>
          <w:lang w:val="en-GB" w:eastAsia="zh-CN"/>
        </w:rPr>
      </w:pPr>
      <w:r>
        <w:rPr>
          <w:szCs w:val="20"/>
          <w:lang w:val="en-GB" w:eastAsia="zh-CN"/>
        </w:rPr>
        <w:t xml:space="preserve">The hysteresis loops of the bolted joint transforms with the increasing number of loading cycles under a larger amplitude of angular excitation. </w:t>
      </w:r>
      <w:r>
        <w:rPr>
          <w:rFonts w:hint="eastAsia"/>
          <w:szCs w:val="20"/>
          <w:lang w:eastAsia="zh-CN"/>
        </w:rPr>
        <w:t>During the first 400 cycles</w:t>
      </w:r>
      <w:r>
        <w:rPr>
          <w:szCs w:val="20"/>
          <w:lang w:val="en-GB" w:eastAsia="zh-CN"/>
        </w:rPr>
        <w:t xml:space="preserve">, the engaged threads experience gross slip, and the hysteresis curve shows a parallel hexagon shape. </w:t>
      </w:r>
      <w:r>
        <w:rPr>
          <w:rFonts w:hint="eastAsia"/>
          <w:szCs w:val="20"/>
          <w:lang w:eastAsia="zh-CN"/>
        </w:rPr>
        <w:t>After 400 cycles</w:t>
      </w:r>
      <w:r>
        <w:rPr>
          <w:szCs w:val="20"/>
          <w:lang w:val="en-GB" w:eastAsia="zh-CN"/>
        </w:rPr>
        <w:t xml:space="preserve">, the coefficient of friction gets large because of fretting wear between the contact threads, and </w:t>
      </w:r>
      <w:r>
        <w:rPr>
          <w:sz w:val="21"/>
          <w:szCs w:val="20"/>
          <w:lang w:val="en-GB" w:eastAsia="zh-CN"/>
        </w:rPr>
        <w:t>the shape of</w:t>
      </w:r>
      <w:r>
        <w:rPr>
          <w:szCs w:val="20"/>
          <w:lang w:val="en-GB" w:eastAsia="zh-CN"/>
        </w:rPr>
        <w:t xml:space="preserve"> hysteresis curve transforms into a parallelogram shape. </w:t>
      </w:r>
    </w:p>
    <w:p w:rsidR="00944338" w:rsidRDefault="008D1337">
      <w:pPr>
        <w:numPr>
          <w:ilvl w:val="0"/>
          <w:numId w:val="10"/>
        </w:numPr>
        <w:ind w:firstLineChars="100" w:firstLine="200"/>
        <w:rPr>
          <w:szCs w:val="20"/>
          <w:lang w:val="en-GB" w:eastAsia="zh-CN"/>
        </w:rPr>
      </w:pPr>
      <w:r>
        <w:rPr>
          <w:szCs w:val="20"/>
          <w:lang w:val="en-GB" w:eastAsia="zh-CN"/>
        </w:rPr>
        <w:t>The hysteresis loops obtained by numerical analysis have good agreement with those measured in the experiments.</w:t>
      </w:r>
    </w:p>
    <w:p w:rsidR="00944338" w:rsidRDefault="008D1337">
      <w:pPr>
        <w:pStyle w:val="Heading1"/>
        <w:numPr>
          <w:ilvl w:val="0"/>
          <w:numId w:val="0"/>
        </w:numPr>
        <w:rPr>
          <w:sz w:val="21"/>
          <w:szCs w:val="20"/>
          <w:lang w:val="en-GB" w:eastAsia="zh-CN"/>
        </w:rPr>
      </w:pPr>
      <w:r>
        <w:rPr>
          <w:sz w:val="21"/>
          <w:szCs w:val="20"/>
          <w:lang w:val="en-GB" w:eastAsia="zh-CN"/>
        </w:rPr>
        <w:t>Acknowledgements</w:t>
      </w:r>
    </w:p>
    <w:p w:rsidR="00944338" w:rsidRDefault="008D1337">
      <w:pPr>
        <w:snapToGrid w:val="0"/>
        <w:ind w:firstLineChars="100" w:firstLine="200"/>
        <w:rPr>
          <w:lang w:val="en-GB" w:eastAsia="zh-CN"/>
        </w:rPr>
      </w:pPr>
      <w:r>
        <w:rPr>
          <w:szCs w:val="20"/>
          <w:lang w:val="en-GB"/>
        </w:rPr>
        <w:t>The authors gratefully acknowledge the support of the National Natural Science Foundation of China (No. U1534209, 51705434) and the Open Fund of State</w:t>
      </w:r>
      <w:r>
        <w:rPr>
          <w:szCs w:val="20"/>
          <w:lang w:val="en-GB" w:eastAsia="zh-CN"/>
        </w:rPr>
        <w:t xml:space="preserve"> </w:t>
      </w:r>
      <w:r>
        <w:rPr>
          <w:szCs w:val="20"/>
          <w:lang w:val="en-GB"/>
        </w:rPr>
        <w:t>Key Laboratory of Traction Power, Southwest Jiaotong University (No. 2016TPL-Z03).</w:t>
      </w:r>
    </w:p>
    <w:p w:rsidR="00944338" w:rsidRDefault="008D1337">
      <w:pPr>
        <w:pStyle w:val="Heading1"/>
        <w:numPr>
          <w:ilvl w:val="0"/>
          <w:numId w:val="0"/>
        </w:numPr>
        <w:rPr>
          <w:lang w:eastAsia="zh-CN"/>
        </w:rPr>
      </w:pPr>
      <w:r>
        <w:rPr>
          <w:sz w:val="21"/>
          <w:szCs w:val="20"/>
          <w:lang w:val="en-GB" w:eastAsia="zh-CN"/>
        </w:rPr>
        <w:t>References</w:t>
      </w:r>
    </w:p>
    <w:p w:rsidR="00944338" w:rsidRDefault="008D1337">
      <w:pPr>
        <w:pStyle w:val="Reference"/>
        <w:rPr>
          <w:lang w:eastAsia="zh-CN"/>
        </w:rPr>
      </w:pPr>
      <w:r>
        <w:rPr>
          <w:rFonts w:hint="eastAsia"/>
          <w:lang w:eastAsia="zh-CN"/>
        </w:rPr>
        <w:t xml:space="preserve">A. </w:t>
      </w:r>
      <w:r>
        <w:rPr>
          <w:rFonts w:hint="eastAsia"/>
          <w:lang w:val="en-GB" w:eastAsia="zh-CN"/>
        </w:rPr>
        <w:t>Ibrahim</w:t>
      </w:r>
      <w:r>
        <w:rPr>
          <w:rFonts w:hint="eastAsia"/>
          <w:lang w:eastAsia="zh-CN"/>
        </w:rPr>
        <w:t xml:space="preserve"> and C. L. </w:t>
      </w:r>
      <w:r>
        <w:rPr>
          <w:rFonts w:hint="eastAsia"/>
          <w:i/>
          <w:iCs/>
          <w:lang w:eastAsia="zh-CN"/>
        </w:rPr>
        <w:t>J. Sound Vib</w:t>
      </w:r>
      <w:r>
        <w:rPr>
          <w:rFonts w:hint="eastAsia"/>
          <w:lang w:eastAsia="zh-CN"/>
        </w:rPr>
        <w:t xml:space="preserve">. </w:t>
      </w:r>
      <w:r>
        <w:rPr>
          <w:rFonts w:hint="eastAsia"/>
          <w:b/>
          <w:bCs/>
          <w:lang w:eastAsia="zh-CN"/>
        </w:rPr>
        <w:t>279</w:t>
      </w:r>
      <w:r>
        <w:rPr>
          <w:rFonts w:hint="eastAsia"/>
          <w:lang w:eastAsia="zh-CN"/>
        </w:rPr>
        <w:t>. 3 (2005).</w:t>
      </w:r>
    </w:p>
    <w:p w:rsidR="00944338" w:rsidRDefault="008D1337">
      <w:pPr>
        <w:pStyle w:val="Reference"/>
        <w:rPr>
          <w:lang w:eastAsia="zh-CN"/>
        </w:rPr>
      </w:pPr>
      <w:r>
        <w:rPr>
          <w:rFonts w:hint="eastAsia"/>
          <w:lang w:eastAsia="zh-CN"/>
        </w:rPr>
        <w:t xml:space="preserve">N. G. Pai and D. P. Hess, </w:t>
      </w:r>
      <w:r>
        <w:rPr>
          <w:rFonts w:hint="eastAsia"/>
          <w:i/>
          <w:iCs/>
          <w:lang w:eastAsia="zh-CN"/>
        </w:rPr>
        <w:t>J. Sound Vib</w:t>
      </w:r>
      <w:r>
        <w:rPr>
          <w:rFonts w:hint="eastAsia"/>
          <w:lang w:eastAsia="zh-CN"/>
        </w:rPr>
        <w:t>. 253. 3 (2002).</w:t>
      </w:r>
    </w:p>
    <w:p w:rsidR="00944338" w:rsidRDefault="008D1337">
      <w:pPr>
        <w:pStyle w:val="Reference"/>
        <w:rPr>
          <w:lang w:val="en-GB" w:eastAsia="zh-CN"/>
        </w:rPr>
      </w:pPr>
      <w:r>
        <w:rPr>
          <w:rFonts w:hint="eastAsia"/>
          <w:lang w:eastAsia="zh-CN"/>
        </w:rPr>
        <w:t xml:space="preserve">D. P. Hess, </w:t>
      </w:r>
      <w:r>
        <w:rPr>
          <w:rFonts w:hint="eastAsia"/>
          <w:i/>
          <w:iCs/>
          <w:lang w:eastAsia="zh-CN"/>
        </w:rPr>
        <w:t>et al</w:t>
      </w:r>
      <w:r>
        <w:rPr>
          <w:rFonts w:hint="eastAsia"/>
          <w:lang w:eastAsia="zh-CN"/>
        </w:rPr>
        <w:t xml:space="preserve">. J. </w:t>
      </w:r>
      <w:r>
        <w:rPr>
          <w:rFonts w:hint="eastAsia"/>
          <w:i/>
          <w:iCs/>
          <w:lang w:eastAsia="zh-CN"/>
        </w:rPr>
        <w:t>Fail. Anal. Prev</w:t>
      </w:r>
      <w:r>
        <w:rPr>
          <w:rFonts w:hint="eastAsia"/>
          <w:lang w:eastAsia="zh-CN"/>
        </w:rPr>
        <w:t xml:space="preserve">. </w:t>
      </w:r>
      <w:r>
        <w:rPr>
          <w:rFonts w:hint="eastAsia"/>
          <w:b/>
          <w:bCs/>
          <w:lang w:eastAsia="zh-CN"/>
        </w:rPr>
        <w:t>14</w:t>
      </w:r>
      <w:r>
        <w:rPr>
          <w:rFonts w:hint="eastAsia"/>
          <w:lang w:eastAsia="zh-CN"/>
        </w:rPr>
        <w:t>. 5 (2014).</w:t>
      </w:r>
    </w:p>
    <w:p w:rsidR="00944338" w:rsidRDefault="008D1337">
      <w:pPr>
        <w:pStyle w:val="Reference"/>
        <w:rPr>
          <w:lang w:val="en-GB" w:eastAsia="zh-CN"/>
        </w:rPr>
      </w:pPr>
      <w:r>
        <w:rPr>
          <w:lang w:val="en-GB"/>
        </w:rPr>
        <w:t xml:space="preserve">Y. Jiang, </w:t>
      </w:r>
      <w:r>
        <w:rPr>
          <w:i/>
          <w:lang w:val="en-GB"/>
        </w:rPr>
        <w:t>et al</w:t>
      </w:r>
      <w:r>
        <w:rPr>
          <w:lang w:val="en-GB"/>
        </w:rPr>
        <w:t xml:space="preserve">., </w:t>
      </w:r>
      <w:r>
        <w:rPr>
          <w:i/>
          <w:lang w:val="en-GB"/>
        </w:rPr>
        <w:t>ASME. J. Mech. Des</w:t>
      </w:r>
      <w:r>
        <w:rPr>
          <w:lang w:val="en-GB"/>
        </w:rPr>
        <w:t xml:space="preserve">. </w:t>
      </w:r>
      <w:r>
        <w:rPr>
          <w:b/>
          <w:lang w:val="en-GB"/>
        </w:rPr>
        <w:t>126</w:t>
      </w:r>
      <w:r>
        <w:rPr>
          <w:lang w:val="en-GB"/>
        </w:rPr>
        <w:t>. 5 (2004).</w:t>
      </w:r>
    </w:p>
    <w:p w:rsidR="00944338" w:rsidRDefault="008D1337">
      <w:pPr>
        <w:pStyle w:val="Reference"/>
        <w:rPr>
          <w:lang w:val="en-GB" w:eastAsia="zh-CN"/>
        </w:rPr>
      </w:pPr>
      <w:r>
        <w:rPr>
          <w:lang w:val="en-GB" w:eastAsia="zh-CN"/>
        </w:rPr>
        <w:t xml:space="preserve">S. A. Nassar and P. H. Matin, </w:t>
      </w:r>
      <w:r>
        <w:rPr>
          <w:i/>
          <w:lang w:val="en-GB" w:eastAsia="zh-CN"/>
        </w:rPr>
        <w:t>ASME. J. Press. Vess. Technol</w:t>
      </w:r>
      <w:r>
        <w:rPr>
          <w:lang w:val="en-GB" w:eastAsia="zh-CN"/>
        </w:rPr>
        <w:t xml:space="preserve">. </w:t>
      </w:r>
      <w:r>
        <w:rPr>
          <w:b/>
          <w:lang w:val="en-GB" w:eastAsia="zh-CN"/>
        </w:rPr>
        <w:t>128</w:t>
      </w:r>
      <w:r>
        <w:rPr>
          <w:lang w:val="en-GB" w:eastAsia="zh-CN"/>
        </w:rPr>
        <w:t xml:space="preserve"> (2006).</w:t>
      </w:r>
    </w:p>
    <w:p w:rsidR="00944338" w:rsidRDefault="008D1337">
      <w:pPr>
        <w:pStyle w:val="Reference"/>
        <w:rPr>
          <w:lang w:val="en-GB" w:eastAsia="zh-CN"/>
        </w:rPr>
      </w:pPr>
      <w:r>
        <w:rPr>
          <w:lang w:val="en-GB" w:eastAsia="zh-CN"/>
        </w:rPr>
        <w:t xml:space="preserve">S. A. Nassar and P. H. Matin, </w:t>
      </w:r>
      <w:r>
        <w:rPr>
          <w:i/>
          <w:lang w:val="en-GB" w:eastAsia="zh-CN"/>
        </w:rPr>
        <w:t xml:space="preserve">ASME. </w:t>
      </w:r>
      <w:r>
        <w:rPr>
          <w:i/>
          <w:lang w:val="en-GB"/>
        </w:rPr>
        <w:t>J. Mech. Des</w:t>
      </w:r>
      <w:r>
        <w:rPr>
          <w:lang w:val="en-GB" w:eastAsia="zh-CN"/>
        </w:rPr>
        <w:t xml:space="preserve">. </w:t>
      </w:r>
      <w:r>
        <w:rPr>
          <w:b/>
          <w:lang w:val="en-GB" w:eastAsia="zh-CN"/>
        </w:rPr>
        <w:t>12</w:t>
      </w:r>
      <w:r>
        <w:rPr>
          <w:rFonts w:hint="eastAsia"/>
          <w:b/>
          <w:lang w:eastAsia="zh-CN"/>
        </w:rPr>
        <w:t xml:space="preserve">9. </w:t>
      </w:r>
      <w:r>
        <w:rPr>
          <w:rFonts w:hint="eastAsia"/>
          <w:bCs/>
          <w:lang w:eastAsia="zh-CN"/>
        </w:rPr>
        <w:t>4</w:t>
      </w:r>
      <w:r>
        <w:rPr>
          <w:lang w:val="en-GB" w:eastAsia="zh-CN"/>
        </w:rPr>
        <w:t xml:space="preserve"> (200</w:t>
      </w:r>
      <w:r>
        <w:rPr>
          <w:rFonts w:hint="eastAsia"/>
          <w:lang w:eastAsia="zh-CN"/>
        </w:rPr>
        <w:t>7</w:t>
      </w:r>
      <w:r>
        <w:rPr>
          <w:lang w:val="en-GB" w:eastAsia="zh-CN"/>
        </w:rPr>
        <w:t>).</w:t>
      </w:r>
    </w:p>
    <w:p w:rsidR="00944338" w:rsidRDefault="008D1337">
      <w:pPr>
        <w:pStyle w:val="Reference"/>
        <w:rPr>
          <w:lang w:val="en-GB" w:eastAsia="zh-CN"/>
        </w:rPr>
      </w:pPr>
      <w:r>
        <w:rPr>
          <w:lang w:val="en-GB" w:eastAsia="zh-CN"/>
        </w:rPr>
        <w:t xml:space="preserve">X. Yang, </w:t>
      </w:r>
      <w:r>
        <w:rPr>
          <w:i/>
          <w:lang w:val="en-GB" w:eastAsia="zh-CN"/>
        </w:rPr>
        <w:t>et al</w:t>
      </w:r>
      <w:r>
        <w:rPr>
          <w:lang w:val="en-GB" w:eastAsia="zh-CN"/>
        </w:rPr>
        <w:t xml:space="preserve">., </w:t>
      </w:r>
      <w:r>
        <w:rPr>
          <w:i/>
          <w:lang w:val="en-GB" w:eastAsia="zh-CN"/>
        </w:rPr>
        <w:t>ASME. J. Press. Vess. Technol</w:t>
      </w:r>
      <w:r>
        <w:rPr>
          <w:lang w:val="en-GB" w:eastAsia="zh-CN"/>
        </w:rPr>
        <w:t xml:space="preserve">. </w:t>
      </w:r>
      <w:r>
        <w:rPr>
          <w:b/>
          <w:lang w:val="en-GB" w:eastAsia="zh-CN"/>
        </w:rPr>
        <w:t>134</w:t>
      </w:r>
      <w:r>
        <w:rPr>
          <w:lang w:val="en-GB" w:eastAsia="zh-CN"/>
        </w:rPr>
        <w:t>. 1 (2012).</w:t>
      </w:r>
    </w:p>
    <w:p w:rsidR="00944338" w:rsidRDefault="008D1337">
      <w:pPr>
        <w:pStyle w:val="Reference"/>
        <w:ind w:left="493" w:hanging="363"/>
        <w:rPr>
          <w:lang w:val="en-GB" w:eastAsia="zh-CN"/>
        </w:rPr>
      </w:pPr>
      <w:r>
        <w:rPr>
          <w:lang w:val="en-GB" w:eastAsia="zh-CN"/>
        </w:rPr>
        <w:t xml:space="preserve">J. H. Liu, </w:t>
      </w:r>
      <w:r>
        <w:rPr>
          <w:i/>
          <w:lang w:val="en-GB" w:eastAsia="zh-CN"/>
        </w:rPr>
        <w:t>et al</w:t>
      </w:r>
      <w:r>
        <w:rPr>
          <w:lang w:val="en-GB" w:eastAsia="zh-CN"/>
        </w:rPr>
        <w:t xml:space="preserve">., </w:t>
      </w:r>
      <w:r>
        <w:rPr>
          <w:i/>
          <w:lang w:val="en-GB" w:eastAsia="zh-CN"/>
        </w:rPr>
        <w:t>Wear</w:t>
      </w:r>
      <w:r>
        <w:rPr>
          <w:lang w:val="en-GB" w:eastAsia="zh-CN"/>
        </w:rPr>
        <w:t xml:space="preserve">, </w:t>
      </w:r>
      <w:r>
        <w:rPr>
          <w:b/>
          <w:lang w:val="en-GB" w:eastAsia="zh-CN"/>
        </w:rPr>
        <w:t>346-347</w:t>
      </w:r>
      <w:r>
        <w:rPr>
          <w:lang w:val="en-GB" w:eastAsia="zh-CN"/>
        </w:rPr>
        <w:t xml:space="preserve"> (2016).</w:t>
      </w:r>
    </w:p>
    <w:p w:rsidR="00944338" w:rsidRDefault="008D1337">
      <w:pPr>
        <w:pStyle w:val="Reference"/>
        <w:ind w:left="493" w:hanging="363"/>
        <w:rPr>
          <w:lang w:val="en-GB" w:eastAsia="zh-CN"/>
        </w:rPr>
      </w:pPr>
      <w:r>
        <w:rPr>
          <w:lang w:val="en-GB" w:eastAsia="zh-CN"/>
        </w:rPr>
        <w:t xml:space="preserve">J. H. Liu, </w:t>
      </w:r>
      <w:r>
        <w:rPr>
          <w:i/>
          <w:lang w:val="en-GB" w:eastAsia="zh-CN"/>
        </w:rPr>
        <w:t>et al</w:t>
      </w:r>
      <w:r>
        <w:rPr>
          <w:lang w:val="en-GB" w:eastAsia="zh-CN"/>
        </w:rPr>
        <w:t xml:space="preserve">., Tribol. Int. </w:t>
      </w:r>
      <w:r>
        <w:rPr>
          <w:b/>
          <w:lang w:val="en-GB" w:eastAsia="zh-CN"/>
        </w:rPr>
        <w:t>115</w:t>
      </w:r>
      <w:r>
        <w:rPr>
          <w:lang w:val="en-GB" w:eastAsia="zh-CN"/>
        </w:rPr>
        <w:t xml:space="preserve"> (2017).</w:t>
      </w:r>
    </w:p>
    <w:p w:rsidR="00944338" w:rsidRDefault="008D1337">
      <w:pPr>
        <w:pStyle w:val="Reference"/>
        <w:rPr>
          <w:lang w:val="en-GB" w:eastAsia="zh-CN"/>
        </w:rPr>
      </w:pPr>
      <w:r>
        <w:rPr>
          <w:lang w:val="en-GB" w:eastAsia="zh-CN"/>
        </w:rPr>
        <w:t xml:space="preserve">K. K. Padmanabhan and A. S. R. Murty, </w:t>
      </w:r>
      <w:r>
        <w:rPr>
          <w:i/>
          <w:lang w:val="en-GB" w:eastAsia="zh-CN"/>
        </w:rPr>
        <w:t>Proc IMechE, Part C: Mech. Eng. Sci</w:t>
      </w:r>
      <w:r>
        <w:rPr>
          <w:lang w:val="en-GB" w:eastAsia="zh-CN"/>
        </w:rPr>
        <w:t xml:space="preserve">. </w:t>
      </w:r>
      <w:r>
        <w:rPr>
          <w:b/>
          <w:lang w:val="en-GB" w:eastAsia="zh-CN"/>
        </w:rPr>
        <w:t>205</w:t>
      </w:r>
      <w:r>
        <w:rPr>
          <w:lang w:val="en-GB" w:eastAsia="zh-CN"/>
        </w:rPr>
        <w:t xml:space="preserve">. 23 (1991). </w:t>
      </w:r>
    </w:p>
    <w:p w:rsidR="00944338" w:rsidRDefault="008D1337">
      <w:pPr>
        <w:pStyle w:val="Reference"/>
        <w:rPr>
          <w:lang w:val="en-GB" w:eastAsia="zh-CN"/>
        </w:rPr>
      </w:pPr>
      <w:r>
        <w:rPr>
          <w:lang w:val="en-GB" w:eastAsia="zh-CN"/>
        </w:rPr>
        <w:t xml:space="preserve">H. J. Ouyang, </w:t>
      </w:r>
      <w:r>
        <w:rPr>
          <w:i/>
          <w:lang w:val="en-GB" w:eastAsia="zh-CN"/>
        </w:rPr>
        <w:t>et al</w:t>
      </w:r>
      <w:r>
        <w:rPr>
          <w:lang w:val="en-GB" w:eastAsia="zh-CN"/>
        </w:rPr>
        <w:t xml:space="preserve">., </w:t>
      </w:r>
      <w:r>
        <w:rPr>
          <w:i/>
          <w:lang w:val="en-GB" w:eastAsia="zh-CN"/>
        </w:rPr>
        <w:t>Int. J. Mech. Sci.</w:t>
      </w:r>
      <w:r>
        <w:rPr>
          <w:lang w:val="en-GB" w:eastAsia="zh-CN"/>
        </w:rPr>
        <w:t xml:space="preserve"> </w:t>
      </w:r>
      <w:r>
        <w:rPr>
          <w:b/>
          <w:lang w:val="en-GB" w:eastAsia="zh-CN"/>
        </w:rPr>
        <w:t>48</w:t>
      </w:r>
      <w:r>
        <w:rPr>
          <w:lang w:val="en-GB" w:eastAsia="zh-CN"/>
        </w:rPr>
        <w:t>. 12 (2006).</w:t>
      </w:r>
    </w:p>
    <w:p w:rsidR="00944338" w:rsidRDefault="008D1337">
      <w:pPr>
        <w:pStyle w:val="Reference"/>
        <w:rPr>
          <w:lang w:val="en-GB" w:eastAsia="zh-CN"/>
        </w:rPr>
      </w:pPr>
      <w:r>
        <w:rPr>
          <w:lang w:val="en-GB" w:eastAsia="zh-CN"/>
        </w:rPr>
        <w:t xml:space="preserve">M. Oldfield, </w:t>
      </w:r>
      <w:r>
        <w:rPr>
          <w:i/>
          <w:lang w:val="en-GB" w:eastAsia="zh-CN"/>
        </w:rPr>
        <w:t>et al</w:t>
      </w:r>
      <w:r>
        <w:rPr>
          <w:lang w:val="en-GB" w:eastAsia="zh-CN"/>
        </w:rPr>
        <w:t xml:space="preserve">., </w:t>
      </w:r>
      <w:r>
        <w:rPr>
          <w:i/>
          <w:lang w:val="en-GB" w:eastAsia="zh-CN"/>
        </w:rPr>
        <w:t>Comput. Struct</w:t>
      </w:r>
      <w:r>
        <w:rPr>
          <w:lang w:val="en-GB" w:eastAsia="zh-CN"/>
        </w:rPr>
        <w:t xml:space="preserve">. </w:t>
      </w:r>
      <w:r>
        <w:rPr>
          <w:b/>
          <w:lang w:val="en-GB" w:eastAsia="zh-CN"/>
        </w:rPr>
        <w:t>84</w:t>
      </w:r>
      <w:r>
        <w:rPr>
          <w:lang w:val="en-GB" w:eastAsia="zh-CN"/>
        </w:rPr>
        <w:t>. 1 (2005).</w:t>
      </w:r>
    </w:p>
    <w:p w:rsidR="00944338" w:rsidRDefault="008D1337">
      <w:pPr>
        <w:pStyle w:val="Reference"/>
        <w:rPr>
          <w:lang w:val="en-GB" w:eastAsia="zh-CN"/>
        </w:rPr>
      </w:pPr>
      <w:r>
        <w:rPr>
          <w:lang w:val="en-GB" w:eastAsia="zh-CN"/>
        </w:rPr>
        <w:t xml:space="preserve">T. Yokoyama, </w:t>
      </w:r>
      <w:r>
        <w:rPr>
          <w:i/>
          <w:lang w:val="en-GB" w:eastAsia="zh-CN"/>
        </w:rPr>
        <w:t>et al</w:t>
      </w:r>
      <w:r>
        <w:rPr>
          <w:lang w:val="en-GB" w:eastAsia="zh-CN"/>
        </w:rPr>
        <w:t>.,</w:t>
      </w:r>
      <w:r>
        <w:rPr>
          <w:i/>
          <w:lang w:val="en-GB" w:eastAsia="zh-CN"/>
        </w:rPr>
        <w:t xml:space="preserve"> Eng. Fail. Anal.</w:t>
      </w:r>
      <w:r>
        <w:rPr>
          <w:lang w:val="en-GB" w:eastAsia="zh-CN"/>
        </w:rPr>
        <w:t xml:space="preserve"> </w:t>
      </w:r>
      <w:r>
        <w:rPr>
          <w:b/>
          <w:lang w:val="en-GB" w:eastAsia="zh-CN"/>
        </w:rPr>
        <w:t>23</w:t>
      </w:r>
      <w:r>
        <w:rPr>
          <w:lang w:val="en-GB" w:eastAsia="zh-CN"/>
        </w:rPr>
        <w:t>. 7 (2012).</w:t>
      </w:r>
    </w:p>
    <w:p w:rsidR="00944338" w:rsidRDefault="008D1337">
      <w:pPr>
        <w:pStyle w:val="Reference"/>
        <w:rPr>
          <w:lang w:val="en-GB" w:eastAsia="zh-CN"/>
        </w:rPr>
      </w:pPr>
      <w:r>
        <w:rPr>
          <w:rFonts w:hint="eastAsia"/>
          <w:lang w:eastAsia="zh-CN"/>
        </w:rPr>
        <w:t xml:space="preserve">T. Fukuoka, </w:t>
      </w:r>
      <w:r>
        <w:rPr>
          <w:i/>
          <w:lang w:val="en-GB" w:eastAsia="zh-CN"/>
        </w:rPr>
        <w:t>et al</w:t>
      </w:r>
      <w:r>
        <w:rPr>
          <w:lang w:val="en-GB" w:eastAsia="zh-CN"/>
        </w:rPr>
        <w:t>.,</w:t>
      </w:r>
      <w:r>
        <w:rPr>
          <w:rFonts w:hint="eastAsia"/>
          <w:lang w:eastAsia="zh-CN"/>
        </w:rPr>
        <w:t xml:space="preserve"> </w:t>
      </w:r>
      <w:r>
        <w:rPr>
          <w:i/>
          <w:lang w:val="en-GB" w:eastAsia="zh-CN"/>
        </w:rPr>
        <w:t>J. Press. Vess. Technol</w:t>
      </w:r>
      <w:r>
        <w:rPr>
          <w:rFonts w:hint="eastAsia"/>
          <w:i/>
          <w:lang w:eastAsia="zh-CN"/>
        </w:rPr>
        <w:t xml:space="preserve">. </w:t>
      </w:r>
      <w:r>
        <w:rPr>
          <w:rFonts w:hint="eastAsia"/>
          <w:b/>
          <w:bCs/>
          <w:iCs/>
          <w:lang w:eastAsia="zh-CN"/>
        </w:rPr>
        <w:t>130</w:t>
      </w:r>
      <w:r>
        <w:rPr>
          <w:rFonts w:hint="eastAsia"/>
          <w:iCs/>
          <w:lang w:eastAsia="zh-CN"/>
        </w:rPr>
        <w:t>.</w:t>
      </w:r>
      <w:r>
        <w:rPr>
          <w:rFonts w:hint="eastAsia"/>
          <w:i/>
          <w:lang w:eastAsia="zh-CN"/>
        </w:rPr>
        <w:t xml:space="preserve"> </w:t>
      </w:r>
      <w:r>
        <w:rPr>
          <w:rFonts w:hint="eastAsia"/>
          <w:iCs/>
          <w:lang w:eastAsia="zh-CN"/>
        </w:rPr>
        <w:t>1 (2008)</w:t>
      </w:r>
    </w:p>
    <w:sectPr w:rsidR="00944338">
      <w:headerReference w:type="even" r:id="rId18"/>
      <w:headerReference w:type="default" r:id="rId19"/>
      <w:headerReference w:type="first" r:id="rId20"/>
      <w:footerReference w:type="first" r:id="rId21"/>
      <w:footnotePr>
        <w:numFmt w:val="lowerLetter"/>
      </w:footnotePr>
      <w:type w:val="continuous"/>
      <w:pgSz w:w="11909" w:h="16834"/>
      <w:pgMar w:top="2664" w:right="2362" w:bottom="2650" w:left="2347" w:header="2098" w:footer="218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500" w:rsidRDefault="00CC3500">
      <w:pPr>
        <w:spacing w:line="240" w:lineRule="auto"/>
      </w:pPr>
      <w:r>
        <w:separator/>
      </w:r>
    </w:p>
  </w:endnote>
  <w:endnote w:type="continuationSeparator" w:id="0">
    <w:p w:rsidR="00CC3500" w:rsidRDefault="00CC35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YaHei">
    <w:altName w:val="微软雅黑"/>
    <w:panose1 w:val="020B0503020204020204"/>
    <w:charset w:val="86"/>
    <w:family w:val="swiss"/>
    <w:pitch w:val="variable"/>
    <w:sig w:usb0="80000287" w:usb1="28CF3C50" w:usb2="00000016" w:usb3="00000000" w:csb0="0004001F" w:csb1="00000000"/>
  </w:font>
  <w:font w:name="Adv Mac Mth Sy N">
    <w:altName w:val="Cambria"/>
    <w:charset w:val="00"/>
    <w:family w:val="roman"/>
    <w:pitch w:val="default"/>
    <w:sig w:usb0="00000000" w:usb1="00000000" w:usb2="00000000" w:usb3="00000000" w:csb0="00000001" w:csb1="00000000"/>
  </w:font>
  <w:font w:name="Adv P 4 DF 60 F">
    <w:altName w:val="Cambria"/>
    <w:charset w:val="00"/>
    <w:family w:val="roman"/>
    <w:pitch w:val="default"/>
    <w:sig w:usb0="00000000"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338" w:rsidRDefault="008D1337">
    <w:pPr>
      <w:spacing w:before="288"/>
      <w:jc w:val="center"/>
      <w:rPr>
        <w:sz w:val="16"/>
        <w:szCs w:val="16"/>
      </w:rPr>
    </w:pP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7961E8">
      <w:rPr>
        <w:rStyle w:val="PageNumber"/>
        <w:noProof/>
        <w:sz w:val="16"/>
        <w:szCs w:val="16"/>
      </w:rPr>
      <w:t>1</w:t>
    </w:r>
    <w:r>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500" w:rsidRDefault="00CC3500">
      <w:pPr>
        <w:spacing w:line="240" w:lineRule="auto"/>
      </w:pPr>
      <w:r>
        <w:separator/>
      </w:r>
    </w:p>
  </w:footnote>
  <w:footnote w:type="continuationSeparator" w:id="0">
    <w:p w:rsidR="00CC3500" w:rsidRDefault="00CC3500">
      <w:pPr>
        <w:spacing w:line="240" w:lineRule="auto"/>
      </w:pPr>
      <w:r>
        <w:continuationSeparator/>
      </w:r>
    </w:p>
  </w:footnote>
  <w:footnote w:id="1">
    <w:p w:rsidR="00944338" w:rsidRDefault="008D1337">
      <w:pPr>
        <w:pStyle w:val="FootnoteText"/>
        <w:rPr>
          <w:sz w:val="12"/>
          <w:szCs w:val="12"/>
        </w:rPr>
      </w:pPr>
      <w:r>
        <w:rPr>
          <w:rStyle w:val="FootnoteReference"/>
        </w:rPr>
        <w:t>*</w:t>
      </w:r>
      <w:r>
        <w:t xml:space="preserve"> </w:t>
      </w:r>
      <w:r>
        <w:rPr>
          <w:sz w:val="12"/>
          <w:szCs w:val="12"/>
        </w:rPr>
        <w:t xml:space="preserve">Corresponding author. Tel.: </w:t>
      </w:r>
      <w:r>
        <w:rPr>
          <w:rFonts w:ascii="Adv Mac Mth Sy N" w:hAnsi="Adv Mac Mth Sy N" w:cs="Adv Mac Mth Sy N"/>
          <w:sz w:val="12"/>
          <w:szCs w:val="12"/>
        </w:rPr>
        <w:t>+</w:t>
      </w:r>
      <w:r>
        <w:rPr>
          <w:sz w:val="12"/>
          <w:szCs w:val="12"/>
        </w:rPr>
        <w:t xml:space="preserve">86 2887601282; fax: </w:t>
      </w:r>
      <w:r>
        <w:rPr>
          <w:rFonts w:ascii="Adv Mac Mth Sy N" w:hAnsi="Adv Mac Mth Sy N" w:cs="Adv Mac Mth Sy N"/>
          <w:sz w:val="12"/>
          <w:szCs w:val="12"/>
        </w:rPr>
        <w:t>+</w:t>
      </w:r>
      <w:r>
        <w:rPr>
          <w:sz w:val="12"/>
          <w:szCs w:val="12"/>
        </w:rPr>
        <w:t xml:space="preserve">86 2887601304. </w:t>
      </w:r>
    </w:p>
    <w:p w:rsidR="00944338" w:rsidRDefault="008D1337">
      <w:pPr>
        <w:pStyle w:val="FootnoteText"/>
      </w:pPr>
      <w:r>
        <w:rPr>
          <w:rFonts w:ascii="Adv P 4 DF 60 F" w:hAnsi="Adv P 4 DF 60 F" w:cs="Adv P 4 DF 60 F"/>
          <w:sz w:val="12"/>
          <w:szCs w:val="12"/>
        </w:rPr>
        <w:t xml:space="preserve">E-mail address: </w:t>
      </w:r>
      <w:r>
        <w:rPr>
          <w:rFonts w:hint="eastAsia"/>
          <w:sz w:val="12"/>
          <w:szCs w:val="12"/>
          <w:lang w:eastAsia="zh-CN"/>
        </w:rPr>
        <w:t>jianhua</w:t>
      </w:r>
      <w:r>
        <w:rPr>
          <w:sz w:val="12"/>
          <w:szCs w:val="12"/>
          <w:lang w:eastAsia="zh-CN"/>
        </w:rPr>
        <w:t>-liu</w:t>
      </w:r>
      <w:r>
        <w:rPr>
          <w:sz w:val="12"/>
          <w:szCs w:val="12"/>
        </w:rPr>
        <w:t>@live.cn (</w:t>
      </w:r>
      <w:r>
        <w:rPr>
          <w:sz w:val="12"/>
          <w:szCs w:val="12"/>
          <w:lang w:eastAsia="zh-CN"/>
        </w:rPr>
        <w:t>JIANHUA LIU</w:t>
      </w:r>
      <w:r>
        <w:rPr>
          <w:sz w:val="12"/>
          <w:szCs w:val="1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338" w:rsidRDefault="008D1337">
    <w:pPr>
      <w:pStyle w:val="Header"/>
      <w:tabs>
        <w:tab w:val="clear" w:pos="4320"/>
        <w:tab w:val="clear" w:pos="8640"/>
        <w:tab w:val="left" w:pos="400"/>
        <w:tab w:val="right" w:pos="7200"/>
      </w:tabs>
    </w:pPr>
    <w:r>
      <w:rPr>
        <w:rStyle w:val="PageNumber"/>
        <w:sz w:val="13"/>
      </w:rPr>
      <w:fldChar w:fldCharType="begin"/>
    </w:r>
    <w:r>
      <w:rPr>
        <w:rStyle w:val="PageNumber"/>
        <w:sz w:val="13"/>
      </w:rPr>
      <w:instrText xml:space="preserve">PAGE  </w:instrText>
    </w:r>
    <w:r>
      <w:rPr>
        <w:rStyle w:val="PageNumber"/>
        <w:sz w:val="13"/>
      </w:rPr>
      <w:fldChar w:fldCharType="separate"/>
    </w:r>
    <w:r w:rsidR="007961E8">
      <w:rPr>
        <w:rStyle w:val="PageNumber"/>
        <w:noProof/>
        <w:sz w:val="13"/>
      </w:rPr>
      <w:t>6</w:t>
    </w:r>
    <w:r>
      <w:rPr>
        <w:rStyle w:val="PageNumber"/>
        <w:sz w:val="13"/>
      </w:rPr>
      <w:fldChar w:fldCharType="end"/>
    </w:r>
    <w:r>
      <w:rPr>
        <w:rStyle w:val="PageNumber"/>
        <w:sz w:val="13"/>
      </w:rPr>
      <w:tab/>
    </w:r>
    <w:r>
      <w:rPr>
        <w:rFonts w:hint="eastAsia"/>
        <w:i/>
        <w:sz w:val="13"/>
        <w:lang w:eastAsia="zh-CN"/>
      </w:rPr>
      <w:t>XUETONG LIU</w:t>
    </w:r>
    <w:r>
      <w:rPr>
        <w:i/>
        <w:sz w:val="13"/>
      </w:rPr>
      <w:t xml:space="preserve">, JIANHUA LIU, HUAJIANG OUYANG, </w:t>
    </w:r>
    <w:r>
      <w:rPr>
        <w:i/>
        <w:sz w:val="13"/>
        <w:lang w:eastAsia="zh-CN"/>
      </w:rPr>
      <w:t>e</w:t>
    </w:r>
    <w:r>
      <w:rPr>
        <w:rFonts w:hint="eastAsia"/>
        <w:i/>
        <w:sz w:val="13"/>
        <w:lang w:eastAsia="zh-CN"/>
      </w:rPr>
      <w:t>t</w:t>
    </w:r>
    <w:r>
      <w:rPr>
        <w:i/>
        <w:sz w:val="13"/>
        <w:lang w:eastAsia="zh-CN"/>
      </w:rPr>
      <w:t xml:space="preserve"> al</w:t>
    </w:r>
    <w:r>
      <w:rPr>
        <w:i/>
        <w:sz w:val="13"/>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338" w:rsidRDefault="008D1337">
    <w:pPr>
      <w:pStyle w:val="Header"/>
      <w:tabs>
        <w:tab w:val="clear" w:pos="4320"/>
        <w:tab w:val="clear" w:pos="8640"/>
        <w:tab w:val="right" w:pos="6759"/>
        <w:tab w:val="right" w:pos="7200"/>
      </w:tabs>
      <w:rPr>
        <w:rStyle w:val="PageNumber"/>
        <w:sz w:val="13"/>
      </w:rPr>
    </w:pPr>
    <w:r>
      <w:rPr>
        <w:rFonts w:hint="eastAsia"/>
        <w:i/>
        <w:sz w:val="13"/>
        <w:lang w:eastAsia="zh-CN"/>
      </w:rPr>
      <w:t>EXPERIMENTAL AND NUMERICAL STUDIES OF BOLTED JOINT</w:t>
    </w:r>
    <w:r>
      <w:rPr>
        <w:i/>
        <w:sz w:val="13"/>
        <w:lang w:eastAsia="zh-CN"/>
      </w:rPr>
      <w:t>S</w:t>
    </w:r>
    <w:r>
      <w:rPr>
        <w:rFonts w:hint="eastAsia"/>
        <w:i/>
        <w:sz w:val="13"/>
        <w:lang w:eastAsia="zh-CN"/>
      </w:rPr>
      <w:t xml:space="preserve"> SUBJECTED TO TORSIONAL EXCITATION</w:t>
    </w:r>
    <w:r>
      <w:rPr>
        <w:i/>
        <w:sz w:val="13"/>
      </w:rPr>
      <w:tab/>
    </w:r>
    <w:r>
      <w:rPr>
        <w:rStyle w:val="PageNumber"/>
        <w:sz w:val="13"/>
      </w:rPr>
      <w:fldChar w:fldCharType="begin"/>
    </w:r>
    <w:r>
      <w:rPr>
        <w:rStyle w:val="PageNumber"/>
        <w:sz w:val="13"/>
      </w:rPr>
      <w:instrText xml:space="preserve">PAGE  </w:instrText>
    </w:r>
    <w:r>
      <w:rPr>
        <w:rStyle w:val="PageNumber"/>
        <w:sz w:val="13"/>
      </w:rPr>
      <w:fldChar w:fldCharType="separate"/>
    </w:r>
    <w:r w:rsidR="007961E8">
      <w:rPr>
        <w:rStyle w:val="PageNumber"/>
        <w:noProof/>
        <w:sz w:val="13"/>
      </w:rPr>
      <w:t>5</w:t>
    </w:r>
    <w:r>
      <w:rPr>
        <w:rStyle w:val="PageNumber"/>
        <w:sz w:val="13"/>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338" w:rsidRDefault="00944338">
    <w:pPr>
      <w:spacing w:line="200" w:lineRule="exac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B2A10"/>
    <w:multiLevelType w:val="singleLevel"/>
    <w:tmpl w:val="1BAB2A10"/>
    <w:lvl w:ilvl="0">
      <w:start w:val="1"/>
      <w:numFmt w:val="lowerRoman"/>
      <w:pStyle w:val="NList"/>
      <w:lvlText w:val="(%1)"/>
      <w:lvlJc w:val="right"/>
      <w:pPr>
        <w:tabs>
          <w:tab w:val="left" w:pos="1440"/>
        </w:tabs>
        <w:ind w:left="1440" w:hanging="72"/>
      </w:pPr>
    </w:lvl>
  </w:abstractNum>
  <w:abstractNum w:abstractNumId="1" w15:restartNumberingAfterBreak="0">
    <w:nsid w:val="29887741"/>
    <w:multiLevelType w:val="multilevel"/>
    <w:tmpl w:val="2988774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F831C8D"/>
    <w:multiLevelType w:val="singleLevel"/>
    <w:tmpl w:val="4F831C8D"/>
    <w:lvl w:ilvl="0">
      <w:start w:val="1"/>
      <w:numFmt w:val="bullet"/>
      <w:pStyle w:val="List"/>
      <w:lvlText w:val=""/>
      <w:lvlJc w:val="left"/>
      <w:pPr>
        <w:tabs>
          <w:tab w:val="left" w:pos="360"/>
        </w:tabs>
        <w:ind w:left="360" w:hanging="360"/>
      </w:pPr>
      <w:rPr>
        <w:rFonts w:ascii="Symbol" w:hAnsi="Symbol" w:hint="default"/>
      </w:rPr>
    </w:lvl>
  </w:abstractNum>
  <w:abstractNum w:abstractNumId="3" w15:restartNumberingAfterBreak="0">
    <w:nsid w:val="53D26788"/>
    <w:multiLevelType w:val="singleLevel"/>
    <w:tmpl w:val="53D26788"/>
    <w:lvl w:ilvl="0">
      <w:start w:val="1"/>
      <w:numFmt w:val="lowerLetter"/>
      <w:pStyle w:val="AList"/>
      <w:lvlText w:val="(%1)"/>
      <w:lvlJc w:val="left"/>
      <w:pPr>
        <w:tabs>
          <w:tab w:val="left" w:pos="360"/>
        </w:tabs>
        <w:ind w:left="360" w:hanging="360"/>
      </w:pPr>
    </w:lvl>
  </w:abstractNum>
  <w:abstractNum w:abstractNumId="4" w15:restartNumberingAfterBreak="0">
    <w:nsid w:val="5B306FEC"/>
    <w:multiLevelType w:val="singleLevel"/>
    <w:tmpl w:val="5B306FEC"/>
    <w:lvl w:ilvl="0">
      <w:start w:val="1"/>
      <w:numFmt w:val="decimal"/>
      <w:suff w:val="space"/>
      <w:lvlText w:val="(%1)"/>
      <w:lvlJc w:val="left"/>
    </w:lvl>
  </w:abstractNum>
  <w:abstractNum w:abstractNumId="5" w15:restartNumberingAfterBreak="0">
    <w:nsid w:val="5B3CA0B9"/>
    <w:multiLevelType w:val="singleLevel"/>
    <w:tmpl w:val="5B3CA0B9"/>
    <w:lvl w:ilvl="0">
      <w:start w:val="1"/>
      <w:numFmt w:val="lowerLetter"/>
      <w:suff w:val="space"/>
      <w:lvlText w:val="(%1)"/>
      <w:lvlJc w:val="left"/>
    </w:lvl>
  </w:abstractNum>
  <w:abstractNum w:abstractNumId="6" w15:restartNumberingAfterBreak="0">
    <w:nsid w:val="5B3E5840"/>
    <w:multiLevelType w:val="singleLevel"/>
    <w:tmpl w:val="5B3E5840"/>
    <w:lvl w:ilvl="0">
      <w:start w:val="1"/>
      <w:numFmt w:val="lowerLetter"/>
      <w:suff w:val="space"/>
      <w:lvlText w:val="(%1)"/>
      <w:lvlJc w:val="left"/>
    </w:lvl>
  </w:abstractNum>
  <w:abstractNum w:abstractNumId="7" w15:restartNumberingAfterBreak="0">
    <w:nsid w:val="5FEC320B"/>
    <w:multiLevelType w:val="multilevel"/>
    <w:tmpl w:val="5FEC320B"/>
    <w:lvl w:ilvl="0">
      <w:start w:val="1"/>
      <w:numFmt w:val="decimal"/>
      <w:pStyle w:val="Reference"/>
      <w:lvlText w:val="%1."/>
      <w:lvlJc w:val="left"/>
      <w:pPr>
        <w:ind w:left="490" w:hanging="360"/>
      </w:pPr>
      <w:rPr>
        <w:rFonts w:hint="default"/>
      </w:rPr>
    </w:lvl>
    <w:lvl w:ilvl="1">
      <w:start w:val="1"/>
      <w:numFmt w:val="lowerLetter"/>
      <w:lvlText w:val="%2)"/>
      <w:lvlJc w:val="left"/>
      <w:pPr>
        <w:ind w:left="970" w:hanging="420"/>
      </w:pPr>
    </w:lvl>
    <w:lvl w:ilvl="2">
      <w:start w:val="1"/>
      <w:numFmt w:val="lowerRoman"/>
      <w:lvlText w:val="%3."/>
      <w:lvlJc w:val="right"/>
      <w:pPr>
        <w:ind w:left="1390" w:hanging="420"/>
      </w:pPr>
    </w:lvl>
    <w:lvl w:ilvl="3">
      <w:start w:val="1"/>
      <w:numFmt w:val="decimal"/>
      <w:lvlText w:val="%4."/>
      <w:lvlJc w:val="left"/>
      <w:pPr>
        <w:ind w:left="1810" w:hanging="420"/>
      </w:pPr>
    </w:lvl>
    <w:lvl w:ilvl="4">
      <w:start w:val="1"/>
      <w:numFmt w:val="lowerLetter"/>
      <w:lvlText w:val="%5)"/>
      <w:lvlJc w:val="left"/>
      <w:pPr>
        <w:ind w:left="2230" w:hanging="420"/>
      </w:pPr>
    </w:lvl>
    <w:lvl w:ilvl="5">
      <w:start w:val="1"/>
      <w:numFmt w:val="lowerRoman"/>
      <w:lvlText w:val="%6."/>
      <w:lvlJc w:val="right"/>
      <w:pPr>
        <w:ind w:left="2650" w:hanging="420"/>
      </w:pPr>
    </w:lvl>
    <w:lvl w:ilvl="6">
      <w:start w:val="1"/>
      <w:numFmt w:val="decimal"/>
      <w:lvlText w:val="%7."/>
      <w:lvlJc w:val="left"/>
      <w:pPr>
        <w:ind w:left="3070" w:hanging="420"/>
      </w:pPr>
    </w:lvl>
    <w:lvl w:ilvl="7">
      <w:start w:val="1"/>
      <w:numFmt w:val="lowerLetter"/>
      <w:lvlText w:val="%8)"/>
      <w:lvlJc w:val="left"/>
      <w:pPr>
        <w:ind w:left="3490" w:hanging="420"/>
      </w:pPr>
    </w:lvl>
    <w:lvl w:ilvl="8">
      <w:start w:val="1"/>
      <w:numFmt w:val="lowerRoman"/>
      <w:lvlText w:val="%9."/>
      <w:lvlJc w:val="right"/>
      <w:pPr>
        <w:ind w:left="3910" w:hanging="420"/>
      </w:pPr>
    </w:lvl>
  </w:abstractNum>
  <w:abstractNum w:abstractNumId="8" w15:restartNumberingAfterBreak="0">
    <w:nsid w:val="648470FA"/>
    <w:multiLevelType w:val="multilevel"/>
    <w:tmpl w:val="648470FA"/>
    <w:lvl w:ilvl="0">
      <w:start w:val="1"/>
      <w:numFmt w:val="upperLetter"/>
      <w:pStyle w:val="Appendix1"/>
      <w:suff w:val="nothing"/>
      <w:lvlText w:val="Appendix %1.   "/>
      <w:lvlJc w:val="left"/>
      <w:pPr>
        <w:ind w:left="300" w:hanging="300"/>
      </w:pPr>
      <w:rPr>
        <w:rFonts w:hint="default"/>
        <w:color w:val="auto"/>
      </w:rPr>
    </w:lvl>
    <w:lvl w:ilvl="1">
      <w:start w:val="1"/>
      <w:numFmt w:val="decimal"/>
      <w:pStyle w:val="Appendix2"/>
      <w:suff w:val="nothing"/>
      <w:lvlText w:val="%1.%2.   "/>
      <w:lvlJc w:val="left"/>
      <w:pPr>
        <w:ind w:left="510" w:hanging="510"/>
      </w:pPr>
      <w:rPr>
        <w:rFonts w:ascii="Times New Roman" w:hAnsi="Times New Roman" w:hint="default"/>
        <w:b/>
        <w:i w:val="0"/>
        <w:sz w:val="20"/>
      </w:rPr>
    </w:lvl>
    <w:lvl w:ilvl="2">
      <w:start w:val="1"/>
      <w:numFmt w:val="decimal"/>
      <w:pStyle w:val="Appendix3"/>
      <w:suff w:val="nothing"/>
      <w:lvlText w:val="%1.%2.%3.   "/>
      <w:lvlJc w:val="left"/>
      <w:pPr>
        <w:ind w:left="288" w:hanging="288"/>
      </w:pPr>
      <w:rPr>
        <w:rFonts w:hint="default"/>
        <w:b w:val="0"/>
        <w:i w:val="0"/>
      </w:rPr>
    </w:lvl>
    <w:lvl w:ilvl="3">
      <w:start w:val="1"/>
      <w:numFmt w:val="decimal"/>
      <w:lvlText w:val="%1.%2.%3.%4."/>
      <w:lvlJc w:val="left"/>
      <w:pPr>
        <w:tabs>
          <w:tab w:val="left" w:pos="2160"/>
        </w:tabs>
        <w:ind w:left="1728" w:hanging="648"/>
      </w:pPr>
      <w:rPr>
        <w:rFonts w:hint="default"/>
      </w:rPr>
    </w:lvl>
    <w:lvl w:ilvl="4">
      <w:start w:val="1"/>
      <w:numFmt w:val="decimal"/>
      <w:lvlText w:val="%1.%2.%3.%4.%5."/>
      <w:lvlJc w:val="left"/>
      <w:pPr>
        <w:tabs>
          <w:tab w:val="left" w:pos="2880"/>
        </w:tabs>
        <w:ind w:left="2232" w:hanging="792"/>
      </w:pPr>
      <w:rPr>
        <w:rFonts w:hint="default"/>
      </w:rPr>
    </w:lvl>
    <w:lvl w:ilvl="5">
      <w:start w:val="1"/>
      <w:numFmt w:val="decimal"/>
      <w:lvlText w:val="%1.%2.%3.%4.%5.%6."/>
      <w:lvlJc w:val="left"/>
      <w:pPr>
        <w:tabs>
          <w:tab w:val="left" w:pos="3600"/>
        </w:tabs>
        <w:ind w:left="2736" w:hanging="936"/>
      </w:pPr>
      <w:rPr>
        <w:rFonts w:hint="default"/>
      </w:rPr>
    </w:lvl>
    <w:lvl w:ilvl="6">
      <w:start w:val="1"/>
      <w:numFmt w:val="decimal"/>
      <w:lvlText w:val="%1.%2.%3.%4.%5.%6.%7."/>
      <w:lvlJc w:val="left"/>
      <w:pPr>
        <w:tabs>
          <w:tab w:val="left" w:pos="4320"/>
        </w:tabs>
        <w:ind w:left="3240" w:hanging="1080"/>
      </w:pPr>
      <w:rPr>
        <w:rFonts w:hint="default"/>
      </w:rPr>
    </w:lvl>
    <w:lvl w:ilvl="7">
      <w:start w:val="1"/>
      <w:numFmt w:val="decimal"/>
      <w:lvlText w:val="%1.%2.%3.%4.%5.%6.%7.%8."/>
      <w:lvlJc w:val="left"/>
      <w:pPr>
        <w:tabs>
          <w:tab w:val="left" w:pos="4680"/>
        </w:tabs>
        <w:ind w:left="3744" w:hanging="1224"/>
      </w:pPr>
      <w:rPr>
        <w:rFonts w:hint="default"/>
      </w:rPr>
    </w:lvl>
    <w:lvl w:ilvl="8">
      <w:start w:val="1"/>
      <w:numFmt w:val="decimal"/>
      <w:lvlText w:val="%1.%2.%3.%4.%5.%6.%7.%8.%9."/>
      <w:lvlJc w:val="left"/>
      <w:pPr>
        <w:tabs>
          <w:tab w:val="left" w:pos="5400"/>
        </w:tabs>
        <w:ind w:left="4320" w:hanging="1440"/>
      </w:pPr>
      <w:rPr>
        <w:rFonts w:hint="default"/>
      </w:rPr>
    </w:lvl>
  </w:abstractNum>
  <w:abstractNum w:abstractNumId="9" w15:restartNumberingAfterBreak="0">
    <w:nsid w:val="66981FEA"/>
    <w:multiLevelType w:val="multilevel"/>
    <w:tmpl w:val="66981FEA"/>
    <w:lvl w:ilvl="0">
      <w:start w:val="1"/>
      <w:numFmt w:val="decimal"/>
      <w:pStyle w:val="Heading1"/>
      <w:suff w:val="nothing"/>
      <w:lvlText w:val="%1.   "/>
      <w:lvlJc w:val="left"/>
      <w:pPr>
        <w:ind w:left="360" w:hanging="360"/>
      </w:pPr>
      <w:rPr>
        <w:rFonts w:ascii="Times New Roman" w:hAnsi="Times New Roman" w:hint="default"/>
        <w:b/>
        <w:i w:val="0"/>
        <w:sz w:val="20"/>
        <w:lang w:val="en-GB"/>
      </w:rPr>
    </w:lvl>
    <w:lvl w:ilvl="1">
      <w:start w:val="1"/>
      <w:numFmt w:val="decimal"/>
      <w:pStyle w:val="Heading2"/>
      <w:suff w:val="nothing"/>
      <w:lvlText w:val="%1.%2.   "/>
      <w:lvlJc w:val="left"/>
      <w:pPr>
        <w:ind w:left="360" w:hanging="360"/>
      </w:pPr>
      <w:rPr>
        <w:rFonts w:hint="default"/>
        <w:b/>
        <w:i w:val="0"/>
      </w:rPr>
    </w:lvl>
    <w:lvl w:ilvl="2">
      <w:start w:val="1"/>
      <w:numFmt w:val="decimal"/>
      <w:pStyle w:val="Heading3"/>
      <w:suff w:val="nothing"/>
      <w:lvlText w:val="%1.%2.%3.   "/>
      <w:lvlJc w:val="left"/>
      <w:pPr>
        <w:ind w:left="720" w:hanging="720"/>
      </w:pPr>
      <w:rPr>
        <w:rFonts w:ascii="Times New Roman" w:hAnsi="Times New Roman" w:hint="default"/>
        <w:b w:val="0"/>
        <w:i w:val="0"/>
        <w:sz w:val="20"/>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9"/>
  </w:num>
  <w:num w:numId="2">
    <w:abstractNumId w:val="2"/>
  </w:num>
  <w:num w:numId="3">
    <w:abstractNumId w:val="7"/>
  </w:num>
  <w:num w:numId="4">
    <w:abstractNumId w:val="8"/>
  </w:num>
  <w:num w:numId="5">
    <w:abstractNumId w:val="0"/>
  </w:num>
  <w:num w:numId="6">
    <w:abstractNumId w:val="3"/>
  </w:num>
  <w:num w:numId="7">
    <w:abstractNumId w:val="1"/>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attachedTemplate r:id="rId1"/>
  <w:defaultTabStop w:val="360"/>
  <w:evenAndOddHeaders/>
  <w:drawingGridHorizontalSpacing w:val="100"/>
  <w:noPunctuationKerning/>
  <w:characterSpacingControl w:val="doNotCompress"/>
  <w:hdrShapeDefaults>
    <o:shapedefaults v:ext="edit" spidmax="2049"/>
  </w:hdrShapeDefaults>
  <w:footnotePr>
    <w:numFmt w:val="lowerLette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914"/>
    <w:rsid w:val="0000118C"/>
    <w:rsid w:val="000029C9"/>
    <w:rsid w:val="00012392"/>
    <w:rsid w:val="00024372"/>
    <w:rsid w:val="0002595B"/>
    <w:rsid w:val="0003056D"/>
    <w:rsid w:val="00033DEE"/>
    <w:rsid w:val="00051E7C"/>
    <w:rsid w:val="00053DA2"/>
    <w:rsid w:val="00055C2D"/>
    <w:rsid w:val="00057A8A"/>
    <w:rsid w:val="00072304"/>
    <w:rsid w:val="000731B2"/>
    <w:rsid w:val="0009481A"/>
    <w:rsid w:val="00097E8C"/>
    <w:rsid w:val="000A258C"/>
    <w:rsid w:val="000A3116"/>
    <w:rsid w:val="000B3DA6"/>
    <w:rsid w:val="000B7085"/>
    <w:rsid w:val="000B7DE3"/>
    <w:rsid w:val="000C2809"/>
    <w:rsid w:val="000C3847"/>
    <w:rsid w:val="000D282B"/>
    <w:rsid w:val="000D4EEB"/>
    <w:rsid w:val="000D7977"/>
    <w:rsid w:val="000E3AB6"/>
    <w:rsid w:val="000E777E"/>
    <w:rsid w:val="000F02F2"/>
    <w:rsid w:val="00103401"/>
    <w:rsid w:val="00103704"/>
    <w:rsid w:val="00122DEC"/>
    <w:rsid w:val="00126153"/>
    <w:rsid w:val="001323CF"/>
    <w:rsid w:val="0013761C"/>
    <w:rsid w:val="001420EE"/>
    <w:rsid w:val="00151914"/>
    <w:rsid w:val="001568EE"/>
    <w:rsid w:val="001619AF"/>
    <w:rsid w:val="00163F83"/>
    <w:rsid w:val="0017375A"/>
    <w:rsid w:val="00175DC2"/>
    <w:rsid w:val="00195238"/>
    <w:rsid w:val="001A6A52"/>
    <w:rsid w:val="001B6265"/>
    <w:rsid w:val="001C0E03"/>
    <w:rsid w:val="001C71A4"/>
    <w:rsid w:val="001C77A1"/>
    <w:rsid w:val="001C7892"/>
    <w:rsid w:val="001D1566"/>
    <w:rsid w:val="001E1F6C"/>
    <w:rsid w:val="001F28F9"/>
    <w:rsid w:val="001F50A7"/>
    <w:rsid w:val="001F62F4"/>
    <w:rsid w:val="0020087D"/>
    <w:rsid w:val="002029CD"/>
    <w:rsid w:val="00205349"/>
    <w:rsid w:val="00210573"/>
    <w:rsid w:val="00216894"/>
    <w:rsid w:val="002233A4"/>
    <w:rsid w:val="002342EF"/>
    <w:rsid w:val="00252635"/>
    <w:rsid w:val="002538AB"/>
    <w:rsid w:val="00262194"/>
    <w:rsid w:val="002654A1"/>
    <w:rsid w:val="002704C3"/>
    <w:rsid w:val="00270D45"/>
    <w:rsid w:val="002723B3"/>
    <w:rsid w:val="00276C71"/>
    <w:rsid w:val="00280851"/>
    <w:rsid w:val="002869C2"/>
    <w:rsid w:val="0028779A"/>
    <w:rsid w:val="0029598D"/>
    <w:rsid w:val="00296724"/>
    <w:rsid w:val="002A326C"/>
    <w:rsid w:val="002A3A3F"/>
    <w:rsid w:val="002A4A3C"/>
    <w:rsid w:val="002A5E47"/>
    <w:rsid w:val="002B5229"/>
    <w:rsid w:val="002C4E2D"/>
    <w:rsid w:val="002D595B"/>
    <w:rsid w:val="002D7F17"/>
    <w:rsid w:val="002E162A"/>
    <w:rsid w:val="002E3E29"/>
    <w:rsid w:val="002E5779"/>
    <w:rsid w:val="002E64E0"/>
    <w:rsid w:val="002F4861"/>
    <w:rsid w:val="002F67E2"/>
    <w:rsid w:val="003000E3"/>
    <w:rsid w:val="003003AA"/>
    <w:rsid w:val="00301A97"/>
    <w:rsid w:val="003134D1"/>
    <w:rsid w:val="00341B80"/>
    <w:rsid w:val="00343F29"/>
    <w:rsid w:val="003460DC"/>
    <w:rsid w:val="0035679A"/>
    <w:rsid w:val="003578B4"/>
    <w:rsid w:val="003671A0"/>
    <w:rsid w:val="00374CCE"/>
    <w:rsid w:val="00374E5A"/>
    <w:rsid w:val="00375638"/>
    <w:rsid w:val="0039219D"/>
    <w:rsid w:val="003A2BFB"/>
    <w:rsid w:val="003B006F"/>
    <w:rsid w:val="003B39ED"/>
    <w:rsid w:val="003B52E3"/>
    <w:rsid w:val="003C528C"/>
    <w:rsid w:val="003E059C"/>
    <w:rsid w:val="003E3615"/>
    <w:rsid w:val="003F4473"/>
    <w:rsid w:val="003F688B"/>
    <w:rsid w:val="004023AB"/>
    <w:rsid w:val="00417F26"/>
    <w:rsid w:val="004237EE"/>
    <w:rsid w:val="00430918"/>
    <w:rsid w:val="00460EA2"/>
    <w:rsid w:val="00462AFD"/>
    <w:rsid w:val="0047655F"/>
    <w:rsid w:val="00482581"/>
    <w:rsid w:val="00482A17"/>
    <w:rsid w:val="00484E3A"/>
    <w:rsid w:val="0049461C"/>
    <w:rsid w:val="004954F8"/>
    <w:rsid w:val="004A0B63"/>
    <w:rsid w:val="004A4BF9"/>
    <w:rsid w:val="004B3BEC"/>
    <w:rsid w:val="004B52E0"/>
    <w:rsid w:val="004B5B1A"/>
    <w:rsid w:val="004B6965"/>
    <w:rsid w:val="004D152D"/>
    <w:rsid w:val="004D1B80"/>
    <w:rsid w:val="004E2688"/>
    <w:rsid w:val="004E5423"/>
    <w:rsid w:val="005023ED"/>
    <w:rsid w:val="005029FF"/>
    <w:rsid w:val="00513DEB"/>
    <w:rsid w:val="00535FA1"/>
    <w:rsid w:val="00545734"/>
    <w:rsid w:val="00545ACC"/>
    <w:rsid w:val="00551234"/>
    <w:rsid w:val="005519EC"/>
    <w:rsid w:val="00552A92"/>
    <w:rsid w:val="00553816"/>
    <w:rsid w:val="00560808"/>
    <w:rsid w:val="005631B2"/>
    <w:rsid w:val="00584ED0"/>
    <w:rsid w:val="005874F0"/>
    <w:rsid w:val="00590618"/>
    <w:rsid w:val="005B0C2F"/>
    <w:rsid w:val="005C3A3E"/>
    <w:rsid w:val="005C3CDE"/>
    <w:rsid w:val="005D22B3"/>
    <w:rsid w:val="005D3607"/>
    <w:rsid w:val="005E4F21"/>
    <w:rsid w:val="005E5284"/>
    <w:rsid w:val="005E6D37"/>
    <w:rsid w:val="006103BD"/>
    <w:rsid w:val="006177FE"/>
    <w:rsid w:val="006179E1"/>
    <w:rsid w:val="00621F89"/>
    <w:rsid w:val="00636641"/>
    <w:rsid w:val="00636EA1"/>
    <w:rsid w:val="0063733D"/>
    <w:rsid w:val="00640E51"/>
    <w:rsid w:val="00641370"/>
    <w:rsid w:val="00642732"/>
    <w:rsid w:val="00645104"/>
    <w:rsid w:val="006461F8"/>
    <w:rsid w:val="00646753"/>
    <w:rsid w:val="00647D3D"/>
    <w:rsid w:val="00654EA4"/>
    <w:rsid w:val="00656ED9"/>
    <w:rsid w:val="00662875"/>
    <w:rsid w:val="006643C2"/>
    <w:rsid w:val="006646AE"/>
    <w:rsid w:val="00676125"/>
    <w:rsid w:val="006A457E"/>
    <w:rsid w:val="006B1480"/>
    <w:rsid w:val="006B29E4"/>
    <w:rsid w:val="006D0264"/>
    <w:rsid w:val="006D5E78"/>
    <w:rsid w:val="006D786A"/>
    <w:rsid w:val="006E1356"/>
    <w:rsid w:val="006F0A44"/>
    <w:rsid w:val="00705AB6"/>
    <w:rsid w:val="00707D21"/>
    <w:rsid w:val="00712BF7"/>
    <w:rsid w:val="007163B3"/>
    <w:rsid w:val="00724747"/>
    <w:rsid w:val="00724960"/>
    <w:rsid w:val="0072652B"/>
    <w:rsid w:val="00745391"/>
    <w:rsid w:val="00747C41"/>
    <w:rsid w:val="00754FE1"/>
    <w:rsid w:val="007564C4"/>
    <w:rsid w:val="00762734"/>
    <w:rsid w:val="00765EF1"/>
    <w:rsid w:val="0077215C"/>
    <w:rsid w:val="00775F75"/>
    <w:rsid w:val="00783E93"/>
    <w:rsid w:val="0078706F"/>
    <w:rsid w:val="007908E5"/>
    <w:rsid w:val="00795F11"/>
    <w:rsid w:val="007961E8"/>
    <w:rsid w:val="007A2995"/>
    <w:rsid w:val="007A4CE1"/>
    <w:rsid w:val="007B1D82"/>
    <w:rsid w:val="007B6A2B"/>
    <w:rsid w:val="007D0DC3"/>
    <w:rsid w:val="007D13E6"/>
    <w:rsid w:val="007D1F5A"/>
    <w:rsid w:val="007D2315"/>
    <w:rsid w:val="007E2F26"/>
    <w:rsid w:val="007F037A"/>
    <w:rsid w:val="007F1D2C"/>
    <w:rsid w:val="00812289"/>
    <w:rsid w:val="0081397F"/>
    <w:rsid w:val="00825F2E"/>
    <w:rsid w:val="00840068"/>
    <w:rsid w:val="00847843"/>
    <w:rsid w:val="00854C29"/>
    <w:rsid w:val="00866842"/>
    <w:rsid w:val="008741DE"/>
    <w:rsid w:val="008826F7"/>
    <w:rsid w:val="008A0391"/>
    <w:rsid w:val="008A2703"/>
    <w:rsid w:val="008A3D99"/>
    <w:rsid w:val="008A6574"/>
    <w:rsid w:val="008B5FD0"/>
    <w:rsid w:val="008C0C70"/>
    <w:rsid w:val="008C0E7C"/>
    <w:rsid w:val="008C13E1"/>
    <w:rsid w:val="008C380B"/>
    <w:rsid w:val="008D12D6"/>
    <w:rsid w:val="008D1337"/>
    <w:rsid w:val="008D1E1E"/>
    <w:rsid w:val="008E68AA"/>
    <w:rsid w:val="0091291C"/>
    <w:rsid w:val="00923668"/>
    <w:rsid w:val="00935B4B"/>
    <w:rsid w:val="00944338"/>
    <w:rsid w:val="0095102D"/>
    <w:rsid w:val="009636B1"/>
    <w:rsid w:val="00995099"/>
    <w:rsid w:val="00997B08"/>
    <w:rsid w:val="009A15E3"/>
    <w:rsid w:val="009B1AE0"/>
    <w:rsid w:val="009B22EF"/>
    <w:rsid w:val="009B2776"/>
    <w:rsid w:val="009B3D28"/>
    <w:rsid w:val="009B6435"/>
    <w:rsid w:val="009B7B4D"/>
    <w:rsid w:val="009C4457"/>
    <w:rsid w:val="009D5AA7"/>
    <w:rsid w:val="009E18A2"/>
    <w:rsid w:val="009E2361"/>
    <w:rsid w:val="009E2FD0"/>
    <w:rsid w:val="009E33B0"/>
    <w:rsid w:val="00A150F9"/>
    <w:rsid w:val="00A54ECF"/>
    <w:rsid w:val="00A558CF"/>
    <w:rsid w:val="00A6747B"/>
    <w:rsid w:val="00A7063D"/>
    <w:rsid w:val="00A731AD"/>
    <w:rsid w:val="00A775C7"/>
    <w:rsid w:val="00A8020A"/>
    <w:rsid w:val="00A871F0"/>
    <w:rsid w:val="00A93201"/>
    <w:rsid w:val="00A95B36"/>
    <w:rsid w:val="00AA30B4"/>
    <w:rsid w:val="00AB3319"/>
    <w:rsid w:val="00AD1465"/>
    <w:rsid w:val="00AD4858"/>
    <w:rsid w:val="00AE7760"/>
    <w:rsid w:val="00AF0734"/>
    <w:rsid w:val="00AF3FCB"/>
    <w:rsid w:val="00B0644B"/>
    <w:rsid w:val="00B10697"/>
    <w:rsid w:val="00B11BE5"/>
    <w:rsid w:val="00B123F3"/>
    <w:rsid w:val="00B1538E"/>
    <w:rsid w:val="00B27927"/>
    <w:rsid w:val="00B4166A"/>
    <w:rsid w:val="00B42E9E"/>
    <w:rsid w:val="00B432DE"/>
    <w:rsid w:val="00B4366A"/>
    <w:rsid w:val="00B549F7"/>
    <w:rsid w:val="00B61A35"/>
    <w:rsid w:val="00B62808"/>
    <w:rsid w:val="00B62869"/>
    <w:rsid w:val="00B62F72"/>
    <w:rsid w:val="00B6552F"/>
    <w:rsid w:val="00B6585D"/>
    <w:rsid w:val="00B67CA3"/>
    <w:rsid w:val="00B76037"/>
    <w:rsid w:val="00B76FE6"/>
    <w:rsid w:val="00B80F4F"/>
    <w:rsid w:val="00B87DEA"/>
    <w:rsid w:val="00B95927"/>
    <w:rsid w:val="00BB3AFD"/>
    <w:rsid w:val="00BB3CC7"/>
    <w:rsid w:val="00BB79C4"/>
    <w:rsid w:val="00BC423A"/>
    <w:rsid w:val="00BD39B5"/>
    <w:rsid w:val="00BD412D"/>
    <w:rsid w:val="00BE1A87"/>
    <w:rsid w:val="00BE7699"/>
    <w:rsid w:val="00BF2301"/>
    <w:rsid w:val="00BF3F7E"/>
    <w:rsid w:val="00BF5289"/>
    <w:rsid w:val="00C20C02"/>
    <w:rsid w:val="00C243D8"/>
    <w:rsid w:val="00C335DB"/>
    <w:rsid w:val="00C373B7"/>
    <w:rsid w:val="00C41B3D"/>
    <w:rsid w:val="00C561F3"/>
    <w:rsid w:val="00C605E5"/>
    <w:rsid w:val="00C60760"/>
    <w:rsid w:val="00C719CF"/>
    <w:rsid w:val="00C921CE"/>
    <w:rsid w:val="00CA7C31"/>
    <w:rsid w:val="00CB3B7F"/>
    <w:rsid w:val="00CB4EF1"/>
    <w:rsid w:val="00CC2851"/>
    <w:rsid w:val="00CC297F"/>
    <w:rsid w:val="00CC3500"/>
    <w:rsid w:val="00CC44AC"/>
    <w:rsid w:val="00CE0373"/>
    <w:rsid w:val="00CE10B8"/>
    <w:rsid w:val="00CE3251"/>
    <w:rsid w:val="00CE463F"/>
    <w:rsid w:val="00CF73F3"/>
    <w:rsid w:val="00D12F24"/>
    <w:rsid w:val="00D200D6"/>
    <w:rsid w:val="00D26B96"/>
    <w:rsid w:val="00D4412B"/>
    <w:rsid w:val="00D444AE"/>
    <w:rsid w:val="00D46617"/>
    <w:rsid w:val="00D4720E"/>
    <w:rsid w:val="00D502FC"/>
    <w:rsid w:val="00D56D6B"/>
    <w:rsid w:val="00D60928"/>
    <w:rsid w:val="00D61ACB"/>
    <w:rsid w:val="00D61D42"/>
    <w:rsid w:val="00D8103D"/>
    <w:rsid w:val="00D86E37"/>
    <w:rsid w:val="00D908FF"/>
    <w:rsid w:val="00D947C9"/>
    <w:rsid w:val="00DA7D28"/>
    <w:rsid w:val="00DB062A"/>
    <w:rsid w:val="00DB3D37"/>
    <w:rsid w:val="00DB53FC"/>
    <w:rsid w:val="00DD4A27"/>
    <w:rsid w:val="00DE2238"/>
    <w:rsid w:val="00DF081E"/>
    <w:rsid w:val="00E04153"/>
    <w:rsid w:val="00E1068E"/>
    <w:rsid w:val="00E10CF6"/>
    <w:rsid w:val="00E12871"/>
    <w:rsid w:val="00E25752"/>
    <w:rsid w:val="00E325A7"/>
    <w:rsid w:val="00E75ECC"/>
    <w:rsid w:val="00E941CE"/>
    <w:rsid w:val="00EA4B53"/>
    <w:rsid w:val="00EB15C2"/>
    <w:rsid w:val="00EB62B5"/>
    <w:rsid w:val="00EB75A1"/>
    <w:rsid w:val="00EC492D"/>
    <w:rsid w:val="00ED205F"/>
    <w:rsid w:val="00ED2214"/>
    <w:rsid w:val="00EF57DF"/>
    <w:rsid w:val="00F00BAA"/>
    <w:rsid w:val="00F05547"/>
    <w:rsid w:val="00F078C0"/>
    <w:rsid w:val="00F10977"/>
    <w:rsid w:val="00F1686A"/>
    <w:rsid w:val="00F2353B"/>
    <w:rsid w:val="00F26CA7"/>
    <w:rsid w:val="00F26D92"/>
    <w:rsid w:val="00F27851"/>
    <w:rsid w:val="00F35716"/>
    <w:rsid w:val="00F35768"/>
    <w:rsid w:val="00F40B15"/>
    <w:rsid w:val="00F51F0A"/>
    <w:rsid w:val="00F5775F"/>
    <w:rsid w:val="00F61087"/>
    <w:rsid w:val="00F710CC"/>
    <w:rsid w:val="00F86140"/>
    <w:rsid w:val="00FA3BC1"/>
    <w:rsid w:val="00FB180A"/>
    <w:rsid w:val="00FC031C"/>
    <w:rsid w:val="00FC466B"/>
    <w:rsid w:val="00FD052D"/>
    <w:rsid w:val="00FD1845"/>
    <w:rsid w:val="00FF339D"/>
    <w:rsid w:val="01D16AE2"/>
    <w:rsid w:val="02237833"/>
    <w:rsid w:val="02F07E47"/>
    <w:rsid w:val="03207516"/>
    <w:rsid w:val="03591239"/>
    <w:rsid w:val="04996C00"/>
    <w:rsid w:val="04D8653F"/>
    <w:rsid w:val="065600F0"/>
    <w:rsid w:val="06A54373"/>
    <w:rsid w:val="072C18C9"/>
    <w:rsid w:val="08101CE0"/>
    <w:rsid w:val="0B270FA0"/>
    <w:rsid w:val="0C1C1571"/>
    <w:rsid w:val="0CE30B90"/>
    <w:rsid w:val="0D544964"/>
    <w:rsid w:val="0EBC4808"/>
    <w:rsid w:val="0EC522A3"/>
    <w:rsid w:val="10FF6E3B"/>
    <w:rsid w:val="11541330"/>
    <w:rsid w:val="115F1958"/>
    <w:rsid w:val="13FD6B3B"/>
    <w:rsid w:val="14540C18"/>
    <w:rsid w:val="14A47331"/>
    <w:rsid w:val="16337931"/>
    <w:rsid w:val="17ED61B5"/>
    <w:rsid w:val="18406C8E"/>
    <w:rsid w:val="198D10D3"/>
    <w:rsid w:val="19DF7E6C"/>
    <w:rsid w:val="1A9C2584"/>
    <w:rsid w:val="1AC34DD5"/>
    <w:rsid w:val="1B3127FC"/>
    <w:rsid w:val="1B41752A"/>
    <w:rsid w:val="1B814EFE"/>
    <w:rsid w:val="1BB451CF"/>
    <w:rsid w:val="1C637C7B"/>
    <w:rsid w:val="1D296907"/>
    <w:rsid w:val="1D584DDC"/>
    <w:rsid w:val="1D5F2B1F"/>
    <w:rsid w:val="1DF15198"/>
    <w:rsid w:val="1EA80E39"/>
    <w:rsid w:val="1EAA75E0"/>
    <w:rsid w:val="1EF94B7A"/>
    <w:rsid w:val="1F204CA1"/>
    <w:rsid w:val="1FA80A95"/>
    <w:rsid w:val="1FC43365"/>
    <w:rsid w:val="20BF1EC4"/>
    <w:rsid w:val="20C345BB"/>
    <w:rsid w:val="22A47089"/>
    <w:rsid w:val="2313282F"/>
    <w:rsid w:val="241063E8"/>
    <w:rsid w:val="245728C8"/>
    <w:rsid w:val="24EB76FD"/>
    <w:rsid w:val="25533530"/>
    <w:rsid w:val="255D4247"/>
    <w:rsid w:val="25A81F5E"/>
    <w:rsid w:val="27FC48CC"/>
    <w:rsid w:val="28981056"/>
    <w:rsid w:val="29680FC7"/>
    <w:rsid w:val="298C2A6B"/>
    <w:rsid w:val="2A1F459D"/>
    <w:rsid w:val="2A41112F"/>
    <w:rsid w:val="2B863451"/>
    <w:rsid w:val="2B8D529E"/>
    <w:rsid w:val="2BBE7848"/>
    <w:rsid w:val="2D07575E"/>
    <w:rsid w:val="2D52428B"/>
    <w:rsid w:val="2E7D56CB"/>
    <w:rsid w:val="2E984442"/>
    <w:rsid w:val="2F663E11"/>
    <w:rsid w:val="30B90A60"/>
    <w:rsid w:val="30CB51B2"/>
    <w:rsid w:val="3169394D"/>
    <w:rsid w:val="32FA0BFA"/>
    <w:rsid w:val="32FC4CD7"/>
    <w:rsid w:val="3419272E"/>
    <w:rsid w:val="36967228"/>
    <w:rsid w:val="3705237A"/>
    <w:rsid w:val="38587CDE"/>
    <w:rsid w:val="3A39455D"/>
    <w:rsid w:val="3B086E8A"/>
    <w:rsid w:val="3B50779A"/>
    <w:rsid w:val="3B743720"/>
    <w:rsid w:val="3C196B4B"/>
    <w:rsid w:val="3CA53E39"/>
    <w:rsid w:val="3D302337"/>
    <w:rsid w:val="3D8942AD"/>
    <w:rsid w:val="3DED62C7"/>
    <w:rsid w:val="3DF42426"/>
    <w:rsid w:val="3EDD5964"/>
    <w:rsid w:val="417C694F"/>
    <w:rsid w:val="427217F6"/>
    <w:rsid w:val="42A55C85"/>
    <w:rsid w:val="42A87992"/>
    <w:rsid w:val="42B8296E"/>
    <w:rsid w:val="44073CC8"/>
    <w:rsid w:val="44532C2C"/>
    <w:rsid w:val="44B70D7C"/>
    <w:rsid w:val="44D24DB5"/>
    <w:rsid w:val="45F15DA3"/>
    <w:rsid w:val="486416E8"/>
    <w:rsid w:val="495C1B13"/>
    <w:rsid w:val="4A575B9D"/>
    <w:rsid w:val="4DDC62ED"/>
    <w:rsid w:val="4F426265"/>
    <w:rsid w:val="502B73B7"/>
    <w:rsid w:val="50384373"/>
    <w:rsid w:val="51997461"/>
    <w:rsid w:val="522F4CC8"/>
    <w:rsid w:val="52631182"/>
    <w:rsid w:val="52760923"/>
    <w:rsid w:val="528E055D"/>
    <w:rsid w:val="530B4157"/>
    <w:rsid w:val="54481314"/>
    <w:rsid w:val="551A4A22"/>
    <w:rsid w:val="55D2127A"/>
    <w:rsid w:val="5626425D"/>
    <w:rsid w:val="569220AB"/>
    <w:rsid w:val="56AF4F9F"/>
    <w:rsid w:val="58990F5E"/>
    <w:rsid w:val="58AD1A55"/>
    <w:rsid w:val="594A3463"/>
    <w:rsid w:val="5A0A1509"/>
    <w:rsid w:val="5B5852D4"/>
    <w:rsid w:val="5C881FF1"/>
    <w:rsid w:val="5E976CE9"/>
    <w:rsid w:val="608E1F5D"/>
    <w:rsid w:val="609630A5"/>
    <w:rsid w:val="61A84671"/>
    <w:rsid w:val="621730E2"/>
    <w:rsid w:val="62B3271E"/>
    <w:rsid w:val="62C6520F"/>
    <w:rsid w:val="62FA5FEE"/>
    <w:rsid w:val="65010A54"/>
    <w:rsid w:val="67750DB4"/>
    <w:rsid w:val="68725C22"/>
    <w:rsid w:val="69E3389E"/>
    <w:rsid w:val="6A0A706E"/>
    <w:rsid w:val="6A9421AA"/>
    <w:rsid w:val="6B176CFC"/>
    <w:rsid w:val="6B326C47"/>
    <w:rsid w:val="6C0562F1"/>
    <w:rsid w:val="6C7814FB"/>
    <w:rsid w:val="6CE00B23"/>
    <w:rsid w:val="6D6B5B83"/>
    <w:rsid w:val="6E335418"/>
    <w:rsid w:val="6E462B3F"/>
    <w:rsid w:val="6EC157C4"/>
    <w:rsid w:val="6F1A5248"/>
    <w:rsid w:val="6F397D2E"/>
    <w:rsid w:val="6FCB3276"/>
    <w:rsid w:val="70267508"/>
    <w:rsid w:val="703F30AE"/>
    <w:rsid w:val="710E787F"/>
    <w:rsid w:val="71E371C2"/>
    <w:rsid w:val="71E62AF5"/>
    <w:rsid w:val="71FE0B64"/>
    <w:rsid w:val="720D20F5"/>
    <w:rsid w:val="72735C41"/>
    <w:rsid w:val="72781DD3"/>
    <w:rsid w:val="737040CB"/>
    <w:rsid w:val="74CF3A35"/>
    <w:rsid w:val="75751755"/>
    <w:rsid w:val="75A94CF5"/>
    <w:rsid w:val="75AC5920"/>
    <w:rsid w:val="769A4E0B"/>
    <w:rsid w:val="76FA105F"/>
    <w:rsid w:val="7858403F"/>
    <w:rsid w:val="7A662822"/>
    <w:rsid w:val="7A730341"/>
    <w:rsid w:val="7ACF741E"/>
    <w:rsid w:val="7B633CD5"/>
    <w:rsid w:val="7C4B6A6E"/>
    <w:rsid w:val="7C5F017E"/>
    <w:rsid w:val="7F9E59F8"/>
    <w:rsid w:val="7FAB0B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82857C7-A5E0-478C-8ADE-761D7C2FC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uiPriority="0" w:unhideWhenUsed="1"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uiPriority="0" w:qFormat="1"/>
    <w:lsdException w:name="Strong" w:uiPriority="0"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uiPriority="0" w:qFormat="1"/>
    <w:lsdException w:name="HTML Address" w:semiHidden="1" w:unhideWhenUsed="1"/>
    <w:lsdException w:name="HTML Cite" w:uiPriority="0" w:qFormat="1"/>
    <w:lsdException w:name="HTML Code" w:uiPriority="0" w:qFormat="1"/>
    <w:lsdException w:name="HTML Definition" w:uiPriority="0" w:qFormat="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uiPriority="0" w:qFormat="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qFormat="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60" w:lineRule="exact"/>
      <w:jc w:val="both"/>
    </w:pPr>
    <w:rPr>
      <w:rFonts w:eastAsiaTheme="minorEastAsia"/>
      <w:szCs w:val="24"/>
      <w:lang w:eastAsia="en-US"/>
    </w:rPr>
  </w:style>
  <w:style w:type="paragraph" w:styleId="Heading1">
    <w:name w:val="heading 1"/>
    <w:basedOn w:val="Normal"/>
    <w:next w:val="Normal"/>
    <w:link w:val="Heading1Char"/>
    <w:qFormat/>
    <w:pPr>
      <w:numPr>
        <w:numId w:val="1"/>
      </w:numPr>
      <w:tabs>
        <w:tab w:val="left" w:pos="360"/>
      </w:tabs>
      <w:suppressAutoHyphens/>
      <w:spacing w:before="240" w:after="120"/>
      <w:ind w:left="0" w:right="288" w:firstLine="0"/>
      <w:outlineLvl w:val="0"/>
    </w:pPr>
    <w:rPr>
      <w:b/>
      <w:kern w:val="28"/>
    </w:rPr>
  </w:style>
  <w:style w:type="paragraph" w:styleId="Heading2">
    <w:name w:val="heading 2"/>
    <w:basedOn w:val="Normal"/>
    <w:next w:val="Normal"/>
    <w:qFormat/>
    <w:pPr>
      <w:keepNext/>
      <w:numPr>
        <w:ilvl w:val="1"/>
        <w:numId w:val="1"/>
      </w:numPr>
      <w:tabs>
        <w:tab w:val="left" w:pos="360"/>
      </w:tabs>
      <w:spacing w:before="240" w:after="120"/>
      <w:ind w:left="0" w:right="360" w:firstLine="0"/>
      <w:outlineLvl w:val="1"/>
    </w:pPr>
    <w:rPr>
      <w:b/>
      <w:i/>
    </w:rPr>
  </w:style>
  <w:style w:type="paragraph" w:styleId="Heading3">
    <w:name w:val="heading 3"/>
    <w:basedOn w:val="Normal"/>
    <w:next w:val="Normal"/>
    <w:qFormat/>
    <w:pPr>
      <w:keepNext/>
      <w:keepLines/>
      <w:numPr>
        <w:ilvl w:val="2"/>
        <w:numId w:val="1"/>
      </w:numPr>
      <w:tabs>
        <w:tab w:val="left" w:pos="360"/>
      </w:tabs>
      <w:suppressAutoHyphens/>
      <w:spacing w:before="240" w:after="120"/>
      <w:ind w:left="0" w:right="360" w:firstLine="0"/>
      <w:outlineLvl w:val="2"/>
    </w:pPr>
    <w:rPr>
      <w:i/>
    </w:rPr>
  </w:style>
  <w:style w:type="paragraph" w:styleId="Heading4">
    <w:name w:val="heading 4"/>
    <w:basedOn w:val="Normal"/>
    <w:next w:val="Normal"/>
    <w:qFormat/>
    <w:pPr>
      <w:keepNext/>
      <w:spacing w:before="240" w:after="60"/>
      <w:outlineLvl w:val="3"/>
    </w:pPr>
  </w:style>
  <w:style w:type="paragraph" w:styleId="Heading5">
    <w:name w:val="heading 5"/>
    <w:basedOn w:val="Normal"/>
    <w:next w:val="Normal"/>
    <w:qFormat/>
    <w:pPr>
      <w:keepNext/>
      <w:widowControl w:val="0"/>
      <w:spacing w:before="240" w:after="160"/>
      <w:outlineLvl w:val="4"/>
    </w:pPr>
    <w:rPr>
      <w:b/>
      <w:snapToGrid w:val="0"/>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pPr>
      <w:widowControl w:val="0"/>
      <w:spacing w:line="240" w:lineRule="auto"/>
    </w:pPr>
    <w:rPr>
      <w:rFonts w:ascii="Calibri" w:hAnsi="Calibri"/>
      <w:b/>
      <w:bCs/>
      <w:kern w:val="2"/>
      <w:sz w:val="21"/>
      <w:lang w:eastAsia="zh-CN"/>
    </w:rPr>
  </w:style>
  <w:style w:type="paragraph" w:styleId="CommentText">
    <w:name w:val="annotation text"/>
    <w:basedOn w:val="Normal"/>
    <w:link w:val="CommentTextChar"/>
    <w:unhideWhenUsed/>
    <w:qFormat/>
    <w:pPr>
      <w:jc w:val="left"/>
    </w:pPr>
  </w:style>
  <w:style w:type="paragraph" w:styleId="Caption">
    <w:name w:val="caption"/>
    <w:basedOn w:val="Normal"/>
    <w:next w:val="Normal"/>
    <w:qFormat/>
    <w:pPr>
      <w:widowControl w:val="0"/>
      <w:spacing w:before="120" w:after="120"/>
      <w:jc w:val="center"/>
    </w:pPr>
    <w:rPr>
      <w:b/>
      <w:snapToGrid w:val="0"/>
      <w:lang w:val="zh-CN"/>
    </w:rPr>
  </w:style>
  <w:style w:type="paragraph" w:styleId="DocumentMap">
    <w:name w:val="Document Map"/>
    <w:basedOn w:val="Normal"/>
    <w:semiHidden/>
    <w:qFormat/>
    <w:pPr>
      <w:shd w:val="clear" w:color="auto" w:fill="000080"/>
    </w:pPr>
    <w:rPr>
      <w:rFonts w:ascii="Tahoma" w:hAnsi="Tahoma"/>
    </w:rPr>
  </w:style>
  <w:style w:type="paragraph" w:styleId="BodyText">
    <w:name w:val="Body Text"/>
    <w:basedOn w:val="Normal"/>
    <w:qFormat/>
    <w:pPr>
      <w:autoSpaceDE w:val="0"/>
      <w:autoSpaceDN w:val="0"/>
      <w:ind w:firstLine="300"/>
    </w:pPr>
  </w:style>
  <w:style w:type="paragraph" w:styleId="PlainText">
    <w:name w:val="Plain Text"/>
    <w:basedOn w:val="Normal"/>
    <w:qFormat/>
    <w:pPr>
      <w:tabs>
        <w:tab w:val="left" w:pos="360"/>
      </w:tabs>
      <w:spacing w:line="260" w:lineRule="atLeast"/>
    </w:pPr>
    <w:rPr>
      <w:rFonts w:ascii="Courier New" w:hAnsi="Courier New"/>
      <w:szCs w:val="20"/>
    </w:rPr>
  </w:style>
  <w:style w:type="paragraph" w:styleId="BalloonText">
    <w:name w:val="Balloon Text"/>
    <w:basedOn w:val="Normal"/>
    <w:link w:val="BalloonTextChar"/>
    <w:qFormat/>
    <w:pPr>
      <w:widowControl w:val="0"/>
      <w:spacing w:line="240" w:lineRule="auto"/>
    </w:pPr>
    <w:rPr>
      <w:rFonts w:ascii="Calibri" w:hAnsi="Calibri"/>
      <w:kern w:val="2"/>
      <w:sz w:val="18"/>
      <w:szCs w:val="18"/>
      <w:lang w:eastAsia="zh-CN"/>
    </w:rPr>
  </w:style>
  <w:style w:type="paragraph" w:styleId="Footer">
    <w:name w:val="footer"/>
    <w:basedOn w:val="Normal"/>
    <w:link w:val="FooterChar"/>
    <w:qFormat/>
    <w:pPr>
      <w:tabs>
        <w:tab w:val="center" w:pos="4320"/>
        <w:tab w:val="right" w:pos="8640"/>
      </w:tabs>
    </w:pPr>
  </w:style>
  <w:style w:type="paragraph" w:styleId="Header">
    <w:name w:val="header"/>
    <w:basedOn w:val="Normal"/>
    <w:link w:val="HeaderChar"/>
    <w:qFormat/>
    <w:pPr>
      <w:tabs>
        <w:tab w:val="center" w:pos="4320"/>
        <w:tab w:val="right" w:pos="8640"/>
      </w:tabs>
    </w:pPr>
    <w:rPr>
      <w:sz w:val="16"/>
      <w:szCs w:val="20"/>
    </w:rPr>
  </w:style>
  <w:style w:type="paragraph" w:styleId="TOC1">
    <w:name w:val="toc 1"/>
    <w:basedOn w:val="Normal"/>
    <w:next w:val="Normal"/>
    <w:qFormat/>
    <w:pPr>
      <w:widowControl w:val="0"/>
      <w:spacing w:line="240" w:lineRule="auto"/>
    </w:pPr>
    <w:rPr>
      <w:rFonts w:ascii="Calibri" w:eastAsia="SimSun" w:hAnsi="Calibri"/>
      <w:kern w:val="2"/>
      <w:sz w:val="21"/>
      <w:lang w:eastAsia="zh-CN"/>
    </w:rPr>
  </w:style>
  <w:style w:type="paragraph" w:styleId="List">
    <w:name w:val="List"/>
    <w:basedOn w:val="Normal"/>
    <w:qFormat/>
    <w:pPr>
      <w:numPr>
        <w:numId w:val="2"/>
      </w:numPr>
      <w:spacing w:line="240" w:lineRule="exact"/>
      <w:ind w:left="0" w:firstLine="0"/>
    </w:pPr>
  </w:style>
  <w:style w:type="paragraph" w:styleId="FootnoteText">
    <w:name w:val="footnote text"/>
    <w:basedOn w:val="Normal"/>
    <w:link w:val="FootnoteTextChar"/>
    <w:uiPriority w:val="99"/>
    <w:qFormat/>
    <w:pPr>
      <w:spacing w:line="200" w:lineRule="exact"/>
    </w:pPr>
    <w:rPr>
      <w:snapToGrid w:val="0"/>
      <w:sz w:val="16"/>
    </w:rPr>
  </w:style>
  <w:style w:type="paragraph" w:styleId="TOC2">
    <w:name w:val="toc 2"/>
    <w:basedOn w:val="Normal"/>
    <w:next w:val="Normal"/>
    <w:qFormat/>
    <w:pPr>
      <w:widowControl w:val="0"/>
      <w:spacing w:line="240" w:lineRule="auto"/>
      <w:ind w:leftChars="200" w:left="420"/>
    </w:pPr>
    <w:rPr>
      <w:rFonts w:ascii="Calibri" w:eastAsia="SimSun" w:hAnsi="Calibri"/>
      <w:kern w:val="2"/>
      <w:sz w:val="21"/>
      <w:lang w:eastAsia="zh-CN"/>
    </w:rPr>
  </w:style>
  <w:style w:type="paragraph" w:styleId="HTMLPreformatted">
    <w:name w:val="HTML Preformatted"/>
    <w:basedOn w:val="Normal"/>
    <w:link w:val="HTMLPreformattedChar"/>
    <w:qFormat/>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SimSun" w:eastAsia="SimSun" w:hAnsi="SimSun" w:hint="eastAsia"/>
      <w:sz w:val="24"/>
      <w:lang w:eastAsia="zh-CN"/>
    </w:rPr>
  </w:style>
  <w:style w:type="paragraph" w:styleId="NormalWeb">
    <w:name w:val="Normal (Web)"/>
    <w:basedOn w:val="Normal"/>
    <w:uiPriority w:val="99"/>
    <w:qFormat/>
    <w:pPr>
      <w:widowControl w:val="0"/>
      <w:spacing w:before="100" w:beforeAutospacing="1" w:after="100" w:afterAutospacing="1" w:line="240" w:lineRule="auto"/>
      <w:jc w:val="left"/>
    </w:pPr>
    <w:rPr>
      <w:rFonts w:ascii="Calibri" w:eastAsia="SimSun" w:hAnsi="Calibri"/>
      <w:sz w:val="24"/>
      <w:lang w:eastAsia="zh-CN"/>
    </w:rPr>
  </w:style>
  <w:style w:type="character" w:styleId="Strong">
    <w:name w:val="Strong"/>
    <w:qFormat/>
    <w:rPr>
      <w:color w:val="CC0000"/>
    </w:rPr>
  </w:style>
  <w:style w:type="character" w:styleId="PageNumber">
    <w:name w:val="page number"/>
    <w:basedOn w:val="DefaultParagraphFont"/>
    <w:qFormat/>
  </w:style>
  <w:style w:type="character" w:styleId="FollowedHyperlink">
    <w:name w:val="FollowedHyperlink"/>
    <w:qFormat/>
    <w:rPr>
      <w:color w:val="0000CC"/>
      <w:u w:val="none"/>
    </w:rPr>
  </w:style>
  <w:style w:type="character" w:styleId="Emphasis">
    <w:name w:val="Emphasis"/>
    <w:qFormat/>
    <w:rPr>
      <w:color w:val="CC0000"/>
    </w:rPr>
  </w:style>
  <w:style w:type="character" w:styleId="HTMLDefinition">
    <w:name w:val="HTML Definition"/>
    <w:qFormat/>
  </w:style>
  <w:style w:type="character" w:styleId="HTMLAcronym">
    <w:name w:val="HTML Acronym"/>
    <w:basedOn w:val="DefaultParagraphFont"/>
    <w:qFormat/>
  </w:style>
  <w:style w:type="character" w:styleId="HTMLVariable">
    <w:name w:val="HTML Variable"/>
    <w:qFormat/>
  </w:style>
  <w:style w:type="character" w:styleId="Hyperlink">
    <w:name w:val="Hyperlink"/>
    <w:basedOn w:val="DefaultParagraphFont"/>
    <w:unhideWhenUsed/>
    <w:qFormat/>
    <w:rPr>
      <w:color w:val="0563C1" w:themeColor="hyperlink"/>
      <w:u w:val="single"/>
    </w:rPr>
  </w:style>
  <w:style w:type="character" w:styleId="HTMLCode">
    <w:name w:val="HTML Code"/>
    <w:qFormat/>
    <w:rPr>
      <w:rFonts w:ascii="Courier New" w:hAnsi="Courier New"/>
      <w:sz w:val="20"/>
    </w:rPr>
  </w:style>
  <w:style w:type="character" w:styleId="CommentReference">
    <w:name w:val="annotation reference"/>
    <w:qFormat/>
    <w:rPr>
      <w:sz w:val="21"/>
      <w:szCs w:val="21"/>
    </w:rPr>
  </w:style>
  <w:style w:type="character" w:styleId="HTMLCite">
    <w:name w:val="HTML Cite"/>
    <w:qFormat/>
    <w:rPr>
      <w:color w:val="008000"/>
    </w:rPr>
  </w:style>
  <w:style w:type="character" w:styleId="FootnoteReference">
    <w:name w:val="footnote reference"/>
    <w:basedOn w:val="DefaultParagraphFont"/>
    <w:uiPriority w:val="99"/>
    <w:qFormat/>
    <w:rPr>
      <w:vertAlign w:val="superscript"/>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single" w:sz="6" w:space="0" w:color="000000"/>
          <w:bottom w:val="nil"/>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paragraph" w:customStyle="1" w:styleId="JournalTitle">
    <w:name w:val="Journal Title"/>
    <w:basedOn w:val="Normal"/>
    <w:qFormat/>
    <w:pPr>
      <w:spacing w:before="1000" w:after="400" w:line="240" w:lineRule="exact"/>
      <w:jc w:val="center"/>
    </w:pPr>
    <w:rPr>
      <w:b/>
      <w:caps/>
    </w:rPr>
  </w:style>
  <w:style w:type="paragraph" w:customStyle="1" w:styleId="Text">
    <w:name w:val="Text"/>
    <w:basedOn w:val="Normal"/>
    <w:qFormat/>
    <w:pPr>
      <w:tabs>
        <w:tab w:val="right" w:pos="7200"/>
      </w:tabs>
    </w:pPr>
  </w:style>
  <w:style w:type="paragraph" w:customStyle="1" w:styleId="Equation">
    <w:name w:val="Equation"/>
    <w:basedOn w:val="Normal"/>
    <w:next w:val="Normal"/>
    <w:qFormat/>
    <w:pPr>
      <w:tabs>
        <w:tab w:val="center" w:pos="3600"/>
        <w:tab w:val="right" w:pos="7200"/>
      </w:tabs>
      <w:autoSpaceDE w:val="0"/>
      <w:autoSpaceDN w:val="0"/>
      <w:spacing w:before="60" w:after="60" w:line="240" w:lineRule="auto"/>
    </w:pPr>
  </w:style>
  <w:style w:type="paragraph" w:customStyle="1" w:styleId="BodyText0">
    <w:name w:val="Body Text 0"/>
    <w:basedOn w:val="BodyText"/>
    <w:next w:val="BodyText"/>
    <w:qFormat/>
    <w:pPr>
      <w:ind w:firstLine="0"/>
    </w:pPr>
  </w:style>
  <w:style w:type="character" w:customStyle="1" w:styleId="MTEquationSection">
    <w:name w:val="MTEquationSection"/>
    <w:basedOn w:val="DefaultParagraphFont"/>
    <w:qFormat/>
    <w:rPr>
      <w:vanish/>
      <w:color w:val="FF0000"/>
    </w:rPr>
  </w:style>
  <w:style w:type="paragraph" w:customStyle="1" w:styleId="Reference">
    <w:name w:val="Reference"/>
    <w:basedOn w:val="Normal"/>
    <w:qFormat/>
    <w:pPr>
      <w:numPr>
        <w:numId w:val="3"/>
      </w:numPr>
      <w:spacing w:line="220" w:lineRule="exact"/>
    </w:pPr>
    <w:rPr>
      <w:sz w:val="18"/>
      <w:szCs w:val="18"/>
    </w:rPr>
  </w:style>
  <w:style w:type="paragraph" w:customStyle="1" w:styleId="TextIndent">
    <w:name w:val="Text Indent"/>
    <w:qFormat/>
    <w:pPr>
      <w:spacing w:line="260" w:lineRule="exact"/>
      <w:ind w:firstLine="302"/>
      <w:jc w:val="both"/>
    </w:pPr>
    <w:rPr>
      <w:rFonts w:eastAsiaTheme="minorEastAsia"/>
      <w:lang w:eastAsia="en-US"/>
    </w:rPr>
  </w:style>
  <w:style w:type="paragraph" w:customStyle="1" w:styleId="Appendix1">
    <w:name w:val="Appendix 1"/>
    <w:basedOn w:val="Normal"/>
    <w:next w:val="BodyText0"/>
    <w:qFormat/>
    <w:pPr>
      <w:keepNext/>
      <w:keepLines/>
      <w:numPr>
        <w:numId w:val="4"/>
      </w:numPr>
      <w:tabs>
        <w:tab w:val="left" w:pos="360"/>
      </w:tabs>
      <w:suppressAutoHyphens/>
      <w:autoSpaceDE w:val="0"/>
      <w:autoSpaceDN w:val="0"/>
      <w:spacing w:before="200" w:after="80"/>
      <w:ind w:left="0" w:firstLine="0"/>
      <w:outlineLvl w:val="0"/>
    </w:pPr>
    <w:rPr>
      <w:b/>
    </w:rPr>
  </w:style>
  <w:style w:type="paragraph" w:customStyle="1" w:styleId="Appendix2">
    <w:name w:val="Appendix 2"/>
    <w:basedOn w:val="Appendix1"/>
    <w:next w:val="BodyText0"/>
    <w:qFormat/>
    <w:pPr>
      <w:numPr>
        <w:ilvl w:val="1"/>
      </w:numPr>
      <w:ind w:left="0" w:firstLine="0"/>
      <w:outlineLvl w:val="1"/>
    </w:pPr>
    <w:rPr>
      <w:i/>
    </w:rPr>
  </w:style>
  <w:style w:type="paragraph" w:customStyle="1" w:styleId="Table">
    <w:name w:val="Table"/>
    <w:basedOn w:val="Text"/>
    <w:qFormat/>
    <w:pPr>
      <w:spacing w:line="220" w:lineRule="exact"/>
      <w:ind w:left="-86" w:right="-155"/>
      <w:jc w:val="left"/>
    </w:pPr>
    <w:rPr>
      <w:sz w:val="16"/>
    </w:rPr>
  </w:style>
  <w:style w:type="paragraph" w:customStyle="1" w:styleId="Author">
    <w:name w:val="Author"/>
    <w:basedOn w:val="Normal"/>
    <w:qFormat/>
    <w:pPr>
      <w:spacing w:before="40" w:after="100"/>
      <w:jc w:val="center"/>
    </w:pPr>
    <w:rPr>
      <w:snapToGrid w:val="0"/>
      <w:sz w:val="16"/>
    </w:rPr>
  </w:style>
  <w:style w:type="paragraph" w:customStyle="1" w:styleId="Affiliation">
    <w:name w:val="Affiliation"/>
    <w:basedOn w:val="Normal"/>
    <w:qFormat/>
    <w:pPr>
      <w:spacing w:after="240" w:line="200" w:lineRule="exact"/>
      <w:jc w:val="center"/>
    </w:pPr>
    <w:rPr>
      <w:i/>
      <w:snapToGrid w:val="0"/>
      <w:sz w:val="16"/>
    </w:rPr>
  </w:style>
  <w:style w:type="paragraph" w:customStyle="1" w:styleId="Abstract">
    <w:name w:val="Abstract"/>
    <w:basedOn w:val="Text"/>
    <w:qFormat/>
    <w:pPr>
      <w:spacing w:line="200" w:lineRule="exact"/>
      <w:ind w:left="360" w:right="360"/>
    </w:pPr>
    <w:rPr>
      <w:snapToGrid w:val="0"/>
      <w:sz w:val="16"/>
    </w:rPr>
  </w:style>
  <w:style w:type="paragraph" w:customStyle="1" w:styleId="MTDisplayEquation">
    <w:name w:val="MTDisplayEquation"/>
    <w:basedOn w:val="Normal"/>
    <w:next w:val="Normal"/>
    <w:qFormat/>
    <w:pPr>
      <w:widowControl w:val="0"/>
    </w:pPr>
    <w:rPr>
      <w:snapToGrid w:val="0"/>
      <w:lang w:val="zh-CN"/>
    </w:rPr>
  </w:style>
  <w:style w:type="paragraph" w:customStyle="1" w:styleId="Theorem">
    <w:name w:val="Theorem"/>
    <w:basedOn w:val="Text"/>
    <w:qFormat/>
    <w:pPr>
      <w:spacing w:before="200" w:after="200"/>
    </w:pPr>
  </w:style>
  <w:style w:type="paragraph" w:customStyle="1" w:styleId="NList">
    <w:name w:val="NList"/>
    <w:basedOn w:val="List"/>
    <w:qFormat/>
    <w:pPr>
      <w:numPr>
        <w:numId w:val="5"/>
      </w:numPr>
    </w:pPr>
  </w:style>
  <w:style w:type="paragraph" w:customStyle="1" w:styleId="AList">
    <w:name w:val="AList"/>
    <w:basedOn w:val="Normal"/>
    <w:qFormat/>
    <w:pPr>
      <w:numPr>
        <w:numId w:val="6"/>
      </w:numPr>
      <w:tabs>
        <w:tab w:val="clear" w:pos="360"/>
      </w:tabs>
      <w:spacing w:line="240" w:lineRule="exact"/>
    </w:pPr>
  </w:style>
  <w:style w:type="paragraph" w:customStyle="1" w:styleId="TableFigureCaption">
    <w:name w:val="Table/Figure Caption"/>
    <w:basedOn w:val="Normal"/>
    <w:link w:val="TableFigureCaptionChar"/>
    <w:qFormat/>
    <w:pPr>
      <w:spacing w:before="240" w:after="120" w:line="200" w:lineRule="exact"/>
      <w:jc w:val="center"/>
    </w:pPr>
    <w:rPr>
      <w:sz w:val="16"/>
    </w:rPr>
  </w:style>
  <w:style w:type="paragraph" w:customStyle="1" w:styleId="History">
    <w:name w:val="History"/>
    <w:basedOn w:val="Text"/>
    <w:qFormat/>
    <w:pPr>
      <w:spacing w:before="160" w:after="200" w:line="200" w:lineRule="exact"/>
      <w:jc w:val="center"/>
    </w:pPr>
    <w:rPr>
      <w:sz w:val="16"/>
    </w:rPr>
  </w:style>
  <w:style w:type="paragraph" w:customStyle="1" w:styleId="Appendix3">
    <w:name w:val="Appendix 3"/>
    <w:basedOn w:val="Appendix2"/>
    <w:next w:val="BodyText0"/>
    <w:qFormat/>
    <w:pPr>
      <w:numPr>
        <w:ilvl w:val="2"/>
      </w:numPr>
      <w:ind w:left="0" w:firstLine="0"/>
      <w:outlineLvl w:val="2"/>
    </w:pPr>
    <w:rPr>
      <w:b w:val="0"/>
    </w:rPr>
  </w:style>
  <w:style w:type="paragraph" w:customStyle="1" w:styleId="keywords">
    <w:name w:val="keywords"/>
    <w:basedOn w:val="Abstract"/>
    <w:qFormat/>
    <w:pPr>
      <w:spacing w:before="120"/>
    </w:pPr>
    <w:rPr>
      <w:szCs w:val="20"/>
    </w:rPr>
  </w:style>
  <w:style w:type="paragraph" w:customStyle="1" w:styleId="ReferenceHead">
    <w:name w:val="Reference Head"/>
    <w:basedOn w:val="JournalTitle"/>
    <w:qFormat/>
    <w:pPr>
      <w:spacing w:before="1360" w:after="1360" w:line="240" w:lineRule="auto"/>
    </w:pPr>
    <w:rPr>
      <w:sz w:val="30"/>
    </w:rPr>
  </w:style>
  <w:style w:type="paragraph" w:customStyle="1" w:styleId="Figure">
    <w:name w:val="Figure"/>
    <w:basedOn w:val="Normal"/>
    <w:qFormat/>
    <w:pPr>
      <w:spacing w:before="60" w:after="60" w:line="240" w:lineRule="auto"/>
    </w:pPr>
  </w:style>
  <w:style w:type="character" w:customStyle="1" w:styleId="TableFigureCaptionChar">
    <w:name w:val="Table/Figure Caption Char"/>
    <w:basedOn w:val="DefaultParagraphFont"/>
    <w:link w:val="TableFigureCaption"/>
    <w:qFormat/>
    <w:rPr>
      <w:sz w:val="16"/>
      <w:szCs w:val="24"/>
      <w:lang w:val="en-US" w:eastAsia="en-US" w:bidi="ar-SA"/>
    </w:rPr>
  </w:style>
  <w:style w:type="character" w:customStyle="1" w:styleId="1">
    <w:name w:val="未处理的提及1"/>
    <w:basedOn w:val="DefaultParagraphFont"/>
    <w:uiPriority w:val="99"/>
    <w:unhideWhenUsed/>
    <w:qFormat/>
    <w:rPr>
      <w:color w:val="605E5C"/>
      <w:shd w:val="clear" w:color="auto" w:fill="E1DFDD"/>
    </w:rPr>
  </w:style>
  <w:style w:type="character" w:customStyle="1" w:styleId="HeaderChar">
    <w:name w:val="Header Char"/>
    <w:link w:val="Header"/>
    <w:qFormat/>
    <w:rPr>
      <w:sz w:val="16"/>
      <w:lang w:eastAsia="en-US"/>
    </w:rPr>
  </w:style>
  <w:style w:type="character" w:customStyle="1" w:styleId="text3">
    <w:name w:val="text3"/>
    <w:qFormat/>
    <w:rPr>
      <w:sz w:val="18"/>
      <w:szCs w:val="18"/>
    </w:rPr>
  </w:style>
  <w:style w:type="character" w:customStyle="1" w:styleId="page-cur">
    <w:name w:val="page-cur"/>
    <w:qFormat/>
    <w:rPr>
      <w:b/>
      <w:color w:val="333333"/>
      <w:bdr w:val="single" w:sz="6" w:space="0" w:color="E5E5E5"/>
      <w:shd w:val="clear" w:color="auto" w:fill="F2F2F2"/>
    </w:rPr>
  </w:style>
  <w:style w:type="character" w:customStyle="1" w:styleId="CommentSubjectChar">
    <w:name w:val="Comment Subject Char"/>
    <w:link w:val="CommentSubject"/>
    <w:qFormat/>
    <w:rPr>
      <w:rFonts w:ascii="Calibri" w:hAnsi="Calibri"/>
      <w:b/>
      <w:bCs/>
      <w:kern w:val="2"/>
      <w:sz w:val="21"/>
      <w:szCs w:val="24"/>
    </w:rPr>
  </w:style>
  <w:style w:type="character" w:customStyle="1" w:styleId="a">
    <w:name w:val="批注文字 字符"/>
    <w:qFormat/>
    <w:rPr>
      <w:rFonts w:ascii="Calibri" w:hAnsi="Calibri"/>
      <w:kern w:val="2"/>
      <w:sz w:val="21"/>
      <w:szCs w:val="24"/>
    </w:rPr>
  </w:style>
  <w:style w:type="character" w:customStyle="1" w:styleId="text1">
    <w:name w:val="text1"/>
    <w:qFormat/>
    <w:rPr>
      <w:sz w:val="18"/>
      <w:szCs w:val="18"/>
    </w:rPr>
  </w:style>
  <w:style w:type="character" w:customStyle="1" w:styleId="text2">
    <w:name w:val="text2"/>
    <w:qFormat/>
    <w:rPr>
      <w:color w:val="FFFFFF"/>
      <w:shd w:val="clear" w:color="auto" w:fill="1596F5"/>
    </w:rPr>
  </w:style>
  <w:style w:type="character" w:customStyle="1" w:styleId="alt-edited1">
    <w:name w:val="alt-edited1"/>
    <w:qFormat/>
    <w:rPr>
      <w:color w:val="4D90F0"/>
    </w:rPr>
  </w:style>
  <w:style w:type="character" w:customStyle="1" w:styleId="FootnoteTextChar">
    <w:name w:val="Footnote Text Char"/>
    <w:link w:val="FootnoteText"/>
    <w:uiPriority w:val="99"/>
    <w:qFormat/>
    <w:rPr>
      <w:snapToGrid w:val="0"/>
      <w:sz w:val="16"/>
      <w:szCs w:val="24"/>
      <w:lang w:eastAsia="en-US"/>
    </w:rPr>
  </w:style>
  <w:style w:type="character" w:customStyle="1" w:styleId="m2">
    <w:name w:val="m2"/>
    <w:qFormat/>
    <w:rPr>
      <w:color w:val="666666"/>
    </w:rPr>
  </w:style>
  <w:style w:type="character" w:customStyle="1" w:styleId="via">
    <w:name w:val="via"/>
    <w:qFormat/>
    <w:rPr>
      <w:color w:val="959595"/>
    </w:rPr>
  </w:style>
  <w:style w:type="character" w:customStyle="1" w:styleId="gt-baf-base-sep">
    <w:name w:val="gt-baf-base-sep"/>
    <w:basedOn w:val="DefaultParagraphFont"/>
    <w:qFormat/>
  </w:style>
  <w:style w:type="character" w:customStyle="1" w:styleId="bg">
    <w:name w:val="bg"/>
    <w:basedOn w:val="DefaultParagraphFont"/>
    <w:qFormat/>
  </w:style>
  <w:style w:type="character" w:customStyle="1" w:styleId="sugg-loading">
    <w:name w:val="sugg-loading"/>
    <w:basedOn w:val="DefaultParagraphFont"/>
    <w:qFormat/>
  </w:style>
  <w:style w:type="character" w:customStyle="1" w:styleId="focus">
    <w:name w:val="focus"/>
    <w:basedOn w:val="DefaultParagraphFont"/>
    <w:qFormat/>
  </w:style>
  <w:style w:type="character" w:customStyle="1" w:styleId="FooterChar">
    <w:name w:val="Footer Char"/>
    <w:link w:val="Footer"/>
    <w:qFormat/>
    <w:rPr>
      <w:szCs w:val="24"/>
      <w:lang w:eastAsia="en-US"/>
    </w:rPr>
  </w:style>
  <w:style w:type="character" w:customStyle="1" w:styleId="text4">
    <w:name w:val="text4"/>
    <w:qFormat/>
    <w:rPr>
      <w:color w:val="FFFFFF"/>
      <w:shd w:val="clear" w:color="auto" w:fill="1596F5"/>
    </w:rPr>
  </w:style>
  <w:style w:type="character" w:customStyle="1" w:styleId="prop">
    <w:name w:val="prop"/>
    <w:qFormat/>
    <w:rPr>
      <w:rFonts w:ascii="Arial" w:hAnsi="Arial" w:cs="Arial"/>
      <w:color w:val="958D79"/>
      <w:sz w:val="24"/>
      <w:szCs w:val="24"/>
    </w:rPr>
  </w:style>
  <w:style w:type="character" w:customStyle="1" w:styleId="BalloonTextChar">
    <w:name w:val="Balloon Text Char"/>
    <w:link w:val="BalloonText"/>
    <w:qFormat/>
    <w:rPr>
      <w:rFonts w:ascii="Calibri" w:hAnsi="Calibri"/>
      <w:kern w:val="2"/>
      <w:sz w:val="18"/>
      <w:szCs w:val="18"/>
    </w:rPr>
  </w:style>
  <w:style w:type="character" w:customStyle="1" w:styleId="text0">
    <w:name w:val="text"/>
    <w:qFormat/>
    <w:rPr>
      <w:color w:val="333333"/>
      <w:sz w:val="21"/>
      <w:szCs w:val="21"/>
    </w:rPr>
  </w:style>
  <w:style w:type="character" w:customStyle="1" w:styleId="apple-converted-space">
    <w:name w:val="apple-converted-space"/>
    <w:qFormat/>
  </w:style>
  <w:style w:type="character" w:customStyle="1" w:styleId="high-light-bg4">
    <w:name w:val="high-light-bg4"/>
    <w:qFormat/>
  </w:style>
  <w:style w:type="character" w:customStyle="1" w:styleId="name">
    <w:name w:val="name"/>
    <w:basedOn w:val="DefaultParagraphFont"/>
    <w:qFormat/>
  </w:style>
  <w:style w:type="character" w:customStyle="1" w:styleId="gt-baf-pos">
    <w:name w:val="gt-baf-pos"/>
    <w:qFormat/>
    <w:rPr>
      <w:color w:val="777777"/>
    </w:rPr>
  </w:style>
  <w:style w:type="character" w:customStyle="1" w:styleId="CommentTextChar">
    <w:name w:val="Comment Text Char"/>
    <w:basedOn w:val="DefaultParagraphFont"/>
    <w:link w:val="CommentText"/>
    <w:uiPriority w:val="99"/>
    <w:semiHidden/>
    <w:qFormat/>
    <w:rPr>
      <w:szCs w:val="24"/>
      <w:lang w:eastAsia="en-US"/>
    </w:rPr>
  </w:style>
  <w:style w:type="character" w:customStyle="1" w:styleId="10">
    <w:name w:val="批注主题 字符1"/>
    <w:basedOn w:val="CommentTextChar"/>
    <w:uiPriority w:val="99"/>
    <w:semiHidden/>
    <w:qFormat/>
    <w:rPr>
      <w:b/>
      <w:bCs/>
      <w:szCs w:val="24"/>
      <w:lang w:eastAsia="en-US"/>
    </w:rPr>
  </w:style>
  <w:style w:type="paragraph" w:customStyle="1" w:styleId="z-1">
    <w:name w:val="z-窗体顶端1"/>
    <w:basedOn w:val="Normal"/>
    <w:next w:val="Normal"/>
    <w:qFormat/>
    <w:pPr>
      <w:widowControl w:val="0"/>
      <w:pBdr>
        <w:bottom w:val="single" w:sz="6" w:space="1" w:color="auto"/>
      </w:pBdr>
      <w:spacing w:line="240" w:lineRule="auto"/>
      <w:jc w:val="center"/>
    </w:pPr>
    <w:rPr>
      <w:rFonts w:ascii="Arial" w:eastAsia="SimSun" w:hAnsi="Calibri"/>
      <w:vanish/>
      <w:kern w:val="2"/>
      <w:sz w:val="16"/>
      <w:lang w:eastAsia="zh-CN"/>
    </w:rPr>
  </w:style>
  <w:style w:type="paragraph" w:customStyle="1" w:styleId="tgt">
    <w:name w:val="tgt"/>
    <w:basedOn w:val="Normal"/>
    <w:qFormat/>
    <w:pPr>
      <w:widowControl w:val="0"/>
      <w:spacing w:after="126" w:line="240" w:lineRule="auto"/>
      <w:jc w:val="left"/>
    </w:pPr>
    <w:rPr>
      <w:rFonts w:ascii="Calibri" w:eastAsia="SimSun" w:hAnsi="Calibri"/>
      <w:sz w:val="21"/>
      <w:lang w:eastAsia="zh-CN"/>
    </w:rPr>
  </w:style>
  <w:style w:type="character" w:customStyle="1" w:styleId="HTMLPreformattedChar">
    <w:name w:val="HTML Preformatted Char"/>
    <w:basedOn w:val="DefaultParagraphFont"/>
    <w:link w:val="HTMLPreformatted"/>
    <w:qFormat/>
    <w:rPr>
      <w:rFonts w:ascii="SimSun" w:eastAsia="SimSun" w:hAnsi="SimSun"/>
      <w:sz w:val="24"/>
      <w:szCs w:val="24"/>
    </w:rPr>
  </w:style>
  <w:style w:type="paragraph" w:customStyle="1" w:styleId="sentence-other">
    <w:name w:val="sentence-other"/>
    <w:basedOn w:val="Normal"/>
    <w:qFormat/>
    <w:pPr>
      <w:widowControl w:val="0"/>
      <w:spacing w:line="240" w:lineRule="auto"/>
      <w:jc w:val="left"/>
    </w:pPr>
    <w:rPr>
      <w:rFonts w:ascii="Microsoft YaHei" w:eastAsia="Microsoft YaHei" w:hAnsi="Microsoft YaHei"/>
      <w:sz w:val="24"/>
      <w:lang w:eastAsia="zh-CN"/>
    </w:rPr>
  </w:style>
  <w:style w:type="character" w:customStyle="1" w:styleId="11">
    <w:name w:val="批注框文本 字符1"/>
    <w:basedOn w:val="DefaultParagraphFont"/>
    <w:uiPriority w:val="99"/>
    <w:semiHidden/>
    <w:qFormat/>
    <w:rPr>
      <w:rFonts w:ascii="SimSun" w:eastAsia="SimSun"/>
      <w:sz w:val="18"/>
      <w:szCs w:val="18"/>
      <w:lang w:eastAsia="en-US"/>
    </w:rPr>
  </w:style>
  <w:style w:type="paragraph" w:customStyle="1" w:styleId="tgt4">
    <w:name w:val="tgt4"/>
    <w:basedOn w:val="Normal"/>
    <w:qFormat/>
    <w:pPr>
      <w:widowControl w:val="0"/>
      <w:spacing w:after="150" w:line="360" w:lineRule="auto"/>
      <w:jc w:val="left"/>
    </w:pPr>
    <w:rPr>
      <w:rFonts w:ascii="Calibri" w:eastAsia="SimSun" w:hAnsi="Calibri"/>
      <w:b/>
      <w:sz w:val="31"/>
      <w:szCs w:val="31"/>
      <w:lang w:eastAsia="zh-CN"/>
    </w:rPr>
  </w:style>
  <w:style w:type="paragraph" w:customStyle="1" w:styleId="-11">
    <w:name w:val="彩色底纹 - 着色 11"/>
    <w:uiPriority w:val="99"/>
    <w:unhideWhenUsed/>
    <w:qFormat/>
    <w:rPr>
      <w:rFonts w:ascii="Calibri" w:hAnsi="Calibri"/>
      <w:kern w:val="2"/>
      <w:sz w:val="21"/>
      <w:szCs w:val="24"/>
    </w:rPr>
  </w:style>
  <w:style w:type="paragraph" w:customStyle="1" w:styleId="ListParagraph1">
    <w:name w:val="List Paragraph1"/>
    <w:basedOn w:val="Normal"/>
    <w:uiPriority w:val="99"/>
    <w:qFormat/>
    <w:pPr>
      <w:widowControl w:val="0"/>
      <w:spacing w:line="240" w:lineRule="auto"/>
      <w:ind w:firstLineChars="200" w:firstLine="420"/>
    </w:pPr>
    <w:rPr>
      <w:rFonts w:ascii="Calibri" w:eastAsia="SimSun" w:hAnsi="Calibri"/>
      <w:kern w:val="2"/>
      <w:sz w:val="21"/>
      <w:lang w:eastAsia="zh-CN"/>
    </w:rPr>
  </w:style>
  <w:style w:type="paragraph" w:customStyle="1" w:styleId="z-10">
    <w:name w:val="z-窗体底端1"/>
    <w:basedOn w:val="Normal"/>
    <w:next w:val="Normal"/>
    <w:qFormat/>
    <w:pPr>
      <w:widowControl w:val="0"/>
      <w:pBdr>
        <w:top w:val="single" w:sz="6" w:space="1" w:color="auto"/>
      </w:pBdr>
      <w:spacing w:line="240" w:lineRule="auto"/>
      <w:jc w:val="center"/>
    </w:pPr>
    <w:rPr>
      <w:rFonts w:ascii="Arial" w:eastAsia="SimSun" w:hAnsi="Calibri"/>
      <w:vanish/>
      <w:kern w:val="2"/>
      <w:sz w:val="16"/>
      <w:lang w:eastAsia="zh-CN"/>
    </w:rPr>
  </w:style>
  <w:style w:type="paragraph" w:customStyle="1" w:styleId="ordinary-output">
    <w:name w:val="ordinary-output"/>
    <w:basedOn w:val="Normal"/>
    <w:qFormat/>
    <w:pPr>
      <w:spacing w:before="100" w:beforeAutospacing="1" w:after="100" w:afterAutospacing="1" w:line="450" w:lineRule="atLeast"/>
      <w:jc w:val="left"/>
    </w:pPr>
    <w:rPr>
      <w:rFonts w:ascii="SimSun" w:eastAsia="SimSun" w:hAnsi="SimSun" w:cs="SimSun"/>
      <w:color w:val="333333"/>
      <w:sz w:val="36"/>
      <w:szCs w:val="36"/>
      <w:lang w:eastAsia="zh-CN"/>
    </w:rPr>
  </w:style>
  <w:style w:type="paragraph" w:customStyle="1" w:styleId="tgt2">
    <w:name w:val="tgt2"/>
    <w:basedOn w:val="Normal"/>
    <w:qFormat/>
    <w:pPr>
      <w:widowControl w:val="0"/>
      <w:spacing w:after="84" w:line="240" w:lineRule="auto"/>
      <w:jc w:val="left"/>
    </w:pPr>
    <w:rPr>
      <w:rFonts w:ascii="Calibri" w:eastAsia="SimSun" w:hAnsi="Calibri"/>
      <w:sz w:val="21"/>
      <w:szCs w:val="21"/>
      <w:lang w:eastAsia="zh-CN"/>
    </w:rPr>
  </w:style>
  <w:style w:type="paragraph" w:styleId="ListParagraph">
    <w:name w:val="List Paragraph"/>
    <w:basedOn w:val="Normal"/>
    <w:uiPriority w:val="34"/>
    <w:qFormat/>
    <w:pPr>
      <w:widowControl w:val="0"/>
      <w:spacing w:line="240" w:lineRule="auto"/>
      <w:ind w:firstLineChars="200" w:firstLine="420"/>
    </w:pPr>
    <w:rPr>
      <w:rFonts w:ascii="Calibri" w:eastAsia="SimSun" w:hAnsi="Calibri"/>
      <w:kern w:val="2"/>
      <w:sz w:val="21"/>
      <w:lang w:eastAsia="zh-CN"/>
    </w:rPr>
  </w:style>
  <w:style w:type="paragraph" w:customStyle="1" w:styleId="2">
    <w:name w:val="列出段落2"/>
    <w:basedOn w:val="Normal"/>
    <w:uiPriority w:val="99"/>
    <w:qFormat/>
    <w:pPr>
      <w:widowControl w:val="0"/>
      <w:spacing w:line="240" w:lineRule="auto"/>
      <w:ind w:firstLineChars="200" w:firstLine="420"/>
    </w:pPr>
    <w:rPr>
      <w:rFonts w:ascii="Calibri" w:eastAsia="SimSun" w:hAnsi="Calibri"/>
      <w:kern w:val="2"/>
      <w:sz w:val="21"/>
      <w:lang w:eastAsia="zh-CN"/>
    </w:rPr>
  </w:style>
  <w:style w:type="paragraph" w:customStyle="1" w:styleId="12">
    <w:name w:val="修订1"/>
    <w:uiPriority w:val="99"/>
    <w:unhideWhenUsed/>
    <w:qFormat/>
    <w:rPr>
      <w:rFonts w:ascii="Calibri" w:hAnsi="Calibri"/>
      <w:kern w:val="2"/>
      <w:sz w:val="21"/>
      <w:szCs w:val="24"/>
    </w:rPr>
  </w:style>
  <w:style w:type="table" w:customStyle="1" w:styleId="6-11">
    <w:name w:val="清单表 6 彩色 - 着色 11"/>
    <w:basedOn w:val="TableNormal"/>
    <w:uiPriority w:val="49"/>
    <w:qFormat/>
    <w:rPr>
      <w:color w:val="2F5496"/>
    </w:rPr>
    <w:tblPr>
      <w:tblBorders>
        <w:top w:val="single" w:sz="4" w:space="0" w:color="4472C4"/>
        <w:bottom w:val="single" w:sz="4" w:space="0" w:color="4472C4"/>
      </w:tblBorders>
    </w:tblPr>
    <w:tblStylePr w:type="firstRow">
      <w:rPr>
        <w:b/>
        <w:bCs/>
      </w:rPr>
      <w:tblPr/>
      <w:tcPr>
        <w:tcBorders>
          <w:top w:val="nil"/>
          <w:left w:val="single" w:sz="4" w:space="0" w:color="4472C4"/>
          <w:bottom w:val="nil"/>
          <w:right w:val="nil"/>
          <w:insideH w:val="nil"/>
          <w:insideV w:val="nil"/>
          <w:tl2br w:val="nil"/>
          <w:tr2bl w:val="nil"/>
        </w:tcBorders>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1Char">
    <w:name w:val="Heading 1 Char"/>
    <w:link w:val="Heading1"/>
    <w:qFormat/>
    <w:rPr>
      <w:b/>
      <w:kern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D:/Program%20Files%20(x86)/Dict/6.3.69.8341/resultui/frame/javascript:void(0);"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D:/Program%20Files%20(x86)/Dict/6.3.69.8341/resultui/frame/javascript:void(0);"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ws-ijmpb.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789B18-5429-4216-952B-521E09BDA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ws-ijmpb.dot</Template>
  <TotalTime>0</TotalTime>
  <Pages>6</Pages>
  <Words>2234</Words>
  <Characters>12735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IJMPB</vt:lpstr>
    </vt:vector>
  </TitlesOfParts>
  <Company>wspc</Company>
  <LinksUpToDate>false</LinksUpToDate>
  <CharactersWithSpaces>14940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IJMPB</dc:title>
  <dc:creator>jianhua liu</dc:creator>
  <dc:description>rajesh &lt;rajesh@wspc.com.sg&gt;</dc:description>
  <cp:lastModifiedBy>Ouyang, Huajiang</cp:lastModifiedBy>
  <cp:revision>2</cp:revision>
  <cp:lastPrinted>2005-03-31T08:14:00Z</cp:lastPrinted>
  <dcterms:created xsi:type="dcterms:W3CDTF">2019-02-09T18:04:00Z</dcterms:created>
  <dcterms:modified xsi:type="dcterms:W3CDTF">2019-02-09T18:04:00Z</dcterms:modified>
  <cp:category>wspc journals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2052-10.1.0.7468</vt:lpwstr>
  </property>
</Properties>
</file>