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A1E" w:rsidRPr="004C0478" w:rsidRDefault="0068055F" w:rsidP="00C61A1E">
      <w:pPr>
        <w:rPr>
          <w:bCs/>
          <w:lang w:val="en-US"/>
        </w:rPr>
      </w:pPr>
      <w:r w:rsidRPr="004C0478">
        <w:rPr>
          <w:lang w:val="en-US"/>
        </w:rPr>
        <w:t>((please add journal code and manuscript number</w:t>
      </w:r>
      <w:r w:rsidR="00E50187" w:rsidRPr="004C0478">
        <w:rPr>
          <w:lang w:val="en-US"/>
        </w:rPr>
        <w:t>, e.g., DOI: 10.1002/</w:t>
      </w:r>
      <w:r w:rsidR="00BF1CDA" w:rsidRPr="004C0478">
        <w:rPr>
          <w:lang w:val="en-US"/>
        </w:rPr>
        <w:t>ppap</w:t>
      </w:r>
      <w:r w:rsidR="00E50187" w:rsidRPr="004C0478">
        <w:rPr>
          <w:lang w:val="en-US"/>
        </w:rPr>
        <w:t>.201100001</w:t>
      </w:r>
      <w:r w:rsidR="00C61A1E" w:rsidRPr="004C0478">
        <w:rPr>
          <w:lang w:val="en-US"/>
        </w:rPr>
        <w:t>))</w:t>
      </w:r>
    </w:p>
    <w:p w:rsidR="00191D0D" w:rsidRPr="004C0478" w:rsidRDefault="00A012E3" w:rsidP="002F5508">
      <w:pPr>
        <w:rPr>
          <w:b/>
          <w:lang w:val="en-US"/>
        </w:rPr>
      </w:pPr>
      <w:r w:rsidRPr="004C0478">
        <w:rPr>
          <w:b/>
          <w:lang w:val="en-US"/>
        </w:rPr>
        <w:t xml:space="preserve">Article type: </w:t>
      </w:r>
      <w:r w:rsidR="008C646A" w:rsidRPr="004C0478">
        <w:rPr>
          <w:lang w:val="en-US"/>
        </w:rPr>
        <w:t>Full paper</w:t>
      </w:r>
    </w:p>
    <w:p w:rsidR="002F5508" w:rsidRPr="004C0478" w:rsidRDefault="002F5508" w:rsidP="002F5508">
      <w:pPr>
        <w:rPr>
          <w:lang w:val="en-US"/>
        </w:rPr>
      </w:pPr>
    </w:p>
    <w:p w:rsidR="00F73029" w:rsidRPr="004C0478" w:rsidRDefault="00665207" w:rsidP="00F73029">
      <w:pPr>
        <w:pStyle w:val="Titel1"/>
        <w:rPr>
          <w:b w:val="0"/>
        </w:rPr>
      </w:pPr>
      <w:r w:rsidRPr="004C0478">
        <w:rPr>
          <w:sz w:val="28"/>
          <w:szCs w:val="28"/>
        </w:rPr>
        <w:t>Critical a</w:t>
      </w:r>
      <w:r w:rsidR="006019AC" w:rsidRPr="004C0478">
        <w:rPr>
          <w:sz w:val="28"/>
          <w:szCs w:val="28"/>
        </w:rPr>
        <w:t>ssessment of the antimicrobial efficacy of cold atmospheric plasma for different intrinsic and extrinsic parameters</w:t>
      </w:r>
    </w:p>
    <w:p w:rsidR="002F5508" w:rsidRPr="004C0478" w:rsidRDefault="002F5508" w:rsidP="002F5508">
      <w:pPr>
        <w:pStyle w:val="Title1"/>
        <w:rPr>
          <w:sz w:val="28"/>
          <w:szCs w:val="28"/>
        </w:rPr>
      </w:pPr>
    </w:p>
    <w:p w:rsidR="00F73029" w:rsidRPr="004C0478" w:rsidRDefault="008C646A" w:rsidP="00F73029">
      <w:pPr>
        <w:pStyle w:val="AuthorsFull"/>
      </w:pPr>
      <w:r w:rsidRPr="004C0478">
        <w:rPr>
          <w:i w:val="0"/>
        </w:rPr>
        <w:t>Cindy Smet</w:t>
      </w:r>
      <w:r w:rsidR="00E164F8" w:rsidRPr="004C0478">
        <w:rPr>
          <w:i w:val="0"/>
        </w:rPr>
        <w:t xml:space="preserve">, </w:t>
      </w:r>
      <w:r w:rsidRPr="004C0478">
        <w:rPr>
          <w:i w:val="0"/>
        </w:rPr>
        <w:t xml:space="preserve">Maria Baka, </w:t>
      </w:r>
      <w:r w:rsidR="002662A6" w:rsidRPr="004C0478">
        <w:rPr>
          <w:i w:val="0"/>
        </w:rPr>
        <w:t>Aaron Dickenson</w:t>
      </w:r>
      <w:r w:rsidR="002662A6" w:rsidRPr="004C0478">
        <w:t xml:space="preserve">, </w:t>
      </w:r>
      <w:r w:rsidRPr="004C0478">
        <w:rPr>
          <w:i w:val="0"/>
        </w:rPr>
        <w:t>James L. Walsh, Vasilis P. Valdramidis, Jan F. Van Impe</w:t>
      </w:r>
      <w:r w:rsidR="00B91B61" w:rsidRPr="004C0478">
        <w:rPr>
          <w:i w:val="0"/>
        </w:rPr>
        <w:t>*</w:t>
      </w:r>
      <w:r w:rsidR="00B91B61" w:rsidRPr="004C0478">
        <w:t xml:space="preserve"> </w:t>
      </w:r>
    </w:p>
    <w:p w:rsidR="00B91B61" w:rsidRPr="004C0478" w:rsidRDefault="00B91B61" w:rsidP="00B91B61">
      <w:pPr>
        <w:pStyle w:val="AuthorsFull"/>
      </w:pPr>
    </w:p>
    <w:p w:rsidR="00A6512C" w:rsidRPr="004C0478" w:rsidRDefault="00A6512C" w:rsidP="00A6512C">
      <w:pPr>
        <w:rPr>
          <w:lang w:val="en-US"/>
        </w:rPr>
      </w:pPr>
      <w:r w:rsidRPr="004C0478">
        <w:rPr>
          <w:lang w:val="en-US"/>
        </w:rPr>
        <w:t>–––––––––</w:t>
      </w:r>
    </w:p>
    <w:p w:rsidR="00A6512C" w:rsidRPr="004C0478" w:rsidRDefault="00A6512C" w:rsidP="002F5508">
      <w:pPr>
        <w:rPr>
          <w:lang w:val="en-US"/>
        </w:rPr>
      </w:pPr>
    </w:p>
    <w:p w:rsidR="00A7273E" w:rsidRPr="004C0478" w:rsidRDefault="006F1401" w:rsidP="00E164F8">
      <w:pPr>
        <w:pStyle w:val="Addresses"/>
      </w:pPr>
      <w:r w:rsidRPr="004C0478">
        <w:t xml:space="preserve">Dr. </w:t>
      </w:r>
      <w:r w:rsidR="00BA366C" w:rsidRPr="004C0478">
        <w:t>C.</w:t>
      </w:r>
      <w:r w:rsidR="00A7273E" w:rsidRPr="004C0478">
        <w:t xml:space="preserve"> Smet</w:t>
      </w:r>
      <w:r w:rsidR="00E164F8" w:rsidRPr="004C0478">
        <w:t xml:space="preserve">, </w:t>
      </w:r>
      <w:r w:rsidR="00BA366C" w:rsidRPr="004C0478">
        <w:t>Dr. M.</w:t>
      </w:r>
      <w:r w:rsidR="00A7273E" w:rsidRPr="004C0478">
        <w:t xml:space="preserve"> Baka, </w:t>
      </w:r>
      <w:r w:rsidR="00E164F8" w:rsidRPr="004C0478">
        <w:t xml:space="preserve">Prof. </w:t>
      </w:r>
      <w:r w:rsidR="00BA366C" w:rsidRPr="004C0478">
        <w:t>J.</w:t>
      </w:r>
      <w:r w:rsidR="00A7273E" w:rsidRPr="004C0478">
        <w:t xml:space="preserve"> F. Van Impe</w:t>
      </w:r>
      <w:r w:rsidR="00E164F8" w:rsidRPr="004C0478">
        <w:t xml:space="preserve"> </w:t>
      </w:r>
    </w:p>
    <w:p w:rsidR="009538A2" w:rsidRPr="004C0478" w:rsidRDefault="009538A2" w:rsidP="00E164F8">
      <w:pPr>
        <w:pStyle w:val="Addresses"/>
      </w:pPr>
      <w:r w:rsidRPr="004C0478">
        <w:t xml:space="preserve">BioTeC+ - Chemical and Biochemical Process Technology and Control (KU Leuven), </w:t>
      </w:r>
    </w:p>
    <w:p w:rsidR="00446B24" w:rsidRPr="004C0478" w:rsidRDefault="00BA366C" w:rsidP="00E164F8">
      <w:pPr>
        <w:pStyle w:val="Addresses"/>
      </w:pPr>
      <w:r w:rsidRPr="004C0478">
        <w:t>Gebroeders Desmetstraat 1</w:t>
      </w:r>
      <w:r w:rsidR="00E164F8" w:rsidRPr="004C0478">
        <w:t xml:space="preserve">, </w:t>
      </w:r>
      <w:r w:rsidR="009538A2" w:rsidRPr="004C0478">
        <w:t>9000 Gent</w:t>
      </w:r>
      <w:r w:rsidR="00813882" w:rsidRPr="004C0478">
        <w:t xml:space="preserve">, </w:t>
      </w:r>
      <w:r w:rsidR="009538A2" w:rsidRPr="004C0478">
        <w:t>Belgium</w:t>
      </w:r>
    </w:p>
    <w:p w:rsidR="00446B24" w:rsidRPr="004C0478" w:rsidRDefault="00446B24" w:rsidP="00E164F8">
      <w:pPr>
        <w:pStyle w:val="Addresses"/>
      </w:pPr>
      <w:r w:rsidRPr="004C0478">
        <w:t>OPTEC, Optimization in Engineering Center-of-Excellence (KU Leuven), Belgium</w:t>
      </w:r>
    </w:p>
    <w:p w:rsidR="00E164F8" w:rsidRPr="004C0478" w:rsidRDefault="00446B24" w:rsidP="00E164F8">
      <w:pPr>
        <w:pStyle w:val="Addresses"/>
      </w:pPr>
      <w:r w:rsidRPr="004C0478">
        <w:t>CPMF², Flemish Cluster Predictive Microbiology in Foods, www.cpmf2.be, Belgium</w:t>
      </w:r>
      <w:r w:rsidR="00E164F8" w:rsidRPr="004C0478">
        <w:br/>
        <w:t xml:space="preserve">E-mail: </w:t>
      </w:r>
      <w:r w:rsidR="00A7273E" w:rsidRPr="004C0478">
        <w:t>jan.vanimpe@kuleuven.be</w:t>
      </w:r>
    </w:p>
    <w:p w:rsidR="00A7273E" w:rsidRPr="004C0478" w:rsidRDefault="00A7273E" w:rsidP="00E164F8">
      <w:pPr>
        <w:pStyle w:val="Addresses"/>
      </w:pPr>
    </w:p>
    <w:p w:rsidR="00E164F8" w:rsidRPr="004C0478" w:rsidRDefault="002662A6" w:rsidP="00E164F8">
      <w:pPr>
        <w:pStyle w:val="Addresses"/>
      </w:pPr>
      <w:r w:rsidRPr="004C0478">
        <w:t xml:space="preserve">A. Dickenson, </w:t>
      </w:r>
      <w:r w:rsidR="00E164F8" w:rsidRPr="004C0478">
        <w:t xml:space="preserve">Dr. </w:t>
      </w:r>
      <w:r w:rsidR="00BA366C" w:rsidRPr="004C0478">
        <w:t>J.</w:t>
      </w:r>
      <w:r w:rsidR="00A7273E" w:rsidRPr="004C0478">
        <w:t xml:space="preserve"> L. Walsh</w:t>
      </w:r>
      <w:r w:rsidR="00E164F8" w:rsidRPr="004C0478">
        <w:br/>
      </w:r>
      <w:r w:rsidR="009538A2" w:rsidRPr="004C0478">
        <w:t>Department of Electrical Engineering and Electronics (University of Liverpool)</w:t>
      </w:r>
      <w:r w:rsidR="00E164F8" w:rsidRPr="004C0478">
        <w:t xml:space="preserve">, </w:t>
      </w:r>
      <w:r w:rsidR="00446B24" w:rsidRPr="004C0478">
        <w:t>United Kingdom</w:t>
      </w:r>
    </w:p>
    <w:p w:rsidR="00A7273E" w:rsidRPr="004C0478" w:rsidRDefault="00A7273E" w:rsidP="00A7273E">
      <w:pPr>
        <w:pStyle w:val="Addresses"/>
      </w:pPr>
    </w:p>
    <w:p w:rsidR="00A7273E" w:rsidRPr="004C0478" w:rsidRDefault="00A7273E" w:rsidP="00A7273E">
      <w:pPr>
        <w:pStyle w:val="Addresses"/>
      </w:pPr>
      <w:r w:rsidRPr="004C0478">
        <w:t xml:space="preserve">Dr. </w:t>
      </w:r>
      <w:r w:rsidR="00BA366C" w:rsidRPr="004C0478">
        <w:t>V.</w:t>
      </w:r>
      <w:r w:rsidRPr="004C0478">
        <w:t xml:space="preserve"> P. Valdramidis</w:t>
      </w:r>
      <w:r w:rsidRPr="004C0478">
        <w:br/>
      </w:r>
      <w:r w:rsidR="009538A2" w:rsidRPr="004C0478">
        <w:t>Department of Food Studies and Environmental Health, Faculty of Health Sciences (University of Malta)</w:t>
      </w:r>
      <w:r w:rsidRPr="004C0478">
        <w:t xml:space="preserve">, </w:t>
      </w:r>
      <w:r w:rsidR="00446B24" w:rsidRPr="004C0478">
        <w:t xml:space="preserve">Msida </w:t>
      </w:r>
      <w:r w:rsidR="00A272F5" w:rsidRPr="004C0478">
        <w:t>2080</w:t>
      </w:r>
      <w:r w:rsidRPr="004C0478">
        <w:t xml:space="preserve">, </w:t>
      </w:r>
      <w:r w:rsidR="00A272F5" w:rsidRPr="004C0478">
        <w:t>Malta</w:t>
      </w:r>
    </w:p>
    <w:p w:rsidR="00446B24" w:rsidRPr="004C0478" w:rsidRDefault="00446B24" w:rsidP="00A7273E">
      <w:pPr>
        <w:pStyle w:val="Addresses"/>
      </w:pPr>
      <w:r w:rsidRPr="004C0478">
        <w:t>Centre for Molecular Medicine and Biobanking (University of Malta), Msida 2080, Malta</w:t>
      </w:r>
    </w:p>
    <w:p w:rsidR="00E164F8" w:rsidRPr="004C0478" w:rsidRDefault="00E164F8" w:rsidP="00E164F8">
      <w:pPr>
        <w:pStyle w:val="Addresses"/>
      </w:pPr>
    </w:p>
    <w:p w:rsidR="00A6512C" w:rsidRPr="004C0478" w:rsidRDefault="00A6512C" w:rsidP="00A6512C">
      <w:pPr>
        <w:rPr>
          <w:lang w:val="en-US"/>
        </w:rPr>
      </w:pPr>
      <w:r w:rsidRPr="004C0478">
        <w:rPr>
          <w:lang w:val="en-US"/>
        </w:rPr>
        <w:t>–––––––––</w:t>
      </w:r>
    </w:p>
    <w:p w:rsidR="00507CE4" w:rsidRPr="004C0478" w:rsidRDefault="00507CE4" w:rsidP="000D040F">
      <w:pPr>
        <w:spacing w:line="480" w:lineRule="auto"/>
        <w:jc w:val="both"/>
        <w:rPr>
          <w:rStyle w:val="mainChar"/>
          <w:lang w:val="en-US"/>
        </w:rPr>
      </w:pPr>
    </w:p>
    <w:p w:rsidR="00281B31" w:rsidRPr="004C0478" w:rsidRDefault="000D040F" w:rsidP="000D040F">
      <w:pPr>
        <w:spacing w:line="480" w:lineRule="auto"/>
        <w:jc w:val="both"/>
        <w:rPr>
          <w:lang w:val="en-US"/>
        </w:rPr>
      </w:pPr>
      <w:r w:rsidRPr="004C0478">
        <w:rPr>
          <w:rStyle w:val="mainChar"/>
          <w:lang w:val="en-US"/>
        </w:rPr>
        <w:t xml:space="preserve">Cold atmospheric plasma offers great potential for </w:t>
      </w:r>
      <w:r w:rsidR="00520F5A" w:rsidRPr="004C0478">
        <w:rPr>
          <w:rStyle w:val="mainChar"/>
          <w:lang w:val="en-US"/>
        </w:rPr>
        <w:t>decontamination</w:t>
      </w:r>
      <w:r w:rsidRPr="004C0478">
        <w:rPr>
          <w:rStyle w:val="mainChar"/>
          <w:lang w:val="en-US"/>
        </w:rPr>
        <w:t xml:space="preserve"> of heat-sensitive foods. CAP research is often case specific, due to its focus on specific target microorganisms and food products. </w:t>
      </w:r>
      <w:bookmarkStart w:id="0" w:name="_Hlk483851624"/>
      <w:r w:rsidRPr="004C0478">
        <w:rPr>
          <w:rStyle w:val="mainChar"/>
          <w:lang w:val="en-US"/>
        </w:rPr>
        <w:t xml:space="preserve">In this work, </w:t>
      </w:r>
      <w:r w:rsidR="001A73FC" w:rsidRPr="004C0478">
        <w:rPr>
          <w:rStyle w:val="mainChar"/>
          <w:lang w:val="en-US"/>
        </w:rPr>
        <w:t xml:space="preserve">the impact of </w:t>
      </w:r>
      <w:r w:rsidRPr="004C0478">
        <w:rPr>
          <w:rStyle w:val="mainChar"/>
          <w:lang w:val="en-US"/>
        </w:rPr>
        <w:t>d</w:t>
      </w:r>
      <w:r w:rsidR="001A73FC" w:rsidRPr="004C0478">
        <w:rPr>
          <w:rStyle w:val="mainChar"/>
          <w:lang w:val="en-US"/>
        </w:rPr>
        <w:t xml:space="preserve">ifferent factors </w:t>
      </w:r>
      <w:r w:rsidR="00497B2A" w:rsidRPr="004C0478">
        <w:rPr>
          <w:rStyle w:val="mainChar"/>
          <w:lang w:val="en-US"/>
        </w:rPr>
        <w:t xml:space="preserve">influencing the CAP efficacy is </w:t>
      </w:r>
      <w:r w:rsidRPr="004C0478">
        <w:rPr>
          <w:rStyle w:val="mainChar"/>
          <w:lang w:val="en-US"/>
        </w:rPr>
        <w:t xml:space="preserve">assessed: </w:t>
      </w:r>
      <w:r w:rsidR="001A73FC" w:rsidRPr="004C0478">
        <w:rPr>
          <w:rStyle w:val="mainChar"/>
          <w:lang w:val="en-US"/>
        </w:rPr>
        <w:t>CAP set-up</w:t>
      </w:r>
      <w:r w:rsidR="00497B2A" w:rsidRPr="004C0478">
        <w:rPr>
          <w:rStyle w:val="mainChar"/>
          <w:lang w:val="en-US"/>
        </w:rPr>
        <w:t xml:space="preserve"> (DBD electrode, operating on He/O</w:t>
      </w:r>
      <w:r w:rsidR="00497B2A" w:rsidRPr="004C0478">
        <w:rPr>
          <w:rStyle w:val="mainChar"/>
          <w:vertAlign w:val="subscript"/>
          <w:lang w:val="en-US"/>
        </w:rPr>
        <w:t>2</w:t>
      </w:r>
      <w:r w:rsidR="00497B2A" w:rsidRPr="004C0478">
        <w:rPr>
          <w:rStyle w:val="mainChar"/>
          <w:lang w:val="en-US"/>
        </w:rPr>
        <w:t>)</w:t>
      </w:r>
      <w:r w:rsidR="00B27905" w:rsidRPr="004C0478">
        <w:rPr>
          <w:rStyle w:val="mainChar"/>
          <w:lang w:val="en-US"/>
        </w:rPr>
        <w:t>, type of</w:t>
      </w:r>
      <w:r w:rsidR="00497B2A" w:rsidRPr="004C0478">
        <w:rPr>
          <w:rStyle w:val="mainChar"/>
          <w:lang w:val="en-US"/>
        </w:rPr>
        <w:t xml:space="preserve"> pathogen</w:t>
      </w:r>
      <w:r w:rsidR="001A73FC" w:rsidRPr="004C0478">
        <w:rPr>
          <w:rStyle w:val="mainChar"/>
          <w:lang w:val="en-US"/>
        </w:rPr>
        <w:t>,</w:t>
      </w:r>
      <w:r w:rsidRPr="004C0478">
        <w:rPr>
          <w:rStyle w:val="mainChar"/>
          <w:lang w:val="en-US"/>
        </w:rPr>
        <w:t xml:space="preserve"> </w:t>
      </w:r>
      <w:r w:rsidR="001A73FC" w:rsidRPr="004C0478">
        <w:rPr>
          <w:rStyle w:val="mainChar"/>
          <w:lang w:val="en-US"/>
        </w:rPr>
        <w:t>model system properties</w:t>
      </w:r>
      <w:r w:rsidRPr="004C0478">
        <w:rPr>
          <w:rStyle w:val="mainChar"/>
          <w:lang w:val="en-US"/>
        </w:rPr>
        <w:t xml:space="preserve"> and </w:t>
      </w:r>
      <w:r w:rsidR="001A73FC" w:rsidRPr="004C0478">
        <w:rPr>
          <w:rStyle w:val="mainChar"/>
          <w:lang w:val="en-US"/>
        </w:rPr>
        <w:t xml:space="preserve">experimental </w:t>
      </w:r>
      <w:r w:rsidRPr="004C0478">
        <w:rPr>
          <w:rStyle w:val="mainChar"/>
          <w:lang w:val="en-US"/>
        </w:rPr>
        <w:t>protocol</w:t>
      </w:r>
      <w:r w:rsidR="00520F5A" w:rsidRPr="004C0478">
        <w:rPr>
          <w:rStyle w:val="mainChar"/>
          <w:lang w:val="en-US"/>
        </w:rPr>
        <w:t>.</w:t>
      </w:r>
      <w:bookmarkEnd w:id="0"/>
      <w:r w:rsidR="00520F5A" w:rsidRPr="004C0478">
        <w:rPr>
          <w:rStyle w:val="mainChar"/>
          <w:lang w:val="en-US"/>
        </w:rPr>
        <w:t xml:space="preserve"> By using</w:t>
      </w:r>
      <w:r w:rsidRPr="004C0478">
        <w:rPr>
          <w:rStyle w:val="mainChar"/>
          <w:lang w:val="en-US"/>
        </w:rPr>
        <w:t xml:space="preserve"> (food) model systems, the effect of product properties is accurately </w:t>
      </w:r>
      <w:r w:rsidR="00520F5A" w:rsidRPr="004C0478">
        <w:rPr>
          <w:rStyle w:val="mainChar"/>
          <w:lang w:val="en-US"/>
        </w:rPr>
        <w:t>investigated. Moreover, remaining</w:t>
      </w:r>
      <w:r w:rsidRPr="004C0478">
        <w:rPr>
          <w:rStyle w:val="mainChar"/>
          <w:lang w:val="en-US"/>
        </w:rPr>
        <w:t xml:space="preserve"> challenges are highlighted and solutions for future studies are suggested. </w:t>
      </w:r>
      <w:bookmarkStart w:id="1" w:name="_Hlk483852211"/>
      <w:r w:rsidRPr="004C0478">
        <w:rPr>
          <w:rStyle w:val="mainChar"/>
          <w:lang w:val="en-US"/>
        </w:rPr>
        <w:t xml:space="preserve">Taking into account all influencing factors, this work provides guidelines and critical points </w:t>
      </w:r>
      <w:r w:rsidR="00CE1CF9" w:rsidRPr="004C0478">
        <w:rPr>
          <w:rStyle w:val="mainChar"/>
          <w:lang w:val="en-US"/>
        </w:rPr>
        <w:t>(i.e., with respect to set-up, mic</w:t>
      </w:r>
      <w:r w:rsidR="00B27905" w:rsidRPr="004C0478">
        <w:rPr>
          <w:rStyle w:val="mainChar"/>
          <w:lang w:val="en-US"/>
        </w:rPr>
        <w:t xml:space="preserve">roorganisms, food </w:t>
      </w:r>
      <w:r w:rsidR="00CE1CF9" w:rsidRPr="004C0478">
        <w:rPr>
          <w:rStyle w:val="mainChar"/>
          <w:lang w:val="en-US"/>
        </w:rPr>
        <w:t xml:space="preserve">properties and </w:t>
      </w:r>
      <w:r w:rsidR="00B27905" w:rsidRPr="004C0478">
        <w:rPr>
          <w:rStyle w:val="mainChar"/>
          <w:lang w:val="en-US"/>
        </w:rPr>
        <w:t>treatment</w:t>
      </w:r>
      <w:r w:rsidR="00CE1CF9" w:rsidRPr="004C0478">
        <w:rPr>
          <w:rStyle w:val="mainChar"/>
          <w:lang w:val="en-US"/>
        </w:rPr>
        <w:t xml:space="preserve"> protocol) </w:t>
      </w:r>
      <w:r w:rsidR="00520F5A" w:rsidRPr="004C0478">
        <w:rPr>
          <w:rStyle w:val="mainChar"/>
          <w:lang w:val="en-US"/>
        </w:rPr>
        <w:t xml:space="preserve">that need to be included to ensure successful </w:t>
      </w:r>
      <w:r w:rsidR="00481EBB" w:rsidRPr="004C0478">
        <w:rPr>
          <w:rStyle w:val="mainChar"/>
          <w:lang w:val="en-US"/>
        </w:rPr>
        <w:t xml:space="preserve">CAP </w:t>
      </w:r>
      <w:r w:rsidR="00520F5A" w:rsidRPr="004C0478">
        <w:rPr>
          <w:rStyle w:val="mainChar"/>
          <w:lang w:val="en-US"/>
        </w:rPr>
        <w:t>treatment</w:t>
      </w:r>
      <w:r w:rsidRPr="004C0478">
        <w:rPr>
          <w:lang w:val="en-US"/>
        </w:rPr>
        <w:t>.</w:t>
      </w:r>
    </w:p>
    <w:bookmarkEnd w:id="1"/>
    <w:p w:rsidR="00507CE4" w:rsidRPr="004C0478" w:rsidRDefault="00797631" w:rsidP="000D040F">
      <w:pPr>
        <w:spacing w:line="480" w:lineRule="auto"/>
        <w:jc w:val="both"/>
        <w:rPr>
          <w:lang w:val="en-US"/>
        </w:rPr>
      </w:pPr>
      <w:r w:rsidRPr="004C0478">
        <w:rPr>
          <w:noProof/>
          <w:lang w:val="en-GB" w:eastAsia="en-GB"/>
        </w:rPr>
        <w:lastRenderedPageBreak/>
        <w:drawing>
          <wp:inline distT="0" distB="0" distL="0" distR="0" wp14:anchorId="25672CF2" wp14:editId="02340108">
            <wp:extent cx="3190875" cy="2582326"/>
            <wp:effectExtent l="0" t="0" r="0" b="8890"/>
            <wp:docPr id="1" name="Afbeelding 1" descr="C:\Users\cindy\AppData\Local\Microsoft\Windows\INetCacheContent.Word\fig_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ndy\AppData\Local\Microsoft\Windows\INetCacheContent.Word\fig_abstrac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6916" cy="2595308"/>
                    </a:xfrm>
                    <a:prstGeom prst="rect">
                      <a:avLst/>
                    </a:prstGeom>
                    <a:noFill/>
                    <a:ln>
                      <a:noFill/>
                    </a:ln>
                  </pic:spPr>
                </pic:pic>
              </a:graphicData>
            </a:graphic>
          </wp:inline>
        </w:drawing>
      </w:r>
    </w:p>
    <w:p w:rsidR="000D040F" w:rsidRPr="004C0478" w:rsidRDefault="000D040F" w:rsidP="000D040F">
      <w:pPr>
        <w:spacing w:line="480" w:lineRule="auto"/>
        <w:rPr>
          <w:b/>
          <w:sz w:val="28"/>
          <w:szCs w:val="28"/>
          <w:lang w:val="en-US"/>
        </w:rPr>
      </w:pPr>
    </w:p>
    <w:p w:rsidR="00A6512C" w:rsidRPr="004C0478" w:rsidRDefault="00FC39FD" w:rsidP="00BA6415">
      <w:pPr>
        <w:pStyle w:val="Stijl1"/>
      </w:pPr>
      <w:r w:rsidRPr="004C0478">
        <w:t>1</w:t>
      </w:r>
      <w:r w:rsidRPr="004C0478">
        <w:tab/>
      </w:r>
      <w:r w:rsidR="00A6512C" w:rsidRPr="004C0478">
        <w:t>Introduction</w:t>
      </w:r>
      <w:r w:rsidR="00F549D9" w:rsidRPr="004C0478">
        <w:t xml:space="preserve"> </w:t>
      </w:r>
    </w:p>
    <w:p w:rsidR="000D040F" w:rsidRPr="004C0478" w:rsidRDefault="000D040F" w:rsidP="000D040F">
      <w:pPr>
        <w:pStyle w:val="main"/>
        <w:rPr>
          <w:rFonts w:eastAsia="Times New Roman"/>
          <w:lang w:eastAsia="en-US"/>
        </w:rPr>
      </w:pPr>
      <w:r w:rsidRPr="004C0478">
        <w:t xml:space="preserve">In 2015, more than 340,000 food poisonings were reported. </w:t>
      </w:r>
      <w:r w:rsidRPr="004C0478">
        <w:rPr>
          <w:i/>
        </w:rPr>
        <w:t>Salmonella</w:t>
      </w:r>
      <w:r w:rsidRPr="004C0478">
        <w:t xml:space="preserve"> </w:t>
      </w:r>
      <w:r w:rsidR="00520F5A" w:rsidRPr="004C0478">
        <w:t xml:space="preserve">(over 88000 confirmed cases) </w:t>
      </w:r>
      <w:r w:rsidRPr="004C0478">
        <w:t xml:space="preserve">and </w:t>
      </w:r>
      <w:r w:rsidRPr="004C0478">
        <w:rPr>
          <w:i/>
        </w:rPr>
        <w:t>Campylobacter</w:t>
      </w:r>
      <w:r w:rsidRPr="004C0478">
        <w:t xml:space="preserve"> </w:t>
      </w:r>
      <w:r w:rsidR="00520F5A" w:rsidRPr="004C0478">
        <w:t xml:space="preserve">(over 236000 cases) </w:t>
      </w:r>
      <w:r w:rsidRPr="004C0478">
        <w:t xml:space="preserve">have been the most often reported pathogens, </w:t>
      </w:r>
      <w:r w:rsidR="00520F5A" w:rsidRPr="004C0478">
        <w:t xml:space="preserve">yearly </w:t>
      </w:r>
      <w:r w:rsidRPr="004C0478">
        <w:t xml:space="preserve">responsible for 65 and 25 deaths, respectively. As in previous years, the most severe fatality rate (15%) among the cases has been found for </w:t>
      </w:r>
      <w:r w:rsidRPr="004C0478">
        <w:rPr>
          <w:i/>
        </w:rPr>
        <w:t>Listeria monocytogenes</w:t>
      </w:r>
      <w:r w:rsidRPr="004C0478">
        <w:t>, causing 210 deaths.</w:t>
      </w:r>
      <w:r w:rsidRPr="004C0478">
        <w:rPr>
          <w:noProof/>
          <w:vertAlign w:val="superscript"/>
        </w:rPr>
        <w:t>[1]</w:t>
      </w:r>
      <w:r w:rsidRPr="004C0478">
        <w:t xml:space="preserve"> Additionally, spoilage microorganisms present in food, cause huge amounts of products to be dumped each year.                         </w:t>
      </w:r>
    </w:p>
    <w:p w:rsidR="000D040F" w:rsidRPr="004C0478" w:rsidRDefault="000D040F" w:rsidP="000D040F">
      <w:pPr>
        <w:pStyle w:val="main"/>
        <w:rPr>
          <w:vertAlign w:val="superscript"/>
        </w:rPr>
      </w:pPr>
      <w:r w:rsidRPr="004C0478">
        <w:t>In order to increase food safety and reduce food spoilage, novel non-thermal technologies, with important benefits compared to conventional inactivation techniques (e.g., pasteurization), are emerging. The driving force to implement non-thermal technolo</w:t>
      </w:r>
      <w:r w:rsidR="00B97047" w:rsidRPr="004C0478">
        <w:t>gies is the possibility to decontaminate</w:t>
      </w:r>
      <w:r w:rsidRPr="004C0478">
        <w:t xml:space="preserve"> (heat sensitive) food products, using fast, energy efficient and safe methods.</w:t>
      </w:r>
      <w:r w:rsidRPr="004C0478">
        <w:rPr>
          <w:noProof/>
          <w:vertAlign w:val="superscript"/>
        </w:rPr>
        <w:t>[2]</w:t>
      </w:r>
      <w:r w:rsidRPr="004C0478">
        <w:t xml:space="preserve"> The potential of cold atmospheric plasma (CAP) in microbial inactivation has been studied since the mid 1990´s, but its possibility for food decontamination has been recognized more recently. Upon excitation via an externally applied energy source, gas molecules become ionized, resulting in mixtures of electrons, ions, atomic species, free radicals and UV photons.</w:t>
      </w:r>
      <w:r w:rsidRPr="004C0478">
        <w:rPr>
          <w:noProof/>
          <w:vertAlign w:val="superscript"/>
        </w:rPr>
        <w:t>[3]</w:t>
      </w:r>
      <w:r w:rsidRPr="004C0478">
        <w:t xml:space="preserve"> The CAP mode of action in the inactivation of microbial cells, although not yet fully unraveled, may be explained at</w:t>
      </w:r>
      <w:r w:rsidR="00B97047" w:rsidRPr="004C0478">
        <w:t xml:space="preserve"> different levels. </w:t>
      </w:r>
      <w:r w:rsidR="00875A87" w:rsidRPr="004C0478">
        <w:t xml:space="preserve">Accumulation of </w:t>
      </w:r>
      <w:r w:rsidR="00875A87" w:rsidRPr="004C0478">
        <w:lastRenderedPageBreak/>
        <w:t>charged particles and bombardment by free radicals may induce cell membrane rupture.</w:t>
      </w:r>
      <w:r w:rsidRPr="004C0478">
        <w:t xml:space="preserve"> Oxidation of the lipids, amino acids and nucleic acids with reactive oxygen and nitrogen species may cause changes that lead to microbial death or injury. In addition to reactive species, UV photons can modify microbial DNA.</w:t>
      </w:r>
      <w:r w:rsidRPr="004C0478">
        <w:rPr>
          <w:noProof/>
          <w:vertAlign w:val="superscript"/>
        </w:rPr>
        <w:t>[4]</w:t>
      </w:r>
    </w:p>
    <w:p w:rsidR="000D040F" w:rsidRPr="004C0478" w:rsidRDefault="000D040F" w:rsidP="000D040F">
      <w:pPr>
        <w:pStyle w:val="main"/>
      </w:pPr>
      <w:r w:rsidRPr="004C0478">
        <w:t>In the last years, multiple research groups started to study the CAP efficacy, using different set-ups (i.e.</w:t>
      </w:r>
      <w:r w:rsidR="00270638" w:rsidRPr="004C0478">
        <w:t>,</w:t>
      </w:r>
      <w:r w:rsidRPr="004C0478">
        <w:t xml:space="preserve"> jets vs. closed reactors) and operating paramet</w:t>
      </w:r>
      <w:r w:rsidR="00B97047" w:rsidRPr="004C0478">
        <w:t xml:space="preserve">ers. </w:t>
      </w:r>
      <w:bookmarkStart w:id="2" w:name="_Hlk483817906"/>
      <w:r w:rsidR="00B97047" w:rsidRPr="004C0478">
        <w:t>Most of this research focu</w:t>
      </w:r>
      <w:r w:rsidRPr="004C0478">
        <w:t xml:space="preserve">ses on </w:t>
      </w:r>
      <w:r w:rsidR="00B97047" w:rsidRPr="004C0478">
        <w:t>a specific food product</w:t>
      </w:r>
      <w:r w:rsidR="006029BB" w:rsidRPr="004C0478">
        <w:t xml:space="preserve"> and a specific target microorganisms</w:t>
      </w:r>
      <w:r w:rsidRPr="004C0478">
        <w:t>.</w:t>
      </w:r>
      <w:r w:rsidRPr="004C0478">
        <w:rPr>
          <w:noProof/>
          <w:vertAlign w:val="superscript"/>
        </w:rPr>
        <w:t>[5]–[8]</w:t>
      </w:r>
      <w:r w:rsidRPr="004C0478">
        <w:t xml:space="preserve"> Because of the experimental diver</w:t>
      </w:r>
      <w:r w:rsidR="00B97047" w:rsidRPr="004C0478">
        <w:t>sity</w:t>
      </w:r>
      <w:r w:rsidR="00ED2BE7" w:rsidRPr="004C0478">
        <w:t xml:space="preserve"> with respect to the food sample</w:t>
      </w:r>
      <w:r w:rsidR="00B97047" w:rsidRPr="004C0478">
        <w:t>, results from most studies</w:t>
      </w:r>
      <w:r w:rsidRPr="004C0478">
        <w:t xml:space="preserve"> have a limited applicability</w:t>
      </w:r>
      <w:bookmarkEnd w:id="2"/>
      <w:r w:rsidRPr="004C0478">
        <w:t>. In addition, working with real food products has some important drawbacks: (i) the lack of reproducibility due to a high product variability and (ii) the problem that background microflora are present. For these reasons, reproducible research focusing on a more fundamental level, providing information on</w:t>
      </w:r>
      <w:r w:rsidR="00B97047" w:rsidRPr="004C0478">
        <w:t xml:space="preserve"> the efficacy or suitability of CAP treatment on </w:t>
      </w:r>
      <w:r w:rsidRPr="004C0478">
        <w:t xml:space="preserve">food products is lacking. </w:t>
      </w:r>
      <w:bookmarkStart w:id="3" w:name="_Hlk483402646"/>
      <w:r w:rsidRPr="004C0478">
        <w:t xml:space="preserve">Tests performed on (food) model systems are able to solve part of the problem regarding the specificity of previous CAP related studies. Moreover, model systems are highly controllable, resulting in reproducible experiments and results. In </w:t>
      </w:r>
      <w:bookmarkStart w:id="4" w:name="_GoBack"/>
      <w:r w:rsidRPr="004C0478">
        <w:t xml:space="preserve">conclusion, tests on model systems allow an accurate estimation of the inactivation efficacy, </w:t>
      </w:r>
      <w:bookmarkEnd w:id="4"/>
      <w:r w:rsidRPr="004C0478">
        <w:t xml:space="preserve">for various experimental conditions. </w:t>
      </w:r>
      <w:bookmarkStart w:id="5" w:name="_Hlk483927983"/>
      <w:bookmarkEnd w:id="3"/>
      <w:r w:rsidR="00F230E4" w:rsidRPr="004C0478">
        <w:t>Of course, some validation tests on real food products will be required to confirm the results.</w:t>
      </w:r>
      <w:bookmarkEnd w:id="5"/>
    </w:p>
    <w:p w:rsidR="000D040F" w:rsidRPr="004C0478" w:rsidRDefault="000D040F" w:rsidP="000D040F">
      <w:pPr>
        <w:pStyle w:val="main"/>
      </w:pPr>
      <w:r w:rsidRPr="004C0478">
        <w:t>In this work, different intrinsic factors of a model system are varied. The intrinsic factors (pH, salt concentration, food (micro)structure) relate to</w:t>
      </w:r>
      <w:r w:rsidR="00B97047" w:rsidRPr="004C0478">
        <w:t xml:space="preserve"> food properties and thus allow</w:t>
      </w:r>
      <w:r w:rsidRPr="004C0478">
        <w:t xml:space="preserve"> to mimic a</w:t>
      </w:r>
    </w:p>
    <w:p w:rsidR="002F5508" w:rsidRPr="004C0478" w:rsidRDefault="000D040F" w:rsidP="000D040F">
      <w:pPr>
        <w:pStyle w:val="main"/>
      </w:pPr>
      <w:r w:rsidRPr="004C0478">
        <w:t xml:space="preserve">broad range of products. </w:t>
      </w:r>
      <w:r w:rsidR="006A13E0" w:rsidRPr="004C0478">
        <w:t>The food (micro) structure was defined as the organization of elements within a food and their interactions.</w:t>
      </w:r>
      <w:r w:rsidR="00540903" w:rsidRPr="004C0478">
        <w:rPr>
          <w:vertAlign w:val="superscript"/>
        </w:rPr>
        <w:t>[9]</w:t>
      </w:r>
      <w:r w:rsidR="006A13E0" w:rsidRPr="004C0478">
        <w:t xml:space="preserve"> </w:t>
      </w:r>
      <w:bookmarkStart w:id="6" w:name="_Hlk483816134"/>
      <w:r w:rsidR="006A13E0" w:rsidRPr="004C0478">
        <w:t>The liquid and the gelled solid system assessed in this work represent two of the six different (micro)structures that can be present in food</w:t>
      </w:r>
      <w:r w:rsidR="00540903" w:rsidRPr="004C0478">
        <w:t>.</w:t>
      </w:r>
      <w:r w:rsidR="00540903" w:rsidRPr="004C0478">
        <w:rPr>
          <w:vertAlign w:val="superscript"/>
        </w:rPr>
        <w:t>[10]</w:t>
      </w:r>
      <w:bookmarkEnd w:id="6"/>
      <w:r w:rsidR="006A13E0" w:rsidRPr="004C0478">
        <w:t xml:space="preserve"> </w:t>
      </w:r>
      <w:r w:rsidRPr="004C0478">
        <w:t xml:space="preserve">These model systems, on which either </w:t>
      </w:r>
      <w:r w:rsidRPr="004C0478">
        <w:rPr>
          <w:i/>
        </w:rPr>
        <w:t xml:space="preserve">Salmonella </w:t>
      </w:r>
      <w:r w:rsidRPr="004C0478">
        <w:t xml:space="preserve">Typhimurium or </w:t>
      </w:r>
      <w:r w:rsidRPr="004C0478">
        <w:rPr>
          <w:i/>
        </w:rPr>
        <w:t xml:space="preserve">Listeria monocytogenes </w:t>
      </w:r>
      <w:r w:rsidRPr="004C0478">
        <w:t>have grown, are CAP treated and stored</w:t>
      </w:r>
      <w:r w:rsidR="00A272F5" w:rsidRPr="004C0478">
        <w:t xml:space="preserve"> </w:t>
      </w:r>
      <w:r w:rsidR="005F0DCD" w:rsidRPr="004C0478">
        <w:t xml:space="preserve">at different temperatures (extrinsic factor) </w:t>
      </w:r>
      <w:r w:rsidR="00A272F5" w:rsidRPr="004C0478">
        <w:t>following CAP treatment</w:t>
      </w:r>
      <w:r w:rsidRPr="004C0478">
        <w:t xml:space="preserve">. Next to an investigation of the sensitivity of the food </w:t>
      </w:r>
      <w:r w:rsidRPr="004C0478">
        <w:lastRenderedPageBreak/>
        <w:t xml:space="preserve">properties, other factors that have an impact on the CAP inactivation efficacy are discussed. </w:t>
      </w:r>
      <w:r w:rsidR="00B97047" w:rsidRPr="004C0478">
        <w:t>Moreover, this</w:t>
      </w:r>
      <w:r w:rsidRPr="004C0478">
        <w:t xml:space="preserve"> study includes a </w:t>
      </w:r>
      <w:r w:rsidR="00B97047" w:rsidRPr="004C0478">
        <w:t>critical assessment</w:t>
      </w:r>
      <w:r w:rsidRPr="004C0478">
        <w:t xml:space="preserve"> on the effect of the CAP set-up </w:t>
      </w:r>
      <w:r w:rsidR="00B97047" w:rsidRPr="004C0478">
        <w:t xml:space="preserve">(design and operating conditions) </w:t>
      </w:r>
      <w:r w:rsidRPr="004C0478">
        <w:t xml:space="preserve">and the impact of the protocol used on the outcome of CAP experiments, and </w:t>
      </w:r>
      <w:r w:rsidR="00B97047" w:rsidRPr="004C0478">
        <w:t xml:space="preserve">furthermore </w:t>
      </w:r>
      <w:r w:rsidRPr="004C0478">
        <w:t>comments on some remaining challenges regarding the implementation of the CAP technology.</w:t>
      </w:r>
    </w:p>
    <w:p w:rsidR="00466BB2" w:rsidRPr="004C0478" w:rsidRDefault="00466BB2" w:rsidP="00BA6415">
      <w:pPr>
        <w:pStyle w:val="Stijl1"/>
      </w:pPr>
    </w:p>
    <w:p w:rsidR="00193500" w:rsidRPr="004C0478" w:rsidRDefault="00FC39FD" w:rsidP="00BA6415">
      <w:pPr>
        <w:pStyle w:val="Stijl1"/>
      </w:pPr>
      <w:r w:rsidRPr="004C0478">
        <w:t>2</w:t>
      </w:r>
      <w:r w:rsidRPr="004C0478">
        <w:tab/>
      </w:r>
      <w:r w:rsidR="002F5508" w:rsidRPr="004C0478">
        <w:t>Experimental</w:t>
      </w:r>
      <w:r w:rsidR="00F73029" w:rsidRPr="004C0478">
        <w:t xml:space="preserve"> Section</w:t>
      </w:r>
    </w:p>
    <w:p w:rsidR="00A8575C" w:rsidRPr="004C0478" w:rsidRDefault="00FC39FD" w:rsidP="00BA6415">
      <w:pPr>
        <w:pStyle w:val="Stijl2"/>
      </w:pPr>
      <w:r w:rsidRPr="004C0478">
        <w:t>2.1</w:t>
      </w:r>
      <w:r w:rsidRPr="004C0478">
        <w:tab/>
      </w:r>
      <w:r w:rsidR="00193500" w:rsidRPr="004C0478">
        <w:t>Experimental plan</w:t>
      </w:r>
      <w:r w:rsidR="00896F1D" w:rsidRPr="004C0478">
        <w:t xml:space="preserve"> </w:t>
      </w:r>
    </w:p>
    <w:p w:rsidR="000E185C" w:rsidRPr="004C0478" w:rsidRDefault="0033453E" w:rsidP="0033453E">
      <w:pPr>
        <w:pStyle w:val="main"/>
        <w:rPr>
          <w:strike/>
        </w:rPr>
      </w:pPr>
      <w:r w:rsidRPr="004C0478">
        <w:t xml:space="preserve">The CAP inactivation efficacy was studied for treatment of model systems inoculated with </w:t>
      </w:r>
      <w:r w:rsidRPr="004C0478">
        <w:rPr>
          <w:i/>
        </w:rPr>
        <w:t xml:space="preserve">Salmonella </w:t>
      </w:r>
      <w:r w:rsidRPr="004C0478">
        <w:t xml:space="preserve">Typhimurium or </w:t>
      </w:r>
      <w:r w:rsidRPr="004C0478">
        <w:rPr>
          <w:i/>
        </w:rPr>
        <w:t>Listeria monocytogenes</w:t>
      </w:r>
      <w:r w:rsidRPr="004C0478">
        <w:t>. In order to assess the impact of intrinsic factors, cells were grown, treated and stored at different pH (7.4, 6.5 or 5.5) and salt concentrations (0, 2 or 6% (w/v) NaCl), ranges commonly found in food products.</w:t>
      </w:r>
      <w:r w:rsidR="00E35104" w:rsidRPr="004C0478">
        <w:rPr>
          <w:vertAlign w:val="superscript"/>
        </w:rPr>
        <w:t>[11],[12</w:t>
      </w:r>
      <w:r w:rsidR="00795230" w:rsidRPr="004C0478">
        <w:rPr>
          <w:vertAlign w:val="superscript"/>
        </w:rPr>
        <w:t>]</w:t>
      </w:r>
      <w:r w:rsidRPr="004C0478">
        <w:t xml:space="preserve"> Moreover, cells were grown/treated in/on two different model systems, mimicking treatment of liquid and solid(like) food products. After treatment, samples were stored at refrigeration (8°C) or room temperature (20°C).</w:t>
      </w:r>
    </w:p>
    <w:p w:rsidR="00B0253C" w:rsidRPr="004C0478" w:rsidRDefault="00B0253C" w:rsidP="000E185C">
      <w:pPr>
        <w:pStyle w:val="Stijl2"/>
      </w:pPr>
    </w:p>
    <w:p w:rsidR="000E185C" w:rsidRPr="004C0478" w:rsidRDefault="000E185C" w:rsidP="000E185C">
      <w:pPr>
        <w:pStyle w:val="Stijl2"/>
      </w:pPr>
      <w:r w:rsidRPr="004C0478">
        <w:t>2.2 Microorganisms and pre-culture conditions</w:t>
      </w:r>
    </w:p>
    <w:p w:rsidR="0033453E" w:rsidRPr="004C0478" w:rsidRDefault="0033453E" w:rsidP="0033453E">
      <w:pPr>
        <w:pStyle w:val="main"/>
        <w:rPr>
          <w:rFonts w:eastAsia="Times New Roman"/>
          <w:lang w:eastAsia="en-US"/>
        </w:rPr>
      </w:pPr>
      <w:r w:rsidRPr="004C0478">
        <w:rPr>
          <w:i/>
        </w:rPr>
        <w:t xml:space="preserve">Salmonella enterica </w:t>
      </w:r>
      <w:r w:rsidRPr="004C0478">
        <w:t xml:space="preserve">serovar Typhimurium SL1344 was provided by the Institute of Food Research (IFR, Norwich, UK). The culture was stored at -80°C in Tryptone Soya Broth (TSB (Oxoid LTd., Basingstoke, UK)) supplemented with 25% (v/v) glycerol (Acros Organics, NJ, USA). </w:t>
      </w:r>
      <w:r w:rsidRPr="004C0478">
        <w:rPr>
          <w:i/>
          <w:szCs w:val="22"/>
        </w:rPr>
        <w:t>Listeria monocytogenes</w:t>
      </w:r>
      <w:r w:rsidR="00B97047" w:rsidRPr="004C0478">
        <w:rPr>
          <w:szCs w:val="22"/>
        </w:rPr>
        <w:t xml:space="preserve"> LMG 13305 was obtained by</w:t>
      </w:r>
      <w:r w:rsidRPr="004C0478">
        <w:rPr>
          <w:szCs w:val="22"/>
        </w:rPr>
        <w:t xml:space="preserve"> the Belgian Co-ordinated Collections of Microorganisms (BCCM, Ghent, Belgium). The culture was stored at </w:t>
      </w:r>
      <w:r w:rsidRPr="004C0478">
        <w:rPr>
          <w:szCs w:val="22"/>
        </w:rPr>
        <w:noBreakHyphen/>
        <w:t>80</w:t>
      </w:r>
      <w:r w:rsidRPr="004C0478">
        <w:t xml:space="preserve">°C in TSB supplemented with 0.6% (w/v) yeast extract (Merck, Darmstadt, Germany) (TSBYE). </w:t>
      </w:r>
    </w:p>
    <w:p w:rsidR="0033453E" w:rsidRPr="004C0478" w:rsidRDefault="0033453E" w:rsidP="0033453E">
      <w:pPr>
        <w:pStyle w:val="main"/>
      </w:pPr>
      <w:r w:rsidRPr="004C0478">
        <w:t>For each experiment, a purity plate was prepared by spreading a loopful onto a Tryptone Soya Agar plate (TSA (Oxoid Ltd., Basingstoke, UK)) (</w:t>
      </w:r>
      <w:r w:rsidRPr="004C0478">
        <w:rPr>
          <w:i/>
        </w:rPr>
        <w:t xml:space="preserve">S. </w:t>
      </w:r>
      <w:r w:rsidRPr="004C0478">
        <w:t>Typhimurium) or on Brain Heart Infusion (BHI (Oxoid Ltd., Basingstoke, UK)) (</w:t>
      </w:r>
      <w:r w:rsidRPr="004C0478">
        <w:rPr>
          <w:i/>
        </w:rPr>
        <w:t>L. monocytogenes</w:t>
      </w:r>
      <w:r w:rsidRPr="004C0478">
        <w:t xml:space="preserve">) supplemented with 1.2% </w:t>
      </w:r>
      <w:r w:rsidRPr="004C0478">
        <w:lastRenderedPageBreak/>
        <w:t>(w/v) agar (Agar technical n°3, Oxoid Ltd., Basingstoke, UK) plate, and incubated for 24 h at 37°C. One colony from the purity plate was transferred into 20 mL TSB or BHI, and incubated (Binder KB series incubator; Binder Inc., NY, USA) at 37°C for 8 h under static conditions. Next, 200 µL from this stationary phase culture was added to 20 mL of fresh TSB or BHI and incubated under the same conditions for 16 h</w:t>
      </w:r>
      <w:r w:rsidR="00270638" w:rsidRPr="004C0478">
        <w:t xml:space="preserve">, yielding early-stationary phase populations for both </w:t>
      </w:r>
      <w:r w:rsidR="00270638" w:rsidRPr="004C0478">
        <w:rPr>
          <w:i/>
        </w:rPr>
        <w:t>S. </w:t>
      </w:r>
      <w:r w:rsidR="00270638" w:rsidRPr="004C0478">
        <w:t>Typhimurium</w:t>
      </w:r>
      <w:r w:rsidR="00270638" w:rsidRPr="004C0478">
        <w:rPr>
          <w:i/>
        </w:rPr>
        <w:t xml:space="preserve"> </w:t>
      </w:r>
      <w:r w:rsidR="00270638" w:rsidRPr="004C0478">
        <w:t xml:space="preserve">and </w:t>
      </w:r>
      <w:r w:rsidR="00270638" w:rsidRPr="004C0478">
        <w:rPr>
          <w:i/>
        </w:rPr>
        <w:t>L. monocytogenes</w:t>
      </w:r>
      <w:r w:rsidRPr="004C0478">
        <w:t>.</w:t>
      </w:r>
    </w:p>
    <w:p w:rsidR="007A3FA6" w:rsidRPr="004C0478" w:rsidRDefault="007A3FA6" w:rsidP="0033453E">
      <w:pPr>
        <w:pStyle w:val="main"/>
        <w:rPr>
          <w:highlight w:val="yellow"/>
        </w:rPr>
      </w:pPr>
    </w:p>
    <w:p w:rsidR="000E185C" w:rsidRPr="004C0478" w:rsidRDefault="000E185C" w:rsidP="000E185C">
      <w:pPr>
        <w:pStyle w:val="Stijl2"/>
      </w:pPr>
      <w:r w:rsidRPr="004C0478">
        <w:t>2.3 Growth stage prior to CAP inactivation</w:t>
      </w:r>
    </w:p>
    <w:p w:rsidR="0033453E" w:rsidRPr="004C0478" w:rsidRDefault="0033453E" w:rsidP="00B0253C">
      <w:pPr>
        <w:pStyle w:val="main"/>
        <w:rPr>
          <w:rFonts w:eastAsia="Times New Roman"/>
          <w:lang w:eastAsia="en-US"/>
        </w:rPr>
      </w:pPr>
      <w:r w:rsidRPr="004C0478">
        <w:t>For cells grown planktonically in a liquid environment, 0, 2 or 6% (w/v) NaCl (Sigma Aldrich, MO, USA) was added to TSB without dextrose (Becton, NJ, USA) (</w:t>
      </w:r>
      <w:r w:rsidRPr="004C0478">
        <w:rPr>
          <w:i/>
        </w:rPr>
        <w:t>S. </w:t>
      </w:r>
      <w:r w:rsidRPr="004C0478">
        <w:t>Typhimurium) or BHI (</w:t>
      </w:r>
      <w:r w:rsidRPr="004C0478">
        <w:rPr>
          <w:i/>
        </w:rPr>
        <w:t>L. monocytogenes</w:t>
      </w:r>
      <w:r w:rsidR="006E5A91" w:rsidRPr="004C0478">
        <w:t xml:space="preserve">). </w:t>
      </w:r>
      <w:r w:rsidRPr="004C0478">
        <w:t>If needed, the pH (DocuMeter, Sartorius, Goettingen, Germany) was adapted by the addition of 5 M HCl (Acros Organics, NJ, USA). Cells were grown in petri dishes (diameter 5.5 cm) filled with 7 mL of the medium inoculated at 10</w:t>
      </w:r>
      <w:r w:rsidRPr="004C0478">
        <w:rPr>
          <w:vertAlign w:val="superscript"/>
        </w:rPr>
        <w:t>3</w:t>
      </w:r>
      <w:r w:rsidRPr="004C0478">
        <w:t xml:space="preserve"> CFU/mL, obtained by serial decimal dilutions of early stationary phase cells. </w:t>
      </w:r>
    </w:p>
    <w:p w:rsidR="0033453E" w:rsidRPr="004C0478" w:rsidRDefault="0033453E" w:rsidP="00A44068">
      <w:pPr>
        <w:pStyle w:val="main"/>
      </w:pPr>
      <w:r w:rsidRPr="004C0478">
        <w:t>To create surface colonies on a solid(like) environment, gelatin at 5% (w/v) (gelatin from bovine skin, type B, Sigma-Aldrich, MO, USA) together with the appropriate NaCl concentration, was added to TSB or BHI. The medium was heated at 60°C in a thermostatic water bath (GR150-S12, Grant Instruments Ltd, Shepreth, UK), the pH adapted, and filter-sterilized using a 0.2 mm filter (Filtertop, 150 mL filter volume, 0.</w:t>
      </w:r>
      <w:r w:rsidR="000B2D3C" w:rsidRPr="004C0478">
        <w:t xml:space="preserve">22 µm, TPP, Switzerland). </w:t>
      </w:r>
      <w:r w:rsidRPr="004C0478">
        <w:t>7 mL was pipetted into sterile petri dishes</w:t>
      </w:r>
      <w:r w:rsidR="000B2D3C" w:rsidRPr="004C0478">
        <w:t>,</w:t>
      </w:r>
      <w:r w:rsidRPr="004C0478">
        <w:t xml:space="preserve"> left to solidify</w:t>
      </w:r>
      <w:r w:rsidR="000B2D3C" w:rsidRPr="004C0478">
        <w:t>, and</w:t>
      </w:r>
      <w:r w:rsidRPr="004C0478">
        <w:t xml:space="preserve"> surface inoculated at approximately 3.0 x 10</w:t>
      </w:r>
      <w:r w:rsidRPr="004C0478">
        <w:rPr>
          <w:vertAlign w:val="superscript"/>
        </w:rPr>
        <w:t>2</w:t>
      </w:r>
      <w:r w:rsidRPr="004C0478">
        <w:t xml:space="preserve"> CFU/cm</w:t>
      </w:r>
      <w:r w:rsidRPr="004C0478">
        <w:rPr>
          <w:vertAlign w:val="superscript"/>
        </w:rPr>
        <w:t>2</w:t>
      </w:r>
      <w:r w:rsidRPr="004C0478">
        <w:t xml:space="preserve"> (surface area 23.8 cm</w:t>
      </w:r>
      <w:r w:rsidRPr="004C0478">
        <w:rPr>
          <w:vertAlign w:val="superscript"/>
        </w:rPr>
        <w:t>2</w:t>
      </w:r>
      <w:r w:rsidRPr="004C0478">
        <w:t>, corresponding to 10</w:t>
      </w:r>
      <w:r w:rsidRPr="004C0478">
        <w:rPr>
          <w:vertAlign w:val="superscript"/>
        </w:rPr>
        <w:t>3</w:t>
      </w:r>
      <w:r w:rsidR="000B2D3C" w:rsidRPr="004C0478">
        <w:t> CFU/mL)</w:t>
      </w:r>
      <w:r w:rsidRPr="004C0478">
        <w:t xml:space="preserve"> by</w:t>
      </w:r>
      <w:r w:rsidR="00A727DB" w:rsidRPr="004C0478">
        <w:t xml:space="preserve"> homogeneously</w:t>
      </w:r>
      <w:r w:rsidRPr="004C0478">
        <w:t xml:space="preserve"> spreading 20 μL of the properly diluted inoculum onto each petri dish</w:t>
      </w:r>
      <w:r w:rsidR="00A727DB" w:rsidRPr="004C0478">
        <w:t>, using an L-shaped spreader</w:t>
      </w:r>
      <w:r w:rsidRPr="004C0478">
        <w:t xml:space="preserve">. </w:t>
      </w:r>
      <w:r w:rsidR="00973B50" w:rsidRPr="004C0478">
        <w:t>P</w:t>
      </w:r>
      <w:r w:rsidRPr="004C0478">
        <w:t>etri dishes were sealed with parafilm and placed in a temperature controlled incubator (KB 8182, Termaks, Bergen, Norway) at 20°C until the early stationary phase was reached.</w:t>
      </w:r>
      <w:r w:rsidR="00A44068" w:rsidRPr="004C0478">
        <w:t xml:space="preserve"> Results from preliminary growth experiment</w:t>
      </w:r>
      <w:r w:rsidR="00FA2CB0" w:rsidRPr="004C0478">
        <w:t>s were consulted to verify this point</w:t>
      </w:r>
      <w:r w:rsidR="00A44068" w:rsidRPr="004C0478">
        <w:t xml:space="preserve"> on the</w:t>
      </w:r>
      <w:r w:rsidR="00FA2CB0" w:rsidRPr="004C0478">
        <w:t xml:space="preserve"> </w:t>
      </w:r>
      <w:r w:rsidR="00A44068" w:rsidRPr="004C0478">
        <w:t>growth curve.</w:t>
      </w:r>
    </w:p>
    <w:p w:rsidR="000E185C" w:rsidRPr="004C0478" w:rsidRDefault="000E185C" w:rsidP="000E185C">
      <w:pPr>
        <w:spacing w:line="480" w:lineRule="auto"/>
        <w:jc w:val="both"/>
        <w:rPr>
          <w:lang w:val="en-US"/>
        </w:rPr>
      </w:pPr>
    </w:p>
    <w:p w:rsidR="000E185C" w:rsidRPr="004C0478" w:rsidRDefault="000E185C" w:rsidP="000E185C">
      <w:pPr>
        <w:pStyle w:val="Stijl2"/>
      </w:pPr>
      <w:r w:rsidRPr="004C0478">
        <w:t xml:space="preserve">2.4 Sample inoculation for CAP </w:t>
      </w:r>
      <w:r w:rsidR="006D1E14" w:rsidRPr="004C0478">
        <w:t>treatments</w:t>
      </w:r>
    </w:p>
    <w:p w:rsidR="0033453E" w:rsidRPr="004C0478" w:rsidRDefault="0033453E" w:rsidP="00B0253C">
      <w:pPr>
        <w:pStyle w:val="main"/>
        <w:rPr>
          <w:rFonts w:eastAsia="Times New Roman"/>
          <w:lang w:eastAsia="en-US"/>
        </w:rPr>
      </w:pPr>
      <w:r w:rsidRPr="004C0478">
        <w:t>Next, samples were diluted (using dilution medium with the same NaCl concentration and pH value as the growth medium) to obtain a cell density of 5.5 log(CFU/mL) (liquid carrier) or 5.5 log(CFU/cm</w:t>
      </w:r>
      <w:r w:rsidRPr="004C0478">
        <w:rPr>
          <w:vertAlign w:val="superscript"/>
        </w:rPr>
        <w:t>2</w:t>
      </w:r>
      <w:r w:rsidRPr="004C0478">
        <w:t xml:space="preserve">) (solid(like) surface). </w:t>
      </w:r>
      <w:r w:rsidR="00973B50" w:rsidRPr="004C0478">
        <w:t>Solid</w:t>
      </w:r>
      <w:r w:rsidRPr="004C0478">
        <w:t xml:space="preserve"> sample</w:t>
      </w:r>
      <w:r w:rsidR="00973B50" w:rsidRPr="004C0478">
        <w:t>s were</w:t>
      </w:r>
      <w:r w:rsidRPr="004C0478">
        <w:t xml:space="preserve"> melted in a thermostatic water bath at 37°C </w:t>
      </w:r>
      <w:r w:rsidR="006E5A91" w:rsidRPr="004C0478">
        <w:t xml:space="preserve">(optimal temperature for microorganisms) </w:t>
      </w:r>
      <w:r w:rsidRPr="004C0478">
        <w:t xml:space="preserve">prior to dilution. </w:t>
      </w:r>
    </w:p>
    <w:p w:rsidR="000E185C" w:rsidRPr="004C0478" w:rsidRDefault="0033453E" w:rsidP="00B0253C">
      <w:pPr>
        <w:pStyle w:val="main"/>
      </w:pPr>
      <w:r w:rsidRPr="004C0478">
        <w:t xml:space="preserve">For </w:t>
      </w:r>
      <w:r w:rsidR="00621A5F" w:rsidRPr="004C0478">
        <w:t xml:space="preserve">the treatment </w:t>
      </w:r>
      <w:r w:rsidRPr="004C0478">
        <w:t xml:space="preserve">of the cells in a liquid carrier, 100 µL of the diluted medium was pipetted on empty 5 cm </w:t>
      </w:r>
      <w:r w:rsidR="006E5A91" w:rsidRPr="004C0478">
        <w:t xml:space="preserve">diameter </w:t>
      </w:r>
      <w:r w:rsidRPr="004C0478">
        <w:t>petri dishes</w:t>
      </w:r>
      <w:r w:rsidR="000F4126" w:rsidRPr="004C0478">
        <w:t>, resulting in a thin liquid layer with planktonic cells</w:t>
      </w:r>
      <w:r w:rsidRPr="004C0478">
        <w:t xml:space="preserve">. Regarding </w:t>
      </w:r>
      <w:r w:rsidR="00621A5F" w:rsidRPr="004C0478">
        <w:t xml:space="preserve">CAP treatments </w:t>
      </w:r>
      <w:r w:rsidRPr="004C0478">
        <w:t>on a solid(like) surface, the gelled surface was prepared in a 5 cm petri dish (surface area 19.6 cm</w:t>
      </w:r>
      <w:r w:rsidRPr="004C0478">
        <w:rPr>
          <w:vertAlign w:val="superscript"/>
        </w:rPr>
        <w:t>2</w:t>
      </w:r>
      <w:r w:rsidRPr="004C0478">
        <w:t>) at similar experimental conditions as the model system the cells were grown on. Next, 50 µL of the diluted sample was pipetted and spread on the solid(like) surface, which was allowed to dry in the laminar flow cabinet (Telstar Laboratory Equipment, Woerden, the Netherlands).</w:t>
      </w:r>
    </w:p>
    <w:p w:rsidR="0033453E" w:rsidRPr="004C0478" w:rsidRDefault="0033453E" w:rsidP="0033453E">
      <w:pPr>
        <w:spacing w:line="480" w:lineRule="auto"/>
        <w:jc w:val="both"/>
        <w:rPr>
          <w:b/>
          <w:lang w:val="en-US"/>
        </w:rPr>
      </w:pPr>
    </w:p>
    <w:p w:rsidR="000E185C" w:rsidRPr="004C0478" w:rsidRDefault="000E185C" w:rsidP="000E185C">
      <w:pPr>
        <w:pStyle w:val="Stijl2"/>
      </w:pPr>
      <w:r w:rsidRPr="004C0478">
        <w:t xml:space="preserve">2.5 CAP: equipment and </w:t>
      </w:r>
      <w:r w:rsidR="00621A5F" w:rsidRPr="004C0478">
        <w:t xml:space="preserve">processing </w:t>
      </w:r>
      <w:r w:rsidRPr="004C0478">
        <w:t>procedure</w:t>
      </w:r>
    </w:p>
    <w:p w:rsidR="0072706D" w:rsidRPr="004C0478" w:rsidRDefault="00B0253C" w:rsidP="002662A6">
      <w:pPr>
        <w:pStyle w:val="main"/>
      </w:pPr>
      <w:r w:rsidRPr="004C0478">
        <w:t>An enclosed Dielectric Barrier Discharge (DBD) set-up (</w:t>
      </w:r>
      <w:r w:rsidR="007A5ABB" w:rsidRPr="004C0478">
        <w:t xml:space="preserve">enclosure: </w:t>
      </w:r>
      <w:r w:rsidRPr="004C0478">
        <w:t>22.5 cm x 13.5 cm x 10 cm) was used for all experiments (Figure</w:t>
      </w:r>
      <w:r w:rsidR="002662A6" w:rsidRPr="004C0478">
        <w:t>s</w:t>
      </w:r>
      <w:r w:rsidRPr="004C0478">
        <w:t xml:space="preserve"> 1</w:t>
      </w:r>
      <w:r w:rsidR="002662A6" w:rsidRPr="004C0478">
        <w:t>a and b</w:t>
      </w:r>
      <w:r w:rsidRPr="004C0478">
        <w:t xml:space="preserve">). The residence time </w:t>
      </w:r>
      <w:r w:rsidR="004526EB" w:rsidRPr="004C0478">
        <w:t xml:space="preserve">of the gas </w:t>
      </w:r>
      <w:r w:rsidRPr="004C0478">
        <w:t xml:space="preserve">in the enclosure, not airtight, was approximately 45 s. The plasma was generated in a gas mixture of helium (purity 99.996%, flow rate 4 L/min) and oxygen (purity ≥ 99.995%, flow rate 40 mL/min), with a total flow rate of 4.04 L/min. </w:t>
      </w:r>
      <w:r w:rsidR="0072706D" w:rsidRPr="004C0478">
        <w:t xml:space="preserve">Helium was selected as a carrier gas as it (i) facilitates the generation of large area, spatially uniform discharges and (ii) reduces the complexity of the system, making it easier to identify changes resulting from the intrinsic and extrinsic factors tested in this study.   </w:t>
      </w:r>
    </w:p>
    <w:p w:rsidR="002662A6" w:rsidRPr="004C0478" w:rsidRDefault="002662A6" w:rsidP="002662A6">
      <w:pPr>
        <w:pStyle w:val="main"/>
      </w:pPr>
      <w:r w:rsidRPr="004C0478">
        <w:t>Samples</w:t>
      </w:r>
      <w:r w:rsidR="009F57F9" w:rsidRPr="004C0478">
        <w:t>, thus the media inside a small petri dish</w:t>
      </w:r>
      <w:r w:rsidR="00180967" w:rsidRPr="004C0478">
        <w:t>,</w:t>
      </w:r>
      <w:r w:rsidRPr="004C0478">
        <w:t xml:space="preserve"> were placed </w:t>
      </w:r>
      <w:r w:rsidR="00995E93" w:rsidRPr="004C0478">
        <w:t xml:space="preserve">for direct treatment </w:t>
      </w:r>
      <w:r w:rsidRPr="004C0478">
        <w:t xml:space="preserve">between two dielectrically coated (1 mm thick quartz) metallic electrodes with a separation </w:t>
      </w:r>
      <w:r w:rsidR="00B77732" w:rsidRPr="004C0478">
        <w:t>of 8</w:t>
      </w:r>
      <w:r w:rsidRPr="004C0478">
        <w:t xml:space="preserve"> mm. Prior to plasma ignition, the helium/oxygen gas mixture was flushed through the enclosure for </w:t>
      </w:r>
      <w:r w:rsidRPr="004C0478">
        <w:lastRenderedPageBreak/>
        <w:t>a total of four minutes to remove the background air. To determine the inactivation kinetics, samples were treated up to 10 minutes at a peak-to-peak voltage around 7 kV at a frequency of 15 kHz. Measurements of the discharge current and applied voltage (Figure 1c) were used to calculate the mean dissipated power of the discharge, which was found to be 7.45 W</w:t>
      </w:r>
      <w:r w:rsidR="00F24468" w:rsidRPr="004C0478">
        <w:t xml:space="preserve"> (equates to 74.5 W/cm</w:t>
      </w:r>
      <w:r w:rsidR="00F24468" w:rsidRPr="004C0478">
        <w:rPr>
          <w:vertAlign w:val="superscript"/>
        </w:rPr>
        <w:t>3</w:t>
      </w:r>
      <w:r w:rsidR="00F24468" w:rsidRPr="004C0478">
        <w:t xml:space="preserve"> when treating liquid samples and 0.38 W/cm</w:t>
      </w:r>
      <w:r w:rsidR="00F24468" w:rsidRPr="004C0478">
        <w:rPr>
          <w:vertAlign w:val="superscript"/>
        </w:rPr>
        <w:t>2</w:t>
      </w:r>
      <w:r w:rsidR="00F24468" w:rsidRPr="004C0478">
        <w:t xml:space="preserve"> when treating solid surfaces)</w:t>
      </w:r>
      <w:r w:rsidRPr="004C0478">
        <w:t xml:space="preserve">. Typical of a DBD generated in a helium rich environment, the measured current waveform shows a single discharge pulse per half cycle of the applied voltage which is superimposed on a sinusoidal displacement current. The </w:t>
      </w:r>
      <w:r w:rsidR="00D90E4B" w:rsidRPr="004C0478">
        <w:t xml:space="preserve">appearance of the </w:t>
      </w:r>
      <w:r w:rsidRPr="004C0478">
        <w:t xml:space="preserve">current waveform </w:t>
      </w:r>
      <w:r w:rsidR="00D90E4B" w:rsidRPr="004C0478">
        <w:t>provides a strong indicator</w:t>
      </w:r>
      <w:r w:rsidRPr="004C0478">
        <w:t xml:space="preserve"> that the discharge was operating in a spatially homogenous form without the presence of filaments, which would typically appear as multiple short-duration current spikes.</w:t>
      </w:r>
    </w:p>
    <w:p w:rsidR="00507CE4" w:rsidRPr="004C0478" w:rsidRDefault="000B2D3C" w:rsidP="002662A6">
      <w:pPr>
        <w:pStyle w:val="main"/>
      </w:pPr>
      <w:r w:rsidRPr="004C0478">
        <w:rPr>
          <w:noProof/>
          <w:lang w:val="en-GB" w:eastAsia="en-GB"/>
        </w:rPr>
        <w:drawing>
          <wp:inline distT="0" distB="0" distL="0" distR="0" wp14:anchorId="20183D77" wp14:editId="5CFAC27E">
            <wp:extent cx="5760720" cy="2187458"/>
            <wp:effectExtent l="0" t="0" r="0" b="3810"/>
            <wp:docPr id="2" name="Picture 2" descr="C:\Users\u0086670\Dropbox\PhD\Experiments\Plasma inactivation\paper CAP critical review\FIG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086670\Dropbox\PhD\Experiments\Plasma inactivation\paper CAP critical review\FIG_i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187458"/>
                    </a:xfrm>
                    <a:prstGeom prst="rect">
                      <a:avLst/>
                    </a:prstGeom>
                    <a:noFill/>
                    <a:ln>
                      <a:noFill/>
                    </a:ln>
                  </pic:spPr>
                </pic:pic>
              </a:graphicData>
            </a:graphic>
          </wp:inline>
        </w:drawing>
      </w:r>
    </w:p>
    <w:p w:rsidR="000E185C" w:rsidRPr="004C0478" w:rsidRDefault="00507CE4" w:rsidP="002662A6">
      <w:pPr>
        <w:pStyle w:val="main"/>
        <w:spacing w:line="240" w:lineRule="auto"/>
      </w:pPr>
      <w:r w:rsidRPr="004C0478">
        <w:rPr>
          <w:i/>
        </w:rPr>
        <w:t xml:space="preserve">Figure 1. </w:t>
      </w:r>
      <w:r w:rsidR="002662A6" w:rsidRPr="004C0478">
        <w:t>(a) Schematic showing the experimental setup, (b) Photograph of the discharge operating at a dissipated power of 7.45 W, and (c) Applied voltage and current waveforms</w:t>
      </w:r>
      <w:r w:rsidR="009F57F9" w:rsidRPr="004C0478">
        <w:t xml:space="preserve"> (liquid sample)</w:t>
      </w:r>
      <w:r w:rsidR="002662A6" w:rsidRPr="004C0478">
        <w:t>.</w:t>
      </w:r>
    </w:p>
    <w:p w:rsidR="008B63BD" w:rsidRPr="004C0478" w:rsidRDefault="008B63BD" w:rsidP="002662A6">
      <w:pPr>
        <w:pStyle w:val="main"/>
        <w:spacing w:line="240" w:lineRule="auto"/>
      </w:pPr>
    </w:p>
    <w:p w:rsidR="008B63BD" w:rsidRPr="004C0478" w:rsidRDefault="008B63BD" w:rsidP="008B63BD">
      <w:pPr>
        <w:pStyle w:val="main"/>
      </w:pPr>
      <w:r w:rsidRPr="004C0478">
        <w:t xml:space="preserve">Optical emission data was obtained using an Andor Shamrock 500i spectrometer, with a 500 mm focal length. An Andor iStar CCD 340 camera with a 1024 x 1024 pixel intensified sensor was employed to capture the wavelength resolved light passing through the spectrometer. Low resolution optical data was captured using a 600 l/mm grating and high resolution optical data of the OH emission profile was captured using a 2400 l/mm grating. To direct light from the discharge in to the spectrometer a quartz window was added to the </w:t>
      </w:r>
      <w:r w:rsidRPr="004C0478">
        <w:lastRenderedPageBreak/>
        <w:t>discharge reactor and a collimating lens was positioned between the window and slit of the spectrometer.</w:t>
      </w:r>
    </w:p>
    <w:p w:rsidR="008B63BD" w:rsidRPr="004C0478" w:rsidRDefault="008B63BD" w:rsidP="008B63BD">
      <w:pPr>
        <w:pStyle w:val="main"/>
      </w:pPr>
    </w:p>
    <w:p w:rsidR="002662A6" w:rsidRPr="004C0478" w:rsidRDefault="002662A6" w:rsidP="002662A6">
      <w:pPr>
        <w:pStyle w:val="main"/>
        <w:spacing w:line="240" w:lineRule="auto"/>
      </w:pPr>
    </w:p>
    <w:p w:rsidR="000E185C" w:rsidRPr="004C0478" w:rsidRDefault="000E185C" w:rsidP="000E185C">
      <w:pPr>
        <w:pStyle w:val="Stijl2"/>
      </w:pPr>
      <w:r w:rsidRPr="004C0478">
        <w:t>2.6 Microbiological analysis</w:t>
      </w:r>
    </w:p>
    <w:p w:rsidR="00B0253C" w:rsidRPr="004C0478" w:rsidRDefault="00B0253C" w:rsidP="00B0253C">
      <w:pPr>
        <w:pStyle w:val="main"/>
        <w:rPr>
          <w:rFonts w:eastAsia="Times New Roman"/>
          <w:lang w:eastAsia="en-US"/>
        </w:rPr>
      </w:pPr>
      <w:r w:rsidRPr="004C0478">
        <w:t xml:space="preserve">The cell density after CAP treatment was determined via viable plate counting. For cells inactivated in a liquid carrier, 900 µL of saline solution (0.85% (w/v) NaCl) was added to the sample. Afterwards, the diluted sample (1 mL) was transferred to a sterile Eppendorf, in order to prepare serial decimal dilutions with saline solution. For cells inactivated on the solid(like) surface, the content of the petri dish was </w:t>
      </w:r>
      <w:r w:rsidR="006E5A91" w:rsidRPr="004C0478">
        <w:t>liquefied</w:t>
      </w:r>
      <w:r w:rsidRPr="004C0478">
        <w:t xml:space="preserve"> (37°C) and homogenized </w:t>
      </w:r>
      <w:r w:rsidR="008120A7" w:rsidRPr="004C0478">
        <w:t>(basic masticator, Led techno, Belgium)</w:t>
      </w:r>
      <w:r w:rsidR="00973B50" w:rsidRPr="004C0478">
        <w:t xml:space="preserve"> in a stomacher bag</w:t>
      </w:r>
      <w:r w:rsidR="008120A7" w:rsidRPr="004C0478">
        <w:t xml:space="preserve"> </w:t>
      </w:r>
      <w:r w:rsidRPr="004C0478">
        <w:t xml:space="preserve">for 30 seconds. 1 mL was taken from this bag, and serial decimal dilutions were prepared. </w:t>
      </w:r>
    </w:p>
    <w:p w:rsidR="00B0253C" w:rsidRPr="004C0478" w:rsidRDefault="00B0253C" w:rsidP="00B0253C">
      <w:pPr>
        <w:pStyle w:val="main"/>
      </w:pPr>
      <w:r w:rsidRPr="004C0478">
        <w:t xml:space="preserve">For all samples, 2-4 dilutions were plated (49.2 µL) onto TSA or BHI-Agar plates using a spiral plater (Eddy-Jet, IUL Instruments), and stored at 37°C for 24 h before counting. </w:t>
      </w:r>
    </w:p>
    <w:p w:rsidR="00B0253C" w:rsidRPr="004C0478" w:rsidRDefault="00B0253C" w:rsidP="00B0253C">
      <w:pPr>
        <w:pStyle w:val="main"/>
      </w:pPr>
      <w:r w:rsidRPr="004C0478">
        <w:t xml:space="preserve">In order to determine potential sublethal cell injury, dilutions were also plated onto Xylose Lysine Deoxycholate Agar (Merck &amp; Co, New Jersey, USA) for </w:t>
      </w:r>
      <w:r w:rsidRPr="004C0478">
        <w:rPr>
          <w:i/>
        </w:rPr>
        <w:t>S. </w:t>
      </w:r>
      <w:r w:rsidRPr="004C0478">
        <w:t xml:space="preserve">Typhimurium or PALCAM-Agar (VWR Chemicals, Leuven, Belgium) for </w:t>
      </w:r>
      <w:r w:rsidRPr="004C0478">
        <w:rPr>
          <w:i/>
        </w:rPr>
        <w:t>L. monocytogenes</w:t>
      </w:r>
      <w:r w:rsidRPr="004C0478">
        <w:t xml:space="preserve">, and stored up to 48 h </w:t>
      </w:r>
      <w:r w:rsidR="006E5A91" w:rsidRPr="004C0478">
        <w:t xml:space="preserve">at </w:t>
      </w:r>
      <w:r w:rsidRPr="004C0478">
        <w:t xml:space="preserve">30°C. </w:t>
      </w:r>
      <w:r w:rsidR="00F42D22" w:rsidRPr="004C0478">
        <w:t>Although included in the figures, for a detailed discussing regarding CAP and sublethal injury, the reader is refer</w:t>
      </w:r>
      <w:r w:rsidR="00122CF5" w:rsidRPr="004C0478">
        <w:t>r</w:t>
      </w:r>
      <w:r w:rsidR="00F42D22" w:rsidRPr="004C0478">
        <w:t>ed to Smet et al.</w:t>
      </w:r>
      <w:r w:rsidR="00434CEA" w:rsidRPr="004C0478">
        <w:rPr>
          <w:vertAlign w:val="superscript"/>
        </w:rPr>
        <w:t>[13</w:t>
      </w:r>
      <w:r w:rsidR="00122CF5" w:rsidRPr="004C0478">
        <w:rPr>
          <w:vertAlign w:val="superscript"/>
        </w:rPr>
        <w:t>]</w:t>
      </w:r>
      <w:r w:rsidR="00F42D22" w:rsidRPr="004C0478">
        <w:t xml:space="preserve"> </w:t>
      </w:r>
      <w:r w:rsidRPr="004C0478">
        <w:t xml:space="preserve">Cell counts shown in the figures </w:t>
      </w:r>
      <w:r w:rsidR="006E5A91" w:rsidRPr="004C0478">
        <w:t xml:space="preserve">in the results and discussion section </w:t>
      </w:r>
      <w:r w:rsidRPr="004C0478">
        <w:t xml:space="preserve">were the mean of all countable dilutions for each sample. </w:t>
      </w:r>
      <w:r w:rsidR="00973B50" w:rsidRPr="004C0478">
        <w:t>Experiments were performed in duplicate.</w:t>
      </w:r>
    </w:p>
    <w:p w:rsidR="00B0253C" w:rsidRPr="004C0478" w:rsidRDefault="00B0253C" w:rsidP="00B0253C">
      <w:pPr>
        <w:pStyle w:val="main"/>
      </w:pPr>
    </w:p>
    <w:p w:rsidR="000E185C" w:rsidRPr="004C0478" w:rsidRDefault="000E185C" w:rsidP="000E185C">
      <w:pPr>
        <w:pStyle w:val="Stijl2"/>
      </w:pPr>
      <w:r w:rsidRPr="004C0478">
        <w:t xml:space="preserve">2.7 Storage procedure </w:t>
      </w:r>
    </w:p>
    <w:p w:rsidR="00B0253C" w:rsidRPr="004C0478" w:rsidRDefault="00B0253C" w:rsidP="00B0253C">
      <w:pPr>
        <w:pStyle w:val="main"/>
        <w:rPr>
          <w:rFonts w:eastAsia="Times New Roman"/>
          <w:lang w:eastAsia="en-US"/>
        </w:rPr>
      </w:pPr>
      <w:r w:rsidRPr="004C0478">
        <w:t xml:space="preserve">Storage experiments were executed for </w:t>
      </w:r>
      <w:r w:rsidRPr="004C0478">
        <w:rPr>
          <w:i/>
        </w:rPr>
        <w:t xml:space="preserve">S. </w:t>
      </w:r>
      <w:r w:rsidRPr="004C0478">
        <w:t xml:space="preserve">Typhimurium at pH 7.4, 0% (w/v) NaCl and pH 5.5, 6% (w/v) NaCl, by treating samples for 5 min. Treated petri dishes (and controls) were sealed with parafilm, and stored at 8 </w:t>
      </w:r>
      <w:r w:rsidR="00973B50" w:rsidRPr="004C0478">
        <w:t xml:space="preserve">(for 30 days) </w:t>
      </w:r>
      <w:r w:rsidRPr="004C0478">
        <w:t>or 20°C</w:t>
      </w:r>
      <w:r w:rsidR="00973B50" w:rsidRPr="004C0478">
        <w:t xml:space="preserve"> (for 10 days)</w:t>
      </w:r>
      <w:r w:rsidRPr="004C0478">
        <w:t xml:space="preserve">. As the liquid carrier </w:t>
      </w:r>
      <w:r w:rsidRPr="004C0478">
        <w:lastRenderedPageBreak/>
        <w:t xml:space="preserve">significantly evaporated due to the CAP generated, 100 µL of </w:t>
      </w:r>
      <w:r w:rsidR="002C512C" w:rsidRPr="004C0478">
        <w:t xml:space="preserve">untreated </w:t>
      </w:r>
      <w:r w:rsidRPr="004C0478">
        <w:t>dilution medium at the same experimental conditions was added prior to storage</w:t>
      </w:r>
      <w:r w:rsidR="002C512C" w:rsidRPr="004C0478">
        <w:t>, in order to (i) facilitate possible cell recovery during storage and (ii) to mimic the solid system where also nutrients are available below surface</w:t>
      </w:r>
      <w:r w:rsidRPr="004C0478">
        <w:t>.</w:t>
      </w:r>
      <w:r w:rsidR="00434CEA" w:rsidRPr="004C0478">
        <w:rPr>
          <w:noProof/>
          <w:vertAlign w:val="superscript"/>
        </w:rPr>
        <w:t>[13</w:t>
      </w:r>
      <w:r w:rsidRPr="004C0478">
        <w:rPr>
          <w:noProof/>
          <w:vertAlign w:val="superscript"/>
        </w:rPr>
        <w:t>]</w:t>
      </w:r>
      <w:r w:rsidRPr="004C0478">
        <w:t xml:space="preserve"> During storage, sampling took place at regular time intervals</w:t>
      </w:r>
      <w:r w:rsidR="00926D6D" w:rsidRPr="004C0478">
        <w:t xml:space="preserve"> (ranging from every couple of hours to a few samples a week, depending on the storage temperature</w:t>
      </w:r>
      <w:r w:rsidR="006E5A91" w:rsidRPr="004C0478">
        <w:t>)</w:t>
      </w:r>
      <w:r w:rsidRPr="004C0478">
        <w:t xml:space="preserve">. The cell density was determined by plate counts as described above. </w:t>
      </w:r>
    </w:p>
    <w:p w:rsidR="000E185C" w:rsidRPr="004C0478" w:rsidRDefault="000E185C" w:rsidP="000E185C">
      <w:pPr>
        <w:spacing w:line="480" w:lineRule="auto"/>
        <w:jc w:val="both"/>
        <w:rPr>
          <w:lang w:val="en-US"/>
        </w:rPr>
      </w:pPr>
    </w:p>
    <w:p w:rsidR="000E185C" w:rsidRPr="004C0478" w:rsidRDefault="000E185C" w:rsidP="000E185C">
      <w:pPr>
        <w:pStyle w:val="Stijl2"/>
      </w:pPr>
      <w:r w:rsidRPr="004C0478">
        <w:t xml:space="preserve">2.8 Modelling </w:t>
      </w:r>
      <w:r w:rsidR="00621A5F" w:rsidRPr="004C0478">
        <w:t xml:space="preserve">microbial kinetics </w:t>
      </w:r>
      <w:r w:rsidRPr="004C0478">
        <w:t>and parameter estimation</w:t>
      </w:r>
    </w:p>
    <w:p w:rsidR="00B0253C" w:rsidRPr="004C0478" w:rsidRDefault="00B0253C" w:rsidP="00B0253C">
      <w:pPr>
        <w:pStyle w:val="main"/>
        <w:rPr>
          <w:rFonts w:eastAsia="Times New Roman"/>
          <w:lang w:eastAsia="en-US"/>
        </w:rPr>
      </w:pPr>
      <w:r w:rsidRPr="004C0478">
        <w:t>The inactivation model of Geeraerd et al., was used to fit experimental data.</w:t>
      </w:r>
      <w:r w:rsidR="00434CEA" w:rsidRPr="004C0478">
        <w:rPr>
          <w:noProof/>
          <w:vertAlign w:val="superscript"/>
        </w:rPr>
        <w:t>[14</w:t>
      </w:r>
      <w:r w:rsidRPr="004C0478">
        <w:rPr>
          <w:noProof/>
          <w:vertAlign w:val="superscript"/>
        </w:rPr>
        <w:t>]</w:t>
      </w:r>
      <w:r w:rsidRPr="004C0478">
        <w:t xml:space="preserve"> This model describes a microbial inactivation curve consisting of a shoulder, a loglinear inactivation phase and a tail:</w:t>
      </w:r>
    </w:p>
    <w:p w:rsidR="00B0253C" w:rsidRPr="004C0478" w:rsidRDefault="001402C4" w:rsidP="00B0253C">
      <w:pPr>
        <w:pStyle w:val="main"/>
      </w:pPr>
      <m:oMath>
        <m:m>
          <m:mPr>
            <m:mcs>
              <m:mc>
                <m:mcPr>
                  <m:count m:val="1"/>
                  <m:mcJc m:val="center"/>
                </m:mcPr>
              </m:mc>
            </m:mcs>
            <m:ctrlPr>
              <w:rPr>
                <w:rFonts w:ascii="Cambria Math" w:hAnsi="Cambria Math"/>
                <w:i/>
                <w:lang w:eastAsia="en-US"/>
              </w:rPr>
            </m:ctrlPr>
          </m:mPr>
          <m:mr>
            <m:e>
              <m:f>
                <m:fPr>
                  <m:ctrlPr>
                    <w:rPr>
                      <w:rFonts w:ascii="Cambria Math" w:hAnsi="Cambria Math"/>
                      <w:i/>
                      <w:lang w:eastAsia="en-US"/>
                    </w:rPr>
                  </m:ctrlPr>
                </m:fPr>
                <m:num>
                  <m:r>
                    <w:rPr>
                      <w:rFonts w:ascii="Cambria Math" w:hAnsi="Cambria Math"/>
                    </w:rPr>
                    <m:t>dN</m:t>
                  </m:r>
                  <m:d>
                    <m:dPr>
                      <m:ctrlPr>
                        <w:rPr>
                          <w:rFonts w:ascii="Cambria Math" w:hAnsi="Cambria Math"/>
                          <w:i/>
                          <w:lang w:eastAsia="en-US"/>
                        </w:rPr>
                      </m:ctrlPr>
                    </m:dPr>
                    <m:e>
                      <m:r>
                        <w:rPr>
                          <w:rFonts w:ascii="Cambria Math" w:hAnsi="Cambria Math"/>
                        </w:rPr>
                        <m:t>t</m:t>
                      </m:r>
                    </m:e>
                  </m:d>
                </m:num>
                <m:den>
                  <m:r>
                    <w:rPr>
                      <w:rFonts w:ascii="Cambria Math" w:hAnsi="Cambria Math"/>
                    </w:rPr>
                    <m:t>dt</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1+</m:t>
                  </m:r>
                  <m:sSub>
                    <m:sSubPr>
                      <m:ctrlPr>
                        <w:rPr>
                          <w:rFonts w:ascii="Cambria Math" w:hAnsi="Cambria Math"/>
                          <w:i/>
                          <w:lang w:eastAsia="en-US"/>
                        </w:rPr>
                      </m:ctrlPr>
                    </m:sSubPr>
                    <m:e>
                      <m:r>
                        <w:rPr>
                          <w:rFonts w:ascii="Cambria Math" w:hAnsi="Cambria Math"/>
                        </w:rPr>
                        <m:t>C</m:t>
                      </m:r>
                    </m:e>
                    <m:sub>
                      <m:r>
                        <w:rPr>
                          <w:rFonts w:ascii="Cambria Math" w:hAnsi="Cambria Math"/>
                        </w:rPr>
                        <m:t>c</m:t>
                      </m:r>
                    </m:sub>
                  </m:sSub>
                  <m:d>
                    <m:dPr>
                      <m:ctrlPr>
                        <w:rPr>
                          <w:rFonts w:ascii="Cambria Math" w:hAnsi="Cambria Math"/>
                          <w:i/>
                          <w:lang w:eastAsia="en-US"/>
                        </w:rPr>
                      </m:ctrlPr>
                    </m:dPr>
                    <m:e>
                      <m:r>
                        <w:rPr>
                          <w:rFonts w:ascii="Cambria Math" w:hAnsi="Cambria Math"/>
                        </w:rPr>
                        <m:t>t</m:t>
                      </m:r>
                    </m:e>
                  </m:d>
                </m:den>
              </m:f>
              <m:r>
                <w:rPr>
                  <w:rFonts w:ascii="Cambria Math" w:hAnsi="Cambria Math"/>
                </w:rPr>
                <m:t>∙</m:t>
              </m:r>
              <m:sSub>
                <m:sSubPr>
                  <m:ctrlPr>
                    <w:rPr>
                      <w:rFonts w:ascii="Cambria Math" w:hAnsi="Cambria Math"/>
                      <w:i/>
                      <w:lang w:eastAsia="en-US"/>
                    </w:rPr>
                  </m:ctrlPr>
                </m:sSubPr>
                <m:e>
                  <m:r>
                    <w:rPr>
                      <w:rFonts w:ascii="Cambria Math" w:hAnsi="Cambria Math"/>
                    </w:rPr>
                    <m:t>k</m:t>
                  </m:r>
                </m:e>
                <m:sub>
                  <m:r>
                    <w:rPr>
                      <w:rFonts w:ascii="Cambria Math" w:hAnsi="Cambria Math"/>
                    </w:rPr>
                    <m:t>max</m:t>
                  </m:r>
                </m:sub>
              </m:sSub>
              <m:r>
                <w:rPr>
                  <w:rFonts w:ascii="Cambria Math" w:hAnsi="Cambria Math"/>
                </w:rPr>
                <m:t>∙</m:t>
              </m:r>
              <m:d>
                <m:dPr>
                  <m:ctrlPr>
                    <w:rPr>
                      <w:rFonts w:ascii="Cambria Math" w:hAnsi="Cambria Math"/>
                      <w:i/>
                      <w:lang w:eastAsia="en-US"/>
                    </w:rPr>
                  </m:ctrlPr>
                </m:dPr>
                <m:e>
                  <m:r>
                    <w:rPr>
                      <w:rFonts w:ascii="Cambria Math" w:hAnsi="Cambria Math"/>
                    </w:rPr>
                    <m:t>1-</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N</m:t>
                          </m:r>
                        </m:e>
                        <m:sub>
                          <m:r>
                            <w:rPr>
                              <w:rFonts w:ascii="Cambria Math" w:hAnsi="Cambria Math"/>
                            </w:rPr>
                            <m:t>res</m:t>
                          </m:r>
                        </m:sub>
                      </m:sSub>
                    </m:num>
                    <m:den>
                      <m:r>
                        <w:rPr>
                          <w:rFonts w:ascii="Cambria Math" w:hAnsi="Cambria Math"/>
                        </w:rPr>
                        <m:t>N(t)</m:t>
                      </m:r>
                    </m:den>
                  </m:f>
                </m:e>
              </m:d>
              <m:r>
                <w:rPr>
                  <w:rFonts w:ascii="Cambria Math" w:hAnsi="Cambria Math"/>
                </w:rPr>
                <m:t>∙N</m:t>
              </m:r>
              <m:d>
                <m:dPr>
                  <m:ctrlPr>
                    <w:rPr>
                      <w:rFonts w:ascii="Cambria Math" w:hAnsi="Cambria Math"/>
                      <w:i/>
                      <w:lang w:eastAsia="en-US"/>
                    </w:rPr>
                  </m:ctrlPr>
                </m:dPr>
                <m:e>
                  <m:r>
                    <w:rPr>
                      <w:rFonts w:ascii="Cambria Math" w:hAnsi="Cambria Math"/>
                    </w:rPr>
                    <m:t>t</m:t>
                  </m:r>
                </m:e>
              </m:d>
            </m:e>
          </m:mr>
          <m:mr>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dC</m:t>
                      </m:r>
                    </m:e>
                    <m:sub>
                      <m:r>
                        <w:rPr>
                          <w:rFonts w:ascii="Cambria Math" w:hAnsi="Cambria Math"/>
                        </w:rPr>
                        <m:t>c</m:t>
                      </m:r>
                    </m:sub>
                  </m:sSub>
                  <m:d>
                    <m:dPr>
                      <m:ctrlPr>
                        <w:rPr>
                          <w:rFonts w:ascii="Cambria Math" w:hAnsi="Cambria Math"/>
                          <w:i/>
                          <w:lang w:eastAsia="en-US"/>
                        </w:rPr>
                      </m:ctrlPr>
                    </m:dPr>
                    <m:e>
                      <m:r>
                        <w:rPr>
                          <w:rFonts w:ascii="Cambria Math" w:hAnsi="Cambria Math"/>
                        </w:rPr>
                        <m:t>t</m:t>
                      </m:r>
                    </m:e>
                  </m:d>
                </m:num>
                <m:den>
                  <m:r>
                    <w:rPr>
                      <w:rFonts w:ascii="Cambria Math" w:hAnsi="Cambria Math"/>
                    </w:rPr>
                    <m:t>dt</m:t>
                  </m:r>
                </m:den>
              </m:f>
              <m:r>
                <w:rPr>
                  <w:rFonts w:ascii="Cambria Math" w:hAnsi="Cambria Math"/>
                </w:rPr>
                <m:t>=-</m:t>
              </m:r>
              <m:sSub>
                <m:sSubPr>
                  <m:ctrlPr>
                    <w:rPr>
                      <w:rFonts w:ascii="Cambria Math" w:hAnsi="Cambria Math"/>
                      <w:i/>
                      <w:lang w:eastAsia="en-US"/>
                    </w:rPr>
                  </m:ctrlPr>
                </m:sSubPr>
                <m:e>
                  <m:r>
                    <w:rPr>
                      <w:rFonts w:ascii="Cambria Math" w:hAnsi="Cambria Math"/>
                    </w:rPr>
                    <m:t>k</m:t>
                  </m:r>
                </m:e>
                <m:sub>
                  <m:r>
                    <w:rPr>
                      <w:rFonts w:ascii="Cambria Math" w:hAnsi="Cambria Math"/>
                    </w:rPr>
                    <m:t>max</m:t>
                  </m:r>
                </m:sub>
              </m:sSub>
              <m:r>
                <w:rPr>
                  <w:rFonts w:ascii="Cambria Math" w:hAnsi="Cambria Math"/>
                </w:rPr>
                <m:t>∙</m:t>
              </m:r>
              <m:sSub>
                <m:sSubPr>
                  <m:ctrlPr>
                    <w:rPr>
                      <w:rFonts w:ascii="Cambria Math" w:hAnsi="Cambria Math"/>
                      <w:i/>
                      <w:lang w:eastAsia="en-US"/>
                    </w:rPr>
                  </m:ctrlPr>
                </m:sSubPr>
                <m:e>
                  <m:r>
                    <w:rPr>
                      <w:rFonts w:ascii="Cambria Math" w:hAnsi="Cambria Math"/>
                    </w:rPr>
                    <m:t>C</m:t>
                  </m:r>
                </m:e>
                <m:sub>
                  <m:r>
                    <w:rPr>
                      <w:rFonts w:ascii="Cambria Math" w:hAnsi="Cambria Math"/>
                    </w:rPr>
                    <m:t>c</m:t>
                  </m:r>
                </m:sub>
              </m:sSub>
              <m:d>
                <m:dPr>
                  <m:ctrlPr>
                    <w:rPr>
                      <w:rFonts w:ascii="Cambria Math" w:hAnsi="Cambria Math"/>
                      <w:i/>
                      <w:lang w:eastAsia="en-US"/>
                    </w:rPr>
                  </m:ctrlPr>
                </m:dPr>
                <m:e>
                  <m:r>
                    <w:rPr>
                      <w:rFonts w:ascii="Cambria Math" w:hAnsi="Cambria Math"/>
                    </w:rPr>
                    <m:t>t</m:t>
                  </m:r>
                </m:e>
              </m:d>
            </m:e>
          </m:mr>
        </m:m>
      </m:oMath>
      <w:r w:rsidR="00B0253C" w:rsidRPr="004C0478">
        <w:tab/>
      </w:r>
      <w:r w:rsidR="00B0253C" w:rsidRPr="004C0478">
        <w:tab/>
      </w:r>
      <w:r w:rsidR="00B0253C" w:rsidRPr="004C0478">
        <w:tab/>
      </w:r>
      <w:r w:rsidR="00B0253C" w:rsidRPr="004C0478">
        <w:tab/>
      </w:r>
      <w:r w:rsidR="00B0253C" w:rsidRPr="004C0478">
        <w:tab/>
      </w:r>
      <w:r w:rsidR="00B0253C" w:rsidRPr="004C0478">
        <w:tab/>
        <w:t>(2)</w:t>
      </w:r>
    </w:p>
    <w:p w:rsidR="00B0253C" w:rsidRPr="004C0478" w:rsidRDefault="00B0253C" w:rsidP="00ED3A63">
      <w:pPr>
        <w:pStyle w:val="main"/>
        <w:rPr>
          <w:rFonts w:eastAsiaTheme="minorEastAsia"/>
        </w:rPr>
      </w:pPr>
      <w:r w:rsidRPr="004C0478">
        <w:t xml:space="preserve">with </w:t>
      </w:r>
      <w:r w:rsidRPr="004C0478">
        <w:rPr>
          <w:i/>
        </w:rPr>
        <w:t>N(t)</w:t>
      </w:r>
      <w:r w:rsidRPr="004C0478">
        <w:t xml:space="preserve"> [CFU/mL] the cell density at time </w:t>
      </w:r>
      <w:r w:rsidRPr="004C0478">
        <w:rPr>
          <w:i/>
        </w:rPr>
        <w:t>t</w:t>
      </w:r>
      <w:r w:rsidRPr="004C0478">
        <w:t xml:space="preserve"> [h], </w:t>
      </w:r>
      <w:r w:rsidRPr="004C0478">
        <w:rPr>
          <w:i/>
        </w:rPr>
        <w:t>N</w:t>
      </w:r>
      <w:r w:rsidRPr="004C0478">
        <w:rPr>
          <w:i/>
          <w:vertAlign w:val="subscript"/>
        </w:rPr>
        <w:t>res</w:t>
      </w:r>
      <w:r w:rsidRPr="004C0478">
        <w:t xml:space="preserve"> [CFU/mL]  the residual cell density at the tailing phase, </w:t>
      </w:r>
      <w:r w:rsidRPr="004C0478">
        <w:rPr>
          <w:i/>
        </w:rPr>
        <w:t>k</w:t>
      </w:r>
      <w:r w:rsidRPr="004C0478">
        <w:rPr>
          <w:i/>
          <w:vertAlign w:val="subscript"/>
        </w:rPr>
        <w:t>max</w:t>
      </w:r>
      <w:r w:rsidRPr="004C0478">
        <w:rPr>
          <w:i/>
        </w:rPr>
        <w:t xml:space="preserve"> </w:t>
      </w:r>
      <w:r w:rsidRPr="004C0478">
        <w:t>[h</w:t>
      </w:r>
      <w:r w:rsidRPr="004C0478">
        <w:rPr>
          <w:vertAlign w:val="superscript"/>
        </w:rPr>
        <w:t>-1</w:t>
      </w:r>
      <w:r w:rsidRPr="004C0478">
        <w:t xml:space="preserve">] the maximum inactivation rate and </w:t>
      </w:r>
      <w:r w:rsidRPr="004C0478">
        <w:rPr>
          <w:i/>
        </w:rPr>
        <w:t>C</w:t>
      </w:r>
      <w:r w:rsidRPr="004C0478">
        <w:rPr>
          <w:i/>
          <w:vertAlign w:val="subscript"/>
        </w:rPr>
        <w:t>c</w:t>
      </w:r>
      <w:r w:rsidRPr="004C0478">
        <w:rPr>
          <w:i/>
        </w:rPr>
        <w:t>(t)</w:t>
      </w:r>
      <w:r w:rsidRPr="004C0478">
        <w:t xml:space="preserve"> [-] a measure of the physiological state of the cells. </w:t>
      </w:r>
      <w:bookmarkStart w:id="7" w:name="_Hlk482898452"/>
      <w:r w:rsidR="00667902" w:rsidRPr="004C0478">
        <w:t>F</w:t>
      </w:r>
      <w:r w:rsidR="00ED3A63" w:rsidRPr="004C0478">
        <w:t xml:space="preserve">inal </w:t>
      </w:r>
      <w:r w:rsidR="00ED3A63" w:rsidRPr="004C0478">
        <w:rPr>
          <w:i/>
        </w:rPr>
        <w:t>log reduction</w:t>
      </w:r>
      <w:r w:rsidR="00667902" w:rsidRPr="004C0478">
        <w:rPr>
          <w:i/>
        </w:rPr>
        <w:t>s</w:t>
      </w:r>
      <w:r w:rsidR="00667902" w:rsidRPr="004C0478">
        <w:t xml:space="preserve"> were </w:t>
      </w:r>
      <w:r w:rsidR="00ED3A63" w:rsidRPr="004C0478">
        <w:t>calculated from</w:t>
      </w:r>
      <w:r w:rsidR="00667902" w:rsidRPr="004C0478">
        <w:t xml:space="preserve"> </w:t>
      </w:r>
      <w:r w:rsidR="00ED3A63" w:rsidRPr="004C0478">
        <w:t>the difference between log</w:t>
      </w:r>
      <w:r w:rsidR="00667902" w:rsidRPr="004C0478">
        <w:t xml:space="preserve"> </w:t>
      </w:r>
      <w:r w:rsidR="00ED3A63" w:rsidRPr="004C0478">
        <w:rPr>
          <w:i/>
        </w:rPr>
        <w:t>N</w:t>
      </w:r>
      <w:r w:rsidR="00ED3A63" w:rsidRPr="004C0478">
        <w:rPr>
          <w:i/>
          <w:vertAlign w:val="subscript"/>
        </w:rPr>
        <w:t>0</w:t>
      </w:r>
      <w:r w:rsidR="00ED3A63" w:rsidRPr="004C0478">
        <w:t xml:space="preserve"> and log </w:t>
      </w:r>
      <w:r w:rsidR="00ED3A63" w:rsidRPr="004C0478">
        <w:rPr>
          <w:i/>
        </w:rPr>
        <w:t>N</w:t>
      </w:r>
      <w:r w:rsidR="00ED3A63" w:rsidRPr="004C0478">
        <w:rPr>
          <w:i/>
          <w:vertAlign w:val="subscript"/>
        </w:rPr>
        <w:t>res</w:t>
      </w:r>
      <w:r w:rsidR="00667902" w:rsidRPr="004C0478">
        <w:t>. I</w:t>
      </w:r>
      <w:r w:rsidR="00ED3A63" w:rsidRPr="004C0478">
        <w:t xml:space="preserve">f log </w:t>
      </w:r>
      <w:r w:rsidR="00ED3A63" w:rsidRPr="004C0478">
        <w:rPr>
          <w:i/>
        </w:rPr>
        <w:t>N</w:t>
      </w:r>
      <w:r w:rsidR="00ED3A63" w:rsidRPr="004C0478">
        <w:rPr>
          <w:i/>
          <w:vertAlign w:val="subscript"/>
        </w:rPr>
        <w:t>res</w:t>
      </w:r>
      <w:r w:rsidR="00ED3A63" w:rsidRPr="004C0478">
        <w:t xml:space="preserve"> was not yet reached, log </w:t>
      </w:r>
      <w:r w:rsidR="00ED3A63" w:rsidRPr="004C0478">
        <w:rPr>
          <w:i/>
        </w:rPr>
        <w:t>N</w:t>
      </w:r>
      <w:r w:rsidR="00ED3A63" w:rsidRPr="004C0478">
        <w:t>(</w:t>
      </w:r>
      <w:r w:rsidR="00ED3A63" w:rsidRPr="004C0478">
        <w:rPr>
          <w:i/>
        </w:rPr>
        <w:t>t</w:t>
      </w:r>
      <w:r w:rsidR="00ED3A63" w:rsidRPr="004C0478">
        <w:t xml:space="preserve"> =600 s) (or log </w:t>
      </w:r>
      <w:r w:rsidR="00ED3A63" w:rsidRPr="004C0478">
        <w:rPr>
          <w:i/>
        </w:rPr>
        <w:t>N</w:t>
      </w:r>
      <w:r w:rsidR="00ED3A63" w:rsidRPr="004C0478">
        <w:t>(</w:t>
      </w:r>
      <w:r w:rsidR="00ED3A63" w:rsidRPr="004C0478">
        <w:rPr>
          <w:i/>
        </w:rPr>
        <w:t>t</w:t>
      </w:r>
      <w:r w:rsidR="00ED3A63" w:rsidRPr="004C0478">
        <w:t>=180</w:t>
      </w:r>
      <w:r w:rsidR="00667902" w:rsidRPr="004C0478">
        <w:t> </w:t>
      </w:r>
      <w:r w:rsidR="00ED3A63" w:rsidRPr="004C0478">
        <w:t>s), for inactivation on a filter) was used to calculate</w:t>
      </w:r>
      <w:r w:rsidR="00667902" w:rsidRPr="004C0478">
        <w:t xml:space="preserve"> </w:t>
      </w:r>
      <w:r w:rsidR="00ED3A63" w:rsidRPr="004C0478">
        <w:t>the log reduction.</w:t>
      </w:r>
      <w:r w:rsidRPr="004C0478">
        <w:rPr>
          <w:rFonts w:eastAsiaTheme="minorEastAsia"/>
        </w:rPr>
        <w:t xml:space="preserve">                                      </w:t>
      </w:r>
      <w:bookmarkEnd w:id="7"/>
    </w:p>
    <w:p w:rsidR="00B0253C" w:rsidRPr="004C0478" w:rsidRDefault="00B0253C" w:rsidP="00B0253C">
      <w:pPr>
        <w:pStyle w:val="main"/>
        <w:rPr>
          <w:rFonts w:eastAsia="Times New Roman"/>
        </w:rPr>
      </w:pPr>
      <w:r w:rsidRPr="004C0478">
        <w:t xml:space="preserve">If growth was observed during storage, the model of Baranyi and Roberts was fitted: </w:t>
      </w:r>
    </w:p>
    <w:p w:rsidR="00B0253C" w:rsidRPr="004C0478" w:rsidRDefault="001402C4" w:rsidP="00B0253C">
      <w:pPr>
        <w:pStyle w:val="main"/>
      </w:pPr>
      <m:oMath>
        <m:m>
          <m:mPr>
            <m:mcs>
              <m:mc>
                <m:mcPr>
                  <m:count m:val="1"/>
                  <m:mcJc m:val="center"/>
                </m:mcPr>
              </m:mc>
            </m:mcs>
            <m:ctrlPr>
              <w:rPr>
                <w:rFonts w:ascii="Cambria Math" w:hAnsi="Cambria Math"/>
                <w:i/>
                <w:lang w:eastAsia="en-US"/>
              </w:rPr>
            </m:ctrlPr>
          </m:mPr>
          <m:mr>
            <m:e>
              <m:f>
                <m:fPr>
                  <m:ctrlPr>
                    <w:rPr>
                      <w:rFonts w:ascii="Cambria Math" w:hAnsi="Cambria Math"/>
                      <w:i/>
                      <w:lang w:eastAsia="en-US"/>
                    </w:rPr>
                  </m:ctrlPr>
                </m:fPr>
                <m:num>
                  <m:r>
                    <w:rPr>
                      <w:rFonts w:ascii="Cambria Math" w:hAnsi="Cambria Math"/>
                    </w:rPr>
                    <m:t>dN</m:t>
                  </m:r>
                  <m:d>
                    <m:dPr>
                      <m:ctrlPr>
                        <w:rPr>
                          <w:rFonts w:ascii="Cambria Math" w:hAnsi="Cambria Math"/>
                          <w:i/>
                          <w:lang w:eastAsia="en-US"/>
                        </w:rPr>
                      </m:ctrlPr>
                    </m:dPr>
                    <m:e>
                      <m:r>
                        <w:rPr>
                          <w:rFonts w:ascii="Cambria Math" w:hAnsi="Cambria Math"/>
                        </w:rPr>
                        <m:t>t</m:t>
                      </m:r>
                    </m:e>
                  </m:d>
                </m:num>
                <m:den>
                  <m:r>
                    <w:rPr>
                      <w:rFonts w:ascii="Cambria Math" w:hAnsi="Cambria Math"/>
                    </w:rPr>
                    <m:t>dt</m:t>
                  </m:r>
                </m:den>
              </m:f>
              <m:r>
                <w:rPr>
                  <w:rFonts w:ascii="Cambria Math" w:hAnsi="Cambria Math"/>
                </w:rPr>
                <m:t>=</m:t>
              </m:r>
              <m:f>
                <m:fPr>
                  <m:ctrlPr>
                    <w:rPr>
                      <w:rFonts w:ascii="Cambria Math" w:hAnsi="Cambria Math"/>
                      <w:i/>
                      <w:lang w:eastAsia="en-US"/>
                    </w:rPr>
                  </m:ctrlPr>
                </m:fPr>
                <m:num>
                  <m:r>
                    <w:rPr>
                      <w:rFonts w:ascii="Cambria Math" w:hAnsi="Cambria Math"/>
                    </w:rPr>
                    <m:t>Q</m:t>
                  </m:r>
                  <m:d>
                    <m:dPr>
                      <m:ctrlPr>
                        <w:rPr>
                          <w:rFonts w:ascii="Cambria Math" w:hAnsi="Cambria Math"/>
                          <w:i/>
                          <w:lang w:eastAsia="en-US"/>
                        </w:rPr>
                      </m:ctrlPr>
                    </m:dPr>
                    <m:e>
                      <m:r>
                        <w:rPr>
                          <w:rFonts w:ascii="Cambria Math" w:hAnsi="Cambria Math"/>
                        </w:rPr>
                        <m:t>t</m:t>
                      </m:r>
                    </m:e>
                  </m:d>
                </m:num>
                <m:den>
                  <m:r>
                    <w:rPr>
                      <w:rFonts w:ascii="Cambria Math" w:hAnsi="Cambria Math"/>
                    </w:rPr>
                    <m:t>1+Q</m:t>
                  </m:r>
                  <m:d>
                    <m:dPr>
                      <m:ctrlPr>
                        <w:rPr>
                          <w:rFonts w:ascii="Cambria Math" w:hAnsi="Cambria Math"/>
                          <w:i/>
                          <w:lang w:eastAsia="en-US"/>
                        </w:rPr>
                      </m:ctrlPr>
                    </m:dPr>
                    <m:e>
                      <m:r>
                        <w:rPr>
                          <w:rFonts w:ascii="Cambria Math" w:hAnsi="Cambria Math"/>
                        </w:rPr>
                        <m:t>t</m:t>
                      </m:r>
                    </m:e>
                  </m:d>
                </m:den>
              </m:f>
              <m:r>
                <w:rPr>
                  <w:rFonts w:ascii="Cambria Math" w:hAnsi="Cambria Math"/>
                </w:rPr>
                <m:t>∙</m:t>
              </m:r>
              <m:sSub>
                <m:sSubPr>
                  <m:ctrlPr>
                    <w:rPr>
                      <w:rFonts w:ascii="Cambria Math" w:hAnsi="Cambria Math"/>
                      <w:i/>
                      <w:lang w:eastAsia="en-US"/>
                    </w:rPr>
                  </m:ctrlPr>
                </m:sSubPr>
                <m:e>
                  <m:r>
                    <w:rPr>
                      <w:rFonts w:ascii="Cambria Math" w:hAnsi="Cambria Math"/>
                    </w:rPr>
                    <m:t>μ</m:t>
                  </m:r>
                </m:e>
                <m:sub>
                  <m:r>
                    <w:rPr>
                      <w:rFonts w:ascii="Cambria Math" w:hAnsi="Cambria Math"/>
                    </w:rPr>
                    <m:t>max</m:t>
                  </m:r>
                </m:sub>
              </m:sSub>
              <m:r>
                <w:rPr>
                  <w:rFonts w:ascii="Cambria Math" w:hAnsi="Cambria Math"/>
                </w:rPr>
                <m:t>∙</m:t>
              </m:r>
              <m:d>
                <m:dPr>
                  <m:ctrlPr>
                    <w:rPr>
                      <w:rFonts w:ascii="Cambria Math" w:hAnsi="Cambria Math"/>
                      <w:i/>
                      <w:lang w:eastAsia="en-US"/>
                    </w:rPr>
                  </m:ctrlPr>
                </m:dPr>
                <m:e>
                  <m:r>
                    <w:rPr>
                      <w:rFonts w:ascii="Cambria Math" w:hAnsi="Cambria Math"/>
                    </w:rPr>
                    <m:t>1-</m:t>
                  </m:r>
                  <m:f>
                    <m:fPr>
                      <m:ctrlPr>
                        <w:rPr>
                          <w:rFonts w:ascii="Cambria Math" w:hAnsi="Cambria Math"/>
                          <w:i/>
                          <w:lang w:eastAsia="en-US"/>
                        </w:rPr>
                      </m:ctrlPr>
                    </m:fPr>
                    <m:num>
                      <m:r>
                        <w:rPr>
                          <w:rFonts w:ascii="Cambria Math" w:hAnsi="Cambria Math"/>
                        </w:rPr>
                        <m:t>N</m:t>
                      </m:r>
                      <m:d>
                        <m:dPr>
                          <m:ctrlPr>
                            <w:rPr>
                              <w:rFonts w:ascii="Cambria Math" w:hAnsi="Cambria Math"/>
                              <w:i/>
                              <w:lang w:eastAsia="en-US"/>
                            </w:rPr>
                          </m:ctrlPr>
                        </m:dPr>
                        <m:e>
                          <m:r>
                            <w:rPr>
                              <w:rFonts w:ascii="Cambria Math" w:hAnsi="Cambria Math"/>
                            </w:rPr>
                            <m:t>t</m:t>
                          </m:r>
                        </m:e>
                      </m:d>
                    </m:num>
                    <m:den>
                      <m:sSub>
                        <m:sSubPr>
                          <m:ctrlPr>
                            <w:rPr>
                              <w:rFonts w:ascii="Cambria Math" w:hAnsi="Cambria Math"/>
                              <w:i/>
                              <w:lang w:eastAsia="en-US"/>
                            </w:rPr>
                          </m:ctrlPr>
                        </m:sSubPr>
                        <m:e>
                          <m:r>
                            <w:rPr>
                              <w:rFonts w:ascii="Cambria Math" w:hAnsi="Cambria Math"/>
                            </w:rPr>
                            <m:t>N</m:t>
                          </m:r>
                        </m:e>
                        <m:sub>
                          <m:argPr>
                            <m:argSz m:val="1"/>
                          </m:argPr>
                          <m:r>
                            <w:rPr>
                              <w:rFonts w:ascii="Cambria Math" w:hAnsi="Cambria Math"/>
                            </w:rPr>
                            <m:t>max</m:t>
                          </m:r>
                        </m:sub>
                      </m:sSub>
                    </m:den>
                  </m:f>
                </m:e>
              </m:d>
              <m:r>
                <w:rPr>
                  <w:rFonts w:ascii="Cambria Math" w:hAnsi="Cambria Math"/>
                </w:rPr>
                <m:t>∙N</m:t>
              </m:r>
              <m:d>
                <m:dPr>
                  <m:ctrlPr>
                    <w:rPr>
                      <w:rFonts w:ascii="Cambria Math" w:hAnsi="Cambria Math"/>
                      <w:i/>
                      <w:lang w:eastAsia="en-US"/>
                    </w:rPr>
                  </m:ctrlPr>
                </m:dPr>
                <m:e>
                  <m:r>
                    <w:rPr>
                      <w:rFonts w:ascii="Cambria Math" w:hAnsi="Cambria Math"/>
                    </w:rPr>
                    <m:t>t</m:t>
                  </m:r>
                </m:e>
              </m:d>
            </m:e>
          </m:mr>
          <m:mr>
            <m:e>
              <m:f>
                <m:fPr>
                  <m:ctrlPr>
                    <w:rPr>
                      <w:rFonts w:ascii="Cambria Math" w:hAnsi="Cambria Math"/>
                      <w:i/>
                      <w:lang w:eastAsia="en-US"/>
                    </w:rPr>
                  </m:ctrlPr>
                </m:fPr>
                <m:num>
                  <m:r>
                    <w:rPr>
                      <w:rFonts w:ascii="Cambria Math" w:hAnsi="Cambria Math"/>
                    </w:rPr>
                    <m:t>dQ</m:t>
                  </m:r>
                  <m:d>
                    <m:dPr>
                      <m:ctrlPr>
                        <w:rPr>
                          <w:rFonts w:ascii="Cambria Math" w:hAnsi="Cambria Math"/>
                          <w:i/>
                          <w:lang w:eastAsia="en-US"/>
                        </w:rPr>
                      </m:ctrlPr>
                    </m:dPr>
                    <m:e>
                      <m:r>
                        <w:rPr>
                          <w:rFonts w:ascii="Cambria Math" w:hAnsi="Cambria Math"/>
                        </w:rPr>
                        <m:t>t</m:t>
                      </m:r>
                    </m:e>
                  </m:d>
                </m:num>
                <m:den>
                  <m:r>
                    <w:rPr>
                      <w:rFonts w:ascii="Cambria Math" w:hAnsi="Cambria Math"/>
                    </w:rPr>
                    <m:t>dt</m:t>
                  </m:r>
                </m:den>
              </m:f>
              <m:r>
                <w:rPr>
                  <w:rFonts w:ascii="Cambria Math" w:hAnsi="Cambria Math"/>
                </w:rPr>
                <m:t>=</m:t>
              </m:r>
              <m:sSub>
                <m:sSubPr>
                  <m:ctrlPr>
                    <w:rPr>
                      <w:rFonts w:ascii="Cambria Math" w:hAnsi="Cambria Math"/>
                      <w:i/>
                      <w:lang w:eastAsia="en-US"/>
                    </w:rPr>
                  </m:ctrlPr>
                </m:sSubPr>
                <m:e>
                  <m:r>
                    <w:rPr>
                      <w:rFonts w:ascii="Cambria Math" w:hAnsi="Cambria Math"/>
                    </w:rPr>
                    <m:t>μ</m:t>
                  </m:r>
                </m:e>
                <m:sub>
                  <m:r>
                    <w:rPr>
                      <w:rFonts w:ascii="Cambria Math" w:hAnsi="Cambria Math"/>
                    </w:rPr>
                    <m:t>max</m:t>
                  </m:r>
                </m:sub>
              </m:sSub>
              <m:r>
                <w:rPr>
                  <w:rFonts w:ascii="Cambria Math" w:hAnsi="Cambria Math"/>
                </w:rPr>
                <m:t>∙Q</m:t>
              </m:r>
              <m:d>
                <m:dPr>
                  <m:ctrlPr>
                    <w:rPr>
                      <w:rFonts w:ascii="Cambria Math" w:hAnsi="Cambria Math"/>
                      <w:i/>
                      <w:lang w:eastAsia="en-US"/>
                    </w:rPr>
                  </m:ctrlPr>
                </m:dPr>
                <m:e>
                  <m:r>
                    <w:rPr>
                      <w:rFonts w:ascii="Cambria Math" w:hAnsi="Cambria Math"/>
                    </w:rPr>
                    <m:t>t</m:t>
                  </m:r>
                </m:e>
              </m:d>
            </m:e>
          </m:mr>
        </m:m>
      </m:oMath>
      <w:r w:rsidR="00B0253C" w:rsidRPr="004C0478">
        <w:t xml:space="preserve">                                                               (1)</w:t>
      </w:r>
    </w:p>
    <w:p w:rsidR="00B0253C" w:rsidRPr="004C0478" w:rsidRDefault="00B0253C" w:rsidP="00B0253C">
      <w:pPr>
        <w:pStyle w:val="main"/>
      </w:pPr>
      <w:r w:rsidRPr="004C0478">
        <w:t xml:space="preserve">with </w:t>
      </w:r>
      <w:r w:rsidRPr="004C0478">
        <w:rPr>
          <w:i/>
        </w:rPr>
        <w:t>N(t)</w:t>
      </w:r>
      <w:r w:rsidRPr="004C0478">
        <w:t xml:space="preserve"> [CFU/mL] the cell density at time </w:t>
      </w:r>
      <w:r w:rsidRPr="004C0478">
        <w:rPr>
          <w:i/>
        </w:rPr>
        <w:t>t</w:t>
      </w:r>
      <w:r w:rsidRPr="004C0478">
        <w:t xml:space="preserve"> [h], </w:t>
      </w:r>
      <w:r w:rsidRPr="004C0478">
        <w:rPr>
          <w:i/>
        </w:rPr>
        <w:t>N</w:t>
      </w:r>
      <w:r w:rsidRPr="004C0478">
        <w:rPr>
          <w:i/>
          <w:vertAlign w:val="subscript"/>
        </w:rPr>
        <w:t>max</w:t>
      </w:r>
      <w:r w:rsidRPr="004C0478">
        <w:t xml:space="preserve"> [CFU/mL] the maximum cell density at the stationary phase, </w:t>
      </w:r>
      <w:r w:rsidRPr="004C0478">
        <w:rPr>
          <w:i/>
        </w:rPr>
        <w:t>μ</w:t>
      </w:r>
      <w:r w:rsidRPr="004C0478">
        <w:rPr>
          <w:i/>
          <w:vertAlign w:val="subscript"/>
        </w:rPr>
        <w:t>max</w:t>
      </w:r>
      <w:r w:rsidRPr="004C0478">
        <w:rPr>
          <w:i/>
        </w:rPr>
        <w:t xml:space="preserve"> </w:t>
      </w:r>
      <w:r w:rsidRPr="004C0478">
        <w:t>[h</w:t>
      </w:r>
      <w:r w:rsidRPr="004C0478">
        <w:rPr>
          <w:vertAlign w:val="superscript"/>
        </w:rPr>
        <w:t>-1</w:t>
      </w:r>
      <w:r w:rsidRPr="004C0478">
        <w:t xml:space="preserve">] the maximum growth rate and </w:t>
      </w:r>
      <w:r w:rsidRPr="004C0478">
        <w:rPr>
          <w:i/>
        </w:rPr>
        <w:t>Q(t)</w:t>
      </w:r>
      <w:r w:rsidRPr="004C0478">
        <w:t xml:space="preserve"> [-] a measure of the physiological state of the cells.</w:t>
      </w:r>
      <w:r w:rsidR="00434CEA" w:rsidRPr="004C0478">
        <w:rPr>
          <w:noProof/>
          <w:vertAlign w:val="superscript"/>
        </w:rPr>
        <w:t>[15</w:t>
      </w:r>
      <w:r w:rsidRPr="004C0478">
        <w:rPr>
          <w:noProof/>
          <w:vertAlign w:val="superscript"/>
        </w:rPr>
        <w:t>]</w:t>
      </w:r>
      <w:r w:rsidRPr="004C0478">
        <w:t xml:space="preserve"> </w:t>
      </w:r>
    </w:p>
    <w:p w:rsidR="00B0253C" w:rsidRPr="004C0478" w:rsidRDefault="00B0253C" w:rsidP="00B0253C">
      <w:pPr>
        <w:pStyle w:val="main"/>
      </w:pPr>
      <w:r w:rsidRPr="004C0478">
        <w:t>Parameters of both models were estimated via the minimization o</w:t>
      </w:r>
      <w:r w:rsidR="00973B50" w:rsidRPr="004C0478">
        <w:t>f the sum of square errors</w:t>
      </w:r>
      <w:r w:rsidRPr="004C0478">
        <w:t xml:space="preserve">, using the </w:t>
      </w:r>
      <w:r w:rsidRPr="004C0478">
        <w:rPr>
          <w:i/>
        </w:rPr>
        <w:t>lsqnonlin</w:t>
      </w:r>
      <w:r w:rsidRPr="004C0478">
        <w:t xml:space="preserve"> routine of the Optimization Toolbox of Matlab version R2009b (The </w:t>
      </w:r>
      <w:r w:rsidRPr="004C0478">
        <w:lastRenderedPageBreak/>
        <w:t xml:space="preserve">Mathworks Inc.). Simultaneous with parameter estimation, the parameter estimation errors were determined based on the Jacobian matrix. </w:t>
      </w:r>
    </w:p>
    <w:p w:rsidR="000E185C" w:rsidRPr="004C0478" w:rsidRDefault="000E185C" w:rsidP="000E185C">
      <w:pPr>
        <w:spacing w:line="480" w:lineRule="auto"/>
        <w:jc w:val="both"/>
        <w:rPr>
          <w:lang w:val="en-US"/>
        </w:rPr>
      </w:pPr>
    </w:p>
    <w:p w:rsidR="000E185C" w:rsidRPr="004C0478" w:rsidRDefault="000E185C" w:rsidP="000E185C">
      <w:pPr>
        <w:pStyle w:val="Stijl2"/>
      </w:pPr>
      <w:r w:rsidRPr="004C0478">
        <w:t>2.9 Statistical analysis</w:t>
      </w:r>
    </w:p>
    <w:p w:rsidR="00B0253C" w:rsidRPr="004C0478" w:rsidRDefault="00B0253C" w:rsidP="00B0253C">
      <w:pPr>
        <w:pStyle w:val="main"/>
        <w:rPr>
          <w:rFonts w:eastAsia="Times New Roman"/>
          <w:lang w:eastAsia="en-US"/>
        </w:rPr>
      </w:pPr>
      <w:r w:rsidRPr="004C0478">
        <w:t xml:space="preserve">Analysis of variance (ANOVA) tests were performed to determine whether there were significant differences amongst means of logarithmically transformed viable counts and model system property parameters, at a 95.0% confidence level (α = 0.05). The Fisher´s Least Significant Difference test was used to distinguish which means were significantly different from which others. Standardized skewness and standardized kurtosis were used to assess if data sets came from normal distributions. These analyses were performed using Statgraphics Centurion XVI.I Package (Statistical Graphics, Washington, USA). Test statistics were regarded as significant when P was ≤ 0.05.  </w:t>
      </w:r>
    </w:p>
    <w:p w:rsidR="000E185C" w:rsidRPr="004C0478" w:rsidRDefault="000E185C" w:rsidP="000E185C">
      <w:pPr>
        <w:pStyle w:val="MainText"/>
      </w:pPr>
    </w:p>
    <w:p w:rsidR="00776961" w:rsidRPr="004C0478" w:rsidRDefault="00FC39FD" w:rsidP="00BA6415">
      <w:pPr>
        <w:pStyle w:val="Stijl1"/>
      </w:pPr>
      <w:r w:rsidRPr="004C0478">
        <w:t>3</w:t>
      </w:r>
      <w:r w:rsidRPr="004C0478">
        <w:tab/>
      </w:r>
      <w:r w:rsidR="00776961" w:rsidRPr="004C0478">
        <w:t>Results and Discussion</w:t>
      </w:r>
    </w:p>
    <w:p w:rsidR="00BA6415" w:rsidRPr="004C0478" w:rsidRDefault="00BA6415" w:rsidP="00BA6415">
      <w:pPr>
        <w:pStyle w:val="Stijl2"/>
      </w:pPr>
      <w:r w:rsidRPr="004C0478">
        <w:t xml:space="preserve">3.1 </w:t>
      </w:r>
      <w:r w:rsidR="002662A6" w:rsidRPr="004C0478">
        <w:t>CAP system characteristics and design choice</w:t>
      </w:r>
    </w:p>
    <w:p w:rsidR="002662A6" w:rsidRPr="004C0478" w:rsidRDefault="002662A6" w:rsidP="002662A6">
      <w:pPr>
        <w:pStyle w:val="main"/>
      </w:pPr>
      <w:r w:rsidRPr="004C0478">
        <w:t>A first critical factor determining the success of the CAP treatment is the choice of experimental set-up. Two widely used CAP electrode configurations include: (i) plasma jet devices or (ii) parallel plate reactors. Although plasma jets are easy to construct and operate they have several disadvantages when it comes to the treatment of biological samples. The high velocity flowing gas can complicate the treatment of liquid samples and the relatively small discharge area makes it difficult to uniformly treat samples.</w:t>
      </w:r>
      <w:r w:rsidR="00B77732" w:rsidRPr="004C0478">
        <w:t xml:space="preserve"> Furthermore, the entrainment of ambient air in to the helium plasma emerging from the jet orifice adds further complication to the discharge chemistry and can reduce the day to day repeatability of the experiments. </w:t>
      </w:r>
      <w:r w:rsidRPr="004C0478">
        <w:t>Parallel plate systems overcome many of these challenges; yet, irregular and conductive samples can disrupt the discharge resulting in the undesirable formation of streamers.</w:t>
      </w:r>
    </w:p>
    <w:p w:rsidR="002662A6" w:rsidRPr="004C0478" w:rsidRDefault="002662A6" w:rsidP="002662A6">
      <w:pPr>
        <w:pStyle w:val="main"/>
      </w:pPr>
      <w:r w:rsidRPr="004C0478">
        <w:lastRenderedPageBreak/>
        <w:t>In this investigation, experiments were performed using liquid and solid(like) model systems. As the main advantage of model systems is the uniformity and regularity of the samples, a parallel</w:t>
      </w:r>
      <w:r w:rsidR="00D90E4B" w:rsidRPr="004C0478">
        <w:t xml:space="preserve"> plate DBD design (Figure 1) was deemed the </w:t>
      </w:r>
      <w:r w:rsidRPr="004C0478">
        <w:t>most suitable bec</w:t>
      </w:r>
      <w:r w:rsidR="00D90E4B" w:rsidRPr="004C0478">
        <w:t>ause the</w:t>
      </w:r>
      <w:r w:rsidRPr="004C0478">
        <w:t xml:space="preserve"> uniform </w:t>
      </w:r>
      <w:r w:rsidR="001655B9" w:rsidRPr="004C0478">
        <w:t xml:space="preserve">(i.e., confirmed by the use of time resolved imaging) </w:t>
      </w:r>
      <w:r w:rsidR="00D90E4B" w:rsidRPr="004C0478">
        <w:t xml:space="preserve">and </w:t>
      </w:r>
      <w:r w:rsidRPr="004C0478">
        <w:t xml:space="preserve">direct discharge can be applied to the complete sample at once. </w:t>
      </w:r>
      <w:bookmarkStart w:id="8" w:name="_Hlk482886468"/>
      <w:r w:rsidRPr="004C0478">
        <w:t xml:space="preserve">The decision to operate in a </w:t>
      </w:r>
      <w:bookmarkStart w:id="9" w:name="_Hlk482887271"/>
      <w:r w:rsidRPr="004C0478">
        <w:t>closed He/O</w:t>
      </w:r>
      <w:r w:rsidRPr="004C0478">
        <w:rPr>
          <w:vertAlign w:val="subscript"/>
        </w:rPr>
        <w:t>2</w:t>
      </w:r>
      <w:r w:rsidRPr="004C0478">
        <w:t xml:space="preserve"> environment </w:t>
      </w:r>
      <w:bookmarkEnd w:id="9"/>
      <w:r w:rsidRPr="004C0478">
        <w:t xml:space="preserve">was motivated by several reasons: (i) the longer lived reactive species are kept within the reactor, (ii) the plasma chemistry is not further complicated by the </w:t>
      </w:r>
      <w:r w:rsidR="001655B9" w:rsidRPr="004C0478">
        <w:t>interference of outside parameters (e.g., ambient humidity).</w:t>
      </w:r>
      <w:bookmarkEnd w:id="8"/>
      <w:r w:rsidR="001655B9" w:rsidRPr="004C0478">
        <w:t xml:space="preserve"> </w:t>
      </w:r>
      <w:r w:rsidR="00106991" w:rsidRPr="004C0478">
        <w:t>In remark, it needs to be considered that the model systems (or food products) might not be inert</w:t>
      </w:r>
      <w:r w:rsidR="00CA0571" w:rsidRPr="004C0478">
        <w:t xml:space="preserve"> as water evaporation might occur, ‘contaminating’ the gas flow.</w:t>
      </w:r>
      <w:r w:rsidR="00106991" w:rsidRPr="004C0478">
        <w:t xml:space="preserve"> </w:t>
      </w:r>
      <w:r w:rsidRPr="004C0478">
        <w:t>All other CAP operating variables (treatment time, gas flow rate and composition, plasma power, frequency, distance to sample, see Section 2.5) were selected in order to obtain sufficient log reductions while still assuring plasma stability.</w:t>
      </w:r>
    </w:p>
    <w:p w:rsidR="00B77732" w:rsidRPr="004C0478" w:rsidRDefault="00617169" w:rsidP="00617169">
      <w:pPr>
        <w:pStyle w:val="main"/>
      </w:pPr>
      <w:r w:rsidRPr="004C0478">
        <w:t xml:space="preserve">Optical emission spectroscopy was used to obtain an indication of the reactive species present </w:t>
      </w:r>
      <w:r w:rsidR="00390867" w:rsidRPr="004C0478">
        <w:t>in the discharge when treating</w:t>
      </w:r>
      <w:r w:rsidRPr="004C0478">
        <w:t xml:space="preserve"> </w:t>
      </w:r>
      <w:r w:rsidR="00D90E4B" w:rsidRPr="004C0478">
        <w:t xml:space="preserve">solid(like) and liquid </w:t>
      </w:r>
      <w:r w:rsidRPr="004C0478">
        <w:t>sample</w:t>
      </w:r>
      <w:r w:rsidR="00D90E4B" w:rsidRPr="004C0478">
        <w:t>s</w:t>
      </w:r>
      <w:r w:rsidRPr="004C0478">
        <w:t xml:space="preserve"> (Figure 2a). </w:t>
      </w:r>
      <w:bookmarkStart w:id="10" w:name="_Hlk482887040"/>
      <w:r w:rsidRPr="004C0478">
        <w:t>Several intense helium lines can be identified along with emission from OH, H and N</w:t>
      </w:r>
      <w:r w:rsidRPr="004C0478">
        <w:rPr>
          <w:vertAlign w:val="subscript"/>
        </w:rPr>
        <w:t>2</w:t>
      </w:r>
      <w:r w:rsidRPr="004C0478">
        <w:t xml:space="preserve">. </w:t>
      </w:r>
      <w:bookmarkEnd w:id="10"/>
      <w:r w:rsidRPr="004C0478">
        <w:t>Certainly, the production of OH is a likely result of the electron driven dissociation of water molecules, which is known to be the predominant mechanism in helium discharges with a high H</w:t>
      </w:r>
      <w:r w:rsidRPr="004C0478">
        <w:rPr>
          <w:vertAlign w:val="subscript"/>
        </w:rPr>
        <w:t>2</w:t>
      </w:r>
      <w:r w:rsidRPr="004C0478">
        <w:t>O content</w:t>
      </w:r>
      <w:r w:rsidR="00AA2126" w:rsidRPr="004C0478">
        <w:t xml:space="preserve"> (i.e., outgassing of the sample)</w:t>
      </w:r>
      <w:r w:rsidRPr="004C0478">
        <w:t>.</w:t>
      </w:r>
      <w:r w:rsidR="00434CEA" w:rsidRPr="004C0478">
        <w:rPr>
          <w:vertAlign w:val="superscript"/>
        </w:rPr>
        <w:t>[16</w:t>
      </w:r>
      <w:r w:rsidR="00D457C5" w:rsidRPr="004C0478">
        <w:rPr>
          <w:vertAlign w:val="superscript"/>
        </w:rPr>
        <w:t>]</w:t>
      </w:r>
      <w:r w:rsidRPr="004C0478">
        <w:t xml:space="preserve"> </w:t>
      </w:r>
      <w:bookmarkStart w:id="11" w:name="_Hlk482891872"/>
      <w:r w:rsidR="00B77732" w:rsidRPr="004C0478">
        <w:t xml:space="preserve">When treating solid(like) surfaces, the emission intensity of OH was </w:t>
      </w:r>
      <w:r w:rsidR="00D90E4B" w:rsidRPr="004C0478">
        <w:t xml:space="preserve">slightly </w:t>
      </w:r>
      <w:r w:rsidR="00B77732" w:rsidRPr="004C0478">
        <w:t>reduced in comparison to that observed when treating liquid samples</w:t>
      </w:r>
      <w:r w:rsidR="00D90E4B" w:rsidRPr="004C0478">
        <w:t xml:space="preserve"> (data not shown)</w:t>
      </w:r>
      <w:r w:rsidR="00C21C70" w:rsidRPr="004C0478">
        <w:t>; however, OH emission was still observed, suggesting some H</w:t>
      </w:r>
      <w:r w:rsidR="00C21C70" w:rsidRPr="004C0478">
        <w:rPr>
          <w:vertAlign w:val="subscript"/>
        </w:rPr>
        <w:t>2</w:t>
      </w:r>
      <w:r w:rsidR="00C21C70" w:rsidRPr="004C0478">
        <w:t xml:space="preserve">O was liberated from the </w:t>
      </w:r>
      <w:r w:rsidR="00D90E4B" w:rsidRPr="004C0478">
        <w:t xml:space="preserve">gelled </w:t>
      </w:r>
      <w:r w:rsidR="00C21C70" w:rsidRPr="004C0478">
        <w:t>surface in to the gas phase.</w:t>
      </w:r>
      <w:bookmarkEnd w:id="11"/>
    </w:p>
    <w:p w:rsidR="00617169" w:rsidRPr="004C0478" w:rsidRDefault="00617169" w:rsidP="00617169">
      <w:pPr>
        <w:pStyle w:val="main"/>
      </w:pPr>
      <w:r w:rsidRPr="004C0478">
        <w:t>The presence of excited Nitrogen (both the second positive and first negative</w:t>
      </w:r>
      <w:r w:rsidR="00661161" w:rsidRPr="004C0478">
        <w:t xml:space="preserve"> systems</w:t>
      </w:r>
      <w:r w:rsidRPr="004C0478">
        <w:t xml:space="preserve">) are an indicator that some air contamination is present in the reactor. This could be a remnant </w:t>
      </w:r>
      <w:r w:rsidR="00AA2126" w:rsidRPr="004C0478">
        <w:t xml:space="preserve">from </w:t>
      </w:r>
      <w:r w:rsidRPr="004C0478">
        <w:t>contamination wit</w:t>
      </w:r>
      <w:r w:rsidR="00A5564F" w:rsidRPr="004C0478">
        <w:t xml:space="preserve">hin the gas supply. Given that </w:t>
      </w:r>
      <w:r w:rsidRPr="004C0478">
        <w:t>nitro</w:t>
      </w:r>
      <w:r w:rsidR="009850EF" w:rsidRPr="004C0478">
        <w:t xml:space="preserve">gen emissions are often </w:t>
      </w:r>
      <w:r w:rsidRPr="004C0478">
        <w:t>the most intense in helium discharge</w:t>
      </w:r>
      <w:r w:rsidR="00B77732" w:rsidRPr="004C0478">
        <w:t>s</w:t>
      </w:r>
      <w:r w:rsidRPr="004C0478">
        <w:t xml:space="preserve"> that contain even small fractions of N</w:t>
      </w:r>
      <w:r w:rsidRPr="004C0478">
        <w:rPr>
          <w:vertAlign w:val="subscript"/>
        </w:rPr>
        <w:t>2</w:t>
      </w:r>
      <w:r w:rsidRPr="004C0478">
        <w:t xml:space="preserve"> it is suggested that air contamination within the discharge reactor is minimal.</w:t>
      </w:r>
      <w:r w:rsidR="00D457C5" w:rsidRPr="004C0478">
        <w:rPr>
          <w:vertAlign w:val="superscript"/>
        </w:rPr>
        <w:t>[</w:t>
      </w:r>
      <w:r w:rsidR="00434CEA" w:rsidRPr="004C0478">
        <w:rPr>
          <w:vertAlign w:val="superscript"/>
        </w:rPr>
        <w:t>17</w:t>
      </w:r>
      <w:r w:rsidR="00D457C5" w:rsidRPr="004C0478">
        <w:rPr>
          <w:vertAlign w:val="superscript"/>
        </w:rPr>
        <w:t>]</w:t>
      </w:r>
      <w:r w:rsidRPr="004C0478">
        <w:rPr>
          <w:vertAlign w:val="superscript"/>
        </w:rPr>
        <w:t xml:space="preserve"> </w:t>
      </w:r>
    </w:p>
    <w:p w:rsidR="00617169" w:rsidRPr="004C0478" w:rsidRDefault="00617169" w:rsidP="00617169">
      <w:pPr>
        <w:pStyle w:val="main"/>
      </w:pPr>
      <w:r w:rsidRPr="004C0478">
        <w:lastRenderedPageBreak/>
        <w:t>The production of highly reactive excited and ground state species, including O, OH, H and NO, that are free to interact directly with microorganism</w:t>
      </w:r>
      <w:r w:rsidR="00B77732" w:rsidRPr="004C0478">
        <w:t>s</w:t>
      </w:r>
      <w:r w:rsidRPr="004C0478">
        <w:t xml:space="preserve"> are well known to yield a rapid inactivation effect.</w:t>
      </w:r>
      <w:r w:rsidR="00434CEA" w:rsidRPr="004C0478">
        <w:rPr>
          <w:vertAlign w:val="superscript"/>
        </w:rPr>
        <w:t>[18</w:t>
      </w:r>
      <w:r w:rsidR="00E310D0" w:rsidRPr="004C0478">
        <w:rPr>
          <w:vertAlign w:val="superscript"/>
        </w:rPr>
        <w:t>]</w:t>
      </w:r>
      <w:r w:rsidRPr="004C0478">
        <w:t xml:space="preserve"> Critically, when the microorganisms are suspended within a liquid layer the situation is considerably more complex</w:t>
      </w:r>
      <w:r w:rsidR="005A2088" w:rsidRPr="004C0478">
        <w:t>, many</w:t>
      </w:r>
      <w:r w:rsidRPr="004C0478">
        <w:t xml:space="preserve"> </w:t>
      </w:r>
      <w:r w:rsidR="005A2088" w:rsidRPr="004C0478">
        <w:t xml:space="preserve">of the </w:t>
      </w:r>
      <w:r w:rsidRPr="004C0478">
        <w:t xml:space="preserve">short lived species </w:t>
      </w:r>
      <w:r w:rsidR="005A2088" w:rsidRPr="004C0478">
        <w:t xml:space="preserve">within the discharge </w:t>
      </w:r>
      <w:r w:rsidRPr="004C0478">
        <w:t>are unable to propagate beyond the gas-liquid interface</w:t>
      </w:r>
      <w:r w:rsidR="005A2088" w:rsidRPr="004C0478">
        <w:t>.</w:t>
      </w:r>
      <w:r w:rsidR="00434CEA" w:rsidRPr="004C0478">
        <w:rPr>
          <w:vertAlign w:val="superscript"/>
        </w:rPr>
        <w:t>[19]</w:t>
      </w:r>
    </w:p>
    <w:p w:rsidR="00617169" w:rsidRPr="004C0478" w:rsidRDefault="00617169" w:rsidP="00617169">
      <w:pPr>
        <w:pStyle w:val="main"/>
        <w:rPr>
          <w:vertAlign w:val="superscript"/>
        </w:rPr>
      </w:pPr>
      <w:r w:rsidRPr="004C0478">
        <w:t xml:space="preserve">To obtain a measure of the discharge temperature, the rotational temperature of the OH molecule was determined by obtaining a best-fit comparison against computational data at 320 K (Figure 2b). Given that temperature measurements of </w:t>
      </w:r>
      <w:r w:rsidR="00B77732" w:rsidRPr="004C0478">
        <w:t xml:space="preserve">both the solid and </w:t>
      </w:r>
      <w:r w:rsidRPr="004C0478">
        <w:t xml:space="preserve">liquid samples </w:t>
      </w:r>
      <w:r w:rsidR="004838C8" w:rsidRPr="004C0478">
        <w:t>immediately after</w:t>
      </w:r>
      <w:r w:rsidRPr="004C0478">
        <w:t xml:space="preserve"> plasma exposure show</w:t>
      </w:r>
      <w:r w:rsidR="004838C8" w:rsidRPr="004C0478">
        <w:t>ed</w:t>
      </w:r>
      <w:r w:rsidRPr="004C0478">
        <w:t xml:space="preserve"> only minor increases above ambient</w:t>
      </w:r>
      <w:r w:rsidR="009270DF" w:rsidRPr="004C0478">
        <w:t xml:space="preserve"> (± </w:t>
      </w:r>
      <w:r w:rsidR="00E810C2" w:rsidRPr="004C0478">
        <w:t>2</w:t>
      </w:r>
      <w:r w:rsidR="009270DF" w:rsidRPr="004C0478">
        <w:t>°C)</w:t>
      </w:r>
      <w:r w:rsidRPr="004C0478">
        <w:t xml:space="preserve">, </w:t>
      </w:r>
      <w:bookmarkStart w:id="12" w:name="_Hlk482890438"/>
      <w:r w:rsidR="00357973" w:rsidRPr="004C0478">
        <w:t xml:space="preserve">and moreover the gelled systems </w:t>
      </w:r>
      <w:r w:rsidR="009270DF" w:rsidRPr="004C0478">
        <w:t>maintained their structure</w:t>
      </w:r>
      <w:r w:rsidR="00357973" w:rsidRPr="004C0478">
        <w:t>,</w:t>
      </w:r>
      <w:bookmarkEnd w:id="12"/>
      <w:r w:rsidR="00357973" w:rsidRPr="004C0478">
        <w:t xml:space="preserve"> </w:t>
      </w:r>
      <w:r w:rsidRPr="004C0478">
        <w:t xml:space="preserve">it is likely that the </w:t>
      </w:r>
      <w:r w:rsidR="00A5564F" w:rsidRPr="004C0478">
        <w:t xml:space="preserve">measurement derived from the </w:t>
      </w:r>
      <w:r w:rsidRPr="004C0478">
        <w:t>optica</w:t>
      </w:r>
      <w:r w:rsidR="00253C19" w:rsidRPr="004C0478">
        <w:t>l data is an overestimation. Several</w:t>
      </w:r>
      <w:r w:rsidRPr="004C0478">
        <w:t xml:space="preserve"> previous reports have demonstrated that the electronic quenching of OH(A) by water prevents thermalization of the rotational population distribution and only the rotational states with the smallest rotational numbers are thermalized and representative </w:t>
      </w:r>
      <w:r w:rsidR="00A5564F" w:rsidRPr="004C0478">
        <w:t>of</w:t>
      </w:r>
      <w:r w:rsidRPr="004C0478">
        <w:t xml:space="preserve"> the gas temperature.</w:t>
      </w:r>
      <w:r w:rsidR="00EC65B6" w:rsidRPr="004C0478">
        <w:rPr>
          <w:vertAlign w:val="superscript"/>
        </w:rPr>
        <w:t>[20</w:t>
      </w:r>
      <w:r w:rsidR="00683335" w:rsidRPr="004C0478">
        <w:rPr>
          <w:vertAlign w:val="superscript"/>
        </w:rPr>
        <w:t>]</w:t>
      </w:r>
    </w:p>
    <w:p w:rsidR="00617169" w:rsidRPr="004C0478" w:rsidRDefault="00617169" w:rsidP="00617169">
      <w:pPr>
        <w:pStyle w:val="main"/>
        <w:keepNext/>
      </w:pPr>
      <w:r w:rsidRPr="004C0478">
        <w:rPr>
          <w:noProof/>
          <w:lang w:val="en-GB" w:eastAsia="en-GB"/>
        </w:rPr>
        <w:drawing>
          <wp:inline distT="0" distB="0" distL="0" distR="0" wp14:anchorId="1B043876" wp14:editId="0BF6D4CC">
            <wp:extent cx="5033645" cy="2063115"/>
            <wp:effectExtent l="0" t="0" r="0" b="0"/>
            <wp:docPr id="7" name="Picture 4" descr="Fig_oes"/>
            <wp:cNvGraphicFramePr/>
            <a:graphic xmlns:a="http://schemas.openxmlformats.org/drawingml/2006/main">
              <a:graphicData uri="http://schemas.openxmlformats.org/drawingml/2006/picture">
                <pic:pic xmlns:pic="http://schemas.openxmlformats.org/drawingml/2006/picture">
                  <pic:nvPicPr>
                    <pic:cNvPr id="4" name="Picture 4" descr="Fig_oe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3645" cy="2063115"/>
                    </a:xfrm>
                    <a:prstGeom prst="rect">
                      <a:avLst/>
                    </a:prstGeom>
                    <a:noFill/>
                    <a:ln>
                      <a:noFill/>
                    </a:ln>
                  </pic:spPr>
                </pic:pic>
              </a:graphicData>
            </a:graphic>
          </wp:inline>
        </w:drawing>
      </w:r>
    </w:p>
    <w:p w:rsidR="00617169" w:rsidRPr="004C0478" w:rsidRDefault="00617169" w:rsidP="00617169">
      <w:pPr>
        <w:pStyle w:val="main"/>
        <w:spacing w:line="240" w:lineRule="auto"/>
        <w:rPr>
          <w:rFonts w:eastAsia="Times New Roman"/>
          <w:i/>
          <w:lang w:eastAsia="en-US"/>
        </w:rPr>
      </w:pPr>
      <w:r w:rsidRPr="004C0478">
        <w:rPr>
          <w:i/>
        </w:rPr>
        <w:t xml:space="preserve">Figure 2. </w:t>
      </w:r>
      <w:r w:rsidRPr="004C0478">
        <w:t>(a) Emission spectrum of the He/O2 discharge operating with a liquid sample, (b) Measured and simulated high-resolution emission spectra of the OH (A-X) emission band.</w:t>
      </w:r>
    </w:p>
    <w:p w:rsidR="00617169" w:rsidRPr="004C0478" w:rsidRDefault="00617169" w:rsidP="001A4144">
      <w:pPr>
        <w:pStyle w:val="main"/>
      </w:pPr>
    </w:p>
    <w:p w:rsidR="00475F5B" w:rsidRPr="004C0478" w:rsidRDefault="00617169" w:rsidP="00617169">
      <w:pPr>
        <w:pStyle w:val="main"/>
      </w:pPr>
      <w:r w:rsidRPr="004C0478">
        <w:t xml:space="preserve">As the CAP efficacy is ultimately determined by the discharge chemistry, which is influenced by many factors regarding the design and operating conditions, changing these variables will also drastically change the outcome of the treatment. Therefore, it is crucial to select the </w:t>
      </w:r>
      <w:r w:rsidRPr="004C0478">
        <w:lastRenderedPageBreak/>
        <w:t xml:space="preserve">optimal set-up based on the target application, which for these experiments was to operate in a closed and well controlled environment using a DBD electrode. </w:t>
      </w:r>
      <w:bookmarkStart w:id="13" w:name="_Hlk482892438"/>
      <w:r w:rsidRPr="004C0478">
        <w:t>It is worth noting t</w:t>
      </w:r>
      <w:r w:rsidR="004E6D48" w:rsidRPr="004C0478">
        <w:t>hat such conditions would not be suitable</w:t>
      </w:r>
      <w:r w:rsidRPr="004C0478">
        <w:t xml:space="preserve"> for a larger scale treatment of non-ideal samples, the cost of helium gas is prohibitively expensive and real-world samples are rarely geometrically uniform</w:t>
      </w:r>
      <w:r w:rsidR="00F24468" w:rsidRPr="004C0478">
        <w:t>, which might result in the formation of filaments depending on the product to be treated</w:t>
      </w:r>
      <w:r w:rsidRPr="004C0478">
        <w:t>.</w:t>
      </w:r>
      <w:bookmarkEnd w:id="13"/>
      <w:r w:rsidR="00B2063D" w:rsidRPr="004C0478">
        <w:rPr>
          <w:noProof/>
          <w:vertAlign w:val="superscript"/>
        </w:rPr>
        <w:t>[21], [22</w:t>
      </w:r>
      <w:r w:rsidRPr="004C0478">
        <w:rPr>
          <w:noProof/>
          <w:vertAlign w:val="superscript"/>
        </w:rPr>
        <w:t>]</w:t>
      </w:r>
      <w:r w:rsidRPr="004C0478">
        <w:rPr>
          <w:vertAlign w:val="superscript"/>
        </w:rPr>
        <w:t xml:space="preserve">  </w:t>
      </w:r>
      <w:r w:rsidR="00475F5B" w:rsidRPr="004C0478">
        <w:t>Still, providing  a similar oxygen/nitrogen chemistry, the trends identified in this manuscript will also apply for other CAP systems (i.e., design, carrier gas).</w:t>
      </w:r>
    </w:p>
    <w:p w:rsidR="00766185" w:rsidRPr="004C0478" w:rsidRDefault="00766185" w:rsidP="00766185">
      <w:pPr>
        <w:spacing w:line="480" w:lineRule="auto"/>
        <w:rPr>
          <w:lang w:val="en-US"/>
        </w:rPr>
      </w:pPr>
    </w:p>
    <w:p w:rsidR="00BA6415" w:rsidRPr="004C0478" w:rsidRDefault="00BA6415" w:rsidP="003E1251">
      <w:pPr>
        <w:pStyle w:val="Stijl2"/>
      </w:pPr>
      <w:r w:rsidRPr="004C0478">
        <w:t>3.2 Effect of the microorganism</w:t>
      </w:r>
    </w:p>
    <w:p w:rsidR="001A4144" w:rsidRPr="004C0478" w:rsidRDefault="001A4144" w:rsidP="001802E2">
      <w:pPr>
        <w:pStyle w:val="main"/>
        <w:rPr>
          <w:vertAlign w:val="superscript"/>
        </w:rPr>
      </w:pPr>
      <w:bookmarkStart w:id="14" w:name="_Hlk482946318"/>
      <w:r w:rsidRPr="004C0478">
        <w:t>The CAP inactivation mechanism partly concerns the rupture of the cell membrane by charged particles</w:t>
      </w:r>
      <w:r w:rsidR="00CE4983" w:rsidRPr="004C0478">
        <w:t xml:space="preserve"> and</w:t>
      </w:r>
      <w:r w:rsidR="00875A87" w:rsidRPr="004C0478">
        <w:t xml:space="preserve"> reactive species</w:t>
      </w:r>
      <w:r w:rsidR="00CE4983" w:rsidRPr="004C0478">
        <w:t>, and due to electroporation effects because of the direct treatment</w:t>
      </w:r>
      <w:r w:rsidRPr="004C0478">
        <w:t xml:space="preserve">. </w:t>
      </w:r>
      <w:bookmarkEnd w:id="14"/>
      <w:r w:rsidRPr="004C0478">
        <w:t>Therefore, the structure of the cell wall influences the CAP efficacy</w:t>
      </w:r>
      <w:r w:rsidR="001A7DDD" w:rsidRPr="004C0478">
        <w:t xml:space="preserve"> and </w:t>
      </w:r>
      <w:r w:rsidRPr="004C0478">
        <w:t>differences in the inactivation behavior of Gram positive (</w:t>
      </w:r>
      <w:r w:rsidRPr="004C0478">
        <w:rPr>
          <w:i/>
        </w:rPr>
        <w:t>L.</w:t>
      </w:r>
      <w:r w:rsidR="00875A87" w:rsidRPr="004C0478">
        <w:rPr>
          <w:i/>
        </w:rPr>
        <w:t> </w:t>
      </w:r>
      <w:r w:rsidRPr="004C0478">
        <w:rPr>
          <w:i/>
        </w:rPr>
        <w:t>monocytogenes</w:t>
      </w:r>
      <w:r w:rsidRPr="004C0478">
        <w:t>) and Gram-negative (</w:t>
      </w:r>
      <w:r w:rsidRPr="004C0478">
        <w:rPr>
          <w:i/>
        </w:rPr>
        <w:t>S. </w:t>
      </w:r>
      <w:r w:rsidRPr="004C0478">
        <w:t>Typ</w:t>
      </w:r>
      <w:r w:rsidR="001A7DDD" w:rsidRPr="004C0478">
        <w:t xml:space="preserve">himurium) can be expected. </w:t>
      </w:r>
      <w:r w:rsidR="007E1340" w:rsidRPr="004C0478">
        <w:t xml:space="preserve">As illustrated in Figure 3 (inactivation kinetics) and 4 (log reductions), </w:t>
      </w:r>
      <w:r w:rsidR="007E1340" w:rsidRPr="004C0478">
        <w:rPr>
          <w:i/>
        </w:rPr>
        <w:t xml:space="preserve">L. monocytogenes </w:t>
      </w:r>
      <w:r w:rsidR="007E1340" w:rsidRPr="004C0478">
        <w:t xml:space="preserve">is more difficult to inactivate. </w:t>
      </w:r>
      <w:r w:rsidR="001A7DDD" w:rsidRPr="004C0478">
        <w:t>O</w:t>
      </w:r>
      <w:r w:rsidRPr="004C0478">
        <w:t>ften, Gram-positive bacteria</w:t>
      </w:r>
      <w:r w:rsidR="007E1340" w:rsidRPr="004C0478">
        <w:t xml:space="preserve">, having </w:t>
      </w:r>
      <w:r w:rsidR="001802E2" w:rsidRPr="004C0478">
        <w:t xml:space="preserve">no outer cell membrane but </w:t>
      </w:r>
      <w:r w:rsidR="007E1340" w:rsidRPr="004C0478">
        <w:t>a thick peptidoglycan layer,</w:t>
      </w:r>
      <w:r w:rsidRPr="004C0478">
        <w:t xml:space="preserve"> are reported to</w:t>
      </w:r>
      <w:r w:rsidR="007E1340" w:rsidRPr="004C0478">
        <w:t xml:space="preserve"> the most resistant towards CAP</w:t>
      </w:r>
      <w:r w:rsidRPr="004C0478">
        <w:t>.</w:t>
      </w:r>
      <w:r w:rsidR="00C37FBD" w:rsidRPr="004C0478">
        <w:rPr>
          <w:noProof/>
          <w:vertAlign w:val="superscript"/>
        </w:rPr>
        <w:t xml:space="preserve"> </w:t>
      </w:r>
      <w:r w:rsidR="00B2063D" w:rsidRPr="004C0478">
        <w:rPr>
          <w:noProof/>
          <w:vertAlign w:val="superscript"/>
        </w:rPr>
        <w:t>[23]–[25</w:t>
      </w:r>
      <w:r w:rsidR="00C37FBD" w:rsidRPr="004C0478">
        <w:rPr>
          <w:noProof/>
          <w:vertAlign w:val="superscript"/>
        </w:rPr>
        <w:t>]</w:t>
      </w:r>
      <w:r w:rsidR="00ED636B" w:rsidRPr="004C0478">
        <w:t xml:space="preserve"> </w:t>
      </w:r>
      <w:r w:rsidR="00A81086" w:rsidRPr="004C0478">
        <w:t>W</w:t>
      </w:r>
      <w:r w:rsidR="001802E2" w:rsidRPr="004C0478">
        <w:t>hile for Gram-negative microorganisms inactivation occurs due to both cell leakage and low level DNA damage, the mechanism of Gram-positive microorganisms consists of intracellular damage (due to high levels of reactive oxygen species) as the cell wall remains undamaged.</w:t>
      </w:r>
      <w:r w:rsidR="00B2063D" w:rsidRPr="004C0478">
        <w:rPr>
          <w:vertAlign w:val="superscript"/>
        </w:rPr>
        <w:t>[26</w:t>
      </w:r>
      <w:r w:rsidR="00A81086" w:rsidRPr="004C0478">
        <w:rPr>
          <w:vertAlign w:val="superscript"/>
        </w:rPr>
        <w:t>]</w:t>
      </w:r>
    </w:p>
    <w:p w:rsidR="00EC3D32" w:rsidRPr="004C0478" w:rsidRDefault="00AC7C44" w:rsidP="00EC3D32">
      <w:pPr>
        <w:pStyle w:val="main"/>
        <w:rPr>
          <w:vertAlign w:val="superscript"/>
        </w:rPr>
      </w:pPr>
      <w:bookmarkStart w:id="15" w:name="_Hlk482892751"/>
      <w:r w:rsidRPr="004C0478">
        <w:t>R</w:t>
      </w:r>
      <w:r w:rsidR="00EC3D32" w:rsidRPr="004C0478">
        <w:t xml:space="preserve">esearch illustrates that </w:t>
      </w:r>
      <w:r w:rsidR="004E6D48" w:rsidRPr="004C0478">
        <w:t xml:space="preserve">not only </w:t>
      </w:r>
      <w:r w:rsidR="00EC3D32" w:rsidRPr="004C0478">
        <w:t xml:space="preserve">the </w:t>
      </w:r>
      <w:r w:rsidR="00005A43" w:rsidRPr="004C0478">
        <w:t xml:space="preserve">bacterial </w:t>
      </w:r>
      <w:r w:rsidR="004E6D48" w:rsidRPr="004C0478">
        <w:t>Gram-type</w:t>
      </w:r>
      <w:r w:rsidRPr="004C0478">
        <w:t>, but moreover</w:t>
      </w:r>
      <w:r w:rsidR="00005A43" w:rsidRPr="004C0478">
        <w:t xml:space="preserve"> </w:t>
      </w:r>
      <w:r w:rsidR="00EC3D32" w:rsidRPr="004C0478">
        <w:t xml:space="preserve">the type of species and strain determines the efficacy of the CAP treatment. </w:t>
      </w:r>
      <w:bookmarkEnd w:id="15"/>
      <w:r w:rsidR="00EC3D32" w:rsidRPr="004C0478">
        <w:t>Most studies focus on treatment of pathogenic bacteria, as food safety is a primary matter of concern.</w:t>
      </w:r>
      <w:r w:rsidR="00B2063D" w:rsidRPr="004C0478">
        <w:rPr>
          <w:noProof/>
          <w:vertAlign w:val="superscript"/>
        </w:rPr>
        <w:t>[27</w:t>
      </w:r>
      <w:r w:rsidR="00EC3D32" w:rsidRPr="004C0478">
        <w:rPr>
          <w:noProof/>
          <w:vertAlign w:val="superscript"/>
        </w:rPr>
        <w:t>]</w:t>
      </w:r>
      <w:r w:rsidR="00EC3D32" w:rsidRPr="004C0478">
        <w:rPr>
          <w:vertAlign w:val="superscript"/>
        </w:rPr>
        <w:t xml:space="preserve"> </w:t>
      </w:r>
      <w:r w:rsidR="00005A43" w:rsidRPr="004C0478">
        <w:t>However, as problems</w:t>
      </w:r>
      <w:r w:rsidR="00EC3D32" w:rsidRPr="004C0478">
        <w:t xml:space="preserve"> regarding</w:t>
      </w:r>
      <w:r w:rsidR="00005A43" w:rsidRPr="004C0478">
        <w:t xml:space="preserve"> food spoilage increase, yeasts or molds </w:t>
      </w:r>
      <w:r w:rsidR="00EC3D32" w:rsidRPr="004C0478">
        <w:t>inactivation using CAP treatment should be considered.</w:t>
      </w:r>
      <w:r w:rsidR="00B2063D" w:rsidRPr="004C0478">
        <w:rPr>
          <w:noProof/>
          <w:vertAlign w:val="superscript"/>
        </w:rPr>
        <w:t>[28], [29</w:t>
      </w:r>
      <w:r w:rsidR="00EC3D32" w:rsidRPr="004C0478">
        <w:rPr>
          <w:noProof/>
          <w:vertAlign w:val="superscript"/>
        </w:rPr>
        <w:t>]</w:t>
      </w:r>
      <w:r w:rsidR="00EC3D32" w:rsidRPr="004C0478">
        <w:rPr>
          <w:vertAlign w:val="superscript"/>
        </w:rPr>
        <w:t xml:space="preserve"> </w:t>
      </w:r>
    </w:p>
    <w:p w:rsidR="00EE26E5" w:rsidRPr="004C0478" w:rsidRDefault="00EE26E5" w:rsidP="00EC3D32">
      <w:pPr>
        <w:pStyle w:val="main"/>
      </w:pPr>
      <w:r w:rsidRPr="004C0478">
        <w:lastRenderedPageBreak/>
        <w:t xml:space="preserve">As the microorganism proves to heavily influence the success of the treatment, this factor </w:t>
      </w:r>
      <w:r w:rsidR="00687792" w:rsidRPr="004C0478">
        <w:t>should be considered in order to optimize the CAP efficacy</w:t>
      </w:r>
      <w:r w:rsidRPr="004C0478">
        <w:t>.</w:t>
      </w:r>
    </w:p>
    <w:p w:rsidR="00EC3D32" w:rsidRPr="004C0478" w:rsidRDefault="00EC3D32" w:rsidP="001A4144">
      <w:pPr>
        <w:pStyle w:val="main"/>
      </w:pPr>
    </w:p>
    <w:p w:rsidR="00EC3D32" w:rsidRPr="004C0478" w:rsidRDefault="00622170" w:rsidP="00EC3D32">
      <w:pPr>
        <w:pStyle w:val="main"/>
        <w:keepNext/>
      </w:pPr>
      <w:r w:rsidRPr="004C0478">
        <w:rPr>
          <w:noProof/>
          <w:lang w:val="en-GB" w:eastAsia="en-GB"/>
        </w:rPr>
        <w:drawing>
          <wp:inline distT="0" distB="0" distL="0" distR="0" wp14:anchorId="0C76A6A3">
            <wp:extent cx="6120000" cy="4388400"/>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4388400"/>
                    </a:xfrm>
                    <a:prstGeom prst="rect">
                      <a:avLst/>
                    </a:prstGeom>
                    <a:noFill/>
                  </pic:spPr>
                </pic:pic>
              </a:graphicData>
            </a:graphic>
          </wp:inline>
        </w:drawing>
      </w:r>
    </w:p>
    <w:p w:rsidR="000873A6" w:rsidRPr="004C0478" w:rsidRDefault="00EC3D32" w:rsidP="000873A6">
      <w:pPr>
        <w:pStyle w:val="main"/>
        <w:spacing w:line="240" w:lineRule="auto"/>
      </w:pPr>
      <w:r w:rsidRPr="004C0478">
        <w:rPr>
          <w:i/>
        </w:rPr>
        <w:t>Figure</w:t>
      </w:r>
      <w:r w:rsidR="00180967" w:rsidRPr="004C0478">
        <w:rPr>
          <w:i/>
        </w:rPr>
        <w:t xml:space="preserve"> 3</w:t>
      </w:r>
      <w:r w:rsidRPr="004C0478">
        <w:rPr>
          <w:i/>
        </w:rPr>
        <w:t>.</w:t>
      </w:r>
      <w:r w:rsidR="000873A6" w:rsidRPr="004C0478">
        <w:rPr>
          <w:i/>
        </w:rPr>
        <w:t xml:space="preserve"> </w:t>
      </w:r>
      <w:r w:rsidR="000873A6" w:rsidRPr="004C0478">
        <w:t xml:space="preserve">Survival curves of </w:t>
      </w:r>
      <w:r w:rsidR="000873A6" w:rsidRPr="004C0478">
        <w:rPr>
          <w:i/>
        </w:rPr>
        <w:t>S.</w:t>
      </w:r>
      <w:r w:rsidR="000873A6" w:rsidRPr="004C0478">
        <w:t xml:space="preserve"> Typhimurium (left) and </w:t>
      </w:r>
      <w:r w:rsidR="000873A6" w:rsidRPr="004C0478">
        <w:rPr>
          <w:i/>
        </w:rPr>
        <w:t xml:space="preserve">L. monocytogenes </w:t>
      </w:r>
      <w:r w:rsidR="000873A6" w:rsidRPr="004C0478">
        <w:t xml:space="preserve">(right) after exposure to CAP. Cells were inactivated in a liquid (top) or on a solid(like) model system (bottom). Prior to CAP treatment, cells were grown at </w:t>
      </w:r>
      <w:r w:rsidR="00A15655" w:rsidRPr="004C0478">
        <w:t>pH 7.4, 0% (w/v) NaCl</w:t>
      </w:r>
      <w:r w:rsidR="000873A6" w:rsidRPr="004C0478">
        <w:t>, pH 6.5, 2% (w/v) NaCl or pH 5.5, 6% (w/v) NaCl. Experimental data (symbols) and global fit</w:t>
      </w:r>
    </w:p>
    <w:p w:rsidR="00EC3D32" w:rsidRPr="004C0478" w:rsidRDefault="000873A6" w:rsidP="000873A6">
      <w:pPr>
        <w:pStyle w:val="main"/>
        <w:spacing w:line="240" w:lineRule="auto"/>
        <w:rPr>
          <w:noProof/>
        </w:rPr>
      </w:pPr>
      <w:r w:rsidRPr="004C0478">
        <w:t>(line) of the Geeraerd et al. model: total viable population (</w:t>
      </w:r>
      <w:r w:rsidR="009E4389" w:rsidRPr="004C0478">
        <w:rPr>
          <w:rFonts w:ascii="Helvetica" w:hAnsi="Helvetica" w:cs="Helvetica"/>
          <w:b/>
          <w:bCs/>
          <w:sz w:val="36"/>
          <w:szCs w:val="36"/>
          <w:shd w:val="clear" w:color="auto" w:fill="F2F9ED"/>
        </w:rPr>
        <w:t>◊</w:t>
      </w:r>
      <w:r w:rsidRPr="004C0478">
        <w:t>, solid line) an</w:t>
      </w:r>
      <w:r w:rsidR="009E4389" w:rsidRPr="004C0478">
        <w:t>d uninjured viable population (X</w:t>
      </w:r>
      <w:r w:rsidRPr="004C0478">
        <w:t>, dashed line).</w:t>
      </w:r>
      <w:r w:rsidR="00B2063D" w:rsidRPr="004C0478">
        <w:rPr>
          <w:noProof/>
          <w:vertAlign w:val="superscript"/>
        </w:rPr>
        <w:t>[14</w:t>
      </w:r>
      <w:r w:rsidRPr="004C0478">
        <w:rPr>
          <w:noProof/>
          <w:vertAlign w:val="superscript"/>
        </w:rPr>
        <w:t>]</w:t>
      </w:r>
      <w:r w:rsidR="00896EEC" w:rsidRPr="004C0478">
        <w:rPr>
          <w:noProof/>
        </w:rPr>
        <w:t xml:space="preserve"> RMSE values for the fits range from 0.0815 to 0.4567.</w:t>
      </w:r>
    </w:p>
    <w:p w:rsidR="00427D07" w:rsidRPr="004C0478" w:rsidRDefault="00427D07" w:rsidP="000873A6">
      <w:pPr>
        <w:pStyle w:val="main"/>
        <w:spacing w:line="240" w:lineRule="auto"/>
        <w:rPr>
          <w:rFonts w:eastAsia="Times New Roman"/>
          <w:lang w:val="en-GB" w:eastAsia="en-US"/>
        </w:rPr>
      </w:pPr>
    </w:p>
    <w:p w:rsidR="00EC3D32" w:rsidRPr="004C0478" w:rsidRDefault="00C16759" w:rsidP="00EC3D32">
      <w:pPr>
        <w:pStyle w:val="main"/>
        <w:keepNext/>
      </w:pPr>
      <w:r w:rsidRPr="004C0478">
        <w:rPr>
          <w:noProof/>
          <w:lang w:val="en-GB" w:eastAsia="en-GB"/>
        </w:rPr>
        <w:lastRenderedPageBreak/>
        <w:drawing>
          <wp:inline distT="0" distB="0" distL="0" distR="0" wp14:anchorId="68B1A274">
            <wp:extent cx="5760000" cy="5184000"/>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5184000"/>
                    </a:xfrm>
                    <a:prstGeom prst="rect">
                      <a:avLst/>
                    </a:prstGeom>
                    <a:noFill/>
                  </pic:spPr>
                </pic:pic>
              </a:graphicData>
            </a:graphic>
          </wp:inline>
        </w:drawing>
      </w:r>
    </w:p>
    <w:p w:rsidR="00EC3D32" w:rsidRPr="004C0478" w:rsidRDefault="00EC3D32" w:rsidP="002878CD">
      <w:pPr>
        <w:pStyle w:val="main"/>
        <w:spacing w:line="240" w:lineRule="auto"/>
        <w:rPr>
          <w:rFonts w:eastAsia="Times New Roman"/>
          <w:i/>
          <w:lang w:val="en-GB" w:eastAsia="en-US"/>
        </w:rPr>
      </w:pPr>
      <w:r w:rsidRPr="004C0478">
        <w:rPr>
          <w:i/>
        </w:rPr>
        <w:t xml:space="preserve">Figure </w:t>
      </w:r>
      <w:r w:rsidR="00180967" w:rsidRPr="004C0478">
        <w:rPr>
          <w:i/>
        </w:rPr>
        <w:t>4</w:t>
      </w:r>
      <w:r w:rsidRPr="004C0478">
        <w:rPr>
          <w:i/>
        </w:rPr>
        <w:t>.</w:t>
      </w:r>
      <w:r w:rsidR="002878CD" w:rsidRPr="004C0478">
        <w:rPr>
          <w:i/>
        </w:rPr>
        <w:t xml:space="preserve"> </w:t>
      </w:r>
      <w:r w:rsidR="00005A43" w:rsidRPr="004C0478">
        <w:t>Log reduction</w:t>
      </w:r>
      <w:r w:rsidR="002878CD" w:rsidRPr="004C0478">
        <w:t xml:space="preserve"> (including statistical analysis) for </w:t>
      </w:r>
      <w:r w:rsidR="002878CD" w:rsidRPr="004C0478">
        <w:rPr>
          <w:i/>
        </w:rPr>
        <w:t>S.</w:t>
      </w:r>
      <w:r w:rsidR="002878CD" w:rsidRPr="004C0478">
        <w:t xml:space="preserve"> Typhimurium (left) and </w:t>
      </w:r>
      <w:r w:rsidR="002878CD" w:rsidRPr="004C0478">
        <w:rPr>
          <w:i/>
        </w:rPr>
        <w:t>L.</w:t>
      </w:r>
      <w:r w:rsidR="005C585C" w:rsidRPr="004C0478">
        <w:rPr>
          <w:i/>
        </w:rPr>
        <w:t> </w:t>
      </w:r>
      <w:r w:rsidR="002878CD" w:rsidRPr="004C0478">
        <w:rPr>
          <w:i/>
        </w:rPr>
        <w:t xml:space="preserve">monocytogenes </w:t>
      </w:r>
      <w:r w:rsidR="002878CD" w:rsidRPr="004C0478">
        <w:t xml:space="preserve">(right) after exposure to CAP. Cells were inactivated in a liquid (top) or on a solid(like) model system (bottom). Prior to CAP treatment, cells were grown at pH 7.4, 0% (w/v) NaCl, pH 6.5, 2% (w/v) NaCl or pH 5.5, 6% (w/v) NaCl. </w:t>
      </w:r>
    </w:p>
    <w:p w:rsidR="00BA6415" w:rsidRPr="004C0478" w:rsidRDefault="00BA6415" w:rsidP="00BA6415">
      <w:pPr>
        <w:spacing w:line="480" w:lineRule="auto"/>
        <w:rPr>
          <w:lang w:val="en-US"/>
        </w:rPr>
      </w:pPr>
    </w:p>
    <w:p w:rsidR="00BA6415" w:rsidRPr="004C0478" w:rsidRDefault="00BA6415" w:rsidP="001A4144">
      <w:pPr>
        <w:pStyle w:val="Stijl2"/>
      </w:pPr>
      <w:r w:rsidRPr="004C0478">
        <w:t>3.3 Effect of the model system properties</w:t>
      </w:r>
    </w:p>
    <w:p w:rsidR="001A4144" w:rsidRPr="004C0478" w:rsidRDefault="001A4144" w:rsidP="001A4144">
      <w:pPr>
        <w:pStyle w:val="Stijl3"/>
        <w:rPr>
          <w:rFonts w:eastAsia="Times New Roman"/>
          <w:lang w:eastAsia="en-US"/>
        </w:rPr>
      </w:pPr>
      <w:r w:rsidRPr="004C0478">
        <w:t xml:space="preserve">3.3.1 Experimental conditions </w:t>
      </w:r>
      <w:r w:rsidR="00005A43" w:rsidRPr="004C0478">
        <w:t xml:space="preserve">of </w:t>
      </w:r>
      <w:r w:rsidRPr="004C0478">
        <w:t>model system</w:t>
      </w:r>
      <w:r w:rsidR="00005A43" w:rsidRPr="004C0478">
        <w:t>s</w:t>
      </w:r>
    </w:p>
    <w:p w:rsidR="001A4144" w:rsidRPr="004C0478" w:rsidRDefault="001A4144" w:rsidP="001A4144">
      <w:pPr>
        <w:pStyle w:val="main"/>
      </w:pPr>
      <w:bookmarkStart w:id="16" w:name="_Hlk483854129"/>
      <w:r w:rsidRPr="004C0478">
        <w:t xml:space="preserve">The results clearly indicate that the properties of the model system affect the inactivation kinetics </w:t>
      </w:r>
      <w:r w:rsidR="007B4CEE" w:rsidRPr="004C0478">
        <w:t xml:space="preserve">of both </w:t>
      </w:r>
      <w:r w:rsidR="007B4CEE" w:rsidRPr="004C0478">
        <w:rPr>
          <w:i/>
        </w:rPr>
        <w:t xml:space="preserve">S. </w:t>
      </w:r>
      <w:r w:rsidR="007B4CEE" w:rsidRPr="004C0478">
        <w:t xml:space="preserve">Typhimurium and </w:t>
      </w:r>
      <w:r w:rsidR="007B4CEE" w:rsidRPr="004C0478">
        <w:rPr>
          <w:i/>
        </w:rPr>
        <w:t xml:space="preserve">L. monocytogenes </w:t>
      </w:r>
      <w:r w:rsidRPr="004C0478">
        <w:t xml:space="preserve">(Figure </w:t>
      </w:r>
      <w:r w:rsidR="008217B9" w:rsidRPr="004C0478">
        <w:t>3</w:t>
      </w:r>
      <w:r w:rsidRPr="004C0478">
        <w:t xml:space="preserve"> and </w:t>
      </w:r>
      <w:r w:rsidR="008217B9" w:rsidRPr="004C0478">
        <w:t>4</w:t>
      </w:r>
      <w:r w:rsidRPr="004C0478">
        <w:t>)</w:t>
      </w:r>
      <w:r w:rsidR="00AE1FDB" w:rsidRPr="004C0478">
        <w:t xml:space="preserve">, </w:t>
      </w:r>
      <w:r w:rsidR="003C253D" w:rsidRPr="004C0478">
        <w:t>as in most cases the most stressing experimental condition (pH 5.5, 6% (w/v) NaCl) results in a low inactivation efficacy</w:t>
      </w:r>
      <w:r w:rsidRPr="004C0478">
        <w:t xml:space="preserve">. </w:t>
      </w:r>
      <w:bookmarkStart w:id="17" w:name="_Hlk483854467"/>
      <w:bookmarkEnd w:id="16"/>
      <w:r w:rsidRPr="004C0478">
        <w:t xml:space="preserve">Severe osmotic stress and suboptimal pH values prior to CAP treatment </w:t>
      </w:r>
      <w:r w:rsidR="007F4895" w:rsidRPr="004C0478">
        <w:t xml:space="preserve">(e.g., during cell growth) </w:t>
      </w:r>
      <w:r w:rsidRPr="004C0478">
        <w:t>can result in stress hardening indicating</w:t>
      </w:r>
      <w:r w:rsidR="00005A43" w:rsidRPr="004C0478">
        <w:t xml:space="preserve"> that</w:t>
      </w:r>
      <w:r w:rsidRPr="004C0478">
        <w:t xml:space="preserve"> the cells adapt to the stressing environment and become resistant to subsequent stresses like CAP.</w:t>
      </w:r>
      <w:r w:rsidR="00FF5C79" w:rsidRPr="004C0478">
        <w:rPr>
          <w:noProof/>
          <w:vertAlign w:val="superscript"/>
        </w:rPr>
        <w:t>[</w:t>
      </w:r>
      <w:bookmarkEnd w:id="17"/>
      <w:r w:rsidR="00B2063D" w:rsidRPr="004C0478">
        <w:rPr>
          <w:noProof/>
          <w:vertAlign w:val="superscript"/>
        </w:rPr>
        <w:t>24], [30</w:t>
      </w:r>
      <w:r w:rsidRPr="004C0478">
        <w:rPr>
          <w:noProof/>
          <w:vertAlign w:val="superscript"/>
        </w:rPr>
        <w:t>]</w:t>
      </w:r>
      <w:r w:rsidRPr="004C0478">
        <w:rPr>
          <w:vertAlign w:val="superscript"/>
        </w:rPr>
        <w:t xml:space="preserve"> </w:t>
      </w:r>
      <w:r w:rsidRPr="004C0478">
        <w:t xml:space="preserve">In Figure </w:t>
      </w:r>
      <w:r w:rsidR="008217B9" w:rsidRPr="004C0478">
        <w:t>5</w:t>
      </w:r>
      <w:r w:rsidRPr="004C0478">
        <w:t xml:space="preserve">, it is </w:t>
      </w:r>
      <w:r w:rsidRPr="004C0478">
        <w:lastRenderedPageBreak/>
        <w:t>evident that the</w:t>
      </w:r>
      <w:r w:rsidR="00005A43" w:rsidRPr="004C0478">
        <w:t xml:space="preserve"> combination pH/salt level </w:t>
      </w:r>
      <w:r w:rsidRPr="004C0478">
        <w:t xml:space="preserve">has </w:t>
      </w:r>
      <w:r w:rsidR="00005A43" w:rsidRPr="004C0478">
        <w:t xml:space="preserve">also </w:t>
      </w:r>
      <w:r w:rsidRPr="004C0478">
        <w:t>an im</w:t>
      </w:r>
      <w:r w:rsidR="00E10BB3" w:rsidRPr="004C0478">
        <w:t xml:space="preserve">pact during subsequent storage. </w:t>
      </w:r>
      <w:bookmarkStart w:id="18" w:name="_Hlk483344887"/>
      <w:r w:rsidR="00E10BB3" w:rsidRPr="004C0478">
        <w:t>With respect to storage, the combined effect of CAP treatment and salt/pH stress (and storage temperature), results in a synergistic effect prolonging the storage life</w:t>
      </w:r>
      <w:r w:rsidR="000F4126" w:rsidRPr="004C0478">
        <w:t>, confirming the hurdle concept</w:t>
      </w:r>
      <w:r w:rsidR="00E10BB3" w:rsidRPr="004C0478">
        <w:t xml:space="preserve">. This extension was indicated by the lower CFU counts with respect to the storage time for CAP treated samples, as compared to the control. </w:t>
      </w:r>
      <w:bookmarkStart w:id="19" w:name="_Hlk483859636"/>
      <w:r w:rsidR="00E10BB3" w:rsidRPr="004C0478">
        <w:t>The effect of storage temperature on the microbial kinetics was</w:t>
      </w:r>
      <w:r w:rsidRPr="004C0478">
        <w:t xml:space="preserve"> extensively reported in </w:t>
      </w:r>
      <w:r w:rsidR="00C4234E" w:rsidRPr="004C0478">
        <w:t>Smet et al. (2017).</w:t>
      </w:r>
      <w:bookmarkEnd w:id="18"/>
      <w:r w:rsidR="00B2063D" w:rsidRPr="004C0478">
        <w:rPr>
          <w:noProof/>
          <w:vertAlign w:val="superscript"/>
        </w:rPr>
        <w:t>[31</w:t>
      </w:r>
      <w:r w:rsidR="00C4234E" w:rsidRPr="004C0478">
        <w:rPr>
          <w:noProof/>
          <w:vertAlign w:val="superscript"/>
        </w:rPr>
        <w:t>]</w:t>
      </w:r>
      <w:r w:rsidR="00C4234E" w:rsidRPr="004C0478">
        <w:t xml:space="preserve"> </w:t>
      </w:r>
    </w:p>
    <w:bookmarkEnd w:id="19"/>
    <w:p w:rsidR="001020B5" w:rsidRPr="004C0478" w:rsidRDefault="000E48B4" w:rsidP="001020B5">
      <w:pPr>
        <w:pStyle w:val="main"/>
        <w:keepNext/>
      </w:pPr>
      <w:r w:rsidRPr="004C0478">
        <w:rPr>
          <w:noProof/>
          <w:lang w:val="en-GB" w:eastAsia="en-GB"/>
        </w:rPr>
        <w:drawing>
          <wp:inline distT="0" distB="0" distL="0" distR="0" wp14:anchorId="75DDEC7A">
            <wp:extent cx="6120000" cy="4395600"/>
            <wp:effectExtent l="0" t="0" r="0" b="508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4395600"/>
                    </a:xfrm>
                    <a:prstGeom prst="rect">
                      <a:avLst/>
                    </a:prstGeom>
                    <a:noFill/>
                  </pic:spPr>
                </pic:pic>
              </a:graphicData>
            </a:graphic>
          </wp:inline>
        </w:drawing>
      </w:r>
    </w:p>
    <w:p w:rsidR="001020B5" w:rsidRPr="004C0478" w:rsidRDefault="001020B5" w:rsidP="00472485">
      <w:pPr>
        <w:pStyle w:val="main"/>
        <w:spacing w:line="240" w:lineRule="auto"/>
      </w:pPr>
      <w:r w:rsidRPr="004C0478">
        <w:rPr>
          <w:i/>
        </w:rPr>
        <w:t xml:space="preserve">Figure </w:t>
      </w:r>
      <w:r w:rsidR="00180967" w:rsidRPr="004C0478">
        <w:rPr>
          <w:i/>
        </w:rPr>
        <w:t>5</w:t>
      </w:r>
      <w:r w:rsidRPr="004C0478">
        <w:rPr>
          <w:i/>
        </w:rPr>
        <w:t>.</w:t>
      </w:r>
      <w:r w:rsidR="00472485" w:rsidRPr="004C0478">
        <w:rPr>
          <w:i/>
        </w:rPr>
        <w:t xml:space="preserve"> </w:t>
      </w:r>
      <w:r w:rsidR="00472485" w:rsidRPr="004C0478">
        <w:t xml:space="preserve">Growth/ inactivation curves of </w:t>
      </w:r>
      <w:r w:rsidR="00472485" w:rsidRPr="004C0478">
        <w:rPr>
          <w:i/>
        </w:rPr>
        <w:t>S.</w:t>
      </w:r>
      <w:r w:rsidR="00472485" w:rsidRPr="004C0478">
        <w:t xml:space="preserve"> Typhimurium, both for CAP treated samples and untreated controls, stored for 10 days at 20°C (left) or for 30 days at 8°C (right). Cells were inactivated in a liquid (top) or on a solid(like) (bottom) model system. Prior to CAP treatment, cells were grown at pH 7.4, 0% (w/v) NaCl</w:t>
      </w:r>
      <w:r w:rsidR="00A15655" w:rsidRPr="004C0478">
        <w:t xml:space="preserve"> or pH 5.5, 6% (w/v) NaCl</w:t>
      </w:r>
      <w:r w:rsidR="00472485" w:rsidRPr="004C0478">
        <w:t xml:space="preserve">. Experimental data (symbols) and global fit (line) of the Baranyi and Roberts (1994) model (growth), or the Geeraerd et al. (2000) model (inactivation): </w:t>
      </w:r>
      <w:r w:rsidR="006937CB" w:rsidRPr="004C0478">
        <w:t>CAP treated samples</w:t>
      </w:r>
      <w:r w:rsidR="00472485" w:rsidRPr="004C0478">
        <w:t xml:space="preserve"> (</w:t>
      </w:r>
      <w:r w:rsidR="009E4389" w:rsidRPr="004C0478">
        <w:rPr>
          <w:rFonts w:ascii="Helvetica" w:hAnsi="Helvetica" w:cs="Helvetica"/>
          <w:b/>
          <w:bCs/>
          <w:sz w:val="36"/>
          <w:szCs w:val="36"/>
          <w:shd w:val="clear" w:color="auto" w:fill="F2F9ED"/>
        </w:rPr>
        <w:t>◊</w:t>
      </w:r>
      <w:r w:rsidR="00472485" w:rsidRPr="004C0478">
        <w:t xml:space="preserve">, solid line) and </w:t>
      </w:r>
      <w:r w:rsidR="006937CB" w:rsidRPr="004C0478">
        <w:t>controls</w:t>
      </w:r>
      <w:r w:rsidR="009E4389" w:rsidRPr="004C0478">
        <w:t xml:space="preserve"> (X</w:t>
      </w:r>
      <w:r w:rsidR="00472485" w:rsidRPr="004C0478">
        <w:t>, dashed line).</w:t>
      </w:r>
      <w:r w:rsidR="00B2063D" w:rsidRPr="004C0478">
        <w:rPr>
          <w:vertAlign w:val="superscript"/>
        </w:rPr>
        <w:t>[14], [15</w:t>
      </w:r>
      <w:r w:rsidR="00BB3F24" w:rsidRPr="004C0478">
        <w:rPr>
          <w:vertAlign w:val="superscript"/>
        </w:rPr>
        <w:t>]</w:t>
      </w:r>
      <w:r w:rsidR="0013194B" w:rsidRPr="004C0478">
        <w:rPr>
          <w:vertAlign w:val="superscript"/>
        </w:rPr>
        <w:t xml:space="preserve"> </w:t>
      </w:r>
      <w:r w:rsidR="0013194B" w:rsidRPr="004C0478">
        <w:rPr>
          <w:noProof/>
        </w:rPr>
        <w:t xml:space="preserve">RMSE values for the fits range from </w:t>
      </w:r>
      <w:r w:rsidR="001E770E" w:rsidRPr="004C0478">
        <w:rPr>
          <w:noProof/>
        </w:rPr>
        <w:t xml:space="preserve">0.1078 </w:t>
      </w:r>
      <w:r w:rsidR="0013194B" w:rsidRPr="004C0478">
        <w:rPr>
          <w:noProof/>
        </w:rPr>
        <w:t xml:space="preserve">to </w:t>
      </w:r>
      <w:r w:rsidR="001E770E" w:rsidRPr="004C0478">
        <w:rPr>
          <w:noProof/>
        </w:rPr>
        <w:t>1.3576</w:t>
      </w:r>
      <w:r w:rsidR="0013194B" w:rsidRPr="004C0478">
        <w:rPr>
          <w:noProof/>
        </w:rPr>
        <w:t>.</w:t>
      </w:r>
    </w:p>
    <w:p w:rsidR="00C60A30" w:rsidRPr="004C0478" w:rsidRDefault="00C60A30" w:rsidP="001020B5">
      <w:pPr>
        <w:pStyle w:val="main"/>
        <w:rPr>
          <w:i/>
        </w:rPr>
      </w:pPr>
    </w:p>
    <w:p w:rsidR="001A4144" w:rsidRPr="004C0478" w:rsidRDefault="001A4144" w:rsidP="001A4144">
      <w:pPr>
        <w:pStyle w:val="main"/>
      </w:pPr>
      <w:r w:rsidRPr="004C0478">
        <w:t xml:space="preserve">Being one of the first CAP related studies focusing on food model systems, only few intrinsic factors were varied. It was opted to initially assess the impact of pH and salt concentration by </w:t>
      </w:r>
      <w:r w:rsidRPr="004C0478">
        <w:lastRenderedPageBreak/>
        <w:t>combining both parameters at three different stress levels: optimal (pH 7.4, 0% (w/v) NaCl), intermediate stress (pH 6.5, 2% (w/v) NaCl) and severe stress (pH 5.5, 6% (w/v) NaCl). This select</w:t>
      </w:r>
      <w:r w:rsidR="00005A43" w:rsidRPr="004C0478">
        <w:t>ion was made in order</w:t>
      </w:r>
      <w:r w:rsidRPr="004C0478">
        <w:t xml:space="preserve"> to address significant differences to the influence of these </w:t>
      </w:r>
      <w:r w:rsidR="00005A43" w:rsidRPr="004C0478">
        <w:t>intrinsic factors, instead of</w:t>
      </w:r>
      <w:r w:rsidRPr="004C0478">
        <w:t xml:space="preserve"> the variability of the CAP treatment. However, by implementing a more elaborate experimental design, the influence of each individual intrinsic factor can be assessed. Further on, this also creates the option of constructing secondary models, predicting the effect of intrinsic factors on the CAP inactivation efficacy. In conclusion, more variations within and outside the ranges selected, should be tested in order to draw more precise conclusions. Additionally, the effect of other intrinsic factors on the CAP efficacy could be incorporated in future research (e.g., the impact of natural sugars). </w:t>
      </w:r>
    </w:p>
    <w:p w:rsidR="001A4144" w:rsidRPr="004C0478" w:rsidRDefault="001A4144" w:rsidP="001A4144">
      <w:pPr>
        <w:pStyle w:val="main"/>
      </w:pPr>
    </w:p>
    <w:p w:rsidR="001A4144" w:rsidRPr="004C0478" w:rsidRDefault="001A4144" w:rsidP="001A4144">
      <w:pPr>
        <w:pStyle w:val="Stijl3"/>
      </w:pPr>
      <w:r w:rsidRPr="004C0478">
        <w:t>3.3.2 (Micro)structure</w:t>
      </w:r>
      <w:r w:rsidR="00005A43" w:rsidRPr="004C0478">
        <w:t xml:space="preserve"> of</w:t>
      </w:r>
      <w:r w:rsidRPr="004C0478">
        <w:t xml:space="preserve"> model system</w:t>
      </w:r>
      <w:r w:rsidR="00005A43" w:rsidRPr="004C0478">
        <w:t>s</w:t>
      </w:r>
    </w:p>
    <w:p w:rsidR="001A4144" w:rsidRPr="004C0478" w:rsidRDefault="001A4144" w:rsidP="001A4144">
      <w:pPr>
        <w:pStyle w:val="main"/>
      </w:pPr>
      <w:r w:rsidRPr="004C0478">
        <w:t xml:space="preserve">When comparing the CAP efficacy for the liquid and solid(like) model systems, no general trend can be deducted based on comparing </w:t>
      </w:r>
      <w:r w:rsidR="00BF0E90" w:rsidRPr="004C0478">
        <w:t xml:space="preserve">inactivation kinetics or </w:t>
      </w:r>
      <w:r w:rsidRPr="004C0478">
        <w:t xml:space="preserve">log reductions (Figure </w:t>
      </w:r>
      <w:r w:rsidR="00BF0E90" w:rsidRPr="004C0478">
        <w:t xml:space="preserve">3 and </w:t>
      </w:r>
      <w:r w:rsidR="008217B9" w:rsidRPr="004C0478">
        <w:t>4</w:t>
      </w:r>
      <w:r w:rsidRPr="004C0478">
        <w:t xml:space="preserve">). For </w:t>
      </w:r>
      <w:r w:rsidRPr="004C0478">
        <w:rPr>
          <w:i/>
        </w:rPr>
        <w:t xml:space="preserve">S. </w:t>
      </w:r>
      <w:r w:rsidRPr="004C0478">
        <w:t xml:space="preserve">Typhimurium, the obtained log reductions at maximum treatment are significantly higher for the liquid system. For </w:t>
      </w:r>
      <w:r w:rsidRPr="004C0478">
        <w:rPr>
          <w:i/>
        </w:rPr>
        <w:t xml:space="preserve">L. monocytogenes </w:t>
      </w:r>
      <w:r w:rsidRPr="004C0478">
        <w:t>this trend is (for most experimental conditions) reversed, and the treatment efficacy is higher for the solid(like) model system</w:t>
      </w:r>
      <w:r w:rsidR="00C25FF4" w:rsidRPr="004C0478">
        <w:t xml:space="preserve"> as compared to the liquid carrier</w:t>
      </w:r>
      <w:r w:rsidR="00B2186A" w:rsidRPr="004C0478">
        <w:t>. This difference</w:t>
      </w:r>
      <w:r w:rsidRPr="004C0478">
        <w:t xml:space="preserve"> can be explained due to the fact that the effect of the food (micro)structure on the CAP inactivation efficacy is complex and twofold.</w:t>
      </w:r>
      <w:r w:rsidR="00B2063D" w:rsidRPr="004C0478">
        <w:rPr>
          <w:noProof/>
          <w:vertAlign w:val="superscript"/>
        </w:rPr>
        <w:t>[13</w:t>
      </w:r>
      <w:r w:rsidRPr="004C0478">
        <w:rPr>
          <w:noProof/>
          <w:vertAlign w:val="superscript"/>
        </w:rPr>
        <w:t>]</w:t>
      </w:r>
      <w:r w:rsidRPr="004C0478">
        <w:rPr>
          <w:vertAlign w:val="superscript"/>
        </w:rPr>
        <w:t xml:space="preserve"> </w:t>
      </w:r>
      <w:r w:rsidRPr="004C0478">
        <w:t>The food (micro)structure is determined by (i) the growth morphology of the cells and (ii) the inactivation support during treatment. For the growth morphology, it was reported that cell immobilization when grown as surface colonies promotes cell resistance towards CAP treatment.</w:t>
      </w:r>
      <w:r w:rsidR="00B2063D" w:rsidRPr="004C0478">
        <w:rPr>
          <w:noProof/>
          <w:vertAlign w:val="superscript"/>
        </w:rPr>
        <w:t>[13</w:t>
      </w:r>
      <w:r w:rsidRPr="004C0478">
        <w:rPr>
          <w:noProof/>
          <w:vertAlign w:val="superscript"/>
        </w:rPr>
        <w:t>]</w:t>
      </w:r>
      <w:r w:rsidRPr="004C0478">
        <w:rPr>
          <w:vertAlign w:val="superscript"/>
        </w:rPr>
        <w:t xml:space="preserve"> </w:t>
      </w:r>
      <w:r w:rsidRPr="004C0478">
        <w:t>This was explained by the fact that in a solid(like) system (surface colonies) nutrient limitations arise</w:t>
      </w:r>
      <w:r w:rsidR="00F01FB5" w:rsidRPr="004C0478">
        <w:t>, creating</w:t>
      </w:r>
      <w:r w:rsidRPr="004C0478">
        <w:t xml:space="preserve"> starvation stress.</w:t>
      </w:r>
      <w:r w:rsidR="00C4234E" w:rsidRPr="004C0478">
        <w:rPr>
          <w:noProof/>
          <w:vertAlign w:val="superscript"/>
        </w:rPr>
        <w:t>[</w:t>
      </w:r>
      <w:r w:rsidR="00B2063D" w:rsidRPr="004C0478">
        <w:rPr>
          <w:noProof/>
          <w:vertAlign w:val="superscript"/>
        </w:rPr>
        <w:t>13], [32</w:t>
      </w:r>
      <w:r w:rsidRPr="004C0478">
        <w:rPr>
          <w:noProof/>
          <w:vertAlign w:val="superscript"/>
        </w:rPr>
        <w:t>]</w:t>
      </w:r>
      <w:r w:rsidRPr="004C0478">
        <w:rPr>
          <w:vertAlign w:val="superscript"/>
        </w:rPr>
        <w:t xml:space="preserve"> </w:t>
      </w:r>
      <w:r w:rsidRPr="004C0478">
        <w:t xml:space="preserve">Regarding the inactivation support during treatment, it is assumed that on a solid(like) surface, CAP active species can easily reach and inactivate cells. In the liquid carrier, they first diffuse through the liquid </w:t>
      </w:r>
      <w:r w:rsidRPr="004C0478">
        <w:lastRenderedPageBreak/>
        <w:t xml:space="preserve">before reaching the microbial cells, </w:t>
      </w:r>
      <w:r w:rsidR="00F01FB5" w:rsidRPr="004C0478">
        <w:t>leading to a reduced</w:t>
      </w:r>
      <w:r w:rsidRPr="004C0478">
        <w:t xml:space="preserve"> effectiveness of the treatment (highl</w:t>
      </w:r>
      <w:r w:rsidR="00F01FB5" w:rsidRPr="004C0478">
        <w:t>y reactive short lived species)</w:t>
      </w:r>
      <w:r w:rsidRPr="004C0478">
        <w:t>.</w:t>
      </w:r>
      <w:r w:rsidR="00B2063D" w:rsidRPr="004C0478">
        <w:rPr>
          <w:noProof/>
          <w:vertAlign w:val="superscript"/>
        </w:rPr>
        <w:t>[13], [33</w:t>
      </w:r>
      <w:r w:rsidRPr="004C0478">
        <w:rPr>
          <w:noProof/>
          <w:vertAlign w:val="superscript"/>
        </w:rPr>
        <w:t>]</w:t>
      </w:r>
      <w:r w:rsidRPr="004C0478">
        <w:rPr>
          <w:vertAlign w:val="superscript"/>
        </w:rPr>
        <w:t xml:space="preserve"> </w:t>
      </w:r>
      <w:r w:rsidRPr="004C0478">
        <w:t xml:space="preserve">The effect of the inactivation support is indicated by the inactivation kinetics in Figure </w:t>
      </w:r>
      <w:r w:rsidR="008217B9" w:rsidRPr="004C0478">
        <w:t>3</w:t>
      </w:r>
      <w:r w:rsidRPr="004C0478">
        <w:t>, where</w:t>
      </w:r>
      <w:r w:rsidRPr="004C0478">
        <w:rPr>
          <w:b/>
        </w:rPr>
        <w:t xml:space="preserve"> </w:t>
      </w:r>
      <w:r w:rsidRPr="004C0478">
        <w:t>a very long shou</w:t>
      </w:r>
      <w:r w:rsidR="00F01FB5" w:rsidRPr="004C0478">
        <w:t>lder is present when inactivation occurs</w:t>
      </w:r>
      <w:r w:rsidRPr="004C0478">
        <w:t xml:space="preserve"> in a liquid carrier, </w:t>
      </w:r>
      <w:r w:rsidR="00A148D8" w:rsidRPr="004C0478">
        <w:t>which</w:t>
      </w:r>
      <w:r w:rsidRPr="004C0478">
        <w:t xml:space="preserve"> is (almost) n</w:t>
      </w:r>
      <w:r w:rsidR="00F01FB5" w:rsidRPr="004C0478">
        <w:t xml:space="preserve">ot observed for CAP treatment on </w:t>
      </w:r>
      <w:r w:rsidRPr="004C0478">
        <w:t>the solid(like) surface</w:t>
      </w:r>
      <w:r w:rsidR="007B4CEE" w:rsidRPr="004C0478">
        <w:t xml:space="preserve"> as the CAP species do not need to diffuse first</w:t>
      </w:r>
      <w:r w:rsidRPr="004C0478">
        <w:t xml:space="preserve">. </w:t>
      </w:r>
      <w:r w:rsidR="00227232" w:rsidRPr="004C0478">
        <w:t>When assessing Figure 5, the (micro)structure</w:t>
      </w:r>
      <w:r w:rsidR="00BE7AD2" w:rsidRPr="004C0478">
        <w:t xml:space="preserve"> proved to have only a minimal impact on the microbial kinetics during storage. </w:t>
      </w:r>
      <w:bookmarkStart w:id="20" w:name="_Hlk483856558"/>
      <w:r w:rsidR="00325463" w:rsidRPr="004C0478">
        <w:t>However, recovery during storage proved more difficult for the liquid samples, which could be explained by the fact that more long lived reactive species (e.g., H</w:t>
      </w:r>
      <w:r w:rsidR="00325463" w:rsidRPr="004C0478">
        <w:rPr>
          <w:vertAlign w:val="subscript"/>
        </w:rPr>
        <w:t>2</w:t>
      </w:r>
      <w:r w:rsidR="00325463" w:rsidRPr="004C0478">
        <w:t>O</w:t>
      </w:r>
      <w:r w:rsidR="00325463" w:rsidRPr="004C0478">
        <w:rPr>
          <w:vertAlign w:val="subscript"/>
        </w:rPr>
        <w:t>2</w:t>
      </w:r>
      <w:r w:rsidR="00325463" w:rsidRPr="004C0478">
        <w:t>) are produced in this model system.</w:t>
      </w:r>
      <w:r w:rsidR="00325463" w:rsidRPr="004C0478">
        <w:rPr>
          <w:vertAlign w:val="superscript"/>
        </w:rPr>
        <w:t>[</w:t>
      </w:r>
      <w:bookmarkEnd w:id="20"/>
      <w:r w:rsidR="00B2063D" w:rsidRPr="004C0478">
        <w:rPr>
          <w:vertAlign w:val="superscript"/>
        </w:rPr>
        <w:t>31</w:t>
      </w:r>
      <w:r w:rsidR="00325463" w:rsidRPr="004C0478">
        <w:rPr>
          <w:vertAlign w:val="superscript"/>
        </w:rPr>
        <w:t>]</w:t>
      </w:r>
      <w:r w:rsidR="00325463" w:rsidRPr="004C0478">
        <w:t xml:space="preserve"> </w:t>
      </w:r>
      <w:r w:rsidRPr="004C0478">
        <w:t xml:space="preserve">The results of this study indicate the importance to consider both the cell prehistory (growth morphology) and the support system when designing or assessing CAP inactivation. </w:t>
      </w:r>
    </w:p>
    <w:p w:rsidR="001A4144" w:rsidRPr="004C0478" w:rsidRDefault="001A4144" w:rsidP="001A4144">
      <w:pPr>
        <w:pStyle w:val="main"/>
        <w:rPr>
          <w:highlight w:val="cyan"/>
        </w:rPr>
      </w:pPr>
      <w:r w:rsidRPr="004C0478">
        <w:t>In remark, the influence of the food (micro)structure was only assessed for simple liquid or gelled (gelatin) model systems. Other structuring agents (e.g., agar, dextran) or more complex model systems could lead to different results. For example, as heterogeneous (micro)structures favor microbial growth in specific phases, it can be assumed this also affects microbial inactivation.</w:t>
      </w:r>
      <w:r w:rsidR="00B2063D" w:rsidRPr="004C0478">
        <w:rPr>
          <w:noProof/>
          <w:vertAlign w:val="superscript"/>
        </w:rPr>
        <w:t>[34</w:t>
      </w:r>
      <w:r w:rsidRPr="004C0478">
        <w:rPr>
          <w:noProof/>
          <w:vertAlign w:val="superscript"/>
        </w:rPr>
        <w:t>]</w:t>
      </w:r>
      <w:r w:rsidRPr="004C0478">
        <w:rPr>
          <w:vertAlign w:val="superscript"/>
        </w:rPr>
        <w:t xml:space="preserve"> </w:t>
      </w:r>
      <w:r w:rsidRPr="004C0478">
        <w:t>Moreover, only planktonic growth and surface colonies were incorporated, whereas 80% of bacterial infections are biofilm related.</w:t>
      </w:r>
      <w:r w:rsidR="00C4234E" w:rsidRPr="004C0478">
        <w:rPr>
          <w:noProof/>
          <w:vertAlign w:val="superscript"/>
        </w:rPr>
        <w:t>[3</w:t>
      </w:r>
      <w:r w:rsidR="00B2063D" w:rsidRPr="004C0478">
        <w:rPr>
          <w:noProof/>
          <w:vertAlign w:val="superscript"/>
        </w:rPr>
        <w:t>5], [36</w:t>
      </w:r>
      <w:r w:rsidRPr="004C0478">
        <w:rPr>
          <w:noProof/>
          <w:vertAlign w:val="superscript"/>
        </w:rPr>
        <w:t>]</w:t>
      </w:r>
      <w:r w:rsidRPr="004C0478">
        <w:rPr>
          <w:vertAlign w:val="superscript"/>
        </w:rPr>
        <w:t xml:space="preserve"> </w:t>
      </w:r>
      <w:r w:rsidRPr="004C0478">
        <w:t>Research on biofilm treatment using CAP has been performed, but is mainly focused on abiotic surfaces. Studies discussing CAP inactivation of biofilms formed on food products (or food mimicking model systems) are limited and further research is required.</w:t>
      </w:r>
      <w:r w:rsidR="00FF5C79" w:rsidRPr="004C0478">
        <w:rPr>
          <w:noProof/>
          <w:vertAlign w:val="superscript"/>
        </w:rPr>
        <w:t>[3</w:t>
      </w:r>
      <w:r w:rsidR="00B2063D" w:rsidRPr="004C0478">
        <w:rPr>
          <w:noProof/>
          <w:vertAlign w:val="superscript"/>
        </w:rPr>
        <w:t>7</w:t>
      </w:r>
      <w:r w:rsidRPr="004C0478">
        <w:rPr>
          <w:noProof/>
          <w:vertAlign w:val="superscript"/>
        </w:rPr>
        <w:t>]</w:t>
      </w:r>
      <w:r w:rsidR="00B2063D" w:rsidRPr="004C0478">
        <w:rPr>
          <w:noProof/>
          <w:vertAlign w:val="superscript"/>
        </w:rPr>
        <w:t>-[43]</w:t>
      </w:r>
      <w:r w:rsidRPr="004C0478">
        <w:rPr>
          <w:vertAlign w:val="superscript"/>
        </w:rPr>
        <w:t xml:space="preserve">  </w:t>
      </w:r>
    </w:p>
    <w:p w:rsidR="00BA6415" w:rsidRPr="004C0478" w:rsidRDefault="00BA6415" w:rsidP="00BA6415">
      <w:pPr>
        <w:spacing w:line="480" w:lineRule="auto"/>
        <w:rPr>
          <w:lang w:val="en-US"/>
        </w:rPr>
      </w:pPr>
    </w:p>
    <w:p w:rsidR="00BA6415" w:rsidRPr="004C0478" w:rsidRDefault="00BA6415" w:rsidP="003E1251">
      <w:pPr>
        <w:pStyle w:val="Stijl2"/>
      </w:pPr>
      <w:r w:rsidRPr="004C0478">
        <w:t>3.4 Effect of the experimental protocol</w:t>
      </w:r>
    </w:p>
    <w:p w:rsidR="001A4144" w:rsidRPr="004C0478" w:rsidRDefault="001A4144" w:rsidP="0041717A">
      <w:pPr>
        <w:pStyle w:val="main"/>
        <w:rPr>
          <w:rFonts w:eastAsia="Times New Roman"/>
          <w:lang w:eastAsia="en-US"/>
        </w:rPr>
      </w:pPr>
      <w:r w:rsidRPr="004C0478">
        <w:t xml:space="preserve">Although </w:t>
      </w:r>
      <w:r w:rsidR="00F01FB5" w:rsidRPr="004C0478">
        <w:t>the food (micro)structure is proven</w:t>
      </w:r>
      <w:r w:rsidRPr="004C0478">
        <w:t xml:space="preserve"> to influence CAP treatment, the model systems are not easily comparable (Figure </w:t>
      </w:r>
      <w:r w:rsidR="008217B9" w:rsidRPr="004C0478">
        <w:t>3</w:t>
      </w:r>
      <w:r w:rsidRPr="004C0478">
        <w:t xml:space="preserve">, </w:t>
      </w:r>
      <w:r w:rsidR="008217B9" w:rsidRPr="004C0478">
        <w:t>4</w:t>
      </w:r>
      <w:r w:rsidRPr="004C0478">
        <w:t>). First of all, due to the characteristics of both systems, the data are expressed in different units: CFU/mL (liquid carrier) and CFU/cm</w:t>
      </w:r>
      <w:r w:rsidRPr="004C0478">
        <w:rPr>
          <w:vertAlign w:val="superscript"/>
        </w:rPr>
        <w:t>2</w:t>
      </w:r>
      <w:r w:rsidR="00747E25" w:rsidRPr="004C0478">
        <w:t xml:space="preserve"> (solid carrier).</w:t>
      </w:r>
      <w:r w:rsidRPr="004C0478">
        <w:t xml:space="preserve"> This issue was overcome by only comparing (i) the shapes of the inactivation kinetics in </w:t>
      </w:r>
      <w:r w:rsidRPr="004C0478">
        <w:lastRenderedPageBreak/>
        <w:t>combination with (ii) the final log reductions. Secondly, the sizes of both systems are different during treatment. Whereas the solid(like) surface is 23.8 cm</w:t>
      </w:r>
      <w:r w:rsidRPr="004C0478">
        <w:rPr>
          <w:vertAlign w:val="superscript"/>
        </w:rPr>
        <w:t>2</w:t>
      </w:r>
      <w:r w:rsidRPr="004C0478">
        <w:t xml:space="preserve"> (7 mL volume), the volume of the liquid carrier is </w:t>
      </w:r>
      <w:r w:rsidR="00EE4C15" w:rsidRPr="004C0478">
        <w:t>limited</w:t>
      </w:r>
      <w:r w:rsidRPr="004C0478">
        <w:t xml:space="preserve"> to 100 µL. </w:t>
      </w:r>
      <w:r w:rsidR="00EE4C15" w:rsidRPr="004C0478">
        <w:t>As l</w:t>
      </w:r>
      <w:r w:rsidRPr="004C0478">
        <w:t>iquid samples of comparable size to the solid(like) carrier, did not result in cell reduction</w:t>
      </w:r>
      <w:r w:rsidR="00EE4C15" w:rsidRPr="004C0478">
        <w:t>,</w:t>
      </w:r>
      <w:r w:rsidRPr="004C0478">
        <w:t xml:space="preserve"> the volume was r</w:t>
      </w:r>
      <w:r w:rsidR="00EE4C15" w:rsidRPr="004C0478">
        <w:t>estricted</w:t>
      </w:r>
      <w:r w:rsidRPr="004C0478">
        <w:t xml:space="preserve"> to obtain sufficient inactivation in order to characterize the kinetics. </w:t>
      </w:r>
      <w:r w:rsidR="00EE4C15" w:rsidRPr="004C0478">
        <w:t>Still</w:t>
      </w:r>
      <w:r w:rsidRPr="004C0478">
        <w:t xml:space="preserve">, the results in Figure </w:t>
      </w:r>
      <w:r w:rsidR="008217B9" w:rsidRPr="004C0478">
        <w:t>3</w:t>
      </w:r>
      <w:r w:rsidRPr="004C0478">
        <w:t xml:space="preserve"> indicate that treatment of a solid(like) surface requires shorter treatment times. Therefore, it could be suggested that treatment of liquids with CAP could result more efficient with a different set-up.</w:t>
      </w:r>
      <w:r w:rsidR="00B2063D" w:rsidRPr="004C0478">
        <w:rPr>
          <w:noProof/>
          <w:vertAlign w:val="superscript"/>
        </w:rPr>
        <w:t>[44], [45</w:t>
      </w:r>
      <w:r w:rsidRPr="004C0478">
        <w:rPr>
          <w:noProof/>
          <w:vertAlign w:val="superscript"/>
        </w:rPr>
        <w:t>]</w:t>
      </w:r>
      <w:r w:rsidRPr="004C0478">
        <w:rPr>
          <w:vertAlign w:val="superscript"/>
        </w:rPr>
        <w:t xml:space="preserve"> </w:t>
      </w:r>
    </w:p>
    <w:p w:rsidR="001A4144" w:rsidRPr="004C0478" w:rsidRDefault="009F75DC" w:rsidP="0041717A">
      <w:pPr>
        <w:pStyle w:val="main"/>
      </w:pPr>
      <w:r w:rsidRPr="004C0478">
        <w:t>Moreover</w:t>
      </w:r>
      <w:r w:rsidR="001A4144" w:rsidRPr="004C0478">
        <w:t xml:space="preserve">, </w:t>
      </w:r>
      <w:r w:rsidR="002D749E" w:rsidRPr="004C0478">
        <w:t xml:space="preserve">preliminary work indicated that stationary phase colonies (high microbial load) could not be successfully inactivated. For this reason, the dilution and re-inoculation step (after the growth phase) was included in the protocol (Section 2.4). </w:t>
      </w:r>
      <w:r w:rsidR="004311CF" w:rsidRPr="004C0478">
        <w:t xml:space="preserve">The </w:t>
      </w:r>
      <w:r w:rsidR="001A4144" w:rsidRPr="004C0478">
        <w:t xml:space="preserve">microbial </w:t>
      </w:r>
      <w:r w:rsidR="002D749E" w:rsidRPr="004C0478">
        <w:t xml:space="preserve">cell </w:t>
      </w:r>
      <w:r w:rsidR="001A4144" w:rsidRPr="004C0478">
        <w:t xml:space="preserve">load will </w:t>
      </w:r>
      <w:r w:rsidR="004311CF" w:rsidRPr="004C0478">
        <w:t xml:space="preserve">always </w:t>
      </w:r>
      <w:r w:rsidR="001A4144" w:rsidRPr="004C0478">
        <w:t>affect the final reduction</w:t>
      </w:r>
      <w:r w:rsidR="004311CF" w:rsidRPr="004C0478">
        <w:t>, regardless if the cells are homogeneously spread on a surface (i.e., after the dilution/re-inoculation step) or if they cluster together as colonies</w:t>
      </w:r>
      <w:r w:rsidR="001A4144" w:rsidRPr="004C0478">
        <w:t>. In this work, a load of 10</w:t>
      </w:r>
      <w:r w:rsidR="001A4144" w:rsidRPr="004C0478">
        <w:rPr>
          <w:vertAlign w:val="superscript"/>
        </w:rPr>
        <w:t>5.5</w:t>
      </w:r>
      <w:r w:rsidR="001A4144" w:rsidRPr="004C0478">
        <w:t> CFU/cm</w:t>
      </w:r>
      <w:r w:rsidR="001A4144" w:rsidRPr="004C0478">
        <w:rPr>
          <w:vertAlign w:val="superscript"/>
        </w:rPr>
        <w:t>2</w:t>
      </w:r>
      <w:r w:rsidR="001A4144" w:rsidRPr="004C0478">
        <w:t xml:space="preserve"> for the solid(like) surface (10</w:t>
      </w:r>
      <w:r w:rsidR="001A4144" w:rsidRPr="004C0478">
        <w:rPr>
          <w:vertAlign w:val="superscript"/>
        </w:rPr>
        <w:t>5.5</w:t>
      </w:r>
      <w:r w:rsidR="001A4144" w:rsidRPr="004C0478">
        <w:t xml:space="preserve"> CFU/mL for liquid carrier) was selected, in order to ensure the formation of a monolayer of cells</w:t>
      </w:r>
      <w:r w:rsidR="009442BD" w:rsidRPr="004C0478">
        <w:t>, assuming cell agglomeration does not occur</w:t>
      </w:r>
      <w:r w:rsidR="001A4144" w:rsidRPr="004C0478">
        <w:t xml:space="preserve">. </w:t>
      </w:r>
      <w:bookmarkStart w:id="21" w:name="_Hlk483826218"/>
      <w:bookmarkStart w:id="22" w:name="_Hlk483382014"/>
      <w:r w:rsidR="001A4144" w:rsidRPr="004C0478">
        <w:t xml:space="preserve">Fernandez et al. studied the effect of the microbial load </w:t>
      </w:r>
      <w:r w:rsidR="007136F5" w:rsidRPr="004C0478">
        <w:t xml:space="preserve">on filter surfaces </w:t>
      </w:r>
      <w:r w:rsidR="001A4144" w:rsidRPr="004C0478">
        <w:t xml:space="preserve">and have concluded that </w:t>
      </w:r>
      <w:r w:rsidR="002C0346" w:rsidRPr="004C0478">
        <w:t xml:space="preserve">multilayers </w:t>
      </w:r>
      <w:r w:rsidR="001A4144" w:rsidRPr="004C0478">
        <w:t>(which are formed starting around 2</w:t>
      </w:r>
      <w:r w:rsidR="005135FD" w:rsidRPr="004C0478">
        <w:t>*</w:t>
      </w:r>
      <w:r w:rsidR="001A4144" w:rsidRPr="004C0478">
        <w:t>10</w:t>
      </w:r>
      <w:r w:rsidR="001A4144" w:rsidRPr="004C0478">
        <w:rPr>
          <w:vertAlign w:val="superscript"/>
        </w:rPr>
        <w:t>6</w:t>
      </w:r>
      <w:r w:rsidR="001A4144" w:rsidRPr="004C0478">
        <w:t xml:space="preserve"> CFU/cm</w:t>
      </w:r>
      <w:r w:rsidR="001A4144" w:rsidRPr="004C0478">
        <w:rPr>
          <w:vertAlign w:val="superscript"/>
        </w:rPr>
        <w:t>2</w:t>
      </w:r>
      <w:r w:rsidR="001A4144" w:rsidRPr="004C0478">
        <w:t xml:space="preserve">) protect the cells </w:t>
      </w:r>
      <w:r w:rsidR="002C0346" w:rsidRPr="004C0478">
        <w:t>in the bottom layers</w:t>
      </w:r>
      <w:r w:rsidR="001A4144" w:rsidRPr="004C0478">
        <w:t xml:space="preserve"> from the CAP tre</w:t>
      </w:r>
      <w:r w:rsidR="00F01FB5" w:rsidRPr="004C0478">
        <w:t>atment, impacting the treatment</w:t>
      </w:r>
      <w:r w:rsidR="001A4144" w:rsidRPr="004C0478">
        <w:t xml:space="preserve"> efficacy</w:t>
      </w:r>
      <w:bookmarkEnd w:id="21"/>
      <w:r w:rsidR="001A4144" w:rsidRPr="004C0478">
        <w:t>.</w:t>
      </w:r>
      <w:bookmarkEnd w:id="22"/>
      <w:r w:rsidR="00B2063D" w:rsidRPr="004C0478">
        <w:rPr>
          <w:noProof/>
          <w:vertAlign w:val="superscript"/>
        </w:rPr>
        <w:t>[46</w:t>
      </w:r>
      <w:r w:rsidR="001A4144" w:rsidRPr="004C0478">
        <w:rPr>
          <w:noProof/>
          <w:vertAlign w:val="superscript"/>
        </w:rPr>
        <w:t>]</w:t>
      </w:r>
      <w:r w:rsidR="001A4144" w:rsidRPr="004C0478">
        <w:t xml:space="preserve"> Thus, the microbial l</w:t>
      </w:r>
      <w:r w:rsidR="00340639" w:rsidRPr="004C0478">
        <w:t>oad should always be considered. In reality, contamination levels on real food products are lower (i.e., ranging from a few CFU/g up to 10</w:t>
      </w:r>
      <w:r w:rsidR="00340639" w:rsidRPr="004C0478">
        <w:rPr>
          <w:vertAlign w:val="superscript"/>
        </w:rPr>
        <w:t>3</w:t>
      </w:r>
      <w:r w:rsidR="00340639" w:rsidRPr="004C0478">
        <w:t xml:space="preserve"> CFU/g), eliminating the problem of multilayer formation.</w:t>
      </w:r>
      <w:r w:rsidR="00B2063D" w:rsidRPr="004C0478">
        <w:rPr>
          <w:vertAlign w:val="superscript"/>
        </w:rPr>
        <w:t>[47</w:t>
      </w:r>
      <w:r w:rsidR="00340639" w:rsidRPr="004C0478">
        <w:rPr>
          <w:vertAlign w:val="superscript"/>
        </w:rPr>
        <w:t>]</w:t>
      </w:r>
      <w:r w:rsidR="001A4144" w:rsidRPr="004C0478">
        <w:t xml:space="preserve"> </w:t>
      </w:r>
      <w:r w:rsidR="004311CF" w:rsidRPr="004C0478">
        <w:t>In addition, the question remains if it is a</w:t>
      </w:r>
      <w:r w:rsidR="001A4144" w:rsidRPr="004C0478">
        <w:t xml:space="preserve">t all possible to inactivate </w:t>
      </w:r>
      <w:r w:rsidR="00386B80" w:rsidRPr="004C0478">
        <w:t>(</w:t>
      </w:r>
      <w:r w:rsidR="001A4144" w:rsidRPr="004C0478">
        <w:t>high cell density</w:t>
      </w:r>
      <w:r w:rsidR="00386B80" w:rsidRPr="004C0478">
        <w:t>)</w:t>
      </w:r>
      <w:r w:rsidR="001A4144" w:rsidRPr="004C0478">
        <w:t xml:space="preserve"> colonies with CAP. Most studies inoculate the sample directly from the preculture and inactivate, so colonies were not actually formed. This study already takes into account the colony prehistory by including the growth phase prior to CAP treatment, but further research is required to overcome this issue and successfully treat stationary phase colonies. </w:t>
      </w:r>
    </w:p>
    <w:p w:rsidR="00B51DB6" w:rsidRPr="004C0478" w:rsidRDefault="00B51DB6" w:rsidP="00B51DB6">
      <w:pPr>
        <w:spacing w:line="480" w:lineRule="auto"/>
        <w:rPr>
          <w:lang w:val="en-US"/>
        </w:rPr>
      </w:pPr>
    </w:p>
    <w:p w:rsidR="00BA6415" w:rsidRPr="004C0478" w:rsidRDefault="00F01FB5" w:rsidP="003E1251">
      <w:pPr>
        <w:pStyle w:val="Stijl2"/>
      </w:pPr>
      <w:r w:rsidRPr="004C0478">
        <w:t xml:space="preserve">3.5 On completing </w:t>
      </w:r>
      <w:r w:rsidR="00BA6415" w:rsidRPr="004C0478">
        <w:t xml:space="preserve">challenges in CAP related research </w:t>
      </w:r>
    </w:p>
    <w:p w:rsidR="0041717A" w:rsidRPr="004C0478" w:rsidRDefault="0041717A" w:rsidP="0041717A">
      <w:pPr>
        <w:pStyle w:val="main"/>
        <w:rPr>
          <w:noProof/>
          <w:vertAlign w:val="superscript"/>
        </w:rPr>
      </w:pPr>
      <w:r w:rsidRPr="004C0478">
        <w:t>A first challenge relates to the possibility of induced resi</w:t>
      </w:r>
      <w:r w:rsidR="00816E6D" w:rsidRPr="004C0478">
        <w:t xml:space="preserve">stance following CAP treatment. </w:t>
      </w:r>
      <w:r w:rsidRPr="004C0478">
        <w:t>When cells were grown under stressing conditions (i.e., immobilization when grown as surface colonies, suboptimal pH, osmotic stress), cells resistant to CAP treatment were induced</w:t>
      </w:r>
      <w:r w:rsidR="00816E6D" w:rsidRPr="004C0478">
        <w:t xml:space="preserve">, as indicated by the presence of a tail (Figure </w:t>
      </w:r>
      <w:r w:rsidR="008217B9" w:rsidRPr="004C0478">
        <w:t>3</w:t>
      </w:r>
      <w:r w:rsidR="00816E6D" w:rsidRPr="004C0478">
        <w:t>)</w:t>
      </w:r>
      <w:r w:rsidRPr="004C0478">
        <w:t>.</w:t>
      </w:r>
      <w:bookmarkStart w:id="23" w:name="_Hlk483859311"/>
      <w:r w:rsidRPr="004C0478">
        <w:t xml:space="preserve"> </w:t>
      </w:r>
      <w:r w:rsidR="008A6A74" w:rsidRPr="004C0478">
        <w:t>In addition, i</w:t>
      </w:r>
      <w:r w:rsidRPr="004C0478">
        <w:t xml:space="preserve">f </w:t>
      </w:r>
      <w:r w:rsidR="00340639" w:rsidRPr="004C0478">
        <w:t xml:space="preserve">CAP </w:t>
      </w:r>
      <w:r w:rsidRPr="004C0478">
        <w:t>tre</w:t>
      </w:r>
      <w:r w:rsidR="00340639" w:rsidRPr="004C0478">
        <w:t xml:space="preserve">atment induces </w:t>
      </w:r>
      <w:r w:rsidR="00016803" w:rsidRPr="004C0478">
        <w:t>stress-</w:t>
      </w:r>
      <w:r w:rsidR="00340639" w:rsidRPr="004C0478">
        <w:t>resistance</w:t>
      </w:r>
      <w:r w:rsidRPr="004C0478">
        <w:t xml:space="preserve">, cells </w:t>
      </w:r>
      <w:r w:rsidR="00016803" w:rsidRPr="004C0478">
        <w:t xml:space="preserve">could prove resistant when </w:t>
      </w:r>
      <w:r w:rsidRPr="004C0478">
        <w:t xml:space="preserve">stored under stressing conditions (e.g., 8°C) </w:t>
      </w:r>
      <w:r w:rsidR="008A6A74" w:rsidRPr="004C0478">
        <w:t xml:space="preserve">(Figure </w:t>
      </w:r>
      <w:r w:rsidR="008217B9" w:rsidRPr="004C0478">
        <w:t>5</w:t>
      </w:r>
      <w:r w:rsidR="008A6A74" w:rsidRPr="004C0478">
        <w:t>)</w:t>
      </w:r>
      <w:r w:rsidRPr="004C0478">
        <w:t xml:space="preserve">. </w:t>
      </w:r>
      <w:bookmarkEnd w:id="23"/>
      <w:r w:rsidRPr="004C0478">
        <w:t>As this was not observed during storage, it can be concluded that CAP treatment does not induce cross-resistance</w:t>
      </w:r>
      <w:r w:rsidR="008D6285" w:rsidRPr="004C0478">
        <w:t>.</w:t>
      </w:r>
      <w:r w:rsidRPr="004C0478">
        <w:t xml:space="preserve"> Still, a more systematic assessment regarding the possibility of induced resistance following CAP treatment could be incorporated in future work</w:t>
      </w:r>
      <w:r w:rsidR="00FE0CC1" w:rsidRPr="004C0478">
        <w:t xml:space="preserve">, for example by means of characterization of CAP tolerant isolates, as </w:t>
      </w:r>
      <w:r w:rsidR="00AB1552" w:rsidRPr="004C0478">
        <w:t>performed by Karatzas et</w:t>
      </w:r>
      <w:r w:rsidRPr="004C0478">
        <w:t xml:space="preserve"> al</w:t>
      </w:r>
      <w:r w:rsidR="00AB1552" w:rsidRPr="004C0478">
        <w:t>.</w:t>
      </w:r>
      <w:r w:rsidRPr="004C0478">
        <w:t xml:space="preserve"> or </w:t>
      </w:r>
      <w:r w:rsidRPr="004C0478">
        <w:rPr>
          <w:noProof/>
        </w:rPr>
        <w:t>Rajkovic</w:t>
      </w:r>
      <w:r w:rsidRPr="004C0478">
        <w:t xml:space="preserve"> et al. for high hydrostatic pressure.</w:t>
      </w:r>
      <w:r w:rsidR="00B2063D" w:rsidRPr="004C0478">
        <w:rPr>
          <w:noProof/>
          <w:vertAlign w:val="superscript"/>
        </w:rPr>
        <w:t>[48], [49</w:t>
      </w:r>
      <w:r w:rsidRPr="004C0478">
        <w:rPr>
          <w:noProof/>
          <w:vertAlign w:val="superscript"/>
        </w:rPr>
        <w:t>]</w:t>
      </w:r>
    </w:p>
    <w:p w:rsidR="0041717A" w:rsidRPr="004C0478" w:rsidRDefault="00E872C4" w:rsidP="0041717A">
      <w:pPr>
        <w:pStyle w:val="main"/>
      </w:pPr>
      <w:r w:rsidRPr="004C0478">
        <w:t>Secondly,</w:t>
      </w:r>
      <w:r w:rsidR="0041717A" w:rsidRPr="004C0478">
        <w:t xml:space="preserve"> </w:t>
      </w:r>
      <w:r w:rsidRPr="004C0478">
        <w:t>w</w:t>
      </w:r>
      <w:r w:rsidR="0041717A" w:rsidRPr="004C0478">
        <w:t xml:space="preserve">hile the main CAP inactivation mechanisms are hypothesized, a further detailed characterization is required. </w:t>
      </w:r>
      <w:r w:rsidR="00DD3550" w:rsidRPr="004C0478">
        <w:t>First of all, a proper us</w:t>
      </w:r>
      <w:r w:rsidR="0071779F" w:rsidRPr="004C0478">
        <w:t>e of diagnostics (i.e., detecting gas plasma species and active components in the (liquid) sample</w:t>
      </w:r>
      <w:r w:rsidR="00DD3550" w:rsidRPr="004C0478">
        <w:t>) is required, as the inactivation mechanism</w:t>
      </w:r>
      <w:r w:rsidRPr="004C0478">
        <w:t>s are</w:t>
      </w:r>
      <w:r w:rsidR="00DD3550" w:rsidRPr="004C0478">
        <w:t xml:space="preserve"> highly dependent of the plasma species created. </w:t>
      </w:r>
      <w:r w:rsidR="0041717A" w:rsidRPr="004C0478">
        <w:t xml:space="preserve">Membrane damage could be detected by confocal laser scanning microscopy </w:t>
      </w:r>
      <w:r w:rsidR="00F01FB5" w:rsidRPr="004C0478">
        <w:t xml:space="preserve">(CLSM) </w:t>
      </w:r>
      <w:r w:rsidR="0041717A" w:rsidRPr="004C0478">
        <w:t>measurements, by means of live-death staining. Moreover, on a genetic level the differential gene expressions could be studied</w:t>
      </w:r>
      <w:r w:rsidR="008053F8" w:rsidRPr="004C0478">
        <w:t xml:space="preserve"> on a genome-wide scale (e.g., Sharma et al.)</w:t>
      </w:r>
      <w:r w:rsidR="0041717A" w:rsidRPr="004C0478">
        <w:t>.</w:t>
      </w:r>
      <w:r w:rsidR="00B2063D" w:rsidRPr="004C0478">
        <w:rPr>
          <w:noProof/>
          <w:vertAlign w:val="superscript"/>
        </w:rPr>
        <w:t>[50</w:t>
      </w:r>
      <w:r w:rsidR="008053F8" w:rsidRPr="004C0478">
        <w:rPr>
          <w:noProof/>
          <w:vertAlign w:val="superscript"/>
        </w:rPr>
        <w:t>]</w:t>
      </w:r>
      <w:r w:rsidR="0041717A" w:rsidRPr="004C0478">
        <w:t xml:space="preserve"> Also, specific regulations playing a role in the stress responses following CAP treatment could be identified by performing studies with knockout mutants with a different susceptibility to environmental stress.</w:t>
      </w:r>
      <w:r w:rsidR="00B2063D" w:rsidRPr="004C0478">
        <w:rPr>
          <w:noProof/>
          <w:vertAlign w:val="superscript"/>
        </w:rPr>
        <w:t>[51]–[53</w:t>
      </w:r>
      <w:r w:rsidR="0041717A" w:rsidRPr="004C0478">
        <w:rPr>
          <w:noProof/>
          <w:vertAlign w:val="superscript"/>
        </w:rPr>
        <w:t>]</w:t>
      </w:r>
    </w:p>
    <w:p w:rsidR="0041717A" w:rsidRPr="004C0478" w:rsidRDefault="00F230E4" w:rsidP="0041717A">
      <w:pPr>
        <w:pStyle w:val="main"/>
      </w:pPr>
      <w:bookmarkStart w:id="24" w:name="_Hlk483859727"/>
      <w:r w:rsidRPr="004C0478">
        <w:t>Fur</w:t>
      </w:r>
      <w:r w:rsidR="00A163E1" w:rsidRPr="004C0478">
        <w:t>th</w:t>
      </w:r>
      <w:r w:rsidRPr="004C0478">
        <w:t>er research is</w:t>
      </w:r>
      <w:r w:rsidR="00A163E1" w:rsidRPr="004C0478">
        <w:t xml:space="preserve"> also</w:t>
      </w:r>
      <w:r w:rsidRPr="004C0478">
        <w:t xml:space="preserve"> </w:t>
      </w:r>
      <w:r w:rsidR="00A163E1" w:rsidRPr="004C0478">
        <w:t>required</w:t>
      </w:r>
      <w:r w:rsidRPr="004C0478">
        <w:t xml:space="preserve"> regarding the effect of CAP on the food properties and quality parameters</w:t>
      </w:r>
      <w:r w:rsidR="00A163E1" w:rsidRPr="004C0478">
        <w:t xml:space="preserve">. </w:t>
      </w:r>
      <w:r w:rsidR="0041717A" w:rsidRPr="004C0478">
        <w:t>Whereas most studies indicate a limited effect of the CAP (e.g., regarding pH, color, firmness), a more detailed approach is needed</w:t>
      </w:r>
      <w:r w:rsidR="00245B5B" w:rsidRPr="004C0478">
        <w:t>, e.g., by means of rheological experiments</w:t>
      </w:r>
      <w:r w:rsidR="0041717A" w:rsidRPr="004C0478">
        <w:t>.</w:t>
      </w:r>
      <w:r w:rsidR="00B2063D" w:rsidRPr="004C0478">
        <w:rPr>
          <w:noProof/>
          <w:vertAlign w:val="superscript"/>
        </w:rPr>
        <w:t>[54</w:t>
      </w:r>
      <w:r w:rsidR="00BC6F7C" w:rsidRPr="004C0478">
        <w:rPr>
          <w:noProof/>
          <w:vertAlign w:val="superscript"/>
        </w:rPr>
        <w:t xml:space="preserve">], </w:t>
      </w:r>
      <w:r w:rsidR="00B2063D" w:rsidRPr="004C0478">
        <w:rPr>
          <w:noProof/>
          <w:vertAlign w:val="superscript"/>
        </w:rPr>
        <w:t>[55</w:t>
      </w:r>
      <w:r w:rsidR="0041717A" w:rsidRPr="004C0478">
        <w:rPr>
          <w:noProof/>
          <w:vertAlign w:val="superscript"/>
        </w:rPr>
        <w:t>]</w:t>
      </w:r>
      <w:r w:rsidR="0041717A" w:rsidRPr="004C0478">
        <w:rPr>
          <w:vertAlign w:val="superscript"/>
        </w:rPr>
        <w:t xml:space="preserve"> </w:t>
      </w:r>
      <w:r w:rsidR="0041717A" w:rsidRPr="004C0478">
        <w:t>Furthermore, gustatory and olfactory evaluations are needed, together with a full knowledge on the impact on compounds like vitamins and nutrients.</w:t>
      </w:r>
      <w:r w:rsidR="00FF5C79" w:rsidRPr="004C0478">
        <w:rPr>
          <w:noProof/>
          <w:vertAlign w:val="superscript"/>
        </w:rPr>
        <w:t>[</w:t>
      </w:r>
      <w:r w:rsidR="00B2063D" w:rsidRPr="004C0478">
        <w:rPr>
          <w:noProof/>
          <w:vertAlign w:val="superscript"/>
        </w:rPr>
        <w:t>55</w:t>
      </w:r>
      <w:r w:rsidR="0041717A" w:rsidRPr="004C0478">
        <w:rPr>
          <w:noProof/>
          <w:vertAlign w:val="superscript"/>
        </w:rPr>
        <w:t>]</w:t>
      </w:r>
      <w:r w:rsidR="0041717A" w:rsidRPr="004C0478">
        <w:t xml:space="preserve"> It is essential to </w:t>
      </w:r>
      <w:r w:rsidR="0041717A" w:rsidRPr="004C0478">
        <w:lastRenderedPageBreak/>
        <w:t>define the CAP effect on the food products itself (including toxicology studies), as these results are a necessary input for CAP treatment to be recognized as GRAS.</w:t>
      </w:r>
      <w:r w:rsidR="00B2063D" w:rsidRPr="004C0478">
        <w:rPr>
          <w:noProof/>
          <w:vertAlign w:val="superscript"/>
        </w:rPr>
        <w:t>[56</w:t>
      </w:r>
      <w:r w:rsidR="0041717A" w:rsidRPr="004C0478">
        <w:rPr>
          <w:noProof/>
          <w:vertAlign w:val="superscript"/>
        </w:rPr>
        <w:t>]</w:t>
      </w:r>
      <w:r w:rsidR="0041717A" w:rsidRPr="004C0478">
        <w:rPr>
          <w:vertAlign w:val="superscript"/>
        </w:rPr>
        <w:t xml:space="preserve"> </w:t>
      </w:r>
    </w:p>
    <w:bookmarkEnd w:id="24"/>
    <w:p w:rsidR="00BA366C" w:rsidRPr="004C0478" w:rsidRDefault="00BA366C" w:rsidP="003E1251">
      <w:pPr>
        <w:pStyle w:val="Stijl1"/>
      </w:pPr>
    </w:p>
    <w:p w:rsidR="00D82271" w:rsidRPr="004C0478" w:rsidRDefault="00FC39FD" w:rsidP="003E1251">
      <w:pPr>
        <w:pStyle w:val="Stijl1"/>
      </w:pPr>
      <w:r w:rsidRPr="004C0478">
        <w:t>4</w:t>
      </w:r>
      <w:r w:rsidRPr="004C0478">
        <w:tab/>
      </w:r>
      <w:r w:rsidR="00D82271" w:rsidRPr="004C0478">
        <w:t>Conclusion</w:t>
      </w:r>
    </w:p>
    <w:p w:rsidR="006A2C5D" w:rsidRPr="004C0478" w:rsidRDefault="006A2C5D" w:rsidP="006A2C5D">
      <w:pPr>
        <w:pStyle w:val="main"/>
        <w:rPr>
          <w:rFonts w:eastAsia="Times New Roman"/>
          <w:lang w:eastAsia="en-US"/>
        </w:rPr>
      </w:pPr>
      <w:r w:rsidRPr="004C0478">
        <w:t>The successfulness of a CAP treatment depen</w:t>
      </w:r>
      <w:r w:rsidR="00F01FB5" w:rsidRPr="004C0478">
        <w:t>ds on different factors. Recommendations</w:t>
      </w:r>
      <w:r w:rsidRPr="004C0478">
        <w:t xml:space="preserve"> were provided regarding the selection of the set-up, on the impact of both the microorganism and the sample, all influencing the CAP inactivation efficacy and the storage life after treatment. </w:t>
      </w:r>
    </w:p>
    <w:p w:rsidR="001423A8" w:rsidRPr="004C0478" w:rsidRDefault="006A2C5D" w:rsidP="006A2C5D">
      <w:pPr>
        <w:pStyle w:val="main"/>
      </w:pPr>
      <w:r w:rsidRPr="004C0478">
        <w:t xml:space="preserve">Controlled tests on model systems facilitate the assessment of the influence of factors intrinsic to the sample. Stresses inherent to the model system </w:t>
      </w:r>
      <w:r w:rsidR="001423A8" w:rsidRPr="004C0478">
        <w:t xml:space="preserve">(pH, salt concentration, (micro)structure) </w:t>
      </w:r>
      <w:r w:rsidRPr="004C0478">
        <w:t xml:space="preserve">were proven to result in an inefficient CAP treatment, indicating that the intrinsic factors (or thus the food properties) need to be carefully considered, and as a result </w:t>
      </w:r>
      <w:r w:rsidR="001423A8" w:rsidRPr="004C0478">
        <w:t xml:space="preserve">maybe </w:t>
      </w:r>
      <w:r w:rsidRPr="004C0478">
        <w:t xml:space="preserve">not all food products are suitable for CAP treatment. </w:t>
      </w:r>
      <w:bookmarkStart w:id="25" w:name="_Hlk483404175"/>
      <w:r w:rsidRPr="004C0478">
        <w:t>Moreover, it was highlighted that the protocol will also influence the efficacy of the treatment, and should be developed to mimic treatment processes as realistic as possible</w:t>
      </w:r>
      <w:r w:rsidR="00E12A76" w:rsidRPr="004C0478">
        <w:t xml:space="preserve"> (i.e., also considering the size of the liquid (food) model systems)</w:t>
      </w:r>
      <w:r w:rsidRPr="004C0478">
        <w:t xml:space="preserve">. </w:t>
      </w:r>
      <w:bookmarkEnd w:id="25"/>
      <w:r w:rsidR="001423A8" w:rsidRPr="004C0478">
        <w:t>Although knowledge with respect to all CAP influencing factors will facilitate the</w:t>
      </w:r>
      <w:r w:rsidR="003302D0" w:rsidRPr="004C0478">
        <w:t xml:space="preserve"> future</w:t>
      </w:r>
      <w:r w:rsidR="001423A8" w:rsidRPr="004C0478">
        <w:t xml:space="preserve"> application of this novel technology, many other challenges</w:t>
      </w:r>
      <w:r w:rsidR="003302D0" w:rsidRPr="004C0478">
        <w:t xml:space="preserve"> remain and further research is required.</w:t>
      </w:r>
    </w:p>
    <w:p w:rsidR="006A2C5D" w:rsidRPr="004C0478" w:rsidRDefault="006A2C5D" w:rsidP="006A2C5D">
      <w:pPr>
        <w:pStyle w:val="main"/>
        <w:rPr>
          <w:b/>
          <w:sz w:val="28"/>
          <w:szCs w:val="28"/>
        </w:rPr>
      </w:pPr>
    </w:p>
    <w:p w:rsidR="00EF02A5" w:rsidRPr="004C0478" w:rsidRDefault="00676152" w:rsidP="00EF02A5">
      <w:pPr>
        <w:pStyle w:val="main"/>
        <w:rPr>
          <w:rFonts w:eastAsia="Times New Roman"/>
          <w:lang w:eastAsia="en-US"/>
        </w:rPr>
      </w:pPr>
      <w:r w:rsidRPr="004C0478">
        <w:t xml:space="preserve">Acknowledgements: </w:t>
      </w:r>
      <w:r w:rsidR="00EF02A5" w:rsidRPr="004C0478">
        <w:t>This work was supported by project PFV/10/002 (Center of Excellence OPTEC-Optimization in Engineering) of the KU Leuven Research Council, project G093013N of the Fund for S</w:t>
      </w:r>
      <w:r w:rsidR="00F01FB5" w:rsidRPr="004C0478">
        <w:t>cientific Research-Flanders, by</w:t>
      </w:r>
      <w:r w:rsidR="00EF02A5" w:rsidRPr="004C0478">
        <w:t xml:space="preserve"> the Belgian Program on Interuniversity Poles of Attraction (IAP Phase VII – 19 DYSCO), initiated by the Belgian Federal Science Policy Office</w:t>
      </w:r>
      <w:r w:rsidR="00F01FB5" w:rsidRPr="004C0478">
        <w:t>, and by the Post-Doctoral Mandate (PDM/16/125) by the research council of KULeuven for post-doctoral researchers</w:t>
      </w:r>
      <w:r w:rsidR="00EF02A5" w:rsidRPr="004C0478">
        <w:t xml:space="preserve">. It was also partly supported by a Marie Curie FP7-Reintegration-Grant within the 7th European Community Framework </w:t>
      </w:r>
      <w:r w:rsidR="00EF02A5" w:rsidRPr="004C0478">
        <w:lastRenderedPageBreak/>
        <w:t xml:space="preserve">Programme under the project Development of novel Disinfection Technologies for Fresh Produce (DiTec) (303939), </w:t>
      </w:r>
      <w:r w:rsidR="009950DD" w:rsidRPr="004C0478">
        <w:t>the COST ACTION TD1208, the</w:t>
      </w:r>
      <w:r w:rsidR="00EF02A5" w:rsidRPr="004C0478">
        <w:t xml:space="preserve"> COST ACTION FA1202 BacFoodNet (1202), and The Engineering &amp; Physicals Sciences Research Council (EPSRC), UK, grant EP/J005894/1 and EP/N021347/1.</w:t>
      </w:r>
    </w:p>
    <w:p w:rsidR="00FC39FD" w:rsidRPr="004C0478" w:rsidRDefault="00FC39FD" w:rsidP="00676152">
      <w:pPr>
        <w:pStyle w:val="MainText"/>
      </w:pPr>
    </w:p>
    <w:p w:rsidR="005F1E74" w:rsidRPr="004C0478" w:rsidRDefault="005F1E74" w:rsidP="002B3828">
      <w:pPr>
        <w:pStyle w:val="MainText"/>
      </w:pPr>
      <w:r w:rsidRPr="004C0478">
        <w:t xml:space="preserve">Received: </w:t>
      </w:r>
      <w:r w:rsidR="00F73029" w:rsidRPr="004C0478">
        <w:t>((will be filled in by the editorial staff))</w:t>
      </w:r>
      <w:r w:rsidRPr="004C0478">
        <w:t xml:space="preserve">; Revised: </w:t>
      </w:r>
      <w:r w:rsidR="00F73029" w:rsidRPr="004C0478">
        <w:t>((will be filled in by the editorial staff))</w:t>
      </w:r>
      <w:r w:rsidRPr="004C0478">
        <w:t xml:space="preserve">; </w:t>
      </w:r>
      <w:r w:rsidR="00E125CA" w:rsidRPr="004C0478">
        <w:t xml:space="preserve">Published online: </w:t>
      </w:r>
      <w:r w:rsidR="00F73029" w:rsidRPr="004C0478">
        <w:t>(</w:t>
      </w:r>
      <w:r w:rsidR="002B3828" w:rsidRPr="004C0478">
        <w:t>(please add journal code and manuscript number, e.g., DOI: 10.1002/</w:t>
      </w:r>
      <w:r w:rsidR="00BF1CDA" w:rsidRPr="004C0478">
        <w:t>ppap</w:t>
      </w:r>
      <w:r w:rsidR="002B3828" w:rsidRPr="004C0478">
        <w:t>.201100001))</w:t>
      </w:r>
    </w:p>
    <w:p w:rsidR="007D1DF7" w:rsidRPr="004C0478" w:rsidRDefault="007D1DF7" w:rsidP="002B3828">
      <w:pPr>
        <w:pStyle w:val="MainText"/>
      </w:pPr>
    </w:p>
    <w:p w:rsidR="007D1DF7" w:rsidRPr="004C0478" w:rsidRDefault="007D1DF7" w:rsidP="00EF02A5">
      <w:pPr>
        <w:pStyle w:val="main"/>
      </w:pPr>
      <w:r w:rsidRPr="004C0478">
        <w:rPr>
          <w:bCs/>
        </w:rPr>
        <w:t xml:space="preserve">Keywords: </w:t>
      </w:r>
      <w:r w:rsidR="00EF02A5" w:rsidRPr="004C0478">
        <w:t>CAP efficacy; cold atmospheric plasma; influencing factors; model systems</w:t>
      </w:r>
    </w:p>
    <w:p w:rsidR="00D82271" w:rsidRPr="004C0478" w:rsidRDefault="00D82271" w:rsidP="002F5508">
      <w:pPr>
        <w:pStyle w:val="MainText"/>
      </w:pPr>
    </w:p>
    <w:p w:rsidR="00EF02A5" w:rsidRPr="004C0478" w:rsidRDefault="00EF02A5" w:rsidP="00EF02A5">
      <w:pPr>
        <w:pStyle w:val="main"/>
        <w:rPr>
          <w:rFonts w:eastAsia="Times New Roman"/>
          <w:noProof/>
          <w:lang w:val="en-GB" w:eastAsia="en-US"/>
        </w:rPr>
      </w:pPr>
      <w:r w:rsidRPr="004C0478">
        <w:rPr>
          <w:noProof/>
        </w:rPr>
        <w:t>[1]</w:t>
      </w:r>
      <w:r w:rsidRPr="004C0478">
        <w:rPr>
          <w:noProof/>
        </w:rPr>
        <w:tab/>
        <w:t xml:space="preserve">European Food Safety Authority European Centre for Disease and Control, </w:t>
      </w:r>
      <w:r w:rsidRPr="004C0478">
        <w:rPr>
          <w:i/>
          <w:iCs/>
          <w:noProof/>
        </w:rPr>
        <w:t xml:space="preserve">EFSA J. </w:t>
      </w:r>
      <w:r w:rsidRPr="004C0478">
        <w:rPr>
          <w:b/>
          <w:noProof/>
        </w:rPr>
        <w:t>2015</w:t>
      </w:r>
      <w:r w:rsidRPr="004C0478">
        <w:rPr>
          <w:noProof/>
        </w:rPr>
        <w:t xml:space="preserve">, </w:t>
      </w:r>
      <w:r w:rsidRPr="004C0478">
        <w:rPr>
          <w:i/>
          <w:noProof/>
        </w:rPr>
        <w:t>13</w:t>
      </w:r>
      <w:r w:rsidRPr="004C0478">
        <w:rPr>
          <w:noProof/>
        </w:rPr>
        <w:t>, 3991.</w:t>
      </w:r>
    </w:p>
    <w:p w:rsidR="00EF02A5" w:rsidRPr="004C0478" w:rsidRDefault="00EF02A5" w:rsidP="00EF02A5">
      <w:pPr>
        <w:pStyle w:val="main"/>
        <w:rPr>
          <w:noProof/>
          <w:lang w:val="nl-BE"/>
        </w:rPr>
      </w:pPr>
      <w:r w:rsidRPr="004C0478">
        <w:rPr>
          <w:noProof/>
        </w:rPr>
        <w:t>[2]</w:t>
      </w:r>
      <w:r w:rsidRPr="004C0478">
        <w:rPr>
          <w:noProof/>
        </w:rPr>
        <w:tab/>
        <w:t xml:space="preserve">B. A. Niemira, </w:t>
      </w:r>
      <w:r w:rsidRPr="004C0478">
        <w:rPr>
          <w:i/>
          <w:iCs/>
          <w:noProof/>
        </w:rPr>
        <w:t xml:space="preserve">Annu. Rev. Food Sci. </w:t>
      </w:r>
      <w:r w:rsidRPr="004C0478">
        <w:rPr>
          <w:i/>
          <w:iCs/>
          <w:noProof/>
          <w:lang w:val="nl-BE"/>
        </w:rPr>
        <w:t>Technol.</w:t>
      </w:r>
      <w:r w:rsidRPr="004C0478">
        <w:rPr>
          <w:b/>
          <w:noProof/>
          <w:lang w:val="nl-BE"/>
        </w:rPr>
        <w:t xml:space="preserve"> 2012</w:t>
      </w:r>
      <w:r w:rsidRPr="004C0478">
        <w:rPr>
          <w:noProof/>
          <w:lang w:val="nl-BE"/>
        </w:rPr>
        <w:t xml:space="preserve">, </w:t>
      </w:r>
      <w:r w:rsidRPr="004C0478">
        <w:rPr>
          <w:i/>
          <w:noProof/>
          <w:lang w:val="nl-BE"/>
        </w:rPr>
        <w:t>3</w:t>
      </w:r>
      <w:r w:rsidRPr="004C0478">
        <w:rPr>
          <w:noProof/>
          <w:lang w:val="nl-BE"/>
        </w:rPr>
        <w:t>, 125.</w:t>
      </w:r>
    </w:p>
    <w:p w:rsidR="00EF02A5" w:rsidRPr="004C0478" w:rsidRDefault="00EF02A5" w:rsidP="00EF02A5">
      <w:pPr>
        <w:pStyle w:val="main"/>
        <w:rPr>
          <w:noProof/>
        </w:rPr>
      </w:pPr>
      <w:r w:rsidRPr="004C0478">
        <w:rPr>
          <w:noProof/>
          <w:lang w:val="nl-BE"/>
        </w:rPr>
        <w:t>[3]</w:t>
      </w:r>
      <w:r w:rsidRPr="004C0478">
        <w:rPr>
          <w:noProof/>
          <w:lang w:val="nl-BE"/>
        </w:rPr>
        <w:tab/>
        <w:t xml:space="preserve">X. T. Deng, J. . </w:t>
      </w:r>
      <w:r w:rsidRPr="004C0478">
        <w:rPr>
          <w:noProof/>
        </w:rPr>
        <w:t xml:space="preserve">Shi, M. G. Kong,  </w:t>
      </w:r>
      <w:r w:rsidRPr="004C0478">
        <w:rPr>
          <w:i/>
          <w:iCs/>
          <w:noProof/>
        </w:rPr>
        <w:t xml:space="preserve">IEEE Trans. Plasma Sci. </w:t>
      </w:r>
      <w:r w:rsidRPr="004C0478">
        <w:rPr>
          <w:b/>
          <w:noProof/>
        </w:rPr>
        <w:t>2006</w:t>
      </w:r>
      <w:r w:rsidRPr="004C0478">
        <w:rPr>
          <w:noProof/>
        </w:rPr>
        <w:t xml:space="preserve">, </w:t>
      </w:r>
      <w:r w:rsidRPr="004C0478">
        <w:rPr>
          <w:i/>
          <w:noProof/>
        </w:rPr>
        <w:t>34</w:t>
      </w:r>
      <w:r w:rsidRPr="004C0478">
        <w:rPr>
          <w:noProof/>
        </w:rPr>
        <w:t>, 1310.</w:t>
      </w:r>
    </w:p>
    <w:p w:rsidR="00EF02A5" w:rsidRPr="004C0478" w:rsidRDefault="00EF02A5" w:rsidP="00EF02A5">
      <w:pPr>
        <w:pStyle w:val="main"/>
        <w:rPr>
          <w:noProof/>
        </w:rPr>
      </w:pPr>
      <w:r w:rsidRPr="004C0478">
        <w:rPr>
          <w:noProof/>
        </w:rPr>
        <w:t>[4]</w:t>
      </w:r>
      <w:r w:rsidRPr="004C0478">
        <w:rPr>
          <w:noProof/>
        </w:rPr>
        <w:tab/>
        <w:t xml:space="preserve">A. Fernández, A. Thompson, </w:t>
      </w:r>
      <w:r w:rsidRPr="004C0478">
        <w:rPr>
          <w:i/>
          <w:iCs/>
          <w:noProof/>
        </w:rPr>
        <w:t xml:space="preserve">Food Res. Int. </w:t>
      </w:r>
      <w:r w:rsidRPr="004C0478">
        <w:rPr>
          <w:b/>
          <w:noProof/>
        </w:rPr>
        <w:t>2012</w:t>
      </w:r>
      <w:r w:rsidRPr="004C0478">
        <w:rPr>
          <w:noProof/>
        </w:rPr>
        <w:t xml:space="preserve">, </w:t>
      </w:r>
      <w:r w:rsidRPr="004C0478">
        <w:rPr>
          <w:i/>
          <w:noProof/>
        </w:rPr>
        <w:t>45</w:t>
      </w:r>
      <w:r w:rsidRPr="004C0478">
        <w:rPr>
          <w:noProof/>
        </w:rPr>
        <w:t>, 678.</w:t>
      </w:r>
    </w:p>
    <w:p w:rsidR="008F6A81" w:rsidRPr="004C0478" w:rsidRDefault="008F6A81" w:rsidP="008F6A81">
      <w:pPr>
        <w:pStyle w:val="main"/>
        <w:rPr>
          <w:noProof/>
          <w:lang w:val="nl-BE"/>
        </w:rPr>
      </w:pPr>
      <w:r w:rsidRPr="004C0478">
        <w:rPr>
          <w:noProof/>
        </w:rPr>
        <w:t>[5]</w:t>
      </w:r>
      <w:r w:rsidRPr="004C0478">
        <w:rPr>
          <w:noProof/>
        </w:rPr>
        <w:tab/>
        <w:t xml:space="preserve">A. Fernández, E. Noriega, A. Thompson, </w:t>
      </w:r>
      <w:r w:rsidRPr="004C0478">
        <w:rPr>
          <w:i/>
          <w:iCs/>
          <w:noProof/>
        </w:rPr>
        <w:t>Food Microbiol.</w:t>
      </w:r>
      <w:r w:rsidRPr="004C0478">
        <w:rPr>
          <w:b/>
          <w:noProof/>
        </w:rPr>
        <w:t xml:space="preserve"> </w:t>
      </w:r>
      <w:r w:rsidRPr="004C0478">
        <w:rPr>
          <w:b/>
          <w:noProof/>
          <w:lang w:val="nl-BE"/>
        </w:rPr>
        <w:t>2013</w:t>
      </w:r>
      <w:r w:rsidRPr="004C0478">
        <w:rPr>
          <w:noProof/>
          <w:lang w:val="nl-BE"/>
        </w:rPr>
        <w:t xml:space="preserve">, </w:t>
      </w:r>
      <w:r w:rsidRPr="004C0478">
        <w:rPr>
          <w:i/>
          <w:noProof/>
          <w:lang w:val="nl-BE"/>
        </w:rPr>
        <w:t>33</w:t>
      </w:r>
      <w:r w:rsidRPr="004C0478">
        <w:rPr>
          <w:noProof/>
          <w:lang w:val="nl-BE"/>
        </w:rPr>
        <w:t>, 24.</w:t>
      </w:r>
    </w:p>
    <w:p w:rsidR="00EF02A5" w:rsidRPr="004C0478" w:rsidRDefault="00EF02A5" w:rsidP="00EF02A5">
      <w:pPr>
        <w:pStyle w:val="main"/>
        <w:rPr>
          <w:noProof/>
        </w:rPr>
      </w:pPr>
      <w:r w:rsidRPr="004C0478">
        <w:rPr>
          <w:noProof/>
          <w:lang w:val="de-DE"/>
        </w:rPr>
        <w:t>[6]</w:t>
      </w:r>
      <w:r w:rsidRPr="004C0478">
        <w:rPr>
          <w:noProof/>
          <w:lang w:val="de-DE"/>
        </w:rPr>
        <w:tab/>
        <w:t xml:space="preserve">C. Gurol, F. Y. Ekinci, N. Aslan, M. Korachi, </w:t>
      </w:r>
      <w:r w:rsidRPr="004C0478">
        <w:rPr>
          <w:i/>
          <w:iCs/>
          <w:noProof/>
          <w:lang w:val="de-DE"/>
        </w:rPr>
        <w:t>Int. J. Food Microbiol.</w:t>
      </w:r>
      <w:r w:rsidRPr="004C0478">
        <w:rPr>
          <w:b/>
          <w:noProof/>
          <w:lang w:val="de-DE"/>
        </w:rPr>
        <w:t xml:space="preserve"> </w:t>
      </w:r>
      <w:r w:rsidRPr="004C0478">
        <w:rPr>
          <w:b/>
          <w:noProof/>
        </w:rPr>
        <w:t>2012</w:t>
      </w:r>
      <w:r w:rsidRPr="004C0478">
        <w:rPr>
          <w:noProof/>
        </w:rPr>
        <w:t xml:space="preserve">, </w:t>
      </w:r>
      <w:r w:rsidRPr="004C0478">
        <w:rPr>
          <w:i/>
          <w:noProof/>
        </w:rPr>
        <w:t>157</w:t>
      </w:r>
      <w:r w:rsidRPr="004C0478">
        <w:rPr>
          <w:noProof/>
        </w:rPr>
        <w:t>, 1.</w:t>
      </w:r>
    </w:p>
    <w:p w:rsidR="00EF02A5" w:rsidRPr="004C0478" w:rsidRDefault="00EF02A5" w:rsidP="00EF02A5">
      <w:pPr>
        <w:pStyle w:val="main"/>
        <w:rPr>
          <w:noProof/>
        </w:rPr>
      </w:pPr>
      <w:r w:rsidRPr="004C0478">
        <w:rPr>
          <w:noProof/>
        </w:rPr>
        <w:t>[7]</w:t>
      </w:r>
      <w:r w:rsidRPr="004C0478">
        <w:rPr>
          <w:noProof/>
        </w:rPr>
        <w:tab/>
        <w:t xml:space="preserve">B. Kim, H. Yun, S. Jung, Y. Jung, H. Jung, W. Choe, C. Jo, </w:t>
      </w:r>
      <w:r w:rsidRPr="004C0478">
        <w:rPr>
          <w:i/>
          <w:iCs/>
          <w:noProof/>
        </w:rPr>
        <w:t>Food Microbiol.</w:t>
      </w:r>
      <w:r w:rsidRPr="004C0478">
        <w:rPr>
          <w:b/>
          <w:noProof/>
        </w:rPr>
        <w:t xml:space="preserve"> 2011</w:t>
      </w:r>
      <w:r w:rsidRPr="004C0478">
        <w:rPr>
          <w:noProof/>
        </w:rPr>
        <w:t xml:space="preserve">, </w:t>
      </w:r>
      <w:r w:rsidRPr="004C0478">
        <w:rPr>
          <w:i/>
          <w:noProof/>
        </w:rPr>
        <w:t>28</w:t>
      </w:r>
      <w:r w:rsidRPr="004C0478">
        <w:rPr>
          <w:noProof/>
        </w:rPr>
        <w:t>, 1.</w:t>
      </w:r>
    </w:p>
    <w:p w:rsidR="008F6A81" w:rsidRPr="004C0478" w:rsidRDefault="008F6A81" w:rsidP="008F6A81">
      <w:pPr>
        <w:pStyle w:val="main"/>
        <w:rPr>
          <w:noProof/>
        </w:rPr>
      </w:pPr>
      <w:r w:rsidRPr="004C0478">
        <w:rPr>
          <w:noProof/>
        </w:rPr>
        <w:t>[8]</w:t>
      </w:r>
      <w:r w:rsidRPr="004C0478">
        <w:rPr>
          <w:noProof/>
        </w:rPr>
        <w:tab/>
        <w:t xml:space="preserve">M. Selcuk, L. Oksuz, P. Basaran, </w:t>
      </w:r>
      <w:r w:rsidRPr="004C0478">
        <w:rPr>
          <w:i/>
          <w:iCs/>
          <w:noProof/>
        </w:rPr>
        <w:t>Bioresour. Technol.</w:t>
      </w:r>
      <w:r w:rsidRPr="004C0478">
        <w:rPr>
          <w:b/>
          <w:noProof/>
        </w:rPr>
        <w:t xml:space="preserve"> 2008</w:t>
      </w:r>
      <w:r w:rsidRPr="004C0478">
        <w:rPr>
          <w:noProof/>
        </w:rPr>
        <w:t xml:space="preserve">, </w:t>
      </w:r>
      <w:r w:rsidRPr="004C0478">
        <w:rPr>
          <w:i/>
          <w:noProof/>
        </w:rPr>
        <w:t>99</w:t>
      </w:r>
      <w:r w:rsidRPr="004C0478">
        <w:rPr>
          <w:noProof/>
        </w:rPr>
        <w:t>, 5104.</w:t>
      </w:r>
    </w:p>
    <w:p w:rsidR="00540903" w:rsidRPr="004C0478" w:rsidRDefault="00540903" w:rsidP="00540903">
      <w:pPr>
        <w:pStyle w:val="main"/>
        <w:rPr>
          <w:noProof/>
        </w:rPr>
      </w:pPr>
      <w:r w:rsidRPr="004C0478">
        <w:rPr>
          <w:noProof/>
        </w:rPr>
        <w:t>[9]</w:t>
      </w:r>
      <w:r w:rsidRPr="004C0478">
        <w:rPr>
          <w:noProof/>
        </w:rPr>
        <w:tab/>
        <w:t xml:space="preserve">J. M. Aguilera, D. W. Stanley, K. W. Baker, </w:t>
      </w:r>
      <w:r w:rsidRPr="004C0478">
        <w:rPr>
          <w:i/>
          <w:noProof/>
        </w:rPr>
        <w:t xml:space="preserve">Trends Food Sci. Technol. </w:t>
      </w:r>
      <w:r w:rsidRPr="004C0478">
        <w:rPr>
          <w:b/>
          <w:noProof/>
        </w:rPr>
        <w:t>2000</w:t>
      </w:r>
      <w:r w:rsidRPr="004C0478">
        <w:rPr>
          <w:noProof/>
        </w:rPr>
        <w:t xml:space="preserve">, </w:t>
      </w:r>
      <w:r w:rsidRPr="004C0478">
        <w:rPr>
          <w:i/>
          <w:noProof/>
        </w:rPr>
        <w:t>11</w:t>
      </w:r>
      <w:r w:rsidRPr="004C0478">
        <w:rPr>
          <w:noProof/>
        </w:rPr>
        <w:t>, 3.</w:t>
      </w:r>
    </w:p>
    <w:p w:rsidR="00540903" w:rsidRPr="004C0478" w:rsidRDefault="00540903" w:rsidP="00540903">
      <w:pPr>
        <w:pStyle w:val="main"/>
        <w:rPr>
          <w:noProof/>
        </w:rPr>
      </w:pPr>
      <w:r w:rsidRPr="004C0478">
        <w:rPr>
          <w:noProof/>
        </w:rPr>
        <w:t xml:space="preserve">[10] </w:t>
      </w:r>
      <w:r w:rsidRPr="004C0478">
        <w:rPr>
          <w:noProof/>
        </w:rPr>
        <w:tab/>
        <w:t xml:space="preserve">P. D. G. Wilson, T. F. Brocklehurst, S. Arino, D. Thuault, M. Jakobsen, M. Lange, J. Farkas, J. W. T. Wimpenny, J. F. Van Impe,  </w:t>
      </w:r>
      <w:r w:rsidRPr="004C0478">
        <w:rPr>
          <w:i/>
          <w:noProof/>
        </w:rPr>
        <w:t>Int. J. Food Microbiol.</w:t>
      </w:r>
      <w:r w:rsidRPr="004C0478">
        <w:rPr>
          <w:noProof/>
        </w:rPr>
        <w:t xml:space="preserve"> </w:t>
      </w:r>
      <w:r w:rsidRPr="004C0478">
        <w:rPr>
          <w:b/>
          <w:noProof/>
        </w:rPr>
        <w:t>2002</w:t>
      </w:r>
      <w:r w:rsidRPr="004C0478">
        <w:rPr>
          <w:noProof/>
        </w:rPr>
        <w:t xml:space="preserve">, </w:t>
      </w:r>
      <w:r w:rsidRPr="004C0478">
        <w:rPr>
          <w:i/>
          <w:noProof/>
        </w:rPr>
        <w:t>73</w:t>
      </w:r>
      <w:r w:rsidRPr="004C0478">
        <w:rPr>
          <w:noProof/>
        </w:rPr>
        <w:t>, 275.</w:t>
      </w:r>
    </w:p>
    <w:p w:rsidR="007E4CD5" w:rsidRPr="004C0478" w:rsidRDefault="0097361B" w:rsidP="008F6A81">
      <w:pPr>
        <w:pStyle w:val="main"/>
        <w:rPr>
          <w:noProof/>
        </w:rPr>
      </w:pPr>
      <w:r w:rsidRPr="004C0478">
        <w:rPr>
          <w:noProof/>
        </w:rPr>
        <w:t>[11</w:t>
      </w:r>
      <w:r w:rsidR="007E4CD5" w:rsidRPr="004C0478">
        <w:rPr>
          <w:noProof/>
        </w:rPr>
        <w:t>]</w:t>
      </w:r>
      <w:r w:rsidR="007E4CD5" w:rsidRPr="004C0478">
        <w:rPr>
          <w:noProof/>
        </w:rPr>
        <w:tab/>
      </w:r>
      <w:r w:rsidR="007E4CD5" w:rsidRPr="004C0478">
        <w:rPr>
          <w:i/>
          <w:noProof/>
        </w:rPr>
        <w:t>Food Microbiology</w:t>
      </w:r>
      <w:r w:rsidR="007E4CD5" w:rsidRPr="004C0478">
        <w:rPr>
          <w:noProof/>
        </w:rPr>
        <w:t xml:space="preserve">, M. R. Adams, M. O. Moss, Eds., The Royal Society of Chemistry, Cambridge </w:t>
      </w:r>
      <w:r w:rsidR="007E4CD5" w:rsidRPr="004C0478">
        <w:rPr>
          <w:b/>
          <w:noProof/>
        </w:rPr>
        <w:t>2008</w:t>
      </w:r>
      <w:r w:rsidR="007E4CD5" w:rsidRPr="004C0478">
        <w:rPr>
          <w:noProof/>
        </w:rPr>
        <w:t>.</w:t>
      </w:r>
    </w:p>
    <w:p w:rsidR="00795230" w:rsidRPr="004C0478" w:rsidRDefault="00795230" w:rsidP="00795230">
      <w:pPr>
        <w:pStyle w:val="main"/>
        <w:rPr>
          <w:noProof/>
        </w:rPr>
      </w:pPr>
      <w:r w:rsidRPr="004C0478">
        <w:rPr>
          <w:noProof/>
        </w:rPr>
        <w:lastRenderedPageBreak/>
        <w:t>[</w:t>
      </w:r>
      <w:r w:rsidR="0097361B" w:rsidRPr="004C0478">
        <w:rPr>
          <w:noProof/>
        </w:rPr>
        <w:t>12</w:t>
      </w:r>
      <w:r w:rsidRPr="004C0478">
        <w:rPr>
          <w:noProof/>
        </w:rPr>
        <w:t xml:space="preserve">] </w:t>
      </w:r>
      <w:r w:rsidRPr="004C0478">
        <w:rPr>
          <w:noProof/>
        </w:rPr>
        <w:tab/>
        <w:t xml:space="preserve">R. Roostita, G. H. Fleet, </w:t>
      </w:r>
      <w:r w:rsidRPr="004C0478">
        <w:rPr>
          <w:i/>
          <w:noProof/>
        </w:rPr>
        <w:t xml:space="preserve">Int. J. Food Microbiol. </w:t>
      </w:r>
      <w:r w:rsidRPr="004C0478">
        <w:rPr>
          <w:b/>
          <w:noProof/>
        </w:rPr>
        <w:t>1996</w:t>
      </w:r>
      <w:r w:rsidRPr="004C0478">
        <w:rPr>
          <w:noProof/>
        </w:rPr>
        <w:t xml:space="preserve">, </w:t>
      </w:r>
      <w:r w:rsidRPr="004C0478">
        <w:rPr>
          <w:i/>
          <w:noProof/>
        </w:rPr>
        <w:t>28</w:t>
      </w:r>
      <w:r w:rsidRPr="004C0478">
        <w:rPr>
          <w:noProof/>
        </w:rPr>
        <w:t>, 393.</w:t>
      </w:r>
    </w:p>
    <w:p w:rsidR="00EF02A5" w:rsidRPr="004C0478" w:rsidRDefault="0097361B" w:rsidP="00EF02A5">
      <w:pPr>
        <w:pStyle w:val="main"/>
        <w:rPr>
          <w:noProof/>
          <w:lang w:val="en-GB"/>
        </w:rPr>
      </w:pPr>
      <w:r w:rsidRPr="004C0478">
        <w:rPr>
          <w:noProof/>
        </w:rPr>
        <w:t>[13</w:t>
      </w:r>
      <w:r w:rsidR="00EF02A5" w:rsidRPr="004C0478">
        <w:rPr>
          <w:noProof/>
        </w:rPr>
        <w:t>]</w:t>
      </w:r>
      <w:r w:rsidR="00EF02A5" w:rsidRPr="004C0478">
        <w:rPr>
          <w:noProof/>
        </w:rPr>
        <w:tab/>
        <w:t xml:space="preserve">C. Smet, E. Noriega, F. Rosier, J. L. Walsh, V. P. Valdramidis, J. F. Van Impe, </w:t>
      </w:r>
      <w:r w:rsidR="00EF02A5" w:rsidRPr="004C0478">
        <w:rPr>
          <w:i/>
          <w:iCs/>
          <w:noProof/>
        </w:rPr>
        <w:t>Int. J. Food Microbiol.</w:t>
      </w:r>
      <w:r w:rsidR="00EF02A5" w:rsidRPr="004C0478">
        <w:rPr>
          <w:b/>
          <w:noProof/>
        </w:rPr>
        <w:t xml:space="preserve"> </w:t>
      </w:r>
      <w:r w:rsidR="00EF02A5" w:rsidRPr="004C0478">
        <w:rPr>
          <w:b/>
          <w:noProof/>
          <w:lang w:val="en-GB"/>
        </w:rPr>
        <w:t>2017</w:t>
      </w:r>
      <w:r w:rsidR="00EF02A5" w:rsidRPr="004C0478">
        <w:rPr>
          <w:noProof/>
          <w:lang w:val="en-GB"/>
        </w:rPr>
        <w:t xml:space="preserve">, </w:t>
      </w:r>
      <w:r w:rsidR="00EF02A5" w:rsidRPr="004C0478">
        <w:rPr>
          <w:i/>
          <w:noProof/>
          <w:lang w:val="en-GB"/>
        </w:rPr>
        <w:t>240</w:t>
      </w:r>
      <w:r w:rsidR="00EF02A5" w:rsidRPr="004C0478">
        <w:rPr>
          <w:noProof/>
          <w:lang w:val="en-GB"/>
        </w:rPr>
        <w:t>, 47.</w:t>
      </w:r>
    </w:p>
    <w:p w:rsidR="00EF02A5" w:rsidRPr="004C0478" w:rsidRDefault="0097361B" w:rsidP="00EF02A5">
      <w:pPr>
        <w:pStyle w:val="main"/>
        <w:rPr>
          <w:noProof/>
        </w:rPr>
      </w:pPr>
      <w:r w:rsidRPr="004C0478">
        <w:rPr>
          <w:noProof/>
        </w:rPr>
        <w:t>[14</w:t>
      </w:r>
      <w:r w:rsidR="00EF02A5" w:rsidRPr="004C0478">
        <w:rPr>
          <w:noProof/>
        </w:rPr>
        <w:t>]</w:t>
      </w:r>
      <w:r w:rsidR="00EF02A5" w:rsidRPr="004C0478">
        <w:rPr>
          <w:noProof/>
        </w:rPr>
        <w:tab/>
        <w:t xml:space="preserve"> A. H. Geeraerd, C. H. Herremans, J. F. Van Impe, </w:t>
      </w:r>
      <w:r w:rsidR="00EF02A5" w:rsidRPr="004C0478">
        <w:rPr>
          <w:i/>
          <w:iCs/>
          <w:noProof/>
        </w:rPr>
        <w:t>Int. J. Food Microbiol.</w:t>
      </w:r>
      <w:r w:rsidR="00EF02A5" w:rsidRPr="004C0478">
        <w:rPr>
          <w:b/>
          <w:noProof/>
        </w:rPr>
        <w:t xml:space="preserve"> 2000</w:t>
      </w:r>
      <w:r w:rsidR="00EF02A5" w:rsidRPr="004C0478">
        <w:rPr>
          <w:noProof/>
        </w:rPr>
        <w:t xml:space="preserve">, </w:t>
      </w:r>
      <w:r w:rsidR="00EF02A5" w:rsidRPr="004C0478">
        <w:rPr>
          <w:i/>
          <w:noProof/>
        </w:rPr>
        <w:t>59</w:t>
      </w:r>
      <w:r w:rsidR="00EF02A5" w:rsidRPr="004C0478">
        <w:rPr>
          <w:noProof/>
        </w:rPr>
        <w:t>, 185.</w:t>
      </w:r>
    </w:p>
    <w:p w:rsidR="00EF02A5" w:rsidRPr="004C0478" w:rsidRDefault="0097361B" w:rsidP="00EF02A5">
      <w:pPr>
        <w:pStyle w:val="main"/>
        <w:rPr>
          <w:noProof/>
        </w:rPr>
      </w:pPr>
      <w:r w:rsidRPr="004C0478">
        <w:rPr>
          <w:noProof/>
        </w:rPr>
        <w:t>[15</w:t>
      </w:r>
      <w:r w:rsidR="00EF02A5" w:rsidRPr="004C0478">
        <w:rPr>
          <w:noProof/>
        </w:rPr>
        <w:t>]</w:t>
      </w:r>
      <w:r w:rsidR="00EF02A5" w:rsidRPr="004C0478">
        <w:rPr>
          <w:noProof/>
        </w:rPr>
        <w:tab/>
        <w:t xml:space="preserve">J. Baranyi, T. A. Roberts, </w:t>
      </w:r>
      <w:r w:rsidR="00EF02A5" w:rsidRPr="004C0478">
        <w:rPr>
          <w:i/>
          <w:iCs/>
          <w:noProof/>
        </w:rPr>
        <w:t>Int. J. Food Microbiol.</w:t>
      </w:r>
      <w:r w:rsidR="00EF02A5" w:rsidRPr="004C0478">
        <w:rPr>
          <w:b/>
          <w:noProof/>
        </w:rPr>
        <w:t xml:space="preserve"> 1994</w:t>
      </w:r>
      <w:r w:rsidR="00EF02A5" w:rsidRPr="004C0478">
        <w:rPr>
          <w:noProof/>
        </w:rPr>
        <w:t xml:space="preserve">, </w:t>
      </w:r>
      <w:r w:rsidR="00EF02A5" w:rsidRPr="004C0478">
        <w:rPr>
          <w:i/>
          <w:noProof/>
        </w:rPr>
        <w:t>23</w:t>
      </w:r>
      <w:r w:rsidR="00EF02A5" w:rsidRPr="004C0478">
        <w:rPr>
          <w:noProof/>
        </w:rPr>
        <w:t>, 277.</w:t>
      </w:r>
    </w:p>
    <w:p w:rsidR="00D457C5" w:rsidRPr="004C0478" w:rsidRDefault="0097361B" w:rsidP="00EF02A5">
      <w:pPr>
        <w:pStyle w:val="main"/>
        <w:rPr>
          <w:noProof/>
        </w:rPr>
      </w:pPr>
      <w:r w:rsidRPr="004C0478">
        <w:rPr>
          <w:noProof/>
        </w:rPr>
        <w:t>[16</w:t>
      </w:r>
      <w:r w:rsidR="00D457C5" w:rsidRPr="004C0478">
        <w:rPr>
          <w:noProof/>
        </w:rPr>
        <w:t>]</w:t>
      </w:r>
      <w:r w:rsidR="00D457C5" w:rsidRPr="004C0478">
        <w:rPr>
          <w:noProof/>
        </w:rPr>
        <w:tab/>
        <w:t xml:space="preserve">D. X. Liu, P. Bruggeman, F. Iza, M. Z. Rong, M. G. Kong, </w:t>
      </w:r>
      <w:r w:rsidR="00D457C5" w:rsidRPr="004C0478">
        <w:rPr>
          <w:i/>
          <w:noProof/>
        </w:rPr>
        <w:t xml:space="preserve">Plasma Sources Sci T. </w:t>
      </w:r>
      <w:r w:rsidR="00D457C5" w:rsidRPr="004C0478">
        <w:rPr>
          <w:b/>
          <w:noProof/>
        </w:rPr>
        <w:t>2010</w:t>
      </w:r>
      <w:r w:rsidR="00D457C5" w:rsidRPr="004C0478">
        <w:rPr>
          <w:noProof/>
        </w:rPr>
        <w:t xml:space="preserve">, </w:t>
      </w:r>
      <w:r w:rsidR="00D457C5" w:rsidRPr="004C0478">
        <w:rPr>
          <w:i/>
          <w:noProof/>
        </w:rPr>
        <w:t>19</w:t>
      </w:r>
      <w:r w:rsidR="00D457C5" w:rsidRPr="004C0478">
        <w:rPr>
          <w:noProof/>
        </w:rPr>
        <w:t>,</w:t>
      </w:r>
      <w:r w:rsidR="00D457C5" w:rsidRPr="004C0478">
        <w:rPr>
          <w:i/>
          <w:noProof/>
        </w:rPr>
        <w:t xml:space="preserve"> </w:t>
      </w:r>
      <w:r w:rsidR="00D62E9C" w:rsidRPr="004C0478">
        <w:rPr>
          <w:noProof/>
        </w:rPr>
        <w:t>025018.</w:t>
      </w:r>
    </w:p>
    <w:p w:rsidR="00D62E9C" w:rsidRPr="004C0478" w:rsidRDefault="0097361B" w:rsidP="00EF02A5">
      <w:pPr>
        <w:pStyle w:val="main"/>
        <w:rPr>
          <w:noProof/>
        </w:rPr>
      </w:pPr>
      <w:r w:rsidRPr="004C0478">
        <w:rPr>
          <w:noProof/>
        </w:rPr>
        <w:t>[17</w:t>
      </w:r>
      <w:r w:rsidR="00D62E9C" w:rsidRPr="004C0478">
        <w:rPr>
          <w:noProof/>
        </w:rPr>
        <w:t>]</w:t>
      </w:r>
      <w:r w:rsidR="00E310D0" w:rsidRPr="004C0478">
        <w:rPr>
          <w:noProof/>
        </w:rPr>
        <w:tab/>
        <w:t xml:space="preserve">D. Li, D. Liu, T. He, Q. Li, X. Wang, M. G. Kong, </w:t>
      </w:r>
      <w:r w:rsidR="00E310D0" w:rsidRPr="004C0478">
        <w:rPr>
          <w:i/>
          <w:noProof/>
        </w:rPr>
        <w:t xml:space="preserve">Phys Plasmas. </w:t>
      </w:r>
      <w:r w:rsidR="00E310D0" w:rsidRPr="004C0478">
        <w:rPr>
          <w:b/>
          <w:noProof/>
        </w:rPr>
        <w:t>2016</w:t>
      </w:r>
      <w:r w:rsidR="00E310D0" w:rsidRPr="004C0478">
        <w:rPr>
          <w:noProof/>
        </w:rPr>
        <w:t xml:space="preserve">, </w:t>
      </w:r>
      <w:r w:rsidR="00E310D0" w:rsidRPr="004C0478">
        <w:rPr>
          <w:i/>
          <w:noProof/>
        </w:rPr>
        <w:t>22</w:t>
      </w:r>
      <w:r w:rsidR="00E310D0" w:rsidRPr="004C0478">
        <w:rPr>
          <w:noProof/>
        </w:rPr>
        <w:t>, 123501.</w:t>
      </w:r>
    </w:p>
    <w:p w:rsidR="00C7632C" w:rsidRPr="004C0478" w:rsidRDefault="0097361B" w:rsidP="00C7632C">
      <w:pPr>
        <w:pStyle w:val="main"/>
        <w:rPr>
          <w:noProof/>
        </w:rPr>
      </w:pPr>
      <w:r w:rsidRPr="004C0478">
        <w:rPr>
          <w:noProof/>
        </w:rPr>
        <w:t>[18</w:t>
      </w:r>
      <w:r w:rsidR="00E310D0" w:rsidRPr="004C0478">
        <w:rPr>
          <w:noProof/>
        </w:rPr>
        <w:t>]</w:t>
      </w:r>
      <w:r w:rsidR="00E310D0" w:rsidRPr="004C0478">
        <w:rPr>
          <w:noProof/>
        </w:rPr>
        <w:tab/>
        <w:t xml:space="preserve">M. G. Kong, G. Kroesen, G. Morfill, T. Nosenko, T. Shimizu, J. van Dijk, J. L. Zimmermann, </w:t>
      </w:r>
      <w:r w:rsidR="00E310D0" w:rsidRPr="004C0478">
        <w:rPr>
          <w:i/>
          <w:noProof/>
        </w:rPr>
        <w:t xml:space="preserve">New J. Phys. </w:t>
      </w:r>
      <w:r w:rsidR="00E310D0" w:rsidRPr="004C0478">
        <w:rPr>
          <w:b/>
          <w:noProof/>
        </w:rPr>
        <w:t>2009</w:t>
      </w:r>
      <w:r w:rsidR="00E310D0" w:rsidRPr="004C0478">
        <w:rPr>
          <w:noProof/>
        </w:rPr>
        <w:t xml:space="preserve">, </w:t>
      </w:r>
      <w:r w:rsidR="00E310D0" w:rsidRPr="004C0478">
        <w:rPr>
          <w:i/>
          <w:noProof/>
        </w:rPr>
        <w:t>11</w:t>
      </w:r>
      <w:r w:rsidR="00E310D0" w:rsidRPr="004C0478">
        <w:rPr>
          <w:noProof/>
        </w:rPr>
        <w:t>,</w:t>
      </w:r>
      <w:r w:rsidR="00C57A1F" w:rsidRPr="004C0478">
        <w:rPr>
          <w:noProof/>
        </w:rPr>
        <w:t xml:space="preserve"> 115012.</w:t>
      </w:r>
      <w:r w:rsidR="00C57A1F" w:rsidRPr="004C0478">
        <w:rPr>
          <w:noProof/>
        </w:rPr>
        <w:cr/>
      </w:r>
      <w:r w:rsidRPr="004C0478">
        <w:rPr>
          <w:noProof/>
        </w:rPr>
        <w:t>[19</w:t>
      </w:r>
      <w:r w:rsidR="00C7632C" w:rsidRPr="004C0478">
        <w:rPr>
          <w:noProof/>
        </w:rPr>
        <w:t xml:space="preserve">] </w:t>
      </w:r>
      <w:r w:rsidR="00C7632C" w:rsidRPr="004C0478">
        <w:rPr>
          <w:noProof/>
        </w:rPr>
        <w:tab/>
        <w:t xml:space="preserve">S. A. Norberg, W. Tian, E. Johnsen, M. J. Kushner, </w:t>
      </w:r>
      <w:r w:rsidR="00C7632C" w:rsidRPr="004C0478">
        <w:rPr>
          <w:i/>
          <w:noProof/>
        </w:rPr>
        <w:t>J. Phys. D: Appl. Phys.</w:t>
      </w:r>
      <w:r w:rsidR="00C7632C" w:rsidRPr="004C0478">
        <w:rPr>
          <w:noProof/>
        </w:rPr>
        <w:t xml:space="preserve"> </w:t>
      </w:r>
      <w:r w:rsidR="00C7632C" w:rsidRPr="004C0478">
        <w:rPr>
          <w:b/>
          <w:noProof/>
        </w:rPr>
        <w:t>2014</w:t>
      </w:r>
      <w:r w:rsidR="00C7632C" w:rsidRPr="004C0478">
        <w:rPr>
          <w:noProof/>
        </w:rPr>
        <w:t xml:space="preserve">, </w:t>
      </w:r>
      <w:r w:rsidR="00C7632C" w:rsidRPr="004C0478">
        <w:rPr>
          <w:i/>
          <w:noProof/>
        </w:rPr>
        <w:t>47</w:t>
      </w:r>
      <w:r w:rsidR="00C7632C" w:rsidRPr="004C0478">
        <w:rPr>
          <w:noProof/>
        </w:rPr>
        <w:t>, 475203.</w:t>
      </w:r>
    </w:p>
    <w:p w:rsidR="00D457C5" w:rsidRPr="004C0478" w:rsidRDefault="00E310D0" w:rsidP="00EF02A5">
      <w:pPr>
        <w:pStyle w:val="main"/>
        <w:rPr>
          <w:noProof/>
        </w:rPr>
      </w:pPr>
      <w:r w:rsidRPr="004C0478">
        <w:rPr>
          <w:noProof/>
        </w:rPr>
        <w:t xml:space="preserve"> </w:t>
      </w:r>
      <w:r w:rsidR="0097361B" w:rsidRPr="004C0478">
        <w:rPr>
          <w:noProof/>
        </w:rPr>
        <w:t>[20</w:t>
      </w:r>
      <w:r w:rsidR="00683335" w:rsidRPr="004C0478">
        <w:rPr>
          <w:noProof/>
        </w:rPr>
        <w:t>]</w:t>
      </w:r>
      <w:r w:rsidR="00683335" w:rsidRPr="004C0478">
        <w:rPr>
          <w:noProof/>
        </w:rPr>
        <w:tab/>
        <w:t xml:space="preserve">P. Bruggeman, F. Iza, P. Guns, D. Lauwers, M.G. Kong, Y. Aranda Gonzalvo, C. Leys, D.C. Schram, </w:t>
      </w:r>
      <w:r w:rsidR="00683335" w:rsidRPr="004C0478">
        <w:rPr>
          <w:i/>
          <w:noProof/>
        </w:rPr>
        <w:t>Plasma Sources Sci. Technol.</w:t>
      </w:r>
      <w:r w:rsidR="00683335" w:rsidRPr="004C0478">
        <w:rPr>
          <w:noProof/>
        </w:rPr>
        <w:t xml:space="preserve"> </w:t>
      </w:r>
      <w:r w:rsidR="00683335" w:rsidRPr="004C0478">
        <w:rPr>
          <w:b/>
          <w:noProof/>
        </w:rPr>
        <w:t>2010</w:t>
      </w:r>
      <w:r w:rsidR="00683335" w:rsidRPr="004C0478">
        <w:rPr>
          <w:noProof/>
        </w:rPr>
        <w:t xml:space="preserve">, </w:t>
      </w:r>
      <w:r w:rsidR="00683335" w:rsidRPr="004C0478">
        <w:rPr>
          <w:i/>
          <w:noProof/>
        </w:rPr>
        <w:t>19</w:t>
      </w:r>
      <w:r w:rsidR="00683335" w:rsidRPr="004C0478">
        <w:rPr>
          <w:noProof/>
        </w:rPr>
        <w:t>, 015016.</w:t>
      </w:r>
    </w:p>
    <w:p w:rsidR="00EF02A5" w:rsidRPr="004C0478" w:rsidRDefault="0097361B" w:rsidP="00EF02A5">
      <w:pPr>
        <w:pStyle w:val="main"/>
        <w:rPr>
          <w:noProof/>
        </w:rPr>
      </w:pPr>
      <w:r w:rsidRPr="004C0478">
        <w:rPr>
          <w:noProof/>
        </w:rPr>
        <w:t>[21</w:t>
      </w:r>
      <w:r w:rsidR="00EF02A5" w:rsidRPr="004C0478">
        <w:rPr>
          <w:noProof/>
        </w:rPr>
        <w:t>]</w:t>
      </w:r>
      <w:r w:rsidR="00EF02A5" w:rsidRPr="004C0478">
        <w:rPr>
          <w:noProof/>
        </w:rPr>
        <w:tab/>
        <w:t xml:space="preserve">J. L. Walsh, M. G. Kong, </w:t>
      </w:r>
      <w:r w:rsidR="00EF02A5" w:rsidRPr="004C0478">
        <w:rPr>
          <w:i/>
          <w:iCs/>
          <w:noProof/>
        </w:rPr>
        <w:t>Appl. Phys. Lett.</w:t>
      </w:r>
      <w:r w:rsidR="00EF02A5" w:rsidRPr="004C0478">
        <w:rPr>
          <w:b/>
          <w:noProof/>
        </w:rPr>
        <w:t xml:space="preserve"> 2011</w:t>
      </w:r>
      <w:r w:rsidR="00EF02A5" w:rsidRPr="004C0478">
        <w:rPr>
          <w:noProof/>
        </w:rPr>
        <w:t xml:space="preserve">, </w:t>
      </w:r>
      <w:r w:rsidR="00EF02A5" w:rsidRPr="004C0478">
        <w:rPr>
          <w:i/>
          <w:noProof/>
        </w:rPr>
        <w:t>99</w:t>
      </w:r>
      <w:r w:rsidR="00EF02A5" w:rsidRPr="004C0478">
        <w:rPr>
          <w:noProof/>
        </w:rPr>
        <w:t xml:space="preserve">, </w:t>
      </w:r>
      <w:r w:rsidR="00BB3F24" w:rsidRPr="004C0478">
        <w:rPr>
          <w:noProof/>
        </w:rPr>
        <w:t>081501</w:t>
      </w:r>
      <w:r w:rsidR="00EF02A5" w:rsidRPr="004C0478">
        <w:rPr>
          <w:noProof/>
        </w:rPr>
        <w:t>.</w:t>
      </w:r>
    </w:p>
    <w:p w:rsidR="00EF02A5" w:rsidRPr="004C0478" w:rsidRDefault="0097361B" w:rsidP="00EF02A5">
      <w:pPr>
        <w:pStyle w:val="main"/>
        <w:rPr>
          <w:noProof/>
        </w:rPr>
      </w:pPr>
      <w:r w:rsidRPr="004C0478">
        <w:rPr>
          <w:noProof/>
        </w:rPr>
        <w:t>[22</w:t>
      </w:r>
      <w:r w:rsidR="00EF02A5" w:rsidRPr="004C0478">
        <w:rPr>
          <w:noProof/>
        </w:rPr>
        <w:t>]</w:t>
      </w:r>
      <w:r w:rsidR="00EF02A5" w:rsidRPr="004C0478">
        <w:rPr>
          <w:noProof/>
        </w:rPr>
        <w:tab/>
      </w:r>
      <w:r w:rsidR="00EF02A5" w:rsidRPr="004C0478">
        <w:rPr>
          <w:i/>
          <w:iCs/>
          <w:noProof/>
        </w:rPr>
        <w:t>Cold Plasma in Food and Agriculture</w:t>
      </w:r>
      <w:r w:rsidR="00EF02A5" w:rsidRPr="004C0478">
        <w:rPr>
          <w:noProof/>
        </w:rPr>
        <w:t xml:space="preserve">, N. N. Misra, O. Schlueter, P. J. Cullen, Eds., Academic Press, </w:t>
      </w:r>
      <w:r w:rsidR="00EF02A5" w:rsidRPr="004C0478">
        <w:rPr>
          <w:b/>
          <w:noProof/>
        </w:rPr>
        <w:t>2016</w:t>
      </w:r>
      <w:r w:rsidR="00EF02A5" w:rsidRPr="004C0478">
        <w:rPr>
          <w:noProof/>
        </w:rPr>
        <w:t>.</w:t>
      </w:r>
    </w:p>
    <w:p w:rsidR="00EF02A5" w:rsidRPr="004C0478" w:rsidRDefault="0097361B" w:rsidP="00EF02A5">
      <w:pPr>
        <w:pStyle w:val="main"/>
        <w:rPr>
          <w:noProof/>
        </w:rPr>
      </w:pPr>
      <w:r w:rsidRPr="004C0478">
        <w:rPr>
          <w:noProof/>
        </w:rPr>
        <w:t>[23</w:t>
      </w:r>
      <w:r w:rsidR="00EF02A5" w:rsidRPr="004C0478">
        <w:rPr>
          <w:noProof/>
        </w:rPr>
        <w:t>]</w:t>
      </w:r>
      <w:r w:rsidR="00EF02A5" w:rsidRPr="004C0478">
        <w:rPr>
          <w:noProof/>
        </w:rPr>
        <w:tab/>
        <w:t xml:space="preserve">S. A. Ermolaeva, A. F. Varfolomeev, M. Y. Chernukha, D. S. Yurov, M. M. Vasiliev, A. a. Kaminskaya, M. M. Moisenovich, J. M. Romanova, A. N. Murashev, I. I. Selezneva, T. Shimizu, E. V. Sysolyatina, I. A. Shaginyan, O. F. Petrov, E. I. Mayevsky, V. E. Fortov, G. E. Morfill, B. S. Naroditsky, A. L. Gintsburg, </w:t>
      </w:r>
      <w:r w:rsidR="00EF02A5" w:rsidRPr="004C0478">
        <w:rPr>
          <w:i/>
          <w:iCs/>
          <w:noProof/>
        </w:rPr>
        <w:t>J. Med. Microbiol.</w:t>
      </w:r>
      <w:r w:rsidR="00EF02A5" w:rsidRPr="004C0478">
        <w:rPr>
          <w:b/>
          <w:noProof/>
        </w:rPr>
        <w:t xml:space="preserve"> 2011</w:t>
      </w:r>
      <w:r w:rsidR="00EF02A5" w:rsidRPr="004C0478">
        <w:rPr>
          <w:noProof/>
        </w:rPr>
        <w:t xml:space="preserve">, </w:t>
      </w:r>
      <w:r w:rsidR="00EF02A5" w:rsidRPr="004C0478">
        <w:rPr>
          <w:i/>
          <w:noProof/>
        </w:rPr>
        <w:t>60</w:t>
      </w:r>
      <w:r w:rsidR="00EF02A5" w:rsidRPr="004C0478">
        <w:rPr>
          <w:noProof/>
        </w:rPr>
        <w:t>, 75.</w:t>
      </w:r>
    </w:p>
    <w:p w:rsidR="00EF02A5" w:rsidRPr="004C0478" w:rsidRDefault="0097361B" w:rsidP="00EF02A5">
      <w:pPr>
        <w:pStyle w:val="main"/>
        <w:rPr>
          <w:noProof/>
          <w:lang w:val="nl-BE"/>
        </w:rPr>
      </w:pPr>
      <w:r w:rsidRPr="004C0478">
        <w:rPr>
          <w:noProof/>
        </w:rPr>
        <w:t>[24</w:t>
      </w:r>
      <w:r w:rsidR="00EF02A5" w:rsidRPr="004C0478">
        <w:rPr>
          <w:noProof/>
        </w:rPr>
        <w:t>]</w:t>
      </w:r>
      <w:r w:rsidR="00EF02A5" w:rsidRPr="004C0478">
        <w:rPr>
          <w:noProof/>
        </w:rPr>
        <w:tab/>
        <w:t xml:space="preserve">C. Smet, E. Noriega, F. Rosier, J. L. Walsh, V. P. Valdramidis, J. F. Van Impe, </w:t>
      </w:r>
      <w:r w:rsidR="00EF02A5" w:rsidRPr="004C0478">
        <w:rPr>
          <w:i/>
          <w:iCs/>
          <w:noProof/>
        </w:rPr>
        <w:t xml:space="preserve">Innov. Food Sci. </w:t>
      </w:r>
      <w:r w:rsidR="00EF02A5" w:rsidRPr="004C0478">
        <w:rPr>
          <w:i/>
          <w:iCs/>
          <w:noProof/>
          <w:lang w:val="nl-BE"/>
        </w:rPr>
        <w:t>Emerg. Technol.</w:t>
      </w:r>
      <w:r w:rsidR="00EF02A5" w:rsidRPr="004C0478">
        <w:rPr>
          <w:b/>
          <w:noProof/>
          <w:lang w:val="nl-BE"/>
        </w:rPr>
        <w:t xml:space="preserve"> 2016</w:t>
      </w:r>
      <w:r w:rsidR="00EF02A5" w:rsidRPr="004C0478">
        <w:rPr>
          <w:noProof/>
          <w:lang w:val="nl-BE"/>
        </w:rPr>
        <w:t xml:space="preserve">, </w:t>
      </w:r>
      <w:r w:rsidR="00EF02A5" w:rsidRPr="004C0478">
        <w:rPr>
          <w:i/>
          <w:noProof/>
          <w:lang w:val="nl-BE"/>
        </w:rPr>
        <w:t>38</w:t>
      </w:r>
      <w:r w:rsidR="00EF02A5" w:rsidRPr="004C0478">
        <w:rPr>
          <w:noProof/>
          <w:lang w:val="nl-BE"/>
        </w:rPr>
        <w:t>, 393.</w:t>
      </w:r>
    </w:p>
    <w:p w:rsidR="00EF02A5" w:rsidRPr="004C0478" w:rsidRDefault="0097361B" w:rsidP="00EF02A5">
      <w:pPr>
        <w:pStyle w:val="main"/>
        <w:rPr>
          <w:noProof/>
          <w:lang w:val="nl-BE"/>
        </w:rPr>
      </w:pPr>
      <w:r w:rsidRPr="004C0478">
        <w:rPr>
          <w:noProof/>
          <w:lang w:val="nl-BE"/>
        </w:rPr>
        <w:t>[25</w:t>
      </w:r>
      <w:r w:rsidR="00EF02A5" w:rsidRPr="004C0478">
        <w:rPr>
          <w:noProof/>
          <w:lang w:val="nl-BE"/>
        </w:rPr>
        <w:t>]</w:t>
      </w:r>
      <w:r w:rsidR="00EF02A5" w:rsidRPr="004C0478">
        <w:rPr>
          <w:noProof/>
          <w:lang w:val="nl-BE"/>
        </w:rPr>
        <w:tab/>
        <w:t xml:space="preserve">K. Lee, K. Paek, W.-T. Ju, Y. Lee, </w:t>
      </w:r>
      <w:r w:rsidR="00EF02A5" w:rsidRPr="004C0478">
        <w:rPr>
          <w:i/>
          <w:iCs/>
          <w:noProof/>
          <w:lang w:val="nl-BE"/>
        </w:rPr>
        <w:t>J. Microbiol.</w:t>
      </w:r>
      <w:r w:rsidR="00EF02A5" w:rsidRPr="004C0478">
        <w:rPr>
          <w:b/>
          <w:noProof/>
          <w:lang w:val="nl-BE"/>
        </w:rPr>
        <w:t xml:space="preserve"> 2006</w:t>
      </w:r>
      <w:r w:rsidR="00EF02A5" w:rsidRPr="004C0478">
        <w:rPr>
          <w:noProof/>
          <w:lang w:val="nl-BE"/>
        </w:rPr>
        <w:t xml:space="preserve">, </w:t>
      </w:r>
      <w:r w:rsidR="00EF02A5" w:rsidRPr="004C0478">
        <w:rPr>
          <w:i/>
          <w:noProof/>
          <w:lang w:val="nl-BE"/>
        </w:rPr>
        <w:t>44</w:t>
      </w:r>
      <w:r w:rsidR="00EF02A5" w:rsidRPr="004C0478">
        <w:rPr>
          <w:noProof/>
          <w:lang w:val="nl-BE"/>
        </w:rPr>
        <w:t>, 269.</w:t>
      </w:r>
    </w:p>
    <w:p w:rsidR="00A81086" w:rsidRPr="004C0478" w:rsidRDefault="0097361B" w:rsidP="00A81086">
      <w:pPr>
        <w:pStyle w:val="main"/>
        <w:rPr>
          <w:noProof/>
          <w:lang w:val="nl-BE"/>
        </w:rPr>
      </w:pPr>
      <w:r w:rsidRPr="004C0478">
        <w:rPr>
          <w:noProof/>
          <w:lang w:val="nl-BE"/>
        </w:rPr>
        <w:lastRenderedPageBreak/>
        <w:t>[26</w:t>
      </w:r>
      <w:r w:rsidR="00A81086" w:rsidRPr="004C0478">
        <w:rPr>
          <w:noProof/>
          <w:lang w:val="nl-BE"/>
        </w:rPr>
        <w:t xml:space="preserve">] </w:t>
      </w:r>
      <w:r w:rsidR="00A81086" w:rsidRPr="004C0478">
        <w:rPr>
          <w:noProof/>
          <w:lang w:val="nl-BE"/>
        </w:rPr>
        <w:tab/>
        <w:t xml:space="preserve">L. Han, S. Patil, D. Boehm, V. Milosavljevic, P. J. Cullen, P. Bourke, </w:t>
      </w:r>
      <w:r w:rsidR="00A81086" w:rsidRPr="004C0478">
        <w:rPr>
          <w:i/>
          <w:noProof/>
          <w:lang w:val="nl-BE"/>
        </w:rPr>
        <w:t xml:space="preserve">Appl. Environ. Microbiol. </w:t>
      </w:r>
      <w:r w:rsidR="00A81086" w:rsidRPr="004C0478">
        <w:rPr>
          <w:b/>
          <w:noProof/>
          <w:lang w:val="nl-BE"/>
        </w:rPr>
        <w:t>2016</w:t>
      </w:r>
      <w:r w:rsidR="00A81086" w:rsidRPr="004C0478">
        <w:rPr>
          <w:noProof/>
          <w:lang w:val="nl-BE"/>
        </w:rPr>
        <w:t xml:space="preserve">, </w:t>
      </w:r>
      <w:r w:rsidR="00A81086" w:rsidRPr="004C0478">
        <w:rPr>
          <w:i/>
          <w:noProof/>
          <w:lang w:val="nl-BE"/>
        </w:rPr>
        <w:t>82</w:t>
      </w:r>
      <w:r w:rsidR="00A81086" w:rsidRPr="004C0478">
        <w:rPr>
          <w:noProof/>
          <w:lang w:val="nl-BE"/>
        </w:rPr>
        <w:t xml:space="preserve">, 450. </w:t>
      </w:r>
    </w:p>
    <w:p w:rsidR="00EF02A5" w:rsidRPr="004C0478" w:rsidRDefault="0097361B" w:rsidP="00EF02A5">
      <w:pPr>
        <w:pStyle w:val="main"/>
        <w:rPr>
          <w:noProof/>
          <w:lang w:val="en-GB"/>
        </w:rPr>
      </w:pPr>
      <w:r w:rsidRPr="004C0478">
        <w:rPr>
          <w:noProof/>
        </w:rPr>
        <w:t>[27</w:t>
      </w:r>
      <w:r w:rsidR="00EF02A5" w:rsidRPr="004C0478">
        <w:rPr>
          <w:noProof/>
        </w:rPr>
        <w:t>]</w:t>
      </w:r>
      <w:r w:rsidR="00EF02A5" w:rsidRPr="004C0478">
        <w:rPr>
          <w:noProof/>
        </w:rPr>
        <w:tab/>
        <w:t xml:space="preserve">N. N. Misra, B. K. Tiwari, K. S. M. S. Raghavarao, P. J. Cullen, </w:t>
      </w:r>
      <w:r w:rsidR="00EF02A5" w:rsidRPr="004C0478">
        <w:rPr>
          <w:i/>
          <w:iCs/>
          <w:noProof/>
        </w:rPr>
        <w:t>Food Eng. Rev.</w:t>
      </w:r>
      <w:r w:rsidR="00EF02A5" w:rsidRPr="004C0478">
        <w:rPr>
          <w:b/>
          <w:noProof/>
        </w:rPr>
        <w:t xml:space="preserve"> 2011</w:t>
      </w:r>
      <w:r w:rsidR="00EF02A5" w:rsidRPr="004C0478">
        <w:rPr>
          <w:noProof/>
        </w:rPr>
        <w:t xml:space="preserve">, </w:t>
      </w:r>
      <w:r w:rsidR="00EF02A5" w:rsidRPr="004C0478">
        <w:rPr>
          <w:i/>
          <w:noProof/>
        </w:rPr>
        <w:t>3</w:t>
      </w:r>
      <w:r w:rsidR="00EF02A5" w:rsidRPr="004C0478">
        <w:rPr>
          <w:noProof/>
        </w:rPr>
        <w:t>, 159.</w:t>
      </w:r>
    </w:p>
    <w:p w:rsidR="00EF02A5" w:rsidRPr="004C0478" w:rsidRDefault="0097361B" w:rsidP="00EF02A5">
      <w:pPr>
        <w:pStyle w:val="main"/>
        <w:rPr>
          <w:noProof/>
        </w:rPr>
      </w:pPr>
      <w:r w:rsidRPr="004C0478">
        <w:rPr>
          <w:noProof/>
        </w:rPr>
        <w:t>[28</w:t>
      </w:r>
      <w:r w:rsidR="00EF02A5" w:rsidRPr="004C0478">
        <w:rPr>
          <w:noProof/>
        </w:rPr>
        <w:t>]</w:t>
      </w:r>
      <w:r w:rsidR="00EF02A5" w:rsidRPr="004C0478">
        <w:rPr>
          <w:noProof/>
        </w:rPr>
        <w:tab/>
        <w:t xml:space="preserve">G. Fleet, </w:t>
      </w:r>
      <w:r w:rsidR="00EF02A5" w:rsidRPr="004C0478">
        <w:rPr>
          <w:i/>
          <w:iCs/>
          <w:noProof/>
        </w:rPr>
        <w:t>Crit. Rev. Biotechnol.</w:t>
      </w:r>
      <w:r w:rsidR="00EF02A5" w:rsidRPr="004C0478">
        <w:rPr>
          <w:b/>
          <w:noProof/>
        </w:rPr>
        <w:t xml:space="preserve"> 1992</w:t>
      </w:r>
      <w:r w:rsidR="00EF02A5" w:rsidRPr="004C0478">
        <w:rPr>
          <w:noProof/>
        </w:rPr>
        <w:t xml:space="preserve">, </w:t>
      </w:r>
      <w:r w:rsidR="00EF02A5" w:rsidRPr="004C0478">
        <w:rPr>
          <w:i/>
          <w:noProof/>
        </w:rPr>
        <w:t>12</w:t>
      </w:r>
      <w:r w:rsidR="00EF02A5" w:rsidRPr="004C0478">
        <w:rPr>
          <w:noProof/>
        </w:rPr>
        <w:t>, 1.</w:t>
      </w:r>
    </w:p>
    <w:p w:rsidR="00EF02A5" w:rsidRPr="004C0478" w:rsidRDefault="0097361B" w:rsidP="00EF02A5">
      <w:pPr>
        <w:pStyle w:val="main"/>
        <w:rPr>
          <w:noProof/>
        </w:rPr>
      </w:pPr>
      <w:r w:rsidRPr="004C0478">
        <w:rPr>
          <w:noProof/>
        </w:rPr>
        <w:t>[29</w:t>
      </w:r>
      <w:r w:rsidR="00EF02A5" w:rsidRPr="004C0478">
        <w:rPr>
          <w:noProof/>
        </w:rPr>
        <w:t>]</w:t>
      </w:r>
      <w:r w:rsidR="00EF02A5" w:rsidRPr="004C0478">
        <w:rPr>
          <w:noProof/>
        </w:rPr>
        <w:tab/>
        <w:t xml:space="preserve">V. Loureiro, M. Malfeito-Ferreira, </w:t>
      </w:r>
      <w:r w:rsidR="00EF02A5" w:rsidRPr="004C0478">
        <w:rPr>
          <w:i/>
          <w:iCs/>
          <w:noProof/>
        </w:rPr>
        <w:t>Int. J. Food Microbiol.</w:t>
      </w:r>
      <w:r w:rsidR="00EF02A5" w:rsidRPr="004C0478">
        <w:rPr>
          <w:b/>
          <w:noProof/>
        </w:rPr>
        <w:t xml:space="preserve"> 2003</w:t>
      </w:r>
      <w:r w:rsidR="00EF02A5" w:rsidRPr="004C0478">
        <w:rPr>
          <w:noProof/>
        </w:rPr>
        <w:t xml:space="preserve">, </w:t>
      </w:r>
      <w:r w:rsidR="00EF02A5" w:rsidRPr="004C0478">
        <w:rPr>
          <w:i/>
          <w:noProof/>
        </w:rPr>
        <w:t>86</w:t>
      </w:r>
      <w:r w:rsidR="00EF02A5" w:rsidRPr="004C0478">
        <w:rPr>
          <w:noProof/>
        </w:rPr>
        <w:t>, 23.</w:t>
      </w:r>
    </w:p>
    <w:p w:rsidR="00EF02A5" w:rsidRPr="004C0478" w:rsidRDefault="0097361B" w:rsidP="00EF02A5">
      <w:pPr>
        <w:pStyle w:val="main"/>
        <w:rPr>
          <w:noProof/>
        </w:rPr>
      </w:pPr>
      <w:r w:rsidRPr="004C0478">
        <w:rPr>
          <w:noProof/>
        </w:rPr>
        <w:t>[30</w:t>
      </w:r>
      <w:r w:rsidR="00EF02A5" w:rsidRPr="004C0478">
        <w:rPr>
          <w:noProof/>
        </w:rPr>
        <w:t>]</w:t>
      </w:r>
      <w:r w:rsidR="00EF02A5" w:rsidRPr="004C0478">
        <w:rPr>
          <w:noProof/>
        </w:rPr>
        <w:tab/>
        <w:t xml:space="preserve">Y. Lou,  A. E. Yousef, </w:t>
      </w:r>
      <w:r w:rsidR="00EF02A5" w:rsidRPr="004C0478">
        <w:rPr>
          <w:i/>
          <w:iCs/>
          <w:noProof/>
        </w:rPr>
        <w:t>Appl. Environ. Microbiol.</w:t>
      </w:r>
      <w:r w:rsidR="00EF02A5" w:rsidRPr="004C0478">
        <w:rPr>
          <w:b/>
          <w:noProof/>
        </w:rPr>
        <w:t xml:space="preserve"> 1997</w:t>
      </w:r>
      <w:r w:rsidR="00EF02A5" w:rsidRPr="004C0478">
        <w:rPr>
          <w:noProof/>
        </w:rPr>
        <w:t xml:space="preserve">, </w:t>
      </w:r>
      <w:r w:rsidR="00EF02A5" w:rsidRPr="004C0478">
        <w:rPr>
          <w:i/>
          <w:noProof/>
        </w:rPr>
        <w:t>63</w:t>
      </w:r>
      <w:r w:rsidR="00EF02A5" w:rsidRPr="004C0478">
        <w:rPr>
          <w:noProof/>
        </w:rPr>
        <w:t>, 1252.</w:t>
      </w:r>
    </w:p>
    <w:p w:rsidR="0073561E" w:rsidRPr="004C0478" w:rsidRDefault="0097361B" w:rsidP="0073561E">
      <w:pPr>
        <w:pStyle w:val="main"/>
        <w:rPr>
          <w:i/>
          <w:noProof/>
        </w:rPr>
      </w:pPr>
      <w:r w:rsidRPr="004C0478">
        <w:rPr>
          <w:noProof/>
        </w:rPr>
        <w:t>[31</w:t>
      </w:r>
      <w:r w:rsidR="0073561E" w:rsidRPr="004C0478">
        <w:rPr>
          <w:noProof/>
        </w:rPr>
        <w:t>]</w:t>
      </w:r>
      <w:r w:rsidR="0073561E" w:rsidRPr="004C0478">
        <w:rPr>
          <w:noProof/>
        </w:rPr>
        <w:tab/>
        <w:t xml:space="preserve">C. Smet, M. Baka, L. Steen, I. Fraeye, J.L. Walsh, V.P. Valdramidis, J.F. Van Impe, </w:t>
      </w:r>
      <w:r w:rsidR="0073561E" w:rsidRPr="004C0478">
        <w:rPr>
          <w:i/>
          <w:noProof/>
        </w:rPr>
        <w:t xml:space="preserve">Appl. Environ. Micriobiol., </w:t>
      </w:r>
      <w:r w:rsidR="0073561E" w:rsidRPr="004C0478">
        <w:rPr>
          <w:noProof/>
        </w:rPr>
        <w:t>under review.</w:t>
      </w:r>
    </w:p>
    <w:p w:rsidR="0073561E" w:rsidRPr="004C0478" w:rsidRDefault="0097361B" w:rsidP="0073561E">
      <w:pPr>
        <w:pStyle w:val="main"/>
        <w:rPr>
          <w:noProof/>
        </w:rPr>
      </w:pPr>
      <w:r w:rsidRPr="004C0478">
        <w:rPr>
          <w:noProof/>
        </w:rPr>
        <w:t>[32</w:t>
      </w:r>
      <w:r w:rsidR="0073561E" w:rsidRPr="004C0478">
        <w:rPr>
          <w:noProof/>
        </w:rPr>
        <w:t>]</w:t>
      </w:r>
      <w:r w:rsidR="0073561E" w:rsidRPr="004C0478">
        <w:rPr>
          <w:noProof/>
        </w:rPr>
        <w:tab/>
        <w:t xml:space="preserve">A. M. Wesche, J. B. Gurtler, B. P. Marks, E. T. Ryser, </w:t>
      </w:r>
      <w:r w:rsidR="0073561E" w:rsidRPr="004C0478">
        <w:rPr>
          <w:i/>
          <w:iCs/>
          <w:noProof/>
        </w:rPr>
        <w:t>J. Food Prot.</w:t>
      </w:r>
      <w:r w:rsidR="0073561E" w:rsidRPr="004C0478">
        <w:rPr>
          <w:b/>
          <w:noProof/>
        </w:rPr>
        <w:t xml:space="preserve"> 2009</w:t>
      </w:r>
      <w:r w:rsidR="0073561E" w:rsidRPr="004C0478">
        <w:rPr>
          <w:noProof/>
        </w:rPr>
        <w:t xml:space="preserve">, </w:t>
      </w:r>
      <w:r w:rsidR="0073561E" w:rsidRPr="004C0478">
        <w:rPr>
          <w:i/>
          <w:noProof/>
        </w:rPr>
        <w:t>72</w:t>
      </w:r>
      <w:r w:rsidR="0073561E" w:rsidRPr="004C0478">
        <w:rPr>
          <w:noProof/>
        </w:rPr>
        <w:t>, 1121.</w:t>
      </w:r>
    </w:p>
    <w:p w:rsidR="0073561E" w:rsidRPr="004C0478" w:rsidRDefault="0097361B" w:rsidP="0073561E">
      <w:pPr>
        <w:pStyle w:val="main"/>
        <w:rPr>
          <w:noProof/>
          <w:lang w:val="nl-BE"/>
        </w:rPr>
      </w:pPr>
      <w:r w:rsidRPr="004C0478">
        <w:rPr>
          <w:noProof/>
          <w:lang w:val="nl-BE"/>
        </w:rPr>
        <w:t>[33</w:t>
      </w:r>
      <w:r w:rsidR="0073561E" w:rsidRPr="004C0478">
        <w:rPr>
          <w:noProof/>
          <w:lang w:val="nl-BE"/>
        </w:rPr>
        <w:t>]</w:t>
      </w:r>
      <w:r w:rsidR="0073561E" w:rsidRPr="004C0478">
        <w:rPr>
          <w:noProof/>
          <w:lang w:val="nl-BE"/>
        </w:rPr>
        <w:tab/>
        <w:t xml:space="preserve">K. Oehmigen, M. Hähnel, R. Brandenburg, C. Wilke, K. D. Weltmann, T. Von Woedtke, </w:t>
      </w:r>
      <w:r w:rsidR="0073561E" w:rsidRPr="004C0478">
        <w:rPr>
          <w:i/>
          <w:iCs/>
          <w:noProof/>
          <w:lang w:val="nl-BE"/>
        </w:rPr>
        <w:t>Plasma Process. Polym.</w:t>
      </w:r>
      <w:r w:rsidR="0073561E" w:rsidRPr="004C0478">
        <w:rPr>
          <w:b/>
          <w:noProof/>
          <w:lang w:val="nl-BE"/>
        </w:rPr>
        <w:t xml:space="preserve"> 2010</w:t>
      </w:r>
      <w:r w:rsidR="0073561E" w:rsidRPr="004C0478">
        <w:rPr>
          <w:noProof/>
          <w:lang w:val="nl-BE"/>
        </w:rPr>
        <w:t xml:space="preserve">, </w:t>
      </w:r>
      <w:r w:rsidR="0073561E" w:rsidRPr="004C0478">
        <w:rPr>
          <w:i/>
          <w:noProof/>
          <w:lang w:val="nl-BE"/>
        </w:rPr>
        <w:t>7</w:t>
      </w:r>
      <w:r w:rsidR="0073561E" w:rsidRPr="004C0478">
        <w:rPr>
          <w:noProof/>
          <w:lang w:val="nl-BE"/>
        </w:rPr>
        <w:t>, 250.</w:t>
      </w:r>
    </w:p>
    <w:p w:rsidR="0073561E" w:rsidRPr="004C0478" w:rsidRDefault="0097361B" w:rsidP="0073561E">
      <w:pPr>
        <w:pStyle w:val="main"/>
        <w:rPr>
          <w:noProof/>
          <w:lang w:val="nl-BE"/>
        </w:rPr>
      </w:pPr>
      <w:r w:rsidRPr="004C0478">
        <w:rPr>
          <w:noProof/>
          <w:lang w:val="nl-BE"/>
        </w:rPr>
        <w:t>[34</w:t>
      </w:r>
      <w:r w:rsidR="0073561E" w:rsidRPr="004C0478">
        <w:rPr>
          <w:noProof/>
          <w:lang w:val="nl-BE"/>
        </w:rPr>
        <w:t>]</w:t>
      </w:r>
      <w:r w:rsidR="0073561E" w:rsidRPr="004C0478">
        <w:rPr>
          <w:noProof/>
          <w:lang w:val="nl-BE"/>
        </w:rPr>
        <w:tab/>
        <w:t xml:space="preserve">K. Boons, L. Mertens, E. Van Derlinden, C. C. David, J. Hofkens, J. F. Van Impe, </w:t>
      </w:r>
      <w:r w:rsidR="0073561E" w:rsidRPr="004C0478">
        <w:rPr>
          <w:i/>
          <w:iCs/>
          <w:noProof/>
          <w:lang w:val="nl-BE"/>
        </w:rPr>
        <w:t xml:space="preserve">Appl. Environ. Microbiol. </w:t>
      </w:r>
      <w:r w:rsidR="0073561E" w:rsidRPr="004C0478">
        <w:rPr>
          <w:b/>
          <w:iCs/>
          <w:noProof/>
          <w:lang w:val="nl-BE"/>
        </w:rPr>
        <w:t>2013</w:t>
      </w:r>
      <w:r w:rsidR="0073561E" w:rsidRPr="004C0478">
        <w:rPr>
          <w:noProof/>
          <w:lang w:val="nl-BE"/>
        </w:rPr>
        <w:t xml:space="preserve">, </w:t>
      </w:r>
      <w:r w:rsidR="0073561E" w:rsidRPr="004C0478">
        <w:rPr>
          <w:i/>
          <w:noProof/>
          <w:lang w:val="nl-BE"/>
        </w:rPr>
        <w:t>79</w:t>
      </w:r>
      <w:r w:rsidR="0073561E" w:rsidRPr="004C0478">
        <w:rPr>
          <w:noProof/>
          <w:lang w:val="nl-BE"/>
        </w:rPr>
        <w:t>, 3126.</w:t>
      </w:r>
    </w:p>
    <w:p w:rsidR="0073561E" w:rsidRPr="004C0478" w:rsidRDefault="0097361B" w:rsidP="0073561E">
      <w:pPr>
        <w:pStyle w:val="main"/>
        <w:rPr>
          <w:noProof/>
        </w:rPr>
      </w:pPr>
      <w:r w:rsidRPr="004C0478">
        <w:rPr>
          <w:noProof/>
          <w:lang w:val="nl-BE"/>
        </w:rPr>
        <w:t>[35</w:t>
      </w:r>
      <w:r w:rsidR="0073561E" w:rsidRPr="004C0478">
        <w:rPr>
          <w:noProof/>
          <w:lang w:val="nl-BE"/>
        </w:rPr>
        <w:t>]</w:t>
      </w:r>
      <w:r w:rsidR="0073561E" w:rsidRPr="004C0478">
        <w:rPr>
          <w:noProof/>
          <w:lang w:val="nl-BE"/>
        </w:rPr>
        <w:tab/>
        <w:t xml:space="preserve">A. Hassan, J. Usman, F. Kaleem, M. Omair, A. Khalid, M. Iqbal, </w:t>
      </w:r>
      <w:r w:rsidR="0073561E" w:rsidRPr="004C0478">
        <w:rPr>
          <w:i/>
          <w:iCs/>
          <w:noProof/>
          <w:lang w:val="nl-BE"/>
        </w:rPr>
        <w:t xml:space="preserve">Braz. J. Infect. </w:t>
      </w:r>
      <w:r w:rsidR="0073561E" w:rsidRPr="004C0478">
        <w:rPr>
          <w:i/>
          <w:iCs/>
          <w:noProof/>
        </w:rPr>
        <w:t>Dis.</w:t>
      </w:r>
      <w:r w:rsidR="0073561E" w:rsidRPr="004C0478">
        <w:rPr>
          <w:b/>
          <w:noProof/>
        </w:rPr>
        <w:t xml:space="preserve"> 2011</w:t>
      </w:r>
      <w:r w:rsidR="0073561E" w:rsidRPr="004C0478">
        <w:rPr>
          <w:noProof/>
        </w:rPr>
        <w:t xml:space="preserve">, </w:t>
      </w:r>
      <w:r w:rsidR="0073561E" w:rsidRPr="004C0478">
        <w:rPr>
          <w:i/>
          <w:noProof/>
        </w:rPr>
        <w:t>15</w:t>
      </w:r>
      <w:r w:rsidR="0073561E" w:rsidRPr="004C0478">
        <w:rPr>
          <w:noProof/>
        </w:rPr>
        <w:t>, 305.</w:t>
      </w:r>
    </w:p>
    <w:p w:rsidR="0073561E" w:rsidRPr="004C0478" w:rsidRDefault="0097361B" w:rsidP="0073561E">
      <w:pPr>
        <w:pStyle w:val="main"/>
        <w:rPr>
          <w:noProof/>
        </w:rPr>
      </w:pPr>
      <w:r w:rsidRPr="004C0478">
        <w:rPr>
          <w:noProof/>
        </w:rPr>
        <w:t>[36</w:t>
      </w:r>
      <w:r w:rsidR="0073561E" w:rsidRPr="004C0478">
        <w:rPr>
          <w:noProof/>
        </w:rPr>
        <w:t>]</w:t>
      </w:r>
      <w:r w:rsidR="0073561E" w:rsidRPr="004C0478">
        <w:rPr>
          <w:noProof/>
        </w:rPr>
        <w:tab/>
        <w:t xml:space="preserve">E. Giaouris, E. Heir, M. Hébraud, N. Chorianopoulos, S. Langsrud, T. Møretrø, O. Habimana, M. Desvaux, S. Renier, G.-J. Nychas, </w:t>
      </w:r>
      <w:r w:rsidR="0073561E" w:rsidRPr="004C0478">
        <w:rPr>
          <w:i/>
          <w:iCs/>
          <w:noProof/>
        </w:rPr>
        <w:t>Meat Sci.</w:t>
      </w:r>
      <w:r w:rsidR="0073561E" w:rsidRPr="004C0478">
        <w:rPr>
          <w:b/>
          <w:noProof/>
        </w:rPr>
        <w:t xml:space="preserve"> 2014</w:t>
      </w:r>
      <w:r w:rsidR="0073561E" w:rsidRPr="004C0478">
        <w:rPr>
          <w:noProof/>
        </w:rPr>
        <w:t xml:space="preserve">, </w:t>
      </w:r>
      <w:r w:rsidR="0073561E" w:rsidRPr="004C0478">
        <w:rPr>
          <w:i/>
          <w:noProof/>
        </w:rPr>
        <w:t>97</w:t>
      </w:r>
      <w:r w:rsidR="0073561E" w:rsidRPr="004C0478">
        <w:rPr>
          <w:noProof/>
        </w:rPr>
        <w:t>, 298.</w:t>
      </w:r>
    </w:p>
    <w:p w:rsidR="00BF6169" w:rsidRPr="004C0478" w:rsidRDefault="008A2F74" w:rsidP="0073561E">
      <w:pPr>
        <w:pStyle w:val="main"/>
        <w:rPr>
          <w:noProof/>
          <w:lang w:val="nl-BE"/>
        </w:rPr>
      </w:pPr>
      <w:r w:rsidRPr="004C0478">
        <w:rPr>
          <w:noProof/>
        </w:rPr>
        <w:t>[37</w:t>
      </w:r>
      <w:r w:rsidR="00E17E44" w:rsidRPr="004C0478">
        <w:rPr>
          <w:noProof/>
        </w:rPr>
        <w:t xml:space="preserve">] N.-O. Hübner, A. Kramer, </w:t>
      </w:r>
      <w:r w:rsidR="00E17E44" w:rsidRPr="004C0478">
        <w:rPr>
          <w:i/>
          <w:noProof/>
        </w:rPr>
        <w:t xml:space="preserve">Skin Pharmacol. </w:t>
      </w:r>
      <w:r w:rsidR="00E17E44" w:rsidRPr="004C0478">
        <w:rPr>
          <w:i/>
          <w:noProof/>
          <w:lang w:val="nl-BE"/>
        </w:rPr>
        <w:t xml:space="preserve">Appl. </w:t>
      </w:r>
      <w:r w:rsidR="00E17E44" w:rsidRPr="004C0478">
        <w:rPr>
          <w:b/>
          <w:noProof/>
          <w:lang w:val="nl-BE"/>
        </w:rPr>
        <w:t>2010</w:t>
      </w:r>
      <w:r w:rsidR="00E17E44" w:rsidRPr="004C0478">
        <w:rPr>
          <w:noProof/>
          <w:lang w:val="nl-BE"/>
        </w:rPr>
        <w:t xml:space="preserve">, </w:t>
      </w:r>
      <w:r w:rsidR="00E17E44" w:rsidRPr="004C0478">
        <w:rPr>
          <w:i/>
          <w:noProof/>
          <w:lang w:val="nl-BE"/>
        </w:rPr>
        <w:t>23</w:t>
      </w:r>
      <w:r w:rsidR="00E17E44" w:rsidRPr="004C0478">
        <w:rPr>
          <w:noProof/>
          <w:lang w:val="nl-BE"/>
        </w:rPr>
        <w:t>, 17.</w:t>
      </w:r>
    </w:p>
    <w:p w:rsidR="00E17E44" w:rsidRPr="004C0478" w:rsidRDefault="008A2F74" w:rsidP="0073561E">
      <w:pPr>
        <w:pStyle w:val="main"/>
        <w:rPr>
          <w:b/>
          <w:noProof/>
        </w:rPr>
      </w:pPr>
      <w:r w:rsidRPr="004C0478">
        <w:rPr>
          <w:noProof/>
          <w:lang w:val="nl-BE"/>
        </w:rPr>
        <w:t>[38</w:t>
      </w:r>
      <w:r w:rsidR="00BF6169" w:rsidRPr="004C0478">
        <w:rPr>
          <w:noProof/>
          <w:lang w:val="nl-BE"/>
        </w:rPr>
        <w:t xml:space="preserve">] J. C. Joaquin,  C. Kwan,  N. Abramzon,  K. Vandervoort, G. Brelles-Mariño, </w:t>
      </w:r>
      <w:r w:rsidR="00BF6169" w:rsidRPr="004C0478">
        <w:rPr>
          <w:i/>
          <w:noProof/>
          <w:lang w:val="nl-BE"/>
        </w:rPr>
        <w:t xml:space="preserve">Microbiol. </w:t>
      </w:r>
      <w:r w:rsidR="00BF6169" w:rsidRPr="004C0478">
        <w:rPr>
          <w:b/>
          <w:noProof/>
        </w:rPr>
        <w:t>2009</w:t>
      </w:r>
      <w:r w:rsidR="00BF6169" w:rsidRPr="004C0478">
        <w:rPr>
          <w:noProof/>
        </w:rPr>
        <w:t xml:space="preserve">, </w:t>
      </w:r>
      <w:r w:rsidR="00BF6169" w:rsidRPr="004C0478">
        <w:rPr>
          <w:i/>
          <w:noProof/>
        </w:rPr>
        <w:t>155</w:t>
      </w:r>
      <w:r w:rsidR="00BF6169" w:rsidRPr="004C0478">
        <w:rPr>
          <w:noProof/>
        </w:rPr>
        <w:t>, 724.</w:t>
      </w:r>
      <w:r w:rsidR="00E17E44" w:rsidRPr="004C0478">
        <w:rPr>
          <w:b/>
          <w:noProof/>
        </w:rPr>
        <w:t xml:space="preserve"> </w:t>
      </w:r>
    </w:p>
    <w:p w:rsidR="008A2F74" w:rsidRPr="004C0478" w:rsidRDefault="008A2F74" w:rsidP="0073561E">
      <w:pPr>
        <w:pStyle w:val="main"/>
        <w:rPr>
          <w:noProof/>
        </w:rPr>
      </w:pPr>
      <w:r w:rsidRPr="004C0478">
        <w:rPr>
          <w:noProof/>
        </w:rPr>
        <w:t>[39]</w:t>
      </w:r>
      <w:r w:rsidR="00163AC2" w:rsidRPr="004C0478">
        <w:rPr>
          <w:noProof/>
        </w:rPr>
        <w:t xml:space="preserve"> Z. Kovalova, M. Leroy, M. J. Kirkpatrick, E. Odic, Z. Machala, </w:t>
      </w:r>
      <w:r w:rsidR="00163AC2" w:rsidRPr="004C0478">
        <w:rPr>
          <w:i/>
          <w:noProof/>
        </w:rPr>
        <w:t xml:space="preserve">Bioelectroch. </w:t>
      </w:r>
      <w:r w:rsidR="00163AC2" w:rsidRPr="004C0478">
        <w:rPr>
          <w:b/>
          <w:noProof/>
        </w:rPr>
        <w:t>2016</w:t>
      </w:r>
      <w:r w:rsidR="00163AC2" w:rsidRPr="004C0478">
        <w:rPr>
          <w:noProof/>
        </w:rPr>
        <w:t xml:space="preserve">, </w:t>
      </w:r>
      <w:r w:rsidR="00163AC2" w:rsidRPr="004C0478">
        <w:rPr>
          <w:i/>
          <w:noProof/>
        </w:rPr>
        <w:t>112</w:t>
      </w:r>
      <w:r w:rsidR="00163AC2" w:rsidRPr="004C0478">
        <w:rPr>
          <w:noProof/>
        </w:rPr>
        <w:t>, 91.</w:t>
      </w:r>
    </w:p>
    <w:p w:rsidR="00BF6169" w:rsidRPr="004C0478" w:rsidRDefault="008A2F74" w:rsidP="00E721F7">
      <w:pPr>
        <w:pStyle w:val="main"/>
        <w:rPr>
          <w:noProof/>
        </w:rPr>
      </w:pPr>
      <w:r w:rsidRPr="004C0478">
        <w:rPr>
          <w:noProof/>
        </w:rPr>
        <w:t>[40</w:t>
      </w:r>
      <w:r w:rsidR="00BF6169" w:rsidRPr="004C0478">
        <w:rPr>
          <w:noProof/>
        </w:rPr>
        <w:t xml:space="preserve">] </w:t>
      </w:r>
      <w:r w:rsidR="00E721F7" w:rsidRPr="004C0478">
        <w:rPr>
          <w:noProof/>
        </w:rPr>
        <w:t xml:space="preserve">M. H. Lee, B. J. Park, S. C. Jin, D. Kim, I. Han, J. Kim, S. O. Hyun, K.-H. Chung, J.-C. Park, </w:t>
      </w:r>
      <w:r w:rsidR="00E721F7" w:rsidRPr="004C0478">
        <w:rPr>
          <w:i/>
          <w:noProof/>
        </w:rPr>
        <w:t xml:space="preserve">New J. Phys. </w:t>
      </w:r>
      <w:r w:rsidR="00E721F7" w:rsidRPr="004C0478">
        <w:rPr>
          <w:b/>
          <w:noProof/>
        </w:rPr>
        <w:t>2009</w:t>
      </w:r>
      <w:r w:rsidR="00E721F7" w:rsidRPr="004C0478">
        <w:rPr>
          <w:noProof/>
        </w:rPr>
        <w:t xml:space="preserve">, </w:t>
      </w:r>
      <w:r w:rsidR="00E721F7" w:rsidRPr="004C0478">
        <w:rPr>
          <w:i/>
          <w:noProof/>
        </w:rPr>
        <w:t>11</w:t>
      </w:r>
      <w:r w:rsidR="00E721F7" w:rsidRPr="004C0478">
        <w:rPr>
          <w:noProof/>
        </w:rPr>
        <w:t>, 115022.</w:t>
      </w:r>
    </w:p>
    <w:p w:rsidR="00E721F7" w:rsidRPr="004C0478" w:rsidRDefault="008A2F74" w:rsidP="00E721F7">
      <w:pPr>
        <w:pStyle w:val="main"/>
        <w:rPr>
          <w:noProof/>
          <w:lang w:val="nl-BE"/>
        </w:rPr>
      </w:pPr>
      <w:r w:rsidRPr="004C0478">
        <w:rPr>
          <w:noProof/>
          <w:lang w:val="nl-BE"/>
        </w:rPr>
        <w:lastRenderedPageBreak/>
        <w:t>[41</w:t>
      </w:r>
      <w:r w:rsidR="00E721F7" w:rsidRPr="004C0478">
        <w:rPr>
          <w:noProof/>
          <w:lang w:val="nl-BE"/>
        </w:rPr>
        <w:t xml:space="preserve">] M. Vleugels, G. Shama, X. T. Deng, E. Greenacre, T. Brocklehurst, M. G. Kong, </w:t>
      </w:r>
      <w:r w:rsidR="00E721F7" w:rsidRPr="004C0478">
        <w:rPr>
          <w:i/>
          <w:noProof/>
          <w:lang w:val="nl-BE"/>
        </w:rPr>
        <w:t xml:space="preserve">IEEE T. Plasma Sci. </w:t>
      </w:r>
      <w:r w:rsidR="00E721F7" w:rsidRPr="004C0478">
        <w:rPr>
          <w:b/>
          <w:noProof/>
          <w:lang w:val="nl-BE"/>
        </w:rPr>
        <w:t>2005</w:t>
      </w:r>
      <w:r w:rsidR="00E721F7" w:rsidRPr="004C0478">
        <w:rPr>
          <w:i/>
          <w:noProof/>
          <w:lang w:val="nl-BE"/>
        </w:rPr>
        <w:t>,</w:t>
      </w:r>
      <w:r w:rsidR="00E721F7" w:rsidRPr="004C0478">
        <w:rPr>
          <w:b/>
          <w:i/>
          <w:noProof/>
          <w:lang w:val="nl-BE"/>
        </w:rPr>
        <w:t xml:space="preserve"> </w:t>
      </w:r>
      <w:r w:rsidR="00E721F7" w:rsidRPr="004C0478">
        <w:rPr>
          <w:i/>
          <w:noProof/>
          <w:lang w:val="nl-BE"/>
        </w:rPr>
        <w:t>33</w:t>
      </w:r>
      <w:r w:rsidR="00E721F7" w:rsidRPr="004C0478">
        <w:rPr>
          <w:noProof/>
          <w:lang w:val="nl-BE"/>
        </w:rPr>
        <w:t>, 824.</w:t>
      </w:r>
    </w:p>
    <w:p w:rsidR="00E721F7" w:rsidRPr="004C0478" w:rsidRDefault="008A2F74" w:rsidP="00E721F7">
      <w:pPr>
        <w:pStyle w:val="main"/>
        <w:rPr>
          <w:noProof/>
          <w:lang w:val="nl-BE"/>
        </w:rPr>
      </w:pPr>
      <w:r w:rsidRPr="004C0478">
        <w:rPr>
          <w:noProof/>
          <w:lang w:val="nl-BE"/>
        </w:rPr>
        <w:t>[42</w:t>
      </w:r>
      <w:r w:rsidR="00E721F7" w:rsidRPr="004C0478">
        <w:rPr>
          <w:noProof/>
          <w:lang w:val="nl-BE"/>
        </w:rPr>
        <w:t xml:space="preserve">] A. J. Zelaya, G. Stough, N. Rad, K. Vandervoort, G. Brelles-Mariño, </w:t>
      </w:r>
      <w:r w:rsidR="004E1B9A" w:rsidRPr="004C0478">
        <w:rPr>
          <w:i/>
          <w:noProof/>
          <w:lang w:val="nl-BE"/>
        </w:rPr>
        <w:t xml:space="preserve">IEEE T. Plasma Sci. </w:t>
      </w:r>
      <w:r w:rsidR="004E1B9A" w:rsidRPr="004C0478">
        <w:rPr>
          <w:b/>
          <w:noProof/>
          <w:lang w:val="nl-BE"/>
        </w:rPr>
        <w:t>2010</w:t>
      </w:r>
      <w:r w:rsidR="004E1B9A" w:rsidRPr="004C0478">
        <w:rPr>
          <w:noProof/>
          <w:lang w:val="nl-BE"/>
        </w:rPr>
        <w:t xml:space="preserve">, </w:t>
      </w:r>
      <w:r w:rsidR="004E1B9A" w:rsidRPr="004C0478">
        <w:rPr>
          <w:i/>
          <w:noProof/>
          <w:lang w:val="nl-BE"/>
        </w:rPr>
        <w:t>38</w:t>
      </w:r>
      <w:r w:rsidR="004E1B9A" w:rsidRPr="004C0478">
        <w:rPr>
          <w:noProof/>
          <w:lang w:val="nl-BE"/>
        </w:rPr>
        <w:t>, 3398.</w:t>
      </w:r>
    </w:p>
    <w:p w:rsidR="0073561E" w:rsidRPr="004C0478" w:rsidRDefault="008A2F74" w:rsidP="0073561E">
      <w:pPr>
        <w:pStyle w:val="main"/>
        <w:rPr>
          <w:noProof/>
        </w:rPr>
      </w:pPr>
      <w:r w:rsidRPr="004C0478">
        <w:rPr>
          <w:noProof/>
        </w:rPr>
        <w:t>[43</w:t>
      </w:r>
      <w:r w:rsidR="0073561E" w:rsidRPr="004C0478">
        <w:rPr>
          <w:noProof/>
        </w:rPr>
        <w:t>]</w:t>
      </w:r>
      <w:r w:rsidR="0073561E" w:rsidRPr="004C0478">
        <w:rPr>
          <w:noProof/>
        </w:rPr>
        <w:tab/>
        <w:t xml:space="preserve">D. Ziuzina, L. Han, P. J. Cullen, P. Bourke, </w:t>
      </w:r>
      <w:r w:rsidR="0073561E" w:rsidRPr="004C0478">
        <w:rPr>
          <w:i/>
          <w:iCs/>
          <w:noProof/>
        </w:rPr>
        <w:t>Int. J. Food Microbiol.</w:t>
      </w:r>
      <w:r w:rsidR="0073561E" w:rsidRPr="004C0478">
        <w:rPr>
          <w:b/>
          <w:noProof/>
        </w:rPr>
        <w:t xml:space="preserve"> 2015</w:t>
      </w:r>
      <w:r w:rsidR="0073561E" w:rsidRPr="004C0478">
        <w:rPr>
          <w:noProof/>
        </w:rPr>
        <w:t xml:space="preserve">, </w:t>
      </w:r>
      <w:r w:rsidR="0073561E" w:rsidRPr="004C0478">
        <w:rPr>
          <w:i/>
          <w:noProof/>
        </w:rPr>
        <w:t>210</w:t>
      </w:r>
      <w:r w:rsidR="0073561E" w:rsidRPr="004C0478">
        <w:rPr>
          <w:noProof/>
        </w:rPr>
        <w:t>, 53.</w:t>
      </w:r>
    </w:p>
    <w:p w:rsidR="0073561E" w:rsidRPr="004C0478" w:rsidRDefault="0097361B" w:rsidP="0073561E">
      <w:pPr>
        <w:pStyle w:val="main"/>
        <w:rPr>
          <w:noProof/>
        </w:rPr>
      </w:pPr>
      <w:r w:rsidRPr="004C0478">
        <w:rPr>
          <w:noProof/>
        </w:rPr>
        <w:t>[44</w:t>
      </w:r>
      <w:r w:rsidR="0073561E" w:rsidRPr="004C0478">
        <w:rPr>
          <w:noProof/>
        </w:rPr>
        <w:t>]</w:t>
      </w:r>
      <w:r w:rsidR="0073561E" w:rsidRPr="004C0478">
        <w:rPr>
          <w:noProof/>
        </w:rPr>
        <w:tab/>
        <w:t xml:space="preserve">T. Vukusic, M. Shi, Z. Herceg, S. Rogers, P. Estifaee, S. M. Thagard, </w:t>
      </w:r>
      <w:r w:rsidR="0073561E" w:rsidRPr="004C0478">
        <w:rPr>
          <w:i/>
          <w:iCs/>
          <w:noProof/>
        </w:rPr>
        <w:t>Innov. Food Sci. Emerg. Technol.</w:t>
      </w:r>
      <w:r w:rsidR="0073561E" w:rsidRPr="004C0478">
        <w:rPr>
          <w:b/>
          <w:noProof/>
        </w:rPr>
        <w:t xml:space="preserve"> 2016</w:t>
      </w:r>
      <w:r w:rsidR="0073561E" w:rsidRPr="004C0478">
        <w:rPr>
          <w:noProof/>
        </w:rPr>
        <w:t xml:space="preserve">, </w:t>
      </w:r>
      <w:r w:rsidR="0073561E" w:rsidRPr="004C0478">
        <w:rPr>
          <w:i/>
          <w:noProof/>
        </w:rPr>
        <w:t>38</w:t>
      </w:r>
      <w:r w:rsidR="0073561E" w:rsidRPr="004C0478">
        <w:rPr>
          <w:noProof/>
        </w:rPr>
        <w:t>, 407.</w:t>
      </w:r>
    </w:p>
    <w:p w:rsidR="0073561E" w:rsidRPr="004C0478" w:rsidRDefault="0097361B" w:rsidP="0073561E">
      <w:pPr>
        <w:pStyle w:val="main"/>
        <w:rPr>
          <w:noProof/>
        </w:rPr>
      </w:pPr>
      <w:r w:rsidRPr="004C0478">
        <w:rPr>
          <w:noProof/>
        </w:rPr>
        <w:t>[45</w:t>
      </w:r>
      <w:r w:rsidR="0073561E" w:rsidRPr="004C0478">
        <w:rPr>
          <w:noProof/>
        </w:rPr>
        <w:t>]</w:t>
      </w:r>
      <w:r w:rsidR="0073561E" w:rsidRPr="004C0478">
        <w:rPr>
          <w:noProof/>
        </w:rPr>
        <w:tab/>
        <w:t xml:space="preserve">A. Abou-Ghazala, S. Katsuki, K. H. Schoenbach, F. C. Dobbs, K. R. Moreira, </w:t>
      </w:r>
      <w:r w:rsidR="0073561E" w:rsidRPr="004C0478">
        <w:rPr>
          <w:i/>
          <w:iCs/>
          <w:noProof/>
        </w:rPr>
        <w:t>IEEE Trans. Plasma Sci.</w:t>
      </w:r>
      <w:r w:rsidR="0073561E" w:rsidRPr="004C0478">
        <w:rPr>
          <w:b/>
          <w:noProof/>
        </w:rPr>
        <w:t xml:space="preserve"> 2002</w:t>
      </w:r>
      <w:r w:rsidR="0073561E" w:rsidRPr="004C0478">
        <w:rPr>
          <w:noProof/>
        </w:rPr>
        <w:t xml:space="preserve">, </w:t>
      </w:r>
      <w:r w:rsidR="0073561E" w:rsidRPr="004C0478">
        <w:rPr>
          <w:i/>
          <w:noProof/>
        </w:rPr>
        <w:t>30</w:t>
      </w:r>
      <w:r w:rsidR="0073561E" w:rsidRPr="004C0478">
        <w:rPr>
          <w:noProof/>
        </w:rPr>
        <w:t>, 1449.</w:t>
      </w:r>
    </w:p>
    <w:p w:rsidR="0073561E" w:rsidRPr="004C0478" w:rsidRDefault="0097361B" w:rsidP="0073561E">
      <w:pPr>
        <w:pStyle w:val="main"/>
        <w:rPr>
          <w:noProof/>
        </w:rPr>
      </w:pPr>
      <w:r w:rsidRPr="004C0478">
        <w:rPr>
          <w:noProof/>
        </w:rPr>
        <w:t>[46</w:t>
      </w:r>
      <w:r w:rsidR="0073561E" w:rsidRPr="004C0478">
        <w:rPr>
          <w:noProof/>
        </w:rPr>
        <w:t>]</w:t>
      </w:r>
      <w:r w:rsidR="0073561E" w:rsidRPr="004C0478">
        <w:rPr>
          <w:noProof/>
        </w:rPr>
        <w:tab/>
        <w:t xml:space="preserve">A. Fernández, N. Shearer, D. R. Wilson, A. Thompson, </w:t>
      </w:r>
      <w:r w:rsidR="0073561E" w:rsidRPr="004C0478">
        <w:rPr>
          <w:i/>
          <w:iCs/>
          <w:noProof/>
        </w:rPr>
        <w:t>Int. J. Food Microbiol.</w:t>
      </w:r>
      <w:r w:rsidR="0073561E" w:rsidRPr="004C0478">
        <w:rPr>
          <w:b/>
          <w:noProof/>
        </w:rPr>
        <w:t xml:space="preserve"> 2012</w:t>
      </w:r>
      <w:r w:rsidR="0073561E" w:rsidRPr="004C0478">
        <w:rPr>
          <w:noProof/>
        </w:rPr>
        <w:t xml:space="preserve">, </w:t>
      </w:r>
      <w:r w:rsidR="0073561E" w:rsidRPr="004C0478">
        <w:rPr>
          <w:i/>
          <w:noProof/>
        </w:rPr>
        <w:t>152</w:t>
      </w:r>
      <w:r w:rsidR="0073561E" w:rsidRPr="004C0478">
        <w:rPr>
          <w:noProof/>
        </w:rPr>
        <w:t>, 175.</w:t>
      </w:r>
    </w:p>
    <w:p w:rsidR="00C07A55" w:rsidRPr="004C0478" w:rsidRDefault="0097361B" w:rsidP="00C07A55">
      <w:pPr>
        <w:pStyle w:val="main"/>
        <w:rPr>
          <w:noProof/>
        </w:rPr>
      </w:pPr>
      <w:r w:rsidRPr="004C0478">
        <w:rPr>
          <w:noProof/>
        </w:rPr>
        <w:t>[47</w:t>
      </w:r>
      <w:r w:rsidR="00C07A55" w:rsidRPr="004C0478">
        <w:rPr>
          <w:noProof/>
        </w:rPr>
        <w:t xml:space="preserve">] M. H. Zwietering, L. Jacxsens, J.-M. Membré, M. Nauta, M. Peterz, </w:t>
      </w:r>
      <w:r w:rsidR="00C07A55" w:rsidRPr="004C0478">
        <w:rPr>
          <w:i/>
          <w:noProof/>
        </w:rPr>
        <w:t xml:space="preserve">Food Control. </w:t>
      </w:r>
      <w:r w:rsidR="00C07A55" w:rsidRPr="004C0478">
        <w:rPr>
          <w:b/>
          <w:noProof/>
        </w:rPr>
        <w:t>2016</w:t>
      </w:r>
      <w:r w:rsidR="00C07A55" w:rsidRPr="004C0478">
        <w:rPr>
          <w:noProof/>
        </w:rPr>
        <w:t xml:space="preserve">, </w:t>
      </w:r>
      <w:r w:rsidR="00C07A55" w:rsidRPr="004C0478">
        <w:rPr>
          <w:i/>
          <w:noProof/>
        </w:rPr>
        <w:t>60</w:t>
      </w:r>
      <w:r w:rsidR="00C07A55" w:rsidRPr="004C0478">
        <w:rPr>
          <w:noProof/>
        </w:rPr>
        <w:t>, 31.</w:t>
      </w:r>
    </w:p>
    <w:p w:rsidR="0073561E" w:rsidRPr="004C0478" w:rsidRDefault="0097361B" w:rsidP="0073561E">
      <w:pPr>
        <w:pStyle w:val="main"/>
        <w:rPr>
          <w:noProof/>
        </w:rPr>
      </w:pPr>
      <w:r w:rsidRPr="004C0478">
        <w:rPr>
          <w:noProof/>
        </w:rPr>
        <w:t>[48</w:t>
      </w:r>
      <w:r w:rsidR="0073561E" w:rsidRPr="004C0478">
        <w:rPr>
          <w:noProof/>
        </w:rPr>
        <w:t>]</w:t>
      </w:r>
      <w:r w:rsidR="0073561E" w:rsidRPr="004C0478">
        <w:rPr>
          <w:noProof/>
        </w:rPr>
        <w:tab/>
        <w:t xml:space="preserve">A. Rajkovic, N. Smigic, M. Uyttendaele, H. Medic, L. de Zutter, F. Devlieghere, </w:t>
      </w:r>
      <w:r w:rsidR="0073561E" w:rsidRPr="004C0478">
        <w:rPr>
          <w:i/>
          <w:iCs/>
          <w:noProof/>
        </w:rPr>
        <w:t>Food Microbiol.</w:t>
      </w:r>
      <w:r w:rsidR="0073561E" w:rsidRPr="004C0478">
        <w:rPr>
          <w:b/>
          <w:noProof/>
        </w:rPr>
        <w:t xml:space="preserve"> 2009</w:t>
      </w:r>
      <w:r w:rsidR="0073561E" w:rsidRPr="004C0478">
        <w:rPr>
          <w:noProof/>
        </w:rPr>
        <w:t xml:space="preserve">, </w:t>
      </w:r>
      <w:r w:rsidR="0073561E" w:rsidRPr="004C0478">
        <w:rPr>
          <w:i/>
          <w:noProof/>
        </w:rPr>
        <w:t>26</w:t>
      </w:r>
      <w:r w:rsidR="0073561E" w:rsidRPr="004C0478">
        <w:rPr>
          <w:noProof/>
        </w:rPr>
        <w:t>, 889.</w:t>
      </w:r>
    </w:p>
    <w:p w:rsidR="0073561E" w:rsidRPr="004C0478" w:rsidRDefault="0097361B" w:rsidP="0073561E">
      <w:pPr>
        <w:pStyle w:val="main"/>
        <w:rPr>
          <w:noProof/>
          <w:lang w:val="en-GB"/>
        </w:rPr>
      </w:pPr>
      <w:r w:rsidRPr="004C0478">
        <w:rPr>
          <w:noProof/>
        </w:rPr>
        <w:t>[49</w:t>
      </w:r>
      <w:r w:rsidR="0073561E" w:rsidRPr="004C0478">
        <w:rPr>
          <w:noProof/>
        </w:rPr>
        <w:t>]</w:t>
      </w:r>
      <w:r w:rsidR="0073561E" w:rsidRPr="004C0478">
        <w:rPr>
          <w:noProof/>
        </w:rPr>
        <w:tab/>
        <w:t xml:space="preserve">K. A. G. Karatzas, V. P. Valdramidis, M. H. J. Wells-Bennik, </w:t>
      </w:r>
      <w:r w:rsidR="0073561E" w:rsidRPr="004C0478">
        <w:rPr>
          <w:i/>
          <w:iCs/>
          <w:noProof/>
        </w:rPr>
        <w:t>Appl. Environ. Microbiol.</w:t>
      </w:r>
      <w:r w:rsidR="0073561E" w:rsidRPr="004C0478">
        <w:rPr>
          <w:b/>
          <w:noProof/>
        </w:rPr>
        <w:t xml:space="preserve"> 2005</w:t>
      </w:r>
      <w:r w:rsidR="0073561E" w:rsidRPr="004C0478">
        <w:rPr>
          <w:noProof/>
        </w:rPr>
        <w:t xml:space="preserve">, </w:t>
      </w:r>
      <w:r w:rsidR="0073561E" w:rsidRPr="004C0478">
        <w:rPr>
          <w:i/>
          <w:noProof/>
        </w:rPr>
        <w:t>71</w:t>
      </w:r>
      <w:r w:rsidR="0073561E" w:rsidRPr="004C0478">
        <w:rPr>
          <w:noProof/>
        </w:rPr>
        <w:t>, 8390.</w:t>
      </w:r>
    </w:p>
    <w:p w:rsidR="0073561E" w:rsidRPr="004C0478" w:rsidRDefault="0097361B" w:rsidP="0073561E">
      <w:pPr>
        <w:pStyle w:val="main"/>
        <w:rPr>
          <w:noProof/>
        </w:rPr>
      </w:pPr>
      <w:r w:rsidRPr="004C0478">
        <w:rPr>
          <w:noProof/>
        </w:rPr>
        <w:t>[50</w:t>
      </w:r>
      <w:r w:rsidR="0073561E" w:rsidRPr="004C0478">
        <w:rPr>
          <w:noProof/>
        </w:rPr>
        <w:t>]</w:t>
      </w:r>
      <w:r w:rsidR="0073561E" w:rsidRPr="004C0478">
        <w:rPr>
          <w:noProof/>
        </w:rPr>
        <w:tab/>
        <w:t xml:space="preserve"> A. Sharma, G. Collins, A. Pruden, </w:t>
      </w:r>
      <w:r w:rsidR="0073561E" w:rsidRPr="004C0478">
        <w:rPr>
          <w:i/>
          <w:iCs/>
          <w:noProof/>
        </w:rPr>
        <w:t>J. Appl. Microbiol.</w:t>
      </w:r>
      <w:r w:rsidR="0073561E" w:rsidRPr="004C0478">
        <w:rPr>
          <w:b/>
          <w:noProof/>
        </w:rPr>
        <w:t xml:space="preserve"> 2009</w:t>
      </w:r>
      <w:r w:rsidR="0073561E" w:rsidRPr="004C0478">
        <w:rPr>
          <w:noProof/>
        </w:rPr>
        <w:t xml:space="preserve">, </w:t>
      </w:r>
      <w:r w:rsidR="0073561E" w:rsidRPr="004C0478">
        <w:rPr>
          <w:i/>
          <w:noProof/>
        </w:rPr>
        <w:t>107</w:t>
      </w:r>
      <w:r w:rsidR="0073561E" w:rsidRPr="004C0478">
        <w:rPr>
          <w:noProof/>
        </w:rPr>
        <w:t>, 1440.</w:t>
      </w:r>
    </w:p>
    <w:p w:rsidR="0073561E" w:rsidRPr="004C0478" w:rsidRDefault="0097361B" w:rsidP="0073561E">
      <w:pPr>
        <w:pStyle w:val="main"/>
        <w:rPr>
          <w:noProof/>
          <w:lang w:val="en-GB"/>
        </w:rPr>
      </w:pPr>
      <w:r w:rsidRPr="004C0478">
        <w:rPr>
          <w:noProof/>
        </w:rPr>
        <w:t>[51</w:t>
      </w:r>
      <w:r w:rsidR="0073561E" w:rsidRPr="004C0478">
        <w:rPr>
          <w:noProof/>
        </w:rPr>
        <w:t>]</w:t>
      </w:r>
      <w:r w:rsidR="0073561E" w:rsidRPr="004C0478">
        <w:rPr>
          <w:noProof/>
        </w:rPr>
        <w:tab/>
        <w:t xml:space="preserve">V. P. Valdramidis, K. P. Koutsoumanis, </w:t>
      </w:r>
      <w:r w:rsidR="0073561E" w:rsidRPr="004C0478">
        <w:rPr>
          <w:i/>
          <w:iCs/>
          <w:noProof/>
        </w:rPr>
        <w:t>Curr. Opin. Food Sci.</w:t>
      </w:r>
      <w:r w:rsidR="0073561E" w:rsidRPr="004C0478">
        <w:rPr>
          <w:b/>
          <w:noProof/>
        </w:rPr>
        <w:t xml:space="preserve"> 2016</w:t>
      </w:r>
      <w:r w:rsidR="0073561E" w:rsidRPr="004C0478">
        <w:rPr>
          <w:noProof/>
        </w:rPr>
        <w:t xml:space="preserve">, </w:t>
      </w:r>
      <w:r w:rsidR="0073561E" w:rsidRPr="004C0478">
        <w:rPr>
          <w:i/>
          <w:noProof/>
        </w:rPr>
        <w:t>12</w:t>
      </w:r>
      <w:r w:rsidR="0073561E" w:rsidRPr="004C0478">
        <w:rPr>
          <w:noProof/>
        </w:rPr>
        <w:t>, 63.</w:t>
      </w:r>
    </w:p>
    <w:p w:rsidR="0073561E" w:rsidRPr="004C0478" w:rsidRDefault="0097361B" w:rsidP="0073561E">
      <w:pPr>
        <w:pStyle w:val="main"/>
        <w:rPr>
          <w:noProof/>
          <w:lang w:val="de-DE"/>
        </w:rPr>
      </w:pPr>
      <w:r w:rsidRPr="004C0478">
        <w:rPr>
          <w:noProof/>
        </w:rPr>
        <w:t>[52</w:t>
      </w:r>
      <w:r w:rsidR="0073561E" w:rsidRPr="004C0478">
        <w:rPr>
          <w:noProof/>
        </w:rPr>
        <w:t>]</w:t>
      </w:r>
      <w:r w:rsidR="0073561E" w:rsidRPr="004C0478">
        <w:rPr>
          <w:noProof/>
        </w:rPr>
        <w:tab/>
        <w:t xml:space="preserve">D. Millan-Sango, L. Han, V. Milosavljevic, J. F. Van Impe, P. Bourke, P. J. Cullen, V. P. Valdramidis, </w:t>
      </w:r>
      <w:r w:rsidR="0073561E" w:rsidRPr="004C0478">
        <w:rPr>
          <w:i/>
          <w:iCs/>
          <w:noProof/>
        </w:rPr>
        <w:t>Food Bioprod. Process.</w:t>
      </w:r>
      <w:r w:rsidR="0073561E" w:rsidRPr="004C0478">
        <w:rPr>
          <w:b/>
          <w:noProof/>
        </w:rPr>
        <w:t xml:space="preserve"> </w:t>
      </w:r>
      <w:r w:rsidR="0073561E" w:rsidRPr="004C0478">
        <w:rPr>
          <w:b/>
          <w:noProof/>
          <w:lang w:val="de-DE"/>
        </w:rPr>
        <w:t>2015</w:t>
      </w:r>
      <w:r w:rsidR="0073561E" w:rsidRPr="004C0478">
        <w:rPr>
          <w:noProof/>
          <w:lang w:val="de-DE"/>
        </w:rPr>
        <w:t xml:space="preserve">, </w:t>
      </w:r>
      <w:r w:rsidR="0073561E" w:rsidRPr="004C0478">
        <w:rPr>
          <w:i/>
          <w:noProof/>
          <w:lang w:val="de-DE"/>
        </w:rPr>
        <w:t>96</w:t>
      </w:r>
      <w:r w:rsidR="0073561E" w:rsidRPr="004C0478">
        <w:rPr>
          <w:noProof/>
          <w:lang w:val="de-DE"/>
        </w:rPr>
        <w:t>, 154.</w:t>
      </w:r>
    </w:p>
    <w:p w:rsidR="0073561E" w:rsidRPr="004C0478" w:rsidRDefault="0097361B" w:rsidP="0073561E">
      <w:pPr>
        <w:pStyle w:val="main"/>
        <w:rPr>
          <w:noProof/>
          <w:lang w:val="de-DE"/>
        </w:rPr>
      </w:pPr>
      <w:r w:rsidRPr="004C0478">
        <w:rPr>
          <w:noProof/>
          <w:lang w:val="de-DE"/>
        </w:rPr>
        <w:t>[53</w:t>
      </w:r>
      <w:r w:rsidR="0073561E" w:rsidRPr="004C0478">
        <w:rPr>
          <w:noProof/>
          <w:lang w:val="de-DE"/>
        </w:rPr>
        <w:t>]</w:t>
      </w:r>
      <w:r w:rsidR="0073561E" w:rsidRPr="004C0478">
        <w:rPr>
          <w:noProof/>
          <w:lang w:val="de-DE"/>
        </w:rPr>
        <w:tab/>
        <w:t xml:space="preserve">L. Ragni, A. Berardinelli, L. Vannini, C. Montanari, F. Sirri, M. E. Guerzoni, A. Guarnieri, </w:t>
      </w:r>
      <w:r w:rsidR="0073561E" w:rsidRPr="004C0478">
        <w:rPr>
          <w:i/>
          <w:iCs/>
          <w:noProof/>
          <w:lang w:val="de-DE"/>
        </w:rPr>
        <w:t xml:space="preserve">J. Food Eng. </w:t>
      </w:r>
      <w:r w:rsidR="0073561E" w:rsidRPr="004C0478">
        <w:rPr>
          <w:b/>
          <w:noProof/>
          <w:lang w:val="de-DE"/>
        </w:rPr>
        <w:t>2010</w:t>
      </w:r>
      <w:r w:rsidR="0073561E" w:rsidRPr="004C0478">
        <w:rPr>
          <w:noProof/>
          <w:lang w:val="de-DE"/>
        </w:rPr>
        <w:t xml:space="preserve">, 100, </w:t>
      </w:r>
      <w:r w:rsidR="0073561E" w:rsidRPr="004C0478">
        <w:rPr>
          <w:i/>
          <w:noProof/>
          <w:lang w:val="de-DE"/>
        </w:rPr>
        <w:t>1</w:t>
      </w:r>
      <w:r w:rsidR="0073561E" w:rsidRPr="004C0478">
        <w:rPr>
          <w:noProof/>
          <w:lang w:val="de-DE"/>
        </w:rPr>
        <w:t>, 125.</w:t>
      </w:r>
    </w:p>
    <w:p w:rsidR="0073561E" w:rsidRPr="004C0478" w:rsidRDefault="0097361B" w:rsidP="0073561E">
      <w:pPr>
        <w:pStyle w:val="main"/>
        <w:rPr>
          <w:noProof/>
          <w:lang w:val="de-DE"/>
        </w:rPr>
      </w:pPr>
      <w:r w:rsidRPr="004C0478">
        <w:rPr>
          <w:noProof/>
          <w:lang w:val="de-DE"/>
        </w:rPr>
        <w:t>[54</w:t>
      </w:r>
      <w:r w:rsidR="0073561E" w:rsidRPr="004C0478">
        <w:rPr>
          <w:noProof/>
          <w:lang w:val="de-DE"/>
        </w:rPr>
        <w:t>]</w:t>
      </w:r>
      <w:r w:rsidR="0073561E" w:rsidRPr="004C0478">
        <w:rPr>
          <w:noProof/>
          <w:lang w:val="de-DE"/>
        </w:rPr>
        <w:tab/>
        <w:t xml:space="preserve">M. Baier, M. Görgen, J. Ehlbeck, D. Knorr, W. B. Herppich, O. Schlüter, </w:t>
      </w:r>
      <w:r w:rsidR="0073561E" w:rsidRPr="004C0478">
        <w:rPr>
          <w:i/>
          <w:iCs/>
          <w:noProof/>
          <w:lang w:val="de-DE"/>
        </w:rPr>
        <w:t>Innov. Food Sci. Emerg. Technol.</w:t>
      </w:r>
      <w:r w:rsidR="0073561E" w:rsidRPr="004C0478">
        <w:rPr>
          <w:b/>
          <w:noProof/>
          <w:lang w:val="de-DE"/>
        </w:rPr>
        <w:t xml:space="preserve"> 2014</w:t>
      </w:r>
      <w:r w:rsidR="0073561E" w:rsidRPr="004C0478">
        <w:rPr>
          <w:noProof/>
          <w:lang w:val="de-DE"/>
        </w:rPr>
        <w:t xml:space="preserve">, </w:t>
      </w:r>
      <w:r w:rsidR="0073561E" w:rsidRPr="004C0478">
        <w:rPr>
          <w:i/>
          <w:noProof/>
          <w:lang w:val="de-DE"/>
        </w:rPr>
        <w:t>22</w:t>
      </w:r>
      <w:r w:rsidR="0073561E" w:rsidRPr="004C0478">
        <w:rPr>
          <w:noProof/>
          <w:lang w:val="de-DE"/>
        </w:rPr>
        <w:t>, 147.</w:t>
      </w:r>
    </w:p>
    <w:p w:rsidR="0073561E" w:rsidRPr="004C0478" w:rsidRDefault="0097361B" w:rsidP="0073561E">
      <w:pPr>
        <w:pStyle w:val="main"/>
        <w:rPr>
          <w:noProof/>
        </w:rPr>
      </w:pPr>
      <w:r w:rsidRPr="004C0478">
        <w:rPr>
          <w:noProof/>
        </w:rPr>
        <w:t>[55</w:t>
      </w:r>
      <w:r w:rsidR="0073561E" w:rsidRPr="004C0478">
        <w:rPr>
          <w:noProof/>
        </w:rPr>
        <w:t>]</w:t>
      </w:r>
      <w:r w:rsidR="0073561E" w:rsidRPr="004C0478">
        <w:rPr>
          <w:noProof/>
        </w:rPr>
        <w:tab/>
        <w:t xml:space="preserve">B. Surowsky, O. Schlüter, D. Knorr, </w:t>
      </w:r>
      <w:r w:rsidR="0073561E" w:rsidRPr="004C0478">
        <w:rPr>
          <w:i/>
          <w:iCs/>
          <w:noProof/>
        </w:rPr>
        <w:t xml:space="preserve">Food Eng. Rev. </w:t>
      </w:r>
      <w:r w:rsidR="0073561E" w:rsidRPr="004C0478">
        <w:rPr>
          <w:b/>
          <w:iCs/>
          <w:noProof/>
        </w:rPr>
        <w:t>2014</w:t>
      </w:r>
      <w:r w:rsidR="0073561E" w:rsidRPr="004C0478">
        <w:rPr>
          <w:noProof/>
        </w:rPr>
        <w:t xml:space="preserve">, </w:t>
      </w:r>
      <w:r w:rsidR="0073561E" w:rsidRPr="004C0478">
        <w:rPr>
          <w:i/>
          <w:noProof/>
        </w:rPr>
        <w:t>7</w:t>
      </w:r>
      <w:r w:rsidR="0073561E" w:rsidRPr="004C0478">
        <w:rPr>
          <w:noProof/>
        </w:rPr>
        <w:t>, 82.</w:t>
      </w:r>
    </w:p>
    <w:p w:rsidR="0073561E" w:rsidRPr="004C0478" w:rsidRDefault="0097361B" w:rsidP="0073561E">
      <w:pPr>
        <w:pStyle w:val="main"/>
        <w:rPr>
          <w:noProof/>
        </w:rPr>
      </w:pPr>
      <w:r w:rsidRPr="004C0478">
        <w:rPr>
          <w:noProof/>
        </w:rPr>
        <w:lastRenderedPageBreak/>
        <w:t>[56</w:t>
      </w:r>
      <w:r w:rsidR="0073561E" w:rsidRPr="004C0478">
        <w:rPr>
          <w:noProof/>
        </w:rPr>
        <w:t>]</w:t>
      </w:r>
      <w:r w:rsidR="0073561E" w:rsidRPr="004C0478">
        <w:rPr>
          <w:noProof/>
        </w:rPr>
        <w:tab/>
        <w:t xml:space="preserve">R. Thirumdas, C. Sarangapani, U. S. Annapure, </w:t>
      </w:r>
      <w:r w:rsidR="0073561E" w:rsidRPr="004C0478">
        <w:rPr>
          <w:i/>
          <w:iCs/>
          <w:noProof/>
        </w:rPr>
        <w:t>Food Biophys.</w:t>
      </w:r>
      <w:r w:rsidR="0073561E" w:rsidRPr="004C0478">
        <w:rPr>
          <w:b/>
          <w:noProof/>
        </w:rPr>
        <w:t xml:space="preserve"> 2014</w:t>
      </w:r>
      <w:r w:rsidR="0073561E" w:rsidRPr="004C0478">
        <w:rPr>
          <w:noProof/>
        </w:rPr>
        <w:t xml:space="preserve">, </w:t>
      </w:r>
      <w:r w:rsidR="0073561E" w:rsidRPr="004C0478">
        <w:rPr>
          <w:i/>
          <w:noProof/>
        </w:rPr>
        <w:t>10</w:t>
      </w:r>
      <w:r w:rsidR="0073561E" w:rsidRPr="004C0478">
        <w:rPr>
          <w:noProof/>
        </w:rPr>
        <w:t>, 1.</w:t>
      </w:r>
    </w:p>
    <w:p w:rsidR="00F73029" w:rsidRPr="004C0478" w:rsidRDefault="00F73029" w:rsidP="00F73029">
      <w:pPr>
        <w:pStyle w:val="Literature"/>
        <w:rPr>
          <w:lang w:val="en-US"/>
        </w:rPr>
      </w:pPr>
    </w:p>
    <w:p w:rsidR="0056619B" w:rsidRPr="004C0478" w:rsidRDefault="0097361B" w:rsidP="00CA4578">
      <w:pPr>
        <w:jc w:val="both"/>
        <w:rPr>
          <w:lang w:val="en-US"/>
        </w:rPr>
      </w:pPr>
      <w:r w:rsidRPr="004C0478">
        <w:rPr>
          <w:lang w:val="en-US"/>
        </w:rPr>
        <w:t>Dr</w:t>
      </w:r>
      <w:r w:rsidR="001205D4" w:rsidRPr="004C0478">
        <w:rPr>
          <w:lang w:val="en-US"/>
        </w:rPr>
        <w:t>. C. Smet</w:t>
      </w:r>
      <w:r w:rsidR="0056619B" w:rsidRPr="004C0478">
        <w:rPr>
          <w:lang w:val="en-US"/>
        </w:rPr>
        <w:t xml:space="preserve"> received her M.Sc. degrees in Chemical Engineering (2011) and Safety Engineering (2012) from the KU Leuven. She joined the BioTeC+ research division in 2012 and </w:t>
      </w:r>
      <w:r w:rsidRPr="004C0478">
        <w:rPr>
          <w:lang w:val="en-US"/>
        </w:rPr>
        <w:t>obtained her PhD May 2017</w:t>
      </w:r>
      <w:r w:rsidR="0056619B" w:rsidRPr="004C0478">
        <w:rPr>
          <w:lang w:val="en-US"/>
        </w:rPr>
        <w:t xml:space="preserve">. She has been working in the field of nonthermal food processing. Her research relates to the application of Cold Atmospheric Plasma (CAP) for food decontamination. More specifically, </w:t>
      </w:r>
      <w:r w:rsidR="001205D4" w:rsidRPr="004C0478">
        <w:rPr>
          <w:lang w:val="en-US"/>
        </w:rPr>
        <w:t>by studying</w:t>
      </w:r>
      <w:r w:rsidR="0056619B" w:rsidRPr="004C0478">
        <w:rPr>
          <w:lang w:val="en-US"/>
        </w:rPr>
        <w:t xml:space="preserve"> the influence of the food properties (e.g., food (micro)structure or salt concentration) on the CAP efficacy</w:t>
      </w:r>
      <w:r w:rsidR="001205D4" w:rsidRPr="004C0478">
        <w:rPr>
          <w:lang w:val="en-US"/>
        </w:rPr>
        <w:t>, during treatment and storage</w:t>
      </w:r>
      <w:r w:rsidR="0056619B" w:rsidRPr="004C0478">
        <w:rPr>
          <w:lang w:val="en-US"/>
        </w:rPr>
        <w:t xml:space="preserve">. </w:t>
      </w:r>
    </w:p>
    <w:p w:rsidR="00352459" w:rsidRPr="004C0478" w:rsidRDefault="00352459" w:rsidP="00CA4578">
      <w:pPr>
        <w:jc w:val="both"/>
        <w:rPr>
          <w:lang w:val="en-US"/>
        </w:rPr>
      </w:pPr>
    </w:p>
    <w:p w:rsidR="00352459" w:rsidRPr="004C0478" w:rsidRDefault="00352459" w:rsidP="00CA4578">
      <w:pPr>
        <w:jc w:val="both"/>
        <w:rPr>
          <w:lang w:val="en-US"/>
        </w:rPr>
      </w:pPr>
      <w:r w:rsidRPr="004C0478">
        <w:rPr>
          <w:noProof/>
          <w:lang w:val="en-GB" w:eastAsia="en-GB"/>
        </w:rPr>
        <w:drawing>
          <wp:inline distT="0" distB="0" distL="0" distR="0" wp14:anchorId="3D4C10A1" wp14:editId="2A26D438">
            <wp:extent cx="1325632" cy="1800000"/>
            <wp:effectExtent l="0" t="0" r="8255" b="0"/>
            <wp:docPr id="3" name="Picture 3" descr="Cindy S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dy Smet"/>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325632" cy="1800000"/>
                    </a:xfrm>
                    <a:prstGeom prst="rect">
                      <a:avLst/>
                    </a:prstGeom>
                    <a:noFill/>
                    <a:ln>
                      <a:noFill/>
                    </a:ln>
                  </pic:spPr>
                </pic:pic>
              </a:graphicData>
            </a:graphic>
          </wp:inline>
        </w:drawing>
      </w:r>
    </w:p>
    <w:p w:rsidR="003006D4" w:rsidRPr="004C0478" w:rsidRDefault="003006D4" w:rsidP="00CA4578">
      <w:pPr>
        <w:jc w:val="both"/>
        <w:rPr>
          <w:lang w:val="en-US"/>
        </w:rPr>
      </w:pPr>
    </w:p>
    <w:p w:rsidR="003006D4" w:rsidRPr="004C0478" w:rsidRDefault="003006D4" w:rsidP="00CA4578">
      <w:pPr>
        <w:jc w:val="both"/>
        <w:rPr>
          <w:lang w:val="en-US"/>
        </w:rPr>
      </w:pPr>
      <w:r w:rsidRPr="004C0478">
        <w:rPr>
          <w:lang w:val="en-US"/>
        </w:rPr>
        <w:t xml:space="preserve">Prof. J. Van Impe obtained a master’s degree in electrical and mechanical engineering from the University of Gent </w:t>
      </w:r>
      <w:r w:rsidR="002E10C0" w:rsidRPr="004C0478">
        <w:rPr>
          <w:lang w:val="en-US"/>
        </w:rPr>
        <w:t>(</w:t>
      </w:r>
      <w:r w:rsidRPr="004C0478">
        <w:rPr>
          <w:lang w:val="en-US"/>
        </w:rPr>
        <w:t>1988</w:t>
      </w:r>
      <w:r w:rsidR="002E10C0" w:rsidRPr="004C0478">
        <w:rPr>
          <w:lang w:val="en-US"/>
        </w:rPr>
        <w:t>)</w:t>
      </w:r>
      <w:r w:rsidRPr="004C0478">
        <w:rPr>
          <w:lang w:val="en-US"/>
        </w:rPr>
        <w:t xml:space="preserve">, and a doctorate in applied sciences from the KU Leuven </w:t>
      </w:r>
      <w:r w:rsidR="002E10C0" w:rsidRPr="004C0478">
        <w:rPr>
          <w:lang w:val="en-US"/>
        </w:rPr>
        <w:t>(1</w:t>
      </w:r>
      <w:r w:rsidRPr="004C0478">
        <w:rPr>
          <w:lang w:val="en-US"/>
        </w:rPr>
        <w:t>993</w:t>
      </w:r>
      <w:r w:rsidR="002E10C0" w:rsidRPr="004C0478">
        <w:rPr>
          <w:lang w:val="en-US"/>
        </w:rPr>
        <w:t>)</w:t>
      </w:r>
      <w:r w:rsidRPr="004C0478">
        <w:rPr>
          <w:lang w:val="en-US"/>
        </w:rPr>
        <w:t xml:space="preserve">. </w:t>
      </w:r>
      <w:r w:rsidR="002E10C0" w:rsidRPr="004C0478">
        <w:rPr>
          <w:lang w:val="en-US"/>
        </w:rPr>
        <w:t>H</w:t>
      </w:r>
      <w:r w:rsidRPr="004C0478">
        <w:rPr>
          <w:lang w:val="en-US"/>
        </w:rPr>
        <w:t>e founded the BioTeC</w:t>
      </w:r>
      <w:r w:rsidR="00511041" w:rsidRPr="004C0478">
        <w:rPr>
          <w:lang w:val="en-US"/>
        </w:rPr>
        <w:t>+</w:t>
      </w:r>
      <w:r w:rsidRPr="004C0478">
        <w:rPr>
          <w:lang w:val="en-US"/>
        </w:rPr>
        <w:t xml:space="preserve"> (Chemical and Biochemical Process </w:t>
      </w:r>
      <w:r w:rsidR="00511041" w:rsidRPr="004C0478">
        <w:rPr>
          <w:lang w:val="en-US"/>
        </w:rPr>
        <w:t>Technology and Control</w:t>
      </w:r>
      <w:r w:rsidRPr="004C0478">
        <w:rPr>
          <w:lang w:val="en-US"/>
        </w:rPr>
        <w:t>)</w:t>
      </w:r>
      <w:r w:rsidR="00511041" w:rsidRPr="004C0478">
        <w:rPr>
          <w:lang w:val="en-US"/>
        </w:rPr>
        <w:t xml:space="preserve"> research group</w:t>
      </w:r>
      <w:r w:rsidR="002E10C0" w:rsidRPr="004C0478">
        <w:rPr>
          <w:lang w:val="en-US"/>
        </w:rPr>
        <w:t>, focusing on model based design, optimization and control of (bio-)chemical conversion processes, with applications in bioreactors, biological wast</w:t>
      </w:r>
      <w:r w:rsidR="00EA3231" w:rsidRPr="004C0478">
        <w:rPr>
          <w:lang w:val="en-US"/>
        </w:rPr>
        <w:t>e</w:t>
      </w:r>
      <w:r w:rsidR="002E10C0" w:rsidRPr="004C0478">
        <w:rPr>
          <w:lang w:val="en-US"/>
        </w:rPr>
        <w:t xml:space="preserve">water treatment systems and predictive microbiology. </w:t>
      </w:r>
      <w:r w:rsidR="00EA3231" w:rsidRPr="004C0478">
        <w:rPr>
          <w:lang w:val="en-US"/>
        </w:rPr>
        <w:t>H</w:t>
      </w:r>
      <w:r w:rsidR="00511041" w:rsidRPr="004C0478">
        <w:rPr>
          <w:lang w:val="en-US"/>
        </w:rPr>
        <w:t>e is a full professor at the Department of Chemical Engineering.</w:t>
      </w:r>
      <w:r w:rsidRPr="004C0478">
        <w:rPr>
          <w:lang w:val="en-US"/>
        </w:rPr>
        <w:t xml:space="preserve"> </w:t>
      </w:r>
      <w:r w:rsidR="00511041" w:rsidRPr="004C0478">
        <w:rPr>
          <w:lang w:val="en-US"/>
        </w:rPr>
        <w:t xml:space="preserve">In the period 2005-2011 he has served as </w:t>
      </w:r>
      <w:r w:rsidR="002E10C0" w:rsidRPr="004C0478">
        <w:rPr>
          <w:lang w:val="en-US"/>
        </w:rPr>
        <w:t>Departmental Head, while during the period 2006-2015 he was a visiting professor at the UAntwerpen.</w:t>
      </w:r>
    </w:p>
    <w:p w:rsidR="00A54EA0" w:rsidRPr="004C0478" w:rsidRDefault="00A54EA0" w:rsidP="00A54EA0">
      <w:pPr>
        <w:pStyle w:val="Biography"/>
      </w:pPr>
    </w:p>
    <w:p w:rsidR="00352459" w:rsidRPr="004C0478" w:rsidRDefault="00352459" w:rsidP="00BF3303">
      <w:pPr>
        <w:rPr>
          <w:b/>
          <w:lang w:val="en-US"/>
        </w:rPr>
      </w:pPr>
      <w:r w:rsidRPr="004C0478">
        <w:rPr>
          <w:noProof/>
          <w:lang w:val="en-GB" w:eastAsia="en-GB"/>
        </w:rPr>
        <w:drawing>
          <wp:inline distT="0" distB="0" distL="0" distR="0" wp14:anchorId="2EA8391E" wp14:editId="06A40666">
            <wp:extent cx="1200999" cy="1800000"/>
            <wp:effectExtent l="0" t="0" r="0" b="0"/>
            <wp:docPr id="4" name="Picture 4" descr="Afbeeldingsresultaat voor jan van i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jan van impe"/>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200999" cy="1800000"/>
                    </a:xfrm>
                    <a:prstGeom prst="rect">
                      <a:avLst/>
                    </a:prstGeom>
                    <a:noFill/>
                    <a:ln>
                      <a:noFill/>
                    </a:ln>
                  </pic:spPr>
                </pic:pic>
              </a:graphicData>
            </a:graphic>
          </wp:inline>
        </w:drawing>
      </w:r>
    </w:p>
    <w:p w:rsidR="00352459" w:rsidRPr="004C0478" w:rsidRDefault="00352459" w:rsidP="00BF3303">
      <w:pPr>
        <w:rPr>
          <w:b/>
          <w:lang w:val="en-US"/>
        </w:rPr>
      </w:pPr>
    </w:p>
    <w:p w:rsidR="00352459" w:rsidRPr="004C0478" w:rsidRDefault="00352459" w:rsidP="00BF3303">
      <w:pPr>
        <w:rPr>
          <w:b/>
          <w:sz w:val="28"/>
          <w:lang w:val="en-US"/>
        </w:rPr>
      </w:pPr>
    </w:p>
    <w:p w:rsidR="00FC39FD" w:rsidRPr="004C0478" w:rsidRDefault="00FC39FD" w:rsidP="00BF3303">
      <w:pPr>
        <w:rPr>
          <w:b/>
          <w:sz w:val="28"/>
          <w:lang w:val="en-US"/>
        </w:rPr>
      </w:pPr>
      <w:r w:rsidRPr="004C0478">
        <w:rPr>
          <w:b/>
          <w:sz w:val="28"/>
          <w:lang w:val="en-US"/>
        </w:rPr>
        <w:t>Graphical Abstract</w:t>
      </w:r>
    </w:p>
    <w:p w:rsidR="00FC39FD" w:rsidRPr="004C0478" w:rsidRDefault="00FC39FD" w:rsidP="00BF3303">
      <w:pPr>
        <w:rPr>
          <w:b/>
          <w:lang w:val="en-US"/>
        </w:rPr>
      </w:pPr>
    </w:p>
    <w:p w:rsidR="00BF3303" w:rsidRPr="004C0478" w:rsidRDefault="00CD7D6E" w:rsidP="00CD7D6E">
      <w:pPr>
        <w:pStyle w:val="main"/>
        <w:spacing w:line="240" w:lineRule="auto"/>
      </w:pPr>
      <w:r w:rsidRPr="004C0478">
        <w:rPr>
          <w:b/>
        </w:rPr>
        <w:t>CAP treatment is often case specific and its efficacy depends on multiple factors.</w:t>
      </w:r>
      <w:r w:rsidRPr="004C0478">
        <w:t xml:space="preserve"> In this work, the effect of these factors is discussed: set-up, microorganism, sample and protocol. In addition, suggestions on how to tackle gaps and challenges in CAP related research are </w:t>
      </w:r>
      <w:r w:rsidRPr="004C0478">
        <w:lastRenderedPageBreak/>
        <w:t>provided. By taking into account some critical points regarding the experimental design, a successful treatment can be ensured.</w:t>
      </w:r>
    </w:p>
    <w:p w:rsidR="00CD7D6E" w:rsidRPr="004C0478" w:rsidRDefault="00CD7D6E" w:rsidP="00BF3303">
      <w:pPr>
        <w:pStyle w:val="Tableofcontents"/>
      </w:pPr>
    </w:p>
    <w:p w:rsidR="00BF3303" w:rsidRPr="004C0478" w:rsidRDefault="00CD7D6E" w:rsidP="00BF3303">
      <w:pPr>
        <w:pStyle w:val="Tableofcontents"/>
        <w:rPr>
          <w:lang w:val="nl-BE"/>
        </w:rPr>
      </w:pPr>
      <w:r w:rsidRPr="004C0478">
        <w:rPr>
          <w:lang w:val="nl-BE"/>
        </w:rPr>
        <w:t xml:space="preserve">C. Smet, M. Baka, </w:t>
      </w:r>
      <w:r w:rsidR="006975F7" w:rsidRPr="004C0478">
        <w:rPr>
          <w:lang w:val="nl-BE"/>
        </w:rPr>
        <w:t xml:space="preserve">A. Dickenson, </w:t>
      </w:r>
      <w:r w:rsidRPr="004C0478">
        <w:rPr>
          <w:lang w:val="nl-BE"/>
        </w:rPr>
        <w:t>J. L. Walsh, V. P. Valdramidis, J. F. Van Impe*</w:t>
      </w:r>
    </w:p>
    <w:p w:rsidR="00CD7D6E" w:rsidRPr="004C0478" w:rsidRDefault="00CD7D6E" w:rsidP="00BF3303">
      <w:pPr>
        <w:pStyle w:val="Tableofcontents"/>
        <w:rPr>
          <w:lang w:val="nl-BE"/>
        </w:rPr>
      </w:pPr>
    </w:p>
    <w:p w:rsidR="00BF3303" w:rsidRPr="004C0478" w:rsidRDefault="0056619B" w:rsidP="00BF3303">
      <w:pPr>
        <w:pStyle w:val="Tableofcontents"/>
        <w:rPr>
          <w:b/>
        </w:rPr>
      </w:pPr>
      <w:r w:rsidRPr="004C0478">
        <w:rPr>
          <w:b/>
        </w:rPr>
        <w:t xml:space="preserve">Critical </w:t>
      </w:r>
      <w:r w:rsidR="002C6751" w:rsidRPr="004C0478">
        <w:rPr>
          <w:b/>
        </w:rPr>
        <w:t>a</w:t>
      </w:r>
      <w:r w:rsidR="00626A1E" w:rsidRPr="004C0478">
        <w:rPr>
          <w:b/>
        </w:rPr>
        <w:t>ssessment of the antimicrobial efficacy of cold atmospheric plasma for different intrinsic and extrinsic parameters</w:t>
      </w:r>
      <w:r w:rsidR="004638AB" w:rsidRPr="004C0478">
        <w:rPr>
          <w:b/>
        </w:rPr>
        <w:t xml:space="preserve"> </w:t>
      </w:r>
    </w:p>
    <w:p w:rsidR="00CD7D6E" w:rsidRPr="004C0478" w:rsidRDefault="00CD7D6E" w:rsidP="00BF3303">
      <w:pPr>
        <w:pStyle w:val="Tableofcontents"/>
      </w:pPr>
    </w:p>
    <w:p w:rsidR="00550D6D" w:rsidRPr="004C0478" w:rsidRDefault="00CA45C5" w:rsidP="00550D6D">
      <w:pPr>
        <w:pStyle w:val="Tableofcontents"/>
      </w:pPr>
      <w:r w:rsidRPr="004C0478">
        <w:rPr>
          <w:noProof/>
          <w:lang w:val="en-GB" w:eastAsia="en-GB"/>
        </w:rPr>
        <w:drawing>
          <wp:inline distT="0" distB="0" distL="0" distR="0" wp14:anchorId="5D962A01" wp14:editId="64D655FB">
            <wp:extent cx="1984375" cy="1449070"/>
            <wp:effectExtent l="0" t="0" r="0" b="0"/>
            <wp:docPr id="10" name="Picture 10" descr="C:\Users\u0086670\Dropbox\PhD\Experiments\Plasma inactivation\paper CAP critical review\Critical assessment data\fig_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86670\Dropbox\PhD\Experiments\Plasma inactivation\paper CAP critical review\Critical assessment data\fig_to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4375" cy="1449070"/>
                    </a:xfrm>
                    <a:prstGeom prst="rect">
                      <a:avLst/>
                    </a:prstGeom>
                    <a:noFill/>
                    <a:ln>
                      <a:noFill/>
                    </a:ln>
                  </pic:spPr>
                </pic:pic>
              </a:graphicData>
            </a:graphic>
          </wp:inline>
        </w:drawing>
      </w:r>
    </w:p>
    <w:p w:rsidR="00550D6D" w:rsidRPr="004C0478" w:rsidRDefault="00550D6D" w:rsidP="00550D6D">
      <w:pPr>
        <w:pStyle w:val="Tableofcontents"/>
      </w:pPr>
    </w:p>
    <w:p w:rsidR="00550D6D" w:rsidRPr="004C0478" w:rsidRDefault="00550D6D">
      <w:pPr>
        <w:rPr>
          <w:lang w:val="en-US"/>
        </w:rPr>
      </w:pPr>
    </w:p>
    <w:p w:rsidR="00550D6D" w:rsidRPr="004C0478" w:rsidRDefault="00550D6D">
      <w:pPr>
        <w:rPr>
          <w:lang w:val="en-US"/>
        </w:rPr>
      </w:pPr>
    </w:p>
    <w:p w:rsidR="00040A8F" w:rsidRPr="004C0478" w:rsidRDefault="00040A8F" w:rsidP="00FE023B">
      <w:pPr>
        <w:rPr>
          <w:lang w:val="en-US"/>
        </w:rPr>
      </w:pPr>
    </w:p>
    <w:sectPr w:rsidR="00040A8F" w:rsidRPr="004C0478" w:rsidSect="00F67EB7">
      <w:headerReference w:type="default" r:id="rId17"/>
      <w:footerReference w:type="default" r:id="rId18"/>
      <w:footnotePr>
        <w:numFmt w:val="lowerLetter"/>
      </w:foot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2C4" w:rsidRDefault="001402C4">
      <w:r>
        <w:separator/>
      </w:r>
    </w:p>
  </w:endnote>
  <w:endnote w:type="continuationSeparator" w:id="0">
    <w:p w:rsidR="001402C4" w:rsidRDefault="00140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A87" w:rsidRDefault="00875A87" w:rsidP="004A2C9C">
    <w:pPr>
      <w:pStyle w:val="Footer"/>
    </w:pPr>
    <w:r>
      <w:tab/>
      <w:t xml:space="preserve">- </w:t>
    </w:r>
    <w:r>
      <w:fldChar w:fldCharType="begin"/>
    </w:r>
    <w:r>
      <w:instrText xml:space="preserve"> PAGE </w:instrText>
    </w:r>
    <w:r>
      <w:fldChar w:fldCharType="separate"/>
    </w:r>
    <w:r w:rsidR="004C0478">
      <w:rPr>
        <w:noProof/>
      </w:rPr>
      <w:t>3</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2C4" w:rsidRDefault="001402C4">
      <w:r>
        <w:separator/>
      </w:r>
    </w:p>
  </w:footnote>
  <w:footnote w:type="continuationSeparator" w:id="0">
    <w:p w:rsidR="001402C4" w:rsidRDefault="00140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A87" w:rsidRDefault="00875A87">
    <w:pPr>
      <w:pStyle w:val="Heade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pc" style="width:11.4pt;height:11.4pt;visibility:visible" o:bullet="t">
        <v:imagedata r:id="rId1" o:title="pc"/>
      </v:shape>
    </w:pict>
  </w:numPicBullet>
  <w:abstractNum w:abstractNumId="0" w15:restartNumberingAfterBreak="0">
    <w:nsid w:val="1F094376"/>
    <w:multiLevelType w:val="hybridMultilevel"/>
    <w:tmpl w:val="83200242"/>
    <w:lvl w:ilvl="0" w:tplc="14FA2D00">
      <w:start w:val="1"/>
      <w:numFmt w:val="bullet"/>
      <w:lvlText w:val=""/>
      <w:lvlPicBulletId w:val="0"/>
      <w:lvlJc w:val="left"/>
      <w:pPr>
        <w:tabs>
          <w:tab w:val="num" w:pos="720"/>
        </w:tabs>
        <w:ind w:left="720" w:hanging="360"/>
      </w:pPr>
      <w:rPr>
        <w:rFonts w:ascii="Symbol" w:hAnsi="Symbol" w:hint="default"/>
      </w:rPr>
    </w:lvl>
    <w:lvl w:ilvl="1" w:tplc="D58AA884" w:tentative="1">
      <w:start w:val="1"/>
      <w:numFmt w:val="bullet"/>
      <w:lvlText w:val=""/>
      <w:lvlJc w:val="left"/>
      <w:pPr>
        <w:tabs>
          <w:tab w:val="num" w:pos="1440"/>
        </w:tabs>
        <w:ind w:left="1440" w:hanging="360"/>
      </w:pPr>
      <w:rPr>
        <w:rFonts w:ascii="Symbol" w:hAnsi="Symbol" w:hint="default"/>
      </w:rPr>
    </w:lvl>
    <w:lvl w:ilvl="2" w:tplc="6F023508" w:tentative="1">
      <w:start w:val="1"/>
      <w:numFmt w:val="bullet"/>
      <w:lvlText w:val=""/>
      <w:lvlJc w:val="left"/>
      <w:pPr>
        <w:tabs>
          <w:tab w:val="num" w:pos="2160"/>
        </w:tabs>
        <w:ind w:left="2160" w:hanging="360"/>
      </w:pPr>
      <w:rPr>
        <w:rFonts w:ascii="Symbol" w:hAnsi="Symbol" w:hint="default"/>
      </w:rPr>
    </w:lvl>
    <w:lvl w:ilvl="3" w:tplc="DFB6E300" w:tentative="1">
      <w:start w:val="1"/>
      <w:numFmt w:val="bullet"/>
      <w:lvlText w:val=""/>
      <w:lvlJc w:val="left"/>
      <w:pPr>
        <w:tabs>
          <w:tab w:val="num" w:pos="2880"/>
        </w:tabs>
        <w:ind w:left="2880" w:hanging="360"/>
      </w:pPr>
      <w:rPr>
        <w:rFonts w:ascii="Symbol" w:hAnsi="Symbol" w:hint="default"/>
      </w:rPr>
    </w:lvl>
    <w:lvl w:ilvl="4" w:tplc="3D0C5894" w:tentative="1">
      <w:start w:val="1"/>
      <w:numFmt w:val="bullet"/>
      <w:lvlText w:val=""/>
      <w:lvlJc w:val="left"/>
      <w:pPr>
        <w:tabs>
          <w:tab w:val="num" w:pos="3600"/>
        </w:tabs>
        <w:ind w:left="3600" w:hanging="360"/>
      </w:pPr>
      <w:rPr>
        <w:rFonts w:ascii="Symbol" w:hAnsi="Symbol" w:hint="default"/>
      </w:rPr>
    </w:lvl>
    <w:lvl w:ilvl="5" w:tplc="8C8A04E4" w:tentative="1">
      <w:start w:val="1"/>
      <w:numFmt w:val="bullet"/>
      <w:lvlText w:val=""/>
      <w:lvlJc w:val="left"/>
      <w:pPr>
        <w:tabs>
          <w:tab w:val="num" w:pos="4320"/>
        </w:tabs>
        <w:ind w:left="4320" w:hanging="360"/>
      </w:pPr>
      <w:rPr>
        <w:rFonts w:ascii="Symbol" w:hAnsi="Symbol" w:hint="default"/>
      </w:rPr>
    </w:lvl>
    <w:lvl w:ilvl="6" w:tplc="0DE4694C" w:tentative="1">
      <w:start w:val="1"/>
      <w:numFmt w:val="bullet"/>
      <w:lvlText w:val=""/>
      <w:lvlJc w:val="left"/>
      <w:pPr>
        <w:tabs>
          <w:tab w:val="num" w:pos="5040"/>
        </w:tabs>
        <w:ind w:left="5040" w:hanging="360"/>
      </w:pPr>
      <w:rPr>
        <w:rFonts w:ascii="Symbol" w:hAnsi="Symbol" w:hint="default"/>
      </w:rPr>
    </w:lvl>
    <w:lvl w:ilvl="7" w:tplc="092C1DEC" w:tentative="1">
      <w:start w:val="1"/>
      <w:numFmt w:val="bullet"/>
      <w:lvlText w:val=""/>
      <w:lvlJc w:val="left"/>
      <w:pPr>
        <w:tabs>
          <w:tab w:val="num" w:pos="5760"/>
        </w:tabs>
        <w:ind w:left="5760" w:hanging="360"/>
      </w:pPr>
      <w:rPr>
        <w:rFonts w:ascii="Symbol" w:hAnsi="Symbol" w:hint="default"/>
      </w:rPr>
    </w:lvl>
    <w:lvl w:ilvl="8" w:tplc="33BABF9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4487930"/>
    <w:multiLevelType w:val="hybridMultilevel"/>
    <w:tmpl w:val="D0E8E726"/>
    <w:lvl w:ilvl="0" w:tplc="271E198A">
      <w:start w:val="1"/>
      <w:numFmt w:val="bullet"/>
      <w:lvlText w:val=""/>
      <w:lvlPicBulletId w:val="0"/>
      <w:lvlJc w:val="left"/>
      <w:pPr>
        <w:tabs>
          <w:tab w:val="num" w:pos="720"/>
        </w:tabs>
        <w:ind w:left="720" w:hanging="360"/>
      </w:pPr>
      <w:rPr>
        <w:rFonts w:ascii="Symbol" w:hAnsi="Symbol" w:hint="default"/>
      </w:rPr>
    </w:lvl>
    <w:lvl w:ilvl="1" w:tplc="4162D20C" w:tentative="1">
      <w:start w:val="1"/>
      <w:numFmt w:val="bullet"/>
      <w:lvlText w:val=""/>
      <w:lvlJc w:val="left"/>
      <w:pPr>
        <w:tabs>
          <w:tab w:val="num" w:pos="1440"/>
        </w:tabs>
        <w:ind w:left="1440" w:hanging="360"/>
      </w:pPr>
      <w:rPr>
        <w:rFonts w:ascii="Symbol" w:hAnsi="Symbol" w:hint="default"/>
      </w:rPr>
    </w:lvl>
    <w:lvl w:ilvl="2" w:tplc="9072CB76" w:tentative="1">
      <w:start w:val="1"/>
      <w:numFmt w:val="bullet"/>
      <w:lvlText w:val=""/>
      <w:lvlJc w:val="left"/>
      <w:pPr>
        <w:tabs>
          <w:tab w:val="num" w:pos="2160"/>
        </w:tabs>
        <w:ind w:left="2160" w:hanging="360"/>
      </w:pPr>
      <w:rPr>
        <w:rFonts w:ascii="Symbol" w:hAnsi="Symbol" w:hint="default"/>
      </w:rPr>
    </w:lvl>
    <w:lvl w:ilvl="3" w:tplc="078CDDAC" w:tentative="1">
      <w:start w:val="1"/>
      <w:numFmt w:val="bullet"/>
      <w:lvlText w:val=""/>
      <w:lvlJc w:val="left"/>
      <w:pPr>
        <w:tabs>
          <w:tab w:val="num" w:pos="2880"/>
        </w:tabs>
        <w:ind w:left="2880" w:hanging="360"/>
      </w:pPr>
      <w:rPr>
        <w:rFonts w:ascii="Symbol" w:hAnsi="Symbol" w:hint="default"/>
      </w:rPr>
    </w:lvl>
    <w:lvl w:ilvl="4" w:tplc="B44A339A" w:tentative="1">
      <w:start w:val="1"/>
      <w:numFmt w:val="bullet"/>
      <w:lvlText w:val=""/>
      <w:lvlJc w:val="left"/>
      <w:pPr>
        <w:tabs>
          <w:tab w:val="num" w:pos="3600"/>
        </w:tabs>
        <w:ind w:left="3600" w:hanging="360"/>
      </w:pPr>
      <w:rPr>
        <w:rFonts w:ascii="Symbol" w:hAnsi="Symbol" w:hint="default"/>
      </w:rPr>
    </w:lvl>
    <w:lvl w:ilvl="5" w:tplc="2CCAA812" w:tentative="1">
      <w:start w:val="1"/>
      <w:numFmt w:val="bullet"/>
      <w:lvlText w:val=""/>
      <w:lvlJc w:val="left"/>
      <w:pPr>
        <w:tabs>
          <w:tab w:val="num" w:pos="4320"/>
        </w:tabs>
        <w:ind w:left="4320" w:hanging="360"/>
      </w:pPr>
      <w:rPr>
        <w:rFonts w:ascii="Symbol" w:hAnsi="Symbol" w:hint="default"/>
      </w:rPr>
    </w:lvl>
    <w:lvl w:ilvl="6" w:tplc="2C9E2FF4" w:tentative="1">
      <w:start w:val="1"/>
      <w:numFmt w:val="bullet"/>
      <w:lvlText w:val=""/>
      <w:lvlJc w:val="left"/>
      <w:pPr>
        <w:tabs>
          <w:tab w:val="num" w:pos="5040"/>
        </w:tabs>
        <w:ind w:left="5040" w:hanging="360"/>
      </w:pPr>
      <w:rPr>
        <w:rFonts w:ascii="Symbol" w:hAnsi="Symbol" w:hint="default"/>
      </w:rPr>
    </w:lvl>
    <w:lvl w:ilvl="7" w:tplc="105CFC5A" w:tentative="1">
      <w:start w:val="1"/>
      <w:numFmt w:val="bullet"/>
      <w:lvlText w:val=""/>
      <w:lvlJc w:val="left"/>
      <w:pPr>
        <w:tabs>
          <w:tab w:val="num" w:pos="5760"/>
        </w:tabs>
        <w:ind w:left="5760" w:hanging="360"/>
      </w:pPr>
      <w:rPr>
        <w:rFonts w:ascii="Symbol" w:hAnsi="Symbol" w:hint="default"/>
      </w:rPr>
    </w:lvl>
    <w:lvl w:ilvl="8" w:tplc="A23A038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A1E"/>
    <w:rsid w:val="00005A43"/>
    <w:rsid w:val="00007273"/>
    <w:rsid w:val="00015204"/>
    <w:rsid w:val="0001630B"/>
    <w:rsid w:val="00016803"/>
    <w:rsid w:val="00021E5F"/>
    <w:rsid w:val="00021FA7"/>
    <w:rsid w:val="00024AF1"/>
    <w:rsid w:val="00026B7D"/>
    <w:rsid w:val="00030537"/>
    <w:rsid w:val="00033850"/>
    <w:rsid w:val="0004057C"/>
    <w:rsid w:val="00040A8F"/>
    <w:rsid w:val="0004764F"/>
    <w:rsid w:val="00047F7F"/>
    <w:rsid w:val="0005475C"/>
    <w:rsid w:val="0006034E"/>
    <w:rsid w:val="00061346"/>
    <w:rsid w:val="000635D4"/>
    <w:rsid w:val="00066669"/>
    <w:rsid w:val="00070938"/>
    <w:rsid w:val="000759D5"/>
    <w:rsid w:val="00081C87"/>
    <w:rsid w:val="00083758"/>
    <w:rsid w:val="000846BA"/>
    <w:rsid w:val="000873A6"/>
    <w:rsid w:val="000915B5"/>
    <w:rsid w:val="00092F90"/>
    <w:rsid w:val="00097EA1"/>
    <w:rsid w:val="000A55B7"/>
    <w:rsid w:val="000B0DE7"/>
    <w:rsid w:val="000B2D3C"/>
    <w:rsid w:val="000B46D0"/>
    <w:rsid w:val="000B5136"/>
    <w:rsid w:val="000B780F"/>
    <w:rsid w:val="000C2EAF"/>
    <w:rsid w:val="000C30E8"/>
    <w:rsid w:val="000C3B90"/>
    <w:rsid w:val="000C6004"/>
    <w:rsid w:val="000D040F"/>
    <w:rsid w:val="000D4FAE"/>
    <w:rsid w:val="000E1731"/>
    <w:rsid w:val="000E185C"/>
    <w:rsid w:val="000E4747"/>
    <w:rsid w:val="000E48B4"/>
    <w:rsid w:val="000E6140"/>
    <w:rsid w:val="000F10DB"/>
    <w:rsid w:val="000F3D8E"/>
    <w:rsid w:val="000F40F2"/>
    <w:rsid w:val="000F4126"/>
    <w:rsid w:val="000F5784"/>
    <w:rsid w:val="0010160D"/>
    <w:rsid w:val="001020B5"/>
    <w:rsid w:val="0010312B"/>
    <w:rsid w:val="001042FF"/>
    <w:rsid w:val="00105624"/>
    <w:rsid w:val="00106991"/>
    <w:rsid w:val="00110047"/>
    <w:rsid w:val="00110815"/>
    <w:rsid w:val="001113C9"/>
    <w:rsid w:val="001124FB"/>
    <w:rsid w:val="00113E3E"/>
    <w:rsid w:val="00114188"/>
    <w:rsid w:val="001205D4"/>
    <w:rsid w:val="00122CF5"/>
    <w:rsid w:val="00122D74"/>
    <w:rsid w:val="00125480"/>
    <w:rsid w:val="001304DB"/>
    <w:rsid w:val="0013194B"/>
    <w:rsid w:val="00134919"/>
    <w:rsid w:val="001402C4"/>
    <w:rsid w:val="001423A8"/>
    <w:rsid w:val="001462FC"/>
    <w:rsid w:val="00153862"/>
    <w:rsid w:val="001619F9"/>
    <w:rsid w:val="00163AC2"/>
    <w:rsid w:val="001655B9"/>
    <w:rsid w:val="001802E2"/>
    <w:rsid w:val="00180576"/>
    <w:rsid w:val="00180967"/>
    <w:rsid w:val="00191D0D"/>
    <w:rsid w:val="00193500"/>
    <w:rsid w:val="001941BE"/>
    <w:rsid w:val="001A4144"/>
    <w:rsid w:val="001A73FC"/>
    <w:rsid w:val="001A7DDD"/>
    <w:rsid w:val="001B0CDE"/>
    <w:rsid w:val="001B3700"/>
    <w:rsid w:val="001B4994"/>
    <w:rsid w:val="001B6CC2"/>
    <w:rsid w:val="001B7E43"/>
    <w:rsid w:val="001C4FAF"/>
    <w:rsid w:val="001D32C0"/>
    <w:rsid w:val="001D5D76"/>
    <w:rsid w:val="001D69AF"/>
    <w:rsid w:val="001E2620"/>
    <w:rsid w:val="001E3648"/>
    <w:rsid w:val="001E5A3C"/>
    <w:rsid w:val="001E770E"/>
    <w:rsid w:val="001E7D9B"/>
    <w:rsid w:val="001F08E5"/>
    <w:rsid w:val="001F2889"/>
    <w:rsid w:val="001F75DA"/>
    <w:rsid w:val="00203822"/>
    <w:rsid w:val="002042A1"/>
    <w:rsid w:val="00206C15"/>
    <w:rsid w:val="00216F92"/>
    <w:rsid w:val="00223ACC"/>
    <w:rsid w:val="00225DFD"/>
    <w:rsid w:val="00226672"/>
    <w:rsid w:val="00227232"/>
    <w:rsid w:val="00236DF3"/>
    <w:rsid w:val="00241C68"/>
    <w:rsid w:val="0024394F"/>
    <w:rsid w:val="002442A8"/>
    <w:rsid w:val="002443D6"/>
    <w:rsid w:val="00245B5B"/>
    <w:rsid w:val="0024626A"/>
    <w:rsid w:val="00250042"/>
    <w:rsid w:val="00253C19"/>
    <w:rsid w:val="002557A0"/>
    <w:rsid w:val="0025657A"/>
    <w:rsid w:val="0026587A"/>
    <w:rsid w:val="002662A6"/>
    <w:rsid w:val="00270638"/>
    <w:rsid w:val="00273248"/>
    <w:rsid w:val="0027431D"/>
    <w:rsid w:val="002763EF"/>
    <w:rsid w:val="002776B5"/>
    <w:rsid w:val="002800A5"/>
    <w:rsid w:val="00281B31"/>
    <w:rsid w:val="00283652"/>
    <w:rsid w:val="002878CD"/>
    <w:rsid w:val="0029242D"/>
    <w:rsid w:val="00293C1D"/>
    <w:rsid w:val="002964CC"/>
    <w:rsid w:val="00296A86"/>
    <w:rsid w:val="002A2B19"/>
    <w:rsid w:val="002A39E1"/>
    <w:rsid w:val="002A3C70"/>
    <w:rsid w:val="002A7C64"/>
    <w:rsid w:val="002B3828"/>
    <w:rsid w:val="002C0346"/>
    <w:rsid w:val="002C470A"/>
    <w:rsid w:val="002C512C"/>
    <w:rsid w:val="002C6751"/>
    <w:rsid w:val="002D34E4"/>
    <w:rsid w:val="002D749E"/>
    <w:rsid w:val="002E10A9"/>
    <w:rsid w:val="002E10C0"/>
    <w:rsid w:val="002E27FD"/>
    <w:rsid w:val="002E67EF"/>
    <w:rsid w:val="002F5508"/>
    <w:rsid w:val="002F7EEE"/>
    <w:rsid w:val="003006D4"/>
    <w:rsid w:val="00301DEB"/>
    <w:rsid w:val="00304D8C"/>
    <w:rsid w:val="00305B75"/>
    <w:rsid w:val="003069FF"/>
    <w:rsid w:val="00310DC5"/>
    <w:rsid w:val="003160AF"/>
    <w:rsid w:val="00325463"/>
    <w:rsid w:val="0032707F"/>
    <w:rsid w:val="003302D0"/>
    <w:rsid w:val="0033453E"/>
    <w:rsid w:val="00337176"/>
    <w:rsid w:val="0034023B"/>
    <w:rsid w:val="00340639"/>
    <w:rsid w:val="00343AC3"/>
    <w:rsid w:val="003449D1"/>
    <w:rsid w:val="0034564C"/>
    <w:rsid w:val="00345843"/>
    <w:rsid w:val="0035224E"/>
    <w:rsid w:val="00352459"/>
    <w:rsid w:val="003538AC"/>
    <w:rsid w:val="00354979"/>
    <w:rsid w:val="00355C2D"/>
    <w:rsid w:val="00357973"/>
    <w:rsid w:val="003742DB"/>
    <w:rsid w:val="00375DFE"/>
    <w:rsid w:val="00376453"/>
    <w:rsid w:val="00376BCB"/>
    <w:rsid w:val="003807F0"/>
    <w:rsid w:val="00384D90"/>
    <w:rsid w:val="00385120"/>
    <w:rsid w:val="003855A5"/>
    <w:rsid w:val="00386B80"/>
    <w:rsid w:val="00390867"/>
    <w:rsid w:val="003A1679"/>
    <w:rsid w:val="003B293F"/>
    <w:rsid w:val="003B6146"/>
    <w:rsid w:val="003C253D"/>
    <w:rsid w:val="003C37AD"/>
    <w:rsid w:val="003C688B"/>
    <w:rsid w:val="003D340A"/>
    <w:rsid w:val="003D762E"/>
    <w:rsid w:val="003E1251"/>
    <w:rsid w:val="003E39DB"/>
    <w:rsid w:val="003E4FBA"/>
    <w:rsid w:val="003E71EA"/>
    <w:rsid w:val="003F031E"/>
    <w:rsid w:val="003F092A"/>
    <w:rsid w:val="003F3F62"/>
    <w:rsid w:val="003F6375"/>
    <w:rsid w:val="00403C99"/>
    <w:rsid w:val="004044A2"/>
    <w:rsid w:val="00405FB8"/>
    <w:rsid w:val="00413C1A"/>
    <w:rsid w:val="00414602"/>
    <w:rsid w:val="0041514E"/>
    <w:rsid w:val="00415C58"/>
    <w:rsid w:val="0041717A"/>
    <w:rsid w:val="00421051"/>
    <w:rsid w:val="00425189"/>
    <w:rsid w:val="00426B02"/>
    <w:rsid w:val="00427D07"/>
    <w:rsid w:val="00427F25"/>
    <w:rsid w:val="004311CF"/>
    <w:rsid w:val="00431B6D"/>
    <w:rsid w:val="00431DA4"/>
    <w:rsid w:val="00434CEA"/>
    <w:rsid w:val="00436551"/>
    <w:rsid w:val="004424AF"/>
    <w:rsid w:val="00446B24"/>
    <w:rsid w:val="0045259D"/>
    <w:rsid w:val="004526EB"/>
    <w:rsid w:val="00454C9E"/>
    <w:rsid w:val="0045662F"/>
    <w:rsid w:val="004638AB"/>
    <w:rsid w:val="00464EDA"/>
    <w:rsid w:val="00466BB2"/>
    <w:rsid w:val="00471273"/>
    <w:rsid w:val="0047225C"/>
    <w:rsid w:val="00472485"/>
    <w:rsid w:val="0047531B"/>
    <w:rsid w:val="004753B3"/>
    <w:rsid w:val="00475F5B"/>
    <w:rsid w:val="00476917"/>
    <w:rsid w:val="00481EBB"/>
    <w:rsid w:val="004838C8"/>
    <w:rsid w:val="004856EE"/>
    <w:rsid w:val="00486931"/>
    <w:rsid w:val="00490C22"/>
    <w:rsid w:val="00497695"/>
    <w:rsid w:val="00497B2A"/>
    <w:rsid w:val="004A1D62"/>
    <w:rsid w:val="004A2C9C"/>
    <w:rsid w:val="004A3D07"/>
    <w:rsid w:val="004A4992"/>
    <w:rsid w:val="004C01D5"/>
    <w:rsid w:val="004C0478"/>
    <w:rsid w:val="004C05D3"/>
    <w:rsid w:val="004C09D8"/>
    <w:rsid w:val="004C466D"/>
    <w:rsid w:val="004D0ECC"/>
    <w:rsid w:val="004D4800"/>
    <w:rsid w:val="004E1B9A"/>
    <w:rsid w:val="004E50C4"/>
    <w:rsid w:val="004E6D48"/>
    <w:rsid w:val="004F1D93"/>
    <w:rsid w:val="004F2701"/>
    <w:rsid w:val="004F2ED9"/>
    <w:rsid w:val="004F4BF2"/>
    <w:rsid w:val="004F7ECA"/>
    <w:rsid w:val="0050577D"/>
    <w:rsid w:val="00506403"/>
    <w:rsid w:val="00507CE4"/>
    <w:rsid w:val="00511041"/>
    <w:rsid w:val="005135FD"/>
    <w:rsid w:val="00514FD2"/>
    <w:rsid w:val="00517A31"/>
    <w:rsid w:val="00520F5A"/>
    <w:rsid w:val="0052371F"/>
    <w:rsid w:val="005254FC"/>
    <w:rsid w:val="00525A3A"/>
    <w:rsid w:val="005273C0"/>
    <w:rsid w:val="00533740"/>
    <w:rsid w:val="005363B1"/>
    <w:rsid w:val="00540903"/>
    <w:rsid w:val="00547418"/>
    <w:rsid w:val="00550D6D"/>
    <w:rsid w:val="005604A6"/>
    <w:rsid w:val="00560742"/>
    <w:rsid w:val="005617EA"/>
    <w:rsid w:val="0056619B"/>
    <w:rsid w:val="005661D2"/>
    <w:rsid w:val="00571179"/>
    <w:rsid w:val="005736CE"/>
    <w:rsid w:val="005844F0"/>
    <w:rsid w:val="005858AB"/>
    <w:rsid w:val="00585AAD"/>
    <w:rsid w:val="00585D56"/>
    <w:rsid w:val="00591AC7"/>
    <w:rsid w:val="00595DE6"/>
    <w:rsid w:val="005962E4"/>
    <w:rsid w:val="005A2088"/>
    <w:rsid w:val="005A3B0C"/>
    <w:rsid w:val="005A61D5"/>
    <w:rsid w:val="005B049B"/>
    <w:rsid w:val="005B324C"/>
    <w:rsid w:val="005B56B4"/>
    <w:rsid w:val="005C28CA"/>
    <w:rsid w:val="005C585C"/>
    <w:rsid w:val="005D3A16"/>
    <w:rsid w:val="005D4833"/>
    <w:rsid w:val="005D4B3F"/>
    <w:rsid w:val="005E2D3C"/>
    <w:rsid w:val="005E4DF1"/>
    <w:rsid w:val="005F0C75"/>
    <w:rsid w:val="005F0DCD"/>
    <w:rsid w:val="005F1E74"/>
    <w:rsid w:val="005F6060"/>
    <w:rsid w:val="005F72CA"/>
    <w:rsid w:val="005F733A"/>
    <w:rsid w:val="006011ED"/>
    <w:rsid w:val="006019AC"/>
    <w:rsid w:val="006029BB"/>
    <w:rsid w:val="00604DD0"/>
    <w:rsid w:val="00611815"/>
    <w:rsid w:val="00612BD2"/>
    <w:rsid w:val="00613046"/>
    <w:rsid w:val="006146AA"/>
    <w:rsid w:val="0061676F"/>
    <w:rsid w:val="00617169"/>
    <w:rsid w:val="0062023D"/>
    <w:rsid w:val="00621A5F"/>
    <w:rsid w:val="00621BBB"/>
    <w:rsid w:val="00622170"/>
    <w:rsid w:val="00626A1E"/>
    <w:rsid w:val="00627060"/>
    <w:rsid w:val="00627488"/>
    <w:rsid w:val="00631A95"/>
    <w:rsid w:val="006349AB"/>
    <w:rsid w:val="006373C1"/>
    <w:rsid w:val="0064204F"/>
    <w:rsid w:val="00661161"/>
    <w:rsid w:val="006636A4"/>
    <w:rsid w:val="00665207"/>
    <w:rsid w:val="00667697"/>
    <w:rsid w:val="00667902"/>
    <w:rsid w:val="0067259A"/>
    <w:rsid w:val="00672F88"/>
    <w:rsid w:val="00676152"/>
    <w:rsid w:val="0068055F"/>
    <w:rsid w:val="00683308"/>
    <w:rsid w:val="00683335"/>
    <w:rsid w:val="0068684B"/>
    <w:rsid w:val="00687792"/>
    <w:rsid w:val="006935C6"/>
    <w:rsid w:val="006937CB"/>
    <w:rsid w:val="006941EE"/>
    <w:rsid w:val="006956EE"/>
    <w:rsid w:val="006966F7"/>
    <w:rsid w:val="006975F7"/>
    <w:rsid w:val="006A13E0"/>
    <w:rsid w:val="006A2C5D"/>
    <w:rsid w:val="006A7414"/>
    <w:rsid w:val="006A75BC"/>
    <w:rsid w:val="006B0357"/>
    <w:rsid w:val="006B0BFF"/>
    <w:rsid w:val="006C0B58"/>
    <w:rsid w:val="006C129A"/>
    <w:rsid w:val="006C1E1C"/>
    <w:rsid w:val="006C2122"/>
    <w:rsid w:val="006C4E3B"/>
    <w:rsid w:val="006C6C86"/>
    <w:rsid w:val="006D0DF1"/>
    <w:rsid w:val="006D1E14"/>
    <w:rsid w:val="006D3C95"/>
    <w:rsid w:val="006D5192"/>
    <w:rsid w:val="006D745C"/>
    <w:rsid w:val="006E5A91"/>
    <w:rsid w:val="006E5B87"/>
    <w:rsid w:val="006E63D8"/>
    <w:rsid w:val="006F1401"/>
    <w:rsid w:val="006F1A7A"/>
    <w:rsid w:val="006F6E2B"/>
    <w:rsid w:val="00701A89"/>
    <w:rsid w:val="00701D5B"/>
    <w:rsid w:val="0070314A"/>
    <w:rsid w:val="00710383"/>
    <w:rsid w:val="0071190F"/>
    <w:rsid w:val="007136F5"/>
    <w:rsid w:val="0071779F"/>
    <w:rsid w:val="00720011"/>
    <w:rsid w:val="00724FE9"/>
    <w:rsid w:val="0072706D"/>
    <w:rsid w:val="00727CEF"/>
    <w:rsid w:val="0073075A"/>
    <w:rsid w:val="0073561E"/>
    <w:rsid w:val="0073732F"/>
    <w:rsid w:val="007374A9"/>
    <w:rsid w:val="00741F1C"/>
    <w:rsid w:val="00746BD3"/>
    <w:rsid w:val="00747E25"/>
    <w:rsid w:val="007503D2"/>
    <w:rsid w:val="00754106"/>
    <w:rsid w:val="00757DCE"/>
    <w:rsid w:val="00760283"/>
    <w:rsid w:val="00760F77"/>
    <w:rsid w:val="00764D9A"/>
    <w:rsid w:val="00766185"/>
    <w:rsid w:val="00770123"/>
    <w:rsid w:val="00773AB8"/>
    <w:rsid w:val="0077648C"/>
    <w:rsid w:val="00776961"/>
    <w:rsid w:val="00792116"/>
    <w:rsid w:val="00792C21"/>
    <w:rsid w:val="00795230"/>
    <w:rsid w:val="007964FE"/>
    <w:rsid w:val="00797631"/>
    <w:rsid w:val="007A1D4F"/>
    <w:rsid w:val="007A2FA3"/>
    <w:rsid w:val="007A3FA6"/>
    <w:rsid w:val="007A5ABB"/>
    <w:rsid w:val="007A6894"/>
    <w:rsid w:val="007B026B"/>
    <w:rsid w:val="007B104D"/>
    <w:rsid w:val="007B4CEE"/>
    <w:rsid w:val="007B59BD"/>
    <w:rsid w:val="007C11ED"/>
    <w:rsid w:val="007C1AE3"/>
    <w:rsid w:val="007C357F"/>
    <w:rsid w:val="007C52FE"/>
    <w:rsid w:val="007C5DC3"/>
    <w:rsid w:val="007C5EFE"/>
    <w:rsid w:val="007C6AB8"/>
    <w:rsid w:val="007D1DF7"/>
    <w:rsid w:val="007D43D2"/>
    <w:rsid w:val="007D6EFB"/>
    <w:rsid w:val="007E1340"/>
    <w:rsid w:val="007E1E88"/>
    <w:rsid w:val="007E2FDF"/>
    <w:rsid w:val="007E308A"/>
    <w:rsid w:val="007E3F4D"/>
    <w:rsid w:val="007E4CD5"/>
    <w:rsid w:val="007E6B1A"/>
    <w:rsid w:val="007F145E"/>
    <w:rsid w:val="007F2BC3"/>
    <w:rsid w:val="007F4895"/>
    <w:rsid w:val="00802287"/>
    <w:rsid w:val="00804B02"/>
    <w:rsid w:val="008053F8"/>
    <w:rsid w:val="00805C31"/>
    <w:rsid w:val="008120A7"/>
    <w:rsid w:val="00812AE7"/>
    <w:rsid w:val="00813882"/>
    <w:rsid w:val="00813980"/>
    <w:rsid w:val="00816E6D"/>
    <w:rsid w:val="00820BEF"/>
    <w:rsid w:val="008217B9"/>
    <w:rsid w:val="00825F37"/>
    <w:rsid w:val="00836263"/>
    <w:rsid w:val="00836DEC"/>
    <w:rsid w:val="00844DFD"/>
    <w:rsid w:val="00845D87"/>
    <w:rsid w:val="0085066B"/>
    <w:rsid w:val="00850D49"/>
    <w:rsid w:val="0085253F"/>
    <w:rsid w:val="008603B0"/>
    <w:rsid w:val="00864978"/>
    <w:rsid w:val="0087231B"/>
    <w:rsid w:val="00875A87"/>
    <w:rsid w:val="00881CB7"/>
    <w:rsid w:val="008854FD"/>
    <w:rsid w:val="0088658E"/>
    <w:rsid w:val="00887BDB"/>
    <w:rsid w:val="008901D1"/>
    <w:rsid w:val="00896EEC"/>
    <w:rsid w:val="00896F1D"/>
    <w:rsid w:val="008A22B3"/>
    <w:rsid w:val="008A2F74"/>
    <w:rsid w:val="008A688E"/>
    <w:rsid w:val="008A6A74"/>
    <w:rsid w:val="008B1E2F"/>
    <w:rsid w:val="008B4F87"/>
    <w:rsid w:val="008B63BD"/>
    <w:rsid w:val="008B71A3"/>
    <w:rsid w:val="008C31F4"/>
    <w:rsid w:val="008C4187"/>
    <w:rsid w:val="008C49DE"/>
    <w:rsid w:val="008C646A"/>
    <w:rsid w:val="008D54E7"/>
    <w:rsid w:val="008D6285"/>
    <w:rsid w:val="008D79D2"/>
    <w:rsid w:val="008E075B"/>
    <w:rsid w:val="008E1123"/>
    <w:rsid w:val="008E7ADF"/>
    <w:rsid w:val="008F2385"/>
    <w:rsid w:val="008F2C06"/>
    <w:rsid w:val="008F3925"/>
    <w:rsid w:val="008F45C7"/>
    <w:rsid w:val="008F491E"/>
    <w:rsid w:val="008F5805"/>
    <w:rsid w:val="008F6A81"/>
    <w:rsid w:val="0090123C"/>
    <w:rsid w:val="0090770E"/>
    <w:rsid w:val="009137B9"/>
    <w:rsid w:val="00924344"/>
    <w:rsid w:val="0092631C"/>
    <w:rsid w:val="00926D6D"/>
    <w:rsid w:val="009270DF"/>
    <w:rsid w:val="00932D76"/>
    <w:rsid w:val="00937F62"/>
    <w:rsid w:val="00941911"/>
    <w:rsid w:val="00942DFE"/>
    <w:rsid w:val="009442BD"/>
    <w:rsid w:val="0094512C"/>
    <w:rsid w:val="009463D9"/>
    <w:rsid w:val="00946562"/>
    <w:rsid w:val="009465B0"/>
    <w:rsid w:val="00950C60"/>
    <w:rsid w:val="00950ED0"/>
    <w:rsid w:val="009538A2"/>
    <w:rsid w:val="009551B9"/>
    <w:rsid w:val="00960BD9"/>
    <w:rsid w:val="00964DC6"/>
    <w:rsid w:val="00966A03"/>
    <w:rsid w:val="00971739"/>
    <w:rsid w:val="0097361B"/>
    <w:rsid w:val="00973B50"/>
    <w:rsid w:val="00975753"/>
    <w:rsid w:val="0097577F"/>
    <w:rsid w:val="009809D3"/>
    <w:rsid w:val="00982B47"/>
    <w:rsid w:val="00983AC3"/>
    <w:rsid w:val="009848D3"/>
    <w:rsid w:val="00984F6F"/>
    <w:rsid w:val="009850EF"/>
    <w:rsid w:val="00992093"/>
    <w:rsid w:val="00993313"/>
    <w:rsid w:val="009950DD"/>
    <w:rsid w:val="00995CBB"/>
    <w:rsid w:val="00995E93"/>
    <w:rsid w:val="009966BD"/>
    <w:rsid w:val="00997A97"/>
    <w:rsid w:val="009A1979"/>
    <w:rsid w:val="009A2E4E"/>
    <w:rsid w:val="009A34DF"/>
    <w:rsid w:val="009A71C5"/>
    <w:rsid w:val="009B4A52"/>
    <w:rsid w:val="009B4DB3"/>
    <w:rsid w:val="009B5688"/>
    <w:rsid w:val="009B6032"/>
    <w:rsid w:val="009B63B1"/>
    <w:rsid w:val="009E15B0"/>
    <w:rsid w:val="009E1A05"/>
    <w:rsid w:val="009E31FE"/>
    <w:rsid w:val="009E4389"/>
    <w:rsid w:val="009E4FE5"/>
    <w:rsid w:val="009F0690"/>
    <w:rsid w:val="009F57F9"/>
    <w:rsid w:val="009F5F10"/>
    <w:rsid w:val="009F7019"/>
    <w:rsid w:val="009F75DC"/>
    <w:rsid w:val="00A012E3"/>
    <w:rsid w:val="00A05CD9"/>
    <w:rsid w:val="00A07DE5"/>
    <w:rsid w:val="00A148D8"/>
    <w:rsid w:val="00A15655"/>
    <w:rsid w:val="00A163E1"/>
    <w:rsid w:val="00A174B6"/>
    <w:rsid w:val="00A21660"/>
    <w:rsid w:val="00A23430"/>
    <w:rsid w:val="00A23938"/>
    <w:rsid w:val="00A23DF6"/>
    <w:rsid w:val="00A24C50"/>
    <w:rsid w:val="00A272F5"/>
    <w:rsid w:val="00A27493"/>
    <w:rsid w:val="00A27A5E"/>
    <w:rsid w:val="00A3007D"/>
    <w:rsid w:val="00A31A72"/>
    <w:rsid w:val="00A320D5"/>
    <w:rsid w:val="00A3406D"/>
    <w:rsid w:val="00A34425"/>
    <w:rsid w:val="00A44068"/>
    <w:rsid w:val="00A46C80"/>
    <w:rsid w:val="00A532B8"/>
    <w:rsid w:val="00A54EA0"/>
    <w:rsid w:val="00A5564F"/>
    <w:rsid w:val="00A62F6E"/>
    <w:rsid w:val="00A63827"/>
    <w:rsid w:val="00A6512C"/>
    <w:rsid w:val="00A667DF"/>
    <w:rsid w:val="00A67C96"/>
    <w:rsid w:val="00A7273E"/>
    <w:rsid w:val="00A727DB"/>
    <w:rsid w:val="00A758AD"/>
    <w:rsid w:val="00A8061E"/>
    <w:rsid w:val="00A81086"/>
    <w:rsid w:val="00A8575C"/>
    <w:rsid w:val="00A86F04"/>
    <w:rsid w:val="00A91C57"/>
    <w:rsid w:val="00AA2126"/>
    <w:rsid w:val="00AA2ACB"/>
    <w:rsid w:val="00AA4F8D"/>
    <w:rsid w:val="00AB076C"/>
    <w:rsid w:val="00AB1552"/>
    <w:rsid w:val="00AC2614"/>
    <w:rsid w:val="00AC7C44"/>
    <w:rsid w:val="00AD27E2"/>
    <w:rsid w:val="00AD374F"/>
    <w:rsid w:val="00AE1FDB"/>
    <w:rsid w:val="00AF113B"/>
    <w:rsid w:val="00AF1821"/>
    <w:rsid w:val="00AF21FD"/>
    <w:rsid w:val="00AF3967"/>
    <w:rsid w:val="00AF61B5"/>
    <w:rsid w:val="00AF7F98"/>
    <w:rsid w:val="00B0253C"/>
    <w:rsid w:val="00B06EBE"/>
    <w:rsid w:val="00B0713A"/>
    <w:rsid w:val="00B07331"/>
    <w:rsid w:val="00B103E0"/>
    <w:rsid w:val="00B15F28"/>
    <w:rsid w:val="00B17830"/>
    <w:rsid w:val="00B2063D"/>
    <w:rsid w:val="00B20774"/>
    <w:rsid w:val="00B2186A"/>
    <w:rsid w:val="00B26424"/>
    <w:rsid w:val="00B266E2"/>
    <w:rsid w:val="00B27905"/>
    <w:rsid w:val="00B308B0"/>
    <w:rsid w:val="00B3149B"/>
    <w:rsid w:val="00B33E63"/>
    <w:rsid w:val="00B42416"/>
    <w:rsid w:val="00B44A87"/>
    <w:rsid w:val="00B50C79"/>
    <w:rsid w:val="00B51DB6"/>
    <w:rsid w:val="00B65F6A"/>
    <w:rsid w:val="00B70084"/>
    <w:rsid w:val="00B7243B"/>
    <w:rsid w:val="00B77732"/>
    <w:rsid w:val="00B84EA4"/>
    <w:rsid w:val="00B8652F"/>
    <w:rsid w:val="00B903AC"/>
    <w:rsid w:val="00B91B61"/>
    <w:rsid w:val="00B95F20"/>
    <w:rsid w:val="00B97038"/>
    <w:rsid w:val="00B97047"/>
    <w:rsid w:val="00B97090"/>
    <w:rsid w:val="00BA366C"/>
    <w:rsid w:val="00BA54F8"/>
    <w:rsid w:val="00BA6415"/>
    <w:rsid w:val="00BA6ABC"/>
    <w:rsid w:val="00BB3F24"/>
    <w:rsid w:val="00BC03FD"/>
    <w:rsid w:val="00BC0958"/>
    <w:rsid w:val="00BC4F79"/>
    <w:rsid w:val="00BC54C0"/>
    <w:rsid w:val="00BC6F7C"/>
    <w:rsid w:val="00BD6A55"/>
    <w:rsid w:val="00BD7D32"/>
    <w:rsid w:val="00BE1354"/>
    <w:rsid w:val="00BE2769"/>
    <w:rsid w:val="00BE7AD2"/>
    <w:rsid w:val="00BF0E90"/>
    <w:rsid w:val="00BF1699"/>
    <w:rsid w:val="00BF176A"/>
    <w:rsid w:val="00BF1CDA"/>
    <w:rsid w:val="00BF3303"/>
    <w:rsid w:val="00BF6169"/>
    <w:rsid w:val="00BF740D"/>
    <w:rsid w:val="00C019A6"/>
    <w:rsid w:val="00C02383"/>
    <w:rsid w:val="00C02B51"/>
    <w:rsid w:val="00C07A55"/>
    <w:rsid w:val="00C112F4"/>
    <w:rsid w:val="00C13B80"/>
    <w:rsid w:val="00C16759"/>
    <w:rsid w:val="00C21C70"/>
    <w:rsid w:val="00C25FF4"/>
    <w:rsid w:val="00C30DD5"/>
    <w:rsid w:val="00C3231F"/>
    <w:rsid w:val="00C358FF"/>
    <w:rsid w:val="00C37FBD"/>
    <w:rsid w:val="00C40828"/>
    <w:rsid w:val="00C4234E"/>
    <w:rsid w:val="00C433F5"/>
    <w:rsid w:val="00C50197"/>
    <w:rsid w:val="00C53330"/>
    <w:rsid w:val="00C54199"/>
    <w:rsid w:val="00C57A1F"/>
    <w:rsid w:val="00C60A30"/>
    <w:rsid w:val="00C61A1E"/>
    <w:rsid w:val="00C74719"/>
    <w:rsid w:val="00C7632C"/>
    <w:rsid w:val="00C81E32"/>
    <w:rsid w:val="00C82DA9"/>
    <w:rsid w:val="00C83430"/>
    <w:rsid w:val="00C840D2"/>
    <w:rsid w:val="00C927E0"/>
    <w:rsid w:val="00C92A22"/>
    <w:rsid w:val="00C93A06"/>
    <w:rsid w:val="00C94F08"/>
    <w:rsid w:val="00C970D4"/>
    <w:rsid w:val="00CA0571"/>
    <w:rsid w:val="00CA3052"/>
    <w:rsid w:val="00CA3175"/>
    <w:rsid w:val="00CA4578"/>
    <w:rsid w:val="00CA45A0"/>
    <w:rsid w:val="00CA45C5"/>
    <w:rsid w:val="00CB10BF"/>
    <w:rsid w:val="00CB1E8E"/>
    <w:rsid w:val="00CB3C24"/>
    <w:rsid w:val="00CB6079"/>
    <w:rsid w:val="00CC0BAF"/>
    <w:rsid w:val="00CC252B"/>
    <w:rsid w:val="00CC5AB5"/>
    <w:rsid w:val="00CC5F15"/>
    <w:rsid w:val="00CC6D19"/>
    <w:rsid w:val="00CD0F11"/>
    <w:rsid w:val="00CD4FEE"/>
    <w:rsid w:val="00CD7D6E"/>
    <w:rsid w:val="00CE1CF9"/>
    <w:rsid w:val="00CE1D4F"/>
    <w:rsid w:val="00CE4983"/>
    <w:rsid w:val="00CE5B18"/>
    <w:rsid w:val="00CF024A"/>
    <w:rsid w:val="00CF0C7B"/>
    <w:rsid w:val="00CF4A80"/>
    <w:rsid w:val="00D02899"/>
    <w:rsid w:val="00D11276"/>
    <w:rsid w:val="00D167CA"/>
    <w:rsid w:val="00D16AF3"/>
    <w:rsid w:val="00D2200B"/>
    <w:rsid w:val="00D220E9"/>
    <w:rsid w:val="00D223D0"/>
    <w:rsid w:val="00D25179"/>
    <w:rsid w:val="00D27C4F"/>
    <w:rsid w:val="00D30BC8"/>
    <w:rsid w:val="00D32961"/>
    <w:rsid w:val="00D36318"/>
    <w:rsid w:val="00D37E64"/>
    <w:rsid w:val="00D43B19"/>
    <w:rsid w:val="00D44E85"/>
    <w:rsid w:val="00D457C5"/>
    <w:rsid w:val="00D460EB"/>
    <w:rsid w:val="00D47079"/>
    <w:rsid w:val="00D56A60"/>
    <w:rsid w:val="00D62E9C"/>
    <w:rsid w:val="00D82271"/>
    <w:rsid w:val="00D8289E"/>
    <w:rsid w:val="00D854E7"/>
    <w:rsid w:val="00D90E4B"/>
    <w:rsid w:val="00DA0A6A"/>
    <w:rsid w:val="00DB749C"/>
    <w:rsid w:val="00DC4026"/>
    <w:rsid w:val="00DC4936"/>
    <w:rsid w:val="00DD2094"/>
    <w:rsid w:val="00DD3550"/>
    <w:rsid w:val="00DD4421"/>
    <w:rsid w:val="00DD4BC1"/>
    <w:rsid w:val="00DD70A9"/>
    <w:rsid w:val="00DE2044"/>
    <w:rsid w:val="00DE29EE"/>
    <w:rsid w:val="00DF5B97"/>
    <w:rsid w:val="00E05189"/>
    <w:rsid w:val="00E10BB3"/>
    <w:rsid w:val="00E125CA"/>
    <w:rsid w:val="00E12A76"/>
    <w:rsid w:val="00E134C2"/>
    <w:rsid w:val="00E161B4"/>
    <w:rsid w:val="00E164F8"/>
    <w:rsid w:val="00E167D0"/>
    <w:rsid w:val="00E17B83"/>
    <w:rsid w:val="00E17E44"/>
    <w:rsid w:val="00E21BC6"/>
    <w:rsid w:val="00E22332"/>
    <w:rsid w:val="00E26F4C"/>
    <w:rsid w:val="00E310D0"/>
    <w:rsid w:val="00E34577"/>
    <w:rsid w:val="00E35104"/>
    <w:rsid w:val="00E35884"/>
    <w:rsid w:val="00E35A88"/>
    <w:rsid w:val="00E4713B"/>
    <w:rsid w:val="00E50187"/>
    <w:rsid w:val="00E510D7"/>
    <w:rsid w:val="00E573CE"/>
    <w:rsid w:val="00E610E7"/>
    <w:rsid w:val="00E620ED"/>
    <w:rsid w:val="00E63FCA"/>
    <w:rsid w:val="00E71DDB"/>
    <w:rsid w:val="00E721F7"/>
    <w:rsid w:val="00E74107"/>
    <w:rsid w:val="00E74AAF"/>
    <w:rsid w:val="00E810C2"/>
    <w:rsid w:val="00E872C4"/>
    <w:rsid w:val="00E87B73"/>
    <w:rsid w:val="00E93ABB"/>
    <w:rsid w:val="00EA2C47"/>
    <w:rsid w:val="00EA3231"/>
    <w:rsid w:val="00EA4D9F"/>
    <w:rsid w:val="00EB01EF"/>
    <w:rsid w:val="00EB3FF0"/>
    <w:rsid w:val="00EB6C88"/>
    <w:rsid w:val="00EC0EB6"/>
    <w:rsid w:val="00EC23D6"/>
    <w:rsid w:val="00EC3D32"/>
    <w:rsid w:val="00EC65B6"/>
    <w:rsid w:val="00EC6AF1"/>
    <w:rsid w:val="00ED2BE7"/>
    <w:rsid w:val="00ED3A63"/>
    <w:rsid w:val="00ED5C3C"/>
    <w:rsid w:val="00ED636B"/>
    <w:rsid w:val="00ED6E1F"/>
    <w:rsid w:val="00EE26E5"/>
    <w:rsid w:val="00EE4C15"/>
    <w:rsid w:val="00EE4D3C"/>
    <w:rsid w:val="00EE6515"/>
    <w:rsid w:val="00EF02A5"/>
    <w:rsid w:val="00EF0D3E"/>
    <w:rsid w:val="00EF4E1A"/>
    <w:rsid w:val="00EF5FC6"/>
    <w:rsid w:val="00EF7C91"/>
    <w:rsid w:val="00EF7F72"/>
    <w:rsid w:val="00F00ABF"/>
    <w:rsid w:val="00F01FB5"/>
    <w:rsid w:val="00F03AE2"/>
    <w:rsid w:val="00F04D28"/>
    <w:rsid w:val="00F06B2B"/>
    <w:rsid w:val="00F07198"/>
    <w:rsid w:val="00F07207"/>
    <w:rsid w:val="00F101D4"/>
    <w:rsid w:val="00F133AE"/>
    <w:rsid w:val="00F2077B"/>
    <w:rsid w:val="00F20E69"/>
    <w:rsid w:val="00F21EA6"/>
    <w:rsid w:val="00F230E4"/>
    <w:rsid w:val="00F24468"/>
    <w:rsid w:val="00F24545"/>
    <w:rsid w:val="00F2456A"/>
    <w:rsid w:val="00F27396"/>
    <w:rsid w:val="00F30A87"/>
    <w:rsid w:val="00F35E97"/>
    <w:rsid w:val="00F36208"/>
    <w:rsid w:val="00F41121"/>
    <w:rsid w:val="00F42D22"/>
    <w:rsid w:val="00F45894"/>
    <w:rsid w:val="00F4746A"/>
    <w:rsid w:val="00F538B4"/>
    <w:rsid w:val="00F549D9"/>
    <w:rsid w:val="00F5636B"/>
    <w:rsid w:val="00F66F5A"/>
    <w:rsid w:val="00F67EB7"/>
    <w:rsid w:val="00F70CFE"/>
    <w:rsid w:val="00F73029"/>
    <w:rsid w:val="00F75DF4"/>
    <w:rsid w:val="00F76D30"/>
    <w:rsid w:val="00F80815"/>
    <w:rsid w:val="00F83BE8"/>
    <w:rsid w:val="00F84908"/>
    <w:rsid w:val="00F85773"/>
    <w:rsid w:val="00F97481"/>
    <w:rsid w:val="00FA1354"/>
    <w:rsid w:val="00FA2CB0"/>
    <w:rsid w:val="00FA35D4"/>
    <w:rsid w:val="00FA5AC0"/>
    <w:rsid w:val="00FA6EBE"/>
    <w:rsid w:val="00FA7101"/>
    <w:rsid w:val="00FB1688"/>
    <w:rsid w:val="00FB3510"/>
    <w:rsid w:val="00FB4ED7"/>
    <w:rsid w:val="00FB63AB"/>
    <w:rsid w:val="00FC0BE1"/>
    <w:rsid w:val="00FC3928"/>
    <w:rsid w:val="00FC39FD"/>
    <w:rsid w:val="00FD0768"/>
    <w:rsid w:val="00FD141A"/>
    <w:rsid w:val="00FD4602"/>
    <w:rsid w:val="00FE023B"/>
    <w:rsid w:val="00FE0CC1"/>
    <w:rsid w:val="00FE3032"/>
    <w:rsid w:val="00FE3BF1"/>
    <w:rsid w:val="00FE3DED"/>
    <w:rsid w:val="00FE4311"/>
    <w:rsid w:val="00FE560B"/>
    <w:rsid w:val="00FF2344"/>
    <w:rsid w:val="00FF2E85"/>
    <w:rsid w:val="00FF57B9"/>
    <w:rsid w:val="00FF5C7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5FA139-760A-4879-A8E9-84BCF06D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508"/>
    <w:rPr>
      <w:rFonts w:eastAsia="MS Mincho"/>
      <w:sz w:val="24"/>
      <w:szCs w:val="24"/>
      <w:lang w:val="de-DE" w:eastAsia="ja-JP" w:bidi="ar-SA"/>
    </w:rPr>
  </w:style>
  <w:style w:type="paragraph" w:styleId="Heading2">
    <w:name w:val="heading 2"/>
    <w:basedOn w:val="Normal"/>
    <w:next w:val="Normal"/>
    <w:link w:val="Heading2Char"/>
    <w:qFormat/>
    <w:rsid w:val="00BA6415"/>
    <w:pPr>
      <w:keepNext/>
      <w:outlineLvl w:val="1"/>
    </w:pPr>
    <w:rPr>
      <w:rFonts w:eastAsia="Times New Roman"/>
      <w:b/>
      <w:bCs/>
      <w:lang w:val="en-GB" w:eastAsia="en-US"/>
    </w:rPr>
  </w:style>
  <w:style w:type="paragraph" w:styleId="Heading3">
    <w:name w:val="heading 3"/>
    <w:basedOn w:val="Normal"/>
    <w:next w:val="Normal"/>
    <w:link w:val="Heading3Char"/>
    <w:uiPriority w:val="9"/>
    <w:semiHidden/>
    <w:unhideWhenUsed/>
    <w:qFormat/>
    <w:rsid w:val="001A414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
    <w:name w:val="TableHead"/>
    <w:basedOn w:val="Normal"/>
    <w:rsid w:val="002F5508"/>
    <w:pPr>
      <w:pBdr>
        <w:top w:val="single" w:sz="4" w:space="4" w:color="FFFFFF"/>
        <w:left w:val="single" w:sz="4" w:space="4" w:color="FFFFFF"/>
        <w:bottom w:val="single" w:sz="4" w:space="4" w:color="FFFFFF"/>
        <w:right w:val="single" w:sz="4" w:space="4" w:color="FFFFFF"/>
      </w:pBdr>
      <w:spacing w:line="190" w:lineRule="exact"/>
      <w:jc w:val="both"/>
    </w:pPr>
    <w:rPr>
      <w:rFonts w:ascii="Arial" w:hAnsi="Arial"/>
      <w:sz w:val="16"/>
      <w:szCs w:val="14"/>
      <w:lang w:val="en-GB"/>
    </w:rPr>
  </w:style>
  <w:style w:type="paragraph" w:customStyle="1" w:styleId="TableBody">
    <w:name w:val="TableBody"/>
    <w:basedOn w:val="TableHead"/>
    <w:rsid w:val="002F5508"/>
  </w:style>
  <w:style w:type="paragraph" w:styleId="Header">
    <w:name w:val="header"/>
    <w:basedOn w:val="Normal"/>
    <w:rsid w:val="002F5508"/>
    <w:pPr>
      <w:tabs>
        <w:tab w:val="center" w:pos="4536"/>
        <w:tab w:val="right" w:pos="9072"/>
      </w:tabs>
    </w:pPr>
  </w:style>
  <w:style w:type="paragraph" w:styleId="Footer">
    <w:name w:val="footer"/>
    <w:basedOn w:val="Normal"/>
    <w:rsid w:val="002F5508"/>
    <w:pPr>
      <w:tabs>
        <w:tab w:val="center" w:pos="4536"/>
        <w:tab w:val="right" w:pos="9072"/>
      </w:tabs>
    </w:pPr>
  </w:style>
  <w:style w:type="paragraph" w:customStyle="1" w:styleId="Title1">
    <w:name w:val="Title1"/>
    <w:basedOn w:val="Normal"/>
    <w:rsid w:val="002F5508"/>
    <w:rPr>
      <w:b/>
      <w:lang w:val="en-US"/>
    </w:rPr>
  </w:style>
  <w:style w:type="paragraph" w:customStyle="1" w:styleId="AuthorsFull">
    <w:name w:val="Authors Full"/>
    <w:basedOn w:val="Normal"/>
    <w:rsid w:val="002F5508"/>
    <w:rPr>
      <w:i/>
      <w:lang w:val="en-US"/>
    </w:rPr>
  </w:style>
  <w:style w:type="paragraph" w:customStyle="1" w:styleId="dedication">
    <w:name w:val="dedication"/>
    <w:basedOn w:val="Normal"/>
    <w:rsid w:val="002F5508"/>
    <w:rPr>
      <w:i/>
      <w:lang w:val="en-US"/>
    </w:rPr>
  </w:style>
  <w:style w:type="paragraph" w:customStyle="1" w:styleId="Addresses">
    <w:name w:val="Addresses"/>
    <w:basedOn w:val="Normal"/>
    <w:rsid w:val="002F5508"/>
    <w:rPr>
      <w:lang w:val="en-US"/>
    </w:rPr>
  </w:style>
  <w:style w:type="paragraph" w:customStyle="1" w:styleId="Acknowledgements">
    <w:name w:val="Acknowledgements"/>
    <w:basedOn w:val="Normal"/>
    <w:rsid w:val="002F5508"/>
    <w:rPr>
      <w:lang w:val="en-US"/>
    </w:rPr>
  </w:style>
  <w:style w:type="paragraph" w:customStyle="1" w:styleId="Abstract">
    <w:name w:val="Abstract"/>
    <w:basedOn w:val="Normal"/>
    <w:autoRedefine/>
    <w:rsid w:val="002F5508"/>
    <w:pPr>
      <w:spacing w:line="480" w:lineRule="auto"/>
    </w:pPr>
    <w:rPr>
      <w:lang w:val="en-US"/>
    </w:rPr>
  </w:style>
  <w:style w:type="paragraph" w:customStyle="1" w:styleId="Head1">
    <w:name w:val="Head 1"/>
    <w:basedOn w:val="Normal"/>
    <w:link w:val="Head1Char"/>
    <w:autoRedefine/>
    <w:rsid w:val="00BA6415"/>
    <w:pPr>
      <w:spacing w:line="480" w:lineRule="auto"/>
    </w:pPr>
    <w:rPr>
      <w:lang w:val="en-US"/>
    </w:rPr>
  </w:style>
  <w:style w:type="paragraph" w:customStyle="1" w:styleId="Head2">
    <w:name w:val="Head 2"/>
    <w:basedOn w:val="Normal"/>
    <w:autoRedefine/>
    <w:rsid w:val="002F5508"/>
    <w:pPr>
      <w:spacing w:line="360" w:lineRule="auto"/>
    </w:pPr>
    <w:rPr>
      <w:i/>
      <w:lang w:val="en-US"/>
    </w:rPr>
  </w:style>
  <w:style w:type="paragraph" w:customStyle="1" w:styleId="dates">
    <w:name w:val="dates"/>
    <w:basedOn w:val="Normal"/>
    <w:rsid w:val="002F5508"/>
    <w:pPr>
      <w:jc w:val="right"/>
    </w:pPr>
    <w:rPr>
      <w:lang w:val="en-US"/>
    </w:rPr>
  </w:style>
  <w:style w:type="paragraph" w:customStyle="1" w:styleId="Literature">
    <w:name w:val="Literature"/>
    <w:basedOn w:val="Normal"/>
    <w:rsid w:val="002F5508"/>
    <w:pPr>
      <w:spacing w:line="480" w:lineRule="auto"/>
    </w:pPr>
  </w:style>
  <w:style w:type="paragraph" w:customStyle="1" w:styleId="Legend">
    <w:name w:val="Legend"/>
    <w:basedOn w:val="Normal"/>
    <w:rsid w:val="002F5508"/>
    <w:rPr>
      <w:lang w:val="en-US"/>
    </w:rPr>
  </w:style>
  <w:style w:type="paragraph" w:customStyle="1" w:styleId="MainText">
    <w:name w:val="Main Text"/>
    <w:basedOn w:val="Normal"/>
    <w:link w:val="MainTextChar"/>
    <w:rsid w:val="002F5508"/>
    <w:pPr>
      <w:spacing w:line="480" w:lineRule="auto"/>
    </w:pPr>
    <w:rPr>
      <w:lang w:val="en-US"/>
    </w:rPr>
  </w:style>
  <w:style w:type="paragraph" w:customStyle="1" w:styleId="Tableofcontents">
    <w:name w:val="Table of contents"/>
    <w:basedOn w:val="Normal"/>
    <w:autoRedefine/>
    <w:rsid w:val="00550D6D"/>
    <w:rPr>
      <w:lang w:val="en-US"/>
    </w:rPr>
  </w:style>
  <w:style w:type="paragraph" w:customStyle="1" w:styleId="ExperimentalText">
    <w:name w:val="Experimental Text"/>
    <w:basedOn w:val="Normal"/>
    <w:link w:val="ExperimentalTextChar"/>
    <w:rsid w:val="002F5508"/>
    <w:pPr>
      <w:spacing w:line="480" w:lineRule="auto"/>
    </w:pPr>
    <w:rPr>
      <w:lang w:val="en-US"/>
    </w:rPr>
  </w:style>
  <w:style w:type="character" w:customStyle="1" w:styleId="ExperimentalTextChar">
    <w:name w:val="Experimental Text Char"/>
    <w:basedOn w:val="DefaultParagraphFont"/>
    <w:link w:val="ExperimentalText"/>
    <w:rsid w:val="002F5508"/>
    <w:rPr>
      <w:rFonts w:eastAsia="MS Mincho"/>
      <w:sz w:val="24"/>
      <w:szCs w:val="24"/>
      <w:lang w:val="en-US" w:eastAsia="ja-JP" w:bidi="ar-SA"/>
    </w:rPr>
  </w:style>
  <w:style w:type="character" w:customStyle="1" w:styleId="MainTextChar">
    <w:name w:val="Main Text Char"/>
    <w:basedOn w:val="DefaultParagraphFont"/>
    <w:link w:val="MainText"/>
    <w:rsid w:val="002F5508"/>
    <w:rPr>
      <w:rFonts w:eastAsia="MS Mincho"/>
      <w:sz w:val="24"/>
      <w:szCs w:val="24"/>
      <w:lang w:val="en-US" w:eastAsia="ja-JP" w:bidi="ar-SA"/>
    </w:rPr>
  </w:style>
  <w:style w:type="paragraph" w:styleId="FootnoteText">
    <w:name w:val="footnote text"/>
    <w:basedOn w:val="Normal"/>
    <w:link w:val="FootnoteTextChar"/>
    <w:uiPriority w:val="99"/>
    <w:semiHidden/>
    <w:unhideWhenUsed/>
    <w:rsid w:val="00A6512C"/>
    <w:rPr>
      <w:sz w:val="20"/>
      <w:szCs w:val="20"/>
    </w:rPr>
  </w:style>
  <w:style w:type="character" w:customStyle="1" w:styleId="FootnoteTextChar">
    <w:name w:val="Footnote Text Char"/>
    <w:basedOn w:val="DefaultParagraphFont"/>
    <w:link w:val="FootnoteText"/>
    <w:uiPriority w:val="99"/>
    <w:semiHidden/>
    <w:rsid w:val="00A6512C"/>
    <w:rPr>
      <w:rFonts w:eastAsia="MS Mincho"/>
      <w:lang w:eastAsia="ja-JP"/>
    </w:rPr>
  </w:style>
  <w:style w:type="character" w:styleId="FootnoteReference">
    <w:name w:val="footnote reference"/>
    <w:basedOn w:val="DefaultParagraphFont"/>
    <w:uiPriority w:val="99"/>
    <w:semiHidden/>
    <w:unhideWhenUsed/>
    <w:rsid w:val="00A6512C"/>
    <w:rPr>
      <w:vertAlign w:val="superscript"/>
    </w:rPr>
  </w:style>
  <w:style w:type="paragraph" w:styleId="BalloonText">
    <w:name w:val="Balloon Text"/>
    <w:basedOn w:val="Normal"/>
    <w:link w:val="BalloonTextChar"/>
    <w:uiPriority w:val="99"/>
    <w:semiHidden/>
    <w:unhideWhenUsed/>
    <w:rsid w:val="00A6512C"/>
    <w:rPr>
      <w:rFonts w:ascii="Tahoma" w:hAnsi="Tahoma" w:cs="Tahoma"/>
      <w:sz w:val="16"/>
      <w:szCs w:val="16"/>
    </w:rPr>
  </w:style>
  <w:style w:type="character" w:customStyle="1" w:styleId="BalloonTextChar">
    <w:name w:val="Balloon Text Char"/>
    <w:basedOn w:val="DefaultParagraphFont"/>
    <w:link w:val="BalloonText"/>
    <w:uiPriority w:val="99"/>
    <w:semiHidden/>
    <w:rsid w:val="00A6512C"/>
    <w:rPr>
      <w:rFonts w:ascii="Tahoma" w:eastAsia="MS Mincho" w:hAnsi="Tahoma" w:cs="Tahoma"/>
      <w:sz w:val="16"/>
      <w:szCs w:val="16"/>
      <w:lang w:eastAsia="ja-JP"/>
    </w:rPr>
  </w:style>
  <w:style w:type="table" w:styleId="TableGrid">
    <w:name w:val="Table Grid"/>
    <w:basedOn w:val="TableNormal"/>
    <w:uiPriority w:val="59"/>
    <w:rsid w:val="002A39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ext0">
    <w:name w:val="Main text"/>
    <w:basedOn w:val="Normal"/>
    <w:link w:val="MaintextChar0"/>
    <w:autoRedefine/>
    <w:rsid w:val="00896F1D"/>
    <w:pPr>
      <w:spacing w:line="480" w:lineRule="auto"/>
    </w:pPr>
    <w:rPr>
      <w:lang w:val="en-US"/>
    </w:rPr>
  </w:style>
  <w:style w:type="character" w:customStyle="1" w:styleId="MaintextChar0">
    <w:name w:val="Main text Char"/>
    <w:basedOn w:val="DefaultParagraphFont"/>
    <w:link w:val="Maintext0"/>
    <w:rsid w:val="00896F1D"/>
    <w:rPr>
      <w:rFonts w:eastAsia="MS Mincho"/>
      <w:sz w:val="24"/>
      <w:szCs w:val="24"/>
      <w:lang w:val="en-US" w:eastAsia="ja-JP"/>
    </w:rPr>
  </w:style>
  <w:style w:type="paragraph" w:customStyle="1" w:styleId="Biography">
    <w:name w:val="Biography"/>
    <w:basedOn w:val="Normal"/>
    <w:autoRedefine/>
    <w:rsid w:val="00A54EA0"/>
    <w:rPr>
      <w:i/>
      <w:lang w:val="en-US"/>
    </w:rPr>
  </w:style>
  <w:style w:type="paragraph" w:customStyle="1" w:styleId="Titel1">
    <w:name w:val="Titel1"/>
    <w:basedOn w:val="Normal"/>
    <w:rsid w:val="00FE023B"/>
    <w:rPr>
      <w:b/>
      <w:lang w:val="en-US"/>
    </w:rPr>
  </w:style>
  <w:style w:type="character" w:styleId="CommentReference">
    <w:name w:val="annotation reference"/>
    <w:basedOn w:val="DefaultParagraphFont"/>
    <w:uiPriority w:val="99"/>
    <w:semiHidden/>
    <w:unhideWhenUsed/>
    <w:rsid w:val="00B91B61"/>
    <w:rPr>
      <w:sz w:val="16"/>
      <w:szCs w:val="16"/>
    </w:rPr>
  </w:style>
  <w:style w:type="paragraph" w:styleId="CommentText">
    <w:name w:val="annotation text"/>
    <w:basedOn w:val="Normal"/>
    <w:link w:val="CommentTextChar"/>
    <w:uiPriority w:val="99"/>
    <w:unhideWhenUsed/>
    <w:rsid w:val="00B91B61"/>
    <w:rPr>
      <w:sz w:val="20"/>
      <w:szCs w:val="20"/>
    </w:rPr>
  </w:style>
  <w:style w:type="character" w:customStyle="1" w:styleId="CommentTextChar">
    <w:name w:val="Comment Text Char"/>
    <w:basedOn w:val="DefaultParagraphFont"/>
    <w:link w:val="CommentText"/>
    <w:uiPriority w:val="99"/>
    <w:rsid w:val="00B91B61"/>
    <w:rPr>
      <w:rFonts w:eastAsia="MS Mincho"/>
      <w:lang w:eastAsia="ja-JP"/>
    </w:rPr>
  </w:style>
  <w:style w:type="paragraph" w:styleId="CommentSubject">
    <w:name w:val="annotation subject"/>
    <w:basedOn w:val="CommentText"/>
    <w:next w:val="CommentText"/>
    <w:link w:val="CommentSubjectChar"/>
    <w:uiPriority w:val="99"/>
    <w:semiHidden/>
    <w:unhideWhenUsed/>
    <w:rsid w:val="00B91B61"/>
    <w:rPr>
      <w:b/>
      <w:bCs/>
    </w:rPr>
  </w:style>
  <w:style w:type="character" w:customStyle="1" w:styleId="CommentSubjectChar">
    <w:name w:val="Comment Subject Char"/>
    <w:basedOn w:val="CommentTextChar"/>
    <w:link w:val="CommentSubject"/>
    <w:uiPriority w:val="99"/>
    <w:semiHidden/>
    <w:rsid w:val="00B91B61"/>
    <w:rPr>
      <w:rFonts w:eastAsia="MS Mincho"/>
      <w:b/>
      <w:bCs/>
      <w:lang w:eastAsia="ja-JP"/>
    </w:rPr>
  </w:style>
  <w:style w:type="paragraph" w:customStyle="1" w:styleId="Stijl1">
    <w:name w:val="Stijl1"/>
    <w:basedOn w:val="MainText"/>
    <w:link w:val="Stijl1Char"/>
    <w:qFormat/>
    <w:rsid w:val="00BA6415"/>
    <w:rPr>
      <w:b/>
      <w:sz w:val="28"/>
      <w:szCs w:val="28"/>
    </w:rPr>
  </w:style>
  <w:style w:type="paragraph" w:customStyle="1" w:styleId="Stijl2">
    <w:name w:val="Stijl2"/>
    <w:basedOn w:val="Head1"/>
    <w:link w:val="Stijl2Char"/>
    <w:qFormat/>
    <w:rsid w:val="00BA6415"/>
    <w:pPr>
      <w:keepNext/>
    </w:pPr>
    <w:rPr>
      <w:b/>
    </w:rPr>
  </w:style>
  <w:style w:type="character" w:customStyle="1" w:styleId="Stijl1Char">
    <w:name w:val="Stijl1 Char"/>
    <w:basedOn w:val="MainTextChar"/>
    <w:link w:val="Stijl1"/>
    <w:rsid w:val="00BA6415"/>
    <w:rPr>
      <w:rFonts w:eastAsia="MS Mincho"/>
      <w:b/>
      <w:sz w:val="28"/>
      <w:szCs w:val="28"/>
      <w:lang w:val="en-US" w:eastAsia="ja-JP" w:bidi="ar-SA"/>
    </w:rPr>
  </w:style>
  <w:style w:type="paragraph" w:customStyle="1" w:styleId="main">
    <w:name w:val="main"/>
    <w:basedOn w:val="Head1"/>
    <w:link w:val="mainChar"/>
    <w:qFormat/>
    <w:rsid w:val="00BA6415"/>
    <w:pPr>
      <w:jc w:val="both"/>
    </w:pPr>
  </w:style>
  <w:style w:type="character" w:customStyle="1" w:styleId="Head1Char">
    <w:name w:val="Head 1 Char"/>
    <w:basedOn w:val="DefaultParagraphFont"/>
    <w:link w:val="Head1"/>
    <w:rsid w:val="00BA6415"/>
    <w:rPr>
      <w:rFonts w:eastAsia="MS Mincho"/>
      <w:sz w:val="24"/>
      <w:szCs w:val="24"/>
      <w:lang w:eastAsia="ja-JP" w:bidi="ar-SA"/>
    </w:rPr>
  </w:style>
  <w:style w:type="character" w:customStyle="1" w:styleId="Stijl2Char">
    <w:name w:val="Stijl2 Char"/>
    <w:basedOn w:val="Head1Char"/>
    <w:link w:val="Stijl2"/>
    <w:rsid w:val="00BA6415"/>
    <w:rPr>
      <w:rFonts w:eastAsia="MS Mincho"/>
      <w:b/>
      <w:sz w:val="24"/>
      <w:szCs w:val="24"/>
      <w:lang w:eastAsia="ja-JP" w:bidi="ar-SA"/>
    </w:rPr>
  </w:style>
  <w:style w:type="paragraph" w:customStyle="1" w:styleId="Stijl3">
    <w:name w:val="Stijl3"/>
    <w:basedOn w:val="Normal"/>
    <w:link w:val="Stijl3Char"/>
    <w:qFormat/>
    <w:rsid w:val="00BA6415"/>
    <w:pPr>
      <w:spacing w:line="480" w:lineRule="auto"/>
    </w:pPr>
    <w:rPr>
      <w:lang w:val="en-US"/>
    </w:rPr>
  </w:style>
  <w:style w:type="character" w:customStyle="1" w:styleId="mainChar">
    <w:name w:val="main Char"/>
    <w:basedOn w:val="Head1Char"/>
    <w:link w:val="main"/>
    <w:rsid w:val="00BA6415"/>
    <w:rPr>
      <w:rFonts w:eastAsia="MS Mincho"/>
      <w:sz w:val="24"/>
      <w:szCs w:val="24"/>
      <w:lang w:eastAsia="ja-JP" w:bidi="ar-SA"/>
    </w:rPr>
  </w:style>
  <w:style w:type="character" w:customStyle="1" w:styleId="Heading2Char">
    <w:name w:val="Heading 2 Char"/>
    <w:basedOn w:val="DefaultParagraphFont"/>
    <w:link w:val="Heading2"/>
    <w:rsid w:val="00BA6415"/>
    <w:rPr>
      <w:b/>
      <w:bCs/>
      <w:sz w:val="24"/>
      <w:szCs w:val="24"/>
      <w:lang w:val="en-GB" w:eastAsia="en-US" w:bidi="ar-SA"/>
    </w:rPr>
  </w:style>
  <w:style w:type="character" w:customStyle="1" w:styleId="Stijl3Char">
    <w:name w:val="Stijl3 Char"/>
    <w:basedOn w:val="DefaultParagraphFont"/>
    <w:link w:val="Stijl3"/>
    <w:rsid w:val="00BA6415"/>
    <w:rPr>
      <w:rFonts w:eastAsia="MS Mincho"/>
      <w:sz w:val="24"/>
      <w:szCs w:val="24"/>
      <w:lang w:eastAsia="ja-JP" w:bidi="ar-SA"/>
    </w:rPr>
  </w:style>
  <w:style w:type="character" w:customStyle="1" w:styleId="Heading3Char">
    <w:name w:val="Heading 3 Char"/>
    <w:basedOn w:val="DefaultParagraphFont"/>
    <w:link w:val="Heading3"/>
    <w:uiPriority w:val="9"/>
    <w:semiHidden/>
    <w:rsid w:val="001A4144"/>
    <w:rPr>
      <w:rFonts w:asciiTheme="majorHAnsi" w:eastAsiaTheme="majorEastAsia" w:hAnsiTheme="majorHAnsi" w:cstheme="majorBidi"/>
      <w:color w:val="243F60" w:themeColor="accent1" w:themeShade="7F"/>
      <w:sz w:val="24"/>
      <w:szCs w:val="24"/>
      <w:lang w:val="de-DE" w:eastAsia="ja-JP" w:bidi="ar-SA"/>
    </w:rPr>
  </w:style>
  <w:style w:type="paragraph" w:styleId="Caption">
    <w:name w:val="caption"/>
    <w:basedOn w:val="Normal"/>
    <w:next w:val="Normal"/>
    <w:uiPriority w:val="35"/>
    <w:unhideWhenUsed/>
    <w:qFormat/>
    <w:rsid w:val="00507CE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19702">
      <w:bodyDiv w:val="1"/>
      <w:marLeft w:val="0"/>
      <w:marRight w:val="0"/>
      <w:marTop w:val="0"/>
      <w:marBottom w:val="0"/>
      <w:divBdr>
        <w:top w:val="none" w:sz="0" w:space="0" w:color="auto"/>
        <w:left w:val="none" w:sz="0" w:space="0" w:color="auto"/>
        <w:bottom w:val="none" w:sz="0" w:space="0" w:color="auto"/>
        <w:right w:val="none" w:sz="0" w:space="0" w:color="auto"/>
      </w:divBdr>
    </w:div>
    <w:div w:id="63065830">
      <w:bodyDiv w:val="1"/>
      <w:marLeft w:val="0"/>
      <w:marRight w:val="0"/>
      <w:marTop w:val="0"/>
      <w:marBottom w:val="0"/>
      <w:divBdr>
        <w:top w:val="none" w:sz="0" w:space="0" w:color="auto"/>
        <w:left w:val="none" w:sz="0" w:space="0" w:color="auto"/>
        <w:bottom w:val="none" w:sz="0" w:space="0" w:color="auto"/>
        <w:right w:val="none" w:sz="0" w:space="0" w:color="auto"/>
      </w:divBdr>
    </w:div>
    <w:div w:id="91560905">
      <w:bodyDiv w:val="1"/>
      <w:marLeft w:val="0"/>
      <w:marRight w:val="0"/>
      <w:marTop w:val="0"/>
      <w:marBottom w:val="0"/>
      <w:divBdr>
        <w:top w:val="none" w:sz="0" w:space="0" w:color="auto"/>
        <w:left w:val="none" w:sz="0" w:space="0" w:color="auto"/>
        <w:bottom w:val="none" w:sz="0" w:space="0" w:color="auto"/>
        <w:right w:val="none" w:sz="0" w:space="0" w:color="auto"/>
      </w:divBdr>
    </w:div>
    <w:div w:id="122620949">
      <w:bodyDiv w:val="1"/>
      <w:marLeft w:val="0"/>
      <w:marRight w:val="0"/>
      <w:marTop w:val="0"/>
      <w:marBottom w:val="0"/>
      <w:divBdr>
        <w:top w:val="none" w:sz="0" w:space="0" w:color="auto"/>
        <w:left w:val="none" w:sz="0" w:space="0" w:color="auto"/>
        <w:bottom w:val="none" w:sz="0" w:space="0" w:color="auto"/>
        <w:right w:val="none" w:sz="0" w:space="0" w:color="auto"/>
      </w:divBdr>
    </w:div>
    <w:div w:id="217399667">
      <w:bodyDiv w:val="1"/>
      <w:marLeft w:val="0"/>
      <w:marRight w:val="0"/>
      <w:marTop w:val="0"/>
      <w:marBottom w:val="0"/>
      <w:divBdr>
        <w:top w:val="none" w:sz="0" w:space="0" w:color="auto"/>
        <w:left w:val="none" w:sz="0" w:space="0" w:color="auto"/>
        <w:bottom w:val="none" w:sz="0" w:space="0" w:color="auto"/>
        <w:right w:val="none" w:sz="0" w:space="0" w:color="auto"/>
      </w:divBdr>
    </w:div>
    <w:div w:id="255600171">
      <w:bodyDiv w:val="1"/>
      <w:marLeft w:val="0"/>
      <w:marRight w:val="0"/>
      <w:marTop w:val="0"/>
      <w:marBottom w:val="0"/>
      <w:divBdr>
        <w:top w:val="none" w:sz="0" w:space="0" w:color="auto"/>
        <w:left w:val="none" w:sz="0" w:space="0" w:color="auto"/>
        <w:bottom w:val="none" w:sz="0" w:space="0" w:color="auto"/>
        <w:right w:val="none" w:sz="0" w:space="0" w:color="auto"/>
      </w:divBdr>
    </w:div>
    <w:div w:id="266430929">
      <w:bodyDiv w:val="1"/>
      <w:marLeft w:val="0"/>
      <w:marRight w:val="0"/>
      <w:marTop w:val="0"/>
      <w:marBottom w:val="0"/>
      <w:divBdr>
        <w:top w:val="none" w:sz="0" w:space="0" w:color="auto"/>
        <w:left w:val="none" w:sz="0" w:space="0" w:color="auto"/>
        <w:bottom w:val="none" w:sz="0" w:space="0" w:color="auto"/>
        <w:right w:val="none" w:sz="0" w:space="0" w:color="auto"/>
      </w:divBdr>
    </w:div>
    <w:div w:id="304507831">
      <w:bodyDiv w:val="1"/>
      <w:marLeft w:val="0"/>
      <w:marRight w:val="0"/>
      <w:marTop w:val="0"/>
      <w:marBottom w:val="0"/>
      <w:divBdr>
        <w:top w:val="none" w:sz="0" w:space="0" w:color="auto"/>
        <w:left w:val="none" w:sz="0" w:space="0" w:color="auto"/>
        <w:bottom w:val="none" w:sz="0" w:space="0" w:color="auto"/>
        <w:right w:val="none" w:sz="0" w:space="0" w:color="auto"/>
      </w:divBdr>
      <w:divsChild>
        <w:div w:id="531312120">
          <w:marLeft w:val="0"/>
          <w:marRight w:val="0"/>
          <w:marTop w:val="0"/>
          <w:marBottom w:val="0"/>
          <w:divBdr>
            <w:top w:val="none" w:sz="0" w:space="0" w:color="auto"/>
            <w:left w:val="none" w:sz="0" w:space="0" w:color="auto"/>
            <w:bottom w:val="none" w:sz="0" w:space="0" w:color="auto"/>
            <w:right w:val="none" w:sz="0" w:space="0" w:color="auto"/>
          </w:divBdr>
        </w:div>
      </w:divsChild>
    </w:div>
    <w:div w:id="336807964">
      <w:bodyDiv w:val="1"/>
      <w:marLeft w:val="0"/>
      <w:marRight w:val="0"/>
      <w:marTop w:val="0"/>
      <w:marBottom w:val="0"/>
      <w:divBdr>
        <w:top w:val="none" w:sz="0" w:space="0" w:color="auto"/>
        <w:left w:val="none" w:sz="0" w:space="0" w:color="auto"/>
        <w:bottom w:val="none" w:sz="0" w:space="0" w:color="auto"/>
        <w:right w:val="none" w:sz="0" w:space="0" w:color="auto"/>
      </w:divBdr>
    </w:div>
    <w:div w:id="369457895">
      <w:bodyDiv w:val="1"/>
      <w:marLeft w:val="0"/>
      <w:marRight w:val="0"/>
      <w:marTop w:val="0"/>
      <w:marBottom w:val="0"/>
      <w:divBdr>
        <w:top w:val="none" w:sz="0" w:space="0" w:color="auto"/>
        <w:left w:val="none" w:sz="0" w:space="0" w:color="auto"/>
        <w:bottom w:val="none" w:sz="0" w:space="0" w:color="auto"/>
        <w:right w:val="none" w:sz="0" w:space="0" w:color="auto"/>
      </w:divBdr>
    </w:div>
    <w:div w:id="390495554">
      <w:bodyDiv w:val="1"/>
      <w:marLeft w:val="0"/>
      <w:marRight w:val="0"/>
      <w:marTop w:val="0"/>
      <w:marBottom w:val="0"/>
      <w:divBdr>
        <w:top w:val="none" w:sz="0" w:space="0" w:color="auto"/>
        <w:left w:val="none" w:sz="0" w:space="0" w:color="auto"/>
        <w:bottom w:val="none" w:sz="0" w:space="0" w:color="auto"/>
        <w:right w:val="none" w:sz="0" w:space="0" w:color="auto"/>
      </w:divBdr>
    </w:div>
    <w:div w:id="434985407">
      <w:bodyDiv w:val="1"/>
      <w:marLeft w:val="0"/>
      <w:marRight w:val="0"/>
      <w:marTop w:val="0"/>
      <w:marBottom w:val="0"/>
      <w:divBdr>
        <w:top w:val="none" w:sz="0" w:space="0" w:color="auto"/>
        <w:left w:val="none" w:sz="0" w:space="0" w:color="auto"/>
        <w:bottom w:val="none" w:sz="0" w:space="0" w:color="auto"/>
        <w:right w:val="none" w:sz="0" w:space="0" w:color="auto"/>
      </w:divBdr>
    </w:div>
    <w:div w:id="490366066">
      <w:bodyDiv w:val="1"/>
      <w:marLeft w:val="0"/>
      <w:marRight w:val="0"/>
      <w:marTop w:val="0"/>
      <w:marBottom w:val="0"/>
      <w:divBdr>
        <w:top w:val="none" w:sz="0" w:space="0" w:color="auto"/>
        <w:left w:val="none" w:sz="0" w:space="0" w:color="auto"/>
        <w:bottom w:val="none" w:sz="0" w:space="0" w:color="auto"/>
        <w:right w:val="none" w:sz="0" w:space="0" w:color="auto"/>
      </w:divBdr>
    </w:div>
    <w:div w:id="538128643">
      <w:bodyDiv w:val="1"/>
      <w:marLeft w:val="0"/>
      <w:marRight w:val="0"/>
      <w:marTop w:val="0"/>
      <w:marBottom w:val="0"/>
      <w:divBdr>
        <w:top w:val="none" w:sz="0" w:space="0" w:color="auto"/>
        <w:left w:val="none" w:sz="0" w:space="0" w:color="auto"/>
        <w:bottom w:val="none" w:sz="0" w:space="0" w:color="auto"/>
        <w:right w:val="none" w:sz="0" w:space="0" w:color="auto"/>
      </w:divBdr>
    </w:div>
    <w:div w:id="785392401">
      <w:bodyDiv w:val="1"/>
      <w:marLeft w:val="0"/>
      <w:marRight w:val="0"/>
      <w:marTop w:val="0"/>
      <w:marBottom w:val="0"/>
      <w:divBdr>
        <w:top w:val="none" w:sz="0" w:space="0" w:color="auto"/>
        <w:left w:val="none" w:sz="0" w:space="0" w:color="auto"/>
        <w:bottom w:val="none" w:sz="0" w:space="0" w:color="auto"/>
        <w:right w:val="none" w:sz="0" w:space="0" w:color="auto"/>
      </w:divBdr>
    </w:div>
    <w:div w:id="831413860">
      <w:bodyDiv w:val="1"/>
      <w:marLeft w:val="0"/>
      <w:marRight w:val="0"/>
      <w:marTop w:val="0"/>
      <w:marBottom w:val="0"/>
      <w:divBdr>
        <w:top w:val="none" w:sz="0" w:space="0" w:color="auto"/>
        <w:left w:val="none" w:sz="0" w:space="0" w:color="auto"/>
        <w:bottom w:val="none" w:sz="0" w:space="0" w:color="auto"/>
        <w:right w:val="none" w:sz="0" w:space="0" w:color="auto"/>
      </w:divBdr>
    </w:div>
    <w:div w:id="882015897">
      <w:bodyDiv w:val="1"/>
      <w:marLeft w:val="0"/>
      <w:marRight w:val="0"/>
      <w:marTop w:val="0"/>
      <w:marBottom w:val="0"/>
      <w:divBdr>
        <w:top w:val="none" w:sz="0" w:space="0" w:color="auto"/>
        <w:left w:val="none" w:sz="0" w:space="0" w:color="auto"/>
        <w:bottom w:val="none" w:sz="0" w:space="0" w:color="auto"/>
        <w:right w:val="none" w:sz="0" w:space="0" w:color="auto"/>
      </w:divBdr>
    </w:div>
    <w:div w:id="983051285">
      <w:bodyDiv w:val="1"/>
      <w:marLeft w:val="0"/>
      <w:marRight w:val="0"/>
      <w:marTop w:val="0"/>
      <w:marBottom w:val="0"/>
      <w:divBdr>
        <w:top w:val="none" w:sz="0" w:space="0" w:color="auto"/>
        <w:left w:val="none" w:sz="0" w:space="0" w:color="auto"/>
        <w:bottom w:val="none" w:sz="0" w:space="0" w:color="auto"/>
        <w:right w:val="none" w:sz="0" w:space="0" w:color="auto"/>
      </w:divBdr>
    </w:div>
    <w:div w:id="1009597328">
      <w:bodyDiv w:val="1"/>
      <w:marLeft w:val="0"/>
      <w:marRight w:val="0"/>
      <w:marTop w:val="0"/>
      <w:marBottom w:val="0"/>
      <w:divBdr>
        <w:top w:val="none" w:sz="0" w:space="0" w:color="auto"/>
        <w:left w:val="none" w:sz="0" w:space="0" w:color="auto"/>
        <w:bottom w:val="none" w:sz="0" w:space="0" w:color="auto"/>
        <w:right w:val="none" w:sz="0" w:space="0" w:color="auto"/>
      </w:divBdr>
    </w:div>
    <w:div w:id="1330061457">
      <w:bodyDiv w:val="1"/>
      <w:marLeft w:val="0"/>
      <w:marRight w:val="0"/>
      <w:marTop w:val="0"/>
      <w:marBottom w:val="0"/>
      <w:divBdr>
        <w:top w:val="none" w:sz="0" w:space="0" w:color="auto"/>
        <w:left w:val="none" w:sz="0" w:space="0" w:color="auto"/>
        <w:bottom w:val="none" w:sz="0" w:space="0" w:color="auto"/>
        <w:right w:val="none" w:sz="0" w:space="0" w:color="auto"/>
      </w:divBdr>
    </w:div>
    <w:div w:id="1345934475">
      <w:bodyDiv w:val="1"/>
      <w:marLeft w:val="0"/>
      <w:marRight w:val="0"/>
      <w:marTop w:val="0"/>
      <w:marBottom w:val="0"/>
      <w:divBdr>
        <w:top w:val="none" w:sz="0" w:space="0" w:color="auto"/>
        <w:left w:val="none" w:sz="0" w:space="0" w:color="auto"/>
        <w:bottom w:val="none" w:sz="0" w:space="0" w:color="auto"/>
        <w:right w:val="none" w:sz="0" w:space="0" w:color="auto"/>
      </w:divBdr>
    </w:div>
    <w:div w:id="1418281502">
      <w:bodyDiv w:val="1"/>
      <w:marLeft w:val="0"/>
      <w:marRight w:val="0"/>
      <w:marTop w:val="0"/>
      <w:marBottom w:val="0"/>
      <w:divBdr>
        <w:top w:val="none" w:sz="0" w:space="0" w:color="auto"/>
        <w:left w:val="none" w:sz="0" w:space="0" w:color="auto"/>
        <w:bottom w:val="none" w:sz="0" w:space="0" w:color="auto"/>
        <w:right w:val="none" w:sz="0" w:space="0" w:color="auto"/>
      </w:divBdr>
    </w:div>
    <w:div w:id="1461652260">
      <w:bodyDiv w:val="1"/>
      <w:marLeft w:val="0"/>
      <w:marRight w:val="0"/>
      <w:marTop w:val="0"/>
      <w:marBottom w:val="0"/>
      <w:divBdr>
        <w:top w:val="none" w:sz="0" w:space="0" w:color="auto"/>
        <w:left w:val="none" w:sz="0" w:space="0" w:color="auto"/>
        <w:bottom w:val="none" w:sz="0" w:space="0" w:color="auto"/>
        <w:right w:val="none" w:sz="0" w:space="0" w:color="auto"/>
      </w:divBdr>
    </w:div>
    <w:div w:id="1490905121">
      <w:bodyDiv w:val="1"/>
      <w:marLeft w:val="0"/>
      <w:marRight w:val="0"/>
      <w:marTop w:val="0"/>
      <w:marBottom w:val="0"/>
      <w:divBdr>
        <w:top w:val="none" w:sz="0" w:space="0" w:color="auto"/>
        <w:left w:val="none" w:sz="0" w:space="0" w:color="auto"/>
        <w:bottom w:val="none" w:sz="0" w:space="0" w:color="auto"/>
        <w:right w:val="none" w:sz="0" w:space="0" w:color="auto"/>
      </w:divBdr>
    </w:div>
    <w:div w:id="1547376829">
      <w:bodyDiv w:val="1"/>
      <w:marLeft w:val="0"/>
      <w:marRight w:val="0"/>
      <w:marTop w:val="0"/>
      <w:marBottom w:val="0"/>
      <w:divBdr>
        <w:top w:val="none" w:sz="0" w:space="0" w:color="auto"/>
        <w:left w:val="none" w:sz="0" w:space="0" w:color="auto"/>
        <w:bottom w:val="none" w:sz="0" w:space="0" w:color="auto"/>
        <w:right w:val="none" w:sz="0" w:space="0" w:color="auto"/>
      </w:divBdr>
    </w:div>
    <w:div w:id="1561862184">
      <w:bodyDiv w:val="1"/>
      <w:marLeft w:val="0"/>
      <w:marRight w:val="0"/>
      <w:marTop w:val="0"/>
      <w:marBottom w:val="0"/>
      <w:divBdr>
        <w:top w:val="none" w:sz="0" w:space="0" w:color="auto"/>
        <w:left w:val="none" w:sz="0" w:space="0" w:color="auto"/>
        <w:bottom w:val="none" w:sz="0" w:space="0" w:color="auto"/>
        <w:right w:val="none" w:sz="0" w:space="0" w:color="auto"/>
      </w:divBdr>
    </w:div>
    <w:div w:id="1619530682">
      <w:bodyDiv w:val="1"/>
      <w:marLeft w:val="0"/>
      <w:marRight w:val="0"/>
      <w:marTop w:val="0"/>
      <w:marBottom w:val="0"/>
      <w:divBdr>
        <w:top w:val="none" w:sz="0" w:space="0" w:color="auto"/>
        <w:left w:val="none" w:sz="0" w:space="0" w:color="auto"/>
        <w:bottom w:val="none" w:sz="0" w:space="0" w:color="auto"/>
        <w:right w:val="none" w:sz="0" w:space="0" w:color="auto"/>
      </w:divBdr>
    </w:div>
    <w:div w:id="1758016275">
      <w:bodyDiv w:val="1"/>
      <w:marLeft w:val="0"/>
      <w:marRight w:val="0"/>
      <w:marTop w:val="0"/>
      <w:marBottom w:val="0"/>
      <w:divBdr>
        <w:top w:val="none" w:sz="0" w:space="0" w:color="auto"/>
        <w:left w:val="none" w:sz="0" w:space="0" w:color="auto"/>
        <w:bottom w:val="none" w:sz="0" w:space="0" w:color="auto"/>
        <w:right w:val="none" w:sz="0" w:space="0" w:color="auto"/>
      </w:divBdr>
    </w:div>
    <w:div w:id="1779829311">
      <w:bodyDiv w:val="1"/>
      <w:marLeft w:val="0"/>
      <w:marRight w:val="0"/>
      <w:marTop w:val="0"/>
      <w:marBottom w:val="0"/>
      <w:divBdr>
        <w:top w:val="none" w:sz="0" w:space="0" w:color="auto"/>
        <w:left w:val="none" w:sz="0" w:space="0" w:color="auto"/>
        <w:bottom w:val="none" w:sz="0" w:space="0" w:color="auto"/>
        <w:right w:val="none" w:sz="0" w:space="0" w:color="auto"/>
      </w:divBdr>
    </w:div>
    <w:div w:id="1826048852">
      <w:bodyDiv w:val="1"/>
      <w:marLeft w:val="0"/>
      <w:marRight w:val="0"/>
      <w:marTop w:val="0"/>
      <w:marBottom w:val="0"/>
      <w:divBdr>
        <w:top w:val="none" w:sz="0" w:space="0" w:color="auto"/>
        <w:left w:val="none" w:sz="0" w:space="0" w:color="auto"/>
        <w:bottom w:val="none" w:sz="0" w:space="0" w:color="auto"/>
        <w:right w:val="none" w:sz="0" w:space="0" w:color="auto"/>
      </w:divBdr>
    </w:div>
    <w:div w:id="1884365432">
      <w:bodyDiv w:val="1"/>
      <w:marLeft w:val="0"/>
      <w:marRight w:val="0"/>
      <w:marTop w:val="0"/>
      <w:marBottom w:val="0"/>
      <w:divBdr>
        <w:top w:val="none" w:sz="0" w:space="0" w:color="auto"/>
        <w:left w:val="none" w:sz="0" w:space="0" w:color="auto"/>
        <w:bottom w:val="none" w:sz="0" w:space="0" w:color="auto"/>
        <w:right w:val="none" w:sz="0" w:space="0" w:color="auto"/>
      </w:divBdr>
    </w:div>
    <w:div w:id="1934436823">
      <w:bodyDiv w:val="1"/>
      <w:marLeft w:val="0"/>
      <w:marRight w:val="0"/>
      <w:marTop w:val="0"/>
      <w:marBottom w:val="0"/>
      <w:divBdr>
        <w:top w:val="none" w:sz="0" w:space="0" w:color="auto"/>
        <w:left w:val="none" w:sz="0" w:space="0" w:color="auto"/>
        <w:bottom w:val="none" w:sz="0" w:space="0" w:color="auto"/>
        <w:right w:val="none" w:sz="0" w:space="0" w:color="auto"/>
      </w:divBdr>
    </w:div>
    <w:div w:id="1967078289">
      <w:bodyDiv w:val="1"/>
      <w:marLeft w:val="0"/>
      <w:marRight w:val="0"/>
      <w:marTop w:val="0"/>
      <w:marBottom w:val="0"/>
      <w:divBdr>
        <w:top w:val="none" w:sz="0" w:space="0" w:color="auto"/>
        <w:left w:val="none" w:sz="0" w:space="0" w:color="auto"/>
        <w:bottom w:val="none" w:sz="0" w:space="0" w:color="auto"/>
        <w:right w:val="none" w:sz="0" w:space="0" w:color="auto"/>
      </w:divBdr>
    </w:div>
    <w:div w:id="2009407644">
      <w:bodyDiv w:val="1"/>
      <w:marLeft w:val="0"/>
      <w:marRight w:val="0"/>
      <w:marTop w:val="0"/>
      <w:marBottom w:val="0"/>
      <w:divBdr>
        <w:top w:val="none" w:sz="0" w:space="0" w:color="auto"/>
        <w:left w:val="none" w:sz="0" w:space="0" w:color="auto"/>
        <w:bottom w:val="none" w:sz="0" w:space="0" w:color="auto"/>
        <w:right w:val="none" w:sz="0" w:space="0" w:color="auto"/>
      </w:divBdr>
    </w:div>
    <w:div w:id="2010791845">
      <w:bodyDiv w:val="1"/>
      <w:marLeft w:val="0"/>
      <w:marRight w:val="0"/>
      <w:marTop w:val="0"/>
      <w:marBottom w:val="0"/>
      <w:divBdr>
        <w:top w:val="none" w:sz="0" w:space="0" w:color="auto"/>
        <w:left w:val="none" w:sz="0" w:space="0" w:color="auto"/>
        <w:bottom w:val="none" w:sz="0" w:space="0" w:color="auto"/>
        <w:right w:val="none" w:sz="0" w:space="0" w:color="auto"/>
      </w:divBdr>
    </w:div>
    <w:div w:id="203234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F30AD-F0A4-4318-B3FB-0D18BEA46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27</Pages>
  <Words>7020</Words>
  <Characters>40017</Characters>
  <Application>Microsoft Office Word</Application>
  <DocSecurity>0</DocSecurity>
  <Lines>333</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DOI: 10</vt:lpstr>
      <vt:lpstr>DOI: 10</vt:lpstr>
    </vt:vector>
  </TitlesOfParts>
  <Company>WILEY-VCH Verlag GmbH &amp; Co. KGaA</Company>
  <LinksUpToDate>false</LinksUpToDate>
  <CharactersWithSpaces>46944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ABoeer</dc:creator>
  <cp:lastModifiedBy>Walsh, James [jlwalsh]</cp:lastModifiedBy>
  <cp:revision>72</cp:revision>
  <cp:lastPrinted>2017-05-30T08:54:00Z</cp:lastPrinted>
  <dcterms:created xsi:type="dcterms:W3CDTF">2017-03-03T11:36:00Z</dcterms:created>
  <dcterms:modified xsi:type="dcterms:W3CDTF">2019-02-12T09:34:00Z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bdaca545-7e71-3caa-b103-bdcca5de7c3b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