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7418" w14:textId="77777777" w:rsidR="00FE0ED9" w:rsidRDefault="00FE0ED9" w:rsidP="00FE0ED9">
      <w:pPr>
        <w:rPr>
          <w:lang w:val="en-US"/>
        </w:rPr>
      </w:pPr>
      <w:r w:rsidRPr="00CF10D2">
        <w:rPr>
          <w:lang w:val="en-US"/>
        </w:rPr>
        <w:t>DOI: 10.1002</w:t>
      </w:r>
      <w:proofErr w:type="gramStart"/>
      <w:r w:rsidRPr="00CF10D2">
        <w:rPr>
          <w:lang w:val="en-US"/>
        </w:rPr>
        <w:t>/(</w:t>
      </w:r>
      <w:proofErr w:type="gramEnd"/>
      <w:r w:rsidRPr="00CF10D2">
        <w:rPr>
          <w:lang w:val="en-US"/>
        </w:rPr>
        <w:t xml:space="preserve">(please </w:t>
      </w:r>
      <w:r>
        <w:rPr>
          <w:lang w:val="en-US"/>
        </w:rPr>
        <w:t xml:space="preserve">add </w:t>
      </w:r>
      <w:r w:rsidRPr="00CF10D2">
        <w:rPr>
          <w:lang w:val="en-US"/>
        </w:rPr>
        <w:t xml:space="preserve">manuscript number)) </w:t>
      </w:r>
    </w:p>
    <w:p w14:paraId="4C3681A7" w14:textId="2727351F" w:rsidR="00FE0ED9" w:rsidRPr="00A35E4A" w:rsidRDefault="00FE0ED9" w:rsidP="00FE0ED9">
      <w:pPr>
        <w:rPr>
          <w:lang w:val="en-US"/>
        </w:rPr>
      </w:pPr>
      <w:r>
        <w:rPr>
          <w:b/>
          <w:bCs/>
          <w:lang w:val="en-US"/>
        </w:rPr>
        <w:t xml:space="preserve">Article type: </w:t>
      </w:r>
      <w:r w:rsidR="004B1B1D">
        <w:rPr>
          <w:b/>
          <w:bCs/>
          <w:lang w:val="en-US"/>
        </w:rPr>
        <w:t>Full Paper</w:t>
      </w:r>
    </w:p>
    <w:p w14:paraId="6ACBEEA7" w14:textId="77777777" w:rsidR="00FE0ED9" w:rsidRPr="00EF4114" w:rsidRDefault="00FE0ED9" w:rsidP="00FE0ED9">
      <w:pPr>
        <w:rPr>
          <w:lang w:val="en-US"/>
        </w:rPr>
      </w:pPr>
    </w:p>
    <w:p w14:paraId="2C8F7BD3" w14:textId="7CED396C" w:rsidR="00FE0ED9" w:rsidRPr="001D62F3" w:rsidRDefault="003021D8" w:rsidP="00FE0ED9">
      <w:pPr>
        <w:pStyle w:val="Title2"/>
        <w:rPr>
          <w:b w:val="0"/>
          <w:color w:val="FF0000"/>
        </w:rPr>
      </w:pPr>
      <w:r>
        <w:t>Chemical Control of</w:t>
      </w:r>
      <w:r w:rsidR="00FE0ED9">
        <w:t xml:space="preserve"> Correlated Metals as Transparent Conductors</w:t>
      </w:r>
    </w:p>
    <w:p w14:paraId="178E0A92" w14:textId="77777777" w:rsidR="00FE0ED9" w:rsidRPr="00A35E4A" w:rsidRDefault="00FE0ED9" w:rsidP="00FE0ED9">
      <w:pPr>
        <w:pStyle w:val="Tableofcontents"/>
      </w:pPr>
    </w:p>
    <w:p w14:paraId="3F38505E" w14:textId="077ADB46" w:rsidR="00FE0ED9" w:rsidRPr="00A35E4A" w:rsidRDefault="00740BE1" w:rsidP="00FE0ED9">
      <w:pPr>
        <w:pStyle w:val="AuthorsFull"/>
      </w:pPr>
      <w:r>
        <w:t>Jessica L. Stoner, Phil</w:t>
      </w:r>
      <w:r w:rsidR="002D0F56">
        <w:t xml:space="preserve">ip A. E. Murgatroyd, Marita O’Sullivan, Matthew S. Dyer, Troy D. Manning, John B. </w:t>
      </w:r>
      <w:proofErr w:type="spellStart"/>
      <w:r w:rsidR="002D0F56">
        <w:t>Claridge</w:t>
      </w:r>
      <w:proofErr w:type="spellEnd"/>
      <w:r w:rsidR="002D0F56">
        <w:t>, Matthew J. Rosseinsky</w:t>
      </w:r>
      <w:r w:rsidR="002D0F56" w:rsidRPr="00A35E4A">
        <w:t>*</w:t>
      </w:r>
      <w:r w:rsidR="002D0F56">
        <w:t xml:space="preserve"> and Jonathan Alaria</w:t>
      </w:r>
      <w:r w:rsidR="00FE0ED9" w:rsidRPr="00A35E4A">
        <w:t xml:space="preserve">* </w:t>
      </w:r>
    </w:p>
    <w:p w14:paraId="0D818249" w14:textId="77777777" w:rsidR="00FE0ED9" w:rsidRPr="00A35E4A" w:rsidRDefault="00FE0ED9" w:rsidP="00FE0ED9">
      <w:pPr>
        <w:pStyle w:val="Tableofcontents"/>
      </w:pPr>
    </w:p>
    <w:p w14:paraId="5BA88E71" w14:textId="49930F0D" w:rsidR="00C779C3" w:rsidRDefault="00692268" w:rsidP="00C779C3">
      <w:pPr>
        <w:pStyle w:val="Addresses"/>
      </w:pPr>
      <w:r>
        <w:t>Dr. M. O’Sullivan, Dr. T. D. Manning</w:t>
      </w:r>
      <w:r w:rsidR="00C779C3">
        <w:t xml:space="preserve">, Dr. M. S. Dyer, Dr. J. B. </w:t>
      </w:r>
      <w:proofErr w:type="spellStart"/>
      <w:r w:rsidR="00C779C3">
        <w:t>Claridge</w:t>
      </w:r>
      <w:proofErr w:type="spellEnd"/>
      <w:r w:rsidR="00C779C3">
        <w:t xml:space="preserve">, Prof. M. J. Rosseinsky </w:t>
      </w:r>
    </w:p>
    <w:p w14:paraId="6C6D609C" w14:textId="77777777" w:rsidR="00C779C3" w:rsidRDefault="00C779C3" w:rsidP="00C779C3">
      <w:pPr>
        <w:pStyle w:val="Addresses"/>
      </w:pPr>
      <w:r>
        <w:t>Department of Chemistry, University of Liverpool, Crown Street, Liverpool, L69 7ZD, United Kingdom</w:t>
      </w:r>
    </w:p>
    <w:p w14:paraId="3B203F87" w14:textId="77777777" w:rsidR="00C779C3" w:rsidRDefault="00C779C3" w:rsidP="00C779C3">
      <w:pPr>
        <w:pStyle w:val="Addresses"/>
      </w:pPr>
      <w:r w:rsidRPr="00A35E4A">
        <w:t>E-mail:</w:t>
      </w:r>
      <w:r>
        <w:t xml:space="preserve"> m.j.rosseinsky@liverpool.ac.uk</w:t>
      </w:r>
    </w:p>
    <w:p w14:paraId="5F31E573" w14:textId="75F932E7" w:rsidR="00C779C3" w:rsidRDefault="00692268" w:rsidP="00C779C3">
      <w:pPr>
        <w:pStyle w:val="Addresses"/>
      </w:pPr>
      <w:r>
        <w:t xml:space="preserve">J. L. Stoner, P. A. E. Murgatroyd, </w:t>
      </w:r>
      <w:r w:rsidR="00C779C3">
        <w:t>Dr. J. Alaria</w:t>
      </w:r>
    </w:p>
    <w:p w14:paraId="183C4A97" w14:textId="77777777" w:rsidR="00C779C3" w:rsidRDefault="00C779C3" w:rsidP="00C779C3">
      <w:pPr>
        <w:pStyle w:val="Addresses"/>
      </w:pPr>
      <w:r>
        <w:t>Department of Physics, University of Liverpool, Oxford Street, Liverpool, L69 7ZE, United Kingdom</w:t>
      </w:r>
    </w:p>
    <w:p w14:paraId="5C064637" w14:textId="77777777" w:rsidR="00C779C3" w:rsidRDefault="00C779C3" w:rsidP="00C779C3">
      <w:pPr>
        <w:pStyle w:val="Addresses"/>
      </w:pPr>
      <w:r>
        <w:t>E-mail: jonathan.alaria@liverpool.ac.uk</w:t>
      </w:r>
    </w:p>
    <w:p w14:paraId="7DC11B70" w14:textId="77777777" w:rsidR="00FE0ED9" w:rsidRPr="00A34F32" w:rsidRDefault="00FE0ED9" w:rsidP="00FE0ED9">
      <w:pPr>
        <w:rPr>
          <w:lang w:val="en-US"/>
        </w:rPr>
      </w:pPr>
    </w:p>
    <w:p w14:paraId="7446A393" w14:textId="58E8129D" w:rsidR="00FE0ED9" w:rsidRPr="00B24F38" w:rsidRDefault="00FE0ED9" w:rsidP="00FE0ED9">
      <w:pPr>
        <w:rPr>
          <w:lang w:val="en-US"/>
        </w:rPr>
      </w:pPr>
      <w:r w:rsidRPr="00B24F38">
        <w:rPr>
          <w:bCs/>
          <w:lang w:val="en-US"/>
        </w:rPr>
        <w:t xml:space="preserve">Keywords: </w:t>
      </w:r>
      <w:r w:rsidRPr="00B24F38">
        <w:rPr>
          <w:rFonts w:eastAsia="MS Gothic"/>
          <w:lang w:val="en-US"/>
        </w:rPr>
        <w:t>(</w:t>
      </w:r>
      <w:r w:rsidR="00360129">
        <w:rPr>
          <w:rFonts w:eastAsia="MS Gothic"/>
          <w:lang w:val="en-US"/>
        </w:rPr>
        <w:t>correlated metals, optical properties, electrical properties, chemical control, transparent conductors</w:t>
      </w:r>
      <w:r w:rsidRPr="00B24F38">
        <w:rPr>
          <w:rFonts w:eastAsia="MS Gothic"/>
          <w:lang w:val="en-US"/>
        </w:rPr>
        <w:t>)</w:t>
      </w:r>
    </w:p>
    <w:p w14:paraId="54FE4366" w14:textId="77777777" w:rsidR="00FE0ED9" w:rsidRDefault="00FE0ED9" w:rsidP="000366E2">
      <w:pPr>
        <w:pStyle w:val="Abstract"/>
      </w:pPr>
    </w:p>
    <w:p w14:paraId="48F0C101" w14:textId="7C67C00C" w:rsidR="002D0F56" w:rsidRPr="001D2084" w:rsidRDefault="002D0F56" w:rsidP="002D0F56">
      <w:pPr>
        <w:spacing w:line="480" w:lineRule="auto"/>
        <w:jc w:val="both"/>
      </w:pPr>
      <w:r w:rsidRPr="001D2084">
        <w:t xml:space="preserve">Correlated metallic transition metal oxides offer a route to thin film transparent conductors </w:t>
      </w:r>
      <w:r w:rsidR="00C017A5">
        <w:t xml:space="preserve">that is distinct </w:t>
      </w:r>
      <w:r w:rsidRPr="001D2084">
        <w:t>from the degenerate doping of broad band wide gap semiconductors. In a correlated metal transparent conductor, inter</w:t>
      </w:r>
      <w:r>
        <w:t>-</w:t>
      </w:r>
      <w:r w:rsidRPr="001D2084">
        <w:t>electron repulsion shifts the plasma frequency out of the visible region to enhance optical transmission, while the high carrier density of a metal retains sufficient conductivity. By exploiting control of the filling, position and width of the bands derived from the B site transition metal in ABO</w:t>
      </w:r>
      <w:r w:rsidRPr="001D2084">
        <w:rPr>
          <w:vertAlign w:val="subscript"/>
        </w:rPr>
        <w:t>3</w:t>
      </w:r>
      <w:r w:rsidRPr="001D2084">
        <w:t xml:space="preserve"> perovskite oxide films, we show that pulsed laser deposition-grown films of cubic SrMoO</w:t>
      </w:r>
      <w:r w:rsidRPr="001D2084">
        <w:rPr>
          <w:vertAlign w:val="subscript"/>
        </w:rPr>
        <w:t>3</w:t>
      </w:r>
      <w:r w:rsidRPr="001D2084">
        <w:t xml:space="preserve"> and orthorhombic CaMoO</w:t>
      </w:r>
      <w:r w:rsidRPr="001D2084">
        <w:rPr>
          <w:vertAlign w:val="subscript"/>
        </w:rPr>
        <w:t>3</w:t>
      </w:r>
      <w:r w:rsidRPr="001D2084">
        <w:t xml:space="preserve"> based on the second transition series cation </w:t>
      </w:r>
      <w:r w:rsidRPr="001D2084">
        <w:rPr>
          <w:i/>
        </w:rPr>
        <w:t>4d</w:t>
      </w:r>
      <w:r w:rsidRPr="001D2084">
        <w:rPr>
          <w:i/>
          <w:vertAlign w:val="superscript"/>
        </w:rPr>
        <w:t>2</w:t>
      </w:r>
      <w:r w:rsidRPr="001D2084">
        <w:t xml:space="preserve"> Mo</w:t>
      </w:r>
      <w:r w:rsidRPr="001D2084">
        <w:rPr>
          <w:vertAlign w:val="superscript"/>
        </w:rPr>
        <w:t>4+</w:t>
      </w:r>
      <w:r w:rsidRPr="001D2084">
        <w:t xml:space="preserve"> have superior transparent conductor properties to the first transition series </w:t>
      </w:r>
      <w:r w:rsidRPr="001D2084">
        <w:rPr>
          <w:i/>
        </w:rPr>
        <w:t>3d</w:t>
      </w:r>
      <w:r w:rsidRPr="001D2084">
        <w:rPr>
          <w:i/>
          <w:vertAlign w:val="superscript"/>
        </w:rPr>
        <w:t>1</w:t>
      </w:r>
      <w:r w:rsidRPr="001D2084">
        <w:t xml:space="preserve"> V</w:t>
      </w:r>
      <w:r w:rsidRPr="001D2084">
        <w:rPr>
          <w:vertAlign w:val="superscript"/>
        </w:rPr>
        <w:t>4+</w:t>
      </w:r>
      <w:r w:rsidRPr="001D2084">
        <w:t>-based SrVO</w:t>
      </w:r>
      <w:r w:rsidRPr="001D2084">
        <w:rPr>
          <w:vertAlign w:val="subscript"/>
        </w:rPr>
        <w:t>3</w:t>
      </w:r>
      <w:r w:rsidRPr="001D2084">
        <w:t xml:space="preserve">. The increased carrier concentration offered by the greater </w:t>
      </w:r>
      <w:proofErr w:type="spellStart"/>
      <w:r w:rsidRPr="001D2084">
        <w:t>bandfilling</w:t>
      </w:r>
      <w:proofErr w:type="spellEnd"/>
      <w:r w:rsidRPr="001D2084">
        <w:t xml:space="preserve"> in the </w:t>
      </w:r>
      <w:proofErr w:type="spellStart"/>
      <w:r w:rsidRPr="001D2084">
        <w:t>molybdates</w:t>
      </w:r>
      <w:proofErr w:type="spellEnd"/>
      <w:r w:rsidRPr="001D2084">
        <w:t xml:space="preserve"> gives higher conductivity while retaining sufficient correlation to keep the plasma edge below the visible region. The reduced binding energy of the </w:t>
      </w:r>
      <w:r w:rsidRPr="001D2084">
        <w:rPr>
          <w:i/>
        </w:rPr>
        <w:t>n</w:t>
      </w:r>
      <w:r w:rsidRPr="001D2084">
        <w:t xml:space="preserve"> = 4 frontier orbitals in the second transition series materials shifts the energies of oxide </w:t>
      </w:r>
      <w:r w:rsidRPr="001D2084">
        <w:rPr>
          <w:i/>
        </w:rPr>
        <w:t>2p</w:t>
      </w:r>
      <w:r w:rsidRPr="001D2084">
        <w:t xml:space="preserve"> to metal </w:t>
      </w:r>
      <w:proofErr w:type="spellStart"/>
      <w:r w:rsidRPr="001D2084">
        <w:rPr>
          <w:i/>
        </w:rPr>
        <w:t>nd</w:t>
      </w:r>
      <w:proofErr w:type="spellEnd"/>
      <w:r w:rsidRPr="001D2084">
        <w:t xml:space="preserve"> transitions into the near-ultra violet to enhance visible transparency. The A site size-driven rotation of MoO</w:t>
      </w:r>
      <w:r w:rsidRPr="001D2084">
        <w:rPr>
          <w:vertAlign w:val="subscript"/>
        </w:rPr>
        <w:t>6</w:t>
      </w:r>
      <w:r w:rsidRPr="001D2084">
        <w:t xml:space="preserve"> </w:t>
      </w:r>
      <w:proofErr w:type="spellStart"/>
      <w:r w:rsidRPr="001D2084">
        <w:t>octahedra</w:t>
      </w:r>
      <w:proofErr w:type="spellEnd"/>
      <w:r w:rsidRPr="001D2084">
        <w:t xml:space="preserve"> in CaMoO</w:t>
      </w:r>
      <w:r w:rsidRPr="001D2084">
        <w:rPr>
          <w:vertAlign w:val="subscript"/>
        </w:rPr>
        <w:t>3</w:t>
      </w:r>
      <w:r w:rsidRPr="001D2084">
        <w:t xml:space="preserve"> optimi</w:t>
      </w:r>
      <w:r w:rsidR="00F63826">
        <w:t>z</w:t>
      </w:r>
      <w:r w:rsidRPr="001D2084">
        <w:t>es the balance between plasma frequency and conductivity for transparent conductor performance.</w:t>
      </w:r>
    </w:p>
    <w:p w14:paraId="4A2B76E1" w14:textId="77777777" w:rsidR="004B1B1D" w:rsidRDefault="004B1B1D" w:rsidP="004B1B1D">
      <w:pPr>
        <w:pStyle w:val="Head1"/>
      </w:pPr>
      <w:r w:rsidRPr="007B249B">
        <w:lastRenderedPageBreak/>
        <w:t>1. Introduction</w:t>
      </w:r>
    </w:p>
    <w:p w14:paraId="13EE7C73" w14:textId="77777777" w:rsidR="00FE0ED9" w:rsidRDefault="00FE0ED9" w:rsidP="00FE0ED9">
      <w:pPr>
        <w:rPr>
          <w:lang w:val="en-US"/>
        </w:rPr>
      </w:pPr>
    </w:p>
    <w:p w14:paraId="3F29037F" w14:textId="73936FAA" w:rsidR="00FE0ED9" w:rsidRDefault="00FE0ED9" w:rsidP="00FE0ED9">
      <w:pPr>
        <w:spacing w:line="480" w:lineRule="auto"/>
      </w:pPr>
      <w:r w:rsidRPr="00EF5F1D">
        <w:rPr>
          <w:lang w:val="en-US"/>
        </w:rPr>
        <w:t>T</w:t>
      </w:r>
      <w:r w:rsidR="00291976">
        <w:rPr>
          <w:lang w:val="en-US"/>
        </w:rPr>
        <w:t>ransparent conducting materials</w:t>
      </w:r>
      <w:r w:rsidRPr="00EF5F1D">
        <w:rPr>
          <w:lang w:val="en-US"/>
        </w:rPr>
        <w:t xml:space="preserve"> </w:t>
      </w:r>
      <w:r>
        <w:rPr>
          <w:lang w:val="en-US"/>
        </w:rPr>
        <w:t>have a wide variety of applications</w:t>
      </w:r>
      <w:r w:rsidR="00154328">
        <w:rPr>
          <w:lang w:val="en-US"/>
        </w:rPr>
        <w:t>.</w:t>
      </w:r>
      <w:r w:rsidR="00A164FC">
        <w:rPr>
          <w:lang w:val="en-US"/>
        </w:rPr>
        <w:t xml:space="preserve"> </w:t>
      </w:r>
      <w:r w:rsidR="00154328">
        <w:rPr>
          <w:lang w:val="en-US"/>
        </w:rPr>
        <w:t xml:space="preserve">They </w:t>
      </w:r>
      <w:r>
        <w:rPr>
          <w:lang w:val="en-US"/>
        </w:rPr>
        <w:t xml:space="preserve">are a key component </w:t>
      </w:r>
      <w:r w:rsidR="00154328">
        <w:rPr>
          <w:lang w:val="en-US"/>
        </w:rPr>
        <w:t xml:space="preserve">of </w:t>
      </w:r>
      <w:r w:rsidRPr="00EF5F1D">
        <w:rPr>
          <w:lang w:val="en-US"/>
        </w:rPr>
        <w:t>photovoltaic and display technologies</w:t>
      </w:r>
      <w:r w:rsidR="00154328">
        <w:rPr>
          <w:lang w:val="en-US"/>
        </w:rPr>
        <w:t>,</w:t>
      </w:r>
      <w:r w:rsidRPr="00EF5F1D">
        <w:rPr>
          <w:lang w:val="en-US"/>
        </w:rPr>
        <w:t xml:space="preserve"> and increasing demands are being made of such materials to continue the rapid growth of these industries.</w:t>
      </w:r>
      <w:r w:rsidR="00850461" w:rsidRPr="00850461">
        <w:rPr>
          <w:noProof/>
          <w:vertAlign w:val="superscript"/>
          <w:lang w:val="en-US"/>
        </w:rPr>
        <w:t>[1]</w:t>
      </w:r>
      <w:r w:rsidR="00850461">
        <w:rPr>
          <w:lang w:val="en-US"/>
        </w:rPr>
        <w:t xml:space="preserve"> </w:t>
      </w:r>
      <w:r w:rsidRPr="00EF5F1D">
        <w:rPr>
          <w:lang w:val="en-US"/>
        </w:rPr>
        <w:t>Suitable TCMs are ide</w:t>
      </w:r>
      <w:r>
        <w:rPr>
          <w:lang w:val="en-US"/>
        </w:rPr>
        <w:t>ntified primarily via a high</w:t>
      </w:r>
      <w:r w:rsidRPr="00EF5F1D">
        <w:rPr>
          <w:lang w:val="en-US"/>
        </w:rPr>
        <w:t xml:space="preserve"> electrical conductivity and a</w:t>
      </w:r>
      <w:r>
        <w:rPr>
          <w:lang w:val="en-US"/>
        </w:rPr>
        <w:t xml:space="preserve"> small optical absorption</w:t>
      </w:r>
      <w:r w:rsidRPr="00EF5F1D">
        <w:rPr>
          <w:lang w:val="en-US"/>
        </w:rPr>
        <w:t xml:space="preserve"> </w:t>
      </w:r>
      <w:r>
        <w:rPr>
          <w:lang w:val="en-US"/>
        </w:rPr>
        <w:t xml:space="preserve">in the visible </w:t>
      </w:r>
      <w:r w:rsidR="00154328">
        <w:rPr>
          <w:lang w:val="en-US"/>
        </w:rPr>
        <w:t xml:space="preserve">part of the </w:t>
      </w:r>
      <w:r>
        <w:rPr>
          <w:lang w:val="en-US"/>
        </w:rPr>
        <w:t xml:space="preserve">spectrum (1.75 – 3.2 eV). </w:t>
      </w:r>
      <w:r w:rsidRPr="0095154D">
        <w:rPr>
          <w:lang w:val="en-US"/>
        </w:rPr>
        <w:t>Transparent Conducting Oxides (TCOs) are the current fron</w:t>
      </w:r>
      <w:r>
        <w:rPr>
          <w:lang w:val="en-US"/>
        </w:rPr>
        <w:t>t-running commercial materials with</w:t>
      </w:r>
      <w:r w:rsidRPr="0095154D">
        <w:rPr>
          <w:lang w:val="en-US"/>
        </w:rPr>
        <w:t xml:space="preserve"> Tin-doped Indium Oxide (ITO)</w:t>
      </w:r>
      <w:r>
        <w:rPr>
          <w:lang w:val="en-US"/>
        </w:rPr>
        <w:t xml:space="preserve"> and Fluorine-doped Tin Oxide (FTO) being the most widely used.</w:t>
      </w:r>
      <w:r w:rsidR="00902864" w:rsidRPr="00902864">
        <w:rPr>
          <w:noProof/>
          <w:vertAlign w:val="superscript"/>
          <w:lang w:val="en-US"/>
        </w:rPr>
        <w:t>[2, 3]</w:t>
      </w:r>
      <w:r>
        <w:rPr>
          <w:lang w:val="en-US"/>
        </w:rPr>
        <w:t xml:space="preserve"> These compounds are wide band gap (&gt; 3 eV ) s</w:t>
      </w:r>
      <w:r w:rsidRPr="0095154D">
        <w:rPr>
          <w:lang w:val="en-US"/>
        </w:rPr>
        <w:t xml:space="preserve">emiconductor oxides </w:t>
      </w:r>
      <w:r>
        <w:rPr>
          <w:lang w:val="en-US"/>
        </w:rPr>
        <w:t>with</w:t>
      </w:r>
      <w:r w:rsidRPr="0095154D">
        <w:rPr>
          <w:lang w:val="en-US"/>
        </w:rPr>
        <w:t xml:space="preserve"> </w:t>
      </w:r>
      <w:r>
        <w:rPr>
          <w:lang w:val="en-US"/>
        </w:rPr>
        <w:t>no intra-band transition in the visible spectrum</w:t>
      </w:r>
      <w:r w:rsidR="00E075EC">
        <w:rPr>
          <w:lang w:val="en-US"/>
        </w:rPr>
        <w:t>,</w:t>
      </w:r>
      <w:r w:rsidRPr="0095154D">
        <w:rPr>
          <w:lang w:val="en-US"/>
        </w:rPr>
        <w:t xml:space="preserve"> </w:t>
      </w:r>
      <w:r>
        <w:rPr>
          <w:lang w:val="en-US"/>
        </w:rPr>
        <w:t xml:space="preserve">therefore offering </w:t>
      </w:r>
      <w:r w:rsidRPr="0095154D">
        <w:rPr>
          <w:lang w:val="en-US"/>
        </w:rPr>
        <w:t>high transparency</w:t>
      </w:r>
      <w:r w:rsidR="00154328">
        <w:rPr>
          <w:lang w:val="en-US"/>
        </w:rPr>
        <w:t>.</w:t>
      </w:r>
      <w:r w:rsidRPr="0095154D">
        <w:rPr>
          <w:lang w:val="en-US"/>
        </w:rPr>
        <w:t xml:space="preserve"> </w:t>
      </w:r>
      <w:r w:rsidR="00154328">
        <w:rPr>
          <w:lang w:val="en-US"/>
        </w:rPr>
        <w:t>A</w:t>
      </w:r>
      <w:r>
        <w:rPr>
          <w:lang w:val="en-US"/>
        </w:rPr>
        <w:t xml:space="preserve"> </w:t>
      </w:r>
      <w:r w:rsidRPr="0095154D">
        <w:rPr>
          <w:lang w:val="en-US"/>
        </w:rPr>
        <w:t>high level of doping shifts the Fermi level</w:t>
      </w:r>
      <w:r>
        <w:rPr>
          <w:lang w:val="en-US"/>
        </w:rPr>
        <w:t xml:space="preserve"> in</w:t>
      </w:r>
      <w:r w:rsidR="00154328">
        <w:rPr>
          <w:lang w:val="en-US"/>
        </w:rPr>
        <w:t>to</w:t>
      </w:r>
      <w:r>
        <w:rPr>
          <w:lang w:val="en-US"/>
        </w:rPr>
        <w:t xml:space="preserve"> the conduction band</w:t>
      </w:r>
      <w:r w:rsidRPr="0095154D">
        <w:rPr>
          <w:lang w:val="en-US"/>
        </w:rPr>
        <w:t xml:space="preserve"> </w:t>
      </w:r>
      <w:r w:rsidR="00E075EC">
        <w:rPr>
          <w:lang w:val="en-US"/>
        </w:rPr>
        <w:t>to provide</w:t>
      </w:r>
      <w:r w:rsidR="00E075EC" w:rsidRPr="0095154D">
        <w:rPr>
          <w:lang w:val="en-US"/>
        </w:rPr>
        <w:t xml:space="preserve"> </w:t>
      </w:r>
      <w:r w:rsidRPr="0095154D">
        <w:rPr>
          <w:lang w:val="en-US"/>
        </w:rPr>
        <w:t>metallic</w:t>
      </w:r>
      <w:r w:rsidR="00154328">
        <w:rPr>
          <w:lang w:val="en-US"/>
        </w:rPr>
        <w:t>-</w:t>
      </w:r>
      <w:r w:rsidRPr="0095154D">
        <w:rPr>
          <w:lang w:val="en-US"/>
        </w:rPr>
        <w:t>like electrical conduction</w:t>
      </w:r>
      <w:r>
        <w:rPr>
          <w:lang w:val="en-US"/>
        </w:rPr>
        <w:t xml:space="preserve">, with </w:t>
      </w:r>
      <w:r w:rsidR="00154328">
        <w:rPr>
          <w:lang w:val="en-US"/>
        </w:rPr>
        <w:t xml:space="preserve">the </w:t>
      </w:r>
      <w:r w:rsidRPr="00EF5F1D">
        <w:rPr>
          <w:lang w:val="en-US"/>
        </w:rPr>
        <w:t>free carrier reflection edge (represented by the screened plasma energy</w:t>
      </w:r>
      <w:r>
        <w:rPr>
          <w:lang w:val="en-US"/>
        </w:rPr>
        <w:t xml:space="preserve"> </w:t>
      </w:r>
      <w:r w:rsidRPr="00936C76">
        <w:rPr>
          <w:i/>
          <w:lang w:val="en-US"/>
        </w:rPr>
        <w:sym w:font="Symbol" w:char="F077"/>
      </w:r>
      <w:r w:rsidRPr="00936C76">
        <w:rPr>
          <w:i/>
          <w:vertAlign w:val="subscript"/>
          <w:lang w:val="en-US"/>
        </w:rPr>
        <w:t>p</w:t>
      </w:r>
      <w:r w:rsidRPr="00EF5F1D">
        <w:rPr>
          <w:lang w:val="en-US"/>
        </w:rPr>
        <w:t xml:space="preserve">) below the </w:t>
      </w:r>
      <w:r>
        <w:rPr>
          <w:lang w:val="en-US"/>
        </w:rPr>
        <w:t>near-infrared</w:t>
      </w:r>
      <w:r w:rsidRPr="00EF5F1D">
        <w:rPr>
          <w:lang w:val="en-US"/>
        </w:rPr>
        <w:t xml:space="preserve"> </w:t>
      </w:r>
      <w:r>
        <w:rPr>
          <w:lang w:val="en-US"/>
        </w:rPr>
        <w:t xml:space="preserve">region of the </w:t>
      </w:r>
      <w:r w:rsidRPr="00EF5F1D">
        <w:rPr>
          <w:lang w:val="en-US"/>
        </w:rPr>
        <w:t>spectrum</w:t>
      </w:r>
      <w:r>
        <w:rPr>
          <w:lang w:val="en-US"/>
        </w:rPr>
        <w:t xml:space="preserve"> (&lt; 1.75 eV). </w:t>
      </w:r>
      <w:r>
        <w:t>In these classical degenerately</w:t>
      </w:r>
      <w:r w:rsidR="00154328">
        <w:t>-</w:t>
      </w:r>
      <w:r>
        <w:t xml:space="preserve">doped semiconductor TCOs, there is direct competition between </w:t>
      </w:r>
      <w:r w:rsidR="00154328" w:rsidRPr="00936C76">
        <w:rPr>
          <w:i/>
          <w:lang w:val="en-US"/>
        </w:rPr>
        <w:sym w:font="Symbol" w:char="F077"/>
      </w:r>
      <w:r w:rsidR="00154328" w:rsidRPr="00936C76">
        <w:rPr>
          <w:i/>
          <w:vertAlign w:val="subscript"/>
          <w:lang w:val="en-US"/>
        </w:rPr>
        <w:t>p</w:t>
      </w:r>
      <w:r w:rsidR="00154328">
        <w:t xml:space="preserve"> and the electrical </w:t>
      </w:r>
      <w:proofErr w:type="gramStart"/>
      <w:r w:rsidR="00154328">
        <w:t xml:space="preserve">conductivity </w:t>
      </w:r>
      <w:proofErr w:type="gramEnd"/>
      <w:r w:rsidR="00013C73" w:rsidRPr="00851B8B">
        <w:rPr>
          <w:i/>
        </w:rPr>
        <w:sym w:font="Symbol" w:char="F073"/>
      </w:r>
      <w:r w:rsidR="009A6CD2">
        <w:t>, which are</w:t>
      </w:r>
      <w:r>
        <w:t xml:space="preserve"> both controlled by the carrier density and effective mass but in antagonistic ways</w:t>
      </w:r>
      <w:r w:rsidR="004C585D">
        <w:t>,</w:t>
      </w:r>
      <w:r>
        <w:t xml:space="preserve"> as described in Equation</w:t>
      </w:r>
      <w:r w:rsidR="00E075EC">
        <w:t>s</w:t>
      </w:r>
      <w:r w:rsidR="00BE455C">
        <w:t xml:space="preserve"> 1 and 2,</w:t>
      </w:r>
      <w:r w:rsidR="00902864">
        <w:t xml:space="preserve"> </w:t>
      </w:r>
      <w:r w:rsidR="00902864" w:rsidRPr="00902864">
        <w:rPr>
          <w:noProof/>
          <w:vertAlign w:val="superscript"/>
        </w:rPr>
        <w:t>[3, 4]</w:t>
      </w:r>
    </w:p>
    <w:p w14:paraId="45EE4CD6" w14:textId="77777777" w:rsidR="006D48D3" w:rsidRDefault="00624202" w:rsidP="00FE0ED9">
      <w:pPr>
        <w:spacing w:line="480" w:lineRule="auto"/>
        <w:rPr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2π∙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eff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den>
              </m:f>
            </m:e>
          </m:rad>
        </m:oMath>
      </m:oMathPara>
    </w:p>
    <w:p w14:paraId="2377F010" w14:textId="5372CD8C" w:rsidR="00FE0ED9" w:rsidRDefault="00FE0ED9" w:rsidP="00FE0ED9">
      <w:pPr>
        <w:spacing w:line="48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6D48D3">
        <w:rPr>
          <w:sz w:val="22"/>
          <w:szCs w:val="22"/>
          <w:lang w:eastAsia="en-US"/>
        </w:rPr>
        <w:tab/>
      </w:r>
      <w:r w:rsidR="006D48D3">
        <w:rPr>
          <w:sz w:val="22"/>
          <w:szCs w:val="22"/>
          <w:lang w:eastAsia="en-US"/>
        </w:rPr>
        <w:tab/>
      </w:r>
      <w:r w:rsidR="006D48D3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(Equation 1)</w:t>
      </w:r>
    </w:p>
    <w:p w14:paraId="0CABD469" w14:textId="0A24AE12" w:rsidR="00FE0ED9" w:rsidRPr="004D0AAB" w:rsidRDefault="00FE0ED9" w:rsidP="00FE0ED9">
      <w:pPr>
        <w:spacing w:line="480" w:lineRule="auto"/>
        <w:rPr>
          <w:lang w:eastAsia="en-US"/>
        </w:rPr>
      </w:pPr>
      <w:proofErr w:type="gramStart"/>
      <w:r w:rsidRPr="004D0AAB">
        <w:rPr>
          <w:lang w:eastAsia="en-US"/>
        </w:rPr>
        <w:t>where</w:t>
      </w:r>
      <w:proofErr w:type="gramEnd"/>
      <w:r w:rsidRPr="004D0AAB">
        <w:rPr>
          <w:lang w:eastAsia="en-US"/>
        </w:rPr>
        <w:t xml:space="preserve"> </w:t>
      </w:r>
      <w:r w:rsidRPr="004D0AAB">
        <w:rPr>
          <w:i/>
          <w:lang w:eastAsia="en-US"/>
        </w:rPr>
        <w:t>q</w:t>
      </w:r>
      <w:r w:rsidRPr="004D0AAB">
        <w:rPr>
          <w:lang w:eastAsia="en-US"/>
        </w:rPr>
        <w:t xml:space="preserve"> is the electrical charge, </w:t>
      </w:r>
      <w:r w:rsidRPr="004D0AAB">
        <w:rPr>
          <w:i/>
          <w:lang w:eastAsia="en-US"/>
        </w:rPr>
        <w:sym w:font="Symbol" w:char="F065"/>
      </w:r>
      <w:r w:rsidRPr="004D0AAB">
        <w:rPr>
          <w:vertAlign w:val="subscript"/>
          <w:lang w:eastAsia="en-US"/>
        </w:rPr>
        <w:t>0</w:t>
      </w:r>
      <w:r w:rsidR="006544D3">
        <w:rPr>
          <w:lang w:eastAsia="en-US"/>
        </w:rPr>
        <w:t xml:space="preserve"> the permittivity of</w:t>
      </w:r>
      <w:r w:rsidR="00BE455C">
        <w:rPr>
          <w:lang w:eastAsia="en-US"/>
        </w:rPr>
        <w:t xml:space="preserve"> </w:t>
      </w:r>
      <w:r w:rsidRPr="004D0AAB">
        <w:rPr>
          <w:lang w:eastAsia="en-US"/>
        </w:rPr>
        <w:t xml:space="preserve">space, </w:t>
      </w:r>
      <w:r w:rsidRPr="004D0AAB">
        <w:rPr>
          <w:i/>
          <w:lang w:eastAsia="en-US"/>
        </w:rPr>
        <w:sym w:font="Symbol" w:char="F065"/>
      </w:r>
      <w:r w:rsidRPr="004D0AAB">
        <w:rPr>
          <w:vertAlign w:val="subscript"/>
          <w:lang w:eastAsia="en-US"/>
        </w:rPr>
        <w:t>r</w:t>
      </w:r>
      <w:r w:rsidRPr="004D0AAB">
        <w:rPr>
          <w:lang w:eastAsia="en-US"/>
        </w:rPr>
        <w:t xml:space="preserve"> the relative permittivity of the compound, </w:t>
      </w:r>
      <w:proofErr w:type="spellStart"/>
      <w:r w:rsidRPr="004D0AAB">
        <w:rPr>
          <w:i/>
          <w:lang w:eastAsia="en-US"/>
        </w:rPr>
        <w:t>n</w:t>
      </w:r>
      <w:r w:rsidRPr="004D0AAB">
        <w:rPr>
          <w:i/>
          <w:vertAlign w:val="subscript"/>
          <w:lang w:eastAsia="en-US"/>
        </w:rPr>
        <w:t>eff</w:t>
      </w:r>
      <w:proofErr w:type="spellEnd"/>
      <w:r w:rsidRPr="004D0AAB">
        <w:rPr>
          <w:lang w:eastAsia="en-US"/>
        </w:rPr>
        <w:t xml:space="preserve"> the effective carrier concentration and </w:t>
      </w:r>
      <w:r w:rsidRPr="004D0AAB">
        <w:rPr>
          <w:i/>
          <w:lang w:eastAsia="en-US"/>
        </w:rPr>
        <w:t>m</w:t>
      </w:r>
      <w:r w:rsidRPr="004D0AAB">
        <w:rPr>
          <w:vertAlign w:val="superscript"/>
          <w:lang w:eastAsia="en-US"/>
        </w:rPr>
        <w:t>*</w:t>
      </w:r>
      <w:r w:rsidRPr="004D0AAB">
        <w:rPr>
          <w:lang w:eastAsia="en-US"/>
        </w:rPr>
        <w:t xml:space="preserve"> th</w:t>
      </w:r>
      <w:r w:rsidR="00BE455C">
        <w:rPr>
          <w:lang w:eastAsia="en-US"/>
        </w:rPr>
        <w:t>e effective mass of the carrier</w:t>
      </w:r>
      <w:r w:rsidR="006544D3">
        <w:rPr>
          <w:lang w:eastAsia="en-US"/>
        </w:rPr>
        <w:t>, and</w:t>
      </w:r>
    </w:p>
    <w:p w14:paraId="06E3C709" w14:textId="77777777" w:rsidR="00797FA6" w:rsidRDefault="00C80789" w:rsidP="00FE0ED9">
      <w:pPr>
        <w:spacing w:line="480" w:lineRule="auto"/>
      </w:pPr>
      <m:oMathPara>
        <m:oMath>
          <m:r>
            <w:rPr>
              <w:rFonts w:ascii="Cambria Math" w:hAnsi="Cambria Math"/>
            </w:rPr>
            <m:t>σ=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∙τ∙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eff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den>
          </m:f>
        </m:oMath>
      </m:oMathPara>
    </w:p>
    <w:p w14:paraId="42700780" w14:textId="0EF3C167" w:rsidR="00C80789" w:rsidRDefault="00797FA6" w:rsidP="00FE0ED9">
      <w:pPr>
        <w:spacing w:line="480" w:lineRule="auto"/>
      </w:pPr>
      <w:r>
        <w:tab/>
      </w:r>
      <w:r w:rsidR="00C80789">
        <w:tab/>
      </w:r>
      <w:r w:rsidR="00C80789">
        <w:tab/>
      </w:r>
      <w:r w:rsidR="00C80789">
        <w:tab/>
      </w:r>
      <w:r w:rsidR="00C80789">
        <w:tab/>
      </w:r>
      <w:r w:rsidR="00C80789">
        <w:tab/>
      </w:r>
      <w:r w:rsidR="00C80789">
        <w:tab/>
      </w:r>
      <w:r w:rsidR="00C80789">
        <w:tab/>
      </w:r>
      <w:r w:rsidR="00C80789">
        <w:tab/>
      </w:r>
      <w:r w:rsidR="00C80789">
        <w:tab/>
      </w:r>
      <w:r w:rsidR="00C80789">
        <w:tab/>
        <w:t>(Equation 2)</w:t>
      </w:r>
    </w:p>
    <w:p w14:paraId="586D04D0" w14:textId="1DDD8F98" w:rsidR="00D65CA4" w:rsidRPr="00FE0ED9" w:rsidRDefault="00D65CA4" w:rsidP="00FE0ED9">
      <w:pPr>
        <w:spacing w:line="480" w:lineRule="auto"/>
      </w:pPr>
      <w:proofErr w:type="gramStart"/>
      <w:r>
        <w:t>where</w:t>
      </w:r>
      <w:proofErr w:type="gramEnd"/>
      <w:r>
        <w:t xml:space="preserve"> </w:t>
      </w:r>
      <w:r>
        <w:sym w:font="Symbol" w:char="F074"/>
      </w:r>
      <w:r>
        <w:t xml:space="preserve"> is the scattering time of the carrier.</w:t>
      </w:r>
    </w:p>
    <w:p w14:paraId="63B82340" w14:textId="2AE16975" w:rsidR="003B1957" w:rsidRDefault="00C36C84" w:rsidP="004D2E55">
      <w:pPr>
        <w:spacing w:line="480" w:lineRule="auto"/>
      </w:pPr>
      <w:r>
        <w:lastRenderedPageBreak/>
        <w:t>This</w:t>
      </w:r>
      <w:r w:rsidR="00077F3B">
        <w:t xml:space="preserve"> competition governs the optimiz</w:t>
      </w:r>
      <w:r>
        <w:t xml:space="preserve">ation of </w:t>
      </w:r>
      <w:proofErr w:type="spellStart"/>
      <w:r w:rsidR="008E3712" w:rsidRPr="008E3712">
        <w:rPr>
          <w:i/>
        </w:rPr>
        <w:t>n</w:t>
      </w:r>
      <w:r w:rsidR="008E3712" w:rsidRPr="008E3712">
        <w:rPr>
          <w:i/>
          <w:vertAlign w:val="subscript"/>
        </w:rPr>
        <w:t>eff</w:t>
      </w:r>
      <w:proofErr w:type="spellEnd"/>
      <w:r w:rsidR="008E3712">
        <w:t xml:space="preserve"> and </w:t>
      </w:r>
      <w:r w:rsidR="008E3712" w:rsidRPr="008E3712">
        <w:rPr>
          <w:i/>
        </w:rPr>
        <w:t>m</w:t>
      </w:r>
      <w:r w:rsidR="008E3712" w:rsidRPr="008E3712">
        <w:rPr>
          <w:vertAlign w:val="superscript"/>
        </w:rPr>
        <w:t>*</w:t>
      </w:r>
      <w:r w:rsidR="008E3712">
        <w:t xml:space="preserve"> in wide band gap TCOs</w:t>
      </w:r>
      <w:r w:rsidR="004C585D">
        <w:t>,</w:t>
      </w:r>
      <w:r w:rsidR="008E3712">
        <w:t xml:space="preserve"> where increase in carrier density and </w:t>
      </w:r>
      <w:r w:rsidR="00077F3B">
        <w:t xml:space="preserve">a </w:t>
      </w:r>
      <w:r w:rsidR="008E3712">
        <w:t xml:space="preserve">reduction </w:t>
      </w:r>
      <w:r w:rsidR="00077F3B">
        <w:t>of</w:t>
      </w:r>
      <w:r w:rsidR="008E3712">
        <w:t xml:space="preserve"> effe</w:t>
      </w:r>
      <w:r w:rsidR="00077F3B">
        <w:t>ctive mass is pursued to maximiz</w:t>
      </w:r>
      <w:r w:rsidR="008E3712">
        <w:t xml:space="preserve">e conductivity, </w:t>
      </w:r>
      <w:r w:rsidR="00DA4E24">
        <w:t xml:space="preserve">at the cost </w:t>
      </w:r>
      <w:r w:rsidR="00B9262A">
        <w:t xml:space="preserve">of </w:t>
      </w:r>
      <w:r w:rsidR="008E3712">
        <w:t>increas</w:t>
      </w:r>
      <w:r w:rsidR="00BA1C19">
        <w:t>ing</w:t>
      </w:r>
      <w:r w:rsidR="008E3712">
        <w:t xml:space="preserve"> the plasma frequency </w:t>
      </w:r>
      <w:r w:rsidR="00B9262A">
        <w:t>while simultaneously</w:t>
      </w:r>
      <w:r w:rsidR="008E3712">
        <w:t xml:space="preserve"> reduc</w:t>
      </w:r>
      <w:r>
        <w:t>ing</w:t>
      </w:r>
      <w:r w:rsidR="008E3712">
        <w:t xml:space="preserve"> transparency in the visible</w:t>
      </w:r>
      <w:r w:rsidR="00C017A5">
        <w:t>.</w:t>
      </w:r>
      <w:r w:rsidR="004D2E55">
        <w:t xml:space="preserve"> </w:t>
      </w:r>
      <w:r w:rsidR="00C017A5">
        <w:t>T</w:t>
      </w:r>
      <w:r w:rsidR="004D2E55">
        <w:t xml:space="preserve">he overall performance of the TCO is quantified by the </w:t>
      </w:r>
      <w:proofErr w:type="spellStart"/>
      <w:r w:rsidR="004D2E55">
        <w:t>Haacke</w:t>
      </w:r>
      <w:proofErr w:type="spellEnd"/>
      <w:r w:rsidR="004D2E55">
        <w:t xml:space="preserve"> Figure Of </w:t>
      </w:r>
      <w:proofErr w:type="gramStart"/>
      <w:r w:rsidR="004D2E55">
        <w:t>Merit</w:t>
      </w:r>
      <w:r w:rsidR="00902864" w:rsidRPr="00902864">
        <w:rPr>
          <w:noProof/>
          <w:vertAlign w:val="superscript"/>
        </w:rPr>
        <w:t>[</w:t>
      </w:r>
      <w:proofErr w:type="gramEnd"/>
      <w:r w:rsidR="00902864" w:rsidRPr="00902864">
        <w:rPr>
          <w:noProof/>
          <w:vertAlign w:val="superscript"/>
        </w:rPr>
        <w:t>5]</w:t>
      </w:r>
      <w:r w:rsidR="004D2E55">
        <w:t xml:space="preserve"> </w:t>
      </w:r>
      <w:r w:rsidR="00B9262A">
        <w:t>(</w:t>
      </w:r>
      <w:r w:rsidR="004D2E55">
        <w:t>FOM</w:t>
      </w:r>
      <w:r w:rsidR="00B9262A">
        <w:t>)</w:t>
      </w:r>
      <w:r w:rsidR="004D2E55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TC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 w:rsidR="004D2E55">
        <w:rPr>
          <w:rFonts w:eastAsiaTheme="minorEastAsia"/>
        </w:rPr>
        <w:t xml:space="preserve">,where </w:t>
      </w:r>
      <w:r w:rsidR="004D2E55" w:rsidRPr="00851B8B">
        <w:rPr>
          <w:rFonts w:eastAsiaTheme="minorEastAsia"/>
          <w:i/>
        </w:rPr>
        <w:t>T</w:t>
      </w:r>
      <w:r w:rsidR="004D2E55">
        <w:rPr>
          <w:rFonts w:eastAsiaTheme="minorEastAsia"/>
        </w:rPr>
        <w:t xml:space="preserve"> is the average transmittance in the visible and </w:t>
      </w:r>
      <w:proofErr w:type="spellStart"/>
      <w:r w:rsidR="004D2E55" w:rsidRPr="00851B8B">
        <w:rPr>
          <w:rFonts w:eastAsiaTheme="minorEastAsia"/>
          <w:i/>
        </w:rPr>
        <w:t>R</w:t>
      </w:r>
      <w:r w:rsidR="004D2E55" w:rsidRPr="00851B8B">
        <w:rPr>
          <w:rFonts w:eastAsiaTheme="minorEastAsia"/>
          <w:i/>
          <w:vertAlign w:val="subscript"/>
        </w:rPr>
        <w:t>s</w:t>
      </w:r>
      <w:proofErr w:type="spellEnd"/>
      <w:r w:rsidR="004D2E55">
        <w:rPr>
          <w:rFonts w:eastAsiaTheme="minorEastAsia"/>
        </w:rPr>
        <w:t xml:space="preserve"> is </w:t>
      </w:r>
      <w:r w:rsidR="005415A7">
        <w:rPr>
          <w:rFonts w:eastAsiaTheme="minorEastAsia"/>
        </w:rPr>
        <w:t xml:space="preserve">the </w:t>
      </w:r>
      <w:r w:rsidR="004D2E55">
        <w:rPr>
          <w:rFonts w:eastAsiaTheme="minorEastAsia"/>
        </w:rPr>
        <w:t>sheet resistance.</w:t>
      </w:r>
      <w:r w:rsidR="002C4C53">
        <w:t xml:space="preserve"> In practice, t</w:t>
      </w:r>
      <w:r w:rsidR="002C4C53" w:rsidRPr="002C4C53">
        <w:t xml:space="preserve">he maximum attainable conductivity in semiconductors is fundamentally limited, as increasing dopant concentration to </w:t>
      </w:r>
      <w:r w:rsidR="004C585D">
        <w:t>raise</w:t>
      </w:r>
      <w:r w:rsidR="004C585D" w:rsidRPr="002C4C53">
        <w:t xml:space="preserve"> </w:t>
      </w:r>
      <w:r w:rsidR="002C4C53" w:rsidRPr="002C4C53">
        <w:t>the number of carrier</w:t>
      </w:r>
      <w:r w:rsidR="004C585D">
        <w:t>s</w:t>
      </w:r>
      <w:r w:rsidR="002C4C53" w:rsidRPr="002C4C53">
        <w:t xml:space="preserve"> decreas</w:t>
      </w:r>
      <w:r w:rsidR="00E82B24">
        <w:t>es carrier mobility due to ioniz</w:t>
      </w:r>
      <w:r w:rsidR="002C4C53" w:rsidRPr="002C4C53">
        <w:t>ed impurity scattering</w:t>
      </w:r>
      <w:r w:rsidR="00902864">
        <w:t xml:space="preserve"> and grain boundaries</w:t>
      </w:r>
      <w:r w:rsidR="002C4C53" w:rsidRPr="002C4C53">
        <w:t>.</w:t>
      </w:r>
      <w:r w:rsidR="00902864">
        <w:t xml:space="preserve"> </w:t>
      </w:r>
      <w:r w:rsidR="00902864" w:rsidRPr="00902864">
        <w:rPr>
          <w:noProof/>
          <w:vertAlign w:val="superscript"/>
        </w:rPr>
        <w:t>[6]</w:t>
      </w:r>
      <w:r w:rsidR="002C4C53" w:rsidRPr="002C4C53">
        <w:t xml:space="preserve"> Other</w:t>
      </w:r>
      <w:r w:rsidR="002C4C53">
        <w:t xml:space="preserve"> practical</w:t>
      </w:r>
      <w:r w:rsidR="002C4C53" w:rsidRPr="002C4C53">
        <w:t xml:space="preserve"> limitations of doped semiconductor TCOs include </w:t>
      </w:r>
      <w:r w:rsidR="002C4C53">
        <w:t>low solubility limit of the dopant,</w:t>
      </w:r>
      <w:r w:rsidR="002C4C53" w:rsidRPr="002C4C53">
        <w:t xml:space="preserve"> toxicity of common dopants such as fluorine</w:t>
      </w:r>
      <w:r w:rsidR="002C4C53">
        <w:t xml:space="preserve"> in FTO</w:t>
      </w:r>
      <w:r w:rsidR="002C4C53" w:rsidRPr="002C4C53">
        <w:t xml:space="preserve"> (</w:t>
      </w:r>
      <w:r w:rsidR="002C4C53">
        <w:t>with the use of HF in the pr</w:t>
      </w:r>
      <w:r w:rsidR="00E82B24">
        <w:t>oduction process) and the scarcity</w:t>
      </w:r>
      <w:r w:rsidR="002C4C53">
        <w:t xml:space="preserve"> of </w:t>
      </w:r>
      <w:proofErr w:type="gramStart"/>
      <w:r w:rsidR="002C4C53">
        <w:t>In</w:t>
      </w:r>
      <w:proofErr w:type="gramEnd"/>
      <w:r w:rsidR="002C4C53" w:rsidRPr="002C4C53">
        <w:t xml:space="preserve"> increasing the cost of ITO</w:t>
      </w:r>
      <w:r w:rsidR="00212EFA">
        <w:t>.</w:t>
      </w:r>
      <w:r w:rsidR="001E142F">
        <w:t xml:space="preserve"> </w:t>
      </w:r>
      <w:r w:rsidR="00B62731" w:rsidRPr="00401FAD">
        <w:t>The current alternative to TCO materials is a very thin layer of a conventional metal such as Ag. In this case the overall performance of the material as a TCM is limited by the large electron mean free path of conventional metals (</w:t>
      </w:r>
      <w:r w:rsidR="00B62731" w:rsidRPr="00401FAD">
        <w:sym w:font="Symbol" w:char="F0BB"/>
      </w:r>
      <w:r w:rsidR="00B62731" w:rsidRPr="00401FAD">
        <w:t xml:space="preserve"> 50 nm) increasing the interfacial scattering and therefore reducing the coating conductivity.</w:t>
      </w:r>
    </w:p>
    <w:p w14:paraId="4A677309" w14:textId="5E285B7F" w:rsidR="00FB4B83" w:rsidRDefault="004353C7" w:rsidP="004D0AAB">
      <w:pPr>
        <w:spacing w:line="480" w:lineRule="auto"/>
        <w:ind w:firstLine="708"/>
      </w:pPr>
      <w:r>
        <w:t xml:space="preserve">Recently, a new class of </w:t>
      </w:r>
      <w:r w:rsidR="003B1957">
        <w:t>TCO</w:t>
      </w:r>
      <w:r>
        <w:t xml:space="preserve">s was introduced where the plasma frequency </w:t>
      </w:r>
      <w:r w:rsidR="000366E2">
        <w:t>of a metal</w:t>
      </w:r>
      <w:r w:rsidR="00C017A5">
        <w:t xml:space="preserve"> (SrVO</w:t>
      </w:r>
      <w:r w:rsidR="00C017A5" w:rsidRPr="00851B8B">
        <w:rPr>
          <w:vertAlign w:val="subscript"/>
        </w:rPr>
        <w:t>3</w:t>
      </w:r>
      <w:r w:rsidR="00C017A5">
        <w:t>)</w:t>
      </w:r>
      <w:r w:rsidR="000366E2">
        <w:t xml:space="preserve">, rather than a semiconductor, </w:t>
      </w:r>
      <w:r w:rsidR="003B1957">
        <w:t>is</w:t>
      </w:r>
      <w:r>
        <w:t xml:space="preserve"> controlled by the </w:t>
      </w:r>
      <w:r w:rsidR="000366E2">
        <w:t xml:space="preserve">correlations produced by the </w:t>
      </w:r>
      <w:r>
        <w:t>electron-electron</w:t>
      </w:r>
      <w:r w:rsidR="003B1957">
        <w:t xml:space="preserve"> interaction</w:t>
      </w:r>
      <w:r w:rsidR="000366E2">
        <w:t>, which is comparable in size to the electronic bandwidth and thus significantly modifies transport and optical properties.</w:t>
      </w:r>
      <w:r>
        <w:t xml:space="preserve"> </w:t>
      </w:r>
      <w:r w:rsidR="000366E2">
        <w:t xml:space="preserve">In these </w:t>
      </w:r>
      <w:r>
        <w:t>correlated metal</w:t>
      </w:r>
      <w:r w:rsidR="000366E2">
        <w:t>lic oxides</w:t>
      </w:r>
      <w:proofErr w:type="gramStart"/>
      <w:r w:rsidR="008A7119">
        <w:t>,</w:t>
      </w:r>
      <w:r w:rsidR="00212EFA" w:rsidRPr="00212EFA">
        <w:rPr>
          <w:noProof/>
          <w:vertAlign w:val="superscript"/>
        </w:rPr>
        <w:t>[</w:t>
      </w:r>
      <w:proofErr w:type="gramEnd"/>
      <w:r w:rsidR="00212EFA" w:rsidRPr="00212EFA">
        <w:rPr>
          <w:noProof/>
          <w:vertAlign w:val="superscript"/>
        </w:rPr>
        <w:t>7]</w:t>
      </w:r>
      <w:r>
        <w:t xml:space="preserve"> </w:t>
      </w:r>
      <w:r w:rsidRPr="004353C7">
        <w:rPr>
          <w:i/>
        </w:rPr>
        <w:t>m</w:t>
      </w:r>
      <w:r w:rsidRPr="004353C7">
        <w:rPr>
          <w:vertAlign w:val="superscript"/>
        </w:rPr>
        <w:t>*</w:t>
      </w:r>
      <w:r>
        <w:t xml:space="preserve"> in Equation</w:t>
      </w:r>
      <w:r w:rsidR="008A7119">
        <w:t xml:space="preserve">s </w:t>
      </w:r>
      <w:r>
        <w:t xml:space="preserve">1 </w:t>
      </w:r>
      <w:r w:rsidR="008A7119">
        <w:t xml:space="preserve">and 2 is replaced </w:t>
      </w:r>
      <w:r>
        <w:t xml:space="preserve">with </w:t>
      </w:r>
      <w:r w:rsidR="008A7119">
        <w:t xml:space="preserve">the </w:t>
      </w:r>
      <w:r>
        <w:t>renormalized effective mas</w:t>
      </w:r>
      <w:r w:rsidR="007D0914">
        <w:t xml:space="preserve">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band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</m:oMath>
      <w:r w:rsidR="004D0AAB"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band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4D0AAB">
        <w:t xml:space="preserve"> is the free non-interacting electron effective mass and </w:t>
      </w:r>
      <w:proofErr w:type="spellStart"/>
      <w:r w:rsidR="004D0AAB" w:rsidRPr="00DB49D4">
        <w:rPr>
          <w:i/>
        </w:rPr>
        <w:t>Z</w:t>
      </w:r>
      <w:r w:rsidR="004D0AAB" w:rsidRPr="00DB49D4">
        <w:rPr>
          <w:i/>
          <w:vertAlign w:val="subscript"/>
        </w:rPr>
        <w:t>k</w:t>
      </w:r>
      <w:proofErr w:type="spellEnd"/>
      <w:r w:rsidR="004D0AAB">
        <w:t xml:space="preserve"> is the renormalization factor produced by the electronic correlations. </w:t>
      </w:r>
      <w:r w:rsidR="007E20E1">
        <w:t xml:space="preserve">As illustrated in </w:t>
      </w:r>
      <w:r w:rsidR="007E20E1" w:rsidRPr="007E20E1">
        <w:rPr>
          <w:b/>
        </w:rPr>
        <w:t>Figure 1</w:t>
      </w:r>
      <w:r w:rsidR="007E20E1">
        <w:t xml:space="preserve"> (a)</w:t>
      </w:r>
      <w:r w:rsidR="0097248A">
        <w:t>,</w:t>
      </w:r>
      <w:r w:rsidR="007E20E1">
        <w:t xml:space="preserve"> the coherent </w:t>
      </w:r>
      <w:proofErr w:type="spellStart"/>
      <w:r w:rsidR="007E20E1">
        <w:t>Drude</w:t>
      </w:r>
      <w:proofErr w:type="spellEnd"/>
      <w:r w:rsidR="007E20E1">
        <w:t xml:space="preserve">-based plasma edge can be renormalized out of the visible range by </w:t>
      </w:r>
      <w:r w:rsidR="008A7119">
        <w:t xml:space="preserve">these </w:t>
      </w:r>
      <w:r w:rsidR="007E20E1">
        <w:t>correlations</w:t>
      </w:r>
      <w:r w:rsidR="00EA0D24">
        <w:t>.</w:t>
      </w:r>
      <w:r w:rsidR="007E20E1">
        <w:t xml:space="preserve"> </w:t>
      </w:r>
      <w:r w:rsidR="00EA0D24">
        <w:t>T</w:t>
      </w:r>
      <w:r w:rsidR="007E20E1">
        <w:t xml:space="preserve">he </w:t>
      </w:r>
      <w:r w:rsidR="00EA0D24">
        <w:t xml:space="preserve">resulting </w:t>
      </w:r>
      <w:r w:rsidR="007E20E1">
        <w:t xml:space="preserve">reduction of the conductivity due to </w:t>
      </w:r>
      <w:r w:rsidR="008A7119">
        <w:t xml:space="preserve">the </w:t>
      </w:r>
      <w:r w:rsidR="007E20E1">
        <w:t>heavier electron</w:t>
      </w:r>
      <w:r w:rsidR="00EA0D24">
        <w:t>s</w:t>
      </w:r>
      <w:r w:rsidR="007E20E1">
        <w:t xml:space="preserve"> is </w:t>
      </w:r>
      <w:r w:rsidR="00446E7A">
        <w:t xml:space="preserve">compensated </w:t>
      </w:r>
      <w:r w:rsidR="007E20E1">
        <w:t>by the high carrier density</w:t>
      </w:r>
      <w:r w:rsidR="00EA0D24">
        <w:t xml:space="preserve"> of a metal</w:t>
      </w:r>
      <w:r w:rsidR="007E20E1">
        <w:t xml:space="preserve"> and therefore less problematic </w:t>
      </w:r>
      <w:r w:rsidR="008A7119">
        <w:t xml:space="preserve">for TCM </w:t>
      </w:r>
      <w:r w:rsidR="008A7119">
        <w:lastRenderedPageBreak/>
        <w:t xml:space="preserve">performance </w:t>
      </w:r>
      <w:r w:rsidR="007E20E1">
        <w:t>than for a doped semiconductor.</w:t>
      </w:r>
      <w:r w:rsidR="00757FE7">
        <w:t xml:space="preserve"> </w:t>
      </w:r>
      <w:r w:rsidR="003E0958" w:rsidRPr="00401FAD">
        <w:t xml:space="preserve">The </w:t>
      </w:r>
      <w:r w:rsidR="00481DAC" w:rsidRPr="00401FAD">
        <w:t>additional benefit</w:t>
      </w:r>
      <w:r w:rsidR="003E0958" w:rsidRPr="00401FAD">
        <w:t xml:space="preserve"> of the mass renormalization is that the electron mean free path in these correlated metals is shorter (&lt; 10 nm) compared to conventional metals and therefore thin layers of materials can be deposited without reducing the conductivity</w:t>
      </w:r>
      <w:proofErr w:type="gramStart"/>
      <w:r w:rsidR="003E0958" w:rsidRPr="00401FAD">
        <w:t>.</w:t>
      </w:r>
      <w:r w:rsidR="00FB450A" w:rsidRPr="00401FAD">
        <w:rPr>
          <w:vertAlign w:val="superscript"/>
        </w:rPr>
        <w:t>[</w:t>
      </w:r>
      <w:proofErr w:type="gramEnd"/>
      <w:r w:rsidR="00FB450A" w:rsidRPr="00401FAD">
        <w:rPr>
          <w:vertAlign w:val="superscript"/>
        </w:rPr>
        <w:t>7]</w:t>
      </w:r>
    </w:p>
    <w:p w14:paraId="48DB18FF" w14:textId="77777777" w:rsidR="004B1B1D" w:rsidRDefault="004B1B1D" w:rsidP="004D0AAB">
      <w:pPr>
        <w:spacing w:line="480" w:lineRule="auto"/>
        <w:ind w:firstLine="708"/>
      </w:pPr>
    </w:p>
    <w:p w14:paraId="747B508C" w14:textId="59E10683" w:rsidR="004B1B1D" w:rsidRDefault="004B1B1D" w:rsidP="004B1B1D">
      <w:pPr>
        <w:pStyle w:val="Head1"/>
      </w:pPr>
      <w:r>
        <w:t>2</w:t>
      </w:r>
      <w:r w:rsidRPr="007B249B">
        <w:t xml:space="preserve">. </w:t>
      </w:r>
      <w:r>
        <w:t>Concept</w:t>
      </w:r>
    </w:p>
    <w:p w14:paraId="65D34141" w14:textId="77777777" w:rsidR="004B1B1D" w:rsidRDefault="004B1B1D" w:rsidP="004D0AAB">
      <w:pPr>
        <w:spacing w:line="480" w:lineRule="auto"/>
        <w:ind w:firstLine="708"/>
      </w:pPr>
    </w:p>
    <w:p w14:paraId="4480EEA2" w14:textId="48BA12FB" w:rsidR="00056299" w:rsidRDefault="00FB4B83" w:rsidP="004D0AAB">
      <w:pPr>
        <w:spacing w:line="480" w:lineRule="auto"/>
        <w:ind w:firstLine="708"/>
      </w:pPr>
      <w:r>
        <w:t xml:space="preserve">This new approach offers opportunities to control the performance of correlated metal TCOs. </w:t>
      </w:r>
      <w:r w:rsidR="00DF7F09" w:rsidRPr="00757FE7">
        <w:rPr>
          <w:i/>
        </w:rPr>
        <w:sym w:font="Symbol" w:char="F077"/>
      </w:r>
      <w:proofErr w:type="gramStart"/>
      <w:r w:rsidR="00DF7F09" w:rsidRPr="00757FE7">
        <w:rPr>
          <w:i/>
          <w:vertAlign w:val="subscript"/>
        </w:rPr>
        <w:t>p</w:t>
      </w:r>
      <w:r w:rsidR="00DF7F09">
        <w:t>(</w:t>
      </w:r>
      <w:proofErr w:type="spellStart"/>
      <w:proofErr w:type="gramEnd"/>
      <w:r w:rsidR="00DF7F09" w:rsidRPr="00757FE7">
        <w:rPr>
          <w:i/>
        </w:rPr>
        <w:t>Z</w:t>
      </w:r>
      <w:r w:rsidR="00DF7F09" w:rsidRPr="00757FE7">
        <w:rPr>
          <w:i/>
          <w:vertAlign w:val="subscript"/>
        </w:rPr>
        <w:t>k</w:t>
      </w:r>
      <w:r w:rsidR="00DF7F09" w:rsidRPr="007C10D6">
        <w:t>,</w:t>
      </w:r>
      <w:r w:rsidR="00DF7F09">
        <w:rPr>
          <w:i/>
        </w:rPr>
        <w:t>n</w:t>
      </w:r>
      <w:r w:rsidR="00DF7F09" w:rsidRPr="007C10D6">
        <w:rPr>
          <w:i/>
          <w:vertAlign w:val="subscript"/>
        </w:rPr>
        <w:t>eff</w:t>
      </w:r>
      <w:proofErr w:type="spellEnd"/>
      <w:r w:rsidR="00DF7F09">
        <w:t xml:space="preserve">) calculated from equation 1 with </w:t>
      </w:r>
      <w:proofErr w:type="spellStart"/>
      <w:r w:rsidR="00DF7F09" w:rsidRPr="007C10D6">
        <w:rPr>
          <w:i/>
        </w:rPr>
        <w:t>n</w:t>
      </w:r>
      <w:r w:rsidR="00DF7F09" w:rsidRPr="007C10D6">
        <w:rPr>
          <w:i/>
          <w:vertAlign w:val="subscript"/>
        </w:rPr>
        <w:t>eff</w:t>
      </w:r>
      <w:proofErr w:type="spellEnd"/>
      <w:r w:rsidR="00DF7F09">
        <w:rPr>
          <w:i/>
          <w:vertAlign w:val="subscript"/>
        </w:rPr>
        <w:t xml:space="preserve"> </w:t>
      </w:r>
      <w:r w:rsidR="00DF7F09" w:rsidRPr="007C10D6">
        <w:rPr>
          <w:i/>
        </w:rPr>
        <w:t xml:space="preserve">= </w:t>
      </w:r>
      <w:r w:rsidR="00DF7F09" w:rsidRPr="007C10D6">
        <w:t>2.2·10</w:t>
      </w:r>
      <w:r w:rsidR="00DF7F09" w:rsidRPr="007C10D6">
        <w:rPr>
          <w:vertAlign w:val="superscript"/>
        </w:rPr>
        <w:t>22</w:t>
      </w:r>
      <w:r w:rsidR="00DF7F09">
        <w:rPr>
          <w:vertAlign w:val="superscript"/>
        </w:rPr>
        <w:t xml:space="preserve"> </w:t>
      </w:r>
      <w:r w:rsidR="00DF7F09" w:rsidRPr="007C10D6">
        <w:t>cm</w:t>
      </w:r>
      <w:r w:rsidR="00DF7F09" w:rsidRPr="007C10D6">
        <w:rPr>
          <w:vertAlign w:val="superscript"/>
        </w:rPr>
        <w:t>-3</w:t>
      </w:r>
      <w:r w:rsidR="00DF7F09">
        <w:rPr>
          <w:vertAlign w:val="superscript"/>
        </w:rPr>
        <w:t xml:space="preserve"> </w:t>
      </w:r>
      <w:r w:rsidR="00DF7F09">
        <w:t xml:space="preserve">observed for </w:t>
      </w:r>
      <w:r w:rsidR="00DF7F09">
        <w:rPr>
          <w:lang w:val="en-US"/>
        </w:rPr>
        <w:t>SrVO</w:t>
      </w:r>
      <w:r w:rsidR="00DF7F09" w:rsidRPr="00757FE7">
        <w:rPr>
          <w:vertAlign w:val="subscript"/>
          <w:lang w:val="en-US"/>
        </w:rPr>
        <w:t>3</w:t>
      </w:r>
      <w:r w:rsidR="00DF7F09">
        <w:rPr>
          <w:lang w:val="en-US"/>
        </w:rPr>
        <w:t xml:space="preserve"> is shown in Figure 1(a) (solid green line), with the reported plasma frequency of 1.33 eV shown as a green circle at </w:t>
      </w:r>
      <w:proofErr w:type="spellStart"/>
      <w:r w:rsidR="00DF7F09" w:rsidRPr="00757FE7">
        <w:rPr>
          <w:i/>
        </w:rPr>
        <w:t>Z</w:t>
      </w:r>
      <w:r w:rsidR="00DF7F09" w:rsidRPr="00757FE7">
        <w:rPr>
          <w:i/>
          <w:vertAlign w:val="subscript"/>
        </w:rPr>
        <w:t>k</w:t>
      </w:r>
      <w:proofErr w:type="spellEnd"/>
      <w:r w:rsidR="00DF7F09">
        <w:rPr>
          <w:i/>
        </w:rPr>
        <w:t xml:space="preserve"> </w:t>
      </w:r>
      <w:r w:rsidR="00DF7F09">
        <w:t>= 0.33</w:t>
      </w:r>
      <w:r w:rsidR="00DF7F09">
        <w:rPr>
          <w:lang w:val="en-US"/>
        </w:rPr>
        <w:t>.</w:t>
      </w:r>
      <w:r w:rsidR="004E3597">
        <w:rPr>
          <w:lang w:val="en-US"/>
        </w:rPr>
        <w:t xml:space="preserve"> The plasma frequency </w:t>
      </w:r>
      <w:r>
        <w:rPr>
          <w:lang w:val="en-US"/>
        </w:rPr>
        <w:t>of SrVO</w:t>
      </w:r>
      <w:r w:rsidRPr="00851B8B">
        <w:rPr>
          <w:vertAlign w:val="subscript"/>
          <w:lang w:val="en-US"/>
        </w:rPr>
        <w:t>3</w:t>
      </w:r>
      <w:r>
        <w:rPr>
          <w:lang w:val="en-US"/>
        </w:rPr>
        <w:t xml:space="preserve"> lies</w:t>
      </w:r>
      <w:r w:rsidR="004E3597">
        <w:rPr>
          <w:lang w:val="en-US"/>
        </w:rPr>
        <w:t xml:space="preserve"> below the 1.75 eV threshold</w:t>
      </w:r>
      <w:r>
        <w:rPr>
          <w:lang w:val="en-US"/>
        </w:rPr>
        <w:t xml:space="preserve">, and the conductivity could </w:t>
      </w:r>
      <w:r w:rsidR="00882AA0">
        <w:rPr>
          <w:lang w:val="en-US"/>
        </w:rPr>
        <w:t>therefore</w:t>
      </w:r>
      <w:r w:rsidR="00DF7F09">
        <w:rPr>
          <w:lang w:val="en-US"/>
        </w:rPr>
        <w:t xml:space="preserve"> </w:t>
      </w:r>
      <w:r>
        <w:rPr>
          <w:lang w:val="en-US"/>
        </w:rPr>
        <w:t xml:space="preserve">be increased </w:t>
      </w:r>
      <w:r w:rsidR="00FC011E">
        <w:rPr>
          <w:lang w:val="en-US"/>
        </w:rPr>
        <w:t xml:space="preserve">(lower panel Figure 1 (a)) </w:t>
      </w:r>
      <w:r w:rsidR="00EC0954">
        <w:rPr>
          <w:lang w:val="en-US"/>
        </w:rPr>
        <w:t xml:space="preserve">without </w:t>
      </w:r>
      <w:proofErr w:type="spellStart"/>
      <w:r w:rsidR="00EC0954">
        <w:rPr>
          <w:lang w:val="en-US"/>
        </w:rPr>
        <w:t>compromiz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optical performance if </w:t>
      </w:r>
      <w:r w:rsidRPr="00757FE7">
        <w:rPr>
          <w:i/>
        </w:rPr>
        <w:sym w:font="Symbol" w:char="F077"/>
      </w:r>
      <w:r w:rsidRPr="00757FE7">
        <w:rPr>
          <w:i/>
          <w:vertAlign w:val="subscript"/>
        </w:rPr>
        <w:t>p</w:t>
      </w:r>
      <w:r w:rsidDel="00FB4B83">
        <w:rPr>
          <w:lang w:val="en-US"/>
        </w:rPr>
        <w:t xml:space="preserve"> </w:t>
      </w:r>
      <w:r>
        <w:rPr>
          <w:lang w:val="en-US"/>
        </w:rPr>
        <w:t xml:space="preserve">was </w:t>
      </w:r>
      <w:r w:rsidR="00EC0954">
        <w:rPr>
          <w:lang w:val="en-US"/>
        </w:rPr>
        <w:t>shifted</w:t>
      </w:r>
      <w:r>
        <w:rPr>
          <w:lang w:val="en-US"/>
        </w:rPr>
        <w:t xml:space="preserve"> </w:t>
      </w:r>
      <w:r w:rsidR="00EC0954">
        <w:rPr>
          <w:lang w:val="en-US"/>
        </w:rPr>
        <w:t>towards</w:t>
      </w:r>
      <w:r>
        <w:rPr>
          <w:lang w:val="en-US"/>
        </w:rPr>
        <w:t xml:space="preserve"> this threshold</w:t>
      </w:r>
      <w:r w:rsidR="00503D17">
        <w:rPr>
          <w:lang w:val="en-US"/>
        </w:rPr>
        <w:t xml:space="preserve">, </w:t>
      </w:r>
      <w:r w:rsidR="00EC0954">
        <w:rPr>
          <w:lang w:val="en-US"/>
        </w:rPr>
        <w:t>resulting in</w:t>
      </w:r>
      <w:r w:rsidR="00143A08">
        <w:rPr>
          <w:lang w:val="en-US"/>
        </w:rPr>
        <w:t xml:space="preserve"> a</w:t>
      </w:r>
      <w:r w:rsidR="00503D17">
        <w:rPr>
          <w:lang w:val="en-US"/>
        </w:rPr>
        <w:t xml:space="preserve"> reduced </w:t>
      </w:r>
      <w:proofErr w:type="spellStart"/>
      <w:r w:rsidR="00503D17" w:rsidRPr="00757FE7">
        <w:rPr>
          <w:i/>
        </w:rPr>
        <w:t>Z</w:t>
      </w:r>
      <w:r w:rsidR="00503D17" w:rsidRPr="00757FE7">
        <w:rPr>
          <w:i/>
          <w:vertAlign w:val="subscript"/>
        </w:rPr>
        <w:t>k</w:t>
      </w:r>
      <w:proofErr w:type="spellEnd"/>
      <w:r w:rsidR="00503D17">
        <w:t xml:space="preserve"> </w:t>
      </w:r>
      <w:r w:rsidR="00851B8B">
        <w:t xml:space="preserve">= 0.58 for </w:t>
      </w:r>
      <w:r w:rsidR="00503D17">
        <w:t xml:space="preserve">the same </w:t>
      </w:r>
      <w:proofErr w:type="spellStart"/>
      <w:r w:rsidR="00503D17">
        <w:rPr>
          <w:i/>
        </w:rPr>
        <w:t>n</w:t>
      </w:r>
      <w:r w:rsidR="00503D17" w:rsidRPr="007C10D6">
        <w:rPr>
          <w:i/>
          <w:vertAlign w:val="subscript"/>
        </w:rPr>
        <w:t>eff</w:t>
      </w:r>
      <w:proofErr w:type="spellEnd"/>
      <w:r>
        <w:rPr>
          <w:lang w:val="en-US"/>
        </w:rPr>
        <w:t>.</w:t>
      </w:r>
      <w:r w:rsidR="004E3597">
        <w:rPr>
          <w:lang w:val="en-US"/>
        </w:rPr>
        <w:t xml:space="preserve"> </w:t>
      </w:r>
      <w:r>
        <w:rPr>
          <w:lang w:val="en-US"/>
        </w:rPr>
        <w:t>This</w:t>
      </w:r>
      <w:r w:rsidR="00965622">
        <w:rPr>
          <w:lang w:val="en-US"/>
        </w:rPr>
        <w:t xml:space="preserve"> </w:t>
      </w:r>
      <w:r w:rsidR="005831CC">
        <w:rPr>
          <w:lang w:val="en-US"/>
        </w:rPr>
        <w:t>suggest</w:t>
      </w:r>
      <w:r w:rsidR="00DB7864">
        <w:rPr>
          <w:lang w:val="en-US"/>
        </w:rPr>
        <w:t>s</w:t>
      </w:r>
      <w:r w:rsidR="005831CC">
        <w:rPr>
          <w:lang w:val="en-US"/>
        </w:rPr>
        <w:t xml:space="preserve"> that the correlation in SrVO</w:t>
      </w:r>
      <w:r w:rsidR="005831CC" w:rsidRPr="005831CC">
        <w:rPr>
          <w:vertAlign w:val="subscript"/>
          <w:lang w:val="en-US"/>
        </w:rPr>
        <w:t>3</w:t>
      </w:r>
      <w:r w:rsidR="005831CC">
        <w:rPr>
          <w:lang w:val="en-US"/>
        </w:rPr>
        <w:t xml:space="preserve"> </w:t>
      </w:r>
      <w:r w:rsidR="0097248A">
        <w:rPr>
          <w:lang w:val="en-US"/>
        </w:rPr>
        <w:t xml:space="preserve">may be </w:t>
      </w:r>
      <w:r w:rsidR="005831CC">
        <w:rPr>
          <w:lang w:val="en-US"/>
        </w:rPr>
        <w:t>too strong</w:t>
      </w:r>
      <w:r w:rsidR="0097248A">
        <w:rPr>
          <w:lang w:val="en-US"/>
        </w:rPr>
        <w:t>,</w:t>
      </w:r>
      <w:r w:rsidR="005831CC">
        <w:rPr>
          <w:lang w:val="en-US"/>
        </w:rPr>
        <w:t xml:space="preserve"> and since there is no straightforward </w:t>
      </w:r>
      <w:r w:rsidR="0097248A">
        <w:rPr>
          <w:lang w:val="en-US"/>
        </w:rPr>
        <w:t>route</w:t>
      </w:r>
      <w:r w:rsidR="002B1D87">
        <w:rPr>
          <w:lang w:val="en-US"/>
        </w:rPr>
        <w:t xml:space="preserve"> to reducing</w:t>
      </w:r>
      <w:r w:rsidR="005831CC">
        <w:rPr>
          <w:lang w:val="en-US"/>
        </w:rPr>
        <w:t xml:space="preserve"> the correlation strength in a </w:t>
      </w:r>
      <w:r w:rsidR="0097248A">
        <w:rPr>
          <w:lang w:val="en-US"/>
        </w:rPr>
        <w:t xml:space="preserve">given </w:t>
      </w:r>
      <w:r w:rsidR="005831CC">
        <w:rPr>
          <w:lang w:val="en-US"/>
        </w:rPr>
        <w:t xml:space="preserve">compound, </w:t>
      </w:r>
      <w:r w:rsidR="0097248A">
        <w:rPr>
          <w:lang w:val="en-US"/>
        </w:rPr>
        <w:t>alternative materials should be considered. B</w:t>
      </w:r>
      <w:r w:rsidR="005831CC">
        <w:rPr>
          <w:lang w:val="en-US"/>
        </w:rPr>
        <w:t xml:space="preserve">and filling </w:t>
      </w:r>
      <w:r w:rsidR="0097248A">
        <w:rPr>
          <w:lang w:val="en-US"/>
        </w:rPr>
        <w:t>is a materials design parameter that can</w:t>
      </w:r>
      <w:r w:rsidR="005831CC">
        <w:rPr>
          <w:lang w:val="en-US"/>
        </w:rPr>
        <w:t xml:space="preserve"> be used to maximize the conductivity </w:t>
      </w:r>
      <w:r w:rsidR="0097248A">
        <w:rPr>
          <w:lang w:val="en-US"/>
        </w:rPr>
        <w:t xml:space="preserve">via the carrier density, </w:t>
      </w:r>
      <w:r w:rsidR="005831CC">
        <w:rPr>
          <w:lang w:val="en-US"/>
        </w:rPr>
        <w:t xml:space="preserve">as suggested by the </w:t>
      </w:r>
      <w:r w:rsidR="005831CC" w:rsidRPr="00757FE7">
        <w:rPr>
          <w:i/>
        </w:rPr>
        <w:sym w:font="Symbol" w:char="F077"/>
      </w:r>
      <w:r w:rsidR="005831CC" w:rsidRPr="00757FE7">
        <w:rPr>
          <w:i/>
          <w:vertAlign w:val="subscript"/>
        </w:rPr>
        <w:t>p</w:t>
      </w:r>
      <w:r w:rsidR="005831CC">
        <w:t>(</w:t>
      </w:r>
      <w:proofErr w:type="spellStart"/>
      <w:r w:rsidR="005831CC" w:rsidRPr="00757FE7">
        <w:rPr>
          <w:i/>
        </w:rPr>
        <w:t>Z</w:t>
      </w:r>
      <w:r w:rsidR="005831CC" w:rsidRPr="00757FE7">
        <w:rPr>
          <w:i/>
          <w:vertAlign w:val="subscript"/>
        </w:rPr>
        <w:t>k</w:t>
      </w:r>
      <w:proofErr w:type="spellEnd"/>
      <w:r w:rsidR="005831CC">
        <w:t xml:space="preserve">) </w:t>
      </w:r>
      <w:r w:rsidR="00965622">
        <w:t xml:space="preserve">calculated for the same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band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965622">
        <w:t xml:space="preserve"> as SrVO</w:t>
      </w:r>
      <w:r w:rsidR="00965622" w:rsidRPr="00851B8B">
        <w:rPr>
          <w:vertAlign w:val="subscript"/>
        </w:rPr>
        <w:t>3</w:t>
      </w:r>
      <w:r w:rsidR="00503D17">
        <w:t xml:space="preserve">, but using </w:t>
      </w:r>
      <w:r w:rsidR="005831CC">
        <w:t>the</w:t>
      </w:r>
      <w:r w:rsidR="00980089">
        <w:t xml:space="preserve"> theoretical </w:t>
      </w:r>
      <w:proofErr w:type="spellStart"/>
      <w:r w:rsidR="00980089" w:rsidRPr="00851B8B">
        <w:rPr>
          <w:i/>
        </w:rPr>
        <w:t>n</w:t>
      </w:r>
      <w:r w:rsidR="00980089" w:rsidRPr="00851B8B">
        <w:rPr>
          <w:i/>
          <w:vertAlign w:val="subscript"/>
        </w:rPr>
        <w:t>eff</w:t>
      </w:r>
      <w:proofErr w:type="spellEnd"/>
      <w:r w:rsidR="00980089">
        <w:t xml:space="preserve"> = </w:t>
      </w:r>
      <w:r w:rsidR="00980089">
        <w:rPr>
          <w:rFonts w:eastAsiaTheme="minorEastAsia"/>
        </w:rPr>
        <w:t>3.18·</w:t>
      </w:r>
      <w:r w:rsidR="00980089" w:rsidRPr="007A48B9">
        <w:rPr>
          <w:rFonts w:eastAsiaTheme="minorEastAsia"/>
        </w:rPr>
        <w:t>10</w:t>
      </w:r>
      <w:r w:rsidR="00980089" w:rsidRPr="007A48B9">
        <w:rPr>
          <w:rFonts w:eastAsiaTheme="minorEastAsia"/>
          <w:vertAlign w:val="superscript"/>
        </w:rPr>
        <w:t>22</w:t>
      </w:r>
      <w:r w:rsidR="00980089">
        <w:rPr>
          <w:rFonts w:eastAsiaTheme="minorEastAsia"/>
        </w:rPr>
        <w:t xml:space="preserve"> </w:t>
      </w:r>
      <w:r w:rsidR="00980089" w:rsidRPr="007A48B9">
        <w:rPr>
          <w:rFonts w:eastAsiaTheme="minorEastAsia"/>
        </w:rPr>
        <w:t>cm</w:t>
      </w:r>
      <w:r w:rsidR="00980089" w:rsidRPr="007A48B9">
        <w:rPr>
          <w:rFonts w:eastAsiaTheme="minorEastAsia"/>
          <w:vertAlign w:val="superscript"/>
        </w:rPr>
        <w:t>-3</w:t>
      </w:r>
      <w:r w:rsidR="00980089">
        <w:rPr>
          <w:rFonts w:eastAsiaTheme="minorEastAsia"/>
        </w:rPr>
        <w:t xml:space="preserve"> of the</w:t>
      </w:r>
      <w:r w:rsidR="005831CC">
        <w:t xml:space="preserve"> </w:t>
      </w:r>
      <w:r w:rsidR="0097248A" w:rsidRPr="004D3A27">
        <w:rPr>
          <w:i/>
        </w:rPr>
        <w:t>4</w:t>
      </w:r>
      <w:r w:rsidR="005831CC" w:rsidRPr="00851B8B">
        <w:rPr>
          <w:i/>
        </w:rPr>
        <w:t>d</w:t>
      </w:r>
      <w:r w:rsidR="005831CC" w:rsidRPr="00851B8B">
        <w:rPr>
          <w:i/>
          <w:vertAlign w:val="superscript"/>
        </w:rPr>
        <w:t>2</w:t>
      </w:r>
      <w:r w:rsidR="005831CC">
        <w:t xml:space="preserve"> compound SrMoO</w:t>
      </w:r>
      <w:r w:rsidR="005831CC" w:rsidRPr="007F5B96">
        <w:rPr>
          <w:vertAlign w:val="subscript"/>
        </w:rPr>
        <w:t>3</w:t>
      </w:r>
      <w:r w:rsidR="00965622">
        <w:t xml:space="preserve"> (Figure 1 (a) purple curve</w:t>
      </w:r>
      <w:r w:rsidR="000124F4">
        <w:t xml:space="preserve"> and purple square</w:t>
      </w:r>
      <w:r w:rsidR="00965622">
        <w:t>)</w:t>
      </w:r>
      <w:r w:rsidR="006C23CF">
        <w:t xml:space="preserve">. As expected </w:t>
      </w:r>
      <w:r w:rsidR="006C23CF" w:rsidRPr="00757FE7">
        <w:rPr>
          <w:i/>
        </w:rPr>
        <w:sym w:font="Symbol" w:char="F077"/>
      </w:r>
      <w:r w:rsidR="006C23CF" w:rsidRPr="00757FE7">
        <w:rPr>
          <w:i/>
          <w:vertAlign w:val="subscript"/>
        </w:rPr>
        <w:t>p</w:t>
      </w:r>
      <w:r w:rsidR="006C23CF">
        <w:t xml:space="preserve"> is shifted to higher energy and the 1.75 eV threshold is achieved for smaller </w:t>
      </w:r>
      <w:proofErr w:type="spellStart"/>
      <w:r w:rsidR="006C23CF" w:rsidRPr="00851B8B">
        <w:rPr>
          <w:i/>
        </w:rPr>
        <w:t>Z</w:t>
      </w:r>
      <w:r w:rsidR="006C23CF" w:rsidRPr="00851B8B">
        <w:rPr>
          <w:i/>
          <w:vertAlign w:val="subscript"/>
        </w:rPr>
        <w:t>k</w:t>
      </w:r>
      <w:proofErr w:type="spellEnd"/>
      <w:r w:rsidR="00503D17">
        <w:t>.</w:t>
      </w:r>
      <w:r w:rsidR="006C23CF">
        <w:t xml:space="preserve"> </w:t>
      </w:r>
      <w:r w:rsidR="00503D17">
        <w:t>T</w:t>
      </w:r>
      <w:r w:rsidR="006C23CF">
        <w:t>he</w:t>
      </w:r>
      <w:r w:rsidR="005831CC">
        <w:t xml:space="preserve"> optimum </w:t>
      </w:r>
      <w:proofErr w:type="spellStart"/>
      <w:r w:rsidR="005831CC" w:rsidRPr="00C934F2">
        <w:rPr>
          <w:i/>
        </w:rPr>
        <w:t>Z</w:t>
      </w:r>
      <w:r w:rsidR="005831CC" w:rsidRPr="00C934F2">
        <w:rPr>
          <w:i/>
          <w:vertAlign w:val="subscript"/>
        </w:rPr>
        <w:t>k</w:t>
      </w:r>
      <w:proofErr w:type="spellEnd"/>
      <w:r w:rsidR="005831CC">
        <w:t xml:space="preserve"> = 0.48 </w:t>
      </w:r>
      <w:r w:rsidR="0053119D">
        <w:t xml:space="preserve">calculated </w:t>
      </w:r>
      <w:r w:rsidR="00503D17">
        <w:t>for SrMoO</w:t>
      </w:r>
      <w:r w:rsidR="00503D17" w:rsidRPr="007C10D6">
        <w:rPr>
          <w:vertAlign w:val="subscript"/>
        </w:rPr>
        <w:t>3</w:t>
      </w:r>
      <w:r w:rsidR="00503D17">
        <w:t xml:space="preserve"> is</w:t>
      </w:r>
      <w:r w:rsidR="005831CC">
        <w:t xml:space="preserve"> close to the value of </w:t>
      </w:r>
      <w:r w:rsidR="005831CC">
        <w:sym w:font="Symbol" w:char="F0BB"/>
      </w:r>
      <w:r w:rsidR="005831CC">
        <w:t xml:space="preserve"> 0.5 </w:t>
      </w:r>
      <w:r w:rsidR="004C585D">
        <w:t>measured by</w:t>
      </w:r>
      <w:r w:rsidR="0097248A">
        <w:t xml:space="preserve"> </w:t>
      </w:r>
      <w:r w:rsidR="005831CC">
        <w:t>photoemission</w:t>
      </w:r>
      <w:r w:rsidR="00851B8B">
        <w:t xml:space="preserve"> and </w:t>
      </w:r>
      <w:r w:rsidR="0053119D">
        <w:t>suggest that SrMoO</w:t>
      </w:r>
      <w:r w:rsidR="0053119D" w:rsidRPr="004D3A27">
        <w:rPr>
          <w:vertAlign w:val="subscript"/>
        </w:rPr>
        <w:t>3</w:t>
      </w:r>
      <w:r w:rsidR="0053119D">
        <w:t xml:space="preserve"> could be under-correlated</w:t>
      </w:r>
      <w:r w:rsidR="005831CC">
        <w:t xml:space="preserve"> </w:t>
      </w:r>
      <w:r w:rsidR="00C63056">
        <w:t>with the potential</w:t>
      </w:r>
      <w:r w:rsidR="0053119D">
        <w:t xml:space="preserve"> to increase the correlation using bandwidth control</w:t>
      </w:r>
      <w:r w:rsidR="005C4538">
        <w:t>.</w:t>
      </w:r>
      <w:r w:rsidR="001A342A">
        <w:t xml:space="preserve"> </w:t>
      </w:r>
      <w:r w:rsidR="00212EFA" w:rsidRPr="00212EFA">
        <w:rPr>
          <w:noProof/>
          <w:vertAlign w:val="superscript"/>
        </w:rPr>
        <w:t>[8]</w:t>
      </w:r>
    </w:p>
    <w:p w14:paraId="61D7671B" w14:textId="4861D784" w:rsidR="00840819" w:rsidRDefault="0097248A" w:rsidP="00FC5FA5">
      <w:pPr>
        <w:spacing w:line="480" w:lineRule="auto"/>
      </w:pPr>
      <w:r>
        <w:t>In transition metal oxides, unlike post-transition metal closed shell-based semiconductors</w:t>
      </w:r>
      <w:r w:rsidR="00E66A91">
        <w:t>,</w:t>
      </w:r>
      <w:r>
        <w:t xml:space="preserve"> such as doped </w:t>
      </w:r>
      <w:proofErr w:type="spellStart"/>
      <w:r>
        <w:t>ZnO</w:t>
      </w:r>
      <w:proofErr w:type="spellEnd"/>
      <w:r>
        <w:t>, In</w:t>
      </w:r>
      <w:r w:rsidRPr="00091CF8">
        <w:rPr>
          <w:vertAlign w:val="subscript"/>
        </w:rPr>
        <w:t>2</w:t>
      </w:r>
      <w:r>
        <w:t>O</w:t>
      </w:r>
      <w:r w:rsidRPr="00091CF8">
        <w:rPr>
          <w:vertAlign w:val="subscript"/>
        </w:rPr>
        <w:t>3</w:t>
      </w:r>
      <w:r>
        <w:t xml:space="preserve"> and SnO</w:t>
      </w:r>
      <w:r w:rsidRPr="00091CF8">
        <w:rPr>
          <w:vertAlign w:val="subscript"/>
        </w:rPr>
        <w:t>2</w:t>
      </w:r>
      <w:r>
        <w:t>,</w:t>
      </w:r>
      <w:r w:rsidR="00680A80">
        <w:t xml:space="preserve"> the influence of the low-lying occupied transition metal </w:t>
      </w:r>
      <w:proofErr w:type="spellStart"/>
      <w:r w:rsidR="00680A80" w:rsidRPr="00091CF8">
        <w:rPr>
          <w:i/>
        </w:rPr>
        <w:t>nd</w:t>
      </w:r>
      <w:proofErr w:type="spellEnd"/>
      <w:r w:rsidR="00680A80">
        <w:t xml:space="preserve"> states on the optical properties </w:t>
      </w:r>
      <w:r w:rsidR="00E66A91">
        <w:t>must</w:t>
      </w:r>
      <w:r w:rsidR="00680A80">
        <w:t xml:space="preserve"> be considered, in particular the </w:t>
      </w:r>
      <w:proofErr w:type="spellStart"/>
      <w:r w:rsidR="00680A80">
        <w:t>Laporte</w:t>
      </w:r>
      <w:proofErr w:type="spellEnd"/>
      <w:r w:rsidR="00680A80">
        <w:t xml:space="preserve">-allowed O </w:t>
      </w:r>
      <w:r w:rsidR="00680A80" w:rsidRPr="00091CF8">
        <w:rPr>
          <w:i/>
        </w:rPr>
        <w:t>2p</w:t>
      </w:r>
      <w:r w:rsidR="00680A80">
        <w:t xml:space="preserve"> </w:t>
      </w:r>
      <w:r w:rsidR="00680A80">
        <w:lastRenderedPageBreak/>
        <w:t xml:space="preserve">to metal </w:t>
      </w:r>
      <w:proofErr w:type="spellStart"/>
      <w:r w:rsidR="00680A80" w:rsidRPr="00091CF8">
        <w:rPr>
          <w:i/>
        </w:rPr>
        <w:t>nd</w:t>
      </w:r>
      <w:proofErr w:type="spellEnd"/>
      <w:r w:rsidR="00680A80">
        <w:t xml:space="preserve"> charge-transfer inter-band transitions.</w:t>
      </w:r>
      <w:r>
        <w:t xml:space="preserve"> </w:t>
      </w:r>
      <w:r w:rsidR="00840819">
        <w:t xml:space="preserve">We tackle this problem </w:t>
      </w:r>
      <w:r w:rsidR="00602BB4">
        <w:t>by</w:t>
      </w:r>
      <w:r w:rsidR="00840819">
        <w:t xml:space="preserve"> control</w:t>
      </w:r>
      <w:r w:rsidR="00D27FFC">
        <w:t>ling</w:t>
      </w:r>
      <w:r w:rsidR="00840819">
        <w:t xml:space="preserve"> the B site transition metal frontier orbital energies and occupancies</w:t>
      </w:r>
      <w:r w:rsidR="00602BB4">
        <w:t xml:space="preserve"> in the ABO</w:t>
      </w:r>
      <w:r w:rsidR="00602BB4" w:rsidRPr="00091CF8">
        <w:rPr>
          <w:vertAlign w:val="subscript"/>
        </w:rPr>
        <w:t>3</w:t>
      </w:r>
      <w:r w:rsidR="00602BB4">
        <w:t xml:space="preserve"> perovskite</w:t>
      </w:r>
      <w:r w:rsidR="00840819">
        <w:t xml:space="preserve">. </w:t>
      </w:r>
      <w:r w:rsidR="00993A2C">
        <w:t xml:space="preserve">The </w:t>
      </w:r>
      <w:r w:rsidR="008F5463">
        <w:t>selecti</w:t>
      </w:r>
      <w:r w:rsidR="00840819">
        <w:t>o</w:t>
      </w:r>
      <w:r w:rsidR="008F5463">
        <w:t>n</w:t>
      </w:r>
      <w:r w:rsidR="00840819">
        <w:t xml:space="preserve"> of</w:t>
      </w:r>
      <w:r w:rsidR="008F5463">
        <w:t xml:space="preserve"> a</w:t>
      </w:r>
      <w:r w:rsidR="00993A2C">
        <w:t xml:space="preserve"> </w:t>
      </w:r>
      <w:r w:rsidR="00993A2C" w:rsidRPr="00091CF8">
        <w:rPr>
          <w:i/>
        </w:rPr>
        <w:t>4d</w:t>
      </w:r>
      <w:r w:rsidR="00993A2C" w:rsidRPr="00091CF8">
        <w:rPr>
          <w:i/>
          <w:vertAlign w:val="superscript"/>
        </w:rPr>
        <w:t>2</w:t>
      </w:r>
      <w:r w:rsidR="00993A2C">
        <w:t xml:space="preserve"> </w:t>
      </w:r>
      <w:r w:rsidR="008F5463">
        <w:t xml:space="preserve">rather than a </w:t>
      </w:r>
      <w:r w:rsidR="008F5463" w:rsidRPr="00091CF8">
        <w:rPr>
          <w:i/>
        </w:rPr>
        <w:t>3d</w:t>
      </w:r>
      <w:r w:rsidR="008F5463" w:rsidRPr="00091CF8">
        <w:rPr>
          <w:i/>
          <w:vertAlign w:val="superscript"/>
        </w:rPr>
        <w:t>1</w:t>
      </w:r>
      <w:r w:rsidR="008F5463">
        <w:t xml:space="preserve"> </w:t>
      </w:r>
      <w:r w:rsidR="00993A2C">
        <w:t xml:space="preserve">system </w:t>
      </w:r>
      <w:r w:rsidR="00840819">
        <w:t>will</w:t>
      </w:r>
      <w:r w:rsidR="00993A2C">
        <w:t xml:space="preserve"> </w:t>
      </w:r>
      <w:r w:rsidR="00AE1EE6">
        <w:t>ha</w:t>
      </w:r>
      <w:r w:rsidR="00840819">
        <w:t>ve</w:t>
      </w:r>
      <w:r w:rsidR="00AE1EE6">
        <w:t xml:space="preserve"> </w:t>
      </w:r>
      <w:r w:rsidR="00993A2C">
        <w:t xml:space="preserve">a beneficial impact on the inter-band transition energy </w:t>
      </w:r>
      <w:r w:rsidR="000D53E3">
        <w:t>through its influence of</w:t>
      </w:r>
      <w:r w:rsidR="00840819">
        <w:t xml:space="preserve"> both band filling and band position</w:t>
      </w:r>
      <w:r w:rsidR="000D53E3">
        <w:t>,</w:t>
      </w:r>
      <w:r w:rsidR="00602BB4" w:rsidRPr="00602BB4">
        <w:t xml:space="preserve"> </w:t>
      </w:r>
      <w:r w:rsidR="00602BB4">
        <w:t>as illustrated in Figure 1(b)</w:t>
      </w:r>
      <w:r w:rsidR="00993A2C">
        <w:t xml:space="preserve">. </w:t>
      </w:r>
      <w:r w:rsidR="00CA0C95">
        <w:t>In SrVO</w:t>
      </w:r>
      <w:r w:rsidR="00CA0C95" w:rsidRPr="00CA0C95">
        <w:rPr>
          <w:vertAlign w:val="subscript"/>
        </w:rPr>
        <w:t>3</w:t>
      </w:r>
      <w:r w:rsidR="00CA0C95">
        <w:t xml:space="preserve">, </w:t>
      </w:r>
      <w:r w:rsidR="00840819">
        <w:t xml:space="preserve">where correlations shift the collective electron plasma response into the near infra-red, </w:t>
      </w:r>
      <w:r w:rsidR="00CA0C95">
        <w:t xml:space="preserve">the main contribution to the remaining optical absorption in the visible is the high oscillator strength O </w:t>
      </w:r>
      <w:r w:rsidR="00CA0C95" w:rsidRPr="00091CF8">
        <w:rPr>
          <w:i/>
        </w:rPr>
        <w:t>2p</w:t>
      </w:r>
      <w:r w:rsidR="00CA0C95">
        <w:t xml:space="preserve"> - V </w:t>
      </w:r>
      <w:r w:rsidR="00CA0C95" w:rsidRPr="00091CF8">
        <w:rPr>
          <w:i/>
        </w:rPr>
        <w:t>3d</w:t>
      </w:r>
      <w:r w:rsidR="00CA0C95">
        <w:t xml:space="preserve"> </w:t>
      </w:r>
      <w:r w:rsidR="001A342A">
        <w:t>charge transfer transition</w:t>
      </w:r>
      <w:proofErr w:type="gramStart"/>
      <w:r w:rsidR="00CA0C95">
        <w:t>,</w:t>
      </w:r>
      <w:r w:rsidR="00212EFA" w:rsidRPr="00212EFA">
        <w:rPr>
          <w:noProof/>
          <w:vertAlign w:val="superscript"/>
        </w:rPr>
        <w:t>[</w:t>
      </w:r>
      <w:proofErr w:type="gramEnd"/>
      <w:r w:rsidR="00212EFA" w:rsidRPr="00212EFA">
        <w:rPr>
          <w:noProof/>
          <w:vertAlign w:val="superscript"/>
        </w:rPr>
        <w:t>7]</w:t>
      </w:r>
      <w:r w:rsidR="001A342A">
        <w:t xml:space="preserve"> </w:t>
      </w:r>
      <w:r w:rsidR="00CA0C95">
        <w:t xml:space="preserve">where electrons near the top of the O </w:t>
      </w:r>
      <w:r w:rsidR="00CA0C95" w:rsidRPr="00091CF8">
        <w:rPr>
          <w:i/>
        </w:rPr>
        <w:t>2p</w:t>
      </w:r>
      <w:r w:rsidR="00CA0C95">
        <w:t xml:space="preserve"> band occupy empty states above the Fermi energy </w:t>
      </w:r>
      <w:r w:rsidR="00CA0C95" w:rsidRPr="00CA0C95">
        <w:rPr>
          <w:i/>
        </w:rPr>
        <w:t>E</w:t>
      </w:r>
      <w:r w:rsidR="00CA0C95" w:rsidRPr="00CA0C95">
        <w:rPr>
          <w:vertAlign w:val="subscript"/>
        </w:rPr>
        <w:t>F</w:t>
      </w:r>
      <w:r w:rsidR="00CA0C95">
        <w:t xml:space="preserve"> in the 1/6 filled </w:t>
      </w:r>
      <w:r w:rsidR="00CA0C95" w:rsidRPr="00091CF8">
        <w:rPr>
          <w:i/>
        </w:rPr>
        <w:t>t</w:t>
      </w:r>
      <w:r w:rsidR="00CA0C95" w:rsidRPr="00091CF8">
        <w:rPr>
          <w:i/>
          <w:vertAlign w:val="subscript"/>
        </w:rPr>
        <w:t>2g</w:t>
      </w:r>
      <w:r w:rsidR="00CA0C95">
        <w:t xml:space="preserve"> band of </w:t>
      </w:r>
      <w:r w:rsidR="00CA0C95" w:rsidRPr="00091CF8">
        <w:rPr>
          <w:i/>
        </w:rPr>
        <w:t>d</w:t>
      </w:r>
      <w:r w:rsidR="00CA0C95" w:rsidRPr="00091CF8">
        <w:rPr>
          <w:i/>
          <w:vertAlign w:val="superscript"/>
        </w:rPr>
        <w:t>1</w:t>
      </w:r>
      <w:r w:rsidR="00CA0C95">
        <w:t xml:space="preserve"> SrVO</w:t>
      </w:r>
      <w:r w:rsidR="00CA0C95" w:rsidRPr="00CD0AED">
        <w:rPr>
          <w:vertAlign w:val="subscript"/>
        </w:rPr>
        <w:t>3</w:t>
      </w:r>
      <w:r w:rsidR="00C3137A">
        <w:t>,</w:t>
      </w:r>
      <w:r w:rsidR="00CA0C95">
        <w:t xml:space="preserve"> </w:t>
      </w:r>
      <w:r w:rsidR="00602BB4">
        <w:t xml:space="preserve">as </w:t>
      </w:r>
      <w:r w:rsidR="00CA0C95">
        <w:t>indicated by a black arrow in Figure 1 (b).</w:t>
      </w:r>
      <w:r w:rsidR="00993A2C">
        <w:t xml:space="preserve"> </w:t>
      </w:r>
      <w:r w:rsidR="00CD0AED" w:rsidRPr="00091CF8">
        <w:rPr>
          <w:i/>
        </w:rPr>
        <w:t>4d</w:t>
      </w:r>
      <w:r w:rsidR="00CD0AED">
        <w:t xml:space="preserve"> orbital energies in the second transition series (purple arrow in Figure 1 (b)) are higher than</w:t>
      </w:r>
      <w:r w:rsidR="00840819">
        <w:t xml:space="preserve"> those of the</w:t>
      </w:r>
      <w:r w:rsidR="00CD0AED">
        <w:t xml:space="preserve"> </w:t>
      </w:r>
      <w:r w:rsidR="00CD0AED" w:rsidRPr="00091CF8">
        <w:rPr>
          <w:i/>
        </w:rPr>
        <w:t>3d</w:t>
      </w:r>
      <w:r w:rsidR="00CD0AED">
        <w:t xml:space="preserve"> </w:t>
      </w:r>
      <w:r w:rsidR="00840819">
        <w:t xml:space="preserve">orbitals </w:t>
      </w:r>
      <w:r w:rsidR="00CD0AED">
        <w:t>in the first series (green arrow in Figure 1 (b)) for reasons traceable to the electronic structure of the hydrogen atom</w:t>
      </w:r>
      <w:r w:rsidR="0097297B">
        <w:t>, illustrated by the 10 eV reduction in the 5</w:t>
      </w:r>
      <w:r w:rsidR="0097297B" w:rsidRPr="0098354E">
        <w:rPr>
          <w:vertAlign w:val="superscript"/>
        </w:rPr>
        <w:t>th</w:t>
      </w:r>
      <w:r w:rsidR="0097297B">
        <w:t xml:space="preserve"> ionisation energy in the gas phase from V to Mo. While this </w:t>
      </w:r>
      <w:r w:rsidR="00673FD1">
        <w:t xml:space="preserve">difference </w:t>
      </w:r>
      <w:r w:rsidR="0097297B">
        <w:t xml:space="preserve">is of course reduced by Madelung site potential and orbital overlap effects in the solid state, </w:t>
      </w:r>
      <w:r w:rsidR="00673FD1">
        <w:t>ligand to metal charge transfer energies are expected to be higher in the second transition series than the first as a result</w:t>
      </w:r>
      <w:r w:rsidR="00CD0AED">
        <w:t xml:space="preserve">. </w:t>
      </w:r>
      <w:r w:rsidR="00410F8A">
        <w:t>T</w:t>
      </w:r>
      <w:r w:rsidR="00F9366C">
        <w:t>he combined effect</w:t>
      </w:r>
      <w:r w:rsidR="00CD0AED">
        <w:t xml:space="preserve"> of </w:t>
      </w:r>
      <w:r w:rsidR="00410F8A">
        <w:t xml:space="preserve">metal frontier orbital energies and band filling </w:t>
      </w:r>
      <w:r w:rsidR="00602BB4">
        <w:t xml:space="preserve">when </w:t>
      </w:r>
      <w:r w:rsidR="00CD0AED">
        <w:t xml:space="preserve">replacing </w:t>
      </w:r>
      <w:r w:rsidR="00CD0AED" w:rsidRPr="00091CF8">
        <w:rPr>
          <w:i/>
        </w:rPr>
        <w:t>3d</w:t>
      </w:r>
      <w:r w:rsidR="00CD0AED" w:rsidRPr="00091CF8">
        <w:rPr>
          <w:i/>
          <w:vertAlign w:val="superscript"/>
        </w:rPr>
        <w:t>1</w:t>
      </w:r>
      <w:r w:rsidR="00CD0AED">
        <w:t xml:space="preserve"> V</w:t>
      </w:r>
      <w:r w:rsidR="00CD0AED" w:rsidRPr="00CD0AED">
        <w:rPr>
          <w:vertAlign w:val="superscript"/>
        </w:rPr>
        <w:t>4+</w:t>
      </w:r>
      <w:r w:rsidR="00CD0AED">
        <w:t xml:space="preserve"> with </w:t>
      </w:r>
      <w:r w:rsidR="00CD0AED" w:rsidRPr="00091CF8">
        <w:rPr>
          <w:i/>
        </w:rPr>
        <w:t>4d</w:t>
      </w:r>
      <w:r w:rsidR="00CD0AED" w:rsidRPr="00091CF8">
        <w:rPr>
          <w:i/>
          <w:vertAlign w:val="superscript"/>
        </w:rPr>
        <w:t>2</w:t>
      </w:r>
      <w:r w:rsidR="00CD0AED">
        <w:t xml:space="preserve"> Mo</w:t>
      </w:r>
      <w:r w:rsidR="00CD0AED" w:rsidRPr="00CD0AED">
        <w:rPr>
          <w:vertAlign w:val="superscript"/>
        </w:rPr>
        <w:t>4</w:t>
      </w:r>
      <w:proofErr w:type="gramStart"/>
      <w:r w:rsidR="00CD0AED" w:rsidRPr="00CD0AED">
        <w:rPr>
          <w:vertAlign w:val="superscript"/>
        </w:rPr>
        <w:t>+</w:t>
      </w:r>
      <w:r w:rsidR="00CD0AED">
        <w:t xml:space="preserve">  </w:t>
      </w:r>
      <w:r w:rsidR="00673FD1">
        <w:t>can</w:t>
      </w:r>
      <w:proofErr w:type="gramEnd"/>
      <w:r w:rsidR="00673FD1">
        <w:t xml:space="preserve"> push</w:t>
      </w:r>
      <w:r w:rsidR="00410F8A">
        <w:t xml:space="preserve"> </w:t>
      </w:r>
      <w:r w:rsidR="00673FD1">
        <w:t xml:space="preserve">these </w:t>
      </w:r>
      <w:r w:rsidR="00602BB4">
        <w:t xml:space="preserve">strong </w:t>
      </w:r>
      <w:r w:rsidR="00410F8A">
        <w:t>inter-band transition</w:t>
      </w:r>
      <w:r w:rsidR="00673FD1">
        <w:t>s</w:t>
      </w:r>
      <w:r w:rsidR="00410F8A">
        <w:t xml:space="preserve"> above the visible </w:t>
      </w:r>
      <w:r w:rsidR="00673FD1">
        <w:t xml:space="preserve">range </w:t>
      </w:r>
      <w:r w:rsidR="00410F8A">
        <w:t>(black arrows on the right side of Figure 1 (b))</w:t>
      </w:r>
      <w:r w:rsidR="00CD0AED">
        <w:t>.</w:t>
      </w:r>
    </w:p>
    <w:p w14:paraId="23A05CBB" w14:textId="184E2F24" w:rsidR="00CA5AB2" w:rsidRDefault="00840819" w:rsidP="0097248A">
      <w:pPr>
        <w:spacing w:line="480" w:lineRule="auto"/>
      </w:pPr>
      <w:r>
        <w:t xml:space="preserve">The </w:t>
      </w:r>
      <w:r w:rsidRPr="00840819">
        <w:rPr>
          <w:i/>
        </w:rPr>
        <w:t>4d</w:t>
      </w:r>
      <w:r>
        <w:t xml:space="preserve"> orbitals extend further beyond the core electrons than the </w:t>
      </w:r>
      <w:r w:rsidRPr="00091CF8">
        <w:rPr>
          <w:i/>
        </w:rPr>
        <w:t>3d</w:t>
      </w:r>
      <w:r>
        <w:t>, which increase</w:t>
      </w:r>
      <w:r w:rsidR="00602BB4">
        <w:t>s</w:t>
      </w:r>
      <w:r>
        <w:t xml:space="preserve"> the bandwidth through better orbital overlap and reduce</w:t>
      </w:r>
      <w:r w:rsidR="00602BB4">
        <w:t>s</w:t>
      </w:r>
      <w:r>
        <w:t xml:space="preserve"> </w:t>
      </w:r>
      <w:proofErr w:type="spellStart"/>
      <w:r>
        <w:t>interelectron</w:t>
      </w:r>
      <w:proofErr w:type="spellEnd"/>
      <w:r>
        <w:t xml:space="preserve"> repulsion</w:t>
      </w:r>
      <w:r w:rsidR="00224959">
        <w:t xml:space="preserve">, </w:t>
      </w:r>
      <w:r w:rsidR="00602BB4">
        <w:t>diminishing</w:t>
      </w:r>
      <w:r w:rsidR="00224959">
        <w:t xml:space="preserve"> the role of correlation measured by </w:t>
      </w:r>
      <w:proofErr w:type="spellStart"/>
      <w:r w:rsidR="00224959" w:rsidRPr="00DB49D4">
        <w:rPr>
          <w:i/>
        </w:rPr>
        <w:t>Z</w:t>
      </w:r>
      <w:r w:rsidR="00224959" w:rsidRPr="00DB49D4">
        <w:rPr>
          <w:i/>
          <w:vertAlign w:val="subscript"/>
        </w:rPr>
        <w:t>k</w:t>
      </w:r>
      <w:proofErr w:type="spellEnd"/>
      <w:r w:rsidR="00224959">
        <w:t>. If this</w:t>
      </w:r>
      <w:r w:rsidR="002535F8">
        <w:t xml:space="preserve"> decrease</w:t>
      </w:r>
      <w:r w:rsidR="00224959">
        <w:t>s</w:t>
      </w:r>
      <w:r w:rsidR="002535F8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band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2535F8">
        <w:t xml:space="preserve"> </w:t>
      </w:r>
      <w:r w:rsidR="00224959">
        <w:t>too far, the</w:t>
      </w:r>
      <w:r w:rsidR="002535F8">
        <w:t xml:space="preserve"> resulting </w:t>
      </w:r>
      <w:r w:rsidR="00224959">
        <w:t xml:space="preserve">under-correlated metals would have </w:t>
      </w:r>
      <w:r w:rsidR="00224959" w:rsidRPr="00757FE7">
        <w:rPr>
          <w:i/>
        </w:rPr>
        <w:sym w:font="Symbol" w:char="F077"/>
      </w:r>
      <w:r w:rsidR="00224959" w:rsidRPr="00757FE7">
        <w:rPr>
          <w:i/>
          <w:vertAlign w:val="subscript"/>
        </w:rPr>
        <w:t>p</w:t>
      </w:r>
      <w:r w:rsidR="00224959">
        <w:t xml:space="preserve"> in the visible,</w:t>
      </w:r>
      <w:r w:rsidR="002535F8">
        <w:t xml:space="preserve"> as illustrated by the purple star in Figure 1 (c).</w:t>
      </w:r>
      <w:r w:rsidR="00D7036E">
        <w:t xml:space="preserve"> In contrast to SrVO</w:t>
      </w:r>
      <w:r w:rsidR="00D7036E" w:rsidRPr="00091CF8">
        <w:rPr>
          <w:vertAlign w:val="subscript"/>
        </w:rPr>
        <w:t>3</w:t>
      </w:r>
      <w:r w:rsidR="004167C6">
        <w:t xml:space="preserve"> where a lighter effective </w:t>
      </w:r>
      <w:r w:rsidR="008677A1">
        <w:t xml:space="preserve">mass </w:t>
      </w:r>
      <w:r w:rsidR="004167C6">
        <w:t>is required to reach the optimum plasma frequency</w:t>
      </w:r>
      <w:r w:rsidR="00D7036E">
        <w:t xml:space="preserve">, </w:t>
      </w:r>
      <w:r w:rsidR="008677A1">
        <w:t>band narrowing driven by the size of the A site cation can be used</w:t>
      </w:r>
      <w:r w:rsidR="00AE472B">
        <w:t xml:space="preserve"> to lower the effective mass </w:t>
      </w:r>
      <w:r w:rsidR="008677A1">
        <w:t>of</w:t>
      </w:r>
      <w:r w:rsidR="00D7036E">
        <w:t xml:space="preserve"> </w:t>
      </w:r>
      <w:r w:rsidR="008677A1">
        <w:t>AMoO</w:t>
      </w:r>
      <w:r w:rsidR="008677A1" w:rsidRPr="00D7036E">
        <w:rPr>
          <w:vertAlign w:val="subscript"/>
        </w:rPr>
        <w:t>3</w:t>
      </w:r>
      <w:r w:rsidR="00D7036E">
        <w:t xml:space="preserve"> </w:t>
      </w:r>
      <w:r w:rsidR="00752AF3">
        <w:t>perovskite</w:t>
      </w:r>
      <w:r w:rsidR="008677A1">
        <w:t>s</w:t>
      </w:r>
      <w:r w:rsidR="00752AF3">
        <w:t xml:space="preserve"> via </w:t>
      </w:r>
      <w:r w:rsidR="008677A1">
        <w:t>Mo</w:t>
      </w:r>
      <w:r w:rsidR="00752AF3">
        <w:t>O</w:t>
      </w:r>
      <w:r w:rsidR="00752AF3" w:rsidRPr="00091CF8">
        <w:rPr>
          <w:vertAlign w:val="subscript"/>
        </w:rPr>
        <w:t>6</w:t>
      </w:r>
      <w:r w:rsidR="00752AF3">
        <w:t xml:space="preserve"> octahedral tilting to restore the optimal balance between </w:t>
      </w:r>
      <w:r w:rsidR="00752AF3" w:rsidRPr="00757FE7">
        <w:rPr>
          <w:i/>
        </w:rPr>
        <w:sym w:font="Symbol" w:char="F077"/>
      </w:r>
      <w:r w:rsidR="00752AF3" w:rsidRPr="00757FE7">
        <w:rPr>
          <w:i/>
          <w:vertAlign w:val="subscript"/>
        </w:rPr>
        <w:t>p</w:t>
      </w:r>
      <w:r w:rsidR="00752AF3">
        <w:t xml:space="preserve"> and </w:t>
      </w:r>
      <w:r w:rsidR="00752AF3">
        <w:sym w:font="Symbol" w:char="F073"/>
      </w:r>
      <w:r w:rsidR="00752AF3">
        <w:t xml:space="preserve">. </w:t>
      </w:r>
      <w:r w:rsidR="00602BB4">
        <w:t xml:space="preserve">On </w:t>
      </w:r>
      <w:r w:rsidR="00D7036E">
        <w:t>substituti</w:t>
      </w:r>
      <w:r w:rsidR="00602BB4">
        <w:t>o</w:t>
      </w:r>
      <w:r w:rsidR="00D7036E">
        <w:t>n</w:t>
      </w:r>
      <w:r w:rsidR="00602BB4">
        <w:t xml:space="preserve"> of</w:t>
      </w:r>
      <w:r w:rsidR="00D7036E">
        <w:t xml:space="preserve"> </w:t>
      </w:r>
      <w:r w:rsidR="008677A1">
        <w:t xml:space="preserve">A = </w:t>
      </w:r>
      <w:r w:rsidR="00D7036E">
        <w:t>Sr</w:t>
      </w:r>
      <w:r w:rsidR="00D7036E" w:rsidRPr="00D7036E">
        <w:rPr>
          <w:vertAlign w:val="superscript"/>
        </w:rPr>
        <w:t>2+</w:t>
      </w:r>
      <w:r w:rsidR="00D7036E">
        <w:t xml:space="preserve"> with </w:t>
      </w:r>
      <w:r w:rsidR="00673FD1">
        <w:t xml:space="preserve">the </w:t>
      </w:r>
      <w:r w:rsidR="00D7036E">
        <w:t xml:space="preserve">smaller </w:t>
      </w:r>
      <w:r w:rsidR="008677A1">
        <w:t xml:space="preserve">A = </w:t>
      </w:r>
      <w:r w:rsidR="00D7036E">
        <w:t>Ca</w:t>
      </w:r>
      <w:r w:rsidR="00D7036E" w:rsidRPr="00D7036E">
        <w:rPr>
          <w:vertAlign w:val="superscript"/>
        </w:rPr>
        <w:t>2+</w:t>
      </w:r>
      <w:r w:rsidR="00AD3EF4">
        <w:t xml:space="preserve">, </w:t>
      </w:r>
      <w:r w:rsidR="00D7036E">
        <w:t xml:space="preserve">cubic </w:t>
      </w:r>
      <w:r w:rsidR="003018B4">
        <w:lastRenderedPageBreak/>
        <w:t>SrMoO</w:t>
      </w:r>
      <w:r w:rsidR="003018B4" w:rsidRPr="00091CF8">
        <w:rPr>
          <w:vertAlign w:val="subscript"/>
        </w:rPr>
        <w:t>3</w:t>
      </w:r>
      <w:r w:rsidR="003018B4">
        <w:t xml:space="preserve"> </w:t>
      </w:r>
      <w:r w:rsidR="00AD3EF4">
        <w:t>becomes</w:t>
      </w:r>
      <w:r w:rsidR="00D7036E">
        <w:t xml:space="preserve"> orthorhombic </w:t>
      </w:r>
      <w:r w:rsidR="005817DF">
        <w:t>CaMoO</w:t>
      </w:r>
      <w:r w:rsidR="005817DF" w:rsidRPr="00091CF8">
        <w:rPr>
          <w:vertAlign w:val="subscript"/>
        </w:rPr>
        <w:t>3</w:t>
      </w:r>
      <w:r w:rsidR="005817DF">
        <w:t xml:space="preserve"> </w:t>
      </w:r>
      <w:r w:rsidR="00AD3EF4">
        <w:t xml:space="preserve">due to </w:t>
      </w:r>
      <w:r w:rsidR="008677A1">
        <w:t>octahedral</w:t>
      </w:r>
      <w:r w:rsidR="00AD3EF4">
        <w:t xml:space="preserve"> tilts which reduce the coordination number of Ca </w:t>
      </w:r>
      <w:r w:rsidR="00D7036E">
        <w:t xml:space="preserve">and </w:t>
      </w:r>
      <w:r w:rsidR="00407B6B">
        <w:t xml:space="preserve">the </w:t>
      </w:r>
      <w:r w:rsidR="00D7036E">
        <w:t xml:space="preserve">Mo-O-Mo bond angle </w:t>
      </w:r>
      <w:r w:rsidR="005817DF">
        <w:t>below</w:t>
      </w:r>
      <w:r w:rsidR="00D7036E">
        <w:t xml:space="preserve"> </w:t>
      </w:r>
      <w:r w:rsidR="005817DF">
        <w:t xml:space="preserve">the </w:t>
      </w:r>
      <w:r w:rsidR="00D7036E">
        <w:t>ideal 180</w:t>
      </w:r>
      <w:r w:rsidR="00D7036E">
        <w:sym w:font="Symbol" w:char="F0B0"/>
      </w:r>
      <w:r w:rsidR="00D7036E">
        <w:t xml:space="preserve"> by an angle </w:t>
      </w:r>
      <w:r w:rsidR="00D7036E" w:rsidRPr="00D7036E">
        <w:rPr>
          <w:i/>
        </w:rPr>
        <w:sym w:font="Symbol" w:char="F06A"/>
      </w:r>
      <w:r w:rsidR="00D7036E" w:rsidRPr="00D7036E">
        <w:t xml:space="preserve"> </w:t>
      </w:r>
      <w:r w:rsidR="00D7036E">
        <w:t>(inset of Figure 1 (c))</w:t>
      </w:r>
      <w:r w:rsidR="00407B6B">
        <w:t>. This tilting distortion</w:t>
      </w:r>
      <w:r w:rsidR="00D7036E">
        <w:t xml:space="preserve"> reduc</w:t>
      </w:r>
      <w:r w:rsidR="00407B6B">
        <w:t>es</w:t>
      </w:r>
      <w:r w:rsidR="00D7036E">
        <w:t xml:space="preserve"> the Mo</w:t>
      </w:r>
      <w:r w:rsidR="005817DF">
        <w:t xml:space="preserve"> </w:t>
      </w:r>
      <w:r w:rsidR="005817DF">
        <w:rPr>
          <w:i/>
        </w:rPr>
        <w:t xml:space="preserve">4d </w:t>
      </w:r>
      <w:r w:rsidR="00D7036E">
        <w:t>-</w:t>
      </w:r>
      <w:r w:rsidR="008677A1">
        <w:t xml:space="preserve"> </w:t>
      </w:r>
      <w:r w:rsidR="00D7036E">
        <w:t>O</w:t>
      </w:r>
      <w:r w:rsidR="005817DF">
        <w:t xml:space="preserve"> </w:t>
      </w:r>
      <w:r w:rsidR="005817DF" w:rsidRPr="00091CF8">
        <w:rPr>
          <w:i/>
        </w:rPr>
        <w:t>2p</w:t>
      </w:r>
      <w:r w:rsidR="00D7036E">
        <w:t xml:space="preserve"> overlap and increas</w:t>
      </w:r>
      <w:r w:rsidR="00407B6B">
        <w:t>es</w:t>
      </w:r>
      <w:r w:rsidR="00D7036E">
        <w:t xml:space="preserve"> the effective</w:t>
      </w:r>
      <w:r w:rsidR="00E2287A">
        <w:t xml:space="preserve"> mass </w:t>
      </w:r>
      <w:proofErr w:type="gramStart"/>
      <w:r w:rsidR="00D7036E">
        <w:t xml:space="preserve">to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tilt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∝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Mo-O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3.5</m:t>
                </m:r>
              </m:sup>
            </m:sSup>
            <m:r>
              <w:rPr>
                <w:rFonts w:ascii="Cambria Math" w:hAnsi="Cambria Math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band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φ-π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den>
        </m:f>
      </m:oMath>
      <w:r w:rsidR="005817DF">
        <w:t>,</w:t>
      </w:r>
      <w:r w:rsidR="00582B91">
        <w:t xml:space="preserve"> where </w:t>
      </w:r>
      <w:proofErr w:type="spellStart"/>
      <w:r w:rsidR="00582B91" w:rsidRPr="00582B91">
        <w:rPr>
          <w:i/>
        </w:rPr>
        <w:t>d</w:t>
      </w:r>
      <w:r w:rsidR="00582B91" w:rsidRPr="00582B91">
        <w:rPr>
          <w:i/>
          <w:vertAlign w:val="subscript"/>
        </w:rPr>
        <w:t>Mo</w:t>
      </w:r>
      <w:proofErr w:type="spellEnd"/>
      <w:r w:rsidR="00582B91" w:rsidRPr="00582B91">
        <w:rPr>
          <w:i/>
          <w:vertAlign w:val="subscript"/>
        </w:rPr>
        <w:t>-O</w:t>
      </w:r>
      <w:r w:rsidR="00582B91">
        <w:t xml:space="preserve"> is the Mo-O interatomic distance</w:t>
      </w:r>
      <w:r w:rsidR="00D7036E">
        <w:t xml:space="preserve">. </w:t>
      </w:r>
      <w:r w:rsidR="00212EFA" w:rsidRPr="00212EFA">
        <w:rPr>
          <w:noProof/>
          <w:vertAlign w:val="superscript"/>
        </w:rPr>
        <w:t>[9]</w:t>
      </w:r>
      <w:r w:rsidR="00EA7145">
        <w:t xml:space="preserve"> </w:t>
      </w:r>
      <w:r w:rsidR="00D7036E">
        <w:t xml:space="preserve">This results in a lower plasma frequency as illustrated </w:t>
      </w:r>
      <w:r w:rsidR="007845E3">
        <w:t xml:space="preserve">by the solid purple line </w:t>
      </w:r>
      <w:r w:rsidR="00D7036E">
        <w:t>in Figure 1 (c)</w:t>
      </w:r>
      <w:r w:rsidR="005817DF">
        <w:t>,</w:t>
      </w:r>
      <w:r w:rsidR="007845E3">
        <w:t xml:space="preserve"> which shows that for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tilt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1.3</m:t>
        </m:r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band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7845E3">
        <w:t xml:space="preserve"> and </w:t>
      </w:r>
      <w:proofErr w:type="spellStart"/>
      <w:r w:rsidR="007845E3" w:rsidRPr="00196EEE">
        <w:rPr>
          <w:i/>
        </w:rPr>
        <w:t>Z</w:t>
      </w:r>
      <w:r w:rsidR="007845E3" w:rsidRPr="00196EEE">
        <w:rPr>
          <w:i/>
          <w:vertAlign w:val="subscript"/>
        </w:rPr>
        <w:t>k</w:t>
      </w:r>
      <w:proofErr w:type="spellEnd"/>
      <w:r w:rsidR="007845E3">
        <w:t xml:space="preserve"> = 0.5, the plasma frequency would be at the edge of the visible</w:t>
      </w:r>
      <w:r w:rsidR="005817DF">
        <w:t>,</w:t>
      </w:r>
      <w:r w:rsidR="007845E3">
        <w:t xml:space="preserve"> </w:t>
      </w:r>
      <w:r w:rsidR="005817DF">
        <w:t xml:space="preserve">with </w:t>
      </w:r>
      <w:r w:rsidR="007845E3">
        <w:t xml:space="preserve">the lowering of the conductivity </w:t>
      </w:r>
      <w:r w:rsidR="005817DF">
        <w:t>from</w:t>
      </w:r>
      <w:r w:rsidR="007845E3">
        <w:t xml:space="preserve"> </w:t>
      </w:r>
      <w:r w:rsidR="00890555">
        <w:t xml:space="preserve">the </w:t>
      </w:r>
      <w:r w:rsidR="005817DF">
        <w:t>reduced</w:t>
      </w:r>
      <w:r w:rsidR="007845E3">
        <w:t xml:space="preserve"> mobility outweighed</w:t>
      </w:r>
      <w:r w:rsidR="00D7036E">
        <w:t xml:space="preserve"> </w:t>
      </w:r>
      <w:r w:rsidR="007845E3">
        <w:t>by the enhanced transmission in the visible.</w:t>
      </w:r>
    </w:p>
    <w:p w14:paraId="47A2BA8A" w14:textId="77777777" w:rsidR="004B1B1D" w:rsidRDefault="004B1B1D" w:rsidP="0097248A">
      <w:pPr>
        <w:spacing w:line="480" w:lineRule="auto"/>
      </w:pPr>
    </w:p>
    <w:p w14:paraId="7797D7FD" w14:textId="5CC2A3C0" w:rsidR="004B1B1D" w:rsidRDefault="004B1B1D" w:rsidP="004B1B1D">
      <w:pPr>
        <w:pStyle w:val="Head1"/>
      </w:pPr>
      <w:r>
        <w:t>3</w:t>
      </w:r>
      <w:r w:rsidRPr="007B249B">
        <w:t xml:space="preserve">. </w:t>
      </w:r>
      <w:r>
        <w:t>Electrical and optical properties of epitaxial SrMoO</w:t>
      </w:r>
      <w:r w:rsidRPr="004B1B1D">
        <w:rPr>
          <w:vertAlign w:val="subscript"/>
        </w:rPr>
        <w:t>3</w:t>
      </w:r>
      <w:r>
        <w:t xml:space="preserve"> and CaMoO</w:t>
      </w:r>
      <w:r w:rsidRPr="004B1B1D">
        <w:rPr>
          <w:vertAlign w:val="subscript"/>
        </w:rPr>
        <w:t>3</w:t>
      </w:r>
      <w:r>
        <w:t xml:space="preserve"> thin films</w:t>
      </w:r>
    </w:p>
    <w:p w14:paraId="28C3B8DE" w14:textId="77777777" w:rsidR="004B1B1D" w:rsidRDefault="004B1B1D" w:rsidP="0097248A">
      <w:pPr>
        <w:spacing w:line="480" w:lineRule="auto"/>
      </w:pPr>
    </w:p>
    <w:p w14:paraId="77FA2813" w14:textId="6CF4EB22" w:rsidR="003018B4" w:rsidRDefault="0075784F" w:rsidP="00FE0ED9">
      <w:pPr>
        <w:spacing w:line="480" w:lineRule="auto"/>
      </w:pPr>
      <w:r>
        <w:t>SrMoO</w:t>
      </w:r>
      <w:r w:rsidRPr="00E23952">
        <w:rPr>
          <w:vertAlign w:val="subscript"/>
        </w:rPr>
        <w:t>3</w:t>
      </w:r>
      <w:r>
        <w:t xml:space="preserve"> </w:t>
      </w:r>
      <w:r w:rsidR="00E23952">
        <w:t xml:space="preserve">is </w:t>
      </w:r>
      <w:r w:rsidR="008F5285">
        <w:t xml:space="preserve">a cubic perovskite (inset of </w:t>
      </w:r>
      <w:r w:rsidR="008F5285" w:rsidRPr="00F02F9E">
        <w:rPr>
          <w:b/>
        </w:rPr>
        <w:t xml:space="preserve">Figure 2 </w:t>
      </w:r>
      <w:r w:rsidR="008F5285">
        <w:t xml:space="preserve">(a)) and is </w:t>
      </w:r>
      <w:r>
        <w:t xml:space="preserve">one of the most conducting metallic oxides with a </w:t>
      </w:r>
      <w:r w:rsidR="004E5A4B">
        <w:t>room temperature</w:t>
      </w:r>
      <w:r w:rsidR="004E5A4B" w:rsidDel="005817DF">
        <w:t xml:space="preserve"> </w:t>
      </w:r>
      <w:r>
        <w:t xml:space="preserve">resistivity of </w:t>
      </w:r>
      <w:r w:rsidR="0064672F">
        <w:t xml:space="preserve">5.1 </w:t>
      </w:r>
      <w:r>
        <w:sym w:font="Symbol" w:char="F06D"/>
      </w:r>
      <w:r>
        <w:sym w:font="Symbol" w:char="F057"/>
      </w:r>
      <w:r>
        <w:t>.</w:t>
      </w:r>
      <w:proofErr w:type="gramStart"/>
      <w:r>
        <w:t xml:space="preserve">cm </w:t>
      </w:r>
      <w:r w:rsidR="00562A74">
        <w:t>.</w:t>
      </w:r>
      <w:proofErr w:type="gramEnd"/>
      <w:r w:rsidR="001A342A">
        <w:t xml:space="preserve"> </w:t>
      </w:r>
      <w:r w:rsidR="00212EFA" w:rsidRPr="00212EFA">
        <w:rPr>
          <w:noProof/>
          <w:vertAlign w:val="superscript"/>
        </w:rPr>
        <w:t>[10]</w:t>
      </w:r>
      <w:r>
        <w:t xml:space="preserve"> </w:t>
      </w:r>
      <w:r w:rsidR="00562A74">
        <w:t>R</w:t>
      </w:r>
      <w:r>
        <w:t xml:space="preserve">ecent thin film studies have focused on its application for </w:t>
      </w:r>
      <w:proofErr w:type="spellStart"/>
      <w:r>
        <w:t>plasmonic</w:t>
      </w:r>
      <w:proofErr w:type="spellEnd"/>
      <w:r w:rsidR="00900AFC">
        <w:t xml:space="preserve"> </w:t>
      </w:r>
      <w:r w:rsidR="00212EFA" w:rsidRPr="00212EFA">
        <w:rPr>
          <w:noProof/>
          <w:vertAlign w:val="superscript"/>
        </w:rPr>
        <w:t>[11]</w:t>
      </w:r>
      <w:r>
        <w:t xml:space="preserve"> and microwave</w:t>
      </w:r>
      <w:r w:rsidR="00900AFC">
        <w:t xml:space="preserve"> </w:t>
      </w:r>
      <w:r w:rsidR="00212EFA" w:rsidRPr="00212EFA">
        <w:rPr>
          <w:noProof/>
          <w:vertAlign w:val="superscript"/>
        </w:rPr>
        <w:t>[12]</w:t>
      </w:r>
      <w:r>
        <w:t xml:space="preserve"> technologies. </w:t>
      </w:r>
      <w:r w:rsidR="002A2759">
        <w:t xml:space="preserve">To assess the influence of replacing </w:t>
      </w:r>
      <w:r w:rsidR="002A2759" w:rsidRPr="00091CF8">
        <w:rPr>
          <w:i/>
        </w:rPr>
        <w:t>3d</w:t>
      </w:r>
      <w:r w:rsidR="002A2759" w:rsidRPr="00091CF8">
        <w:rPr>
          <w:i/>
          <w:vertAlign w:val="superscript"/>
        </w:rPr>
        <w:t>1</w:t>
      </w:r>
      <w:r w:rsidR="002A2759" w:rsidRPr="002A2759">
        <w:t xml:space="preserve"> V</w:t>
      </w:r>
      <w:r w:rsidR="002A2759" w:rsidRPr="002A2759">
        <w:rPr>
          <w:vertAlign w:val="superscript"/>
        </w:rPr>
        <w:t>4+</w:t>
      </w:r>
      <w:r w:rsidR="002A2759" w:rsidRPr="002A2759">
        <w:t xml:space="preserve"> with </w:t>
      </w:r>
      <w:r w:rsidR="002A2759" w:rsidRPr="00091CF8">
        <w:rPr>
          <w:i/>
        </w:rPr>
        <w:t>4d</w:t>
      </w:r>
      <w:r w:rsidR="002A2759" w:rsidRPr="00091CF8">
        <w:rPr>
          <w:i/>
          <w:vertAlign w:val="superscript"/>
        </w:rPr>
        <w:t>2</w:t>
      </w:r>
      <w:r w:rsidR="002A2759" w:rsidRPr="002A2759">
        <w:t xml:space="preserve"> Mo</w:t>
      </w:r>
      <w:r w:rsidR="002A2759" w:rsidRPr="002A2759">
        <w:rPr>
          <w:vertAlign w:val="superscript"/>
        </w:rPr>
        <w:t>4+</w:t>
      </w:r>
      <w:r w:rsidR="002A2759">
        <w:t xml:space="preserve"> on the performance of correlated </w:t>
      </w:r>
      <w:r w:rsidR="003018B4">
        <w:t xml:space="preserve">metal </w:t>
      </w:r>
      <w:r w:rsidR="002A2759">
        <w:t>transparent conductors</w:t>
      </w:r>
      <w:r w:rsidR="003018B4">
        <w:t>,</w:t>
      </w:r>
      <w:r w:rsidR="002A2759">
        <w:t xml:space="preserve"> we have grown SrMoO</w:t>
      </w:r>
      <w:r w:rsidR="002A2759" w:rsidRPr="002A2759">
        <w:rPr>
          <w:vertAlign w:val="subscript"/>
        </w:rPr>
        <w:t>3</w:t>
      </w:r>
      <w:r w:rsidR="002A2759">
        <w:t xml:space="preserve"> </w:t>
      </w:r>
      <w:r w:rsidR="003018B4">
        <w:t xml:space="preserve">films </w:t>
      </w:r>
      <w:r w:rsidR="002A2759">
        <w:t>with a thickness of 47 nm</w:t>
      </w:r>
      <w:r w:rsidR="00043A0A">
        <w:t xml:space="preserve"> and </w:t>
      </w:r>
      <w:r w:rsidR="00043A0A" w:rsidRPr="00043A0A">
        <w:t>RMS surface roughness of 0.3</w:t>
      </w:r>
      <w:r w:rsidR="00CA226C">
        <w:t xml:space="preserve"> </w:t>
      </w:r>
      <w:r w:rsidR="00043A0A" w:rsidRPr="00043A0A">
        <w:t>nm</w:t>
      </w:r>
      <w:r w:rsidR="00043A0A">
        <w:t xml:space="preserve"> (S</w:t>
      </w:r>
      <w:r w:rsidR="00DE1935">
        <w:t>upporting Information, Figure S1</w:t>
      </w:r>
      <w:r w:rsidR="00043A0A">
        <w:t>)</w:t>
      </w:r>
      <w:r w:rsidR="002A2759" w:rsidRPr="00043A0A">
        <w:rPr>
          <w:sz w:val="32"/>
        </w:rPr>
        <w:t xml:space="preserve"> </w:t>
      </w:r>
      <w:r w:rsidR="002A2759">
        <w:t xml:space="preserve">and studied </w:t>
      </w:r>
      <w:r w:rsidR="004E5A4B">
        <w:t xml:space="preserve">their </w:t>
      </w:r>
      <w:r w:rsidR="002A2759">
        <w:t xml:space="preserve">electrical </w:t>
      </w:r>
      <w:r w:rsidR="003018B4">
        <w:t xml:space="preserve">transport </w:t>
      </w:r>
      <w:r w:rsidR="002A2759">
        <w:t xml:space="preserve">and optical properties which </w:t>
      </w:r>
      <w:r w:rsidR="008E2A4D">
        <w:t>are</w:t>
      </w:r>
      <w:r w:rsidR="002A2759">
        <w:t xml:space="preserve"> compared with Density Functional Theory (DFT) calculations</w:t>
      </w:r>
      <w:r w:rsidR="008E2A4D">
        <w:t xml:space="preserve"> (</w:t>
      </w:r>
      <w:r w:rsidR="008E2A4D" w:rsidRPr="00F02F9E">
        <w:t>Figure 2</w:t>
      </w:r>
      <w:r w:rsidR="008E2A4D">
        <w:t>)</w:t>
      </w:r>
      <w:r w:rsidR="002A2759">
        <w:t>.</w:t>
      </w:r>
      <w:r w:rsidR="008E2A4D">
        <w:t xml:space="preserve"> </w:t>
      </w:r>
      <w:r w:rsidR="000F7BA6">
        <w:t xml:space="preserve">Highly </w:t>
      </w:r>
      <w:r w:rsidR="001D45D1">
        <w:t>(0 0 L)</w:t>
      </w:r>
      <w:r w:rsidR="000F7BA6">
        <w:t xml:space="preserve"> </w:t>
      </w:r>
      <w:r w:rsidR="001D45D1">
        <w:t>oriented SrMoO</w:t>
      </w:r>
      <w:r w:rsidR="001D45D1" w:rsidRPr="004D3A27">
        <w:rPr>
          <w:vertAlign w:val="subscript"/>
        </w:rPr>
        <w:t>3</w:t>
      </w:r>
      <w:r w:rsidR="001D45D1">
        <w:t xml:space="preserve"> have been obtained</w:t>
      </w:r>
      <w:r w:rsidR="00134473" w:rsidRPr="00134473">
        <w:t xml:space="preserve"> with a minor impurity (004) </w:t>
      </w:r>
      <w:r w:rsidR="00562A74">
        <w:t>reflection from</w:t>
      </w:r>
      <w:r w:rsidR="00134473" w:rsidRPr="00134473">
        <w:t xml:space="preserve"> SrMoO</w:t>
      </w:r>
      <w:r w:rsidR="00134473" w:rsidRPr="0064672F">
        <w:rPr>
          <w:vertAlign w:val="subscript"/>
        </w:rPr>
        <w:t>4</w:t>
      </w:r>
      <w:r w:rsidR="00562A74">
        <w:t>,</w:t>
      </w:r>
      <w:r w:rsidR="00134473" w:rsidRPr="00134473">
        <w:t xml:space="preserve"> </w:t>
      </w:r>
      <w:r w:rsidR="0064672F">
        <w:t xml:space="preserve">which could be due to surface oxidation </w:t>
      </w:r>
      <w:r w:rsidR="00134473" w:rsidRPr="00134473">
        <w:t>in the S</w:t>
      </w:r>
      <w:r w:rsidR="00134473">
        <w:t>r</w:t>
      </w:r>
      <w:r w:rsidR="00134473" w:rsidRPr="00134473">
        <w:t>M</w:t>
      </w:r>
      <w:r w:rsidR="00134473">
        <w:t>o</w:t>
      </w:r>
      <w:r w:rsidR="00134473" w:rsidRPr="00134473">
        <w:t>O</w:t>
      </w:r>
      <w:r w:rsidR="00134473" w:rsidRPr="00134473">
        <w:rPr>
          <w:vertAlign w:val="subscript"/>
        </w:rPr>
        <w:t>3</w:t>
      </w:r>
      <w:r w:rsidR="00134473" w:rsidRPr="00134473">
        <w:t xml:space="preserve"> sample</w:t>
      </w:r>
      <w:r w:rsidR="001D45D1" w:rsidRPr="00134473">
        <w:t>(</w:t>
      </w:r>
      <w:r w:rsidR="001D45D1">
        <w:t>Figure 2 (</w:t>
      </w:r>
      <w:r w:rsidR="001D45D1" w:rsidRPr="00134473">
        <w:t>a</w:t>
      </w:r>
      <w:r w:rsidR="001D45D1">
        <w:t>)</w:t>
      </w:r>
      <w:r w:rsidR="001D45D1" w:rsidRPr="00134473">
        <w:t xml:space="preserve">), </w:t>
      </w:r>
      <w:r w:rsidR="00D95B19">
        <w:t>t</w:t>
      </w:r>
      <w:r w:rsidR="00134473">
        <w:t xml:space="preserve">he </w:t>
      </w:r>
      <w:r w:rsidR="00134473" w:rsidRPr="00134473">
        <w:t>lattice parameters for S</w:t>
      </w:r>
      <w:r w:rsidR="00426CFB">
        <w:t>r</w:t>
      </w:r>
      <w:r w:rsidR="00134473" w:rsidRPr="00134473">
        <w:t>M</w:t>
      </w:r>
      <w:r w:rsidR="00426CFB">
        <w:t>o</w:t>
      </w:r>
      <w:r w:rsidR="00134473" w:rsidRPr="00134473">
        <w:t>O</w:t>
      </w:r>
      <w:r w:rsidR="00426CFB" w:rsidRPr="00426CFB">
        <w:rPr>
          <w:vertAlign w:val="subscript"/>
        </w:rPr>
        <w:t>3</w:t>
      </w:r>
      <w:r w:rsidR="00134473" w:rsidRPr="00134473">
        <w:t xml:space="preserve"> </w:t>
      </w:r>
      <w:r w:rsidR="00134473">
        <w:t>were</w:t>
      </w:r>
      <w:r w:rsidR="00134473" w:rsidRPr="00134473">
        <w:t xml:space="preserve"> </w:t>
      </w:r>
      <w:r w:rsidR="00134473">
        <w:t>calculated</w:t>
      </w:r>
      <w:r w:rsidR="00134473" w:rsidRPr="00134473">
        <w:t xml:space="preserve"> from reciprocal space mapping</w:t>
      </w:r>
      <w:r w:rsidR="00787893">
        <w:t xml:space="preserve"> (</w:t>
      </w:r>
      <w:r w:rsidR="00091CF8">
        <w:t xml:space="preserve">Supporting Information, </w:t>
      </w:r>
      <w:r w:rsidR="00787893">
        <w:t xml:space="preserve">Figure </w:t>
      </w:r>
      <w:r w:rsidR="001D45D1">
        <w:t>S2</w:t>
      </w:r>
      <w:r w:rsidR="00787893">
        <w:t>)</w:t>
      </w:r>
      <w:r w:rsidR="00134473" w:rsidRPr="00134473">
        <w:t xml:space="preserve"> </w:t>
      </w:r>
      <w:r w:rsidR="00134473">
        <w:t>and out-of-plane diffraction</w:t>
      </w:r>
      <w:r w:rsidR="00134473" w:rsidRPr="00134473">
        <w:t xml:space="preserve"> </w:t>
      </w:r>
      <w:r w:rsidR="00134473">
        <w:t xml:space="preserve">with </w:t>
      </w:r>
      <w:r w:rsidR="00134473" w:rsidRPr="00134473">
        <w:rPr>
          <w:i/>
        </w:rPr>
        <w:t>a</w:t>
      </w:r>
      <w:r w:rsidR="00134473">
        <w:t xml:space="preserve"> </w:t>
      </w:r>
      <w:r w:rsidR="00134473" w:rsidRPr="00134473">
        <w:t>=</w:t>
      </w:r>
      <w:r w:rsidR="00134473">
        <w:t xml:space="preserve"> </w:t>
      </w:r>
      <w:r w:rsidR="00134473" w:rsidRPr="00134473">
        <w:t>3.96</w:t>
      </w:r>
      <w:r w:rsidR="00134473">
        <w:t>(</w:t>
      </w:r>
      <w:r w:rsidR="008436CD">
        <w:t>2</w:t>
      </w:r>
      <w:r w:rsidR="00134473">
        <w:t xml:space="preserve">) </w:t>
      </w:r>
      <w:r w:rsidR="00134473" w:rsidRPr="00134473">
        <w:t xml:space="preserve">Å, </w:t>
      </w:r>
      <w:r w:rsidR="00134473" w:rsidRPr="00134473">
        <w:rPr>
          <w:i/>
        </w:rPr>
        <w:t>b</w:t>
      </w:r>
      <w:r w:rsidR="00134473">
        <w:t xml:space="preserve"> </w:t>
      </w:r>
      <w:r w:rsidR="00134473" w:rsidRPr="00134473">
        <w:t>=</w:t>
      </w:r>
      <w:r w:rsidR="00134473">
        <w:t xml:space="preserve"> </w:t>
      </w:r>
      <w:r w:rsidR="00134473" w:rsidRPr="00134473">
        <w:t>3.97</w:t>
      </w:r>
      <w:r w:rsidR="00134473">
        <w:t>(</w:t>
      </w:r>
      <w:r w:rsidR="008436CD">
        <w:t>2</w:t>
      </w:r>
      <w:r w:rsidR="00134473">
        <w:t xml:space="preserve">) </w:t>
      </w:r>
      <w:r w:rsidR="00134473" w:rsidRPr="00134473">
        <w:t xml:space="preserve">Å </w:t>
      </w:r>
      <w:r w:rsidR="00134473">
        <w:t xml:space="preserve">in-plane </w:t>
      </w:r>
      <w:r w:rsidR="00134473" w:rsidRPr="00134473">
        <w:t xml:space="preserve">and </w:t>
      </w:r>
      <w:r w:rsidR="00134473" w:rsidRPr="00134473">
        <w:rPr>
          <w:i/>
        </w:rPr>
        <w:t>c</w:t>
      </w:r>
      <w:r w:rsidR="00134473">
        <w:t xml:space="preserve"> </w:t>
      </w:r>
      <w:r w:rsidR="00134473" w:rsidRPr="00134473">
        <w:t>=</w:t>
      </w:r>
      <w:r w:rsidR="00134473">
        <w:t xml:space="preserve"> 4.01(1) </w:t>
      </w:r>
      <w:r w:rsidR="00134473" w:rsidRPr="00134473">
        <w:t xml:space="preserve">Å </w:t>
      </w:r>
      <w:r w:rsidR="00134473">
        <w:t xml:space="preserve">suggesting a small tetragonal distortion with </w:t>
      </w:r>
      <w:r w:rsidR="00134473" w:rsidRPr="00134473">
        <w:rPr>
          <w:i/>
        </w:rPr>
        <w:t>c</w:t>
      </w:r>
      <w:r w:rsidR="00134473">
        <w:t>/</w:t>
      </w:r>
      <w:r w:rsidR="00134473" w:rsidRPr="00134473">
        <w:rPr>
          <w:i/>
        </w:rPr>
        <w:t>a</w:t>
      </w:r>
      <w:r w:rsidR="00134473">
        <w:t xml:space="preserve"> = 1.01. The in-plane lattice parameters are close to the </w:t>
      </w:r>
      <w:r w:rsidR="00134473" w:rsidRPr="00134473">
        <w:t xml:space="preserve">reported value for </w:t>
      </w:r>
      <w:r w:rsidR="003018B4">
        <w:t xml:space="preserve">bulk </w:t>
      </w:r>
      <w:r w:rsidR="00134473" w:rsidRPr="00134473">
        <w:t>cubic SrMoO</w:t>
      </w:r>
      <w:r w:rsidR="00134473" w:rsidRPr="00134473">
        <w:rPr>
          <w:vertAlign w:val="subscript"/>
        </w:rPr>
        <w:t>3</w:t>
      </w:r>
      <w:r w:rsidR="00134473" w:rsidRPr="00134473">
        <w:t xml:space="preserve"> </w:t>
      </w:r>
      <w:r w:rsidR="00134473">
        <w:t xml:space="preserve">with </w:t>
      </w:r>
      <w:proofErr w:type="spellStart"/>
      <w:r w:rsidR="00134473" w:rsidRPr="00134473">
        <w:rPr>
          <w:i/>
        </w:rPr>
        <w:t>a</w:t>
      </w:r>
      <w:r w:rsidR="00707E04" w:rsidRPr="00707E04">
        <w:rPr>
          <w:i/>
          <w:vertAlign w:val="subscript"/>
        </w:rPr>
        <w:t>bulk</w:t>
      </w:r>
      <w:proofErr w:type="spellEnd"/>
      <w:r w:rsidR="00134473" w:rsidRPr="00134473">
        <w:t xml:space="preserve"> = 3.97</w:t>
      </w:r>
      <w:r w:rsidR="0064672F">
        <w:t>6</w:t>
      </w:r>
      <w:r w:rsidR="00134473">
        <w:t xml:space="preserve"> </w:t>
      </w:r>
      <w:r w:rsidR="00134473" w:rsidRPr="00134473">
        <w:t>Å</w:t>
      </w:r>
      <w:r w:rsidR="00F37D55">
        <w:t xml:space="preserve"> and</w:t>
      </w:r>
      <w:r w:rsidR="0064672F">
        <w:t xml:space="preserve"> </w:t>
      </w:r>
      <w:r w:rsidR="008436CD">
        <w:t xml:space="preserve">a small tetragonal distortion </w:t>
      </w:r>
      <w:r w:rsidR="004E5A4B">
        <w:t xml:space="preserve">is </w:t>
      </w:r>
      <w:r w:rsidR="008436CD">
        <w:t xml:space="preserve">observed below </w:t>
      </w:r>
      <w:r w:rsidR="008436CD">
        <w:lastRenderedPageBreak/>
        <w:t>266 K in the bulk material</w:t>
      </w:r>
      <w:r w:rsidR="00134473" w:rsidRPr="00134473">
        <w:t xml:space="preserve">. </w:t>
      </w:r>
      <w:r w:rsidR="00212EFA" w:rsidRPr="00212EFA">
        <w:rPr>
          <w:noProof/>
          <w:vertAlign w:val="superscript"/>
        </w:rPr>
        <w:t>[13]</w:t>
      </w:r>
      <w:r w:rsidR="001A342A">
        <w:t xml:space="preserve"> </w:t>
      </w:r>
      <w:r w:rsidR="00A6210A" w:rsidRPr="00A6210A">
        <w:t xml:space="preserve">Despite the </w:t>
      </w:r>
      <w:r w:rsidR="00A6210A">
        <w:t xml:space="preserve">relatively small </w:t>
      </w:r>
      <w:r w:rsidR="00A6210A" w:rsidRPr="00A6210A">
        <w:t xml:space="preserve">lattice </w:t>
      </w:r>
      <w:r w:rsidR="00A6210A">
        <w:t>mis</w:t>
      </w:r>
      <w:r w:rsidR="00A6210A" w:rsidRPr="00A6210A">
        <w:t>match</w:t>
      </w:r>
      <w:r w:rsidR="00A6210A">
        <w:t xml:space="preserve"> between SrMoO</w:t>
      </w:r>
      <w:r w:rsidR="00A6210A" w:rsidRPr="000B709A">
        <w:rPr>
          <w:vertAlign w:val="subscript"/>
        </w:rPr>
        <w:t>3</w:t>
      </w:r>
      <w:r w:rsidR="00A6210A">
        <w:t xml:space="preserve"> and SrTiO</w:t>
      </w:r>
      <w:r w:rsidR="00A6210A" w:rsidRPr="000B709A">
        <w:rPr>
          <w:vertAlign w:val="subscript"/>
        </w:rPr>
        <w:t>3</w:t>
      </w:r>
      <w:r w:rsidR="00A6210A">
        <w:t xml:space="preserve"> (-1.7%)</w:t>
      </w:r>
      <w:r w:rsidR="00A6210A" w:rsidRPr="00A6210A">
        <w:t xml:space="preserve">, </w:t>
      </w:r>
      <w:r w:rsidR="00562A74">
        <w:t>the</w:t>
      </w:r>
      <w:r w:rsidR="00A6210A" w:rsidRPr="00A6210A">
        <w:t xml:space="preserve"> rocking curve </w:t>
      </w:r>
      <w:r w:rsidR="003018B4">
        <w:t xml:space="preserve">presents </w:t>
      </w:r>
      <w:r w:rsidR="00A6210A" w:rsidRPr="00A6210A">
        <w:t xml:space="preserve">a broad </w:t>
      </w:r>
      <w:r w:rsidR="00A6210A">
        <w:t xml:space="preserve">Gaussian </w:t>
      </w:r>
      <w:r w:rsidR="00A6210A" w:rsidRPr="00A6210A">
        <w:t xml:space="preserve">(FWHM 0.92°) and narrow </w:t>
      </w:r>
      <w:r w:rsidR="00A6210A">
        <w:t xml:space="preserve">Lorentzian </w:t>
      </w:r>
      <w:r w:rsidR="00A6210A" w:rsidRPr="00A6210A">
        <w:t xml:space="preserve">component (FWHM 0.065°) </w:t>
      </w:r>
      <w:r w:rsidR="00A6210A">
        <w:t>(inset of Figure 2 (a))</w:t>
      </w:r>
      <w:r w:rsidR="003018B4">
        <w:t>,</w:t>
      </w:r>
      <w:r w:rsidR="00C84D0E">
        <w:t xml:space="preserve"> which indicate the presence of dislocation</w:t>
      </w:r>
      <w:r w:rsidR="00562A74">
        <w:t>s</w:t>
      </w:r>
      <w:r w:rsidR="00C84D0E">
        <w:t xml:space="preserve"> in the films</w:t>
      </w:r>
      <w:r w:rsidR="00A6210A" w:rsidRPr="00A6210A">
        <w:t>.</w:t>
      </w:r>
      <w:r w:rsidR="00C84D0E">
        <w:t xml:space="preserve"> This is consistent with the higher room temperature resistivity of 18 </w:t>
      </w:r>
      <w:r w:rsidR="00C84D0E">
        <w:sym w:font="Symbol" w:char="F06D"/>
      </w:r>
      <w:r w:rsidR="00C84D0E">
        <w:sym w:font="Symbol" w:char="F057"/>
      </w:r>
      <w:r w:rsidR="00C84D0E">
        <w:t xml:space="preserve">.cm and lower Residual Resistivity Ratio (RRR) = </w:t>
      </w:r>
      <w:proofErr w:type="gramStart"/>
      <w:r w:rsidR="00C84D0E" w:rsidRPr="00C84D0E">
        <w:rPr>
          <w:i/>
        </w:rPr>
        <w:t>ρ</w:t>
      </w:r>
      <w:r w:rsidR="00C84D0E" w:rsidRPr="00C84D0E">
        <w:t>(</w:t>
      </w:r>
      <w:proofErr w:type="gramEnd"/>
      <w:r w:rsidR="00C84D0E" w:rsidRPr="00C84D0E">
        <w:t>300K)/</w:t>
      </w:r>
      <w:r w:rsidR="00C84D0E" w:rsidRPr="00C84D0E">
        <w:rPr>
          <w:i/>
        </w:rPr>
        <w:t>ρ</w:t>
      </w:r>
      <w:r w:rsidR="00C84D0E" w:rsidRPr="00C84D0E">
        <w:t>(4K)</w:t>
      </w:r>
      <w:r w:rsidR="00C84D0E">
        <w:t xml:space="preserve"> = 1.5 </w:t>
      </w:r>
      <w:r w:rsidR="00406D3F">
        <w:t xml:space="preserve">(Supplementary Information, Figure S3) </w:t>
      </w:r>
      <w:r w:rsidR="00C84D0E">
        <w:t>compared to the RRR = 14 reporte</w:t>
      </w:r>
      <w:r w:rsidR="001A342A">
        <w:t>d in single crystals</w:t>
      </w:r>
      <w:r w:rsidR="00C84D0E">
        <w:t>.</w:t>
      </w:r>
      <w:r w:rsidR="00212EFA" w:rsidRPr="00212EFA">
        <w:rPr>
          <w:noProof/>
          <w:vertAlign w:val="superscript"/>
        </w:rPr>
        <w:t>[10]</w:t>
      </w:r>
    </w:p>
    <w:p w14:paraId="58FA0792" w14:textId="725DBB88" w:rsidR="003018B4" w:rsidRDefault="00017821" w:rsidP="00FE0ED9">
      <w:pPr>
        <w:spacing w:line="480" w:lineRule="auto"/>
        <w:rPr>
          <w:rFonts w:eastAsiaTheme="minorEastAsia"/>
        </w:rPr>
      </w:pPr>
      <w:r>
        <w:t xml:space="preserve">The temperature dependence of the resistivity </w:t>
      </w:r>
      <w:r w:rsidR="004E5A4B">
        <w:t>of SrMoO</w:t>
      </w:r>
      <w:r w:rsidR="004E5A4B" w:rsidRPr="000B709A">
        <w:rPr>
          <w:vertAlign w:val="subscript"/>
        </w:rPr>
        <w:t>3</w:t>
      </w:r>
      <w:r w:rsidR="004E5A4B">
        <w:t xml:space="preserve"> </w:t>
      </w:r>
      <w:r>
        <w:t xml:space="preserve">is typical of a correlated metal where </w:t>
      </w:r>
      <w:r w:rsidRPr="00017821">
        <w:t xml:space="preserve">below a critical temperature </w:t>
      </w:r>
      <w:r w:rsidRPr="00017821">
        <w:rPr>
          <w:i/>
        </w:rPr>
        <w:t>T</w:t>
      </w:r>
      <w:r w:rsidRPr="00017821">
        <w:rPr>
          <w:vertAlign w:val="superscript"/>
        </w:rPr>
        <w:t>*</w:t>
      </w:r>
      <w:r>
        <w:t xml:space="preserve"> = 85 K (Figure 2 (b))</w:t>
      </w:r>
      <w:r w:rsidRPr="00017821">
        <w:t>, electron-electron scattering is</w:t>
      </w:r>
      <w:r>
        <w:t xml:space="preserve"> the dominant</w:t>
      </w:r>
      <w:r w:rsidRPr="00017821">
        <w:t xml:space="preserve"> mechanism </w:t>
      </w:r>
      <w:r>
        <w:t xml:space="preserve">presenting a </w:t>
      </w:r>
      <w:r w:rsidRPr="009F2FDC">
        <w:rPr>
          <w:i/>
        </w:rPr>
        <w:t>T</w:t>
      </w:r>
      <w:r w:rsidRPr="00017821">
        <w:rPr>
          <w:vertAlign w:val="superscript"/>
        </w:rPr>
        <w:t>2</w:t>
      </w:r>
      <w:r>
        <w:rPr>
          <w:rFonts w:eastAsiaTheme="minorEastAsia"/>
        </w:rPr>
        <w:t xml:space="preserve"> </w:t>
      </w:r>
      <w:r w:rsidR="009F2FDC">
        <w:rPr>
          <w:rFonts w:eastAsiaTheme="minorEastAsia"/>
        </w:rPr>
        <w:t>dependence</w:t>
      </w:r>
      <w:r w:rsidR="00562A74">
        <w:rPr>
          <w:rFonts w:eastAsiaTheme="minorEastAsia"/>
        </w:rPr>
        <w:t>.</w:t>
      </w:r>
      <w:r w:rsidR="009F2FDC">
        <w:rPr>
          <w:rFonts w:eastAsiaTheme="minorEastAsia"/>
        </w:rPr>
        <w:t xml:space="preserve"> </w:t>
      </w:r>
      <w:r w:rsidR="00562A74">
        <w:rPr>
          <w:rFonts w:eastAsiaTheme="minorEastAsia"/>
        </w:rPr>
        <w:t>A</w:t>
      </w:r>
      <w:r w:rsidR="009F2FDC" w:rsidRPr="009F2FDC">
        <w:rPr>
          <w:rFonts w:eastAsiaTheme="minorEastAsia"/>
        </w:rPr>
        <w:t xml:space="preserve">bove </w:t>
      </w:r>
      <w:r w:rsidR="009F2FDC" w:rsidRPr="009F2FDC">
        <w:rPr>
          <w:rFonts w:eastAsiaTheme="minorEastAsia"/>
          <w:i/>
        </w:rPr>
        <w:t>T</w:t>
      </w:r>
      <w:r w:rsidR="009F2FDC" w:rsidRPr="009F2FDC">
        <w:rPr>
          <w:rFonts w:eastAsiaTheme="minorEastAsia"/>
          <w:vertAlign w:val="superscript"/>
        </w:rPr>
        <w:t>*</w:t>
      </w:r>
      <w:r w:rsidR="009F2FDC" w:rsidRPr="009F2FDC">
        <w:rPr>
          <w:rFonts w:eastAsiaTheme="minorEastAsia"/>
        </w:rPr>
        <w:t xml:space="preserve">, </w:t>
      </w:r>
      <w:r w:rsidR="00562A74">
        <w:rPr>
          <w:rFonts w:eastAsiaTheme="minorEastAsia"/>
        </w:rPr>
        <w:t xml:space="preserve">the </w:t>
      </w:r>
      <w:r w:rsidR="009F2FDC" w:rsidRPr="009F2FDC">
        <w:rPr>
          <w:rFonts w:eastAsiaTheme="minorEastAsia"/>
        </w:rPr>
        <w:t>temperature</w:t>
      </w:r>
      <w:r w:rsidR="00562A74">
        <w:rPr>
          <w:rFonts w:eastAsiaTheme="minorEastAsia"/>
        </w:rPr>
        <w:t xml:space="preserve"> </w:t>
      </w:r>
      <w:r w:rsidR="009F2FDC" w:rsidRPr="009F2FDC">
        <w:rPr>
          <w:rFonts w:eastAsiaTheme="minorEastAsia"/>
        </w:rPr>
        <w:t>depend</w:t>
      </w:r>
      <w:r w:rsidR="00562A74">
        <w:rPr>
          <w:rFonts w:eastAsiaTheme="minorEastAsia"/>
        </w:rPr>
        <w:t>ence of the</w:t>
      </w:r>
      <w:r w:rsidR="009F2FDC" w:rsidRPr="009F2FDC">
        <w:rPr>
          <w:rFonts w:eastAsiaTheme="minorEastAsia"/>
        </w:rPr>
        <w:t xml:space="preserve"> resis</w:t>
      </w:r>
      <w:r w:rsidR="009F2FDC">
        <w:rPr>
          <w:rFonts w:eastAsiaTheme="minorEastAsia"/>
        </w:rPr>
        <w:t>tivity begins to deviate from t</w:t>
      </w:r>
      <w:r w:rsidR="009F2FDC" w:rsidRPr="009F2FDC">
        <w:rPr>
          <w:rFonts w:eastAsiaTheme="minorEastAsia"/>
        </w:rPr>
        <w:t xml:space="preserve">he </w:t>
      </w:r>
      <w:r w:rsidR="009F2FDC" w:rsidRPr="009F2FDC">
        <w:rPr>
          <w:rFonts w:eastAsiaTheme="minorEastAsia"/>
          <w:i/>
        </w:rPr>
        <w:t>T</w:t>
      </w:r>
      <w:r w:rsidR="009F2FDC" w:rsidRPr="009F2FDC">
        <w:rPr>
          <w:rFonts w:eastAsiaTheme="minorEastAsia"/>
          <w:vertAlign w:val="superscript"/>
        </w:rPr>
        <w:t>2</w:t>
      </w:r>
      <w:r w:rsidR="009F2FDC" w:rsidRPr="009F2FDC">
        <w:rPr>
          <w:rFonts w:eastAsiaTheme="minorEastAsia"/>
        </w:rPr>
        <w:t xml:space="preserve"> relationship and phonon scattering becomes important</w:t>
      </w:r>
      <w:r w:rsidRPr="00017821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7A48B9" w:rsidRPr="007A48B9">
        <w:rPr>
          <w:rFonts w:eastAsiaTheme="minorEastAsia"/>
        </w:rPr>
        <w:t xml:space="preserve">The carrier concentration, </w:t>
      </w:r>
      <w:proofErr w:type="spellStart"/>
      <w:r w:rsidR="007A48B9" w:rsidRPr="007A48B9">
        <w:rPr>
          <w:rFonts w:eastAsiaTheme="minorEastAsia"/>
          <w:i/>
        </w:rPr>
        <w:t>n</w:t>
      </w:r>
      <w:r w:rsidR="007A48B9" w:rsidRPr="007A48B9">
        <w:rPr>
          <w:rFonts w:eastAsiaTheme="minorEastAsia"/>
          <w:i/>
          <w:vertAlign w:val="subscript"/>
        </w:rPr>
        <w:t>eff</w:t>
      </w:r>
      <w:proofErr w:type="spellEnd"/>
      <w:r w:rsidR="007A48B9">
        <w:rPr>
          <w:rFonts w:eastAsiaTheme="minorEastAsia"/>
        </w:rPr>
        <w:t>, and mobility</w:t>
      </w:r>
      <w:r w:rsidR="007A48B9" w:rsidRPr="007A48B9">
        <w:rPr>
          <w:rFonts w:eastAsiaTheme="minorEastAsia"/>
        </w:rPr>
        <w:t xml:space="preserve"> </w:t>
      </w:r>
      <w:r w:rsidR="007A48B9" w:rsidRPr="007A48B9">
        <w:rPr>
          <w:rFonts w:eastAsiaTheme="minorEastAsia"/>
          <w:i/>
        </w:rPr>
        <w:t>µ</w:t>
      </w:r>
      <w:r w:rsidR="007A48B9" w:rsidRPr="007A48B9">
        <w:rPr>
          <w:rFonts w:eastAsiaTheme="minorEastAsia"/>
        </w:rPr>
        <w:t xml:space="preserve">, </w:t>
      </w:r>
      <w:r w:rsidR="007A48B9">
        <w:rPr>
          <w:rFonts w:eastAsiaTheme="minorEastAsia"/>
        </w:rPr>
        <w:t xml:space="preserve">as function of temperature are shown on Figure 2 (c). </w:t>
      </w:r>
      <w:r w:rsidR="007A48B9" w:rsidRPr="007A48B9">
        <w:rPr>
          <w:rFonts w:eastAsiaTheme="minorEastAsia"/>
        </w:rPr>
        <w:t>A carrie</w:t>
      </w:r>
      <w:r w:rsidR="007A48B9">
        <w:rPr>
          <w:rFonts w:eastAsiaTheme="minorEastAsia"/>
        </w:rPr>
        <w:t>r concentration of 3.15(7)</w:t>
      </w:r>
      <w:r w:rsidR="00AB29D0">
        <w:rPr>
          <w:rFonts w:eastAsiaTheme="minorEastAsia"/>
        </w:rPr>
        <w:t>·</w:t>
      </w:r>
      <w:r w:rsidR="007A48B9" w:rsidRPr="007A48B9">
        <w:rPr>
          <w:rFonts w:eastAsiaTheme="minorEastAsia"/>
        </w:rPr>
        <w:t>10</w:t>
      </w:r>
      <w:r w:rsidR="007A48B9" w:rsidRPr="007A48B9">
        <w:rPr>
          <w:rFonts w:eastAsiaTheme="minorEastAsia"/>
          <w:vertAlign w:val="superscript"/>
        </w:rPr>
        <w:t>22</w:t>
      </w:r>
      <w:r w:rsidR="007A48B9">
        <w:rPr>
          <w:rFonts w:eastAsiaTheme="minorEastAsia"/>
        </w:rPr>
        <w:t xml:space="preserve"> </w:t>
      </w:r>
      <w:r w:rsidR="007A48B9" w:rsidRPr="007A48B9">
        <w:rPr>
          <w:rFonts w:eastAsiaTheme="minorEastAsia"/>
        </w:rPr>
        <w:t>cm</w:t>
      </w:r>
      <w:r w:rsidR="007A48B9" w:rsidRPr="007A48B9">
        <w:rPr>
          <w:rFonts w:eastAsiaTheme="minorEastAsia"/>
          <w:vertAlign w:val="superscript"/>
        </w:rPr>
        <w:t>-3</w:t>
      </w:r>
      <w:r w:rsidR="007A48B9" w:rsidRPr="007A48B9">
        <w:rPr>
          <w:rFonts w:eastAsiaTheme="minorEastAsia"/>
        </w:rPr>
        <w:t xml:space="preserve"> is found at 300K for S</w:t>
      </w:r>
      <w:r w:rsidR="007A48B9">
        <w:rPr>
          <w:rFonts w:eastAsiaTheme="minorEastAsia"/>
        </w:rPr>
        <w:t>r</w:t>
      </w:r>
      <w:r w:rsidR="007A48B9" w:rsidRPr="007A48B9">
        <w:rPr>
          <w:rFonts w:eastAsiaTheme="minorEastAsia"/>
        </w:rPr>
        <w:t>M</w:t>
      </w:r>
      <w:r w:rsidR="007A48B9">
        <w:rPr>
          <w:rFonts w:eastAsiaTheme="minorEastAsia"/>
        </w:rPr>
        <w:t>o</w:t>
      </w:r>
      <w:r w:rsidR="007A48B9" w:rsidRPr="007A48B9">
        <w:rPr>
          <w:rFonts w:eastAsiaTheme="minorEastAsia"/>
        </w:rPr>
        <w:t>O</w:t>
      </w:r>
      <w:r w:rsidR="007A48B9" w:rsidRPr="007A48B9">
        <w:rPr>
          <w:rFonts w:eastAsiaTheme="minorEastAsia"/>
          <w:vertAlign w:val="subscript"/>
        </w:rPr>
        <w:t>3</w:t>
      </w:r>
      <w:r w:rsidR="007A48B9" w:rsidRPr="007A48B9">
        <w:rPr>
          <w:rFonts w:eastAsiaTheme="minorEastAsia"/>
        </w:rPr>
        <w:t xml:space="preserve"> and remains co</w:t>
      </w:r>
      <w:r w:rsidR="00B85186">
        <w:rPr>
          <w:rFonts w:eastAsiaTheme="minorEastAsia"/>
        </w:rPr>
        <w:t>nstant within error down to 5</w:t>
      </w:r>
      <w:r w:rsidR="00D7172A">
        <w:rPr>
          <w:rFonts w:eastAsiaTheme="minorEastAsia"/>
        </w:rPr>
        <w:t xml:space="preserve"> </w:t>
      </w:r>
      <w:r w:rsidR="00B85186">
        <w:rPr>
          <w:rFonts w:eastAsiaTheme="minorEastAsia"/>
        </w:rPr>
        <w:t>K</w:t>
      </w:r>
      <w:r w:rsidR="00562A74">
        <w:rPr>
          <w:rFonts w:eastAsiaTheme="minorEastAsia"/>
        </w:rPr>
        <w:t>,</w:t>
      </w:r>
      <w:r w:rsidR="00B85186">
        <w:rPr>
          <w:rFonts w:eastAsiaTheme="minorEastAsia"/>
        </w:rPr>
        <w:t xml:space="preserve"> </w:t>
      </w:r>
      <w:r w:rsidR="00EB6111">
        <w:rPr>
          <w:rFonts w:eastAsiaTheme="minorEastAsia"/>
        </w:rPr>
        <w:t>in good agreement with</w:t>
      </w:r>
      <w:r w:rsidR="007A48B9" w:rsidRPr="007A48B9">
        <w:rPr>
          <w:rFonts w:eastAsiaTheme="minorEastAsia"/>
        </w:rPr>
        <w:t xml:space="preserve"> the theoretica</w:t>
      </w:r>
      <w:r w:rsidR="007A48B9">
        <w:rPr>
          <w:rFonts w:eastAsiaTheme="minorEastAsia"/>
        </w:rPr>
        <w:t>l carrier concentration of 3.18</w:t>
      </w:r>
      <w:r w:rsidR="00AB29D0">
        <w:rPr>
          <w:rFonts w:eastAsiaTheme="minorEastAsia"/>
        </w:rPr>
        <w:t>·</w:t>
      </w:r>
      <w:r w:rsidR="007A48B9" w:rsidRPr="007A48B9">
        <w:rPr>
          <w:rFonts w:eastAsiaTheme="minorEastAsia"/>
        </w:rPr>
        <w:t>10</w:t>
      </w:r>
      <w:r w:rsidR="007A48B9" w:rsidRPr="007A48B9">
        <w:rPr>
          <w:rFonts w:eastAsiaTheme="minorEastAsia"/>
          <w:vertAlign w:val="superscript"/>
        </w:rPr>
        <w:t>22</w:t>
      </w:r>
      <w:r w:rsidR="007A48B9">
        <w:rPr>
          <w:rFonts w:eastAsiaTheme="minorEastAsia"/>
        </w:rPr>
        <w:t xml:space="preserve"> </w:t>
      </w:r>
      <w:r w:rsidR="007A48B9" w:rsidRPr="007A48B9">
        <w:rPr>
          <w:rFonts w:eastAsiaTheme="minorEastAsia"/>
        </w:rPr>
        <w:t>cm</w:t>
      </w:r>
      <w:r w:rsidR="007A48B9" w:rsidRPr="007A48B9">
        <w:rPr>
          <w:rFonts w:eastAsiaTheme="minorEastAsia"/>
          <w:vertAlign w:val="superscript"/>
        </w:rPr>
        <w:t>-3</w:t>
      </w:r>
      <w:r w:rsidR="007A48B9">
        <w:rPr>
          <w:rFonts w:eastAsiaTheme="minorEastAsia"/>
        </w:rPr>
        <w:t xml:space="preserve"> calculated for </w:t>
      </w:r>
      <w:r w:rsidR="00AB29D0" w:rsidRPr="00B6223D">
        <w:rPr>
          <w:rFonts w:eastAsiaTheme="minorEastAsia"/>
          <w:i/>
        </w:rPr>
        <w:t>d</w:t>
      </w:r>
      <w:r w:rsidR="00AB29D0" w:rsidRPr="00B6223D">
        <w:rPr>
          <w:rFonts w:eastAsiaTheme="minorEastAsia"/>
          <w:i/>
          <w:vertAlign w:val="superscript"/>
        </w:rPr>
        <w:t>2</w:t>
      </w:r>
      <w:r w:rsidR="00AB29D0">
        <w:rPr>
          <w:rFonts w:eastAsiaTheme="minorEastAsia"/>
        </w:rPr>
        <w:t xml:space="preserve"> </w:t>
      </w:r>
      <w:r w:rsidR="00AB29D0" w:rsidRPr="00AB29D0">
        <w:rPr>
          <w:rFonts w:eastAsiaTheme="minorEastAsia"/>
        </w:rPr>
        <w:t>SrMoO</w:t>
      </w:r>
      <w:r w:rsidR="00AB29D0" w:rsidRPr="00AB29D0">
        <w:rPr>
          <w:rFonts w:eastAsiaTheme="minorEastAsia"/>
          <w:vertAlign w:val="subscript"/>
        </w:rPr>
        <w:t>3</w:t>
      </w:r>
      <w:r w:rsidR="00562A74">
        <w:rPr>
          <w:rFonts w:eastAsiaTheme="minorEastAsia"/>
        </w:rPr>
        <w:t>. A</w:t>
      </w:r>
      <w:r w:rsidR="007A48B9">
        <w:rPr>
          <w:rFonts w:eastAsiaTheme="minorEastAsia"/>
        </w:rPr>
        <w:t>s expected from the band filling argument</w:t>
      </w:r>
      <w:r w:rsidR="00562A74">
        <w:rPr>
          <w:rFonts w:eastAsiaTheme="minorEastAsia"/>
        </w:rPr>
        <w:t>, this</w:t>
      </w:r>
      <w:r w:rsidR="007A48B9">
        <w:rPr>
          <w:rFonts w:eastAsiaTheme="minorEastAsia"/>
        </w:rPr>
        <w:t xml:space="preserve"> is higher than the theoretical value of </w:t>
      </w:r>
      <w:r w:rsidR="00B85186">
        <w:rPr>
          <w:rFonts w:eastAsiaTheme="minorEastAsia"/>
        </w:rPr>
        <w:t>1.67</w:t>
      </w:r>
      <w:r w:rsidR="00AB29D0">
        <w:rPr>
          <w:rFonts w:eastAsiaTheme="minorEastAsia"/>
        </w:rPr>
        <w:t>·</w:t>
      </w:r>
      <w:r w:rsidR="00AB29D0" w:rsidRPr="007A48B9">
        <w:rPr>
          <w:rFonts w:eastAsiaTheme="minorEastAsia"/>
        </w:rPr>
        <w:t>10</w:t>
      </w:r>
      <w:r w:rsidR="00AB29D0" w:rsidRPr="007A48B9">
        <w:rPr>
          <w:rFonts w:eastAsiaTheme="minorEastAsia"/>
          <w:vertAlign w:val="superscript"/>
        </w:rPr>
        <w:t>22</w:t>
      </w:r>
      <w:r w:rsidR="00AB29D0">
        <w:rPr>
          <w:rFonts w:eastAsiaTheme="minorEastAsia"/>
        </w:rPr>
        <w:t xml:space="preserve"> </w:t>
      </w:r>
      <w:r w:rsidR="00AB29D0" w:rsidRPr="007A48B9">
        <w:rPr>
          <w:rFonts w:eastAsiaTheme="minorEastAsia"/>
        </w:rPr>
        <w:t>cm</w:t>
      </w:r>
      <w:r w:rsidR="00AB29D0" w:rsidRPr="007A48B9">
        <w:rPr>
          <w:rFonts w:eastAsiaTheme="minorEastAsia"/>
          <w:vertAlign w:val="superscript"/>
        </w:rPr>
        <w:t>-3</w:t>
      </w:r>
      <w:r w:rsidR="00AB29D0" w:rsidRPr="00AB29D0">
        <w:rPr>
          <w:rFonts w:eastAsiaTheme="minorEastAsia"/>
        </w:rPr>
        <w:t xml:space="preserve"> for </w:t>
      </w:r>
      <w:r w:rsidR="00AB29D0" w:rsidRPr="00B6223D">
        <w:rPr>
          <w:rFonts w:eastAsiaTheme="minorEastAsia"/>
          <w:i/>
        </w:rPr>
        <w:t>d</w:t>
      </w:r>
      <w:r w:rsidR="00AB29D0" w:rsidRPr="00B6223D">
        <w:rPr>
          <w:rFonts w:eastAsiaTheme="minorEastAsia"/>
          <w:i/>
          <w:vertAlign w:val="superscript"/>
        </w:rPr>
        <w:t>1</w:t>
      </w:r>
      <w:r w:rsidR="00AB29D0">
        <w:rPr>
          <w:rFonts w:eastAsiaTheme="minorEastAsia"/>
        </w:rPr>
        <w:t xml:space="preserve"> </w:t>
      </w:r>
      <w:r w:rsidR="00AB29D0" w:rsidRPr="00AB29D0">
        <w:rPr>
          <w:rFonts w:eastAsiaTheme="minorEastAsia"/>
        </w:rPr>
        <w:t>SrVO</w:t>
      </w:r>
      <w:r w:rsidR="00AB29D0" w:rsidRPr="00AB29D0">
        <w:rPr>
          <w:rFonts w:eastAsiaTheme="minorEastAsia"/>
          <w:vertAlign w:val="subscript"/>
        </w:rPr>
        <w:t>3</w:t>
      </w:r>
      <w:r w:rsidR="00AB29D0" w:rsidRPr="00AB29D0">
        <w:rPr>
          <w:rFonts w:eastAsiaTheme="minorEastAsia"/>
        </w:rPr>
        <w:t xml:space="preserve"> and t</w:t>
      </w:r>
      <w:r w:rsidR="00AB29D0">
        <w:rPr>
          <w:rFonts w:eastAsiaTheme="minorEastAsia"/>
        </w:rPr>
        <w:t>he reported value of 2.2·</w:t>
      </w:r>
      <w:r w:rsidR="00AB29D0" w:rsidRPr="007A48B9">
        <w:rPr>
          <w:rFonts w:eastAsiaTheme="minorEastAsia"/>
        </w:rPr>
        <w:t>10</w:t>
      </w:r>
      <w:r w:rsidR="00AB29D0" w:rsidRPr="007A48B9">
        <w:rPr>
          <w:rFonts w:eastAsiaTheme="minorEastAsia"/>
          <w:vertAlign w:val="superscript"/>
        </w:rPr>
        <w:t>22</w:t>
      </w:r>
      <w:r w:rsidR="00AB29D0">
        <w:rPr>
          <w:rFonts w:eastAsiaTheme="minorEastAsia"/>
        </w:rPr>
        <w:t xml:space="preserve"> </w:t>
      </w:r>
      <w:r w:rsidR="00AB29D0" w:rsidRPr="007A48B9">
        <w:rPr>
          <w:rFonts w:eastAsiaTheme="minorEastAsia"/>
        </w:rPr>
        <w:t>cm</w:t>
      </w:r>
      <w:r w:rsidR="00AB29D0" w:rsidRPr="007A48B9">
        <w:rPr>
          <w:rFonts w:eastAsiaTheme="minorEastAsia"/>
          <w:vertAlign w:val="superscript"/>
        </w:rPr>
        <w:t>-3</w:t>
      </w:r>
      <w:r w:rsidR="00AB29D0">
        <w:rPr>
          <w:rFonts w:eastAsiaTheme="minorEastAsia"/>
        </w:rPr>
        <w:t xml:space="preserve"> for </w:t>
      </w:r>
      <w:r w:rsidR="00AB29D0" w:rsidRPr="00B6223D">
        <w:rPr>
          <w:rFonts w:eastAsiaTheme="minorEastAsia"/>
          <w:i/>
        </w:rPr>
        <w:t>d</w:t>
      </w:r>
      <w:r w:rsidR="00AB29D0" w:rsidRPr="00B6223D">
        <w:rPr>
          <w:rFonts w:eastAsiaTheme="minorEastAsia"/>
          <w:i/>
          <w:vertAlign w:val="superscript"/>
        </w:rPr>
        <w:t>1.2</w:t>
      </w:r>
      <w:r w:rsidR="00AB29D0">
        <w:rPr>
          <w:rFonts w:eastAsiaTheme="minorEastAsia"/>
        </w:rPr>
        <w:t xml:space="preserve"> SrVO</w:t>
      </w:r>
      <w:r w:rsidR="00AB29D0" w:rsidRPr="00AB29D0">
        <w:rPr>
          <w:rFonts w:eastAsiaTheme="minorEastAsia"/>
          <w:vertAlign w:val="subscript"/>
        </w:rPr>
        <w:t>2.90</w:t>
      </w:r>
      <w:r w:rsidR="001A0ABB">
        <w:rPr>
          <w:rFonts w:eastAsiaTheme="minorEastAsia"/>
        </w:rPr>
        <w:t>.</w:t>
      </w:r>
      <w:r w:rsidR="00726349">
        <w:rPr>
          <w:rFonts w:eastAsiaTheme="minorEastAsia"/>
        </w:rPr>
        <w:t xml:space="preserve"> </w:t>
      </w:r>
      <w:r w:rsidR="00212EFA" w:rsidRPr="00212EFA">
        <w:rPr>
          <w:rFonts w:eastAsiaTheme="minorEastAsia"/>
          <w:noProof/>
          <w:vertAlign w:val="superscript"/>
        </w:rPr>
        <w:t>[14]</w:t>
      </w:r>
      <w:r w:rsidR="00D0020D">
        <w:rPr>
          <w:rFonts w:eastAsiaTheme="minorEastAsia"/>
        </w:rPr>
        <w:t xml:space="preserve"> </w:t>
      </w:r>
      <w:r w:rsidR="00562A74">
        <w:rPr>
          <w:rFonts w:eastAsiaTheme="minorEastAsia"/>
        </w:rPr>
        <w:t>The c</w:t>
      </w:r>
      <w:r w:rsidR="00D0020D" w:rsidRPr="00D0020D">
        <w:rPr>
          <w:rFonts w:eastAsiaTheme="minorEastAsia"/>
        </w:rPr>
        <w:t>arrier mobility for S</w:t>
      </w:r>
      <w:r w:rsidR="00D0020D">
        <w:rPr>
          <w:rFonts w:eastAsiaTheme="minorEastAsia"/>
        </w:rPr>
        <w:t>r</w:t>
      </w:r>
      <w:r w:rsidR="00D0020D" w:rsidRPr="00D0020D">
        <w:rPr>
          <w:rFonts w:eastAsiaTheme="minorEastAsia"/>
        </w:rPr>
        <w:t>M</w:t>
      </w:r>
      <w:r w:rsidR="00D0020D">
        <w:rPr>
          <w:rFonts w:eastAsiaTheme="minorEastAsia"/>
        </w:rPr>
        <w:t>o</w:t>
      </w:r>
      <w:r w:rsidR="00D0020D" w:rsidRPr="00D0020D">
        <w:rPr>
          <w:rFonts w:eastAsiaTheme="minorEastAsia"/>
        </w:rPr>
        <w:t>O</w:t>
      </w:r>
      <w:r w:rsidR="00D0020D" w:rsidRPr="00D0020D">
        <w:rPr>
          <w:rFonts w:eastAsiaTheme="minorEastAsia"/>
          <w:vertAlign w:val="subscript"/>
        </w:rPr>
        <w:t>3</w:t>
      </w:r>
      <w:r w:rsidR="00D0020D" w:rsidRPr="00D0020D">
        <w:rPr>
          <w:rFonts w:eastAsiaTheme="minorEastAsia"/>
        </w:rPr>
        <w:t xml:space="preserve"> is 11</w:t>
      </w:r>
      <w:r w:rsidR="00D0020D">
        <w:rPr>
          <w:rFonts w:eastAsiaTheme="minorEastAsia"/>
        </w:rPr>
        <w:t xml:space="preserve"> </w:t>
      </w:r>
      <w:r w:rsidR="00D0020D" w:rsidRPr="00D0020D">
        <w:rPr>
          <w:rFonts w:eastAsiaTheme="minorEastAsia"/>
        </w:rPr>
        <w:t>cm</w:t>
      </w:r>
      <w:r w:rsidR="00D0020D" w:rsidRPr="00D0020D">
        <w:rPr>
          <w:rFonts w:eastAsiaTheme="minorEastAsia"/>
          <w:vertAlign w:val="superscript"/>
        </w:rPr>
        <w:t>2</w:t>
      </w:r>
      <w:r w:rsidR="00D0020D">
        <w:rPr>
          <w:rFonts w:eastAsiaTheme="minorEastAsia"/>
        </w:rPr>
        <w:t>·</w:t>
      </w:r>
      <w:r w:rsidR="00D0020D" w:rsidRPr="00D0020D">
        <w:rPr>
          <w:rFonts w:eastAsiaTheme="minorEastAsia"/>
        </w:rPr>
        <w:t>V</w:t>
      </w:r>
      <w:r w:rsidR="00D0020D" w:rsidRPr="00D0020D">
        <w:rPr>
          <w:rFonts w:eastAsiaTheme="minorEastAsia"/>
          <w:vertAlign w:val="superscript"/>
        </w:rPr>
        <w:t>-1</w:t>
      </w:r>
      <w:r w:rsidR="00D0020D">
        <w:rPr>
          <w:rFonts w:eastAsiaTheme="minorEastAsia"/>
        </w:rPr>
        <w:t>·</w:t>
      </w:r>
      <w:r w:rsidR="00D0020D" w:rsidRPr="00D0020D">
        <w:rPr>
          <w:rFonts w:eastAsiaTheme="minorEastAsia"/>
        </w:rPr>
        <w:t>s</w:t>
      </w:r>
      <w:r w:rsidR="00D0020D" w:rsidRPr="00D0020D">
        <w:rPr>
          <w:rFonts w:eastAsiaTheme="minorEastAsia"/>
          <w:vertAlign w:val="superscript"/>
        </w:rPr>
        <w:t>-1</w:t>
      </w:r>
      <w:r w:rsidR="00D0020D" w:rsidRPr="00D0020D">
        <w:rPr>
          <w:rFonts w:eastAsiaTheme="minorEastAsia"/>
        </w:rPr>
        <w:t xml:space="preserve"> at room temperature</w:t>
      </w:r>
      <w:r w:rsidR="006628B7">
        <w:rPr>
          <w:rFonts w:eastAsiaTheme="minorEastAsia"/>
        </w:rPr>
        <w:t>,</w:t>
      </w:r>
      <w:r w:rsidR="00FB53D0">
        <w:rPr>
          <w:rFonts w:eastAsiaTheme="minorEastAsia"/>
        </w:rPr>
        <w:t xml:space="preserve"> corresponding to an average scattering time of 19 </w:t>
      </w:r>
      <w:proofErr w:type="spellStart"/>
      <w:r w:rsidR="00FB53D0">
        <w:rPr>
          <w:rFonts w:eastAsiaTheme="minorEastAsia"/>
        </w:rPr>
        <w:t>ps</w:t>
      </w:r>
      <w:proofErr w:type="spellEnd"/>
      <w:r w:rsidR="00FB53D0">
        <w:rPr>
          <w:rFonts w:eastAsiaTheme="minorEastAsia"/>
        </w:rPr>
        <w:t xml:space="preserve"> assuming an effective mass of 3 m</w:t>
      </w:r>
      <w:r w:rsidR="00FB53D0" w:rsidRPr="00FB53D0">
        <w:rPr>
          <w:rFonts w:eastAsiaTheme="minorEastAsia"/>
          <w:vertAlign w:val="subscript"/>
        </w:rPr>
        <w:t>0</w:t>
      </w:r>
      <w:r w:rsidR="00FB53D0">
        <w:rPr>
          <w:rFonts w:eastAsiaTheme="minorEastAsia"/>
          <w:vertAlign w:val="subscript"/>
        </w:rPr>
        <w:t>.</w:t>
      </w:r>
      <w:r w:rsidR="00D0020D">
        <w:rPr>
          <w:rFonts w:eastAsiaTheme="minorEastAsia"/>
        </w:rPr>
        <w:t xml:space="preserve"> </w:t>
      </w:r>
      <w:r w:rsidR="00FB53D0">
        <w:rPr>
          <w:rFonts w:eastAsiaTheme="minorEastAsia"/>
        </w:rPr>
        <w:t>These values are</w:t>
      </w:r>
      <w:r w:rsidR="00D0020D">
        <w:rPr>
          <w:rFonts w:eastAsiaTheme="minorEastAsia"/>
        </w:rPr>
        <w:t xml:space="preserve"> similar to the value reported </w:t>
      </w:r>
      <w:r w:rsidR="00562A74">
        <w:rPr>
          <w:rFonts w:eastAsiaTheme="minorEastAsia"/>
        </w:rPr>
        <w:t>for</w:t>
      </w:r>
      <w:r w:rsidR="00D0020D">
        <w:rPr>
          <w:rFonts w:eastAsiaTheme="minorEastAsia"/>
        </w:rPr>
        <w:t xml:space="preserve"> SrVO</w:t>
      </w:r>
      <w:r w:rsidR="00D0020D" w:rsidRPr="00D0020D">
        <w:rPr>
          <w:rFonts w:eastAsiaTheme="minorEastAsia"/>
          <w:vertAlign w:val="subscript"/>
        </w:rPr>
        <w:t>3</w:t>
      </w:r>
      <w:r w:rsidR="006628B7">
        <w:rPr>
          <w:rFonts w:eastAsiaTheme="minorEastAsia"/>
        </w:rPr>
        <w:t xml:space="preserve">, </w:t>
      </w:r>
      <w:r w:rsidR="00D0020D" w:rsidRPr="00D0020D">
        <w:rPr>
          <w:rFonts w:eastAsiaTheme="minorEastAsia"/>
        </w:rPr>
        <w:t xml:space="preserve">and </w:t>
      </w:r>
      <w:r w:rsidR="00D0020D">
        <w:rPr>
          <w:rFonts w:eastAsiaTheme="minorEastAsia"/>
        </w:rPr>
        <w:t>confirm</w:t>
      </w:r>
      <w:r w:rsidR="00562A74">
        <w:rPr>
          <w:rFonts w:eastAsiaTheme="minorEastAsia"/>
        </w:rPr>
        <w:t>s</w:t>
      </w:r>
      <w:r w:rsidR="00D0020D">
        <w:rPr>
          <w:rFonts w:eastAsiaTheme="minorEastAsia"/>
        </w:rPr>
        <w:t xml:space="preserve"> that the increased conductivity</w:t>
      </w:r>
      <w:r w:rsidR="00C22BF9">
        <w:rPr>
          <w:rFonts w:eastAsiaTheme="minorEastAsia"/>
        </w:rPr>
        <w:t xml:space="preserve"> from 3.5·10</w:t>
      </w:r>
      <w:r w:rsidR="00C22BF9" w:rsidRPr="00B6223D">
        <w:rPr>
          <w:rFonts w:eastAsiaTheme="minorEastAsia"/>
          <w:vertAlign w:val="superscript"/>
        </w:rPr>
        <w:t>4</w:t>
      </w:r>
      <w:r w:rsidR="00C22BF9">
        <w:rPr>
          <w:rFonts w:eastAsiaTheme="minorEastAsia"/>
        </w:rPr>
        <w:t xml:space="preserve"> S/cm for SrVO</w:t>
      </w:r>
      <w:r w:rsidR="00C22BF9" w:rsidRPr="00B6223D">
        <w:rPr>
          <w:rFonts w:eastAsiaTheme="minorEastAsia"/>
          <w:vertAlign w:val="subscript"/>
        </w:rPr>
        <w:t>3</w:t>
      </w:r>
      <w:r w:rsidR="00C22BF9">
        <w:rPr>
          <w:rFonts w:eastAsiaTheme="minorEastAsia"/>
        </w:rPr>
        <w:t xml:space="preserve"> to 5.6·10</w:t>
      </w:r>
      <w:r w:rsidR="00C22BF9" w:rsidRPr="00B6223D">
        <w:rPr>
          <w:rFonts w:eastAsiaTheme="minorEastAsia"/>
          <w:vertAlign w:val="superscript"/>
        </w:rPr>
        <w:t>4</w:t>
      </w:r>
      <w:r w:rsidR="00C22BF9">
        <w:rPr>
          <w:rFonts w:eastAsiaTheme="minorEastAsia"/>
        </w:rPr>
        <w:t xml:space="preserve"> S/cm in SrMoO</w:t>
      </w:r>
      <w:r w:rsidR="00C22BF9" w:rsidRPr="00B6223D">
        <w:rPr>
          <w:rFonts w:eastAsiaTheme="minorEastAsia"/>
          <w:vertAlign w:val="subscript"/>
        </w:rPr>
        <w:t>3</w:t>
      </w:r>
      <w:r w:rsidR="00D0020D">
        <w:rPr>
          <w:rFonts w:eastAsiaTheme="minorEastAsia"/>
        </w:rPr>
        <w:t xml:space="preserve"> is controlled by band filling. The mobility starts to </w:t>
      </w:r>
      <w:r w:rsidR="00D0020D" w:rsidRPr="00D0020D">
        <w:rPr>
          <w:rFonts w:eastAsiaTheme="minorEastAsia"/>
        </w:rPr>
        <w:t xml:space="preserve">increase </w:t>
      </w:r>
      <w:r w:rsidR="00D0020D">
        <w:rPr>
          <w:rFonts w:eastAsiaTheme="minorEastAsia"/>
        </w:rPr>
        <w:t>at</w:t>
      </w:r>
      <w:r w:rsidR="00D0020D" w:rsidRPr="00D0020D">
        <w:rPr>
          <w:rFonts w:eastAsiaTheme="minorEastAsia"/>
        </w:rPr>
        <w:t xml:space="preserve"> low</w:t>
      </w:r>
      <w:r w:rsidR="00D0020D">
        <w:rPr>
          <w:rFonts w:eastAsiaTheme="minorEastAsia"/>
        </w:rPr>
        <w:t xml:space="preserve">er temperature to a maximum of 15 </w:t>
      </w:r>
      <w:r w:rsidR="00D0020D" w:rsidRPr="00D0020D">
        <w:rPr>
          <w:rFonts w:eastAsiaTheme="minorEastAsia"/>
        </w:rPr>
        <w:t>cm</w:t>
      </w:r>
      <w:r w:rsidR="00D0020D" w:rsidRPr="00D0020D">
        <w:rPr>
          <w:rFonts w:eastAsiaTheme="minorEastAsia"/>
          <w:vertAlign w:val="superscript"/>
        </w:rPr>
        <w:t>2</w:t>
      </w:r>
      <w:r w:rsidR="00D0020D">
        <w:rPr>
          <w:rFonts w:eastAsiaTheme="minorEastAsia"/>
        </w:rPr>
        <w:t>·</w:t>
      </w:r>
      <w:r w:rsidR="00D0020D" w:rsidRPr="00D0020D">
        <w:rPr>
          <w:rFonts w:eastAsiaTheme="minorEastAsia"/>
        </w:rPr>
        <w:t>V</w:t>
      </w:r>
      <w:r w:rsidR="00D0020D" w:rsidRPr="00D0020D">
        <w:rPr>
          <w:rFonts w:eastAsiaTheme="minorEastAsia"/>
          <w:vertAlign w:val="superscript"/>
        </w:rPr>
        <w:t>-1</w:t>
      </w:r>
      <w:r w:rsidR="00D0020D">
        <w:rPr>
          <w:rFonts w:eastAsiaTheme="minorEastAsia"/>
        </w:rPr>
        <w:t>·</w:t>
      </w:r>
      <w:r w:rsidR="00D0020D" w:rsidRPr="00D0020D">
        <w:rPr>
          <w:rFonts w:eastAsiaTheme="minorEastAsia"/>
        </w:rPr>
        <w:t>s</w:t>
      </w:r>
      <w:r w:rsidR="00D0020D" w:rsidRPr="00D0020D">
        <w:rPr>
          <w:rFonts w:eastAsiaTheme="minorEastAsia"/>
          <w:vertAlign w:val="superscript"/>
        </w:rPr>
        <w:t>-1</w:t>
      </w:r>
      <w:r w:rsidR="00D0020D" w:rsidRPr="00D0020D">
        <w:rPr>
          <w:rFonts w:eastAsiaTheme="minorEastAsia"/>
        </w:rPr>
        <w:t xml:space="preserve"> at 5K</w:t>
      </w:r>
      <w:r w:rsidR="00D0020D">
        <w:rPr>
          <w:rFonts w:eastAsiaTheme="minorEastAsia"/>
        </w:rPr>
        <w:t xml:space="preserve"> and </w:t>
      </w:r>
      <w:r w:rsidR="00C22BF9">
        <w:rPr>
          <w:rFonts w:eastAsiaTheme="minorEastAsia"/>
        </w:rPr>
        <w:t>a change of slope is observed</w:t>
      </w:r>
      <w:r w:rsidR="00D0020D">
        <w:rPr>
          <w:rFonts w:eastAsiaTheme="minorEastAsia"/>
        </w:rPr>
        <w:t xml:space="preserve"> at the same value as </w:t>
      </w:r>
      <w:r w:rsidR="00D0020D" w:rsidRPr="00D0020D">
        <w:rPr>
          <w:rFonts w:eastAsiaTheme="minorEastAsia"/>
          <w:i/>
        </w:rPr>
        <w:t>T</w:t>
      </w:r>
      <w:r w:rsidR="00D0020D" w:rsidRPr="00D0020D">
        <w:rPr>
          <w:rFonts w:eastAsiaTheme="minorEastAsia"/>
          <w:vertAlign w:val="superscript"/>
        </w:rPr>
        <w:t>*</w:t>
      </w:r>
      <w:r w:rsidR="000631EE">
        <w:rPr>
          <w:rFonts w:eastAsiaTheme="minorEastAsia"/>
          <w:vertAlign w:val="subscript"/>
        </w:rPr>
        <w:t>,</w:t>
      </w:r>
      <w:r w:rsidR="00D0020D">
        <w:rPr>
          <w:rFonts w:eastAsiaTheme="minorEastAsia"/>
        </w:rPr>
        <w:t xml:space="preserve"> </w:t>
      </w:r>
      <w:r w:rsidR="00C22BF9">
        <w:rPr>
          <w:rFonts w:eastAsiaTheme="minorEastAsia"/>
        </w:rPr>
        <w:t xml:space="preserve">confirming the change of dominant scattering mechanism from electron-electron below </w:t>
      </w:r>
      <w:r w:rsidR="00C22BF9" w:rsidRPr="00D0020D">
        <w:rPr>
          <w:rFonts w:eastAsiaTheme="minorEastAsia"/>
          <w:i/>
        </w:rPr>
        <w:t>T</w:t>
      </w:r>
      <w:r w:rsidR="00C22BF9" w:rsidRPr="00D0020D">
        <w:rPr>
          <w:rFonts w:eastAsiaTheme="minorEastAsia"/>
          <w:vertAlign w:val="superscript"/>
        </w:rPr>
        <w:t>*</w:t>
      </w:r>
      <w:r w:rsidR="00D0020D">
        <w:rPr>
          <w:rFonts w:eastAsiaTheme="minorEastAsia"/>
        </w:rPr>
        <w:t xml:space="preserve"> </w:t>
      </w:r>
      <w:r w:rsidR="00C22BF9">
        <w:rPr>
          <w:rFonts w:eastAsiaTheme="minorEastAsia"/>
        </w:rPr>
        <w:t>to</w:t>
      </w:r>
      <w:r w:rsidR="00D0020D">
        <w:rPr>
          <w:rFonts w:eastAsiaTheme="minorEastAsia"/>
        </w:rPr>
        <w:t xml:space="preserve"> phonon scattering</w:t>
      </w:r>
      <w:r w:rsidR="00C22BF9">
        <w:rPr>
          <w:rFonts w:eastAsiaTheme="minorEastAsia"/>
        </w:rPr>
        <w:t xml:space="preserve"> above </w:t>
      </w:r>
      <w:r w:rsidR="00C22BF9" w:rsidRPr="00D0020D">
        <w:rPr>
          <w:rFonts w:eastAsiaTheme="minorEastAsia"/>
          <w:i/>
        </w:rPr>
        <w:t>T</w:t>
      </w:r>
      <w:r w:rsidR="00C22BF9" w:rsidRPr="00D0020D">
        <w:rPr>
          <w:rFonts w:eastAsiaTheme="minorEastAsia"/>
          <w:vertAlign w:val="superscript"/>
        </w:rPr>
        <w:t>*</w:t>
      </w:r>
      <w:r w:rsidR="00D0020D" w:rsidRPr="00D0020D">
        <w:rPr>
          <w:rFonts w:eastAsiaTheme="minorEastAsia"/>
        </w:rPr>
        <w:t>.</w:t>
      </w:r>
      <w:r w:rsidR="00A64A0C">
        <w:rPr>
          <w:rFonts w:eastAsiaTheme="minorEastAsia"/>
        </w:rPr>
        <w:t xml:space="preserve"> </w:t>
      </w:r>
      <w:proofErr w:type="spellStart"/>
      <w:r w:rsidR="001A36B9" w:rsidRPr="001A36B9">
        <w:rPr>
          <w:rFonts w:eastAsiaTheme="minorEastAsia"/>
        </w:rPr>
        <w:t>Ellipsometry</w:t>
      </w:r>
      <w:proofErr w:type="spellEnd"/>
      <w:r w:rsidR="001A36B9" w:rsidRPr="001A36B9">
        <w:rPr>
          <w:rFonts w:eastAsiaTheme="minorEastAsia"/>
        </w:rPr>
        <w:t xml:space="preserve"> measurements</w:t>
      </w:r>
      <w:r w:rsidR="001A36B9">
        <w:rPr>
          <w:rFonts w:eastAsiaTheme="minorEastAsia"/>
        </w:rPr>
        <w:t xml:space="preserve"> (Supplementary Information, Figure S4)</w:t>
      </w:r>
      <w:r w:rsidR="001A36B9" w:rsidRPr="001A36B9">
        <w:rPr>
          <w:rFonts w:eastAsiaTheme="minorEastAsia"/>
        </w:rPr>
        <w:t xml:space="preserve"> were fit</w:t>
      </w:r>
      <w:r w:rsidR="0072436F">
        <w:rPr>
          <w:rFonts w:eastAsiaTheme="minorEastAsia"/>
        </w:rPr>
        <w:t>ted</w:t>
      </w:r>
      <w:r w:rsidR="001A36B9" w:rsidRPr="001A36B9">
        <w:rPr>
          <w:rFonts w:eastAsiaTheme="minorEastAsia"/>
        </w:rPr>
        <w:t xml:space="preserve"> with a combination of </w:t>
      </w:r>
      <w:proofErr w:type="spellStart"/>
      <w:r w:rsidR="001A36B9" w:rsidRPr="001A36B9">
        <w:rPr>
          <w:rFonts w:eastAsiaTheme="minorEastAsia"/>
        </w:rPr>
        <w:t>Drude</w:t>
      </w:r>
      <w:proofErr w:type="spellEnd"/>
      <w:r w:rsidR="001A36B9" w:rsidRPr="001A36B9">
        <w:rPr>
          <w:rFonts w:eastAsiaTheme="minorEastAsia"/>
        </w:rPr>
        <w:t xml:space="preserve"> and Lorentz oscillators</w:t>
      </w:r>
      <w:r w:rsidR="001A36B9">
        <w:rPr>
          <w:rFonts w:eastAsiaTheme="minorEastAsia"/>
        </w:rPr>
        <w:t xml:space="preserve"> (Supplementary Information, Table S1)</w:t>
      </w:r>
      <w:r w:rsidR="001A36B9" w:rsidRPr="001A36B9">
        <w:rPr>
          <w:rFonts w:eastAsiaTheme="minorEastAsia"/>
        </w:rPr>
        <w:t xml:space="preserve"> to extract the complex dielectr</w:t>
      </w:r>
      <w:r w:rsidR="001A36B9">
        <w:rPr>
          <w:rFonts w:eastAsiaTheme="minorEastAsia"/>
        </w:rPr>
        <w:t>ic function presented in Figure 2 (c)</w:t>
      </w:r>
      <w:r w:rsidR="001A36B9" w:rsidRPr="001A36B9">
        <w:rPr>
          <w:rFonts w:eastAsiaTheme="minorEastAsia"/>
        </w:rPr>
        <w:t>.</w:t>
      </w:r>
      <w:r w:rsidR="00A83F48">
        <w:rPr>
          <w:rFonts w:eastAsiaTheme="minorEastAsia"/>
        </w:rPr>
        <w:t xml:space="preserve"> The</w:t>
      </w:r>
      <w:r w:rsidR="00A83F48" w:rsidRPr="00A83F48">
        <w:rPr>
          <w:rFonts w:eastAsiaTheme="minorEastAsia"/>
        </w:rPr>
        <w:t xml:space="preserve"> reduced plasma energy</w:t>
      </w:r>
      <w:r w:rsidR="00A83F48">
        <w:rPr>
          <w:rFonts w:eastAsiaTheme="minorEastAsia"/>
        </w:rPr>
        <w:t xml:space="preserve"> </w:t>
      </w:r>
      <w:r w:rsidR="00A83F48" w:rsidRPr="00A83F48">
        <w:rPr>
          <w:rFonts w:eastAsiaTheme="minorEastAsia"/>
          <w:i/>
        </w:rPr>
        <w:sym w:font="Symbol" w:char="F077"/>
      </w:r>
      <w:r w:rsidR="00A83F48" w:rsidRPr="00A83F48">
        <w:rPr>
          <w:rFonts w:eastAsiaTheme="minorEastAsia"/>
          <w:i/>
          <w:vertAlign w:val="subscript"/>
        </w:rPr>
        <w:t>p</w:t>
      </w:r>
      <w:r w:rsidR="00A83F48">
        <w:rPr>
          <w:rFonts w:eastAsiaTheme="minorEastAsia"/>
        </w:rPr>
        <w:t xml:space="preserve">, defined </w:t>
      </w:r>
      <w:r w:rsidR="00A83F48" w:rsidRPr="00A83F48">
        <w:rPr>
          <w:rFonts w:eastAsiaTheme="minorEastAsia"/>
        </w:rPr>
        <w:t xml:space="preserve">as the energy at which the real part of the </w:t>
      </w:r>
      <w:r w:rsidR="00A83F48" w:rsidRPr="00A83F48">
        <w:rPr>
          <w:rFonts w:eastAsiaTheme="minorEastAsia"/>
        </w:rPr>
        <w:lastRenderedPageBreak/>
        <w:t>complex dielectric function</w:t>
      </w:r>
      <w:r w:rsidR="00A83F48">
        <w:rPr>
          <w:rFonts w:eastAsiaTheme="minorEastAsia"/>
        </w:rPr>
        <w:t xml:space="preserve"> </w:t>
      </w:r>
      <w:r w:rsidR="00A83F48" w:rsidRPr="00A83F48">
        <w:rPr>
          <w:rFonts w:eastAsiaTheme="minorEastAsia"/>
          <w:i/>
        </w:rPr>
        <w:sym w:font="Symbol" w:char="F065"/>
      </w:r>
      <w:r w:rsidR="00A83F48" w:rsidRPr="00A83F48">
        <w:rPr>
          <w:rFonts w:eastAsiaTheme="minorEastAsia"/>
          <w:vertAlign w:val="subscript"/>
        </w:rPr>
        <w:t>1</w:t>
      </w:r>
      <w:r w:rsidR="00A83F48">
        <w:rPr>
          <w:rFonts w:eastAsiaTheme="minorEastAsia"/>
        </w:rPr>
        <w:t xml:space="preserve"> is equal to zero, </w:t>
      </w:r>
      <w:r w:rsidR="00A83F48" w:rsidRPr="00A83F48">
        <w:rPr>
          <w:rFonts w:eastAsiaTheme="minorEastAsia"/>
        </w:rPr>
        <w:t>is measured as 1.73</w:t>
      </w:r>
      <w:r w:rsidR="00350A4C">
        <w:rPr>
          <w:rFonts w:eastAsiaTheme="minorEastAsia"/>
        </w:rPr>
        <w:t xml:space="preserve"> </w:t>
      </w:r>
      <w:r w:rsidR="00A83F48" w:rsidRPr="00A83F48">
        <w:rPr>
          <w:rFonts w:eastAsiaTheme="minorEastAsia"/>
        </w:rPr>
        <w:t>eV</w:t>
      </w:r>
      <w:r w:rsidR="00254C8F">
        <w:rPr>
          <w:rFonts w:eastAsiaTheme="minorEastAsia"/>
        </w:rPr>
        <w:t xml:space="preserve"> (purple dashed-dotted line in </w:t>
      </w:r>
      <w:r w:rsidR="00B2434A">
        <w:rPr>
          <w:rFonts w:eastAsiaTheme="minorEastAsia"/>
        </w:rPr>
        <w:t xml:space="preserve">the top panel of </w:t>
      </w:r>
      <w:r w:rsidR="00254C8F">
        <w:rPr>
          <w:rFonts w:eastAsiaTheme="minorEastAsia"/>
        </w:rPr>
        <w:t>Figure 2 (c))</w:t>
      </w:r>
      <w:r w:rsidR="00A83F48" w:rsidRPr="00A83F48">
        <w:rPr>
          <w:rFonts w:eastAsiaTheme="minorEastAsia"/>
        </w:rPr>
        <w:t>, consistent with previous reports giving a value between 1.75 and 2.0</w:t>
      </w:r>
      <w:r w:rsidR="00350A4C">
        <w:rPr>
          <w:rFonts w:eastAsiaTheme="minorEastAsia"/>
        </w:rPr>
        <w:t xml:space="preserve"> </w:t>
      </w:r>
      <w:r w:rsidR="00A83F48" w:rsidRPr="00A83F48">
        <w:rPr>
          <w:rFonts w:eastAsiaTheme="minorEastAsia"/>
        </w:rPr>
        <w:t xml:space="preserve">eV. </w:t>
      </w:r>
      <w:r w:rsidR="00212EFA" w:rsidRPr="00212EFA">
        <w:rPr>
          <w:rFonts w:eastAsiaTheme="minorEastAsia"/>
          <w:noProof/>
          <w:vertAlign w:val="superscript"/>
        </w:rPr>
        <w:t>[15, 16]</w:t>
      </w:r>
      <w:r w:rsidR="00726349">
        <w:rPr>
          <w:rFonts w:eastAsiaTheme="minorEastAsia"/>
        </w:rPr>
        <w:t xml:space="preserve"> </w:t>
      </w:r>
      <w:r w:rsidR="00A83F48" w:rsidRPr="00A83F48">
        <w:rPr>
          <w:rFonts w:eastAsiaTheme="minorEastAsia"/>
        </w:rPr>
        <w:t xml:space="preserve">This </w:t>
      </w:r>
      <w:r w:rsidR="007D4E95">
        <w:rPr>
          <w:rFonts w:eastAsiaTheme="minorEastAsia"/>
        </w:rPr>
        <w:t>shift of</w:t>
      </w:r>
      <w:r w:rsidR="007D4E95" w:rsidRPr="00A83F48">
        <w:rPr>
          <w:rFonts w:eastAsiaTheme="minorEastAsia"/>
        </w:rPr>
        <w:t xml:space="preserve"> </w:t>
      </w:r>
      <w:r w:rsidR="00A83F48" w:rsidRPr="00A83F48">
        <w:rPr>
          <w:rFonts w:eastAsiaTheme="minorEastAsia"/>
        </w:rPr>
        <w:t>the plasma frequency</w:t>
      </w:r>
      <w:r w:rsidR="007D4E95">
        <w:rPr>
          <w:rFonts w:eastAsiaTheme="minorEastAsia"/>
        </w:rPr>
        <w:t xml:space="preserve"> towards the visible compared to SrVO</w:t>
      </w:r>
      <w:r w:rsidR="007D4E95" w:rsidRPr="004D3A27">
        <w:rPr>
          <w:rFonts w:eastAsiaTheme="minorEastAsia"/>
          <w:vertAlign w:val="subscript"/>
        </w:rPr>
        <w:t>3</w:t>
      </w:r>
      <w:r w:rsidR="00A83F48" w:rsidRPr="00A83F48">
        <w:rPr>
          <w:rFonts w:eastAsiaTheme="minorEastAsia"/>
        </w:rPr>
        <w:t xml:space="preserve"> </w:t>
      </w:r>
      <w:r w:rsidR="007D4E95">
        <w:rPr>
          <w:rFonts w:eastAsiaTheme="minorEastAsia"/>
        </w:rPr>
        <w:t>(arrow in top panel Figure 2 (c)) make SrMoO</w:t>
      </w:r>
      <w:r w:rsidR="007D4E95" w:rsidRPr="004D3A27">
        <w:rPr>
          <w:rFonts w:eastAsiaTheme="minorEastAsia"/>
          <w:vertAlign w:val="subscript"/>
        </w:rPr>
        <w:t>3</w:t>
      </w:r>
      <w:r w:rsidR="007D4E95">
        <w:rPr>
          <w:rFonts w:eastAsiaTheme="minorEastAsia"/>
        </w:rPr>
        <w:t xml:space="preserve"> an ideal system</w:t>
      </w:r>
      <w:r w:rsidR="00254C8F">
        <w:rPr>
          <w:rFonts w:eastAsiaTheme="minorEastAsia"/>
        </w:rPr>
        <w:t xml:space="preserve"> </w:t>
      </w:r>
      <w:r w:rsidR="00C3658E">
        <w:rPr>
          <w:rFonts w:eastAsiaTheme="minorEastAsia"/>
        </w:rPr>
        <w:t>to maximiz</w:t>
      </w:r>
      <w:r w:rsidR="00A83F48">
        <w:rPr>
          <w:rFonts w:eastAsiaTheme="minorEastAsia"/>
        </w:rPr>
        <w:t>e the conductivity</w:t>
      </w:r>
      <w:r w:rsidR="00A83F48" w:rsidRPr="00A83F48">
        <w:rPr>
          <w:rFonts w:eastAsiaTheme="minorEastAsia"/>
        </w:rPr>
        <w:t>.</w:t>
      </w:r>
      <w:r w:rsidR="00875684">
        <w:rPr>
          <w:rFonts w:eastAsiaTheme="minorEastAsia"/>
        </w:rPr>
        <w:t xml:space="preserve"> </w:t>
      </w:r>
    </w:p>
    <w:p w14:paraId="31D2AA90" w14:textId="3E4D436F" w:rsidR="0075784F" w:rsidRDefault="00B2434A" w:rsidP="00FE0ED9">
      <w:pPr>
        <w:spacing w:line="480" w:lineRule="auto"/>
      </w:pPr>
      <w:r>
        <w:rPr>
          <w:rFonts w:eastAsiaTheme="minorEastAsia"/>
        </w:rPr>
        <w:t xml:space="preserve">The other drastic change in the optical properties between the </w:t>
      </w:r>
      <w:r w:rsidRPr="00B6223D">
        <w:rPr>
          <w:rFonts w:eastAsiaTheme="minorEastAsia"/>
          <w:i/>
        </w:rPr>
        <w:t>3d</w:t>
      </w:r>
      <w:r w:rsidRPr="00B6223D">
        <w:rPr>
          <w:rFonts w:eastAsiaTheme="minorEastAsia"/>
          <w:i/>
          <w:vertAlign w:val="superscript"/>
        </w:rPr>
        <w:t>1</w:t>
      </w:r>
      <w:r>
        <w:rPr>
          <w:rFonts w:eastAsiaTheme="minorEastAsia"/>
        </w:rPr>
        <w:t xml:space="preserve"> and </w:t>
      </w:r>
      <w:r w:rsidR="00F832C9">
        <w:rPr>
          <w:rFonts w:eastAsiaTheme="minorEastAsia"/>
          <w:i/>
        </w:rPr>
        <w:t>4</w:t>
      </w:r>
      <w:r w:rsidRPr="00B6223D">
        <w:rPr>
          <w:rFonts w:eastAsiaTheme="minorEastAsia"/>
          <w:i/>
        </w:rPr>
        <w:t>d</w:t>
      </w:r>
      <w:r w:rsidRPr="00B6223D">
        <w:rPr>
          <w:rFonts w:eastAsiaTheme="minorEastAsia"/>
          <w:i/>
          <w:vertAlign w:val="superscript"/>
        </w:rPr>
        <w:t>2</w:t>
      </w:r>
      <w:r>
        <w:rPr>
          <w:rFonts w:eastAsiaTheme="minorEastAsia"/>
        </w:rPr>
        <w:t xml:space="preserve"> compounds is the shift of the strongest inter-band transition </w:t>
      </w:r>
      <w:r w:rsidRPr="00B2434A">
        <w:rPr>
          <w:rFonts w:eastAsiaTheme="minorEastAsia"/>
        </w:rPr>
        <w:t>features</w:t>
      </w:r>
      <w:r>
        <w:rPr>
          <w:rFonts w:eastAsiaTheme="minorEastAsia"/>
        </w:rPr>
        <w:t xml:space="preserve"> in </w:t>
      </w:r>
      <w:r w:rsidRPr="00B2434A">
        <w:rPr>
          <w:rFonts w:eastAsiaTheme="minorEastAsia"/>
          <w:i/>
        </w:rPr>
        <w:sym w:font="Symbol" w:char="F065"/>
      </w:r>
      <w:r w:rsidRPr="00B2434A">
        <w:rPr>
          <w:rFonts w:eastAsiaTheme="minorEastAsia"/>
          <w:vertAlign w:val="subscript"/>
        </w:rPr>
        <w:t>2</w:t>
      </w:r>
      <w:r w:rsidRPr="00B2434A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="00163A65">
        <w:rPr>
          <w:rFonts w:eastAsiaTheme="minorEastAsia"/>
        </w:rPr>
        <w:t xml:space="preserve">black arrow </w:t>
      </w:r>
      <w:r>
        <w:rPr>
          <w:rFonts w:eastAsiaTheme="minorEastAsia"/>
        </w:rPr>
        <w:t>lower panel in Figure 2 (c))</w:t>
      </w:r>
      <w:r w:rsidR="00782FF6">
        <w:rPr>
          <w:rFonts w:eastAsiaTheme="minorEastAsia"/>
        </w:rPr>
        <w:t xml:space="preserve"> </w:t>
      </w:r>
      <w:r w:rsidR="006E6B1C">
        <w:rPr>
          <w:rFonts w:eastAsiaTheme="minorEastAsia"/>
        </w:rPr>
        <w:t>from 3.02 eV in SrVO</w:t>
      </w:r>
      <w:r w:rsidR="006E6B1C" w:rsidRPr="006E6B1C">
        <w:rPr>
          <w:rFonts w:eastAsiaTheme="minorEastAsia"/>
          <w:vertAlign w:val="subscript"/>
        </w:rPr>
        <w:t>3</w:t>
      </w:r>
      <w:r w:rsidR="006E6B1C">
        <w:rPr>
          <w:rFonts w:eastAsiaTheme="minorEastAsia"/>
        </w:rPr>
        <w:t xml:space="preserve"> </w:t>
      </w:r>
      <w:r w:rsidR="00782FF6">
        <w:rPr>
          <w:rFonts w:eastAsiaTheme="minorEastAsia"/>
        </w:rPr>
        <w:t>to</w:t>
      </w:r>
      <w:r w:rsidRPr="00B2434A">
        <w:rPr>
          <w:rFonts w:eastAsiaTheme="minorEastAsia"/>
        </w:rPr>
        <w:t xml:space="preserve"> 4.34eV, well above the highest visible energy of 3.25eV, thus offering a</w:t>
      </w:r>
      <w:r w:rsidR="00782FF6">
        <w:rPr>
          <w:rFonts w:eastAsiaTheme="minorEastAsia"/>
        </w:rPr>
        <w:t>n</w:t>
      </w:r>
      <w:r w:rsidRPr="00B2434A">
        <w:rPr>
          <w:rFonts w:eastAsiaTheme="minorEastAsia"/>
        </w:rPr>
        <w:t xml:space="preserve"> </w:t>
      </w:r>
      <w:r w:rsidR="00782FF6">
        <w:rPr>
          <w:rFonts w:eastAsiaTheme="minorEastAsia"/>
        </w:rPr>
        <w:t>enhanced</w:t>
      </w:r>
      <w:r w:rsidRPr="00B2434A">
        <w:rPr>
          <w:rFonts w:eastAsiaTheme="minorEastAsia"/>
        </w:rPr>
        <w:t xml:space="preserve"> window of transparency</w:t>
      </w:r>
      <w:r w:rsidR="00782FF6">
        <w:rPr>
          <w:rFonts w:eastAsiaTheme="minorEastAsia"/>
        </w:rPr>
        <w:t xml:space="preserve"> in SrMoO</w:t>
      </w:r>
      <w:r w:rsidR="00782FF6" w:rsidRPr="00782FF6">
        <w:rPr>
          <w:rFonts w:eastAsiaTheme="minorEastAsia"/>
          <w:vertAlign w:val="subscript"/>
        </w:rPr>
        <w:t>3</w:t>
      </w:r>
      <w:r w:rsidR="00010050">
        <w:rPr>
          <w:rFonts w:eastAsiaTheme="minorEastAsia"/>
        </w:rPr>
        <w:t xml:space="preserve"> (Supplementary Information, Figure S5)</w:t>
      </w:r>
      <w:r w:rsidRPr="00B2434A">
        <w:rPr>
          <w:rFonts w:eastAsiaTheme="minorEastAsia"/>
        </w:rPr>
        <w:t>.</w:t>
      </w:r>
      <w:r w:rsidR="006E6B1C">
        <w:rPr>
          <w:rFonts w:eastAsiaTheme="minorEastAsia"/>
        </w:rPr>
        <w:t xml:space="preserve"> To confirm the </w:t>
      </w:r>
      <w:r w:rsidR="00F832C9">
        <w:rPr>
          <w:rFonts w:eastAsiaTheme="minorEastAsia"/>
        </w:rPr>
        <w:t xml:space="preserve">origin </w:t>
      </w:r>
      <w:r w:rsidR="006E6B1C">
        <w:rPr>
          <w:rFonts w:eastAsiaTheme="minorEastAsia"/>
        </w:rPr>
        <w:t>of the shift of the inter-band transition</w:t>
      </w:r>
      <w:r w:rsidR="00F832C9">
        <w:rPr>
          <w:rFonts w:eastAsiaTheme="minorEastAsia"/>
        </w:rPr>
        <w:t>,</w:t>
      </w:r>
      <w:r w:rsidR="006E6B1C">
        <w:rPr>
          <w:rFonts w:eastAsiaTheme="minorEastAsia"/>
        </w:rPr>
        <w:t xml:space="preserve"> we compare the experimental dielectric constant to the </w:t>
      </w:r>
      <w:r w:rsidR="003018B4">
        <w:rPr>
          <w:rFonts w:eastAsiaTheme="minorEastAsia"/>
        </w:rPr>
        <w:t>DFT-</w:t>
      </w:r>
      <w:r w:rsidR="006E6B1C" w:rsidRPr="006E6B1C">
        <w:rPr>
          <w:rFonts w:eastAsiaTheme="minorEastAsia"/>
        </w:rPr>
        <w:t>calculated transition energies</w:t>
      </w:r>
      <w:r w:rsidR="006E6B1C">
        <w:rPr>
          <w:rFonts w:eastAsiaTheme="minorEastAsia"/>
        </w:rPr>
        <w:t xml:space="preserve">. The </w:t>
      </w:r>
      <w:r w:rsidR="00725DCD">
        <w:rPr>
          <w:rFonts w:eastAsiaTheme="minorEastAsia"/>
        </w:rPr>
        <w:t>O</w:t>
      </w:r>
      <w:r w:rsidR="000F1F4C">
        <w:rPr>
          <w:rFonts w:eastAsiaTheme="minorEastAsia"/>
        </w:rPr>
        <w:t xml:space="preserve"> </w:t>
      </w:r>
      <w:r w:rsidR="00725DCD" w:rsidRPr="00B6223D">
        <w:rPr>
          <w:rFonts w:eastAsiaTheme="minorEastAsia"/>
          <w:i/>
        </w:rPr>
        <w:t>2p</w:t>
      </w:r>
      <w:r w:rsidR="00522100">
        <w:rPr>
          <w:rFonts w:eastAsiaTheme="minorEastAsia"/>
        </w:rPr>
        <w:t xml:space="preserve"> </w:t>
      </w:r>
      <w:r w:rsidR="00725DCD">
        <w:rPr>
          <w:rFonts w:eastAsiaTheme="minorEastAsia"/>
        </w:rPr>
        <w:t>-</w:t>
      </w:r>
      <w:r w:rsidR="00522100">
        <w:rPr>
          <w:rFonts w:eastAsiaTheme="minorEastAsia"/>
        </w:rPr>
        <w:t xml:space="preserve"> </w:t>
      </w:r>
      <w:r w:rsidR="000F1F4C">
        <w:rPr>
          <w:rFonts w:eastAsiaTheme="minorEastAsia"/>
        </w:rPr>
        <w:t xml:space="preserve">Mo </w:t>
      </w:r>
      <w:r w:rsidR="00725DCD" w:rsidRPr="00B6223D">
        <w:rPr>
          <w:rFonts w:eastAsiaTheme="minorEastAsia"/>
          <w:i/>
        </w:rPr>
        <w:t>t</w:t>
      </w:r>
      <w:r w:rsidR="00725DCD" w:rsidRPr="00B6223D">
        <w:rPr>
          <w:rFonts w:eastAsiaTheme="minorEastAsia"/>
          <w:i/>
          <w:vertAlign w:val="subscript"/>
        </w:rPr>
        <w:t>2g</w:t>
      </w:r>
      <w:r w:rsidR="00725DCD">
        <w:rPr>
          <w:rFonts w:eastAsiaTheme="minorEastAsia"/>
        </w:rPr>
        <w:t xml:space="preserve"> </w:t>
      </w:r>
      <w:r w:rsidR="006E6B1C" w:rsidRPr="00725DCD">
        <w:rPr>
          <w:color w:val="000000" w:themeColor="text1"/>
        </w:rPr>
        <w:t>inter</w:t>
      </w:r>
      <w:r w:rsidR="000F1F4C">
        <w:rPr>
          <w:color w:val="000000" w:themeColor="text1"/>
        </w:rPr>
        <w:t>-</w:t>
      </w:r>
      <w:r w:rsidR="006E6B1C" w:rsidRPr="00725DCD">
        <w:rPr>
          <w:color w:val="000000" w:themeColor="text1"/>
        </w:rPr>
        <w:t>band transitions</w:t>
      </w:r>
      <w:r w:rsidR="00725DCD">
        <w:rPr>
          <w:color w:val="000000" w:themeColor="text1"/>
        </w:rPr>
        <w:t xml:space="preserve"> for SrMoO</w:t>
      </w:r>
      <w:r w:rsidR="00725DCD" w:rsidRPr="00725DCD">
        <w:rPr>
          <w:color w:val="000000" w:themeColor="text1"/>
          <w:vertAlign w:val="subscript"/>
        </w:rPr>
        <w:t>3</w:t>
      </w:r>
      <w:r w:rsidR="00725DCD">
        <w:rPr>
          <w:color w:val="000000" w:themeColor="text1"/>
        </w:rPr>
        <w:t xml:space="preserve"> were calculated</w:t>
      </w:r>
      <w:r w:rsidR="00725DCD" w:rsidRPr="00725DCD">
        <w:rPr>
          <w:color w:val="000000" w:themeColor="text1"/>
        </w:rPr>
        <w:t xml:space="preserve"> from the dipole transition matrix element</w:t>
      </w:r>
      <w:r w:rsidR="00725DCD">
        <w:rPr>
          <w:color w:val="000000" w:themeColor="text1"/>
        </w:rPr>
        <w:t>s and shown with blue circles on Figure 2(d)</w:t>
      </w:r>
      <w:r w:rsidR="003018B4">
        <w:rPr>
          <w:color w:val="000000" w:themeColor="text1"/>
        </w:rPr>
        <w:t>,</w:t>
      </w:r>
      <w:r w:rsidR="00725DCD">
        <w:rPr>
          <w:color w:val="000000" w:themeColor="text1"/>
        </w:rPr>
        <w:t xml:space="preserve"> where the</w:t>
      </w:r>
      <w:r w:rsidR="006E6B1C" w:rsidRPr="00725DCD">
        <w:rPr>
          <w:color w:val="000000" w:themeColor="text1"/>
        </w:rPr>
        <w:t xml:space="preserve"> size represents the strength of the transition, with the strongest transitions and their energies indicated with arrows. The measured and calculated transition features of S</w:t>
      </w:r>
      <w:r w:rsidR="00B3296D">
        <w:rPr>
          <w:color w:val="000000" w:themeColor="text1"/>
        </w:rPr>
        <w:t>r</w:t>
      </w:r>
      <w:r w:rsidR="006E6B1C" w:rsidRPr="00725DCD">
        <w:rPr>
          <w:color w:val="000000" w:themeColor="text1"/>
        </w:rPr>
        <w:t>M</w:t>
      </w:r>
      <w:r w:rsidR="00B3296D">
        <w:rPr>
          <w:color w:val="000000" w:themeColor="text1"/>
        </w:rPr>
        <w:t>o</w:t>
      </w:r>
      <w:r w:rsidR="006E6B1C" w:rsidRPr="00725DCD">
        <w:rPr>
          <w:color w:val="000000" w:themeColor="text1"/>
        </w:rPr>
        <w:t>O</w:t>
      </w:r>
      <w:r w:rsidR="00B3296D" w:rsidRPr="00B3296D">
        <w:rPr>
          <w:color w:val="000000" w:themeColor="text1"/>
          <w:vertAlign w:val="subscript"/>
        </w:rPr>
        <w:t>3</w:t>
      </w:r>
      <w:r w:rsidR="006E6B1C" w:rsidRPr="00725DCD">
        <w:rPr>
          <w:color w:val="000000" w:themeColor="text1"/>
        </w:rPr>
        <w:t xml:space="preserve"> are in excellent agreement, with a clear peak in </w:t>
      </w:r>
      <w:r w:rsidR="006E6B1C" w:rsidRPr="00B36B7E">
        <w:rPr>
          <w:i/>
        </w:rPr>
        <w:t>ε</w:t>
      </w:r>
      <w:r w:rsidR="006E6B1C" w:rsidRPr="00725DCD">
        <w:rPr>
          <w:vertAlign w:val="subscript"/>
        </w:rPr>
        <w:t xml:space="preserve">2 </w:t>
      </w:r>
      <w:r w:rsidR="006E6B1C" w:rsidRPr="00725DCD">
        <w:t xml:space="preserve">at 4.37eV, matching that of the strongest calculated transition. The broadening of this peak corresponds to the second and third most intense transitions indicated in </w:t>
      </w:r>
      <w:r w:rsidR="00B3296D">
        <w:t>F</w:t>
      </w:r>
      <w:r w:rsidR="006E6B1C" w:rsidRPr="00725DCD">
        <w:t>igure</w:t>
      </w:r>
      <w:r w:rsidR="00B3296D">
        <w:t xml:space="preserve"> 2 (d)</w:t>
      </w:r>
      <w:r w:rsidR="006E6B1C" w:rsidRPr="00725DCD">
        <w:t>.</w:t>
      </w:r>
      <w:r w:rsidR="00B17CF6">
        <w:t xml:space="preserve"> This analysis shows that the enhanced band filling</w:t>
      </w:r>
      <w:r w:rsidR="00522100">
        <w:t xml:space="preserve"> and higher orbital energy of the </w:t>
      </w:r>
      <w:r w:rsidR="00522100" w:rsidRPr="00B6223D">
        <w:rPr>
          <w:i/>
        </w:rPr>
        <w:t>t</w:t>
      </w:r>
      <w:r w:rsidR="00522100" w:rsidRPr="00B6223D">
        <w:rPr>
          <w:i/>
          <w:vertAlign w:val="subscript"/>
        </w:rPr>
        <w:t>2g</w:t>
      </w:r>
      <w:r w:rsidR="00522100">
        <w:t xml:space="preserve"> bands</w:t>
      </w:r>
      <w:r w:rsidR="007E2BC3">
        <w:t>,</w:t>
      </w:r>
      <w:r w:rsidR="00522100">
        <w:t xml:space="preserve"> derived from </w:t>
      </w:r>
      <w:r w:rsidR="00B17CF6">
        <w:t xml:space="preserve">a </w:t>
      </w:r>
      <w:r w:rsidR="00B17CF6" w:rsidRPr="00B6223D">
        <w:rPr>
          <w:i/>
        </w:rPr>
        <w:t>4d</w:t>
      </w:r>
      <w:r w:rsidR="00B17CF6" w:rsidRPr="00B6223D">
        <w:rPr>
          <w:i/>
          <w:vertAlign w:val="superscript"/>
        </w:rPr>
        <w:t>2</w:t>
      </w:r>
      <w:r w:rsidR="00B17CF6">
        <w:t xml:space="preserve"> </w:t>
      </w:r>
      <w:r w:rsidR="00522100">
        <w:t>rather than</w:t>
      </w:r>
      <w:r w:rsidR="00B17CF6">
        <w:t xml:space="preserve"> a </w:t>
      </w:r>
      <w:r w:rsidR="00B17CF6" w:rsidRPr="00B6223D">
        <w:rPr>
          <w:i/>
        </w:rPr>
        <w:t>3d</w:t>
      </w:r>
      <w:r w:rsidR="00B17CF6" w:rsidRPr="00B6223D">
        <w:rPr>
          <w:i/>
          <w:vertAlign w:val="superscript"/>
        </w:rPr>
        <w:t>1</w:t>
      </w:r>
      <w:r w:rsidR="00010050">
        <w:t xml:space="preserve"> ion</w:t>
      </w:r>
      <w:r w:rsidR="007E2BC3">
        <w:t>,</w:t>
      </w:r>
      <w:r w:rsidR="00B17CF6">
        <w:t xml:space="preserve"> increase </w:t>
      </w:r>
      <w:r w:rsidR="00B17CF6" w:rsidRPr="00B17CF6">
        <w:rPr>
          <w:i/>
        </w:rPr>
        <w:t>E</w:t>
      </w:r>
      <w:r w:rsidR="00B17CF6" w:rsidRPr="00B17CF6">
        <w:rPr>
          <w:vertAlign w:val="subscript"/>
        </w:rPr>
        <w:t>F</w:t>
      </w:r>
      <w:r w:rsidR="00B17CF6">
        <w:t xml:space="preserve"> and raise the charge transfer transition energies</w:t>
      </w:r>
      <w:r w:rsidR="00010050">
        <w:t xml:space="preserve"> outside the visible region of the spectrum</w:t>
      </w:r>
      <w:r w:rsidR="00522100">
        <w:t>.</w:t>
      </w:r>
      <w:r w:rsidR="00010050">
        <w:t xml:space="preserve"> </w:t>
      </w:r>
      <w:r w:rsidR="00522100">
        <w:t>T</w:t>
      </w:r>
      <w:r w:rsidR="00010050">
        <w:t>ogether with the increased conductivity</w:t>
      </w:r>
      <w:r w:rsidR="00522100">
        <w:t>,</w:t>
      </w:r>
      <w:r w:rsidR="00010050">
        <w:t xml:space="preserve"> </w:t>
      </w:r>
      <w:r w:rsidR="00522100">
        <w:t xml:space="preserve">this </w:t>
      </w:r>
      <w:r w:rsidR="00010050">
        <w:t>lead</w:t>
      </w:r>
      <w:r w:rsidR="00522100">
        <w:t>s</w:t>
      </w:r>
      <w:r w:rsidR="00010050">
        <w:t xml:space="preserve"> to a </w:t>
      </w:r>
      <w:proofErr w:type="spellStart"/>
      <w:r w:rsidR="00010050">
        <w:t>Haacke</w:t>
      </w:r>
      <w:proofErr w:type="spellEnd"/>
      <w:r w:rsidR="00010050">
        <w:t xml:space="preserve"> </w:t>
      </w:r>
      <w:r w:rsidR="00726349">
        <w:t>FOM</w:t>
      </w:r>
      <w:r w:rsidR="00010050">
        <w:t xml:space="preserve"> of 9.4·10</w:t>
      </w:r>
      <w:r w:rsidR="00010050" w:rsidRPr="00010050">
        <w:rPr>
          <w:vertAlign w:val="superscript"/>
        </w:rPr>
        <w:t>-4</w:t>
      </w:r>
      <w:r w:rsidR="00010050">
        <w:t xml:space="preserve"> S </w:t>
      </w:r>
      <w:r w:rsidR="000631EE">
        <w:t>for SrMoO</w:t>
      </w:r>
      <w:r w:rsidR="000631EE" w:rsidRPr="000B709A">
        <w:rPr>
          <w:vertAlign w:val="subscript"/>
        </w:rPr>
        <w:t>3</w:t>
      </w:r>
      <w:r w:rsidR="000631EE">
        <w:t xml:space="preserve">, </w:t>
      </w:r>
      <w:r w:rsidR="00010050">
        <w:t>which is fivefold higher than SrVO</w:t>
      </w:r>
      <w:r w:rsidR="00010050" w:rsidRPr="00010050">
        <w:rPr>
          <w:vertAlign w:val="subscript"/>
        </w:rPr>
        <w:t>3</w:t>
      </w:r>
      <w:r w:rsidR="00010050">
        <w:t xml:space="preserve"> </w:t>
      </w:r>
      <w:r w:rsidR="00212EFA" w:rsidRPr="00212EFA">
        <w:rPr>
          <w:noProof/>
          <w:vertAlign w:val="superscript"/>
        </w:rPr>
        <w:t>[7]</w:t>
      </w:r>
      <w:r w:rsidR="009D00B2">
        <w:t xml:space="preserve"> and close to epitaxial ITO</w:t>
      </w:r>
      <w:r w:rsidR="00E34966">
        <w:t xml:space="preserve"> (1.0·10</w:t>
      </w:r>
      <w:r w:rsidR="00E34966" w:rsidRPr="00010050">
        <w:rPr>
          <w:vertAlign w:val="superscript"/>
        </w:rPr>
        <w:t>-</w:t>
      </w:r>
      <w:r w:rsidR="00E34966">
        <w:rPr>
          <w:vertAlign w:val="superscript"/>
        </w:rPr>
        <w:t>3</w:t>
      </w:r>
      <w:r w:rsidR="00E34966">
        <w:t xml:space="preserve"> S)</w:t>
      </w:r>
      <w:r w:rsidR="00726349">
        <w:t xml:space="preserve"> </w:t>
      </w:r>
      <w:r w:rsidR="00212EFA" w:rsidRPr="00212EFA">
        <w:rPr>
          <w:noProof/>
          <w:vertAlign w:val="superscript"/>
        </w:rPr>
        <w:t>[17]</w:t>
      </w:r>
      <w:r w:rsidR="009D00B2">
        <w:t xml:space="preserve"> </w:t>
      </w:r>
      <w:r w:rsidR="00010050">
        <w:t>for an equivalent thickness</w:t>
      </w:r>
      <w:r w:rsidR="00B17CF6">
        <w:t>.</w:t>
      </w:r>
    </w:p>
    <w:p w14:paraId="70CCAA49" w14:textId="185BF2F4" w:rsidR="00C828F5" w:rsidRPr="00C828F5" w:rsidRDefault="007E2BC3" w:rsidP="00C828F5">
      <w:pPr>
        <w:spacing w:line="480" w:lineRule="auto"/>
        <w:rPr>
          <w:rFonts w:eastAsiaTheme="minorEastAsia"/>
        </w:rPr>
      </w:pPr>
      <w:r>
        <w:t>To further optimiz</w:t>
      </w:r>
      <w:r w:rsidR="00A41CEA">
        <w:t xml:space="preserve">e the performance of </w:t>
      </w:r>
      <w:r w:rsidR="00522100" w:rsidRPr="00522100">
        <w:rPr>
          <w:i/>
        </w:rPr>
        <w:t>4d</w:t>
      </w:r>
      <w:r w:rsidR="00522100">
        <w:t xml:space="preserve">-based </w:t>
      </w:r>
      <w:r w:rsidR="00A41CEA" w:rsidRPr="00522100">
        <w:t>correlated</w:t>
      </w:r>
      <w:r w:rsidR="00A41CEA">
        <w:t xml:space="preserve"> transparent conductor</w:t>
      </w:r>
      <w:r w:rsidR="00522100">
        <w:t>s,</w:t>
      </w:r>
      <w:r w:rsidR="00A41CEA">
        <w:t xml:space="preserve"> we investigate the chemical control of the optical and transport behaviour of AMoO</w:t>
      </w:r>
      <w:r w:rsidR="00A41CEA" w:rsidRPr="00FA60EA">
        <w:rPr>
          <w:vertAlign w:val="subscript"/>
        </w:rPr>
        <w:t>3</w:t>
      </w:r>
      <w:r w:rsidR="00A41CEA">
        <w:t xml:space="preserve"> phases</w:t>
      </w:r>
      <w:r w:rsidR="00522100">
        <w:t xml:space="preserve"> via the Mo-O-Mo angle</w:t>
      </w:r>
      <w:r w:rsidR="00A41CEA">
        <w:t xml:space="preserve"> as </w:t>
      </w:r>
      <w:r w:rsidR="000537E2">
        <w:t>proposed</w:t>
      </w:r>
      <w:r w:rsidR="00A41CEA">
        <w:t xml:space="preserve"> in Figure 1 (c)</w:t>
      </w:r>
      <w:r w:rsidR="005C1A03">
        <w:t xml:space="preserve"> </w:t>
      </w:r>
      <w:r w:rsidR="000537E2">
        <w:t>by studying the electrical and optical properties of a 57 nm epitaxial CaMoO</w:t>
      </w:r>
      <w:r w:rsidR="000537E2" w:rsidRPr="007D04E6">
        <w:rPr>
          <w:vertAlign w:val="subscript"/>
        </w:rPr>
        <w:t>3</w:t>
      </w:r>
      <w:r w:rsidR="000537E2">
        <w:t xml:space="preserve"> thin film with a RMS roughness of 2.5 nm </w:t>
      </w:r>
      <w:r w:rsidR="000537E2">
        <w:lastRenderedPageBreak/>
        <w:t>(Supplementary Information, Figure S</w:t>
      </w:r>
      <w:r w:rsidR="00657531">
        <w:t>6</w:t>
      </w:r>
      <w:r w:rsidR="000537E2">
        <w:t>).</w:t>
      </w:r>
      <w:r w:rsidR="007D04E6">
        <w:t xml:space="preserve"> The small size of the Ca</w:t>
      </w:r>
      <w:r w:rsidR="007D04E6" w:rsidRPr="007D04E6">
        <w:rPr>
          <w:vertAlign w:val="superscript"/>
        </w:rPr>
        <w:t>2+</w:t>
      </w:r>
      <w:r w:rsidR="007D04E6">
        <w:t xml:space="preserve"> ions results in the tilting of the MoO</w:t>
      </w:r>
      <w:r w:rsidR="007D04E6" w:rsidRPr="007D04E6">
        <w:rPr>
          <w:vertAlign w:val="subscript"/>
        </w:rPr>
        <w:t>6</w:t>
      </w:r>
      <w:r w:rsidR="007D04E6">
        <w:t xml:space="preserve"> </w:t>
      </w:r>
      <w:proofErr w:type="spellStart"/>
      <w:r w:rsidR="007D04E6">
        <w:t>octahedra</w:t>
      </w:r>
      <w:proofErr w:type="spellEnd"/>
      <w:r w:rsidR="007D04E6">
        <w:t xml:space="preserve"> lowering the symmetry of the bulk crystal structure to </w:t>
      </w:r>
      <w:r w:rsidR="007D04E6" w:rsidRPr="00B6223D">
        <w:rPr>
          <w:i/>
        </w:rPr>
        <w:t>a</w:t>
      </w:r>
      <w:r w:rsidR="00522100">
        <w:t xml:space="preserve"> </w:t>
      </w:r>
      <w:proofErr w:type="spellStart"/>
      <w:r w:rsidR="00522100">
        <w:rPr>
          <w:i/>
        </w:rPr>
        <w:t>Pnma</w:t>
      </w:r>
      <w:proofErr w:type="spellEnd"/>
      <w:r w:rsidR="007D04E6">
        <w:t xml:space="preserve"> orthorhombic cell </w:t>
      </w:r>
      <w:r w:rsidR="00F35CA2">
        <w:t xml:space="preserve">with a pseudo-cubic lattice parameter of </w:t>
      </w:r>
      <w:proofErr w:type="spellStart"/>
      <w:r w:rsidR="00F35CA2" w:rsidRPr="003C7976">
        <w:rPr>
          <w:i/>
        </w:rPr>
        <w:t>a</w:t>
      </w:r>
      <w:r w:rsidR="00F35CA2" w:rsidRPr="003C7976">
        <w:rPr>
          <w:i/>
          <w:vertAlign w:val="subscript"/>
        </w:rPr>
        <w:t>p.c.bulk</w:t>
      </w:r>
      <w:proofErr w:type="spellEnd"/>
      <w:r w:rsidR="00F35CA2">
        <w:t xml:space="preserve"> = </w:t>
      </w:r>
      <w:r w:rsidR="003F673D">
        <w:t>3.897</w:t>
      </w:r>
      <w:r w:rsidR="003F673D" w:rsidRPr="003F673D">
        <w:t xml:space="preserve"> </w:t>
      </w:r>
      <w:r w:rsidR="00F35CA2" w:rsidRPr="00134473">
        <w:t>Å</w:t>
      </w:r>
      <w:r w:rsidR="00F35CA2">
        <w:t xml:space="preserve"> and a </w:t>
      </w:r>
      <w:r w:rsidR="000C6818">
        <w:t xml:space="preserve">tilt angle </w:t>
      </w:r>
      <w:r w:rsidR="000C6818">
        <w:sym w:font="Symbol" w:char="F06A"/>
      </w:r>
      <w:r w:rsidR="000C6818">
        <w:t xml:space="preserve"> </w:t>
      </w:r>
      <w:r w:rsidR="000C6818">
        <w:sym w:font="Symbol" w:char="F0BB"/>
      </w:r>
      <w:r w:rsidR="000C6818">
        <w:t xml:space="preserve"> 1</w:t>
      </w:r>
      <w:r w:rsidR="00CE342F">
        <w:t>6.7</w:t>
      </w:r>
      <w:r w:rsidR="000C6818">
        <w:t xml:space="preserve"> </w:t>
      </w:r>
      <w:r w:rsidR="000C6818">
        <w:sym w:font="Symbol" w:char="F0B0"/>
      </w:r>
      <w:r w:rsidR="00AC43B2">
        <w:t xml:space="preserve"> (inset of </w:t>
      </w:r>
      <w:r w:rsidR="00AC43B2" w:rsidRPr="00B5474F">
        <w:rPr>
          <w:b/>
        </w:rPr>
        <w:t>Figure 3</w:t>
      </w:r>
      <w:r w:rsidR="00AC43B2">
        <w:t xml:space="preserve"> (a))</w:t>
      </w:r>
      <w:r w:rsidR="007D04E6">
        <w:t>.</w:t>
      </w:r>
      <w:r w:rsidR="00726349">
        <w:t xml:space="preserve"> </w:t>
      </w:r>
      <w:r w:rsidR="00212EFA" w:rsidRPr="00212EFA">
        <w:rPr>
          <w:noProof/>
          <w:vertAlign w:val="superscript"/>
        </w:rPr>
        <w:t>[18]</w:t>
      </w:r>
      <w:r w:rsidR="007D04E6">
        <w:t xml:space="preserve"> </w:t>
      </w:r>
      <w:r w:rsidR="00ED508A">
        <w:t>Using the pseud</w:t>
      </w:r>
      <w:r w:rsidR="00522100">
        <w:t>o</w:t>
      </w:r>
      <w:r w:rsidR="00ED508A">
        <w:t xml:space="preserve">-cubic lattice parameters, </w:t>
      </w:r>
      <w:r w:rsidR="007D04E6" w:rsidRPr="007D04E6">
        <w:t>C</w:t>
      </w:r>
      <w:r w:rsidR="007D04E6">
        <w:t>a</w:t>
      </w:r>
      <w:r w:rsidR="007D04E6" w:rsidRPr="007D04E6">
        <w:t>M</w:t>
      </w:r>
      <w:r w:rsidR="007D04E6">
        <w:t>o</w:t>
      </w:r>
      <w:r w:rsidR="007D04E6" w:rsidRPr="007D04E6">
        <w:t>O</w:t>
      </w:r>
      <w:r w:rsidR="007D04E6" w:rsidRPr="007D04E6">
        <w:rPr>
          <w:vertAlign w:val="subscript"/>
        </w:rPr>
        <w:t>3</w:t>
      </w:r>
      <w:r w:rsidR="007D04E6" w:rsidRPr="007D04E6">
        <w:t xml:space="preserve"> </w:t>
      </w:r>
      <w:r w:rsidR="007D04E6">
        <w:t>has a lattice mismatch of 0.2 % with</w:t>
      </w:r>
      <w:r w:rsidR="007D04E6" w:rsidRPr="007D04E6">
        <w:t xml:space="preserve"> S</w:t>
      </w:r>
      <w:r w:rsidR="007D04E6">
        <w:t>r</w:t>
      </w:r>
      <w:r w:rsidR="007D04E6" w:rsidRPr="007D04E6">
        <w:t>T</w:t>
      </w:r>
      <w:r w:rsidR="007D04E6">
        <w:t>i</w:t>
      </w:r>
      <w:r w:rsidR="007D04E6" w:rsidRPr="007D04E6">
        <w:t>O</w:t>
      </w:r>
      <w:r w:rsidR="007D04E6" w:rsidRPr="007D04E6">
        <w:rPr>
          <w:vertAlign w:val="subscript"/>
        </w:rPr>
        <w:t>3</w:t>
      </w:r>
      <w:r w:rsidR="007D04E6">
        <w:t xml:space="preserve"> and</w:t>
      </w:r>
      <w:r w:rsidR="007D04E6" w:rsidRPr="007D04E6">
        <w:t xml:space="preserve"> the </w:t>
      </w:r>
      <w:r w:rsidR="007D04E6">
        <w:t>out-of-</w:t>
      </w:r>
      <w:r w:rsidR="00522100">
        <w:t>plane</w:t>
      </w:r>
      <w:r w:rsidR="007D04E6">
        <w:t xml:space="preserve"> Bragg film peaks</w:t>
      </w:r>
      <w:r w:rsidR="007D04E6" w:rsidRPr="007D04E6">
        <w:t xml:space="preserve"> </w:t>
      </w:r>
      <w:r w:rsidR="007D04E6">
        <w:t xml:space="preserve">are </w:t>
      </w:r>
      <w:r w:rsidR="007D04E6" w:rsidRPr="007D04E6">
        <w:t xml:space="preserve">found to </w:t>
      </w:r>
      <w:r w:rsidR="007D04E6">
        <w:t>overlap with</w:t>
      </w:r>
      <w:r w:rsidR="007D04E6" w:rsidRPr="007D04E6">
        <w:t xml:space="preserve"> the substrate</w:t>
      </w:r>
      <w:r w:rsidR="00BD3A47">
        <w:t>.</w:t>
      </w:r>
      <w:r w:rsidR="007D04E6" w:rsidRPr="007D04E6">
        <w:t xml:space="preserve"> </w:t>
      </w:r>
      <w:r w:rsidR="00BD3A47">
        <w:t>T</w:t>
      </w:r>
      <w:r w:rsidR="007D04E6">
        <w:t xml:space="preserve">he </w:t>
      </w:r>
      <w:r w:rsidR="00522100">
        <w:t>observation</w:t>
      </w:r>
      <w:r w:rsidR="00BD3A47">
        <w:t xml:space="preserve"> of </w:t>
      </w:r>
      <w:proofErr w:type="spellStart"/>
      <w:r w:rsidR="00BD3A47">
        <w:t>Pendellösung</w:t>
      </w:r>
      <w:proofErr w:type="spellEnd"/>
      <w:r w:rsidR="00BD3A47">
        <w:t xml:space="preserve"> fringes suggests</w:t>
      </w:r>
      <w:r w:rsidR="007D04E6">
        <w:t xml:space="preserve"> a highly coherent film growth (</w:t>
      </w:r>
      <w:r w:rsidR="00CF007E">
        <w:t>Supplementary information, Figure S</w:t>
      </w:r>
      <w:r w:rsidR="00657531">
        <w:t>7</w:t>
      </w:r>
      <w:r w:rsidR="007D04E6">
        <w:t>)</w:t>
      </w:r>
      <w:r w:rsidR="00BD3A47">
        <w:t xml:space="preserve"> and t</w:t>
      </w:r>
      <w:r w:rsidR="00481EE5">
        <w:t>he presence of half</w:t>
      </w:r>
      <w:r w:rsidR="00522100">
        <w:t>-</w:t>
      </w:r>
      <w:r w:rsidR="00481EE5">
        <w:t>order peak</w:t>
      </w:r>
      <w:r w:rsidR="00522100">
        <w:t>s</w:t>
      </w:r>
      <w:r w:rsidR="00481EE5">
        <w:t xml:space="preserve"> in the pseudo-cubic setting specific to the orthorhombic distortion </w:t>
      </w:r>
      <w:r w:rsidR="00C12E6A">
        <w:t>(</w:t>
      </w:r>
      <w:r w:rsidR="00481EE5">
        <w:t>Figure 3 (a)</w:t>
      </w:r>
      <w:r w:rsidR="00C12E6A">
        <w:t>)</w:t>
      </w:r>
      <w:r w:rsidR="00481EE5">
        <w:t xml:space="preserve"> confirms that the film have </w:t>
      </w:r>
      <w:r w:rsidR="002B2034">
        <w:t xml:space="preserve">retained </w:t>
      </w:r>
      <w:r w:rsidR="00481EE5">
        <w:t>the bulk structure.</w:t>
      </w:r>
      <w:r w:rsidR="00F35CA2">
        <w:t xml:space="preserve"> The </w:t>
      </w:r>
      <w:r w:rsidR="003C7976">
        <w:t xml:space="preserve">calculated orthorhombic </w:t>
      </w:r>
      <w:r w:rsidR="00A257A2">
        <w:t xml:space="preserve">cell parameters </w:t>
      </w:r>
      <w:r w:rsidR="003C7976">
        <w:t xml:space="preserve">in the </w:t>
      </w:r>
      <w:proofErr w:type="spellStart"/>
      <w:r w:rsidR="003C7976" w:rsidRPr="00B2555A">
        <w:rPr>
          <w:i/>
        </w:rPr>
        <w:t>Pnma</w:t>
      </w:r>
      <w:proofErr w:type="spellEnd"/>
      <w:r w:rsidR="003C7976">
        <w:t xml:space="preserve"> settings are </w:t>
      </w:r>
      <w:r w:rsidR="003C7976" w:rsidRPr="003C7976">
        <w:rPr>
          <w:i/>
        </w:rPr>
        <w:t>a</w:t>
      </w:r>
      <w:r w:rsidR="003C7976">
        <w:t xml:space="preserve"> = 5.55 (2)</w:t>
      </w:r>
      <w:r w:rsidR="00F35CA2">
        <w:t xml:space="preserve"> </w:t>
      </w:r>
      <w:r w:rsidR="003C7976" w:rsidRPr="00134473">
        <w:t>Å</w:t>
      </w:r>
      <w:r w:rsidR="003C7976">
        <w:t xml:space="preserve">, </w:t>
      </w:r>
      <w:r w:rsidR="003C7976" w:rsidRPr="003C7976">
        <w:rPr>
          <w:i/>
        </w:rPr>
        <w:t>b</w:t>
      </w:r>
      <w:r w:rsidR="003C7976">
        <w:t xml:space="preserve"> = 7.81 (2) </w:t>
      </w:r>
      <w:r w:rsidR="003C7976" w:rsidRPr="00134473">
        <w:t>Å</w:t>
      </w:r>
      <w:r w:rsidR="003C7976">
        <w:t xml:space="preserve"> and </w:t>
      </w:r>
      <w:r w:rsidR="003C7976" w:rsidRPr="003C7976">
        <w:rPr>
          <w:i/>
        </w:rPr>
        <w:t>c</w:t>
      </w:r>
      <w:r w:rsidR="003C7976">
        <w:t xml:space="preserve"> = 5.45(2) </w:t>
      </w:r>
      <w:r w:rsidR="003C7976" w:rsidRPr="00134473">
        <w:t>Å</w:t>
      </w:r>
      <w:r w:rsidR="00A257A2">
        <w:t>,</w:t>
      </w:r>
      <w:r w:rsidR="003C7976">
        <w:t xml:space="preserve"> corresponding to </w:t>
      </w:r>
      <w:proofErr w:type="spellStart"/>
      <w:r w:rsidR="003C7976" w:rsidRPr="003C7976">
        <w:rPr>
          <w:i/>
        </w:rPr>
        <w:t>a</w:t>
      </w:r>
      <w:r w:rsidR="003C7976" w:rsidRPr="003C7976">
        <w:rPr>
          <w:i/>
          <w:vertAlign w:val="subscript"/>
        </w:rPr>
        <w:t>p.c</w:t>
      </w:r>
      <w:proofErr w:type="spellEnd"/>
      <w:r w:rsidR="003C7976" w:rsidRPr="003C7976">
        <w:rPr>
          <w:i/>
          <w:vertAlign w:val="subscript"/>
        </w:rPr>
        <w:t>.</w:t>
      </w:r>
      <w:r w:rsidR="003C7976">
        <w:t xml:space="preserve"> = 3.89 (1) </w:t>
      </w:r>
      <w:r w:rsidR="003C7976" w:rsidRPr="00134473">
        <w:t>Å</w:t>
      </w:r>
      <w:r w:rsidR="003C7976">
        <w:t xml:space="preserve"> and a tilt angle </w:t>
      </w:r>
      <w:r w:rsidR="003C7976">
        <w:sym w:font="Symbol" w:char="F06A"/>
      </w:r>
      <w:r w:rsidR="003C7976">
        <w:t xml:space="preserve"> </w:t>
      </w:r>
      <w:r w:rsidR="003C7976">
        <w:sym w:font="Symbol" w:char="F0BB"/>
      </w:r>
      <w:r w:rsidR="003C7976">
        <w:t xml:space="preserve"> 1</w:t>
      </w:r>
      <w:r w:rsidR="005E281B">
        <w:t>6.8 (5)</w:t>
      </w:r>
      <w:r w:rsidR="003C7976">
        <w:sym w:font="Symbol" w:char="F0B0"/>
      </w:r>
      <w:r w:rsidR="003C7976">
        <w:t>.</w:t>
      </w:r>
      <w:r w:rsidR="00CA082B">
        <w:t xml:space="preserve"> </w:t>
      </w:r>
      <w:r w:rsidR="00CA082B" w:rsidRPr="00CA082B">
        <w:t>The resistivity of C</w:t>
      </w:r>
      <w:r w:rsidR="00CA082B">
        <w:t>a</w:t>
      </w:r>
      <w:r w:rsidR="00CA082B" w:rsidRPr="00CA082B">
        <w:t>M</w:t>
      </w:r>
      <w:r w:rsidR="00CA082B">
        <w:t>o</w:t>
      </w:r>
      <w:r w:rsidR="00CA082B" w:rsidRPr="00CA082B">
        <w:t>O</w:t>
      </w:r>
      <w:r w:rsidR="00CA082B" w:rsidRPr="00CA082B">
        <w:rPr>
          <w:vertAlign w:val="subscript"/>
        </w:rPr>
        <w:t>3</w:t>
      </w:r>
      <w:r w:rsidR="00CA082B" w:rsidRPr="00CA082B">
        <w:t xml:space="preserve"> </w:t>
      </w:r>
      <w:r w:rsidR="00CA082B">
        <w:t>at 300 K is</w:t>
      </w:r>
      <w:r w:rsidR="00CA082B" w:rsidRPr="00CA082B">
        <w:t xml:space="preserve"> 67μΩcm </w:t>
      </w:r>
      <w:r w:rsidR="00CA082B">
        <w:t>with a RRR of 2.3 (Supplementary Information, Figure S</w:t>
      </w:r>
      <w:r w:rsidR="00657531">
        <w:t>8</w:t>
      </w:r>
      <w:r w:rsidR="00CA082B">
        <w:t>) which is slightly higher than in the SrMoO</w:t>
      </w:r>
      <w:r w:rsidR="00CA082B" w:rsidRPr="006D0F36">
        <w:rPr>
          <w:vertAlign w:val="subscript"/>
        </w:rPr>
        <w:t>3</w:t>
      </w:r>
      <w:r w:rsidR="00CA082B">
        <w:t xml:space="preserve"> film</w:t>
      </w:r>
      <w:r w:rsidR="00CA082B" w:rsidRPr="00CA082B">
        <w:t xml:space="preserve">. </w:t>
      </w:r>
      <w:r w:rsidR="00B7488B">
        <w:t xml:space="preserve">The temperature dependence of the resistivity (Figure 3(b)) exhibit a similar </w:t>
      </w:r>
      <w:r w:rsidR="00B7488B" w:rsidRPr="00B7488B">
        <w:rPr>
          <w:i/>
        </w:rPr>
        <w:t>T</w:t>
      </w:r>
      <w:r w:rsidR="00B7488B" w:rsidRPr="00B7488B">
        <w:rPr>
          <w:vertAlign w:val="superscript"/>
        </w:rPr>
        <w:t>2</w:t>
      </w:r>
      <w:r w:rsidR="00B7488B">
        <w:t xml:space="preserve"> behaviour at low temperature with a </w:t>
      </w:r>
      <w:r w:rsidR="00B7488B" w:rsidRPr="00B7488B">
        <w:rPr>
          <w:i/>
        </w:rPr>
        <w:t>T</w:t>
      </w:r>
      <w:r w:rsidR="00B7488B" w:rsidRPr="00B7488B">
        <w:rPr>
          <w:vertAlign w:val="superscript"/>
        </w:rPr>
        <w:t>*</w:t>
      </w:r>
      <w:r w:rsidR="00B7488B">
        <w:t xml:space="preserve"> = 120 K which is higher than in SrMoO</w:t>
      </w:r>
      <w:r w:rsidR="00B7488B" w:rsidRPr="00B7488B">
        <w:rPr>
          <w:vertAlign w:val="subscript"/>
        </w:rPr>
        <w:t>3</w:t>
      </w:r>
      <w:r w:rsidR="00B7488B">
        <w:t xml:space="preserve">. The higher RRR and </w:t>
      </w:r>
      <w:r w:rsidR="00B7488B" w:rsidRPr="00B7488B">
        <w:rPr>
          <w:i/>
        </w:rPr>
        <w:t>T</w:t>
      </w:r>
      <w:r w:rsidR="00B7488B" w:rsidRPr="00B7488B">
        <w:rPr>
          <w:vertAlign w:val="superscript"/>
        </w:rPr>
        <w:t>*</w:t>
      </w:r>
      <w:r w:rsidR="00B7488B">
        <w:t xml:space="preserve"> suggest that the dislocation density in CaMoO</w:t>
      </w:r>
      <w:r w:rsidR="00B7488B" w:rsidRPr="00B7488B">
        <w:rPr>
          <w:vertAlign w:val="subscript"/>
        </w:rPr>
        <w:t>3</w:t>
      </w:r>
      <w:r w:rsidR="00B7488B">
        <w:t xml:space="preserve"> films is lower than in SrMoO</w:t>
      </w:r>
      <w:r w:rsidR="00B7488B" w:rsidRPr="00B7488B">
        <w:rPr>
          <w:vertAlign w:val="subscript"/>
        </w:rPr>
        <w:t>3</w:t>
      </w:r>
      <w:r w:rsidR="00B7488B">
        <w:t xml:space="preserve"> owing to the smaller lattice mismatch with SrTiO</w:t>
      </w:r>
      <w:r w:rsidR="00B7488B" w:rsidRPr="00B7488B">
        <w:rPr>
          <w:vertAlign w:val="subscript"/>
        </w:rPr>
        <w:t>3</w:t>
      </w:r>
      <w:r w:rsidR="00B7488B">
        <w:t>.</w:t>
      </w:r>
      <w:r w:rsidR="00DE2765">
        <w:t xml:space="preserve"> The room temperature carrier concentration is found to be 2.4(2</w:t>
      </w:r>
      <w:proofErr w:type="gramStart"/>
      <w:r w:rsidR="00DE2765">
        <w:t>)·</w:t>
      </w:r>
      <w:proofErr w:type="gramEnd"/>
      <w:r w:rsidR="00DE2765" w:rsidRPr="00DE2765">
        <w:t>10</w:t>
      </w:r>
      <w:r w:rsidR="00DE2765" w:rsidRPr="00DE2765">
        <w:rPr>
          <w:vertAlign w:val="superscript"/>
        </w:rPr>
        <w:t>22</w:t>
      </w:r>
      <w:r w:rsidR="00DE2765" w:rsidRPr="00DE2765">
        <w:t xml:space="preserve"> cm</w:t>
      </w:r>
      <w:r w:rsidR="00DE2765" w:rsidRPr="00DE2765">
        <w:rPr>
          <w:vertAlign w:val="superscript"/>
        </w:rPr>
        <w:t>-3</w:t>
      </w:r>
      <w:r w:rsidR="00DE2765" w:rsidRPr="00DE2765">
        <w:t xml:space="preserve"> </w:t>
      </w:r>
      <w:r w:rsidR="00DE2765">
        <w:t xml:space="preserve">which </w:t>
      </w:r>
      <w:r w:rsidR="00A257A2">
        <w:t xml:space="preserve">is </w:t>
      </w:r>
      <w:r w:rsidR="00DE2765">
        <w:t>lower than the theoretical value (3.4·</w:t>
      </w:r>
      <w:r w:rsidR="00DE2765" w:rsidRPr="00DE2765">
        <w:t>10</w:t>
      </w:r>
      <w:r w:rsidR="00DE2765" w:rsidRPr="00DE2765">
        <w:rPr>
          <w:vertAlign w:val="superscript"/>
        </w:rPr>
        <w:t>22</w:t>
      </w:r>
      <w:r w:rsidR="00DE2765" w:rsidRPr="00DE2765">
        <w:t xml:space="preserve"> cm</w:t>
      </w:r>
      <w:r w:rsidR="00DE2765" w:rsidRPr="00DE2765">
        <w:rPr>
          <w:vertAlign w:val="superscript"/>
        </w:rPr>
        <w:t>-3</w:t>
      </w:r>
      <w:r w:rsidR="00DE2765">
        <w:t>)</w:t>
      </w:r>
      <w:r w:rsidR="00522100">
        <w:t>,</w:t>
      </w:r>
      <w:r w:rsidR="00DE2765">
        <w:t xml:space="preserve"> and the temperature dependence</w:t>
      </w:r>
      <w:r w:rsidR="000631EE">
        <w:t>s</w:t>
      </w:r>
      <w:r w:rsidR="00DE2765">
        <w:t xml:space="preserve"> of the carrier concentration and </w:t>
      </w:r>
      <w:r w:rsidR="000631EE">
        <w:t xml:space="preserve">the </w:t>
      </w:r>
      <w:r w:rsidR="00DE2765">
        <w:t>mobility (Figure 3 (b)) do not follow the same trend as SrMoO</w:t>
      </w:r>
      <w:r w:rsidR="00DE2765" w:rsidRPr="00DE2765">
        <w:rPr>
          <w:vertAlign w:val="subscript"/>
        </w:rPr>
        <w:t>3</w:t>
      </w:r>
      <w:r w:rsidR="00DE2765">
        <w:t xml:space="preserve">. The mobility presents a maximum at around </w:t>
      </w:r>
      <w:r w:rsidR="00DE2765" w:rsidRPr="00DE2765">
        <w:rPr>
          <w:i/>
        </w:rPr>
        <w:t>T</w:t>
      </w:r>
      <w:r w:rsidR="00DE2765" w:rsidRPr="00DE2765">
        <w:rPr>
          <w:vertAlign w:val="superscript"/>
        </w:rPr>
        <w:t>*</w:t>
      </w:r>
      <w:r>
        <w:t xml:space="preserve"> </w:t>
      </w:r>
      <w:r w:rsidR="00DE2765">
        <w:t>but</w:t>
      </w:r>
      <w:r>
        <w:t>,</w:t>
      </w:r>
      <w:r w:rsidR="00DE2765">
        <w:t xml:space="preserve"> instead of saturating</w:t>
      </w:r>
      <w:r w:rsidR="00BC2485">
        <w:t>,</w:t>
      </w:r>
      <w:r w:rsidR="00DE2765">
        <w:t xml:space="preserve"> decrease</w:t>
      </w:r>
      <w:r w:rsidR="00522100">
        <w:t>s</w:t>
      </w:r>
      <w:r w:rsidR="000631EE">
        <w:t xml:space="preserve"> again</w:t>
      </w:r>
      <w:r w:rsidR="00DE2765">
        <w:t xml:space="preserve"> </w:t>
      </w:r>
      <w:r w:rsidR="00522100">
        <w:t>on further cooling</w:t>
      </w:r>
      <w:r w:rsidR="00DE2765">
        <w:t xml:space="preserve">. Similarly the carrier concentration starts increasing around </w:t>
      </w:r>
      <w:r w:rsidR="00DE2765" w:rsidRPr="00DE2765">
        <w:rPr>
          <w:i/>
        </w:rPr>
        <w:t>T</w:t>
      </w:r>
      <w:r w:rsidR="00DE2765" w:rsidRPr="00DE2765">
        <w:rPr>
          <w:vertAlign w:val="superscript"/>
        </w:rPr>
        <w:t>*</w:t>
      </w:r>
      <w:r w:rsidR="00DE2765">
        <w:t xml:space="preserve"> and reach</w:t>
      </w:r>
      <w:r w:rsidR="00522100">
        <w:t>es</w:t>
      </w:r>
      <w:r w:rsidR="00DE2765">
        <w:t xml:space="preserve"> 4.4(2</w:t>
      </w:r>
      <w:proofErr w:type="gramStart"/>
      <w:r w:rsidR="00DE2765">
        <w:t>)·</w:t>
      </w:r>
      <w:proofErr w:type="gramEnd"/>
      <w:r w:rsidR="00DE2765" w:rsidRPr="00DE2765">
        <w:t>10</w:t>
      </w:r>
      <w:r w:rsidR="00DE2765" w:rsidRPr="00DE2765">
        <w:rPr>
          <w:vertAlign w:val="superscript"/>
        </w:rPr>
        <w:t>22</w:t>
      </w:r>
      <w:r w:rsidR="00DE2765" w:rsidRPr="00DE2765">
        <w:t xml:space="preserve"> cm</w:t>
      </w:r>
      <w:r w:rsidR="00DE2765" w:rsidRPr="00DE2765">
        <w:rPr>
          <w:vertAlign w:val="superscript"/>
        </w:rPr>
        <w:t>-3</w:t>
      </w:r>
      <w:r w:rsidR="00DE2765">
        <w:t xml:space="preserve"> at 5 K</w:t>
      </w:r>
      <w:r w:rsidR="008521AD">
        <w:t xml:space="preserve">. </w:t>
      </w:r>
      <w:r w:rsidR="00421E0C">
        <w:t>These</w:t>
      </w:r>
      <w:r w:rsidR="005C0E03">
        <w:t xml:space="preserve"> </w:t>
      </w:r>
      <w:proofErr w:type="spellStart"/>
      <w:r w:rsidR="005C0E03">
        <w:t>behavio</w:t>
      </w:r>
      <w:r w:rsidR="008521AD">
        <w:t>r</w:t>
      </w:r>
      <w:r w:rsidR="00421E0C">
        <w:t>s</w:t>
      </w:r>
      <w:proofErr w:type="spellEnd"/>
      <w:r w:rsidR="008521AD">
        <w:t xml:space="preserve"> suggest that the correlation effects increase below </w:t>
      </w:r>
      <w:r w:rsidR="008521AD" w:rsidRPr="008521AD">
        <w:rPr>
          <w:i/>
        </w:rPr>
        <w:t>T</w:t>
      </w:r>
      <w:r w:rsidR="008521AD" w:rsidRPr="008521AD">
        <w:rPr>
          <w:vertAlign w:val="superscript"/>
        </w:rPr>
        <w:t>*</w:t>
      </w:r>
      <w:r w:rsidR="008521AD">
        <w:t xml:space="preserve"> and further increase the narrowing of the band leading to an increased </w:t>
      </w:r>
      <w:proofErr w:type="spellStart"/>
      <w:r w:rsidR="008521AD" w:rsidRPr="008521AD">
        <w:rPr>
          <w:i/>
        </w:rPr>
        <w:t>n</w:t>
      </w:r>
      <w:r w:rsidR="008521AD" w:rsidRPr="008521AD">
        <w:rPr>
          <w:i/>
          <w:vertAlign w:val="subscript"/>
        </w:rPr>
        <w:t>eff</w:t>
      </w:r>
      <w:proofErr w:type="spellEnd"/>
      <w:r w:rsidR="008521AD">
        <w:t xml:space="preserve"> and decreased mobility.</w:t>
      </w:r>
      <w:r w:rsidR="009F0C84">
        <w:t xml:space="preserve"> </w:t>
      </w:r>
      <w:proofErr w:type="spellStart"/>
      <w:r w:rsidR="001E54E3" w:rsidRPr="001A36B9">
        <w:rPr>
          <w:rFonts w:eastAsiaTheme="minorEastAsia"/>
        </w:rPr>
        <w:t>Ellipsometry</w:t>
      </w:r>
      <w:proofErr w:type="spellEnd"/>
      <w:r w:rsidR="001E54E3" w:rsidRPr="001A36B9">
        <w:rPr>
          <w:rFonts w:eastAsiaTheme="minorEastAsia"/>
        </w:rPr>
        <w:t xml:space="preserve"> </w:t>
      </w:r>
      <w:r w:rsidR="005C0E03">
        <w:rPr>
          <w:rFonts w:eastAsiaTheme="minorEastAsia"/>
        </w:rPr>
        <w:t>spectra</w:t>
      </w:r>
      <w:r w:rsidR="001E54E3">
        <w:rPr>
          <w:rFonts w:eastAsiaTheme="minorEastAsia"/>
        </w:rPr>
        <w:t xml:space="preserve"> (Supplementary Information, Figure S</w:t>
      </w:r>
      <w:r w:rsidR="00657531">
        <w:rPr>
          <w:rFonts w:eastAsiaTheme="minorEastAsia"/>
        </w:rPr>
        <w:t>9</w:t>
      </w:r>
      <w:r w:rsidR="001E54E3">
        <w:rPr>
          <w:rFonts w:eastAsiaTheme="minorEastAsia"/>
        </w:rPr>
        <w:t>)</w:t>
      </w:r>
      <w:r w:rsidR="001E54E3" w:rsidRPr="001A36B9">
        <w:rPr>
          <w:rFonts w:eastAsiaTheme="minorEastAsia"/>
        </w:rPr>
        <w:t xml:space="preserve"> were fit</w:t>
      </w:r>
      <w:r w:rsidR="00A257A2">
        <w:rPr>
          <w:rFonts w:eastAsiaTheme="minorEastAsia"/>
        </w:rPr>
        <w:t>ted</w:t>
      </w:r>
      <w:r w:rsidR="001E54E3" w:rsidRPr="001A36B9">
        <w:rPr>
          <w:rFonts w:eastAsiaTheme="minorEastAsia"/>
        </w:rPr>
        <w:t xml:space="preserve"> with a combination of </w:t>
      </w:r>
      <w:proofErr w:type="spellStart"/>
      <w:r w:rsidR="001E54E3" w:rsidRPr="001A36B9">
        <w:rPr>
          <w:rFonts w:eastAsiaTheme="minorEastAsia"/>
        </w:rPr>
        <w:t>Drude</w:t>
      </w:r>
      <w:proofErr w:type="spellEnd"/>
      <w:r w:rsidR="001E54E3" w:rsidRPr="001A36B9">
        <w:rPr>
          <w:rFonts w:eastAsiaTheme="minorEastAsia"/>
        </w:rPr>
        <w:t xml:space="preserve"> and Lorentz oscillators</w:t>
      </w:r>
      <w:r w:rsidR="001E54E3">
        <w:rPr>
          <w:rFonts w:eastAsiaTheme="minorEastAsia"/>
        </w:rPr>
        <w:t xml:space="preserve"> (Supplementary Information, Table S2)</w:t>
      </w:r>
      <w:r w:rsidR="001E54E3" w:rsidRPr="001A36B9">
        <w:rPr>
          <w:rFonts w:eastAsiaTheme="minorEastAsia"/>
        </w:rPr>
        <w:t xml:space="preserve"> to extract the </w:t>
      </w:r>
      <w:r w:rsidR="001E54E3" w:rsidRPr="001A36B9">
        <w:rPr>
          <w:rFonts w:eastAsiaTheme="minorEastAsia"/>
        </w:rPr>
        <w:lastRenderedPageBreak/>
        <w:t>complex dielectr</w:t>
      </w:r>
      <w:r w:rsidR="001E54E3">
        <w:rPr>
          <w:rFonts w:eastAsiaTheme="minorEastAsia"/>
        </w:rPr>
        <w:t>ic function presented in Figure 3 (c)</w:t>
      </w:r>
      <w:r w:rsidR="001E54E3" w:rsidRPr="001A36B9">
        <w:rPr>
          <w:rFonts w:eastAsiaTheme="minorEastAsia"/>
        </w:rPr>
        <w:t>.</w:t>
      </w:r>
      <w:r w:rsidR="005C1D9B">
        <w:rPr>
          <w:rFonts w:eastAsiaTheme="minorEastAsia"/>
        </w:rPr>
        <w:t xml:space="preserve"> The reduced</w:t>
      </w:r>
      <w:r w:rsidR="005C1D9B" w:rsidRPr="005C1D9B">
        <w:rPr>
          <w:rFonts w:eastAsiaTheme="minorEastAsia"/>
        </w:rPr>
        <w:t xml:space="preserve"> plasma energy </w:t>
      </w:r>
      <w:r w:rsidR="005C1D9B">
        <w:rPr>
          <w:rFonts w:eastAsiaTheme="minorEastAsia"/>
        </w:rPr>
        <w:t>for CaMoO</w:t>
      </w:r>
      <w:r w:rsidR="005C1D9B" w:rsidRPr="005C1D9B">
        <w:rPr>
          <w:rFonts w:eastAsiaTheme="minorEastAsia"/>
          <w:vertAlign w:val="subscript"/>
        </w:rPr>
        <w:t>3</w:t>
      </w:r>
      <w:r w:rsidR="005C1D9B">
        <w:rPr>
          <w:rFonts w:eastAsiaTheme="minorEastAsia"/>
        </w:rPr>
        <w:t xml:space="preserve"> </w:t>
      </w:r>
      <w:r w:rsidR="005C1D9B" w:rsidRPr="005C1D9B">
        <w:rPr>
          <w:rFonts w:eastAsiaTheme="minorEastAsia"/>
        </w:rPr>
        <w:t xml:space="preserve">is </w:t>
      </w:r>
      <w:r w:rsidR="005C1D9B">
        <w:rPr>
          <w:rFonts w:eastAsiaTheme="minorEastAsia"/>
        </w:rPr>
        <w:t xml:space="preserve">shifted to </w:t>
      </w:r>
      <w:r w:rsidR="005C1D9B" w:rsidRPr="005C1D9B">
        <w:rPr>
          <w:rFonts w:eastAsiaTheme="minorEastAsia"/>
        </w:rPr>
        <w:t>1.3</w:t>
      </w:r>
      <w:r w:rsidR="005C1D9B">
        <w:rPr>
          <w:rFonts w:eastAsiaTheme="minorEastAsia"/>
        </w:rPr>
        <w:t xml:space="preserve"> </w:t>
      </w:r>
      <w:r w:rsidR="005C1D9B" w:rsidRPr="005C1D9B">
        <w:rPr>
          <w:rFonts w:eastAsiaTheme="minorEastAsia"/>
        </w:rPr>
        <w:t>eV</w:t>
      </w:r>
      <w:r w:rsidR="005C1D9B">
        <w:rPr>
          <w:rFonts w:eastAsiaTheme="minorEastAsia"/>
        </w:rPr>
        <w:t xml:space="preserve"> compared to 1.73 eV for SrMoO</w:t>
      </w:r>
      <w:r w:rsidR="005C1D9B" w:rsidRPr="005C1D9B">
        <w:rPr>
          <w:rFonts w:eastAsiaTheme="minorEastAsia"/>
          <w:vertAlign w:val="subscript"/>
        </w:rPr>
        <w:t>3</w:t>
      </w:r>
      <w:r w:rsidR="005C1D9B">
        <w:rPr>
          <w:rFonts w:eastAsiaTheme="minorEastAsia"/>
        </w:rPr>
        <w:t xml:space="preserve"> (black arrow on the top panel of Figure 3 (c))</w:t>
      </w:r>
      <w:r w:rsidR="005C1D9B" w:rsidRPr="005C1D9B">
        <w:rPr>
          <w:rFonts w:eastAsiaTheme="minorEastAsia"/>
        </w:rPr>
        <w:t xml:space="preserve">, far below the visible region </w:t>
      </w:r>
      <w:r w:rsidR="00A257A2">
        <w:rPr>
          <w:rFonts w:eastAsiaTheme="minorEastAsia"/>
        </w:rPr>
        <w:t>which begins</w:t>
      </w:r>
      <w:r w:rsidR="00A257A2" w:rsidRPr="005C1D9B">
        <w:rPr>
          <w:rFonts w:eastAsiaTheme="minorEastAsia"/>
        </w:rPr>
        <w:t xml:space="preserve"> </w:t>
      </w:r>
      <w:r w:rsidR="005C1D9B" w:rsidRPr="005C1D9B">
        <w:rPr>
          <w:rFonts w:eastAsiaTheme="minorEastAsia"/>
        </w:rPr>
        <w:t>at 1.75</w:t>
      </w:r>
      <w:r w:rsidR="005C1D9B">
        <w:rPr>
          <w:rFonts w:eastAsiaTheme="minorEastAsia"/>
        </w:rPr>
        <w:t xml:space="preserve"> </w:t>
      </w:r>
      <w:r w:rsidR="005C1D9B" w:rsidRPr="005C1D9B">
        <w:rPr>
          <w:rFonts w:eastAsiaTheme="minorEastAsia"/>
        </w:rPr>
        <w:t>eV</w:t>
      </w:r>
      <w:r w:rsidR="00E76C9C">
        <w:rPr>
          <w:rFonts w:eastAsiaTheme="minorEastAsia"/>
        </w:rPr>
        <w:t>.</w:t>
      </w:r>
      <w:r w:rsidR="006404A5">
        <w:rPr>
          <w:rFonts w:eastAsiaTheme="minorEastAsia"/>
        </w:rPr>
        <w:t xml:space="preserve"> </w:t>
      </w:r>
      <w:r w:rsidR="00E76C9C">
        <w:rPr>
          <w:rFonts w:eastAsiaTheme="minorEastAsia"/>
        </w:rPr>
        <w:t>As for SrMoO</w:t>
      </w:r>
      <w:r w:rsidR="00E76C9C" w:rsidRPr="0028184E">
        <w:rPr>
          <w:rFonts w:eastAsiaTheme="minorEastAsia"/>
          <w:vertAlign w:val="subscript"/>
        </w:rPr>
        <w:t>3</w:t>
      </w:r>
      <w:r w:rsidR="00E76C9C">
        <w:rPr>
          <w:rFonts w:eastAsiaTheme="minorEastAsia"/>
        </w:rPr>
        <w:t xml:space="preserve">, the </w:t>
      </w:r>
      <w:r w:rsidR="00E76C9C" w:rsidRPr="0028184E">
        <w:rPr>
          <w:rFonts w:eastAsiaTheme="minorEastAsia"/>
          <w:i/>
        </w:rPr>
        <w:t>4d</w:t>
      </w:r>
      <w:r w:rsidR="00E76C9C" w:rsidRPr="0028184E">
        <w:rPr>
          <w:rFonts w:eastAsiaTheme="minorEastAsia"/>
          <w:i/>
          <w:vertAlign w:val="superscript"/>
        </w:rPr>
        <w:t>2</w:t>
      </w:r>
      <w:r w:rsidR="00E76C9C">
        <w:rPr>
          <w:rFonts w:eastAsiaTheme="minorEastAsia"/>
        </w:rPr>
        <w:t xml:space="preserve"> parentage of the </w:t>
      </w:r>
      <w:r w:rsidR="00E76C9C" w:rsidRPr="0028184E">
        <w:rPr>
          <w:rFonts w:eastAsiaTheme="minorEastAsia"/>
          <w:i/>
        </w:rPr>
        <w:t>t</w:t>
      </w:r>
      <w:r w:rsidR="00E76C9C" w:rsidRPr="0028184E">
        <w:rPr>
          <w:rFonts w:eastAsiaTheme="minorEastAsia"/>
          <w:i/>
          <w:vertAlign w:val="subscript"/>
        </w:rPr>
        <w:t>2g</w:t>
      </w:r>
      <w:r w:rsidR="00E76C9C">
        <w:rPr>
          <w:rFonts w:eastAsiaTheme="minorEastAsia"/>
        </w:rPr>
        <w:t xml:space="preserve"> band shifts the inter-band charge-transfer transitions out of the visible region </w:t>
      </w:r>
      <w:r w:rsidR="006404A5">
        <w:rPr>
          <w:rFonts w:eastAsiaTheme="minorEastAsia"/>
        </w:rPr>
        <w:t>as a broad peak at 4.25 eV</w:t>
      </w:r>
      <w:r w:rsidR="005C1D9B" w:rsidRPr="005C1D9B">
        <w:rPr>
          <w:rFonts w:eastAsiaTheme="minorEastAsia"/>
        </w:rPr>
        <w:t>.</w:t>
      </w:r>
      <w:r w:rsidR="00CC5EC2">
        <w:rPr>
          <w:rFonts w:eastAsiaTheme="minorEastAsia"/>
        </w:rPr>
        <w:t xml:space="preserve"> To verify that the shift in the plasma frequency is controlled by bandwidth tuning</w:t>
      </w:r>
      <w:r w:rsidR="00E76C9C">
        <w:rPr>
          <w:rFonts w:eastAsiaTheme="minorEastAsia"/>
        </w:rPr>
        <w:t>,</w:t>
      </w:r>
      <w:r w:rsidR="00CC5EC2">
        <w:rPr>
          <w:rFonts w:eastAsiaTheme="minorEastAsia"/>
        </w:rPr>
        <w:t xml:space="preserve"> the </w:t>
      </w:r>
      <w:r w:rsidR="00C92E07">
        <w:rPr>
          <w:rFonts w:eastAsiaTheme="minorEastAsia"/>
        </w:rPr>
        <w:t>DFT</w:t>
      </w:r>
      <w:r w:rsidR="00E76C9C">
        <w:rPr>
          <w:rFonts w:eastAsiaTheme="minorEastAsia"/>
        </w:rPr>
        <w:t>-</w:t>
      </w:r>
      <w:r w:rsidR="00C92E07">
        <w:rPr>
          <w:rFonts w:eastAsiaTheme="minorEastAsia"/>
        </w:rPr>
        <w:t>calculated density of states</w:t>
      </w:r>
      <w:r w:rsidR="00CC5EC2">
        <w:rPr>
          <w:rFonts w:eastAsiaTheme="minorEastAsia"/>
        </w:rPr>
        <w:t xml:space="preserve"> of CaMoO</w:t>
      </w:r>
      <w:r w:rsidR="00C92E07" w:rsidRPr="00C92E07">
        <w:rPr>
          <w:rFonts w:eastAsiaTheme="minorEastAsia"/>
          <w:vertAlign w:val="subscript"/>
        </w:rPr>
        <w:t>3</w:t>
      </w:r>
      <w:r w:rsidR="00C92E07">
        <w:rPr>
          <w:rFonts w:eastAsiaTheme="minorEastAsia"/>
        </w:rPr>
        <w:t xml:space="preserve"> is compared to SrMoO</w:t>
      </w:r>
      <w:r w:rsidR="00C92E07" w:rsidRPr="00C92E07">
        <w:rPr>
          <w:rFonts w:eastAsiaTheme="minorEastAsia"/>
          <w:vertAlign w:val="subscript"/>
        </w:rPr>
        <w:t>3</w:t>
      </w:r>
      <w:r w:rsidR="00C92E07">
        <w:rPr>
          <w:rFonts w:eastAsiaTheme="minorEastAsia"/>
        </w:rPr>
        <w:t xml:space="preserve"> (Figure 3 (d)). </w:t>
      </w:r>
      <w:r w:rsidR="00BB20B6">
        <w:rPr>
          <w:rFonts w:eastAsiaTheme="minorEastAsia"/>
        </w:rPr>
        <w:t xml:space="preserve">The </w:t>
      </w:r>
      <w:r w:rsidR="00A257A2" w:rsidRPr="00002205">
        <w:rPr>
          <w:rFonts w:eastAsiaTheme="minorEastAsia"/>
          <w:i/>
        </w:rPr>
        <w:t>t</w:t>
      </w:r>
      <w:r w:rsidR="00A257A2" w:rsidRPr="00002205">
        <w:rPr>
          <w:rFonts w:eastAsiaTheme="minorEastAsia"/>
          <w:i/>
          <w:vertAlign w:val="subscript"/>
        </w:rPr>
        <w:t>2g</w:t>
      </w:r>
      <w:r w:rsidR="00A257A2">
        <w:rPr>
          <w:rFonts w:eastAsiaTheme="minorEastAsia"/>
        </w:rPr>
        <w:t xml:space="preserve"> band</w:t>
      </w:r>
      <w:r w:rsidR="00BB20B6">
        <w:rPr>
          <w:rFonts w:eastAsiaTheme="minorEastAsia"/>
        </w:rPr>
        <w:t>width</w:t>
      </w:r>
      <w:r w:rsidR="00A257A2">
        <w:rPr>
          <w:rFonts w:eastAsiaTheme="minorEastAsia"/>
        </w:rPr>
        <w:t>s</w:t>
      </w:r>
      <w:r w:rsidR="00BB20B6">
        <w:rPr>
          <w:rFonts w:eastAsiaTheme="minorEastAsia"/>
        </w:rPr>
        <w:t xml:space="preserve"> for SrMoO</w:t>
      </w:r>
      <w:r w:rsidR="00BB20B6" w:rsidRPr="00BB20B6">
        <w:rPr>
          <w:rFonts w:eastAsiaTheme="minorEastAsia"/>
          <w:vertAlign w:val="subscript"/>
        </w:rPr>
        <w:t>3</w:t>
      </w:r>
      <w:r w:rsidR="00BB20B6">
        <w:rPr>
          <w:rFonts w:eastAsiaTheme="minorEastAsia"/>
        </w:rPr>
        <w:t xml:space="preserve"> and CaMoO</w:t>
      </w:r>
      <w:r w:rsidR="00BB20B6" w:rsidRPr="00BB20B6">
        <w:rPr>
          <w:rFonts w:eastAsiaTheme="minorEastAsia"/>
          <w:vertAlign w:val="subscript"/>
        </w:rPr>
        <w:t>3</w:t>
      </w:r>
      <w:r w:rsidR="00BB20B6">
        <w:rPr>
          <w:rFonts w:eastAsiaTheme="minorEastAsia"/>
        </w:rPr>
        <w:t xml:space="preserve"> are calculated </w:t>
      </w:r>
      <w:r w:rsidR="00A257A2">
        <w:rPr>
          <w:rFonts w:eastAsiaTheme="minorEastAsia"/>
        </w:rPr>
        <w:t>as</w:t>
      </w:r>
      <w:r w:rsidR="00BB20B6">
        <w:rPr>
          <w:rFonts w:eastAsiaTheme="minorEastAsia"/>
        </w:rPr>
        <w:t xml:space="preserve"> 3.62 eV and 3.18 eV respectively</w:t>
      </w:r>
      <w:r w:rsidR="000B69C7">
        <w:rPr>
          <w:rFonts w:eastAsiaTheme="minorEastAsia"/>
        </w:rPr>
        <w:t xml:space="preserve">. </w:t>
      </w:r>
      <w:r w:rsidR="00C828F5" w:rsidRPr="00C828F5">
        <w:rPr>
          <w:rFonts w:eastAsiaTheme="minorEastAsia"/>
        </w:rPr>
        <w:t xml:space="preserve">The ratio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</w:rPr>
              <m:t>CaMo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</w:rPr>
              <m:t>SrMo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den>
        </m:f>
      </m:oMath>
      <w:r w:rsidR="00C828F5" w:rsidRPr="00C828F5">
        <w:rPr>
          <w:rFonts w:eastAsiaTheme="minorEastAsia"/>
        </w:rPr>
        <w:t xml:space="preserve">= 0.75 is close to the ratio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eff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CaMo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∙WCaMo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eff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SrMo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∙WSrMo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</m:den>
            </m:f>
          </m:e>
        </m:rad>
      </m:oMath>
      <w:r w:rsidR="00C828F5" w:rsidRPr="00C828F5">
        <w:rPr>
          <w:rFonts w:eastAsiaTheme="minorEastAsia"/>
        </w:rPr>
        <w:t xml:space="preserve"> = 0.77</w:t>
      </w:r>
    </w:p>
    <w:p w14:paraId="66C8ADF2" w14:textId="54A97EF4" w:rsidR="00C05C80" w:rsidRDefault="00CD37FB" w:rsidP="00FE0ED9">
      <w:pPr>
        <w:spacing w:line="480" w:lineRule="auto"/>
      </w:pPr>
      <w:proofErr w:type="gramStart"/>
      <w:r w:rsidRPr="004D3A27">
        <w:rPr>
          <w:rFonts w:eastAsiaTheme="minorEastAsia"/>
        </w:rPr>
        <w:t>show</w:t>
      </w:r>
      <w:r w:rsidR="00BF79AF" w:rsidRPr="004D3A27">
        <w:rPr>
          <w:rFonts w:eastAsiaTheme="minorEastAsia"/>
        </w:rPr>
        <w:t>ing</w:t>
      </w:r>
      <w:proofErr w:type="gramEnd"/>
      <w:r w:rsidRPr="004D3A27">
        <w:rPr>
          <w:rFonts w:eastAsiaTheme="minorEastAsia"/>
        </w:rPr>
        <w:t xml:space="preserve"> that </w:t>
      </w:r>
      <w:r w:rsidR="00E26AA0" w:rsidRPr="004D3A27">
        <w:rPr>
          <w:rFonts w:eastAsiaTheme="minorEastAsia"/>
        </w:rPr>
        <w:t xml:space="preserve">the reduction of plasma frequency is not only due to </w:t>
      </w:r>
      <w:r w:rsidR="00F27BC8" w:rsidRPr="004D3A27">
        <w:rPr>
          <w:rFonts w:eastAsiaTheme="minorEastAsia"/>
        </w:rPr>
        <w:t xml:space="preserve">the smaller </w:t>
      </w:r>
      <w:r w:rsidR="00BC42E8" w:rsidRPr="004D3A27">
        <w:rPr>
          <w:rFonts w:eastAsiaTheme="minorEastAsia"/>
        </w:rPr>
        <w:t>carrier concentration</w:t>
      </w:r>
      <w:r w:rsidR="00F27BC8" w:rsidRPr="004D3A27">
        <w:rPr>
          <w:rFonts w:eastAsiaTheme="minorEastAsia"/>
        </w:rPr>
        <w:t xml:space="preserve">, but </w:t>
      </w:r>
      <w:r w:rsidR="00C21819" w:rsidRPr="004D3A27">
        <w:rPr>
          <w:rFonts w:eastAsiaTheme="minorEastAsia"/>
        </w:rPr>
        <w:t xml:space="preserve">also from the </w:t>
      </w:r>
      <w:r w:rsidR="001C39DB" w:rsidRPr="004D3A27">
        <w:t xml:space="preserve">larger </w:t>
      </w:r>
      <w:r w:rsidRPr="004D3A27">
        <w:t>effective mass</w:t>
      </w:r>
      <w:r w:rsidR="00C21819" w:rsidRPr="004D3A27">
        <w:t xml:space="preserve"> of</w:t>
      </w:r>
      <w:r w:rsidR="001C39DB" w:rsidRPr="004D3A27">
        <w:t xml:space="preserve"> </w:t>
      </w:r>
      <w:r w:rsidR="00C21819" w:rsidRPr="004D3A27">
        <w:t>CaMoO</w:t>
      </w:r>
      <w:r w:rsidR="00C21819" w:rsidRPr="004D3A27">
        <w:rPr>
          <w:vertAlign w:val="subscript"/>
        </w:rPr>
        <w:t>3</w:t>
      </w:r>
      <w:r w:rsidR="00C21819" w:rsidRPr="004D3A27">
        <w:t xml:space="preserve">, </w:t>
      </w:r>
      <w:r w:rsidR="001C39DB" w:rsidRPr="004D3A27">
        <w:t xml:space="preserve">because </w:t>
      </w:r>
      <w:r w:rsidR="00E76C9C" w:rsidRPr="004D3A27">
        <w:t>the octahedral tilting reduces the Mo-O-Mo overlap compared to cubic Sr</w:t>
      </w:r>
      <w:r w:rsidR="00A257A2" w:rsidRPr="004D3A27">
        <w:t>Mo</w:t>
      </w:r>
      <w:r w:rsidR="00E76C9C" w:rsidRPr="004D3A27">
        <w:t>O</w:t>
      </w:r>
      <w:r w:rsidR="00E76C9C" w:rsidRPr="004D3A27">
        <w:rPr>
          <w:vertAlign w:val="subscript"/>
        </w:rPr>
        <w:t>3</w:t>
      </w:r>
      <w:r w:rsidR="00E76C9C" w:rsidRPr="00C21819">
        <w:t>.</w:t>
      </w:r>
      <w:r w:rsidR="00E76C9C">
        <w:t xml:space="preserve"> </w:t>
      </w:r>
      <w:r w:rsidR="001C39DB">
        <w:t xml:space="preserve">This gives </w:t>
      </w:r>
      <w:r>
        <w:t xml:space="preserve">a </w:t>
      </w:r>
      <w:r w:rsidR="001C39DB">
        <w:t xml:space="preserve">lower plasma frequency, which outweighs the associated reduction in mobility because of the retained high carrier density. </w:t>
      </w:r>
      <w:r>
        <w:t>The position of charge transfer</w:t>
      </w:r>
      <w:r w:rsidR="001C39DB">
        <w:t xml:space="preserve"> band is</w:t>
      </w:r>
      <w:r>
        <w:t xml:space="preserve"> retained from the band </w:t>
      </w:r>
      <w:r w:rsidR="00A257A2">
        <w:t xml:space="preserve">position and </w:t>
      </w:r>
      <w:r>
        <w:t>filling approach and</w:t>
      </w:r>
      <w:r w:rsidR="001C39DB">
        <w:t xml:space="preserve"> </w:t>
      </w:r>
      <w:r w:rsidR="00535554">
        <w:t>is chemically optimiz</w:t>
      </w:r>
      <w:r>
        <w:t>ed.</w:t>
      </w:r>
      <w:r w:rsidR="001C39DB">
        <w:t xml:space="preserve"> </w:t>
      </w:r>
      <w:r>
        <w:t>T</w:t>
      </w:r>
      <w:r w:rsidR="001C39DB">
        <w:t xml:space="preserve">he reduced </w:t>
      </w:r>
      <w:r w:rsidR="001C39DB" w:rsidRPr="0028184E">
        <w:rPr>
          <w:i/>
        </w:rPr>
        <w:t>t</w:t>
      </w:r>
      <w:r w:rsidR="001C39DB" w:rsidRPr="0028184E">
        <w:rPr>
          <w:i/>
          <w:vertAlign w:val="subscript"/>
        </w:rPr>
        <w:t>2g</w:t>
      </w:r>
      <w:r w:rsidR="001C39DB">
        <w:t xml:space="preserve"> bandwidth raise</w:t>
      </w:r>
      <w:r>
        <w:t>s</w:t>
      </w:r>
      <w:r w:rsidR="001C39DB">
        <w:t xml:space="preserve"> the bottom of the band </w:t>
      </w:r>
      <w:r>
        <w:t>compared to</w:t>
      </w:r>
      <w:r w:rsidR="001C39DB">
        <w:t xml:space="preserve"> the top of the O </w:t>
      </w:r>
      <w:r w:rsidR="001C39DB" w:rsidRPr="0028184E">
        <w:rPr>
          <w:i/>
        </w:rPr>
        <w:t>2p</w:t>
      </w:r>
      <w:r w:rsidR="001C39DB">
        <w:t xml:space="preserve"> band</w:t>
      </w:r>
      <w:r w:rsidR="00A257A2">
        <w:t>, which consists</w:t>
      </w:r>
      <w:r w:rsidR="001C39DB">
        <w:t xml:space="preserve"> in perovskites </w:t>
      </w:r>
      <w:r w:rsidR="00A257A2">
        <w:t>of</w:t>
      </w:r>
      <w:r w:rsidR="001C39DB">
        <w:t xml:space="preserve"> M-O non-bonding O 2p states </w:t>
      </w:r>
      <w:r w:rsidR="00A257A2">
        <w:t xml:space="preserve">that </w:t>
      </w:r>
      <w:r>
        <w:t>are less affected by the tilting</w:t>
      </w:r>
      <w:r w:rsidR="001C39DB">
        <w:t>.</w:t>
      </w:r>
      <w:r>
        <w:t xml:space="preserve"> This fine tuning of the electronic band structure gives </w:t>
      </w:r>
      <w:r w:rsidR="00E76C9C">
        <w:t xml:space="preserve">a superior </w:t>
      </w:r>
      <w:proofErr w:type="spellStart"/>
      <w:r>
        <w:t>Haacke</w:t>
      </w:r>
      <w:proofErr w:type="spellEnd"/>
      <w:r>
        <w:t xml:space="preserve"> FOM </w:t>
      </w:r>
      <w:r w:rsidR="00E76C9C">
        <w:t xml:space="preserve">to </w:t>
      </w:r>
      <w:r w:rsidR="007214E7">
        <w:t xml:space="preserve">cubic </w:t>
      </w:r>
      <w:r>
        <w:t>SrMoO</w:t>
      </w:r>
      <w:r w:rsidRPr="00CD37FB">
        <w:rPr>
          <w:vertAlign w:val="subscript"/>
        </w:rPr>
        <w:t>3</w:t>
      </w:r>
      <w:r w:rsidR="003E1A40">
        <w:t>.</w:t>
      </w:r>
      <w:r>
        <w:t xml:space="preserve"> </w:t>
      </w:r>
      <w:r w:rsidR="003E1A40">
        <w:t xml:space="preserve">The </w:t>
      </w:r>
      <w:r w:rsidR="007214E7">
        <w:t xml:space="preserve">orthorhombic </w:t>
      </w:r>
      <w:r w:rsidR="003E1A40">
        <w:t>CaMoO</w:t>
      </w:r>
      <w:r w:rsidR="003E1A40" w:rsidRPr="0028184E">
        <w:rPr>
          <w:vertAlign w:val="subscript"/>
        </w:rPr>
        <w:t>3</w:t>
      </w:r>
      <w:r>
        <w:t xml:space="preserve"> value of 9.8·10</w:t>
      </w:r>
      <w:r w:rsidRPr="00CD37FB">
        <w:rPr>
          <w:vertAlign w:val="superscript"/>
        </w:rPr>
        <w:t>-4</w:t>
      </w:r>
      <w:r>
        <w:t xml:space="preserve"> S </w:t>
      </w:r>
      <w:r w:rsidR="00E76C9C">
        <w:t xml:space="preserve">matches </w:t>
      </w:r>
      <w:r>
        <w:t>epitaxial ITO for equivalent thickness.</w:t>
      </w:r>
    </w:p>
    <w:p w14:paraId="4477EBED" w14:textId="77777777" w:rsidR="004B1B1D" w:rsidRDefault="004B1B1D" w:rsidP="00FE0ED9">
      <w:pPr>
        <w:spacing w:line="480" w:lineRule="auto"/>
      </w:pPr>
    </w:p>
    <w:p w14:paraId="4B0AF045" w14:textId="60FEE0F3" w:rsidR="004B1B1D" w:rsidRDefault="004B1B1D" w:rsidP="004B1B1D">
      <w:pPr>
        <w:pStyle w:val="Head1"/>
      </w:pPr>
      <w:r>
        <w:t>4</w:t>
      </w:r>
      <w:r w:rsidRPr="007B249B">
        <w:t xml:space="preserve">. </w:t>
      </w:r>
      <w:r>
        <w:t>Conclusions</w:t>
      </w:r>
    </w:p>
    <w:p w14:paraId="3210D6BD" w14:textId="77777777" w:rsidR="004B1B1D" w:rsidRDefault="004B1B1D" w:rsidP="00FE0ED9">
      <w:pPr>
        <w:spacing w:line="480" w:lineRule="auto"/>
      </w:pPr>
    </w:p>
    <w:p w14:paraId="75E9516D" w14:textId="1DD5A8B5" w:rsidR="00A164FC" w:rsidRDefault="00EF731A" w:rsidP="00FE0ED9">
      <w:pPr>
        <w:spacing w:line="480" w:lineRule="auto"/>
      </w:pPr>
      <w:r>
        <w:t xml:space="preserve">We have demonstrated that by </w:t>
      </w:r>
      <w:r w:rsidR="00E76C9C">
        <w:t>using the three chemically controllable parameters of carrier density, orbital energy and bandwidth we can tune the</w:t>
      </w:r>
      <w:r>
        <w:t xml:space="preserve"> charge transfer</w:t>
      </w:r>
      <w:r w:rsidRPr="00EF731A">
        <w:t xml:space="preserve"> band position, plasma frequency and conductivity </w:t>
      </w:r>
      <w:r w:rsidR="001B6E52">
        <w:t>to optimiz</w:t>
      </w:r>
      <w:r w:rsidR="00E76C9C">
        <w:t>e the transparent conductor performance of</w:t>
      </w:r>
      <w:r>
        <w:t xml:space="preserve"> </w:t>
      </w:r>
      <w:r w:rsidR="00301AE2">
        <w:t xml:space="preserve">non-toxic, </w:t>
      </w:r>
      <w:r w:rsidR="00301AE2">
        <w:lastRenderedPageBreak/>
        <w:t xml:space="preserve">earth abundant </w:t>
      </w:r>
      <w:r w:rsidRPr="00EF731A">
        <w:t>Mo</w:t>
      </w:r>
      <w:r w:rsidR="000631EE">
        <w:t>-</w:t>
      </w:r>
      <w:r w:rsidRPr="00EF731A">
        <w:t xml:space="preserve">based </w:t>
      </w:r>
      <w:r w:rsidR="000631EE">
        <w:t xml:space="preserve">correlated metal </w:t>
      </w:r>
      <w:r>
        <w:t xml:space="preserve">perovskite </w:t>
      </w:r>
      <w:r w:rsidRPr="00EF731A">
        <w:t>oxides</w:t>
      </w:r>
      <w:r w:rsidR="00E76C9C">
        <w:t xml:space="preserve"> to</w:t>
      </w:r>
      <w:r>
        <w:t xml:space="preserve"> match the best-in-class wide band gap semiconductors. </w:t>
      </w:r>
      <w:r w:rsidR="00301AE2">
        <w:t>The</w:t>
      </w:r>
      <w:r w:rsidR="00E76C9C">
        <w:t>se</w:t>
      </w:r>
      <w:r w:rsidR="00301AE2">
        <w:t xml:space="preserve"> strategies </w:t>
      </w:r>
      <w:r w:rsidRPr="00EF731A">
        <w:t>open new paths to chemical</w:t>
      </w:r>
      <w:r w:rsidR="00E76C9C">
        <w:t>ly</w:t>
      </w:r>
      <w:r w:rsidRPr="00EF731A">
        <w:t xml:space="preserve"> control </w:t>
      </w:r>
      <w:r w:rsidR="00E76C9C">
        <w:t>the</w:t>
      </w:r>
      <w:r w:rsidRPr="00EF731A">
        <w:t xml:space="preserve"> performance</w:t>
      </w:r>
      <w:r w:rsidR="00301AE2">
        <w:t xml:space="preserve"> </w:t>
      </w:r>
      <w:r w:rsidR="00E76C9C">
        <w:t xml:space="preserve">of </w:t>
      </w:r>
      <w:r w:rsidR="00301AE2">
        <w:t>correlated transparent conductor</w:t>
      </w:r>
      <w:r w:rsidR="00E76C9C">
        <w:t>s</w:t>
      </w:r>
      <w:r w:rsidRPr="00EF731A">
        <w:t>.</w:t>
      </w:r>
    </w:p>
    <w:p w14:paraId="0E58C2E9" w14:textId="77777777" w:rsidR="007E1B9A" w:rsidRDefault="007E1B9A" w:rsidP="00FE0ED9">
      <w:pPr>
        <w:spacing w:line="480" w:lineRule="auto"/>
      </w:pPr>
    </w:p>
    <w:p w14:paraId="289C2A1F" w14:textId="2D08C4F0" w:rsidR="00FE0ED9" w:rsidRDefault="004B1B1D" w:rsidP="00FE0ED9">
      <w:pPr>
        <w:pStyle w:val="Head1"/>
        <w:rPr>
          <w:b w:val="0"/>
          <w:color w:val="FF0000"/>
        </w:rPr>
      </w:pPr>
      <w:r>
        <w:t xml:space="preserve">5. </w:t>
      </w:r>
      <w:r w:rsidR="00FE0ED9">
        <w:t xml:space="preserve">Experimental Section </w:t>
      </w:r>
    </w:p>
    <w:p w14:paraId="0827CAB2" w14:textId="1672A51C" w:rsidR="00FE0ED9" w:rsidRDefault="00FE0ED9" w:rsidP="00FE0ED9">
      <w:pPr>
        <w:pStyle w:val="ExperimentalText"/>
      </w:pPr>
      <w:r>
        <w:rPr>
          <w:i/>
        </w:rPr>
        <w:t>Thin film deposition</w:t>
      </w:r>
      <w:r w:rsidRPr="00A35E4A">
        <w:t xml:space="preserve">: </w:t>
      </w:r>
      <w:r>
        <w:t>SrMoO</w:t>
      </w:r>
      <w:r w:rsidRPr="00046E65">
        <w:rPr>
          <w:vertAlign w:val="subscript"/>
        </w:rPr>
        <w:t>3</w:t>
      </w:r>
      <w:r>
        <w:t xml:space="preserve"> and CaMoO</w:t>
      </w:r>
      <w:r w:rsidRPr="00046E65">
        <w:rPr>
          <w:vertAlign w:val="subscript"/>
        </w:rPr>
        <w:t>3</w:t>
      </w:r>
      <w:r>
        <w:t xml:space="preserve"> films were deposited via pulsed laser deposition on SrTiO</w:t>
      </w:r>
      <w:r w:rsidRPr="00046E65">
        <w:rPr>
          <w:vertAlign w:val="subscript"/>
        </w:rPr>
        <w:t>3</w:t>
      </w:r>
      <w:r>
        <w:t xml:space="preserve"> (001) substrates. Dense ceramic targets of SrMoO</w:t>
      </w:r>
      <w:r w:rsidRPr="00046E65">
        <w:rPr>
          <w:vertAlign w:val="subscript"/>
        </w:rPr>
        <w:t>4</w:t>
      </w:r>
      <w:r>
        <w:t xml:space="preserve"> and CaMoO</w:t>
      </w:r>
      <w:r w:rsidRPr="00046E65">
        <w:rPr>
          <w:vertAlign w:val="subscript"/>
        </w:rPr>
        <w:t>4</w:t>
      </w:r>
      <w:r>
        <w:t xml:space="preserve"> were prepared via conventional solid state synthesis. A reducing environment of 2.5% H</w:t>
      </w:r>
      <w:r w:rsidRPr="00046E65">
        <w:rPr>
          <w:vertAlign w:val="subscript"/>
        </w:rPr>
        <w:t>2</w:t>
      </w:r>
      <w:r>
        <w:t xml:space="preserve"> in </w:t>
      </w:r>
      <w:proofErr w:type="spellStart"/>
      <w:r>
        <w:t>Ar</w:t>
      </w:r>
      <w:proofErr w:type="spellEnd"/>
      <w:r>
        <w:t xml:space="preserve"> was used at 0.3mTorr in order to reduce the Mo</w:t>
      </w:r>
      <w:r w:rsidRPr="00046E65">
        <w:rPr>
          <w:vertAlign w:val="superscript"/>
        </w:rPr>
        <w:t>6+</w:t>
      </w:r>
      <w:r>
        <w:t xml:space="preserve"> oxidation state of the target to the Mo</w:t>
      </w:r>
      <w:r w:rsidRPr="00046E65">
        <w:rPr>
          <w:vertAlign w:val="superscript"/>
        </w:rPr>
        <w:t>4+</w:t>
      </w:r>
      <w:r>
        <w:t xml:space="preserve"> state of the targeted perovskite phase as demonstrated in previous reports.</w:t>
      </w:r>
      <w:r w:rsidR="005565F4">
        <w:t xml:space="preserve"> </w:t>
      </w:r>
      <w:proofErr w:type="gramStart"/>
      <w:r w:rsidR="00212EFA" w:rsidRPr="00212EFA">
        <w:rPr>
          <w:noProof/>
          <w:vertAlign w:val="superscript"/>
        </w:rPr>
        <w:t>[12, 16, 19]</w:t>
      </w:r>
      <w:r>
        <w:t>.</w:t>
      </w:r>
      <w:proofErr w:type="gramEnd"/>
      <w:r>
        <w:t xml:space="preserve"> A nominal substrate t</w:t>
      </w:r>
      <w:r w:rsidR="006A502F">
        <w:t>emperature of 650°C was used with</w:t>
      </w:r>
      <w:r>
        <w:t xml:space="preserve"> a laser </w:t>
      </w:r>
      <w:proofErr w:type="spellStart"/>
      <w:r>
        <w:t>fluence</w:t>
      </w:r>
      <w:proofErr w:type="spellEnd"/>
      <w:r>
        <w:t xml:space="preserve"> of 1.3 J/cm</w:t>
      </w:r>
      <w:r w:rsidRPr="00046E65">
        <w:rPr>
          <w:vertAlign w:val="superscript"/>
        </w:rPr>
        <w:t>2</w:t>
      </w:r>
      <w:r w:rsidR="00A161D8">
        <w:t xml:space="preserve"> at a rate of 1 Hz.</w:t>
      </w:r>
      <w:r w:rsidR="000570F7">
        <w:t xml:space="preserve"> </w:t>
      </w:r>
      <w:r w:rsidR="000570F7" w:rsidRPr="00401FAD">
        <w:t>Both films presented a metallic luster with a red and brown shade for the SrMoO</w:t>
      </w:r>
      <w:r w:rsidR="000570F7" w:rsidRPr="00401FAD">
        <w:rPr>
          <w:vertAlign w:val="subscript"/>
        </w:rPr>
        <w:t>3</w:t>
      </w:r>
      <w:r w:rsidR="000570F7" w:rsidRPr="00401FAD">
        <w:t xml:space="preserve"> and CaMoO</w:t>
      </w:r>
      <w:r w:rsidR="000570F7" w:rsidRPr="00401FAD">
        <w:rPr>
          <w:vertAlign w:val="subscript"/>
        </w:rPr>
        <w:t>3</w:t>
      </w:r>
      <w:r w:rsidR="000570F7" w:rsidRPr="00401FAD">
        <w:t xml:space="preserve"> films respectively.</w:t>
      </w:r>
      <w:bookmarkStart w:id="0" w:name="_GoBack"/>
      <w:bookmarkEnd w:id="0"/>
    </w:p>
    <w:p w14:paraId="7997CE6D" w14:textId="2281AC86" w:rsidR="00FE0ED9" w:rsidRDefault="00FE0ED9" w:rsidP="00FE0ED9">
      <w:pPr>
        <w:pStyle w:val="ExperimentalText"/>
      </w:pPr>
      <w:r w:rsidRPr="00EE10F3">
        <w:rPr>
          <w:i/>
        </w:rPr>
        <w:t xml:space="preserve">Structural </w:t>
      </w:r>
      <w:r>
        <w:rPr>
          <w:i/>
        </w:rPr>
        <w:t>characterization</w:t>
      </w:r>
      <w:r>
        <w:t xml:space="preserve">: The quality of the films was assessed using </w:t>
      </w:r>
      <w:r w:rsidR="00856DE1">
        <w:t>X</w:t>
      </w:r>
      <w:r>
        <w:t xml:space="preserve">-ray diffraction using a </w:t>
      </w:r>
      <w:proofErr w:type="spellStart"/>
      <w:r>
        <w:t>Rigaku</w:t>
      </w:r>
      <w:proofErr w:type="spellEnd"/>
      <w:r>
        <w:t xml:space="preserve"> </w:t>
      </w:r>
      <w:proofErr w:type="spellStart"/>
      <w:r>
        <w:t>SmartLab</w:t>
      </w:r>
      <w:proofErr w:type="spellEnd"/>
      <w:r>
        <w:t xml:space="preserve"> diffractometer including out-of-plane large angle scans</w:t>
      </w:r>
      <w:r w:rsidR="00C246C1">
        <w:t>, reciprocal space m</w:t>
      </w:r>
      <w:r w:rsidR="00ED2BA6">
        <w:t>apping</w:t>
      </w:r>
      <w:r>
        <w:t xml:space="preserve">, </w:t>
      </w:r>
      <w:proofErr w:type="gramStart"/>
      <w:r>
        <w:t>reflectivity</w:t>
      </w:r>
      <w:proofErr w:type="gramEnd"/>
      <w:r>
        <w:t xml:space="preserve"> and rocking curve analysis. The surface morphology of the film was studied </w:t>
      </w:r>
      <w:r w:rsidR="00C246C1">
        <w:t>by atomic force m</w:t>
      </w:r>
      <w:r w:rsidR="00ED2BA6">
        <w:t>icroscopy</w:t>
      </w:r>
      <w:r>
        <w:t xml:space="preserve"> with an Agilent 5600LS Microscope.</w:t>
      </w:r>
    </w:p>
    <w:p w14:paraId="4FD71B8A" w14:textId="3E52AD6F" w:rsidR="00FE0ED9" w:rsidRDefault="00FE0ED9" w:rsidP="00FE0ED9">
      <w:pPr>
        <w:pStyle w:val="ExperimentalText"/>
      </w:pPr>
      <w:r w:rsidRPr="00EE10F3">
        <w:rPr>
          <w:i/>
        </w:rPr>
        <w:t>Electrical properties</w:t>
      </w:r>
      <w:r>
        <w:t xml:space="preserve">: Resistivity and Hall resistance as a function of temperature were collected from 300K to 5K </w:t>
      </w:r>
      <w:r w:rsidR="00393406">
        <w:t>in the</w:t>
      </w:r>
      <w:r>
        <w:t xml:space="preserve"> </w:t>
      </w:r>
      <w:r w:rsidR="00487149">
        <w:t xml:space="preserve">Van der </w:t>
      </w:r>
      <w:proofErr w:type="spellStart"/>
      <w:r w:rsidR="00487149">
        <w:t>Pauw</w:t>
      </w:r>
      <w:proofErr w:type="spellEnd"/>
      <w:r w:rsidR="00487149">
        <w:t xml:space="preserve"> configuration</w:t>
      </w:r>
      <w:r w:rsidRPr="00EE10F3">
        <w:t xml:space="preserve"> </w:t>
      </w:r>
      <w:r>
        <w:t>using a Quantum Design Physical Pr</w:t>
      </w:r>
      <w:r w:rsidR="00487149">
        <w:t>operty Measurement System</w:t>
      </w:r>
      <w:r>
        <w:t xml:space="preserve">. To extract the Hall </w:t>
      </w:r>
      <w:r w:rsidR="00706829">
        <w:t>resistance the magnetic field</w:t>
      </w:r>
      <w:r>
        <w:t xml:space="preserve"> was varied from -14 T to 14 T and the antisymmetric part of the measured resistivity was calculated.</w:t>
      </w:r>
    </w:p>
    <w:p w14:paraId="0A48655D" w14:textId="77777777" w:rsidR="00FE0ED9" w:rsidRDefault="00FE0ED9" w:rsidP="00FE0ED9">
      <w:pPr>
        <w:pStyle w:val="ExperimentalText"/>
      </w:pPr>
      <w:r w:rsidRPr="006C2B84">
        <w:rPr>
          <w:i/>
        </w:rPr>
        <w:t>Optical properties</w:t>
      </w:r>
      <w:r>
        <w:t xml:space="preserve">: </w:t>
      </w:r>
      <w:proofErr w:type="spellStart"/>
      <w:r>
        <w:t>Ellipsometry</w:t>
      </w:r>
      <w:proofErr w:type="spellEnd"/>
      <w:r>
        <w:t xml:space="preserve"> in the UV-NIR range was performed using a J. A. </w:t>
      </w:r>
      <w:proofErr w:type="spellStart"/>
      <w:r>
        <w:t>Woollam</w:t>
      </w:r>
      <w:proofErr w:type="spellEnd"/>
      <w:r>
        <w:t xml:space="preserve"> M200UI with a wavelength range of 240 to 1700nm (0.73 - 5.14eV).</w:t>
      </w:r>
    </w:p>
    <w:p w14:paraId="1665474D" w14:textId="74526C01" w:rsidR="00FE0ED9" w:rsidRPr="00B44C99" w:rsidRDefault="00FE0ED9" w:rsidP="00FE0ED9">
      <w:pPr>
        <w:pStyle w:val="ExperimentalText"/>
        <w:rPr>
          <w:i/>
        </w:rPr>
      </w:pPr>
      <w:r w:rsidRPr="005565F4">
        <w:rPr>
          <w:i/>
        </w:rPr>
        <w:t>Computational methods</w:t>
      </w:r>
      <w:r w:rsidRPr="005565F4">
        <w:t>:</w:t>
      </w:r>
      <w:r w:rsidRPr="00B44C99">
        <w:rPr>
          <w:i/>
        </w:rPr>
        <w:t xml:space="preserve"> </w:t>
      </w:r>
      <w:r w:rsidR="00074C3D" w:rsidRPr="0028184E">
        <w:t>The plane-wave based density functional theory (DFT) calculations were carried out using the VASP package</w:t>
      </w:r>
      <w:r w:rsidR="005565F4">
        <w:t xml:space="preserve"> </w:t>
      </w:r>
      <w:r w:rsidR="00212EFA" w:rsidRPr="00212EFA">
        <w:rPr>
          <w:noProof/>
          <w:vertAlign w:val="superscript"/>
        </w:rPr>
        <w:t>[20]</w:t>
      </w:r>
      <w:r w:rsidR="00074C3D" w:rsidRPr="0028184E">
        <w:t xml:space="preserve"> with the projector augmented wave </w:t>
      </w:r>
      <w:proofErr w:type="gramStart"/>
      <w:r w:rsidR="00074C3D" w:rsidRPr="0028184E">
        <w:t>method</w:t>
      </w:r>
      <w:r w:rsidR="00212EFA" w:rsidRPr="00212EFA">
        <w:rPr>
          <w:noProof/>
          <w:vertAlign w:val="superscript"/>
        </w:rPr>
        <w:t>[</w:t>
      </w:r>
      <w:proofErr w:type="gramEnd"/>
      <w:r w:rsidR="00212EFA" w:rsidRPr="00212EFA">
        <w:rPr>
          <w:noProof/>
          <w:vertAlign w:val="superscript"/>
        </w:rPr>
        <w:t>21]</w:t>
      </w:r>
      <w:r w:rsidR="00074C3D" w:rsidRPr="0028184E">
        <w:t xml:space="preserve"> </w:t>
      </w:r>
      <w:r w:rsidR="00074C3D" w:rsidRPr="0028184E">
        <w:lastRenderedPageBreak/>
        <w:t xml:space="preserve">to treat core electrons. The </w:t>
      </w:r>
      <w:r w:rsidR="00074C3D" w:rsidRPr="0028184E">
        <w:rPr>
          <w:i/>
        </w:rPr>
        <w:t>s</w:t>
      </w:r>
      <w:r w:rsidR="00074C3D" w:rsidRPr="0028184E">
        <w:t xml:space="preserve"> and </w:t>
      </w:r>
      <w:r w:rsidR="00074C3D" w:rsidRPr="0028184E">
        <w:rPr>
          <w:i/>
        </w:rPr>
        <w:t>p</w:t>
      </w:r>
      <w:r w:rsidR="00074C3D" w:rsidRPr="0028184E">
        <w:t xml:space="preserve"> semi-core states were treated as valence states for all elements except for oxygen. </w:t>
      </w:r>
      <w:proofErr w:type="gramStart"/>
      <w:r w:rsidR="00074C3D" w:rsidRPr="0028184E">
        <w:t>A plane-wave</w:t>
      </w:r>
      <w:proofErr w:type="gramEnd"/>
      <w:r w:rsidR="00074C3D" w:rsidRPr="0028184E">
        <w:t xml:space="preserve"> cut-off energy of 550 eV was used throughout, with the PBE functional.</w:t>
      </w:r>
      <w:r w:rsidR="005565F4">
        <w:t xml:space="preserve"> </w:t>
      </w:r>
      <w:r w:rsidR="00212EFA" w:rsidRPr="00212EFA">
        <w:rPr>
          <w:noProof/>
          <w:vertAlign w:val="superscript"/>
        </w:rPr>
        <w:t>[22]</w:t>
      </w:r>
      <w:r w:rsidR="00074C3D" w:rsidRPr="0028184E">
        <w:t xml:space="preserve"> 32×32×32 </w:t>
      </w:r>
      <w:r w:rsidR="00074C3D" w:rsidRPr="0028184E">
        <w:rPr>
          <w:i/>
        </w:rPr>
        <w:t>k</w:t>
      </w:r>
      <w:r w:rsidR="00074C3D" w:rsidRPr="0028184E">
        <w:t>-point grids were used for cubic SrVO</w:t>
      </w:r>
      <w:r w:rsidR="00074C3D" w:rsidRPr="0028184E">
        <w:rPr>
          <w:vertAlign w:val="subscript"/>
        </w:rPr>
        <w:t>3</w:t>
      </w:r>
      <w:r w:rsidR="00074C3D" w:rsidRPr="0028184E">
        <w:t xml:space="preserve"> and SrMoO</w:t>
      </w:r>
      <w:r w:rsidR="00074C3D" w:rsidRPr="0028184E">
        <w:rPr>
          <w:vertAlign w:val="subscript"/>
        </w:rPr>
        <w:t>3</w:t>
      </w:r>
      <w:r w:rsidR="00074C3D" w:rsidRPr="0028184E">
        <w:t>, and a 23×16×23 k-point grid for the orthorhombic CaMoO</w:t>
      </w:r>
      <w:r w:rsidR="00074C3D" w:rsidRPr="0028184E">
        <w:rPr>
          <w:vertAlign w:val="subscript"/>
        </w:rPr>
        <w:t>3</w:t>
      </w:r>
      <w:r w:rsidR="00074C3D" w:rsidRPr="0028184E">
        <w:t>. Unit cell parameters and atomic positions were optimi</w:t>
      </w:r>
      <w:r w:rsidR="005E5A88">
        <w:t>z</w:t>
      </w:r>
      <w:r w:rsidR="00074C3D" w:rsidRPr="0028184E">
        <w:t xml:space="preserve">ed until the magnitude of all forces fell </w:t>
      </w:r>
      <w:proofErr w:type="gramStart"/>
      <w:r w:rsidR="00074C3D" w:rsidRPr="0028184E">
        <w:t>below 0.001 eV/Å</w:t>
      </w:r>
      <w:proofErr w:type="gramEnd"/>
      <w:r w:rsidR="00074C3D" w:rsidRPr="0028184E">
        <w:t>. The high-symmetry paths of k-points used for band structure plots were created using AFLOW.</w:t>
      </w:r>
      <w:r w:rsidR="005565F4">
        <w:t xml:space="preserve"> </w:t>
      </w:r>
      <w:r w:rsidR="00212EFA" w:rsidRPr="00212EFA">
        <w:rPr>
          <w:noProof/>
          <w:vertAlign w:val="superscript"/>
        </w:rPr>
        <w:t>[23]</w:t>
      </w:r>
      <w:r w:rsidR="00074C3D" w:rsidRPr="0028184E">
        <w:t xml:space="preserve"> Transition matrix elements and the frequency dependent dielectric constant were com</w:t>
      </w:r>
      <w:r w:rsidR="0067512D">
        <w:t>puted following exact diagonaliz</w:t>
      </w:r>
      <w:r w:rsidR="00074C3D" w:rsidRPr="0028184E">
        <w:t>ation of all 80 bands, neglecting local field effects.</w:t>
      </w:r>
      <w:r w:rsidR="005565F4">
        <w:t xml:space="preserve"> </w:t>
      </w:r>
      <w:r w:rsidR="00212EFA" w:rsidRPr="00212EFA">
        <w:rPr>
          <w:noProof/>
          <w:vertAlign w:val="superscript"/>
        </w:rPr>
        <w:t>[24]</w:t>
      </w:r>
    </w:p>
    <w:p w14:paraId="19E6F08B" w14:textId="77777777" w:rsidR="00861056" w:rsidRDefault="00861056" w:rsidP="00FE0ED9">
      <w:pPr>
        <w:pStyle w:val="Acknowledgements"/>
        <w:rPr>
          <w:b/>
        </w:rPr>
      </w:pPr>
    </w:p>
    <w:p w14:paraId="62009D65" w14:textId="0D7CD48D" w:rsidR="00FE0ED9" w:rsidRPr="00A35E4A" w:rsidRDefault="00FE0ED9" w:rsidP="00FE0ED9">
      <w:pPr>
        <w:pStyle w:val="Acknowledgements"/>
        <w:rPr>
          <w:i/>
        </w:rPr>
      </w:pPr>
      <w:r w:rsidRPr="005167E5">
        <w:rPr>
          <w:b/>
        </w:rPr>
        <w:t>Supporting Information</w:t>
      </w:r>
      <w:r>
        <w:rPr>
          <w:i/>
        </w:rPr>
        <w:t xml:space="preserve"> </w:t>
      </w:r>
    </w:p>
    <w:p w14:paraId="4CA305D4" w14:textId="77777777" w:rsidR="00FE0ED9" w:rsidRDefault="00FE0ED9" w:rsidP="00FE0ED9">
      <w:pPr>
        <w:pStyle w:val="Acknowledgements"/>
      </w:pPr>
      <w:r w:rsidRPr="00A35E4A">
        <w:t xml:space="preserve">Supporting Information is available from </w:t>
      </w:r>
      <w:r>
        <w:t xml:space="preserve">the </w:t>
      </w:r>
      <w:r w:rsidRPr="00A35E4A">
        <w:t xml:space="preserve">Wiley </w:t>
      </w:r>
      <w:r>
        <w:t>Online Library or from the author</w:t>
      </w:r>
      <w:r w:rsidRPr="00A35E4A">
        <w:t>.</w:t>
      </w:r>
    </w:p>
    <w:p w14:paraId="2DF7D812" w14:textId="77777777" w:rsidR="00FE0ED9" w:rsidRDefault="00FE0ED9" w:rsidP="00FE0ED9">
      <w:pPr>
        <w:pStyle w:val="Acknowledgements"/>
      </w:pPr>
    </w:p>
    <w:p w14:paraId="1828E835" w14:textId="77777777" w:rsidR="00FE0ED9" w:rsidRDefault="00FE0ED9" w:rsidP="00FE0ED9">
      <w:pPr>
        <w:pStyle w:val="Head1"/>
        <w:spacing w:line="240" w:lineRule="auto"/>
      </w:pPr>
      <w:r>
        <w:t>Acknowledgements</w:t>
      </w:r>
    </w:p>
    <w:p w14:paraId="48381325" w14:textId="79E8DC04" w:rsidR="00FE0ED9" w:rsidRDefault="00432C33" w:rsidP="00FE0ED9">
      <w:pPr>
        <w:pStyle w:val="MainText"/>
        <w:spacing w:line="240" w:lineRule="auto"/>
      </w:pPr>
      <w:r w:rsidRPr="009D0260">
        <w:t>We thank EPSRC for funding under EP/N004884</w:t>
      </w:r>
      <w:r w:rsidR="00E178EC">
        <w:t xml:space="preserve"> and</w:t>
      </w:r>
      <w:r w:rsidR="00E178EC" w:rsidRPr="00432C33">
        <w:t xml:space="preserve"> </w:t>
      </w:r>
      <w:r w:rsidRPr="00432C33">
        <w:t>EP/P001513/1</w:t>
      </w:r>
      <w:r w:rsidRPr="009D0260">
        <w:t>.</w:t>
      </w:r>
    </w:p>
    <w:p w14:paraId="1C55D528" w14:textId="77777777" w:rsidR="00432C33" w:rsidRDefault="00432C33" w:rsidP="00FE0ED9">
      <w:pPr>
        <w:pStyle w:val="MainText"/>
        <w:spacing w:line="240" w:lineRule="auto"/>
      </w:pPr>
    </w:p>
    <w:p w14:paraId="2A434D55" w14:textId="77777777" w:rsidR="00FE0ED9" w:rsidRPr="00EF4114" w:rsidRDefault="00FE0ED9" w:rsidP="00FE0ED9">
      <w:pPr>
        <w:pStyle w:val="dates"/>
      </w:pPr>
      <w:r w:rsidRPr="00EF4114">
        <w:t>Received: ((will be filled in by the editorial staff)</w:t>
      </w:r>
      <w:proofErr w:type="gramStart"/>
      <w:r w:rsidRPr="00EF4114">
        <w:t>)</w:t>
      </w:r>
      <w:proofErr w:type="gramEnd"/>
      <w:r w:rsidRPr="00EF4114">
        <w:br/>
        <w:t>Revised: ((will be filled in by the editorial staff))</w:t>
      </w:r>
      <w:r w:rsidRPr="00EF4114">
        <w:br/>
        <w:t>Published online: ((will be filled in by the editorial staff))</w:t>
      </w:r>
    </w:p>
    <w:p w14:paraId="72FA7604" w14:textId="58253864" w:rsidR="003536AA" w:rsidRDefault="003536AA">
      <w:pPr>
        <w:rPr>
          <w:lang w:val="en-US"/>
        </w:rPr>
      </w:pPr>
      <w:r>
        <w:br w:type="page"/>
      </w:r>
    </w:p>
    <w:p w14:paraId="0D8E63E1" w14:textId="77777777" w:rsidR="00FE0ED9" w:rsidRPr="002513D6" w:rsidRDefault="00FE0ED9" w:rsidP="00FE0ED9">
      <w:pPr>
        <w:pStyle w:val="MainText"/>
        <w:rPr>
          <w:b/>
        </w:rPr>
      </w:pPr>
      <w:r w:rsidRPr="002513D6">
        <w:rPr>
          <w:b/>
        </w:rPr>
        <w:lastRenderedPageBreak/>
        <w:t>References</w:t>
      </w:r>
    </w:p>
    <w:p w14:paraId="664D35D0" w14:textId="1737F89B" w:rsidR="00212EFA" w:rsidRPr="00212EFA" w:rsidRDefault="00212EFA" w:rsidP="002513D6">
      <w:pPr>
        <w:pStyle w:val="EndNoteBibliography"/>
        <w:spacing w:line="480" w:lineRule="auto"/>
      </w:pPr>
      <w:r w:rsidRPr="00212EFA">
        <w:t>[1]</w:t>
      </w:r>
      <w:r w:rsidRPr="00212EFA">
        <w:tab/>
      </w:r>
      <w:r w:rsidR="00D52A74">
        <w:t xml:space="preserve">a) </w:t>
      </w:r>
      <w:r w:rsidRPr="00212EFA">
        <w:t xml:space="preserve">C. G. Granqvist, </w:t>
      </w:r>
      <w:r w:rsidR="003B0C2C">
        <w:rPr>
          <w:i/>
        </w:rPr>
        <w:t>Sol. Energy Mater. Sol.</w:t>
      </w:r>
      <w:r w:rsidRPr="00D52A74">
        <w:rPr>
          <w:i/>
        </w:rPr>
        <w:t xml:space="preserve"> Cells</w:t>
      </w:r>
      <w:r w:rsidRPr="00212EFA">
        <w:t xml:space="preserve"> </w:t>
      </w:r>
      <w:r w:rsidRPr="00D52A74">
        <w:rPr>
          <w:b/>
        </w:rPr>
        <w:t>2007</w:t>
      </w:r>
      <w:r w:rsidRPr="00212EFA">
        <w:t xml:space="preserve">, </w:t>
      </w:r>
      <w:r w:rsidRPr="00FF1E8D">
        <w:rPr>
          <w:i/>
        </w:rPr>
        <w:t>91</w:t>
      </w:r>
      <w:r w:rsidRPr="00212EFA">
        <w:t xml:space="preserve">, 1529; </w:t>
      </w:r>
      <w:r w:rsidR="00D52A74">
        <w:t xml:space="preserve">b) </w:t>
      </w:r>
      <w:r w:rsidRPr="00212EFA">
        <w:t xml:space="preserve">C. Hilsum, </w:t>
      </w:r>
      <w:r w:rsidR="003B0C2C">
        <w:rPr>
          <w:i/>
        </w:rPr>
        <w:t>Philos. Trans. Royal Soc.</w:t>
      </w:r>
      <w:r w:rsidRPr="00D52A74">
        <w:rPr>
          <w:i/>
        </w:rPr>
        <w:t xml:space="preserve"> A</w:t>
      </w:r>
      <w:r w:rsidRPr="00212EFA">
        <w:t xml:space="preserve"> </w:t>
      </w:r>
      <w:r w:rsidRPr="00D52A74">
        <w:rPr>
          <w:b/>
        </w:rPr>
        <w:t>2010</w:t>
      </w:r>
      <w:r w:rsidRPr="00212EFA">
        <w:t xml:space="preserve">, </w:t>
      </w:r>
      <w:r w:rsidRPr="00FF1E8D">
        <w:rPr>
          <w:i/>
        </w:rPr>
        <w:t>368</w:t>
      </w:r>
      <w:r w:rsidRPr="00212EFA">
        <w:t xml:space="preserve">, 1027; </w:t>
      </w:r>
      <w:r w:rsidR="00D52A74">
        <w:t xml:space="preserve">c) </w:t>
      </w:r>
      <w:r w:rsidRPr="00212EFA">
        <w:t xml:space="preserve">R. A. Afre, N. Sharma, M. Sharon, M. Sharon, </w:t>
      </w:r>
      <w:r w:rsidR="003B0C2C">
        <w:rPr>
          <w:i/>
        </w:rPr>
        <w:t>Revi. Adv. Mater.</w:t>
      </w:r>
      <w:r w:rsidRPr="00D52A74">
        <w:rPr>
          <w:i/>
        </w:rPr>
        <w:t xml:space="preserve"> Sci</w:t>
      </w:r>
      <w:r w:rsidR="003B0C2C">
        <w:rPr>
          <w:i/>
        </w:rPr>
        <w:t>.</w:t>
      </w:r>
      <w:r w:rsidRPr="00212EFA">
        <w:t xml:space="preserve"> </w:t>
      </w:r>
      <w:r w:rsidRPr="00D52A74">
        <w:rPr>
          <w:b/>
        </w:rPr>
        <w:t>2018</w:t>
      </w:r>
      <w:r w:rsidRPr="00212EFA">
        <w:t xml:space="preserve">, </w:t>
      </w:r>
      <w:r w:rsidRPr="00FF1E8D">
        <w:rPr>
          <w:i/>
        </w:rPr>
        <w:t>53</w:t>
      </w:r>
      <w:r w:rsidRPr="00212EFA">
        <w:t>, 79.</w:t>
      </w:r>
    </w:p>
    <w:p w14:paraId="633850D3" w14:textId="44E0332C" w:rsidR="00212EFA" w:rsidRPr="00212EFA" w:rsidRDefault="00212EFA" w:rsidP="002513D6">
      <w:pPr>
        <w:pStyle w:val="EndNoteBibliography"/>
        <w:spacing w:line="480" w:lineRule="auto"/>
      </w:pPr>
      <w:r w:rsidRPr="00212EFA">
        <w:t>[2]</w:t>
      </w:r>
      <w:r w:rsidRPr="00212EFA">
        <w:tab/>
      </w:r>
      <w:r w:rsidR="00CD3309">
        <w:t xml:space="preserve">a) </w:t>
      </w:r>
      <w:r w:rsidRPr="00212EFA">
        <w:t xml:space="preserve">S. C. Dixon, D. O. Scanlon, C. J. Carmalt, I. P. Parkin, </w:t>
      </w:r>
      <w:r w:rsidR="003B0C2C">
        <w:rPr>
          <w:i/>
        </w:rPr>
        <w:t>J. Mater. Chem.</w:t>
      </w:r>
      <w:r w:rsidRPr="00CD3309">
        <w:rPr>
          <w:i/>
        </w:rPr>
        <w:t xml:space="preserve"> C</w:t>
      </w:r>
      <w:r w:rsidRPr="00212EFA">
        <w:t xml:space="preserve"> </w:t>
      </w:r>
      <w:r w:rsidRPr="00CD3309">
        <w:rPr>
          <w:b/>
        </w:rPr>
        <w:t>2016</w:t>
      </w:r>
      <w:r w:rsidRPr="00212EFA">
        <w:t xml:space="preserve">, </w:t>
      </w:r>
      <w:r w:rsidRPr="00FF1E8D">
        <w:rPr>
          <w:i/>
        </w:rPr>
        <w:t>4</w:t>
      </w:r>
      <w:r w:rsidRPr="00212EFA">
        <w:t xml:space="preserve">, 6946; </w:t>
      </w:r>
      <w:r w:rsidR="00CD3309">
        <w:t xml:space="preserve">b) </w:t>
      </w:r>
      <w:r w:rsidRPr="00212EFA">
        <w:t xml:space="preserve">T. Minami, </w:t>
      </w:r>
      <w:r w:rsidRPr="00CD3309">
        <w:rPr>
          <w:i/>
        </w:rPr>
        <w:t>Thin Solid Films</w:t>
      </w:r>
      <w:r w:rsidRPr="00212EFA">
        <w:t xml:space="preserve"> </w:t>
      </w:r>
      <w:r w:rsidRPr="00CD3309">
        <w:rPr>
          <w:b/>
        </w:rPr>
        <w:t>2008</w:t>
      </w:r>
      <w:r w:rsidRPr="00212EFA">
        <w:t xml:space="preserve">, </w:t>
      </w:r>
      <w:r w:rsidRPr="00FF1E8D">
        <w:rPr>
          <w:i/>
        </w:rPr>
        <w:t>516</w:t>
      </w:r>
      <w:r w:rsidRPr="00212EFA">
        <w:t>, 5822.</w:t>
      </w:r>
    </w:p>
    <w:p w14:paraId="0B3C1623" w14:textId="3B8DACA6" w:rsidR="00212EFA" w:rsidRPr="00212EFA" w:rsidRDefault="00212EFA" w:rsidP="002513D6">
      <w:pPr>
        <w:pStyle w:val="EndNoteBibliography"/>
        <w:spacing w:line="480" w:lineRule="auto"/>
      </w:pPr>
      <w:r w:rsidRPr="00212EFA">
        <w:t>[3]</w:t>
      </w:r>
      <w:r w:rsidRPr="00212EFA">
        <w:tab/>
        <w:t xml:space="preserve">H. Mizoguchi, P. M. Woodward, </w:t>
      </w:r>
      <w:r w:rsidR="004F1AC3">
        <w:rPr>
          <w:i/>
        </w:rPr>
        <w:t>Chem.</w:t>
      </w:r>
      <w:r w:rsidRPr="00CD3309">
        <w:rPr>
          <w:i/>
        </w:rPr>
        <w:t xml:space="preserve"> Mater</w:t>
      </w:r>
      <w:r w:rsidR="004F1AC3">
        <w:rPr>
          <w:i/>
        </w:rPr>
        <w:t>.</w:t>
      </w:r>
      <w:r w:rsidRPr="00212EFA">
        <w:t xml:space="preserve"> </w:t>
      </w:r>
      <w:r w:rsidRPr="00CD3309">
        <w:rPr>
          <w:b/>
        </w:rPr>
        <w:t>2004</w:t>
      </w:r>
      <w:r w:rsidRPr="00212EFA">
        <w:t xml:space="preserve">, </w:t>
      </w:r>
      <w:r w:rsidRPr="00FF1E8D">
        <w:rPr>
          <w:i/>
        </w:rPr>
        <w:t>16</w:t>
      </w:r>
      <w:r w:rsidRPr="00212EFA">
        <w:t>, 5233.</w:t>
      </w:r>
    </w:p>
    <w:p w14:paraId="1FC2C94C" w14:textId="5B7E4276" w:rsidR="00212EFA" w:rsidRPr="00212EFA" w:rsidRDefault="00212EFA" w:rsidP="002513D6">
      <w:pPr>
        <w:pStyle w:val="EndNoteBibliography"/>
        <w:spacing w:line="480" w:lineRule="auto"/>
      </w:pPr>
      <w:r w:rsidRPr="00212EFA">
        <w:t>[4]</w:t>
      </w:r>
      <w:r w:rsidRPr="00212EFA">
        <w:tab/>
      </w:r>
      <w:r w:rsidR="00CD3309">
        <w:t xml:space="preserve">a) </w:t>
      </w:r>
      <w:r w:rsidRPr="00212EFA">
        <w:t xml:space="preserve">P. P. Edwards, A. Porch, M. O. Jones, D. V. Morgan, R. M. Perks, </w:t>
      </w:r>
      <w:r w:rsidRPr="00CD3309">
        <w:rPr>
          <w:i/>
        </w:rPr>
        <w:t>Dalton Trans</w:t>
      </w:r>
      <w:r w:rsidR="007D3FF2">
        <w:rPr>
          <w:i/>
        </w:rPr>
        <w:t>.</w:t>
      </w:r>
      <w:r w:rsidRPr="00212EFA">
        <w:t xml:space="preserve"> </w:t>
      </w:r>
      <w:r w:rsidRPr="00CD3309">
        <w:rPr>
          <w:b/>
        </w:rPr>
        <w:t>2004</w:t>
      </w:r>
      <w:r w:rsidRPr="00212EFA">
        <w:t xml:space="preserve">, </w:t>
      </w:r>
      <w:r w:rsidR="00EF10C4" w:rsidRPr="00FF1E8D">
        <w:rPr>
          <w:i/>
        </w:rPr>
        <w:t>19</w:t>
      </w:r>
      <w:r w:rsidR="00EF10C4">
        <w:t xml:space="preserve">, </w:t>
      </w:r>
      <w:r w:rsidRPr="00212EFA">
        <w:t xml:space="preserve">2995; </w:t>
      </w:r>
      <w:r w:rsidR="00CD3309">
        <w:t xml:space="preserve">b) </w:t>
      </w:r>
      <w:r w:rsidRPr="00212EFA">
        <w:t xml:space="preserve">A. J. Freeman, K. R. Poeppelmeier, T. O. Mason, R. P. H. Chang, T. J. Marks, </w:t>
      </w:r>
      <w:r w:rsidRPr="00CD3309">
        <w:rPr>
          <w:i/>
        </w:rPr>
        <w:t>MRS Bull</w:t>
      </w:r>
      <w:r w:rsidR="00B91767">
        <w:rPr>
          <w:i/>
        </w:rPr>
        <w:t>.</w:t>
      </w:r>
      <w:r w:rsidRPr="00212EFA">
        <w:t xml:space="preserve"> </w:t>
      </w:r>
      <w:r w:rsidRPr="00CD3309">
        <w:rPr>
          <w:b/>
        </w:rPr>
        <w:t>2000</w:t>
      </w:r>
      <w:r w:rsidRPr="00212EFA">
        <w:t xml:space="preserve">, </w:t>
      </w:r>
      <w:r w:rsidRPr="00FF1E8D">
        <w:rPr>
          <w:i/>
        </w:rPr>
        <w:t>25</w:t>
      </w:r>
      <w:r w:rsidRPr="00212EFA">
        <w:t xml:space="preserve">, 45; </w:t>
      </w:r>
      <w:r w:rsidR="00CD3309">
        <w:t xml:space="preserve">c) </w:t>
      </w:r>
      <w:r w:rsidRPr="00212EFA">
        <w:t xml:space="preserve">J. Gao, K. Kempa, M. Giersig, E. M. Akinoglu, B. Han, R. Li, </w:t>
      </w:r>
      <w:r w:rsidR="00F23263">
        <w:rPr>
          <w:i/>
        </w:rPr>
        <w:t>Adv.</w:t>
      </w:r>
      <w:r w:rsidRPr="00CD3309">
        <w:rPr>
          <w:i/>
        </w:rPr>
        <w:t xml:space="preserve"> Phys</w:t>
      </w:r>
      <w:r w:rsidR="00F23263">
        <w:rPr>
          <w:i/>
        </w:rPr>
        <w:t>.</w:t>
      </w:r>
      <w:r w:rsidRPr="00212EFA">
        <w:t xml:space="preserve"> </w:t>
      </w:r>
      <w:r w:rsidRPr="00CD3309">
        <w:rPr>
          <w:b/>
        </w:rPr>
        <w:t>2016</w:t>
      </w:r>
      <w:r w:rsidRPr="00212EFA">
        <w:t xml:space="preserve">, </w:t>
      </w:r>
      <w:r w:rsidRPr="00FF1E8D">
        <w:rPr>
          <w:i/>
        </w:rPr>
        <w:t>65</w:t>
      </w:r>
      <w:r w:rsidRPr="00212EFA">
        <w:t>, 553.</w:t>
      </w:r>
    </w:p>
    <w:p w14:paraId="3E440A7F" w14:textId="668DCE05" w:rsidR="00212EFA" w:rsidRPr="00212EFA" w:rsidRDefault="00212EFA" w:rsidP="002513D6">
      <w:pPr>
        <w:pStyle w:val="EndNoteBibliography"/>
        <w:spacing w:line="480" w:lineRule="auto"/>
      </w:pPr>
      <w:r w:rsidRPr="00212EFA">
        <w:t>[5]</w:t>
      </w:r>
      <w:r w:rsidRPr="00212EFA">
        <w:tab/>
        <w:t xml:space="preserve">G. Haacke, </w:t>
      </w:r>
      <w:r w:rsidR="00F23263">
        <w:rPr>
          <w:i/>
        </w:rPr>
        <w:t>J. Appl.</w:t>
      </w:r>
      <w:r w:rsidRPr="00CD3309">
        <w:rPr>
          <w:i/>
        </w:rPr>
        <w:t xml:space="preserve"> Phys</w:t>
      </w:r>
      <w:r w:rsidR="00F23263">
        <w:rPr>
          <w:i/>
        </w:rPr>
        <w:t>.</w:t>
      </w:r>
      <w:r w:rsidRPr="00212EFA">
        <w:t xml:space="preserve"> </w:t>
      </w:r>
      <w:r w:rsidRPr="00CD3309">
        <w:rPr>
          <w:b/>
        </w:rPr>
        <w:t>1976</w:t>
      </w:r>
      <w:r w:rsidRPr="00212EFA">
        <w:t xml:space="preserve">, </w:t>
      </w:r>
      <w:r w:rsidRPr="00FF1E8D">
        <w:rPr>
          <w:i/>
        </w:rPr>
        <w:t>47</w:t>
      </w:r>
      <w:r w:rsidRPr="00212EFA">
        <w:t>, 4086.</w:t>
      </w:r>
    </w:p>
    <w:p w14:paraId="3C63D696" w14:textId="2A4F99EE" w:rsidR="00212EFA" w:rsidRPr="00212EFA" w:rsidRDefault="00212EFA" w:rsidP="002513D6">
      <w:pPr>
        <w:pStyle w:val="EndNoteBibliography"/>
        <w:spacing w:line="480" w:lineRule="auto"/>
      </w:pPr>
      <w:r w:rsidRPr="00212EFA">
        <w:t>[6]</w:t>
      </w:r>
      <w:r w:rsidRPr="00212EFA">
        <w:tab/>
      </w:r>
      <w:r w:rsidR="0030761A">
        <w:t xml:space="preserve">a) </w:t>
      </w:r>
      <w:r w:rsidRPr="00212EFA">
        <w:t xml:space="preserve">B. J. Ingram, M. I. Bertoni, K. R. Poeppelmeier, T. O. Mason, </w:t>
      </w:r>
      <w:r w:rsidRPr="0030761A">
        <w:rPr>
          <w:i/>
        </w:rPr>
        <w:t>Thin Solid Films</w:t>
      </w:r>
      <w:r w:rsidRPr="00212EFA">
        <w:t xml:space="preserve"> </w:t>
      </w:r>
      <w:r w:rsidRPr="0030761A">
        <w:rPr>
          <w:b/>
        </w:rPr>
        <w:t>2005</w:t>
      </w:r>
      <w:r w:rsidRPr="00212EFA">
        <w:t xml:space="preserve">, </w:t>
      </w:r>
      <w:r w:rsidRPr="00FF1E8D">
        <w:rPr>
          <w:i/>
        </w:rPr>
        <w:t>486</w:t>
      </w:r>
      <w:r w:rsidRPr="00212EFA">
        <w:t xml:space="preserve">, 86; </w:t>
      </w:r>
      <w:r w:rsidR="0030761A">
        <w:t xml:space="preserve">b) </w:t>
      </w:r>
      <w:r w:rsidRPr="00212EFA">
        <w:t xml:space="preserve">P. D. C. King, T. D. Veal, </w:t>
      </w:r>
      <w:r w:rsidR="00AB6375">
        <w:rPr>
          <w:i/>
        </w:rPr>
        <w:t>J. Phys. Cond.</w:t>
      </w:r>
      <w:r w:rsidRPr="0030761A">
        <w:rPr>
          <w:i/>
        </w:rPr>
        <w:t xml:space="preserve"> Matter</w:t>
      </w:r>
      <w:r w:rsidRPr="00212EFA">
        <w:t xml:space="preserve"> </w:t>
      </w:r>
      <w:r w:rsidRPr="0030761A">
        <w:rPr>
          <w:b/>
        </w:rPr>
        <w:t>2011</w:t>
      </w:r>
      <w:r w:rsidRPr="00212EFA">
        <w:t xml:space="preserve">, </w:t>
      </w:r>
      <w:r w:rsidRPr="00FF1E8D">
        <w:rPr>
          <w:i/>
        </w:rPr>
        <w:t>23</w:t>
      </w:r>
      <w:r w:rsidR="00BD3F5B">
        <w:t>, 334214</w:t>
      </w:r>
      <w:r w:rsidRPr="00212EFA">
        <w:t>;</w:t>
      </w:r>
      <w:r w:rsidR="0030761A">
        <w:t xml:space="preserve"> c)</w:t>
      </w:r>
      <w:r w:rsidRPr="00212EFA">
        <w:t xml:space="preserve"> A. T. Vai, N. Rashidi, Y. Fang, V. L. Kuznetsov, P. P. Edwards, </w:t>
      </w:r>
      <w:r w:rsidR="00BD3F5B">
        <w:rPr>
          <w:i/>
        </w:rPr>
        <w:t>J. Phys. Cond.</w:t>
      </w:r>
      <w:r w:rsidRPr="0030761A">
        <w:rPr>
          <w:i/>
        </w:rPr>
        <w:t xml:space="preserve"> Matter</w:t>
      </w:r>
      <w:r w:rsidRPr="00212EFA">
        <w:t xml:space="preserve"> </w:t>
      </w:r>
      <w:r w:rsidRPr="0030761A">
        <w:rPr>
          <w:b/>
        </w:rPr>
        <w:t>2016</w:t>
      </w:r>
      <w:r w:rsidR="00BD3F5B">
        <w:t xml:space="preserve">, </w:t>
      </w:r>
      <w:r w:rsidR="00BD3F5B" w:rsidRPr="00FF1E8D">
        <w:rPr>
          <w:i/>
        </w:rPr>
        <w:t>28</w:t>
      </w:r>
      <w:r w:rsidR="00BD3F5B">
        <w:t xml:space="preserve">, </w:t>
      </w:r>
      <w:r w:rsidR="00BD3F5B" w:rsidRPr="001E142F">
        <w:rPr>
          <w:rStyle w:val="publication-meta-journal"/>
          <w:lang w:val="en"/>
        </w:rPr>
        <w:t>224003</w:t>
      </w:r>
      <w:r w:rsidRPr="00212EFA">
        <w:t>.</w:t>
      </w:r>
    </w:p>
    <w:p w14:paraId="70E40FAD" w14:textId="2480D2DA" w:rsidR="00212EFA" w:rsidRPr="00212EFA" w:rsidRDefault="00212EFA" w:rsidP="002513D6">
      <w:pPr>
        <w:pStyle w:val="EndNoteBibliography"/>
        <w:spacing w:line="480" w:lineRule="auto"/>
      </w:pPr>
      <w:r w:rsidRPr="00212EFA">
        <w:t>[7]</w:t>
      </w:r>
      <w:r w:rsidRPr="00212EFA">
        <w:tab/>
        <w:t xml:space="preserve">L. Zhang, Y. Zhou, L. Guo, W. Zhao, A. Barnes, H.-T. Zhang, C. Eaton, Y. Zheng, M. Brahlek, H. F. Haneef, N. J. Podraza, Moses H. W. Chan, V. Gopalan, K. M. Rabe, R. Engel-Herbert, </w:t>
      </w:r>
      <w:r w:rsidR="00BD3F5B">
        <w:rPr>
          <w:i/>
        </w:rPr>
        <w:t>Nat.</w:t>
      </w:r>
      <w:r w:rsidRPr="0030761A">
        <w:rPr>
          <w:i/>
        </w:rPr>
        <w:t xml:space="preserve"> Mater</w:t>
      </w:r>
      <w:r w:rsidR="00BD3F5B">
        <w:rPr>
          <w:i/>
        </w:rPr>
        <w:t>.</w:t>
      </w:r>
      <w:r w:rsidRPr="00212EFA">
        <w:t xml:space="preserve"> </w:t>
      </w:r>
      <w:r w:rsidRPr="0030761A">
        <w:rPr>
          <w:b/>
        </w:rPr>
        <w:t>2015</w:t>
      </w:r>
      <w:r w:rsidRPr="00212EFA">
        <w:t xml:space="preserve">, </w:t>
      </w:r>
      <w:r w:rsidRPr="00FF1E8D">
        <w:rPr>
          <w:i/>
        </w:rPr>
        <w:t>15</w:t>
      </w:r>
      <w:r w:rsidRPr="00212EFA">
        <w:t>, 204.</w:t>
      </w:r>
    </w:p>
    <w:p w14:paraId="3DA0C62D" w14:textId="1C863EDF" w:rsidR="00212EFA" w:rsidRPr="00212EFA" w:rsidRDefault="00212EFA" w:rsidP="002513D6">
      <w:pPr>
        <w:pStyle w:val="EndNoteBibliography"/>
        <w:spacing w:line="480" w:lineRule="auto"/>
      </w:pPr>
      <w:r w:rsidRPr="00212EFA">
        <w:t>[8]</w:t>
      </w:r>
      <w:r w:rsidRPr="00212EFA">
        <w:tab/>
        <w:t xml:space="preserve">H. Wadati, J. Mravlje, K. Yoshimatsu, H. Kumigashira, M. Oshima, T. Sugiyama, E. Ikenaga, A. Fujimori, A. Georges, A. Radetinac, K. S. Takahashi, M. Kawasaki, Y. Tokura, </w:t>
      </w:r>
      <w:r w:rsidR="00BD3F5B">
        <w:rPr>
          <w:i/>
        </w:rPr>
        <w:t>Phys. Rev.</w:t>
      </w:r>
      <w:r w:rsidRPr="0030761A">
        <w:rPr>
          <w:i/>
        </w:rPr>
        <w:t xml:space="preserve"> B</w:t>
      </w:r>
      <w:r w:rsidRPr="00212EFA">
        <w:t xml:space="preserve"> </w:t>
      </w:r>
      <w:r w:rsidRPr="0030761A">
        <w:rPr>
          <w:b/>
        </w:rPr>
        <w:t>2014</w:t>
      </w:r>
      <w:r w:rsidRPr="00212EFA">
        <w:t xml:space="preserve">, </w:t>
      </w:r>
      <w:r w:rsidRPr="00FF1E8D">
        <w:rPr>
          <w:i/>
        </w:rPr>
        <w:t>90</w:t>
      </w:r>
      <w:r w:rsidRPr="00212EFA">
        <w:t>, 205131.</w:t>
      </w:r>
    </w:p>
    <w:p w14:paraId="2A0BE706" w14:textId="79B7EEC7" w:rsidR="00212EFA" w:rsidRPr="00212EFA" w:rsidRDefault="00212EFA" w:rsidP="00D95B19">
      <w:pPr>
        <w:pStyle w:val="EndNoteBibliography"/>
        <w:spacing w:line="480" w:lineRule="auto"/>
      </w:pPr>
      <w:r w:rsidRPr="00212EFA">
        <w:t>[9]</w:t>
      </w:r>
      <w:r w:rsidRPr="00212EFA">
        <w:tab/>
      </w:r>
      <w:r w:rsidR="00D95B19">
        <w:t xml:space="preserve">a) </w:t>
      </w:r>
      <w:r w:rsidRPr="00212EFA">
        <w:t xml:space="preserve">M. Imada, A. Fujimori, Y. Tokura, </w:t>
      </w:r>
      <w:r w:rsidR="00CF4E98">
        <w:rPr>
          <w:i/>
        </w:rPr>
        <w:t>Rev. Mod.</w:t>
      </w:r>
      <w:r w:rsidRPr="0030761A">
        <w:rPr>
          <w:i/>
        </w:rPr>
        <w:t xml:space="preserve"> Phys</w:t>
      </w:r>
      <w:r w:rsidR="00CF4E98">
        <w:rPr>
          <w:i/>
        </w:rPr>
        <w:t>.</w:t>
      </w:r>
      <w:r w:rsidRPr="00212EFA">
        <w:t xml:space="preserve"> </w:t>
      </w:r>
      <w:r w:rsidRPr="0030761A">
        <w:rPr>
          <w:b/>
        </w:rPr>
        <w:t>1998</w:t>
      </w:r>
      <w:r w:rsidRPr="00212EFA">
        <w:t xml:space="preserve">, </w:t>
      </w:r>
      <w:r w:rsidRPr="00FF1E8D">
        <w:rPr>
          <w:i/>
        </w:rPr>
        <w:t>70</w:t>
      </w:r>
      <w:r w:rsidRPr="00212EFA">
        <w:t>, 1039</w:t>
      </w:r>
      <w:r w:rsidR="00D95B19">
        <w:t xml:space="preserve">, b) </w:t>
      </w:r>
      <w:r w:rsidR="00D95B19" w:rsidRPr="00D95B19">
        <w:t>M. Medarde, J. Mesot, P. Lacorre</w:t>
      </w:r>
      <w:r w:rsidR="00D95B19">
        <w:t>, S. Rosenkranz, P. Fischer,</w:t>
      </w:r>
      <w:r w:rsidR="00D95B19" w:rsidRPr="00D95B19">
        <w:t xml:space="preserve"> K. Gobrecht</w:t>
      </w:r>
      <w:r w:rsidR="00D95B19">
        <w:t xml:space="preserve">, </w:t>
      </w:r>
      <w:r w:rsidR="00D95B19" w:rsidRPr="00D95B19">
        <w:rPr>
          <w:i/>
        </w:rPr>
        <w:t>Phys. Rev.</w:t>
      </w:r>
      <w:r w:rsidR="00D95B19">
        <w:t xml:space="preserve"> </w:t>
      </w:r>
      <w:r w:rsidR="00D95B19" w:rsidRPr="00D95B19">
        <w:rPr>
          <w:i/>
        </w:rPr>
        <w:t>B</w:t>
      </w:r>
      <w:r w:rsidR="00D95B19">
        <w:t xml:space="preserve"> </w:t>
      </w:r>
      <w:r w:rsidR="00D95B19" w:rsidRPr="00D95B19">
        <w:rPr>
          <w:b/>
        </w:rPr>
        <w:t>1995</w:t>
      </w:r>
      <w:r w:rsidR="00D95B19">
        <w:rPr>
          <w:b/>
        </w:rPr>
        <w:t xml:space="preserve">, </w:t>
      </w:r>
      <w:r w:rsidR="00D95B19" w:rsidRPr="00FF1E8D">
        <w:rPr>
          <w:i/>
        </w:rPr>
        <w:t>52</w:t>
      </w:r>
      <w:r w:rsidR="00D95B19">
        <w:t xml:space="preserve">, 9248, c) E. J. Moon, R. Colby, Q. Wang, E. Karapetrova, C. M. Schlepütz, M. R. Fitzsimmons, S. J. May, Nat. Comm. </w:t>
      </w:r>
      <w:r w:rsidR="00D95B19" w:rsidRPr="00D95B19">
        <w:rPr>
          <w:b/>
        </w:rPr>
        <w:t>2014</w:t>
      </w:r>
      <w:r w:rsidR="00D95B19">
        <w:t xml:space="preserve">, </w:t>
      </w:r>
      <w:r w:rsidR="00D95B19" w:rsidRPr="00FF1E8D">
        <w:rPr>
          <w:i/>
        </w:rPr>
        <w:t>5</w:t>
      </w:r>
      <w:r w:rsidR="00D95B19">
        <w:t>,5710</w:t>
      </w:r>
      <w:r w:rsidRPr="00212EFA">
        <w:t>.</w:t>
      </w:r>
    </w:p>
    <w:p w14:paraId="73CFCAAA" w14:textId="1D845A9B" w:rsidR="00212EFA" w:rsidRPr="00212EFA" w:rsidRDefault="00212EFA" w:rsidP="002513D6">
      <w:pPr>
        <w:pStyle w:val="EndNoteBibliography"/>
        <w:spacing w:line="480" w:lineRule="auto"/>
      </w:pPr>
      <w:r w:rsidRPr="00212EFA">
        <w:lastRenderedPageBreak/>
        <w:t>[10]</w:t>
      </w:r>
      <w:r w:rsidRPr="00212EFA">
        <w:tab/>
        <w:t xml:space="preserve">I. Nagai, N. Shirakawa, S.-i. Ikeda, R. Iwasaki, H. Nishimura, M. Kosaka, </w:t>
      </w:r>
      <w:r w:rsidR="00CF4E98">
        <w:rPr>
          <w:i/>
        </w:rPr>
        <w:t>Appl. Phys.</w:t>
      </w:r>
      <w:r w:rsidRPr="0030761A">
        <w:rPr>
          <w:i/>
        </w:rPr>
        <w:t xml:space="preserve"> Let</w:t>
      </w:r>
      <w:r w:rsidR="00CF4E98">
        <w:rPr>
          <w:i/>
        </w:rPr>
        <w:t>t.</w:t>
      </w:r>
      <w:r w:rsidRPr="00212EFA">
        <w:t xml:space="preserve"> </w:t>
      </w:r>
      <w:r w:rsidRPr="0030761A">
        <w:rPr>
          <w:b/>
        </w:rPr>
        <w:t>2005</w:t>
      </w:r>
      <w:r w:rsidRPr="00212EFA">
        <w:t xml:space="preserve">, </w:t>
      </w:r>
      <w:r w:rsidRPr="00FF1E8D">
        <w:rPr>
          <w:i/>
        </w:rPr>
        <w:t>87</w:t>
      </w:r>
      <w:r w:rsidRPr="00212EFA">
        <w:t>, 024105.</w:t>
      </w:r>
    </w:p>
    <w:p w14:paraId="0475AF59" w14:textId="0D37C42E" w:rsidR="00212EFA" w:rsidRPr="00212EFA" w:rsidRDefault="00212EFA" w:rsidP="002513D6">
      <w:pPr>
        <w:pStyle w:val="EndNoteBibliography"/>
        <w:spacing w:line="480" w:lineRule="auto"/>
      </w:pPr>
      <w:r w:rsidRPr="00212EFA">
        <w:t>[11]</w:t>
      </w:r>
      <w:r w:rsidRPr="00212EFA">
        <w:tab/>
      </w:r>
      <w:r w:rsidR="000412B2">
        <w:t>M.</w:t>
      </w:r>
      <w:r w:rsidR="000412B2" w:rsidRPr="00212EFA">
        <w:t xml:space="preserve"> </w:t>
      </w:r>
      <w:r w:rsidRPr="00212EFA">
        <w:t xml:space="preserve">P. Wells, B. Zou, </w:t>
      </w:r>
      <w:r w:rsidR="000412B2">
        <w:t>B.</w:t>
      </w:r>
      <w:r w:rsidR="000412B2" w:rsidRPr="00212EFA">
        <w:t xml:space="preserve"> </w:t>
      </w:r>
      <w:r w:rsidRPr="00212EFA">
        <w:t xml:space="preserve">G. Doiron, R. Kilmurray, </w:t>
      </w:r>
      <w:r w:rsidR="000412B2">
        <w:t>A.</w:t>
      </w:r>
      <w:r w:rsidR="000412B2" w:rsidRPr="00212EFA">
        <w:t xml:space="preserve"> </w:t>
      </w:r>
      <w:r w:rsidRPr="00212EFA">
        <w:t xml:space="preserve">P. Mihai, </w:t>
      </w:r>
      <w:r w:rsidR="000412B2">
        <w:t>R.</w:t>
      </w:r>
      <w:r w:rsidR="000412B2" w:rsidRPr="00212EFA">
        <w:t xml:space="preserve"> </w:t>
      </w:r>
      <w:r w:rsidRPr="00212EFA">
        <w:t xml:space="preserve">F. M. Oulton, P. Gubeljak, </w:t>
      </w:r>
      <w:r w:rsidR="00B77F3E">
        <w:t>K.</w:t>
      </w:r>
      <w:r w:rsidR="00B77F3E" w:rsidRPr="00212EFA">
        <w:t xml:space="preserve"> </w:t>
      </w:r>
      <w:r w:rsidRPr="00212EFA">
        <w:t xml:space="preserve">L. Ormandy, G. Mallia, </w:t>
      </w:r>
      <w:r w:rsidR="00B77F3E">
        <w:t>N.</w:t>
      </w:r>
      <w:r w:rsidR="00B77F3E" w:rsidRPr="00212EFA">
        <w:t xml:space="preserve"> </w:t>
      </w:r>
      <w:r w:rsidRPr="00212EFA">
        <w:t xml:space="preserve">M. Harrison, </w:t>
      </w:r>
      <w:r w:rsidR="00B77F3E">
        <w:t>L.</w:t>
      </w:r>
      <w:r w:rsidR="00B77F3E" w:rsidRPr="00212EFA">
        <w:t xml:space="preserve"> </w:t>
      </w:r>
      <w:r w:rsidRPr="00212EFA">
        <w:t xml:space="preserve">F. Cohen, </w:t>
      </w:r>
      <w:r w:rsidR="00963FD8">
        <w:t>S.</w:t>
      </w:r>
      <w:r w:rsidR="00963FD8" w:rsidRPr="00212EFA">
        <w:t xml:space="preserve"> </w:t>
      </w:r>
      <w:r w:rsidRPr="00212EFA">
        <w:t xml:space="preserve">A. Maier, </w:t>
      </w:r>
      <w:r w:rsidR="00963FD8">
        <w:t>N.</w:t>
      </w:r>
      <w:r w:rsidR="00963FD8" w:rsidRPr="00212EFA">
        <w:t xml:space="preserve"> Mc</w:t>
      </w:r>
      <w:r w:rsidRPr="00212EFA">
        <w:t xml:space="preserve">N. Alford, </w:t>
      </w:r>
      <w:r w:rsidR="00963FD8">
        <w:t>P.</w:t>
      </w:r>
      <w:r w:rsidR="00963FD8" w:rsidRPr="00212EFA">
        <w:t xml:space="preserve"> </w:t>
      </w:r>
      <w:r w:rsidRPr="00212EFA">
        <w:t xml:space="preserve">K. Petrov, </w:t>
      </w:r>
      <w:r w:rsidR="00CF4E98">
        <w:rPr>
          <w:i/>
        </w:rPr>
        <w:t>Adv. Opt.</w:t>
      </w:r>
      <w:r w:rsidRPr="0030761A">
        <w:rPr>
          <w:i/>
        </w:rPr>
        <w:t xml:space="preserve"> Mater</w:t>
      </w:r>
      <w:r w:rsidR="00CF4E98">
        <w:rPr>
          <w:i/>
        </w:rPr>
        <w:t>.</w:t>
      </w:r>
      <w:r w:rsidRPr="00212EFA">
        <w:t xml:space="preserve"> </w:t>
      </w:r>
      <w:r w:rsidRPr="0030761A">
        <w:rPr>
          <w:b/>
        </w:rPr>
        <w:t>2017</w:t>
      </w:r>
      <w:r w:rsidRPr="00212EFA">
        <w:t xml:space="preserve">, </w:t>
      </w:r>
      <w:r w:rsidRPr="00FF1E8D">
        <w:rPr>
          <w:i/>
        </w:rPr>
        <w:t>5</w:t>
      </w:r>
      <w:r w:rsidRPr="00212EFA">
        <w:t>, 1700622.</w:t>
      </w:r>
    </w:p>
    <w:p w14:paraId="46F7A732" w14:textId="3075D0D0" w:rsidR="00212EFA" w:rsidRPr="00212EFA" w:rsidRDefault="00212EFA" w:rsidP="002513D6">
      <w:pPr>
        <w:pStyle w:val="EndNoteBibliography"/>
        <w:spacing w:line="480" w:lineRule="auto"/>
      </w:pPr>
      <w:r w:rsidRPr="00212EFA">
        <w:t>[12]</w:t>
      </w:r>
      <w:r w:rsidRPr="00212EFA">
        <w:tab/>
        <w:t xml:space="preserve">A. Radetinac, A. Mani, S. Melnyk, M. Nikfalazar, J. Ziegler, Y. Zheng, R. Jakoby, L. Alff, P. Komissinskiy, </w:t>
      </w:r>
      <w:r w:rsidR="00CF4E98">
        <w:rPr>
          <w:i/>
        </w:rPr>
        <w:t>Appl. Phys.</w:t>
      </w:r>
      <w:r w:rsidRPr="0030761A">
        <w:rPr>
          <w:i/>
        </w:rPr>
        <w:t xml:space="preserve"> Lett</w:t>
      </w:r>
      <w:r w:rsidR="00CF4E98">
        <w:rPr>
          <w:i/>
        </w:rPr>
        <w:t>.</w:t>
      </w:r>
      <w:r w:rsidRPr="00212EFA">
        <w:t xml:space="preserve"> </w:t>
      </w:r>
      <w:r w:rsidRPr="0030761A">
        <w:rPr>
          <w:b/>
        </w:rPr>
        <w:t>2014</w:t>
      </w:r>
      <w:r w:rsidRPr="00212EFA">
        <w:t xml:space="preserve">, </w:t>
      </w:r>
      <w:r w:rsidRPr="00FF1E8D">
        <w:rPr>
          <w:i/>
        </w:rPr>
        <w:t>105</w:t>
      </w:r>
      <w:r w:rsidRPr="00212EFA">
        <w:t>, 114108.</w:t>
      </w:r>
    </w:p>
    <w:p w14:paraId="4DD3A5A9" w14:textId="37CEA5F4" w:rsidR="00212EFA" w:rsidRPr="00212EFA" w:rsidRDefault="00212EFA" w:rsidP="002513D6">
      <w:pPr>
        <w:pStyle w:val="EndNoteBibliography"/>
        <w:spacing w:line="480" w:lineRule="auto"/>
      </w:pPr>
      <w:r w:rsidRPr="00212EFA">
        <w:t>[13]</w:t>
      </w:r>
      <w:r w:rsidRPr="00212EFA">
        <w:tab/>
        <w:t xml:space="preserve">R. B. Macquart, B. J. Kennedy, M. Avdeev, </w:t>
      </w:r>
      <w:r w:rsidR="00CF4E98">
        <w:rPr>
          <w:i/>
        </w:rPr>
        <w:t xml:space="preserve">J. </w:t>
      </w:r>
      <w:r w:rsidRPr="0030761A">
        <w:rPr>
          <w:i/>
        </w:rPr>
        <w:t>Solid State Chem</w:t>
      </w:r>
      <w:r w:rsidR="00CF4E98">
        <w:rPr>
          <w:i/>
        </w:rPr>
        <w:t>.</w:t>
      </w:r>
      <w:r w:rsidRPr="00212EFA">
        <w:t xml:space="preserve"> </w:t>
      </w:r>
      <w:r w:rsidRPr="0030761A">
        <w:rPr>
          <w:b/>
        </w:rPr>
        <w:t>2010</w:t>
      </w:r>
      <w:r w:rsidRPr="00212EFA">
        <w:t xml:space="preserve">, </w:t>
      </w:r>
      <w:r w:rsidRPr="00FF1E8D">
        <w:rPr>
          <w:i/>
        </w:rPr>
        <w:t>183</w:t>
      </w:r>
      <w:r w:rsidRPr="00212EFA">
        <w:t>, 250.</w:t>
      </w:r>
    </w:p>
    <w:p w14:paraId="17E22984" w14:textId="63D9B3FF" w:rsidR="00212EFA" w:rsidRPr="00212EFA" w:rsidRDefault="00212EFA" w:rsidP="002513D6">
      <w:pPr>
        <w:pStyle w:val="EndNoteBibliography"/>
        <w:spacing w:line="480" w:lineRule="auto"/>
      </w:pPr>
      <w:r w:rsidRPr="00212EFA">
        <w:t>[14]</w:t>
      </w:r>
      <w:r w:rsidRPr="00212EFA">
        <w:tab/>
        <w:t xml:space="preserve">P. Dougier, J. C. C. Fan, J. B. Goodenough, </w:t>
      </w:r>
      <w:r w:rsidR="00CF4E98">
        <w:rPr>
          <w:i/>
        </w:rPr>
        <w:t>J.</w:t>
      </w:r>
      <w:r w:rsidRPr="0030761A">
        <w:rPr>
          <w:i/>
        </w:rPr>
        <w:t xml:space="preserve"> Solid State Chem</w:t>
      </w:r>
      <w:r w:rsidR="00CF4E98">
        <w:rPr>
          <w:i/>
        </w:rPr>
        <w:t>.</w:t>
      </w:r>
      <w:r w:rsidRPr="00212EFA">
        <w:t xml:space="preserve"> </w:t>
      </w:r>
      <w:r w:rsidRPr="0030761A">
        <w:rPr>
          <w:b/>
        </w:rPr>
        <w:t>1975</w:t>
      </w:r>
      <w:r w:rsidRPr="00212EFA">
        <w:t xml:space="preserve">, </w:t>
      </w:r>
      <w:r w:rsidRPr="00FF1E8D">
        <w:rPr>
          <w:i/>
        </w:rPr>
        <w:t>14</w:t>
      </w:r>
      <w:r w:rsidRPr="00212EFA">
        <w:t>, 247.</w:t>
      </w:r>
    </w:p>
    <w:p w14:paraId="28EBBB7D" w14:textId="7D1BE680" w:rsidR="00212EFA" w:rsidRPr="00212EFA" w:rsidRDefault="00212EFA" w:rsidP="002513D6">
      <w:pPr>
        <w:pStyle w:val="EndNoteBibliography"/>
        <w:spacing w:line="480" w:lineRule="auto"/>
      </w:pPr>
      <w:r w:rsidRPr="00212EFA">
        <w:t>[15]</w:t>
      </w:r>
      <w:r w:rsidRPr="00212EFA">
        <w:tab/>
        <w:t xml:space="preserve">H. Mizoguchi, N. Kitamura, K. Fukumi, T. Mihara, J. Nishii, M. Nakamura, N. Kikuchi, H. Hosono, H. Kawazoe, </w:t>
      </w:r>
      <w:r w:rsidR="00CF4E98">
        <w:rPr>
          <w:i/>
        </w:rPr>
        <w:t>J. Appl.</w:t>
      </w:r>
      <w:r w:rsidRPr="0030761A">
        <w:rPr>
          <w:i/>
        </w:rPr>
        <w:t xml:space="preserve"> Phys</w:t>
      </w:r>
      <w:r w:rsidR="00CF4E98">
        <w:rPr>
          <w:i/>
        </w:rPr>
        <w:t>.</w:t>
      </w:r>
      <w:r w:rsidRPr="00212EFA">
        <w:t xml:space="preserve"> </w:t>
      </w:r>
      <w:r w:rsidRPr="0030761A">
        <w:rPr>
          <w:b/>
        </w:rPr>
        <w:t>2000</w:t>
      </w:r>
      <w:r w:rsidRPr="00212EFA">
        <w:t xml:space="preserve">, </w:t>
      </w:r>
      <w:r w:rsidRPr="00FF1E8D">
        <w:rPr>
          <w:i/>
        </w:rPr>
        <w:t>87</w:t>
      </w:r>
      <w:r w:rsidRPr="00212EFA">
        <w:t>, 4617.</w:t>
      </w:r>
    </w:p>
    <w:p w14:paraId="5431642A" w14:textId="7BDB903D" w:rsidR="00212EFA" w:rsidRPr="00212EFA" w:rsidRDefault="00212EFA" w:rsidP="002513D6">
      <w:pPr>
        <w:pStyle w:val="EndNoteBibliography"/>
        <w:spacing w:line="480" w:lineRule="auto"/>
      </w:pPr>
      <w:r w:rsidRPr="00212EFA">
        <w:t>[16]</w:t>
      </w:r>
      <w:r w:rsidRPr="00212EFA">
        <w:tab/>
        <w:t xml:space="preserve">A. Radetinac, J. Zimmermann, K. Hoyer, H. Zhang, P. Komissinskiy, L. Alff, </w:t>
      </w:r>
      <w:r w:rsidR="00CF4E98">
        <w:rPr>
          <w:i/>
        </w:rPr>
        <w:t>J. Appl.</w:t>
      </w:r>
      <w:r w:rsidRPr="0030761A">
        <w:rPr>
          <w:i/>
        </w:rPr>
        <w:t xml:space="preserve"> Phys</w:t>
      </w:r>
      <w:r w:rsidR="00CF4E98">
        <w:rPr>
          <w:i/>
        </w:rPr>
        <w:t>.</w:t>
      </w:r>
      <w:r w:rsidRPr="00212EFA">
        <w:t xml:space="preserve"> </w:t>
      </w:r>
      <w:r w:rsidRPr="0030761A">
        <w:rPr>
          <w:b/>
        </w:rPr>
        <w:t>2016</w:t>
      </w:r>
      <w:r w:rsidRPr="00212EFA">
        <w:t xml:space="preserve">, </w:t>
      </w:r>
      <w:r w:rsidRPr="00FF1E8D">
        <w:rPr>
          <w:i/>
        </w:rPr>
        <w:t>119</w:t>
      </w:r>
      <w:r w:rsidRPr="00212EFA">
        <w:t>, 055302.</w:t>
      </w:r>
    </w:p>
    <w:p w14:paraId="762A053C" w14:textId="3233767C" w:rsidR="00212EFA" w:rsidRPr="00212EFA" w:rsidRDefault="00212EFA" w:rsidP="002513D6">
      <w:pPr>
        <w:pStyle w:val="EndNoteBibliography"/>
        <w:spacing w:line="480" w:lineRule="auto"/>
      </w:pPr>
      <w:r w:rsidRPr="00212EFA">
        <w:t>[17]</w:t>
      </w:r>
      <w:r w:rsidRPr="00212EFA">
        <w:tab/>
        <w:t xml:space="preserve">H. Ohta, M. Orita, M. Hirano, H. Hosono, </w:t>
      </w:r>
      <w:r w:rsidR="007E19DC">
        <w:rPr>
          <w:i/>
        </w:rPr>
        <w:t>J. Appl.</w:t>
      </w:r>
      <w:r w:rsidRPr="0030761A">
        <w:rPr>
          <w:i/>
        </w:rPr>
        <w:t xml:space="preserve"> Phys</w:t>
      </w:r>
      <w:r w:rsidR="007E19DC">
        <w:rPr>
          <w:i/>
        </w:rPr>
        <w:t>.</w:t>
      </w:r>
      <w:r w:rsidRPr="00212EFA">
        <w:t xml:space="preserve"> </w:t>
      </w:r>
      <w:r w:rsidRPr="0030761A">
        <w:rPr>
          <w:b/>
        </w:rPr>
        <w:t>2002</w:t>
      </w:r>
      <w:r w:rsidRPr="00212EFA">
        <w:t xml:space="preserve">, </w:t>
      </w:r>
      <w:r w:rsidRPr="00FF1E8D">
        <w:rPr>
          <w:i/>
        </w:rPr>
        <w:t>91</w:t>
      </w:r>
      <w:r w:rsidRPr="00212EFA">
        <w:t>, 3547.</w:t>
      </w:r>
    </w:p>
    <w:p w14:paraId="40327874" w14:textId="09C54155" w:rsidR="00212EFA" w:rsidRPr="00212EFA" w:rsidRDefault="00212EFA" w:rsidP="002513D6">
      <w:pPr>
        <w:pStyle w:val="EndNoteBibliography"/>
        <w:spacing w:line="480" w:lineRule="auto"/>
      </w:pPr>
      <w:r w:rsidRPr="00212EFA">
        <w:t>[18]</w:t>
      </w:r>
      <w:r w:rsidRPr="00212EFA">
        <w:tab/>
        <w:t xml:space="preserve">C. de la Calle, J. A. Alonso, M. García-Hernández, V. Pomjakushin, </w:t>
      </w:r>
      <w:r w:rsidR="007E19DC">
        <w:rPr>
          <w:i/>
        </w:rPr>
        <w:t>J.</w:t>
      </w:r>
      <w:r w:rsidRPr="0030761A">
        <w:rPr>
          <w:i/>
        </w:rPr>
        <w:t xml:space="preserve"> Solid State Chem</w:t>
      </w:r>
      <w:r w:rsidR="007E19DC">
        <w:rPr>
          <w:i/>
        </w:rPr>
        <w:t>.</w:t>
      </w:r>
      <w:r w:rsidRPr="00212EFA">
        <w:t xml:space="preserve"> </w:t>
      </w:r>
      <w:r w:rsidRPr="0030761A">
        <w:rPr>
          <w:b/>
        </w:rPr>
        <w:t>2006</w:t>
      </w:r>
      <w:r w:rsidRPr="00212EFA">
        <w:t xml:space="preserve">, </w:t>
      </w:r>
      <w:r w:rsidRPr="00FF1E8D">
        <w:rPr>
          <w:i/>
        </w:rPr>
        <w:t>179</w:t>
      </w:r>
      <w:r w:rsidRPr="00212EFA">
        <w:t>, 1636.</w:t>
      </w:r>
    </w:p>
    <w:p w14:paraId="265B7C82" w14:textId="604BB9E7" w:rsidR="00212EFA" w:rsidRPr="00212EFA" w:rsidRDefault="00212EFA" w:rsidP="002513D6">
      <w:pPr>
        <w:pStyle w:val="EndNoteBibliography"/>
        <w:spacing w:line="480" w:lineRule="auto"/>
      </w:pPr>
      <w:r w:rsidRPr="00212EFA">
        <w:t>[19]</w:t>
      </w:r>
      <w:r w:rsidRPr="00212EFA">
        <w:tab/>
        <w:t xml:space="preserve">R. Aldin, S. T. Kei, A. Lambert, K. Masashi, T. Yoshinori, </w:t>
      </w:r>
      <w:r w:rsidR="007E19DC">
        <w:rPr>
          <w:i/>
        </w:rPr>
        <w:t>Appl. Phys.</w:t>
      </w:r>
      <w:r w:rsidRPr="0030761A">
        <w:rPr>
          <w:i/>
        </w:rPr>
        <w:t xml:space="preserve"> Express</w:t>
      </w:r>
      <w:r w:rsidRPr="00212EFA">
        <w:t xml:space="preserve"> </w:t>
      </w:r>
      <w:r w:rsidRPr="0030761A">
        <w:rPr>
          <w:b/>
        </w:rPr>
        <w:t>2010</w:t>
      </w:r>
      <w:r w:rsidRPr="00212EFA">
        <w:t xml:space="preserve">, </w:t>
      </w:r>
      <w:r w:rsidRPr="00FF1E8D">
        <w:rPr>
          <w:i/>
        </w:rPr>
        <w:t>3</w:t>
      </w:r>
      <w:r w:rsidRPr="00212EFA">
        <w:t>, 073003.</w:t>
      </w:r>
    </w:p>
    <w:p w14:paraId="719013B8" w14:textId="1435360F" w:rsidR="00212EFA" w:rsidRPr="00212EFA" w:rsidRDefault="00212EFA" w:rsidP="002513D6">
      <w:pPr>
        <w:pStyle w:val="EndNoteBibliography"/>
        <w:spacing w:line="480" w:lineRule="auto"/>
      </w:pPr>
      <w:r w:rsidRPr="00212EFA">
        <w:t>[20]</w:t>
      </w:r>
      <w:r w:rsidRPr="00212EFA">
        <w:tab/>
        <w:t xml:space="preserve">G. Kresse, J. Furthmüller, </w:t>
      </w:r>
      <w:r w:rsidR="007E19DC">
        <w:rPr>
          <w:i/>
        </w:rPr>
        <w:t>Phys. Rev.</w:t>
      </w:r>
      <w:r w:rsidRPr="00192195">
        <w:rPr>
          <w:i/>
        </w:rPr>
        <w:t xml:space="preserve"> B</w:t>
      </w:r>
      <w:r w:rsidRPr="00212EFA">
        <w:t xml:space="preserve"> </w:t>
      </w:r>
      <w:r w:rsidRPr="00192195">
        <w:rPr>
          <w:b/>
        </w:rPr>
        <w:t>1996</w:t>
      </w:r>
      <w:r w:rsidRPr="00212EFA">
        <w:t xml:space="preserve">, </w:t>
      </w:r>
      <w:r w:rsidRPr="00FF1E8D">
        <w:rPr>
          <w:i/>
        </w:rPr>
        <w:t>54</w:t>
      </w:r>
      <w:r w:rsidRPr="00212EFA">
        <w:t>, 11169.</w:t>
      </w:r>
    </w:p>
    <w:p w14:paraId="303D58B7" w14:textId="65CD5BD5" w:rsidR="00212EFA" w:rsidRPr="00212EFA" w:rsidRDefault="00212EFA" w:rsidP="002513D6">
      <w:pPr>
        <w:pStyle w:val="EndNoteBibliography"/>
        <w:spacing w:line="480" w:lineRule="auto"/>
      </w:pPr>
      <w:r w:rsidRPr="00212EFA">
        <w:t>[21]</w:t>
      </w:r>
      <w:r w:rsidRPr="00212EFA">
        <w:tab/>
        <w:t xml:space="preserve">G. Kresse, D. Joubert, </w:t>
      </w:r>
      <w:r w:rsidR="007E19DC">
        <w:rPr>
          <w:i/>
        </w:rPr>
        <w:t>Phys. Rev.</w:t>
      </w:r>
      <w:r w:rsidRPr="00192195">
        <w:rPr>
          <w:i/>
        </w:rPr>
        <w:t xml:space="preserve"> B</w:t>
      </w:r>
      <w:r w:rsidRPr="00212EFA">
        <w:t xml:space="preserve"> </w:t>
      </w:r>
      <w:r w:rsidRPr="00192195">
        <w:rPr>
          <w:b/>
        </w:rPr>
        <w:t>1999</w:t>
      </w:r>
      <w:r w:rsidRPr="00212EFA">
        <w:t xml:space="preserve">, </w:t>
      </w:r>
      <w:r w:rsidRPr="00FF1E8D">
        <w:rPr>
          <w:i/>
        </w:rPr>
        <w:t>59</w:t>
      </w:r>
      <w:r w:rsidRPr="00212EFA">
        <w:t>, 1758.</w:t>
      </w:r>
    </w:p>
    <w:p w14:paraId="44AE080E" w14:textId="17D994E5" w:rsidR="00212EFA" w:rsidRPr="00212EFA" w:rsidRDefault="00212EFA" w:rsidP="002513D6">
      <w:pPr>
        <w:pStyle w:val="EndNoteBibliography"/>
        <w:spacing w:line="480" w:lineRule="auto"/>
      </w:pPr>
      <w:r w:rsidRPr="00212EFA">
        <w:t>[22]</w:t>
      </w:r>
      <w:r w:rsidRPr="00212EFA">
        <w:tab/>
        <w:t xml:space="preserve">J. P. Perdew, K. Burke, M. Ernzerhof, </w:t>
      </w:r>
      <w:r w:rsidR="007E19DC">
        <w:rPr>
          <w:i/>
        </w:rPr>
        <w:t>Phys. Rev.</w:t>
      </w:r>
      <w:r w:rsidRPr="00192195">
        <w:rPr>
          <w:i/>
        </w:rPr>
        <w:t xml:space="preserve"> Lett</w:t>
      </w:r>
      <w:r w:rsidR="007E19DC">
        <w:rPr>
          <w:i/>
        </w:rPr>
        <w:t>.</w:t>
      </w:r>
      <w:r w:rsidRPr="00212EFA">
        <w:t xml:space="preserve"> </w:t>
      </w:r>
      <w:r w:rsidRPr="00192195">
        <w:rPr>
          <w:b/>
        </w:rPr>
        <w:t>1996</w:t>
      </w:r>
      <w:r w:rsidRPr="00212EFA">
        <w:t xml:space="preserve">, </w:t>
      </w:r>
      <w:r w:rsidRPr="00FF1E8D">
        <w:rPr>
          <w:i/>
        </w:rPr>
        <w:t>77</w:t>
      </w:r>
      <w:r w:rsidRPr="00212EFA">
        <w:t>, 3865.</w:t>
      </w:r>
    </w:p>
    <w:p w14:paraId="0AC588DD" w14:textId="1A3105D2" w:rsidR="00212EFA" w:rsidRPr="00212EFA" w:rsidRDefault="00212EFA" w:rsidP="002513D6">
      <w:pPr>
        <w:pStyle w:val="EndNoteBibliography"/>
        <w:spacing w:line="480" w:lineRule="auto"/>
      </w:pPr>
      <w:r w:rsidRPr="00212EFA">
        <w:t>[23]</w:t>
      </w:r>
      <w:r w:rsidRPr="00212EFA">
        <w:tab/>
        <w:t xml:space="preserve">W. Setyawan, S. Curtarolo, </w:t>
      </w:r>
      <w:r w:rsidR="007E19DC">
        <w:rPr>
          <w:i/>
        </w:rPr>
        <w:t>Comput. Mater.</w:t>
      </w:r>
      <w:r w:rsidRPr="00192195">
        <w:rPr>
          <w:i/>
        </w:rPr>
        <w:t xml:space="preserve"> Sci</w:t>
      </w:r>
      <w:r w:rsidR="007E19DC">
        <w:rPr>
          <w:i/>
        </w:rPr>
        <w:t>.</w:t>
      </w:r>
      <w:r w:rsidRPr="00212EFA">
        <w:t xml:space="preserve"> </w:t>
      </w:r>
      <w:r w:rsidRPr="00192195">
        <w:rPr>
          <w:b/>
        </w:rPr>
        <w:t>2010</w:t>
      </w:r>
      <w:r w:rsidRPr="00212EFA">
        <w:t xml:space="preserve">, </w:t>
      </w:r>
      <w:r w:rsidRPr="00FF1E8D">
        <w:rPr>
          <w:i/>
        </w:rPr>
        <w:t>49</w:t>
      </w:r>
      <w:r w:rsidRPr="00212EFA">
        <w:t>, 299.</w:t>
      </w:r>
    </w:p>
    <w:p w14:paraId="0C238AB2" w14:textId="62C22C18" w:rsidR="00212EFA" w:rsidRPr="00212EFA" w:rsidRDefault="00212EFA" w:rsidP="002513D6">
      <w:pPr>
        <w:pStyle w:val="EndNoteBibliography"/>
        <w:spacing w:line="480" w:lineRule="auto"/>
      </w:pPr>
      <w:r w:rsidRPr="00212EFA">
        <w:t>[24]</w:t>
      </w:r>
      <w:r w:rsidRPr="00212EFA">
        <w:tab/>
        <w:t xml:space="preserve">M. Gajdoš, K. Hummer, G. Kresse, J. Furthmüller, F. Bechstedt, </w:t>
      </w:r>
      <w:r w:rsidR="007E19DC">
        <w:rPr>
          <w:i/>
        </w:rPr>
        <w:t>Phys. Rev.</w:t>
      </w:r>
      <w:r w:rsidRPr="00192195">
        <w:rPr>
          <w:i/>
        </w:rPr>
        <w:t xml:space="preserve"> B</w:t>
      </w:r>
      <w:r w:rsidRPr="00212EFA">
        <w:t xml:space="preserve"> </w:t>
      </w:r>
      <w:r w:rsidRPr="00192195">
        <w:rPr>
          <w:b/>
        </w:rPr>
        <w:t>2006</w:t>
      </w:r>
      <w:r w:rsidRPr="00212EFA">
        <w:t xml:space="preserve">, </w:t>
      </w:r>
      <w:r w:rsidRPr="00FF1E8D">
        <w:rPr>
          <w:i/>
        </w:rPr>
        <w:t>73</w:t>
      </w:r>
      <w:r w:rsidRPr="00212EFA">
        <w:t>, 045112.</w:t>
      </w:r>
    </w:p>
    <w:p w14:paraId="38D2C3F7" w14:textId="31959D00" w:rsidR="00BF209A" w:rsidRPr="00FD3643" w:rsidRDefault="00BF209A" w:rsidP="00BF209A">
      <w:pPr>
        <w:pStyle w:val="MainText"/>
      </w:pPr>
    </w:p>
    <w:p w14:paraId="45C9DCA8" w14:textId="37831E11" w:rsidR="00637C38" w:rsidRDefault="00637C38">
      <w:pPr>
        <w:rPr>
          <w:lang w:val="en-US"/>
        </w:rPr>
      </w:pPr>
      <w:r>
        <w:br w:type="page"/>
      </w:r>
    </w:p>
    <w:p w14:paraId="6C2300F4" w14:textId="7B7AC884" w:rsidR="00FE0ED9" w:rsidRDefault="00FE0ED9" w:rsidP="00FE0ED9">
      <w:pPr>
        <w:pStyle w:val="Legend"/>
        <w:rPr>
          <w:color w:val="FF0000"/>
        </w:rPr>
      </w:pPr>
      <w:r>
        <w:rPr>
          <w:noProof/>
          <w:color w:val="FF0000"/>
          <w:lang w:val="en-GB" w:eastAsia="en-GB"/>
        </w:rPr>
        <w:lastRenderedPageBreak/>
        <w:drawing>
          <wp:inline distT="0" distB="0" distL="0" distR="0" wp14:anchorId="6EB38605" wp14:editId="583BF410">
            <wp:extent cx="5672416" cy="2451100"/>
            <wp:effectExtent l="0" t="0" r="508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16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8E60" w14:textId="5556F410" w:rsidR="00FE0ED9" w:rsidRPr="009E1B61" w:rsidRDefault="00FE0ED9" w:rsidP="00FE0ED9">
      <w:pPr>
        <w:pStyle w:val="Legend"/>
      </w:pPr>
      <w:proofErr w:type="gramStart"/>
      <w:r w:rsidRPr="00EF4114">
        <w:rPr>
          <w:b/>
        </w:rPr>
        <w:t xml:space="preserve">Figure </w:t>
      </w:r>
      <w:r>
        <w:rPr>
          <w:b/>
        </w:rPr>
        <w:t>1</w:t>
      </w:r>
      <w:r w:rsidRPr="00EF4114">
        <w:rPr>
          <w:b/>
        </w:rPr>
        <w:t>.</w:t>
      </w:r>
      <w:proofErr w:type="gramEnd"/>
      <w:r w:rsidRPr="00EF4114">
        <w:t xml:space="preserve"> (</w:t>
      </w:r>
      <w:r w:rsidR="00CF11F8">
        <w:t>a</w:t>
      </w:r>
      <w:r w:rsidRPr="00EF4114">
        <w:t>)</w:t>
      </w:r>
      <w:r w:rsidR="00CF11F8">
        <w:t xml:space="preserve"> Top panel: Calculated plasma frequency </w:t>
      </w:r>
      <w:r w:rsidR="00CF11F8" w:rsidRPr="00CF11F8">
        <w:rPr>
          <w:i/>
        </w:rPr>
        <w:sym w:font="Symbol" w:char="F077"/>
      </w:r>
      <w:r w:rsidR="00CF11F8" w:rsidRPr="00CF11F8">
        <w:rPr>
          <w:i/>
          <w:vertAlign w:val="subscript"/>
        </w:rPr>
        <w:t>p</w:t>
      </w:r>
      <w:r w:rsidR="00CF11F8">
        <w:t xml:space="preserve"> as a function of the renormalization factor</w:t>
      </w:r>
      <w:r>
        <w:t xml:space="preserve"> </w:t>
      </w:r>
      <w:proofErr w:type="spellStart"/>
      <w:r w:rsidR="00CF11F8" w:rsidRPr="00CF11F8">
        <w:rPr>
          <w:i/>
        </w:rPr>
        <w:t>Z</w:t>
      </w:r>
      <w:r w:rsidR="00CF11F8" w:rsidRPr="00CF11F8">
        <w:rPr>
          <w:i/>
          <w:vertAlign w:val="subscript"/>
        </w:rPr>
        <w:t>k</w:t>
      </w:r>
      <w:proofErr w:type="spellEnd"/>
      <w:r w:rsidR="00CF11F8">
        <w:t xml:space="preserve"> using equation 1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band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CF11F8">
        <w:t xml:space="preserve">= 2.25 </w:t>
      </w:r>
      <w:r w:rsidR="00CF11F8" w:rsidRPr="00CF11F8">
        <w:rPr>
          <w:i/>
        </w:rPr>
        <w:t>m</w:t>
      </w:r>
      <w:r w:rsidR="00CF11F8" w:rsidRPr="00CF11F8">
        <w:rPr>
          <w:i/>
          <w:vertAlign w:val="subscript"/>
        </w:rPr>
        <w:t>e</w:t>
      </w:r>
      <w:r w:rsidR="00CF11F8">
        <w:t xml:space="preserve"> for the theoretical (blue dashed line) and reported (solid green line) carrier concentration of</w:t>
      </w:r>
      <w:r w:rsidR="007214E7">
        <w:t xml:space="preserve"> </w:t>
      </w:r>
      <w:r w:rsidR="007214E7">
        <w:rPr>
          <w:i/>
        </w:rPr>
        <w:t>3d</w:t>
      </w:r>
      <w:r w:rsidR="007214E7" w:rsidRPr="0028184E">
        <w:rPr>
          <w:i/>
          <w:vertAlign w:val="superscript"/>
        </w:rPr>
        <w:t>1</w:t>
      </w:r>
      <w:r w:rsidR="00CF11F8">
        <w:t xml:space="preserve"> SrVO</w:t>
      </w:r>
      <w:r w:rsidR="00CF11F8" w:rsidRPr="00CF11F8">
        <w:rPr>
          <w:vertAlign w:val="subscript"/>
        </w:rPr>
        <w:t>3</w:t>
      </w:r>
      <w:r w:rsidR="00CF11F8">
        <w:t xml:space="preserve"> and for the theoretical carrier concentration of </w:t>
      </w:r>
      <w:r w:rsidR="00CF11F8" w:rsidRPr="0028184E">
        <w:rPr>
          <w:i/>
        </w:rPr>
        <w:t>4d</w:t>
      </w:r>
      <w:r w:rsidR="00CF11F8" w:rsidRPr="0028184E">
        <w:rPr>
          <w:i/>
          <w:vertAlign w:val="superscript"/>
        </w:rPr>
        <w:t>2</w:t>
      </w:r>
      <w:r w:rsidR="00CF11F8">
        <w:t xml:space="preserve"> SrMoO</w:t>
      </w:r>
      <w:r w:rsidR="00CF11F8" w:rsidRPr="00CF11F8">
        <w:rPr>
          <w:vertAlign w:val="subscript"/>
        </w:rPr>
        <w:t>3</w:t>
      </w:r>
      <w:r w:rsidR="006167FA">
        <w:t xml:space="preserve"> (</w:t>
      </w:r>
      <w:r w:rsidR="006739DA">
        <w:t>purple dash-dot</w:t>
      </w:r>
      <w:r w:rsidR="006167FA">
        <w:t xml:space="preserve"> line). The experimental plasma frequency reported for SrVO</w:t>
      </w:r>
      <w:r w:rsidR="006167FA" w:rsidRPr="0028184E">
        <w:rPr>
          <w:vertAlign w:val="subscript"/>
        </w:rPr>
        <w:t>3</w:t>
      </w:r>
      <w:r w:rsidR="006167FA">
        <w:t xml:space="preserve"> with </w:t>
      </w:r>
      <w:proofErr w:type="spellStart"/>
      <w:r w:rsidR="006167FA" w:rsidRPr="006167FA">
        <w:rPr>
          <w:i/>
        </w:rPr>
        <w:t>Z</w:t>
      </w:r>
      <w:r w:rsidR="006167FA" w:rsidRPr="006167FA">
        <w:rPr>
          <w:i/>
          <w:vertAlign w:val="subscript"/>
        </w:rPr>
        <w:t>k</w:t>
      </w:r>
      <w:proofErr w:type="spellEnd"/>
      <w:r w:rsidR="006167FA">
        <w:t xml:space="preserve"> = 0.33 is represented with a</w:t>
      </w:r>
      <w:r w:rsidR="002C39B5">
        <w:t>n open</w:t>
      </w:r>
      <w:r w:rsidR="006167FA">
        <w:t xml:space="preserve"> green </w:t>
      </w:r>
      <w:proofErr w:type="gramStart"/>
      <w:r w:rsidR="006167FA">
        <w:t>circle</w:t>
      </w:r>
      <w:r w:rsidR="00212EFA" w:rsidRPr="00212EFA">
        <w:rPr>
          <w:noProof/>
          <w:vertAlign w:val="superscript"/>
        </w:rPr>
        <w:t>[</w:t>
      </w:r>
      <w:proofErr w:type="gramEnd"/>
      <w:r w:rsidR="00212EFA" w:rsidRPr="00212EFA">
        <w:rPr>
          <w:noProof/>
          <w:vertAlign w:val="superscript"/>
        </w:rPr>
        <w:t>7]</w:t>
      </w:r>
      <w:r w:rsidR="006167FA">
        <w:t>.</w:t>
      </w:r>
      <w:r w:rsidR="00C5431B">
        <w:t xml:space="preserve"> Bottom panel: Conductivity </w:t>
      </w:r>
      <w:r w:rsidR="00C5431B" w:rsidRPr="00C5431B">
        <w:rPr>
          <w:i/>
        </w:rPr>
        <w:sym w:font="Symbol" w:char="F073"/>
      </w:r>
      <w:r w:rsidR="00C5431B">
        <w:t xml:space="preserve"> as a function of </w:t>
      </w:r>
      <w:proofErr w:type="spellStart"/>
      <w:r w:rsidR="00C5431B" w:rsidRPr="006167FA">
        <w:rPr>
          <w:i/>
        </w:rPr>
        <w:t>Z</w:t>
      </w:r>
      <w:r w:rsidR="00C5431B" w:rsidRPr="006167FA">
        <w:rPr>
          <w:i/>
          <w:vertAlign w:val="subscript"/>
        </w:rPr>
        <w:t>k</w:t>
      </w:r>
      <w:proofErr w:type="spellEnd"/>
      <w:r w:rsidR="00C5431B">
        <w:t xml:space="preserve"> calculated using Equation 2 with a scattering factor </w:t>
      </w:r>
      <w:r w:rsidR="00C5431B" w:rsidRPr="00C5431B">
        <w:rPr>
          <w:i/>
        </w:rPr>
        <w:sym w:font="Symbol" w:char="F074"/>
      </w:r>
      <w:r w:rsidR="002C39B5">
        <w:t xml:space="preserve"> = 50 fs</w:t>
      </w:r>
      <w:r w:rsidR="00EB1A42">
        <w:t>,</w:t>
      </w:r>
      <w:r w:rsidR="00A96C29">
        <w:t xml:space="preserve"> </w:t>
      </w:r>
      <w:r w:rsidR="00EB1A42">
        <w:t xml:space="preserve">to account for the measured mobility, and </w:t>
      </w:r>
      <w:r w:rsidR="00C5431B">
        <w:t>the reported carrier concentration of SrVO</w:t>
      </w:r>
      <w:r w:rsidR="00C5431B" w:rsidRPr="00CF11F8">
        <w:rPr>
          <w:vertAlign w:val="subscript"/>
        </w:rPr>
        <w:t>3</w:t>
      </w:r>
      <w:r w:rsidR="00C5431B">
        <w:t xml:space="preserve"> </w:t>
      </w:r>
      <w:r w:rsidR="00212EFA" w:rsidRPr="00212EFA">
        <w:rPr>
          <w:noProof/>
          <w:vertAlign w:val="superscript"/>
        </w:rPr>
        <w:t>[7]</w:t>
      </w:r>
      <w:r w:rsidR="00C5431B">
        <w:t xml:space="preserve">(solid green line) and for the theoretical carrier concentration of the </w:t>
      </w:r>
      <w:r w:rsidR="00C5431B" w:rsidRPr="0028184E">
        <w:rPr>
          <w:i/>
        </w:rPr>
        <w:t>4d</w:t>
      </w:r>
      <w:r w:rsidR="00C5431B" w:rsidRPr="0028184E">
        <w:rPr>
          <w:i/>
          <w:vertAlign w:val="superscript"/>
        </w:rPr>
        <w:t>2</w:t>
      </w:r>
      <w:r w:rsidR="00C5431B">
        <w:t xml:space="preserve"> SrMoO</w:t>
      </w:r>
      <w:r w:rsidR="00C5431B" w:rsidRPr="00CF11F8">
        <w:rPr>
          <w:vertAlign w:val="subscript"/>
        </w:rPr>
        <w:t>3</w:t>
      </w:r>
      <w:r w:rsidR="00C5431B">
        <w:t xml:space="preserve"> (</w:t>
      </w:r>
      <w:r w:rsidR="00B1540E">
        <w:t>purple dash- dot</w:t>
      </w:r>
      <w:r w:rsidR="00C5431B">
        <w:t xml:space="preserve"> line)</w:t>
      </w:r>
      <w:r w:rsidR="00E73528">
        <w:t xml:space="preserve"> together with the reported conductivity of SrVO</w:t>
      </w:r>
      <w:r w:rsidR="00E73528" w:rsidRPr="00CF11F8">
        <w:rPr>
          <w:vertAlign w:val="subscript"/>
        </w:rPr>
        <w:t>3</w:t>
      </w:r>
      <w:r w:rsidR="00E73528">
        <w:t xml:space="preserve"> </w:t>
      </w:r>
      <w:r w:rsidR="00212EFA" w:rsidRPr="00212EFA">
        <w:rPr>
          <w:noProof/>
          <w:vertAlign w:val="superscript"/>
        </w:rPr>
        <w:t>[7]</w:t>
      </w:r>
      <w:r w:rsidR="00E73528">
        <w:t>(</w:t>
      </w:r>
      <w:r w:rsidR="00A96C29">
        <w:t>open</w:t>
      </w:r>
      <w:r w:rsidR="00E73528">
        <w:t xml:space="preserve"> green square) and </w:t>
      </w:r>
      <w:r w:rsidR="007214E7">
        <w:t xml:space="preserve">the </w:t>
      </w:r>
      <w:r w:rsidR="00E73528">
        <w:t xml:space="preserve">maximum theoretical conductivity corresponding </w:t>
      </w:r>
      <w:r w:rsidR="007214E7">
        <w:t xml:space="preserve">to </w:t>
      </w:r>
      <w:r w:rsidR="00E73528" w:rsidRPr="00CF11F8">
        <w:rPr>
          <w:i/>
        </w:rPr>
        <w:sym w:font="Symbol" w:char="F077"/>
      </w:r>
      <w:r w:rsidR="00E73528" w:rsidRPr="00CF11F8">
        <w:rPr>
          <w:i/>
          <w:vertAlign w:val="subscript"/>
        </w:rPr>
        <w:t>p</w:t>
      </w:r>
      <w:r w:rsidR="00E73528">
        <w:rPr>
          <w:i/>
        </w:rPr>
        <w:t xml:space="preserve"> </w:t>
      </w:r>
      <w:r w:rsidR="00E73528" w:rsidRPr="00E73528">
        <w:t>= 1.75 eV for SrVO</w:t>
      </w:r>
      <w:r w:rsidR="00E73528" w:rsidRPr="00E73528">
        <w:rPr>
          <w:vertAlign w:val="subscript"/>
        </w:rPr>
        <w:t>3</w:t>
      </w:r>
      <w:r w:rsidR="00E73528" w:rsidRPr="00E73528">
        <w:t xml:space="preserve"> (full green square) and SrMoO</w:t>
      </w:r>
      <w:r w:rsidR="00E73528" w:rsidRPr="00E73528">
        <w:rPr>
          <w:vertAlign w:val="subscript"/>
        </w:rPr>
        <w:t>3</w:t>
      </w:r>
      <w:r w:rsidR="00E73528" w:rsidRPr="00E73528">
        <w:t xml:space="preserve"> (full purple square).</w:t>
      </w:r>
      <w:r w:rsidR="00C665B7">
        <w:t xml:space="preserve"> (b) </w:t>
      </w:r>
      <w:r w:rsidR="000168C0">
        <w:t xml:space="preserve">Schematic energy band diagram illustrating the O </w:t>
      </w:r>
      <w:r w:rsidR="000168C0" w:rsidRPr="0028184E">
        <w:rPr>
          <w:i/>
        </w:rPr>
        <w:t>2p</w:t>
      </w:r>
      <w:r w:rsidR="000168C0">
        <w:t xml:space="preserve"> – </w:t>
      </w:r>
      <w:proofErr w:type="spellStart"/>
      <w:r w:rsidR="007214E7" w:rsidRPr="0028184E">
        <w:rPr>
          <w:i/>
        </w:rPr>
        <w:t>n</w:t>
      </w:r>
      <w:r w:rsidR="000168C0" w:rsidRPr="0028184E">
        <w:rPr>
          <w:i/>
        </w:rPr>
        <w:t>d</w:t>
      </w:r>
      <w:proofErr w:type="spellEnd"/>
      <w:r w:rsidR="000168C0">
        <w:t xml:space="preserve"> inter-band transition for a </w:t>
      </w:r>
      <w:r w:rsidR="000168C0" w:rsidRPr="0028184E">
        <w:rPr>
          <w:i/>
        </w:rPr>
        <w:t>3d</w:t>
      </w:r>
      <w:r w:rsidR="000168C0" w:rsidRPr="0028184E">
        <w:rPr>
          <w:i/>
          <w:vertAlign w:val="superscript"/>
        </w:rPr>
        <w:t>1</w:t>
      </w:r>
      <w:r w:rsidR="000168C0">
        <w:t xml:space="preserve"> (left) and </w:t>
      </w:r>
      <w:r w:rsidR="000168C0" w:rsidRPr="0028184E">
        <w:rPr>
          <w:i/>
        </w:rPr>
        <w:t>4d</w:t>
      </w:r>
      <w:r w:rsidR="000168C0" w:rsidRPr="0028184E">
        <w:rPr>
          <w:i/>
          <w:vertAlign w:val="superscript"/>
        </w:rPr>
        <w:t>1</w:t>
      </w:r>
      <w:r w:rsidR="000168C0">
        <w:t xml:space="preserve"> and </w:t>
      </w:r>
      <w:r w:rsidR="000168C0" w:rsidRPr="0028184E">
        <w:rPr>
          <w:i/>
        </w:rPr>
        <w:t>4d</w:t>
      </w:r>
      <w:r w:rsidR="000168C0" w:rsidRPr="0028184E">
        <w:rPr>
          <w:i/>
          <w:vertAlign w:val="superscript"/>
        </w:rPr>
        <w:t>2</w:t>
      </w:r>
      <w:r w:rsidR="000168C0">
        <w:t xml:space="preserve"> cation (right) in an octahedral environment. (c)</w:t>
      </w:r>
      <w:r w:rsidR="00EF01A2">
        <w:t xml:space="preserve"> Calculated plasma frequency </w:t>
      </w:r>
      <w:r w:rsidR="00EF01A2" w:rsidRPr="00CF11F8">
        <w:rPr>
          <w:i/>
        </w:rPr>
        <w:sym w:font="Symbol" w:char="F077"/>
      </w:r>
      <w:r w:rsidR="00EF01A2" w:rsidRPr="00CF11F8">
        <w:rPr>
          <w:i/>
          <w:vertAlign w:val="subscript"/>
        </w:rPr>
        <w:t>p</w:t>
      </w:r>
      <w:r w:rsidR="00EF01A2">
        <w:t xml:space="preserve"> as a function of the renormalization factor </w:t>
      </w:r>
      <w:proofErr w:type="spellStart"/>
      <w:r w:rsidR="00EF01A2" w:rsidRPr="00CF11F8">
        <w:rPr>
          <w:i/>
        </w:rPr>
        <w:t>Z</w:t>
      </w:r>
      <w:r w:rsidR="00EF01A2" w:rsidRPr="00CF11F8">
        <w:rPr>
          <w:i/>
          <w:vertAlign w:val="subscript"/>
        </w:rPr>
        <w:t>k</w:t>
      </w:r>
      <w:proofErr w:type="spellEnd"/>
      <w:r w:rsidR="00EF01A2">
        <w:t xml:space="preserve"> using equation 1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band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EF01A2">
        <w:t xml:space="preserve">= 2.25 </w:t>
      </w:r>
      <w:r w:rsidR="00EF01A2" w:rsidRPr="00CF11F8">
        <w:rPr>
          <w:i/>
        </w:rPr>
        <w:t>m</w:t>
      </w:r>
      <w:r w:rsidR="00EF01A2" w:rsidRPr="00CF11F8">
        <w:rPr>
          <w:i/>
          <w:vertAlign w:val="subscript"/>
        </w:rPr>
        <w:t>e</w:t>
      </w:r>
      <w:r w:rsidR="00EF01A2">
        <w:t xml:space="preserve"> for the theoretical carrier concentration of the </w:t>
      </w:r>
      <w:r w:rsidR="00EF01A2" w:rsidRPr="0028184E">
        <w:rPr>
          <w:i/>
        </w:rPr>
        <w:t>4d</w:t>
      </w:r>
      <w:r w:rsidR="00EF01A2" w:rsidRPr="0028184E">
        <w:rPr>
          <w:i/>
          <w:vertAlign w:val="superscript"/>
        </w:rPr>
        <w:t>2</w:t>
      </w:r>
      <w:r w:rsidR="00EF01A2">
        <w:t xml:space="preserve"> SrMoO</w:t>
      </w:r>
      <w:r w:rsidR="00EF01A2" w:rsidRPr="00CF11F8">
        <w:rPr>
          <w:vertAlign w:val="subscript"/>
        </w:rPr>
        <w:t>3</w:t>
      </w:r>
      <w:r w:rsidR="00EF01A2">
        <w:t xml:space="preserve"> (dashed dotted purple line) in a cubic structure (</w:t>
      </w:r>
      <w:r w:rsidR="00B1540E">
        <w:t xml:space="preserve">purple </w:t>
      </w:r>
      <w:r w:rsidR="00EF01A2">
        <w:t xml:space="preserve">dash-dot border inset) and a tilted structure (purple border inset)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tilt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E94CC5">
        <w:t xml:space="preserve">= 1.3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band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E94CC5">
        <w:t xml:space="preserve"> (purple line).</w:t>
      </w:r>
      <w:r w:rsidR="009E1B61">
        <w:t xml:space="preserve"> The purple star represents </w:t>
      </w:r>
      <w:r w:rsidR="009E1B61" w:rsidRPr="00CF11F8">
        <w:rPr>
          <w:i/>
        </w:rPr>
        <w:sym w:font="Symbol" w:char="F077"/>
      </w:r>
      <w:r w:rsidR="009E1B61" w:rsidRPr="00CF11F8">
        <w:rPr>
          <w:i/>
          <w:vertAlign w:val="subscript"/>
        </w:rPr>
        <w:t>p</w:t>
      </w:r>
      <w:r w:rsidR="009E1B61">
        <w:t xml:space="preserve"> for </w:t>
      </w:r>
      <w:proofErr w:type="spellStart"/>
      <w:r w:rsidR="009E1B61" w:rsidRPr="009E1B61">
        <w:rPr>
          <w:i/>
        </w:rPr>
        <w:t>Z</w:t>
      </w:r>
      <w:r w:rsidR="009E1B61" w:rsidRPr="009E1B61">
        <w:rPr>
          <w:i/>
          <w:vertAlign w:val="subscript"/>
        </w:rPr>
        <w:t>k</w:t>
      </w:r>
      <w:proofErr w:type="spellEnd"/>
      <w:r w:rsidR="009E1B61">
        <w:t xml:space="preserve"> = 0.5</w:t>
      </w:r>
      <w:r w:rsidR="005B54C1">
        <w:t xml:space="preserve"> which was experimentally determined</w:t>
      </w:r>
      <w:r w:rsidR="00D616A8">
        <w:t xml:space="preserve"> for SrMoO</w:t>
      </w:r>
      <w:r w:rsidR="00D616A8" w:rsidRPr="00B94FB6">
        <w:rPr>
          <w:vertAlign w:val="subscript"/>
        </w:rPr>
        <w:t>3</w:t>
      </w:r>
      <w:r w:rsidR="005B54C1">
        <w:t xml:space="preserve"> by photoemission</w:t>
      </w:r>
      <w:r w:rsidR="00071495">
        <w:t xml:space="preserve"> and close to the optimum </w:t>
      </w:r>
      <w:proofErr w:type="spellStart"/>
      <w:r w:rsidR="00071495" w:rsidRPr="00B94FB6">
        <w:rPr>
          <w:i/>
        </w:rPr>
        <w:t>Z</w:t>
      </w:r>
      <w:r w:rsidR="00071495" w:rsidRPr="00B94FB6">
        <w:rPr>
          <w:i/>
          <w:vertAlign w:val="subscript"/>
        </w:rPr>
        <w:t>k</w:t>
      </w:r>
      <w:proofErr w:type="spellEnd"/>
      <w:r w:rsidR="00071495">
        <w:t xml:space="preserve"> to maximize the conductivity</w:t>
      </w:r>
      <w:proofErr w:type="gramStart"/>
      <w:r w:rsidR="009E1B61">
        <w:t>.</w:t>
      </w:r>
      <w:r w:rsidR="00212EFA" w:rsidRPr="00212EFA">
        <w:rPr>
          <w:noProof/>
          <w:vertAlign w:val="superscript"/>
        </w:rPr>
        <w:t>[</w:t>
      </w:r>
      <w:proofErr w:type="gramEnd"/>
      <w:r w:rsidR="00212EFA" w:rsidRPr="00212EFA">
        <w:rPr>
          <w:noProof/>
          <w:vertAlign w:val="superscript"/>
        </w:rPr>
        <w:t>8]</w:t>
      </w:r>
    </w:p>
    <w:p w14:paraId="15AAA490" w14:textId="77777777" w:rsidR="00FE0ED9" w:rsidRDefault="00FE0ED9" w:rsidP="00FE0ED9">
      <w:pPr>
        <w:pStyle w:val="Legend"/>
        <w:rPr>
          <w:color w:val="FF0000"/>
        </w:rPr>
      </w:pPr>
    </w:p>
    <w:p w14:paraId="4E77D7D1" w14:textId="221D46E4" w:rsidR="00FE0ED9" w:rsidRPr="00A35E4A" w:rsidRDefault="00FE0ED9" w:rsidP="00FE0ED9">
      <w:pPr>
        <w:pStyle w:val="Legend"/>
        <w:rPr>
          <w:color w:val="FF0000"/>
        </w:rPr>
      </w:pPr>
      <w:r>
        <w:rPr>
          <w:noProof/>
          <w:color w:val="FF0000"/>
          <w:lang w:val="en-GB" w:eastAsia="en-GB"/>
        </w:rPr>
        <w:lastRenderedPageBreak/>
        <w:drawing>
          <wp:inline distT="0" distB="0" distL="0" distR="0" wp14:anchorId="78297343" wp14:editId="43A81E9C">
            <wp:extent cx="5691286" cy="461394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86" cy="46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F4CE8" w14:textId="200B3E41" w:rsidR="00FE0ED9" w:rsidRPr="00C87F50" w:rsidRDefault="00FE0ED9" w:rsidP="00FE0ED9">
      <w:pPr>
        <w:pStyle w:val="Legend"/>
      </w:pPr>
      <w:proofErr w:type="gramStart"/>
      <w:r w:rsidRPr="00EF4114">
        <w:rPr>
          <w:b/>
        </w:rPr>
        <w:t xml:space="preserve">Figure </w:t>
      </w:r>
      <w:r>
        <w:rPr>
          <w:b/>
        </w:rPr>
        <w:t>2</w:t>
      </w:r>
      <w:r w:rsidRPr="00EF4114">
        <w:rPr>
          <w:b/>
        </w:rPr>
        <w:t>.</w:t>
      </w:r>
      <w:proofErr w:type="gramEnd"/>
      <w:r w:rsidR="00C87F50">
        <w:t xml:space="preserve"> (a</w:t>
      </w:r>
      <w:r w:rsidRPr="00EF4114">
        <w:t>)</w:t>
      </w:r>
      <w:r>
        <w:t xml:space="preserve"> </w:t>
      </w:r>
      <w:r w:rsidR="00C87F50">
        <w:t>X-ray diffraction pattern of a 47 nm SrMoO</w:t>
      </w:r>
      <w:r w:rsidR="00C87F50" w:rsidRPr="00C87F50">
        <w:rPr>
          <w:vertAlign w:val="subscript"/>
        </w:rPr>
        <w:t>3</w:t>
      </w:r>
      <w:r w:rsidR="00C87F50">
        <w:t xml:space="preserve"> thin film, the star corresponds to a </w:t>
      </w:r>
      <w:r w:rsidR="0023357D">
        <w:t xml:space="preserve">minor </w:t>
      </w:r>
      <w:r w:rsidR="00C87F50">
        <w:t>SrMoO</w:t>
      </w:r>
      <w:r w:rsidR="00C87F50" w:rsidRPr="00C87F50">
        <w:rPr>
          <w:vertAlign w:val="subscript"/>
        </w:rPr>
        <w:t>4</w:t>
      </w:r>
      <w:r w:rsidR="00C87F50">
        <w:t xml:space="preserve"> impurity phase.</w:t>
      </w:r>
      <w:r w:rsidR="000A7479">
        <w:t xml:space="preserve"> The rocking curve </w:t>
      </w:r>
      <w:r w:rsidR="00384ABC">
        <w:t xml:space="preserve">of </w:t>
      </w:r>
      <w:r w:rsidR="000A7479">
        <w:t>the (0 0 2)</w:t>
      </w:r>
      <w:r w:rsidR="00C87F50">
        <w:t xml:space="preserve"> </w:t>
      </w:r>
      <w:r w:rsidR="000A7479">
        <w:t xml:space="preserve">reflection is shown in the </w:t>
      </w:r>
      <w:r w:rsidR="00D616A8">
        <w:t xml:space="preserve">right </w:t>
      </w:r>
      <w:r w:rsidR="000A7479">
        <w:t>inset</w:t>
      </w:r>
      <w:r w:rsidR="00D616A8">
        <w:t xml:space="preserve">, and the cubic </w:t>
      </w:r>
      <w:proofErr w:type="spellStart"/>
      <w:r w:rsidR="00D616A8">
        <w:t>untilted</w:t>
      </w:r>
      <w:proofErr w:type="spellEnd"/>
      <w:r w:rsidR="00D616A8">
        <w:t xml:space="preserve"> structure of SrMoO</w:t>
      </w:r>
      <w:r w:rsidR="00D616A8" w:rsidRPr="00B94FB6">
        <w:rPr>
          <w:vertAlign w:val="subscript"/>
        </w:rPr>
        <w:t>3</w:t>
      </w:r>
      <w:r w:rsidR="00D616A8">
        <w:t xml:space="preserve"> in the left inset</w:t>
      </w:r>
      <w:r w:rsidR="00C33C58">
        <w:t>.</w:t>
      </w:r>
      <w:r w:rsidR="000A7479">
        <w:t xml:space="preserve"> </w:t>
      </w:r>
      <w:r w:rsidR="00C87F50">
        <w:t xml:space="preserve">(b) Top panel: resistivity as function of </w:t>
      </w:r>
      <w:r w:rsidR="00C87F50" w:rsidRPr="00C87F50">
        <w:rPr>
          <w:i/>
        </w:rPr>
        <w:t>T</w:t>
      </w:r>
      <w:r w:rsidR="00C87F50" w:rsidRPr="00C87F50">
        <w:rPr>
          <w:vertAlign w:val="superscript"/>
        </w:rPr>
        <w:t>2</w:t>
      </w:r>
      <w:r w:rsidR="00C87F50">
        <w:t xml:space="preserve">, the black dots are experimental data and the red line is a linear fit up to </w:t>
      </w:r>
      <w:r w:rsidR="00C87F50" w:rsidRPr="00C87F50">
        <w:rPr>
          <w:i/>
        </w:rPr>
        <w:t>T</w:t>
      </w:r>
      <w:r w:rsidR="00C87F50" w:rsidRPr="00C87F50">
        <w:rPr>
          <w:i/>
          <w:vertAlign w:val="superscript"/>
        </w:rPr>
        <w:t>*</w:t>
      </w:r>
      <w:r w:rsidR="00C87F50">
        <w:t>. Bottom panel: carrier concentration (bl</w:t>
      </w:r>
      <w:r w:rsidR="00B751C1">
        <w:t>ack squares) and mobility (open</w:t>
      </w:r>
      <w:r w:rsidR="00C87F50">
        <w:t xml:space="preserve"> squares) as function of T. The dash-dot purple line corresponds to the theoretical carrier concentration of SrMoO</w:t>
      </w:r>
      <w:r w:rsidR="00C87F50" w:rsidRPr="00C87F50">
        <w:rPr>
          <w:vertAlign w:val="subscript"/>
        </w:rPr>
        <w:t>3</w:t>
      </w:r>
      <w:r w:rsidR="00C87F50">
        <w:t xml:space="preserve"> and the green line </w:t>
      </w:r>
      <w:r w:rsidR="00B751C1">
        <w:t xml:space="preserve">corresponds to </w:t>
      </w:r>
      <w:r w:rsidR="00C87F50">
        <w:t>the reported carrier concentration of SrVO</w:t>
      </w:r>
      <w:r w:rsidR="00C87F50" w:rsidRPr="00C87F50">
        <w:rPr>
          <w:vertAlign w:val="subscript"/>
        </w:rPr>
        <w:t>3</w:t>
      </w:r>
      <w:r w:rsidR="00C87F50">
        <w:t>.</w:t>
      </w:r>
      <w:r w:rsidR="00F4645F">
        <w:t xml:space="preserve"> </w:t>
      </w:r>
      <w:r w:rsidR="00212EFA" w:rsidRPr="00212EFA">
        <w:rPr>
          <w:noProof/>
          <w:vertAlign w:val="superscript"/>
        </w:rPr>
        <w:t>[7]</w:t>
      </w:r>
      <w:r w:rsidR="00C87F50">
        <w:t xml:space="preserve"> (c)</w:t>
      </w:r>
      <w:r w:rsidR="00710426">
        <w:t xml:space="preserve"> Real part </w:t>
      </w:r>
      <w:r w:rsidR="00C54E02">
        <w:sym w:font="Symbol" w:char="F065"/>
      </w:r>
      <w:r w:rsidR="00C54E02" w:rsidRPr="0028184E">
        <w:rPr>
          <w:vertAlign w:val="subscript"/>
        </w:rPr>
        <w:t>1</w:t>
      </w:r>
      <w:r w:rsidR="00C54E02">
        <w:t xml:space="preserve"> </w:t>
      </w:r>
      <w:r w:rsidR="00710426">
        <w:t xml:space="preserve">(top panel) and imaginary part </w:t>
      </w:r>
      <w:r w:rsidR="00C54E02">
        <w:sym w:font="Symbol" w:char="F065"/>
      </w:r>
      <w:r w:rsidR="00C54E02">
        <w:rPr>
          <w:vertAlign w:val="subscript"/>
        </w:rPr>
        <w:t>2</w:t>
      </w:r>
      <w:r w:rsidR="00C54E02">
        <w:t xml:space="preserve"> </w:t>
      </w:r>
      <w:r w:rsidR="00710426">
        <w:t>(bottom panel) of the complex dielectric function spectra for SrMoO</w:t>
      </w:r>
      <w:r w:rsidR="00710426" w:rsidRPr="00211F29">
        <w:rPr>
          <w:vertAlign w:val="subscript"/>
        </w:rPr>
        <w:t>3</w:t>
      </w:r>
      <w:r w:rsidR="00710426">
        <w:t xml:space="preserve"> (purple dash-dot line) and SrVO</w:t>
      </w:r>
      <w:r w:rsidR="00710426" w:rsidRPr="00211F29">
        <w:rPr>
          <w:vertAlign w:val="subscript"/>
        </w:rPr>
        <w:t>3</w:t>
      </w:r>
      <w:r w:rsidR="00710426">
        <w:t xml:space="preserve"> (</w:t>
      </w:r>
      <w:r w:rsidR="0023357D">
        <w:t>green line)</w:t>
      </w:r>
      <w:r w:rsidR="00710426">
        <w:t>.</w:t>
      </w:r>
      <w:r w:rsidR="00211F29">
        <w:t xml:space="preserve"> </w:t>
      </w:r>
      <w:r w:rsidR="002A22B7">
        <w:t xml:space="preserve">(d) </w:t>
      </w:r>
      <w:r w:rsidR="002A22B7" w:rsidRPr="002A22B7">
        <w:t>Computed transition matrix elements |</w:t>
      </w:r>
      <w:proofErr w:type="gramStart"/>
      <w:r w:rsidR="002A22B7" w:rsidRPr="002A22B7">
        <w:rPr>
          <w:i/>
        </w:rPr>
        <w:t>M</w:t>
      </w:r>
      <w:r w:rsidR="002A22B7" w:rsidRPr="002A22B7">
        <w:t>(</w:t>
      </w:r>
      <w:proofErr w:type="gramEnd"/>
      <w:r w:rsidR="002A22B7" w:rsidRPr="002A22B7">
        <w:rPr>
          <w:i/>
        </w:rPr>
        <w:t>k</w:t>
      </w:r>
      <w:r w:rsidR="002A22B7" w:rsidRPr="002A22B7">
        <w:t>)|</w:t>
      </w:r>
      <w:r w:rsidR="002A22B7" w:rsidRPr="002A22B7">
        <w:rPr>
          <w:vertAlign w:val="superscript"/>
        </w:rPr>
        <w:t>2</w:t>
      </w:r>
      <w:r w:rsidR="002A22B7" w:rsidRPr="002A22B7">
        <w:t xml:space="preserve"> plotted as a function of </w:t>
      </w:r>
      <w:r w:rsidR="002A22B7" w:rsidRPr="002A22B7">
        <w:rPr>
          <w:i/>
        </w:rPr>
        <w:t>k</w:t>
      </w:r>
      <w:r w:rsidR="002A22B7" w:rsidRPr="002A22B7">
        <w:t xml:space="preserve"> for transitions into </w:t>
      </w:r>
      <w:r w:rsidR="002A22B7" w:rsidRPr="002A22B7">
        <w:rPr>
          <w:i/>
        </w:rPr>
        <w:t>t</w:t>
      </w:r>
      <w:r w:rsidR="002A22B7" w:rsidRPr="002A22B7">
        <w:rPr>
          <w:vertAlign w:val="subscript"/>
        </w:rPr>
        <w:t>2g</w:t>
      </w:r>
      <w:r w:rsidR="002A22B7" w:rsidRPr="002A22B7">
        <w:t xml:space="preserve"> unoccupied bands from fully occupied states for SrMoO</w:t>
      </w:r>
      <w:r w:rsidR="002A22B7" w:rsidRPr="00DA3149">
        <w:rPr>
          <w:vertAlign w:val="subscript"/>
        </w:rPr>
        <w:t>3</w:t>
      </w:r>
      <w:r w:rsidR="002A22B7" w:rsidRPr="002A22B7">
        <w:t>. The red curve shows the unoccupied state</w:t>
      </w:r>
      <w:r w:rsidR="00B751C1">
        <w:t>s</w:t>
      </w:r>
      <w:r w:rsidR="002A22B7" w:rsidRPr="002A22B7">
        <w:t>, and the radius of the blue dots is proportional to the magnitude of |</w:t>
      </w:r>
      <w:proofErr w:type="gramStart"/>
      <w:r w:rsidR="002A22B7" w:rsidRPr="00BC4473">
        <w:rPr>
          <w:i/>
        </w:rPr>
        <w:t>M</w:t>
      </w:r>
      <w:r w:rsidR="002A22B7" w:rsidRPr="002A22B7">
        <w:t>(</w:t>
      </w:r>
      <w:proofErr w:type="gramEnd"/>
      <w:r w:rsidR="002A22B7" w:rsidRPr="00BC4473">
        <w:rPr>
          <w:i/>
        </w:rPr>
        <w:t>k</w:t>
      </w:r>
      <w:r w:rsidR="002A22B7" w:rsidRPr="002A22B7">
        <w:t>)|</w:t>
      </w:r>
      <w:r w:rsidR="002A22B7" w:rsidRPr="00BC4473">
        <w:rPr>
          <w:vertAlign w:val="superscript"/>
        </w:rPr>
        <w:t>2</w:t>
      </w:r>
      <w:r w:rsidR="002A22B7" w:rsidRPr="002A22B7">
        <w:t xml:space="preserve"> for a transition from a particular occupied band at a given point in </w:t>
      </w:r>
      <w:r w:rsidR="002A22B7" w:rsidRPr="00BC4473">
        <w:rPr>
          <w:i/>
        </w:rPr>
        <w:t>k</w:t>
      </w:r>
      <w:r w:rsidR="002A22B7" w:rsidRPr="002A22B7">
        <w:t xml:space="preserve"> space.</w:t>
      </w:r>
    </w:p>
    <w:p w14:paraId="08565446" w14:textId="77777777" w:rsidR="00FE0ED9" w:rsidRDefault="00FE0ED9" w:rsidP="00FE0ED9">
      <w:pPr>
        <w:pStyle w:val="Legend"/>
        <w:rPr>
          <w:color w:val="FF0000"/>
        </w:rPr>
      </w:pPr>
    </w:p>
    <w:p w14:paraId="3F568B32" w14:textId="3C801B22" w:rsidR="00C224F0" w:rsidRDefault="00FE0ED9" w:rsidP="00C224F0">
      <w:pPr>
        <w:pStyle w:val="Legend"/>
      </w:pPr>
      <w:r>
        <w:rPr>
          <w:noProof/>
          <w:color w:val="FF0000"/>
          <w:lang w:val="en-GB" w:eastAsia="en-GB"/>
        </w:rPr>
        <w:lastRenderedPageBreak/>
        <w:drawing>
          <wp:inline distT="0" distB="0" distL="0" distR="0" wp14:anchorId="6937BE82" wp14:editId="0A58231E">
            <wp:extent cx="5675895" cy="4565197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95" cy="45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F4114">
        <w:rPr>
          <w:b/>
        </w:rPr>
        <w:t xml:space="preserve">Figure </w:t>
      </w:r>
      <w:r>
        <w:rPr>
          <w:b/>
        </w:rPr>
        <w:t>3</w:t>
      </w:r>
      <w:r w:rsidRPr="00EF4114">
        <w:rPr>
          <w:b/>
        </w:rPr>
        <w:t>.</w:t>
      </w:r>
      <w:proofErr w:type="gramEnd"/>
      <w:r w:rsidR="0017576D">
        <w:t xml:space="preserve"> (a</w:t>
      </w:r>
      <w:r w:rsidRPr="00EF4114">
        <w:t>)</w:t>
      </w:r>
      <w:r>
        <w:t xml:space="preserve"> </w:t>
      </w:r>
      <w:r w:rsidR="007F1564">
        <w:t>Reciprocal space map of</w:t>
      </w:r>
      <w:r w:rsidR="0017576D">
        <w:t xml:space="preserve"> a 57 nm </w:t>
      </w:r>
      <w:r w:rsidR="007F1564">
        <w:t xml:space="preserve">thick </w:t>
      </w:r>
      <w:r w:rsidR="00C54E02">
        <w:t xml:space="preserve">orthorhombic </w:t>
      </w:r>
      <w:r w:rsidR="0017576D">
        <w:t>CaMoO</w:t>
      </w:r>
      <w:r w:rsidR="0017576D" w:rsidRPr="0028184E">
        <w:rPr>
          <w:vertAlign w:val="subscript"/>
        </w:rPr>
        <w:t>3</w:t>
      </w:r>
      <w:r w:rsidR="0017576D">
        <w:t xml:space="preserve"> thin film around the (3 1 0</w:t>
      </w:r>
      <w:proofErr w:type="gramStart"/>
      <w:r w:rsidR="0017576D">
        <w:t>)</w:t>
      </w:r>
      <w:r w:rsidR="0017576D" w:rsidRPr="0017576D">
        <w:rPr>
          <w:vertAlign w:val="subscript"/>
        </w:rPr>
        <w:t>p.c</w:t>
      </w:r>
      <w:proofErr w:type="gramEnd"/>
      <w:r w:rsidR="0017576D">
        <w:t>. and (3 ½ 0)</w:t>
      </w:r>
      <w:r w:rsidR="0017576D" w:rsidRPr="0017576D">
        <w:rPr>
          <w:vertAlign w:val="subscript"/>
        </w:rPr>
        <w:t>p.c.</w:t>
      </w:r>
      <w:r w:rsidR="0017576D">
        <w:t xml:space="preserve"> reflections</w:t>
      </w:r>
      <w:r w:rsidR="00C54E02">
        <w:t xml:space="preserve">, indexed against the </w:t>
      </w:r>
      <w:proofErr w:type="spellStart"/>
      <w:r w:rsidR="00C54E02">
        <w:t>pseudocubic</w:t>
      </w:r>
      <w:proofErr w:type="spellEnd"/>
      <w:r w:rsidR="00C54E02">
        <w:t xml:space="preserve"> cell</w:t>
      </w:r>
      <w:r w:rsidR="0017576D">
        <w:t>.</w:t>
      </w:r>
      <w:r w:rsidR="00D616A8">
        <w:t xml:space="preserve"> The inset shows the tilted orthorhombic structure of CaMoO</w:t>
      </w:r>
      <w:r w:rsidR="00D616A8" w:rsidRPr="00B94FB6">
        <w:rPr>
          <w:vertAlign w:val="subscript"/>
        </w:rPr>
        <w:t>3</w:t>
      </w:r>
      <w:r w:rsidR="00D616A8">
        <w:t>.</w:t>
      </w:r>
      <w:r w:rsidR="0017576D">
        <w:t xml:space="preserve"> (b) Top panel: resistivity as function of </w:t>
      </w:r>
      <w:r w:rsidR="0017576D" w:rsidRPr="00C87F50">
        <w:rPr>
          <w:i/>
        </w:rPr>
        <w:t>T</w:t>
      </w:r>
      <w:r w:rsidR="0017576D" w:rsidRPr="00C87F50">
        <w:rPr>
          <w:vertAlign w:val="superscript"/>
        </w:rPr>
        <w:t>2</w:t>
      </w:r>
      <w:r w:rsidR="0017576D">
        <w:t xml:space="preserve">, the black dots are experimental data and the red line is a linear fit up to </w:t>
      </w:r>
      <w:r w:rsidR="0017576D" w:rsidRPr="00C87F50">
        <w:rPr>
          <w:i/>
        </w:rPr>
        <w:t>T</w:t>
      </w:r>
      <w:r w:rsidR="0017576D" w:rsidRPr="00C87F50">
        <w:rPr>
          <w:i/>
          <w:vertAlign w:val="superscript"/>
        </w:rPr>
        <w:t>*</w:t>
      </w:r>
      <w:r w:rsidR="0017576D">
        <w:t xml:space="preserve">. Bottom panel: carrier concentration </w:t>
      </w:r>
      <w:r w:rsidR="007F1564">
        <w:t>(black squares) and mobility (open</w:t>
      </w:r>
      <w:r w:rsidR="0017576D">
        <w:t xml:space="preserve"> squares) as function of T. The dash-dot purple line corresponds to the theoretical carrier concentration of SrMoO</w:t>
      </w:r>
      <w:r w:rsidR="0017576D" w:rsidRPr="00C87F50">
        <w:rPr>
          <w:vertAlign w:val="subscript"/>
        </w:rPr>
        <w:t>3</w:t>
      </w:r>
      <w:r w:rsidR="0017576D">
        <w:t xml:space="preserve"> and the green line the reported carrier concentration of SrVO</w:t>
      </w:r>
      <w:r w:rsidR="0017576D" w:rsidRPr="00C87F50">
        <w:rPr>
          <w:vertAlign w:val="subscript"/>
        </w:rPr>
        <w:t>3</w:t>
      </w:r>
      <w:r w:rsidR="0017576D">
        <w:t>.</w:t>
      </w:r>
      <w:r w:rsidR="00F4645F">
        <w:t xml:space="preserve"> </w:t>
      </w:r>
      <w:r w:rsidR="00212EFA" w:rsidRPr="00212EFA">
        <w:rPr>
          <w:noProof/>
          <w:vertAlign w:val="superscript"/>
        </w:rPr>
        <w:t>[7]</w:t>
      </w:r>
      <w:r w:rsidR="0017576D">
        <w:t xml:space="preserve"> (c) Real part </w:t>
      </w:r>
      <w:r w:rsidR="00C54E02">
        <w:sym w:font="Symbol" w:char="F065"/>
      </w:r>
      <w:r w:rsidR="00C54E02" w:rsidRPr="007C10D6">
        <w:rPr>
          <w:vertAlign w:val="subscript"/>
        </w:rPr>
        <w:t>1</w:t>
      </w:r>
      <w:r w:rsidR="00C54E02">
        <w:t xml:space="preserve"> </w:t>
      </w:r>
      <w:r w:rsidR="0017576D">
        <w:t xml:space="preserve">(top panel) and imaginary part </w:t>
      </w:r>
      <w:r w:rsidR="00C54E02">
        <w:sym w:font="Symbol" w:char="F065"/>
      </w:r>
      <w:r w:rsidR="00C54E02">
        <w:rPr>
          <w:vertAlign w:val="subscript"/>
        </w:rPr>
        <w:t>2</w:t>
      </w:r>
      <w:r w:rsidR="00C54E02">
        <w:t xml:space="preserve"> </w:t>
      </w:r>
      <w:r w:rsidR="0017576D">
        <w:t>(bottom panel) of the complex dielectric function spectra for CaMoO</w:t>
      </w:r>
      <w:r w:rsidR="0017576D" w:rsidRPr="00211F29">
        <w:rPr>
          <w:vertAlign w:val="subscript"/>
        </w:rPr>
        <w:t>3</w:t>
      </w:r>
      <w:r w:rsidR="0017576D">
        <w:t xml:space="preserve"> (purple line) and SrMoO</w:t>
      </w:r>
      <w:r w:rsidR="0017576D" w:rsidRPr="00211F29">
        <w:rPr>
          <w:vertAlign w:val="subscript"/>
        </w:rPr>
        <w:t>3</w:t>
      </w:r>
      <w:r w:rsidR="0017576D">
        <w:t xml:space="preserve"> (purple dash-dot line).</w:t>
      </w:r>
      <w:r w:rsidR="00C54E02">
        <w:t xml:space="preserve"> The black arrow in the top panel indicates the decrease in plasma frequency from SrMoO</w:t>
      </w:r>
      <w:r w:rsidR="00C54E02" w:rsidRPr="0028184E">
        <w:rPr>
          <w:vertAlign w:val="subscript"/>
        </w:rPr>
        <w:t>3</w:t>
      </w:r>
      <w:r w:rsidR="00C54E02">
        <w:t xml:space="preserve"> to CaMoO</w:t>
      </w:r>
      <w:r w:rsidR="00C54E02" w:rsidRPr="0028184E">
        <w:rPr>
          <w:vertAlign w:val="subscript"/>
        </w:rPr>
        <w:t>3</w:t>
      </w:r>
      <w:r w:rsidR="00C224F0">
        <w:t xml:space="preserve"> (d) DFT calculated density of states (black lines) and site-projected density of states </w:t>
      </w:r>
      <w:r w:rsidR="009552CC">
        <w:t>(</w:t>
      </w:r>
      <w:r w:rsidR="00C224F0">
        <w:t>Oxygen (red), Calcium (green), Molybdenum (blue) and Strontium (purple)</w:t>
      </w:r>
      <w:r w:rsidR="009552CC">
        <w:t xml:space="preserve">) </w:t>
      </w:r>
      <w:r w:rsidR="00C224F0">
        <w:t>for SrMoO</w:t>
      </w:r>
      <w:r w:rsidR="00C224F0" w:rsidRPr="00211F29">
        <w:rPr>
          <w:vertAlign w:val="subscript"/>
        </w:rPr>
        <w:t>3</w:t>
      </w:r>
      <w:r w:rsidR="00C224F0">
        <w:t xml:space="preserve"> (top) and CaMoO</w:t>
      </w:r>
      <w:r w:rsidR="00C224F0" w:rsidRPr="00211F29">
        <w:rPr>
          <w:vertAlign w:val="subscript"/>
        </w:rPr>
        <w:t>3</w:t>
      </w:r>
      <w:r w:rsidR="009552CC">
        <w:t xml:space="preserve"> (bottom).</w:t>
      </w:r>
    </w:p>
    <w:p w14:paraId="58906E0E" w14:textId="77777777" w:rsidR="00FE0ED9" w:rsidRDefault="00FE0ED9" w:rsidP="00FE0ED9">
      <w:pPr>
        <w:pStyle w:val="Legend"/>
        <w:rPr>
          <w:color w:val="FF0000"/>
        </w:rPr>
      </w:pPr>
    </w:p>
    <w:p w14:paraId="37DAED1F" w14:textId="77777777" w:rsidR="00FE0ED9" w:rsidRDefault="00FE0ED9" w:rsidP="00FE0ED9">
      <w:pPr>
        <w:pStyle w:val="Legend"/>
        <w:rPr>
          <w:color w:val="FF0000"/>
        </w:rPr>
      </w:pPr>
    </w:p>
    <w:p w14:paraId="64C79686" w14:textId="77777777" w:rsidR="00FE0ED9" w:rsidRDefault="00FE0ED9" w:rsidP="00FE0ED9">
      <w:pPr>
        <w:pStyle w:val="Legend"/>
        <w:rPr>
          <w:color w:val="FF0000"/>
        </w:rPr>
      </w:pPr>
    </w:p>
    <w:p w14:paraId="57E691D5" w14:textId="77777777" w:rsidR="00FE0ED9" w:rsidRDefault="00FE0ED9" w:rsidP="00FE0ED9">
      <w:pPr>
        <w:pStyle w:val="Legend"/>
        <w:rPr>
          <w:color w:val="FF0000"/>
        </w:rPr>
      </w:pPr>
    </w:p>
    <w:p w14:paraId="0D12EFDA" w14:textId="281B6510" w:rsidR="00FE0ED9" w:rsidRPr="00FF1F85" w:rsidRDefault="00FE0ED9" w:rsidP="00953A3B">
      <w:pPr>
        <w:pStyle w:val="Legend"/>
        <w:rPr>
          <w:b/>
        </w:rPr>
      </w:pPr>
      <w:r>
        <w:br w:type="page"/>
      </w:r>
      <w:r w:rsidR="00953A3B" w:rsidRPr="00FF1F85">
        <w:rPr>
          <w:b/>
        </w:rPr>
        <w:lastRenderedPageBreak/>
        <w:t>The chemical control of the electrical and optical properties of non-toxic, earth abundant Mo-based correlated metal perovskite oxides optimizes the transparent conductor performance to match the best-in-class wide band gap semiconductors.</w:t>
      </w:r>
      <w:r w:rsidR="00FF1F85">
        <w:rPr>
          <w:b/>
        </w:rPr>
        <w:t xml:space="preserve"> </w:t>
      </w:r>
      <w:r w:rsidR="00FF1F85">
        <w:t>The use of the three chemically controllable parameters (</w:t>
      </w:r>
      <w:proofErr w:type="spellStart"/>
      <w:r w:rsidR="00FF1F85">
        <w:t>i</w:t>
      </w:r>
      <w:proofErr w:type="spellEnd"/>
      <w:r w:rsidR="00FF1F85">
        <w:t>) carrier density, (ii) orbital energy and (iii) bandwidth tune the charge transfer</w:t>
      </w:r>
      <w:r w:rsidR="00FF1F85" w:rsidRPr="00EF731A">
        <w:t xml:space="preserve"> band position, plasma frequency and conductivity</w:t>
      </w:r>
      <w:r w:rsidR="00FF1F85">
        <w:t>.</w:t>
      </w:r>
    </w:p>
    <w:p w14:paraId="02CCCCE1" w14:textId="77777777" w:rsidR="00953A3B" w:rsidRPr="0015563E" w:rsidRDefault="00953A3B" w:rsidP="00953A3B">
      <w:pPr>
        <w:pStyle w:val="Legend"/>
      </w:pPr>
    </w:p>
    <w:p w14:paraId="2A88472D" w14:textId="77777777" w:rsidR="00FE0ED9" w:rsidRDefault="00FE0ED9" w:rsidP="00FE0ED9">
      <w:pPr>
        <w:pStyle w:val="Tableofcontents"/>
        <w:rPr>
          <w:b/>
        </w:rPr>
      </w:pPr>
      <w:r w:rsidRPr="00136A9C">
        <w:rPr>
          <w:b/>
        </w:rPr>
        <w:t>Keyword</w:t>
      </w:r>
    </w:p>
    <w:p w14:paraId="2F4DBCB2" w14:textId="119D1A79" w:rsidR="00953A3B" w:rsidRPr="0015563E" w:rsidRDefault="00953A3B" w:rsidP="00FE0ED9">
      <w:pPr>
        <w:pStyle w:val="Tableofcontents"/>
      </w:pPr>
      <w:r>
        <w:rPr>
          <w:b/>
        </w:rPr>
        <w:t>Correlated metals transparent conductor optimization</w:t>
      </w:r>
    </w:p>
    <w:p w14:paraId="491F600A" w14:textId="77777777" w:rsidR="00FE0ED9" w:rsidRPr="0015563E" w:rsidRDefault="00FE0ED9" w:rsidP="00FE0ED9">
      <w:pPr>
        <w:pStyle w:val="Tableofcontents"/>
      </w:pPr>
    </w:p>
    <w:p w14:paraId="4118C6D7" w14:textId="369CA0D1" w:rsidR="0052406F" w:rsidRPr="0052406F" w:rsidRDefault="0052406F" w:rsidP="0052406F">
      <w:pPr>
        <w:pStyle w:val="AuthorsFull"/>
        <w:rPr>
          <w:i w:val="0"/>
        </w:rPr>
      </w:pPr>
      <w:r w:rsidRPr="0052406F">
        <w:rPr>
          <w:i w:val="0"/>
        </w:rPr>
        <w:t xml:space="preserve">J. L. Stoner, P. A. E. Murgatroyd, M. O’Sullivan, M. S. Dyer, T. D. Manning, J. B. </w:t>
      </w:r>
      <w:proofErr w:type="spellStart"/>
      <w:r w:rsidRPr="0052406F">
        <w:rPr>
          <w:i w:val="0"/>
        </w:rPr>
        <w:t>Claridge</w:t>
      </w:r>
      <w:proofErr w:type="spellEnd"/>
      <w:r w:rsidRPr="0052406F">
        <w:rPr>
          <w:i w:val="0"/>
        </w:rPr>
        <w:t xml:space="preserve">, M. J. Rosseinsky* and J. Alaria* </w:t>
      </w:r>
    </w:p>
    <w:p w14:paraId="53B43F8A" w14:textId="0A5384C2" w:rsidR="00FE0ED9" w:rsidRPr="0015563E" w:rsidRDefault="00FE0ED9" w:rsidP="00FE0ED9">
      <w:pPr>
        <w:pStyle w:val="Tableofcontents"/>
      </w:pPr>
    </w:p>
    <w:p w14:paraId="44F67E27" w14:textId="77777777" w:rsidR="00FE0ED9" w:rsidRPr="0015563E" w:rsidRDefault="00FE0ED9" w:rsidP="00FE0ED9">
      <w:pPr>
        <w:pStyle w:val="Tableofcontents"/>
      </w:pPr>
    </w:p>
    <w:p w14:paraId="3F528306" w14:textId="00F08564" w:rsidR="00FE0ED9" w:rsidRDefault="002653F9" w:rsidP="002653F9">
      <w:pPr>
        <w:pStyle w:val="Title2"/>
      </w:pPr>
      <w:r>
        <w:t>Chemical Control of Correlated Metals as Transparent Conductors</w:t>
      </w:r>
    </w:p>
    <w:p w14:paraId="263A0DEB" w14:textId="77777777" w:rsidR="002653F9" w:rsidRPr="002653F9" w:rsidRDefault="002653F9" w:rsidP="002653F9">
      <w:pPr>
        <w:pStyle w:val="Title2"/>
        <w:rPr>
          <w:b w:val="0"/>
          <w:color w:val="FF0000"/>
        </w:rPr>
      </w:pPr>
    </w:p>
    <w:p w14:paraId="5B794363" w14:textId="77777777" w:rsidR="00FE0ED9" w:rsidRPr="00EF4114" w:rsidRDefault="00FE0ED9" w:rsidP="00FE0ED9">
      <w:pPr>
        <w:pStyle w:val="Tableofcontents"/>
      </w:pPr>
    </w:p>
    <w:p w14:paraId="561B0E5F" w14:textId="77777777" w:rsidR="00FE0ED9" w:rsidRDefault="00FE0ED9" w:rsidP="00FE0ED9">
      <w:pPr>
        <w:pStyle w:val="Tableofcontents"/>
        <w:jc w:val="both"/>
      </w:pPr>
      <w:proofErr w:type="spellStart"/>
      <w:r w:rsidRPr="00EF4114">
        <w:t>ToC</w:t>
      </w:r>
      <w:proofErr w:type="spellEnd"/>
      <w:r w:rsidRPr="00EF4114">
        <w:t xml:space="preserve"> figure ((</w:t>
      </w:r>
      <w:r>
        <w:t xml:space="preserve">Please choose one size: </w:t>
      </w:r>
      <w:r w:rsidRPr="00EF4114">
        <w:t>55 mm broad</w:t>
      </w:r>
      <w:r>
        <w:t xml:space="preserve"> ×</w:t>
      </w:r>
      <w:r w:rsidRPr="00EF4114">
        <w:t xml:space="preserve"> 50 mm high </w:t>
      </w:r>
      <w:r w:rsidRPr="00D4775B">
        <w:rPr>
          <w:b/>
        </w:rPr>
        <w:t>or</w:t>
      </w:r>
      <w:r w:rsidRPr="00EF4114">
        <w:t xml:space="preserve"> 110 mm broad</w:t>
      </w:r>
      <w:r>
        <w:t xml:space="preserve"> ×</w:t>
      </w:r>
      <w:r w:rsidRPr="00EF4114">
        <w:t xml:space="preserve"> 20 mm high</w:t>
      </w:r>
      <w:r>
        <w:t>. Please do not use any other dimensions</w:t>
      </w:r>
      <w:r w:rsidRPr="00EF4114">
        <w:t>))</w:t>
      </w:r>
      <w:r>
        <w:t xml:space="preserve"> </w:t>
      </w:r>
    </w:p>
    <w:p w14:paraId="67033172" w14:textId="25B6A947" w:rsidR="00FE0ED9" w:rsidRDefault="00D52604" w:rsidP="00FE0ED9">
      <w:pPr>
        <w:pStyle w:val="Tableofcontents"/>
      </w:pPr>
      <w:r>
        <w:rPr>
          <w:noProof/>
          <w:lang w:val="en-GB" w:eastAsia="en-GB"/>
        </w:rPr>
        <w:drawing>
          <wp:inline distT="0" distB="0" distL="0" distR="0" wp14:anchorId="6B88C8DB" wp14:editId="65DFCDD4">
            <wp:extent cx="1979676" cy="1799844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6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F21B" w14:textId="4B8F79CF" w:rsidR="00FE0ED9" w:rsidRPr="00F574EB" w:rsidRDefault="00FE0ED9" w:rsidP="00FE0ED9">
      <w:pPr>
        <w:rPr>
          <w:b/>
          <w:lang w:val="en-US"/>
        </w:rPr>
      </w:pPr>
    </w:p>
    <w:sectPr w:rsidR="00FE0ED9" w:rsidRPr="00F574EB" w:rsidSect="00C25C08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185121" w15:done="0"/>
  <w15:commentEx w15:paraId="4E57F06E" w15:done="0"/>
  <w15:commentEx w15:paraId="3B74ABCD" w15:done="0"/>
  <w15:commentEx w15:paraId="55D78925" w15:done="0"/>
  <w15:commentEx w15:paraId="732DA01A" w15:done="0"/>
  <w15:commentEx w15:paraId="47EF2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2986" w14:textId="77777777" w:rsidR="00624202" w:rsidRDefault="00624202">
      <w:r>
        <w:separator/>
      </w:r>
    </w:p>
  </w:endnote>
  <w:endnote w:type="continuationSeparator" w:id="0">
    <w:p w14:paraId="1567C9B6" w14:textId="77777777" w:rsidR="00624202" w:rsidRDefault="0062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398" w14:textId="6128FC5A" w:rsidR="00AC6515" w:rsidRDefault="00AC651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01FAD">
      <w:rPr>
        <w:noProof/>
      </w:rPr>
      <w:t>11</w:t>
    </w:r>
    <w:r>
      <w:fldChar w:fldCharType="end"/>
    </w:r>
  </w:p>
  <w:p w14:paraId="5C4A61B0" w14:textId="77777777" w:rsidR="00AC6515" w:rsidRDefault="00AC6515" w:rsidP="008814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B957" w14:textId="77777777" w:rsidR="00624202" w:rsidRDefault="00624202">
      <w:r>
        <w:separator/>
      </w:r>
    </w:p>
  </w:footnote>
  <w:footnote w:type="continuationSeparator" w:id="0">
    <w:p w14:paraId="742E5190" w14:textId="77777777" w:rsidR="00624202" w:rsidRDefault="0062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5B4C" w14:textId="77777777" w:rsidR="00AC6515" w:rsidRPr="009B44CC" w:rsidRDefault="00AC6515" w:rsidP="009B44CC">
    <w:pPr>
      <w:pStyle w:val="Header"/>
      <w:tabs>
        <w:tab w:val="left" w:pos="5003"/>
      </w:tabs>
      <w:jc w:val="right"/>
      <w:rPr>
        <w:lang w:val="en-US"/>
      </w:rPr>
    </w:pPr>
    <w:r>
      <w:tab/>
      <w:t xml:space="preserve">  </w:t>
    </w:r>
    <w:r>
      <w:tab/>
    </w:r>
    <w:r>
      <w:rPr>
        <w:noProof/>
        <w:lang w:val="en-GB" w:eastAsia="en-GB"/>
      </w:rPr>
      <w:drawing>
        <wp:inline distT="0" distB="0" distL="0" distR="0" wp14:anchorId="24F35AA9" wp14:editId="26E9C995">
          <wp:extent cx="1485900" cy="409575"/>
          <wp:effectExtent l="0" t="0" r="0" b="9525"/>
          <wp:docPr id="1" name="Picture 1" descr="Wiley-VCH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ey-VCH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">
    <w15:presenceInfo w15:providerId="None" w15:userId="Matt"/>
  </w15:person>
  <w15:person w15:author="Rosseinsky, Matthew">
    <w15:presenceInfo w15:providerId="AD" w15:userId="S-1-5-21-137024685-2204166116-4157399963-86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anced Materi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x5wfe99r2e9oefwtnpep2gstfvwvzee9vt&quot;&gt;TCO_references&lt;record-ids&gt;&lt;item&gt;1&lt;/item&gt;&lt;item&gt;2&lt;/item&gt;&lt;item&gt;3&lt;/item&gt;&lt;item&gt;5&lt;/item&gt;&lt;item&gt;6&lt;/item&gt;&lt;item&gt;7&lt;/item&gt;&lt;item&gt;8&lt;/item&gt;&lt;item&gt;9&lt;/item&gt;&lt;item&gt;11&lt;/item&gt;&lt;item&gt;12&lt;/item&gt;&lt;item&gt;13&lt;/item&gt;&lt;item&gt;14&lt;/item&gt;&lt;item&gt;15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/record-ids&gt;&lt;/item&gt;&lt;/Libraries&gt;"/>
  </w:docVars>
  <w:rsids>
    <w:rsidRoot w:val="002D16A0"/>
    <w:rsid w:val="000003BB"/>
    <w:rsid w:val="00000541"/>
    <w:rsid w:val="00000CE6"/>
    <w:rsid w:val="0000374D"/>
    <w:rsid w:val="000038EA"/>
    <w:rsid w:val="00004A23"/>
    <w:rsid w:val="00006A0A"/>
    <w:rsid w:val="0000703E"/>
    <w:rsid w:val="00007435"/>
    <w:rsid w:val="00010050"/>
    <w:rsid w:val="000112FC"/>
    <w:rsid w:val="000118B0"/>
    <w:rsid w:val="00011F40"/>
    <w:rsid w:val="000124F4"/>
    <w:rsid w:val="00013C73"/>
    <w:rsid w:val="0001454A"/>
    <w:rsid w:val="0001683C"/>
    <w:rsid w:val="000168C0"/>
    <w:rsid w:val="00016D12"/>
    <w:rsid w:val="000172E7"/>
    <w:rsid w:val="00017821"/>
    <w:rsid w:val="00020E69"/>
    <w:rsid w:val="000214A8"/>
    <w:rsid w:val="00023F64"/>
    <w:rsid w:val="000268A7"/>
    <w:rsid w:val="00027FB5"/>
    <w:rsid w:val="000314D2"/>
    <w:rsid w:val="00031D4B"/>
    <w:rsid w:val="0003318F"/>
    <w:rsid w:val="00033526"/>
    <w:rsid w:val="000366E2"/>
    <w:rsid w:val="00036BC2"/>
    <w:rsid w:val="00037CE9"/>
    <w:rsid w:val="0004094E"/>
    <w:rsid w:val="00040B7B"/>
    <w:rsid w:val="00041081"/>
    <w:rsid w:val="000412B2"/>
    <w:rsid w:val="000437F7"/>
    <w:rsid w:val="00043A0A"/>
    <w:rsid w:val="00047BA6"/>
    <w:rsid w:val="00050985"/>
    <w:rsid w:val="000516F6"/>
    <w:rsid w:val="000537E2"/>
    <w:rsid w:val="0005501E"/>
    <w:rsid w:val="00055883"/>
    <w:rsid w:val="00056299"/>
    <w:rsid w:val="00056CEB"/>
    <w:rsid w:val="000570F7"/>
    <w:rsid w:val="0006044D"/>
    <w:rsid w:val="00062324"/>
    <w:rsid w:val="000631EE"/>
    <w:rsid w:val="0006355D"/>
    <w:rsid w:val="00063C0E"/>
    <w:rsid w:val="00064CA1"/>
    <w:rsid w:val="00066515"/>
    <w:rsid w:val="00071495"/>
    <w:rsid w:val="00071F82"/>
    <w:rsid w:val="00072EA7"/>
    <w:rsid w:val="00074C3D"/>
    <w:rsid w:val="00076EAD"/>
    <w:rsid w:val="00077CFC"/>
    <w:rsid w:val="00077F3B"/>
    <w:rsid w:val="0008287E"/>
    <w:rsid w:val="00082FDC"/>
    <w:rsid w:val="00083031"/>
    <w:rsid w:val="00084D20"/>
    <w:rsid w:val="00085633"/>
    <w:rsid w:val="0008740B"/>
    <w:rsid w:val="000904D3"/>
    <w:rsid w:val="000913A7"/>
    <w:rsid w:val="00091586"/>
    <w:rsid w:val="00091CF8"/>
    <w:rsid w:val="0009309C"/>
    <w:rsid w:val="00093F1B"/>
    <w:rsid w:val="000942A8"/>
    <w:rsid w:val="00095631"/>
    <w:rsid w:val="000977DF"/>
    <w:rsid w:val="000A1F4B"/>
    <w:rsid w:val="000A21A9"/>
    <w:rsid w:val="000A33A9"/>
    <w:rsid w:val="000A3E93"/>
    <w:rsid w:val="000A472C"/>
    <w:rsid w:val="000A5773"/>
    <w:rsid w:val="000A7479"/>
    <w:rsid w:val="000B05A0"/>
    <w:rsid w:val="000B33EE"/>
    <w:rsid w:val="000B4293"/>
    <w:rsid w:val="000B69C7"/>
    <w:rsid w:val="000B709A"/>
    <w:rsid w:val="000C259E"/>
    <w:rsid w:val="000C2F33"/>
    <w:rsid w:val="000C3E0C"/>
    <w:rsid w:val="000C6252"/>
    <w:rsid w:val="000C6818"/>
    <w:rsid w:val="000C6F8A"/>
    <w:rsid w:val="000D0644"/>
    <w:rsid w:val="000D2D4B"/>
    <w:rsid w:val="000D45F4"/>
    <w:rsid w:val="000D53E3"/>
    <w:rsid w:val="000D567C"/>
    <w:rsid w:val="000D5AB4"/>
    <w:rsid w:val="000D5C2C"/>
    <w:rsid w:val="000D5D5D"/>
    <w:rsid w:val="000D66DB"/>
    <w:rsid w:val="000D7EBA"/>
    <w:rsid w:val="000E010A"/>
    <w:rsid w:val="000E1607"/>
    <w:rsid w:val="000E2A55"/>
    <w:rsid w:val="000E4210"/>
    <w:rsid w:val="000E502D"/>
    <w:rsid w:val="000E66A1"/>
    <w:rsid w:val="000E7A5B"/>
    <w:rsid w:val="000E7BBA"/>
    <w:rsid w:val="000F1F4C"/>
    <w:rsid w:val="000F2C76"/>
    <w:rsid w:val="000F512F"/>
    <w:rsid w:val="000F7BA6"/>
    <w:rsid w:val="000F7D2D"/>
    <w:rsid w:val="001054D4"/>
    <w:rsid w:val="00106425"/>
    <w:rsid w:val="0010686C"/>
    <w:rsid w:val="00107C5F"/>
    <w:rsid w:val="00107CCC"/>
    <w:rsid w:val="00110011"/>
    <w:rsid w:val="001105BD"/>
    <w:rsid w:val="00111276"/>
    <w:rsid w:val="00113EE7"/>
    <w:rsid w:val="00116C82"/>
    <w:rsid w:val="001177D6"/>
    <w:rsid w:val="00120E85"/>
    <w:rsid w:val="00122FB4"/>
    <w:rsid w:val="00123ADA"/>
    <w:rsid w:val="00125573"/>
    <w:rsid w:val="0012642A"/>
    <w:rsid w:val="00126CC2"/>
    <w:rsid w:val="00126D17"/>
    <w:rsid w:val="001305BF"/>
    <w:rsid w:val="00132FEA"/>
    <w:rsid w:val="00134473"/>
    <w:rsid w:val="0013495D"/>
    <w:rsid w:val="001370B1"/>
    <w:rsid w:val="0013779B"/>
    <w:rsid w:val="001377CA"/>
    <w:rsid w:val="0013796A"/>
    <w:rsid w:val="00140B94"/>
    <w:rsid w:val="00143A08"/>
    <w:rsid w:val="00144369"/>
    <w:rsid w:val="001450FB"/>
    <w:rsid w:val="0014658A"/>
    <w:rsid w:val="00147DB8"/>
    <w:rsid w:val="00151683"/>
    <w:rsid w:val="0015392F"/>
    <w:rsid w:val="00154328"/>
    <w:rsid w:val="0015563E"/>
    <w:rsid w:val="00155F66"/>
    <w:rsid w:val="001614C3"/>
    <w:rsid w:val="001618B8"/>
    <w:rsid w:val="0016390D"/>
    <w:rsid w:val="00163A65"/>
    <w:rsid w:val="00164057"/>
    <w:rsid w:val="0016458C"/>
    <w:rsid w:val="00165B37"/>
    <w:rsid w:val="00170369"/>
    <w:rsid w:val="00173757"/>
    <w:rsid w:val="00174176"/>
    <w:rsid w:val="0017576D"/>
    <w:rsid w:val="0018018A"/>
    <w:rsid w:val="00180493"/>
    <w:rsid w:val="00181A8E"/>
    <w:rsid w:val="00181D92"/>
    <w:rsid w:val="001823B6"/>
    <w:rsid w:val="001848EB"/>
    <w:rsid w:val="00187DB9"/>
    <w:rsid w:val="0019077D"/>
    <w:rsid w:val="0019194D"/>
    <w:rsid w:val="00192195"/>
    <w:rsid w:val="00195F15"/>
    <w:rsid w:val="00196EEE"/>
    <w:rsid w:val="0019728A"/>
    <w:rsid w:val="001A0ABB"/>
    <w:rsid w:val="001A342A"/>
    <w:rsid w:val="001A36B9"/>
    <w:rsid w:val="001A3C75"/>
    <w:rsid w:val="001A4240"/>
    <w:rsid w:val="001A6821"/>
    <w:rsid w:val="001A734D"/>
    <w:rsid w:val="001B3A9C"/>
    <w:rsid w:val="001B4224"/>
    <w:rsid w:val="001B6E52"/>
    <w:rsid w:val="001B71B0"/>
    <w:rsid w:val="001B7472"/>
    <w:rsid w:val="001C10AC"/>
    <w:rsid w:val="001C39DB"/>
    <w:rsid w:val="001C55FB"/>
    <w:rsid w:val="001D12BC"/>
    <w:rsid w:val="001D45D1"/>
    <w:rsid w:val="001D561D"/>
    <w:rsid w:val="001D69C1"/>
    <w:rsid w:val="001E0C14"/>
    <w:rsid w:val="001E142F"/>
    <w:rsid w:val="001E18CC"/>
    <w:rsid w:val="001E3D2D"/>
    <w:rsid w:val="001E4605"/>
    <w:rsid w:val="001E54E3"/>
    <w:rsid w:val="001E5F4E"/>
    <w:rsid w:val="001F2378"/>
    <w:rsid w:val="001F249F"/>
    <w:rsid w:val="001F2689"/>
    <w:rsid w:val="001F2AB7"/>
    <w:rsid w:val="001F3C9B"/>
    <w:rsid w:val="001F3E77"/>
    <w:rsid w:val="001F5110"/>
    <w:rsid w:val="001F5702"/>
    <w:rsid w:val="002002FC"/>
    <w:rsid w:val="00201F71"/>
    <w:rsid w:val="00202E2C"/>
    <w:rsid w:val="00203934"/>
    <w:rsid w:val="002042EE"/>
    <w:rsid w:val="0020446B"/>
    <w:rsid w:val="00204AAB"/>
    <w:rsid w:val="00204BA7"/>
    <w:rsid w:val="002072AB"/>
    <w:rsid w:val="00210140"/>
    <w:rsid w:val="00211942"/>
    <w:rsid w:val="00211A50"/>
    <w:rsid w:val="00211F29"/>
    <w:rsid w:val="00212EFA"/>
    <w:rsid w:val="00214D95"/>
    <w:rsid w:val="00215531"/>
    <w:rsid w:val="00215E45"/>
    <w:rsid w:val="002179F9"/>
    <w:rsid w:val="00220933"/>
    <w:rsid w:val="00220C72"/>
    <w:rsid w:val="00224959"/>
    <w:rsid w:val="00224B42"/>
    <w:rsid w:val="0022540C"/>
    <w:rsid w:val="00226AA4"/>
    <w:rsid w:val="00232D5C"/>
    <w:rsid w:val="0023357D"/>
    <w:rsid w:val="00233C8A"/>
    <w:rsid w:val="00236036"/>
    <w:rsid w:val="00240D90"/>
    <w:rsid w:val="0024660C"/>
    <w:rsid w:val="00250F21"/>
    <w:rsid w:val="002513D6"/>
    <w:rsid w:val="002535F8"/>
    <w:rsid w:val="00253CB1"/>
    <w:rsid w:val="002543F9"/>
    <w:rsid w:val="00254C8F"/>
    <w:rsid w:val="00257ADD"/>
    <w:rsid w:val="00262C9C"/>
    <w:rsid w:val="00263CF8"/>
    <w:rsid w:val="002653F9"/>
    <w:rsid w:val="00265635"/>
    <w:rsid w:val="00266389"/>
    <w:rsid w:val="002675F7"/>
    <w:rsid w:val="002703A1"/>
    <w:rsid w:val="002725A5"/>
    <w:rsid w:val="0027314F"/>
    <w:rsid w:val="00275313"/>
    <w:rsid w:val="0028184E"/>
    <w:rsid w:val="002819AE"/>
    <w:rsid w:val="0028289F"/>
    <w:rsid w:val="00284157"/>
    <w:rsid w:val="00285631"/>
    <w:rsid w:val="00286BDC"/>
    <w:rsid w:val="002903BA"/>
    <w:rsid w:val="00290D94"/>
    <w:rsid w:val="00291976"/>
    <w:rsid w:val="0029203C"/>
    <w:rsid w:val="00292CEF"/>
    <w:rsid w:val="00294873"/>
    <w:rsid w:val="00295925"/>
    <w:rsid w:val="002A22B7"/>
    <w:rsid w:val="002A2759"/>
    <w:rsid w:val="002A4A81"/>
    <w:rsid w:val="002A7CE8"/>
    <w:rsid w:val="002B0141"/>
    <w:rsid w:val="002B0671"/>
    <w:rsid w:val="002B1D87"/>
    <w:rsid w:val="002B2034"/>
    <w:rsid w:val="002B262F"/>
    <w:rsid w:val="002B3553"/>
    <w:rsid w:val="002B5E06"/>
    <w:rsid w:val="002C0CFF"/>
    <w:rsid w:val="002C39B5"/>
    <w:rsid w:val="002C4C53"/>
    <w:rsid w:val="002D0F56"/>
    <w:rsid w:val="002D16A0"/>
    <w:rsid w:val="002D2930"/>
    <w:rsid w:val="002D2DFF"/>
    <w:rsid w:val="002D2F3D"/>
    <w:rsid w:val="002D5711"/>
    <w:rsid w:val="002D7310"/>
    <w:rsid w:val="002E2EDB"/>
    <w:rsid w:val="002E4E3E"/>
    <w:rsid w:val="002E76B2"/>
    <w:rsid w:val="002E79A2"/>
    <w:rsid w:val="002F0672"/>
    <w:rsid w:val="002F11CE"/>
    <w:rsid w:val="002F55FD"/>
    <w:rsid w:val="002F594C"/>
    <w:rsid w:val="002F6156"/>
    <w:rsid w:val="002F7DBC"/>
    <w:rsid w:val="00300F9B"/>
    <w:rsid w:val="003018B4"/>
    <w:rsid w:val="00301984"/>
    <w:rsid w:val="00301AE2"/>
    <w:rsid w:val="00301B0B"/>
    <w:rsid w:val="00301E84"/>
    <w:rsid w:val="003021D8"/>
    <w:rsid w:val="00303D1B"/>
    <w:rsid w:val="00304159"/>
    <w:rsid w:val="003046B7"/>
    <w:rsid w:val="0030514F"/>
    <w:rsid w:val="0030761A"/>
    <w:rsid w:val="0031543C"/>
    <w:rsid w:val="00317A57"/>
    <w:rsid w:val="00320A99"/>
    <w:rsid w:val="0032144B"/>
    <w:rsid w:val="00322D5B"/>
    <w:rsid w:val="00325AC2"/>
    <w:rsid w:val="00326A1C"/>
    <w:rsid w:val="00331B64"/>
    <w:rsid w:val="00332CC4"/>
    <w:rsid w:val="00334425"/>
    <w:rsid w:val="003360E3"/>
    <w:rsid w:val="003371D5"/>
    <w:rsid w:val="003376CD"/>
    <w:rsid w:val="00341B96"/>
    <w:rsid w:val="00344AB2"/>
    <w:rsid w:val="003452C3"/>
    <w:rsid w:val="0034628D"/>
    <w:rsid w:val="003501A7"/>
    <w:rsid w:val="0035048A"/>
    <w:rsid w:val="00350A4C"/>
    <w:rsid w:val="003536AA"/>
    <w:rsid w:val="0035474E"/>
    <w:rsid w:val="00355822"/>
    <w:rsid w:val="00355B6B"/>
    <w:rsid w:val="00360129"/>
    <w:rsid w:val="0036263B"/>
    <w:rsid w:val="00363B62"/>
    <w:rsid w:val="003645B0"/>
    <w:rsid w:val="00364B2C"/>
    <w:rsid w:val="003664F1"/>
    <w:rsid w:val="00367E3F"/>
    <w:rsid w:val="00377EA5"/>
    <w:rsid w:val="00377F77"/>
    <w:rsid w:val="00383073"/>
    <w:rsid w:val="0038438F"/>
    <w:rsid w:val="00384ABC"/>
    <w:rsid w:val="00387C67"/>
    <w:rsid w:val="00387D98"/>
    <w:rsid w:val="00390B0F"/>
    <w:rsid w:val="00390B38"/>
    <w:rsid w:val="00390B6B"/>
    <w:rsid w:val="00391CFE"/>
    <w:rsid w:val="00393406"/>
    <w:rsid w:val="0039353B"/>
    <w:rsid w:val="00394424"/>
    <w:rsid w:val="00394F9E"/>
    <w:rsid w:val="00395426"/>
    <w:rsid w:val="00395B91"/>
    <w:rsid w:val="00396615"/>
    <w:rsid w:val="0039700D"/>
    <w:rsid w:val="00397089"/>
    <w:rsid w:val="003978A8"/>
    <w:rsid w:val="003A0F30"/>
    <w:rsid w:val="003A2DC8"/>
    <w:rsid w:val="003A4C44"/>
    <w:rsid w:val="003A4CA1"/>
    <w:rsid w:val="003A5AD0"/>
    <w:rsid w:val="003A6CE3"/>
    <w:rsid w:val="003A7899"/>
    <w:rsid w:val="003B0C2C"/>
    <w:rsid w:val="003B15EE"/>
    <w:rsid w:val="003B1957"/>
    <w:rsid w:val="003B27F4"/>
    <w:rsid w:val="003B2C9C"/>
    <w:rsid w:val="003B517D"/>
    <w:rsid w:val="003B60EC"/>
    <w:rsid w:val="003C00ED"/>
    <w:rsid w:val="003C1C0A"/>
    <w:rsid w:val="003C29DC"/>
    <w:rsid w:val="003C35DF"/>
    <w:rsid w:val="003C4A68"/>
    <w:rsid w:val="003C4F4C"/>
    <w:rsid w:val="003C554F"/>
    <w:rsid w:val="003C61DD"/>
    <w:rsid w:val="003C7976"/>
    <w:rsid w:val="003D117F"/>
    <w:rsid w:val="003D1758"/>
    <w:rsid w:val="003D4FBD"/>
    <w:rsid w:val="003D63E7"/>
    <w:rsid w:val="003E05F1"/>
    <w:rsid w:val="003E0958"/>
    <w:rsid w:val="003E113B"/>
    <w:rsid w:val="003E1A40"/>
    <w:rsid w:val="003E232F"/>
    <w:rsid w:val="003E5092"/>
    <w:rsid w:val="003E715D"/>
    <w:rsid w:val="003F103E"/>
    <w:rsid w:val="003F2E48"/>
    <w:rsid w:val="003F440C"/>
    <w:rsid w:val="003F525A"/>
    <w:rsid w:val="003F559A"/>
    <w:rsid w:val="003F673D"/>
    <w:rsid w:val="003F7BE6"/>
    <w:rsid w:val="004006A9"/>
    <w:rsid w:val="00401FAD"/>
    <w:rsid w:val="004052AE"/>
    <w:rsid w:val="00406D3F"/>
    <w:rsid w:val="00407B6B"/>
    <w:rsid w:val="0041006B"/>
    <w:rsid w:val="00410F8A"/>
    <w:rsid w:val="004118A5"/>
    <w:rsid w:val="00413672"/>
    <w:rsid w:val="00414041"/>
    <w:rsid w:val="00414465"/>
    <w:rsid w:val="00414729"/>
    <w:rsid w:val="00414C80"/>
    <w:rsid w:val="00414F4B"/>
    <w:rsid w:val="00415EF9"/>
    <w:rsid w:val="00416629"/>
    <w:rsid w:val="004167C6"/>
    <w:rsid w:val="00417308"/>
    <w:rsid w:val="00417DA1"/>
    <w:rsid w:val="00421E0C"/>
    <w:rsid w:val="00423478"/>
    <w:rsid w:val="00425B76"/>
    <w:rsid w:val="004260A2"/>
    <w:rsid w:val="00426CFB"/>
    <w:rsid w:val="00426FC6"/>
    <w:rsid w:val="004273BC"/>
    <w:rsid w:val="00427C5F"/>
    <w:rsid w:val="00432C33"/>
    <w:rsid w:val="00434209"/>
    <w:rsid w:val="004353C7"/>
    <w:rsid w:val="00441C1D"/>
    <w:rsid w:val="00446E7A"/>
    <w:rsid w:val="004507E5"/>
    <w:rsid w:val="004519AD"/>
    <w:rsid w:val="0045459A"/>
    <w:rsid w:val="00455F7E"/>
    <w:rsid w:val="00457932"/>
    <w:rsid w:val="004579AD"/>
    <w:rsid w:val="00457D00"/>
    <w:rsid w:val="00457EA5"/>
    <w:rsid w:val="00460F76"/>
    <w:rsid w:val="00463050"/>
    <w:rsid w:val="0046340F"/>
    <w:rsid w:val="00466168"/>
    <w:rsid w:val="00467423"/>
    <w:rsid w:val="004700FB"/>
    <w:rsid w:val="004714D4"/>
    <w:rsid w:val="00475712"/>
    <w:rsid w:val="004809D1"/>
    <w:rsid w:val="00480CCE"/>
    <w:rsid w:val="00481DAC"/>
    <w:rsid w:val="00481EE5"/>
    <w:rsid w:val="00482FAA"/>
    <w:rsid w:val="00486EDF"/>
    <w:rsid w:val="00487149"/>
    <w:rsid w:val="0049075F"/>
    <w:rsid w:val="00491313"/>
    <w:rsid w:val="00492DA8"/>
    <w:rsid w:val="004953D5"/>
    <w:rsid w:val="004A0888"/>
    <w:rsid w:val="004A43B6"/>
    <w:rsid w:val="004A70EE"/>
    <w:rsid w:val="004A774E"/>
    <w:rsid w:val="004A7D3E"/>
    <w:rsid w:val="004A7FF9"/>
    <w:rsid w:val="004B1B1D"/>
    <w:rsid w:val="004B379D"/>
    <w:rsid w:val="004B5F0C"/>
    <w:rsid w:val="004B6031"/>
    <w:rsid w:val="004B7980"/>
    <w:rsid w:val="004C046E"/>
    <w:rsid w:val="004C1609"/>
    <w:rsid w:val="004C216B"/>
    <w:rsid w:val="004C585D"/>
    <w:rsid w:val="004C5DD3"/>
    <w:rsid w:val="004D0AAB"/>
    <w:rsid w:val="004D2E55"/>
    <w:rsid w:val="004D30F9"/>
    <w:rsid w:val="004D3A27"/>
    <w:rsid w:val="004D4A32"/>
    <w:rsid w:val="004D64AB"/>
    <w:rsid w:val="004E3597"/>
    <w:rsid w:val="004E5A4B"/>
    <w:rsid w:val="004E7CE8"/>
    <w:rsid w:val="004F1AC3"/>
    <w:rsid w:val="004F271D"/>
    <w:rsid w:val="004F2DC9"/>
    <w:rsid w:val="004F5114"/>
    <w:rsid w:val="004F5BE3"/>
    <w:rsid w:val="004F756C"/>
    <w:rsid w:val="005019AF"/>
    <w:rsid w:val="00502260"/>
    <w:rsid w:val="00503D17"/>
    <w:rsid w:val="0050488D"/>
    <w:rsid w:val="0050527A"/>
    <w:rsid w:val="0050535A"/>
    <w:rsid w:val="005107FE"/>
    <w:rsid w:val="00511192"/>
    <w:rsid w:val="005118AD"/>
    <w:rsid w:val="00512380"/>
    <w:rsid w:val="00516DEC"/>
    <w:rsid w:val="00521507"/>
    <w:rsid w:val="005215E1"/>
    <w:rsid w:val="005220C2"/>
    <w:rsid w:val="00522100"/>
    <w:rsid w:val="00523369"/>
    <w:rsid w:val="0052398F"/>
    <w:rsid w:val="0052406F"/>
    <w:rsid w:val="0053119D"/>
    <w:rsid w:val="005321F8"/>
    <w:rsid w:val="00532960"/>
    <w:rsid w:val="00535554"/>
    <w:rsid w:val="00536220"/>
    <w:rsid w:val="005415A7"/>
    <w:rsid w:val="00542555"/>
    <w:rsid w:val="00545A73"/>
    <w:rsid w:val="005466E7"/>
    <w:rsid w:val="00546DEB"/>
    <w:rsid w:val="00546F0F"/>
    <w:rsid w:val="005477E7"/>
    <w:rsid w:val="00550159"/>
    <w:rsid w:val="00550B25"/>
    <w:rsid w:val="00551FFD"/>
    <w:rsid w:val="005551ED"/>
    <w:rsid w:val="00555E2A"/>
    <w:rsid w:val="00556419"/>
    <w:rsid w:val="005565F4"/>
    <w:rsid w:val="005572B4"/>
    <w:rsid w:val="005572DD"/>
    <w:rsid w:val="00560564"/>
    <w:rsid w:val="00562A74"/>
    <w:rsid w:val="00562E2B"/>
    <w:rsid w:val="00564668"/>
    <w:rsid w:val="0056510C"/>
    <w:rsid w:val="00570353"/>
    <w:rsid w:val="005715F5"/>
    <w:rsid w:val="0057171E"/>
    <w:rsid w:val="00572666"/>
    <w:rsid w:val="0057267E"/>
    <w:rsid w:val="005726BD"/>
    <w:rsid w:val="00574A5A"/>
    <w:rsid w:val="005817DF"/>
    <w:rsid w:val="00582B91"/>
    <w:rsid w:val="005831CC"/>
    <w:rsid w:val="00583ED5"/>
    <w:rsid w:val="00585D33"/>
    <w:rsid w:val="00587437"/>
    <w:rsid w:val="00592678"/>
    <w:rsid w:val="0059413B"/>
    <w:rsid w:val="00594644"/>
    <w:rsid w:val="0059526F"/>
    <w:rsid w:val="00596F36"/>
    <w:rsid w:val="005A1741"/>
    <w:rsid w:val="005A235F"/>
    <w:rsid w:val="005A3F0B"/>
    <w:rsid w:val="005A751F"/>
    <w:rsid w:val="005A7719"/>
    <w:rsid w:val="005A77C2"/>
    <w:rsid w:val="005B25A5"/>
    <w:rsid w:val="005B291B"/>
    <w:rsid w:val="005B2CE8"/>
    <w:rsid w:val="005B54C1"/>
    <w:rsid w:val="005B5F86"/>
    <w:rsid w:val="005B6CA7"/>
    <w:rsid w:val="005B76C5"/>
    <w:rsid w:val="005B7AF0"/>
    <w:rsid w:val="005B7B8A"/>
    <w:rsid w:val="005C0388"/>
    <w:rsid w:val="005C05AB"/>
    <w:rsid w:val="005C06DC"/>
    <w:rsid w:val="005C09C6"/>
    <w:rsid w:val="005C0E03"/>
    <w:rsid w:val="005C1A03"/>
    <w:rsid w:val="005C1D9B"/>
    <w:rsid w:val="005C4171"/>
    <w:rsid w:val="005C4538"/>
    <w:rsid w:val="005C458D"/>
    <w:rsid w:val="005C491E"/>
    <w:rsid w:val="005C5E0A"/>
    <w:rsid w:val="005C6C0C"/>
    <w:rsid w:val="005D2276"/>
    <w:rsid w:val="005D25FD"/>
    <w:rsid w:val="005D2808"/>
    <w:rsid w:val="005D6863"/>
    <w:rsid w:val="005E0858"/>
    <w:rsid w:val="005E2794"/>
    <w:rsid w:val="005E281B"/>
    <w:rsid w:val="005E291C"/>
    <w:rsid w:val="005E3CBF"/>
    <w:rsid w:val="005E50F1"/>
    <w:rsid w:val="005E59B7"/>
    <w:rsid w:val="005E5A88"/>
    <w:rsid w:val="005E6F9D"/>
    <w:rsid w:val="005E7B5A"/>
    <w:rsid w:val="005F01FC"/>
    <w:rsid w:val="005F0C89"/>
    <w:rsid w:val="005F16C6"/>
    <w:rsid w:val="005F1CDC"/>
    <w:rsid w:val="005F2FAD"/>
    <w:rsid w:val="005F3701"/>
    <w:rsid w:val="005F41DF"/>
    <w:rsid w:val="005F4521"/>
    <w:rsid w:val="005F5478"/>
    <w:rsid w:val="005F7777"/>
    <w:rsid w:val="0060058A"/>
    <w:rsid w:val="006006FC"/>
    <w:rsid w:val="00600A6F"/>
    <w:rsid w:val="00602BB4"/>
    <w:rsid w:val="006045BA"/>
    <w:rsid w:val="0060583A"/>
    <w:rsid w:val="00611649"/>
    <w:rsid w:val="00611A0E"/>
    <w:rsid w:val="00614154"/>
    <w:rsid w:val="00614BD3"/>
    <w:rsid w:val="006167FA"/>
    <w:rsid w:val="00623A77"/>
    <w:rsid w:val="00624202"/>
    <w:rsid w:val="006256F5"/>
    <w:rsid w:val="00625EA2"/>
    <w:rsid w:val="0063097B"/>
    <w:rsid w:val="00633990"/>
    <w:rsid w:val="006359FA"/>
    <w:rsid w:val="006364B8"/>
    <w:rsid w:val="00636A64"/>
    <w:rsid w:val="00636B93"/>
    <w:rsid w:val="006376A5"/>
    <w:rsid w:val="00637C38"/>
    <w:rsid w:val="006404A5"/>
    <w:rsid w:val="00640550"/>
    <w:rsid w:val="00642AD9"/>
    <w:rsid w:val="0064326A"/>
    <w:rsid w:val="00644D5D"/>
    <w:rsid w:val="0064672F"/>
    <w:rsid w:val="00646DC7"/>
    <w:rsid w:val="006511FB"/>
    <w:rsid w:val="00651A9D"/>
    <w:rsid w:val="006544D3"/>
    <w:rsid w:val="00656092"/>
    <w:rsid w:val="0065741C"/>
    <w:rsid w:val="00657531"/>
    <w:rsid w:val="006600A5"/>
    <w:rsid w:val="00660B85"/>
    <w:rsid w:val="00662718"/>
    <w:rsid w:val="00662865"/>
    <w:rsid w:val="006628B7"/>
    <w:rsid w:val="006633BC"/>
    <w:rsid w:val="00664F6D"/>
    <w:rsid w:val="006650B8"/>
    <w:rsid w:val="00666329"/>
    <w:rsid w:val="006672EE"/>
    <w:rsid w:val="0067011F"/>
    <w:rsid w:val="0067015E"/>
    <w:rsid w:val="006739DA"/>
    <w:rsid w:val="00673FD1"/>
    <w:rsid w:val="0067512D"/>
    <w:rsid w:val="0067622C"/>
    <w:rsid w:val="00680453"/>
    <w:rsid w:val="00680A80"/>
    <w:rsid w:val="00682526"/>
    <w:rsid w:val="00683555"/>
    <w:rsid w:val="00684E10"/>
    <w:rsid w:val="00686F1D"/>
    <w:rsid w:val="00692268"/>
    <w:rsid w:val="00692F7A"/>
    <w:rsid w:val="00695E06"/>
    <w:rsid w:val="00696315"/>
    <w:rsid w:val="006A0D51"/>
    <w:rsid w:val="006A1C05"/>
    <w:rsid w:val="006A225B"/>
    <w:rsid w:val="006A30D2"/>
    <w:rsid w:val="006A502F"/>
    <w:rsid w:val="006A5A6A"/>
    <w:rsid w:val="006A5FE3"/>
    <w:rsid w:val="006B23B2"/>
    <w:rsid w:val="006B4845"/>
    <w:rsid w:val="006B56AF"/>
    <w:rsid w:val="006B635C"/>
    <w:rsid w:val="006C1708"/>
    <w:rsid w:val="006C1C29"/>
    <w:rsid w:val="006C23CF"/>
    <w:rsid w:val="006C3CDE"/>
    <w:rsid w:val="006C4745"/>
    <w:rsid w:val="006C4BDC"/>
    <w:rsid w:val="006D0EE8"/>
    <w:rsid w:val="006D0F36"/>
    <w:rsid w:val="006D1F90"/>
    <w:rsid w:val="006D3162"/>
    <w:rsid w:val="006D37E7"/>
    <w:rsid w:val="006D48D3"/>
    <w:rsid w:val="006D5146"/>
    <w:rsid w:val="006D5818"/>
    <w:rsid w:val="006D59D6"/>
    <w:rsid w:val="006D5C04"/>
    <w:rsid w:val="006D7508"/>
    <w:rsid w:val="006E0F2F"/>
    <w:rsid w:val="006E19D7"/>
    <w:rsid w:val="006E4681"/>
    <w:rsid w:val="006E6B1C"/>
    <w:rsid w:val="006E71B9"/>
    <w:rsid w:val="006F39B2"/>
    <w:rsid w:val="006F3FF8"/>
    <w:rsid w:val="006F5384"/>
    <w:rsid w:val="006F6604"/>
    <w:rsid w:val="006F71D8"/>
    <w:rsid w:val="006F7D1A"/>
    <w:rsid w:val="0070346C"/>
    <w:rsid w:val="007051A0"/>
    <w:rsid w:val="00706496"/>
    <w:rsid w:val="00706829"/>
    <w:rsid w:val="00707E04"/>
    <w:rsid w:val="00710426"/>
    <w:rsid w:val="00711880"/>
    <w:rsid w:val="00711A12"/>
    <w:rsid w:val="00711F11"/>
    <w:rsid w:val="00715DB9"/>
    <w:rsid w:val="0072041A"/>
    <w:rsid w:val="007214E7"/>
    <w:rsid w:val="007218A0"/>
    <w:rsid w:val="007238AF"/>
    <w:rsid w:val="0072436F"/>
    <w:rsid w:val="00725DCD"/>
    <w:rsid w:val="00726349"/>
    <w:rsid w:val="00726908"/>
    <w:rsid w:val="007270C7"/>
    <w:rsid w:val="00727DD8"/>
    <w:rsid w:val="00730EF0"/>
    <w:rsid w:val="00730F3A"/>
    <w:rsid w:val="00735F34"/>
    <w:rsid w:val="00736834"/>
    <w:rsid w:val="00740BE1"/>
    <w:rsid w:val="00741200"/>
    <w:rsid w:val="00741333"/>
    <w:rsid w:val="0074154A"/>
    <w:rsid w:val="00742FF2"/>
    <w:rsid w:val="00744D6A"/>
    <w:rsid w:val="00746138"/>
    <w:rsid w:val="0074620A"/>
    <w:rsid w:val="00751D50"/>
    <w:rsid w:val="007527D5"/>
    <w:rsid w:val="00752AF3"/>
    <w:rsid w:val="00752F3C"/>
    <w:rsid w:val="007561FC"/>
    <w:rsid w:val="0075784F"/>
    <w:rsid w:val="00757FE7"/>
    <w:rsid w:val="00761D34"/>
    <w:rsid w:val="00762D2D"/>
    <w:rsid w:val="00764622"/>
    <w:rsid w:val="00764CAD"/>
    <w:rsid w:val="00767866"/>
    <w:rsid w:val="00770FA1"/>
    <w:rsid w:val="00772673"/>
    <w:rsid w:val="00773884"/>
    <w:rsid w:val="00774813"/>
    <w:rsid w:val="0078052A"/>
    <w:rsid w:val="007812FB"/>
    <w:rsid w:val="00782B1B"/>
    <w:rsid w:val="00782FF6"/>
    <w:rsid w:val="00784032"/>
    <w:rsid w:val="007845E3"/>
    <w:rsid w:val="00785AA7"/>
    <w:rsid w:val="00786E79"/>
    <w:rsid w:val="00787182"/>
    <w:rsid w:val="00787893"/>
    <w:rsid w:val="00787925"/>
    <w:rsid w:val="00790E31"/>
    <w:rsid w:val="00793B87"/>
    <w:rsid w:val="007941B9"/>
    <w:rsid w:val="0079566E"/>
    <w:rsid w:val="00796509"/>
    <w:rsid w:val="0079691E"/>
    <w:rsid w:val="00797364"/>
    <w:rsid w:val="00797723"/>
    <w:rsid w:val="00797FA6"/>
    <w:rsid w:val="007A2EB6"/>
    <w:rsid w:val="007A48B9"/>
    <w:rsid w:val="007A650B"/>
    <w:rsid w:val="007A6EC8"/>
    <w:rsid w:val="007A72D8"/>
    <w:rsid w:val="007B1EEE"/>
    <w:rsid w:val="007B249B"/>
    <w:rsid w:val="007B3FDD"/>
    <w:rsid w:val="007B6D4D"/>
    <w:rsid w:val="007C0F7A"/>
    <w:rsid w:val="007C3954"/>
    <w:rsid w:val="007D04E6"/>
    <w:rsid w:val="007D0914"/>
    <w:rsid w:val="007D2120"/>
    <w:rsid w:val="007D24A9"/>
    <w:rsid w:val="007D27FA"/>
    <w:rsid w:val="007D30B5"/>
    <w:rsid w:val="007D31C4"/>
    <w:rsid w:val="007D3FF2"/>
    <w:rsid w:val="007D4E95"/>
    <w:rsid w:val="007D6218"/>
    <w:rsid w:val="007D6699"/>
    <w:rsid w:val="007D7E30"/>
    <w:rsid w:val="007E19DC"/>
    <w:rsid w:val="007E1B9A"/>
    <w:rsid w:val="007E20E1"/>
    <w:rsid w:val="007E2BC3"/>
    <w:rsid w:val="007E6419"/>
    <w:rsid w:val="007F1564"/>
    <w:rsid w:val="007F5B96"/>
    <w:rsid w:val="007F6815"/>
    <w:rsid w:val="00802C16"/>
    <w:rsid w:val="00802D6F"/>
    <w:rsid w:val="00804DD1"/>
    <w:rsid w:val="0080681B"/>
    <w:rsid w:val="0080738C"/>
    <w:rsid w:val="00807E6E"/>
    <w:rsid w:val="00810B77"/>
    <w:rsid w:val="00817436"/>
    <w:rsid w:val="00824C95"/>
    <w:rsid w:val="0082542D"/>
    <w:rsid w:val="008274E5"/>
    <w:rsid w:val="00827834"/>
    <w:rsid w:val="00832835"/>
    <w:rsid w:val="00833012"/>
    <w:rsid w:val="00835110"/>
    <w:rsid w:val="008351FC"/>
    <w:rsid w:val="0084000E"/>
    <w:rsid w:val="00840819"/>
    <w:rsid w:val="00840960"/>
    <w:rsid w:val="00841F50"/>
    <w:rsid w:val="00842337"/>
    <w:rsid w:val="008436CD"/>
    <w:rsid w:val="00843A0E"/>
    <w:rsid w:val="00845DFE"/>
    <w:rsid w:val="00846E17"/>
    <w:rsid w:val="00850461"/>
    <w:rsid w:val="008506C5"/>
    <w:rsid w:val="00851B8B"/>
    <w:rsid w:val="008521AD"/>
    <w:rsid w:val="00854283"/>
    <w:rsid w:val="00856DE1"/>
    <w:rsid w:val="008573E3"/>
    <w:rsid w:val="00857D12"/>
    <w:rsid w:val="00857E00"/>
    <w:rsid w:val="00861056"/>
    <w:rsid w:val="00861E81"/>
    <w:rsid w:val="008629F4"/>
    <w:rsid w:val="008645FF"/>
    <w:rsid w:val="008658FE"/>
    <w:rsid w:val="008668B3"/>
    <w:rsid w:val="00866D42"/>
    <w:rsid w:val="008676AF"/>
    <w:rsid w:val="008677A1"/>
    <w:rsid w:val="0087030E"/>
    <w:rsid w:val="00870AAC"/>
    <w:rsid w:val="00871382"/>
    <w:rsid w:val="00871D29"/>
    <w:rsid w:val="008734F7"/>
    <w:rsid w:val="008740FA"/>
    <w:rsid w:val="00874E9F"/>
    <w:rsid w:val="00875684"/>
    <w:rsid w:val="0087676C"/>
    <w:rsid w:val="00877842"/>
    <w:rsid w:val="00877952"/>
    <w:rsid w:val="008808E2"/>
    <w:rsid w:val="00881456"/>
    <w:rsid w:val="00881ACB"/>
    <w:rsid w:val="00882AA0"/>
    <w:rsid w:val="008853E9"/>
    <w:rsid w:val="00885FC9"/>
    <w:rsid w:val="00890555"/>
    <w:rsid w:val="00891328"/>
    <w:rsid w:val="00891A47"/>
    <w:rsid w:val="00892809"/>
    <w:rsid w:val="0089370F"/>
    <w:rsid w:val="008939AF"/>
    <w:rsid w:val="00893FED"/>
    <w:rsid w:val="0089449A"/>
    <w:rsid w:val="00894F15"/>
    <w:rsid w:val="00895E48"/>
    <w:rsid w:val="00896687"/>
    <w:rsid w:val="008971F4"/>
    <w:rsid w:val="008A0E7D"/>
    <w:rsid w:val="008A16FB"/>
    <w:rsid w:val="008A3023"/>
    <w:rsid w:val="008A3499"/>
    <w:rsid w:val="008A403F"/>
    <w:rsid w:val="008A6815"/>
    <w:rsid w:val="008A7119"/>
    <w:rsid w:val="008B1031"/>
    <w:rsid w:val="008B129A"/>
    <w:rsid w:val="008B198C"/>
    <w:rsid w:val="008B2303"/>
    <w:rsid w:val="008B34A0"/>
    <w:rsid w:val="008B3C88"/>
    <w:rsid w:val="008B4EA8"/>
    <w:rsid w:val="008B5740"/>
    <w:rsid w:val="008B5EBE"/>
    <w:rsid w:val="008C0B84"/>
    <w:rsid w:val="008C41DA"/>
    <w:rsid w:val="008C4A58"/>
    <w:rsid w:val="008C53F8"/>
    <w:rsid w:val="008C553A"/>
    <w:rsid w:val="008C588E"/>
    <w:rsid w:val="008C5F72"/>
    <w:rsid w:val="008C7226"/>
    <w:rsid w:val="008C72AD"/>
    <w:rsid w:val="008D7B80"/>
    <w:rsid w:val="008E2A4D"/>
    <w:rsid w:val="008E3712"/>
    <w:rsid w:val="008E3F36"/>
    <w:rsid w:val="008E4184"/>
    <w:rsid w:val="008E549F"/>
    <w:rsid w:val="008E6301"/>
    <w:rsid w:val="008E6422"/>
    <w:rsid w:val="008E7382"/>
    <w:rsid w:val="008F10BC"/>
    <w:rsid w:val="008F2052"/>
    <w:rsid w:val="008F26ED"/>
    <w:rsid w:val="008F2A38"/>
    <w:rsid w:val="008F3012"/>
    <w:rsid w:val="008F503E"/>
    <w:rsid w:val="008F5285"/>
    <w:rsid w:val="008F5463"/>
    <w:rsid w:val="008F592B"/>
    <w:rsid w:val="008F6805"/>
    <w:rsid w:val="00900AFC"/>
    <w:rsid w:val="00901D89"/>
    <w:rsid w:val="00902864"/>
    <w:rsid w:val="00903775"/>
    <w:rsid w:val="00903B6D"/>
    <w:rsid w:val="00904659"/>
    <w:rsid w:val="00906323"/>
    <w:rsid w:val="009109F7"/>
    <w:rsid w:val="00912137"/>
    <w:rsid w:val="00913E62"/>
    <w:rsid w:val="009146CF"/>
    <w:rsid w:val="00914CA2"/>
    <w:rsid w:val="009151B5"/>
    <w:rsid w:val="00915BED"/>
    <w:rsid w:val="00916B64"/>
    <w:rsid w:val="0092145D"/>
    <w:rsid w:val="009245DE"/>
    <w:rsid w:val="00930762"/>
    <w:rsid w:val="00930C0C"/>
    <w:rsid w:val="00936B81"/>
    <w:rsid w:val="00940FAF"/>
    <w:rsid w:val="00944701"/>
    <w:rsid w:val="00950ED1"/>
    <w:rsid w:val="00951717"/>
    <w:rsid w:val="00953A3B"/>
    <w:rsid w:val="0095444E"/>
    <w:rsid w:val="009552CC"/>
    <w:rsid w:val="00955C67"/>
    <w:rsid w:val="00957B65"/>
    <w:rsid w:val="0096079D"/>
    <w:rsid w:val="00960AFF"/>
    <w:rsid w:val="00963F62"/>
    <w:rsid w:val="00963FD8"/>
    <w:rsid w:val="00965622"/>
    <w:rsid w:val="00965EFC"/>
    <w:rsid w:val="0097248A"/>
    <w:rsid w:val="0097297B"/>
    <w:rsid w:val="009732D1"/>
    <w:rsid w:val="009762D2"/>
    <w:rsid w:val="009762F1"/>
    <w:rsid w:val="00976439"/>
    <w:rsid w:val="0097692D"/>
    <w:rsid w:val="009776D2"/>
    <w:rsid w:val="00977EA8"/>
    <w:rsid w:val="00980089"/>
    <w:rsid w:val="0098140D"/>
    <w:rsid w:val="00981CED"/>
    <w:rsid w:val="00986933"/>
    <w:rsid w:val="00987170"/>
    <w:rsid w:val="00987225"/>
    <w:rsid w:val="00990870"/>
    <w:rsid w:val="00990DCF"/>
    <w:rsid w:val="009920F5"/>
    <w:rsid w:val="00992B56"/>
    <w:rsid w:val="00992CDA"/>
    <w:rsid w:val="00993342"/>
    <w:rsid w:val="00993A2C"/>
    <w:rsid w:val="00996CE4"/>
    <w:rsid w:val="009974AD"/>
    <w:rsid w:val="009A04B2"/>
    <w:rsid w:val="009A3F36"/>
    <w:rsid w:val="009A48D8"/>
    <w:rsid w:val="009A6C59"/>
    <w:rsid w:val="009A6CD2"/>
    <w:rsid w:val="009A7878"/>
    <w:rsid w:val="009B0176"/>
    <w:rsid w:val="009B0888"/>
    <w:rsid w:val="009B30F2"/>
    <w:rsid w:val="009B33DF"/>
    <w:rsid w:val="009B4270"/>
    <w:rsid w:val="009B44CC"/>
    <w:rsid w:val="009B5651"/>
    <w:rsid w:val="009B62E4"/>
    <w:rsid w:val="009C4319"/>
    <w:rsid w:val="009D00B2"/>
    <w:rsid w:val="009D0AED"/>
    <w:rsid w:val="009D109E"/>
    <w:rsid w:val="009D1CD9"/>
    <w:rsid w:val="009D1F28"/>
    <w:rsid w:val="009D4830"/>
    <w:rsid w:val="009D592E"/>
    <w:rsid w:val="009D75C9"/>
    <w:rsid w:val="009D797A"/>
    <w:rsid w:val="009D7CBE"/>
    <w:rsid w:val="009E026A"/>
    <w:rsid w:val="009E1B61"/>
    <w:rsid w:val="009E3B56"/>
    <w:rsid w:val="009E49B5"/>
    <w:rsid w:val="009E551E"/>
    <w:rsid w:val="009E7066"/>
    <w:rsid w:val="009F0C84"/>
    <w:rsid w:val="009F1EF8"/>
    <w:rsid w:val="009F2FDC"/>
    <w:rsid w:val="009F4A09"/>
    <w:rsid w:val="009F4B78"/>
    <w:rsid w:val="009F517E"/>
    <w:rsid w:val="009F606B"/>
    <w:rsid w:val="00A04F12"/>
    <w:rsid w:val="00A06840"/>
    <w:rsid w:val="00A06E28"/>
    <w:rsid w:val="00A06EAD"/>
    <w:rsid w:val="00A1293C"/>
    <w:rsid w:val="00A14F9B"/>
    <w:rsid w:val="00A161D8"/>
    <w:rsid w:val="00A164FC"/>
    <w:rsid w:val="00A167F1"/>
    <w:rsid w:val="00A20EC0"/>
    <w:rsid w:val="00A2150B"/>
    <w:rsid w:val="00A215D9"/>
    <w:rsid w:val="00A2292C"/>
    <w:rsid w:val="00A23FC3"/>
    <w:rsid w:val="00A257A2"/>
    <w:rsid w:val="00A3288D"/>
    <w:rsid w:val="00A329DC"/>
    <w:rsid w:val="00A33B91"/>
    <w:rsid w:val="00A36F42"/>
    <w:rsid w:val="00A41135"/>
    <w:rsid w:val="00A41C3A"/>
    <w:rsid w:val="00A41CEA"/>
    <w:rsid w:val="00A41EA9"/>
    <w:rsid w:val="00A41FEA"/>
    <w:rsid w:val="00A41FEB"/>
    <w:rsid w:val="00A44DA6"/>
    <w:rsid w:val="00A50921"/>
    <w:rsid w:val="00A5160D"/>
    <w:rsid w:val="00A565C1"/>
    <w:rsid w:val="00A56CA4"/>
    <w:rsid w:val="00A6210A"/>
    <w:rsid w:val="00A646CC"/>
    <w:rsid w:val="00A64A0C"/>
    <w:rsid w:val="00A65F04"/>
    <w:rsid w:val="00A65F2E"/>
    <w:rsid w:val="00A71AD5"/>
    <w:rsid w:val="00A75C38"/>
    <w:rsid w:val="00A8073E"/>
    <w:rsid w:val="00A80883"/>
    <w:rsid w:val="00A81BED"/>
    <w:rsid w:val="00A82FC6"/>
    <w:rsid w:val="00A83F48"/>
    <w:rsid w:val="00A85887"/>
    <w:rsid w:val="00A909E1"/>
    <w:rsid w:val="00A92270"/>
    <w:rsid w:val="00A93EBC"/>
    <w:rsid w:val="00A96C29"/>
    <w:rsid w:val="00AA10AE"/>
    <w:rsid w:val="00AA28D3"/>
    <w:rsid w:val="00AA329F"/>
    <w:rsid w:val="00AA7B6A"/>
    <w:rsid w:val="00AB29D0"/>
    <w:rsid w:val="00AB30BD"/>
    <w:rsid w:val="00AB34AF"/>
    <w:rsid w:val="00AB593E"/>
    <w:rsid w:val="00AB5CDD"/>
    <w:rsid w:val="00AB5D37"/>
    <w:rsid w:val="00AB6375"/>
    <w:rsid w:val="00AC43B2"/>
    <w:rsid w:val="00AC4A2E"/>
    <w:rsid w:val="00AC4C5C"/>
    <w:rsid w:val="00AC6515"/>
    <w:rsid w:val="00AD1885"/>
    <w:rsid w:val="00AD3EF4"/>
    <w:rsid w:val="00AD50BA"/>
    <w:rsid w:val="00AD57FB"/>
    <w:rsid w:val="00AD5874"/>
    <w:rsid w:val="00AE02E7"/>
    <w:rsid w:val="00AE0D6F"/>
    <w:rsid w:val="00AE0F75"/>
    <w:rsid w:val="00AE1EE6"/>
    <w:rsid w:val="00AE319E"/>
    <w:rsid w:val="00AE3482"/>
    <w:rsid w:val="00AE3B2C"/>
    <w:rsid w:val="00AE3B4E"/>
    <w:rsid w:val="00AE472B"/>
    <w:rsid w:val="00AE676F"/>
    <w:rsid w:val="00AE6D3A"/>
    <w:rsid w:val="00AE709C"/>
    <w:rsid w:val="00AE7DD9"/>
    <w:rsid w:val="00AF02E5"/>
    <w:rsid w:val="00AF2B38"/>
    <w:rsid w:val="00AF3704"/>
    <w:rsid w:val="00B004C1"/>
    <w:rsid w:val="00B0168B"/>
    <w:rsid w:val="00B03458"/>
    <w:rsid w:val="00B04B8E"/>
    <w:rsid w:val="00B071A0"/>
    <w:rsid w:val="00B1072F"/>
    <w:rsid w:val="00B1224A"/>
    <w:rsid w:val="00B1521C"/>
    <w:rsid w:val="00B1540E"/>
    <w:rsid w:val="00B15820"/>
    <w:rsid w:val="00B15C86"/>
    <w:rsid w:val="00B17CF6"/>
    <w:rsid w:val="00B21384"/>
    <w:rsid w:val="00B215D8"/>
    <w:rsid w:val="00B2218A"/>
    <w:rsid w:val="00B2434A"/>
    <w:rsid w:val="00B246ED"/>
    <w:rsid w:val="00B2555A"/>
    <w:rsid w:val="00B26DD0"/>
    <w:rsid w:val="00B3296D"/>
    <w:rsid w:val="00B338C8"/>
    <w:rsid w:val="00B341CC"/>
    <w:rsid w:val="00B34271"/>
    <w:rsid w:val="00B34952"/>
    <w:rsid w:val="00B35321"/>
    <w:rsid w:val="00B35505"/>
    <w:rsid w:val="00B35CB3"/>
    <w:rsid w:val="00B35E0A"/>
    <w:rsid w:val="00B36B7E"/>
    <w:rsid w:val="00B37963"/>
    <w:rsid w:val="00B40124"/>
    <w:rsid w:val="00B40B86"/>
    <w:rsid w:val="00B42E03"/>
    <w:rsid w:val="00B443E2"/>
    <w:rsid w:val="00B46222"/>
    <w:rsid w:val="00B54092"/>
    <w:rsid w:val="00B5444C"/>
    <w:rsid w:val="00B5474F"/>
    <w:rsid w:val="00B5568B"/>
    <w:rsid w:val="00B557BF"/>
    <w:rsid w:val="00B56147"/>
    <w:rsid w:val="00B5720A"/>
    <w:rsid w:val="00B604A0"/>
    <w:rsid w:val="00B60761"/>
    <w:rsid w:val="00B620A5"/>
    <w:rsid w:val="00B6223D"/>
    <w:rsid w:val="00B62731"/>
    <w:rsid w:val="00B62BB1"/>
    <w:rsid w:val="00B63559"/>
    <w:rsid w:val="00B73979"/>
    <w:rsid w:val="00B7488B"/>
    <w:rsid w:val="00B751B0"/>
    <w:rsid w:val="00B751C1"/>
    <w:rsid w:val="00B762E0"/>
    <w:rsid w:val="00B77F3E"/>
    <w:rsid w:val="00B83FDE"/>
    <w:rsid w:val="00B85186"/>
    <w:rsid w:val="00B86C54"/>
    <w:rsid w:val="00B874C4"/>
    <w:rsid w:val="00B91767"/>
    <w:rsid w:val="00B9262A"/>
    <w:rsid w:val="00B94FB6"/>
    <w:rsid w:val="00B97AA2"/>
    <w:rsid w:val="00B97B8E"/>
    <w:rsid w:val="00BA00A8"/>
    <w:rsid w:val="00BA1C19"/>
    <w:rsid w:val="00BA31CB"/>
    <w:rsid w:val="00BA37A4"/>
    <w:rsid w:val="00BA45B8"/>
    <w:rsid w:val="00BA4FB0"/>
    <w:rsid w:val="00BA6138"/>
    <w:rsid w:val="00BA65F5"/>
    <w:rsid w:val="00BB1930"/>
    <w:rsid w:val="00BB20B6"/>
    <w:rsid w:val="00BB3478"/>
    <w:rsid w:val="00BB62BD"/>
    <w:rsid w:val="00BC1E41"/>
    <w:rsid w:val="00BC2247"/>
    <w:rsid w:val="00BC2485"/>
    <w:rsid w:val="00BC42E8"/>
    <w:rsid w:val="00BC4473"/>
    <w:rsid w:val="00BC5572"/>
    <w:rsid w:val="00BD3A47"/>
    <w:rsid w:val="00BD3F5B"/>
    <w:rsid w:val="00BD497C"/>
    <w:rsid w:val="00BD57EE"/>
    <w:rsid w:val="00BD5A0D"/>
    <w:rsid w:val="00BD6482"/>
    <w:rsid w:val="00BE404A"/>
    <w:rsid w:val="00BE455C"/>
    <w:rsid w:val="00BE4E8A"/>
    <w:rsid w:val="00BE5264"/>
    <w:rsid w:val="00BF14B0"/>
    <w:rsid w:val="00BF209A"/>
    <w:rsid w:val="00BF2A79"/>
    <w:rsid w:val="00BF375F"/>
    <w:rsid w:val="00BF3864"/>
    <w:rsid w:val="00BF5336"/>
    <w:rsid w:val="00BF79AF"/>
    <w:rsid w:val="00C0083E"/>
    <w:rsid w:val="00C017A5"/>
    <w:rsid w:val="00C01BE7"/>
    <w:rsid w:val="00C02372"/>
    <w:rsid w:val="00C028E8"/>
    <w:rsid w:val="00C02D9D"/>
    <w:rsid w:val="00C044C3"/>
    <w:rsid w:val="00C04E50"/>
    <w:rsid w:val="00C05C80"/>
    <w:rsid w:val="00C10453"/>
    <w:rsid w:val="00C116A5"/>
    <w:rsid w:val="00C11B32"/>
    <w:rsid w:val="00C12E6A"/>
    <w:rsid w:val="00C13BCA"/>
    <w:rsid w:val="00C141B9"/>
    <w:rsid w:val="00C158CF"/>
    <w:rsid w:val="00C16518"/>
    <w:rsid w:val="00C17327"/>
    <w:rsid w:val="00C1787D"/>
    <w:rsid w:val="00C20F14"/>
    <w:rsid w:val="00C21819"/>
    <w:rsid w:val="00C2206F"/>
    <w:rsid w:val="00C224F0"/>
    <w:rsid w:val="00C22B7C"/>
    <w:rsid w:val="00C22BF9"/>
    <w:rsid w:val="00C246C1"/>
    <w:rsid w:val="00C24AFF"/>
    <w:rsid w:val="00C2590A"/>
    <w:rsid w:val="00C25C08"/>
    <w:rsid w:val="00C25F13"/>
    <w:rsid w:val="00C3137A"/>
    <w:rsid w:val="00C3184D"/>
    <w:rsid w:val="00C31F01"/>
    <w:rsid w:val="00C331FD"/>
    <w:rsid w:val="00C33C58"/>
    <w:rsid w:val="00C348FF"/>
    <w:rsid w:val="00C34DCB"/>
    <w:rsid w:val="00C3658E"/>
    <w:rsid w:val="00C36C84"/>
    <w:rsid w:val="00C36D0C"/>
    <w:rsid w:val="00C3708D"/>
    <w:rsid w:val="00C371C5"/>
    <w:rsid w:val="00C4138A"/>
    <w:rsid w:val="00C440B4"/>
    <w:rsid w:val="00C446F9"/>
    <w:rsid w:val="00C4558A"/>
    <w:rsid w:val="00C462CB"/>
    <w:rsid w:val="00C46F39"/>
    <w:rsid w:val="00C47AFE"/>
    <w:rsid w:val="00C5067F"/>
    <w:rsid w:val="00C515C3"/>
    <w:rsid w:val="00C51AA2"/>
    <w:rsid w:val="00C51C80"/>
    <w:rsid w:val="00C52E43"/>
    <w:rsid w:val="00C5431B"/>
    <w:rsid w:val="00C54E02"/>
    <w:rsid w:val="00C55A79"/>
    <w:rsid w:val="00C56636"/>
    <w:rsid w:val="00C57A5B"/>
    <w:rsid w:val="00C609C3"/>
    <w:rsid w:val="00C60E16"/>
    <w:rsid w:val="00C63056"/>
    <w:rsid w:val="00C65E4E"/>
    <w:rsid w:val="00C66310"/>
    <w:rsid w:val="00C665B7"/>
    <w:rsid w:val="00C66610"/>
    <w:rsid w:val="00C66648"/>
    <w:rsid w:val="00C66FEF"/>
    <w:rsid w:val="00C70CB4"/>
    <w:rsid w:val="00C728D5"/>
    <w:rsid w:val="00C75119"/>
    <w:rsid w:val="00C76CCA"/>
    <w:rsid w:val="00C76DD6"/>
    <w:rsid w:val="00C779C3"/>
    <w:rsid w:val="00C80789"/>
    <w:rsid w:val="00C828F5"/>
    <w:rsid w:val="00C845D3"/>
    <w:rsid w:val="00C84D0E"/>
    <w:rsid w:val="00C852F5"/>
    <w:rsid w:val="00C85332"/>
    <w:rsid w:val="00C87F50"/>
    <w:rsid w:val="00C90B62"/>
    <w:rsid w:val="00C91C08"/>
    <w:rsid w:val="00C92E07"/>
    <w:rsid w:val="00C934F2"/>
    <w:rsid w:val="00C94F56"/>
    <w:rsid w:val="00C95D87"/>
    <w:rsid w:val="00C97F0E"/>
    <w:rsid w:val="00CA06AC"/>
    <w:rsid w:val="00CA082B"/>
    <w:rsid w:val="00CA0C95"/>
    <w:rsid w:val="00CA1D9E"/>
    <w:rsid w:val="00CA226C"/>
    <w:rsid w:val="00CA242A"/>
    <w:rsid w:val="00CA27BD"/>
    <w:rsid w:val="00CA2AB6"/>
    <w:rsid w:val="00CA3BBE"/>
    <w:rsid w:val="00CA4BCC"/>
    <w:rsid w:val="00CA5AB2"/>
    <w:rsid w:val="00CB01D6"/>
    <w:rsid w:val="00CB311E"/>
    <w:rsid w:val="00CB5EFC"/>
    <w:rsid w:val="00CB6DF5"/>
    <w:rsid w:val="00CB71E1"/>
    <w:rsid w:val="00CC0ED3"/>
    <w:rsid w:val="00CC1894"/>
    <w:rsid w:val="00CC2645"/>
    <w:rsid w:val="00CC2EE2"/>
    <w:rsid w:val="00CC3D03"/>
    <w:rsid w:val="00CC45DB"/>
    <w:rsid w:val="00CC5EC2"/>
    <w:rsid w:val="00CC73FF"/>
    <w:rsid w:val="00CD0AED"/>
    <w:rsid w:val="00CD141E"/>
    <w:rsid w:val="00CD3309"/>
    <w:rsid w:val="00CD37FB"/>
    <w:rsid w:val="00CD45DA"/>
    <w:rsid w:val="00CD5D67"/>
    <w:rsid w:val="00CE25E8"/>
    <w:rsid w:val="00CE2EA4"/>
    <w:rsid w:val="00CE342F"/>
    <w:rsid w:val="00CE5714"/>
    <w:rsid w:val="00CE6138"/>
    <w:rsid w:val="00CE6F59"/>
    <w:rsid w:val="00CE7AAB"/>
    <w:rsid w:val="00CF007E"/>
    <w:rsid w:val="00CF11F8"/>
    <w:rsid w:val="00CF1F14"/>
    <w:rsid w:val="00CF2673"/>
    <w:rsid w:val="00CF2DA1"/>
    <w:rsid w:val="00CF43B1"/>
    <w:rsid w:val="00CF4E98"/>
    <w:rsid w:val="00D0020D"/>
    <w:rsid w:val="00D00944"/>
    <w:rsid w:val="00D0285E"/>
    <w:rsid w:val="00D06AD1"/>
    <w:rsid w:val="00D079E4"/>
    <w:rsid w:val="00D11316"/>
    <w:rsid w:val="00D1198A"/>
    <w:rsid w:val="00D152B2"/>
    <w:rsid w:val="00D17549"/>
    <w:rsid w:val="00D21E90"/>
    <w:rsid w:val="00D2398F"/>
    <w:rsid w:val="00D24D97"/>
    <w:rsid w:val="00D2546A"/>
    <w:rsid w:val="00D275F5"/>
    <w:rsid w:val="00D27FFC"/>
    <w:rsid w:val="00D376F1"/>
    <w:rsid w:val="00D43CA8"/>
    <w:rsid w:val="00D442E1"/>
    <w:rsid w:val="00D4523D"/>
    <w:rsid w:val="00D4593F"/>
    <w:rsid w:val="00D45BD4"/>
    <w:rsid w:val="00D4775B"/>
    <w:rsid w:val="00D47AB8"/>
    <w:rsid w:val="00D507B4"/>
    <w:rsid w:val="00D51A95"/>
    <w:rsid w:val="00D52604"/>
    <w:rsid w:val="00D52A74"/>
    <w:rsid w:val="00D52C56"/>
    <w:rsid w:val="00D542E3"/>
    <w:rsid w:val="00D547D1"/>
    <w:rsid w:val="00D55D94"/>
    <w:rsid w:val="00D56566"/>
    <w:rsid w:val="00D616A8"/>
    <w:rsid w:val="00D64414"/>
    <w:rsid w:val="00D647A4"/>
    <w:rsid w:val="00D6487A"/>
    <w:rsid w:val="00D64E04"/>
    <w:rsid w:val="00D65458"/>
    <w:rsid w:val="00D65A5E"/>
    <w:rsid w:val="00D65CA4"/>
    <w:rsid w:val="00D65F19"/>
    <w:rsid w:val="00D669D1"/>
    <w:rsid w:val="00D7036E"/>
    <w:rsid w:val="00D7049A"/>
    <w:rsid w:val="00D704F6"/>
    <w:rsid w:val="00D7172A"/>
    <w:rsid w:val="00D722B1"/>
    <w:rsid w:val="00D74A82"/>
    <w:rsid w:val="00D753F6"/>
    <w:rsid w:val="00D7737D"/>
    <w:rsid w:val="00D80897"/>
    <w:rsid w:val="00D81375"/>
    <w:rsid w:val="00D845CC"/>
    <w:rsid w:val="00D8540E"/>
    <w:rsid w:val="00D85C4D"/>
    <w:rsid w:val="00D86A11"/>
    <w:rsid w:val="00D8730B"/>
    <w:rsid w:val="00D9072A"/>
    <w:rsid w:val="00D94852"/>
    <w:rsid w:val="00D95304"/>
    <w:rsid w:val="00D95B19"/>
    <w:rsid w:val="00DA039C"/>
    <w:rsid w:val="00DA10B4"/>
    <w:rsid w:val="00DA1FAB"/>
    <w:rsid w:val="00DA2FF4"/>
    <w:rsid w:val="00DA3149"/>
    <w:rsid w:val="00DA3334"/>
    <w:rsid w:val="00DA4E24"/>
    <w:rsid w:val="00DA6EBE"/>
    <w:rsid w:val="00DB27CC"/>
    <w:rsid w:val="00DB42A4"/>
    <w:rsid w:val="00DB49D4"/>
    <w:rsid w:val="00DB4EF9"/>
    <w:rsid w:val="00DB5020"/>
    <w:rsid w:val="00DB63BE"/>
    <w:rsid w:val="00DB7864"/>
    <w:rsid w:val="00DC29FE"/>
    <w:rsid w:val="00DC430C"/>
    <w:rsid w:val="00DC46AE"/>
    <w:rsid w:val="00DC60FB"/>
    <w:rsid w:val="00DC7319"/>
    <w:rsid w:val="00DC742E"/>
    <w:rsid w:val="00DD38DC"/>
    <w:rsid w:val="00DD4337"/>
    <w:rsid w:val="00DD5C0C"/>
    <w:rsid w:val="00DD63FF"/>
    <w:rsid w:val="00DE0BFA"/>
    <w:rsid w:val="00DE1935"/>
    <w:rsid w:val="00DE23C2"/>
    <w:rsid w:val="00DE2765"/>
    <w:rsid w:val="00DF3145"/>
    <w:rsid w:val="00DF4B0E"/>
    <w:rsid w:val="00DF7F09"/>
    <w:rsid w:val="00E01E4B"/>
    <w:rsid w:val="00E05E8A"/>
    <w:rsid w:val="00E062B0"/>
    <w:rsid w:val="00E0711E"/>
    <w:rsid w:val="00E075EC"/>
    <w:rsid w:val="00E0770C"/>
    <w:rsid w:val="00E12C7F"/>
    <w:rsid w:val="00E13D15"/>
    <w:rsid w:val="00E14DFA"/>
    <w:rsid w:val="00E178EC"/>
    <w:rsid w:val="00E17EA5"/>
    <w:rsid w:val="00E2287A"/>
    <w:rsid w:val="00E229DB"/>
    <w:rsid w:val="00E23952"/>
    <w:rsid w:val="00E253B4"/>
    <w:rsid w:val="00E2571A"/>
    <w:rsid w:val="00E26AA0"/>
    <w:rsid w:val="00E26E38"/>
    <w:rsid w:val="00E26EDC"/>
    <w:rsid w:val="00E2713C"/>
    <w:rsid w:val="00E27518"/>
    <w:rsid w:val="00E30B42"/>
    <w:rsid w:val="00E342D7"/>
    <w:rsid w:val="00E34966"/>
    <w:rsid w:val="00E3585D"/>
    <w:rsid w:val="00E35C26"/>
    <w:rsid w:val="00E404A9"/>
    <w:rsid w:val="00E410EA"/>
    <w:rsid w:val="00E41D5C"/>
    <w:rsid w:val="00E437F7"/>
    <w:rsid w:val="00E46D52"/>
    <w:rsid w:val="00E54A9A"/>
    <w:rsid w:val="00E55017"/>
    <w:rsid w:val="00E55416"/>
    <w:rsid w:val="00E557D1"/>
    <w:rsid w:val="00E56282"/>
    <w:rsid w:val="00E616BF"/>
    <w:rsid w:val="00E658AA"/>
    <w:rsid w:val="00E66A91"/>
    <w:rsid w:val="00E70D30"/>
    <w:rsid w:val="00E716BA"/>
    <w:rsid w:val="00E73528"/>
    <w:rsid w:val="00E75977"/>
    <w:rsid w:val="00E76431"/>
    <w:rsid w:val="00E7686D"/>
    <w:rsid w:val="00E76C9C"/>
    <w:rsid w:val="00E813BA"/>
    <w:rsid w:val="00E82B24"/>
    <w:rsid w:val="00E8579C"/>
    <w:rsid w:val="00E8590C"/>
    <w:rsid w:val="00E85F76"/>
    <w:rsid w:val="00E91615"/>
    <w:rsid w:val="00E93590"/>
    <w:rsid w:val="00E94506"/>
    <w:rsid w:val="00E94CC5"/>
    <w:rsid w:val="00E95A7B"/>
    <w:rsid w:val="00E969E9"/>
    <w:rsid w:val="00E97C59"/>
    <w:rsid w:val="00EA01A0"/>
    <w:rsid w:val="00EA0D24"/>
    <w:rsid w:val="00EA14EE"/>
    <w:rsid w:val="00EA155A"/>
    <w:rsid w:val="00EA21AD"/>
    <w:rsid w:val="00EA24D4"/>
    <w:rsid w:val="00EA2851"/>
    <w:rsid w:val="00EA3515"/>
    <w:rsid w:val="00EA3689"/>
    <w:rsid w:val="00EA55FE"/>
    <w:rsid w:val="00EA7145"/>
    <w:rsid w:val="00EB0B4F"/>
    <w:rsid w:val="00EB1A42"/>
    <w:rsid w:val="00EB1B59"/>
    <w:rsid w:val="00EB20ED"/>
    <w:rsid w:val="00EB4384"/>
    <w:rsid w:val="00EB6065"/>
    <w:rsid w:val="00EB6111"/>
    <w:rsid w:val="00EC0826"/>
    <w:rsid w:val="00EC0954"/>
    <w:rsid w:val="00EC2DFE"/>
    <w:rsid w:val="00EC4E99"/>
    <w:rsid w:val="00ED2BA6"/>
    <w:rsid w:val="00ED3A21"/>
    <w:rsid w:val="00ED49EA"/>
    <w:rsid w:val="00ED508A"/>
    <w:rsid w:val="00ED51AD"/>
    <w:rsid w:val="00ED6982"/>
    <w:rsid w:val="00EE0218"/>
    <w:rsid w:val="00EE0E54"/>
    <w:rsid w:val="00EE1033"/>
    <w:rsid w:val="00EE7CC8"/>
    <w:rsid w:val="00EF01A2"/>
    <w:rsid w:val="00EF10C4"/>
    <w:rsid w:val="00EF24BB"/>
    <w:rsid w:val="00EF2B90"/>
    <w:rsid w:val="00EF32F6"/>
    <w:rsid w:val="00EF4114"/>
    <w:rsid w:val="00EF448F"/>
    <w:rsid w:val="00EF4634"/>
    <w:rsid w:val="00EF472E"/>
    <w:rsid w:val="00EF4A5A"/>
    <w:rsid w:val="00EF4EC4"/>
    <w:rsid w:val="00EF66A9"/>
    <w:rsid w:val="00EF731A"/>
    <w:rsid w:val="00EF74D8"/>
    <w:rsid w:val="00F01898"/>
    <w:rsid w:val="00F02F9E"/>
    <w:rsid w:val="00F030DB"/>
    <w:rsid w:val="00F05EE0"/>
    <w:rsid w:val="00F06985"/>
    <w:rsid w:val="00F07DE8"/>
    <w:rsid w:val="00F12716"/>
    <w:rsid w:val="00F156B3"/>
    <w:rsid w:val="00F15FD8"/>
    <w:rsid w:val="00F17BCF"/>
    <w:rsid w:val="00F20982"/>
    <w:rsid w:val="00F21A1A"/>
    <w:rsid w:val="00F22813"/>
    <w:rsid w:val="00F22FC8"/>
    <w:rsid w:val="00F23263"/>
    <w:rsid w:val="00F26638"/>
    <w:rsid w:val="00F27BC8"/>
    <w:rsid w:val="00F27F36"/>
    <w:rsid w:val="00F324A1"/>
    <w:rsid w:val="00F32B8C"/>
    <w:rsid w:val="00F33383"/>
    <w:rsid w:val="00F33D5B"/>
    <w:rsid w:val="00F35CA2"/>
    <w:rsid w:val="00F37D55"/>
    <w:rsid w:val="00F4030B"/>
    <w:rsid w:val="00F42F65"/>
    <w:rsid w:val="00F444F5"/>
    <w:rsid w:val="00F45CF7"/>
    <w:rsid w:val="00F4602E"/>
    <w:rsid w:val="00F4645F"/>
    <w:rsid w:val="00F46786"/>
    <w:rsid w:val="00F46BCF"/>
    <w:rsid w:val="00F47EDB"/>
    <w:rsid w:val="00F51042"/>
    <w:rsid w:val="00F515AF"/>
    <w:rsid w:val="00F53E05"/>
    <w:rsid w:val="00F5550A"/>
    <w:rsid w:val="00F55A56"/>
    <w:rsid w:val="00F56088"/>
    <w:rsid w:val="00F57306"/>
    <w:rsid w:val="00F6031D"/>
    <w:rsid w:val="00F61303"/>
    <w:rsid w:val="00F61E64"/>
    <w:rsid w:val="00F63826"/>
    <w:rsid w:val="00F65606"/>
    <w:rsid w:val="00F66614"/>
    <w:rsid w:val="00F6726D"/>
    <w:rsid w:val="00F67764"/>
    <w:rsid w:val="00F67E82"/>
    <w:rsid w:val="00F71232"/>
    <w:rsid w:val="00F713A2"/>
    <w:rsid w:val="00F7326D"/>
    <w:rsid w:val="00F74722"/>
    <w:rsid w:val="00F75F45"/>
    <w:rsid w:val="00F82957"/>
    <w:rsid w:val="00F832C9"/>
    <w:rsid w:val="00F83BD2"/>
    <w:rsid w:val="00F85516"/>
    <w:rsid w:val="00F857CA"/>
    <w:rsid w:val="00F92C2B"/>
    <w:rsid w:val="00F9366C"/>
    <w:rsid w:val="00F93882"/>
    <w:rsid w:val="00F94241"/>
    <w:rsid w:val="00F945CD"/>
    <w:rsid w:val="00F950C2"/>
    <w:rsid w:val="00F95ECF"/>
    <w:rsid w:val="00F9792C"/>
    <w:rsid w:val="00FA1541"/>
    <w:rsid w:val="00FA4AD8"/>
    <w:rsid w:val="00FA5B48"/>
    <w:rsid w:val="00FA60EA"/>
    <w:rsid w:val="00FA71FD"/>
    <w:rsid w:val="00FB3597"/>
    <w:rsid w:val="00FB4295"/>
    <w:rsid w:val="00FB450A"/>
    <w:rsid w:val="00FB4B83"/>
    <w:rsid w:val="00FB53CA"/>
    <w:rsid w:val="00FB53D0"/>
    <w:rsid w:val="00FB5BFB"/>
    <w:rsid w:val="00FC011E"/>
    <w:rsid w:val="00FC3750"/>
    <w:rsid w:val="00FC487C"/>
    <w:rsid w:val="00FC51A5"/>
    <w:rsid w:val="00FC57EB"/>
    <w:rsid w:val="00FC5FA5"/>
    <w:rsid w:val="00FD168A"/>
    <w:rsid w:val="00FD3643"/>
    <w:rsid w:val="00FD473E"/>
    <w:rsid w:val="00FD553C"/>
    <w:rsid w:val="00FD5F12"/>
    <w:rsid w:val="00FD6F5E"/>
    <w:rsid w:val="00FE087D"/>
    <w:rsid w:val="00FE0ED9"/>
    <w:rsid w:val="00FE0F70"/>
    <w:rsid w:val="00FE133D"/>
    <w:rsid w:val="00FE1976"/>
    <w:rsid w:val="00FE2090"/>
    <w:rsid w:val="00FE359D"/>
    <w:rsid w:val="00FE47EA"/>
    <w:rsid w:val="00FE5A63"/>
    <w:rsid w:val="00FE7BC4"/>
    <w:rsid w:val="00FF1E8D"/>
    <w:rsid w:val="00FF1F85"/>
    <w:rsid w:val="00FF29D4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0C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2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story">
    <w:name w:val="History"/>
    <w:basedOn w:val="Normal"/>
    <w:rsid w:val="005B291B"/>
    <w:pPr>
      <w:spacing w:before="230" w:after="460" w:line="180" w:lineRule="exact"/>
      <w:jc w:val="right"/>
    </w:pPr>
    <w:rPr>
      <w:rFonts w:ascii="Arial" w:hAnsi="Arial"/>
      <w:sz w:val="14"/>
      <w:szCs w:val="16"/>
    </w:rPr>
  </w:style>
  <w:style w:type="paragraph" w:customStyle="1" w:styleId="References">
    <w:name w:val="References"/>
    <w:basedOn w:val="Normal"/>
    <w:rsid w:val="005B291B"/>
    <w:pPr>
      <w:spacing w:line="200" w:lineRule="exact"/>
      <w:ind w:left="425" w:hanging="425"/>
      <w:jc w:val="both"/>
    </w:pPr>
    <w:rPr>
      <w:sz w:val="15"/>
      <w:szCs w:val="14"/>
    </w:rPr>
  </w:style>
  <w:style w:type="paragraph" w:customStyle="1" w:styleId="HExperimentalSection">
    <w:name w:val="HExperimental_Section"/>
    <w:basedOn w:val="Normal"/>
    <w:rsid w:val="005B291B"/>
    <w:pPr>
      <w:spacing w:before="460" w:after="230" w:line="230" w:lineRule="atLeast"/>
    </w:pPr>
    <w:rPr>
      <w:i/>
      <w:szCs w:val="20"/>
    </w:rPr>
  </w:style>
  <w:style w:type="paragraph" w:customStyle="1" w:styleId="ExperimentalSection">
    <w:name w:val="ExperimentalSection"/>
    <w:basedOn w:val="Normal"/>
    <w:rsid w:val="005B291B"/>
    <w:pPr>
      <w:spacing w:after="240" w:line="200" w:lineRule="exact"/>
      <w:ind w:firstLine="170"/>
      <w:jc w:val="both"/>
    </w:pPr>
    <w:rPr>
      <w:sz w:val="16"/>
      <w:szCs w:val="14"/>
    </w:rPr>
  </w:style>
  <w:style w:type="paragraph" w:customStyle="1" w:styleId="FNB">
    <w:name w:val="FNB"/>
    <w:basedOn w:val="Normal"/>
    <w:link w:val="FNBChar"/>
    <w:rsid w:val="005B291B"/>
    <w:pPr>
      <w:widowControl w:val="0"/>
      <w:spacing w:after="40" w:line="160" w:lineRule="exact"/>
      <w:ind w:left="567" w:right="4434" w:hanging="567"/>
      <w:jc w:val="both"/>
    </w:pPr>
    <w:rPr>
      <w:rFonts w:ascii="Times" w:hAnsi="Times"/>
      <w:sz w:val="14"/>
      <w:szCs w:val="3276"/>
      <w:lang w:eastAsia="de-DE"/>
    </w:rPr>
  </w:style>
  <w:style w:type="character" w:customStyle="1" w:styleId="FNBChar">
    <w:name w:val="FNB Char"/>
    <w:link w:val="FNB"/>
    <w:rsid w:val="005B291B"/>
    <w:rPr>
      <w:rFonts w:ascii="Times" w:hAnsi="Times"/>
      <w:sz w:val="14"/>
      <w:szCs w:val="3276"/>
      <w:lang w:val="en-GB" w:eastAsia="de-DE" w:bidi="ar-SA"/>
    </w:rPr>
  </w:style>
  <w:style w:type="paragraph" w:customStyle="1" w:styleId="Ack">
    <w:name w:val="Ack"/>
    <w:basedOn w:val="Normal"/>
    <w:rsid w:val="005B291B"/>
  </w:style>
  <w:style w:type="paragraph" w:customStyle="1" w:styleId="TableCaption">
    <w:name w:val="TableCaption"/>
    <w:basedOn w:val="Normal"/>
    <w:rsid w:val="006511FB"/>
    <w:pPr>
      <w:spacing w:after="120" w:line="190" w:lineRule="exact"/>
      <w:jc w:val="both"/>
    </w:pPr>
    <w:rPr>
      <w:rFonts w:ascii="Arial" w:hAnsi="Arial"/>
      <w:sz w:val="16"/>
      <w:szCs w:val="14"/>
    </w:rPr>
  </w:style>
  <w:style w:type="paragraph" w:customStyle="1" w:styleId="TableHead">
    <w:name w:val="TableHead"/>
    <w:basedOn w:val="TableCaption"/>
    <w:rsid w:val="006511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6511FB"/>
  </w:style>
  <w:style w:type="paragraph" w:customStyle="1" w:styleId="TableFoot">
    <w:name w:val="TableFoot"/>
    <w:basedOn w:val="TableBody"/>
    <w:rsid w:val="006511FB"/>
    <w:pPr>
      <w:spacing w:before="60" w:after="60"/>
    </w:pPr>
  </w:style>
  <w:style w:type="paragraph" w:customStyle="1" w:styleId="SchemeCaption">
    <w:name w:val="SchemeCaption"/>
    <w:basedOn w:val="Normal"/>
    <w:rsid w:val="006511FB"/>
    <w:pPr>
      <w:spacing w:before="230" w:after="460" w:line="190" w:lineRule="exact"/>
      <w:jc w:val="both"/>
    </w:pPr>
    <w:rPr>
      <w:rFonts w:ascii="Arial" w:hAnsi="Arial"/>
      <w:sz w:val="16"/>
      <w:szCs w:val="14"/>
    </w:rPr>
  </w:style>
  <w:style w:type="paragraph" w:styleId="FootnoteText">
    <w:name w:val="footnote text"/>
    <w:basedOn w:val="Normal"/>
    <w:semiHidden/>
    <w:rsid w:val="00D81375"/>
    <w:pPr>
      <w:keepLines/>
      <w:widowControl w:val="0"/>
      <w:jc w:val="both"/>
    </w:pPr>
    <w:rPr>
      <w:rFonts w:eastAsia="Times New Roman"/>
      <w:sz w:val="20"/>
      <w:szCs w:val="20"/>
      <w:lang w:eastAsia="ro-RO"/>
    </w:rPr>
  </w:style>
  <w:style w:type="paragraph" w:customStyle="1" w:styleId="STOE">
    <w:name w:val="STOE"/>
    <w:basedOn w:val="Normal"/>
    <w:link w:val="STOEChar1"/>
    <w:rsid w:val="00D81375"/>
    <w:pPr>
      <w:widowControl w:val="0"/>
      <w:spacing w:line="236" w:lineRule="exact"/>
      <w:ind w:right="4434"/>
      <w:jc w:val="both"/>
    </w:pPr>
    <w:rPr>
      <w:rFonts w:ascii="Times" w:hAnsi="Times"/>
      <w:sz w:val="18"/>
      <w:szCs w:val="3276"/>
      <w:lang w:eastAsia="de-DE"/>
    </w:rPr>
  </w:style>
  <w:style w:type="character" w:customStyle="1" w:styleId="STOEChar1">
    <w:name w:val="STOE Char1"/>
    <w:link w:val="STOE"/>
    <w:rsid w:val="00D81375"/>
    <w:rPr>
      <w:rFonts w:ascii="Times" w:hAnsi="Times"/>
      <w:sz w:val="18"/>
      <w:szCs w:val="3276"/>
      <w:lang w:val="en-GB" w:eastAsia="de-DE" w:bidi="ar-SA"/>
    </w:rPr>
  </w:style>
  <w:style w:type="paragraph" w:styleId="BalloonText">
    <w:name w:val="Balloon Text"/>
    <w:basedOn w:val="Normal"/>
    <w:semiHidden/>
    <w:rsid w:val="00D81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1456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81456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"/>
    <w:rsid w:val="00004A23"/>
    <w:rPr>
      <w:b/>
      <w:lang w:val="en-US"/>
    </w:rPr>
  </w:style>
  <w:style w:type="paragraph" w:customStyle="1" w:styleId="AuthorsFull">
    <w:name w:val="Authors Full"/>
    <w:basedOn w:val="Normal"/>
    <w:rsid w:val="00004A23"/>
    <w:rPr>
      <w:i/>
      <w:lang w:val="en-US"/>
    </w:rPr>
  </w:style>
  <w:style w:type="paragraph" w:customStyle="1" w:styleId="dedication">
    <w:name w:val="dedication"/>
    <w:basedOn w:val="Normal"/>
    <w:rsid w:val="00004A23"/>
    <w:rPr>
      <w:i/>
      <w:lang w:val="en-US"/>
    </w:rPr>
  </w:style>
  <w:style w:type="paragraph" w:customStyle="1" w:styleId="Addresses">
    <w:name w:val="Addresses"/>
    <w:basedOn w:val="Normal"/>
    <w:rsid w:val="00004A23"/>
    <w:rPr>
      <w:lang w:val="en-US"/>
    </w:rPr>
  </w:style>
  <w:style w:type="paragraph" w:customStyle="1" w:styleId="Acknowledgements">
    <w:name w:val="Acknowledgements"/>
    <w:basedOn w:val="Normal"/>
    <w:rsid w:val="00004A23"/>
    <w:rPr>
      <w:lang w:val="en-US"/>
    </w:rPr>
  </w:style>
  <w:style w:type="paragraph" w:customStyle="1" w:styleId="Abstract">
    <w:name w:val="Abstract"/>
    <w:basedOn w:val="Normal"/>
    <w:autoRedefine/>
    <w:rsid w:val="000366E2"/>
    <w:pPr>
      <w:spacing w:line="480" w:lineRule="auto"/>
    </w:pPr>
    <w:rPr>
      <w:lang w:val="en-US"/>
    </w:rPr>
  </w:style>
  <w:style w:type="paragraph" w:customStyle="1" w:styleId="Head1">
    <w:name w:val="Head 1"/>
    <w:basedOn w:val="Normal"/>
    <w:autoRedefine/>
    <w:rsid w:val="00004A23"/>
    <w:pPr>
      <w:spacing w:line="360" w:lineRule="auto"/>
    </w:pPr>
    <w:rPr>
      <w:b/>
      <w:lang w:val="en-US"/>
    </w:rPr>
  </w:style>
  <w:style w:type="paragraph" w:customStyle="1" w:styleId="Head2">
    <w:name w:val="Head 2"/>
    <w:basedOn w:val="Normal"/>
    <w:autoRedefine/>
    <w:rsid w:val="00004A23"/>
    <w:pPr>
      <w:spacing w:line="360" w:lineRule="auto"/>
    </w:pPr>
    <w:rPr>
      <w:i/>
      <w:lang w:val="en-US"/>
    </w:rPr>
  </w:style>
  <w:style w:type="paragraph" w:customStyle="1" w:styleId="dates">
    <w:name w:val="dates"/>
    <w:basedOn w:val="Normal"/>
    <w:rsid w:val="00004A23"/>
    <w:pPr>
      <w:jc w:val="right"/>
    </w:pPr>
    <w:rPr>
      <w:lang w:val="en-US"/>
    </w:rPr>
  </w:style>
  <w:style w:type="paragraph" w:customStyle="1" w:styleId="Literature">
    <w:name w:val="Literature"/>
    <w:basedOn w:val="Normal"/>
    <w:rsid w:val="00004A23"/>
    <w:pPr>
      <w:spacing w:line="480" w:lineRule="auto"/>
    </w:pPr>
  </w:style>
  <w:style w:type="paragraph" w:customStyle="1" w:styleId="Legend">
    <w:name w:val="Legend"/>
    <w:basedOn w:val="Normal"/>
    <w:rsid w:val="00004A23"/>
    <w:rPr>
      <w:lang w:val="en-US"/>
    </w:rPr>
  </w:style>
  <w:style w:type="paragraph" w:customStyle="1" w:styleId="MainText">
    <w:name w:val="Main Text"/>
    <w:basedOn w:val="Normal"/>
    <w:link w:val="MainTextChar"/>
    <w:rsid w:val="00004A23"/>
    <w:pPr>
      <w:spacing w:line="480" w:lineRule="auto"/>
    </w:pPr>
    <w:rPr>
      <w:lang w:val="en-US"/>
    </w:rPr>
  </w:style>
  <w:style w:type="paragraph" w:customStyle="1" w:styleId="Tableofcontents">
    <w:name w:val="Table of contents"/>
    <w:basedOn w:val="Normal"/>
    <w:autoRedefine/>
    <w:rsid w:val="00004A23"/>
    <w:rPr>
      <w:lang w:val="en-US"/>
    </w:rPr>
  </w:style>
  <w:style w:type="paragraph" w:customStyle="1" w:styleId="ExperimentalText">
    <w:name w:val="Experimental Text"/>
    <w:basedOn w:val="Normal"/>
    <w:link w:val="ExperimentalTextChar"/>
    <w:rsid w:val="00004A23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004A23"/>
    <w:rPr>
      <w:rFonts w:eastAsia="MS Mincho"/>
      <w:sz w:val="24"/>
      <w:szCs w:val="24"/>
      <w:lang w:val="en-US" w:eastAsia="ja-JP" w:bidi="ar-SA"/>
    </w:rPr>
  </w:style>
  <w:style w:type="character" w:customStyle="1" w:styleId="MainTextChar">
    <w:name w:val="Main Text Char"/>
    <w:link w:val="MainText"/>
    <w:rsid w:val="00004A23"/>
    <w:rPr>
      <w:rFonts w:eastAsia="MS Mincho"/>
      <w:sz w:val="24"/>
      <w:szCs w:val="24"/>
      <w:lang w:val="en-US" w:eastAsia="ja-JP" w:bidi="ar-SA"/>
    </w:rPr>
  </w:style>
  <w:style w:type="paragraph" w:customStyle="1" w:styleId="Title2">
    <w:name w:val="Title2"/>
    <w:basedOn w:val="Normal"/>
    <w:rsid w:val="002D16A0"/>
    <w:rPr>
      <w:b/>
      <w:lang w:val="en-US"/>
    </w:rPr>
  </w:style>
  <w:style w:type="paragraph" w:customStyle="1" w:styleId="Dedication0">
    <w:name w:val="Dedication"/>
    <w:basedOn w:val="Normal"/>
    <w:autoRedefine/>
    <w:rsid w:val="00322D5B"/>
    <w:rPr>
      <w:lang w:val="en-US"/>
    </w:rPr>
  </w:style>
  <w:style w:type="paragraph" w:customStyle="1" w:styleId="Maintext0">
    <w:name w:val="Main text"/>
    <w:basedOn w:val="Normal"/>
    <w:link w:val="MaintextChar0"/>
    <w:autoRedefine/>
    <w:rsid w:val="002D16A0"/>
    <w:pPr>
      <w:spacing w:line="480" w:lineRule="auto"/>
    </w:pPr>
    <w:rPr>
      <w:lang w:val="en-US"/>
    </w:rPr>
  </w:style>
  <w:style w:type="character" w:customStyle="1" w:styleId="MaintextChar0">
    <w:name w:val="Main text Char"/>
    <w:link w:val="Maintext0"/>
    <w:rsid w:val="002D16A0"/>
    <w:rPr>
      <w:sz w:val="24"/>
      <w:szCs w:val="24"/>
      <w:lang w:val="en-US" w:eastAsia="ja-JP"/>
    </w:rPr>
  </w:style>
  <w:style w:type="paragraph" w:customStyle="1" w:styleId="Biography">
    <w:name w:val="Biography"/>
    <w:basedOn w:val="Normal"/>
    <w:autoRedefine/>
    <w:rsid w:val="00562E2B"/>
    <w:rPr>
      <w:i/>
      <w:lang w:val="en-US"/>
    </w:rPr>
  </w:style>
  <w:style w:type="character" w:customStyle="1" w:styleId="HeaderChar">
    <w:name w:val="Header Char"/>
    <w:link w:val="Header"/>
    <w:rsid w:val="00414465"/>
    <w:rPr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66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6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64F6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F6D"/>
    <w:rPr>
      <w:b/>
      <w:bCs/>
      <w:lang w:eastAsia="ja-JP"/>
    </w:rPr>
  </w:style>
  <w:style w:type="character" w:customStyle="1" w:styleId="FooterChar">
    <w:name w:val="Footer Char"/>
    <w:link w:val="Footer"/>
    <w:uiPriority w:val="99"/>
    <w:rsid w:val="00250F21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1614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C72A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72AD"/>
    <w:rPr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8C72A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72AD"/>
    <w:rPr>
      <w:noProof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F14B0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80789"/>
    <w:rPr>
      <w:color w:val="808080"/>
    </w:rPr>
  </w:style>
  <w:style w:type="character" w:customStyle="1" w:styleId="publication-meta-journal">
    <w:name w:val="publication-meta-journal"/>
    <w:basedOn w:val="DefaultParagraphFont"/>
    <w:rsid w:val="00BD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2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story">
    <w:name w:val="History"/>
    <w:basedOn w:val="Normal"/>
    <w:rsid w:val="005B291B"/>
    <w:pPr>
      <w:spacing w:before="230" w:after="460" w:line="180" w:lineRule="exact"/>
      <w:jc w:val="right"/>
    </w:pPr>
    <w:rPr>
      <w:rFonts w:ascii="Arial" w:hAnsi="Arial"/>
      <w:sz w:val="14"/>
      <w:szCs w:val="16"/>
    </w:rPr>
  </w:style>
  <w:style w:type="paragraph" w:customStyle="1" w:styleId="References">
    <w:name w:val="References"/>
    <w:basedOn w:val="Normal"/>
    <w:rsid w:val="005B291B"/>
    <w:pPr>
      <w:spacing w:line="200" w:lineRule="exact"/>
      <w:ind w:left="425" w:hanging="425"/>
      <w:jc w:val="both"/>
    </w:pPr>
    <w:rPr>
      <w:sz w:val="15"/>
      <w:szCs w:val="14"/>
    </w:rPr>
  </w:style>
  <w:style w:type="paragraph" w:customStyle="1" w:styleId="HExperimentalSection">
    <w:name w:val="HExperimental_Section"/>
    <w:basedOn w:val="Normal"/>
    <w:rsid w:val="005B291B"/>
    <w:pPr>
      <w:spacing w:before="460" w:after="230" w:line="230" w:lineRule="atLeast"/>
    </w:pPr>
    <w:rPr>
      <w:i/>
      <w:szCs w:val="20"/>
    </w:rPr>
  </w:style>
  <w:style w:type="paragraph" w:customStyle="1" w:styleId="ExperimentalSection">
    <w:name w:val="ExperimentalSection"/>
    <w:basedOn w:val="Normal"/>
    <w:rsid w:val="005B291B"/>
    <w:pPr>
      <w:spacing w:after="240" w:line="200" w:lineRule="exact"/>
      <w:ind w:firstLine="170"/>
      <w:jc w:val="both"/>
    </w:pPr>
    <w:rPr>
      <w:sz w:val="16"/>
      <w:szCs w:val="14"/>
    </w:rPr>
  </w:style>
  <w:style w:type="paragraph" w:customStyle="1" w:styleId="FNB">
    <w:name w:val="FNB"/>
    <w:basedOn w:val="Normal"/>
    <w:link w:val="FNBChar"/>
    <w:rsid w:val="005B291B"/>
    <w:pPr>
      <w:widowControl w:val="0"/>
      <w:spacing w:after="40" w:line="160" w:lineRule="exact"/>
      <w:ind w:left="567" w:right="4434" w:hanging="567"/>
      <w:jc w:val="both"/>
    </w:pPr>
    <w:rPr>
      <w:rFonts w:ascii="Times" w:hAnsi="Times"/>
      <w:sz w:val="14"/>
      <w:szCs w:val="3276"/>
      <w:lang w:eastAsia="de-DE"/>
    </w:rPr>
  </w:style>
  <w:style w:type="character" w:customStyle="1" w:styleId="FNBChar">
    <w:name w:val="FNB Char"/>
    <w:link w:val="FNB"/>
    <w:rsid w:val="005B291B"/>
    <w:rPr>
      <w:rFonts w:ascii="Times" w:hAnsi="Times"/>
      <w:sz w:val="14"/>
      <w:szCs w:val="3276"/>
      <w:lang w:val="en-GB" w:eastAsia="de-DE" w:bidi="ar-SA"/>
    </w:rPr>
  </w:style>
  <w:style w:type="paragraph" w:customStyle="1" w:styleId="Ack">
    <w:name w:val="Ack"/>
    <w:basedOn w:val="Normal"/>
    <w:rsid w:val="005B291B"/>
  </w:style>
  <w:style w:type="paragraph" w:customStyle="1" w:styleId="TableCaption">
    <w:name w:val="TableCaption"/>
    <w:basedOn w:val="Normal"/>
    <w:rsid w:val="006511FB"/>
    <w:pPr>
      <w:spacing w:after="120" w:line="190" w:lineRule="exact"/>
      <w:jc w:val="both"/>
    </w:pPr>
    <w:rPr>
      <w:rFonts w:ascii="Arial" w:hAnsi="Arial"/>
      <w:sz w:val="16"/>
      <w:szCs w:val="14"/>
    </w:rPr>
  </w:style>
  <w:style w:type="paragraph" w:customStyle="1" w:styleId="TableHead">
    <w:name w:val="TableHead"/>
    <w:basedOn w:val="TableCaption"/>
    <w:rsid w:val="006511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6511FB"/>
  </w:style>
  <w:style w:type="paragraph" w:customStyle="1" w:styleId="TableFoot">
    <w:name w:val="TableFoot"/>
    <w:basedOn w:val="TableBody"/>
    <w:rsid w:val="006511FB"/>
    <w:pPr>
      <w:spacing w:before="60" w:after="60"/>
    </w:pPr>
  </w:style>
  <w:style w:type="paragraph" w:customStyle="1" w:styleId="SchemeCaption">
    <w:name w:val="SchemeCaption"/>
    <w:basedOn w:val="Normal"/>
    <w:rsid w:val="006511FB"/>
    <w:pPr>
      <w:spacing w:before="230" w:after="460" w:line="190" w:lineRule="exact"/>
      <w:jc w:val="both"/>
    </w:pPr>
    <w:rPr>
      <w:rFonts w:ascii="Arial" w:hAnsi="Arial"/>
      <w:sz w:val="16"/>
      <w:szCs w:val="14"/>
    </w:rPr>
  </w:style>
  <w:style w:type="paragraph" w:styleId="FootnoteText">
    <w:name w:val="footnote text"/>
    <w:basedOn w:val="Normal"/>
    <w:semiHidden/>
    <w:rsid w:val="00D81375"/>
    <w:pPr>
      <w:keepLines/>
      <w:widowControl w:val="0"/>
      <w:jc w:val="both"/>
    </w:pPr>
    <w:rPr>
      <w:rFonts w:eastAsia="Times New Roman"/>
      <w:sz w:val="20"/>
      <w:szCs w:val="20"/>
      <w:lang w:eastAsia="ro-RO"/>
    </w:rPr>
  </w:style>
  <w:style w:type="paragraph" w:customStyle="1" w:styleId="STOE">
    <w:name w:val="STOE"/>
    <w:basedOn w:val="Normal"/>
    <w:link w:val="STOEChar1"/>
    <w:rsid w:val="00D81375"/>
    <w:pPr>
      <w:widowControl w:val="0"/>
      <w:spacing w:line="236" w:lineRule="exact"/>
      <w:ind w:right="4434"/>
      <w:jc w:val="both"/>
    </w:pPr>
    <w:rPr>
      <w:rFonts w:ascii="Times" w:hAnsi="Times"/>
      <w:sz w:val="18"/>
      <w:szCs w:val="3276"/>
      <w:lang w:eastAsia="de-DE"/>
    </w:rPr>
  </w:style>
  <w:style w:type="character" w:customStyle="1" w:styleId="STOEChar1">
    <w:name w:val="STOE Char1"/>
    <w:link w:val="STOE"/>
    <w:rsid w:val="00D81375"/>
    <w:rPr>
      <w:rFonts w:ascii="Times" w:hAnsi="Times"/>
      <w:sz w:val="18"/>
      <w:szCs w:val="3276"/>
      <w:lang w:val="en-GB" w:eastAsia="de-DE" w:bidi="ar-SA"/>
    </w:rPr>
  </w:style>
  <w:style w:type="paragraph" w:styleId="BalloonText">
    <w:name w:val="Balloon Text"/>
    <w:basedOn w:val="Normal"/>
    <w:semiHidden/>
    <w:rsid w:val="00D81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1456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81456"/>
    <w:pPr>
      <w:tabs>
        <w:tab w:val="center" w:pos="4536"/>
        <w:tab w:val="right" w:pos="9072"/>
      </w:tabs>
    </w:pPr>
  </w:style>
  <w:style w:type="paragraph" w:customStyle="1" w:styleId="Title1">
    <w:name w:val="Title1"/>
    <w:basedOn w:val="Normal"/>
    <w:rsid w:val="00004A23"/>
    <w:rPr>
      <w:b/>
      <w:lang w:val="en-US"/>
    </w:rPr>
  </w:style>
  <w:style w:type="paragraph" w:customStyle="1" w:styleId="AuthorsFull">
    <w:name w:val="Authors Full"/>
    <w:basedOn w:val="Normal"/>
    <w:rsid w:val="00004A23"/>
    <w:rPr>
      <w:i/>
      <w:lang w:val="en-US"/>
    </w:rPr>
  </w:style>
  <w:style w:type="paragraph" w:customStyle="1" w:styleId="dedication">
    <w:name w:val="dedication"/>
    <w:basedOn w:val="Normal"/>
    <w:rsid w:val="00004A23"/>
    <w:rPr>
      <w:i/>
      <w:lang w:val="en-US"/>
    </w:rPr>
  </w:style>
  <w:style w:type="paragraph" w:customStyle="1" w:styleId="Addresses">
    <w:name w:val="Addresses"/>
    <w:basedOn w:val="Normal"/>
    <w:rsid w:val="00004A23"/>
    <w:rPr>
      <w:lang w:val="en-US"/>
    </w:rPr>
  </w:style>
  <w:style w:type="paragraph" w:customStyle="1" w:styleId="Acknowledgements">
    <w:name w:val="Acknowledgements"/>
    <w:basedOn w:val="Normal"/>
    <w:rsid w:val="00004A23"/>
    <w:rPr>
      <w:lang w:val="en-US"/>
    </w:rPr>
  </w:style>
  <w:style w:type="paragraph" w:customStyle="1" w:styleId="Abstract">
    <w:name w:val="Abstract"/>
    <w:basedOn w:val="Normal"/>
    <w:autoRedefine/>
    <w:rsid w:val="000366E2"/>
    <w:pPr>
      <w:spacing w:line="480" w:lineRule="auto"/>
    </w:pPr>
    <w:rPr>
      <w:lang w:val="en-US"/>
    </w:rPr>
  </w:style>
  <w:style w:type="paragraph" w:customStyle="1" w:styleId="Head1">
    <w:name w:val="Head 1"/>
    <w:basedOn w:val="Normal"/>
    <w:autoRedefine/>
    <w:rsid w:val="00004A23"/>
    <w:pPr>
      <w:spacing w:line="360" w:lineRule="auto"/>
    </w:pPr>
    <w:rPr>
      <w:b/>
      <w:lang w:val="en-US"/>
    </w:rPr>
  </w:style>
  <w:style w:type="paragraph" w:customStyle="1" w:styleId="Head2">
    <w:name w:val="Head 2"/>
    <w:basedOn w:val="Normal"/>
    <w:autoRedefine/>
    <w:rsid w:val="00004A23"/>
    <w:pPr>
      <w:spacing w:line="360" w:lineRule="auto"/>
    </w:pPr>
    <w:rPr>
      <w:i/>
      <w:lang w:val="en-US"/>
    </w:rPr>
  </w:style>
  <w:style w:type="paragraph" w:customStyle="1" w:styleId="dates">
    <w:name w:val="dates"/>
    <w:basedOn w:val="Normal"/>
    <w:rsid w:val="00004A23"/>
    <w:pPr>
      <w:jc w:val="right"/>
    </w:pPr>
    <w:rPr>
      <w:lang w:val="en-US"/>
    </w:rPr>
  </w:style>
  <w:style w:type="paragraph" w:customStyle="1" w:styleId="Literature">
    <w:name w:val="Literature"/>
    <w:basedOn w:val="Normal"/>
    <w:rsid w:val="00004A23"/>
    <w:pPr>
      <w:spacing w:line="480" w:lineRule="auto"/>
    </w:pPr>
  </w:style>
  <w:style w:type="paragraph" w:customStyle="1" w:styleId="Legend">
    <w:name w:val="Legend"/>
    <w:basedOn w:val="Normal"/>
    <w:rsid w:val="00004A23"/>
    <w:rPr>
      <w:lang w:val="en-US"/>
    </w:rPr>
  </w:style>
  <w:style w:type="paragraph" w:customStyle="1" w:styleId="MainText">
    <w:name w:val="Main Text"/>
    <w:basedOn w:val="Normal"/>
    <w:link w:val="MainTextChar"/>
    <w:rsid w:val="00004A23"/>
    <w:pPr>
      <w:spacing w:line="480" w:lineRule="auto"/>
    </w:pPr>
    <w:rPr>
      <w:lang w:val="en-US"/>
    </w:rPr>
  </w:style>
  <w:style w:type="paragraph" w:customStyle="1" w:styleId="Tableofcontents">
    <w:name w:val="Table of contents"/>
    <w:basedOn w:val="Normal"/>
    <w:autoRedefine/>
    <w:rsid w:val="00004A23"/>
    <w:rPr>
      <w:lang w:val="en-US"/>
    </w:rPr>
  </w:style>
  <w:style w:type="paragraph" w:customStyle="1" w:styleId="ExperimentalText">
    <w:name w:val="Experimental Text"/>
    <w:basedOn w:val="Normal"/>
    <w:link w:val="ExperimentalTextChar"/>
    <w:rsid w:val="00004A23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004A23"/>
    <w:rPr>
      <w:rFonts w:eastAsia="MS Mincho"/>
      <w:sz w:val="24"/>
      <w:szCs w:val="24"/>
      <w:lang w:val="en-US" w:eastAsia="ja-JP" w:bidi="ar-SA"/>
    </w:rPr>
  </w:style>
  <w:style w:type="character" w:customStyle="1" w:styleId="MainTextChar">
    <w:name w:val="Main Text Char"/>
    <w:link w:val="MainText"/>
    <w:rsid w:val="00004A23"/>
    <w:rPr>
      <w:rFonts w:eastAsia="MS Mincho"/>
      <w:sz w:val="24"/>
      <w:szCs w:val="24"/>
      <w:lang w:val="en-US" w:eastAsia="ja-JP" w:bidi="ar-SA"/>
    </w:rPr>
  </w:style>
  <w:style w:type="paragraph" w:customStyle="1" w:styleId="Title2">
    <w:name w:val="Title2"/>
    <w:basedOn w:val="Normal"/>
    <w:rsid w:val="002D16A0"/>
    <w:rPr>
      <w:b/>
      <w:lang w:val="en-US"/>
    </w:rPr>
  </w:style>
  <w:style w:type="paragraph" w:customStyle="1" w:styleId="Dedication0">
    <w:name w:val="Dedication"/>
    <w:basedOn w:val="Normal"/>
    <w:autoRedefine/>
    <w:rsid w:val="00322D5B"/>
    <w:rPr>
      <w:lang w:val="en-US"/>
    </w:rPr>
  </w:style>
  <w:style w:type="paragraph" w:customStyle="1" w:styleId="Maintext0">
    <w:name w:val="Main text"/>
    <w:basedOn w:val="Normal"/>
    <w:link w:val="MaintextChar0"/>
    <w:autoRedefine/>
    <w:rsid w:val="002D16A0"/>
    <w:pPr>
      <w:spacing w:line="480" w:lineRule="auto"/>
    </w:pPr>
    <w:rPr>
      <w:lang w:val="en-US"/>
    </w:rPr>
  </w:style>
  <w:style w:type="character" w:customStyle="1" w:styleId="MaintextChar0">
    <w:name w:val="Main text Char"/>
    <w:link w:val="Maintext0"/>
    <w:rsid w:val="002D16A0"/>
    <w:rPr>
      <w:sz w:val="24"/>
      <w:szCs w:val="24"/>
      <w:lang w:val="en-US" w:eastAsia="ja-JP"/>
    </w:rPr>
  </w:style>
  <w:style w:type="paragraph" w:customStyle="1" w:styleId="Biography">
    <w:name w:val="Biography"/>
    <w:basedOn w:val="Normal"/>
    <w:autoRedefine/>
    <w:rsid w:val="00562E2B"/>
    <w:rPr>
      <w:i/>
      <w:lang w:val="en-US"/>
    </w:rPr>
  </w:style>
  <w:style w:type="character" w:customStyle="1" w:styleId="HeaderChar">
    <w:name w:val="Header Char"/>
    <w:link w:val="Header"/>
    <w:rsid w:val="00414465"/>
    <w:rPr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66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F6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64F6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F6D"/>
    <w:rPr>
      <w:b/>
      <w:bCs/>
      <w:lang w:eastAsia="ja-JP"/>
    </w:rPr>
  </w:style>
  <w:style w:type="character" w:customStyle="1" w:styleId="FooterChar">
    <w:name w:val="Footer Char"/>
    <w:link w:val="Footer"/>
    <w:uiPriority w:val="99"/>
    <w:rsid w:val="00250F21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1614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C72A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72AD"/>
    <w:rPr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8C72A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72AD"/>
    <w:rPr>
      <w:noProof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F14B0"/>
    <w:rPr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80789"/>
    <w:rPr>
      <w:color w:val="808080"/>
    </w:rPr>
  </w:style>
  <w:style w:type="character" w:customStyle="1" w:styleId="publication-meta-journal">
    <w:name w:val="publication-meta-journal"/>
    <w:basedOn w:val="DefaultParagraphFont"/>
    <w:rsid w:val="00BD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Wylie\Lokale%20Einstellungen\Anwendungsdaten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991C-846D-49EA-BEE6-5408586D13C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73621B8-DA59-48EE-A868-E26E732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18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DOI: 10</vt:lpstr>
    </vt:vector>
  </TitlesOfParts>
  <Company>WILEY-VCH Verlag GmbH &amp; Co. KGaA</Company>
  <LinksUpToDate>false</LinksUpToDate>
  <CharactersWithSpaces>32602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 10</dc:title>
  <dc:creator>ABoeer</dc:creator>
  <cp:lastModifiedBy>Jonathan Alaria</cp:lastModifiedBy>
  <cp:revision>4</cp:revision>
  <cp:lastPrinted>2018-04-23T14:40:00Z</cp:lastPrinted>
  <dcterms:created xsi:type="dcterms:W3CDTF">2019-01-04T08:09:00Z</dcterms:created>
  <dcterms:modified xsi:type="dcterms:W3CDTF">2019-01-04T08:09:00Z</dcterms:modified>
</cp:coreProperties>
</file>