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1020" w14:textId="77777777" w:rsidR="007C4FB0" w:rsidRDefault="007C4FB0"/>
    <w:p w14:paraId="7ED77489" w14:textId="3D12049A" w:rsidR="00B043A7" w:rsidRPr="009447E4" w:rsidRDefault="00B043A7" w:rsidP="00B043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 of mortality from the STRIDER UK trial of sildenafil therapy for the treatment of severe early-onset </w:t>
      </w:r>
      <w:proofErr w:type="spellStart"/>
      <w:r>
        <w:rPr>
          <w:rFonts w:ascii="Arial" w:hAnsi="Arial" w:cs="Arial"/>
          <w:b/>
        </w:rPr>
        <w:t>fetal</w:t>
      </w:r>
      <w:proofErr w:type="spellEnd"/>
      <w:r>
        <w:rPr>
          <w:rFonts w:ascii="Arial" w:hAnsi="Arial" w:cs="Arial"/>
          <w:b/>
        </w:rPr>
        <w:t xml:space="preserve"> growth restriction</w:t>
      </w:r>
    </w:p>
    <w:p w14:paraId="2A9EAAD9" w14:textId="77777777" w:rsidR="00B043A7" w:rsidRPr="009447E4" w:rsidRDefault="00B043A7" w:rsidP="00B043A7">
      <w:pPr>
        <w:spacing w:line="360" w:lineRule="auto"/>
        <w:rPr>
          <w:rFonts w:ascii="Arial" w:hAnsi="Arial" w:cs="Arial"/>
        </w:rPr>
      </w:pPr>
    </w:p>
    <w:p w14:paraId="240D2312" w14:textId="77777777" w:rsidR="00B043A7" w:rsidRPr="009447E4" w:rsidRDefault="00B043A7" w:rsidP="00B043A7">
      <w:pPr>
        <w:spacing w:line="360" w:lineRule="auto"/>
        <w:rPr>
          <w:rFonts w:ascii="Arial" w:hAnsi="Arial" w:cs="Arial"/>
        </w:rPr>
      </w:pPr>
      <w:r w:rsidRPr="009447E4">
        <w:rPr>
          <w:rFonts w:ascii="Arial" w:hAnsi="Arial" w:cs="Arial"/>
        </w:rPr>
        <w:t xml:space="preserve">Andrew </w:t>
      </w:r>
      <w:r>
        <w:rPr>
          <w:rFonts w:ascii="Arial" w:hAnsi="Arial" w:cs="Arial"/>
        </w:rPr>
        <w:t>Sharp</w:t>
      </w:r>
      <w:r w:rsidRPr="007879F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</w:t>
      </w:r>
      <w:r w:rsidRPr="009447E4">
        <w:rPr>
          <w:rFonts w:ascii="Arial" w:hAnsi="Arial" w:cs="Arial"/>
        </w:rPr>
        <w:t xml:space="preserve"> Christine Cornforth</w:t>
      </w:r>
      <w:r w:rsidRPr="009447E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9447E4">
        <w:rPr>
          <w:rFonts w:ascii="Arial" w:hAnsi="Arial" w:cs="Arial"/>
        </w:rPr>
        <w:t xml:space="preserve"> Richard Jackson</w:t>
      </w:r>
      <w:r w:rsidRPr="009447E4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944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 Harrold</w:t>
      </w:r>
      <w:r w:rsidRPr="00D1107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Mark A. Turner</w:t>
      </w:r>
      <w:r w:rsidRPr="00E108F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r w:rsidRPr="009447E4">
        <w:rPr>
          <w:rFonts w:ascii="Arial" w:hAnsi="Arial" w:cs="Arial"/>
        </w:rPr>
        <w:t>Louise Kenny</w:t>
      </w:r>
      <w:r>
        <w:rPr>
          <w:rFonts w:ascii="Arial" w:hAnsi="Arial" w:cs="Arial"/>
          <w:vertAlign w:val="superscript"/>
        </w:rPr>
        <w:t>1</w:t>
      </w:r>
      <w:r w:rsidRPr="009447E4">
        <w:rPr>
          <w:rFonts w:ascii="Arial" w:hAnsi="Arial" w:cs="Arial"/>
        </w:rPr>
        <w:t>, Philip N. Baker</w:t>
      </w:r>
      <w:r>
        <w:rPr>
          <w:rFonts w:ascii="Arial" w:hAnsi="Arial" w:cs="Arial"/>
          <w:vertAlign w:val="superscript"/>
        </w:rPr>
        <w:t>3</w:t>
      </w:r>
      <w:r w:rsidRPr="009447E4">
        <w:rPr>
          <w:rFonts w:ascii="Arial" w:hAnsi="Arial" w:cs="Arial"/>
        </w:rPr>
        <w:t xml:space="preserve">, Edward </w:t>
      </w:r>
      <w:r>
        <w:rPr>
          <w:rFonts w:ascii="Arial" w:hAnsi="Arial" w:cs="Arial"/>
        </w:rPr>
        <w:t xml:space="preserve">D. </w:t>
      </w:r>
      <w:r w:rsidRPr="009447E4">
        <w:rPr>
          <w:rFonts w:ascii="Arial" w:hAnsi="Arial" w:cs="Arial"/>
        </w:rPr>
        <w:t>Johnstone</w:t>
      </w:r>
      <w:r>
        <w:rPr>
          <w:rFonts w:ascii="Arial" w:hAnsi="Arial" w:cs="Arial"/>
          <w:vertAlign w:val="superscript"/>
        </w:rPr>
        <w:t>4</w:t>
      </w:r>
      <w:r w:rsidRPr="009447E4">
        <w:rPr>
          <w:rFonts w:ascii="Arial" w:hAnsi="Arial" w:cs="Arial"/>
        </w:rPr>
        <w:t xml:space="preserve">,  </w:t>
      </w:r>
      <w:proofErr w:type="spellStart"/>
      <w:r w:rsidRPr="009447E4">
        <w:rPr>
          <w:rFonts w:ascii="Arial" w:hAnsi="Arial" w:cs="Arial"/>
        </w:rPr>
        <w:t>Asma</w:t>
      </w:r>
      <w:proofErr w:type="spellEnd"/>
      <w:r w:rsidRPr="009447E4">
        <w:rPr>
          <w:rFonts w:ascii="Arial" w:hAnsi="Arial" w:cs="Arial"/>
        </w:rPr>
        <w:t xml:space="preserve"> Khalil</w:t>
      </w:r>
      <w:r>
        <w:rPr>
          <w:rFonts w:ascii="Arial" w:hAnsi="Arial" w:cs="Arial"/>
          <w:vertAlign w:val="superscript"/>
        </w:rPr>
        <w:t>5</w:t>
      </w:r>
      <w:r w:rsidRPr="009447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Peter von Dadelszen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, </w:t>
      </w:r>
      <w:r w:rsidRPr="009447E4">
        <w:rPr>
          <w:rFonts w:ascii="Arial" w:hAnsi="Arial" w:cs="Arial"/>
        </w:rPr>
        <w:t xml:space="preserve">Aris </w:t>
      </w:r>
      <w:r>
        <w:rPr>
          <w:rFonts w:ascii="Arial" w:hAnsi="Arial" w:cs="Arial"/>
        </w:rPr>
        <w:t xml:space="preserve">T. </w:t>
      </w:r>
      <w:r w:rsidRPr="009447E4">
        <w:rPr>
          <w:rFonts w:ascii="Arial" w:hAnsi="Arial" w:cs="Arial"/>
        </w:rPr>
        <w:t>Papageorghiou</w:t>
      </w:r>
      <w:r>
        <w:rPr>
          <w:rFonts w:ascii="Arial" w:hAnsi="Arial" w:cs="Arial"/>
          <w:vertAlign w:val="superscript"/>
        </w:rPr>
        <w:t>5</w:t>
      </w:r>
      <w:r w:rsidRPr="00C65453">
        <w:rPr>
          <w:rFonts w:ascii="Arial" w:hAnsi="Arial" w:cs="Arial"/>
        </w:rPr>
        <w:t xml:space="preserve">, </w:t>
      </w:r>
      <w:r w:rsidRPr="009447E4">
        <w:rPr>
          <w:rFonts w:ascii="Arial" w:hAnsi="Arial" w:cs="Arial"/>
        </w:rPr>
        <w:t>Zarko Alfirevic</w:t>
      </w:r>
      <w:r w:rsidRPr="009447E4">
        <w:rPr>
          <w:rFonts w:ascii="Arial" w:hAnsi="Arial" w:cs="Arial"/>
          <w:vertAlign w:val="superscript"/>
        </w:rPr>
        <w:t>1</w:t>
      </w:r>
    </w:p>
    <w:p w14:paraId="27073405" w14:textId="77777777" w:rsidR="00B043A7" w:rsidRDefault="00B043A7" w:rsidP="00B043A7">
      <w:pPr>
        <w:spacing w:line="360" w:lineRule="auto"/>
        <w:rPr>
          <w:rFonts w:ascii="Arial" w:eastAsiaTheme="minorEastAsia" w:hAnsi="Arial" w:cs="Arial"/>
          <w:b/>
        </w:rPr>
      </w:pPr>
    </w:p>
    <w:p w14:paraId="5A636C6C" w14:textId="77777777" w:rsidR="00B043A7" w:rsidRPr="009447E4" w:rsidRDefault="00B043A7" w:rsidP="00B043A7">
      <w:pPr>
        <w:spacing w:line="360" w:lineRule="auto"/>
        <w:rPr>
          <w:rFonts w:ascii="Arial" w:eastAsiaTheme="minorEastAsia" w:hAnsi="Arial" w:cs="Arial"/>
          <w:b/>
        </w:rPr>
      </w:pPr>
      <w:r w:rsidRPr="009447E4">
        <w:rPr>
          <w:rFonts w:ascii="Arial" w:eastAsiaTheme="minorEastAsia" w:hAnsi="Arial" w:cs="Arial"/>
          <w:b/>
        </w:rPr>
        <w:t>Affiliations:</w:t>
      </w:r>
    </w:p>
    <w:p w14:paraId="33434573" w14:textId="77777777" w:rsidR="00B043A7" w:rsidRPr="009447E4" w:rsidRDefault="00B043A7" w:rsidP="00B043A7">
      <w:pPr>
        <w:numPr>
          <w:ilvl w:val="0"/>
          <w:numId w:val="4"/>
        </w:numPr>
        <w:spacing w:after="0" w:line="360" w:lineRule="auto"/>
        <w:contextualSpacing/>
        <w:rPr>
          <w:rFonts w:ascii="Arial" w:eastAsiaTheme="minorEastAsia" w:hAnsi="Arial" w:cs="Arial"/>
        </w:rPr>
      </w:pPr>
      <w:r w:rsidRPr="009447E4">
        <w:rPr>
          <w:rFonts w:ascii="Arial" w:eastAsiaTheme="minorEastAsia" w:hAnsi="Arial" w:cs="Arial"/>
        </w:rPr>
        <w:t>Department of Women’s and Children’s Health, University of Liverpool, United Kingdom</w:t>
      </w:r>
    </w:p>
    <w:p w14:paraId="36CC1AEE" w14:textId="77777777" w:rsidR="00B043A7" w:rsidRPr="009447E4" w:rsidRDefault="00B043A7" w:rsidP="00B043A7">
      <w:pPr>
        <w:numPr>
          <w:ilvl w:val="0"/>
          <w:numId w:val="4"/>
        </w:numPr>
        <w:spacing w:after="0" w:line="360" w:lineRule="auto"/>
        <w:contextualSpacing/>
        <w:rPr>
          <w:rFonts w:ascii="Arial" w:eastAsiaTheme="minorEastAsia" w:hAnsi="Arial" w:cs="Arial"/>
        </w:rPr>
      </w:pPr>
      <w:r w:rsidRPr="009447E4">
        <w:rPr>
          <w:rFonts w:ascii="Arial" w:eastAsiaTheme="minorEastAsia" w:hAnsi="Arial" w:cs="Arial"/>
        </w:rPr>
        <w:t>Liverpool Clinical Trials Unit, University of Liverpool, United Kingdom</w:t>
      </w:r>
    </w:p>
    <w:p w14:paraId="4F31E13F" w14:textId="77777777" w:rsidR="00B043A7" w:rsidRPr="009447E4" w:rsidRDefault="00B043A7" w:rsidP="00B043A7">
      <w:pPr>
        <w:numPr>
          <w:ilvl w:val="0"/>
          <w:numId w:val="4"/>
        </w:numPr>
        <w:spacing w:after="0" w:line="360" w:lineRule="auto"/>
        <w:contextualSpacing/>
        <w:rPr>
          <w:rFonts w:ascii="Arial" w:eastAsiaTheme="minorEastAsia" w:hAnsi="Arial" w:cs="Arial"/>
        </w:rPr>
      </w:pPr>
      <w:r w:rsidRPr="009447E4">
        <w:rPr>
          <w:rFonts w:ascii="Arial" w:eastAsiaTheme="minorEastAsia" w:hAnsi="Arial" w:cs="Arial"/>
        </w:rPr>
        <w:t>College of Medicine, University of Leicester, United Kingdom</w:t>
      </w:r>
    </w:p>
    <w:p w14:paraId="479AFDFC" w14:textId="77777777" w:rsidR="00B043A7" w:rsidRPr="009447E4" w:rsidRDefault="00B043A7" w:rsidP="00B043A7">
      <w:pPr>
        <w:numPr>
          <w:ilvl w:val="0"/>
          <w:numId w:val="4"/>
        </w:numPr>
        <w:spacing w:after="0" w:line="360" w:lineRule="auto"/>
        <w:contextualSpacing/>
        <w:rPr>
          <w:rFonts w:ascii="Arial" w:eastAsiaTheme="minorEastAsia" w:hAnsi="Arial" w:cs="Arial"/>
        </w:rPr>
      </w:pPr>
      <w:r w:rsidRPr="009447E4">
        <w:rPr>
          <w:rFonts w:ascii="Arial" w:eastAsiaTheme="minorEastAsia" w:hAnsi="Arial" w:cs="Arial"/>
        </w:rPr>
        <w:t xml:space="preserve">Maternal &amp; </w:t>
      </w:r>
      <w:proofErr w:type="spellStart"/>
      <w:r w:rsidRPr="009447E4">
        <w:rPr>
          <w:rFonts w:ascii="Arial" w:eastAsiaTheme="minorEastAsia" w:hAnsi="Arial" w:cs="Arial"/>
        </w:rPr>
        <w:t>Fetal</w:t>
      </w:r>
      <w:proofErr w:type="spellEnd"/>
      <w:r w:rsidRPr="009447E4">
        <w:rPr>
          <w:rFonts w:ascii="Arial" w:eastAsiaTheme="minorEastAsia" w:hAnsi="Arial" w:cs="Arial"/>
        </w:rPr>
        <w:t xml:space="preserve"> Health Research Centre, </w:t>
      </w:r>
      <w:r>
        <w:rPr>
          <w:rFonts w:ascii="Arial" w:eastAsiaTheme="minorEastAsia" w:hAnsi="Arial" w:cs="Arial"/>
        </w:rPr>
        <w:t xml:space="preserve">Division of Developmental Biology, Faculty of Medicine Biology and Health, </w:t>
      </w:r>
      <w:r w:rsidRPr="009447E4">
        <w:rPr>
          <w:rFonts w:ascii="Arial" w:eastAsiaTheme="minorEastAsia" w:hAnsi="Arial" w:cs="Arial"/>
        </w:rPr>
        <w:t xml:space="preserve">University of Manchester, United Kingdom </w:t>
      </w:r>
    </w:p>
    <w:p w14:paraId="200E8D0F" w14:textId="77777777" w:rsidR="00B043A7" w:rsidRDefault="00B043A7" w:rsidP="00B043A7">
      <w:pPr>
        <w:numPr>
          <w:ilvl w:val="0"/>
          <w:numId w:val="4"/>
        </w:numPr>
        <w:spacing w:after="0" w:line="360" w:lineRule="auto"/>
        <w:contextualSpacing/>
        <w:rPr>
          <w:rFonts w:ascii="Arial" w:eastAsiaTheme="minorEastAsia" w:hAnsi="Arial" w:cs="Arial"/>
        </w:rPr>
      </w:pPr>
      <w:proofErr w:type="spellStart"/>
      <w:r w:rsidRPr="009447E4">
        <w:rPr>
          <w:rFonts w:ascii="Arial" w:eastAsiaTheme="minorEastAsia" w:hAnsi="Arial" w:cs="Arial"/>
        </w:rPr>
        <w:t>Fetal</w:t>
      </w:r>
      <w:proofErr w:type="spellEnd"/>
      <w:r w:rsidRPr="009447E4">
        <w:rPr>
          <w:rFonts w:ascii="Arial" w:eastAsiaTheme="minorEastAsia" w:hAnsi="Arial" w:cs="Arial"/>
        </w:rPr>
        <w:t xml:space="preserve"> Medicine Unit, St George's Hospital, </w:t>
      </w:r>
      <w:r>
        <w:rPr>
          <w:rFonts w:ascii="Arial" w:eastAsiaTheme="minorEastAsia" w:hAnsi="Arial" w:cs="Arial"/>
        </w:rPr>
        <w:t xml:space="preserve">and </w:t>
      </w:r>
      <w:r w:rsidRPr="00522645">
        <w:rPr>
          <w:rFonts w:ascii="Arial" w:eastAsiaTheme="minorEastAsia" w:hAnsi="Arial" w:cs="Arial"/>
        </w:rPr>
        <w:t xml:space="preserve">Molecular &amp; Clinical Sciences Research Institute </w:t>
      </w:r>
      <w:r>
        <w:rPr>
          <w:rFonts w:ascii="Arial" w:eastAsiaTheme="minorEastAsia" w:hAnsi="Arial" w:cs="Arial"/>
        </w:rPr>
        <w:t xml:space="preserve">St George’s </w:t>
      </w:r>
      <w:r w:rsidRPr="009447E4">
        <w:rPr>
          <w:rFonts w:ascii="Arial" w:eastAsiaTheme="minorEastAsia" w:hAnsi="Arial" w:cs="Arial"/>
        </w:rPr>
        <w:t>University of London, United Kingdom</w:t>
      </w:r>
    </w:p>
    <w:p w14:paraId="69462A20" w14:textId="77777777" w:rsidR="00B043A7" w:rsidRPr="00431A67" w:rsidRDefault="00B043A7" w:rsidP="00B043A7">
      <w:pPr>
        <w:numPr>
          <w:ilvl w:val="0"/>
          <w:numId w:val="4"/>
        </w:numPr>
        <w:spacing w:after="0" w:line="360" w:lineRule="auto"/>
        <w:contextualSpacing/>
        <w:rPr>
          <w:rFonts w:ascii="Arial" w:eastAsiaTheme="minorEastAsia" w:hAnsi="Arial" w:cs="Arial"/>
        </w:rPr>
      </w:pPr>
      <w:r w:rsidRPr="00431A67">
        <w:rPr>
          <w:rFonts w:ascii="Arial" w:eastAsiaTheme="minorEastAsia" w:hAnsi="Arial" w:cs="Arial"/>
        </w:rPr>
        <w:t>Department of Women’s and Children’s Health, School of Life Course Sciences, King’s College London</w:t>
      </w:r>
      <w:r>
        <w:rPr>
          <w:rFonts w:ascii="Arial" w:eastAsiaTheme="minorEastAsia" w:hAnsi="Arial" w:cs="Arial"/>
        </w:rPr>
        <w:t>, United Kingdom</w:t>
      </w:r>
    </w:p>
    <w:p w14:paraId="43CAF7E0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5C941594" w14:textId="77777777" w:rsidR="00B043A7" w:rsidRPr="00453F16" w:rsidRDefault="00B043A7" w:rsidP="00B043A7">
      <w:pPr>
        <w:spacing w:line="360" w:lineRule="auto"/>
        <w:rPr>
          <w:rFonts w:ascii="Arial" w:hAnsi="Arial" w:cs="Arial"/>
        </w:rPr>
      </w:pPr>
    </w:p>
    <w:p w14:paraId="5B565554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1A1465AA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1B8CDEB0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0647B4B2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07EBD155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7CCA53FC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7904EDE5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  <w:b/>
        </w:rPr>
      </w:pPr>
    </w:p>
    <w:p w14:paraId="4D275411" w14:textId="77777777" w:rsidR="00B043A7" w:rsidRPr="00453F16" w:rsidRDefault="00B043A7" w:rsidP="00B043A7">
      <w:pPr>
        <w:spacing w:line="360" w:lineRule="auto"/>
        <w:contextualSpacing/>
        <w:rPr>
          <w:rFonts w:ascii="Arial" w:eastAsiaTheme="minorEastAsia" w:hAnsi="Arial" w:cs="Arial"/>
          <w:b/>
        </w:rPr>
      </w:pPr>
      <w:r w:rsidRPr="00453F16">
        <w:rPr>
          <w:rFonts w:ascii="Arial" w:eastAsiaTheme="minorEastAsia" w:hAnsi="Arial" w:cs="Arial"/>
          <w:b/>
        </w:rPr>
        <w:t>Correspondence:</w:t>
      </w:r>
    </w:p>
    <w:p w14:paraId="78D0DCF9" w14:textId="77777777" w:rsidR="00B043A7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  <w:r w:rsidRPr="009447E4">
        <w:rPr>
          <w:rFonts w:ascii="Arial" w:eastAsiaTheme="minorEastAsia" w:hAnsi="Arial" w:cs="Arial"/>
        </w:rPr>
        <w:t>Prof</w:t>
      </w:r>
      <w:r>
        <w:rPr>
          <w:rFonts w:ascii="Arial" w:eastAsiaTheme="minorEastAsia" w:hAnsi="Arial" w:cs="Arial"/>
        </w:rPr>
        <w:t>essor</w:t>
      </w:r>
      <w:r w:rsidRPr="009447E4">
        <w:rPr>
          <w:rFonts w:ascii="Arial" w:eastAsiaTheme="minorEastAsia" w:hAnsi="Arial" w:cs="Arial"/>
        </w:rPr>
        <w:t xml:space="preserve"> Zarko Alfirevic</w:t>
      </w:r>
      <w:r>
        <w:rPr>
          <w:rFonts w:ascii="Arial" w:eastAsiaTheme="minorEastAsia" w:hAnsi="Arial" w:cs="Arial"/>
        </w:rPr>
        <w:t xml:space="preserve">: </w:t>
      </w:r>
      <w:hyperlink r:id="rId5" w:history="1">
        <w:r w:rsidRPr="00047006">
          <w:rPr>
            <w:rStyle w:val="Hyperlink"/>
            <w:rFonts w:ascii="Arial" w:eastAsiaTheme="minorEastAsia" w:hAnsi="Arial" w:cs="Arial"/>
          </w:rPr>
          <w:t>zarko@liverpool.ac.uk</w:t>
        </w:r>
      </w:hyperlink>
    </w:p>
    <w:p w14:paraId="7FBA43A0" w14:textId="77777777" w:rsidR="00B043A7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</w:p>
    <w:p w14:paraId="27C1450A" w14:textId="77777777" w:rsidR="00B043A7" w:rsidRPr="00C7358D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  <w:r w:rsidRPr="00C7358D">
        <w:rPr>
          <w:rFonts w:ascii="Arial" w:eastAsiaTheme="minorEastAsia" w:hAnsi="Arial" w:cs="Arial"/>
        </w:rPr>
        <w:t>Department of Women’s and Children’s Health Research, University of Liverpool, Liverpool Women’s Hospital, Crown Street, Liverpool, L8 7SS, United Kingdom.</w:t>
      </w:r>
    </w:p>
    <w:p w14:paraId="3C826A79" w14:textId="77777777" w:rsidR="00B043A7" w:rsidRPr="009447E4" w:rsidRDefault="00B043A7" w:rsidP="00B043A7">
      <w:pPr>
        <w:spacing w:line="360" w:lineRule="auto"/>
        <w:contextualSpacing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Tel: +44 151 795 9550</w:t>
      </w:r>
    </w:p>
    <w:p w14:paraId="0E341337" w14:textId="77777777" w:rsidR="007C4FB0" w:rsidRDefault="007C4FB0"/>
    <w:p w14:paraId="7ED1D0CF" w14:textId="7AEE0F5F" w:rsidR="009745D2" w:rsidRDefault="00FB1562">
      <w:r>
        <w:t xml:space="preserve">Severe early-onset </w:t>
      </w:r>
      <w:proofErr w:type="spellStart"/>
      <w:r>
        <w:t>fetal</w:t>
      </w:r>
      <w:proofErr w:type="spellEnd"/>
      <w:r>
        <w:t xml:space="preserve"> growth restriction</w:t>
      </w:r>
      <w:r w:rsidR="00581B5F">
        <w:t xml:space="preserve"> (FGR)</w:t>
      </w:r>
      <w:r>
        <w:t xml:space="preserve"> is an untreatable condition associated with significant mortality and morbidity for the </w:t>
      </w:r>
      <w:proofErr w:type="spellStart"/>
      <w:r>
        <w:t>fetus</w:t>
      </w:r>
      <w:proofErr w:type="spellEnd"/>
      <w:r w:rsidR="00826A07">
        <w:t xml:space="preserve"> and neonate</w:t>
      </w:r>
      <w:r>
        <w:t>.</w:t>
      </w:r>
      <w:r w:rsidR="00581B5F">
        <w:t xml:space="preserve"> There has been growing interest in novel therapies such as </w:t>
      </w:r>
      <w:proofErr w:type="spellStart"/>
      <w:r w:rsidR="00581B5F">
        <w:t>nitic</w:t>
      </w:r>
      <w:proofErr w:type="spellEnd"/>
      <w:r w:rsidR="00581B5F">
        <w:t xml:space="preserve"> oxide donors/promotors to improve placental function and outcomes for these </w:t>
      </w:r>
      <w:r w:rsidR="002079E3">
        <w:t>high-risk</w:t>
      </w:r>
      <w:r w:rsidR="00581B5F">
        <w:t xml:space="preserve"> pregnancies. </w:t>
      </w:r>
      <w:r>
        <w:t xml:space="preserve">The </w:t>
      </w:r>
      <w:r w:rsidR="00581B5F">
        <w:t>recent</w:t>
      </w:r>
      <w:r w:rsidR="000E4851">
        <w:t>ly published</w:t>
      </w:r>
      <w:r w:rsidR="00581B5F">
        <w:t xml:space="preserve"> </w:t>
      </w:r>
      <w:r>
        <w:t xml:space="preserve">STRIDER UK </w:t>
      </w:r>
      <w:r w:rsidR="003A0089">
        <w:t>trial</w:t>
      </w:r>
      <w:r>
        <w:t xml:space="preserve"> </w:t>
      </w:r>
      <w:proofErr w:type="gramStart"/>
      <w:r>
        <w:t>was designed</w:t>
      </w:r>
      <w:proofErr w:type="gramEnd"/>
      <w:r>
        <w:t xml:space="preserve"> to</w:t>
      </w:r>
      <w:r w:rsidR="00C22309">
        <w:t xml:space="preserve"> test the effectiveness of sildenafil</w:t>
      </w:r>
      <w:r w:rsidR="00581B5F">
        <w:t xml:space="preserve"> (</w:t>
      </w:r>
      <w:r w:rsidR="00C22309">
        <w:t>25mg three times a day</w:t>
      </w:r>
      <w:r w:rsidR="00581B5F">
        <w:t>)</w:t>
      </w:r>
      <w:r w:rsidR="00C22309">
        <w:t xml:space="preserve"> ver</w:t>
      </w:r>
      <w:r w:rsidR="00A1101F">
        <w:t>s</w:t>
      </w:r>
      <w:r w:rsidR="00C22309">
        <w:t>us placebo</w:t>
      </w:r>
      <w:r w:rsidR="00A1101F">
        <w:t xml:space="preserve"> at prolonging gestation in severe early-onset FGR </w:t>
      </w:r>
      <w:r>
        <w:fldChar w:fldCharType="begin">
          <w:fldData xml:space="preserve">PEVuZE5vdGU+PENpdGU+PEF1dGhvcj5TaGFycDwvQXV0aG9yPjxZZWFyPjIwMTg8L1llYXI+PFJl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</w:fldData>
        </w:fldChar>
      </w:r>
      <w:r>
        <w:instrText xml:space="preserve"> ADDIN EN.CITE </w:instrText>
      </w:r>
      <w:r>
        <w:fldChar w:fldCharType="begin">
          <w:fldData xml:space="preserve">PEVuZE5vdGU+PENpdGU+PEF1dGhvcj5TaGFycDwvQXV0aG9yPjxZZWFyPjIwMTg8L1llYXI+PFJl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>.</w:t>
      </w:r>
      <w:r w:rsidR="00581B5F">
        <w:t xml:space="preserve"> </w:t>
      </w:r>
    </w:p>
    <w:p w14:paraId="12310885" w14:textId="3FE980BF" w:rsidR="00454885" w:rsidRDefault="00454885">
      <w:r>
        <w:t xml:space="preserve">The STRIDER trials </w:t>
      </w:r>
      <w:r w:rsidR="00826A07">
        <w:t>a</w:t>
      </w:r>
      <w:r>
        <w:t xml:space="preserve">re a series of international randomised controlled studies with the goal of assessing the ability of sildenafil to improve pregnancy outcome in FGR. </w:t>
      </w:r>
      <w:r w:rsidR="00B043A7">
        <w:t>F</w:t>
      </w:r>
      <w:r>
        <w:t xml:space="preserve">ive studies </w:t>
      </w:r>
      <w:r w:rsidR="00A40E97">
        <w:t xml:space="preserve">were </w:t>
      </w:r>
      <w:r>
        <w:t>initially planned (UK, New Zealand/Australia, Netherlands, Republic of Ireland and Canada)</w:t>
      </w:r>
      <w:r w:rsidR="00A40E97">
        <w:t>,</w:t>
      </w:r>
      <w:r>
        <w:t xml:space="preserve"> each </w:t>
      </w:r>
      <w:r w:rsidR="00A40E97">
        <w:t xml:space="preserve">with </w:t>
      </w:r>
      <w:r>
        <w:t>slightly different eligibility criteria and protocols</w:t>
      </w:r>
      <w:r w:rsidR="00A40E97">
        <w:t xml:space="preserve">. </w:t>
      </w:r>
      <w:r w:rsidR="00826A07">
        <w:t>However, a</w:t>
      </w:r>
      <w:r w:rsidR="00A40E97">
        <w:t>ll studies agreed to use</w:t>
      </w:r>
      <w:r w:rsidR="00B043A7">
        <w:t xml:space="preserve"> a</w:t>
      </w:r>
      <w:r w:rsidR="00A40E97">
        <w:t xml:space="preserve"> centralised data management system</w:t>
      </w:r>
      <w:r>
        <w:t xml:space="preserve"> </w:t>
      </w:r>
      <w:r w:rsidR="00A40E97">
        <w:t xml:space="preserve">to facilitate </w:t>
      </w:r>
      <w:r>
        <w:t>a</w:t>
      </w:r>
      <w:r w:rsidR="00826A07">
        <w:t xml:space="preserve"> pre-planned</w:t>
      </w:r>
      <w:r>
        <w:t xml:space="preserve"> </w:t>
      </w:r>
      <w:r w:rsidR="00A40E97">
        <w:t xml:space="preserve">individual patient data meta-analysis based </w:t>
      </w:r>
      <w:r w:rsidR="00770942">
        <w:t xml:space="preserve">on </w:t>
      </w:r>
      <w:r w:rsidR="00A40E97">
        <w:t>an agreed protocol</w:t>
      </w:r>
      <w:r>
        <w:t xml:space="preserve"> </w:t>
      </w:r>
      <w:r>
        <w:fldChar w:fldCharType="begin">
          <w:fldData xml:space="preserve">PEVuZE5vdGU+PENpdGU+PEF1dGhvcj5HYW56ZXZvb3J0PC9BdXRob3I+PFllYXI+MjAxNDwvWWVh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PEVuZE5vdGU+PENpdGU+PEF1dGhvcj5HYW56ZXZvb3J0PC9BdXRob3I+PFllYXI+MjAxNDwvWWVh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>.</w:t>
      </w:r>
    </w:p>
    <w:p w14:paraId="2DA2B0E4" w14:textId="4AE364CB" w:rsidR="00FB1562" w:rsidRDefault="00581B5F">
      <w:r>
        <w:t xml:space="preserve">The </w:t>
      </w:r>
      <w:r w:rsidR="009745D2">
        <w:t xml:space="preserve">STRIDER </w:t>
      </w:r>
      <w:r>
        <w:t xml:space="preserve">UK </w:t>
      </w:r>
      <w:r w:rsidR="00826A07">
        <w:t xml:space="preserve">trial </w:t>
      </w:r>
      <w:r w:rsidR="00EC52CD">
        <w:t xml:space="preserve">was the first to be completed and showed </w:t>
      </w:r>
      <w:r>
        <w:t xml:space="preserve">no beneficial effect of sildenafil on any outcome but also no significant difference in harm when compared to placebo. </w:t>
      </w:r>
      <w:r w:rsidR="00EC52CD">
        <w:t xml:space="preserve">The </w:t>
      </w:r>
      <w:r w:rsidR="003A0089">
        <w:t>trial</w:t>
      </w:r>
      <w:r w:rsidR="00EC52CD">
        <w:t xml:space="preserve"> reaffirmed</w:t>
      </w:r>
      <w:r w:rsidR="00B043A7">
        <w:t xml:space="preserve"> that</w:t>
      </w:r>
      <w:r w:rsidR="00EC52CD">
        <w:t xml:space="preserve"> </w:t>
      </w:r>
      <w:r>
        <w:t xml:space="preserve">this is a very </w:t>
      </w:r>
      <w:r w:rsidR="002079E3">
        <w:t>high-risk</w:t>
      </w:r>
      <w:r>
        <w:t xml:space="preserve"> cohort </w:t>
      </w:r>
      <w:r w:rsidR="00EC52CD">
        <w:t xml:space="preserve">with </w:t>
      </w:r>
      <w:proofErr w:type="spellStart"/>
      <w:r>
        <w:t>fetal</w:t>
      </w:r>
      <w:proofErr w:type="spellEnd"/>
      <w:r>
        <w:t xml:space="preserve"> demise occurr</w:t>
      </w:r>
      <w:r w:rsidR="00454885">
        <w:t xml:space="preserve">ing </w:t>
      </w:r>
      <w:r>
        <w:t xml:space="preserve">in </w:t>
      </w:r>
      <w:r w:rsidR="00B96CF6">
        <w:t>31</w:t>
      </w:r>
      <w:r>
        <w:t xml:space="preserve">% </w:t>
      </w:r>
      <w:r w:rsidR="00B96CF6">
        <w:t>of pregnancies</w:t>
      </w:r>
      <w:r w:rsidR="00EC52CD">
        <w:t xml:space="preserve"> (2</w:t>
      </w:r>
      <w:r w:rsidR="00282367">
        <w:t>1/70 sildenafil</w:t>
      </w:r>
      <w:r w:rsidR="00B043A7">
        <w:t xml:space="preserve">, </w:t>
      </w:r>
      <w:r w:rsidR="00282367">
        <w:t>22/65 placebo</w:t>
      </w:r>
      <w:r w:rsidR="00EC52CD">
        <w:t xml:space="preserve">) </w:t>
      </w:r>
      <w:r w:rsidR="00B96CF6">
        <w:t>with a further 18</w:t>
      </w:r>
      <w:r>
        <w:t>%</w:t>
      </w:r>
      <w:r w:rsidR="00826A07">
        <w:t xml:space="preserve"> of infants suffering a </w:t>
      </w:r>
      <w:r>
        <w:t xml:space="preserve">neonatal death </w:t>
      </w:r>
      <w:r w:rsidR="00B96CF6">
        <w:t>(10/49 sildenafil and 7/43 placebo).</w:t>
      </w:r>
    </w:p>
    <w:p w14:paraId="5C5E9CDD" w14:textId="29D6ADCE" w:rsidR="008C5933" w:rsidRDefault="00454885">
      <w:r>
        <w:t>Subsequently</w:t>
      </w:r>
      <w:r w:rsidR="00826A07">
        <w:t>,</w:t>
      </w:r>
      <w:r w:rsidR="00EC52CD">
        <w:t xml:space="preserve"> </w:t>
      </w:r>
      <w:r w:rsidR="00826A07">
        <w:t xml:space="preserve">the </w:t>
      </w:r>
      <w:r w:rsidR="00EC52CD">
        <w:t xml:space="preserve">New </w:t>
      </w:r>
      <w:r>
        <w:t>Zealand</w:t>
      </w:r>
      <w:r w:rsidR="00EC52CD">
        <w:t>/Aus</w:t>
      </w:r>
      <w:r>
        <w:t>tralia</w:t>
      </w:r>
      <w:r w:rsidR="00EC52CD">
        <w:t xml:space="preserve"> </w:t>
      </w:r>
      <w:r w:rsidR="00826A07">
        <w:t xml:space="preserve">trial </w:t>
      </w:r>
      <w:r w:rsidR="00EC52CD">
        <w:t xml:space="preserve">was completed </w:t>
      </w:r>
      <w:r w:rsidR="00826A07">
        <w:t xml:space="preserve">and showed </w:t>
      </w:r>
      <w:r w:rsidR="00EC52CD">
        <w:t>similar results (</w:t>
      </w:r>
      <w:r>
        <w:t>unpublished</w:t>
      </w:r>
      <w:r w:rsidR="00EC52CD">
        <w:t>)</w:t>
      </w:r>
      <w:r w:rsidR="00FD2933">
        <w:t>.</w:t>
      </w:r>
      <w:r w:rsidR="00EC52CD">
        <w:t xml:space="preserve"> </w:t>
      </w:r>
      <w:r w:rsidR="00826A07">
        <w:t xml:space="preserve">More </w:t>
      </w:r>
      <w:r>
        <w:t>r</w:t>
      </w:r>
      <w:r w:rsidR="00FB1562">
        <w:t>ecent</w:t>
      </w:r>
      <w:r w:rsidR="00826A07">
        <w:t>ly</w:t>
      </w:r>
      <w:r w:rsidR="00FB1562">
        <w:t xml:space="preserve"> the Dutch STRIDER </w:t>
      </w:r>
      <w:r w:rsidR="00B043A7">
        <w:t>trial</w:t>
      </w:r>
      <w:r w:rsidR="00D814EB">
        <w:t xml:space="preserve"> </w:t>
      </w:r>
      <w:r w:rsidR="00826A07">
        <w:t xml:space="preserve">was halted </w:t>
      </w:r>
      <w:r w:rsidR="00A1101F">
        <w:t>after 183 women were recruited</w:t>
      </w:r>
      <w:r w:rsidR="00826A07">
        <w:t xml:space="preserve">; </w:t>
      </w:r>
      <w:r w:rsidR="00B043A7">
        <w:t xml:space="preserve">this was </w:t>
      </w:r>
      <w:r w:rsidR="004440D0">
        <w:t>in response</w:t>
      </w:r>
      <w:r w:rsidR="00D814EB">
        <w:t xml:space="preserve"> to concerns about a</w:t>
      </w:r>
      <w:r w:rsidR="004440D0">
        <w:t xml:space="preserve"> higher than</w:t>
      </w:r>
      <w:r w:rsidR="00A1101F">
        <w:t xml:space="preserve"> expected </w:t>
      </w:r>
      <w:r w:rsidR="00953B0D">
        <w:t xml:space="preserve">neonatal </w:t>
      </w:r>
      <w:r w:rsidR="00FD2933">
        <w:t>mortality</w:t>
      </w:r>
      <w:r w:rsidR="00953B0D">
        <w:t xml:space="preserve"> (19/</w:t>
      </w:r>
      <w:r w:rsidR="004440D0">
        <w:t xml:space="preserve">71 sildenafil vs 9/63 placebo) </w:t>
      </w:r>
      <w:r w:rsidR="00953B0D">
        <w:t xml:space="preserve">and </w:t>
      </w:r>
      <w:r w:rsidR="004440D0">
        <w:t xml:space="preserve">high </w:t>
      </w:r>
      <w:r w:rsidR="00B043A7">
        <w:t xml:space="preserve">rates of </w:t>
      </w:r>
      <w:r w:rsidR="00953B0D">
        <w:t xml:space="preserve">persistent pulmonary hypertension of the </w:t>
      </w:r>
      <w:proofErr w:type="spellStart"/>
      <w:r w:rsidR="00953B0D">
        <w:t>newborn</w:t>
      </w:r>
      <w:proofErr w:type="spellEnd"/>
      <w:r w:rsidR="00B043A7">
        <w:t xml:space="preserve"> (PPHN)</w:t>
      </w:r>
      <w:r w:rsidR="00953B0D">
        <w:t xml:space="preserve"> </w:t>
      </w:r>
      <w:r w:rsidR="00770942">
        <w:t>in the sildenafil arm</w:t>
      </w:r>
      <w:r w:rsidR="00770942">
        <w:t xml:space="preserve"> </w:t>
      </w:r>
      <w:r w:rsidR="00953B0D">
        <w:t>(17/64 sildenafil vs 3/58 placebo)</w:t>
      </w:r>
      <w:r w:rsidR="003A0089">
        <w:t xml:space="preserve">. In addition, there were concerns about </w:t>
      </w:r>
      <w:r w:rsidR="00826A07">
        <w:t>likely futility in terms of being able to demonstrate an improvement in the primary outcome.</w:t>
      </w:r>
      <w:r w:rsidR="004440D0">
        <w:t xml:space="preserve"> </w:t>
      </w:r>
      <w:r w:rsidR="00826A07">
        <w:t>N</w:t>
      </w:r>
      <w:r w:rsidR="004440D0">
        <w:t>aturally</w:t>
      </w:r>
      <w:r w:rsidR="00B043A7">
        <w:t>,</w:t>
      </w:r>
      <w:r w:rsidR="004440D0">
        <w:t xml:space="preserve"> </w:t>
      </w:r>
      <w:r w:rsidR="00826A07">
        <w:t xml:space="preserve">these findings </w:t>
      </w:r>
      <w:r w:rsidR="004440D0">
        <w:t xml:space="preserve">raised significant concerns globally </w:t>
      </w:r>
      <w:r w:rsidR="00FB1562">
        <w:fldChar w:fldCharType="begin">
          <w:fldData xml:space="preserve">PEVuZE5vdGU+PENpdGU+PEF1dGhvcj5VTUM8L0F1dGhvcj48WWVhcj4yMDE4PC9ZZWFyPjxSZWNO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=
</w:fldData>
        </w:fldChar>
      </w:r>
      <w:r w:rsidR="00923D73">
        <w:instrText xml:space="preserve"> ADDIN EN.CITE </w:instrText>
      </w:r>
      <w:r w:rsidR="00923D73">
        <w:fldChar w:fldCharType="begin">
          <w:fldData xml:space="preserve">PEVuZE5vdGU+PENpdGU+PEF1dGhvcj5VTUM8L0F1dGhvcj48WWVhcj4yMDE4PC9ZZWFyPjxSZWNO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=
</w:fldData>
        </w:fldChar>
      </w:r>
      <w:r w:rsidR="00923D73">
        <w:instrText xml:space="preserve"> ADDIN EN.CITE.DATA </w:instrText>
      </w:r>
      <w:r w:rsidR="00923D73">
        <w:fldChar w:fldCharType="end"/>
      </w:r>
      <w:r w:rsidR="00FB1562">
        <w:fldChar w:fldCharType="separate"/>
      </w:r>
      <w:r w:rsidR="00923D73">
        <w:rPr>
          <w:noProof/>
        </w:rPr>
        <w:t>[3, 4]</w:t>
      </w:r>
      <w:r w:rsidR="00FB1562">
        <w:fldChar w:fldCharType="end"/>
      </w:r>
      <w:r w:rsidR="00FB1562">
        <w:t>.</w:t>
      </w:r>
      <w:r w:rsidR="004440D0">
        <w:t xml:space="preserve"> </w:t>
      </w:r>
    </w:p>
    <w:p w14:paraId="123423DA" w14:textId="2BD68BAF" w:rsidR="00E41BBB" w:rsidRDefault="008C5933">
      <w:r>
        <w:t xml:space="preserve">The excess </w:t>
      </w:r>
      <w:r w:rsidR="000E4851">
        <w:t xml:space="preserve">neonatal </w:t>
      </w:r>
      <w:r>
        <w:t xml:space="preserve">mortality of the Dutch </w:t>
      </w:r>
      <w:r w:rsidR="003A0089">
        <w:t>trial</w:t>
      </w:r>
      <w:r>
        <w:t>, although not statistically significant</w:t>
      </w:r>
      <w:r w:rsidR="000E4851">
        <w:t>,</w:t>
      </w:r>
      <w:r>
        <w:t xml:space="preserve"> is </w:t>
      </w:r>
      <w:r w:rsidR="00E41BBB">
        <w:t>a cause for concern, particul</w:t>
      </w:r>
      <w:r w:rsidR="000E4851">
        <w:t xml:space="preserve">arly as the data look </w:t>
      </w:r>
      <w:r w:rsidR="00E41BBB">
        <w:t xml:space="preserve">consistent across the </w:t>
      </w:r>
      <w:r w:rsidR="002079E3">
        <w:t>three</w:t>
      </w:r>
      <w:r w:rsidR="00E41BBB">
        <w:t xml:space="preserve"> trials </w:t>
      </w:r>
      <w:r w:rsidR="00A40E97">
        <w:t>(Fig</w:t>
      </w:r>
      <w:r w:rsidR="00FD2933">
        <w:t>ure</w:t>
      </w:r>
      <w:r w:rsidR="00A40E97">
        <w:t xml:space="preserve"> 1). </w:t>
      </w:r>
      <w:r w:rsidR="00E41BBB">
        <w:t xml:space="preserve">This </w:t>
      </w:r>
      <w:proofErr w:type="gramStart"/>
      <w:r w:rsidR="00E41BBB">
        <w:t>will be further explored</w:t>
      </w:r>
      <w:proofErr w:type="gramEnd"/>
      <w:r w:rsidR="00E41BBB">
        <w:t xml:space="preserve"> in </w:t>
      </w:r>
      <w:r w:rsidR="00FD2933">
        <w:t xml:space="preserve">the </w:t>
      </w:r>
      <w:r w:rsidR="00E41BBB">
        <w:t>forthcoming IPD meta</w:t>
      </w:r>
      <w:r w:rsidR="00454885">
        <w:t>-</w:t>
      </w:r>
      <w:r w:rsidR="00E41BBB">
        <w:t xml:space="preserve">analysis </w:t>
      </w:r>
      <w:r w:rsidR="00454885">
        <w:fldChar w:fldCharType="begin">
          <w:fldData xml:space="preserve">PEVuZE5vdGU+PENpdGU+PEF1dGhvcj5HYW56ZXZvb3J0PC9BdXRob3I+PFllYXI+MjAxNDwvWWVh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</w:fldData>
        </w:fldChar>
      </w:r>
      <w:r w:rsidR="00454885">
        <w:instrText xml:space="preserve"> ADDIN EN.CITE </w:instrText>
      </w:r>
      <w:r w:rsidR="00454885">
        <w:fldChar w:fldCharType="begin">
          <w:fldData xml:space="preserve">PEVuZE5vdGU+PENpdGU+PEF1dGhvcj5HYW56ZXZvb3J0PC9BdXRob3I+PFllYXI+MjAxNDwvWWVh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</w:fldData>
        </w:fldChar>
      </w:r>
      <w:r w:rsidR="00454885">
        <w:instrText xml:space="preserve"> ADDIN EN.CITE.DATA </w:instrText>
      </w:r>
      <w:r w:rsidR="00454885">
        <w:fldChar w:fldCharType="end"/>
      </w:r>
      <w:r w:rsidR="00454885">
        <w:fldChar w:fldCharType="separate"/>
      </w:r>
      <w:r w:rsidR="00454885">
        <w:rPr>
          <w:noProof/>
        </w:rPr>
        <w:t>[2]</w:t>
      </w:r>
      <w:r w:rsidR="00454885">
        <w:fldChar w:fldCharType="end"/>
      </w:r>
      <w:r w:rsidR="00E41BBB">
        <w:t xml:space="preserve"> </w:t>
      </w:r>
    </w:p>
    <w:p w14:paraId="16B38111" w14:textId="559035F0" w:rsidR="00B043A7" w:rsidRDefault="00E41BBB">
      <w:proofErr w:type="gramStart"/>
      <w:r>
        <w:t>I</w:t>
      </w:r>
      <w:r w:rsidR="004440D0">
        <w:t>n light of th</w:t>
      </w:r>
      <w:r w:rsidR="009745D2">
        <w:t>e</w:t>
      </w:r>
      <w:r w:rsidR="004440D0">
        <w:t>s</w:t>
      </w:r>
      <w:r w:rsidR="009745D2">
        <w:t xml:space="preserve">e </w:t>
      </w:r>
      <w:r w:rsidR="00282367">
        <w:t>concerns,</w:t>
      </w:r>
      <w:r w:rsidR="004440D0">
        <w:t xml:space="preserve"> we have reviewed </w:t>
      </w:r>
      <w:r w:rsidR="00282367">
        <w:t xml:space="preserve">the </w:t>
      </w:r>
      <w:r w:rsidR="003A0089">
        <w:t xml:space="preserve">STRIDER </w:t>
      </w:r>
      <w:r w:rsidR="00282367">
        <w:t xml:space="preserve">UK trial </w:t>
      </w:r>
      <w:r w:rsidR="004440D0">
        <w:t xml:space="preserve">mortality and pathology data and present it here in order to </w:t>
      </w:r>
      <w:r>
        <w:t>complement the data already in the public domain</w:t>
      </w:r>
      <w:r w:rsidR="00454885">
        <w:t xml:space="preserve"> </w:t>
      </w:r>
      <w:r w:rsidR="009745D2">
        <w:t>(Table 1)</w:t>
      </w:r>
      <w:r w:rsidR="004440D0">
        <w:t>.</w:t>
      </w:r>
      <w:proofErr w:type="gramEnd"/>
      <w:r w:rsidR="004440D0">
        <w:t xml:space="preserve"> </w:t>
      </w:r>
      <w:r>
        <w:t>Unfortunately,</w:t>
      </w:r>
      <w:r w:rsidR="008572DF">
        <w:t xml:space="preserve"> p</w:t>
      </w:r>
      <w:r w:rsidR="009745D2">
        <w:t xml:space="preserve">ost mortem and </w:t>
      </w:r>
      <w:r>
        <w:t xml:space="preserve">placental </w:t>
      </w:r>
      <w:r w:rsidR="009745D2">
        <w:t xml:space="preserve">histology data </w:t>
      </w:r>
      <w:r>
        <w:t xml:space="preserve">are </w:t>
      </w:r>
      <w:r w:rsidR="009745D2">
        <w:t xml:space="preserve">not available for all </w:t>
      </w:r>
      <w:proofErr w:type="spellStart"/>
      <w:r w:rsidR="009745D2">
        <w:t>fetal</w:t>
      </w:r>
      <w:proofErr w:type="spellEnd"/>
      <w:r w:rsidR="009745D2">
        <w:t xml:space="preserve"> and neonatal deaths.</w:t>
      </w:r>
      <w:r w:rsidR="002D6F6A">
        <w:t xml:space="preserve"> </w:t>
      </w:r>
      <w:r w:rsidR="0032149B">
        <w:t xml:space="preserve">Three cases of </w:t>
      </w:r>
      <w:proofErr w:type="spellStart"/>
      <w:r w:rsidR="0032149B">
        <w:t>fetal</w:t>
      </w:r>
      <w:proofErr w:type="spellEnd"/>
      <w:r w:rsidR="0032149B">
        <w:t xml:space="preserve"> death (</w:t>
      </w:r>
      <w:r w:rsidR="00B043A7">
        <w:t>1 sildenafil and 2</w:t>
      </w:r>
      <w:r w:rsidR="0032149B">
        <w:t xml:space="preserve"> placebo) </w:t>
      </w:r>
      <w:proofErr w:type="gramStart"/>
      <w:r w:rsidR="0032149B">
        <w:t>have been excluded</w:t>
      </w:r>
      <w:proofErr w:type="gramEnd"/>
      <w:r w:rsidR="0032149B">
        <w:t xml:space="preserve"> as the</w:t>
      </w:r>
      <w:r w:rsidR="00923D73">
        <w:t>se</w:t>
      </w:r>
      <w:r w:rsidR="0032149B">
        <w:t xml:space="preserve"> pregnanc</w:t>
      </w:r>
      <w:r w:rsidR="00923D73">
        <w:t>ies</w:t>
      </w:r>
      <w:r w:rsidR="0032149B">
        <w:t xml:space="preserve"> w</w:t>
      </w:r>
      <w:r w:rsidR="00923D73">
        <w:t>ere</w:t>
      </w:r>
      <w:r w:rsidR="0032149B">
        <w:t xml:space="preserve"> terminated due to severe early-onset FGR or </w:t>
      </w:r>
      <w:r w:rsidR="00923D73">
        <w:t>related</w:t>
      </w:r>
      <w:r w:rsidR="0032149B">
        <w:t xml:space="preserve"> </w:t>
      </w:r>
      <w:r w:rsidR="000E4851">
        <w:t xml:space="preserve">maternal </w:t>
      </w:r>
      <w:r w:rsidR="0032149B">
        <w:t xml:space="preserve">conditions </w:t>
      </w:r>
      <w:r w:rsidR="00923D73">
        <w:t>(</w:t>
      </w:r>
      <w:r w:rsidR="0032149B">
        <w:t>HELLP syndrome</w:t>
      </w:r>
      <w:r w:rsidR="00923D73">
        <w:t>)</w:t>
      </w:r>
      <w:r>
        <w:t xml:space="preserve">. </w:t>
      </w:r>
    </w:p>
    <w:p w14:paraId="686A94E6" w14:textId="70FA8A6A" w:rsidR="004959D7" w:rsidRDefault="0052116E" w:rsidP="004959D7">
      <w:r>
        <w:t>There was a slight increase in time on sildenafil treatment</w:t>
      </w:r>
      <w:r w:rsidR="00C91440">
        <w:t xml:space="preserve"> for women with a </w:t>
      </w:r>
      <w:proofErr w:type="spellStart"/>
      <w:r w:rsidR="00C91440">
        <w:t>fetal</w:t>
      </w:r>
      <w:proofErr w:type="spellEnd"/>
      <w:r w:rsidR="00C91440">
        <w:t xml:space="preserve"> death compared to </w:t>
      </w:r>
      <w:proofErr w:type="gramStart"/>
      <w:r w:rsidR="00C91440">
        <w:t>those</w:t>
      </w:r>
      <w:proofErr w:type="gramEnd"/>
      <w:r w:rsidR="00C91440">
        <w:t xml:space="preserve"> on </w:t>
      </w:r>
      <w:r>
        <w:t>placebo, but the relevance of this diffe</w:t>
      </w:r>
      <w:r w:rsidR="00B043A7">
        <w:t xml:space="preserve">rence is at present uncertain. </w:t>
      </w:r>
      <w:r w:rsidR="002D6F6A">
        <w:t xml:space="preserve">Gestation </w:t>
      </w:r>
      <w:r w:rsidR="00C91440">
        <w:t>and birthweight of stillb</w:t>
      </w:r>
      <w:r w:rsidR="00923D73">
        <w:t>orn infants</w:t>
      </w:r>
      <w:r w:rsidR="00C91440">
        <w:t xml:space="preserve"> </w:t>
      </w:r>
      <w:r w:rsidR="002D6F6A">
        <w:t xml:space="preserve">were similar </w:t>
      </w:r>
      <w:r w:rsidR="00C91440">
        <w:t xml:space="preserve">in </w:t>
      </w:r>
      <w:r w:rsidR="00923D73">
        <w:t xml:space="preserve">the </w:t>
      </w:r>
      <w:r w:rsidR="00E41BBB">
        <w:t>two groups</w:t>
      </w:r>
      <w:r w:rsidR="00454885">
        <w:t>.</w:t>
      </w:r>
      <w:r w:rsidR="00E41BBB">
        <w:t xml:space="preserve"> Most </w:t>
      </w:r>
      <w:r w:rsidR="004959D7">
        <w:t xml:space="preserve">neonatal deaths occurred </w:t>
      </w:r>
      <w:r w:rsidR="000E4851">
        <w:t xml:space="preserve">after </w:t>
      </w:r>
      <w:r w:rsidR="00770942">
        <w:t xml:space="preserve">the </w:t>
      </w:r>
      <w:r w:rsidR="000E4851">
        <w:t xml:space="preserve">first week of life. </w:t>
      </w:r>
      <w:r w:rsidR="004959D7">
        <w:t xml:space="preserve">Almost </w:t>
      </w:r>
      <w:r w:rsidR="00B043A7">
        <w:t>universally,</w:t>
      </w:r>
      <w:r w:rsidR="004959D7">
        <w:t xml:space="preserve"> post-mortem</w:t>
      </w:r>
      <w:r w:rsidR="000E4851">
        <w:t xml:space="preserve"> examinations</w:t>
      </w:r>
      <w:r w:rsidR="004959D7">
        <w:t xml:space="preserve"> showed features of chronic hypoxia </w:t>
      </w:r>
      <w:r w:rsidR="00454885">
        <w:t>only. Only</w:t>
      </w:r>
      <w:r w:rsidR="000E4851">
        <w:t xml:space="preserve"> two cases (one sildenafil and one</w:t>
      </w:r>
      <w:r w:rsidR="004959D7">
        <w:t xml:space="preserve"> placebo) </w:t>
      </w:r>
      <w:proofErr w:type="gramStart"/>
      <w:r w:rsidR="004959D7">
        <w:t>were r</w:t>
      </w:r>
      <w:bookmarkStart w:id="0" w:name="_GoBack"/>
      <w:bookmarkEnd w:id="0"/>
      <w:r w:rsidR="004959D7">
        <w:t>eported</w:t>
      </w:r>
      <w:proofErr w:type="gramEnd"/>
      <w:r w:rsidR="004959D7">
        <w:t xml:space="preserve"> as being complicated by PPHN.</w:t>
      </w:r>
    </w:p>
    <w:p w14:paraId="19C5C409" w14:textId="7604496E" w:rsidR="009745D2" w:rsidRDefault="004959D7">
      <w:r>
        <w:t xml:space="preserve">Nearly all placental pathology </w:t>
      </w:r>
      <w:r w:rsidR="00C91440">
        <w:t xml:space="preserve">findings showed a </w:t>
      </w:r>
      <w:r>
        <w:t xml:space="preserve">spectrum of vascular </w:t>
      </w:r>
      <w:r w:rsidR="002079E3">
        <w:t>under perfusion</w:t>
      </w:r>
      <w:r w:rsidR="008572DF">
        <w:t>,</w:t>
      </w:r>
      <w:r>
        <w:t xml:space="preserve"> characterised by maladapted maternal vessels, fibrin deposition, syncytial knotting, villous hypoplasia or infarctions. </w:t>
      </w:r>
      <w:r w:rsidR="002D6F6A">
        <w:t xml:space="preserve">We observed an incidence of chronic histiocytic </w:t>
      </w:r>
      <w:proofErr w:type="spellStart"/>
      <w:r w:rsidR="002D6F6A">
        <w:t>intervillositis</w:t>
      </w:r>
      <w:proofErr w:type="spellEnd"/>
      <w:r w:rsidR="002D6F6A">
        <w:t xml:space="preserve"> (CHI) of 1</w:t>
      </w:r>
      <w:r w:rsidR="00C91440">
        <w:t>5</w:t>
      </w:r>
      <w:r w:rsidR="002D6F6A">
        <w:t>%</w:t>
      </w:r>
      <w:r w:rsidR="008572DF">
        <w:t>,</w:t>
      </w:r>
      <w:r w:rsidR="002D6F6A">
        <w:t xml:space="preserve"> which is similar to the 16% reported in a similar population by Kingdom et al. </w:t>
      </w:r>
      <w:r w:rsidR="002D6F6A">
        <w:fldChar w:fldCharType="begin"/>
      </w:r>
      <w:r w:rsidR="00923D73">
        <w:instrText xml:space="preserve"> ADDIN EN.CITE &lt;EndNote&gt;&lt;Cite&gt;&lt;Author&gt;Kingdom&lt;/Author&gt;&lt;Year&gt;2018&lt;/Year&gt;&lt;RecNum&gt;47&lt;/RecNum&gt;&lt;DisplayText&gt;[5]&lt;/DisplayText&gt;&lt;record&gt;&lt;rec-number&gt;47&lt;/rec-number&gt;&lt;foreign-keys&gt;&lt;key app="EN" db-id="dw2pw0arcfx902evra6vavrj2fwe0s22ftev" timestamp="1541507547"&gt;47&lt;/key&gt;&lt;/foreign-keys&gt;&lt;ref-type name="Journal Article"&gt;17&lt;/ref-type&gt;&lt;contributors&gt;&lt;authors&gt;&lt;author&gt;Kingdom, J. C.&lt;/author&gt;&lt;author&gt;Audette, M. C.&lt;/author&gt;&lt;author&gt;Hobson, S. R.&lt;/author&gt;&lt;author&gt;Windrim, R. C.&lt;/author&gt;&lt;author&gt;Morgen, E.&lt;/author&gt;&lt;/authors&gt;&lt;/contributors&gt;&lt;auth-address&gt;Department of Obstetrics and Gynecology, Maternal-Fetal Medicine Division, Mount Sinai Hospital, University of Toronto, Toronto, Ontario, Canada. Electronic address: john.kingdom@sinaihealthsystem.ca.&amp;#xD;Department of Obstetrics and Gynecology, Maternal-Fetal Medicine Division, Mount Sinai Hospital, University of Toronto, Toronto, Ontario, Canada.&amp;#xD;Department of Pathology and Laboratory Medicine, Mount Sinai Hospital, University of Toronto, Toronto, Ontario, Canada.&lt;/auth-address&gt;&lt;titles&gt;&lt;title&gt;A placenta clinic approach to the diagnosis and management of fetal growth restriction&lt;/title&gt;&lt;secondary-title&gt;Am J Obstet Gynecol&lt;/secondary-title&gt;&lt;/titles&gt;&lt;periodical&gt;&lt;full-title&gt;Am J Obstet Gynecol&lt;/full-title&gt;&lt;/periodical&gt;&lt;pages&gt;S803-S817&lt;/pages&gt;&lt;volume&gt;218&lt;/volume&gt;&lt;number&gt;2S&lt;/number&gt;&lt;keywords&gt;&lt;keyword&gt;Doppler&lt;/keyword&gt;&lt;keyword&gt;angiogenic growth factors&lt;/keyword&gt;&lt;keyword&gt;fetal growth restriction&lt;/keyword&gt;&lt;keyword&gt;pathology&lt;/keyword&gt;&lt;keyword&gt;placenta&lt;/keyword&gt;&lt;keyword&gt;small for gestational age&lt;/keyword&gt;&lt;keyword&gt;ultrasound&lt;/keyword&gt;&lt;/keywords&gt;&lt;dates&gt;&lt;year&gt;2018&lt;/year&gt;&lt;pub-dates&gt;&lt;date&gt;Feb&lt;/date&gt;&lt;/pub-dates&gt;&lt;/dates&gt;&lt;isbn&gt;1097-6868 (Electronic)&amp;#xD;0002-9378 (Linking)&lt;/isbn&gt;&lt;accession-num&gt;29254754&lt;/accession-num&gt;&lt;urls&gt;&lt;related-urls&gt;&lt;url&gt;https://www.ncbi.nlm.nih.gov/pubmed/29254754&lt;/url&gt;&lt;/related-urls&gt;&lt;/urls&gt;&lt;electronic-resource-num&gt;10.1016/j.ajog.2017.11.575&lt;/electronic-resource-num&gt;&lt;/record&gt;&lt;/Cite&gt;&lt;/EndNote&gt;</w:instrText>
      </w:r>
      <w:r w:rsidR="002D6F6A">
        <w:fldChar w:fldCharType="separate"/>
      </w:r>
      <w:r w:rsidR="00923D73">
        <w:rPr>
          <w:noProof/>
        </w:rPr>
        <w:t>[5]</w:t>
      </w:r>
      <w:r w:rsidR="002D6F6A">
        <w:fldChar w:fldCharType="end"/>
      </w:r>
      <w:r w:rsidR="002D6F6A">
        <w:t>.</w:t>
      </w:r>
    </w:p>
    <w:p w14:paraId="2C24AD8C" w14:textId="77777777" w:rsidR="00827749" w:rsidRDefault="009745D2">
      <w:r>
        <w:lastRenderedPageBreak/>
        <w:t>In conclusion</w:t>
      </w:r>
      <w:r w:rsidR="008572DF">
        <w:t>,</w:t>
      </w:r>
      <w:r>
        <w:t xml:space="preserve"> we observed no</w:t>
      </w:r>
      <w:r w:rsidR="00C91440">
        <w:t xml:space="preserve"> obvious </w:t>
      </w:r>
      <w:r>
        <w:t xml:space="preserve">differences </w:t>
      </w:r>
      <w:r w:rsidR="00923D73">
        <w:t xml:space="preserve">in clinically relevant pathological or histological findings </w:t>
      </w:r>
      <w:r>
        <w:t xml:space="preserve">between sildenafil or placebo arms of the STRIDER UK </w:t>
      </w:r>
      <w:r w:rsidR="003A0089">
        <w:t>trial</w:t>
      </w:r>
      <w:r w:rsidR="00827749">
        <w:t xml:space="preserve"> </w:t>
      </w:r>
      <w:r>
        <w:t xml:space="preserve">in pregnancies complicated </w:t>
      </w:r>
      <w:proofErr w:type="gramStart"/>
      <w:r w:rsidR="00827749">
        <w:t xml:space="preserve">either </w:t>
      </w:r>
      <w:r>
        <w:t>by</w:t>
      </w:r>
      <w:proofErr w:type="gramEnd"/>
      <w:r>
        <w:t xml:space="preserve"> </w:t>
      </w:r>
      <w:proofErr w:type="spellStart"/>
      <w:r>
        <w:t>fetal</w:t>
      </w:r>
      <w:proofErr w:type="spellEnd"/>
      <w:r>
        <w:t xml:space="preserve"> or neonatal death. </w:t>
      </w:r>
      <w:r w:rsidR="004959D7">
        <w:t xml:space="preserve">The histological and post-mortem </w:t>
      </w:r>
      <w:r w:rsidR="006B3546">
        <w:t xml:space="preserve">findings </w:t>
      </w:r>
      <w:r w:rsidR="00827749">
        <w:t>were</w:t>
      </w:r>
      <w:r w:rsidR="004959D7">
        <w:t xml:space="preserve"> in keeping with placental disease and chronic </w:t>
      </w:r>
      <w:proofErr w:type="spellStart"/>
      <w:r w:rsidR="004959D7">
        <w:t>fetal</w:t>
      </w:r>
      <w:proofErr w:type="spellEnd"/>
      <w:r w:rsidR="004959D7">
        <w:t xml:space="preserve"> hypoxia.</w:t>
      </w:r>
      <w:r w:rsidR="0032149B">
        <w:t xml:space="preserve"> </w:t>
      </w:r>
    </w:p>
    <w:p w14:paraId="52FE5786" w14:textId="4B715D92" w:rsidR="009745D2" w:rsidRDefault="00A3323D">
      <w:r>
        <w:t xml:space="preserve">Whilst there appears to </w:t>
      </w:r>
      <w:proofErr w:type="gramStart"/>
      <w:r>
        <w:t>be no benefit from the use of sildenafil in pregnancies complicated</w:t>
      </w:r>
      <w:proofErr w:type="gramEnd"/>
      <w:r>
        <w:t xml:space="preserve"> by severe early-onset FGR</w:t>
      </w:r>
      <w:r w:rsidR="00C91440">
        <w:t xml:space="preserve">, the possibility of excess </w:t>
      </w:r>
      <w:r w:rsidR="00827749">
        <w:t xml:space="preserve">neonatal </w:t>
      </w:r>
      <w:r w:rsidR="00C91440">
        <w:t xml:space="preserve">mortality and </w:t>
      </w:r>
      <w:r w:rsidR="008572DF">
        <w:t xml:space="preserve">the </w:t>
      </w:r>
      <w:r w:rsidR="00C91440">
        <w:t xml:space="preserve">possible reasons for </w:t>
      </w:r>
      <w:r w:rsidR="008572DF">
        <w:t xml:space="preserve">this </w:t>
      </w:r>
      <w:r w:rsidR="00C91440">
        <w:t xml:space="preserve">warrant further study. We </w:t>
      </w:r>
      <w:r w:rsidR="003A0089">
        <w:t>anticipate</w:t>
      </w:r>
      <w:r w:rsidR="00C91440">
        <w:t xml:space="preserve"> that our planned IPD meta-analysis</w:t>
      </w:r>
      <w:r w:rsidR="00282367">
        <w:t xml:space="preserve"> </w:t>
      </w:r>
      <w:r w:rsidR="00282367">
        <w:fldChar w:fldCharType="begin"/>
      </w:r>
      <w:r w:rsidR="00282367">
        <w:instrText xml:space="preserve"> ADDIN EN.CITE &lt;EndNote&gt;&lt;Cite&gt;&lt;Author&gt;Ganzevoort&lt;/Author&gt;&lt;Year&gt;2014&lt;/Year&gt;&lt;RecNum&gt;1&lt;/RecNum&gt;&lt;DisplayText&gt;[2]&lt;/DisplayText&gt;&lt;record&gt;&lt;rec-number&gt;1&lt;/rec-number&gt;&lt;foreign-keys&gt;&lt;key app="EN" db-id="pw0ww5rexzerxjef20mvrfryzsrsfrzzzfxr" timestamp="1541661663"&gt;1&lt;/key&gt;&lt;/foreign-keys&gt;&lt;ref-type name="Journal Article"&gt;17&lt;/ref-type&gt;&lt;contributors&gt;&lt;authors&gt;&lt;author&gt;Ganzevoort, W.&lt;/author&gt;&lt;author&gt;Alfirevic, Z.&lt;/author&gt;&lt;author&gt;von Dadelszen, P.&lt;/author&gt;&lt;author&gt;Kenny, L.&lt;/author&gt;&lt;author&gt;Papageorghiou, A.&lt;/author&gt;&lt;author&gt;van Wassenaer-Leemhuis, A.&lt;/author&gt;&lt;author&gt;Gluud, C.&lt;/author&gt;&lt;author&gt;Mol, B. W.&lt;/author&gt;&lt;author&gt;Baker, P. N.&lt;/author&gt;&lt;/authors&gt;&lt;/contributors&gt;&lt;auth-address&gt;Department of Obstetrics and Gynecology, Academic Medical Centre, Room: H4-278, PO BOX 22660, 1100 DD Amsterdam, The Netherlands. j.w.ganzevoort@amc.uva.nl.&lt;/auth-address&gt;&lt;titles&gt;&lt;title&gt;STRIDER: Sildenafil Therapy In Dismal prognosis Early-onset intrauterine growth Restriction--a protocol for a systematic review with individual participant data and aggregate data meta-analysis and trial sequential analysis&lt;/title&gt;&lt;secondary-title&gt;Syst Rev&lt;/secondary-title&gt;&lt;/titles&gt;&lt;pages&gt;23&lt;/pages&gt;&lt;volume&gt;3&lt;/volume&gt;&lt;keywords&gt;&lt;keyword&gt;Female&lt;/keyword&gt;&lt;keyword&gt;Fetal Growth Retardation/*drug therapy&lt;/keyword&gt;&lt;keyword&gt;Humans&lt;/keyword&gt;&lt;keyword&gt;Phosphodiesterase 5 Inhibitors/adverse effects/*therapeutic use&lt;/keyword&gt;&lt;keyword&gt;Piperazines/adverse effects/*therapeutic use&lt;/keyword&gt;&lt;keyword&gt;Pregnancy&lt;/keyword&gt;&lt;keyword&gt;Purines/adverse effects/therapeutic use&lt;/keyword&gt;&lt;keyword&gt;Sildenafil Citrate&lt;/keyword&gt;&lt;keyword&gt;Sulfones/adverse effects/*therapeutic use&lt;/keyword&gt;&lt;/keywords&gt;&lt;dates&gt;&lt;year&gt;2014&lt;/year&gt;&lt;pub-dates&gt;&lt;date&gt;Mar 11&lt;/date&gt;&lt;/pub-dates&gt;&lt;/dates&gt;&lt;isbn&gt;2046-4053 (Electronic)&amp;#xD;2046-4053 (Linking)&lt;/isbn&gt;&lt;accession-num&gt;24618418&lt;/accession-num&gt;&lt;urls&gt;&lt;related-urls&gt;&lt;url&gt;https://www.ncbi.nlm.nih.gov/pubmed/24618418&lt;/url&gt;&lt;/related-urls&gt;&lt;/urls&gt;&lt;custom2&gt;PMC3975177&lt;/custom2&gt;&lt;electronic-resource-num&gt;10.1186/2046-4053-3-23&lt;/electronic-resource-num&gt;&lt;/record&gt;&lt;/Cite&gt;&lt;/EndNote&gt;</w:instrText>
      </w:r>
      <w:r w:rsidR="00282367">
        <w:fldChar w:fldCharType="separate"/>
      </w:r>
      <w:r w:rsidR="00282367">
        <w:rPr>
          <w:noProof/>
        </w:rPr>
        <w:t>[2]</w:t>
      </w:r>
      <w:r w:rsidR="00282367">
        <w:fldChar w:fldCharType="end"/>
      </w:r>
      <w:r w:rsidR="00C91440">
        <w:t xml:space="preserve"> will provide further important insights in this area.  </w:t>
      </w:r>
    </w:p>
    <w:p w14:paraId="027089BF" w14:textId="77777777" w:rsidR="0065025E" w:rsidRDefault="0065025E"/>
    <w:p w14:paraId="3261249A" w14:textId="77777777" w:rsidR="00D814EB" w:rsidRDefault="00D814EB" w:rsidP="00D814EB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Table 1</w:t>
      </w:r>
    </w:p>
    <w:p w14:paraId="53C5F4F9" w14:textId="77777777" w:rsidR="00D814EB" w:rsidRPr="00FA2A22" w:rsidRDefault="00D814EB" w:rsidP="00D814EB">
      <w:pPr>
        <w:spacing w:after="60"/>
        <w:rPr>
          <w:color w:val="1F4E79" w:themeColor="accent1" w:themeShade="80"/>
        </w:rPr>
      </w:pPr>
      <w:r>
        <w:rPr>
          <w:b/>
          <w:color w:val="1F4E79" w:themeColor="accent1" w:themeShade="80"/>
        </w:rPr>
        <w:t>a.</w:t>
      </w:r>
      <w:r>
        <w:rPr>
          <w:b/>
          <w:color w:val="1F4E79" w:themeColor="accent1" w:themeShade="80"/>
        </w:rPr>
        <w:tab/>
      </w:r>
      <w:r>
        <w:rPr>
          <w:color w:val="1F4E79" w:themeColor="accent1" w:themeShade="80"/>
        </w:rPr>
        <w:t>FETAL DEATHS</w:t>
      </w:r>
    </w:p>
    <w:tbl>
      <w:tblPr>
        <w:tblStyle w:val="TableGrid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005"/>
        <w:gridCol w:w="2660"/>
        <w:gridCol w:w="2694"/>
      </w:tblGrid>
      <w:tr w:rsidR="00D814EB" w:rsidRPr="0029072E" w14:paraId="741BB6F1" w14:textId="77777777" w:rsidTr="00B32C26">
        <w:tc>
          <w:tcPr>
            <w:tcW w:w="3005" w:type="dxa"/>
            <w:shd w:val="clear" w:color="auto" w:fill="BDD6EE" w:themeFill="accent1" w:themeFillTint="66"/>
          </w:tcPr>
          <w:p w14:paraId="6C53DACF" w14:textId="77777777" w:rsidR="00D814EB" w:rsidRPr="0029072E" w:rsidRDefault="00D814EB" w:rsidP="00B32C26">
            <w:pPr>
              <w:spacing w:before="60" w:after="60"/>
              <w:rPr>
                <w:b/>
                <w:color w:val="1F4E79" w:themeColor="accent1" w:themeShade="8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14:paraId="67FE15AF" w14:textId="77777777" w:rsidR="00D814EB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Sildenafil</w:t>
            </w:r>
          </w:p>
          <w:p w14:paraId="1992B65D" w14:textId="2D9D6F9B" w:rsidR="00D814EB" w:rsidRPr="0029072E" w:rsidRDefault="00D814EB" w:rsidP="002079E3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n=20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2C6AD4D2" w14:textId="77777777" w:rsidR="00D814EB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Placebo</w:t>
            </w:r>
          </w:p>
          <w:p w14:paraId="19733743" w14:textId="24E70A56" w:rsidR="00D814EB" w:rsidRPr="0029072E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n=20</w:t>
            </w:r>
          </w:p>
        </w:tc>
      </w:tr>
      <w:tr w:rsidR="00D814EB" w:rsidRPr="0029072E" w14:paraId="429559A0" w14:textId="77777777" w:rsidTr="00B32C26">
        <w:tc>
          <w:tcPr>
            <w:tcW w:w="3005" w:type="dxa"/>
          </w:tcPr>
          <w:p w14:paraId="66461ED4" w14:textId="77777777" w:rsidR="00D814EB" w:rsidRPr="0029072E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 w:rsidRPr="0029072E">
              <w:rPr>
                <w:b/>
                <w:color w:val="1F4E79" w:themeColor="accent1" w:themeShade="80"/>
              </w:rPr>
              <w:t>Gestational Age at IUD</w:t>
            </w:r>
          </w:p>
          <w:p w14:paraId="2B199EC8" w14:textId="77777777" w:rsidR="00D814EB" w:rsidRPr="0029072E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&lt; 24</w:t>
            </w:r>
            <w:r w:rsidRPr="0029072E">
              <w:rPr>
                <w:color w:val="1F4E79" w:themeColor="accent1" w:themeShade="80"/>
              </w:rPr>
              <w:t xml:space="preserve"> weeks</w:t>
            </w:r>
          </w:p>
          <w:p w14:paraId="10ED2A7D" w14:textId="77777777" w:rsidR="00D814EB" w:rsidRPr="0029072E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24 - 28</w:t>
            </w:r>
            <w:r w:rsidRPr="0029072E">
              <w:rPr>
                <w:color w:val="1F4E79" w:themeColor="accent1" w:themeShade="80"/>
              </w:rPr>
              <w:t xml:space="preserve"> weeks</w:t>
            </w:r>
          </w:p>
          <w:p w14:paraId="7583A9FD" w14:textId="77777777" w:rsidR="00D814EB" w:rsidRPr="00FA2A22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≥</w:t>
            </w:r>
            <w:r>
              <w:rPr>
                <w:color w:val="1F4E79" w:themeColor="accent1" w:themeShade="80"/>
              </w:rPr>
              <w:t xml:space="preserve"> 29</w:t>
            </w:r>
            <w:r w:rsidRPr="0029072E">
              <w:rPr>
                <w:color w:val="1F4E79" w:themeColor="accent1" w:themeShade="80"/>
              </w:rPr>
              <w:t xml:space="preserve"> weeks</w:t>
            </w:r>
          </w:p>
        </w:tc>
        <w:tc>
          <w:tcPr>
            <w:tcW w:w="2660" w:type="dxa"/>
          </w:tcPr>
          <w:p w14:paraId="571D5209" w14:textId="77777777" w:rsidR="00D814EB" w:rsidRPr="0029072E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1AE0F85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 (5%)</w:t>
            </w:r>
          </w:p>
          <w:p w14:paraId="43A2F51F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18 (90%)</w:t>
            </w:r>
          </w:p>
          <w:p w14:paraId="5DA27ADB" w14:textId="77777777" w:rsidR="00D814EB" w:rsidRPr="0029072E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 (5%)</w:t>
            </w:r>
          </w:p>
        </w:tc>
        <w:tc>
          <w:tcPr>
            <w:tcW w:w="2694" w:type="dxa"/>
          </w:tcPr>
          <w:p w14:paraId="3D50002C" w14:textId="77777777" w:rsidR="00D814EB" w:rsidRPr="0029072E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41235EF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 (10%)</w:t>
            </w:r>
          </w:p>
          <w:p w14:paraId="04FE1DEB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17 (85%)</w:t>
            </w:r>
          </w:p>
          <w:p w14:paraId="23CE7619" w14:textId="77777777" w:rsidR="00D814EB" w:rsidRPr="0029072E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 (5%)</w:t>
            </w:r>
          </w:p>
        </w:tc>
      </w:tr>
      <w:tr w:rsidR="00D814EB" w:rsidRPr="0029072E" w14:paraId="76C60838" w14:textId="77777777" w:rsidTr="00B32C26">
        <w:tc>
          <w:tcPr>
            <w:tcW w:w="3005" w:type="dxa"/>
            <w:shd w:val="clear" w:color="auto" w:fill="DEEAF6" w:themeFill="accent1" w:themeFillTint="33"/>
          </w:tcPr>
          <w:p w14:paraId="769C1FF8" w14:textId="77777777" w:rsidR="00D814EB" w:rsidRPr="0029072E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 w:rsidRPr="0029072E">
              <w:rPr>
                <w:b/>
                <w:color w:val="1F4E79" w:themeColor="accent1" w:themeShade="80"/>
              </w:rPr>
              <w:t>Birthweight</w:t>
            </w:r>
          </w:p>
          <w:p w14:paraId="5E836CEB" w14:textId="77777777" w:rsidR="00D814EB" w:rsidRPr="00FA2A22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 w:rsidRPr="0029072E">
              <w:rPr>
                <w:color w:val="1F4E79" w:themeColor="accent1" w:themeShade="80"/>
              </w:rPr>
              <w:t>&lt; 500g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14:paraId="72F66F13" w14:textId="77777777" w:rsidR="00D814EB" w:rsidRPr="0029072E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731027D5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29072E">
              <w:rPr>
                <w:color w:val="1F4E79" w:themeColor="accent1" w:themeShade="80"/>
              </w:rPr>
              <w:t>14</w:t>
            </w:r>
            <w:r>
              <w:rPr>
                <w:color w:val="1F4E79" w:themeColor="accent1" w:themeShade="80"/>
              </w:rPr>
              <w:t xml:space="preserve"> (70%)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DD50100" w14:textId="77777777" w:rsidR="00D814EB" w:rsidRPr="0029072E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7F94491E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29072E">
              <w:rPr>
                <w:color w:val="1F4E79" w:themeColor="accent1" w:themeShade="80"/>
              </w:rPr>
              <w:t>18</w:t>
            </w:r>
            <w:r>
              <w:rPr>
                <w:color w:val="1F4E79" w:themeColor="accent1" w:themeShade="80"/>
              </w:rPr>
              <w:t xml:space="preserve"> (90%)</w:t>
            </w:r>
          </w:p>
        </w:tc>
      </w:tr>
      <w:tr w:rsidR="00D814EB" w:rsidRPr="0029072E" w14:paraId="49607386" w14:textId="77777777" w:rsidTr="00B32C26">
        <w:tc>
          <w:tcPr>
            <w:tcW w:w="3005" w:type="dxa"/>
          </w:tcPr>
          <w:p w14:paraId="26364428" w14:textId="77777777" w:rsidR="00D814EB" w:rsidRPr="0047389C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 w:rsidRPr="0029072E">
              <w:rPr>
                <w:b/>
                <w:color w:val="1F4E79" w:themeColor="accent1" w:themeShade="80"/>
              </w:rPr>
              <w:t>Time on Treatment</w:t>
            </w:r>
          </w:p>
          <w:p w14:paraId="0AE17718" w14:textId="77777777" w:rsidR="00D814EB" w:rsidRPr="00FA2A22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≥</w:t>
            </w:r>
            <w:r>
              <w:rPr>
                <w:color w:val="1F4E79" w:themeColor="accent1" w:themeShade="80"/>
              </w:rPr>
              <w:t xml:space="preserve"> </w:t>
            </w:r>
            <w:r w:rsidRPr="0029072E">
              <w:rPr>
                <w:color w:val="1F4E79" w:themeColor="accent1" w:themeShade="80"/>
              </w:rPr>
              <w:t>7</w:t>
            </w:r>
            <w:r>
              <w:rPr>
                <w:color w:val="1F4E79" w:themeColor="accent1" w:themeShade="80"/>
              </w:rPr>
              <w:t xml:space="preserve"> days</w:t>
            </w:r>
          </w:p>
        </w:tc>
        <w:tc>
          <w:tcPr>
            <w:tcW w:w="2660" w:type="dxa"/>
          </w:tcPr>
          <w:p w14:paraId="06A28EEA" w14:textId="77777777" w:rsidR="00D814EB" w:rsidRPr="0029072E" w:rsidRDefault="00D814EB" w:rsidP="00B32C26">
            <w:pPr>
              <w:spacing w:after="60"/>
              <w:rPr>
                <w:color w:val="1F4E79" w:themeColor="accent1" w:themeShade="80"/>
              </w:rPr>
            </w:pPr>
          </w:p>
          <w:p w14:paraId="25516D84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  <w:r w:rsidRPr="0029072E">
              <w:rPr>
                <w:color w:val="1F4E79" w:themeColor="accent1" w:themeShade="80"/>
              </w:rPr>
              <w:t>9</w:t>
            </w:r>
            <w:r>
              <w:rPr>
                <w:color w:val="1F4E79" w:themeColor="accent1" w:themeShade="80"/>
              </w:rPr>
              <w:t xml:space="preserve"> (95%)</w:t>
            </w:r>
          </w:p>
        </w:tc>
        <w:tc>
          <w:tcPr>
            <w:tcW w:w="2694" w:type="dxa"/>
          </w:tcPr>
          <w:p w14:paraId="3FE337DF" w14:textId="77777777" w:rsidR="00D814EB" w:rsidRPr="0029072E" w:rsidRDefault="00D814EB" w:rsidP="00B32C26">
            <w:pPr>
              <w:spacing w:after="60"/>
              <w:rPr>
                <w:color w:val="1F4E79" w:themeColor="accent1" w:themeShade="80"/>
              </w:rPr>
            </w:pPr>
          </w:p>
          <w:p w14:paraId="0AE33477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  <w:r w:rsidRPr="0029072E">
              <w:rPr>
                <w:color w:val="1F4E79" w:themeColor="accent1" w:themeShade="80"/>
              </w:rPr>
              <w:t>3</w:t>
            </w:r>
            <w:r>
              <w:rPr>
                <w:color w:val="1F4E79" w:themeColor="accent1" w:themeShade="80"/>
              </w:rPr>
              <w:t xml:space="preserve"> (65%)</w:t>
            </w:r>
          </w:p>
        </w:tc>
      </w:tr>
      <w:tr w:rsidR="00D814EB" w:rsidRPr="0029072E" w14:paraId="18167020" w14:textId="77777777" w:rsidTr="00B32C26">
        <w:tc>
          <w:tcPr>
            <w:tcW w:w="3005" w:type="dxa"/>
            <w:shd w:val="clear" w:color="auto" w:fill="DEEAF6" w:themeFill="accent1" w:themeFillTint="33"/>
          </w:tcPr>
          <w:p w14:paraId="143CC1A9" w14:textId="77777777" w:rsidR="00D814EB" w:rsidRPr="00FA2A22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IUD whilst on Treatment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14:paraId="79DE2C09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FA2A22">
              <w:rPr>
                <w:color w:val="1F4E79" w:themeColor="accent1" w:themeShade="80"/>
              </w:rPr>
              <w:t>17 (85%)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5B4C4596" w14:textId="5E940480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FA2A22">
              <w:rPr>
                <w:color w:val="1F4E79" w:themeColor="accent1" w:themeShade="80"/>
              </w:rPr>
              <w:t>15 (</w:t>
            </w:r>
            <w:r w:rsidR="002079E3">
              <w:rPr>
                <w:color w:val="1F4E79" w:themeColor="accent1" w:themeShade="80"/>
              </w:rPr>
              <w:t>7</w:t>
            </w:r>
            <w:r w:rsidRPr="00FA2A22">
              <w:rPr>
                <w:color w:val="1F4E79" w:themeColor="accent1" w:themeShade="80"/>
              </w:rPr>
              <w:t>5%)</w:t>
            </w:r>
          </w:p>
        </w:tc>
      </w:tr>
      <w:tr w:rsidR="00D814EB" w:rsidRPr="0029072E" w14:paraId="734DE64E" w14:textId="77777777" w:rsidTr="00B32C26">
        <w:tc>
          <w:tcPr>
            <w:tcW w:w="3005" w:type="dxa"/>
            <w:shd w:val="clear" w:color="auto" w:fill="auto"/>
          </w:tcPr>
          <w:p w14:paraId="2FD82CEE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Histological Features (non-exclusive)</w:t>
            </w:r>
          </w:p>
          <w:p w14:paraId="13406DDF" w14:textId="77777777" w:rsidR="00D814EB" w:rsidRPr="00965D20" w:rsidRDefault="00D814EB" w:rsidP="00D814EB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color w:val="1F4E79" w:themeColor="accent1" w:themeShade="80"/>
              </w:rPr>
            </w:pPr>
            <w:r w:rsidRPr="00965D20">
              <w:rPr>
                <w:b/>
                <w:color w:val="1F4E79" w:themeColor="accent1" w:themeShade="80"/>
              </w:rPr>
              <w:t xml:space="preserve">Chronic Histiocytic </w:t>
            </w:r>
            <w:proofErr w:type="spellStart"/>
            <w:r w:rsidRPr="00965D20">
              <w:rPr>
                <w:b/>
                <w:color w:val="1F4E79" w:themeColor="accent1" w:themeShade="80"/>
              </w:rPr>
              <w:t>Intervillositis</w:t>
            </w:r>
            <w:proofErr w:type="spellEnd"/>
            <w:r w:rsidRPr="00965D20">
              <w:rPr>
                <w:b/>
                <w:color w:val="1F4E79" w:themeColor="accent1" w:themeShade="80"/>
              </w:rPr>
              <w:t xml:space="preserve"> (CHI)</w:t>
            </w:r>
          </w:p>
          <w:p w14:paraId="29C3BB76" w14:textId="77777777" w:rsidR="00D814EB" w:rsidRDefault="00D814EB" w:rsidP="00D814EB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Placental </w:t>
            </w:r>
            <w:proofErr w:type="spellStart"/>
            <w:r>
              <w:rPr>
                <w:b/>
                <w:color w:val="1F4E79" w:themeColor="accent1" w:themeShade="80"/>
              </w:rPr>
              <w:t>underperfusion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(infarcts, villous hypoplasia, fibrin etc.)</w:t>
            </w:r>
          </w:p>
          <w:p w14:paraId="54FB613A" w14:textId="77777777" w:rsidR="00D814EB" w:rsidRPr="00965D20" w:rsidRDefault="00D814EB" w:rsidP="00D814EB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Chorioamnionitis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4ACDD339" w14:textId="6642ED1F" w:rsidR="00D814EB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n=1</w:t>
            </w:r>
            <w:r w:rsidR="00D814EB">
              <w:rPr>
                <w:color w:val="1F4E79" w:themeColor="accent1" w:themeShade="80"/>
              </w:rPr>
              <w:t xml:space="preserve">7 </w:t>
            </w:r>
          </w:p>
          <w:p w14:paraId="552D13CA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D5CFD4E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 (24%)</w:t>
            </w:r>
          </w:p>
          <w:p w14:paraId="336E79C5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0424BA4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 (76%)</w:t>
            </w:r>
          </w:p>
          <w:p w14:paraId="7A5C9A95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4DA33552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094179E9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 (6%)</w:t>
            </w:r>
          </w:p>
        </w:tc>
        <w:tc>
          <w:tcPr>
            <w:tcW w:w="2694" w:type="dxa"/>
            <w:shd w:val="clear" w:color="auto" w:fill="auto"/>
          </w:tcPr>
          <w:p w14:paraId="2FEEA16F" w14:textId="74E0FAA4" w:rsidR="00D814EB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</w:t>
            </w:r>
            <w:r w:rsidR="00282367">
              <w:rPr>
                <w:color w:val="1F4E79" w:themeColor="accent1" w:themeShade="80"/>
              </w:rPr>
              <w:t>=</w:t>
            </w:r>
            <w:r w:rsidR="00D814EB">
              <w:rPr>
                <w:color w:val="1F4E79" w:themeColor="accent1" w:themeShade="80"/>
              </w:rPr>
              <w:t xml:space="preserve">11 </w:t>
            </w:r>
          </w:p>
          <w:p w14:paraId="70B3E53B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406DF455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  <w:p w14:paraId="554329EF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0CAC937D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 (100%)</w:t>
            </w:r>
          </w:p>
          <w:p w14:paraId="53A2D7D5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293EF3C7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6F1AD442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</w:tc>
      </w:tr>
      <w:tr w:rsidR="00D814EB" w:rsidRPr="0029072E" w14:paraId="3259B78E" w14:textId="77777777" w:rsidTr="00B32C26">
        <w:tc>
          <w:tcPr>
            <w:tcW w:w="3005" w:type="dxa"/>
            <w:shd w:val="clear" w:color="auto" w:fill="DEEAF6" w:themeFill="accent1" w:themeFillTint="33"/>
          </w:tcPr>
          <w:p w14:paraId="0E8921C5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Post Mortem Features</w:t>
            </w:r>
          </w:p>
          <w:p w14:paraId="3DE1378B" w14:textId="77777777" w:rsidR="00D814EB" w:rsidRDefault="00D814EB" w:rsidP="00D814EB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color w:val="1F4E79" w:themeColor="accent1" w:themeShade="80"/>
              </w:rPr>
            </w:pPr>
            <w:r w:rsidRPr="005B417E">
              <w:rPr>
                <w:b/>
                <w:color w:val="1F4E79" w:themeColor="accent1" w:themeShade="80"/>
              </w:rPr>
              <w:t xml:space="preserve">Chronic ischaemic changes </w:t>
            </w:r>
            <w:r>
              <w:rPr>
                <w:b/>
                <w:color w:val="1F4E79" w:themeColor="accent1" w:themeShade="80"/>
              </w:rPr>
              <w:t xml:space="preserve">(adrenal lipid, hypoxic neurons, </w:t>
            </w:r>
            <w:proofErr w:type="spellStart"/>
            <w:r w:rsidRPr="005B417E">
              <w:rPr>
                <w:b/>
                <w:color w:val="1F4E79" w:themeColor="accent1" w:themeShade="80"/>
              </w:rPr>
              <w:t>thymic</w:t>
            </w:r>
            <w:proofErr w:type="spellEnd"/>
            <w:r w:rsidRPr="005B417E">
              <w:rPr>
                <w:b/>
                <w:color w:val="1F4E79" w:themeColor="accent1" w:themeShade="80"/>
              </w:rPr>
              <w:t xml:space="preserve"> depletion</w:t>
            </w:r>
            <w:r>
              <w:rPr>
                <w:b/>
                <w:color w:val="1F4E79" w:themeColor="accent1" w:themeShade="80"/>
              </w:rPr>
              <w:t xml:space="preserve"> etc.</w:t>
            </w:r>
            <w:r w:rsidRPr="005B417E">
              <w:rPr>
                <w:b/>
                <w:color w:val="1F4E79" w:themeColor="accent1" w:themeShade="80"/>
              </w:rPr>
              <w:t>)</w:t>
            </w:r>
          </w:p>
          <w:p w14:paraId="041C9316" w14:textId="77777777" w:rsidR="00D814EB" w:rsidRPr="005B417E" w:rsidRDefault="00D814EB" w:rsidP="00D814EB">
            <w:pPr>
              <w:pStyle w:val="ListParagraph"/>
              <w:numPr>
                <w:ilvl w:val="0"/>
                <w:numId w:val="2"/>
              </w:num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Other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14:paraId="57436053" w14:textId="024F4EC9" w:rsidR="00D814EB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</w:t>
            </w:r>
            <w:r w:rsidR="00282367">
              <w:rPr>
                <w:color w:val="1F4E79" w:themeColor="accent1" w:themeShade="80"/>
              </w:rPr>
              <w:t>=</w:t>
            </w:r>
            <w:r w:rsidR="00D814EB">
              <w:rPr>
                <w:color w:val="1F4E79" w:themeColor="accent1" w:themeShade="80"/>
              </w:rPr>
              <w:t xml:space="preserve">5 </w:t>
            </w:r>
          </w:p>
          <w:p w14:paraId="4ED325DF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1560AE10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 (100%)</w:t>
            </w:r>
          </w:p>
          <w:p w14:paraId="39024B5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28104269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12D083C6" w14:textId="277261DC" w:rsidR="00D814EB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</w:t>
            </w:r>
            <w:r w:rsidR="00282367">
              <w:rPr>
                <w:color w:val="1F4E79" w:themeColor="accent1" w:themeShade="80"/>
              </w:rPr>
              <w:t>=</w:t>
            </w:r>
            <w:r w:rsidR="00D814EB">
              <w:rPr>
                <w:color w:val="1F4E79" w:themeColor="accent1" w:themeShade="80"/>
              </w:rPr>
              <w:t xml:space="preserve">5 </w:t>
            </w:r>
          </w:p>
          <w:p w14:paraId="645BFD4C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811398E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 (80%)</w:t>
            </w:r>
          </w:p>
          <w:p w14:paraId="07D9DA7A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4B9F1E49" w14:textId="77777777" w:rsidR="00D814EB" w:rsidRPr="00FA2A22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 (20%)</w:t>
            </w:r>
          </w:p>
        </w:tc>
      </w:tr>
    </w:tbl>
    <w:p w14:paraId="36E37EAE" w14:textId="77777777" w:rsidR="00D814EB" w:rsidRPr="008B2E3F" w:rsidRDefault="00D814EB" w:rsidP="00D814EB">
      <w:pPr>
        <w:spacing w:before="120" w:after="60"/>
      </w:pPr>
      <w:r w:rsidRPr="008B2E3F">
        <w:rPr>
          <w:b/>
          <w:color w:val="1F4E79" w:themeColor="accent1" w:themeShade="80"/>
        </w:rPr>
        <w:t>b</w:t>
      </w:r>
      <w:r>
        <w:rPr>
          <w:b/>
          <w:color w:val="1F4E79" w:themeColor="accent1" w:themeShade="80"/>
        </w:rPr>
        <w:t>.</w:t>
      </w:r>
      <w:r>
        <w:rPr>
          <w:b/>
          <w:color w:val="1F4E79" w:themeColor="accent1" w:themeShade="80"/>
        </w:rPr>
        <w:tab/>
      </w:r>
      <w:r w:rsidRPr="008B2E3F">
        <w:rPr>
          <w:color w:val="1F4E79" w:themeColor="accent1" w:themeShade="80"/>
        </w:rPr>
        <w:t>NEONATAL DEATH</w:t>
      </w:r>
    </w:p>
    <w:tbl>
      <w:tblPr>
        <w:tblStyle w:val="TableGrid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005"/>
        <w:gridCol w:w="2660"/>
        <w:gridCol w:w="2694"/>
      </w:tblGrid>
      <w:tr w:rsidR="00D814EB" w:rsidRPr="0029072E" w14:paraId="3898E192" w14:textId="77777777" w:rsidTr="00B32C26">
        <w:tc>
          <w:tcPr>
            <w:tcW w:w="3005" w:type="dxa"/>
            <w:shd w:val="clear" w:color="auto" w:fill="BDD6EE" w:themeFill="accent1" w:themeFillTint="66"/>
          </w:tcPr>
          <w:p w14:paraId="507FA69C" w14:textId="77777777" w:rsidR="00D814EB" w:rsidRPr="0029072E" w:rsidRDefault="00D814EB" w:rsidP="00B32C26">
            <w:pPr>
              <w:spacing w:before="60" w:after="60"/>
              <w:rPr>
                <w:b/>
                <w:color w:val="1F4E79" w:themeColor="accent1" w:themeShade="80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14:paraId="4C27A0DD" w14:textId="77777777" w:rsidR="00D814EB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Sildenafil</w:t>
            </w:r>
          </w:p>
          <w:p w14:paraId="2753113C" w14:textId="77777777" w:rsidR="00D814EB" w:rsidRPr="0029072E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n=10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38C8E132" w14:textId="77777777" w:rsidR="00D814EB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Placebo</w:t>
            </w:r>
          </w:p>
          <w:p w14:paraId="0D741010" w14:textId="77777777" w:rsidR="00D814EB" w:rsidRPr="0029072E" w:rsidRDefault="00D814EB" w:rsidP="00B32C26">
            <w:pPr>
              <w:spacing w:before="60"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n=7</w:t>
            </w:r>
          </w:p>
        </w:tc>
      </w:tr>
      <w:tr w:rsidR="00D814EB" w:rsidRPr="0029072E" w14:paraId="63B71FCB" w14:textId="77777777" w:rsidTr="00B32C26">
        <w:tc>
          <w:tcPr>
            <w:tcW w:w="3005" w:type="dxa"/>
          </w:tcPr>
          <w:p w14:paraId="5C127AE0" w14:textId="77777777" w:rsidR="00D814EB" w:rsidRPr="0029072E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Gestational Age at Birth</w:t>
            </w:r>
          </w:p>
          <w:p w14:paraId="4C00BF3D" w14:textId="77777777" w:rsidR="00D814EB" w:rsidRPr="0029072E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&lt; 26</w:t>
            </w:r>
            <w:r w:rsidRPr="0029072E">
              <w:rPr>
                <w:color w:val="1F4E79" w:themeColor="accent1" w:themeShade="80"/>
              </w:rPr>
              <w:t xml:space="preserve"> weeks</w:t>
            </w:r>
          </w:p>
          <w:p w14:paraId="53B55529" w14:textId="77777777" w:rsidR="00D814EB" w:rsidRPr="0006032A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≥</w:t>
            </w:r>
            <w:r>
              <w:rPr>
                <w:color w:val="1F4E79" w:themeColor="accent1" w:themeShade="80"/>
              </w:rPr>
              <w:t xml:space="preserve"> 26 weeks</w:t>
            </w:r>
          </w:p>
        </w:tc>
        <w:tc>
          <w:tcPr>
            <w:tcW w:w="2660" w:type="dxa"/>
          </w:tcPr>
          <w:p w14:paraId="6E90E31A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47655B26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 (20%)</w:t>
            </w:r>
          </w:p>
          <w:p w14:paraId="1666A0A4" w14:textId="77777777" w:rsidR="00D814EB" w:rsidRPr="0029072E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 (80%)</w:t>
            </w:r>
          </w:p>
        </w:tc>
        <w:tc>
          <w:tcPr>
            <w:tcW w:w="2694" w:type="dxa"/>
          </w:tcPr>
          <w:p w14:paraId="7A2D7344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CABE0AE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  <w:p w14:paraId="28D7391F" w14:textId="77777777" w:rsidR="00D814EB" w:rsidRPr="0029072E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 (100%)</w:t>
            </w:r>
          </w:p>
        </w:tc>
      </w:tr>
      <w:tr w:rsidR="00D814EB" w:rsidRPr="0029072E" w14:paraId="1474942D" w14:textId="77777777" w:rsidTr="00B32C26">
        <w:tc>
          <w:tcPr>
            <w:tcW w:w="3005" w:type="dxa"/>
            <w:shd w:val="clear" w:color="auto" w:fill="DEEAF6" w:themeFill="accent1" w:themeFillTint="33"/>
          </w:tcPr>
          <w:p w14:paraId="034B9E2B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 w:rsidRPr="0029072E">
              <w:rPr>
                <w:b/>
                <w:color w:val="1F4E79" w:themeColor="accent1" w:themeShade="80"/>
              </w:rPr>
              <w:t>Birthweight</w:t>
            </w:r>
          </w:p>
          <w:p w14:paraId="06FF8EEC" w14:textId="77777777" w:rsidR="00D814EB" w:rsidRPr="00F439D8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 w:rsidRPr="00F439D8">
              <w:rPr>
                <w:color w:val="1F4E79" w:themeColor="accent1" w:themeShade="80"/>
              </w:rPr>
              <w:t>&lt; 500g</w:t>
            </w:r>
          </w:p>
          <w:p w14:paraId="151AA92A" w14:textId="77777777" w:rsidR="00D814EB" w:rsidRPr="0047389C" w:rsidRDefault="00D814EB" w:rsidP="00B32C26">
            <w:pPr>
              <w:spacing w:after="60"/>
              <w:ind w:left="284"/>
              <w:rPr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≥</w:t>
            </w:r>
            <w:r>
              <w:rPr>
                <w:color w:val="1F4E79" w:themeColor="accent1" w:themeShade="80"/>
              </w:rPr>
              <w:t xml:space="preserve"> </w:t>
            </w:r>
            <w:r w:rsidRPr="0029072E">
              <w:rPr>
                <w:color w:val="1F4E79" w:themeColor="accent1" w:themeShade="80"/>
              </w:rPr>
              <w:t>500</w:t>
            </w:r>
            <w:r>
              <w:rPr>
                <w:color w:val="1F4E79" w:themeColor="accent1" w:themeShade="80"/>
              </w:rPr>
              <w:t>g</w:t>
            </w:r>
            <w:r w:rsidRPr="0029072E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14:paraId="3AD867EC" w14:textId="77777777" w:rsidR="00D814EB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1B1791C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 (10%)</w:t>
            </w:r>
          </w:p>
          <w:p w14:paraId="723F6024" w14:textId="77777777" w:rsidR="00D814EB" w:rsidRPr="002B5A6C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 (90%)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4584CC7" w14:textId="77777777" w:rsidR="00D814EB" w:rsidRPr="00080E0B" w:rsidRDefault="00D814EB" w:rsidP="00B32C26">
            <w:pPr>
              <w:spacing w:after="60"/>
              <w:rPr>
                <w:color w:val="1F4E79" w:themeColor="accent1" w:themeShade="80"/>
              </w:rPr>
            </w:pPr>
          </w:p>
          <w:p w14:paraId="4A861FF8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 (43%)</w:t>
            </w:r>
          </w:p>
          <w:p w14:paraId="16855758" w14:textId="77777777" w:rsidR="00D814EB" w:rsidRPr="0029072E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 (57%)</w:t>
            </w:r>
          </w:p>
        </w:tc>
      </w:tr>
      <w:tr w:rsidR="00D814EB" w:rsidRPr="0029072E" w14:paraId="7D459E74" w14:textId="77777777" w:rsidTr="00B32C26">
        <w:tc>
          <w:tcPr>
            <w:tcW w:w="3005" w:type="dxa"/>
            <w:shd w:val="clear" w:color="auto" w:fill="auto"/>
          </w:tcPr>
          <w:p w14:paraId="57654795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Age at Death</w:t>
            </w:r>
          </w:p>
          <w:p w14:paraId="6377F2AC" w14:textId="77777777" w:rsidR="00D814EB" w:rsidRPr="0029072E" w:rsidRDefault="00D814EB" w:rsidP="00B32C26">
            <w:pPr>
              <w:spacing w:after="60"/>
              <w:ind w:left="284"/>
              <w:rPr>
                <w:b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≥</w:t>
            </w:r>
            <w:r w:rsidRPr="00D24483">
              <w:rPr>
                <w:color w:val="1F4E79" w:themeColor="accent1" w:themeShade="80"/>
              </w:rPr>
              <w:t xml:space="preserve"> 7 days</w:t>
            </w:r>
          </w:p>
        </w:tc>
        <w:tc>
          <w:tcPr>
            <w:tcW w:w="2660" w:type="dxa"/>
            <w:shd w:val="clear" w:color="auto" w:fill="auto"/>
          </w:tcPr>
          <w:p w14:paraId="0BA59EA2" w14:textId="77777777" w:rsidR="00D814EB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6BC360C6" w14:textId="77777777" w:rsidR="00D814EB" w:rsidRPr="0029072E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  <w:r w:rsidRPr="006A3F0D">
              <w:rPr>
                <w:color w:val="1F4E79" w:themeColor="accent1" w:themeShade="80"/>
              </w:rPr>
              <w:t>7</w:t>
            </w:r>
            <w:r>
              <w:rPr>
                <w:color w:val="1F4E79" w:themeColor="accent1" w:themeShade="80"/>
              </w:rPr>
              <w:t xml:space="preserve"> (70%)</w:t>
            </w:r>
          </w:p>
        </w:tc>
        <w:tc>
          <w:tcPr>
            <w:tcW w:w="2694" w:type="dxa"/>
            <w:shd w:val="clear" w:color="auto" w:fill="auto"/>
          </w:tcPr>
          <w:p w14:paraId="41648769" w14:textId="77777777" w:rsidR="00D814EB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48ABAE2C" w14:textId="77777777" w:rsidR="00D814EB" w:rsidRPr="0029072E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 (57%)</w:t>
            </w:r>
          </w:p>
        </w:tc>
      </w:tr>
      <w:tr w:rsidR="00D814EB" w:rsidRPr="0029072E" w14:paraId="4566301E" w14:textId="77777777" w:rsidTr="00B32C26">
        <w:tc>
          <w:tcPr>
            <w:tcW w:w="3005" w:type="dxa"/>
            <w:shd w:val="clear" w:color="auto" w:fill="DEEAF6" w:themeFill="accent1" w:themeFillTint="33"/>
          </w:tcPr>
          <w:p w14:paraId="72DCCB7D" w14:textId="77777777" w:rsidR="00D814EB" w:rsidRPr="00F439D8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On Treatment at Decision to Deliver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14:paraId="1B776449" w14:textId="77777777" w:rsidR="00D814EB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4E4F1152" w14:textId="77777777" w:rsidR="00D814EB" w:rsidRPr="0047389C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B761A5">
              <w:rPr>
                <w:color w:val="1F4E79" w:themeColor="accent1" w:themeShade="80"/>
              </w:rPr>
              <w:t>9</w:t>
            </w:r>
            <w:r>
              <w:rPr>
                <w:color w:val="1F4E79" w:themeColor="accent1" w:themeShade="80"/>
              </w:rPr>
              <w:t xml:space="preserve"> (90%)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A585799" w14:textId="77777777" w:rsidR="00D814EB" w:rsidRDefault="00D814EB" w:rsidP="00B32C26">
            <w:pPr>
              <w:spacing w:after="60"/>
              <w:jc w:val="center"/>
              <w:rPr>
                <w:b/>
                <w:color w:val="1F4E79" w:themeColor="accent1" w:themeShade="80"/>
              </w:rPr>
            </w:pPr>
          </w:p>
          <w:p w14:paraId="3A255622" w14:textId="77777777" w:rsidR="00D814EB" w:rsidRPr="0047389C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B761A5">
              <w:rPr>
                <w:color w:val="1F4E79" w:themeColor="accent1" w:themeShade="80"/>
              </w:rPr>
              <w:t>5</w:t>
            </w:r>
            <w:r>
              <w:rPr>
                <w:color w:val="1F4E79" w:themeColor="accent1" w:themeShade="80"/>
              </w:rPr>
              <w:t xml:space="preserve"> (71%)</w:t>
            </w:r>
          </w:p>
        </w:tc>
      </w:tr>
      <w:tr w:rsidR="00D814EB" w:rsidRPr="0029072E" w14:paraId="0F4C5445" w14:textId="77777777" w:rsidTr="00B32C26">
        <w:tc>
          <w:tcPr>
            <w:tcW w:w="3005" w:type="dxa"/>
            <w:shd w:val="clear" w:color="auto" w:fill="auto"/>
          </w:tcPr>
          <w:p w14:paraId="7C50B999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Histological Features (non-exclusive)</w:t>
            </w:r>
          </w:p>
          <w:p w14:paraId="3FED2675" w14:textId="77777777" w:rsidR="00D814EB" w:rsidRPr="00965D20" w:rsidRDefault="00D814EB" w:rsidP="00D814EB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color w:val="1F4E79" w:themeColor="accent1" w:themeShade="80"/>
              </w:rPr>
            </w:pPr>
            <w:r w:rsidRPr="00965D20">
              <w:rPr>
                <w:b/>
                <w:color w:val="1F4E79" w:themeColor="accent1" w:themeShade="80"/>
              </w:rPr>
              <w:t xml:space="preserve">Chronic Histiocytic </w:t>
            </w:r>
            <w:proofErr w:type="spellStart"/>
            <w:r w:rsidRPr="00965D20">
              <w:rPr>
                <w:b/>
                <w:color w:val="1F4E79" w:themeColor="accent1" w:themeShade="80"/>
              </w:rPr>
              <w:t>Intervillositis</w:t>
            </w:r>
            <w:proofErr w:type="spellEnd"/>
            <w:r w:rsidRPr="00965D20">
              <w:rPr>
                <w:b/>
                <w:color w:val="1F4E79" w:themeColor="accent1" w:themeShade="80"/>
              </w:rPr>
              <w:t xml:space="preserve"> (CHI)</w:t>
            </w:r>
          </w:p>
          <w:p w14:paraId="07E9245C" w14:textId="77777777" w:rsidR="00D814EB" w:rsidRDefault="00D814EB" w:rsidP="00D814EB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Placental </w:t>
            </w:r>
            <w:proofErr w:type="spellStart"/>
            <w:r>
              <w:rPr>
                <w:b/>
                <w:color w:val="1F4E79" w:themeColor="accent1" w:themeShade="80"/>
              </w:rPr>
              <w:t>underperfusion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(infarcts, villous hypoplasia, fibrin etc.)</w:t>
            </w:r>
          </w:p>
          <w:p w14:paraId="16248656" w14:textId="77777777" w:rsidR="00D814EB" w:rsidRPr="0094373A" w:rsidRDefault="00D814EB" w:rsidP="00D814EB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color w:val="1F4E79" w:themeColor="accent1" w:themeShade="80"/>
              </w:rPr>
            </w:pPr>
            <w:proofErr w:type="spellStart"/>
            <w:r w:rsidRPr="0094373A">
              <w:rPr>
                <w:b/>
                <w:color w:val="1F4E79" w:themeColor="accent1" w:themeShade="80"/>
              </w:rPr>
              <w:t>Chorioamnionitis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12424B77" w14:textId="5268621E" w:rsidR="00D814EB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n=</w:t>
            </w:r>
            <w:r w:rsidR="00D814EB">
              <w:rPr>
                <w:color w:val="1F4E79" w:themeColor="accent1" w:themeShade="80"/>
              </w:rPr>
              <w:t xml:space="preserve">3 </w:t>
            </w:r>
          </w:p>
          <w:p w14:paraId="1455CCE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AA1938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  <w:p w14:paraId="63A4857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9A02820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 (100%)</w:t>
            </w:r>
          </w:p>
          <w:p w14:paraId="503038ED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6504CC1D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04176395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14:paraId="105405F3" w14:textId="7F9D5232" w:rsidR="00D814EB" w:rsidRPr="0094373A" w:rsidRDefault="00B043A7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</w:t>
            </w:r>
            <w:r w:rsidR="007D00EF">
              <w:rPr>
                <w:color w:val="1F4E79" w:themeColor="accent1" w:themeShade="80"/>
              </w:rPr>
              <w:t>=</w:t>
            </w:r>
            <w:r w:rsidR="00D814EB">
              <w:rPr>
                <w:color w:val="1F4E79" w:themeColor="accent1" w:themeShade="80"/>
              </w:rPr>
              <w:t>3</w:t>
            </w:r>
            <w:r w:rsidR="00D814EB" w:rsidRPr="0094373A">
              <w:rPr>
                <w:color w:val="1F4E79" w:themeColor="accent1" w:themeShade="80"/>
              </w:rPr>
              <w:t xml:space="preserve"> </w:t>
            </w:r>
          </w:p>
          <w:p w14:paraId="02750550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5E596CDB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94373A">
              <w:rPr>
                <w:color w:val="1F4E79" w:themeColor="accent1" w:themeShade="80"/>
              </w:rPr>
              <w:t>1</w:t>
            </w:r>
            <w:r>
              <w:rPr>
                <w:color w:val="1F4E79" w:themeColor="accent1" w:themeShade="80"/>
              </w:rPr>
              <w:t xml:space="preserve"> (33%)</w:t>
            </w:r>
          </w:p>
          <w:p w14:paraId="27B20081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72CA1167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 (66%)</w:t>
            </w:r>
          </w:p>
          <w:p w14:paraId="4D0A93A1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29CE6107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6D6D25B4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94373A">
              <w:rPr>
                <w:color w:val="1F4E79" w:themeColor="accent1" w:themeShade="80"/>
              </w:rPr>
              <w:t>0</w:t>
            </w:r>
          </w:p>
        </w:tc>
      </w:tr>
      <w:tr w:rsidR="00D814EB" w:rsidRPr="0029072E" w14:paraId="3AE92F7F" w14:textId="77777777" w:rsidTr="00B32C26">
        <w:tc>
          <w:tcPr>
            <w:tcW w:w="3005" w:type="dxa"/>
            <w:shd w:val="clear" w:color="auto" w:fill="DEEAF6" w:themeFill="accent1" w:themeFillTint="33"/>
          </w:tcPr>
          <w:p w14:paraId="7E498180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Post Mortem Features</w:t>
            </w:r>
          </w:p>
          <w:p w14:paraId="64FA12AB" w14:textId="77777777" w:rsidR="00D814EB" w:rsidRDefault="00D814EB" w:rsidP="00D814EB">
            <w:pPr>
              <w:pStyle w:val="ListParagraph"/>
              <w:numPr>
                <w:ilvl w:val="0"/>
                <w:numId w:val="3"/>
              </w:numPr>
              <w:spacing w:after="60"/>
              <w:rPr>
                <w:b/>
                <w:color w:val="1F4E79" w:themeColor="accent1" w:themeShade="80"/>
              </w:rPr>
            </w:pPr>
            <w:r w:rsidRPr="005B417E">
              <w:rPr>
                <w:b/>
                <w:color w:val="1F4E79" w:themeColor="accent1" w:themeShade="80"/>
              </w:rPr>
              <w:t xml:space="preserve">Chronic ischaemic changes </w:t>
            </w:r>
            <w:r>
              <w:rPr>
                <w:b/>
                <w:color w:val="1F4E79" w:themeColor="accent1" w:themeShade="80"/>
              </w:rPr>
              <w:t xml:space="preserve">(adrenal lipid, hypoxic neurons, </w:t>
            </w:r>
            <w:proofErr w:type="spellStart"/>
            <w:r w:rsidRPr="005B417E">
              <w:rPr>
                <w:b/>
                <w:color w:val="1F4E79" w:themeColor="accent1" w:themeShade="80"/>
              </w:rPr>
              <w:t>thymic</w:t>
            </w:r>
            <w:proofErr w:type="spellEnd"/>
            <w:r w:rsidRPr="005B417E">
              <w:rPr>
                <w:b/>
                <w:color w:val="1F4E79" w:themeColor="accent1" w:themeShade="80"/>
              </w:rPr>
              <w:t xml:space="preserve"> depletion</w:t>
            </w:r>
            <w:r>
              <w:rPr>
                <w:b/>
                <w:color w:val="1F4E79" w:themeColor="accent1" w:themeShade="80"/>
              </w:rPr>
              <w:t xml:space="preserve"> etc.</w:t>
            </w:r>
            <w:r w:rsidRPr="005B417E">
              <w:rPr>
                <w:b/>
                <w:color w:val="1F4E79" w:themeColor="accent1" w:themeShade="80"/>
              </w:rPr>
              <w:t>)</w:t>
            </w:r>
          </w:p>
          <w:p w14:paraId="68AB1E08" w14:textId="77777777" w:rsidR="00D814EB" w:rsidRPr="0094373A" w:rsidRDefault="00D814EB" w:rsidP="00D814EB">
            <w:pPr>
              <w:pStyle w:val="ListParagraph"/>
              <w:numPr>
                <w:ilvl w:val="0"/>
                <w:numId w:val="3"/>
              </w:numPr>
              <w:spacing w:after="60"/>
              <w:rPr>
                <w:b/>
                <w:color w:val="1F4E79" w:themeColor="accent1" w:themeShade="80"/>
              </w:rPr>
            </w:pPr>
            <w:r w:rsidRPr="0094373A">
              <w:rPr>
                <w:b/>
                <w:color w:val="1F4E79" w:themeColor="accent1" w:themeShade="80"/>
              </w:rPr>
              <w:t>Other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14:paraId="07AC190A" w14:textId="237640D8" w:rsidR="00D814EB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n=</w:t>
            </w:r>
            <w:r w:rsidR="003A0089">
              <w:rPr>
                <w:color w:val="1F4E79" w:themeColor="accent1" w:themeShade="80"/>
              </w:rPr>
              <w:t>0</w:t>
            </w:r>
          </w:p>
          <w:p w14:paraId="704938F8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441B85F8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  <w:p w14:paraId="6EEF48F1" w14:textId="77777777" w:rsidR="00D814EB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6CCE3B30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0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3EC1812C" w14:textId="7E758E1E" w:rsidR="00D814EB" w:rsidRPr="0094373A" w:rsidRDefault="007D00EF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n=2</w:t>
            </w:r>
          </w:p>
          <w:p w14:paraId="20853BA5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324DE76F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94373A">
              <w:rPr>
                <w:color w:val="1F4E79" w:themeColor="accent1" w:themeShade="80"/>
              </w:rPr>
              <w:t>1</w:t>
            </w:r>
            <w:r>
              <w:rPr>
                <w:color w:val="1F4E79" w:themeColor="accent1" w:themeShade="80"/>
              </w:rPr>
              <w:t xml:space="preserve"> (50%)</w:t>
            </w:r>
          </w:p>
          <w:p w14:paraId="71B45388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</w:p>
          <w:p w14:paraId="2DF569D1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94373A">
              <w:rPr>
                <w:color w:val="1F4E79" w:themeColor="accent1" w:themeShade="80"/>
              </w:rPr>
              <w:t>1</w:t>
            </w:r>
            <w:r>
              <w:rPr>
                <w:color w:val="1F4E79" w:themeColor="accent1" w:themeShade="80"/>
              </w:rPr>
              <w:t xml:space="preserve"> (50%)</w:t>
            </w:r>
          </w:p>
        </w:tc>
      </w:tr>
      <w:tr w:rsidR="00D814EB" w:rsidRPr="0029072E" w14:paraId="73D892E0" w14:textId="77777777" w:rsidTr="00B32C26">
        <w:tc>
          <w:tcPr>
            <w:tcW w:w="3005" w:type="dxa"/>
            <w:shd w:val="clear" w:color="auto" w:fill="auto"/>
          </w:tcPr>
          <w:p w14:paraId="1ECFFA4C" w14:textId="77777777" w:rsidR="00D814EB" w:rsidRDefault="00D814EB" w:rsidP="00B32C26">
            <w:pPr>
              <w:spacing w:after="6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Evidence of Pulmonary Hypertension</w:t>
            </w:r>
          </w:p>
        </w:tc>
        <w:tc>
          <w:tcPr>
            <w:tcW w:w="2660" w:type="dxa"/>
            <w:shd w:val="clear" w:color="auto" w:fill="auto"/>
          </w:tcPr>
          <w:p w14:paraId="2BC20350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 w:rsidRPr="0094373A">
              <w:rPr>
                <w:color w:val="1F4E79" w:themeColor="accent1" w:themeShade="8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D05D566" w14:textId="77777777" w:rsidR="00D814EB" w:rsidRPr="0094373A" w:rsidRDefault="00D814EB" w:rsidP="00B32C26">
            <w:pPr>
              <w:spacing w:after="6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</w:tr>
    </w:tbl>
    <w:p w14:paraId="56879FFF" w14:textId="77777777" w:rsidR="00D814EB" w:rsidRDefault="00D814EB" w:rsidP="00D814EB"/>
    <w:p w14:paraId="2DF25704" w14:textId="1A38CB43" w:rsidR="00071E16" w:rsidRDefault="00071E16" w:rsidP="00D814EB">
      <w:r>
        <w:rPr>
          <w:b/>
        </w:rPr>
        <w:t>Figure 1</w:t>
      </w:r>
    </w:p>
    <w:p w14:paraId="2C11E6F5" w14:textId="4500EFCC" w:rsidR="00D814EB" w:rsidRDefault="00FD2933" w:rsidP="00D814EB">
      <w:r>
        <w:t xml:space="preserve">Forest Plot of </w:t>
      </w:r>
      <w:r w:rsidR="001B074B">
        <w:t xml:space="preserve">publicly presented data on neonatal deaths from </w:t>
      </w:r>
      <w:r>
        <w:t xml:space="preserve">the three completed STRIDER </w:t>
      </w:r>
      <w:r w:rsidR="003A0089">
        <w:t>trials</w:t>
      </w:r>
      <w:r w:rsidR="001B074B">
        <w:t xml:space="preserve"> (UK, </w:t>
      </w:r>
      <w:r w:rsidR="00B043A7">
        <w:t xml:space="preserve">New Zealand/Australia </w:t>
      </w:r>
      <w:r w:rsidR="001B074B">
        <w:t>and Netherlands</w:t>
      </w:r>
      <w:r w:rsidR="000E4851">
        <w:t>)</w:t>
      </w:r>
      <w:r w:rsidR="001B074B">
        <w:t>.</w:t>
      </w:r>
    </w:p>
    <w:p w14:paraId="7188D719" w14:textId="77777777" w:rsidR="00071E16" w:rsidRDefault="00071E16" w:rsidP="00D814EB"/>
    <w:p w14:paraId="29B0BD10" w14:textId="77777777" w:rsidR="00071E16" w:rsidRDefault="00071E16" w:rsidP="00D814EB"/>
    <w:p w14:paraId="0F59C1D7" w14:textId="77777777" w:rsidR="00071E16" w:rsidRDefault="00071E16" w:rsidP="00D814EB"/>
    <w:p w14:paraId="016E19AB" w14:textId="77777777" w:rsidR="00071E16" w:rsidRDefault="00071E16" w:rsidP="00D814EB"/>
    <w:p w14:paraId="77DB7050" w14:textId="77777777" w:rsidR="00071E16" w:rsidRDefault="00071E16" w:rsidP="00D814EB"/>
    <w:p w14:paraId="387099EF" w14:textId="77777777" w:rsidR="00071E16" w:rsidRDefault="00071E16" w:rsidP="00D814EB"/>
    <w:p w14:paraId="52CE485B" w14:textId="77777777" w:rsidR="00071E16" w:rsidRDefault="00071E16" w:rsidP="00D814EB"/>
    <w:p w14:paraId="4EBA9F6D" w14:textId="77777777" w:rsidR="00071E16" w:rsidRDefault="00071E16" w:rsidP="00D814EB"/>
    <w:p w14:paraId="688306AA" w14:textId="77777777" w:rsidR="00071E16" w:rsidRDefault="00071E16" w:rsidP="00D814EB"/>
    <w:p w14:paraId="05A3A172" w14:textId="77777777" w:rsidR="00071E16" w:rsidRDefault="00071E16" w:rsidP="00D814EB"/>
    <w:p w14:paraId="4783DEB5" w14:textId="7175454A" w:rsidR="00071E16" w:rsidRDefault="00071E16">
      <w:r>
        <w:t>References:</w:t>
      </w:r>
    </w:p>
    <w:p w14:paraId="0925B1E1" w14:textId="77777777" w:rsidR="00071E16" w:rsidRDefault="00071E16" w:rsidP="00282367">
      <w:pPr>
        <w:pStyle w:val="EndNoteBibliography"/>
        <w:spacing w:after="0"/>
        <w:ind w:left="720" w:hanging="720"/>
      </w:pPr>
    </w:p>
    <w:p w14:paraId="0625C1CF" w14:textId="77777777" w:rsidR="00071E16" w:rsidRDefault="00071E16" w:rsidP="00282367">
      <w:pPr>
        <w:pStyle w:val="EndNoteBibliography"/>
        <w:spacing w:after="0"/>
        <w:ind w:left="720" w:hanging="720"/>
      </w:pPr>
    </w:p>
    <w:p w14:paraId="25893435" w14:textId="77777777" w:rsidR="00282367" w:rsidRPr="00282367" w:rsidRDefault="00FB1562" w:rsidP="00282367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82367" w:rsidRPr="00282367">
        <w:t>1.</w:t>
      </w:r>
      <w:r w:rsidR="00282367" w:rsidRPr="00282367">
        <w:tab/>
        <w:t xml:space="preserve">Sharp, A., et al., </w:t>
      </w:r>
      <w:r w:rsidR="00282367" w:rsidRPr="00282367">
        <w:rPr>
          <w:i/>
        </w:rPr>
        <w:t>Maternal sildenafil for severe fetal growth restriction (STRIDER): a multicentre, randomised, placebo-controlled, double-blind trial.</w:t>
      </w:r>
      <w:r w:rsidR="00282367" w:rsidRPr="00282367">
        <w:t xml:space="preserve"> Lancet Child Adolesc Health, 2018. </w:t>
      </w:r>
      <w:r w:rsidR="00282367" w:rsidRPr="00282367">
        <w:rPr>
          <w:b/>
        </w:rPr>
        <w:t>2</w:t>
      </w:r>
      <w:r w:rsidR="00282367" w:rsidRPr="00282367">
        <w:t>(2): p. 93-102.</w:t>
      </w:r>
    </w:p>
    <w:p w14:paraId="7F4E3316" w14:textId="77777777" w:rsidR="00282367" w:rsidRPr="00282367" w:rsidRDefault="00282367" w:rsidP="00282367">
      <w:pPr>
        <w:pStyle w:val="EndNoteBibliography"/>
        <w:spacing w:after="0"/>
        <w:ind w:left="720" w:hanging="720"/>
      </w:pPr>
      <w:r w:rsidRPr="00282367">
        <w:t>2.</w:t>
      </w:r>
      <w:r w:rsidRPr="00282367">
        <w:tab/>
        <w:t xml:space="preserve">Ganzevoort, W., et al., </w:t>
      </w:r>
      <w:r w:rsidRPr="00282367">
        <w:rPr>
          <w:i/>
        </w:rPr>
        <w:t>STRIDER: Sildenafil Therapy In Dismal prognosis Early-onset intrauterine growth Restriction--a protocol for a systematic review with individual participant data and aggregate data meta-analysis and trial sequential analysis.</w:t>
      </w:r>
      <w:r w:rsidRPr="00282367">
        <w:t xml:space="preserve"> Syst Rev, 2014. </w:t>
      </w:r>
      <w:r w:rsidRPr="00282367">
        <w:rPr>
          <w:b/>
        </w:rPr>
        <w:t>3</w:t>
      </w:r>
      <w:r w:rsidRPr="00282367">
        <w:t>: p. 23.</w:t>
      </w:r>
    </w:p>
    <w:p w14:paraId="2FBD3A0B" w14:textId="466FCE8F" w:rsidR="00282367" w:rsidRPr="00282367" w:rsidRDefault="00282367" w:rsidP="00282367">
      <w:pPr>
        <w:pStyle w:val="EndNoteBibliography"/>
        <w:spacing w:after="0"/>
        <w:ind w:left="720" w:hanging="720"/>
      </w:pPr>
      <w:r w:rsidRPr="00282367">
        <w:t>3.</w:t>
      </w:r>
      <w:r w:rsidRPr="00282367">
        <w:tab/>
        <w:t xml:space="preserve">UMC, A. </w:t>
      </w:r>
      <w:r w:rsidRPr="00282367">
        <w:rPr>
          <w:i/>
        </w:rPr>
        <w:t>Onderzoek gestaakt met medicijn tegen groeivertraging ongeboren baby</w:t>
      </w:r>
      <w:r w:rsidRPr="00282367">
        <w:t xml:space="preserve">. 2018  [cited 2018 5/11/2018]; Available from: </w:t>
      </w:r>
      <w:hyperlink r:id="rId6" w:history="1">
        <w:r w:rsidRPr="00282367">
          <w:rPr>
            <w:rStyle w:val="Hyperlink"/>
          </w:rPr>
          <w:t>https://www.amc.nl/web/nieuws-en-verhalen/actueel/actueel/onderzoek-gestaakt-met-medicijn-tegen-groeivertraging-ongeboren-baby-.htm</w:t>
        </w:r>
      </w:hyperlink>
      <w:r w:rsidRPr="00282367">
        <w:t>.</w:t>
      </w:r>
    </w:p>
    <w:p w14:paraId="40798ACF" w14:textId="77777777" w:rsidR="00282367" w:rsidRPr="00282367" w:rsidRDefault="00282367" w:rsidP="00282367">
      <w:pPr>
        <w:pStyle w:val="EndNoteBibliography"/>
        <w:spacing w:after="0"/>
        <w:ind w:left="720" w:hanging="720"/>
      </w:pPr>
      <w:r w:rsidRPr="00282367">
        <w:t>4.</w:t>
      </w:r>
      <w:r w:rsidRPr="00282367">
        <w:tab/>
        <w:t xml:space="preserve">Groom, K.M., et al., </w:t>
      </w:r>
      <w:r w:rsidRPr="00282367">
        <w:rPr>
          <w:i/>
        </w:rPr>
        <w:t>Clinicians should stop prescribing sildenafil for fetal growth restriction (FGR): comment from the STRIDER Consortium.</w:t>
      </w:r>
      <w:r w:rsidRPr="00282367">
        <w:t xml:space="preserve"> Ultrasound Obstet Gynecol, 2018. </w:t>
      </w:r>
      <w:r w:rsidRPr="00282367">
        <w:rPr>
          <w:b/>
        </w:rPr>
        <w:t>52</w:t>
      </w:r>
      <w:r w:rsidRPr="00282367">
        <w:t>(3): p. 295-296.</w:t>
      </w:r>
    </w:p>
    <w:p w14:paraId="337B7549" w14:textId="77777777" w:rsidR="00282367" w:rsidRPr="00282367" w:rsidRDefault="00282367" w:rsidP="00282367">
      <w:pPr>
        <w:pStyle w:val="EndNoteBibliography"/>
        <w:ind w:left="720" w:hanging="720"/>
      </w:pPr>
      <w:r w:rsidRPr="00282367">
        <w:t>5.</w:t>
      </w:r>
      <w:r w:rsidRPr="00282367">
        <w:tab/>
        <w:t xml:space="preserve">Kingdom, J.C., et al., </w:t>
      </w:r>
      <w:r w:rsidRPr="00282367">
        <w:rPr>
          <w:i/>
        </w:rPr>
        <w:t>A placenta clinic approach to the diagnosis and management of fetal growth restriction.</w:t>
      </w:r>
      <w:r w:rsidRPr="00282367">
        <w:t xml:space="preserve"> Am J Obstet Gynecol, 2018. </w:t>
      </w:r>
      <w:r w:rsidRPr="00282367">
        <w:rPr>
          <w:b/>
        </w:rPr>
        <w:t>218</w:t>
      </w:r>
      <w:r w:rsidRPr="00282367">
        <w:t>(2S): p. S803-S817.</w:t>
      </w:r>
    </w:p>
    <w:p w14:paraId="3CC52788" w14:textId="2E9D10FD" w:rsidR="0065025E" w:rsidRDefault="00FB1562">
      <w:r>
        <w:fldChar w:fldCharType="end"/>
      </w:r>
    </w:p>
    <w:sectPr w:rsidR="0065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79E"/>
    <w:multiLevelType w:val="hybridMultilevel"/>
    <w:tmpl w:val="7EDE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E1E"/>
    <w:multiLevelType w:val="hybridMultilevel"/>
    <w:tmpl w:val="C2A6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24C"/>
    <w:multiLevelType w:val="hybridMultilevel"/>
    <w:tmpl w:val="7D8A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4044"/>
    <w:multiLevelType w:val="hybridMultilevel"/>
    <w:tmpl w:val="545E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zsvrffxtpffmetetkv5a9va5dx0ptz5fvf&quot;&gt;IUGR&lt;record-ids&gt;&lt;item&gt;73&lt;/item&gt;&lt;item&gt;76&lt;/item&gt;&lt;item&gt;77&lt;/item&gt;&lt;/record-ids&gt;&lt;/item&gt;&lt;/Libraries&gt;"/>
  </w:docVars>
  <w:rsids>
    <w:rsidRoot w:val="0065025E"/>
    <w:rsid w:val="00071E16"/>
    <w:rsid w:val="000E4851"/>
    <w:rsid w:val="00127720"/>
    <w:rsid w:val="001458C2"/>
    <w:rsid w:val="001B074B"/>
    <w:rsid w:val="001E0965"/>
    <w:rsid w:val="002079E3"/>
    <w:rsid w:val="00282367"/>
    <w:rsid w:val="002C37F4"/>
    <w:rsid w:val="002D6F6A"/>
    <w:rsid w:val="0032149B"/>
    <w:rsid w:val="00365FE3"/>
    <w:rsid w:val="003A0089"/>
    <w:rsid w:val="004440D0"/>
    <w:rsid w:val="00454885"/>
    <w:rsid w:val="004959D7"/>
    <w:rsid w:val="0052116E"/>
    <w:rsid w:val="005635A0"/>
    <w:rsid w:val="00581B5F"/>
    <w:rsid w:val="005B105B"/>
    <w:rsid w:val="0065025E"/>
    <w:rsid w:val="006B3546"/>
    <w:rsid w:val="00770942"/>
    <w:rsid w:val="007C4FB0"/>
    <w:rsid w:val="007D00EF"/>
    <w:rsid w:val="00826A07"/>
    <w:rsid w:val="00827749"/>
    <w:rsid w:val="008572DF"/>
    <w:rsid w:val="008C5933"/>
    <w:rsid w:val="00923D73"/>
    <w:rsid w:val="00953B0D"/>
    <w:rsid w:val="009745D2"/>
    <w:rsid w:val="009A4638"/>
    <w:rsid w:val="00A1101F"/>
    <w:rsid w:val="00A3323D"/>
    <w:rsid w:val="00A40E97"/>
    <w:rsid w:val="00B043A7"/>
    <w:rsid w:val="00B935FB"/>
    <w:rsid w:val="00B96CF6"/>
    <w:rsid w:val="00C22309"/>
    <w:rsid w:val="00C74520"/>
    <w:rsid w:val="00C91440"/>
    <w:rsid w:val="00D814EB"/>
    <w:rsid w:val="00E41BBB"/>
    <w:rsid w:val="00EC52CD"/>
    <w:rsid w:val="00EE5F48"/>
    <w:rsid w:val="00FB1562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6F6F"/>
  <w15:chartTrackingRefBased/>
  <w15:docId w15:val="{4811487D-CA33-4B0B-9099-BAC082F6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B156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156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B156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156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FB15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14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59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c.nl/web/nieuws-en-verhalen/actueel/actueel/onderzoek-gestaakt-met-medicijn-tegen-groeivertraging-ongeboren-baby-.htm" TargetMode="External"/><Relationship Id="rId5" Type="http://schemas.openxmlformats.org/officeDocument/2006/relationships/hyperlink" Target="mailto:zarko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Andrew [asharp]</dc:creator>
  <cp:keywords/>
  <dc:description/>
  <cp:lastModifiedBy>Sharp, Andrew [asharp]</cp:lastModifiedBy>
  <cp:revision>3</cp:revision>
  <dcterms:created xsi:type="dcterms:W3CDTF">2018-11-08T21:01:00Z</dcterms:created>
  <dcterms:modified xsi:type="dcterms:W3CDTF">2018-11-08T21:06:00Z</dcterms:modified>
</cp:coreProperties>
</file>