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3E935" w14:textId="3050B227" w:rsidR="00145E50" w:rsidRDefault="00145E50" w:rsidP="00886919">
      <w:pPr>
        <w:jc w:val="center"/>
        <w:rPr>
          <w:rFonts w:cs="Calibri"/>
          <w:b/>
        </w:rPr>
      </w:pPr>
      <w:r w:rsidRPr="00311535">
        <w:rPr>
          <w:rFonts w:cs="Calibri"/>
          <w:b/>
        </w:rPr>
        <w:t>Supplementary materials</w:t>
      </w:r>
    </w:p>
    <w:p w14:paraId="22CF5138" w14:textId="543F5D23" w:rsidR="00311535" w:rsidRPr="00311535" w:rsidRDefault="00311535" w:rsidP="00311535">
      <w:pPr>
        <w:spacing w:line="360" w:lineRule="auto"/>
        <w:jc w:val="center"/>
        <w:rPr>
          <w:rFonts w:eastAsiaTheme="majorEastAsia" w:cstheme="minorHAnsi"/>
          <w:shd w:val="clear" w:color="auto" w:fill="FFFFFF"/>
        </w:rPr>
      </w:pPr>
      <w:r w:rsidRPr="00311535">
        <w:rPr>
          <w:rFonts w:cs="Calibri"/>
        </w:rPr>
        <w:t>for “</w:t>
      </w:r>
      <w:r w:rsidRPr="00311535">
        <w:rPr>
          <w:rFonts w:eastAsiaTheme="majorEastAsia" w:cstheme="minorHAnsi"/>
          <w:shd w:val="clear" w:color="auto" w:fill="FFFFFF"/>
        </w:rPr>
        <w:t xml:space="preserve">The impact of smoking on response to TNF inhibitors in axial </w:t>
      </w:r>
      <w:proofErr w:type="spellStart"/>
      <w:r w:rsidRPr="00311535">
        <w:rPr>
          <w:rFonts w:eastAsiaTheme="majorEastAsia" w:cstheme="minorHAnsi"/>
          <w:shd w:val="clear" w:color="auto" w:fill="FFFFFF"/>
        </w:rPr>
        <w:t>spondyloarthritis</w:t>
      </w:r>
      <w:proofErr w:type="spellEnd"/>
      <w:r w:rsidRPr="00311535">
        <w:rPr>
          <w:rFonts w:eastAsiaTheme="majorEastAsia" w:cstheme="minorHAnsi"/>
          <w:shd w:val="clear" w:color="auto" w:fill="FFFFFF"/>
        </w:rPr>
        <w:t>: methodological considerations for longitudinal observational studies</w:t>
      </w:r>
      <w:r w:rsidRPr="00311535">
        <w:rPr>
          <w:rFonts w:eastAsiaTheme="majorEastAsia" w:cstheme="minorHAnsi"/>
          <w:shd w:val="clear" w:color="auto" w:fill="FFFFFF"/>
        </w:rPr>
        <w:t>”</w:t>
      </w:r>
    </w:p>
    <w:p w14:paraId="694F92AF" w14:textId="77777777" w:rsidR="006677C1" w:rsidRDefault="006677C1" w:rsidP="00886919">
      <w:pPr>
        <w:rPr>
          <w:u w:val="single"/>
        </w:rPr>
      </w:pPr>
      <w:bookmarkStart w:id="0" w:name="_Hlk523231995"/>
    </w:p>
    <w:p w14:paraId="5FD7DDB5" w14:textId="6AD43058" w:rsidR="00886919" w:rsidRPr="00311535" w:rsidRDefault="00886919" w:rsidP="00886919">
      <w:pPr>
        <w:rPr>
          <w:u w:val="single"/>
        </w:rPr>
      </w:pPr>
      <w:bookmarkStart w:id="1" w:name="_GoBack"/>
      <w:bookmarkEnd w:id="1"/>
      <w:r w:rsidRPr="00311535">
        <w:rPr>
          <w:u w:val="single"/>
        </w:rPr>
        <w:t xml:space="preserve">Theoretical basis for using </w:t>
      </w:r>
      <w:r w:rsidR="00980895">
        <w:rPr>
          <w:u w:val="single"/>
        </w:rPr>
        <w:t>inverse probability weighting</w:t>
      </w:r>
    </w:p>
    <w:p w14:paraId="11D48828" w14:textId="3D30886F" w:rsidR="00635488" w:rsidRPr="00311535" w:rsidRDefault="00886919" w:rsidP="00886919">
      <w:r w:rsidRPr="00311535">
        <w:t xml:space="preserve">In most studies, including our own, smoking exposure is simplified into status at baseline (we approximated baseline visit as TNFi initiation). </w:t>
      </w:r>
      <w:r w:rsidR="00777F85" w:rsidRPr="00311535">
        <w:t xml:space="preserve">As mentioned in the main text, studying the causal effect of baseline smoking status has conceptual </w:t>
      </w:r>
      <w:bookmarkStart w:id="2" w:name="_Hlk528394483"/>
      <w:r w:rsidR="00777F85" w:rsidRPr="00311535">
        <w:t xml:space="preserve">difficulty: </w:t>
      </w:r>
      <w:bookmarkEnd w:id="2"/>
      <w:r w:rsidR="00777F85" w:rsidRPr="00311535">
        <w:t xml:space="preserve">we cannot randomly assign an individual to “having smoked for 20 years” at the onset of a hypothetical trial. </w:t>
      </w:r>
    </w:p>
    <w:p w14:paraId="77615B04" w14:textId="3A8AF172" w:rsidR="00886919" w:rsidRPr="00311535" w:rsidRDefault="00886919" w:rsidP="00886919">
      <w:pPr>
        <w:rPr>
          <w:noProof/>
        </w:rPr>
      </w:pPr>
      <w:r w:rsidRPr="00311535">
        <w:t xml:space="preserve">To help decide on the analytical approach, it is helpful to consider how causal effects </w:t>
      </w:r>
      <w:r w:rsidRPr="00311535">
        <w:rPr>
          <w:i/>
        </w:rPr>
        <w:t>can</w:t>
      </w:r>
      <w:r w:rsidRPr="00311535">
        <w:t xml:space="preserve"> be estimated under ideal conditions. If the full smoking exposure history for each individual were known, it would be possible to “</w:t>
      </w:r>
      <w:r w:rsidRPr="00311535">
        <w:rPr>
          <w:rFonts w:cs="Calibri"/>
        </w:rPr>
        <w:t>assign” smoking status at each time point</w:t>
      </w:r>
      <w:r w:rsidR="0064289E" w:rsidRPr="00311535">
        <w:rPr>
          <w:rFonts w:cs="Calibri"/>
        </w:rPr>
        <w:t xml:space="preserve"> – </w:t>
      </w:r>
      <w:r w:rsidRPr="00311535">
        <w:rPr>
          <w:rFonts w:cs="Calibri"/>
        </w:rPr>
        <w:t xml:space="preserve">analogous to a sequentially randomised trial. </w:t>
      </w:r>
      <w:r w:rsidR="00DD207D" w:rsidRPr="00311535">
        <w:rPr>
          <w:rFonts w:cs="Calibri"/>
        </w:rPr>
        <w:t xml:space="preserve">Descriptions of causal inference in observational studies often draw analogy from hypothetical randomised clinical trials. </w:t>
      </w:r>
      <w:r w:rsidR="00777F85" w:rsidRPr="00311535">
        <w:rPr>
          <w:rFonts w:cs="Calibri"/>
        </w:rPr>
        <w:t xml:space="preserve">In contrast to conventional trials that are based on a single randomisation, sequentially randomised design allows the study of adaptive treatment strategies that adjust treatment in response to the observed course of disease. </w:t>
      </w:r>
      <w:r w:rsidRPr="00311535">
        <w:rPr>
          <w:rFonts w:cs="Calibri"/>
        </w:rPr>
        <w:t xml:space="preserve">Consider the following </w:t>
      </w:r>
      <w:r w:rsidR="00777F85" w:rsidRPr="00311535">
        <w:rPr>
          <w:rFonts w:cs="Calibri"/>
        </w:rPr>
        <w:t xml:space="preserve">directed acyclic graph </w:t>
      </w:r>
      <w:r w:rsidRPr="00311535">
        <w:rPr>
          <w:rFonts w:cs="Calibri"/>
        </w:rPr>
        <w:t>(we omitted other variables for clarity):</w:t>
      </w:r>
      <w:r w:rsidRPr="00311535">
        <w:rPr>
          <w:noProof/>
        </w:rPr>
        <w:t xml:space="preserve"> </w:t>
      </w:r>
    </w:p>
    <w:p w14:paraId="6CEDA8BA" w14:textId="77777777" w:rsidR="00886919" w:rsidRPr="00311535" w:rsidRDefault="00886919" w:rsidP="00886919">
      <w:pPr>
        <w:rPr>
          <w:rFonts w:cs="Calibri"/>
        </w:rPr>
      </w:pPr>
      <w:r w:rsidRPr="00311535">
        <w:rPr>
          <w:noProof/>
        </w:rPr>
        <w:drawing>
          <wp:inline distT="0" distB="0" distL="0" distR="0" wp14:anchorId="4AB902D5" wp14:editId="36AE71BB">
            <wp:extent cx="5731510" cy="193103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25B6E" w14:textId="77777777" w:rsidR="00CB14A1" w:rsidRPr="00311535" w:rsidRDefault="00CB14A1" w:rsidP="00886919">
      <w:pPr>
        <w:ind w:left="720"/>
        <w:rPr>
          <w:rFonts w:eastAsiaTheme="minorEastAsia" w:cs="Calibri"/>
        </w:rPr>
      </w:pPr>
    </w:p>
    <w:p w14:paraId="746EE692" w14:textId="71339AB1" w:rsidR="00886919" w:rsidRPr="00311535" w:rsidRDefault="00886919" w:rsidP="00886919">
      <w:pPr>
        <w:ind w:left="720"/>
      </w:pPr>
      <w:r w:rsidRPr="00311535">
        <w:rPr>
          <w:rFonts w:eastAsiaTheme="minorEastAsia" w:cs="Calibri"/>
        </w:rPr>
        <w:t xml:space="preserve">Where,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Pr="00311535">
        <w:t>(4) = smoking history until time 4</w:t>
      </w:r>
    </w:p>
    <w:p w14:paraId="5D906ABF" w14:textId="77777777" w:rsidR="00886919" w:rsidRPr="00311535" w:rsidRDefault="00886919" w:rsidP="00886919">
      <w:pPr>
        <w:ind w:left="1440"/>
      </w:pPr>
      <w:r w:rsidRPr="00311535">
        <w:t>Current smoker</w:t>
      </w:r>
      <w:r w:rsidRPr="00311535">
        <w:rPr>
          <w:rFonts w:eastAsiaTheme="minorEastAsia" w:cs="Calibri"/>
        </w:rPr>
        <w:t xml:space="preserve">: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Pr="00311535">
        <w:t xml:space="preserve">(4) = (a0, a1, a2, a3, 1) </w:t>
      </w:r>
    </w:p>
    <w:p w14:paraId="085BF709" w14:textId="77777777" w:rsidR="00886919" w:rsidRPr="00311535" w:rsidRDefault="00886919" w:rsidP="00886919">
      <w:pPr>
        <w:ind w:left="1440"/>
      </w:pPr>
      <w:r w:rsidRPr="00311535">
        <w:t>Never smoker:</w:t>
      </w:r>
      <w:r w:rsidRPr="00311535">
        <w:rPr>
          <w:rFonts w:eastAsiaTheme="minorEastAsia" w:cs="Calibri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Pr="00311535">
        <w:t xml:space="preserve">(4) = (0, 0, 0, 0, 0)  </w:t>
      </w:r>
    </w:p>
    <w:p w14:paraId="4B20B8FC" w14:textId="1E3554AA" w:rsidR="00886919" w:rsidRPr="00311535" w:rsidRDefault="00886919" w:rsidP="00886919">
      <w:pPr>
        <w:ind w:left="1440"/>
        <w:rPr>
          <w:rFonts w:eastAsiaTheme="minorEastAsia" w:cs="Calibri"/>
        </w:rPr>
      </w:pPr>
      <w:r w:rsidRPr="00311535">
        <w:rPr>
          <w:rFonts w:eastAsiaTheme="minorEastAsia" w:cs="Calibri"/>
        </w:rPr>
        <w:t xml:space="preserve">Ex-smoker: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Pr="00311535">
        <w:t>(4) = (a0, a1, a2, a3, 0)</w:t>
      </w:r>
      <w:proofErr w:type="gramStart"/>
      <w:r w:rsidR="00635488" w:rsidRPr="00311535">
        <w:t xml:space="preserve">   </w:t>
      </w:r>
      <w:bookmarkStart w:id="3" w:name="_Hlk528394531"/>
      <w:r w:rsidR="00635488" w:rsidRPr="00311535">
        <w:t>[</w:t>
      </w:r>
      <w:proofErr w:type="gramEnd"/>
      <w:r w:rsidR="00635488" w:rsidRPr="00311535">
        <w:t>where a0 + a1 + a2 + a3 ≥ 1 (smoked at some point)]</w:t>
      </w:r>
    </w:p>
    <w:bookmarkEnd w:id="3"/>
    <w:p w14:paraId="41657589" w14:textId="77777777" w:rsidR="00886919" w:rsidRPr="00311535" w:rsidRDefault="00886919" w:rsidP="00886919">
      <w:pPr>
        <w:ind w:left="720"/>
      </w:pPr>
      <w:proofErr w:type="gramStart"/>
      <w:r w:rsidRPr="00311535">
        <w:t>A(</w:t>
      </w:r>
      <w:proofErr w:type="gramEnd"/>
      <w:r w:rsidRPr="00311535">
        <w:t xml:space="preserve">4) = baseline smoking status </w:t>
      </w:r>
    </w:p>
    <w:p w14:paraId="6C5AE860" w14:textId="77777777" w:rsidR="00886919" w:rsidRPr="00311535" w:rsidRDefault="00886919" w:rsidP="00886919">
      <w:pPr>
        <w:ind w:left="720"/>
      </w:pPr>
      <w:proofErr w:type="gramStart"/>
      <w:r w:rsidRPr="00311535">
        <w:t>L(</w:t>
      </w:r>
      <w:proofErr w:type="gramEnd"/>
      <w:r w:rsidRPr="00311535">
        <w:t>4) = baseline disease activity</w:t>
      </w:r>
    </w:p>
    <w:p w14:paraId="7691A262" w14:textId="77777777" w:rsidR="00886919" w:rsidRPr="00311535" w:rsidRDefault="00886919" w:rsidP="00886919">
      <w:pPr>
        <w:rPr>
          <w:rFonts w:eastAsiaTheme="minorEastAsia"/>
        </w:rPr>
      </w:pPr>
      <w:r w:rsidRPr="00311535">
        <w:lastRenderedPageBreak/>
        <w:t xml:space="preserve">Baseline smoking status, </w:t>
      </w:r>
      <w:proofErr w:type="gramStart"/>
      <w:r w:rsidRPr="00311535">
        <w:t>A(</w:t>
      </w:r>
      <w:proofErr w:type="gramEnd"/>
      <w:r w:rsidRPr="00311535">
        <w:t xml:space="preserve">4), is confounded by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L</m:t>
            </m:r>
          </m:e>
        </m:acc>
      </m:oMath>
      <w:r w:rsidRPr="00311535">
        <w:rPr>
          <w:rFonts w:eastAsiaTheme="minorEastAsia"/>
        </w:rPr>
        <w:t xml:space="preserve">(4)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Pr="00311535">
        <w:rPr>
          <w:rFonts w:eastAsiaTheme="minorEastAsia"/>
        </w:rPr>
        <w:t xml:space="preserve">(3), which are not available in most studies. Decision therefore rests on whether to control for baseline disease activity, </w:t>
      </w:r>
      <w:proofErr w:type="gramStart"/>
      <w:r w:rsidRPr="00311535">
        <w:rPr>
          <w:rFonts w:eastAsiaTheme="minorEastAsia"/>
        </w:rPr>
        <w:t>L(</w:t>
      </w:r>
      <w:proofErr w:type="gramEnd"/>
      <w:r w:rsidRPr="00311535">
        <w:rPr>
          <w:rFonts w:eastAsiaTheme="minorEastAsia"/>
        </w:rPr>
        <w:t>4).</w:t>
      </w:r>
    </w:p>
    <w:p w14:paraId="4C0F7F04" w14:textId="77777777" w:rsidR="00886919" w:rsidRPr="00311535" w:rsidRDefault="00886919" w:rsidP="00886919">
      <w:pPr>
        <w:ind w:left="720"/>
        <w:rPr>
          <w:rFonts w:eastAsiaTheme="minorEastAsia"/>
        </w:rPr>
      </w:pPr>
      <w:proofErr w:type="gramStart"/>
      <w:r w:rsidRPr="00311535">
        <w:t>L(</w:t>
      </w:r>
      <w:proofErr w:type="gramEnd"/>
      <w:r w:rsidRPr="00311535">
        <w:t xml:space="preserve">4) is a mediator with respect to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Pr="00311535">
        <w:rPr>
          <w:rFonts w:eastAsiaTheme="minorEastAsia"/>
        </w:rPr>
        <w:t>(3)</w:t>
      </w:r>
    </w:p>
    <w:p w14:paraId="09888836" w14:textId="77777777" w:rsidR="00886919" w:rsidRPr="00311535" w:rsidRDefault="00886919" w:rsidP="00886919">
      <w:pPr>
        <w:ind w:left="720"/>
        <w:rPr>
          <w:rFonts w:eastAsiaTheme="minorEastAsia"/>
        </w:rPr>
      </w:pPr>
      <w:proofErr w:type="gramStart"/>
      <w:r w:rsidRPr="00311535">
        <w:t>L(</w:t>
      </w:r>
      <w:proofErr w:type="gramEnd"/>
      <w:r w:rsidRPr="00311535">
        <w:t xml:space="preserve">4) is a confounder for A(4), and is a time-varying confounder that is affected by </w:t>
      </w:r>
      <w:r w:rsidRPr="00311535">
        <w:rPr>
          <w:rFonts w:eastAsiaTheme="minorEastAsia"/>
        </w:rPr>
        <w:t xml:space="preserve">past smoking history,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Pr="00311535">
        <w:rPr>
          <w:rFonts w:eastAsiaTheme="minorEastAsia"/>
        </w:rPr>
        <w:t>(3)</w:t>
      </w:r>
    </w:p>
    <w:p w14:paraId="55DE253B" w14:textId="77777777" w:rsidR="00886919" w:rsidRPr="00311535" w:rsidRDefault="00886919" w:rsidP="00886919">
      <w:pPr>
        <w:rPr>
          <w:rFonts w:eastAsiaTheme="minorEastAsia"/>
        </w:rPr>
      </w:pPr>
      <w:r w:rsidRPr="00311535">
        <w:rPr>
          <w:rFonts w:eastAsiaTheme="minorEastAsia"/>
        </w:rPr>
        <w:t xml:space="preserve">There are thus three options to approximate the effect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Pr="00311535">
        <w:rPr>
          <w:rFonts w:eastAsiaTheme="minorEastAsia"/>
        </w:rPr>
        <w:t>(4):</w:t>
      </w:r>
    </w:p>
    <w:p w14:paraId="46472951" w14:textId="6B3C51AB" w:rsidR="00886919" w:rsidRPr="00311535" w:rsidRDefault="00886919" w:rsidP="00886919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311535">
        <w:rPr>
          <w:rFonts w:eastAsiaTheme="minorEastAsia"/>
        </w:rPr>
        <w:t xml:space="preserve">Do not account for </w:t>
      </w:r>
      <w:proofErr w:type="gramStart"/>
      <w:r w:rsidRPr="00311535">
        <w:rPr>
          <w:rFonts w:eastAsiaTheme="minorEastAsia"/>
        </w:rPr>
        <w:t>L(</w:t>
      </w:r>
      <w:proofErr w:type="gramEnd"/>
      <w:r w:rsidRPr="00311535">
        <w:rPr>
          <w:rFonts w:eastAsiaTheme="minorEastAsia"/>
        </w:rPr>
        <w:t xml:space="preserve">4): entire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Pr="00311535">
        <w:rPr>
          <w:rFonts w:eastAsiaTheme="minorEastAsia"/>
        </w:rPr>
        <w:t>(4) is confounded.</w:t>
      </w:r>
    </w:p>
    <w:p w14:paraId="3308DCF2" w14:textId="591348A0" w:rsidR="00886919" w:rsidRPr="00311535" w:rsidRDefault="00886919" w:rsidP="00886919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311535">
        <w:rPr>
          <w:rFonts w:eastAsiaTheme="minorEastAsia"/>
        </w:rPr>
        <w:t xml:space="preserve">Condition on </w:t>
      </w:r>
      <w:proofErr w:type="gramStart"/>
      <w:r w:rsidRPr="00311535">
        <w:rPr>
          <w:rFonts w:eastAsiaTheme="minorEastAsia"/>
        </w:rPr>
        <w:t>L(</w:t>
      </w:r>
      <w:proofErr w:type="gramEnd"/>
      <w:r w:rsidRPr="00311535">
        <w:rPr>
          <w:rFonts w:eastAsiaTheme="minorEastAsia"/>
        </w:rPr>
        <w:t xml:space="preserve">4): A(4) unconfounded;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Pr="00311535">
        <w:rPr>
          <w:rFonts w:eastAsiaTheme="minorEastAsia"/>
        </w:rPr>
        <w:t>(3) confounded; selection bias since L(4) is a collider.</w:t>
      </w:r>
    </w:p>
    <w:p w14:paraId="7611058E" w14:textId="77777777" w:rsidR="00886919" w:rsidRPr="00311535" w:rsidRDefault="00886919" w:rsidP="00886919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311535">
        <w:rPr>
          <w:rFonts w:eastAsiaTheme="minorEastAsia"/>
        </w:rPr>
        <w:t xml:space="preserve">Using IPW to control for </w:t>
      </w:r>
      <w:proofErr w:type="gramStart"/>
      <w:r w:rsidRPr="00311535">
        <w:rPr>
          <w:rFonts w:eastAsiaTheme="minorEastAsia"/>
        </w:rPr>
        <w:t>L(</w:t>
      </w:r>
      <w:proofErr w:type="gramEnd"/>
      <w:r w:rsidRPr="00311535">
        <w:rPr>
          <w:rFonts w:eastAsiaTheme="minorEastAsia"/>
        </w:rPr>
        <w:t xml:space="preserve">4) without conditioning: A(4) unconfounded;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Pr="00311535">
        <w:rPr>
          <w:rFonts w:eastAsiaTheme="minorEastAsia"/>
        </w:rPr>
        <w:t>(3) confounded.</w:t>
      </w:r>
    </w:p>
    <w:p w14:paraId="6C9C31A9" w14:textId="319F6144" w:rsidR="00635488" w:rsidRPr="00311535" w:rsidRDefault="00635488" w:rsidP="00886919">
      <w:r w:rsidRPr="00311535">
        <w:t>Thus, we chose 3), which may be somewhat less problematic than 1) and 2).</w:t>
      </w:r>
    </w:p>
    <w:p w14:paraId="0AD11E94" w14:textId="182F6B63" w:rsidR="00635488" w:rsidRPr="00311535" w:rsidRDefault="00E87D9C" w:rsidP="00886919">
      <w:r w:rsidRPr="00311535">
        <w:t>For observational studies of smoking status, t</w:t>
      </w:r>
      <w:r w:rsidR="00635488" w:rsidRPr="00311535">
        <w:t xml:space="preserve">he </w:t>
      </w:r>
      <w:r w:rsidRPr="00311535">
        <w:t>imperfect</w:t>
      </w:r>
      <w:r w:rsidR="00635488" w:rsidRPr="00311535">
        <w:t xml:space="preserve"> emulati</w:t>
      </w:r>
      <w:r w:rsidRPr="00311535">
        <w:t xml:space="preserve">on of </w:t>
      </w:r>
      <w:r w:rsidR="00635488" w:rsidRPr="00311535">
        <w:t>a</w:t>
      </w:r>
      <w:r w:rsidRPr="00311535">
        <w:t xml:space="preserve"> hypothetical</w:t>
      </w:r>
      <w:r w:rsidR="00635488" w:rsidRPr="00311535">
        <w:t xml:space="preserve"> clinical tria</w:t>
      </w:r>
      <w:r w:rsidRPr="00311535">
        <w:t>l</w:t>
      </w:r>
      <w:r w:rsidR="00635488" w:rsidRPr="00311535">
        <w:t xml:space="preserve"> </w:t>
      </w:r>
      <w:r w:rsidRPr="00311535">
        <w:t>need not stop us from analysing the available data. T</w:t>
      </w:r>
      <w:r w:rsidR="00635488" w:rsidRPr="00311535">
        <w:t xml:space="preserve">he </w:t>
      </w:r>
      <w:r w:rsidRPr="00311535">
        <w:t xml:space="preserve">same </w:t>
      </w:r>
      <w:r w:rsidR="00635488" w:rsidRPr="00311535">
        <w:t>issue of the exposure trajectory starting before study time 0</w:t>
      </w:r>
      <w:r w:rsidRPr="00311535">
        <w:t xml:space="preserve"> – and thus potential for bias –</w:t>
      </w:r>
      <w:r w:rsidR="00635488" w:rsidRPr="00311535">
        <w:t xml:space="preserve"> can </w:t>
      </w:r>
      <w:r w:rsidRPr="00311535">
        <w:t xml:space="preserve">also </w:t>
      </w:r>
      <w:r w:rsidR="00635488" w:rsidRPr="00311535">
        <w:t xml:space="preserve">be </w:t>
      </w:r>
      <w:r w:rsidR="00BD02D6" w:rsidRPr="00311535">
        <w:t>raised</w:t>
      </w:r>
      <w:r w:rsidRPr="00311535">
        <w:t xml:space="preserve"> </w:t>
      </w:r>
      <w:r w:rsidR="00BD02D6" w:rsidRPr="00311535">
        <w:t>for established methods like</w:t>
      </w:r>
      <w:r w:rsidRPr="00311535">
        <w:t xml:space="preserve"> </w:t>
      </w:r>
      <w:r w:rsidR="00635488" w:rsidRPr="00311535">
        <w:t>Mendelian randomi</w:t>
      </w:r>
      <w:r w:rsidRPr="00311535">
        <w:t>s</w:t>
      </w:r>
      <w:r w:rsidR="00635488" w:rsidRPr="00311535">
        <w:t>ation.</w:t>
      </w:r>
    </w:p>
    <w:p w14:paraId="1CB40183" w14:textId="77777777" w:rsidR="00635488" w:rsidRPr="00311535" w:rsidRDefault="00635488" w:rsidP="00886919">
      <w:pPr>
        <w:rPr>
          <w:u w:val="single"/>
        </w:rPr>
      </w:pPr>
    </w:p>
    <w:p w14:paraId="060F0A08" w14:textId="3DCD5F63" w:rsidR="00145E50" w:rsidRPr="00311535" w:rsidRDefault="00145E50" w:rsidP="00886919">
      <w:pPr>
        <w:rPr>
          <w:rFonts w:eastAsiaTheme="minorEastAsia"/>
        </w:rPr>
      </w:pPr>
      <w:r w:rsidRPr="00311535">
        <w:rPr>
          <w:u w:val="single"/>
        </w:rPr>
        <w:t xml:space="preserve">Constructing </w:t>
      </w:r>
      <w:r w:rsidR="00C5362C" w:rsidRPr="00311535">
        <w:rPr>
          <w:u w:val="single"/>
        </w:rPr>
        <w:t>inverse-probability</w:t>
      </w:r>
      <w:r w:rsidRPr="00311535">
        <w:rPr>
          <w:u w:val="single"/>
        </w:rPr>
        <w:t xml:space="preserve"> weights</w:t>
      </w:r>
    </w:p>
    <w:p w14:paraId="0A0088AF" w14:textId="77777777" w:rsidR="001B3525" w:rsidRPr="00311535" w:rsidRDefault="00145E50" w:rsidP="00886919">
      <w:pPr>
        <w:rPr>
          <w:noProof/>
        </w:rPr>
      </w:pPr>
      <w:r w:rsidRPr="00311535">
        <w:t xml:space="preserve">Stabilised IPW to balance baseline characteristics between smoking status were constructed as </w:t>
      </w:r>
      <w:r w:rsidR="00C10B35" w:rsidRPr="00311535">
        <w:t>follows:</w:t>
      </w:r>
      <w:r w:rsidRPr="00311535">
        <w:t xml:space="preserve"> </w:t>
      </w:r>
      <w:r w:rsidR="00C10B35" w:rsidRPr="00311535">
        <w:t>t</w:t>
      </w:r>
      <w:r w:rsidRPr="00311535">
        <w:t xml:space="preserve">he numerator is predicted probability from a multinomial logistic model with smoking (A) as the only variable, and the denominator is the same model conditioned on </w:t>
      </w:r>
      <w:r w:rsidRPr="00311535">
        <w:rPr>
          <w:i/>
        </w:rPr>
        <w:t>a priori</w:t>
      </w:r>
      <w:r w:rsidRPr="00311535">
        <w:t xml:space="preserve"> covariates listed in </w:t>
      </w:r>
      <w:r w:rsidR="00C10B35" w:rsidRPr="00311535">
        <w:t xml:space="preserve">the main text </w:t>
      </w:r>
      <w:r w:rsidRPr="00311535">
        <w:t>(L</w:t>
      </w:r>
      <w:r w:rsidRPr="00311535">
        <w:rPr>
          <w:rFonts w:cs="Calibri"/>
        </w:rPr>
        <w:t>).</w:t>
      </w:r>
    </w:p>
    <w:p w14:paraId="518868C1" w14:textId="77777777" w:rsidR="00C10B35" w:rsidRPr="00311535" w:rsidRDefault="001B3525" w:rsidP="00886919">
      <w:pPr>
        <w:jc w:val="center"/>
      </w:pPr>
      <w:r w:rsidRPr="00311535">
        <w:rPr>
          <w:noProof/>
        </w:rPr>
        <w:drawing>
          <wp:inline distT="0" distB="0" distL="0" distR="0" wp14:anchorId="5D4DF04B" wp14:editId="12085387">
            <wp:extent cx="2371725" cy="180975"/>
            <wp:effectExtent l="0" t="0" r="9525" b="9525"/>
            <wp:docPr id="6" name="Picture 6" descr="C:\Users\zhao\Downloads\CodeCogsEqn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ao\Downloads\CodeCogsEqn (1)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7A361" w14:textId="77777777" w:rsidR="001B3525" w:rsidRPr="00311535" w:rsidRDefault="00C10B35" w:rsidP="00886919">
      <w:r w:rsidRPr="00311535">
        <w:t>Participants excluded from the analysis were represented by included participants with the same baseline smoking status and covariates. Stabilised IPCW</w:t>
      </w:r>
      <w:r w:rsidR="00183CB8" w:rsidRPr="00311535">
        <w:t xml:space="preserve"> were constructed as follows: t</w:t>
      </w:r>
      <w:r w:rsidRPr="00311535">
        <w:t>he numerator is the predicted probability from logistic models of not being excluded (C=0) conditioned on smoking status (A), over the same model additionally conditioned on covariates (L). The same approach was used for missing data in analysis 1.</w:t>
      </w:r>
    </w:p>
    <w:p w14:paraId="00B3B654" w14:textId="77777777" w:rsidR="00145E50" w:rsidRPr="00311535" w:rsidRDefault="001B3525" w:rsidP="00886919">
      <w:pPr>
        <w:jc w:val="center"/>
      </w:pPr>
      <w:r w:rsidRPr="00311535">
        <w:rPr>
          <w:noProof/>
        </w:rPr>
        <w:drawing>
          <wp:inline distT="0" distB="0" distL="0" distR="0" wp14:anchorId="64791332" wp14:editId="13E24500">
            <wp:extent cx="2896870" cy="180975"/>
            <wp:effectExtent l="0" t="0" r="0" b="9525"/>
            <wp:docPr id="3" name="Picture 3" descr="C:\Users\zhao\Downloads\CodeCogsEq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o\Downloads\CodeCogsEqn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6722F" w14:textId="3165EF10" w:rsidR="00A0662E" w:rsidRPr="00311535" w:rsidRDefault="00A0662E" w:rsidP="00886919">
      <w:r w:rsidRPr="00311535">
        <w:t>This same modelling approach was used to model missing 3-month responses in analysis 1, and missing responses in the logistic models of BASDAI50/2.</w:t>
      </w:r>
    </w:p>
    <w:p w14:paraId="2E910611" w14:textId="77777777" w:rsidR="003A1E39" w:rsidRPr="00311535" w:rsidRDefault="003A1E39" w:rsidP="00886919"/>
    <w:p w14:paraId="3A373B5C" w14:textId="77777777" w:rsidR="00145E50" w:rsidRPr="00311535" w:rsidRDefault="00145E50" w:rsidP="00886919">
      <w:pPr>
        <w:rPr>
          <w:u w:val="single"/>
        </w:rPr>
      </w:pPr>
      <w:r w:rsidRPr="00311535">
        <w:rPr>
          <w:u w:val="single"/>
        </w:rPr>
        <w:t>Multiple imputation</w:t>
      </w:r>
    </w:p>
    <w:p w14:paraId="73ED05EF" w14:textId="365F95C0" w:rsidR="007430D0" w:rsidRPr="00311535" w:rsidRDefault="00145E50" w:rsidP="00886919">
      <w:r w:rsidRPr="00311535">
        <w:t>To generate the above IPWs, multinomial</w:t>
      </w:r>
      <w:r w:rsidR="00980895">
        <w:t xml:space="preserve"> and</w:t>
      </w:r>
      <w:r w:rsidRPr="00311535">
        <w:t xml:space="preserve"> logistic models required complete data for all </w:t>
      </w:r>
      <w:r w:rsidR="00C5362C" w:rsidRPr="00311535">
        <w:t>co</w:t>
      </w:r>
      <w:r w:rsidRPr="00311535">
        <w:t>varia</w:t>
      </w:r>
      <w:r w:rsidR="00C5362C" w:rsidRPr="00311535">
        <w:t>t</w:t>
      </w:r>
      <w:r w:rsidRPr="00311535">
        <w:t xml:space="preserve">es. Multiple imputation was performed using chained equations (-mi impute mice- </w:t>
      </w:r>
      <w:r w:rsidRPr="00311535">
        <w:lastRenderedPageBreak/>
        <w:t>command in Stata</w:t>
      </w:r>
      <w:r w:rsidR="00A0662E" w:rsidRPr="00311535">
        <w:t xml:space="preserve"> v</w:t>
      </w:r>
      <w:r w:rsidRPr="00311535">
        <w:t>13). All variables in each IPW model were included in the respective imputation models, with 30 imputed datasets. Logistic (ordinal/multinomial) models were used for categorical variables and predictive mean matching for continuous variables (which accounts for their restricted range).</w:t>
      </w:r>
    </w:p>
    <w:bookmarkEnd w:id="0"/>
    <w:p w14:paraId="67098B52" w14:textId="77777777" w:rsidR="007430D0" w:rsidRPr="00311535" w:rsidRDefault="007430D0" w:rsidP="00886919">
      <w:pPr>
        <w:rPr>
          <w:rFonts w:cs="Calibri"/>
          <w:b/>
        </w:rPr>
      </w:pPr>
      <w:r w:rsidRPr="00311535">
        <w:rPr>
          <w:rFonts w:cs="Calibri"/>
          <w:b/>
        </w:rPr>
        <w:br w:type="page"/>
      </w:r>
    </w:p>
    <w:p w14:paraId="7432BF66" w14:textId="77777777" w:rsidR="00145E50" w:rsidRPr="00311535" w:rsidRDefault="00145E50" w:rsidP="00886919">
      <w:pPr>
        <w:rPr>
          <w:rFonts w:cs="Calibri"/>
          <w:b/>
        </w:rPr>
      </w:pPr>
      <w:bookmarkStart w:id="4" w:name="_Hlk523232013"/>
      <w:r w:rsidRPr="00311535">
        <w:rPr>
          <w:rFonts w:cs="Calibri"/>
          <w:b/>
        </w:rPr>
        <w:lastRenderedPageBreak/>
        <w:t>Results</w:t>
      </w:r>
    </w:p>
    <w:tbl>
      <w:tblPr>
        <w:tblW w:w="9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44"/>
        <w:gridCol w:w="1698"/>
        <w:gridCol w:w="2416"/>
        <w:gridCol w:w="2410"/>
        <w:gridCol w:w="1134"/>
        <w:gridCol w:w="8"/>
      </w:tblGrid>
      <w:tr w:rsidR="00B70FB4" w:rsidRPr="00311535" w14:paraId="5864F073" w14:textId="77777777" w:rsidTr="00150C69">
        <w:trPr>
          <w:jc w:val="center"/>
        </w:trPr>
        <w:tc>
          <w:tcPr>
            <w:tcW w:w="9364" w:type="dxa"/>
            <w:gridSpan w:val="7"/>
            <w:shd w:val="clear" w:color="auto" w:fill="auto"/>
          </w:tcPr>
          <w:bookmarkEnd w:id="4"/>
          <w:p w14:paraId="59E59A7F" w14:textId="32C4D8C0" w:rsidR="00145E50" w:rsidRPr="00311535" w:rsidRDefault="00145E50" w:rsidP="00681FF4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 xml:space="preserve">Supplementary table 1. </w:t>
            </w:r>
            <w:r w:rsidR="00B154B5" w:rsidRPr="00311535">
              <w:rPr>
                <w:rFonts w:asciiTheme="minorHAnsi" w:hAnsiTheme="minorHAnsi"/>
              </w:rPr>
              <w:t xml:space="preserve">Baseline characteristics and causes of discontinuation </w:t>
            </w:r>
            <w:r w:rsidRPr="00311535">
              <w:rPr>
                <w:rFonts w:asciiTheme="minorHAnsi" w:hAnsiTheme="minorHAnsi"/>
              </w:rPr>
              <w:t xml:space="preserve">of the </w:t>
            </w:r>
            <w:r w:rsidR="00B154B5" w:rsidRPr="00311535">
              <w:rPr>
                <w:rFonts w:asciiTheme="minorHAnsi" w:hAnsiTheme="minorHAnsi"/>
              </w:rPr>
              <w:t>840</w:t>
            </w:r>
            <w:r w:rsidRPr="00311535">
              <w:rPr>
                <w:rFonts w:asciiTheme="minorHAnsi" w:hAnsiTheme="minorHAnsi"/>
              </w:rPr>
              <w:t xml:space="preserve"> patients, </w:t>
            </w:r>
            <w:r w:rsidR="00CB3549" w:rsidRPr="00311535">
              <w:rPr>
                <w:rFonts w:asciiTheme="minorHAnsi" w:hAnsiTheme="minorHAnsi"/>
              </w:rPr>
              <w:t xml:space="preserve">according to </w:t>
            </w:r>
            <w:r w:rsidRPr="00311535">
              <w:rPr>
                <w:rFonts w:asciiTheme="minorHAnsi" w:hAnsiTheme="minorHAnsi"/>
              </w:rPr>
              <w:t>whether they were eligible for longitudinal analysis or were excluded.</w:t>
            </w:r>
          </w:p>
        </w:tc>
      </w:tr>
      <w:tr w:rsidR="00B70FB4" w:rsidRPr="00311535" w14:paraId="44171BE6" w14:textId="77777777" w:rsidTr="00150C69">
        <w:trPr>
          <w:gridAfter w:val="1"/>
          <w:wAfter w:w="8" w:type="dxa"/>
          <w:jc w:val="center"/>
        </w:trPr>
        <w:tc>
          <w:tcPr>
            <w:tcW w:w="3396" w:type="dxa"/>
            <w:gridSpan w:val="3"/>
            <w:shd w:val="clear" w:color="auto" w:fill="auto"/>
          </w:tcPr>
          <w:p w14:paraId="33693E59" w14:textId="77777777" w:rsidR="00145E50" w:rsidRPr="00311535" w:rsidRDefault="00145E50" w:rsidP="00681FF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416" w:type="dxa"/>
            <w:tcBorders>
              <w:right w:val="nil"/>
            </w:tcBorders>
            <w:shd w:val="clear" w:color="auto" w:fill="auto"/>
          </w:tcPr>
          <w:p w14:paraId="6789BC9D" w14:textId="78D1A964" w:rsidR="00145E50" w:rsidRPr="00311535" w:rsidRDefault="00145E50" w:rsidP="00681FF4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Included (n=</w:t>
            </w:r>
            <w:r w:rsidRPr="00311535">
              <w:rPr>
                <w:rFonts w:asciiTheme="minorHAnsi" w:hAnsiTheme="minorHAnsi"/>
                <w:lang w:eastAsia="zh-CN"/>
              </w:rPr>
              <w:t>62</w:t>
            </w:r>
            <w:r w:rsidR="00681FF4" w:rsidRPr="00311535">
              <w:rPr>
                <w:rFonts w:asciiTheme="minorHAnsi" w:hAnsiTheme="minorHAnsi"/>
                <w:lang w:eastAsia="zh-CN"/>
              </w:rPr>
              <w:t>7</w:t>
            </w:r>
            <w:r w:rsidRPr="00311535">
              <w:rPr>
                <w:rFonts w:asciiTheme="minorHAnsi" w:hAnsiTheme="minorHAnsi"/>
              </w:rPr>
              <w:t>)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2A15BC89" w14:textId="0443C685" w:rsidR="00145E50" w:rsidRPr="00311535" w:rsidRDefault="00145E50" w:rsidP="00681FF4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Excluded (n=</w:t>
            </w:r>
            <w:r w:rsidR="00B154B5" w:rsidRPr="00311535">
              <w:rPr>
                <w:rFonts w:asciiTheme="minorHAnsi" w:hAnsiTheme="minorHAnsi"/>
                <w:lang w:eastAsia="zh-CN"/>
              </w:rPr>
              <w:t>213</w:t>
            </w:r>
            <w:r w:rsidRPr="00311535">
              <w:rPr>
                <w:rFonts w:asciiTheme="minorHAnsi" w:hAnsiTheme="minorHAnsi"/>
              </w:rPr>
              <w:t>)</w:t>
            </w:r>
          </w:p>
        </w:tc>
        <w:tc>
          <w:tcPr>
            <w:tcW w:w="1134" w:type="dxa"/>
          </w:tcPr>
          <w:p w14:paraId="1EEEA405" w14:textId="77777777" w:rsidR="00145E50" w:rsidRPr="00311535" w:rsidRDefault="00145E50" w:rsidP="00681FF4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P-value</w:t>
            </w:r>
          </w:p>
        </w:tc>
      </w:tr>
      <w:tr w:rsidR="00B154B5" w:rsidRPr="00311535" w14:paraId="556AAD69" w14:textId="77777777" w:rsidTr="00456821">
        <w:trPr>
          <w:gridAfter w:val="1"/>
          <w:wAfter w:w="8" w:type="dxa"/>
          <w:jc w:val="center"/>
        </w:trPr>
        <w:tc>
          <w:tcPr>
            <w:tcW w:w="1698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14:paraId="4596165A" w14:textId="77777777" w:rsidR="00B154B5" w:rsidRPr="00311535" w:rsidRDefault="00B154B5" w:rsidP="00B154B5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Smoking status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14:paraId="29E465B2" w14:textId="384DA403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Never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bottom"/>
          </w:tcPr>
          <w:p w14:paraId="3A1E1FD4" w14:textId="047443B9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234 (37%)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14:paraId="30B7CA67" w14:textId="4B78586B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81 (38%)</w:t>
            </w:r>
          </w:p>
        </w:tc>
        <w:tc>
          <w:tcPr>
            <w:tcW w:w="1134" w:type="dxa"/>
            <w:vMerge w:val="restart"/>
          </w:tcPr>
          <w:p w14:paraId="15DCA8B6" w14:textId="69533BCC" w:rsidR="00B154B5" w:rsidRPr="00311535" w:rsidRDefault="00B154B5" w:rsidP="00B154B5">
            <w:pPr>
              <w:pStyle w:val="NoSpacing"/>
              <w:rPr>
                <w:rFonts w:asciiTheme="minorHAnsi" w:eastAsia="Times New Roman" w:hAnsiTheme="minorHAnsi" w:cs="Arial"/>
                <w:lang w:eastAsia="zh-CN"/>
              </w:rPr>
            </w:pPr>
            <w:r w:rsidRPr="00311535">
              <w:rPr>
                <w:rFonts w:asciiTheme="minorHAnsi" w:hAnsiTheme="minorHAnsi" w:cs="Arial"/>
              </w:rPr>
              <w:t>0.980</w:t>
            </w:r>
          </w:p>
          <w:p w14:paraId="4D41190C" w14:textId="77777777" w:rsidR="00B154B5" w:rsidRPr="00311535" w:rsidRDefault="00B154B5" w:rsidP="00B154B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B154B5" w:rsidRPr="00311535" w14:paraId="2D39F403" w14:textId="77777777" w:rsidTr="00456821">
        <w:trPr>
          <w:gridAfter w:val="1"/>
          <w:wAfter w:w="8" w:type="dxa"/>
          <w:jc w:val="center"/>
        </w:trPr>
        <w:tc>
          <w:tcPr>
            <w:tcW w:w="1698" w:type="dxa"/>
            <w:gridSpan w:val="2"/>
            <w:vMerge/>
            <w:tcBorders>
              <w:right w:val="nil"/>
            </w:tcBorders>
            <w:shd w:val="clear" w:color="auto" w:fill="auto"/>
          </w:tcPr>
          <w:p w14:paraId="788B7CFE" w14:textId="77777777" w:rsidR="00B154B5" w:rsidRPr="00311535" w:rsidRDefault="00B154B5" w:rsidP="00B154B5">
            <w:pPr>
              <w:pStyle w:val="NoSpacing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14:paraId="1A47130A" w14:textId="77777777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Ex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bottom"/>
          </w:tcPr>
          <w:p w14:paraId="33B2165D" w14:textId="7FAA552B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187 (30%)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14:paraId="5210BC4F" w14:textId="394A1F63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63 (30%)</w:t>
            </w:r>
          </w:p>
        </w:tc>
        <w:tc>
          <w:tcPr>
            <w:tcW w:w="1134" w:type="dxa"/>
            <w:vMerge/>
          </w:tcPr>
          <w:p w14:paraId="67150A53" w14:textId="77777777" w:rsidR="00B154B5" w:rsidRPr="00311535" w:rsidRDefault="00B154B5" w:rsidP="00B154B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B154B5" w:rsidRPr="00311535" w14:paraId="1ADBC4A8" w14:textId="77777777" w:rsidTr="00456821">
        <w:trPr>
          <w:gridAfter w:val="1"/>
          <w:wAfter w:w="8" w:type="dxa"/>
          <w:jc w:val="center"/>
        </w:trPr>
        <w:tc>
          <w:tcPr>
            <w:tcW w:w="1698" w:type="dxa"/>
            <w:gridSpan w:val="2"/>
            <w:vMerge/>
            <w:tcBorders>
              <w:right w:val="nil"/>
            </w:tcBorders>
            <w:shd w:val="clear" w:color="auto" w:fill="auto"/>
          </w:tcPr>
          <w:p w14:paraId="2352D31C" w14:textId="77777777" w:rsidR="00B154B5" w:rsidRPr="00311535" w:rsidRDefault="00B154B5" w:rsidP="00B154B5">
            <w:pPr>
              <w:pStyle w:val="NoSpacing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14:paraId="3B799F9B" w14:textId="0C83D34B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Current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bottom"/>
          </w:tcPr>
          <w:p w14:paraId="43ECCD42" w14:textId="64AB819E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206 (33%)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14:paraId="6E8B2F8C" w14:textId="50748E57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69 (32%)</w:t>
            </w:r>
          </w:p>
        </w:tc>
        <w:tc>
          <w:tcPr>
            <w:tcW w:w="1134" w:type="dxa"/>
            <w:vMerge/>
          </w:tcPr>
          <w:p w14:paraId="6CABEE24" w14:textId="77777777" w:rsidR="00B154B5" w:rsidRPr="00311535" w:rsidRDefault="00B154B5" w:rsidP="00B154B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D66A6" w:rsidRPr="00311535" w14:paraId="4FC9868A" w14:textId="77777777" w:rsidTr="004F1F1C">
        <w:trPr>
          <w:gridAfter w:val="1"/>
          <w:wAfter w:w="8" w:type="dxa"/>
          <w:jc w:val="center"/>
        </w:trPr>
        <w:tc>
          <w:tcPr>
            <w:tcW w:w="3396" w:type="dxa"/>
            <w:gridSpan w:val="3"/>
            <w:shd w:val="clear" w:color="auto" w:fill="auto"/>
          </w:tcPr>
          <w:p w14:paraId="7C1411F5" w14:textId="77777777" w:rsidR="008D66A6" w:rsidRPr="00311535" w:rsidRDefault="008D66A6" w:rsidP="008D66A6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Remained on treatment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</w:tcPr>
          <w:p w14:paraId="2901D54C" w14:textId="61A7AB8E" w:rsidR="008D66A6" w:rsidRPr="00311535" w:rsidRDefault="008D66A6" w:rsidP="008D66A6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480 (77%)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466090A9" w14:textId="17860B23" w:rsidR="008D66A6" w:rsidRPr="00311535" w:rsidRDefault="008D66A6" w:rsidP="008D66A6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172 (81%)</w:t>
            </w:r>
          </w:p>
        </w:tc>
        <w:tc>
          <w:tcPr>
            <w:tcW w:w="1134" w:type="dxa"/>
            <w:vMerge w:val="restart"/>
          </w:tcPr>
          <w:p w14:paraId="019A8B40" w14:textId="3ADD8DF1" w:rsidR="008D66A6" w:rsidRPr="00311535" w:rsidRDefault="008D66A6" w:rsidP="008D66A6">
            <w:pPr>
              <w:pStyle w:val="NoSpacing"/>
              <w:rPr>
                <w:rFonts w:asciiTheme="minorHAnsi" w:eastAsia="Times New Roman" w:hAnsiTheme="minorHAnsi" w:cs="Arial"/>
                <w:lang w:eastAsia="zh-CN"/>
              </w:rPr>
            </w:pPr>
            <w:r w:rsidRPr="00311535">
              <w:rPr>
                <w:rFonts w:asciiTheme="minorHAnsi" w:hAnsiTheme="minorHAnsi" w:cs="Arial"/>
              </w:rPr>
              <w:t>0.540</w:t>
            </w:r>
          </w:p>
          <w:p w14:paraId="20DCC049" w14:textId="77777777" w:rsidR="008D66A6" w:rsidRPr="00311535" w:rsidRDefault="008D66A6" w:rsidP="008D66A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D66A6" w:rsidRPr="00311535" w14:paraId="384CD673" w14:textId="77777777" w:rsidTr="004F1F1C">
        <w:trPr>
          <w:gridAfter w:val="1"/>
          <w:wAfter w:w="8" w:type="dxa"/>
          <w:jc w:val="center"/>
        </w:trPr>
        <w:tc>
          <w:tcPr>
            <w:tcW w:w="1698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14:paraId="013B2F32" w14:textId="77777777" w:rsidR="008D66A6" w:rsidRPr="00311535" w:rsidRDefault="008D66A6" w:rsidP="008D66A6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Stopped treatment</w:t>
            </w: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14:paraId="568E3EDF" w14:textId="77777777" w:rsidR="008D66A6" w:rsidRPr="00311535" w:rsidRDefault="008D66A6" w:rsidP="008D66A6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Adverse events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</w:tcPr>
          <w:p w14:paraId="2A0EC336" w14:textId="6CD280FA" w:rsidR="008D66A6" w:rsidRPr="00311535" w:rsidRDefault="008D66A6" w:rsidP="008D66A6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52 (8%)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1363B787" w14:textId="4F8F2412" w:rsidR="008D66A6" w:rsidRPr="00311535" w:rsidRDefault="008D66A6" w:rsidP="008D66A6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15 (7%)</w:t>
            </w:r>
          </w:p>
        </w:tc>
        <w:tc>
          <w:tcPr>
            <w:tcW w:w="1134" w:type="dxa"/>
            <w:vMerge/>
          </w:tcPr>
          <w:p w14:paraId="73845F67" w14:textId="77777777" w:rsidR="008D66A6" w:rsidRPr="00311535" w:rsidRDefault="008D66A6" w:rsidP="008D66A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D66A6" w:rsidRPr="00311535" w14:paraId="7B50CF31" w14:textId="77777777" w:rsidTr="004F1F1C">
        <w:trPr>
          <w:gridAfter w:val="1"/>
          <w:wAfter w:w="8" w:type="dxa"/>
          <w:jc w:val="center"/>
        </w:trPr>
        <w:tc>
          <w:tcPr>
            <w:tcW w:w="1698" w:type="dxa"/>
            <w:gridSpan w:val="2"/>
            <w:vMerge/>
            <w:tcBorders>
              <w:right w:val="nil"/>
            </w:tcBorders>
            <w:shd w:val="clear" w:color="auto" w:fill="auto"/>
          </w:tcPr>
          <w:p w14:paraId="76CBC022" w14:textId="77777777" w:rsidR="008D66A6" w:rsidRPr="00311535" w:rsidRDefault="008D66A6" w:rsidP="008D66A6">
            <w:pPr>
              <w:pStyle w:val="NoSpacing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14:paraId="0196C7B3" w14:textId="77777777" w:rsidR="008D66A6" w:rsidRPr="00311535" w:rsidRDefault="008D66A6" w:rsidP="008D66A6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Inefficacy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</w:tcPr>
          <w:p w14:paraId="1077CE82" w14:textId="3F721B8F" w:rsidR="008D66A6" w:rsidRPr="00311535" w:rsidRDefault="008D66A6" w:rsidP="008D66A6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43 (7%)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5F3A18B5" w14:textId="3DF4947B" w:rsidR="008D66A6" w:rsidRPr="00311535" w:rsidRDefault="008D66A6" w:rsidP="008D66A6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14 (7%)</w:t>
            </w:r>
          </w:p>
        </w:tc>
        <w:tc>
          <w:tcPr>
            <w:tcW w:w="1134" w:type="dxa"/>
            <w:vMerge/>
          </w:tcPr>
          <w:p w14:paraId="52D2C808" w14:textId="77777777" w:rsidR="008D66A6" w:rsidRPr="00311535" w:rsidRDefault="008D66A6" w:rsidP="008D66A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D66A6" w:rsidRPr="00311535" w14:paraId="2308ACCB" w14:textId="77777777" w:rsidTr="004F1F1C">
        <w:trPr>
          <w:gridAfter w:val="1"/>
          <w:wAfter w:w="8" w:type="dxa"/>
          <w:jc w:val="center"/>
        </w:trPr>
        <w:tc>
          <w:tcPr>
            <w:tcW w:w="1698" w:type="dxa"/>
            <w:gridSpan w:val="2"/>
            <w:vMerge/>
            <w:tcBorders>
              <w:right w:val="nil"/>
            </w:tcBorders>
            <w:shd w:val="clear" w:color="auto" w:fill="auto"/>
          </w:tcPr>
          <w:p w14:paraId="66298768" w14:textId="77777777" w:rsidR="008D66A6" w:rsidRPr="00311535" w:rsidRDefault="008D66A6" w:rsidP="008D66A6">
            <w:pPr>
              <w:pStyle w:val="NoSpacing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698" w:type="dxa"/>
            <w:tcBorders>
              <w:left w:val="nil"/>
            </w:tcBorders>
            <w:shd w:val="clear" w:color="auto" w:fill="auto"/>
          </w:tcPr>
          <w:p w14:paraId="623C7D51" w14:textId="77777777" w:rsidR="008D66A6" w:rsidRPr="00311535" w:rsidRDefault="008D66A6" w:rsidP="008D66A6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Other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</w:tcPr>
          <w:p w14:paraId="45A072C7" w14:textId="3D015C46" w:rsidR="008D66A6" w:rsidRPr="00311535" w:rsidRDefault="008D66A6" w:rsidP="008D66A6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52 (8%)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37601AC7" w14:textId="7422C39D" w:rsidR="008D66A6" w:rsidRPr="00311535" w:rsidRDefault="008D66A6" w:rsidP="008D66A6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12 (6%)</w:t>
            </w:r>
          </w:p>
        </w:tc>
        <w:tc>
          <w:tcPr>
            <w:tcW w:w="1134" w:type="dxa"/>
            <w:vMerge/>
          </w:tcPr>
          <w:p w14:paraId="7CF02000" w14:textId="77777777" w:rsidR="008D66A6" w:rsidRPr="00311535" w:rsidRDefault="008D66A6" w:rsidP="008D66A6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B154B5" w:rsidRPr="00311535" w14:paraId="431334CC" w14:textId="77777777" w:rsidTr="00456821">
        <w:trPr>
          <w:gridAfter w:val="1"/>
          <w:wAfter w:w="8" w:type="dxa"/>
          <w:jc w:val="center"/>
        </w:trPr>
        <w:tc>
          <w:tcPr>
            <w:tcW w:w="3396" w:type="dxa"/>
            <w:gridSpan w:val="3"/>
            <w:shd w:val="clear" w:color="auto" w:fill="auto"/>
          </w:tcPr>
          <w:p w14:paraId="1ED9A6EA" w14:textId="77777777" w:rsidR="00B154B5" w:rsidRPr="00311535" w:rsidRDefault="00B154B5" w:rsidP="00B154B5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  <w:lang w:eastAsia="zh-CN"/>
              </w:rPr>
              <w:t>A</w:t>
            </w:r>
            <w:r w:rsidRPr="00311535">
              <w:rPr>
                <w:rFonts w:asciiTheme="minorHAnsi" w:hAnsiTheme="minorHAnsi"/>
              </w:rPr>
              <w:t>ge, mean (SD) years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bottom"/>
          </w:tcPr>
          <w:p w14:paraId="1EE51735" w14:textId="395C3582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45.6 (13.9)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14:paraId="55B80892" w14:textId="68D088E8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43.8 (12.3)</w:t>
            </w:r>
          </w:p>
        </w:tc>
        <w:tc>
          <w:tcPr>
            <w:tcW w:w="1134" w:type="dxa"/>
            <w:vAlign w:val="bottom"/>
          </w:tcPr>
          <w:p w14:paraId="102DAB59" w14:textId="49C5CD74" w:rsidR="00B154B5" w:rsidRPr="00311535" w:rsidRDefault="00B154B5" w:rsidP="00B154B5">
            <w:pPr>
              <w:pStyle w:val="NoSpacing"/>
              <w:rPr>
                <w:rFonts w:asciiTheme="minorHAnsi" w:hAnsiTheme="minorHAnsi" w:cs="Arial"/>
              </w:rPr>
            </w:pPr>
            <w:r w:rsidRPr="00311535">
              <w:rPr>
                <w:rFonts w:asciiTheme="minorHAnsi" w:hAnsiTheme="minorHAnsi" w:cs="Arial"/>
              </w:rPr>
              <w:t>0.087</w:t>
            </w:r>
          </w:p>
        </w:tc>
      </w:tr>
      <w:tr w:rsidR="00B154B5" w:rsidRPr="00311535" w14:paraId="13AC91AD" w14:textId="77777777" w:rsidTr="00456821">
        <w:trPr>
          <w:gridAfter w:val="1"/>
          <w:wAfter w:w="8" w:type="dxa"/>
          <w:jc w:val="center"/>
        </w:trPr>
        <w:tc>
          <w:tcPr>
            <w:tcW w:w="3396" w:type="dxa"/>
            <w:gridSpan w:val="3"/>
            <w:shd w:val="clear" w:color="auto" w:fill="auto"/>
          </w:tcPr>
          <w:p w14:paraId="52DD4A2E" w14:textId="77777777" w:rsidR="00B154B5" w:rsidRPr="00311535" w:rsidRDefault="00B154B5" w:rsidP="00B154B5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Male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bottom"/>
          </w:tcPr>
          <w:p w14:paraId="0E7398E9" w14:textId="5909F931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430 (69%)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14:paraId="03BDE017" w14:textId="7EDD8290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136 (64%)</w:t>
            </w:r>
          </w:p>
        </w:tc>
        <w:tc>
          <w:tcPr>
            <w:tcW w:w="1134" w:type="dxa"/>
            <w:vAlign w:val="bottom"/>
          </w:tcPr>
          <w:p w14:paraId="264A83BC" w14:textId="3D84006E" w:rsidR="00B154B5" w:rsidRPr="00311535" w:rsidRDefault="00B154B5" w:rsidP="00B154B5">
            <w:pPr>
              <w:pStyle w:val="NoSpacing"/>
              <w:rPr>
                <w:rFonts w:asciiTheme="minorHAnsi" w:hAnsiTheme="minorHAnsi" w:cs="Arial"/>
              </w:rPr>
            </w:pPr>
            <w:r w:rsidRPr="00311535">
              <w:rPr>
                <w:rFonts w:asciiTheme="minorHAnsi" w:hAnsiTheme="minorHAnsi" w:cs="Arial"/>
              </w:rPr>
              <w:t>0.200</w:t>
            </w:r>
          </w:p>
        </w:tc>
      </w:tr>
      <w:tr w:rsidR="00B154B5" w:rsidRPr="00311535" w14:paraId="433B25B9" w14:textId="77777777" w:rsidTr="00456821">
        <w:trPr>
          <w:gridAfter w:val="1"/>
          <w:wAfter w:w="8" w:type="dxa"/>
          <w:jc w:val="center"/>
        </w:trPr>
        <w:tc>
          <w:tcPr>
            <w:tcW w:w="3396" w:type="dxa"/>
            <w:gridSpan w:val="3"/>
            <w:shd w:val="clear" w:color="auto" w:fill="auto"/>
          </w:tcPr>
          <w:p w14:paraId="5E5D4D2C" w14:textId="77777777" w:rsidR="00B154B5" w:rsidRPr="00311535" w:rsidRDefault="00B154B5" w:rsidP="00B154B5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 xml:space="preserve">Meets </w:t>
            </w:r>
            <w:proofErr w:type="spellStart"/>
            <w:r w:rsidRPr="00311535">
              <w:rPr>
                <w:rFonts w:asciiTheme="minorHAnsi" w:hAnsiTheme="minorHAnsi"/>
              </w:rPr>
              <w:t>mNY</w:t>
            </w:r>
            <w:proofErr w:type="spellEnd"/>
            <w:r w:rsidRPr="00311535">
              <w:rPr>
                <w:rFonts w:asciiTheme="minorHAnsi" w:hAnsiTheme="minorHAnsi"/>
              </w:rPr>
              <w:t xml:space="preserve"> criteria for AS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bottom"/>
          </w:tcPr>
          <w:p w14:paraId="3C667B15" w14:textId="3B5E1BDC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389 (62%)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14:paraId="428CB643" w14:textId="0034B238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148 (69%)</w:t>
            </w:r>
          </w:p>
        </w:tc>
        <w:tc>
          <w:tcPr>
            <w:tcW w:w="1134" w:type="dxa"/>
            <w:vAlign w:val="bottom"/>
          </w:tcPr>
          <w:p w14:paraId="2B38F5D1" w14:textId="71D88928" w:rsidR="00B154B5" w:rsidRPr="00311535" w:rsidRDefault="00B154B5" w:rsidP="00B154B5">
            <w:pPr>
              <w:pStyle w:val="NoSpacing"/>
              <w:rPr>
                <w:rFonts w:asciiTheme="minorHAnsi" w:hAnsiTheme="minorHAnsi" w:cs="Arial"/>
              </w:rPr>
            </w:pPr>
            <w:r w:rsidRPr="00311535">
              <w:rPr>
                <w:rFonts w:asciiTheme="minorHAnsi" w:hAnsiTheme="minorHAnsi" w:cs="Arial"/>
              </w:rPr>
              <w:t>0.051</w:t>
            </w:r>
          </w:p>
        </w:tc>
      </w:tr>
      <w:tr w:rsidR="00B154B5" w:rsidRPr="00311535" w14:paraId="2BAFC541" w14:textId="77777777" w:rsidTr="00456821">
        <w:trPr>
          <w:gridAfter w:val="1"/>
          <w:wAfter w:w="8" w:type="dxa"/>
          <w:jc w:val="center"/>
        </w:trPr>
        <w:tc>
          <w:tcPr>
            <w:tcW w:w="3396" w:type="dxa"/>
            <w:gridSpan w:val="3"/>
            <w:shd w:val="clear" w:color="auto" w:fill="auto"/>
          </w:tcPr>
          <w:p w14:paraId="4F22F908" w14:textId="77777777" w:rsidR="00B154B5" w:rsidRPr="00311535" w:rsidRDefault="00B154B5" w:rsidP="00B154B5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HLA-B27 positive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bottom"/>
          </w:tcPr>
          <w:p w14:paraId="0BB8850C" w14:textId="3B022A18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354 (76%)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14:paraId="40D4C85E" w14:textId="2696EE49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115 (77%)</w:t>
            </w:r>
          </w:p>
        </w:tc>
        <w:tc>
          <w:tcPr>
            <w:tcW w:w="1134" w:type="dxa"/>
            <w:vAlign w:val="bottom"/>
          </w:tcPr>
          <w:p w14:paraId="3E17A207" w14:textId="0EB99ACC" w:rsidR="00B154B5" w:rsidRPr="00311535" w:rsidRDefault="00B154B5" w:rsidP="00B154B5">
            <w:pPr>
              <w:pStyle w:val="NoSpacing"/>
              <w:rPr>
                <w:rFonts w:asciiTheme="minorHAnsi" w:hAnsiTheme="minorHAnsi" w:cs="Arial"/>
              </w:rPr>
            </w:pPr>
            <w:r w:rsidRPr="00311535">
              <w:rPr>
                <w:rFonts w:asciiTheme="minorHAnsi" w:hAnsiTheme="minorHAnsi" w:cs="Arial"/>
              </w:rPr>
              <w:t>0.830</w:t>
            </w:r>
          </w:p>
        </w:tc>
      </w:tr>
      <w:tr w:rsidR="00B154B5" w:rsidRPr="00311535" w14:paraId="66EC04A6" w14:textId="77777777" w:rsidTr="00456821">
        <w:trPr>
          <w:gridAfter w:val="1"/>
          <w:wAfter w:w="8" w:type="dxa"/>
          <w:jc w:val="center"/>
        </w:trPr>
        <w:tc>
          <w:tcPr>
            <w:tcW w:w="3396" w:type="dxa"/>
            <w:gridSpan w:val="3"/>
            <w:shd w:val="clear" w:color="auto" w:fill="auto"/>
          </w:tcPr>
          <w:p w14:paraId="112F18DF" w14:textId="77777777" w:rsidR="00B154B5" w:rsidRPr="00311535" w:rsidRDefault="00B154B5" w:rsidP="00B154B5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Elevated CRP*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bottom"/>
          </w:tcPr>
          <w:p w14:paraId="56D9D6B6" w14:textId="2D2840F5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370 (61%)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14:paraId="7E0EEAB1" w14:textId="3F0A9273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117 (60%)</w:t>
            </w:r>
          </w:p>
        </w:tc>
        <w:tc>
          <w:tcPr>
            <w:tcW w:w="1134" w:type="dxa"/>
            <w:vAlign w:val="bottom"/>
          </w:tcPr>
          <w:p w14:paraId="1D4E7BB1" w14:textId="01743711" w:rsidR="00B154B5" w:rsidRPr="00311535" w:rsidRDefault="00B154B5" w:rsidP="00B154B5">
            <w:pPr>
              <w:pStyle w:val="NoSpacing"/>
              <w:rPr>
                <w:rFonts w:asciiTheme="minorHAnsi" w:hAnsiTheme="minorHAnsi" w:cs="Arial"/>
              </w:rPr>
            </w:pPr>
            <w:r w:rsidRPr="00311535">
              <w:rPr>
                <w:rFonts w:asciiTheme="minorHAnsi" w:hAnsiTheme="minorHAnsi" w:cs="Arial"/>
              </w:rPr>
              <w:t>0.680</w:t>
            </w:r>
          </w:p>
        </w:tc>
      </w:tr>
      <w:tr w:rsidR="00B154B5" w:rsidRPr="00311535" w14:paraId="578FD26E" w14:textId="77777777" w:rsidTr="00456821">
        <w:trPr>
          <w:gridAfter w:val="1"/>
          <w:wAfter w:w="8" w:type="dxa"/>
          <w:jc w:val="center"/>
        </w:trPr>
        <w:tc>
          <w:tcPr>
            <w:tcW w:w="3396" w:type="dxa"/>
            <w:gridSpan w:val="3"/>
            <w:shd w:val="clear" w:color="auto" w:fill="auto"/>
          </w:tcPr>
          <w:p w14:paraId="077B3BDC" w14:textId="77777777" w:rsidR="00B154B5" w:rsidRPr="00311535" w:rsidRDefault="00B154B5" w:rsidP="00B154B5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  <w:lang w:eastAsia="zh-CN"/>
              </w:rPr>
              <w:t>S</w:t>
            </w:r>
            <w:r w:rsidRPr="00311535">
              <w:rPr>
                <w:rFonts w:asciiTheme="minorHAnsi" w:hAnsiTheme="minorHAnsi"/>
              </w:rPr>
              <w:t>ymptom duration, median (IQR) years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bottom"/>
          </w:tcPr>
          <w:p w14:paraId="1DB41B73" w14:textId="18449293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15.6 (6.4 to 29.1)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14:paraId="218DCAEB" w14:textId="3A9876F2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13.2 (5.3 to 23.9)</w:t>
            </w:r>
          </w:p>
        </w:tc>
        <w:tc>
          <w:tcPr>
            <w:tcW w:w="1134" w:type="dxa"/>
            <w:vAlign w:val="bottom"/>
          </w:tcPr>
          <w:p w14:paraId="57AE5F6E" w14:textId="5EEE8622" w:rsidR="00B154B5" w:rsidRPr="00311535" w:rsidRDefault="00B154B5" w:rsidP="00B154B5">
            <w:pPr>
              <w:pStyle w:val="NoSpacing"/>
              <w:rPr>
                <w:rFonts w:asciiTheme="minorHAnsi" w:hAnsiTheme="minorHAnsi" w:cs="Arial"/>
              </w:rPr>
            </w:pPr>
            <w:r w:rsidRPr="00311535">
              <w:rPr>
                <w:rFonts w:asciiTheme="minorHAnsi" w:hAnsiTheme="minorHAnsi" w:cs="Arial"/>
              </w:rPr>
              <w:t>0.019</w:t>
            </w:r>
          </w:p>
        </w:tc>
      </w:tr>
      <w:tr w:rsidR="00B154B5" w:rsidRPr="00311535" w14:paraId="6F22DF9C" w14:textId="77777777" w:rsidTr="00456821">
        <w:trPr>
          <w:gridAfter w:val="1"/>
          <w:wAfter w:w="8" w:type="dxa"/>
          <w:jc w:val="center"/>
        </w:trPr>
        <w:tc>
          <w:tcPr>
            <w:tcW w:w="33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88AD23" w14:textId="77777777" w:rsidR="00B154B5" w:rsidRPr="00311535" w:rsidRDefault="00B154B5" w:rsidP="00B154B5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BMI, mean (SD)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bottom"/>
          </w:tcPr>
          <w:p w14:paraId="6D66F61F" w14:textId="36F986A1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28.0 (5.5)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14:paraId="21FCFE5F" w14:textId="4E548904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27.7 (6.2)</w:t>
            </w:r>
          </w:p>
        </w:tc>
        <w:tc>
          <w:tcPr>
            <w:tcW w:w="1134" w:type="dxa"/>
            <w:vAlign w:val="bottom"/>
          </w:tcPr>
          <w:p w14:paraId="01B746C7" w14:textId="0C114CBD" w:rsidR="00B154B5" w:rsidRPr="00311535" w:rsidRDefault="00B154B5" w:rsidP="00B154B5">
            <w:pPr>
              <w:pStyle w:val="NoSpacing"/>
              <w:rPr>
                <w:rFonts w:asciiTheme="minorHAnsi" w:hAnsiTheme="minorHAnsi" w:cs="Arial"/>
              </w:rPr>
            </w:pPr>
            <w:r w:rsidRPr="00311535">
              <w:rPr>
                <w:rFonts w:asciiTheme="minorHAnsi" w:hAnsiTheme="minorHAnsi" w:cs="Arial"/>
              </w:rPr>
              <w:t>0.620</w:t>
            </w:r>
          </w:p>
        </w:tc>
      </w:tr>
      <w:tr w:rsidR="00B154B5" w:rsidRPr="00311535" w14:paraId="23B17F88" w14:textId="77777777" w:rsidTr="00456821">
        <w:trPr>
          <w:gridAfter w:val="1"/>
          <w:wAfter w:w="8" w:type="dxa"/>
          <w:trHeight w:val="241"/>
          <w:jc w:val="center"/>
        </w:trPr>
        <w:tc>
          <w:tcPr>
            <w:tcW w:w="1554" w:type="dxa"/>
            <w:vMerge w:val="restart"/>
            <w:tcBorders>
              <w:right w:val="nil"/>
            </w:tcBorders>
            <w:shd w:val="clear" w:color="auto" w:fill="auto"/>
          </w:tcPr>
          <w:p w14:paraId="27E96108" w14:textId="77777777" w:rsidR="00B154B5" w:rsidRPr="00311535" w:rsidRDefault="00B154B5" w:rsidP="00B154B5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Quintiles of Index of Multiple Deprivation</w:t>
            </w:r>
          </w:p>
        </w:tc>
        <w:tc>
          <w:tcPr>
            <w:tcW w:w="1842" w:type="dxa"/>
            <w:gridSpan w:val="2"/>
            <w:tcBorders>
              <w:left w:val="nil"/>
            </w:tcBorders>
            <w:shd w:val="clear" w:color="auto" w:fill="auto"/>
          </w:tcPr>
          <w:p w14:paraId="3F3C35F7" w14:textId="5E635204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1, most deprived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bottom"/>
          </w:tcPr>
          <w:p w14:paraId="03EF1834" w14:textId="38BA3FDC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132 (21%)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68043B5" w14:textId="5182864F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35 (16%)</w:t>
            </w:r>
          </w:p>
        </w:tc>
        <w:tc>
          <w:tcPr>
            <w:tcW w:w="1134" w:type="dxa"/>
            <w:vMerge w:val="restart"/>
          </w:tcPr>
          <w:p w14:paraId="01B22ECE" w14:textId="2E3DD677" w:rsidR="00B154B5" w:rsidRPr="00311535" w:rsidRDefault="00B154B5" w:rsidP="00B154B5">
            <w:pPr>
              <w:pStyle w:val="NoSpacing"/>
              <w:rPr>
                <w:rFonts w:asciiTheme="minorHAnsi" w:eastAsia="Times New Roman" w:hAnsiTheme="minorHAnsi" w:cs="Arial"/>
                <w:lang w:eastAsia="zh-CN"/>
              </w:rPr>
            </w:pPr>
            <w:r w:rsidRPr="00311535">
              <w:rPr>
                <w:rFonts w:asciiTheme="minorHAnsi" w:hAnsiTheme="minorHAnsi" w:cs="Arial"/>
              </w:rPr>
              <w:t>&lt;0.001**</w:t>
            </w:r>
          </w:p>
          <w:p w14:paraId="2BBA4338" w14:textId="77777777" w:rsidR="00B154B5" w:rsidRPr="00311535" w:rsidRDefault="00B154B5" w:rsidP="00B154B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B154B5" w:rsidRPr="00311535" w14:paraId="4A53296B" w14:textId="77777777" w:rsidTr="00456821">
        <w:trPr>
          <w:gridAfter w:val="1"/>
          <w:wAfter w:w="8" w:type="dxa"/>
          <w:trHeight w:val="241"/>
          <w:jc w:val="center"/>
        </w:trPr>
        <w:tc>
          <w:tcPr>
            <w:tcW w:w="1554" w:type="dxa"/>
            <w:vMerge/>
            <w:tcBorders>
              <w:right w:val="nil"/>
            </w:tcBorders>
            <w:shd w:val="clear" w:color="auto" w:fill="auto"/>
          </w:tcPr>
          <w:p w14:paraId="6B765A1F" w14:textId="77777777" w:rsidR="00B154B5" w:rsidRPr="00311535" w:rsidRDefault="00B154B5" w:rsidP="00B154B5">
            <w:pPr>
              <w:pStyle w:val="NoSpacing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842" w:type="dxa"/>
            <w:gridSpan w:val="2"/>
            <w:tcBorders>
              <w:left w:val="nil"/>
            </w:tcBorders>
            <w:shd w:val="clear" w:color="auto" w:fill="auto"/>
          </w:tcPr>
          <w:p w14:paraId="366C4FAC" w14:textId="77777777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2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bottom"/>
          </w:tcPr>
          <w:p w14:paraId="74394F6D" w14:textId="72387619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106 (17%)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5A8EF8C" w14:textId="513C6AD2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37 (17%)</w:t>
            </w:r>
          </w:p>
        </w:tc>
        <w:tc>
          <w:tcPr>
            <w:tcW w:w="1134" w:type="dxa"/>
            <w:vMerge/>
          </w:tcPr>
          <w:p w14:paraId="4CFABDE0" w14:textId="77777777" w:rsidR="00B154B5" w:rsidRPr="00311535" w:rsidRDefault="00B154B5" w:rsidP="00B154B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B154B5" w:rsidRPr="00311535" w14:paraId="52E01D54" w14:textId="77777777" w:rsidTr="00456821">
        <w:trPr>
          <w:gridAfter w:val="1"/>
          <w:wAfter w:w="8" w:type="dxa"/>
          <w:trHeight w:val="241"/>
          <w:jc w:val="center"/>
        </w:trPr>
        <w:tc>
          <w:tcPr>
            <w:tcW w:w="1554" w:type="dxa"/>
            <w:vMerge/>
            <w:tcBorders>
              <w:right w:val="nil"/>
            </w:tcBorders>
            <w:shd w:val="clear" w:color="auto" w:fill="auto"/>
          </w:tcPr>
          <w:p w14:paraId="7368CF0D" w14:textId="77777777" w:rsidR="00B154B5" w:rsidRPr="00311535" w:rsidRDefault="00B154B5" w:rsidP="00B154B5">
            <w:pPr>
              <w:pStyle w:val="NoSpacing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842" w:type="dxa"/>
            <w:gridSpan w:val="2"/>
            <w:tcBorders>
              <w:left w:val="nil"/>
            </w:tcBorders>
            <w:shd w:val="clear" w:color="auto" w:fill="auto"/>
          </w:tcPr>
          <w:p w14:paraId="16DC161E" w14:textId="77777777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3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bottom"/>
          </w:tcPr>
          <w:p w14:paraId="1449420F" w14:textId="093C2E51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118 (19%)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9780606" w14:textId="22CD8FFD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48 (23%)</w:t>
            </w:r>
          </w:p>
        </w:tc>
        <w:tc>
          <w:tcPr>
            <w:tcW w:w="1134" w:type="dxa"/>
            <w:vMerge/>
          </w:tcPr>
          <w:p w14:paraId="6C8C0671" w14:textId="77777777" w:rsidR="00B154B5" w:rsidRPr="00311535" w:rsidRDefault="00B154B5" w:rsidP="00B154B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B154B5" w:rsidRPr="00311535" w14:paraId="5BED1427" w14:textId="77777777" w:rsidTr="00456821">
        <w:trPr>
          <w:gridAfter w:val="1"/>
          <w:wAfter w:w="8" w:type="dxa"/>
          <w:trHeight w:val="241"/>
          <w:jc w:val="center"/>
        </w:trPr>
        <w:tc>
          <w:tcPr>
            <w:tcW w:w="1554" w:type="dxa"/>
            <w:vMerge/>
            <w:tcBorders>
              <w:right w:val="nil"/>
            </w:tcBorders>
            <w:shd w:val="clear" w:color="auto" w:fill="auto"/>
          </w:tcPr>
          <w:p w14:paraId="7AD1F827" w14:textId="77777777" w:rsidR="00B154B5" w:rsidRPr="00311535" w:rsidRDefault="00B154B5" w:rsidP="00B154B5">
            <w:pPr>
              <w:pStyle w:val="NoSpacing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842" w:type="dxa"/>
            <w:gridSpan w:val="2"/>
            <w:tcBorders>
              <w:left w:val="nil"/>
            </w:tcBorders>
            <w:shd w:val="clear" w:color="auto" w:fill="auto"/>
          </w:tcPr>
          <w:p w14:paraId="6429EBCC" w14:textId="77777777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4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bottom"/>
          </w:tcPr>
          <w:p w14:paraId="3747E639" w14:textId="4A73CD38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149 (24%)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C57EEE0" w14:textId="7DDA280A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49 (23%)</w:t>
            </w:r>
          </w:p>
        </w:tc>
        <w:tc>
          <w:tcPr>
            <w:tcW w:w="1134" w:type="dxa"/>
            <w:vMerge/>
          </w:tcPr>
          <w:p w14:paraId="3473DCDF" w14:textId="77777777" w:rsidR="00B154B5" w:rsidRPr="00311535" w:rsidRDefault="00B154B5" w:rsidP="00B154B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B154B5" w:rsidRPr="00311535" w14:paraId="52E47260" w14:textId="77777777" w:rsidTr="00456821">
        <w:trPr>
          <w:gridAfter w:val="1"/>
          <w:wAfter w:w="8" w:type="dxa"/>
          <w:trHeight w:val="241"/>
          <w:jc w:val="center"/>
        </w:trPr>
        <w:tc>
          <w:tcPr>
            <w:tcW w:w="1554" w:type="dxa"/>
            <w:vMerge/>
            <w:tcBorders>
              <w:right w:val="nil"/>
            </w:tcBorders>
            <w:shd w:val="clear" w:color="auto" w:fill="auto"/>
          </w:tcPr>
          <w:p w14:paraId="312AFE66" w14:textId="77777777" w:rsidR="00B154B5" w:rsidRPr="00311535" w:rsidRDefault="00B154B5" w:rsidP="00B154B5">
            <w:pPr>
              <w:pStyle w:val="NoSpacing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842" w:type="dxa"/>
            <w:gridSpan w:val="2"/>
            <w:tcBorders>
              <w:left w:val="nil"/>
            </w:tcBorders>
            <w:shd w:val="clear" w:color="auto" w:fill="auto"/>
          </w:tcPr>
          <w:p w14:paraId="596E6DEA" w14:textId="72137809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5, most affluent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bottom"/>
          </w:tcPr>
          <w:p w14:paraId="7C7B8232" w14:textId="4B5F0E0B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122 (19%)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93EB05A" w14:textId="65738B32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44 (21%)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5002DA8" w14:textId="77777777" w:rsidR="00B154B5" w:rsidRPr="00311535" w:rsidRDefault="00B154B5" w:rsidP="00B154B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B154B5" w:rsidRPr="00311535" w14:paraId="32E1B3B5" w14:textId="77777777" w:rsidTr="00456821">
        <w:trPr>
          <w:gridAfter w:val="1"/>
          <w:wAfter w:w="8" w:type="dxa"/>
          <w:jc w:val="center"/>
        </w:trPr>
        <w:tc>
          <w:tcPr>
            <w:tcW w:w="1554" w:type="dxa"/>
            <w:vMerge w:val="restart"/>
            <w:tcBorders>
              <w:right w:val="nil"/>
            </w:tcBorders>
            <w:shd w:val="clear" w:color="auto" w:fill="auto"/>
          </w:tcPr>
          <w:p w14:paraId="2104BFBE" w14:textId="77777777" w:rsidR="00B154B5" w:rsidRPr="00311535" w:rsidRDefault="00B154B5" w:rsidP="00B154B5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Highest level of education</w:t>
            </w:r>
          </w:p>
        </w:tc>
        <w:tc>
          <w:tcPr>
            <w:tcW w:w="1842" w:type="dxa"/>
            <w:gridSpan w:val="2"/>
            <w:tcBorders>
              <w:left w:val="nil"/>
            </w:tcBorders>
            <w:shd w:val="clear" w:color="auto" w:fill="auto"/>
          </w:tcPr>
          <w:p w14:paraId="4E3CA0F5" w14:textId="77777777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Secondary school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bottom"/>
          </w:tcPr>
          <w:p w14:paraId="06F7B50B" w14:textId="3E40DEDB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225 (36%)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14:paraId="67E918E5" w14:textId="282330A7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65 (31%)</w:t>
            </w:r>
          </w:p>
        </w:tc>
        <w:tc>
          <w:tcPr>
            <w:tcW w:w="1134" w:type="dxa"/>
            <w:vMerge w:val="restart"/>
          </w:tcPr>
          <w:p w14:paraId="746D0858" w14:textId="34B1F21B" w:rsidR="00B154B5" w:rsidRPr="00311535" w:rsidRDefault="00B154B5" w:rsidP="00B154B5">
            <w:pPr>
              <w:pStyle w:val="NoSpacing"/>
              <w:rPr>
                <w:rFonts w:asciiTheme="minorHAnsi" w:eastAsia="Times New Roman" w:hAnsiTheme="minorHAnsi" w:cs="Arial"/>
                <w:lang w:eastAsia="zh-CN"/>
              </w:rPr>
            </w:pPr>
            <w:r w:rsidRPr="00311535">
              <w:rPr>
                <w:rFonts w:asciiTheme="minorHAnsi" w:hAnsiTheme="minorHAnsi" w:cs="Arial"/>
              </w:rPr>
              <w:t>0.014</w:t>
            </w:r>
          </w:p>
          <w:p w14:paraId="15E5FB2D" w14:textId="77777777" w:rsidR="00B154B5" w:rsidRPr="00311535" w:rsidRDefault="00B154B5" w:rsidP="00B154B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B154B5" w:rsidRPr="00311535" w14:paraId="509353C6" w14:textId="77777777" w:rsidTr="00456821">
        <w:trPr>
          <w:gridAfter w:val="1"/>
          <w:wAfter w:w="8" w:type="dxa"/>
          <w:jc w:val="center"/>
        </w:trPr>
        <w:tc>
          <w:tcPr>
            <w:tcW w:w="1554" w:type="dxa"/>
            <w:vMerge/>
            <w:tcBorders>
              <w:right w:val="nil"/>
            </w:tcBorders>
            <w:shd w:val="clear" w:color="auto" w:fill="auto"/>
          </w:tcPr>
          <w:p w14:paraId="17B7EFBD" w14:textId="77777777" w:rsidR="00B154B5" w:rsidRPr="00311535" w:rsidRDefault="00B154B5" w:rsidP="00B154B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842" w:type="dxa"/>
            <w:gridSpan w:val="2"/>
            <w:tcBorders>
              <w:left w:val="nil"/>
            </w:tcBorders>
            <w:shd w:val="clear" w:color="auto" w:fill="auto"/>
          </w:tcPr>
          <w:p w14:paraId="0674D5FE" w14:textId="77777777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Apprenticeship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bottom"/>
          </w:tcPr>
          <w:p w14:paraId="4B422AD1" w14:textId="61C0E49A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62 (10%)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14:paraId="447180F2" w14:textId="10FC2FE5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16 (8%)</w:t>
            </w:r>
          </w:p>
        </w:tc>
        <w:tc>
          <w:tcPr>
            <w:tcW w:w="1134" w:type="dxa"/>
            <w:vMerge/>
          </w:tcPr>
          <w:p w14:paraId="516CA8C4" w14:textId="77777777" w:rsidR="00B154B5" w:rsidRPr="00311535" w:rsidRDefault="00B154B5" w:rsidP="00B154B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B154B5" w:rsidRPr="00311535" w14:paraId="7007F8EE" w14:textId="77777777" w:rsidTr="00456821">
        <w:trPr>
          <w:gridAfter w:val="1"/>
          <w:wAfter w:w="8" w:type="dxa"/>
          <w:jc w:val="center"/>
        </w:trPr>
        <w:tc>
          <w:tcPr>
            <w:tcW w:w="1554" w:type="dxa"/>
            <w:vMerge/>
            <w:tcBorders>
              <w:right w:val="nil"/>
            </w:tcBorders>
            <w:shd w:val="clear" w:color="auto" w:fill="auto"/>
          </w:tcPr>
          <w:p w14:paraId="3F01B456" w14:textId="77777777" w:rsidR="00B154B5" w:rsidRPr="00311535" w:rsidRDefault="00B154B5" w:rsidP="00B154B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842" w:type="dxa"/>
            <w:gridSpan w:val="2"/>
            <w:tcBorders>
              <w:left w:val="nil"/>
            </w:tcBorders>
            <w:shd w:val="clear" w:color="auto" w:fill="auto"/>
          </w:tcPr>
          <w:p w14:paraId="3F70262D" w14:textId="77777777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Further education college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bottom"/>
          </w:tcPr>
          <w:p w14:paraId="4C756B82" w14:textId="0A75B915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191 (31%)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14:paraId="4FAA27ED" w14:textId="722886AD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65 (31%)</w:t>
            </w:r>
          </w:p>
        </w:tc>
        <w:tc>
          <w:tcPr>
            <w:tcW w:w="1134" w:type="dxa"/>
            <w:vMerge/>
          </w:tcPr>
          <w:p w14:paraId="4DCA96CC" w14:textId="77777777" w:rsidR="00B154B5" w:rsidRPr="00311535" w:rsidRDefault="00B154B5" w:rsidP="00B154B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B154B5" w:rsidRPr="00311535" w14:paraId="72B17C71" w14:textId="77777777" w:rsidTr="00456821">
        <w:trPr>
          <w:gridAfter w:val="1"/>
          <w:wAfter w:w="8" w:type="dxa"/>
          <w:jc w:val="center"/>
        </w:trPr>
        <w:tc>
          <w:tcPr>
            <w:tcW w:w="1554" w:type="dxa"/>
            <w:vMerge/>
            <w:tcBorders>
              <w:right w:val="nil"/>
            </w:tcBorders>
            <w:shd w:val="clear" w:color="auto" w:fill="auto"/>
          </w:tcPr>
          <w:p w14:paraId="7CE5C715" w14:textId="77777777" w:rsidR="00B154B5" w:rsidRPr="00311535" w:rsidRDefault="00B154B5" w:rsidP="00B154B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842" w:type="dxa"/>
            <w:gridSpan w:val="2"/>
            <w:tcBorders>
              <w:left w:val="nil"/>
            </w:tcBorders>
            <w:shd w:val="clear" w:color="auto" w:fill="auto"/>
          </w:tcPr>
          <w:p w14:paraId="16135DF4" w14:textId="77777777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University degree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bottom"/>
          </w:tcPr>
          <w:p w14:paraId="00080DB8" w14:textId="42689E34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112 (18%)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14:paraId="50030889" w14:textId="422CB7BD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43 (20%)</w:t>
            </w:r>
          </w:p>
        </w:tc>
        <w:tc>
          <w:tcPr>
            <w:tcW w:w="1134" w:type="dxa"/>
            <w:vMerge/>
          </w:tcPr>
          <w:p w14:paraId="1F6B4E8F" w14:textId="77777777" w:rsidR="00B154B5" w:rsidRPr="00311535" w:rsidRDefault="00B154B5" w:rsidP="00B154B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B154B5" w:rsidRPr="00311535" w14:paraId="36EB8C12" w14:textId="77777777" w:rsidTr="00456821">
        <w:trPr>
          <w:gridAfter w:val="1"/>
          <w:wAfter w:w="8" w:type="dxa"/>
          <w:jc w:val="center"/>
        </w:trPr>
        <w:tc>
          <w:tcPr>
            <w:tcW w:w="1554" w:type="dxa"/>
            <w:vMerge/>
            <w:tcBorders>
              <w:right w:val="nil"/>
            </w:tcBorders>
            <w:shd w:val="clear" w:color="auto" w:fill="auto"/>
          </w:tcPr>
          <w:p w14:paraId="1DFFF99B" w14:textId="77777777" w:rsidR="00B154B5" w:rsidRPr="00311535" w:rsidRDefault="00B154B5" w:rsidP="00B154B5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842" w:type="dxa"/>
            <w:gridSpan w:val="2"/>
            <w:tcBorders>
              <w:left w:val="nil"/>
            </w:tcBorders>
            <w:shd w:val="clear" w:color="auto" w:fill="auto"/>
          </w:tcPr>
          <w:p w14:paraId="00178136" w14:textId="77777777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Further degree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bottom"/>
          </w:tcPr>
          <w:p w14:paraId="20C49630" w14:textId="16ED8A03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29 (5%)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14:paraId="30C2714D" w14:textId="381052ED" w:rsidR="00B154B5" w:rsidRPr="00311535" w:rsidRDefault="00B154B5" w:rsidP="00B154B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23 (11%)</w:t>
            </w:r>
          </w:p>
        </w:tc>
        <w:tc>
          <w:tcPr>
            <w:tcW w:w="1134" w:type="dxa"/>
            <w:vMerge/>
          </w:tcPr>
          <w:p w14:paraId="2E81717D" w14:textId="77777777" w:rsidR="00B154B5" w:rsidRPr="00311535" w:rsidRDefault="00B154B5" w:rsidP="00B154B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311535" w:rsidRPr="00311535" w14:paraId="2836626C" w14:textId="77777777" w:rsidTr="00456821">
        <w:trPr>
          <w:gridAfter w:val="1"/>
          <w:wAfter w:w="8" w:type="dxa"/>
          <w:trHeight w:val="241"/>
          <w:jc w:val="center"/>
        </w:trPr>
        <w:tc>
          <w:tcPr>
            <w:tcW w:w="1554" w:type="dxa"/>
            <w:vMerge w:val="restart"/>
            <w:tcBorders>
              <w:right w:val="nil"/>
            </w:tcBorders>
            <w:shd w:val="clear" w:color="auto" w:fill="auto"/>
          </w:tcPr>
          <w:p w14:paraId="05696935" w14:textId="77777777" w:rsidR="00311535" w:rsidRPr="00311535" w:rsidRDefault="00311535" w:rsidP="00311535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Alcohol status</w:t>
            </w:r>
          </w:p>
        </w:tc>
        <w:tc>
          <w:tcPr>
            <w:tcW w:w="1842" w:type="dxa"/>
            <w:gridSpan w:val="2"/>
            <w:tcBorders>
              <w:left w:val="nil"/>
            </w:tcBorders>
            <w:shd w:val="clear" w:color="auto" w:fill="auto"/>
          </w:tcPr>
          <w:p w14:paraId="37F5C17D" w14:textId="77777777" w:rsidR="00311535" w:rsidRPr="00311535" w:rsidRDefault="00311535" w:rsidP="00311535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Current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bottom"/>
          </w:tcPr>
          <w:p w14:paraId="6A0CAAD4" w14:textId="6EDDB172" w:rsidR="00311535" w:rsidRPr="00311535" w:rsidRDefault="00311535" w:rsidP="0031153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456 (73%)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3027FBB" w14:textId="49ED5188" w:rsidR="00311535" w:rsidRPr="00311535" w:rsidRDefault="00311535" w:rsidP="0031153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144 (68%)</w:t>
            </w:r>
          </w:p>
        </w:tc>
        <w:tc>
          <w:tcPr>
            <w:tcW w:w="1134" w:type="dxa"/>
            <w:vMerge w:val="restart"/>
          </w:tcPr>
          <w:p w14:paraId="11EACDF4" w14:textId="6BD5C60E" w:rsidR="00311535" w:rsidRPr="00311535" w:rsidRDefault="00311535" w:rsidP="00311535">
            <w:pPr>
              <w:pStyle w:val="NoSpacing"/>
              <w:rPr>
                <w:rFonts w:asciiTheme="minorHAnsi" w:eastAsia="Times New Roman" w:hAnsiTheme="minorHAnsi" w:cs="Arial"/>
                <w:lang w:eastAsia="zh-CN"/>
              </w:rPr>
            </w:pPr>
            <w:r w:rsidRPr="00311535">
              <w:rPr>
                <w:rFonts w:asciiTheme="minorHAnsi" w:hAnsiTheme="minorHAnsi" w:cs="Arial"/>
              </w:rPr>
              <w:t>0.380</w:t>
            </w:r>
          </w:p>
          <w:p w14:paraId="77EBB2C7" w14:textId="77777777" w:rsidR="00311535" w:rsidRPr="00311535" w:rsidRDefault="00311535" w:rsidP="0031153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311535" w:rsidRPr="00311535" w14:paraId="38786DCE" w14:textId="77777777" w:rsidTr="00456821">
        <w:trPr>
          <w:gridAfter w:val="1"/>
          <w:wAfter w:w="8" w:type="dxa"/>
          <w:trHeight w:val="241"/>
          <w:jc w:val="center"/>
        </w:trPr>
        <w:tc>
          <w:tcPr>
            <w:tcW w:w="1554" w:type="dxa"/>
            <w:vMerge/>
            <w:tcBorders>
              <w:right w:val="nil"/>
            </w:tcBorders>
            <w:shd w:val="clear" w:color="auto" w:fill="auto"/>
          </w:tcPr>
          <w:p w14:paraId="496A92E3" w14:textId="77777777" w:rsidR="00311535" w:rsidRPr="00311535" w:rsidRDefault="00311535" w:rsidP="00311535">
            <w:pPr>
              <w:pStyle w:val="NoSpacing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842" w:type="dxa"/>
            <w:gridSpan w:val="2"/>
            <w:tcBorders>
              <w:left w:val="nil"/>
            </w:tcBorders>
            <w:shd w:val="clear" w:color="auto" w:fill="auto"/>
          </w:tcPr>
          <w:p w14:paraId="1891FD83" w14:textId="77777777" w:rsidR="00311535" w:rsidRPr="00311535" w:rsidRDefault="00311535" w:rsidP="00311535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Ex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bottom"/>
          </w:tcPr>
          <w:p w14:paraId="33B74569" w14:textId="2DEE2E54" w:rsidR="00311535" w:rsidRPr="00311535" w:rsidRDefault="00311535" w:rsidP="0031153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113 (18%)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8EE972D" w14:textId="6F94F4E8" w:rsidR="00311535" w:rsidRPr="00311535" w:rsidRDefault="00311535" w:rsidP="0031153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46 (22%)</w:t>
            </w:r>
          </w:p>
        </w:tc>
        <w:tc>
          <w:tcPr>
            <w:tcW w:w="1134" w:type="dxa"/>
            <w:vMerge/>
          </w:tcPr>
          <w:p w14:paraId="142A5E82" w14:textId="77777777" w:rsidR="00311535" w:rsidRPr="00311535" w:rsidRDefault="00311535" w:rsidP="0031153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311535" w:rsidRPr="00311535" w14:paraId="76110190" w14:textId="77777777" w:rsidTr="00456821">
        <w:trPr>
          <w:gridAfter w:val="1"/>
          <w:wAfter w:w="8" w:type="dxa"/>
          <w:trHeight w:val="241"/>
          <w:jc w:val="center"/>
        </w:trPr>
        <w:tc>
          <w:tcPr>
            <w:tcW w:w="1554" w:type="dxa"/>
            <w:vMerge/>
            <w:tcBorders>
              <w:right w:val="nil"/>
            </w:tcBorders>
            <w:shd w:val="clear" w:color="auto" w:fill="auto"/>
          </w:tcPr>
          <w:p w14:paraId="7F1943BC" w14:textId="77777777" w:rsidR="00311535" w:rsidRPr="00311535" w:rsidRDefault="00311535" w:rsidP="00311535">
            <w:pPr>
              <w:pStyle w:val="NoSpacing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842" w:type="dxa"/>
            <w:gridSpan w:val="2"/>
            <w:tcBorders>
              <w:left w:val="nil"/>
            </w:tcBorders>
            <w:shd w:val="clear" w:color="auto" w:fill="auto"/>
          </w:tcPr>
          <w:p w14:paraId="07488394" w14:textId="77777777" w:rsidR="00311535" w:rsidRPr="00311535" w:rsidRDefault="00311535" w:rsidP="00311535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Never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bottom"/>
          </w:tcPr>
          <w:p w14:paraId="03EC770C" w14:textId="537D89FA" w:rsidR="00311535" w:rsidRPr="00311535" w:rsidRDefault="00311535" w:rsidP="0031153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57 (9%)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19FB644" w14:textId="1223295E" w:rsidR="00311535" w:rsidRPr="00311535" w:rsidRDefault="00311535" w:rsidP="0031153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22 (10%)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7201D4F" w14:textId="77777777" w:rsidR="00311535" w:rsidRPr="00311535" w:rsidRDefault="00311535" w:rsidP="0031153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311535" w:rsidRPr="00311535" w14:paraId="7AC42912" w14:textId="77777777" w:rsidTr="00776258">
        <w:trPr>
          <w:gridAfter w:val="1"/>
          <w:wAfter w:w="8" w:type="dxa"/>
          <w:trHeight w:val="241"/>
          <w:jc w:val="center"/>
        </w:trPr>
        <w:tc>
          <w:tcPr>
            <w:tcW w:w="1554" w:type="dxa"/>
            <w:vMerge w:val="restart"/>
            <w:tcBorders>
              <w:right w:val="nil"/>
            </w:tcBorders>
            <w:shd w:val="clear" w:color="auto" w:fill="auto"/>
          </w:tcPr>
          <w:p w14:paraId="0575F56A" w14:textId="77777777" w:rsidR="00311535" w:rsidRPr="00311535" w:rsidRDefault="00311535" w:rsidP="00311535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Number of comorbidities</w:t>
            </w:r>
          </w:p>
        </w:tc>
        <w:tc>
          <w:tcPr>
            <w:tcW w:w="1842" w:type="dxa"/>
            <w:gridSpan w:val="2"/>
            <w:tcBorders>
              <w:left w:val="nil"/>
            </w:tcBorders>
            <w:shd w:val="clear" w:color="auto" w:fill="auto"/>
          </w:tcPr>
          <w:p w14:paraId="19549FFA" w14:textId="77777777" w:rsidR="00311535" w:rsidRPr="00311535" w:rsidRDefault="00311535" w:rsidP="00311535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0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</w:tcPr>
          <w:p w14:paraId="5E8A03B3" w14:textId="37DAB8CD" w:rsidR="00311535" w:rsidRPr="00311535" w:rsidRDefault="00311535" w:rsidP="0031153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339 (54%)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6FBCC79C" w14:textId="0F9E200E" w:rsidR="00311535" w:rsidRPr="00311535" w:rsidRDefault="00311535" w:rsidP="0031153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129 (61%)</w:t>
            </w:r>
          </w:p>
        </w:tc>
        <w:tc>
          <w:tcPr>
            <w:tcW w:w="1134" w:type="dxa"/>
            <w:vMerge w:val="restart"/>
          </w:tcPr>
          <w:p w14:paraId="3842A6DB" w14:textId="2258619C" w:rsidR="00311535" w:rsidRPr="00311535" w:rsidRDefault="00311535" w:rsidP="00311535">
            <w:pPr>
              <w:pStyle w:val="NoSpacing"/>
              <w:rPr>
                <w:rFonts w:asciiTheme="minorHAnsi" w:eastAsia="Times New Roman" w:hAnsiTheme="minorHAnsi" w:cs="Arial"/>
                <w:lang w:eastAsia="zh-CN"/>
              </w:rPr>
            </w:pPr>
            <w:r w:rsidRPr="00311535">
              <w:rPr>
                <w:rFonts w:asciiTheme="minorHAnsi" w:hAnsiTheme="minorHAnsi" w:cs="Arial"/>
              </w:rPr>
              <w:t>0.025**</w:t>
            </w:r>
          </w:p>
          <w:p w14:paraId="7007EAB6" w14:textId="77777777" w:rsidR="00311535" w:rsidRPr="00311535" w:rsidRDefault="00311535" w:rsidP="00311535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311535" w:rsidRPr="00311535" w14:paraId="28FB1507" w14:textId="77777777" w:rsidTr="00776258">
        <w:trPr>
          <w:gridAfter w:val="1"/>
          <w:wAfter w:w="8" w:type="dxa"/>
          <w:trHeight w:val="241"/>
          <w:jc w:val="center"/>
        </w:trPr>
        <w:tc>
          <w:tcPr>
            <w:tcW w:w="1554" w:type="dxa"/>
            <w:vMerge/>
            <w:tcBorders>
              <w:right w:val="nil"/>
            </w:tcBorders>
            <w:shd w:val="clear" w:color="auto" w:fill="auto"/>
          </w:tcPr>
          <w:p w14:paraId="5268998A" w14:textId="77777777" w:rsidR="00311535" w:rsidRPr="00311535" w:rsidRDefault="00311535" w:rsidP="00311535">
            <w:pPr>
              <w:pStyle w:val="NoSpacing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842" w:type="dxa"/>
            <w:gridSpan w:val="2"/>
            <w:tcBorders>
              <w:left w:val="nil"/>
            </w:tcBorders>
            <w:shd w:val="clear" w:color="auto" w:fill="auto"/>
          </w:tcPr>
          <w:p w14:paraId="11D722AB" w14:textId="77777777" w:rsidR="00311535" w:rsidRPr="00311535" w:rsidRDefault="00311535" w:rsidP="00311535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1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</w:tcPr>
          <w:p w14:paraId="0559C44E" w14:textId="03523953" w:rsidR="00311535" w:rsidRPr="00311535" w:rsidRDefault="00311535" w:rsidP="0031153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183 (29%)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5FCC9111" w14:textId="03E8D801" w:rsidR="00311535" w:rsidRPr="00311535" w:rsidRDefault="00311535" w:rsidP="00311535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61 (29%)</w:t>
            </w:r>
          </w:p>
        </w:tc>
        <w:tc>
          <w:tcPr>
            <w:tcW w:w="1134" w:type="dxa"/>
            <w:vMerge/>
          </w:tcPr>
          <w:p w14:paraId="45E623E0" w14:textId="77777777" w:rsidR="00311535" w:rsidRPr="00311535" w:rsidRDefault="00311535" w:rsidP="00311535">
            <w:pPr>
              <w:pStyle w:val="NoSpacing"/>
              <w:rPr>
                <w:rFonts w:asciiTheme="minorHAnsi" w:hAnsiTheme="minorHAnsi"/>
                <w:lang w:eastAsia="zh-CN"/>
              </w:rPr>
            </w:pPr>
          </w:p>
        </w:tc>
      </w:tr>
      <w:tr w:rsidR="00311535" w:rsidRPr="00311535" w14:paraId="3474F46F" w14:textId="77777777" w:rsidTr="00776258">
        <w:trPr>
          <w:gridAfter w:val="1"/>
          <w:wAfter w:w="8" w:type="dxa"/>
          <w:trHeight w:val="241"/>
          <w:jc w:val="center"/>
        </w:trPr>
        <w:tc>
          <w:tcPr>
            <w:tcW w:w="1554" w:type="dxa"/>
            <w:vMerge/>
            <w:tcBorders>
              <w:right w:val="nil"/>
            </w:tcBorders>
            <w:shd w:val="clear" w:color="auto" w:fill="auto"/>
          </w:tcPr>
          <w:p w14:paraId="4362806A" w14:textId="77777777" w:rsidR="00311535" w:rsidRPr="00311535" w:rsidRDefault="00311535" w:rsidP="00311535">
            <w:pPr>
              <w:pStyle w:val="NoSpacing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842" w:type="dxa"/>
            <w:gridSpan w:val="2"/>
            <w:tcBorders>
              <w:left w:val="nil"/>
            </w:tcBorders>
            <w:shd w:val="clear" w:color="auto" w:fill="auto"/>
          </w:tcPr>
          <w:p w14:paraId="34E5384D" w14:textId="77777777" w:rsidR="00311535" w:rsidRPr="00311535" w:rsidRDefault="00311535" w:rsidP="00311535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≥2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</w:tcPr>
          <w:p w14:paraId="58ADBAFC" w14:textId="78CFD55C" w:rsidR="00311535" w:rsidRPr="00311535" w:rsidRDefault="00311535" w:rsidP="00311535">
            <w:pPr>
              <w:pStyle w:val="NoSpacing"/>
              <w:jc w:val="right"/>
              <w:rPr>
                <w:rFonts w:asciiTheme="minorHAnsi" w:hAnsiTheme="minorHAnsi" w:cs="Arial"/>
              </w:rPr>
            </w:pPr>
            <w:r w:rsidRPr="00311535">
              <w:rPr>
                <w:rFonts w:asciiTheme="minorHAnsi" w:hAnsiTheme="minorHAnsi"/>
              </w:rPr>
              <w:t>101 (16%)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14:paraId="1BEB4DA9" w14:textId="21EEC76D" w:rsidR="00311535" w:rsidRPr="00311535" w:rsidRDefault="00311535" w:rsidP="00311535">
            <w:pPr>
              <w:pStyle w:val="NoSpacing"/>
              <w:jc w:val="right"/>
              <w:rPr>
                <w:rFonts w:asciiTheme="minorHAnsi" w:hAnsiTheme="minorHAnsi" w:cs="Arial"/>
              </w:rPr>
            </w:pPr>
            <w:r w:rsidRPr="00311535">
              <w:rPr>
                <w:rFonts w:asciiTheme="minorHAnsi" w:hAnsiTheme="minorHAnsi"/>
              </w:rPr>
              <w:t>20 (10%)</w:t>
            </w:r>
          </w:p>
        </w:tc>
        <w:tc>
          <w:tcPr>
            <w:tcW w:w="1134" w:type="dxa"/>
            <w:vMerge/>
          </w:tcPr>
          <w:p w14:paraId="2D0F0664" w14:textId="77777777" w:rsidR="00311535" w:rsidRPr="00311535" w:rsidRDefault="00311535" w:rsidP="00311535">
            <w:pPr>
              <w:pStyle w:val="NoSpacing"/>
              <w:rPr>
                <w:rFonts w:asciiTheme="minorHAnsi" w:hAnsiTheme="minorHAnsi"/>
                <w:lang w:eastAsia="zh-CN"/>
              </w:rPr>
            </w:pPr>
          </w:p>
        </w:tc>
      </w:tr>
      <w:tr w:rsidR="00311535" w:rsidRPr="00311535" w14:paraId="2DB6ED5F" w14:textId="77777777" w:rsidTr="00150C69">
        <w:trPr>
          <w:trHeight w:val="547"/>
          <w:jc w:val="center"/>
        </w:trPr>
        <w:tc>
          <w:tcPr>
            <w:tcW w:w="936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865C707" w14:textId="5F835FB5" w:rsidR="00311535" w:rsidRPr="00311535" w:rsidRDefault="00311535" w:rsidP="00311535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Data presented as mean (standard deviation), median (interquartile range), number (percentage). Comparisons used t- or Wilcoxon rank-sum tests for continuous variables, Chi-squared test for categorical variables.</w:t>
            </w:r>
          </w:p>
          <w:p w14:paraId="339117D5" w14:textId="77777777" w:rsidR="00311535" w:rsidRPr="00311535" w:rsidRDefault="00311535" w:rsidP="00311535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*</w:t>
            </w:r>
            <w:r w:rsidRPr="00311535">
              <w:rPr>
                <w:rFonts w:asciiTheme="minorHAnsi" w:hAnsiTheme="minorHAnsi"/>
              </w:rPr>
              <w:t>Above upper normal limit</w:t>
            </w:r>
            <w:r w:rsidRPr="00311535">
              <w:rPr>
                <w:rFonts w:asciiTheme="minorHAnsi" w:hAnsiTheme="minorHAnsi"/>
                <w:lang w:eastAsia="zh-CN"/>
              </w:rPr>
              <w:t>.</w:t>
            </w:r>
          </w:p>
          <w:p w14:paraId="604C1A5F" w14:textId="77777777" w:rsidR="00311535" w:rsidRPr="00311535" w:rsidRDefault="00311535" w:rsidP="00311535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**Non-parametric test for trend across ordered groups.</w:t>
            </w:r>
          </w:p>
          <w:p w14:paraId="629CA01A" w14:textId="45FB3FC8" w:rsidR="00311535" w:rsidRPr="00311535" w:rsidRDefault="00311535" w:rsidP="00311535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SD, standard deviation; IQR, interquartile range;</w:t>
            </w:r>
            <w:r w:rsidRPr="00311535">
              <w:rPr>
                <w:rFonts w:asciiTheme="minorHAnsi" w:hAnsiTheme="minorHAnsi"/>
              </w:rPr>
              <w:t xml:space="preserve"> </w:t>
            </w:r>
            <w:proofErr w:type="spellStart"/>
            <w:r w:rsidRPr="00311535">
              <w:rPr>
                <w:rFonts w:asciiTheme="minorHAnsi" w:hAnsiTheme="minorHAnsi"/>
              </w:rPr>
              <w:t>mNY</w:t>
            </w:r>
            <w:proofErr w:type="spellEnd"/>
            <w:r w:rsidRPr="00311535">
              <w:rPr>
                <w:rFonts w:asciiTheme="minorHAnsi" w:hAnsiTheme="minorHAnsi"/>
                <w:lang w:eastAsia="zh-CN"/>
              </w:rPr>
              <w:t>, modified New York criteria for Ankylosing Spondylitis; BMI, body mass index</w:t>
            </w:r>
            <w:r w:rsidRPr="00311535">
              <w:rPr>
                <w:rFonts w:asciiTheme="minorHAnsi" w:hAnsiTheme="minorHAnsi" w:cs="Calibri"/>
                <w:lang w:eastAsia="zh-CN"/>
              </w:rPr>
              <w:t>.</w:t>
            </w:r>
          </w:p>
        </w:tc>
      </w:tr>
    </w:tbl>
    <w:p w14:paraId="5DBD2CE0" w14:textId="77777777" w:rsidR="00183CB8" w:rsidRPr="00311535" w:rsidRDefault="00183CB8" w:rsidP="00886919">
      <w:pPr>
        <w:rPr>
          <w:rFonts w:cs="Calibri"/>
          <w:noProof/>
        </w:rPr>
      </w:pPr>
    </w:p>
    <w:p w14:paraId="55D3469B" w14:textId="77777777" w:rsidR="00FD5727" w:rsidRPr="00311535" w:rsidRDefault="00FD5727" w:rsidP="00FD5727">
      <w:pPr>
        <w:jc w:val="center"/>
        <w:rPr>
          <w:rFonts w:cs="Calibri"/>
        </w:rPr>
      </w:pPr>
      <w:bookmarkStart w:id="5" w:name="_Hlk523232031"/>
      <w:r w:rsidRPr="00311535">
        <w:rPr>
          <w:rFonts w:cs="Calibri"/>
          <w:noProof/>
        </w:rPr>
        <w:lastRenderedPageBreak/>
        <w:drawing>
          <wp:inline distT="0" distB="0" distL="0" distR="0" wp14:anchorId="71A971B5" wp14:editId="33F07A1D">
            <wp:extent cx="5064760" cy="3164840"/>
            <wp:effectExtent l="0" t="0" r="2540" b="0"/>
            <wp:docPr id="1" name="Picture 1" descr="C:\Users\zhao\Dropbox\2018_PhD\BSRBRAS_longitudinal\2.Longitudinal\smd_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o\Dropbox\2018_PhD\BSRBRAS_longitudinal\2.Longitudinal\smd_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31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F85A3" w14:textId="2B898580" w:rsidR="00B6265D" w:rsidRPr="00311535" w:rsidRDefault="00886919" w:rsidP="00FD5727">
      <w:pPr>
        <w:rPr>
          <w:rFonts w:cs="Calibri"/>
        </w:rPr>
      </w:pPr>
      <w:r w:rsidRPr="00311535">
        <w:rPr>
          <w:rFonts w:cs="Calibri"/>
        </w:rPr>
        <w:t xml:space="preserve">Supplementary figure 1. </w:t>
      </w:r>
      <w:r w:rsidR="00F605E0" w:rsidRPr="00311535">
        <w:rPr>
          <w:rFonts w:cs="Calibri"/>
        </w:rPr>
        <w:t xml:space="preserve">Standardised mean differences (SMD) for baseline variables before and after </w:t>
      </w:r>
      <w:r w:rsidR="002F7D30" w:rsidRPr="00311535">
        <w:rPr>
          <w:rFonts w:cs="Calibri"/>
        </w:rPr>
        <w:t xml:space="preserve">balancing using </w:t>
      </w:r>
      <w:r w:rsidR="00F605E0" w:rsidRPr="00311535">
        <w:rPr>
          <w:rFonts w:cs="Calibri"/>
        </w:rPr>
        <w:t>inverse-</w:t>
      </w:r>
      <w:r w:rsidR="002F7D30" w:rsidRPr="00311535">
        <w:rPr>
          <w:rFonts w:cs="Calibri"/>
        </w:rPr>
        <w:t xml:space="preserve">probability </w:t>
      </w:r>
      <w:r w:rsidR="00F605E0" w:rsidRPr="00311535">
        <w:rPr>
          <w:rFonts w:cs="Calibri"/>
        </w:rPr>
        <w:t>weight</w:t>
      </w:r>
      <w:r w:rsidR="002F7D30" w:rsidRPr="00311535">
        <w:rPr>
          <w:rFonts w:cs="Calibri"/>
        </w:rPr>
        <w:t>s</w:t>
      </w:r>
      <w:r w:rsidR="00F605E0" w:rsidRPr="00311535">
        <w:rPr>
          <w:rFonts w:cs="Calibri"/>
        </w:rPr>
        <w:t>.</w:t>
      </w:r>
      <w:r w:rsidR="00F605E0" w:rsidRPr="00311535">
        <w:t xml:space="preserve"> SMD&lt;0.1 </w:t>
      </w:r>
      <w:r w:rsidR="002F7D30" w:rsidRPr="00311535">
        <w:t>is</w:t>
      </w:r>
      <w:r w:rsidR="00F605E0" w:rsidRPr="00311535">
        <w:t xml:space="preserve"> taken to indicate negligible difference.</w:t>
      </w:r>
      <w:r w:rsidR="00EB2DA8" w:rsidRPr="00311535">
        <w:t xml:space="preserve"> </w:t>
      </w:r>
      <w:r w:rsidR="00EB2DA8" w:rsidRPr="00311535">
        <w:rPr>
          <w:rFonts w:cs="Calibri"/>
          <w:lang w:eastAsia="zh-CN"/>
        </w:rPr>
        <w:t xml:space="preserve">BASDAI, Bath AS disease activity index; ASDAS, AS disease activity score; BASFI, Bath AS functional index; </w:t>
      </w:r>
      <w:proofErr w:type="spellStart"/>
      <w:r w:rsidR="00EB2DA8" w:rsidRPr="00311535">
        <w:rPr>
          <w:rFonts w:cs="Calibri"/>
          <w:lang w:eastAsia="zh-CN"/>
        </w:rPr>
        <w:t>ASQoL</w:t>
      </w:r>
      <w:proofErr w:type="spellEnd"/>
      <w:r w:rsidR="00EB2DA8" w:rsidRPr="00311535">
        <w:rPr>
          <w:rFonts w:cs="Calibri"/>
          <w:lang w:eastAsia="zh-CN"/>
        </w:rPr>
        <w:t xml:space="preserve">, AS quality of life questionnaire; BASG, </w:t>
      </w:r>
      <w:r w:rsidR="00EB2DA8" w:rsidRPr="00311535">
        <w:rPr>
          <w:rFonts w:cs="Calibri"/>
        </w:rPr>
        <w:t>Bath AS Global Score</w:t>
      </w:r>
      <w:r w:rsidR="00EB2DA8" w:rsidRPr="00311535">
        <w:rPr>
          <w:rFonts w:cs="Calibri"/>
          <w:lang w:eastAsia="zh-CN"/>
        </w:rPr>
        <w:t xml:space="preserve">; </w:t>
      </w:r>
      <w:bookmarkStart w:id="6" w:name="_Hlk523232057"/>
      <w:bookmarkEnd w:id="5"/>
      <w:r w:rsidR="00EB2DA8" w:rsidRPr="00311535">
        <w:rPr>
          <w:rFonts w:cs="Calibri"/>
          <w:lang w:eastAsia="zh-CN"/>
        </w:rPr>
        <w:t xml:space="preserve">IMD, </w:t>
      </w:r>
      <w:r w:rsidR="00EB2DA8" w:rsidRPr="00311535">
        <w:rPr>
          <w:lang w:eastAsia="zh-CN"/>
        </w:rPr>
        <w:t>Index of Multiple Deprivation</w:t>
      </w:r>
      <w:r w:rsidR="00EB2DA8" w:rsidRPr="00311535">
        <w:rPr>
          <w:rFonts w:cs="Calibri"/>
        </w:rPr>
        <w:t>.</w:t>
      </w:r>
      <w:r w:rsidR="00DD63DC" w:rsidRPr="00311535">
        <w:rPr>
          <w:rFonts w:cs="Calibri"/>
        </w:rPr>
        <w:t xml:space="preserve"> Graph produced using R version 3.5.</w:t>
      </w:r>
      <w:r w:rsidR="00B6265D" w:rsidRPr="00311535">
        <w:rPr>
          <w:rFonts w:cs="Calibri"/>
        </w:rPr>
        <w:br w:type="page"/>
      </w:r>
      <w:bookmarkEnd w:id="6"/>
    </w:p>
    <w:p w14:paraId="7A668625" w14:textId="555F3B5B" w:rsidR="00B6265D" w:rsidRPr="00311535" w:rsidRDefault="000E7385" w:rsidP="00886919">
      <w:pPr>
        <w:rPr>
          <w:rFonts w:cs="Calibri"/>
          <w:u w:val="single"/>
        </w:rPr>
      </w:pPr>
      <w:r w:rsidRPr="00311535">
        <w:rPr>
          <w:rFonts w:cs="Calibri"/>
          <w:u w:val="single"/>
        </w:rPr>
        <w:lastRenderedPageBreak/>
        <w:t>Analysis 1</w:t>
      </w:r>
      <w:r w:rsidR="00B6265D" w:rsidRPr="00311535">
        <w:rPr>
          <w:rFonts w:cs="Calibri"/>
          <w:u w:val="single"/>
        </w:rPr>
        <w:t>: comparing response at 3 months according to smoking status</w:t>
      </w:r>
    </w:p>
    <w:p w14:paraId="4174F244" w14:textId="77777777" w:rsidR="0082112B" w:rsidRPr="00311535" w:rsidRDefault="0082112B" w:rsidP="00886919">
      <w:pPr>
        <w:rPr>
          <w:rFonts w:cs="Calibri"/>
          <w:u w:val="single"/>
        </w:rPr>
      </w:pPr>
    </w:p>
    <w:p w14:paraId="4A3521AB" w14:textId="1303B4C5" w:rsidR="006F028D" w:rsidRPr="00311535" w:rsidRDefault="0048401F" w:rsidP="00886919">
      <w:pPr>
        <w:rPr>
          <w:rFonts w:cs="Calibri"/>
        </w:rPr>
      </w:pPr>
      <w:r w:rsidRPr="00311535">
        <w:rPr>
          <w:rFonts w:cs="Calibri"/>
          <w:noProof/>
        </w:rPr>
        <w:drawing>
          <wp:inline distT="0" distB="0" distL="0" distR="0" wp14:anchorId="3D69D2A6" wp14:editId="376F4094">
            <wp:extent cx="6518179" cy="4707172"/>
            <wp:effectExtent l="0" t="0" r="0" b="0"/>
            <wp:docPr id="8" name="Picture 8" descr="C:\Users\zhao\Dropbox\2018_PhD\BSRBRAS_longitudinal\2.Longitudinal\sfig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ao\Dropbox\2018_PhD\BSRBRAS_longitudinal\2.Longitudinal\sfig1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281" cy="470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72348" w14:textId="641BE326" w:rsidR="00984537" w:rsidRPr="00311535" w:rsidRDefault="00145E50" w:rsidP="00D94053">
      <w:pPr>
        <w:ind w:left="720"/>
        <w:rPr>
          <w:rFonts w:cs="Calibri"/>
        </w:rPr>
      </w:pPr>
      <w:r w:rsidRPr="00311535">
        <w:rPr>
          <w:rFonts w:cs="Calibri"/>
        </w:rPr>
        <w:t xml:space="preserve">Supplementary figure </w:t>
      </w:r>
      <w:r w:rsidR="00886919" w:rsidRPr="00311535">
        <w:rPr>
          <w:rFonts w:cs="Calibri"/>
        </w:rPr>
        <w:t>2</w:t>
      </w:r>
      <w:r w:rsidRPr="00311535">
        <w:rPr>
          <w:rFonts w:cs="Calibri"/>
        </w:rPr>
        <w:t xml:space="preserve">. </w:t>
      </w:r>
      <w:r w:rsidR="002F7D30" w:rsidRPr="00311535">
        <w:rPr>
          <w:rFonts w:cs="Calibri"/>
        </w:rPr>
        <w:t xml:space="preserve">No statistically significant difference in response to TNF inhibitors at 3 months according to smoking status. </w:t>
      </w:r>
      <w:r w:rsidR="00D94053" w:rsidRPr="00311535">
        <w:rPr>
          <w:rFonts w:cs="Calibri"/>
        </w:rPr>
        <w:t xml:space="preserve">Plots show predicted values from weighted generalised estimating equations. </w:t>
      </w:r>
      <w:r w:rsidR="00984537" w:rsidRPr="00311535">
        <w:rPr>
          <w:rFonts w:cs="Calibri"/>
        </w:rPr>
        <w:br w:type="page"/>
      </w:r>
    </w:p>
    <w:p w14:paraId="3458C717" w14:textId="77777777" w:rsidR="006F028D" w:rsidRPr="00311535" w:rsidRDefault="000E7385" w:rsidP="00886919">
      <w:pPr>
        <w:rPr>
          <w:rFonts w:cs="Calibri"/>
          <w:u w:val="single"/>
        </w:rPr>
      </w:pPr>
      <w:r w:rsidRPr="00311535">
        <w:rPr>
          <w:rFonts w:cs="Calibri"/>
          <w:u w:val="single"/>
        </w:rPr>
        <w:lastRenderedPageBreak/>
        <w:t>Analysis 2</w:t>
      </w:r>
      <w:r w:rsidR="00B6265D" w:rsidRPr="00311535">
        <w:rPr>
          <w:rFonts w:cs="Calibri"/>
          <w:u w:val="single"/>
        </w:rPr>
        <w:t>: Comparing response after 6 months in those who remained on treatment</w:t>
      </w:r>
    </w:p>
    <w:tbl>
      <w:tblPr>
        <w:tblW w:w="9229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42"/>
        <w:gridCol w:w="1841"/>
        <w:gridCol w:w="1570"/>
        <w:gridCol w:w="1560"/>
        <w:gridCol w:w="8"/>
        <w:gridCol w:w="1696"/>
        <w:gridCol w:w="8"/>
        <w:gridCol w:w="984"/>
        <w:gridCol w:w="10"/>
      </w:tblGrid>
      <w:tr w:rsidR="00B70FB4" w:rsidRPr="00311535" w14:paraId="768E65DD" w14:textId="77777777" w:rsidTr="00FC79FB">
        <w:tc>
          <w:tcPr>
            <w:tcW w:w="9229" w:type="dxa"/>
            <w:gridSpan w:val="10"/>
            <w:shd w:val="clear" w:color="auto" w:fill="auto"/>
          </w:tcPr>
          <w:p w14:paraId="4CDA8789" w14:textId="3A514830" w:rsidR="000E7385" w:rsidRPr="00311535" w:rsidRDefault="000E7385" w:rsidP="00FC79FB">
            <w:pPr>
              <w:pStyle w:val="NoSpacing"/>
              <w:rPr>
                <w:rFonts w:asciiTheme="minorHAnsi" w:hAnsiTheme="minorHAnsi"/>
              </w:rPr>
            </w:pPr>
            <w:bookmarkStart w:id="7" w:name="_Hlk519775590"/>
            <w:r w:rsidRPr="00311535">
              <w:rPr>
                <w:rFonts w:asciiTheme="minorHAnsi" w:hAnsiTheme="minorHAnsi"/>
              </w:rPr>
              <w:t xml:space="preserve">Supplementary table </w:t>
            </w:r>
            <w:r w:rsidR="002F7D30" w:rsidRPr="00311535">
              <w:rPr>
                <w:rFonts w:asciiTheme="minorHAnsi" w:hAnsiTheme="minorHAnsi"/>
              </w:rPr>
              <w:t>2</w:t>
            </w:r>
            <w:r w:rsidRPr="00311535">
              <w:rPr>
                <w:rFonts w:asciiTheme="minorHAnsi" w:hAnsiTheme="minorHAnsi"/>
              </w:rPr>
              <w:t xml:space="preserve">. </w:t>
            </w:r>
            <w:r w:rsidR="0001261F" w:rsidRPr="00311535">
              <w:rPr>
                <w:rFonts w:asciiTheme="minorHAnsi" w:hAnsiTheme="minorHAnsi"/>
              </w:rPr>
              <w:t>Baseline characteristics of participants included in analysis 2, according to smoking status.</w:t>
            </w:r>
          </w:p>
        </w:tc>
      </w:tr>
      <w:tr w:rsidR="00B70FB4" w:rsidRPr="00311535" w14:paraId="6FBAD594" w14:textId="77777777" w:rsidTr="00FC79FB">
        <w:tc>
          <w:tcPr>
            <w:tcW w:w="3393" w:type="dxa"/>
            <w:gridSpan w:val="3"/>
            <w:shd w:val="clear" w:color="auto" w:fill="auto"/>
          </w:tcPr>
          <w:p w14:paraId="4FE6B9FB" w14:textId="77777777" w:rsidR="000E7385" w:rsidRPr="00311535" w:rsidRDefault="000E7385" w:rsidP="00FC79F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570" w:type="dxa"/>
            <w:tcBorders>
              <w:right w:val="nil"/>
            </w:tcBorders>
            <w:shd w:val="clear" w:color="auto" w:fill="auto"/>
          </w:tcPr>
          <w:p w14:paraId="6179C532" w14:textId="181AE432" w:rsidR="000E7385" w:rsidRPr="00311535" w:rsidRDefault="000E7385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Never smoker (n=</w:t>
            </w:r>
            <w:r w:rsidR="00EB6E0A" w:rsidRPr="00311535">
              <w:rPr>
                <w:rFonts w:asciiTheme="minorHAnsi" w:hAnsiTheme="minorHAnsi"/>
                <w:lang w:eastAsia="zh-CN"/>
              </w:rPr>
              <w:t>189</w:t>
            </w:r>
            <w:r w:rsidRPr="00311535">
              <w:rPr>
                <w:rFonts w:asciiTheme="minorHAnsi" w:hAnsiTheme="minorHAnsi"/>
              </w:rPr>
              <w:t>)</w:t>
            </w:r>
          </w:p>
        </w:tc>
        <w:tc>
          <w:tcPr>
            <w:tcW w:w="1568" w:type="dxa"/>
            <w:gridSpan w:val="2"/>
            <w:tcBorders>
              <w:left w:val="nil"/>
              <w:right w:val="nil"/>
            </w:tcBorders>
          </w:tcPr>
          <w:p w14:paraId="178F0867" w14:textId="4E5D977D" w:rsidR="000E7385" w:rsidRPr="00311535" w:rsidRDefault="000E7385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Ex-smoker (n=</w:t>
            </w:r>
            <w:r w:rsidR="00EB6E0A" w:rsidRPr="00311535">
              <w:rPr>
                <w:rFonts w:asciiTheme="minorHAnsi" w:hAnsiTheme="minorHAnsi"/>
                <w:lang w:eastAsia="zh-CN"/>
              </w:rPr>
              <w:t>149</w:t>
            </w:r>
            <w:r w:rsidRPr="00311535">
              <w:rPr>
                <w:rFonts w:asciiTheme="minorHAnsi" w:hAnsiTheme="minorHAnsi"/>
              </w:rPr>
              <w:t>)</w:t>
            </w:r>
          </w:p>
        </w:tc>
        <w:tc>
          <w:tcPr>
            <w:tcW w:w="1704" w:type="dxa"/>
            <w:gridSpan w:val="2"/>
            <w:tcBorders>
              <w:left w:val="nil"/>
            </w:tcBorders>
          </w:tcPr>
          <w:p w14:paraId="654206D8" w14:textId="3F9006EB" w:rsidR="000E7385" w:rsidRPr="00311535" w:rsidRDefault="000E7385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Current smoker (n=</w:t>
            </w:r>
            <w:r w:rsidR="00EB6E0A" w:rsidRPr="00311535">
              <w:rPr>
                <w:rFonts w:asciiTheme="minorHAnsi" w:hAnsiTheme="minorHAnsi"/>
                <w:lang w:eastAsia="zh-CN"/>
              </w:rPr>
              <w:t>154</w:t>
            </w:r>
            <w:r w:rsidRPr="00311535">
              <w:rPr>
                <w:rFonts w:asciiTheme="minorHAnsi" w:hAnsiTheme="minorHAnsi"/>
              </w:rPr>
              <w:t>)</w:t>
            </w:r>
          </w:p>
        </w:tc>
        <w:tc>
          <w:tcPr>
            <w:tcW w:w="992" w:type="dxa"/>
            <w:gridSpan w:val="2"/>
          </w:tcPr>
          <w:p w14:paraId="310D8BD9" w14:textId="77777777" w:rsidR="000E7385" w:rsidRPr="00311535" w:rsidRDefault="000E7385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P-value</w:t>
            </w:r>
          </w:p>
        </w:tc>
      </w:tr>
      <w:tr w:rsidR="00B70FB4" w:rsidRPr="00311535" w14:paraId="47575C4D" w14:textId="77777777" w:rsidTr="00FC79FB">
        <w:tc>
          <w:tcPr>
            <w:tcW w:w="3393" w:type="dxa"/>
            <w:gridSpan w:val="3"/>
            <w:shd w:val="clear" w:color="auto" w:fill="auto"/>
          </w:tcPr>
          <w:p w14:paraId="6DA06F1F" w14:textId="77777777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  <w:lang w:eastAsia="zh-CN"/>
              </w:rPr>
              <w:t>A</w:t>
            </w:r>
            <w:r w:rsidRPr="00311535">
              <w:rPr>
                <w:rFonts w:asciiTheme="minorHAnsi" w:hAnsiTheme="minorHAnsi"/>
              </w:rPr>
              <w:t>ge, mean (SD) years</w:t>
            </w:r>
          </w:p>
        </w:tc>
        <w:tc>
          <w:tcPr>
            <w:tcW w:w="1570" w:type="dxa"/>
            <w:tcBorders>
              <w:right w:val="nil"/>
            </w:tcBorders>
            <w:shd w:val="clear" w:color="auto" w:fill="auto"/>
          </w:tcPr>
          <w:p w14:paraId="3ED3E8E1" w14:textId="1C660B5A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44.4 (14.9)</w:t>
            </w:r>
          </w:p>
        </w:tc>
        <w:tc>
          <w:tcPr>
            <w:tcW w:w="1568" w:type="dxa"/>
            <w:gridSpan w:val="2"/>
            <w:tcBorders>
              <w:left w:val="nil"/>
              <w:right w:val="nil"/>
            </w:tcBorders>
          </w:tcPr>
          <w:p w14:paraId="6299D9E0" w14:textId="2EF45126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49.5 (13.4)</w:t>
            </w:r>
          </w:p>
        </w:tc>
        <w:tc>
          <w:tcPr>
            <w:tcW w:w="1704" w:type="dxa"/>
            <w:gridSpan w:val="2"/>
            <w:tcBorders>
              <w:left w:val="nil"/>
            </w:tcBorders>
          </w:tcPr>
          <w:p w14:paraId="434853EC" w14:textId="5ADA6981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42.5 (12.2)</w:t>
            </w:r>
          </w:p>
        </w:tc>
        <w:tc>
          <w:tcPr>
            <w:tcW w:w="992" w:type="dxa"/>
            <w:gridSpan w:val="2"/>
          </w:tcPr>
          <w:p w14:paraId="48C84DA4" w14:textId="2B5A1349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&lt;0.001</w:t>
            </w:r>
          </w:p>
        </w:tc>
      </w:tr>
      <w:tr w:rsidR="00B70FB4" w:rsidRPr="00311535" w14:paraId="3ED14440" w14:textId="77777777" w:rsidTr="00FC79FB">
        <w:tc>
          <w:tcPr>
            <w:tcW w:w="3393" w:type="dxa"/>
            <w:gridSpan w:val="3"/>
            <w:shd w:val="clear" w:color="auto" w:fill="auto"/>
          </w:tcPr>
          <w:p w14:paraId="7D7CDA00" w14:textId="77777777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Male</w:t>
            </w:r>
          </w:p>
        </w:tc>
        <w:tc>
          <w:tcPr>
            <w:tcW w:w="1570" w:type="dxa"/>
            <w:tcBorders>
              <w:right w:val="nil"/>
            </w:tcBorders>
            <w:shd w:val="clear" w:color="auto" w:fill="auto"/>
          </w:tcPr>
          <w:p w14:paraId="39C41EA6" w14:textId="2E280E60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125 (66%)</w:t>
            </w:r>
          </w:p>
        </w:tc>
        <w:tc>
          <w:tcPr>
            <w:tcW w:w="1568" w:type="dxa"/>
            <w:gridSpan w:val="2"/>
            <w:tcBorders>
              <w:left w:val="nil"/>
              <w:right w:val="nil"/>
            </w:tcBorders>
          </w:tcPr>
          <w:p w14:paraId="33D88878" w14:textId="3F81D661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98 (66%)</w:t>
            </w:r>
          </w:p>
        </w:tc>
        <w:tc>
          <w:tcPr>
            <w:tcW w:w="1704" w:type="dxa"/>
            <w:gridSpan w:val="2"/>
            <w:tcBorders>
              <w:left w:val="nil"/>
            </w:tcBorders>
          </w:tcPr>
          <w:p w14:paraId="14F825FC" w14:textId="65845ADE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118 (77%)</w:t>
            </w:r>
          </w:p>
        </w:tc>
        <w:tc>
          <w:tcPr>
            <w:tcW w:w="992" w:type="dxa"/>
            <w:gridSpan w:val="2"/>
          </w:tcPr>
          <w:p w14:paraId="0ED5E57A" w14:textId="68E9EC74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0.060</w:t>
            </w:r>
          </w:p>
        </w:tc>
      </w:tr>
      <w:tr w:rsidR="00B70FB4" w:rsidRPr="00311535" w14:paraId="1B9F78A9" w14:textId="77777777" w:rsidTr="00FC79FB">
        <w:tc>
          <w:tcPr>
            <w:tcW w:w="3393" w:type="dxa"/>
            <w:gridSpan w:val="3"/>
            <w:shd w:val="clear" w:color="auto" w:fill="auto"/>
          </w:tcPr>
          <w:p w14:paraId="7D34174C" w14:textId="77777777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 xml:space="preserve">Meets </w:t>
            </w:r>
            <w:proofErr w:type="spellStart"/>
            <w:r w:rsidRPr="00311535">
              <w:rPr>
                <w:rFonts w:asciiTheme="minorHAnsi" w:hAnsiTheme="minorHAnsi"/>
              </w:rPr>
              <w:t>mNY</w:t>
            </w:r>
            <w:proofErr w:type="spellEnd"/>
            <w:r w:rsidRPr="00311535">
              <w:rPr>
                <w:rFonts w:asciiTheme="minorHAnsi" w:hAnsiTheme="minorHAnsi"/>
              </w:rPr>
              <w:t xml:space="preserve"> criteria for AS</w:t>
            </w:r>
          </w:p>
        </w:tc>
        <w:tc>
          <w:tcPr>
            <w:tcW w:w="1570" w:type="dxa"/>
            <w:tcBorders>
              <w:right w:val="nil"/>
            </w:tcBorders>
            <w:shd w:val="clear" w:color="auto" w:fill="auto"/>
          </w:tcPr>
          <w:p w14:paraId="526ECCD3" w14:textId="1C45C249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113 (60%)</w:t>
            </w:r>
          </w:p>
        </w:tc>
        <w:tc>
          <w:tcPr>
            <w:tcW w:w="1568" w:type="dxa"/>
            <w:gridSpan w:val="2"/>
            <w:tcBorders>
              <w:left w:val="nil"/>
              <w:right w:val="nil"/>
            </w:tcBorders>
          </w:tcPr>
          <w:p w14:paraId="7FB48B32" w14:textId="66A7098C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97 (65%)</w:t>
            </w:r>
          </w:p>
        </w:tc>
        <w:tc>
          <w:tcPr>
            <w:tcW w:w="1704" w:type="dxa"/>
            <w:gridSpan w:val="2"/>
            <w:tcBorders>
              <w:left w:val="nil"/>
            </w:tcBorders>
          </w:tcPr>
          <w:p w14:paraId="4C4D077B" w14:textId="20D3D5C0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95 (62%)</w:t>
            </w:r>
          </w:p>
        </w:tc>
        <w:tc>
          <w:tcPr>
            <w:tcW w:w="992" w:type="dxa"/>
            <w:gridSpan w:val="2"/>
          </w:tcPr>
          <w:p w14:paraId="4224DF83" w14:textId="0619F050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0.600</w:t>
            </w:r>
          </w:p>
        </w:tc>
      </w:tr>
      <w:tr w:rsidR="00B70FB4" w:rsidRPr="00311535" w14:paraId="4707F518" w14:textId="77777777" w:rsidTr="00FC79FB">
        <w:tc>
          <w:tcPr>
            <w:tcW w:w="3393" w:type="dxa"/>
            <w:gridSpan w:val="3"/>
            <w:shd w:val="clear" w:color="auto" w:fill="auto"/>
          </w:tcPr>
          <w:p w14:paraId="4FE4BD97" w14:textId="77777777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HLA-B27 positive</w:t>
            </w:r>
            <w:r w:rsidRPr="00311535">
              <w:rPr>
                <w:rFonts w:asciiTheme="minorHAnsi" w:hAnsiTheme="minorHAnsi"/>
                <w:vertAlign w:val="superscript"/>
              </w:rPr>
              <w:t>+</w:t>
            </w:r>
          </w:p>
        </w:tc>
        <w:tc>
          <w:tcPr>
            <w:tcW w:w="1570" w:type="dxa"/>
            <w:tcBorders>
              <w:right w:val="nil"/>
            </w:tcBorders>
            <w:shd w:val="clear" w:color="auto" w:fill="auto"/>
          </w:tcPr>
          <w:p w14:paraId="154A2DAA" w14:textId="623D9B73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109 (76%)</w:t>
            </w:r>
          </w:p>
        </w:tc>
        <w:tc>
          <w:tcPr>
            <w:tcW w:w="1568" w:type="dxa"/>
            <w:gridSpan w:val="2"/>
            <w:tcBorders>
              <w:left w:val="nil"/>
              <w:right w:val="nil"/>
            </w:tcBorders>
          </w:tcPr>
          <w:p w14:paraId="59C68422" w14:textId="321CEF1E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87 (81%)</w:t>
            </w:r>
          </w:p>
        </w:tc>
        <w:tc>
          <w:tcPr>
            <w:tcW w:w="1704" w:type="dxa"/>
            <w:gridSpan w:val="2"/>
            <w:tcBorders>
              <w:left w:val="nil"/>
            </w:tcBorders>
          </w:tcPr>
          <w:p w14:paraId="2FC80117" w14:textId="0A68BB0F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101 (84%)</w:t>
            </w:r>
          </w:p>
        </w:tc>
        <w:tc>
          <w:tcPr>
            <w:tcW w:w="992" w:type="dxa"/>
            <w:gridSpan w:val="2"/>
          </w:tcPr>
          <w:p w14:paraId="26DEA90C" w14:textId="2C24CF75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0.230</w:t>
            </w:r>
          </w:p>
        </w:tc>
      </w:tr>
      <w:tr w:rsidR="00B70FB4" w:rsidRPr="00311535" w14:paraId="454B22BC" w14:textId="77777777" w:rsidTr="00FC79FB">
        <w:tc>
          <w:tcPr>
            <w:tcW w:w="3393" w:type="dxa"/>
            <w:gridSpan w:val="3"/>
            <w:shd w:val="clear" w:color="auto" w:fill="auto"/>
          </w:tcPr>
          <w:p w14:paraId="17527B5A" w14:textId="77777777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Elevated CRP*</w:t>
            </w:r>
          </w:p>
        </w:tc>
        <w:tc>
          <w:tcPr>
            <w:tcW w:w="1570" w:type="dxa"/>
            <w:tcBorders>
              <w:right w:val="nil"/>
            </w:tcBorders>
            <w:shd w:val="clear" w:color="auto" w:fill="auto"/>
          </w:tcPr>
          <w:p w14:paraId="5252F92C" w14:textId="229FF8FE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109 (59%)</w:t>
            </w:r>
          </w:p>
        </w:tc>
        <w:tc>
          <w:tcPr>
            <w:tcW w:w="1568" w:type="dxa"/>
            <w:gridSpan w:val="2"/>
            <w:tcBorders>
              <w:left w:val="nil"/>
              <w:right w:val="nil"/>
            </w:tcBorders>
          </w:tcPr>
          <w:p w14:paraId="542DDFC7" w14:textId="590451FD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88 (62%)</w:t>
            </w:r>
          </w:p>
        </w:tc>
        <w:tc>
          <w:tcPr>
            <w:tcW w:w="1704" w:type="dxa"/>
            <w:gridSpan w:val="2"/>
            <w:tcBorders>
              <w:left w:val="nil"/>
            </w:tcBorders>
          </w:tcPr>
          <w:p w14:paraId="7EEECA7A" w14:textId="08D40664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100 (68%)</w:t>
            </w:r>
          </w:p>
        </w:tc>
        <w:tc>
          <w:tcPr>
            <w:tcW w:w="992" w:type="dxa"/>
            <w:gridSpan w:val="2"/>
          </w:tcPr>
          <w:p w14:paraId="29DAADD2" w14:textId="1B377D4B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0.230</w:t>
            </w:r>
          </w:p>
        </w:tc>
      </w:tr>
      <w:tr w:rsidR="00B70FB4" w:rsidRPr="00311535" w14:paraId="61924D5F" w14:textId="77777777" w:rsidTr="00FC79FB">
        <w:tc>
          <w:tcPr>
            <w:tcW w:w="3393" w:type="dxa"/>
            <w:gridSpan w:val="3"/>
            <w:shd w:val="clear" w:color="auto" w:fill="auto"/>
          </w:tcPr>
          <w:p w14:paraId="6E807124" w14:textId="77777777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  <w:lang w:eastAsia="zh-CN"/>
              </w:rPr>
              <w:t>S</w:t>
            </w:r>
            <w:r w:rsidRPr="00311535">
              <w:rPr>
                <w:rFonts w:asciiTheme="minorHAnsi" w:hAnsiTheme="minorHAnsi"/>
              </w:rPr>
              <w:t>ymptom duration, median (IQR) years</w:t>
            </w:r>
          </w:p>
        </w:tc>
        <w:tc>
          <w:tcPr>
            <w:tcW w:w="1570" w:type="dxa"/>
            <w:tcBorders>
              <w:right w:val="nil"/>
            </w:tcBorders>
            <w:shd w:val="clear" w:color="auto" w:fill="auto"/>
          </w:tcPr>
          <w:p w14:paraId="50817307" w14:textId="020F88A9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13.8 (5.4</w:t>
            </w:r>
            <w:r w:rsidR="00B82BA6" w:rsidRPr="00311535">
              <w:rPr>
                <w:rFonts w:asciiTheme="minorHAnsi" w:hAnsiTheme="minorHAnsi"/>
              </w:rPr>
              <w:t xml:space="preserve"> to</w:t>
            </w:r>
            <w:r w:rsidRPr="00311535">
              <w:rPr>
                <w:rFonts w:asciiTheme="minorHAnsi" w:hAnsiTheme="minorHAnsi"/>
              </w:rPr>
              <w:t xml:space="preserve"> 28.9)</w:t>
            </w:r>
          </w:p>
        </w:tc>
        <w:tc>
          <w:tcPr>
            <w:tcW w:w="1568" w:type="dxa"/>
            <w:gridSpan w:val="2"/>
            <w:tcBorders>
              <w:left w:val="nil"/>
              <w:right w:val="nil"/>
            </w:tcBorders>
          </w:tcPr>
          <w:p w14:paraId="1126C49D" w14:textId="0540446E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19.2 (9.0</w:t>
            </w:r>
            <w:r w:rsidR="00B82BA6" w:rsidRPr="00311535">
              <w:rPr>
                <w:rFonts w:asciiTheme="minorHAnsi" w:hAnsiTheme="minorHAnsi"/>
              </w:rPr>
              <w:t xml:space="preserve"> to</w:t>
            </w:r>
            <w:r w:rsidRPr="00311535">
              <w:rPr>
                <w:rFonts w:asciiTheme="minorHAnsi" w:hAnsiTheme="minorHAnsi"/>
              </w:rPr>
              <w:t xml:space="preserve"> 32.5)</w:t>
            </w:r>
          </w:p>
        </w:tc>
        <w:tc>
          <w:tcPr>
            <w:tcW w:w="1704" w:type="dxa"/>
            <w:gridSpan w:val="2"/>
            <w:tcBorders>
              <w:left w:val="nil"/>
            </w:tcBorders>
          </w:tcPr>
          <w:p w14:paraId="1751722F" w14:textId="54473EAB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13.4 (5.6</w:t>
            </w:r>
            <w:r w:rsidR="00B82BA6" w:rsidRPr="00311535">
              <w:rPr>
                <w:rFonts w:asciiTheme="minorHAnsi" w:hAnsiTheme="minorHAnsi"/>
              </w:rPr>
              <w:t xml:space="preserve"> to</w:t>
            </w:r>
            <w:r w:rsidRPr="00311535">
              <w:rPr>
                <w:rFonts w:asciiTheme="minorHAnsi" w:hAnsiTheme="minorHAnsi"/>
              </w:rPr>
              <w:t xml:space="preserve"> 23.9)</w:t>
            </w:r>
          </w:p>
        </w:tc>
        <w:tc>
          <w:tcPr>
            <w:tcW w:w="992" w:type="dxa"/>
            <w:gridSpan w:val="2"/>
          </w:tcPr>
          <w:p w14:paraId="2A9642ED" w14:textId="6BBB28D2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0.004</w:t>
            </w:r>
          </w:p>
        </w:tc>
      </w:tr>
      <w:tr w:rsidR="00B70FB4" w:rsidRPr="00311535" w14:paraId="3FD888B9" w14:textId="77777777" w:rsidTr="00FC79FB"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4AF1618" w14:textId="77777777" w:rsidR="000E7385" w:rsidRPr="00311535" w:rsidRDefault="000E7385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BMI, mean (SD)</w:t>
            </w:r>
          </w:p>
        </w:tc>
        <w:tc>
          <w:tcPr>
            <w:tcW w:w="1570" w:type="dxa"/>
            <w:tcBorders>
              <w:right w:val="nil"/>
            </w:tcBorders>
            <w:shd w:val="clear" w:color="auto" w:fill="auto"/>
          </w:tcPr>
          <w:p w14:paraId="0BEF75BB" w14:textId="77777777" w:rsidR="000E7385" w:rsidRPr="00311535" w:rsidRDefault="000E7385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27.8 (5.5)</w:t>
            </w:r>
          </w:p>
        </w:tc>
        <w:tc>
          <w:tcPr>
            <w:tcW w:w="1568" w:type="dxa"/>
            <w:gridSpan w:val="2"/>
            <w:tcBorders>
              <w:left w:val="nil"/>
              <w:right w:val="nil"/>
            </w:tcBorders>
          </w:tcPr>
          <w:p w14:paraId="7C8446B2" w14:textId="77777777" w:rsidR="000E7385" w:rsidRPr="00311535" w:rsidRDefault="000E7385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28.8 (5.3)</w:t>
            </w:r>
          </w:p>
        </w:tc>
        <w:tc>
          <w:tcPr>
            <w:tcW w:w="1704" w:type="dxa"/>
            <w:gridSpan w:val="2"/>
            <w:tcBorders>
              <w:left w:val="nil"/>
            </w:tcBorders>
          </w:tcPr>
          <w:p w14:paraId="79990A9B" w14:textId="77777777" w:rsidR="000E7385" w:rsidRPr="00311535" w:rsidRDefault="000E7385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27.5 (5.4)</w:t>
            </w:r>
          </w:p>
        </w:tc>
        <w:tc>
          <w:tcPr>
            <w:tcW w:w="992" w:type="dxa"/>
            <w:gridSpan w:val="2"/>
          </w:tcPr>
          <w:p w14:paraId="7F38C488" w14:textId="77777777" w:rsidR="000E7385" w:rsidRPr="00311535" w:rsidRDefault="000E7385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 w:cs="Arial"/>
              </w:rPr>
              <w:t>&lt;0.001</w:t>
            </w:r>
          </w:p>
        </w:tc>
      </w:tr>
      <w:tr w:rsidR="00B70FB4" w:rsidRPr="00311535" w14:paraId="53FA2786" w14:textId="77777777" w:rsidTr="00FC79FB">
        <w:trPr>
          <w:trHeight w:val="241"/>
        </w:trPr>
        <w:tc>
          <w:tcPr>
            <w:tcW w:w="1552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14:paraId="7101E9A9" w14:textId="77777777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Quintiles of Index of Multiple Deprivation</w:t>
            </w:r>
          </w:p>
        </w:tc>
        <w:tc>
          <w:tcPr>
            <w:tcW w:w="1841" w:type="dxa"/>
            <w:tcBorders>
              <w:left w:val="nil"/>
            </w:tcBorders>
            <w:shd w:val="clear" w:color="auto" w:fill="auto"/>
          </w:tcPr>
          <w:p w14:paraId="716DEB08" w14:textId="4FC21DA9" w:rsidR="00EB6E0A" w:rsidRPr="00311535" w:rsidRDefault="00EB6E0A" w:rsidP="00FC79FB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1, most deprived</w:t>
            </w:r>
          </w:p>
        </w:tc>
        <w:tc>
          <w:tcPr>
            <w:tcW w:w="1570" w:type="dxa"/>
            <w:tcBorders>
              <w:right w:val="nil"/>
            </w:tcBorders>
            <w:shd w:val="clear" w:color="auto" w:fill="auto"/>
          </w:tcPr>
          <w:p w14:paraId="20DE8ED0" w14:textId="65E6943D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25 (13%)</w:t>
            </w:r>
          </w:p>
        </w:tc>
        <w:tc>
          <w:tcPr>
            <w:tcW w:w="15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519939D" w14:textId="645ECE5F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22 (15%)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auto"/>
            </w:tcBorders>
          </w:tcPr>
          <w:p w14:paraId="11409D8B" w14:textId="782285B5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43 (28%)</w:t>
            </w:r>
          </w:p>
        </w:tc>
        <w:tc>
          <w:tcPr>
            <w:tcW w:w="992" w:type="dxa"/>
            <w:gridSpan w:val="2"/>
            <w:vMerge w:val="restart"/>
          </w:tcPr>
          <w:p w14:paraId="76E8971D" w14:textId="77777777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 w:cs="Arial"/>
              </w:rPr>
              <w:t>&lt;0.001</w:t>
            </w:r>
            <w:r w:rsidRPr="00311535">
              <w:rPr>
                <w:rFonts w:asciiTheme="minorHAnsi" w:hAnsiTheme="minorHAnsi"/>
                <w:lang w:eastAsia="zh-CN"/>
              </w:rPr>
              <w:t>**</w:t>
            </w:r>
          </w:p>
        </w:tc>
      </w:tr>
      <w:tr w:rsidR="00B70FB4" w:rsidRPr="00311535" w14:paraId="4BF2A472" w14:textId="77777777" w:rsidTr="00FC79FB">
        <w:trPr>
          <w:trHeight w:val="241"/>
        </w:trPr>
        <w:tc>
          <w:tcPr>
            <w:tcW w:w="1552" w:type="dxa"/>
            <w:gridSpan w:val="2"/>
            <w:vMerge/>
            <w:tcBorders>
              <w:right w:val="nil"/>
            </w:tcBorders>
            <w:shd w:val="clear" w:color="auto" w:fill="auto"/>
          </w:tcPr>
          <w:p w14:paraId="3ECB206A" w14:textId="77777777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841" w:type="dxa"/>
            <w:tcBorders>
              <w:left w:val="nil"/>
            </w:tcBorders>
            <w:shd w:val="clear" w:color="auto" w:fill="auto"/>
          </w:tcPr>
          <w:p w14:paraId="11A74918" w14:textId="77777777" w:rsidR="00EB6E0A" w:rsidRPr="00311535" w:rsidRDefault="00EB6E0A" w:rsidP="00FC79FB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2</w:t>
            </w:r>
          </w:p>
        </w:tc>
        <w:tc>
          <w:tcPr>
            <w:tcW w:w="1570" w:type="dxa"/>
            <w:tcBorders>
              <w:right w:val="nil"/>
            </w:tcBorders>
            <w:shd w:val="clear" w:color="auto" w:fill="auto"/>
          </w:tcPr>
          <w:p w14:paraId="59ABD53D" w14:textId="785C70BB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43 (23%)</w:t>
            </w:r>
          </w:p>
        </w:tc>
        <w:tc>
          <w:tcPr>
            <w:tcW w:w="15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02075DB" w14:textId="5C4FAED9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13 (9%)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auto"/>
            </w:tcBorders>
          </w:tcPr>
          <w:p w14:paraId="68560D3A" w14:textId="56537F63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28 (18%)</w:t>
            </w:r>
          </w:p>
        </w:tc>
        <w:tc>
          <w:tcPr>
            <w:tcW w:w="992" w:type="dxa"/>
            <w:gridSpan w:val="2"/>
            <w:vMerge/>
          </w:tcPr>
          <w:p w14:paraId="48464C87" w14:textId="77777777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B70FB4" w:rsidRPr="00311535" w14:paraId="70444CB5" w14:textId="77777777" w:rsidTr="00FC79FB">
        <w:trPr>
          <w:trHeight w:val="241"/>
        </w:trPr>
        <w:tc>
          <w:tcPr>
            <w:tcW w:w="1552" w:type="dxa"/>
            <w:gridSpan w:val="2"/>
            <w:vMerge/>
            <w:tcBorders>
              <w:right w:val="nil"/>
            </w:tcBorders>
            <w:shd w:val="clear" w:color="auto" w:fill="auto"/>
          </w:tcPr>
          <w:p w14:paraId="369B753E" w14:textId="77777777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841" w:type="dxa"/>
            <w:tcBorders>
              <w:left w:val="nil"/>
            </w:tcBorders>
            <w:shd w:val="clear" w:color="auto" w:fill="auto"/>
          </w:tcPr>
          <w:p w14:paraId="04ED9E79" w14:textId="77777777" w:rsidR="00EB6E0A" w:rsidRPr="00311535" w:rsidRDefault="00EB6E0A" w:rsidP="00FC79FB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3</w:t>
            </w:r>
          </w:p>
        </w:tc>
        <w:tc>
          <w:tcPr>
            <w:tcW w:w="1570" w:type="dxa"/>
            <w:tcBorders>
              <w:right w:val="nil"/>
            </w:tcBorders>
            <w:shd w:val="clear" w:color="auto" w:fill="auto"/>
          </w:tcPr>
          <w:p w14:paraId="2AE53E5B" w14:textId="41688DC3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29 (15%)</w:t>
            </w:r>
          </w:p>
        </w:tc>
        <w:tc>
          <w:tcPr>
            <w:tcW w:w="15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795FDF4" w14:textId="7542AFC7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31 (21%)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auto"/>
            </w:tcBorders>
          </w:tcPr>
          <w:p w14:paraId="103C4BC4" w14:textId="31AAD36C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30 (19%)</w:t>
            </w:r>
          </w:p>
        </w:tc>
        <w:tc>
          <w:tcPr>
            <w:tcW w:w="992" w:type="dxa"/>
            <w:gridSpan w:val="2"/>
            <w:vMerge/>
          </w:tcPr>
          <w:p w14:paraId="743354AC" w14:textId="77777777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B70FB4" w:rsidRPr="00311535" w14:paraId="53CD9DFB" w14:textId="77777777" w:rsidTr="00FC79FB">
        <w:trPr>
          <w:trHeight w:val="241"/>
        </w:trPr>
        <w:tc>
          <w:tcPr>
            <w:tcW w:w="1552" w:type="dxa"/>
            <w:gridSpan w:val="2"/>
            <w:vMerge/>
            <w:tcBorders>
              <w:right w:val="nil"/>
            </w:tcBorders>
            <w:shd w:val="clear" w:color="auto" w:fill="auto"/>
          </w:tcPr>
          <w:p w14:paraId="073FB045" w14:textId="77777777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841" w:type="dxa"/>
            <w:tcBorders>
              <w:left w:val="nil"/>
            </w:tcBorders>
            <w:shd w:val="clear" w:color="auto" w:fill="auto"/>
          </w:tcPr>
          <w:p w14:paraId="315A0BED" w14:textId="77777777" w:rsidR="00EB6E0A" w:rsidRPr="00311535" w:rsidRDefault="00EB6E0A" w:rsidP="00FC79FB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4</w:t>
            </w:r>
          </w:p>
        </w:tc>
        <w:tc>
          <w:tcPr>
            <w:tcW w:w="1570" w:type="dxa"/>
            <w:tcBorders>
              <w:right w:val="nil"/>
            </w:tcBorders>
            <w:shd w:val="clear" w:color="auto" w:fill="auto"/>
          </w:tcPr>
          <w:p w14:paraId="66885A2A" w14:textId="49972B97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50 (26%)</w:t>
            </w:r>
          </w:p>
        </w:tc>
        <w:tc>
          <w:tcPr>
            <w:tcW w:w="15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7F7D9A6" w14:textId="30DED297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41 (28%)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auto"/>
            </w:tcBorders>
          </w:tcPr>
          <w:p w14:paraId="1A65675C" w14:textId="44A02653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29 (19%)</w:t>
            </w:r>
          </w:p>
        </w:tc>
        <w:tc>
          <w:tcPr>
            <w:tcW w:w="992" w:type="dxa"/>
            <w:gridSpan w:val="2"/>
            <w:vMerge/>
          </w:tcPr>
          <w:p w14:paraId="3F3AF4C9" w14:textId="77777777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B70FB4" w:rsidRPr="00311535" w14:paraId="3D21114D" w14:textId="77777777" w:rsidTr="00FC79FB">
        <w:trPr>
          <w:trHeight w:val="241"/>
        </w:trPr>
        <w:tc>
          <w:tcPr>
            <w:tcW w:w="1552" w:type="dxa"/>
            <w:gridSpan w:val="2"/>
            <w:vMerge/>
            <w:tcBorders>
              <w:right w:val="nil"/>
            </w:tcBorders>
            <w:shd w:val="clear" w:color="auto" w:fill="auto"/>
          </w:tcPr>
          <w:p w14:paraId="123293A8" w14:textId="77777777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841" w:type="dxa"/>
            <w:tcBorders>
              <w:left w:val="nil"/>
            </w:tcBorders>
            <w:shd w:val="clear" w:color="auto" w:fill="auto"/>
          </w:tcPr>
          <w:p w14:paraId="395755F8" w14:textId="0A39402E" w:rsidR="00EB6E0A" w:rsidRPr="00311535" w:rsidRDefault="00EB6E0A" w:rsidP="00FC79FB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5, most affluent</w:t>
            </w:r>
          </w:p>
        </w:tc>
        <w:tc>
          <w:tcPr>
            <w:tcW w:w="1570" w:type="dxa"/>
            <w:tcBorders>
              <w:right w:val="nil"/>
            </w:tcBorders>
            <w:shd w:val="clear" w:color="auto" w:fill="auto"/>
          </w:tcPr>
          <w:p w14:paraId="6689DEF0" w14:textId="2D013191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42 (22%)</w:t>
            </w:r>
          </w:p>
        </w:tc>
        <w:tc>
          <w:tcPr>
            <w:tcW w:w="15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23A80D7" w14:textId="5C18B567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42 (28%)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auto"/>
            </w:tcBorders>
          </w:tcPr>
          <w:p w14:paraId="296DA846" w14:textId="426AB2EC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24 (16%)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14:paraId="6EDD5C0B" w14:textId="77777777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B70FB4" w:rsidRPr="00311535" w14:paraId="4D1D0DAB" w14:textId="77777777" w:rsidTr="00FC79FB">
        <w:tc>
          <w:tcPr>
            <w:tcW w:w="1552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14:paraId="38A181D4" w14:textId="77777777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Highest level of education</w:t>
            </w:r>
          </w:p>
        </w:tc>
        <w:tc>
          <w:tcPr>
            <w:tcW w:w="1841" w:type="dxa"/>
            <w:tcBorders>
              <w:left w:val="nil"/>
            </w:tcBorders>
            <w:shd w:val="clear" w:color="auto" w:fill="auto"/>
          </w:tcPr>
          <w:p w14:paraId="26FE671A" w14:textId="77777777" w:rsidR="00EB6E0A" w:rsidRPr="00311535" w:rsidRDefault="00EB6E0A" w:rsidP="00FC79FB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Secondary school</w:t>
            </w:r>
          </w:p>
        </w:tc>
        <w:tc>
          <w:tcPr>
            <w:tcW w:w="1570" w:type="dxa"/>
            <w:tcBorders>
              <w:right w:val="nil"/>
            </w:tcBorders>
            <w:shd w:val="clear" w:color="auto" w:fill="auto"/>
          </w:tcPr>
          <w:p w14:paraId="08C6160F" w14:textId="3FA16CE2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58 (31%)</w:t>
            </w:r>
          </w:p>
        </w:tc>
        <w:tc>
          <w:tcPr>
            <w:tcW w:w="1568" w:type="dxa"/>
            <w:gridSpan w:val="2"/>
            <w:tcBorders>
              <w:left w:val="nil"/>
              <w:right w:val="nil"/>
            </w:tcBorders>
          </w:tcPr>
          <w:p w14:paraId="3248E71C" w14:textId="1FA243AD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49 (33%)</w:t>
            </w:r>
          </w:p>
        </w:tc>
        <w:tc>
          <w:tcPr>
            <w:tcW w:w="1704" w:type="dxa"/>
            <w:gridSpan w:val="2"/>
            <w:tcBorders>
              <w:left w:val="nil"/>
            </w:tcBorders>
          </w:tcPr>
          <w:p w14:paraId="31D6F6B6" w14:textId="53AAB238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67 (45%)</w:t>
            </w:r>
          </w:p>
        </w:tc>
        <w:tc>
          <w:tcPr>
            <w:tcW w:w="992" w:type="dxa"/>
            <w:gridSpan w:val="2"/>
            <w:vMerge w:val="restart"/>
          </w:tcPr>
          <w:p w14:paraId="1EC38048" w14:textId="77777777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0.001</w:t>
            </w:r>
          </w:p>
        </w:tc>
      </w:tr>
      <w:tr w:rsidR="00B70FB4" w:rsidRPr="00311535" w14:paraId="28543E7B" w14:textId="77777777" w:rsidTr="00FC79FB">
        <w:tc>
          <w:tcPr>
            <w:tcW w:w="1552" w:type="dxa"/>
            <w:gridSpan w:val="2"/>
            <w:vMerge/>
            <w:tcBorders>
              <w:right w:val="nil"/>
            </w:tcBorders>
            <w:shd w:val="clear" w:color="auto" w:fill="auto"/>
          </w:tcPr>
          <w:p w14:paraId="6EA225D8" w14:textId="77777777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841" w:type="dxa"/>
            <w:tcBorders>
              <w:left w:val="nil"/>
            </w:tcBorders>
            <w:shd w:val="clear" w:color="auto" w:fill="auto"/>
          </w:tcPr>
          <w:p w14:paraId="5D92CFAB" w14:textId="77777777" w:rsidR="00EB6E0A" w:rsidRPr="00311535" w:rsidRDefault="00EB6E0A" w:rsidP="00FC79FB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Apprenticeship</w:t>
            </w:r>
          </w:p>
        </w:tc>
        <w:tc>
          <w:tcPr>
            <w:tcW w:w="1570" w:type="dxa"/>
            <w:tcBorders>
              <w:right w:val="nil"/>
            </w:tcBorders>
            <w:shd w:val="clear" w:color="auto" w:fill="auto"/>
          </w:tcPr>
          <w:p w14:paraId="6435CB3B" w14:textId="1E7798DA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13 (7%)</w:t>
            </w:r>
          </w:p>
        </w:tc>
        <w:tc>
          <w:tcPr>
            <w:tcW w:w="1568" w:type="dxa"/>
            <w:gridSpan w:val="2"/>
            <w:tcBorders>
              <w:left w:val="nil"/>
              <w:right w:val="nil"/>
            </w:tcBorders>
          </w:tcPr>
          <w:p w14:paraId="7EC276CA" w14:textId="564F4F2C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14 (10%)</w:t>
            </w:r>
          </w:p>
        </w:tc>
        <w:tc>
          <w:tcPr>
            <w:tcW w:w="1704" w:type="dxa"/>
            <w:gridSpan w:val="2"/>
            <w:tcBorders>
              <w:left w:val="nil"/>
            </w:tcBorders>
          </w:tcPr>
          <w:p w14:paraId="055413DB" w14:textId="17AE77E9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20 (13%)</w:t>
            </w:r>
          </w:p>
        </w:tc>
        <w:tc>
          <w:tcPr>
            <w:tcW w:w="992" w:type="dxa"/>
            <w:gridSpan w:val="2"/>
            <w:vMerge/>
          </w:tcPr>
          <w:p w14:paraId="058A5E67" w14:textId="77777777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B70FB4" w:rsidRPr="00311535" w14:paraId="0955EF08" w14:textId="77777777" w:rsidTr="00FC79FB">
        <w:tc>
          <w:tcPr>
            <w:tcW w:w="1552" w:type="dxa"/>
            <w:gridSpan w:val="2"/>
            <w:vMerge/>
            <w:tcBorders>
              <w:right w:val="nil"/>
            </w:tcBorders>
            <w:shd w:val="clear" w:color="auto" w:fill="auto"/>
          </w:tcPr>
          <w:p w14:paraId="42EDBCD7" w14:textId="77777777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841" w:type="dxa"/>
            <w:tcBorders>
              <w:left w:val="nil"/>
            </w:tcBorders>
            <w:shd w:val="clear" w:color="auto" w:fill="auto"/>
          </w:tcPr>
          <w:p w14:paraId="35725AE0" w14:textId="77777777" w:rsidR="00EB6E0A" w:rsidRPr="00311535" w:rsidRDefault="00EB6E0A" w:rsidP="00FC79FB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Further education college</w:t>
            </w:r>
          </w:p>
        </w:tc>
        <w:tc>
          <w:tcPr>
            <w:tcW w:w="1570" w:type="dxa"/>
            <w:tcBorders>
              <w:right w:val="nil"/>
            </w:tcBorders>
            <w:shd w:val="clear" w:color="auto" w:fill="auto"/>
          </w:tcPr>
          <w:p w14:paraId="7F1503E2" w14:textId="3F8ADF30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54 (29%)</w:t>
            </w:r>
          </w:p>
        </w:tc>
        <w:tc>
          <w:tcPr>
            <w:tcW w:w="1568" w:type="dxa"/>
            <w:gridSpan w:val="2"/>
            <w:tcBorders>
              <w:left w:val="nil"/>
              <w:right w:val="nil"/>
            </w:tcBorders>
          </w:tcPr>
          <w:p w14:paraId="6443045D" w14:textId="35A5175D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55 (37%)</w:t>
            </w:r>
          </w:p>
        </w:tc>
        <w:tc>
          <w:tcPr>
            <w:tcW w:w="1704" w:type="dxa"/>
            <w:gridSpan w:val="2"/>
            <w:tcBorders>
              <w:left w:val="nil"/>
            </w:tcBorders>
          </w:tcPr>
          <w:p w14:paraId="7A0B4903" w14:textId="16922856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43 (29%)</w:t>
            </w:r>
          </w:p>
        </w:tc>
        <w:tc>
          <w:tcPr>
            <w:tcW w:w="992" w:type="dxa"/>
            <w:gridSpan w:val="2"/>
            <w:vMerge/>
          </w:tcPr>
          <w:p w14:paraId="1DFCE124" w14:textId="77777777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B70FB4" w:rsidRPr="00311535" w14:paraId="50B32DE9" w14:textId="77777777" w:rsidTr="00FC79FB">
        <w:tc>
          <w:tcPr>
            <w:tcW w:w="1552" w:type="dxa"/>
            <w:gridSpan w:val="2"/>
            <w:vMerge/>
            <w:tcBorders>
              <w:right w:val="nil"/>
            </w:tcBorders>
            <w:shd w:val="clear" w:color="auto" w:fill="auto"/>
          </w:tcPr>
          <w:p w14:paraId="40BFCE4A" w14:textId="77777777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841" w:type="dxa"/>
            <w:tcBorders>
              <w:left w:val="nil"/>
            </w:tcBorders>
            <w:shd w:val="clear" w:color="auto" w:fill="auto"/>
          </w:tcPr>
          <w:p w14:paraId="1959B232" w14:textId="77777777" w:rsidR="00EB6E0A" w:rsidRPr="00311535" w:rsidRDefault="00EB6E0A" w:rsidP="00FC79FB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University degree</w:t>
            </w:r>
          </w:p>
        </w:tc>
        <w:tc>
          <w:tcPr>
            <w:tcW w:w="1570" w:type="dxa"/>
            <w:tcBorders>
              <w:right w:val="nil"/>
            </w:tcBorders>
            <w:shd w:val="clear" w:color="auto" w:fill="auto"/>
          </w:tcPr>
          <w:p w14:paraId="2115DC51" w14:textId="38744558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50 (27%)</w:t>
            </w:r>
          </w:p>
        </w:tc>
        <w:tc>
          <w:tcPr>
            <w:tcW w:w="1568" w:type="dxa"/>
            <w:gridSpan w:val="2"/>
            <w:tcBorders>
              <w:left w:val="nil"/>
              <w:right w:val="nil"/>
            </w:tcBorders>
          </w:tcPr>
          <w:p w14:paraId="5EB1D316" w14:textId="746C2BB0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24 (16%)</w:t>
            </w:r>
          </w:p>
        </w:tc>
        <w:tc>
          <w:tcPr>
            <w:tcW w:w="1704" w:type="dxa"/>
            <w:gridSpan w:val="2"/>
            <w:tcBorders>
              <w:left w:val="nil"/>
            </w:tcBorders>
          </w:tcPr>
          <w:p w14:paraId="66FBCDA7" w14:textId="295B64B1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16 (11%)</w:t>
            </w:r>
          </w:p>
        </w:tc>
        <w:tc>
          <w:tcPr>
            <w:tcW w:w="992" w:type="dxa"/>
            <w:gridSpan w:val="2"/>
            <w:vMerge/>
          </w:tcPr>
          <w:p w14:paraId="650D77A0" w14:textId="77777777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B70FB4" w:rsidRPr="00311535" w14:paraId="5D0899E8" w14:textId="77777777" w:rsidTr="00FC79FB">
        <w:tc>
          <w:tcPr>
            <w:tcW w:w="1552" w:type="dxa"/>
            <w:gridSpan w:val="2"/>
            <w:vMerge/>
            <w:tcBorders>
              <w:right w:val="nil"/>
            </w:tcBorders>
            <w:shd w:val="clear" w:color="auto" w:fill="auto"/>
          </w:tcPr>
          <w:p w14:paraId="04F515FF" w14:textId="77777777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841" w:type="dxa"/>
            <w:tcBorders>
              <w:left w:val="nil"/>
            </w:tcBorders>
            <w:shd w:val="clear" w:color="auto" w:fill="auto"/>
          </w:tcPr>
          <w:p w14:paraId="49597CA7" w14:textId="77777777" w:rsidR="00EB6E0A" w:rsidRPr="00311535" w:rsidRDefault="00EB6E0A" w:rsidP="00FC79FB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Further degree</w:t>
            </w:r>
          </w:p>
        </w:tc>
        <w:tc>
          <w:tcPr>
            <w:tcW w:w="1570" w:type="dxa"/>
            <w:tcBorders>
              <w:right w:val="nil"/>
            </w:tcBorders>
            <w:shd w:val="clear" w:color="auto" w:fill="auto"/>
          </w:tcPr>
          <w:p w14:paraId="090FE22C" w14:textId="59955008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13 (7%)</w:t>
            </w:r>
          </w:p>
        </w:tc>
        <w:tc>
          <w:tcPr>
            <w:tcW w:w="1568" w:type="dxa"/>
            <w:gridSpan w:val="2"/>
            <w:tcBorders>
              <w:left w:val="nil"/>
              <w:right w:val="nil"/>
            </w:tcBorders>
          </w:tcPr>
          <w:p w14:paraId="41645ABF" w14:textId="48C1CCC3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5 (3%)</w:t>
            </w:r>
          </w:p>
        </w:tc>
        <w:tc>
          <w:tcPr>
            <w:tcW w:w="1704" w:type="dxa"/>
            <w:gridSpan w:val="2"/>
            <w:tcBorders>
              <w:left w:val="nil"/>
            </w:tcBorders>
          </w:tcPr>
          <w:p w14:paraId="41FA2408" w14:textId="227B7CE2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4 (3%)</w:t>
            </w:r>
          </w:p>
        </w:tc>
        <w:tc>
          <w:tcPr>
            <w:tcW w:w="992" w:type="dxa"/>
            <w:gridSpan w:val="2"/>
            <w:vMerge/>
          </w:tcPr>
          <w:p w14:paraId="34452E29" w14:textId="77777777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B70FB4" w:rsidRPr="00311535" w14:paraId="2D81325C" w14:textId="77777777" w:rsidTr="00FC79FB">
        <w:trPr>
          <w:trHeight w:val="241"/>
        </w:trPr>
        <w:tc>
          <w:tcPr>
            <w:tcW w:w="1552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14:paraId="2E055045" w14:textId="77777777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Alcohol status</w:t>
            </w:r>
          </w:p>
        </w:tc>
        <w:tc>
          <w:tcPr>
            <w:tcW w:w="1841" w:type="dxa"/>
            <w:tcBorders>
              <w:left w:val="nil"/>
            </w:tcBorders>
            <w:shd w:val="clear" w:color="auto" w:fill="auto"/>
          </w:tcPr>
          <w:p w14:paraId="1CE52BA1" w14:textId="77777777" w:rsidR="00EB6E0A" w:rsidRPr="00311535" w:rsidRDefault="00EB6E0A" w:rsidP="00FC79FB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Current</w:t>
            </w:r>
          </w:p>
        </w:tc>
        <w:tc>
          <w:tcPr>
            <w:tcW w:w="1570" w:type="dxa"/>
            <w:tcBorders>
              <w:right w:val="nil"/>
            </w:tcBorders>
            <w:shd w:val="clear" w:color="auto" w:fill="auto"/>
          </w:tcPr>
          <w:p w14:paraId="1EC77AAF" w14:textId="614274B6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149 (79%)</w:t>
            </w:r>
          </w:p>
        </w:tc>
        <w:tc>
          <w:tcPr>
            <w:tcW w:w="15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5BA5214" w14:textId="673B33A5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119 (80%)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auto"/>
            </w:tcBorders>
          </w:tcPr>
          <w:p w14:paraId="37EBC68C" w14:textId="60821A3E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97 (63%)</w:t>
            </w:r>
          </w:p>
        </w:tc>
        <w:tc>
          <w:tcPr>
            <w:tcW w:w="992" w:type="dxa"/>
            <w:gridSpan w:val="2"/>
            <w:vMerge w:val="restart"/>
          </w:tcPr>
          <w:p w14:paraId="6B2CB74F" w14:textId="77777777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0.001</w:t>
            </w:r>
          </w:p>
        </w:tc>
      </w:tr>
      <w:tr w:rsidR="00B70FB4" w:rsidRPr="00311535" w14:paraId="75B44E09" w14:textId="77777777" w:rsidTr="00FC79FB">
        <w:trPr>
          <w:trHeight w:val="241"/>
        </w:trPr>
        <w:tc>
          <w:tcPr>
            <w:tcW w:w="1552" w:type="dxa"/>
            <w:gridSpan w:val="2"/>
            <w:vMerge/>
            <w:tcBorders>
              <w:right w:val="nil"/>
            </w:tcBorders>
            <w:shd w:val="clear" w:color="auto" w:fill="auto"/>
          </w:tcPr>
          <w:p w14:paraId="5075B32F" w14:textId="77777777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841" w:type="dxa"/>
            <w:tcBorders>
              <w:left w:val="nil"/>
            </w:tcBorders>
            <w:shd w:val="clear" w:color="auto" w:fill="auto"/>
          </w:tcPr>
          <w:p w14:paraId="4E680204" w14:textId="77777777" w:rsidR="00EB6E0A" w:rsidRPr="00311535" w:rsidRDefault="00EB6E0A" w:rsidP="00FC79FB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Ex</w:t>
            </w:r>
          </w:p>
        </w:tc>
        <w:tc>
          <w:tcPr>
            <w:tcW w:w="1570" w:type="dxa"/>
            <w:tcBorders>
              <w:right w:val="nil"/>
            </w:tcBorders>
            <w:shd w:val="clear" w:color="auto" w:fill="auto"/>
          </w:tcPr>
          <w:p w14:paraId="07223B88" w14:textId="679C58D1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21 (11%)</w:t>
            </w:r>
          </w:p>
        </w:tc>
        <w:tc>
          <w:tcPr>
            <w:tcW w:w="15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7528F59" w14:textId="7C4A4E95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24 (16%)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auto"/>
            </w:tcBorders>
          </w:tcPr>
          <w:p w14:paraId="455212FD" w14:textId="55E4B833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35 (23%)</w:t>
            </w:r>
          </w:p>
        </w:tc>
        <w:tc>
          <w:tcPr>
            <w:tcW w:w="992" w:type="dxa"/>
            <w:gridSpan w:val="2"/>
            <w:vMerge/>
          </w:tcPr>
          <w:p w14:paraId="78AF3C96" w14:textId="77777777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B70FB4" w:rsidRPr="00311535" w14:paraId="7E061D87" w14:textId="77777777" w:rsidTr="00FC79FB">
        <w:trPr>
          <w:trHeight w:val="241"/>
        </w:trPr>
        <w:tc>
          <w:tcPr>
            <w:tcW w:w="1552" w:type="dxa"/>
            <w:gridSpan w:val="2"/>
            <w:vMerge/>
            <w:tcBorders>
              <w:right w:val="nil"/>
            </w:tcBorders>
            <w:shd w:val="clear" w:color="auto" w:fill="auto"/>
          </w:tcPr>
          <w:p w14:paraId="21229FBD" w14:textId="77777777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841" w:type="dxa"/>
            <w:tcBorders>
              <w:left w:val="nil"/>
            </w:tcBorders>
            <w:shd w:val="clear" w:color="auto" w:fill="auto"/>
          </w:tcPr>
          <w:p w14:paraId="4856E1DD" w14:textId="77777777" w:rsidR="00EB6E0A" w:rsidRPr="00311535" w:rsidRDefault="00EB6E0A" w:rsidP="00FC79FB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Never</w:t>
            </w:r>
          </w:p>
        </w:tc>
        <w:tc>
          <w:tcPr>
            <w:tcW w:w="1570" w:type="dxa"/>
            <w:tcBorders>
              <w:right w:val="nil"/>
            </w:tcBorders>
            <w:shd w:val="clear" w:color="auto" w:fill="auto"/>
            <w:vAlign w:val="bottom"/>
          </w:tcPr>
          <w:p w14:paraId="4823AAB5" w14:textId="6C8619CA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 w:cs="Arial"/>
              </w:rPr>
              <w:t>18 (10%)</w:t>
            </w:r>
          </w:p>
        </w:tc>
        <w:tc>
          <w:tcPr>
            <w:tcW w:w="156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B58D047" w14:textId="3E5D11C4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 w:cs="Arial"/>
              </w:rPr>
              <w:t>6 (4%)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393AE433" w14:textId="18A00F80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 w:cs="Arial"/>
              </w:rPr>
              <w:t>22 (14%)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14:paraId="2351390B" w14:textId="77777777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B70FB4" w:rsidRPr="00311535" w14:paraId="6ABA1CED" w14:textId="77777777" w:rsidTr="00FC79FB">
        <w:trPr>
          <w:trHeight w:val="241"/>
        </w:trPr>
        <w:tc>
          <w:tcPr>
            <w:tcW w:w="1552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14:paraId="4BA7CFA2" w14:textId="77777777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Number of comorbidities</w:t>
            </w:r>
          </w:p>
        </w:tc>
        <w:tc>
          <w:tcPr>
            <w:tcW w:w="1841" w:type="dxa"/>
            <w:tcBorders>
              <w:left w:val="nil"/>
            </w:tcBorders>
            <w:shd w:val="clear" w:color="auto" w:fill="auto"/>
          </w:tcPr>
          <w:p w14:paraId="7FD562F9" w14:textId="77777777" w:rsidR="00EB6E0A" w:rsidRPr="00311535" w:rsidRDefault="00EB6E0A" w:rsidP="00FC79FB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0</w:t>
            </w:r>
          </w:p>
        </w:tc>
        <w:tc>
          <w:tcPr>
            <w:tcW w:w="1570" w:type="dxa"/>
            <w:tcBorders>
              <w:right w:val="nil"/>
            </w:tcBorders>
            <w:shd w:val="clear" w:color="auto" w:fill="auto"/>
          </w:tcPr>
          <w:p w14:paraId="3842E497" w14:textId="6B3DAEC7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115 (61%)</w:t>
            </w:r>
          </w:p>
        </w:tc>
        <w:tc>
          <w:tcPr>
            <w:tcW w:w="15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94851B0" w14:textId="5F5134D6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82 (55%)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auto"/>
            </w:tcBorders>
          </w:tcPr>
          <w:p w14:paraId="6672CF29" w14:textId="3E539815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82 (53%)</w:t>
            </w:r>
          </w:p>
        </w:tc>
        <w:tc>
          <w:tcPr>
            <w:tcW w:w="992" w:type="dxa"/>
            <w:gridSpan w:val="2"/>
            <w:vMerge w:val="restart"/>
          </w:tcPr>
          <w:p w14:paraId="5D824C68" w14:textId="77777777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0.051**</w:t>
            </w:r>
          </w:p>
        </w:tc>
      </w:tr>
      <w:tr w:rsidR="00B70FB4" w:rsidRPr="00311535" w14:paraId="7F0A2AB5" w14:textId="77777777" w:rsidTr="00FC79FB">
        <w:trPr>
          <w:trHeight w:val="241"/>
        </w:trPr>
        <w:tc>
          <w:tcPr>
            <w:tcW w:w="1552" w:type="dxa"/>
            <w:gridSpan w:val="2"/>
            <w:vMerge/>
            <w:tcBorders>
              <w:right w:val="nil"/>
            </w:tcBorders>
            <w:shd w:val="clear" w:color="auto" w:fill="auto"/>
          </w:tcPr>
          <w:p w14:paraId="00F4A690" w14:textId="77777777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841" w:type="dxa"/>
            <w:tcBorders>
              <w:left w:val="nil"/>
            </w:tcBorders>
            <w:shd w:val="clear" w:color="auto" w:fill="auto"/>
          </w:tcPr>
          <w:p w14:paraId="44A69C75" w14:textId="77777777" w:rsidR="00EB6E0A" w:rsidRPr="00311535" w:rsidRDefault="00EB6E0A" w:rsidP="00FC79FB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1</w:t>
            </w:r>
          </w:p>
        </w:tc>
        <w:tc>
          <w:tcPr>
            <w:tcW w:w="1570" w:type="dxa"/>
            <w:tcBorders>
              <w:right w:val="nil"/>
            </w:tcBorders>
            <w:shd w:val="clear" w:color="auto" w:fill="auto"/>
          </w:tcPr>
          <w:p w14:paraId="46CD0C8C" w14:textId="5D8BF4CF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53 (28%)</w:t>
            </w:r>
          </w:p>
        </w:tc>
        <w:tc>
          <w:tcPr>
            <w:tcW w:w="15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3672635" w14:textId="5177AD46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40 (27%)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auto"/>
            </w:tcBorders>
          </w:tcPr>
          <w:p w14:paraId="6731A6CE" w14:textId="5142152C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50 (32%)</w:t>
            </w:r>
          </w:p>
        </w:tc>
        <w:tc>
          <w:tcPr>
            <w:tcW w:w="992" w:type="dxa"/>
            <w:gridSpan w:val="2"/>
            <w:vMerge/>
          </w:tcPr>
          <w:p w14:paraId="76D907B9" w14:textId="77777777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</w:p>
        </w:tc>
      </w:tr>
      <w:tr w:rsidR="00B70FB4" w:rsidRPr="00311535" w14:paraId="61992E4F" w14:textId="77777777" w:rsidTr="00FC79FB">
        <w:trPr>
          <w:trHeight w:val="241"/>
        </w:trPr>
        <w:tc>
          <w:tcPr>
            <w:tcW w:w="1552" w:type="dxa"/>
            <w:gridSpan w:val="2"/>
            <w:vMerge/>
            <w:tcBorders>
              <w:right w:val="nil"/>
            </w:tcBorders>
            <w:shd w:val="clear" w:color="auto" w:fill="auto"/>
          </w:tcPr>
          <w:p w14:paraId="44154E2D" w14:textId="77777777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841" w:type="dxa"/>
            <w:tcBorders>
              <w:left w:val="nil"/>
            </w:tcBorders>
            <w:shd w:val="clear" w:color="auto" w:fill="auto"/>
          </w:tcPr>
          <w:p w14:paraId="0064E7E6" w14:textId="730F5423" w:rsidR="00EB6E0A" w:rsidRPr="00311535" w:rsidRDefault="00EB6E0A" w:rsidP="00FC79FB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≥2</w:t>
            </w:r>
          </w:p>
        </w:tc>
        <w:tc>
          <w:tcPr>
            <w:tcW w:w="1570" w:type="dxa"/>
            <w:tcBorders>
              <w:right w:val="nil"/>
            </w:tcBorders>
            <w:shd w:val="clear" w:color="auto" w:fill="auto"/>
          </w:tcPr>
          <w:p w14:paraId="3A2103F9" w14:textId="17FB1C95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20 (11%)</w:t>
            </w:r>
          </w:p>
        </w:tc>
        <w:tc>
          <w:tcPr>
            <w:tcW w:w="156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FA241C0" w14:textId="475A805B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26 (18%)</w:t>
            </w:r>
          </w:p>
        </w:tc>
        <w:tc>
          <w:tcPr>
            <w:tcW w:w="1704" w:type="dxa"/>
            <w:gridSpan w:val="2"/>
            <w:tcBorders>
              <w:left w:val="nil"/>
              <w:bottom w:val="single" w:sz="4" w:space="0" w:color="auto"/>
            </w:tcBorders>
          </w:tcPr>
          <w:p w14:paraId="2EC11FE5" w14:textId="3BC172D4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22 (14%)</w:t>
            </w:r>
          </w:p>
        </w:tc>
        <w:tc>
          <w:tcPr>
            <w:tcW w:w="992" w:type="dxa"/>
            <w:gridSpan w:val="2"/>
            <w:vMerge/>
          </w:tcPr>
          <w:p w14:paraId="41F1500F" w14:textId="77777777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</w:p>
        </w:tc>
      </w:tr>
      <w:tr w:rsidR="00B70FB4" w:rsidRPr="00311535" w14:paraId="3E909F2B" w14:textId="77777777" w:rsidTr="00FC79FB">
        <w:trPr>
          <w:gridAfter w:val="1"/>
          <w:wAfter w:w="10" w:type="dxa"/>
        </w:trPr>
        <w:tc>
          <w:tcPr>
            <w:tcW w:w="1552" w:type="dxa"/>
            <w:gridSpan w:val="2"/>
            <w:vMerge w:val="restart"/>
            <w:tcBorders>
              <w:right w:val="nil"/>
            </w:tcBorders>
          </w:tcPr>
          <w:p w14:paraId="552BA4D3" w14:textId="77777777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Disease activity</w:t>
            </w:r>
            <w:r w:rsidRPr="00311535">
              <w:rPr>
                <w:rFonts w:asciiTheme="minorHAnsi" w:hAnsiTheme="minorHAnsi"/>
                <w:lang w:eastAsia="zh-CN"/>
              </w:rPr>
              <w:t>,</w:t>
            </w:r>
            <w:r w:rsidRPr="00311535">
              <w:rPr>
                <w:rFonts w:asciiTheme="minorHAnsi" w:hAnsiTheme="minorHAnsi"/>
              </w:rPr>
              <w:t xml:space="preserve"> median (IQR)</w:t>
            </w:r>
          </w:p>
        </w:tc>
        <w:tc>
          <w:tcPr>
            <w:tcW w:w="1841" w:type="dxa"/>
            <w:tcBorders>
              <w:left w:val="nil"/>
            </w:tcBorders>
            <w:shd w:val="clear" w:color="auto" w:fill="auto"/>
          </w:tcPr>
          <w:p w14:paraId="065F0CF2" w14:textId="77777777" w:rsidR="00EB6E0A" w:rsidRPr="00311535" w:rsidRDefault="00EB6E0A" w:rsidP="00FC79FB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BASDAI</w:t>
            </w:r>
          </w:p>
        </w:tc>
        <w:tc>
          <w:tcPr>
            <w:tcW w:w="1570" w:type="dxa"/>
            <w:tcBorders>
              <w:right w:val="nil"/>
            </w:tcBorders>
          </w:tcPr>
          <w:p w14:paraId="07804EAC" w14:textId="5C61BA93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6.3 (4.9 to 7.4)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6056DD25" w14:textId="1ACD10D5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6.6 (5.3 to 7.9)</w:t>
            </w:r>
          </w:p>
        </w:tc>
        <w:tc>
          <w:tcPr>
            <w:tcW w:w="1704" w:type="dxa"/>
            <w:gridSpan w:val="2"/>
            <w:tcBorders>
              <w:left w:val="nil"/>
            </w:tcBorders>
          </w:tcPr>
          <w:p w14:paraId="7F6ECB46" w14:textId="7DE1689A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7.1 (5.6 to 7.8)</w:t>
            </w:r>
          </w:p>
        </w:tc>
        <w:tc>
          <w:tcPr>
            <w:tcW w:w="992" w:type="dxa"/>
            <w:gridSpan w:val="2"/>
          </w:tcPr>
          <w:p w14:paraId="58793FC7" w14:textId="55C847E3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0.013</w:t>
            </w:r>
          </w:p>
        </w:tc>
      </w:tr>
      <w:tr w:rsidR="00B70FB4" w:rsidRPr="00311535" w14:paraId="5A11F6BD" w14:textId="77777777" w:rsidTr="00FC79FB">
        <w:trPr>
          <w:gridAfter w:val="1"/>
          <w:wAfter w:w="10" w:type="dxa"/>
        </w:trPr>
        <w:tc>
          <w:tcPr>
            <w:tcW w:w="1552" w:type="dxa"/>
            <w:gridSpan w:val="2"/>
            <w:vMerge/>
            <w:tcBorders>
              <w:right w:val="nil"/>
            </w:tcBorders>
          </w:tcPr>
          <w:p w14:paraId="4D370159" w14:textId="77777777" w:rsidR="00EB6E0A" w:rsidRPr="00311535" w:rsidRDefault="00EB6E0A" w:rsidP="00FC79FB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841" w:type="dxa"/>
            <w:tcBorders>
              <w:left w:val="nil"/>
            </w:tcBorders>
            <w:shd w:val="clear" w:color="auto" w:fill="auto"/>
          </w:tcPr>
          <w:p w14:paraId="523B8D2C" w14:textId="77777777" w:rsidR="00EB6E0A" w:rsidRPr="00311535" w:rsidRDefault="00EB6E0A" w:rsidP="00FC79FB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ASDAS</w:t>
            </w:r>
            <w:r w:rsidRPr="00311535">
              <w:rPr>
                <w:rFonts w:asciiTheme="minorHAnsi" w:hAnsiTheme="minorHAnsi"/>
                <w:vertAlign w:val="superscript"/>
              </w:rPr>
              <w:t>+</w:t>
            </w:r>
          </w:p>
        </w:tc>
        <w:tc>
          <w:tcPr>
            <w:tcW w:w="1570" w:type="dxa"/>
            <w:tcBorders>
              <w:right w:val="nil"/>
            </w:tcBorders>
          </w:tcPr>
          <w:p w14:paraId="51A3A2A8" w14:textId="27984A32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2.9 (2.3 to 3.4)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0DA3E06D" w14:textId="2DAD1877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2.9 (2.3 to 3.4)</w:t>
            </w:r>
          </w:p>
        </w:tc>
        <w:tc>
          <w:tcPr>
            <w:tcW w:w="1704" w:type="dxa"/>
            <w:gridSpan w:val="2"/>
            <w:tcBorders>
              <w:left w:val="nil"/>
            </w:tcBorders>
          </w:tcPr>
          <w:p w14:paraId="62E55D75" w14:textId="103CACD4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3.0 (2.6 to 3.6)</w:t>
            </w:r>
          </w:p>
        </w:tc>
        <w:tc>
          <w:tcPr>
            <w:tcW w:w="992" w:type="dxa"/>
            <w:gridSpan w:val="2"/>
          </w:tcPr>
          <w:p w14:paraId="143F439F" w14:textId="20536049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0.066</w:t>
            </w:r>
          </w:p>
        </w:tc>
      </w:tr>
      <w:tr w:rsidR="00B70FB4" w:rsidRPr="00311535" w14:paraId="0584FD24" w14:textId="77777777" w:rsidTr="00FC79FB">
        <w:trPr>
          <w:gridAfter w:val="1"/>
          <w:wAfter w:w="10" w:type="dxa"/>
        </w:trPr>
        <w:tc>
          <w:tcPr>
            <w:tcW w:w="1552" w:type="dxa"/>
            <w:gridSpan w:val="2"/>
            <w:vMerge/>
            <w:tcBorders>
              <w:right w:val="nil"/>
            </w:tcBorders>
          </w:tcPr>
          <w:p w14:paraId="7E33918A" w14:textId="77777777" w:rsidR="00EB6E0A" w:rsidRPr="00311535" w:rsidRDefault="00EB6E0A" w:rsidP="00FC79FB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841" w:type="dxa"/>
            <w:tcBorders>
              <w:left w:val="nil"/>
            </w:tcBorders>
            <w:shd w:val="clear" w:color="auto" w:fill="auto"/>
          </w:tcPr>
          <w:p w14:paraId="1B635605" w14:textId="77777777" w:rsidR="00EB6E0A" w:rsidRPr="00311535" w:rsidRDefault="00EB6E0A" w:rsidP="00FC79FB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Spinal pain</w:t>
            </w:r>
          </w:p>
        </w:tc>
        <w:tc>
          <w:tcPr>
            <w:tcW w:w="1570" w:type="dxa"/>
            <w:tcBorders>
              <w:right w:val="nil"/>
            </w:tcBorders>
          </w:tcPr>
          <w:p w14:paraId="4CE7AD18" w14:textId="76179084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7.0 (5.0 to 8.0)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6EE86328" w14:textId="5F7ED62C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7.0 (5.0 to 8.0)</w:t>
            </w:r>
          </w:p>
        </w:tc>
        <w:tc>
          <w:tcPr>
            <w:tcW w:w="1704" w:type="dxa"/>
            <w:gridSpan w:val="2"/>
            <w:tcBorders>
              <w:left w:val="nil"/>
            </w:tcBorders>
          </w:tcPr>
          <w:p w14:paraId="6430F5E2" w14:textId="1C48F248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7.0 (6.0 to 8.0)</w:t>
            </w:r>
          </w:p>
        </w:tc>
        <w:tc>
          <w:tcPr>
            <w:tcW w:w="992" w:type="dxa"/>
            <w:gridSpan w:val="2"/>
          </w:tcPr>
          <w:p w14:paraId="4555BEC9" w14:textId="638F7C58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0.100</w:t>
            </w:r>
          </w:p>
        </w:tc>
      </w:tr>
      <w:tr w:rsidR="00B70FB4" w:rsidRPr="00311535" w14:paraId="6E516840" w14:textId="77777777" w:rsidTr="00FC79FB">
        <w:trPr>
          <w:gridAfter w:val="1"/>
          <w:wAfter w:w="10" w:type="dxa"/>
        </w:trPr>
        <w:tc>
          <w:tcPr>
            <w:tcW w:w="3393" w:type="dxa"/>
            <w:gridSpan w:val="3"/>
          </w:tcPr>
          <w:p w14:paraId="59EFF291" w14:textId="77777777" w:rsidR="00EB6E0A" w:rsidRPr="00311535" w:rsidRDefault="00EB6E0A" w:rsidP="00FC79FB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BASFI, median (IQR)</w:t>
            </w:r>
          </w:p>
        </w:tc>
        <w:tc>
          <w:tcPr>
            <w:tcW w:w="1570" w:type="dxa"/>
            <w:tcBorders>
              <w:right w:val="nil"/>
            </w:tcBorders>
          </w:tcPr>
          <w:p w14:paraId="6539901F" w14:textId="6A82B641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5.7 (4.0 to 7.3)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6C5AE13B" w14:textId="3B598B2C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6.4 (4.8 to 8.0)</w:t>
            </w:r>
          </w:p>
        </w:tc>
        <w:tc>
          <w:tcPr>
            <w:tcW w:w="1704" w:type="dxa"/>
            <w:gridSpan w:val="2"/>
            <w:tcBorders>
              <w:left w:val="nil"/>
            </w:tcBorders>
          </w:tcPr>
          <w:p w14:paraId="757F8AD1" w14:textId="3A7A4828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7.0 (5.4 to 8.4)</w:t>
            </w:r>
          </w:p>
        </w:tc>
        <w:tc>
          <w:tcPr>
            <w:tcW w:w="992" w:type="dxa"/>
            <w:gridSpan w:val="2"/>
          </w:tcPr>
          <w:p w14:paraId="38FD73D4" w14:textId="26A10903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&lt;0.001</w:t>
            </w:r>
          </w:p>
        </w:tc>
      </w:tr>
      <w:tr w:rsidR="00B70FB4" w:rsidRPr="00311535" w14:paraId="73289E4F" w14:textId="77777777" w:rsidTr="00FC79FB">
        <w:trPr>
          <w:gridAfter w:val="1"/>
          <w:wAfter w:w="10" w:type="dxa"/>
        </w:trPr>
        <w:tc>
          <w:tcPr>
            <w:tcW w:w="3393" w:type="dxa"/>
            <w:gridSpan w:val="3"/>
          </w:tcPr>
          <w:p w14:paraId="44195018" w14:textId="77777777" w:rsidR="00EB6E0A" w:rsidRPr="00311535" w:rsidRDefault="00EB6E0A" w:rsidP="00FC79FB">
            <w:pPr>
              <w:pStyle w:val="NoSpacing"/>
              <w:jc w:val="right"/>
              <w:rPr>
                <w:rFonts w:asciiTheme="minorHAnsi" w:hAnsiTheme="minorHAnsi"/>
              </w:rPr>
            </w:pPr>
            <w:proofErr w:type="spellStart"/>
            <w:r w:rsidRPr="00311535">
              <w:rPr>
                <w:rFonts w:asciiTheme="minorHAnsi" w:hAnsiTheme="minorHAnsi"/>
              </w:rPr>
              <w:t>ASQoL</w:t>
            </w:r>
            <w:proofErr w:type="spellEnd"/>
            <w:r w:rsidRPr="00311535">
              <w:rPr>
                <w:rFonts w:asciiTheme="minorHAnsi" w:hAnsiTheme="minorHAnsi"/>
              </w:rPr>
              <w:t>, median (IQR)</w:t>
            </w:r>
          </w:p>
        </w:tc>
        <w:tc>
          <w:tcPr>
            <w:tcW w:w="1570" w:type="dxa"/>
            <w:tcBorders>
              <w:right w:val="nil"/>
            </w:tcBorders>
          </w:tcPr>
          <w:p w14:paraId="1A22717A" w14:textId="559C0BF4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11.0 (7.5 to 14.0)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3668171C" w14:textId="7180F037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13.0 (8.0 to 15.0)</w:t>
            </w:r>
          </w:p>
        </w:tc>
        <w:tc>
          <w:tcPr>
            <w:tcW w:w="1704" w:type="dxa"/>
            <w:gridSpan w:val="2"/>
            <w:tcBorders>
              <w:left w:val="nil"/>
            </w:tcBorders>
          </w:tcPr>
          <w:p w14:paraId="524B5314" w14:textId="787D120B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14.0 (11.0 to 16.0)</w:t>
            </w:r>
          </w:p>
        </w:tc>
        <w:tc>
          <w:tcPr>
            <w:tcW w:w="992" w:type="dxa"/>
            <w:gridSpan w:val="2"/>
          </w:tcPr>
          <w:p w14:paraId="2EBF122A" w14:textId="77D04591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&lt;0.001</w:t>
            </w:r>
          </w:p>
        </w:tc>
      </w:tr>
      <w:tr w:rsidR="00B70FB4" w:rsidRPr="00311535" w14:paraId="29BC97CB" w14:textId="77777777" w:rsidTr="00FC79FB">
        <w:trPr>
          <w:gridAfter w:val="1"/>
          <w:wAfter w:w="10" w:type="dxa"/>
        </w:trPr>
        <w:tc>
          <w:tcPr>
            <w:tcW w:w="3393" w:type="dxa"/>
            <w:gridSpan w:val="3"/>
          </w:tcPr>
          <w:p w14:paraId="784E40B8" w14:textId="0D8DC5C5" w:rsidR="00EB6E0A" w:rsidRPr="00311535" w:rsidRDefault="00EB6E0A" w:rsidP="00FC79FB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BASG</w:t>
            </w:r>
            <w:r w:rsidRPr="00311535">
              <w:rPr>
                <w:rFonts w:asciiTheme="minorHAnsi" w:hAnsiTheme="minorHAnsi"/>
                <w:lang w:eastAsia="zh-CN"/>
              </w:rPr>
              <w:t xml:space="preserve">, </w:t>
            </w:r>
            <w:r w:rsidRPr="00311535">
              <w:rPr>
                <w:rFonts w:asciiTheme="minorHAnsi" w:hAnsiTheme="minorHAnsi"/>
              </w:rPr>
              <w:t>median (IQR)</w:t>
            </w:r>
          </w:p>
        </w:tc>
        <w:tc>
          <w:tcPr>
            <w:tcW w:w="1570" w:type="dxa"/>
            <w:tcBorders>
              <w:right w:val="nil"/>
            </w:tcBorders>
          </w:tcPr>
          <w:p w14:paraId="6D15D524" w14:textId="6FD67D5C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7.0 (6.0 to 8.0)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799EC17B" w14:textId="5A025A52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7.0 (5.5 to 8.0)</w:t>
            </w:r>
          </w:p>
        </w:tc>
        <w:tc>
          <w:tcPr>
            <w:tcW w:w="1704" w:type="dxa"/>
            <w:gridSpan w:val="2"/>
            <w:tcBorders>
              <w:left w:val="nil"/>
            </w:tcBorders>
          </w:tcPr>
          <w:p w14:paraId="5A71922E" w14:textId="411041A1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7.3 (6.0 to 8.5)</w:t>
            </w:r>
          </w:p>
        </w:tc>
        <w:tc>
          <w:tcPr>
            <w:tcW w:w="992" w:type="dxa"/>
            <w:gridSpan w:val="2"/>
          </w:tcPr>
          <w:p w14:paraId="5201CA59" w14:textId="4A5F958E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0.240</w:t>
            </w:r>
          </w:p>
        </w:tc>
      </w:tr>
      <w:tr w:rsidR="00B70FB4" w:rsidRPr="00311535" w14:paraId="05F719F2" w14:textId="77777777" w:rsidTr="00FC79FB">
        <w:trPr>
          <w:gridAfter w:val="1"/>
          <w:wAfter w:w="10" w:type="dxa"/>
        </w:trPr>
        <w:tc>
          <w:tcPr>
            <w:tcW w:w="3393" w:type="dxa"/>
            <w:gridSpan w:val="3"/>
          </w:tcPr>
          <w:p w14:paraId="431809F5" w14:textId="2E4E5E6A" w:rsidR="00EB6E0A" w:rsidRPr="00311535" w:rsidRDefault="00EB6E0A" w:rsidP="00FC79FB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Fatigue</w:t>
            </w:r>
            <w:r w:rsidRPr="00311535">
              <w:rPr>
                <w:rFonts w:asciiTheme="minorHAnsi" w:hAnsiTheme="minorHAnsi"/>
                <w:lang w:eastAsia="zh-CN"/>
              </w:rPr>
              <w:t xml:space="preserve">, </w:t>
            </w:r>
            <w:r w:rsidRPr="00311535">
              <w:rPr>
                <w:rFonts w:asciiTheme="minorHAnsi" w:hAnsiTheme="minorHAnsi"/>
              </w:rPr>
              <w:t>median (IQR)</w:t>
            </w:r>
          </w:p>
        </w:tc>
        <w:tc>
          <w:tcPr>
            <w:tcW w:w="1570" w:type="dxa"/>
            <w:tcBorders>
              <w:right w:val="nil"/>
            </w:tcBorders>
          </w:tcPr>
          <w:p w14:paraId="0C42D339" w14:textId="48931039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17.0 (14.0 to 21.0)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7AADF5AA" w14:textId="1C5D182A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17.0 (13.0 to 21.0)</w:t>
            </w:r>
          </w:p>
        </w:tc>
        <w:tc>
          <w:tcPr>
            <w:tcW w:w="1704" w:type="dxa"/>
            <w:gridSpan w:val="2"/>
            <w:tcBorders>
              <w:left w:val="nil"/>
            </w:tcBorders>
          </w:tcPr>
          <w:p w14:paraId="7EB6714A" w14:textId="2C73265F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18.0 (14.0 to 21.0)</w:t>
            </w:r>
          </w:p>
        </w:tc>
        <w:tc>
          <w:tcPr>
            <w:tcW w:w="992" w:type="dxa"/>
            <w:gridSpan w:val="2"/>
          </w:tcPr>
          <w:p w14:paraId="382531DF" w14:textId="4FECCC1F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0.200</w:t>
            </w:r>
          </w:p>
        </w:tc>
      </w:tr>
      <w:tr w:rsidR="00B70FB4" w:rsidRPr="00311535" w14:paraId="6DC4476B" w14:textId="77777777" w:rsidTr="00FC79FB">
        <w:trPr>
          <w:gridAfter w:val="1"/>
          <w:wAfter w:w="10" w:type="dxa"/>
        </w:trPr>
        <w:tc>
          <w:tcPr>
            <w:tcW w:w="3393" w:type="dxa"/>
            <w:gridSpan w:val="3"/>
          </w:tcPr>
          <w:p w14:paraId="73AB1BE6" w14:textId="189ADB8C" w:rsidR="00EB6E0A" w:rsidRPr="00311535" w:rsidRDefault="00FC79FB" w:rsidP="00FC79FB">
            <w:pPr>
              <w:pStyle w:val="NoSpacing"/>
              <w:jc w:val="right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Sleep</w:t>
            </w:r>
            <w:r w:rsidR="00EB6E0A" w:rsidRPr="00311535">
              <w:rPr>
                <w:rFonts w:asciiTheme="minorHAnsi" w:hAnsiTheme="minorHAnsi"/>
              </w:rPr>
              <w:t>, median (IQR)</w:t>
            </w:r>
          </w:p>
        </w:tc>
        <w:tc>
          <w:tcPr>
            <w:tcW w:w="1570" w:type="dxa"/>
            <w:tcBorders>
              <w:right w:val="nil"/>
            </w:tcBorders>
          </w:tcPr>
          <w:p w14:paraId="065A2F3C" w14:textId="5C18D66D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13.0 (8.0 to 17.0)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4CD2BAD5" w14:textId="1B23DCDC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14.0 (9.0 to 18.0)</w:t>
            </w:r>
          </w:p>
        </w:tc>
        <w:tc>
          <w:tcPr>
            <w:tcW w:w="1704" w:type="dxa"/>
            <w:gridSpan w:val="2"/>
            <w:tcBorders>
              <w:left w:val="nil"/>
            </w:tcBorders>
          </w:tcPr>
          <w:p w14:paraId="4B565365" w14:textId="305DE212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15.0 (10.0 to 19.0)</w:t>
            </w:r>
          </w:p>
        </w:tc>
        <w:tc>
          <w:tcPr>
            <w:tcW w:w="992" w:type="dxa"/>
            <w:gridSpan w:val="2"/>
          </w:tcPr>
          <w:p w14:paraId="49CA379C" w14:textId="24257F6A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0.045</w:t>
            </w:r>
          </w:p>
        </w:tc>
      </w:tr>
      <w:tr w:rsidR="00B70FB4" w:rsidRPr="00311535" w14:paraId="0014B1AF" w14:textId="77777777" w:rsidTr="00FC79FB">
        <w:trPr>
          <w:gridAfter w:val="1"/>
          <w:wAfter w:w="10" w:type="dxa"/>
        </w:trPr>
        <w:tc>
          <w:tcPr>
            <w:tcW w:w="1410" w:type="dxa"/>
            <w:vMerge w:val="restart"/>
            <w:tcBorders>
              <w:right w:val="nil"/>
            </w:tcBorders>
          </w:tcPr>
          <w:p w14:paraId="1DF4B55B" w14:textId="77777777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 xml:space="preserve">HADS, </w:t>
            </w:r>
            <w:r w:rsidRPr="00311535">
              <w:rPr>
                <w:rFonts w:asciiTheme="minorHAnsi" w:hAnsiTheme="minorHAnsi"/>
              </w:rPr>
              <w:t>median (IQR)</w:t>
            </w:r>
          </w:p>
        </w:tc>
        <w:tc>
          <w:tcPr>
            <w:tcW w:w="1983" w:type="dxa"/>
            <w:gridSpan w:val="2"/>
            <w:tcBorders>
              <w:left w:val="nil"/>
            </w:tcBorders>
          </w:tcPr>
          <w:p w14:paraId="4FDE23AC" w14:textId="77777777" w:rsidR="00EB6E0A" w:rsidRPr="00311535" w:rsidRDefault="00EB6E0A" w:rsidP="00FC79FB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Anxiety</w:t>
            </w:r>
          </w:p>
        </w:tc>
        <w:tc>
          <w:tcPr>
            <w:tcW w:w="1570" w:type="dxa"/>
            <w:tcBorders>
              <w:right w:val="nil"/>
            </w:tcBorders>
          </w:tcPr>
          <w:p w14:paraId="180B5F7E" w14:textId="654FFA60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8.0 (5.0 to 11.0)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075B2EBB" w14:textId="20CA60AF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8.0 (5.0 to 11.0)</w:t>
            </w:r>
          </w:p>
        </w:tc>
        <w:tc>
          <w:tcPr>
            <w:tcW w:w="1704" w:type="dxa"/>
            <w:gridSpan w:val="2"/>
            <w:tcBorders>
              <w:left w:val="nil"/>
            </w:tcBorders>
          </w:tcPr>
          <w:p w14:paraId="501C7A20" w14:textId="087F2DE1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11.0 (8.0 to 13.0)</w:t>
            </w:r>
          </w:p>
        </w:tc>
        <w:tc>
          <w:tcPr>
            <w:tcW w:w="992" w:type="dxa"/>
            <w:gridSpan w:val="2"/>
          </w:tcPr>
          <w:p w14:paraId="6F85EE52" w14:textId="0276FD31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&lt;0.001</w:t>
            </w:r>
          </w:p>
        </w:tc>
      </w:tr>
      <w:tr w:rsidR="00B70FB4" w:rsidRPr="00311535" w14:paraId="258A6817" w14:textId="77777777" w:rsidTr="00FC79FB">
        <w:trPr>
          <w:gridAfter w:val="1"/>
          <w:wAfter w:w="10" w:type="dxa"/>
        </w:trPr>
        <w:tc>
          <w:tcPr>
            <w:tcW w:w="1410" w:type="dxa"/>
            <w:vMerge/>
            <w:tcBorders>
              <w:right w:val="nil"/>
            </w:tcBorders>
          </w:tcPr>
          <w:p w14:paraId="34F13DA6" w14:textId="77777777" w:rsidR="00EB6E0A" w:rsidRPr="00311535" w:rsidRDefault="00EB6E0A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</w:p>
        </w:tc>
        <w:tc>
          <w:tcPr>
            <w:tcW w:w="1983" w:type="dxa"/>
            <w:gridSpan w:val="2"/>
            <w:tcBorders>
              <w:left w:val="nil"/>
            </w:tcBorders>
          </w:tcPr>
          <w:p w14:paraId="25D6D031" w14:textId="77777777" w:rsidR="00EB6E0A" w:rsidRPr="00311535" w:rsidRDefault="00EB6E0A" w:rsidP="00FC79FB">
            <w:pPr>
              <w:pStyle w:val="NoSpacing"/>
              <w:jc w:val="right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Depression</w:t>
            </w:r>
          </w:p>
        </w:tc>
        <w:tc>
          <w:tcPr>
            <w:tcW w:w="1570" w:type="dxa"/>
            <w:tcBorders>
              <w:right w:val="nil"/>
            </w:tcBorders>
          </w:tcPr>
          <w:p w14:paraId="3CFDA278" w14:textId="7403B2D0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6.0 (3.0 to 9.0)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694EB80C" w14:textId="25DA898B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7.0 (4.5 to 9.0)</w:t>
            </w:r>
          </w:p>
        </w:tc>
        <w:tc>
          <w:tcPr>
            <w:tcW w:w="1704" w:type="dxa"/>
            <w:gridSpan w:val="2"/>
            <w:tcBorders>
              <w:left w:val="nil"/>
            </w:tcBorders>
          </w:tcPr>
          <w:p w14:paraId="0BF79821" w14:textId="3ADC3353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9.0 (6.0 to 11.0)</w:t>
            </w:r>
          </w:p>
        </w:tc>
        <w:tc>
          <w:tcPr>
            <w:tcW w:w="992" w:type="dxa"/>
            <w:gridSpan w:val="2"/>
          </w:tcPr>
          <w:p w14:paraId="3493CF74" w14:textId="067EF795" w:rsidR="00EB6E0A" w:rsidRPr="00311535" w:rsidRDefault="00EB6E0A" w:rsidP="00FC79FB">
            <w:pPr>
              <w:pStyle w:val="NoSpacing"/>
              <w:rPr>
                <w:rFonts w:asciiTheme="minorHAnsi" w:hAnsiTheme="minorHAnsi"/>
              </w:rPr>
            </w:pPr>
            <w:r w:rsidRPr="00311535">
              <w:rPr>
                <w:rFonts w:asciiTheme="minorHAnsi" w:hAnsiTheme="minorHAnsi"/>
              </w:rPr>
              <w:t>&lt;0.001</w:t>
            </w:r>
          </w:p>
        </w:tc>
      </w:tr>
      <w:tr w:rsidR="00B70FB4" w:rsidRPr="00311535" w14:paraId="646BA732" w14:textId="77777777" w:rsidTr="00FC79FB">
        <w:trPr>
          <w:trHeight w:val="547"/>
        </w:trPr>
        <w:tc>
          <w:tcPr>
            <w:tcW w:w="922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956CBA8" w14:textId="133B3A6D" w:rsidR="000E7385" w:rsidRPr="00311535" w:rsidRDefault="000E7385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</w:rPr>
              <w:t>Data presented as mean (standard deviation), median (interquartile range), number (percentage). Comparisons used</w:t>
            </w:r>
            <w:r w:rsidR="00055858" w:rsidRPr="00311535">
              <w:rPr>
                <w:rFonts w:asciiTheme="minorHAnsi" w:hAnsiTheme="minorHAnsi"/>
              </w:rPr>
              <w:t xml:space="preserve"> ANOVA or Kruskal–Wallis test</w:t>
            </w:r>
            <w:r w:rsidRPr="00311535">
              <w:rPr>
                <w:rFonts w:asciiTheme="minorHAnsi" w:hAnsiTheme="minorHAnsi"/>
              </w:rPr>
              <w:t xml:space="preserve"> for continuous variables, Chi-squared test for categorical variables.</w:t>
            </w:r>
          </w:p>
          <w:p w14:paraId="51CFC831" w14:textId="3A1B128C" w:rsidR="000E7385" w:rsidRPr="00311535" w:rsidRDefault="000E7385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vertAlign w:val="superscript"/>
              </w:rPr>
              <w:t>+</w:t>
            </w:r>
            <w:r w:rsidR="00AE77DC" w:rsidRPr="00311535">
              <w:rPr>
                <w:rFonts w:asciiTheme="minorHAnsi" w:hAnsiTheme="minorHAnsi"/>
                <w:lang w:eastAsia="zh-CN"/>
              </w:rPr>
              <w:t xml:space="preserve">Not all variables had complete data, </w:t>
            </w:r>
            <w:r w:rsidRPr="00311535">
              <w:rPr>
                <w:rFonts w:asciiTheme="minorHAnsi" w:hAnsiTheme="minorHAnsi"/>
              </w:rPr>
              <w:t>HLA-B27 status</w:t>
            </w:r>
            <w:r w:rsidR="00AE77DC" w:rsidRPr="00311535">
              <w:rPr>
                <w:rFonts w:asciiTheme="minorHAnsi" w:hAnsiTheme="minorHAnsi"/>
              </w:rPr>
              <w:t xml:space="preserve"> was</w:t>
            </w:r>
            <w:r w:rsidRPr="00311535">
              <w:rPr>
                <w:rFonts w:asciiTheme="minorHAnsi" w:hAnsiTheme="minorHAnsi"/>
              </w:rPr>
              <w:t xml:space="preserve"> available for </w:t>
            </w:r>
            <w:r w:rsidR="00AE77DC" w:rsidRPr="00311535">
              <w:rPr>
                <w:rFonts w:asciiTheme="minorHAnsi" w:hAnsiTheme="minorHAnsi"/>
              </w:rPr>
              <w:t>37</w:t>
            </w:r>
            <w:r w:rsidR="00B82BA6" w:rsidRPr="00311535">
              <w:rPr>
                <w:rFonts w:asciiTheme="minorHAnsi" w:hAnsiTheme="minorHAnsi"/>
              </w:rPr>
              <w:t>1</w:t>
            </w:r>
            <w:r w:rsidR="00AE77DC" w:rsidRPr="00311535">
              <w:rPr>
                <w:rFonts w:asciiTheme="minorHAnsi" w:hAnsiTheme="minorHAnsi"/>
              </w:rPr>
              <w:t xml:space="preserve"> </w:t>
            </w:r>
            <w:r w:rsidRPr="00311535">
              <w:rPr>
                <w:rFonts w:asciiTheme="minorHAnsi" w:hAnsiTheme="minorHAnsi"/>
              </w:rPr>
              <w:t xml:space="preserve">participants, ASDAS for </w:t>
            </w:r>
            <w:r w:rsidR="00AE77DC" w:rsidRPr="00311535">
              <w:rPr>
                <w:rFonts w:asciiTheme="minorHAnsi" w:hAnsiTheme="minorHAnsi"/>
              </w:rPr>
              <w:t>41</w:t>
            </w:r>
            <w:r w:rsidR="00B82BA6" w:rsidRPr="00311535">
              <w:rPr>
                <w:rFonts w:asciiTheme="minorHAnsi" w:hAnsiTheme="minorHAnsi"/>
              </w:rPr>
              <w:t>7</w:t>
            </w:r>
            <w:r w:rsidRPr="00311535">
              <w:rPr>
                <w:rFonts w:asciiTheme="minorHAnsi" w:hAnsiTheme="minorHAnsi"/>
              </w:rPr>
              <w:t>.</w:t>
            </w:r>
          </w:p>
          <w:p w14:paraId="2B3FE9AD" w14:textId="77777777" w:rsidR="000E7385" w:rsidRPr="00311535" w:rsidRDefault="000E7385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lastRenderedPageBreak/>
              <w:t>*</w:t>
            </w:r>
            <w:r w:rsidRPr="00311535">
              <w:rPr>
                <w:rFonts w:asciiTheme="minorHAnsi" w:hAnsiTheme="minorHAnsi"/>
              </w:rPr>
              <w:t>Above upper normal limit</w:t>
            </w:r>
            <w:r w:rsidRPr="00311535">
              <w:rPr>
                <w:rFonts w:asciiTheme="minorHAnsi" w:hAnsiTheme="minorHAnsi"/>
                <w:lang w:eastAsia="zh-CN"/>
              </w:rPr>
              <w:t>.</w:t>
            </w:r>
          </w:p>
          <w:p w14:paraId="4DF45E93" w14:textId="77777777" w:rsidR="000E7385" w:rsidRPr="00311535" w:rsidRDefault="000E7385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**Non-parametric test for trend across ordered groups.</w:t>
            </w:r>
          </w:p>
          <w:p w14:paraId="32DD073E" w14:textId="02BF0347" w:rsidR="000E7385" w:rsidRPr="00311535" w:rsidRDefault="000E7385" w:rsidP="00FC79FB">
            <w:pPr>
              <w:pStyle w:val="NoSpacing"/>
              <w:rPr>
                <w:rFonts w:asciiTheme="minorHAnsi" w:hAnsiTheme="minorHAnsi"/>
                <w:lang w:eastAsia="zh-CN"/>
              </w:rPr>
            </w:pPr>
            <w:r w:rsidRPr="00311535">
              <w:rPr>
                <w:rFonts w:asciiTheme="minorHAnsi" w:hAnsiTheme="minorHAnsi"/>
                <w:lang w:eastAsia="zh-CN"/>
              </w:rPr>
              <w:t>SD, standard deviation; IQR, interquartile range;</w:t>
            </w:r>
            <w:r w:rsidRPr="00311535">
              <w:rPr>
                <w:rFonts w:asciiTheme="minorHAnsi" w:hAnsiTheme="minorHAnsi"/>
              </w:rPr>
              <w:t xml:space="preserve"> </w:t>
            </w:r>
            <w:proofErr w:type="spellStart"/>
            <w:r w:rsidRPr="00311535">
              <w:rPr>
                <w:rFonts w:asciiTheme="minorHAnsi" w:hAnsiTheme="minorHAnsi"/>
              </w:rPr>
              <w:t>mNY</w:t>
            </w:r>
            <w:proofErr w:type="spellEnd"/>
            <w:r w:rsidRPr="00311535">
              <w:rPr>
                <w:rFonts w:asciiTheme="minorHAnsi" w:hAnsiTheme="minorHAnsi"/>
                <w:lang w:eastAsia="zh-CN"/>
              </w:rPr>
              <w:t xml:space="preserve">, modified New York criteria for Ankylosing Spondylitis; BMI, body mass index; </w:t>
            </w:r>
            <w:r w:rsidRPr="00311535">
              <w:rPr>
                <w:rFonts w:asciiTheme="minorHAnsi" w:hAnsiTheme="minorHAnsi" w:cs="Calibri"/>
                <w:lang w:eastAsia="zh-CN"/>
              </w:rPr>
              <w:t xml:space="preserve">BASDAI, Bath AS disease activity index; ASDAS, AS disease activity score; BASFI, Bath AS functional index; </w:t>
            </w:r>
            <w:proofErr w:type="spellStart"/>
            <w:r w:rsidRPr="00311535">
              <w:rPr>
                <w:rFonts w:asciiTheme="minorHAnsi" w:hAnsiTheme="minorHAnsi" w:cs="Calibri"/>
                <w:lang w:eastAsia="zh-CN"/>
              </w:rPr>
              <w:t>ASQoL</w:t>
            </w:r>
            <w:proofErr w:type="spellEnd"/>
            <w:r w:rsidRPr="00311535">
              <w:rPr>
                <w:rFonts w:asciiTheme="minorHAnsi" w:hAnsiTheme="minorHAnsi" w:cs="Calibri"/>
                <w:lang w:eastAsia="zh-CN"/>
              </w:rPr>
              <w:t xml:space="preserve">, AS quality of life questionnaire; BASG, </w:t>
            </w:r>
            <w:r w:rsidRPr="00311535">
              <w:rPr>
                <w:rFonts w:asciiTheme="minorHAnsi" w:hAnsiTheme="minorHAnsi" w:cs="Calibri"/>
              </w:rPr>
              <w:t>Bath AS Global Score</w:t>
            </w:r>
            <w:r w:rsidRPr="00311535">
              <w:rPr>
                <w:rFonts w:asciiTheme="minorHAnsi" w:hAnsiTheme="minorHAnsi" w:cs="Calibri"/>
                <w:lang w:eastAsia="zh-CN"/>
              </w:rPr>
              <w:t xml:space="preserve">; HADS, </w:t>
            </w:r>
            <w:r w:rsidRPr="00311535">
              <w:rPr>
                <w:rFonts w:asciiTheme="minorHAnsi" w:hAnsiTheme="minorHAnsi" w:cs="Calibri"/>
              </w:rPr>
              <w:t>Hospital Anxiety and Depression Scale</w:t>
            </w:r>
            <w:r w:rsidRPr="00311535">
              <w:rPr>
                <w:rFonts w:asciiTheme="minorHAnsi" w:hAnsiTheme="minorHAnsi" w:cs="Calibri"/>
                <w:lang w:eastAsia="zh-CN"/>
              </w:rPr>
              <w:t>.</w:t>
            </w:r>
          </w:p>
        </w:tc>
      </w:tr>
      <w:bookmarkEnd w:id="7"/>
    </w:tbl>
    <w:p w14:paraId="10FA028F" w14:textId="45D05F42" w:rsidR="000E7385" w:rsidRPr="00311535" w:rsidRDefault="000E7385" w:rsidP="00886919">
      <w:pPr>
        <w:rPr>
          <w:rFonts w:cs="Calibri"/>
          <w:u w:val="single"/>
        </w:rPr>
      </w:pPr>
    </w:p>
    <w:p w14:paraId="65E335F3" w14:textId="77777777" w:rsidR="00DE2DCA" w:rsidRPr="00311535" w:rsidRDefault="00DE2DCA" w:rsidP="00886919">
      <w:pPr>
        <w:rPr>
          <w:rFonts w:cs="Calibri"/>
          <w:u w:val="single"/>
        </w:rPr>
      </w:pPr>
    </w:p>
    <w:p w14:paraId="6240CFCF" w14:textId="37A09F97" w:rsidR="006F028D" w:rsidRPr="00311535" w:rsidRDefault="006F028D" w:rsidP="00886919">
      <w:pPr>
        <w:rPr>
          <w:rFonts w:cs="Calibri"/>
          <w:noProof/>
        </w:rPr>
      </w:pPr>
    </w:p>
    <w:p w14:paraId="27F97726" w14:textId="551BCE10" w:rsidR="00B20307" w:rsidRPr="00311535" w:rsidRDefault="00D94053" w:rsidP="00886919">
      <w:pPr>
        <w:rPr>
          <w:rFonts w:cs="Calibri"/>
        </w:rPr>
      </w:pPr>
      <w:r w:rsidRPr="00311535">
        <w:rPr>
          <w:rFonts w:cs="Calibri"/>
          <w:noProof/>
        </w:rPr>
        <w:drawing>
          <wp:inline distT="0" distB="0" distL="0" distR="0" wp14:anchorId="58E14CDF" wp14:editId="44AA4ECF">
            <wp:extent cx="6480313" cy="4679826"/>
            <wp:effectExtent l="0" t="0" r="0" b="6985"/>
            <wp:docPr id="10" name="Picture 10" descr="C:\Users\zhao\Dropbox\2018_PhD\BSRBRAS_longitudinal\2.Longitudinal\sfig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hao\Dropbox\2018_PhD\BSRBRAS_longitudinal\2.Longitudinal\sfig2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294" cy="468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13167" w14:textId="42CEB9C6" w:rsidR="0001261F" w:rsidRPr="00311535" w:rsidRDefault="006F028D" w:rsidP="00B20307">
      <w:pPr>
        <w:ind w:left="720"/>
        <w:rPr>
          <w:rFonts w:cs="Calibri"/>
        </w:rPr>
        <w:sectPr w:rsidR="0001261F" w:rsidRPr="0031153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11535">
        <w:rPr>
          <w:rFonts w:cs="Calibri"/>
        </w:rPr>
        <w:t xml:space="preserve">Supplementary figure </w:t>
      </w:r>
      <w:r w:rsidR="00886919" w:rsidRPr="00311535">
        <w:rPr>
          <w:rFonts w:cs="Calibri"/>
        </w:rPr>
        <w:t>3</w:t>
      </w:r>
      <w:r w:rsidRPr="00311535">
        <w:rPr>
          <w:rFonts w:cs="Calibri"/>
        </w:rPr>
        <w:t>.</w:t>
      </w:r>
      <w:r w:rsidR="00B20307" w:rsidRPr="00311535">
        <w:rPr>
          <w:rFonts w:cs="Calibri"/>
        </w:rPr>
        <w:t xml:space="preserve"> </w:t>
      </w:r>
      <w:r w:rsidR="00B82BA6" w:rsidRPr="00311535">
        <w:rPr>
          <w:rFonts w:cs="Calibri"/>
        </w:rPr>
        <w:t>R</w:t>
      </w:r>
      <w:r w:rsidR="00B20307" w:rsidRPr="00311535">
        <w:rPr>
          <w:rFonts w:cs="Calibri"/>
        </w:rPr>
        <w:t xml:space="preserve">esponse to TNF inhibitors after 6 months according to smoking status. </w:t>
      </w:r>
      <w:r w:rsidR="00D94053" w:rsidRPr="00311535">
        <w:rPr>
          <w:rFonts w:cs="Calibri"/>
        </w:rPr>
        <w:t>Plots show predicted values from weighted generalised estimating equations.</w:t>
      </w:r>
    </w:p>
    <w:p w14:paraId="3D35D2C4" w14:textId="77777777" w:rsidR="00AE77DC" w:rsidRPr="00311535" w:rsidRDefault="00AE77DC" w:rsidP="00886919">
      <w:pPr>
        <w:rPr>
          <w:rFonts w:cs="Calibri"/>
        </w:rPr>
      </w:pPr>
    </w:p>
    <w:tbl>
      <w:tblPr>
        <w:tblStyle w:val="TableGrid"/>
        <w:tblW w:w="8619" w:type="dxa"/>
        <w:tblLook w:val="04A0" w:firstRow="1" w:lastRow="0" w:firstColumn="1" w:lastColumn="0" w:noHBand="0" w:noVBand="1"/>
      </w:tblPr>
      <w:tblGrid>
        <w:gridCol w:w="1242"/>
        <w:gridCol w:w="3969"/>
        <w:gridCol w:w="1417"/>
        <w:gridCol w:w="1985"/>
        <w:gridCol w:w="6"/>
      </w:tblGrid>
      <w:tr w:rsidR="00B70FB4" w:rsidRPr="00311535" w14:paraId="7BE20D3B" w14:textId="77777777" w:rsidTr="00DE2DCA">
        <w:tc>
          <w:tcPr>
            <w:tcW w:w="8619" w:type="dxa"/>
            <w:gridSpan w:val="5"/>
          </w:tcPr>
          <w:p w14:paraId="0C0A22B4" w14:textId="5D143222" w:rsidR="00145E50" w:rsidRPr="00311535" w:rsidRDefault="00145E50" w:rsidP="00886919">
            <w:pPr>
              <w:spacing w:line="276" w:lineRule="auto"/>
              <w:rPr>
                <w:rFonts w:cs="Calibri"/>
                <w:sz w:val="22"/>
                <w:lang w:val="en-GB"/>
              </w:rPr>
            </w:pPr>
            <w:r w:rsidRPr="00311535">
              <w:rPr>
                <w:rFonts w:cs="Calibri"/>
                <w:sz w:val="22"/>
              </w:rPr>
              <w:t xml:space="preserve">Supplementary table </w:t>
            </w:r>
            <w:r w:rsidR="00362A32" w:rsidRPr="00311535">
              <w:rPr>
                <w:rFonts w:cs="Calibri"/>
                <w:sz w:val="22"/>
              </w:rPr>
              <w:t>3</w:t>
            </w:r>
            <w:r w:rsidRPr="00311535">
              <w:rPr>
                <w:rFonts w:cs="Calibri"/>
                <w:sz w:val="22"/>
              </w:rPr>
              <w:t xml:space="preserve">. Descriptions of </w:t>
            </w:r>
            <w:proofErr w:type="spellStart"/>
            <w:r w:rsidRPr="00311535">
              <w:rPr>
                <w:rFonts w:cs="Calibri"/>
                <w:sz w:val="22"/>
              </w:rPr>
              <w:t>stabilised</w:t>
            </w:r>
            <w:proofErr w:type="spellEnd"/>
            <w:r w:rsidRPr="00311535">
              <w:rPr>
                <w:rFonts w:cs="Calibri"/>
                <w:sz w:val="22"/>
              </w:rPr>
              <w:t xml:space="preserve"> inverse-probability weights used in analyses. </w:t>
            </w:r>
          </w:p>
        </w:tc>
      </w:tr>
      <w:tr w:rsidR="00B70FB4" w:rsidRPr="00311535" w14:paraId="710D2831" w14:textId="77777777" w:rsidTr="00DE2DCA">
        <w:trPr>
          <w:gridAfter w:val="1"/>
          <w:wAfter w:w="6" w:type="dxa"/>
        </w:trPr>
        <w:tc>
          <w:tcPr>
            <w:tcW w:w="5211" w:type="dxa"/>
            <w:gridSpan w:val="2"/>
          </w:tcPr>
          <w:p w14:paraId="2A229954" w14:textId="77777777" w:rsidR="00145E50" w:rsidRPr="00311535" w:rsidRDefault="00145E50" w:rsidP="00886919">
            <w:pPr>
              <w:spacing w:line="276" w:lineRule="auto"/>
              <w:rPr>
                <w:rFonts w:cs="Calibri"/>
                <w:sz w:val="22"/>
              </w:rPr>
            </w:pPr>
          </w:p>
        </w:tc>
        <w:tc>
          <w:tcPr>
            <w:tcW w:w="1417" w:type="dxa"/>
          </w:tcPr>
          <w:p w14:paraId="0C60FFF7" w14:textId="77777777" w:rsidR="00145E50" w:rsidRPr="00311535" w:rsidRDefault="00145E50" w:rsidP="00886919">
            <w:pPr>
              <w:spacing w:line="276" w:lineRule="auto"/>
              <w:rPr>
                <w:rFonts w:cs="Calibri"/>
                <w:sz w:val="22"/>
              </w:rPr>
            </w:pPr>
            <w:r w:rsidRPr="00311535">
              <w:rPr>
                <w:rFonts w:cs="Calibri"/>
                <w:sz w:val="22"/>
              </w:rPr>
              <w:t>Mean (SD)</w:t>
            </w:r>
          </w:p>
        </w:tc>
        <w:tc>
          <w:tcPr>
            <w:tcW w:w="1985" w:type="dxa"/>
          </w:tcPr>
          <w:p w14:paraId="00484F0C" w14:textId="77777777" w:rsidR="00145E50" w:rsidRPr="00311535" w:rsidRDefault="00145E50" w:rsidP="00886919">
            <w:pPr>
              <w:spacing w:line="276" w:lineRule="auto"/>
              <w:rPr>
                <w:rFonts w:cs="Calibri"/>
                <w:sz w:val="22"/>
              </w:rPr>
            </w:pPr>
            <w:r w:rsidRPr="00311535">
              <w:rPr>
                <w:rFonts w:cs="Calibri"/>
                <w:sz w:val="22"/>
              </w:rPr>
              <w:t>Range</w:t>
            </w:r>
          </w:p>
        </w:tc>
      </w:tr>
      <w:tr w:rsidR="00B70FB4" w:rsidRPr="00311535" w14:paraId="6BE03769" w14:textId="77777777" w:rsidTr="00DE2DCA">
        <w:trPr>
          <w:gridAfter w:val="1"/>
          <w:wAfter w:w="6" w:type="dxa"/>
        </w:trPr>
        <w:tc>
          <w:tcPr>
            <w:tcW w:w="1242" w:type="dxa"/>
            <w:vMerge w:val="restart"/>
          </w:tcPr>
          <w:p w14:paraId="20CBDFC8" w14:textId="77777777" w:rsidR="00183CB8" w:rsidRPr="00311535" w:rsidRDefault="00183CB8" w:rsidP="00886919">
            <w:pPr>
              <w:spacing w:line="276" w:lineRule="auto"/>
              <w:rPr>
                <w:rFonts w:cs="Calibri"/>
                <w:sz w:val="22"/>
              </w:rPr>
            </w:pPr>
            <w:r w:rsidRPr="00311535">
              <w:rPr>
                <w:rFonts w:cs="Calibri"/>
                <w:sz w:val="22"/>
              </w:rPr>
              <w:t>Analysis 1</w:t>
            </w:r>
          </w:p>
        </w:tc>
        <w:tc>
          <w:tcPr>
            <w:tcW w:w="3969" w:type="dxa"/>
          </w:tcPr>
          <w:p w14:paraId="4854C6CF" w14:textId="5C6910CF" w:rsidR="00183CB8" w:rsidRPr="00311535" w:rsidRDefault="00183CB8" w:rsidP="00886919">
            <w:pPr>
              <w:spacing w:line="276" w:lineRule="auto"/>
              <w:rPr>
                <w:rFonts w:cs="Calibri"/>
                <w:sz w:val="22"/>
              </w:rPr>
            </w:pPr>
            <w:r w:rsidRPr="00311535">
              <w:rPr>
                <w:rFonts w:cs="Calibri"/>
                <w:sz w:val="22"/>
              </w:rPr>
              <w:t>IP</w:t>
            </w:r>
            <w:r w:rsidR="00017E61" w:rsidRPr="00311535">
              <w:rPr>
                <w:rFonts w:cs="Calibri"/>
                <w:sz w:val="22"/>
              </w:rPr>
              <w:t>T</w:t>
            </w:r>
            <w:r w:rsidRPr="00311535">
              <w:rPr>
                <w:rFonts w:cs="Calibri"/>
                <w:sz w:val="22"/>
              </w:rPr>
              <w:t>W to balance baseline covariates between smoking status</w:t>
            </w:r>
          </w:p>
        </w:tc>
        <w:tc>
          <w:tcPr>
            <w:tcW w:w="1417" w:type="dxa"/>
          </w:tcPr>
          <w:p w14:paraId="775BD427" w14:textId="37A61266" w:rsidR="00183CB8" w:rsidRPr="00311535" w:rsidRDefault="00017E61" w:rsidP="00886919">
            <w:pPr>
              <w:spacing w:line="276" w:lineRule="auto"/>
              <w:rPr>
                <w:rFonts w:cs="Calibri"/>
                <w:sz w:val="22"/>
              </w:rPr>
            </w:pPr>
            <w:r w:rsidRPr="00311535">
              <w:rPr>
                <w:rFonts w:cs="Calibri"/>
                <w:sz w:val="22"/>
              </w:rPr>
              <w:t>0.97 (0.63)</w:t>
            </w:r>
          </w:p>
        </w:tc>
        <w:tc>
          <w:tcPr>
            <w:tcW w:w="1985" w:type="dxa"/>
          </w:tcPr>
          <w:p w14:paraId="18E6DE05" w14:textId="2959283A" w:rsidR="00183CB8" w:rsidRPr="00311535" w:rsidRDefault="00017E61" w:rsidP="00886919">
            <w:pPr>
              <w:spacing w:line="276" w:lineRule="auto"/>
              <w:rPr>
                <w:rFonts w:cs="Calibri"/>
                <w:sz w:val="22"/>
              </w:rPr>
            </w:pPr>
            <w:r w:rsidRPr="00311535">
              <w:rPr>
                <w:rFonts w:cs="Calibri"/>
                <w:sz w:val="22"/>
              </w:rPr>
              <w:t>0.35 to 6.94</w:t>
            </w:r>
          </w:p>
        </w:tc>
      </w:tr>
      <w:tr w:rsidR="00B70FB4" w:rsidRPr="00311535" w14:paraId="3AFB4392" w14:textId="77777777" w:rsidTr="00DE2DCA">
        <w:trPr>
          <w:gridAfter w:val="1"/>
          <w:wAfter w:w="6" w:type="dxa"/>
        </w:trPr>
        <w:tc>
          <w:tcPr>
            <w:tcW w:w="1242" w:type="dxa"/>
            <w:vMerge/>
          </w:tcPr>
          <w:p w14:paraId="13BAAFEF" w14:textId="77777777" w:rsidR="00183CB8" w:rsidRPr="00311535" w:rsidRDefault="00183CB8" w:rsidP="00886919">
            <w:pPr>
              <w:spacing w:line="276" w:lineRule="auto"/>
              <w:rPr>
                <w:rFonts w:cs="Calibri"/>
                <w:sz w:val="22"/>
              </w:rPr>
            </w:pPr>
          </w:p>
        </w:tc>
        <w:tc>
          <w:tcPr>
            <w:tcW w:w="3969" w:type="dxa"/>
          </w:tcPr>
          <w:p w14:paraId="7BFC0FCE" w14:textId="77777777" w:rsidR="00183CB8" w:rsidRPr="00311535" w:rsidRDefault="00183CB8" w:rsidP="00886919">
            <w:pPr>
              <w:spacing w:line="276" w:lineRule="auto"/>
              <w:rPr>
                <w:rFonts w:cs="Calibri"/>
                <w:sz w:val="22"/>
              </w:rPr>
            </w:pPr>
            <w:r w:rsidRPr="00311535">
              <w:rPr>
                <w:rFonts w:cs="Calibri"/>
                <w:sz w:val="22"/>
              </w:rPr>
              <w:t>IPCW for excluded</w:t>
            </w:r>
          </w:p>
        </w:tc>
        <w:tc>
          <w:tcPr>
            <w:tcW w:w="1417" w:type="dxa"/>
          </w:tcPr>
          <w:p w14:paraId="0FF74395" w14:textId="6AA4396F" w:rsidR="00183CB8" w:rsidRPr="00311535" w:rsidRDefault="00456821" w:rsidP="00886919">
            <w:pPr>
              <w:spacing w:line="276" w:lineRule="auto"/>
              <w:rPr>
                <w:rFonts w:cs="Calibri"/>
                <w:sz w:val="22"/>
              </w:rPr>
            </w:pPr>
            <w:r w:rsidRPr="00311535">
              <w:rPr>
                <w:rFonts w:cs="Calibri"/>
                <w:sz w:val="22"/>
              </w:rPr>
              <w:t>1.00</w:t>
            </w:r>
            <w:r w:rsidR="005B6F6D" w:rsidRPr="00311535">
              <w:rPr>
                <w:rFonts w:cs="Calibri"/>
                <w:sz w:val="22"/>
              </w:rPr>
              <w:t xml:space="preserve"> (0.</w:t>
            </w:r>
            <w:r w:rsidRPr="00311535">
              <w:rPr>
                <w:rFonts w:cs="Calibri"/>
                <w:sz w:val="22"/>
              </w:rPr>
              <w:t>14</w:t>
            </w:r>
            <w:r w:rsidR="005B6F6D" w:rsidRPr="00311535">
              <w:rPr>
                <w:rFonts w:cs="Calibri"/>
                <w:sz w:val="22"/>
              </w:rPr>
              <w:t>)</w:t>
            </w:r>
          </w:p>
        </w:tc>
        <w:tc>
          <w:tcPr>
            <w:tcW w:w="1985" w:type="dxa"/>
          </w:tcPr>
          <w:p w14:paraId="1BE8546B" w14:textId="23C2D5AB" w:rsidR="00183CB8" w:rsidRPr="00311535" w:rsidRDefault="005B6F6D" w:rsidP="00886919">
            <w:pPr>
              <w:spacing w:line="276" w:lineRule="auto"/>
              <w:rPr>
                <w:rFonts w:cs="Calibri"/>
                <w:sz w:val="22"/>
              </w:rPr>
            </w:pPr>
            <w:r w:rsidRPr="00311535">
              <w:rPr>
                <w:rFonts w:cs="Calibri"/>
                <w:sz w:val="22"/>
              </w:rPr>
              <w:t>0.</w:t>
            </w:r>
            <w:r w:rsidR="00456821" w:rsidRPr="00311535">
              <w:rPr>
                <w:rFonts w:cs="Calibri"/>
                <w:sz w:val="22"/>
              </w:rPr>
              <w:t>79</w:t>
            </w:r>
            <w:r w:rsidRPr="00311535">
              <w:rPr>
                <w:rFonts w:cs="Calibri"/>
                <w:sz w:val="22"/>
              </w:rPr>
              <w:t xml:space="preserve"> to </w:t>
            </w:r>
            <w:r w:rsidR="00671F3E" w:rsidRPr="00311535">
              <w:rPr>
                <w:rFonts w:cs="Calibri"/>
                <w:sz w:val="22"/>
              </w:rPr>
              <w:t>2.</w:t>
            </w:r>
            <w:r w:rsidR="00456821" w:rsidRPr="00311535">
              <w:rPr>
                <w:rFonts w:cs="Calibri"/>
                <w:sz w:val="22"/>
              </w:rPr>
              <w:t>09</w:t>
            </w:r>
          </w:p>
        </w:tc>
      </w:tr>
      <w:tr w:rsidR="00B70FB4" w:rsidRPr="00311535" w14:paraId="79E3205F" w14:textId="77777777" w:rsidTr="00DE2DCA">
        <w:trPr>
          <w:gridAfter w:val="1"/>
          <w:wAfter w:w="6" w:type="dxa"/>
        </w:trPr>
        <w:tc>
          <w:tcPr>
            <w:tcW w:w="1242" w:type="dxa"/>
            <w:vMerge/>
          </w:tcPr>
          <w:p w14:paraId="545C0271" w14:textId="77777777" w:rsidR="00183CB8" w:rsidRPr="00311535" w:rsidRDefault="00183CB8" w:rsidP="00886919">
            <w:pPr>
              <w:spacing w:line="276" w:lineRule="auto"/>
              <w:rPr>
                <w:rFonts w:cs="Calibri"/>
                <w:sz w:val="22"/>
              </w:rPr>
            </w:pPr>
          </w:p>
        </w:tc>
        <w:tc>
          <w:tcPr>
            <w:tcW w:w="3969" w:type="dxa"/>
          </w:tcPr>
          <w:p w14:paraId="68D6910D" w14:textId="77777777" w:rsidR="00183CB8" w:rsidRPr="00311535" w:rsidRDefault="00183CB8" w:rsidP="00886919">
            <w:pPr>
              <w:spacing w:line="276" w:lineRule="auto"/>
              <w:rPr>
                <w:rFonts w:cs="Calibri"/>
                <w:sz w:val="22"/>
              </w:rPr>
            </w:pPr>
            <w:r w:rsidRPr="00311535">
              <w:rPr>
                <w:rFonts w:cs="Calibri"/>
                <w:sz w:val="22"/>
              </w:rPr>
              <w:t>IPCW for missing 3-month response</w:t>
            </w:r>
          </w:p>
        </w:tc>
        <w:tc>
          <w:tcPr>
            <w:tcW w:w="1417" w:type="dxa"/>
          </w:tcPr>
          <w:p w14:paraId="0A877E10" w14:textId="7EB91C09" w:rsidR="00183CB8" w:rsidRPr="00311535" w:rsidRDefault="005B6F6D" w:rsidP="00886919">
            <w:pPr>
              <w:spacing w:line="276" w:lineRule="auto"/>
              <w:rPr>
                <w:rFonts w:cs="Calibri"/>
                <w:sz w:val="22"/>
              </w:rPr>
            </w:pPr>
            <w:r w:rsidRPr="00311535">
              <w:rPr>
                <w:rFonts w:cs="Calibri"/>
                <w:sz w:val="22"/>
              </w:rPr>
              <w:t>1.00 (0.1</w:t>
            </w:r>
            <w:r w:rsidR="00017E61" w:rsidRPr="00311535">
              <w:rPr>
                <w:rFonts w:cs="Calibri"/>
                <w:sz w:val="22"/>
              </w:rPr>
              <w:t>6</w:t>
            </w:r>
            <w:r w:rsidRPr="00311535">
              <w:rPr>
                <w:rFonts w:cs="Calibri"/>
                <w:sz w:val="22"/>
              </w:rPr>
              <w:t>)</w:t>
            </w:r>
          </w:p>
        </w:tc>
        <w:tc>
          <w:tcPr>
            <w:tcW w:w="1985" w:type="dxa"/>
          </w:tcPr>
          <w:p w14:paraId="0AFBD33A" w14:textId="64B030E7" w:rsidR="00183CB8" w:rsidRPr="00311535" w:rsidRDefault="005B6F6D" w:rsidP="00886919">
            <w:pPr>
              <w:spacing w:line="276" w:lineRule="auto"/>
              <w:rPr>
                <w:rFonts w:cs="Calibri"/>
                <w:sz w:val="22"/>
              </w:rPr>
            </w:pPr>
            <w:r w:rsidRPr="00311535">
              <w:rPr>
                <w:rFonts w:cs="Calibri"/>
                <w:sz w:val="22"/>
              </w:rPr>
              <w:t>0.</w:t>
            </w:r>
            <w:r w:rsidR="00017E61" w:rsidRPr="00311535">
              <w:rPr>
                <w:rFonts w:cs="Calibri"/>
                <w:sz w:val="22"/>
              </w:rPr>
              <w:t>56</w:t>
            </w:r>
            <w:r w:rsidRPr="00311535">
              <w:rPr>
                <w:rFonts w:cs="Calibri"/>
                <w:sz w:val="22"/>
              </w:rPr>
              <w:t xml:space="preserve"> to 2.</w:t>
            </w:r>
            <w:r w:rsidR="00017E61" w:rsidRPr="00311535">
              <w:rPr>
                <w:rFonts w:cs="Calibri"/>
                <w:sz w:val="22"/>
              </w:rPr>
              <w:t>40</w:t>
            </w:r>
          </w:p>
        </w:tc>
      </w:tr>
      <w:tr w:rsidR="00017E61" w:rsidRPr="00311535" w14:paraId="753D1D9A" w14:textId="77777777" w:rsidTr="00DE2DCA">
        <w:trPr>
          <w:gridAfter w:val="1"/>
          <w:wAfter w:w="6" w:type="dxa"/>
        </w:trPr>
        <w:tc>
          <w:tcPr>
            <w:tcW w:w="1242" w:type="dxa"/>
            <w:vMerge w:val="restart"/>
          </w:tcPr>
          <w:p w14:paraId="195DE795" w14:textId="77777777" w:rsidR="00017E61" w:rsidRPr="00311535" w:rsidRDefault="00017E61" w:rsidP="00017E61">
            <w:pPr>
              <w:spacing w:line="276" w:lineRule="auto"/>
              <w:rPr>
                <w:rFonts w:cs="Calibri"/>
                <w:sz w:val="22"/>
              </w:rPr>
            </w:pPr>
            <w:r w:rsidRPr="00311535">
              <w:rPr>
                <w:rFonts w:cs="Calibri"/>
                <w:sz w:val="22"/>
              </w:rPr>
              <w:t>Analysis 2</w:t>
            </w:r>
          </w:p>
        </w:tc>
        <w:tc>
          <w:tcPr>
            <w:tcW w:w="3969" w:type="dxa"/>
          </w:tcPr>
          <w:p w14:paraId="4289F766" w14:textId="45B6C9F0" w:rsidR="00017E61" w:rsidRPr="00311535" w:rsidRDefault="00017E61" w:rsidP="00017E61">
            <w:pPr>
              <w:spacing w:line="276" w:lineRule="auto"/>
              <w:rPr>
                <w:rFonts w:cs="Calibri"/>
                <w:sz w:val="22"/>
              </w:rPr>
            </w:pPr>
            <w:r w:rsidRPr="00311535">
              <w:rPr>
                <w:rFonts w:cs="Calibri"/>
                <w:sz w:val="22"/>
              </w:rPr>
              <w:t>IPTW to balance baseline covariates between smoking status</w:t>
            </w:r>
          </w:p>
        </w:tc>
        <w:tc>
          <w:tcPr>
            <w:tcW w:w="1417" w:type="dxa"/>
          </w:tcPr>
          <w:p w14:paraId="41E4EDB4" w14:textId="29F04A18" w:rsidR="00017E61" w:rsidRPr="00311535" w:rsidRDefault="00017E61" w:rsidP="00017E61">
            <w:pPr>
              <w:spacing w:line="276" w:lineRule="auto"/>
              <w:rPr>
                <w:rFonts w:cs="Calibri"/>
                <w:sz w:val="22"/>
              </w:rPr>
            </w:pPr>
            <w:r w:rsidRPr="00311535">
              <w:rPr>
                <w:rFonts w:cs="Calibri"/>
                <w:sz w:val="22"/>
              </w:rPr>
              <w:t>0.96 (0.58)</w:t>
            </w:r>
          </w:p>
        </w:tc>
        <w:tc>
          <w:tcPr>
            <w:tcW w:w="1985" w:type="dxa"/>
          </w:tcPr>
          <w:p w14:paraId="067FF094" w14:textId="31440A82" w:rsidR="00017E61" w:rsidRPr="00311535" w:rsidRDefault="00017E61" w:rsidP="00017E61">
            <w:pPr>
              <w:spacing w:line="276" w:lineRule="auto"/>
              <w:rPr>
                <w:rFonts w:cs="Calibri"/>
                <w:sz w:val="22"/>
              </w:rPr>
            </w:pPr>
            <w:r w:rsidRPr="00311535">
              <w:rPr>
                <w:rFonts w:cs="Calibri"/>
                <w:sz w:val="22"/>
              </w:rPr>
              <w:t>0.29 to 7.59</w:t>
            </w:r>
          </w:p>
        </w:tc>
      </w:tr>
      <w:tr w:rsidR="00B70FB4" w:rsidRPr="00311535" w14:paraId="62E7E32B" w14:textId="77777777" w:rsidTr="00DE2DCA">
        <w:trPr>
          <w:gridAfter w:val="1"/>
          <w:wAfter w:w="6" w:type="dxa"/>
        </w:trPr>
        <w:tc>
          <w:tcPr>
            <w:tcW w:w="1242" w:type="dxa"/>
            <w:vMerge/>
          </w:tcPr>
          <w:p w14:paraId="44A593DB" w14:textId="77777777" w:rsidR="00183CB8" w:rsidRPr="00311535" w:rsidRDefault="00183CB8" w:rsidP="00886919">
            <w:pPr>
              <w:spacing w:line="276" w:lineRule="auto"/>
              <w:rPr>
                <w:rFonts w:cs="Calibri"/>
                <w:sz w:val="22"/>
              </w:rPr>
            </w:pPr>
          </w:p>
        </w:tc>
        <w:tc>
          <w:tcPr>
            <w:tcW w:w="3969" w:type="dxa"/>
          </w:tcPr>
          <w:p w14:paraId="1F261C97" w14:textId="77777777" w:rsidR="00183CB8" w:rsidRPr="00311535" w:rsidRDefault="00183CB8" w:rsidP="00886919">
            <w:pPr>
              <w:spacing w:line="276" w:lineRule="auto"/>
              <w:rPr>
                <w:rFonts w:cs="Calibri"/>
                <w:sz w:val="22"/>
              </w:rPr>
            </w:pPr>
            <w:r w:rsidRPr="00311535">
              <w:rPr>
                <w:rFonts w:cs="Calibri"/>
                <w:sz w:val="22"/>
              </w:rPr>
              <w:t>IPCW for excluded</w:t>
            </w:r>
          </w:p>
        </w:tc>
        <w:tc>
          <w:tcPr>
            <w:tcW w:w="1417" w:type="dxa"/>
          </w:tcPr>
          <w:p w14:paraId="14239324" w14:textId="48C0EF97" w:rsidR="00183CB8" w:rsidRPr="00311535" w:rsidRDefault="00660C09" w:rsidP="00886919">
            <w:pPr>
              <w:spacing w:line="276" w:lineRule="auto"/>
              <w:rPr>
                <w:rFonts w:cs="Calibri"/>
                <w:sz w:val="22"/>
              </w:rPr>
            </w:pPr>
            <w:r w:rsidRPr="00311535">
              <w:rPr>
                <w:rFonts w:cs="Calibri"/>
                <w:sz w:val="22"/>
              </w:rPr>
              <w:t>0.99</w:t>
            </w:r>
            <w:r w:rsidR="005B6F6D" w:rsidRPr="00311535">
              <w:rPr>
                <w:rFonts w:cs="Calibri"/>
                <w:sz w:val="22"/>
              </w:rPr>
              <w:t xml:space="preserve"> (0.</w:t>
            </w:r>
            <w:r w:rsidR="00017E61" w:rsidRPr="00311535">
              <w:rPr>
                <w:rFonts w:cs="Calibri"/>
                <w:sz w:val="22"/>
              </w:rPr>
              <w:t>18</w:t>
            </w:r>
            <w:r w:rsidR="005B6F6D" w:rsidRPr="00311535">
              <w:rPr>
                <w:rFonts w:cs="Calibri"/>
                <w:sz w:val="22"/>
              </w:rPr>
              <w:t>)</w:t>
            </w:r>
          </w:p>
        </w:tc>
        <w:tc>
          <w:tcPr>
            <w:tcW w:w="1985" w:type="dxa"/>
          </w:tcPr>
          <w:p w14:paraId="33D08E17" w14:textId="7BE33943" w:rsidR="00183CB8" w:rsidRPr="00311535" w:rsidRDefault="005B6F6D" w:rsidP="00886919">
            <w:pPr>
              <w:spacing w:line="276" w:lineRule="auto"/>
              <w:rPr>
                <w:rFonts w:cs="Calibri"/>
                <w:sz w:val="22"/>
              </w:rPr>
            </w:pPr>
            <w:r w:rsidRPr="00311535">
              <w:rPr>
                <w:rFonts w:cs="Calibri"/>
                <w:sz w:val="22"/>
              </w:rPr>
              <w:t>0.</w:t>
            </w:r>
            <w:r w:rsidR="00017E61" w:rsidRPr="00311535">
              <w:rPr>
                <w:rFonts w:cs="Calibri"/>
                <w:sz w:val="22"/>
              </w:rPr>
              <w:t>73</w:t>
            </w:r>
            <w:r w:rsidRPr="00311535">
              <w:rPr>
                <w:rFonts w:cs="Calibri"/>
                <w:sz w:val="22"/>
              </w:rPr>
              <w:t xml:space="preserve"> to </w:t>
            </w:r>
            <w:r w:rsidR="00017E61" w:rsidRPr="00311535">
              <w:rPr>
                <w:rFonts w:cs="Calibri"/>
                <w:sz w:val="22"/>
              </w:rPr>
              <w:t>1.81</w:t>
            </w:r>
          </w:p>
        </w:tc>
      </w:tr>
      <w:tr w:rsidR="00B70FB4" w:rsidRPr="00311535" w14:paraId="31DF4EDC" w14:textId="77777777" w:rsidTr="00DE2DCA">
        <w:trPr>
          <w:gridAfter w:val="1"/>
          <w:wAfter w:w="6" w:type="dxa"/>
        </w:trPr>
        <w:tc>
          <w:tcPr>
            <w:tcW w:w="1242" w:type="dxa"/>
            <w:vMerge w:val="restart"/>
          </w:tcPr>
          <w:p w14:paraId="7502C827" w14:textId="77777777" w:rsidR="00183CB8" w:rsidRPr="00311535" w:rsidRDefault="00183CB8" w:rsidP="00886919">
            <w:pPr>
              <w:spacing w:line="276" w:lineRule="auto"/>
              <w:rPr>
                <w:rFonts w:cs="Calibri"/>
                <w:sz w:val="22"/>
              </w:rPr>
            </w:pPr>
            <w:r w:rsidRPr="00311535">
              <w:rPr>
                <w:rFonts w:cs="Calibri"/>
                <w:sz w:val="22"/>
              </w:rPr>
              <w:t>Logistic model</w:t>
            </w:r>
          </w:p>
        </w:tc>
        <w:tc>
          <w:tcPr>
            <w:tcW w:w="3969" w:type="dxa"/>
          </w:tcPr>
          <w:p w14:paraId="06C570B7" w14:textId="77777777" w:rsidR="00183CB8" w:rsidRPr="00311535" w:rsidRDefault="00183CB8" w:rsidP="00886919">
            <w:pPr>
              <w:spacing w:line="276" w:lineRule="auto"/>
              <w:rPr>
                <w:rFonts w:cs="Calibri"/>
                <w:sz w:val="22"/>
              </w:rPr>
            </w:pPr>
            <w:r w:rsidRPr="00311535">
              <w:rPr>
                <w:rFonts w:cs="Calibri"/>
                <w:sz w:val="22"/>
              </w:rPr>
              <w:t>missing 3-month response</w:t>
            </w:r>
          </w:p>
        </w:tc>
        <w:tc>
          <w:tcPr>
            <w:tcW w:w="1417" w:type="dxa"/>
          </w:tcPr>
          <w:p w14:paraId="5F81C95C" w14:textId="0F13DBDE" w:rsidR="00183CB8" w:rsidRPr="00311535" w:rsidRDefault="005701CC" w:rsidP="00886919">
            <w:pPr>
              <w:spacing w:line="276" w:lineRule="auto"/>
              <w:rPr>
                <w:rFonts w:cs="Calibri"/>
                <w:sz w:val="22"/>
              </w:rPr>
            </w:pPr>
            <w:r w:rsidRPr="00311535">
              <w:rPr>
                <w:rFonts w:cs="Calibri"/>
                <w:sz w:val="22"/>
              </w:rPr>
              <w:t>0.96 (0.</w:t>
            </w:r>
            <w:r w:rsidR="00456821" w:rsidRPr="00311535">
              <w:rPr>
                <w:rFonts w:cs="Calibri"/>
                <w:sz w:val="22"/>
              </w:rPr>
              <w:t>63</w:t>
            </w:r>
            <w:r w:rsidRPr="00311535">
              <w:rPr>
                <w:rFonts w:cs="Calibri"/>
                <w:sz w:val="22"/>
              </w:rPr>
              <w:t>)</w:t>
            </w:r>
          </w:p>
        </w:tc>
        <w:tc>
          <w:tcPr>
            <w:tcW w:w="1985" w:type="dxa"/>
          </w:tcPr>
          <w:p w14:paraId="1116C70F" w14:textId="3C366C02" w:rsidR="00183CB8" w:rsidRPr="00311535" w:rsidRDefault="005701CC" w:rsidP="00886919">
            <w:pPr>
              <w:spacing w:line="276" w:lineRule="auto"/>
              <w:rPr>
                <w:rFonts w:cs="Calibri"/>
                <w:sz w:val="22"/>
              </w:rPr>
            </w:pPr>
            <w:r w:rsidRPr="00311535">
              <w:rPr>
                <w:rFonts w:cs="Calibri"/>
                <w:sz w:val="22"/>
              </w:rPr>
              <w:t>0.</w:t>
            </w:r>
            <w:r w:rsidR="00456821" w:rsidRPr="00311535">
              <w:rPr>
                <w:rFonts w:cs="Calibri"/>
                <w:sz w:val="22"/>
              </w:rPr>
              <w:t>30</w:t>
            </w:r>
            <w:r w:rsidRPr="00311535">
              <w:rPr>
                <w:rFonts w:cs="Calibri"/>
                <w:sz w:val="22"/>
              </w:rPr>
              <w:t xml:space="preserve"> to </w:t>
            </w:r>
            <w:r w:rsidR="00C97619" w:rsidRPr="00311535">
              <w:rPr>
                <w:rFonts w:cs="Calibri"/>
                <w:sz w:val="22"/>
              </w:rPr>
              <w:t>4.</w:t>
            </w:r>
            <w:r w:rsidR="00456821" w:rsidRPr="00311535">
              <w:rPr>
                <w:rFonts w:cs="Calibri"/>
                <w:sz w:val="22"/>
              </w:rPr>
              <w:t>76</w:t>
            </w:r>
          </w:p>
        </w:tc>
      </w:tr>
      <w:tr w:rsidR="00B70FB4" w:rsidRPr="00311535" w14:paraId="28E52603" w14:textId="77777777" w:rsidTr="00DE2DCA">
        <w:trPr>
          <w:gridAfter w:val="1"/>
          <w:wAfter w:w="6" w:type="dxa"/>
        </w:trPr>
        <w:tc>
          <w:tcPr>
            <w:tcW w:w="1242" w:type="dxa"/>
            <w:vMerge/>
          </w:tcPr>
          <w:p w14:paraId="5EE1218A" w14:textId="77777777" w:rsidR="00183CB8" w:rsidRPr="00311535" w:rsidRDefault="00183CB8" w:rsidP="00886919">
            <w:pPr>
              <w:spacing w:line="276" w:lineRule="auto"/>
              <w:rPr>
                <w:rFonts w:cs="Calibri"/>
                <w:sz w:val="22"/>
              </w:rPr>
            </w:pPr>
          </w:p>
        </w:tc>
        <w:tc>
          <w:tcPr>
            <w:tcW w:w="3969" w:type="dxa"/>
          </w:tcPr>
          <w:p w14:paraId="7DD0A03E" w14:textId="77777777" w:rsidR="00183CB8" w:rsidRPr="00311535" w:rsidRDefault="00183CB8" w:rsidP="00886919">
            <w:pPr>
              <w:spacing w:line="276" w:lineRule="auto"/>
              <w:rPr>
                <w:rFonts w:cs="Calibri"/>
                <w:sz w:val="22"/>
              </w:rPr>
            </w:pPr>
            <w:r w:rsidRPr="00311535">
              <w:rPr>
                <w:rFonts w:cs="Calibri"/>
                <w:sz w:val="22"/>
              </w:rPr>
              <w:t>missing 6-month response</w:t>
            </w:r>
          </w:p>
        </w:tc>
        <w:tc>
          <w:tcPr>
            <w:tcW w:w="1417" w:type="dxa"/>
          </w:tcPr>
          <w:p w14:paraId="47A0670E" w14:textId="55E99728" w:rsidR="00183CB8" w:rsidRPr="00311535" w:rsidRDefault="005701CC" w:rsidP="00886919">
            <w:pPr>
              <w:spacing w:line="276" w:lineRule="auto"/>
              <w:rPr>
                <w:rFonts w:cs="Calibri"/>
                <w:sz w:val="22"/>
              </w:rPr>
            </w:pPr>
            <w:r w:rsidRPr="00311535">
              <w:rPr>
                <w:rFonts w:cs="Calibri"/>
                <w:sz w:val="22"/>
              </w:rPr>
              <w:t>0.</w:t>
            </w:r>
            <w:r w:rsidR="00456821" w:rsidRPr="00311535">
              <w:rPr>
                <w:rFonts w:cs="Calibri"/>
                <w:sz w:val="22"/>
              </w:rPr>
              <w:t>99</w:t>
            </w:r>
            <w:r w:rsidRPr="00311535">
              <w:rPr>
                <w:rFonts w:cs="Calibri"/>
                <w:sz w:val="22"/>
              </w:rPr>
              <w:t xml:space="preserve"> (0.</w:t>
            </w:r>
            <w:r w:rsidR="00456821" w:rsidRPr="00311535">
              <w:rPr>
                <w:rFonts w:cs="Calibri"/>
                <w:sz w:val="22"/>
              </w:rPr>
              <w:t>28</w:t>
            </w:r>
            <w:r w:rsidRPr="00311535">
              <w:rPr>
                <w:rFonts w:cs="Calibri"/>
                <w:sz w:val="22"/>
              </w:rPr>
              <w:t>)</w:t>
            </w:r>
          </w:p>
        </w:tc>
        <w:tc>
          <w:tcPr>
            <w:tcW w:w="1985" w:type="dxa"/>
          </w:tcPr>
          <w:p w14:paraId="6F9E59BA" w14:textId="29700717" w:rsidR="00183CB8" w:rsidRPr="00311535" w:rsidRDefault="005701CC" w:rsidP="00886919">
            <w:pPr>
              <w:spacing w:line="276" w:lineRule="auto"/>
              <w:rPr>
                <w:rFonts w:cs="Calibri"/>
                <w:sz w:val="22"/>
              </w:rPr>
            </w:pPr>
            <w:r w:rsidRPr="00311535">
              <w:rPr>
                <w:rFonts w:cs="Calibri"/>
                <w:sz w:val="22"/>
              </w:rPr>
              <w:t>0.</w:t>
            </w:r>
            <w:r w:rsidR="00C97619" w:rsidRPr="00311535">
              <w:rPr>
                <w:rFonts w:cs="Calibri"/>
                <w:sz w:val="22"/>
              </w:rPr>
              <w:t>26</w:t>
            </w:r>
            <w:r w:rsidRPr="00311535">
              <w:rPr>
                <w:rFonts w:cs="Calibri"/>
                <w:sz w:val="22"/>
              </w:rPr>
              <w:t xml:space="preserve"> to 5.</w:t>
            </w:r>
            <w:r w:rsidR="00456821" w:rsidRPr="00311535">
              <w:rPr>
                <w:rFonts w:cs="Calibri"/>
                <w:sz w:val="22"/>
              </w:rPr>
              <w:t>35</w:t>
            </w:r>
          </w:p>
        </w:tc>
      </w:tr>
      <w:tr w:rsidR="00B70FB4" w:rsidRPr="00311535" w14:paraId="64003E42" w14:textId="77777777" w:rsidTr="00DE2DCA">
        <w:trPr>
          <w:gridAfter w:val="1"/>
          <w:wAfter w:w="6" w:type="dxa"/>
        </w:trPr>
        <w:tc>
          <w:tcPr>
            <w:tcW w:w="1242" w:type="dxa"/>
            <w:vMerge/>
          </w:tcPr>
          <w:p w14:paraId="79F01B3A" w14:textId="77777777" w:rsidR="00183CB8" w:rsidRPr="00311535" w:rsidRDefault="00183CB8" w:rsidP="00886919">
            <w:pPr>
              <w:spacing w:line="276" w:lineRule="auto"/>
              <w:rPr>
                <w:rFonts w:cs="Calibri"/>
                <w:sz w:val="22"/>
              </w:rPr>
            </w:pPr>
          </w:p>
        </w:tc>
        <w:tc>
          <w:tcPr>
            <w:tcW w:w="3969" w:type="dxa"/>
          </w:tcPr>
          <w:p w14:paraId="0B516D9E" w14:textId="77777777" w:rsidR="00183CB8" w:rsidRPr="00311535" w:rsidRDefault="00183CB8" w:rsidP="00886919">
            <w:pPr>
              <w:spacing w:line="276" w:lineRule="auto"/>
              <w:rPr>
                <w:rFonts w:cs="Calibri"/>
                <w:sz w:val="22"/>
              </w:rPr>
            </w:pPr>
            <w:r w:rsidRPr="00311535">
              <w:rPr>
                <w:rFonts w:cs="Calibri"/>
                <w:sz w:val="22"/>
              </w:rPr>
              <w:t>missing 12-month response</w:t>
            </w:r>
          </w:p>
        </w:tc>
        <w:tc>
          <w:tcPr>
            <w:tcW w:w="1417" w:type="dxa"/>
          </w:tcPr>
          <w:p w14:paraId="4DE70F74" w14:textId="3BF21802" w:rsidR="00183CB8" w:rsidRPr="00311535" w:rsidRDefault="005701CC" w:rsidP="00886919">
            <w:pPr>
              <w:spacing w:line="276" w:lineRule="auto"/>
              <w:rPr>
                <w:rFonts w:cs="Calibri"/>
                <w:sz w:val="22"/>
              </w:rPr>
            </w:pPr>
            <w:r w:rsidRPr="00311535">
              <w:rPr>
                <w:rFonts w:cs="Calibri"/>
                <w:sz w:val="22"/>
              </w:rPr>
              <w:t>0.</w:t>
            </w:r>
            <w:r w:rsidR="00456821" w:rsidRPr="00311535">
              <w:rPr>
                <w:rFonts w:cs="Calibri"/>
                <w:sz w:val="22"/>
              </w:rPr>
              <w:t>99</w:t>
            </w:r>
            <w:r w:rsidRPr="00311535">
              <w:rPr>
                <w:rFonts w:cs="Calibri"/>
                <w:sz w:val="22"/>
              </w:rPr>
              <w:t xml:space="preserve"> (0.</w:t>
            </w:r>
            <w:r w:rsidR="00456821" w:rsidRPr="00311535">
              <w:rPr>
                <w:rFonts w:cs="Calibri"/>
                <w:sz w:val="22"/>
              </w:rPr>
              <w:t>28</w:t>
            </w:r>
            <w:r w:rsidRPr="00311535">
              <w:rPr>
                <w:rFonts w:cs="Calibri"/>
                <w:sz w:val="22"/>
              </w:rPr>
              <w:t>)</w:t>
            </w:r>
          </w:p>
        </w:tc>
        <w:tc>
          <w:tcPr>
            <w:tcW w:w="1985" w:type="dxa"/>
          </w:tcPr>
          <w:p w14:paraId="3448B2CD" w14:textId="30CD0EF3" w:rsidR="00183CB8" w:rsidRPr="00311535" w:rsidRDefault="005701CC" w:rsidP="00886919">
            <w:pPr>
              <w:spacing w:line="276" w:lineRule="auto"/>
              <w:rPr>
                <w:rFonts w:cs="Calibri"/>
                <w:sz w:val="22"/>
              </w:rPr>
            </w:pPr>
            <w:r w:rsidRPr="00311535">
              <w:rPr>
                <w:rFonts w:cs="Calibri"/>
                <w:sz w:val="22"/>
              </w:rPr>
              <w:t>0.</w:t>
            </w:r>
            <w:r w:rsidR="00660C09" w:rsidRPr="00311535">
              <w:rPr>
                <w:rFonts w:cs="Calibri"/>
                <w:sz w:val="22"/>
              </w:rPr>
              <w:t>25</w:t>
            </w:r>
            <w:r w:rsidRPr="00311535">
              <w:rPr>
                <w:rFonts w:cs="Calibri"/>
                <w:sz w:val="22"/>
              </w:rPr>
              <w:t xml:space="preserve"> to 5.</w:t>
            </w:r>
            <w:r w:rsidR="00456821" w:rsidRPr="00311535">
              <w:rPr>
                <w:rFonts w:cs="Calibri"/>
                <w:sz w:val="22"/>
              </w:rPr>
              <w:t>94</w:t>
            </w:r>
          </w:p>
        </w:tc>
      </w:tr>
      <w:tr w:rsidR="00FD1B55" w:rsidRPr="00311535" w14:paraId="4961B8D8" w14:textId="77777777" w:rsidTr="00DE2DCA">
        <w:tc>
          <w:tcPr>
            <w:tcW w:w="8619" w:type="dxa"/>
            <w:gridSpan w:val="5"/>
          </w:tcPr>
          <w:p w14:paraId="7861575E" w14:textId="77777777" w:rsidR="00FD1B55" w:rsidRPr="00311535" w:rsidRDefault="00FD1B55" w:rsidP="00886919">
            <w:pPr>
              <w:spacing w:line="276" w:lineRule="auto"/>
              <w:rPr>
                <w:rFonts w:cs="Calibri"/>
                <w:sz w:val="22"/>
              </w:rPr>
            </w:pPr>
            <w:r w:rsidRPr="00311535">
              <w:rPr>
                <w:rFonts w:cs="Calibri"/>
                <w:sz w:val="22"/>
              </w:rPr>
              <w:t>IPCW, IP censoring weights</w:t>
            </w:r>
            <w:r w:rsidR="00DC58E1" w:rsidRPr="00311535">
              <w:rPr>
                <w:rFonts w:cs="Calibri"/>
                <w:sz w:val="22"/>
              </w:rPr>
              <w:t>; SD standard deviation.</w:t>
            </w:r>
            <w:r w:rsidRPr="00311535">
              <w:rPr>
                <w:rFonts w:cs="Calibri"/>
                <w:sz w:val="22"/>
              </w:rPr>
              <w:t xml:space="preserve"> </w:t>
            </w:r>
          </w:p>
        </w:tc>
      </w:tr>
    </w:tbl>
    <w:p w14:paraId="6EB9CC62" w14:textId="5F35A2A5" w:rsidR="00150C69" w:rsidRPr="00311535" w:rsidRDefault="00150C69" w:rsidP="00AE38EE">
      <w:pPr>
        <w:rPr>
          <w:b/>
        </w:rPr>
      </w:pPr>
    </w:p>
    <w:sectPr w:rsidR="00150C69" w:rsidRPr="00311535" w:rsidSect="00207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05858" w14:textId="77777777" w:rsidR="00542B68" w:rsidRDefault="00542B68" w:rsidP="00311535">
      <w:pPr>
        <w:spacing w:after="0" w:line="240" w:lineRule="auto"/>
      </w:pPr>
      <w:r>
        <w:separator/>
      </w:r>
    </w:p>
  </w:endnote>
  <w:endnote w:type="continuationSeparator" w:id="0">
    <w:p w14:paraId="1C762FF1" w14:textId="77777777" w:rsidR="00542B68" w:rsidRDefault="00542B68" w:rsidP="0031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50F29" w14:textId="77777777" w:rsidR="00542B68" w:rsidRDefault="00542B68" w:rsidP="00311535">
      <w:pPr>
        <w:spacing w:after="0" w:line="240" w:lineRule="auto"/>
      </w:pPr>
      <w:r>
        <w:separator/>
      </w:r>
    </w:p>
  </w:footnote>
  <w:footnote w:type="continuationSeparator" w:id="0">
    <w:p w14:paraId="6E5B9E2A" w14:textId="77777777" w:rsidR="00542B68" w:rsidRDefault="00542B68" w:rsidP="00311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7C07"/>
    <w:multiLevelType w:val="hybridMultilevel"/>
    <w:tmpl w:val="DE1431A8"/>
    <w:lvl w:ilvl="0" w:tplc="08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 w15:restartNumberingAfterBreak="0">
    <w:nsid w:val="335758E2"/>
    <w:multiLevelType w:val="hybridMultilevel"/>
    <w:tmpl w:val="9C68E384"/>
    <w:lvl w:ilvl="0" w:tplc="CCC68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rthritis Rheumatism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t2v0w90apfd9ae2v025xvz3rvpdpszdvdws&quot;&gt;bsrbras smoking&lt;record-ids&gt;&lt;item&gt;129&lt;/item&gt;&lt;/record-ids&gt;&lt;/item&gt;&lt;/Libraries&gt;"/>
  </w:docVars>
  <w:rsids>
    <w:rsidRoot w:val="00145E50"/>
    <w:rsid w:val="0001261F"/>
    <w:rsid w:val="00017E61"/>
    <w:rsid w:val="00037620"/>
    <w:rsid w:val="0004308C"/>
    <w:rsid w:val="000525BA"/>
    <w:rsid w:val="00055858"/>
    <w:rsid w:val="000E0E13"/>
    <w:rsid w:val="000E4322"/>
    <w:rsid w:val="000E7385"/>
    <w:rsid w:val="001103AB"/>
    <w:rsid w:val="001451AD"/>
    <w:rsid w:val="00145E50"/>
    <w:rsid w:val="00150C69"/>
    <w:rsid w:val="00162168"/>
    <w:rsid w:val="00173433"/>
    <w:rsid w:val="00173506"/>
    <w:rsid w:val="00174CDB"/>
    <w:rsid w:val="00183CB8"/>
    <w:rsid w:val="00195776"/>
    <w:rsid w:val="001B3525"/>
    <w:rsid w:val="001E4744"/>
    <w:rsid w:val="002073E9"/>
    <w:rsid w:val="00217A82"/>
    <w:rsid w:val="002222E7"/>
    <w:rsid w:val="002348DE"/>
    <w:rsid w:val="00270B1B"/>
    <w:rsid w:val="002C2CF0"/>
    <w:rsid w:val="002C526C"/>
    <w:rsid w:val="002D001E"/>
    <w:rsid w:val="002F7D30"/>
    <w:rsid w:val="00311535"/>
    <w:rsid w:val="00317169"/>
    <w:rsid w:val="0031766C"/>
    <w:rsid w:val="0032270D"/>
    <w:rsid w:val="00323AB6"/>
    <w:rsid w:val="00331FE6"/>
    <w:rsid w:val="00335843"/>
    <w:rsid w:val="0034180C"/>
    <w:rsid w:val="00362A32"/>
    <w:rsid w:val="003645A1"/>
    <w:rsid w:val="00386E1C"/>
    <w:rsid w:val="00396923"/>
    <w:rsid w:val="003A1E39"/>
    <w:rsid w:val="003B55F0"/>
    <w:rsid w:val="004369CB"/>
    <w:rsid w:val="00450831"/>
    <w:rsid w:val="00456821"/>
    <w:rsid w:val="0048401F"/>
    <w:rsid w:val="00485D9A"/>
    <w:rsid w:val="004B391D"/>
    <w:rsid w:val="004C5033"/>
    <w:rsid w:val="004E6D80"/>
    <w:rsid w:val="004F0654"/>
    <w:rsid w:val="004F1F1C"/>
    <w:rsid w:val="005416B7"/>
    <w:rsid w:val="00542B68"/>
    <w:rsid w:val="00551589"/>
    <w:rsid w:val="00561035"/>
    <w:rsid w:val="005701CC"/>
    <w:rsid w:val="005A48E7"/>
    <w:rsid w:val="005B6F6D"/>
    <w:rsid w:val="005C376F"/>
    <w:rsid w:val="005E456B"/>
    <w:rsid w:val="00600A5D"/>
    <w:rsid w:val="00625879"/>
    <w:rsid w:val="00635488"/>
    <w:rsid w:val="0064289E"/>
    <w:rsid w:val="00660C09"/>
    <w:rsid w:val="006677C1"/>
    <w:rsid w:val="00671F3E"/>
    <w:rsid w:val="00681FF4"/>
    <w:rsid w:val="006944A4"/>
    <w:rsid w:val="006A32FD"/>
    <w:rsid w:val="006B2DA4"/>
    <w:rsid w:val="006B2E1F"/>
    <w:rsid w:val="006D5882"/>
    <w:rsid w:val="006F028D"/>
    <w:rsid w:val="006F39D4"/>
    <w:rsid w:val="007430D0"/>
    <w:rsid w:val="00776258"/>
    <w:rsid w:val="00777F85"/>
    <w:rsid w:val="007A0A6A"/>
    <w:rsid w:val="007C401D"/>
    <w:rsid w:val="00804600"/>
    <w:rsid w:val="00806B62"/>
    <w:rsid w:val="008137B3"/>
    <w:rsid w:val="00814C8F"/>
    <w:rsid w:val="0081605E"/>
    <w:rsid w:val="008161B8"/>
    <w:rsid w:val="0082112B"/>
    <w:rsid w:val="008554E1"/>
    <w:rsid w:val="00886919"/>
    <w:rsid w:val="008D66A6"/>
    <w:rsid w:val="00927543"/>
    <w:rsid w:val="00980895"/>
    <w:rsid w:val="00984537"/>
    <w:rsid w:val="00997AE4"/>
    <w:rsid w:val="009F56BE"/>
    <w:rsid w:val="00A0662E"/>
    <w:rsid w:val="00A30792"/>
    <w:rsid w:val="00A514B5"/>
    <w:rsid w:val="00A60748"/>
    <w:rsid w:val="00A724C1"/>
    <w:rsid w:val="00A7661D"/>
    <w:rsid w:val="00A94336"/>
    <w:rsid w:val="00AA42BD"/>
    <w:rsid w:val="00AA542F"/>
    <w:rsid w:val="00AB120B"/>
    <w:rsid w:val="00AB2CA7"/>
    <w:rsid w:val="00AE38EE"/>
    <w:rsid w:val="00AE77DC"/>
    <w:rsid w:val="00B12E88"/>
    <w:rsid w:val="00B154B5"/>
    <w:rsid w:val="00B20307"/>
    <w:rsid w:val="00B45962"/>
    <w:rsid w:val="00B6265D"/>
    <w:rsid w:val="00B70FB4"/>
    <w:rsid w:val="00B750D1"/>
    <w:rsid w:val="00B82BA6"/>
    <w:rsid w:val="00BD02D6"/>
    <w:rsid w:val="00BE3513"/>
    <w:rsid w:val="00C06908"/>
    <w:rsid w:val="00C10641"/>
    <w:rsid w:val="00C10B35"/>
    <w:rsid w:val="00C43F94"/>
    <w:rsid w:val="00C5362C"/>
    <w:rsid w:val="00C97619"/>
    <w:rsid w:val="00CA1779"/>
    <w:rsid w:val="00CB14A1"/>
    <w:rsid w:val="00CB3549"/>
    <w:rsid w:val="00D27659"/>
    <w:rsid w:val="00D34871"/>
    <w:rsid w:val="00D4011B"/>
    <w:rsid w:val="00D72B04"/>
    <w:rsid w:val="00D73C68"/>
    <w:rsid w:val="00D94053"/>
    <w:rsid w:val="00DB0A55"/>
    <w:rsid w:val="00DC1054"/>
    <w:rsid w:val="00DC58E1"/>
    <w:rsid w:val="00DD207D"/>
    <w:rsid w:val="00DD63DC"/>
    <w:rsid w:val="00DE2DCA"/>
    <w:rsid w:val="00DE4227"/>
    <w:rsid w:val="00E26EC0"/>
    <w:rsid w:val="00E8356F"/>
    <w:rsid w:val="00E87D9C"/>
    <w:rsid w:val="00EA3C91"/>
    <w:rsid w:val="00EB2DA8"/>
    <w:rsid w:val="00EB4DDB"/>
    <w:rsid w:val="00EB6E0A"/>
    <w:rsid w:val="00ED53F7"/>
    <w:rsid w:val="00EE1753"/>
    <w:rsid w:val="00F00EEE"/>
    <w:rsid w:val="00F17610"/>
    <w:rsid w:val="00F605E0"/>
    <w:rsid w:val="00FC083E"/>
    <w:rsid w:val="00FC79FB"/>
    <w:rsid w:val="00FD1B55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DFE59"/>
  <w15:chartTrackingRefBased/>
  <w15:docId w15:val="{133D7069-07B7-41A2-9F8D-613E4498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E50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E50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table" w:styleId="TableGrid">
    <w:name w:val="Table Grid"/>
    <w:basedOn w:val="TableNormal"/>
    <w:uiPriority w:val="59"/>
    <w:rsid w:val="00145E50"/>
    <w:pPr>
      <w:spacing w:after="0" w:line="240" w:lineRule="auto"/>
    </w:pPr>
    <w:rPr>
      <w:kern w:val="2"/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45E50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4C5033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C5033"/>
    <w:rPr>
      <w:rFonts w:eastAsiaTheme="minorHAnsi"/>
      <w:lang w:eastAsia="en-US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4C5033"/>
    <w:rPr>
      <w:rFonts w:ascii="Calibri" w:eastAsiaTheme="minorHAnsi" w:hAnsi="Calibri" w:cs="Calibri"/>
      <w:noProof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4C5033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ListParagraphChar"/>
    <w:link w:val="EndNoteBibliography"/>
    <w:rsid w:val="004C5033"/>
    <w:rPr>
      <w:rFonts w:ascii="Calibri" w:eastAsiaTheme="minorHAnsi" w:hAnsi="Calibri" w:cs="Calibri"/>
      <w:noProof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C50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03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04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600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600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60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600"/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11535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11535"/>
    <w:rPr>
      <w:rFonts w:eastAsiaTheme="minorHAns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1535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11535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Sizheng [rheuzhas]</dc:creator>
  <cp:keywords/>
  <dc:description/>
  <cp:lastModifiedBy>Steven Zhao</cp:lastModifiedBy>
  <cp:revision>5</cp:revision>
  <dcterms:created xsi:type="dcterms:W3CDTF">2019-01-19T14:30:00Z</dcterms:created>
  <dcterms:modified xsi:type="dcterms:W3CDTF">2019-02-07T10:03:00Z</dcterms:modified>
</cp:coreProperties>
</file>