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52755" w14:textId="77777777" w:rsidR="00C902E6" w:rsidRDefault="00244FEE" w:rsidP="00E661C8">
      <w:pPr>
        <w:spacing w:line="276" w:lineRule="auto"/>
        <w:jc w:val="center"/>
        <w:rPr>
          <w:rFonts w:eastAsia="Times New Roman"/>
          <w:b/>
          <w:color w:val="000000"/>
          <w:sz w:val="28"/>
          <w:szCs w:val="28"/>
        </w:rPr>
      </w:pPr>
      <w:bookmarkStart w:id="0" w:name="_Toc429924246"/>
      <w:bookmarkStart w:id="1" w:name="_GoBack"/>
      <w:bookmarkEnd w:id="1"/>
      <w:r w:rsidRPr="00244FEE">
        <w:rPr>
          <w:rFonts w:eastAsia="Times New Roman"/>
          <w:b/>
          <w:color w:val="000000"/>
          <w:sz w:val="28"/>
          <w:szCs w:val="28"/>
        </w:rPr>
        <w:t xml:space="preserve">The Impact of Multilateral Trading Facilities on Price Discovery: </w:t>
      </w:r>
    </w:p>
    <w:p w14:paraId="486FE5C5" w14:textId="73E2E11D" w:rsidR="00244FEE" w:rsidRPr="00244FEE" w:rsidRDefault="00244FEE" w:rsidP="00E661C8">
      <w:pPr>
        <w:spacing w:line="276" w:lineRule="auto"/>
        <w:jc w:val="center"/>
        <w:rPr>
          <w:rFonts w:eastAsia="Times New Roman"/>
          <w:b/>
          <w:color w:val="000000"/>
          <w:sz w:val="28"/>
          <w:szCs w:val="28"/>
        </w:rPr>
      </w:pPr>
      <w:r w:rsidRPr="00244FEE">
        <w:rPr>
          <w:rFonts w:eastAsia="Times New Roman"/>
          <w:b/>
          <w:color w:val="000000"/>
          <w:sz w:val="28"/>
          <w:szCs w:val="28"/>
        </w:rPr>
        <w:t>Further Evidence from the European Markets</w:t>
      </w:r>
    </w:p>
    <w:p w14:paraId="07CE8CF6" w14:textId="77777777" w:rsidR="00244FEE" w:rsidRPr="00244FEE" w:rsidRDefault="00244FEE" w:rsidP="00244FEE">
      <w:pPr>
        <w:jc w:val="center"/>
        <w:rPr>
          <w:rFonts w:eastAsia="Times New Roman"/>
          <w:b/>
          <w:color w:val="000000"/>
          <w:sz w:val="28"/>
          <w:szCs w:val="28"/>
        </w:rPr>
      </w:pPr>
    </w:p>
    <w:p w14:paraId="1A027D68" w14:textId="40EFE8C4" w:rsidR="00244FEE" w:rsidRPr="00625781" w:rsidRDefault="00625781" w:rsidP="00244FEE">
      <w:pPr>
        <w:jc w:val="center"/>
        <w:rPr>
          <w:rFonts w:eastAsia="Times New Roman"/>
          <w:i/>
          <w:color w:val="000000"/>
          <w:sz w:val="28"/>
          <w:szCs w:val="28"/>
        </w:rPr>
      </w:pPr>
      <w:r w:rsidRPr="00625781">
        <w:rPr>
          <w:rFonts w:eastAsia="Times New Roman"/>
          <w:i/>
          <w:color w:val="000000"/>
          <w:sz w:val="28"/>
          <w:szCs w:val="28"/>
        </w:rPr>
        <w:t>Forthcoming in Financial Markets, Institutions and Instruments</w:t>
      </w:r>
    </w:p>
    <w:p w14:paraId="0031AF04" w14:textId="77777777" w:rsidR="00244FEE" w:rsidRDefault="00244FEE" w:rsidP="00244FEE">
      <w:pPr>
        <w:jc w:val="center"/>
        <w:rPr>
          <w:rFonts w:eastAsia="Times New Roman"/>
          <w:color w:val="000000"/>
        </w:rPr>
      </w:pPr>
    </w:p>
    <w:p w14:paraId="6C91AF8F" w14:textId="77777777" w:rsidR="00244FEE" w:rsidRPr="00244FEE" w:rsidRDefault="00244FEE" w:rsidP="00244FEE">
      <w:pPr>
        <w:spacing w:line="360" w:lineRule="auto"/>
        <w:jc w:val="center"/>
        <w:rPr>
          <w:rFonts w:eastAsia="Times New Roman"/>
          <w:b/>
          <w:color w:val="000000"/>
        </w:rPr>
      </w:pPr>
      <w:r w:rsidRPr="00244FEE">
        <w:rPr>
          <w:rFonts w:eastAsia="Times New Roman"/>
          <w:b/>
          <w:color w:val="000000"/>
        </w:rPr>
        <w:t xml:space="preserve">Mike Buckle </w:t>
      </w:r>
    </w:p>
    <w:p w14:paraId="2C08E44E"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 xml:space="preserve">University of Liverpool, </w:t>
      </w:r>
    </w:p>
    <w:p w14:paraId="6C2B58C7"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Chatham Street, Liverpool L69 7ZH, UK</w:t>
      </w:r>
    </w:p>
    <w:p w14:paraId="55F9BF54" w14:textId="77777777" w:rsidR="00244FEE" w:rsidRPr="00244FEE" w:rsidRDefault="00244FEE" w:rsidP="00244FEE">
      <w:pPr>
        <w:jc w:val="center"/>
        <w:rPr>
          <w:rFonts w:eastAsia="Times New Roman"/>
          <w:color w:val="000000"/>
        </w:rPr>
      </w:pPr>
    </w:p>
    <w:p w14:paraId="0D13CBDA" w14:textId="77777777" w:rsidR="00244FEE" w:rsidRDefault="00244FEE" w:rsidP="00244FEE">
      <w:pPr>
        <w:jc w:val="center"/>
        <w:rPr>
          <w:rFonts w:eastAsia="Times New Roman"/>
          <w:color w:val="000000"/>
        </w:rPr>
      </w:pPr>
    </w:p>
    <w:p w14:paraId="692DEF3A" w14:textId="77777777" w:rsidR="00244FEE" w:rsidRPr="00244FEE" w:rsidRDefault="00244FEE" w:rsidP="00244FEE">
      <w:pPr>
        <w:spacing w:line="360" w:lineRule="auto"/>
        <w:jc w:val="center"/>
        <w:rPr>
          <w:rFonts w:eastAsia="Times New Roman"/>
          <w:b/>
          <w:color w:val="000000"/>
        </w:rPr>
      </w:pPr>
      <w:r w:rsidRPr="00244FEE">
        <w:rPr>
          <w:rFonts w:eastAsia="Times New Roman"/>
          <w:b/>
          <w:color w:val="000000"/>
        </w:rPr>
        <w:t xml:space="preserve">Jing Chen </w:t>
      </w:r>
    </w:p>
    <w:p w14:paraId="223F6BA0"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 xml:space="preserve">Cardiff University, </w:t>
      </w:r>
    </w:p>
    <w:p w14:paraId="76108DA6"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Senghennydd Road, Cardiff CF24 4AG, UK</w:t>
      </w:r>
    </w:p>
    <w:p w14:paraId="7416FFCE" w14:textId="77777777" w:rsidR="00244FEE" w:rsidRPr="00244FEE" w:rsidRDefault="00244FEE" w:rsidP="00244FEE">
      <w:pPr>
        <w:jc w:val="center"/>
        <w:rPr>
          <w:rFonts w:eastAsia="Times New Roman"/>
          <w:color w:val="000000"/>
        </w:rPr>
      </w:pPr>
    </w:p>
    <w:p w14:paraId="4B8021CB" w14:textId="77777777" w:rsidR="00244FEE" w:rsidRDefault="00244FEE" w:rsidP="00244FEE">
      <w:pPr>
        <w:jc w:val="center"/>
        <w:rPr>
          <w:rFonts w:eastAsia="Times New Roman"/>
          <w:color w:val="000000"/>
        </w:rPr>
      </w:pPr>
    </w:p>
    <w:p w14:paraId="31606E42" w14:textId="77777777" w:rsidR="00244FEE" w:rsidRPr="00244FEE" w:rsidRDefault="00244FEE" w:rsidP="00244FEE">
      <w:pPr>
        <w:spacing w:line="360" w:lineRule="auto"/>
        <w:jc w:val="center"/>
        <w:rPr>
          <w:rFonts w:eastAsia="Times New Roman"/>
          <w:b/>
          <w:color w:val="000000"/>
        </w:rPr>
      </w:pPr>
      <w:r w:rsidRPr="00244FEE">
        <w:rPr>
          <w:rFonts w:eastAsia="Times New Roman"/>
          <w:b/>
          <w:color w:val="000000"/>
        </w:rPr>
        <w:t xml:space="preserve">Qian Guo </w:t>
      </w:r>
    </w:p>
    <w:p w14:paraId="5B72AD85"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 xml:space="preserve">Birkbeck College, University of London, </w:t>
      </w:r>
    </w:p>
    <w:p w14:paraId="5977B576" w14:textId="77777777" w:rsidR="00244FEE" w:rsidRPr="00244FEE" w:rsidRDefault="00244FEE" w:rsidP="00244FEE">
      <w:pPr>
        <w:spacing w:line="360" w:lineRule="auto"/>
        <w:jc w:val="center"/>
        <w:rPr>
          <w:rFonts w:eastAsia="Times New Roman"/>
          <w:color w:val="000000"/>
        </w:rPr>
      </w:pPr>
      <w:r w:rsidRPr="00244FEE">
        <w:rPr>
          <w:rFonts w:eastAsia="Times New Roman"/>
          <w:color w:val="000000"/>
        </w:rPr>
        <w:t>London WC1E 7HU, UK</w:t>
      </w:r>
    </w:p>
    <w:p w14:paraId="60794A27" w14:textId="77777777" w:rsidR="00244FEE" w:rsidRPr="00244FEE" w:rsidRDefault="00244FEE" w:rsidP="00244FEE">
      <w:pPr>
        <w:jc w:val="center"/>
        <w:rPr>
          <w:rFonts w:eastAsia="Times New Roman"/>
          <w:color w:val="000000"/>
        </w:rPr>
      </w:pPr>
    </w:p>
    <w:p w14:paraId="0D9D486C" w14:textId="77777777" w:rsidR="00244FEE" w:rsidRDefault="00244FEE" w:rsidP="00244FEE">
      <w:pPr>
        <w:jc w:val="center"/>
        <w:rPr>
          <w:rFonts w:eastAsia="Times New Roman"/>
          <w:color w:val="000000"/>
        </w:rPr>
      </w:pPr>
    </w:p>
    <w:p w14:paraId="281EB5A7" w14:textId="77777777" w:rsidR="00244FEE" w:rsidRPr="00244FEE" w:rsidRDefault="00244FEE" w:rsidP="009E0C21">
      <w:pPr>
        <w:spacing w:line="360" w:lineRule="auto"/>
        <w:jc w:val="center"/>
        <w:rPr>
          <w:rFonts w:eastAsia="Times New Roman"/>
          <w:color w:val="000000"/>
        </w:rPr>
      </w:pPr>
      <w:r w:rsidRPr="00244FEE">
        <w:rPr>
          <w:rFonts w:eastAsia="Times New Roman"/>
          <w:b/>
          <w:color w:val="000000"/>
        </w:rPr>
        <w:t>Xiaoxi Li</w:t>
      </w:r>
      <w:r w:rsidRPr="00244FEE">
        <w:rPr>
          <w:rFonts w:eastAsia="Times New Roman"/>
          <w:color w:val="000000"/>
        </w:rPr>
        <w:t xml:space="preserve"> (corresponding author)</w:t>
      </w:r>
    </w:p>
    <w:p w14:paraId="3D2B8855" w14:textId="77777777" w:rsidR="00244FEE" w:rsidRPr="00244FEE" w:rsidRDefault="00244FEE" w:rsidP="009E0C21">
      <w:pPr>
        <w:spacing w:line="360" w:lineRule="auto"/>
        <w:jc w:val="center"/>
        <w:rPr>
          <w:rFonts w:eastAsia="Times New Roman"/>
          <w:color w:val="000000"/>
        </w:rPr>
      </w:pPr>
      <w:r w:rsidRPr="00244FEE">
        <w:rPr>
          <w:rFonts w:eastAsia="Times New Roman"/>
          <w:color w:val="000000"/>
        </w:rPr>
        <w:t xml:space="preserve">University of Swansea, </w:t>
      </w:r>
    </w:p>
    <w:p w14:paraId="4A19F55A" w14:textId="77777777" w:rsidR="00244FEE" w:rsidRPr="00244FEE" w:rsidRDefault="00244FEE" w:rsidP="009E0C21">
      <w:pPr>
        <w:spacing w:line="360" w:lineRule="auto"/>
        <w:jc w:val="center"/>
        <w:rPr>
          <w:rFonts w:eastAsia="Times New Roman"/>
          <w:color w:val="000000"/>
        </w:rPr>
      </w:pPr>
      <w:r w:rsidRPr="00244FEE">
        <w:rPr>
          <w:rFonts w:eastAsia="Times New Roman"/>
          <w:color w:val="000000"/>
        </w:rPr>
        <w:t>Singleton Park, Swansea SA2 8PP, UK</w:t>
      </w:r>
    </w:p>
    <w:p w14:paraId="60E65AAE" w14:textId="77777777" w:rsidR="00244FEE" w:rsidRPr="00244FEE" w:rsidRDefault="00244FEE" w:rsidP="009E0C21">
      <w:pPr>
        <w:spacing w:line="360" w:lineRule="auto"/>
        <w:jc w:val="center"/>
        <w:rPr>
          <w:rFonts w:eastAsia="Times New Roman"/>
          <w:color w:val="000000"/>
        </w:rPr>
      </w:pPr>
      <w:r w:rsidRPr="00244FEE">
        <w:rPr>
          <w:rFonts w:eastAsia="Times New Roman"/>
          <w:color w:val="000000"/>
        </w:rPr>
        <w:t>Email: dr.xiaoxli@outlook.com    Tel: +44 (0) 01792 205678</w:t>
      </w:r>
    </w:p>
    <w:p w14:paraId="78E1C4E4" w14:textId="77777777" w:rsidR="00244FEE" w:rsidRPr="00244FEE" w:rsidRDefault="00244FEE" w:rsidP="00B07C43">
      <w:pPr>
        <w:jc w:val="center"/>
        <w:rPr>
          <w:rFonts w:eastAsia="Times New Roman"/>
          <w:b/>
          <w:color w:val="000000"/>
          <w:sz w:val="28"/>
          <w:szCs w:val="28"/>
        </w:rPr>
      </w:pPr>
    </w:p>
    <w:p w14:paraId="4FFF36D7" w14:textId="77777777" w:rsidR="00244FEE" w:rsidRDefault="00244FEE">
      <w:pPr>
        <w:rPr>
          <w:rFonts w:eastAsia="Times New Roman"/>
          <w:b/>
          <w:color w:val="000000"/>
          <w:sz w:val="28"/>
          <w:szCs w:val="28"/>
          <w:lang w:val="en-US"/>
        </w:rPr>
      </w:pPr>
      <w:r>
        <w:rPr>
          <w:rFonts w:eastAsia="Times New Roman"/>
          <w:b/>
          <w:color w:val="000000"/>
          <w:sz w:val="28"/>
          <w:szCs w:val="28"/>
          <w:lang w:val="en-US"/>
        </w:rPr>
        <w:br w:type="page"/>
      </w:r>
    </w:p>
    <w:p w14:paraId="61E30267" w14:textId="77777777" w:rsidR="00C902E6" w:rsidRDefault="00B07C43" w:rsidP="00E661C8">
      <w:pPr>
        <w:spacing w:line="276" w:lineRule="auto"/>
        <w:jc w:val="center"/>
        <w:rPr>
          <w:rFonts w:eastAsia="Times New Roman"/>
          <w:b/>
          <w:color w:val="000000"/>
          <w:sz w:val="28"/>
          <w:szCs w:val="28"/>
          <w:lang w:val="en-US"/>
        </w:rPr>
      </w:pPr>
      <w:r w:rsidRPr="00953770">
        <w:rPr>
          <w:rFonts w:eastAsia="Times New Roman"/>
          <w:b/>
          <w:color w:val="000000"/>
          <w:sz w:val="28"/>
          <w:szCs w:val="28"/>
          <w:lang w:val="en-US"/>
        </w:rPr>
        <w:lastRenderedPageBreak/>
        <w:t xml:space="preserve">The Impact of Multilateral Trading Facilities on Price Discovery: </w:t>
      </w:r>
    </w:p>
    <w:p w14:paraId="5A8527F3" w14:textId="5CE026C6" w:rsidR="00B07C43" w:rsidRPr="00953770" w:rsidRDefault="00B07C43" w:rsidP="00E661C8">
      <w:pPr>
        <w:spacing w:line="276" w:lineRule="auto"/>
        <w:jc w:val="center"/>
        <w:rPr>
          <w:rFonts w:eastAsia="SimSun"/>
          <w:b/>
          <w:kern w:val="2"/>
          <w:sz w:val="28"/>
          <w:szCs w:val="28"/>
          <w:lang w:val="en-US"/>
        </w:rPr>
      </w:pPr>
      <w:r w:rsidRPr="00953770">
        <w:rPr>
          <w:rFonts w:eastAsia="Times New Roman"/>
          <w:b/>
          <w:color w:val="000000"/>
          <w:sz w:val="28"/>
          <w:szCs w:val="28"/>
          <w:lang w:val="en-US"/>
        </w:rPr>
        <w:t xml:space="preserve">Further </w:t>
      </w:r>
      <w:r w:rsidRPr="00953770">
        <w:rPr>
          <w:b/>
          <w:bCs/>
          <w:color w:val="000000"/>
          <w:sz w:val="28"/>
          <w:szCs w:val="28"/>
          <w:lang w:val="en-US" w:eastAsia="en-US"/>
        </w:rPr>
        <w:t xml:space="preserve">Evidence from the </w:t>
      </w:r>
      <w:r w:rsidRPr="002B271F">
        <w:rPr>
          <w:rFonts w:eastAsia="SimSun"/>
          <w:b/>
          <w:kern w:val="2"/>
          <w:sz w:val="28"/>
          <w:szCs w:val="28"/>
          <w:lang w:val="en-US"/>
        </w:rPr>
        <w:t>European Markets</w:t>
      </w:r>
    </w:p>
    <w:p w14:paraId="450C8794" w14:textId="77777777" w:rsidR="00B07C43" w:rsidRPr="002B271F" w:rsidRDefault="00B07C43" w:rsidP="00B07C43">
      <w:pPr>
        <w:widowControl w:val="0"/>
        <w:spacing w:line="276" w:lineRule="auto"/>
        <w:jc w:val="center"/>
        <w:rPr>
          <w:rFonts w:eastAsia="SimSun"/>
          <w:b/>
          <w:kern w:val="2"/>
          <w:sz w:val="28"/>
          <w:szCs w:val="28"/>
          <w:lang w:val="en-US"/>
        </w:rPr>
      </w:pPr>
    </w:p>
    <w:p w14:paraId="0BF7C9B3" w14:textId="0AF4559D" w:rsidR="00D05094" w:rsidRDefault="00D05094" w:rsidP="00B07C43">
      <w:pPr>
        <w:widowControl w:val="0"/>
        <w:spacing w:line="276" w:lineRule="auto"/>
        <w:jc w:val="center"/>
        <w:rPr>
          <w:rFonts w:eastAsia="SimSun"/>
          <w:b/>
          <w:kern w:val="2"/>
          <w:sz w:val="28"/>
          <w:szCs w:val="28"/>
          <w:lang w:val="en-US"/>
        </w:rPr>
      </w:pPr>
      <w:r w:rsidRPr="00953770">
        <w:rPr>
          <w:rFonts w:eastAsia="SimSun"/>
          <w:b/>
          <w:kern w:val="2"/>
          <w:sz w:val="28"/>
          <w:szCs w:val="28"/>
          <w:lang w:val="en-US"/>
        </w:rPr>
        <w:t>Table of Contents</w:t>
      </w:r>
    </w:p>
    <w:p w14:paraId="63C7E16C" w14:textId="77777777" w:rsidR="00D35462" w:rsidRDefault="00D35462" w:rsidP="00B07C43">
      <w:pPr>
        <w:widowControl w:val="0"/>
        <w:spacing w:line="276" w:lineRule="auto"/>
        <w:jc w:val="center"/>
        <w:rPr>
          <w:rFonts w:eastAsia="SimSun"/>
          <w:b/>
          <w:kern w:val="2"/>
          <w:sz w:val="28"/>
          <w:szCs w:val="28"/>
          <w:lang w:val="en-US"/>
        </w:rPr>
      </w:pPr>
    </w:p>
    <w:p w14:paraId="23C0C65D" w14:textId="77777777" w:rsidR="00D35462" w:rsidRDefault="00D35462" w:rsidP="00D35462">
      <w:pPr>
        <w:widowControl w:val="0"/>
        <w:spacing w:line="276" w:lineRule="auto"/>
        <w:rPr>
          <w:rFonts w:eastAsia="SimSun"/>
          <w:b/>
          <w:kern w:val="2"/>
          <w:sz w:val="28"/>
          <w:szCs w:val="28"/>
          <w:lang w:val="en-US"/>
        </w:rPr>
      </w:pPr>
    </w:p>
    <w:p w14:paraId="061FD404" w14:textId="14ADF80A" w:rsidR="00D35462" w:rsidRPr="00D35462" w:rsidRDefault="00D35462" w:rsidP="00D35462">
      <w:pPr>
        <w:widowControl w:val="0"/>
        <w:spacing w:line="276" w:lineRule="auto"/>
        <w:rPr>
          <w:rFonts w:eastAsia="SimSun"/>
          <w:b/>
          <w:kern w:val="2"/>
          <w:lang w:val="en-US"/>
        </w:rPr>
      </w:pPr>
      <w:r>
        <w:rPr>
          <w:rFonts w:eastAsia="SimSun"/>
          <w:b/>
          <w:kern w:val="2"/>
          <w:sz w:val="28"/>
          <w:szCs w:val="28"/>
          <w:lang w:val="en-US"/>
        </w:rPr>
        <w:t xml:space="preserve">          </w:t>
      </w:r>
      <w:r w:rsidRPr="00D35462">
        <w:rPr>
          <w:rFonts w:eastAsia="SimSun"/>
          <w:b/>
          <w:kern w:val="2"/>
          <w:lang w:val="en-US"/>
        </w:rPr>
        <w:t xml:space="preserve">Abstract </w:t>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r>
      <w:r w:rsidRPr="00D35462">
        <w:rPr>
          <w:rFonts w:eastAsia="SimSun"/>
          <w:b/>
          <w:kern w:val="2"/>
          <w:lang w:val="en-US"/>
        </w:rPr>
        <w:tab/>
        <w:t xml:space="preserve"> </w:t>
      </w:r>
      <w:r>
        <w:rPr>
          <w:rFonts w:eastAsia="SimSun"/>
          <w:b/>
          <w:kern w:val="2"/>
          <w:lang w:val="en-US"/>
        </w:rPr>
        <w:t xml:space="preserve">   </w:t>
      </w:r>
      <w:r w:rsidR="00C47A39">
        <w:rPr>
          <w:rFonts w:eastAsia="SimSun"/>
          <w:kern w:val="2"/>
          <w:lang w:val="en-US"/>
        </w:rPr>
        <w:t>5</w:t>
      </w:r>
    </w:p>
    <w:p w14:paraId="5F07A997" w14:textId="77777777" w:rsidR="00E661C8" w:rsidRPr="00953770" w:rsidRDefault="00E661C8" w:rsidP="00B07C43">
      <w:pPr>
        <w:widowControl w:val="0"/>
        <w:spacing w:line="276" w:lineRule="auto"/>
        <w:jc w:val="center"/>
        <w:rPr>
          <w:rFonts w:eastAsia="SimSun"/>
          <w:b/>
          <w:kern w:val="2"/>
          <w:sz w:val="28"/>
          <w:szCs w:val="28"/>
          <w:lang w:val="en-US"/>
        </w:rPr>
      </w:pPr>
    </w:p>
    <w:p w14:paraId="5D8E8A8D" w14:textId="79392C24" w:rsidR="000406CC" w:rsidRPr="00953770" w:rsidRDefault="00CC4EAC" w:rsidP="000406CC">
      <w:pPr>
        <w:widowControl w:val="0"/>
        <w:rPr>
          <w:rFonts w:eastAsia="SimSun"/>
          <w:kern w:val="2"/>
          <w:lang w:val="en-US"/>
        </w:rPr>
      </w:pPr>
      <w:r w:rsidRPr="00953770">
        <w:rPr>
          <w:rFonts w:eastAsia="SimSun"/>
          <w:kern w:val="2"/>
          <w:lang w:val="en-US"/>
        </w:rPr>
        <w:t xml:space="preserve">1 </w:t>
      </w:r>
      <w:r w:rsidR="000406CC" w:rsidRPr="00953770">
        <w:rPr>
          <w:rFonts w:eastAsia="SimSun"/>
          <w:kern w:val="2"/>
          <w:lang w:val="en-US"/>
        </w:rPr>
        <w:tab/>
      </w:r>
      <w:r w:rsidRPr="00953770">
        <w:rPr>
          <w:rFonts w:eastAsia="SimSun"/>
          <w:b/>
          <w:kern w:val="2"/>
          <w:lang w:val="en-US"/>
        </w:rPr>
        <w:t xml:space="preserve">Introduction </w:t>
      </w:r>
      <w:r w:rsidRPr="00953770">
        <w:rPr>
          <w:rFonts w:eastAsia="SimSun"/>
          <w:b/>
          <w:kern w:val="2"/>
          <w:lang w:val="en-US"/>
        </w:rPr>
        <w:tab/>
      </w:r>
      <w:r w:rsidRPr="00953770">
        <w:rPr>
          <w:rFonts w:eastAsia="SimSun"/>
          <w:kern w:val="2"/>
          <w:lang w:val="en-US"/>
        </w:rPr>
        <w:tab/>
      </w:r>
      <w:r w:rsidRPr="00953770">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173B8F">
        <w:rPr>
          <w:rFonts w:eastAsia="SimSun"/>
          <w:kern w:val="2"/>
          <w:lang w:val="en-US"/>
        </w:rPr>
        <w:tab/>
      </w:r>
      <w:r w:rsidR="008C52A3">
        <w:rPr>
          <w:rFonts w:eastAsia="SimSun"/>
          <w:kern w:val="2"/>
          <w:lang w:val="en-US"/>
        </w:rPr>
        <w:t xml:space="preserve">    </w:t>
      </w:r>
      <w:r w:rsidR="00C47A39">
        <w:rPr>
          <w:rFonts w:eastAsia="SimSun"/>
          <w:kern w:val="2"/>
          <w:lang w:val="en-US"/>
        </w:rPr>
        <w:t>6</w:t>
      </w:r>
      <w:r w:rsidRPr="00953770">
        <w:rPr>
          <w:rFonts w:eastAsia="SimSun"/>
          <w:kern w:val="2"/>
          <w:lang w:val="en-US"/>
        </w:rPr>
        <w:tab/>
      </w:r>
      <w:r w:rsidRPr="00953770">
        <w:rPr>
          <w:rFonts w:eastAsia="SimSun"/>
          <w:kern w:val="2"/>
          <w:lang w:val="en-US"/>
        </w:rPr>
        <w:tab/>
      </w:r>
      <w:r w:rsidRPr="00953770">
        <w:rPr>
          <w:rFonts w:eastAsia="SimSun"/>
          <w:kern w:val="2"/>
          <w:lang w:val="en-US"/>
        </w:rPr>
        <w:tab/>
      </w:r>
      <w:r w:rsidRPr="00953770">
        <w:rPr>
          <w:rFonts w:eastAsia="SimSun"/>
          <w:kern w:val="2"/>
          <w:lang w:val="en-US"/>
        </w:rPr>
        <w:tab/>
      </w:r>
      <w:r w:rsidRPr="00953770">
        <w:rPr>
          <w:rFonts w:eastAsia="SimSun"/>
          <w:kern w:val="2"/>
          <w:lang w:val="en-US"/>
        </w:rPr>
        <w:tab/>
      </w:r>
      <w:r w:rsidRPr="00953770">
        <w:rPr>
          <w:rFonts w:eastAsia="SimSun"/>
          <w:kern w:val="2"/>
          <w:lang w:val="en-US"/>
        </w:rPr>
        <w:tab/>
      </w:r>
      <w:r w:rsidRPr="00953770">
        <w:rPr>
          <w:rFonts w:eastAsia="SimSun"/>
          <w:kern w:val="2"/>
          <w:lang w:val="en-US"/>
        </w:rPr>
        <w:tab/>
      </w:r>
    </w:p>
    <w:p w14:paraId="0766D414" w14:textId="011B4D57" w:rsidR="00D05094" w:rsidRPr="00953770" w:rsidRDefault="0074494A" w:rsidP="000406CC">
      <w:pPr>
        <w:widowControl w:val="0"/>
        <w:rPr>
          <w:rFonts w:eastAsia="SimSun"/>
          <w:kern w:val="2"/>
          <w:lang w:val="en-US"/>
        </w:rPr>
      </w:pPr>
      <w:r>
        <w:rPr>
          <w:rFonts w:eastAsia="SimSun"/>
          <w:kern w:val="2"/>
          <w:lang w:val="en-US"/>
        </w:rPr>
        <w:t>2</w:t>
      </w:r>
      <w:r w:rsidR="00CC4EAC" w:rsidRPr="00953770">
        <w:rPr>
          <w:rFonts w:eastAsia="SimSun"/>
          <w:kern w:val="2"/>
          <w:lang w:val="en-US"/>
        </w:rPr>
        <w:t xml:space="preserve"> </w:t>
      </w:r>
      <w:r w:rsidR="000406CC" w:rsidRPr="00953770">
        <w:rPr>
          <w:rFonts w:eastAsia="SimSun"/>
          <w:kern w:val="2"/>
          <w:lang w:val="en-US"/>
        </w:rPr>
        <w:tab/>
      </w:r>
      <w:r w:rsidR="00CC4EAC" w:rsidRPr="00953770">
        <w:rPr>
          <w:rFonts w:eastAsia="SimSun"/>
          <w:b/>
          <w:kern w:val="2"/>
          <w:lang w:val="en-US"/>
        </w:rPr>
        <w:t>Literature Review</w:t>
      </w:r>
      <w:r w:rsidR="00CC4EAC" w:rsidRPr="00953770">
        <w:rPr>
          <w:rFonts w:eastAsia="SimSun"/>
          <w:b/>
          <w:kern w:val="2"/>
          <w:lang w:val="en-US"/>
        </w:rPr>
        <w:tab/>
      </w:r>
      <w:r w:rsidR="00CC4EAC" w:rsidRPr="00953770">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173B8F">
        <w:rPr>
          <w:rFonts w:eastAsia="SimSun"/>
          <w:kern w:val="2"/>
          <w:lang w:val="en-US"/>
        </w:rPr>
        <w:tab/>
      </w:r>
      <w:r w:rsidR="008C52A3">
        <w:rPr>
          <w:rFonts w:eastAsia="SimSun"/>
          <w:kern w:val="2"/>
          <w:lang w:val="en-US"/>
        </w:rPr>
        <w:t xml:space="preserve">  1</w:t>
      </w:r>
      <w:r w:rsidR="00F2663A">
        <w:rPr>
          <w:rFonts w:eastAsia="SimSun"/>
          <w:kern w:val="2"/>
          <w:lang w:val="en-US"/>
        </w:rPr>
        <w:t>2</w:t>
      </w:r>
      <w:r w:rsidR="00CC4EAC" w:rsidRPr="00953770">
        <w:rPr>
          <w:rFonts w:eastAsia="SimSun"/>
          <w:kern w:val="2"/>
          <w:lang w:val="en-US"/>
        </w:rPr>
        <w:tab/>
      </w:r>
      <w:r w:rsidR="00CC4EAC" w:rsidRPr="00953770">
        <w:rPr>
          <w:rFonts w:eastAsia="SimSun"/>
          <w:kern w:val="2"/>
          <w:lang w:val="en-US"/>
        </w:rPr>
        <w:tab/>
      </w:r>
      <w:r w:rsidR="00CC4EAC" w:rsidRPr="00953770">
        <w:rPr>
          <w:rFonts w:eastAsia="SimSun"/>
          <w:kern w:val="2"/>
          <w:lang w:val="en-US"/>
        </w:rPr>
        <w:tab/>
      </w:r>
      <w:r w:rsidR="00CC4EAC" w:rsidRPr="00953770">
        <w:rPr>
          <w:rFonts w:eastAsia="SimSun"/>
          <w:kern w:val="2"/>
          <w:lang w:val="en-US"/>
        </w:rPr>
        <w:tab/>
      </w:r>
      <w:r w:rsidR="00CC4EAC" w:rsidRPr="00953770">
        <w:rPr>
          <w:rFonts w:eastAsia="SimSun"/>
          <w:kern w:val="2"/>
          <w:lang w:val="en-US"/>
        </w:rPr>
        <w:tab/>
      </w:r>
      <w:r w:rsidR="00CC4EAC" w:rsidRPr="00953770">
        <w:rPr>
          <w:rFonts w:eastAsia="SimSun"/>
          <w:kern w:val="2"/>
          <w:lang w:val="en-US"/>
        </w:rPr>
        <w:tab/>
      </w:r>
      <w:r w:rsidR="00CC4EAC" w:rsidRPr="00953770">
        <w:rPr>
          <w:rFonts w:eastAsia="SimSun"/>
          <w:kern w:val="2"/>
          <w:lang w:val="en-US"/>
        </w:rPr>
        <w:tab/>
      </w:r>
    </w:p>
    <w:p w14:paraId="41E01C41" w14:textId="77777777" w:rsidR="006214CB" w:rsidRDefault="0074494A" w:rsidP="000406CC">
      <w:pPr>
        <w:widowControl w:val="0"/>
        <w:ind w:left="1440" w:hanging="720"/>
        <w:rPr>
          <w:rFonts w:eastAsia="SimSun"/>
          <w:kern w:val="2"/>
          <w:lang w:val="en-US"/>
        </w:rPr>
      </w:pPr>
      <w:r>
        <w:rPr>
          <w:rFonts w:eastAsia="SimSun"/>
          <w:kern w:val="2"/>
          <w:lang w:val="en-US"/>
        </w:rPr>
        <w:t>2</w:t>
      </w:r>
      <w:r w:rsidR="00B66EE8" w:rsidRPr="00953770">
        <w:rPr>
          <w:rFonts w:eastAsia="SimSun"/>
          <w:kern w:val="2"/>
          <w:lang w:val="en-US"/>
        </w:rPr>
        <w:t xml:space="preserve">.1 </w:t>
      </w:r>
      <w:r w:rsidR="000406CC" w:rsidRPr="00953770">
        <w:rPr>
          <w:rFonts w:eastAsia="SimSun"/>
          <w:kern w:val="2"/>
          <w:lang w:val="en-US"/>
        </w:rPr>
        <w:tab/>
      </w:r>
      <w:r w:rsidR="00B66EE8" w:rsidRPr="00953770">
        <w:rPr>
          <w:rFonts w:eastAsia="SimSun"/>
          <w:kern w:val="2"/>
          <w:lang w:val="en-US"/>
        </w:rPr>
        <w:t xml:space="preserve">What Informational Role do </w:t>
      </w:r>
      <w:r w:rsidR="00E87583">
        <w:rPr>
          <w:rFonts w:eastAsia="SimSun"/>
          <w:kern w:val="2"/>
          <w:lang w:val="en-US"/>
        </w:rPr>
        <w:t>ETFs</w:t>
      </w:r>
      <w:r w:rsidR="00B66EE8" w:rsidRPr="00953770">
        <w:rPr>
          <w:rFonts w:eastAsia="SimSun"/>
          <w:kern w:val="2"/>
          <w:lang w:val="en-US"/>
        </w:rPr>
        <w:t xml:space="preserve"> Pl</w:t>
      </w:r>
      <w:r w:rsidR="006214CB">
        <w:rPr>
          <w:rFonts w:eastAsia="SimSun"/>
          <w:kern w:val="2"/>
          <w:lang w:val="en-US"/>
        </w:rPr>
        <w:t xml:space="preserve">ay in Price Discovery? </w:t>
      </w:r>
    </w:p>
    <w:p w14:paraId="0EE2C342" w14:textId="278B9B29" w:rsidR="00D05094" w:rsidRPr="00953770" w:rsidRDefault="006214CB" w:rsidP="000406CC">
      <w:pPr>
        <w:widowControl w:val="0"/>
        <w:ind w:left="1440" w:hanging="720"/>
        <w:rPr>
          <w:rFonts w:eastAsia="SimSun"/>
          <w:kern w:val="2"/>
          <w:lang w:val="en-US"/>
        </w:rPr>
      </w:pPr>
      <w:r>
        <w:rPr>
          <w:rFonts w:eastAsia="SimSun"/>
          <w:kern w:val="2"/>
          <w:lang w:val="en-US"/>
        </w:rPr>
        <w:t xml:space="preserve">            –</w:t>
      </w:r>
      <w:r w:rsidR="00B66EE8" w:rsidRPr="00953770">
        <w:rPr>
          <w:rFonts w:eastAsia="SimSun"/>
          <w:kern w:val="2"/>
          <w:lang w:val="en-US"/>
        </w:rPr>
        <w:t xml:space="preserve"> </w:t>
      </w:r>
      <w:r>
        <w:rPr>
          <w:rFonts w:eastAsia="SimSun"/>
          <w:kern w:val="2"/>
          <w:lang w:val="en-US"/>
        </w:rPr>
        <w:t xml:space="preserve">Summary </w:t>
      </w:r>
      <w:r w:rsidR="00B66EE8" w:rsidRPr="00953770">
        <w:rPr>
          <w:rFonts w:eastAsia="SimSun"/>
          <w:kern w:val="2"/>
          <w:lang w:val="en-US"/>
        </w:rPr>
        <w:t>Findings from the L</w:t>
      </w:r>
      <w:r w:rsidR="00A67268" w:rsidRPr="00953770">
        <w:rPr>
          <w:rFonts w:eastAsia="SimSun"/>
          <w:kern w:val="2"/>
          <w:lang w:val="en-US"/>
        </w:rPr>
        <w:t xml:space="preserve">iterature   </w:t>
      </w:r>
      <w:r w:rsidR="000406CC" w:rsidRPr="00953770">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Pr>
          <w:rFonts w:eastAsia="SimSun"/>
          <w:kern w:val="2"/>
          <w:lang w:val="en-US"/>
        </w:rPr>
        <w:tab/>
        <w:t xml:space="preserve">  </w:t>
      </w:r>
      <w:r w:rsidR="008C52A3">
        <w:rPr>
          <w:rFonts w:eastAsia="SimSun"/>
          <w:kern w:val="2"/>
          <w:lang w:val="en-US"/>
        </w:rPr>
        <w:t>1</w:t>
      </w:r>
      <w:r w:rsidR="00F2663A">
        <w:rPr>
          <w:rFonts w:eastAsia="SimSun"/>
          <w:kern w:val="2"/>
          <w:lang w:val="en-US"/>
        </w:rPr>
        <w:t>2</w:t>
      </w:r>
    </w:p>
    <w:p w14:paraId="45C49BBB" w14:textId="77777777" w:rsidR="000406CC" w:rsidRPr="00953770" w:rsidRDefault="000406CC" w:rsidP="000406CC">
      <w:pPr>
        <w:widowControl w:val="0"/>
        <w:ind w:left="720"/>
        <w:rPr>
          <w:rFonts w:eastAsia="SimSun"/>
          <w:kern w:val="2"/>
          <w:lang w:val="en-US"/>
        </w:rPr>
      </w:pPr>
    </w:p>
    <w:p w14:paraId="7754DC7B" w14:textId="04955A75" w:rsidR="006214CB" w:rsidRDefault="0074494A" w:rsidP="000406CC">
      <w:pPr>
        <w:widowControl w:val="0"/>
        <w:ind w:left="1440" w:hanging="720"/>
        <w:rPr>
          <w:rFonts w:eastAsia="SimSun"/>
          <w:kern w:val="2"/>
          <w:lang w:val="en-US"/>
        </w:rPr>
      </w:pPr>
      <w:r>
        <w:rPr>
          <w:rFonts w:eastAsia="SimSun"/>
          <w:kern w:val="2"/>
          <w:lang w:val="en-US"/>
        </w:rPr>
        <w:t>2</w:t>
      </w:r>
      <w:r w:rsidR="00B66EE8" w:rsidRPr="00953770">
        <w:rPr>
          <w:rFonts w:eastAsia="SimSun"/>
          <w:kern w:val="2"/>
          <w:lang w:val="en-US"/>
        </w:rPr>
        <w:t xml:space="preserve">.2 </w:t>
      </w:r>
      <w:r w:rsidR="000406CC" w:rsidRPr="00953770">
        <w:rPr>
          <w:rFonts w:eastAsia="SimSun"/>
          <w:kern w:val="2"/>
          <w:lang w:val="en-US"/>
        </w:rPr>
        <w:tab/>
      </w:r>
      <w:r w:rsidR="00B66EE8" w:rsidRPr="00953770">
        <w:rPr>
          <w:rFonts w:eastAsia="SimSun"/>
          <w:kern w:val="2"/>
          <w:lang w:val="en-US"/>
        </w:rPr>
        <w:t>Classical Methodologies used to Study the P</w:t>
      </w:r>
      <w:r w:rsidR="00A67268" w:rsidRPr="00953770">
        <w:rPr>
          <w:rFonts w:eastAsia="SimSun"/>
          <w:kern w:val="2"/>
          <w:lang w:val="en-US"/>
        </w:rPr>
        <w:t xml:space="preserve">rice </w:t>
      </w:r>
      <w:r w:rsidR="00B66EE8" w:rsidRPr="00953770">
        <w:rPr>
          <w:rFonts w:eastAsia="SimSun"/>
          <w:kern w:val="2"/>
          <w:lang w:val="en-US"/>
        </w:rPr>
        <w:t>Discovery</w:t>
      </w:r>
      <w:r w:rsidR="00D64B1E">
        <w:rPr>
          <w:rFonts w:eastAsia="SimSun"/>
          <w:kern w:val="2"/>
          <w:lang w:val="en-US"/>
        </w:rPr>
        <w:t>:</w:t>
      </w:r>
      <w:r w:rsidR="00B66EE8" w:rsidRPr="00953770">
        <w:rPr>
          <w:rFonts w:eastAsia="SimSun"/>
          <w:kern w:val="2"/>
          <w:lang w:val="en-US"/>
        </w:rPr>
        <w:t xml:space="preserve"> </w:t>
      </w:r>
    </w:p>
    <w:p w14:paraId="0FFE625F" w14:textId="028A7C9B" w:rsidR="00A67268" w:rsidRPr="00953770" w:rsidRDefault="006214CB" w:rsidP="000406CC">
      <w:pPr>
        <w:widowControl w:val="0"/>
        <w:ind w:left="1440" w:hanging="720"/>
        <w:rPr>
          <w:rFonts w:eastAsia="SimSun"/>
          <w:kern w:val="2"/>
          <w:lang w:val="en-US"/>
        </w:rPr>
      </w:pPr>
      <w:r>
        <w:rPr>
          <w:rFonts w:eastAsia="SimSun"/>
          <w:kern w:val="2"/>
          <w:lang w:val="en-US"/>
        </w:rPr>
        <w:t xml:space="preserve">            </w:t>
      </w:r>
      <w:r w:rsidR="00B66EE8" w:rsidRPr="00953770">
        <w:rPr>
          <w:rFonts w:eastAsia="SimSun"/>
          <w:kern w:val="2"/>
          <w:lang w:val="en-US"/>
        </w:rPr>
        <w:t>An E</w:t>
      </w:r>
      <w:r w:rsidR="00D64B1E">
        <w:rPr>
          <w:rFonts w:eastAsia="SimSun"/>
          <w:kern w:val="2"/>
          <w:lang w:val="en-US"/>
        </w:rPr>
        <w:t>valuation</w:t>
      </w:r>
      <w:r w:rsidR="00762126" w:rsidRPr="00953770">
        <w:rPr>
          <w:rFonts w:eastAsia="SimSun"/>
          <w:kern w:val="2"/>
          <w:lang w:val="en-US"/>
        </w:rPr>
        <w:t xml:space="preserve"> </w:t>
      </w:r>
      <w:r>
        <w:rPr>
          <w:rFonts w:eastAsia="SimSun"/>
          <w:kern w:val="2"/>
          <w:lang w:val="en-US"/>
        </w:rPr>
        <w:t xml:space="preserve">of </w:t>
      </w:r>
      <w:r w:rsidR="00762126" w:rsidRPr="00953770">
        <w:rPr>
          <w:rFonts w:eastAsia="SimSun"/>
          <w:kern w:val="2"/>
          <w:lang w:val="en-US"/>
        </w:rPr>
        <w:t>T</w:t>
      </w:r>
      <w:r w:rsidR="00B66EE8" w:rsidRPr="00953770">
        <w:rPr>
          <w:rFonts w:eastAsia="SimSun"/>
          <w:kern w:val="2"/>
          <w:lang w:val="en-US"/>
        </w:rPr>
        <w:t>heir Features and D</w:t>
      </w:r>
      <w:r w:rsidR="00B34AF0" w:rsidRPr="00953770">
        <w:rPr>
          <w:rFonts w:eastAsia="SimSun"/>
          <w:kern w:val="2"/>
          <w:lang w:val="en-US"/>
        </w:rPr>
        <w:t xml:space="preserve">rawbacks </w:t>
      </w:r>
      <w:r w:rsidR="0054761F">
        <w:rPr>
          <w:rFonts w:eastAsia="SimSun"/>
          <w:kern w:val="2"/>
          <w:lang w:val="en-US"/>
        </w:rPr>
        <w:tab/>
      </w:r>
      <w:r w:rsidR="0054761F">
        <w:rPr>
          <w:rFonts w:eastAsia="SimSun"/>
          <w:kern w:val="2"/>
          <w:lang w:val="en-US"/>
        </w:rPr>
        <w:tab/>
      </w:r>
      <w:r w:rsidR="0054761F">
        <w:rPr>
          <w:rFonts w:eastAsia="SimSun"/>
          <w:kern w:val="2"/>
          <w:lang w:val="en-US"/>
        </w:rPr>
        <w:tab/>
      </w:r>
      <w:r>
        <w:rPr>
          <w:rFonts w:eastAsia="SimSun"/>
          <w:kern w:val="2"/>
          <w:lang w:val="en-US"/>
        </w:rPr>
        <w:tab/>
        <w:t xml:space="preserve">  </w:t>
      </w:r>
      <w:r w:rsidR="008C52A3">
        <w:rPr>
          <w:rFonts w:eastAsia="SimSun"/>
          <w:kern w:val="2"/>
          <w:lang w:val="en-US"/>
        </w:rPr>
        <w:t>1</w:t>
      </w:r>
      <w:r w:rsidR="00F2663A">
        <w:rPr>
          <w:rFonts w:eastAsia="SimSun"/>
          <w:kern w:val="2"/>
          <w:lang w:val="en-US"/>
        </w:rPr>
        <w:t>6</w:t>
      </w:r>
    </w:p>
    <w:p w14:paraId="229734B2" w14:textId="77777777" w:rsidR="000406CC" w:rsidRPr="00953770" w:rsidRDefault="000406CC" w:rsidP="000406CC">
      <w:pPr>
        <w:widowControl w:val="0"/>
        <w:ind w:left="720"/>
        <w:rPr>
          <w:rFonts w:eastAsia="SimSun"/>
          <w:kern w:val="2"/>
          <w:lang w:val="en-US"/>
        </w:rPr>
      </w:pPr>
    </w:p>
    <w:p w14:paraId="463B2840" w14:textId="59119EE1" w:rsidR="00D64B1E" w:rsidRDefault="0074494A" w:rsidP="001D7C0D">
      <w:pPr>
        <w:widowControl w:val="0"/>
        <w:ind w:left="2160" w:hanging="720"/>
        <w:rPr>
          <w:rFonts w:eastAsia="SimSun"/>
          <w:kern w:val="2"/>
          <w:lang w:val="en-US"/>
        </w:rPr>
      </w:pPr>
      <w:r>
        <w:rPr>
          <w:rFonts w:eastAsia="SimSun"/>
          <w:kern w:val="2"/>
          <w:lang w:val="en-US"/>
        </w:rPr>
        <w:t>2</w:t>
      </w:r>
      <w:r w:rsidR="00B82FB2" w:rsidRPr="00953770">
        <w:rPr>
          <w:rFonts w:eastAsia="SimSun"/>
          <w:kern w:val="2"/>
          <w:lang w:val="en-US"/>
        </w:rPr>
        <w:t xml:space="preserve">.2.1 </w:t>
      </w:r>
      <w:r w:rsidR="000406CC" w:rsidRPr="00953770">
        <w:rPr>
          <w:rFonts w:eastAsia="SimSun"/>
          <w:kern w:val="2"/>
          <w:lang w:val="en-US"/>
        </w:rPr>
        <w:tab/>
      </w:r>
      <w:r w:rsidR="00B66EE8" w:rsidRPr="00953770">
        <w:rPr>
          <w:rFonts w:eastAsia="SimSun"/>
          <w:kern w:val="2"/>
          <w:lang w:val="en-US"/>
        </w:rPr>
        <w:t>Vector autoregressive (VAR) Rep</w:t>
      </w:r>
      <w:r w:rsidR="00D64B1E">
        <w:rPr>
          <w:rFonts w:eastAsia="SimSun"/>
          <w:kern w:val="2"/>
          <w:lang w:val="en-US"/>
        </w:rPr>
        <w:t xml:space="preserve">resentation of the Data </w:t>
      </w:r>
      <w:r w:rsidR="00B66EE8" w:rsidRPr="00953770">
        <w:rPr>
          <w:rFonts w:eastAsia="SimSun"/>
          <w:kern w:val="2"/>
          <w:lang w:val="en-US"/>
        </w:rPr>
        <w:t xml:space="preserve"> </w:t>
      </w:r>
    </w:p>
    <w:p w14:paraId="2D1092C1" w14:textId="0E1A7546" w:rsidR="00A67268" w:rsidRPr="00953770" w:rsidRDefault="00D64B1E" w:rsidP="00D64B1E">
      <w:pPr>
        <w:widowControl w:val="0"/>
        <w:ind w:left="2160"/>
        <w:rPr>
          <w:rFonts w:eastAsia="SimSun"/>
          <w:kern w:val="2"/>
          <w:lang w:val="en-US"/>
        </w:rPr>
      </w:pPr>
      <w:r>
        <w:rPr>
          <w:rFonts w:eastAsia="SimSun"/>
          <w:kern w:val="2"/>
          <w:lang w:val="en-US"/>
        </w:rPr>
        <w:t xml:space="preserve">to Purge </w:t>
      </w:r>
      <w:r w:rsidR="00B66EE8" w:rsidRPr="00953770">
        <w:rPr>
          <w:rFonts w:eastAsia="SimSun"/>
          <w:kern w:val="2"/>
          <w:lang w:val="en-US"/>
        </w:rPr>
        <w:t>Infrequent T</w:t>
      </w:r>
      <w:r w:rsidR="00A67268" w:rsidRPr="00953770">
        <w:rPr>
          <w:rFonts w:eastAsia="SimSun"/>
          <w:kern w:val="2"/>
          <w:lang w:val="en-US"/>
        </w:rPr>
        <w:t xml:space="preserve">rade </w:t>
      </w:r>
      <w:r w:rsidR="0054761F">
        <w:rPr>
          <w:rFonts w:eastAsia="SimSun"/>
          <w:kern w:val="2"/>
          <w:lang w:val="en-US"/>
        </w:rPr>
        <w:t xml:space="preserve"> </w:t>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Pr>
          <w:rFonts w:eastAsia="SimSun"/>
          <w:kern w:val="2"/>
          <w:lang w:val="en-US"/>
        </w:rPr>
        <w:tab/>
        <w:t xml:space="preserve">  </w:t>
      </w:r>
      <w:r w:rsidR="008C52A3">
        <w:rPr>
          <w:rFonts w:eastAsia="SimSun"/>
          <w:kern w:val="2"/>
          <w:lang w:val="en-US"/>
        </w:rPr>
        <w:t>1</w:t>
      </w:r>
      <w:r w:rsidR="00F2663A">
        <w:rPr>
          <w:rFonts w:eastAsia="SimSun"/>
          <w:kern w:val="2"/>
          <w:lang w:val="en-US"/>
        </w:rPr>
        <w:t>6</w:t>
      </w:r>
    </w:p>
    <w:p w14:paraId="1DCD4963" w14:textId="77777777" w:rsidR="000406CC" w:rsidRPr="00953770" w:rsidRDefault="000406CC" w:rsidP="001D7C0D">
      <w:pPr>
        <w:widowControl w:val="0"/>
        <w:ind w:left="720"/>
        <w:rPr>
          <w:rFonts w:eastAsia="SimSun"/>
          <w:kern w:val="2"/>
          <w:lang w:val="en-US"/>
        </w:rPr>
      </w:pPr>
    </w:p>
    <w:p w14:paraId="4122E3B7" w14:textId="77777777" w:rsidR="006214CB" w:rsidRDefault="0074494A" w:rsidP="001D7C0D">
      <w:pPr>
        <w:widowControl w:val="0"/>
        <w:ind w:left="2160" w:hanging="720"/>
        <w:rPr>
          <w:rFonts w:eastAsia="SimSun"/>
          <w:kern w:val="2"/>
          <w:lang w:val="en-US"/>
        </w:rPr>
      </w:pPr>
      <w:r>
        <w:rPr>
          <w:rFonts w:eastAsia="SimSun"/>
          <w:kern w:val="2"/>
          <w:lang w:val="en-US"/>
        </w:rPr>
        <w:t>2</w:t>
      </w:r>
      <w:r w:rsidR="00B82FB2" w:rsidRPr="00953770">
        <w:rPr>
          <w:rFonts w:eastAsia="SimSun"/>
          <w:kern w:val="2"/>
          <w:lang w:val="en-US"/>
        </w:rPr>
        <w:t xml:space="preserve">.2.2 </w:t>
      </w:r>
      <w:r w:rsidR="000406CC" w:rsidRPr="00953770">
        <w:rPr>
          <w:rFonts w:eastAsia="SimSun"/>
          <w:kern w:val="2"/>
          <w:lang w:val="en-US"/>
        </w:rPr>
        <w:tab/>
      </w:r>
      <w:r w:rsidR="00B66EE8" w:rsidRPr="00953770">
        <w:rPr>
          <w:rFonts w:eastAsia="SimSun"/>
          <w:kern w:val="2"/>
          <w:lang w:val="en-US"/>
        </w:rPr>
        <w:t>Error Correction Models (ECM</w:t>
      </w:r>
      <w:r w:rsidR="00F3163C">
        <w:rPr>
          <w:rFonts w:eastAsia="SimSun"/>
          <w:kern w:val="2"/>
          <w:lang w:val="en-US"/>
        </w:rPr>
        <w:t>’</w:t>
      </w:r>
      <w:r w:rsidR="00B66EE8" w:rsidRPr="00953770">
        <w:rPr>
          <w:rFonts w:eastAsia="SimSun"/>
          <w:kern w:val="2"/>
          <w:lang w:val="en-US"/>
        </w:rPr>
        <w:t xml:space="preserve">s) Approach to Fit Theoretical </w:t>
      </w:r>
    </w:p>
    <w:p w14:paraId="5F06152C" w14:textId="49926693" w:rsidR="00B34AF0" w:rsidRPr="00953770" w:rsidRDefault="006214CB" w:rsidP="001D7C0D">
      <w:pPr>
        <w:widowControl w:val="0"/>
        <w:ind w:left="2160" w:hanging="720"/>
        <w:rPr>
          <w:rFonts w:eastAsia="SimSun"/>
          <w:kern w:val="2"/>
          <w:lang w:val="en-US"/>
        </w:rPr>
      </w:pPr>
      <w:r>
        <w:rPr>
          <w:rFonts w:eastAsia="SimSun"/>
          <w:kern w:val="2"/>
          <w:lang w:val="en-US"/>
        </w:rPr>
        <w:t xml:space="preserve">            </w:t>
      </w:r>
      <w:r w:rsidR="00B66EE8" w:rsidRPr="00953770">
        <w:rPr>
          <w:rFonts w:eastAsia="SimSun"/>
          <w:kern w:val="2"/>
          <w:lang w:val="en-US"/>
        </w:rPr>
        <w:t>Cost-of-Carry R</w:t>
      </w:r>
      <w:r w:rsidR="00B34AF0" w:rsidRPr="00953770">
        <w:rPr>
          <w:rFonts w:eastAsia="SimSun"/>
          <w:kern w:val="2"/>
          <w:lang w:val="en-US"/>
        </w:rPr>
        <w:t>elation</w:t>
      </w:r>
      <w:r>
        <w:rPr>
          <w:rFonts w:eastAsia="SimSun"/>
          <w:kern w:val="2"/>
          <w:lang w:val="en-US"/>
        </w:rPr>
        <w:t xml:space="preserve"> </w:t>
      </w:r>
      <w:r>
        <w:rPr>
          <w:rFonts w:eastAsia="SimSun"/>
          <w:kern w:val="2"/>
          <w:lang w:val="en-US"/>
        </w:rPr>
        <w:tab/>
      </w:r>
      <w:r>
        <w:rPr>
          <w:rFonts w:eastAsia="SimSun"/>
          <w:kern w:val="2"/>
          <w:lang w:val="en-US"/>
        </w:rPr>
        <w:tab/>
      </w:r>
      <w:r>
        <w:rPr>
          <w:rFonts w:eastAsia="SimSun"/>
          <w:kern w:val="2"/>
          <w:lang w:val="en-US"/>
        </w:rPr>
        <w:tab/>
      </w:r>
      <w:r>
        <w:rPr>
          <w:rFonts w:eastAsia="SimSun"/>
          <w:kern w:val="2"/>
          <w:lang w:val="en-US"/>
        </w:rPr>
        <w:tab/>
      </w:r>
      <w:r>
        <w:rPr>
          <w:rFonts w:eastAsia="SimSun"/>
          <w:kern w:val="2"/>
          <w:lang w:val="en-US"/>
        </w:rPr>
        <w:tab/>
      </w:r>
      <w:r>
        <w:rPr>
          <w:rFonts w:eastAsia="SimSun"/>
          <w:kern w:val="2"/>
          <w:lang w:val="en-US"/>
        </w:rPr>
        <w:tab/>
        <w:t xml:space="preserve">  </w:t>
      </w:r>
      <w:r w:rsidR="008C52A3">
        <w:rPr>
          <w:rFonts w:eastAsia="SimSun"/>
          <w:kern w:val="2"/>
          <w:lang w:val="en-US"/>
        </w:rPr>
        <w:t>1</w:t>
      </w:r>
      <w:r w:rsidR="00F2663A">
        <w:rPr>
          <w:rFonts w:eastAsia="SimSun"/>
          <w:kern w:val="2"/>
          <w:lang w:val="en-US"/>
        </w:rPr>
        <w:t>7</w:t>
      </w:r>
    </w:p>
    <w:p w14:paraId="678521B2" w14:textId="77777777" w:rsidR="000406CC" w:rsidRPr="00953770" w:rsidRDefault="000406CC" w:rsidP="001D7C0D">
      <w:pPr>
        <w:widowControl w:val="0"/>
        <w:ind w:firstLine="720"/>
        <w:rPr>
          <w:rFonts w:eastAsia="SimSun"/>
          <w:kern w:val="2"/>
          <w:lang w:val="en-US"/>
        </w:rPr>
      </w:pPr>
    </w:p>
    <w:p w14:paraId="0BBFB4AD" w14:textId="5CE4B767" w:rsidR="00F35356" w:rsidRPr="00953770" w:rsidRDefault="0074494A" w:rsidP="001D7C0D">
      <w:pPr>
        <w:widowControl w:val="0"/>
        <w:ind w:left="2160" w:hanging="720"/>
        <w:rPr>
          <w:rFonts w:eastAsia="SimSun"/>
          <w:kern w:val="2"/>
          <w:lang w:val="en-US"/>
        </w:rPr>
      </w:pPr>
      <w:r>
        <w:rPr>
          <w:rFonts w:eastAsia="SimSun"/>
          <w:kern w:val="2"/>
          <w:lang w:val="en-US"/>
        </w:rPr>
        <w:t>2</w:t>
      </w:r>
      <w:r w:rsidR="00B82FB2" w:rsidRPr="00953770">
        <w:rPr>
          <w:rFonts w:eastAsia="SimSun"/>
          <w:kern w:val="2"/>
          <w:lang w:val="en-US"/>
        </w:rPr>
        <w:t xml:space="preserve">.2.3 </w:t>
      </w:r>
      <w:r w:rsidR="000406CC" w:rsidRPr="00953770">
        <w:rPr>
          <w:rFonts w:eastAsia="SimSun"/>
          <w:kern w:val="2"/>
          <w:lang w:val="en-US"/>
        </w:rPr>
        <w:tab/>
      </w:r>
      <w:r w:rsidR="00B66EE8" w:rsidRPr="00953770">
        <w:rPr>
          <w:rFonts w:eastAsia="SimSun"/>
          <w:kern w:val="2"/>
          <w:lang w:val="en-US"/>
        </w:rPr>
        <w:t>Information S</w:t>
      </w:r>
      <w:r w:rsidR="00F35356" w:rsidRPr="00953770">
        <w:rPr>
          <w:rFonts w:eastAsia="SimSun"/>
          <w:kern w:val="2"/>
          <w:lang w:val="en-US"/>
        </w:rPr>
        <w:t>ha</w:t>
      </w:r>
      <w:r w:rsidR="00B66EE8" w:rsidRPr="00953770">
        <w:rPr>
          <w:rFonts w:eastAsia="SimSun"/>
          <w:kern w:val="2"/>
          <w:lang w:val="en-US"/>
        </w:rPr>
        <w:t>re and Common Factor Decomposition M</w:t>
      </w:r>
      <w:r w:rsidR="00F35356" w:rsidRPr="00953770">
        <w:rPr>
          <w:rFonts w:eastAsia="SimSun"/>
          <w:kern w:val="2"/>
          <w:lang w:val="en-US"/>
        </w:rPr>
        <w:t>ethods</w:t>
      </w:r>
      <w:r w:rsidR="00B716BB">
        <w:rPr>
          <w:rFonts w:eastAsia="SimSun"/>
          <w:kern w:val="2"/>
          <w:lang w:val="en-US"/>
        </w:rPr>
        <w:t xml:space="preserve"> </w:t>
      </w:r>
      <w:r w:rsidR="00B716BB">
        <w:rPr>
          <w:rFonts w:eastAsia="SimSun"/>
          <w:kern w:val="2"/>
          <w:lang w:val="en-US"/>
        </w:rPr>
        <w:tab/>
      </w:r>
      <w:r w:rsidR="00D35462">
        <w:rPr>
          <w:rFonts w:eastAsia="SimSun"/>
          <w:kern w:val="2"/>
          <w:lang w:val="en-US"/>
        </w:rPr>
        <w:t xml:space="preserve">  </w:t>
      </w:r>
      <w:r w:rsidR="00F2663A">
        <w:rPr>
          <w:rFonts w:eastAsia="SimSun"/>
          <w:kern w:val="2"/>
          <w:lang w:val="en-US"/>
        </w:rPr>
        <w:t>20</w:t>
      </w:r>
    </w:p>
    <w:p w14:paraId="2C6F52B4" w14:textId="77777777" w:rsidR="000406CC" w:rsidRPr="00953770" w:rsidRDefault="000406CC" w:rsidP="000406CC">
      <w:pPr>
        <w:widowControl w:val="0"/>
        <w:rPr>
          <w:rFonts w:eastAsia="SimSun"/>
          <w:kern w:val="2"/>
          <w:lang w:val="en-US"/>
        </w:rPr>
      </w:pPr>
    </w:p>
    <w:p w14:paraId="0F3D8480" w14:textId="7F937396" w:rsidR="00817442" w:rsidRDefault="0074494A" w:rsidP="001D7C0D">
      <w:pPr>
        <w:widowControl w:val="0"/>
        <w:rPr>
          <w:rFonts w:eastAsia="SimSun"/>
          <w:b/>
          <w:kern w:val="2"/>
          <w:lang w:val="en-US"/>
        </w:rPr>
      </w:pPr>
      <w:r>
        <w:rPr>
          <w:rFonts w:eastAsia="SimSun"/>
          <w:kern w:val="2"/>
          <w:lang w:val="en-US"/>
        </w:rPr>
        <w:t>3</w:t>
      </w:r>
      <w:r w:rsidR="00B34AF0" w:rsidRPr="00953770">
        <w:rPr>
          <w:rFonts w:eastAsia="SimSun"/>
          <w:kern w:val="2"/>
          <w:lang w:val="en-US"/>
        </w:rPr>
        <w:t xml:space="preserve"> </w:t>
      </w:r>
      <w:r w:rsidR="000406CC" w:rsidRPr="00953770">
        <w:rPr>
          <w:rFonts w:eastAsia="SimSun"/>
          <w:kern w:val="2"/>
          <w:lang w:val="en-US"/>
        </w:rPr>
        <w:tab/>
      </w:r>
      <w:r w:rsidR="00B34AF0" w:rsidRPr="00953770">
        <w:rPr>
          <w:rFonts w:eastAsia="SimSun"/>
          <w:b/>
          <w:kern w:val="2"/>
          <w:lang w:val="en-US"/>
        </w:rPr>
        <w:t>D</w:t>
      </w:r>
      <w:r w:rsidR="00F35356" w:rsidRPr="00953770">
        <w:rPr>
          <w:rFonts w:eastAsia="SimSun"/>
          <w:b/>
          <w:kern w:val="2"/>
          <w:lang w:val="en-US"/>
        </w:rPr>
        <w:t>ata</w:t>
      </w:r>
      <w:r w:rsidR="000406CC" w:rsidRPr="00953770">
        <w:rPr>
          <w:rFonts w:eastAsia="SimSun"/>
          <w:b/>
          <w:kern w:val="2"/>
          <w:lang w:val="en-US"/>
        </w:rPr>
        <w:t xml:space="preserve"> </w:t>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173B8F">
        <w:rPr>
          <w:rFonts w:eastAsia="SimSun"/>
          <w:b/>
          <w:kern w:val="2"/>
          <w:lang w:val="en-US"/>
        </w:rPr>
        <w:tab/>
      </w:r>
      <w:r w:rsidR="00D35462">
        <w:rPr>
          <w:rFonts w:eastAsia="SimSun"/>
          <w:b/>
          <w:kern w:val="2"/>
          <w:lang w:val="en-US"/>
        </w:rPr>
        <w:t xml:space="preserve">  </w:t>
      </w:r>
      <w:r w:rsidR="0054761F" w:rsidRPr="0054761F">
        <w:rPr>
          <w:rFonts w:eastAsia="SimSun"/>
          <w:kern w:val="2"/>
          <w:lang w:val="en-US"/>
        </w:rPr>
        <w:t>2</w:t>
      </w:r>
      <w:r w:rsidR="00F2663A">
        <w:rPr>
          <w:rFonts w:eastAsia="SimSun"/>
          <w:kern w:val="2"/>
          <w:lang w:val="en-US"/>
        </w:rPr>
        <w:t>2</w:t>
      </w:r>
    </w:p>
    <w:p w14:paraId="00304234" w14:textId="77777777" w:rsidR="001D7C0D" w:rsidRDefault="001D7C0D" w:rsidP="001D7C0D">
      <w:pPr>
        <w:ind w:left="720"/>
        <w:jc w:val="both"/>
        <w:rPr>
          <w:rFonts w:eastAsia="SimSun"/>
          <w:kern w:val="2"/>
          <w:lang w:val="en-US"/>
        </w:rPr>
      </w:pPr>
    </w:p>
    <w:p w14:paraId="03029B30" w14:textId="0F5195B9" w:rsidR="0022341D" w:rsidRPr="0022341D" w:rsidRDefault="003A762D" w:rsidP="001D7C0D">
      <w:pPr>
        <w:ind w:left="720"/>
        <w:jc w:val="both"/>
        <w:rPr>
          <w:rFonts w:eastAsia="SimSun"/>
          <w:lang w:val="en-US"/>
        </w:rPr>
      </w:pPr>
      <w:r w:rsidRPr="0022341D">
        <w:rPr>
          <w:rFonts w:eastAsia="SimSun"/>
          <w:kern w:val="2"/>
          <w:lang w:val="en-US"/>
        </w:rPr>
        <w:t xml:space="preserve">3.1 </w:t>
      </w:r>
      <w:r w:rsidR="0022341D">
        <w:rPr>
          <w:rFonts w:eastAsia="SimSun"/>
          <w:kern w:val="2"/>
          <w:lang w:val="en-US"/>
        </w:rPr>
        <w:tab/>
      </w:r>
      <w:r w:rsidR="0022341D" w:rsidRPr="0022341D">
        <w:rPr>
          <w:rFonts w:eastAsia="SimSun"/>
          <w:lang w:val="en-US"/>
        </w:rPr>
        <w:t xml:space="preserve">Demeaned Process on Price Series </w:t>
      </w:r>
      <w:r w:rsidR="0022341D">
        <w:rPr>
          <w:rFonts w:eastAsia="SimSun"/>
          <w:lang w:val="en-US"/>
        </w:rPr>
        <w:tab/>
      </w:r>
      <w:r w:rsidR="0022341D">
        <w:rPr>
          <w:rFonts w:eastAsia="SimSun"/>
          <w:lang w:val="en-US"/>
        </w:rPr>
        <w:tab/>
      </w:r>
      <w:r w:rsidR="0022341D">
        <w:rPr>
          <w:rFonts w:eastAsia="SimSun"/>
          <w:lang w:val="en-US"/>
        </w:rPr>
        <w:tab/>
      </w:r>
      <w:r w:rsidR="0022341D">
        <w:rPr>
          <w:rFonts w:eastAsia="SimSun"/>
          <w:lang w:val="en-US"/>
        </w:rPr>
        <w:tab/>
      </w:r>
      <w:r w:rsidR="0022341D">
        <w:rPr>
          <w:rFonts w:eastAsia="SimSun"/>
          <w:lang w:val="en-US"/>
        </w:rPr>
        <w:tab/>
      </w:r>
      <w:r w:rsidR="00173B8F">
        <w:rPr>
          <w:rFonts w:eastAsia="SimSun"/>
          <w:lang w:val="en-US"/>
        </w:rPr>
        <w:tab/>
      </w:r>
      <w:r w:rsidR="00D35462">
        <w:rPr>
          <w:rFonts w:eastAsia="SimSun"/>
          <w:lang w:val="en-US"/>
        </w:rPr>
        <w:t xml:space="preserve">  </w:t>
      </w:r>
      <w:r w:rsidR="008C52A3">
        <w:rPr>
          <w:rFonts w:eastAsia="SimSun"/>
          <w:lang w:val="en-US"/>
        </w:rPr>
        <w:t>2</w:t>
      </w:r>
      <w:r w:rsidR="00F2663A">
        <w:rPr>
          <w:rFonts w:eastAsia="SimSun"/>
          <w:lang w:val="en-US"/>
        </w:rPr>
        <w:t>4</w:t>
      </w:r>
    </w:p>
    <w:p w14:paraId="3D3CE1F8" w14:textId="77777777" w:rsidR="002B6BD9" w:rsidRDefault="002B6BD9" w:rsidP="00E444C0">
      <w:pPr>
        <w:widowControl w:val="0"/>
        <w:ind w:firstLine="720"/>
        <w:rPr>
          <w:rFonts w:eastAsia="SimSun"/>
          <w:kern w:val="2"/>
          <w:highlight w:val="yellow"/>
          <w:lang w:val="en-US"/>
        </w:rPr>
      </w:pPr>
    </w:p>
    <w:p w14:paraId="7C98A5AE" w14:textId="5C80334C" w:rsidR="00E444C0" w:rsidRPr="00C22699" w:rsidRDefault="00E444C0" w:rsidP="00E444C0">
      <w:pPr>
        <w:widowControl w:val="0"/>
        <w:ind w:firstLine="720"/>
        <w:rPr>
          <w:rFonts w:eastAsia="SimSun"/>
          <w:iCs/>
          <w:kern w:val="2"/>
        </w:rPr>
      </w:pPr>
      <w:r w:rsidRPr="00C22699">
        <w:rPr>
          <w:rFonts w:eastAsia="SimSun"/>
          <w:kern w:val="2"/>
          <w:lang w:val="en-US"/>
        </w:rPr>
        <w:t>3.2</w:t>
      </w:r>
      <w:r w:rsidRPr="00C22699">
        <w:rPr>
          <w:rFonts w:eastAsia="SimSun"/>
          <w:i/>
          <w:kern w:val="2"/>
          <w:lang w:val="en-US"/>
        </w:rPr>
        <w:t xml:space="preserve"> </w:t>
      </w:r>
      <w:r w:rsidRPr="00C22699">
        <w:rPr>
          <w:rFonts w:eastAsia="SimSun"/>
          <w:i/>
          <w:kern w:val="2"/>
          <w:lang w:val="en-US"/>
        </w:rPr>
        <w:tab/>
      </w:r>
      <w:r w:rsidRPr="00C22699">
        <w:rPr>
          <w:rFonts w:eastAsia="SimSun"/>
          <w:iCs/>
          <w:kern w:val="2"/>
        </w:rPr>
        <w:t xml:space="preserve">Why a </w:t>
      </w:r>
      <w:r w:rsidR="00FD56E1" w:rsidRPr="00C22699">
        <w:rPr>
          <w:rFonts w:eastAsia="SimSun"/>
          <w:iCs/>
          <w:kern w:val="2"/>
        </w:rPr>
        <w:t>S</w:t>
      </w:r>
      <w:r w:rsidRPr="00C22699">
        <w:rPr>
          <w:rFonts w:eastAsia="SimSun"/>
          <w:iCs/>
          <w:kern w:val="2"/>
        </w:rPr>
        <w:t xml:space="preserve">ample </w:t>
      </w:r>
      <w:r w:rsidR="00FD56E1" w:rsidRPr="00C22699">
        <w:rPr>
          <w:rFonts w:eastAsia="SimSun"/>
          <w:iCs/>
          <w:kern w:val="2"/>
        </w:rPr>
        <w:t>E</w:t>
      </w:r>
      <w:r w:rsidRPr="00C22699">
        <w:rPr>
          <w:rFonts w:eastAsia="SimSun"/>
          <w:iCs/>
          <w:kern w:val="2"/>
        </w:rPr>
        <w:t xml:space="preserve">nding in 2013, </w:t>
      </w:r>
      <w:r w:rsidR="004C02E8" w:rsidRPr="00C22699">
        <w:rPr>
          <w:rFonts w:eastAsia="SimSun"/>
          <w:iCs/>
          <w:kern w:val="2"/>
        </w:rPr>
        <w:t>d</w:t>
      </w:r>
      <w:r w:rsidRPr="00C22699">
        <w:rPr>
          <w:rFonts w:eastAsia="SimSun"/>
          <w:iCs/>
          <w:kern w:val="2"/>
        </w:rPr>
        <w:t xml:space="preserve">ue to </w:t>
      </w:r>
      <w:r w:rsidR="00FD56E1" w:rsidRPr="00C22699">
        <w:rPr>
          <w:rFonts w:eastAsia="SimSun"/>
          <w:iCs/>
          <w:kern w:val="2"/>
        </w:rPr>
        <w:t>D</w:t>
      </w:r>
      <w:r w:rsidRPr="00C22699">
        <w:rPr>
          <w:rFonts w:eastAsia="SimSun"/>
          <w:iCs/>
          <w:kern w:val="2"/>
        </w:rPr>
        <w:t xml:space="preserve">ata </w:t>
      </w:r>
      <w:r w:rsidR="00FD56E1" w:rsidRPr="00C22699">
        <w:rPr>
          <w:rFonts w:eastAsia="SimSun"/>
          <w:iCs/>
          <w:kern w:val="2"/>
        </w:rPr>
        <w:t>R</w:t>
      </w:r>
      <w:r w:rsidRPr="00C22699">
        <w:rPr>
          <w:rFonts w:eastAsia="SimSun"/>
          <w:iCs/>
          <w:kern w:val="2"/>
        </w:rPr>
        <w:t xml:space="preserve">estrictions, is </w:t>
      </w:r>
      <w:r w:rsidR="00FD56E1" w:rsidRPr="00C22699">
        <w:rPr>
          <w:rFonts w:eastAsia="SimSun"/>
          <w:iCs/>
          <w:kern w:val="2"/>
        </w:rPr>
        <w:t>R</w:t>
      </w:r>
      <w:r w:rsidRPr="00C22699">
        <w:rPr>
          <w:rFonts w:eastAsia="SimSun"/>
          <w:iCs/>
          <w:kern w:val="2"/>
        </w:rPr>
        <w:t xml:space="preserve">elevant </w:t>
      </w:r>
    </w:p>
    <w:p w14:paraId="0718F80E" w14:textId="3470278D" w:rsidR="00E444C0" w:rsidRPr="00C22699" w:rsidRDefault="00E444C0" w:rsidP="00E444C0">
      <w:pPr>
        <w:widowControl w:val="0"/>
        <w:ind w:left="720" w:firstLine="720"/>
        <w:rPr>
          <w:rFonts w:eastAsia="SimSun"/>
          <w:iCs/>
          <w:kern w:val="2"/>
        </w:rPr>
      </w:pPr>
      <w:r w:rsidRPr="00C22699">
        <w:rPr>
          <w:rFonts w:eastAsia="SimSun"/>
          <w:iCs/>
          <w:kern w:val="2"/>
        </w:rPr>
        <w:t>for 2018?</w:t>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FF0E22" w:rsidRPr="00C22699">
        <w:rPr>
          <w:rFonts w:eastAsia="SimSun"/>
          <w:iCs/>
          <w:kern w:val="2"/>
        </w:rPr>
        <w:tab/>
      </w:r>
      <w:r w:rsidR="0058067F">
        <w:rPr>
          <w:rFonts w:eastAsia="SimSun"/>
          <w:iCs/>
          <w:kern w:val="2"/>
        </w:rPr>
        <w:t xml:space="preserve">  </w:t>
      </w:r>
      <w:r w:rsidR="00FF0E22" w:rsidRPr="00C22699">
        <w:rPr>
          <w:rFonts w:eastAsia="SimSun"/>
          <w:iCs/>
          <w:kern w:val="2"/>
        </w:rPr>
        <w:t>25</w:t>
      </w:r>
    </w:p>
    <w:p w14:paraId="63F0DDAB" w14:textId="77777777" w:rsidR="00E444C0" w:rsidRDefault="00E444C0" w:rsidP="00E444C0">
      <w:pPr>
        <w:widowControl w:val="0"/>
        <w:rPr>
          <w:rFonts w:eastAsia="DengXian"/>
          <w:highlight w:val="yellow"/>
        </w:rPr>
      </w:pPr>
    </w:p>
    <w:p w14:paraId="2A74C5E2" w14:textId="1CE6FD69" w:rsidR="00E444C0" w:rsidRPr="004C02E8" w:rsidRDefault="00E444C0" w:rsidP="00FD56E1">
      <w:pPr>
        <w:ind w:left="720" w:firstLine="720"/>
      </w:pPr>
      <w:r w:rsidRPr="004C02E8">
        <w:t>Table 1 European ETFs Growth 2008–2018</w:t>
      </w:r>
      <w:r w:rsidR="00FF0E22">
        <w:tab/>
      </w:r>
      <w:r w:rsidR="00FF0E22">
        <w:tab/>
      </w:r>
      <w:r w:rsidR="00FF0E22">
        <w:tab/>
      </w:r>
      <w:r w:rsidR="00FF0E22">
        <w:tab/>
      </w:r>
      <w:r w:rsidR="00FF0E22">
        <w:tab/>
        <w:t>26</w:t>
      </w:r>
    </w:p>
    <w:p w14:paraId="5CD843FE" w14:textId="77777777" w:rsidR="00E444C0" w:rsidRPr="004C02E8" w:rsidRDefault="00E444C0" w:rsidP="00E444C0">
      <w:pPr>
        <w:widowControl w:val="0"/>
        <w:rPr>
          <w:rFonts w:eastAsia="DengXian"/>
          <w:lang w:val="en-US"/>
        </w:rPr>
      </w:pPr>
    </w:p>
    <w:p w14:paraId="6FB55FC1" w14:textId="10154FA3" w:rsidR="00E444C0" w:rsidRPr="00C22699" w:rsidRDefault="00E444C0" w:rsidP="00E444C0">
      <w:pPr>
        <w:widowControl w:val="0"/>
        <w:ind w:left="1440"/>
        <w:rPr>
          <w:rFonts w:eastAsia="DengXian"/>
          <w:lang w:val="en-US"/>
        </w:rPr>
      </w:pPr>
      <w:r w:rsidRPr="00C22699">
        <w:rPr>
          <w:rFonts w:eastAsia="DengXian"/>
          <w:lang w:val="en-US"/>
        </w:rPr>
        <w:t xml:space="preserve">3.2.1 </w:t>
      </w:r>
      <w:r w:rsidRPr="00C22699">
        <w:rPr>
          <w:rFonts w:eastAsia="DengXian"/>
          <w:lang w:val="en-US"/>
        </w:rPr>
        <w:tab/>
        <w:t xml:space="preserve">Some </w:t>
      </w:r>
      <w:r w:rsidR="00FD56E1" w:rsidRPr="00C22699">
        <w:rPr>
          <w:rFonts w:eastAsia="DengXian"/>
          <w:lang w:val="en-US"/>
        </w:rPr>
        <w:t>F</w:t>
      </w:r>
      <w:r w:rsidRPr="00C22699">
        <w:rPr>
          <w:rFonts w:eastAsia="DengXian"/>
          <w:lang w:val="en-US"/>
        </w:rPr>
        <w:t xml:space="preserve">urther </w:t>
      </w:r>
      <w:r w:rsidR="00FD56E1" w:rsidRPr="00C22699">
        <w:rPr>
          <w:rFonts w:eastAsia="DengXian"/>
          <w:lang w:val="en-US"/>
        </w:rPr>
        <w:t>I</w:t>
      </w:r>
      <w:r w:rsidRPr="00C22699">
        <w:rPr>
          <w:rFonts w:eastAsia="DengXian"/>
          <w:lang w:val="en-US"/>
        </w:rPr>
        <w:t xml:space="preserve">nvestigation on the </w:t>
      </w:r>
      <w:r w:rsidR="00FD56E1" w:rsidRPr="00C22699">
        <w:rPr>
          <w:rFonts w:eastAsia="DengXian"/>
          <w:lang w:val="en-US"/>
        </w:rPr>
        <w:t>P</w:t>
      </w:r>
      <w:r w:rsidRPr="00C22699">
        <w:rPr>
          <w:rFonts w:eastAsia="DengXian"/>
          <w:lang w:val="en-US"/>
        </w:rPr>
        <w:t xml:space="preserve">ost-2013 </w:t>
      </w:r>
      <w:r w:rsidR="00FD56E1" w:rsidRPr="00C22699">
        <w:rPr>
          <w:rFonts w:eastAsia="DengXian"/>
          <w:lang w:val="en-US"/>
        </w:rPr>
        <w:t>P</w:t>
      </w:r>
      <w:r w:rsidRPr="00C22699">
        <w:rPr>
          <w:rFonts w:eastAsia="DengXian"/>
          <w:lang w:val="en-US"/>
        </w:rPr>
        <w:t xml:space="preserve">ublications </w:t>
      </w:r>
    </w:p>
    <w:p w14:paraId="1C277251" w14:textId="5DA37C27" w:rsidR="00E444C0" w:rsidRPr="00C22699" w:rsidRDefault="00E444C0" w:rsidP="00E444C0">
      <w:pPr>
        <w:widowControl w:val="0"/>
        <w:ind w:left="1440" w:firstLine="720"/>
        <w:rPr>
          <w:rFonts w:eastAsia="SimSun"/>
          <w:iCs/>
          <w:kern w:val="2"/>
        </w:rPr>
      </w:pPr>
      <w:r w:rsidRPr="00C22699">
        <w:rPr>
          <w:rFonts w:eastAsia="DengXian"/>
          <w:lang w:val="en-US"/>
        </w:rPr>
        <w:t xml:space="preserve">that </w:t>
      </w:r>
      <w:r w:rsidR="002B6BD9" w:rsidRPr="00C22699">
        <w:rPr>
          <w:rFonts w:eastAsia="DengXian"/>
          <w:lang w:val="en-US"/>
        </w:rPr>
        <w:t>u</w:t>
      </w:r>
      <w:r w:rsidRPr="00C22699">
        <w:rPr>
          <w:rFonts w:eastAsia="DengXian"/>
          <w:lang w:val="en-US"/>
        </w:rPr>
        <w:t xml:space="preserve">se ETFs </w:t>
      </w:r>
      <w:r w:rsidR="00FD56E1" w:rsidRPr="00C22699">
        <w:rPr>
          <w:rFonts w:eastAsia="DengXian"/>
          <w:lang w:val="en-US"/>
        </w:rPr>
        <w:t>D</w:t>
      </w:r>
      <w:r w:rsidRPr="00C22699">
        <w:rPr>
          <w:rFonts w:eastAsia="DengXian"/>
          <w:lang w:val="en-US"/>
        </w:rPr>
        <w:t>ata</w:t>
      </w:r>
      <w:r w:rsidR="00FF0E22" w:rsidRPr="00C22699">
        <w:rPr>
          <w:rFonts w:eastAsia="DengXian"/>
          <w:lang w:val="en-US"/>
        </w:rPr>
        <w:tab/>
      </w:r>
      <w:r w:rsidR="00FF0E22" w:rsidRPr="00C22699">
        <w:rPr>
          <w:rFonts w:eastAsia="DengXian"/>
          <w:lang w:val="en-US"/>
        </w:rPr>
        <w:tab/>
      </w:r>
      <w:r w:rsidR="00FF0E22" w:rsidRPr="00C22699">
        <w:rPr>
          <w:rFonts w:eastAsia="DengXian"/>
          <w:lang w:val="en-US"/>
        </w:rPr>
        <w:tab/>
      </w:r>
      <w:r w:rsidR="00FF0E22" w:rsidRPr="00C22699">
        <w:rPr>
          <w:rFonts w:eastAsia="DengXian"/>
          <w:lang w:val="en-US"/>
        </w:rPr>
        <w:tab/>
      </w:r>
      <w:r w:rsidR="00FF0E22" w:rsidRPr="00C22699">
        <w:rPr>
          <w:rFonts w:eastAsia="DengXian"/>
          <w:lang w:val="en-US"/>
        </w:rPr>
        <w:tab/>
      </w:r>
      <w:r w:rsidR="00FF0E22" w:rsidRPr="00C22699">
        <w:rPr>
          <w:rFonts w:eastAsia="DengXian"/>
          <w:lang w:val="en-US"/>
        </w:rPr>
        <w:tab/>
      </w:r>
      <w:r w:rsidR="00FF0E22" w:rsidRPr="00C22699">
        <w:rPr>
          <w:rFonts w:eastAsia="DengXian"/>
          <w:lang w:val="en-US"/>
        </w:rPr>
        <w:tab/>
        <w:t>31</w:t>
      </w:r>
    </w:p>
    <w:p w14:paraId="2FB0085C" w14:textId="77777777" w:rsidR="00FD56E1" w:rsidRDefault="00FD56E1" w:rsidP="00E444C0">
      <w:pPr>
        <w:widowControl w:val="0"/>
        <w:ind w:left="1440"/>
        <w:rPr>
          <w:rFonts w:eastAsia="DengXian"/>
          <w:highlight w:val="yellow"/>
          <w:lang w:val="en-US"/>
        </w:rPr>
      </w:pPr>
    </w:p>
    <w:p w14:paraId="30594300" w14:textId="0874CE7C" w:rsidR="00E444C0" w:rsidRPr="004C02E8" w:rsidRDefault="00E444C0" w:rsidP="00E444C0">
      <w:pPr>
        <w:widowControl w:val="0"/>
        <w:ind w:left="1440"/>
        <w:rPr>
          <w:rFonts w:eastAsia="DengXian"/>
          <w:lang w:val="en-US"/>
        </w:rPr>
      </w:pPr>
      <w:r w:rsidRPr="004C02E8">
        <w:rPr>
          <w:rFonts w:eastAsia="DengXian"/>
          <w:lang w:val="en-US"/>
        </w:rPr>
        <w:t xml:space="preserve">Table 2 Some </w:t>
      </w:r>
      <w:r w:rsidR="00FD56E1" w:rsidRPr="004C02E8">
        <w:rPr>
          <w:rFonts w:eastAsia="DengXian"/>
          <w:lang w:val="en-US"/>
        </w:rPr>
        <w:t>F</w:t>
      </w:r>
      <w:r w:rsidRPr="004C02E8">
        <w:rPr>
          <w:rFonts w:eastAsia="DengXian"/>
          <w:lang w:val="en-US"/>
        </w:rPr>
        <w:t xml:space="preserve">urther </w:t>
      </w:r>
      <w:r w:rsidR="00FD56E1" w:rsidRPr="004C02E8">
        <w:rPr>
          <w:rFonts w:eastAsia="DengXian"/>
          <w:lang w:val="en-US"/>
        </w:rPr>
        <w:t>I</w:t>
      </w:r>
      <w:r w:rsidRPr="004C02E8">
        <w:rPr>
          <w:rFonts w:eastAsia="DengXian"/>
          <w:lang w:val="en-US"/>
        </w:rPr>
        <w:t xml:space="preserve">nvestigation on the </w:t>
      </w:r>
      <w:r w:rsidR="00FD56E1" w:rsidRPr="004C02E8">
        <w:rPr>
          <w:rFonts w:eastAsia="DengXian"/>
          <w:lang w:val="en-US"/>
        </w:rPr>
        <w:t>P</w:t>
      </w:r>
      <w:r w:rsidRPr="004C02E8">
        <w:rPr>
          <w:rFonts w:eastAsia="DengXian"/>
          <w:lang w:val="en-US"/>
        </w:rPr>
        <w:t xml:space="preserve">ost-2013 </w:t>
      </w:r>
      <w:r w:rsidR="00FD56E1" w:rsidRPr="004C02E8">
        <w:rPr>
          <w:rFonts w:eastAsia="DengXian"/>
          <w:lang w:val="en-US"/>
        </w:rPr>
        <w:t>P</w:t>
      </w:r>
      <w:r w:rsidRPr="004C02E8">
        <w:rPr>
          <w:rFonts w:eastAsia="DengXian"/>
          <w:lang w:val="en-US"/>
        </w:rPr>
        <w:t xml:space="preserve">ublications </w:t>
      </w:r>
    </w:p>
    <w:p w14:paraId="6B6C2BF7" w14:textId="71123E2E" w:rsidR="00E444C0" w:rsidRPr="004C02E8" w:rsidRDefault="00E444C0" w:rsidP="00081414">
      <w:pPr>
        <w:widowControl w:val="0"/>
        <w:ind w:left="720" w:firstLine="720"/>
        <w:rPr>
          <w:rFonts w:eastAsia="SimSun"/>
          <w:iCs/>
          <w:kern w:val="2"/>
        </w:rPr>
      </w:pPr>
      <w:r w:rsidRPr="004C02E8">
        <w:rPr>
          <w:rFonts w:eastAsia="DengXian"/>
          <w:lang w:val="en-US"/>
        </w:rPr>
        <w:t xml:space="preserve">that </w:t>
      </w:r>
      <w:r w:rsidR="002B6BD9">
        <w:rPr>
          <w:rFonts w:eastAsia="DengXian"/>
          <w:lang w:val="en-US"/>
        </w:rPr>
        <w:t>u</w:t>
      </w:r>
      <w:r w:rsidRPr="004C02E8">
        <w:rPr>
          <w:rFonts w:eastAsia="DengXian"/>
          <w:lang w:val="en-US"/>
        </w:rPr>
        <w:t xml:space="preserve">se ETFs </w:t>
      </w:r>
      <w:r w:rsidR="00FD56E1" w:rsidRPr="004C02E8">
        <w:rPr>
          <w:rFonts w:eastAsia="DengXian"/>
          <w:lang w:val="en-US"/>
        </w:rPr>
        <w:t>D</w:t>
      </w:r>
      <w:r w:rsidRPr="004C02E8">
        <w:rPr>
          <w:rFonts w:eastAsia="DengXian"/>
          <w:lang w:val="en-US"/>
        </w:rPr>
        <w:t>ata</w:t>
      </w:r>
      <w:r w:rsidR="00FF0E22">
        <w:rPr>
          <w:rFonts w:eastAsia="DengXian"/>
          <w:lang w:val="en-US"/>
        </w:rPr>
        <w:tab/>
      </w:r>
      <w:r w:rsidR="00FF0E22">
        <w:rPr>
          <w:rFonts w:eastAsia="DengXian"/>
          <w:lang w:val="en-US"/>
        </w:rPr>
        <w:tab/>
      </w:r>
      <w:r w:rsidR="00FF0E22">
        <w:rPr>
          <w:rFonts w:eastAsia="DengXian"/>
          <w:lang w:val="en-US"/>
        </w:rPr>
        <w:tab/>
      </w:r>
      <w:r w:rsidR="00FF0E22">
        <w:rPr>
          <w:rFonts w:eastAsia="DengXian"/>
          <w:lang w:val="en-US"/>
        </w:rPr>
        <w:tab/>
      </w:r>
      <w:r w:rsidR="00FF0E22">
        <w:rPr>
          <w:rFonts w:eastAsia="DengXian"/>
          <w:lang w:val="en-US"/>
        </w:rPr>
        <w:tab/>
      </w:r>
      <w:r w:rsidR="00FF0E22">
        <w:rPr>
          <w:rFonts w:eastAsia="DengXian"/>
          <w:lang w:val="en-US"/>
        </w:rPr>
        <w:tab/>
      </w:r>
      <w:r w:rsidR="00FF0E22">
        <w:rPr>
          <w:rFonts w:eastAsia="DengXian"/>
          <w:lang w:val="en-US"/>
        </w:rPr>
        <w:tab/>
      </w:r>
      <w:r w:rsidR="00FF0E22">
        <w:rPr>
          <w:rFonts w:eastAsia="DengXian"/>
          <w:lang w:val="en-US"/>
        </w:rPr>
        <w:tab/>
        <w:t>32</w:t>
      </w:r>
    </w:p>
    <w:p w14:paraId="54E38167" w14:textId="2BEF6230" w:rsidR="003A762D" w:rsidRPr="00C9620C" w:rsidRDefault="003A762D" w:rsidP="00C9620C">
      <w:pPr>
        <w:widowControl w:val="0"/>
        <w:ind w:firstLine="720"/>
        <w:rPr>
          <w:rFonts w:eastAsia="SimSun"/>
          <w:kern w:val="2"/>
          <w:lang w:val="en-US"/>
        </w:rPr>
      </w:pPr>
    </w:p>
    <w:p w14:paraId="57607CC5" w14:textId="528A4B1C" w:rsidR="00762126" w:rsidRPr="00953770" w:rsidRDefault="00817442" w:rsidP="001D7C0D">
      <w:pPr>
        <w:widowControl w:val="0"/>
        <w:rPr>
          <w:rFonts w:eastAsia="SimSun"/>
          <w:b/>
          <w:kern w:val="2"/>
          <w:lang w:val="en-US"/>
        </w:rPr>
      </w:pPr>
      <w:r w:rsidRPr="00817442">
        <w:rPr>
          <w:rFonts w:eastAsia="SimSun"/>
          <w:kern w:val="2"/>
          <w:lang w:val="en-US"/>
        </w:rPr>
        <w:t xml:space="preserve">4 </w:t>
      </w:r>
      <w:r>
        <w:rPr>
          <w:rFonts w:eastAsia="SimSun"/>
          <w:b/>
          <w:kern w:val="2"/>
          <w:lang w:val="en-US"/>
        </w:rPr>
        <w:tab/>
        <w:t>Methodology</w:t>
      </w:r>
      <w:r w:rsidR="00D05094" w:rsidRPr="00953770">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173B8F">
        <w:rPr>
          <w:rFonts w:eastAsia="SimSun"/>
          <w:b/>
          <w:kern w:val="2"/>
          <w:lang w:val="en-US"/>
        </w:rPr>
        <w:tab/>
      </w:r>
      <w:r w:rsidR="00F2663A" w:rsidRPr="00F2663A">
        <w:rPr>
          <w:rFonts w:eastAsia="SimSun"/>
          <w:kern w:val="2"/>
          <w:lang w:val="en-US"/>
        </w:rPr>
        <w:t>33</w:t>
      </w:r>
    </w:p>
    <w:p w14:paraId="4C24CD6F" w14:textId="77777777" w:rsidR="00B72CBE" w:rsidRDefault="00B72CBE" w:rsidP="001D7C0D">
      <w:pPr>
        <w:widowControl w:val="0"/>
        <w:ind w:firstLine="720"/>
        <w:rPr>
          <w:rFonts w:eastAsia="SimSun"/>
          <w:color w:val="000000" w:themeColor="text1"/>
          <w:kern w:val="2"/>
          <w:lang w:val="en-US"/>
        </w:rPr>
      </w:pPr>
    </w:p>
    <w:p w14:paraId="590AB49E" w14:textId="05190844" w:rsidR="000406CC" w:rsidRDefault="00817442" w:rsidP="001D7C0D">
      <w:pPr>
        <w:widowControl w:val="0"/>
        <w:ind w:firstLine="720"/>
        <w:rPr>
          <w:rFonts w:eastAsia="SimSun"/>
          <w:color w:val="000000" w:themeColor="text1"/>
          <w:kern w:val="2"/>
          <w:lang w:val="en-US"/>
        </w:rPr>
      </w:pPr>
      <w:r>
        <w:rPr>
          <w:rFonts w:eastAsia="SimSun"/>
          <w:color w:val="000000" w:themeColor="text1"/>
          <w:kern w:val="2"/>
          <w:lang w:val="en-US"/>
        </w:rPr>
        <w:t xml:space="preserve">4.1 </w:t>
      </w:r>
      <w:r w:rsidR="00265843">
        <w:rPr>
          <w:rFonts w:eastAsia="SimSun"/>
          <w:color w:val="000000" w:themeColor="text1"/>
          <w:kern w:val="2"/>
          <w:lang w:val="en-US"/>
        </w:rPr>
        <w:tab/>
      </w:r>
      <w:r>
        <w:rPr>
          <w:rFonts w:eastAsia="SimSun"/>
          <w:color w:val="000000" w:themeColor="text1"/>
          <w:kern w:val="2"/>
          <w:lang w:val="en-US"/>
        </w:rPr>
        <w:t>Hasbrouck (1995) Information Share Method</w:t>
      </w:r>
      <w:r w:rsidR="006C7942">
        <w:rPr>
          <w:rFonts w:eastAsia="SimSun"/>
          <w:color w:val="000000" w:themeColor="text1"/>
          <w:kern w:val="2"/>
          <w:lang w:val="en-US"/>
        </w:rPr>
        <w:t xml:space="preserve"> </w:t>
      </w:r>
      <w:r w:rsidR="006C7942">
        <w:rPr>
          <w:rFonts w:eastAsia="SimSun"/>
          <w:color w:val="000000" w:themeColor="text1"/>
          <w:kern w:val="2"/>
          <w:lang w:val="en-US"/>
        </w:rPr>
        <w:tab/>
      </w:r>
      <w:r w:rsidR="006C7942">
        <w:rPr>
          <w:rFonts w:eastAsia="SimSun"/>
          <w:color w:val="000000" w:themeColor="text1"/>
          <w:kern w:val="2"/>
          <w:lang w:val="en-US"/>
        </w:rPr>
        <w:tab/>
      </w:r>
      <w:r w:rsidR="006C7942">
        <w:rPr>
          <w:rFonts w:eastAsia="SimSun"/>
          <w:color w:val="000000" w:themeColor="text1"/>
          <w:kern w:val="2"/>
          <w:lang w:val="en-US"/>
        </w:rPr>
        <w:tab/>
      </w:r>
      <w:r w:rsidR="006C7942">
        <w:rPr>
          <w:rFonts w:eastAsia="SimSun"/>
          <w:color w:val="000000" w:themeColor="text1"/>
          <w:kern w:val="2"/>
          <w:lang w:val="en-US"/>
        </w:rPr>
        <w:tab/>
      </w:r>
      <w:r w:rsidR="00F2663A">
        <w:rPr>
          <w:rFonts w:eastAsia="SimSun"/>
          <w:color w:val="000000" w:themeColor="text1"/>
          <w:kern w:val="2"/>
          <w:lang w:val="en-US"/>
        </w:rPr>
        <w:t>34</w:t>
      </w:r>
    </w:p>
    <w:p w14:paraId="56687C56" w14:textId="77777777" w:rsidR="001D7C0D" w:rsidRDefault="001D7C0D" w:rsidP="001D7C0D">
      <w:pPr>
        <w:widowControl w:val="0"/>
        <w:ind w:firstLine="720"/>
        <w:jc w:val="both"/>
        <w:rPr>
          <w:rFonts w:eastAsia="SimSun"/>
          <w:color w:val="000000" w:themeColor="text1"/>
          <w:kern w:val="2"/>
          <w:lang w:val="en-US"/>
        </w:rPr>
      </w:pPr>
    </w:p>
    <w:p w14:paraId="3F8BDC35" w14:textId="2C5EDDF0" w:rsidR="00817442" w:rsidRPr="00B72CBE" w:rsidRDefault="00817442" w:rsidP="001D7C0D">
      <w:pPr>
        <w:widowControl w:val="0"/>
        <w:ind w:firstLine="720"/>
        <w:jc w:val="both"/>
        <w:rPr>
          <w:rFonts w:ascii="Times" w:hAnsi="Times"/>
          <w:kern w:val="2"/>
        </w:rPr>
      </w:pPr>
      <w:r w:rsidRPr="003A762D">
        <w:rPr>
          <w:rFonts w:eastAsia="SimSun"/>
          <w:color w:val="000000" w:themeColor="text1"/>
          <w:kern w:val="2"/>
          <w:lang w:val="en-US"/>
        </w:rPr>
        <w:t xml:space="preserve">4.2 </w:t>
      </w:r>
      <w:r w:rsidR="00265843">
        <w:rPr>
          <w:rFonts w:eastAsia="SimSun"/>
          <w:color w:val="000000" w:themeColor="text1"/>
          <w:kern w:val="2"/>
          <w:lang w:val="en-US"/>
        </w:rPr>
        <w:tab/>
      </w:r>
      <w:r w:rsidR="003A762D" w:rsidRPr="003A762D">
        <w:rPr>
          <w:rFonts w:ascii="Times" w:hAnsi="Times"/>
          <w:kern w:val="2"/>
        </w:rPr>
        <w:t>The Gonzalo and Granger (1995) Common Factor Weights Model</w:t>
      </w:r>
      <w:r w:rsidR="003A762D">
        <w:rPr>
          <w:rFonts w:ascii="Times" w:hAnsi="Times"/>
          <w:kern w:val="2"/>
        </w:rPr>
        <w:tab/>
      </w:r>
      <w:r w:rsidR="00265843">
        <w:rPr>
          <w:rFonts w:ascii="Times" w:hAnsi="Times"/>
          <w:kern w:val="2"/>
        </w:rPr>
        <w:tab/>
      </w:r>
      <w:r w:rsidR="00F2663A">
        <w:rPr>
          <w:rFonts w:ascii="Times" w:hAnsi="Times"/>
          <w:kern w:val="2"/>
        </w:rPr>
        <w:t>38</w:t>
      </w:r>
    </w:p>
    <w:p w14:paraId="7E21280F" w14:textId="77777777" w:rsidR="000406CC" w:rsidRPr="00D35462" w:rsidRDefault="000406CC" w:rsidP="000406CC">
      <w:pPr>
        <w:widowControl w:val="0"/>
        <w:ind w:firstLine="720"/>
        <w:rPr>
          <w:rFonts w:eastAsia="SimSun"/>
          <w:kern w:val="2"/>
        </w:rPr>
      </w:pPr>
    </w:p>
    <w:p w14:paraId="029E2212" w14:textId="71114410" w:rsidR="00817442" w:rsidRDefault="00817442" w:rsidP="00265843">
      <w:pPr>
        <w:widowControl w:val="0"/>
        <w:spacing w:line="480" w:lineRule="auto"/>
        <w:rPr>
          <w:rFonts w:eastAsia="SimSun"/>
          <w:b/>
          <w:kern w:val="2"/>
          <w:lang w:val="en-US"/>
        </w:rPr>
      </w:pPr>
      <w:r>
        <w:rPr>
          <w:rFonts w:eastAsia="SimSun"/>
          <w:kern w:val="2"/>
          <w:lang w:val="en-US"/>
        </w:rPr>
        <w:t>5</w:t>
      </w:r>
      <w:r w:rsidR="000406CC" w:rsidRPr="00953770">
        <w:rPr>
          <w:rFonts w:eastAsia="SimSun"/>
          <w:kern w:val="2"/>
          <w:lang w:val="en-US"/>
        </w:rPr>
        <w:tab/>
      </w:r>
      <w:r w:rsidR="00CC4EAC" w:rsidRPr="00953770">
        <w:rPr>
          <w:rFonts w:eastAsia="SimSun"/>
          <w:b/>
          <w:kern w:val="2"/>
          <w:lang w:val="en-US"/>
        </w:rPr>
        <w:t xml:space="preserve">Empirical Results </w:t>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265843">
        <w:rPr>
          <w:rFonts w:eastAsia="SimSun"/>
          <w:b/>
          <w:kern w:val="2"/>
          <w:lang w:val="en-US"/>
        </w:rPr>
        <w:tab/>
      </w:r>
      <w:r w:rsidR="00F2663A" w:rsidRPr="00F2663A">
        <w:rPr>
          <w:rFonts w:eastAsia="SimSun"/>
          <w:kern w:val="2"/>
          <w:lang w:val="en-US"/>
        </w:rPr>
        <w:t>42</w:t>
      </w:r>
    </w:p>
    <w:p w14:paraId="78CD06E3" w14:textId="3E6D0F00" w:rsidR="00265843" w:rsidRDefault="00817442" w:rsidP="00265843">
      <w:pPr>
        <w:widowControl w:val="0"/>
        <w:spacing w:line="480" w:lineRule="auto"/>
        <w:ind w:left="720"/>
        <w:rPr>
          <w:rFonts w:eastAsia="SimSun"/>
          <w:kern w:val="2"/>
          <w:lang w:val="en-US"/>
        </w:rPr>
      </w:pPr>
      <w:r>
        <w:rPr>
          <w:rFonts w:eastAsia="SimSun"/>
          <w:kern w:val="2"/>
          <w:lang w:val="en-US"/>
        </w:rPr>
        <w:t>5</w:t>
      </w:r>
      <w:r w:rsidRPr="00817442">
        <w:rPr>
          <w:rFonts w:eastAsia="SimSun"/>
          <w:kern w:val="2"/>
          <w:lang w:val="en-US"/>
        </w:rPr>
        <w:t xml:space="preserve">.1 </w:t>
      </w:r>
      <w:r w:rsidRPr="00817442">
        <w:rPr>
          <w:rFonts w:eastAsia="SimSun"/>
          <w:kern w:val="2"/>
          <w:lang w:val="en-US"/>
        </w:rPr>
        <w:tab/>
        <w:t>Preliminary Data Analysis</w:t>
      </w:r>
      <w:r w:rsidR="00CC4EAC" w:rsidRPr="00953770">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265843">
        <w:rPr>
          <w:rFonts w:eastAsia="SimSun"/>
          <w:b/>
          <w:kern w:val="2"/>
          <w:lang w:val="en-US"/>
        </w:rPr>
        <w:tab/>
      </w:r>
      <w:r w:rsidR="0079363B">
        <w:rPr>
          <w:rFonts w:eastAsia="SimSun"/>
          <w:kern w:val="2"/>
          <w:lang w:val="en-US"/>
        </w:rPr>
        <w:t>4</w:t>
      </w:r>
      <w:r w:rsidR="00F2663A">
        <w:rPr>
          <w:rFonts w:eastAsia="SimSun"/>
          <w:kern w:val="2"/>
          <w:lang w:val="en-US"/>
        </w:rPr>
        <w:t>2</w:t>
      </w:r>
    </w:p>
    <w:p w14:paraId="1DFE538E" w14:textId="78E55022" w:rsidR="00817442" w:rsidRPr="00953770" w:rsidRDefault="009E40ED" w:rsidP="00265843">
      <w:pPr>
        <w:widowControl w:val="0"/>
        <w:spacing w:line="480" w:lineRule="auto"/>
        <w:ind w:left="720"/>
        <w:rPr>
          <w:rFonts w:eastAsia="SimSun"/>
          <w:kern w:val="2"/>
          <w:lang w:val="en-US"/>
        </w:rPr>
      </w:pPr>
      <w:r>
        <w:rPr>
          <w:rFonts w:eastAsia="SimSun"/>
          <w:color w:val="000000" w:themeColor="text1"/>
          <w:kern w:val="2"/>
          <w:lang w:val="en-US"/>
        </w:rPr>
        <w:t>Table 3</w:t>
      </w:r>
      <w:r w:rsidR="00817442" w:rsidRPr="00F3163C">
        <w:rPr>
          <w:rFonts w:eastAsia="SimSun"/>
          <w:color w:val="000000" w:themeColor="text1"/>
          <w:kern w:val="2"/>
          <w:lang w:val="en-US"/>
        </w:rPr>
        <w:t xml:space="preserve"> Descriptive Statistics</w:t>
      </w:r>
      <w:r w:rsidR="00817442" w:rsidRPr="00F3163C">
        <w:rPr>
          <w:rFonts w:eastAsia="SimSun"/>
          <w:color w:val="000000" w:themeColor="text1"/>
          <w:lang w:val="en-US"/>
        </w:rPr>
        <w:t xml:space="preserve"> and ADF Results of </w:t>
      </w:r>
      <w:r w:rsidR="00817442" w:rsidRPr="00F3163C">
        <w:rPr>
          <w:color w:val="000000" w:themeColor="text1"/>
          <w:lang w:val="en-US"/>
        </w:rPr>
        <w:t>Nine Demeaned Price Series</w:t>
      </w:r>
      <w:r w:rsidR="00817442" w:rsidRPr="00953770">
        <w:rPr>
          <w:rFonts w:eastAsia="SimSun"/>
          <w:kern w:val="2"/>
          <w:lang w:val="en-US"/>
        </w:rPr>
        <w:t xml:space="preserve"> </w:t>
      </w:r>
      <w:r w:rsidR="00265843">
        <w:rPr>
          <w:rFonts w:eastAsia="SimSun"/>
          <w:kern w:val="2"/>
          <w:lang w:val="en-US"/>
        </w:rPr>
        <w:tab/>
      </w:r>
      <w:r w:rsidR="00F2663A">
        <w:rPr>
          <w:rFonts w:eastAsia="SimSun"/>
          <w:kern w:val="2"/>
          <w:lang w:val="en-US"/>
        </w:rPr>
        <w:t>43</w:t>
      </w:r>
    </w:p>
    <w:p w14:paraId="162E1B10" w14:textId="10402017" w:rsidR="00D5783B" w:rsidRPr="00953770" w:rsidRDefault="00817442" w:rsidP="00265843">
      <w:pPr>
        <w:spacing w:after="200" w:line="480" w:lineRule="auto"/>
        <w:ind w:firstLine="720"/>
        <w:rPr>
          <w:rFonts w:eastAsia="SimSun"/>
          <w:kern w:val="2"/>
          <w:lang w:val="en-US"/>
        </w:rPr>
      </w:pPr>
      <w:r>
        <w:rPr>
          <w:rFonts w:eastAsia="SimSun"/>
          <w:kern w:val="2"/>
          <w:lang w:val="en-US"/>
        </w:rPr>
        <w:t>5.2</w:t>
      </w:r>
      <w:r w:rsidR="000406CC" w:rsidRPr="00953770">
        <w:rPr>
          <w:rFonts w:eastAsia="SimSun"/>
          <w:kern w:val="2"/>
          <w:lang w:val="en-US"/>
        </w:rPr>
        <w:tab/>
      </w:r>
      <w:r w:rsidR="00D5783B" w:rsidRPr="00953770">
        <w:rPr>
          <w:rFonts w:eastAsia="SimSun"/>
          <w:kern w:val="2"/>
          <w:lang w:val="en-US"/>
        </w:rPr>
        <w:t>Informati</w:t>
      </w:r>
      <w:r w:rsidR="00762126" w:rsidRPr="00953770">
        <w:rPr>
          <w:rFonts w:eastAsia="SimSun"/>
          <w:kern w:val="2"/>
          <w:lang w:val="en-US"/>
        </w:rPr>
        <w:t>on S</w:t>
      </w:r>
      <w:r w:rsidR="00D5783B" w:rsidRPr="00953770">
        <w:rPr>
          <w:rFonts w:eastAsia="SimSun"/>
          <w:kern w:val="2"/>
          <w:lang w:val="en-US"/>
        </w:rPr>
        <w:t xml:space="preserve">hare results </w:t>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265843">
        <w:rPr>
          <w:rFonts w:eastAsia="SimSun"/>
          <w:kern w:val="2"/>
          <w:lang w:val="en-US"/>
        </w:rPr>
        <w:tab/>
      </w:r>
      <w:r w:rsidR="00F2663A">
        <w:rPr>
          <w:rFonts w:eastAsia="SimSun"/>
          <w:kern w:val="2"/>
          <w:lang w:val="en-US"/>
        </w:rPr>
        <w:t>45</w:t>
      </w:r>
    </w:p>
    <w:p w14:paraId="407A2B70" w14:textId="071BD006" w:rsidR="00D05094" w:rsidRPr="00953770" w:rsidRDefault="009E40ED" w:rsidP="00265843">
      <w:pPr>
        <w:spacing w:after="200" w:line="480" w:lineRule="auto"/>
        <w:ind w:firstLine="720"/>
        <w:rPr>
          <w:rFonts w:eastAsia="SimSun"/>
          <w:lang w:val="en-US"/>
        </w:rPr>
      </w:pPr>
      <w:r>
        <w:rPr>
          <w:rFonts w:eastAsia="SimSun"/>
          <w:kern w:val="2"/>
          <w:lang w:val="en-US"/>
        </w:rPr>
        <w:t>Table 4</w:t>
      </w:r>
      <w:r w:rsidR="00237DD7" w:rsidRPr="00F3163C">
        <w:rPr>
          <w:rFonts w:eastAsia="SimSun"/>
          <w:kern w:val="2"/>
          <w:lang w:val="en-US"/>
        </w:rPr>
        <w:t xml:space="preserve"> Information Share and </w:t>
      </w:r>
      <w:r w:rsidR="00237DD7" w:rsidRPr="00F3163C">
        <w:rPr>
          <w:rFonts w:eastAsia="SimSun"/>
          <w:bCs/>
          <w:kern w:val="2"/>
          <w:lang w:val="en-US"/>
        </w:rPr>
        <w:t>Common Factor Weights Tests</w:t>
      </w:r>
      <w:r w:rsidR="00D05094" w:rsidRPr="00F3163C">
        <w:rPr>
          <w:rFonts w:eastAsia="SimSun"/>
          <w:bCs/>
          <w:kern w:val="2"/>
          <w:lang w:val="en-US"/>
        </w:rPr>
        <w:tab/>
      </w:r>
      <w:r w:rsidR="00265843">
        <w:rPr>
          <w:rFonts w:eastAsia="SimSun"/>
          <w:bCs/>
          <w:kern w:val="2"/>
          <w:lang w:val="en-US"/>
        </w:rPr>
        <w:tab/>
      </w:r>
      <w:r w:rsidR="00D05094" w:rsidRPr="00953770">
        <w:rPr>
          <w:rFonts w:eastAsia="SimSun"/>
          <w:kern w:val="2"/>
          <w:lang w:val="en-US"/>
        </w:rPr>
        <w:t xml:space="preserve"> </w:t>
      </w:r>
      <w:r w:rsidR="00265843">
        <w:rPr>
          <w:rFonts w:eastAsia="SimSun"/>
          <w:kern w:val="2"/>
          <w:lang w:val="en-US"/>
        </w:rPr>
        <w:tab/>
      </w:r>
      <w:r w:rsidR="00F2663A">
        <w:rPr>
          <w:rFonts w:eastAsia="SimSun"/>
          <w:kern w:val="2"/>
          <w:lang w:val="en-US"/>
        </w:rPr>
        <w:t>46</w:t>
      </w:r>
    </w:p>
    <w:p w14:paraId="50EDF3D6" w14:textId="4404633E" w:rsidR="00A10643" w:rsidRPr="00953770" w:rsidRDefault="00817442" w:rsidP="00265843">
      <w:pPr>
        <w:spacing w:after="200" w:line="480" w:lineRule="auto"/>
        <w:ind w:firstLine="720"/>
        <w:rPr>
          <w:rFonts w:eastAsia="SimSun"/>
          <w:kern w:val="2"/>
          <w:lang w:val="en-US"/>
        </w:rPr>
      </w:pPr>
      <w:r>
        <w:rPr>
          <w:rFonts w:eastAsia="SimSun"/>
          <w:kern w:val="2"/>
          <w:lang w:val="en-US"/>
        </w:rPr>
        <w:t>5.3</w:t>
      </w:r>
      <w:r w:rsidR="00762126" w:rsidRPr="00953770">
        <w:rPr>
          <w:rFonts w:eastAsia="SimSun"/>
          <w:kern w:val="2"/>
          <w:lang w:val="en-US"/>
        </w:rPr>
        <w:t xml:space="preserve"> </w:t>
      </w:r>
      <w:r w:rsidR="000406CC" w:rsidRPr="00953770">
        <w:rPr>
          <w:rFonts w:eastAsia="SimSun"/>
          <w:kern w:val="2"/>
          <w:lang w:val="en-US"/>
        </w:rPr>
        <w:tab/>
      </w:r>
      <w:r w:rsidR="00762126" w:rsidRPr="00953770">
        <w:rPr>
          <w:rFonts w:eastAsia="SimSun"/>
          <w:kern w:val="2"/>
          <w:lang w:val="en-US"/>
        </w:rPr>
        <w:t>Common Factor Weights R</w:t>
      </w:r>
      <w:r w:rsidR="00A10643" w:rsidRPr="00953770">
        <w:rPr>
          <w:rFonts w:eastAsia="SimSun"/>
          <w:kern w:val="2"/>
          <w:lang w:val="en-US"/>
        </w:rPr>
        <w:t xml:space="preserve">esults </w:t>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265843">
        <w:rPr>
          <w:rFonts w:eastAsia="SimSun"/>
          <w:kern w:val="2"/>
          <w:lang w:val="en-US"/>
        </w:rPr>
        <w:tab/>
      </w:r>
      <w:r w:rsidR="0079363B">
        <w:rPr>
          <w:rFonts w:eastAsia="SimSun"/>
          <w:kern w:val="2"/>
          <w:lang w:val="en-US"/>
        </w:rPr>
        <w:t>4</w:t>
      </w:r>
      <w:r w:rsidR="00F2663A">
        <w:rPr>
          <w:rFonts w:eastAsia="SimSun"/>
          <w:kern w:val="2"/>
          <w:lang w:val="en-US"/>
        </w:rPr>
        <w:t>8</w:t>
      </w:r>
    </w:p>
    <w:p w14:paraId="02A1E3BF" w14:textId="3D2BEEC7" w:rsidR="000406CC" w:rsidRPr="00265843" w:rsidRDefault="00D704C0" w:rsidP="00265843">
      <w:pPr>
        <w:spacing w:line="480" w:lineRule="auto"/>
        <w:ind w:firstLine="720"/>
        <w:rPr>
          <w:color w:val="000000" w:themeColor="text1"/>
          <w:lang w:val="en-US"/>
        </w:rPr>
      </w:pPr>
      <w:r>
        <w:rPr>
          <w:color w:val="000000" w:themeColor="text1"/>
          <w:lang w:val="en-US"/>
        </w:rPr>
        <w:t>Table 5</w:t>
      </w:r>
      <w:r w:rsidR="00762126" w:rsidRPr="00F3163C">
        <w:rPr>
          <w:color w:val="000000" w:themeColor="text1"/>
          <w:lang w:val="en-US"/>
        </w:rPr>
        <w:t xml:space="preserve"> Johansen and Juselius (1990) Trace Test </w:t>
      </w:r>
      <w:r w:rsidR="0054761F" w:rsidRPr="00F3163C">
        <w:rPr>
          <w:color w:val="000000" w:themeColor="text1"/>
          <w:lang w:val="en-US"/>
        </w:rPr>
        <w:tab/>
      </w:r>
      <w:r w:rsidR="0054761F">
        <w:rPr>
          <w:color w:val="000000" w:themeColor="text1"/>
          <w:lang w:val="en-US"/>
        </w:rPr>
        <w:tab/>
      </w:r>
      <w:r w:rsidR="0054761F">
        <w:rPr>
          <w:color w:val="000000" w:themeColor="text1"/>
          <w:lang w:val="en-US"/>
        </w:rPr>
        <w:tab/>
      </w:r>
      <w:r w:rsidR="00265843">
        <w:rPr>
          <w:color w:val="000000" w:themeColor="text1"/>
          <w:lang w:val="en-US"/>
        </w:rPr>
        <w:tab/>
      </w:r>
      <w:r w:rsidR="00265843">
        <w:rPr>
          <w:color w:val="000000" w:themeColor="text1"/>
          <w:lang w:val="en-US"/>
        </w:rPr>
        <w:tab/>
      </w:r>
      <w:r w:rsidR="00F2663A">
        <w:rPr>
          <w:color w:val="000000" w:themeColor="text1"/>
          <w:lang w:val="en-US"/>
        </w:rPr>
        <w:t>50</w:t>
      </w:r>
    </w:p>
    <w:p w14:paraId="2728AF91" w14:textId="54F85EEC" w:rsidR="00265843" w:rsidRDefault="00817442" w:rsidP="00265843">
      <w:pPr>
        <w:pStyle w:val="head4"/>
      </w:pPr>
      <w:r w:rsidRPr="00E661C8">
        <w:rPr>
          <w:i w:val="0"/>
        </w:rPr>
        <w:t>6</w:t>
      </w:r>
      <w:r w:rsidR="00CC4EAC" w:rsidRPr="00E661C8">
        <w:rPr>
          <w:i w:val="0"/>
        </w:rPr>
        <w:t xml:space="preserve"> </w:t>
      </w:r>
      <w:r w:rsidR="000406CC" w:rsidRPr="00E661C8">
        <w:rPr>
          <w:i w:val="0"/>
        </w:rPr>
        <w:tab/>
      </w:r>
      <w:r w:rsidR="00CC4EAC" w:rsidRPr="00E661C8">
        <w:rPr>
          <w:b/>
          <w:i w:val="0"/>
        </w:rPr>
        <w:t xml:space="preserve">Conclusions </w:t>
      </w:r>
      <w:r w:rsidR="00CC4EAC" w:rsidRPr="00E661C8">
        <w:rPr>
          <w:b/>
          <w:i w:val="0"/>
        </w:rPr>
        <w:tab/>
      </w:r>
      <w:r w:rsidR="00CC4EAC" w:rsidRPr="00E661C8">
        <w:rPr>
          <w:i w:val="0"/>
        </w:rPr>
        <w:tab/>
      </w:r>
      <w:r w:rsidR="00CC4EAC" w:rsidRPr="00E661C8">
        <w:rPr>
          <w:i w:val="0"/>
        </w:rPr>
        <w:tab/>
      </w:r>
      <w:r w:rsidR="003D4349" w:rsidRPr="00E661C8">
        <w:rPr>
          <w:i w:val="0"/>
        </w:rPr>
        <w:tab/>
      </w:r>
      <w:r w:rsidR="003D4349" w:rsidRPr="00E661C8">
        <w:rPr>
          <w:i w:val="0"/>
        </w:rPr>
        <w:tab/>
      </w:r>
      <w:r w:rsidR="003D4349" w:rsidRPr="00E661C8">
        <w:rPr>
          <w:i w:val="0"/>
        </w:rPr>
        <w:tab/>
      </w:r>
      <w:r w:rsidR="003D4349" w:rsidRPr="00E661C8">
        <w:rPr>
          <w:i w:val="0"/>
        </w:rPr>
        <w:tab/>
      </w:r>
      <w:r w:rsidR="003D4349" w:rsidRPr="00E661C8">
        <w:rPr>
          <w:i w:val="0"/>
        </w:rPr>
        <w:tab/>
      </w:r>
      <w:r w:rsidR="003D4349" w:rsidRPr="00E661C8">
        <w:rPr>
          <w:i w:val="0"/>
        </w:rPr>
        <w:tab/>
      </w:r>
      <w:r w:rsidR="00265843">
        <w:rPr>
          <w:i w:val="0"/>
        </w:rPr>
        <w:tab/>
      </w:r>
      <w:r w:rsidR="00F2663A">
        <w:rPr>
          <w:i w:val="0"/>
        </w:rPr>
        <w:t>54</w:t>
      </w:r>
    </w:p>
    <w:p w14:paraId="2C3027E5" w14:textId="23E8EDA5" w:rsidR="0022341D" w:rsidRPr="00265843" w:rsidRDefault="003A762D" w:rsidP="00265843">
      <w:pPr>
        <w:pStyle w:val="head4"/>
        <w:ind w:firstLine="720"/>
      </w:pPr>
      <w:r w:rsidRPr="00E661C8">
        <w:rPr>
          <w:i w:val="0"/>
        </w:rPr>
        <w:t>6.1</w:t>
      </w:r>
      <w:r w:rsidR="0022341D" w:rsidRPr="00E661C8">
        <w:rPr>
          <w:i w:val="0"/>
        </w:rPr>
        <w:t xml:space="preserve"> </w:t>
      </w:r>
      <w:r w:rsidR="00265843">
        <w:rPr>
          <w:i w:val="0"/>
        </w:rPr>
        <w:tab/>
      </w:r>
      <w:r w:rsidR="0022341D" w:rsidRPr="00E661C8">
        <w:rPr>
          <w:i w:val="0"/>
        </w:rPr>
        <w:t xml:space="preserve">Regulatory Implications </w:t>
      </w:r>
      <w:r w:rsidR="00B716BB" w:rsidRPr="00E661C8">
        <w:rPr>
          <w:i w:val="0"/>
        </w:rPr>
        <w:tab/>
      </w:r>
      <w:r w:rsidR="00B716BB" w:rsidRPr="00E661C8">
        <w:rPr>
          <w:i w:val="0"/>
        </w:rPr>
        <w:tab/>
      </w:r>
      <w:r w:rsidR="00B716BB" w:rsidRPr="00E661C8">
        <w:rPr>
          <w:i w:val="0"/>
        </w:rPr>
        <w:tab/>
      </w:r>
      <w:r w:rsidR="00B716BB" w:rsidRPr="00E661C8">
        <w:rPr>
          <w:i w:val="0"/>
        </w:rPr>
        <w:tab/>
      </w:r>
      <w:r w:rsidR="00B716BB" w:rsidRPr="00E661C8">
        <w:rPr>
          <w:i w:val="0"/>
        </w:rPr>
        <w:tab/>
      </w:r>
      <w:r w:rsidR="00B716BB" w:rsidRPr="00E661C8">
        <w:rPr>
          <w:i w:val="0"/>
        </w:rPr>
        <w:tab/>
      </w:r>
      <w:r w:rsidR="0058067F">
        <w:rPr>
          <w:i w:val="0"/>
        </w:rPr>
        <w:tab/>
      </w:r>
      <w:r w:rsidR="00F2663A">
        <w:rPr>
          <w:i w:val="0"/>
        </w:rPr>
        <w:t>55</w:t>
      </w:r>
      <w:r w:rsidR="00D35462">
        <w:rPr>
          <w:i w:val="0"/>
        </w:rPr>
        <w:t xml:space="preserve"> </w:t>
      </w:r>
    </w:p>
    <w:p w14:paraId="02A04DE3" w14:textId="247A65F6" w:rsidR="0054761F" w:rsidRPr="00265843" w:rsidRDefault="00CC4EAC" w:rsidP="00265843">
      <w:pPr>
        <w:widowControl w:val="0"/>
        <w:spacing w:line="480" w:lineRule="auto"/>
        <w:rPr>
          <w:rFonts w:eastAsia="SimSun"/>
          <w:kern w:val="2"/>
          <w:lang w:val="en-US"/>
        </w:rPr>
      </w:pPr>
      <w:r w:rsidRPr="00953770">
        <w:rPr>
          <w:rFonts w:eastAsia="SimSun"/>
          <w:b/>
          <w:kern w:val="2"/>
          <w:lang w:val="en-US"/>
        </w:rPr>
        <w:t xml:space="preserve">Notes </w:t>
      </w:r>
      <w:r w:rsidRPr="00953770">
        <w:rPr>
          <w:rFonts w:eastAsia="SimSun"/>
          <w:b/>
          <w:kern w:val="2"/>
          <w:lang w:val="en-US"/>
        </w:rPr>
        <w:tab/>
      </w:r>
      <w:r w:rsidRPr="00953770">
        <w:rPr>
          <w:rFonts w:eastAsia="SimSun"/>
          <w:b/>
          <w:kern w:val="2"/>
          <w:lang w:val="en-US"/>
        </w:rPr>
        <w:tab/>
      </w:r>
      <w:r w:rsidRPr="00953770">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4761F">
        <w:rPr>
          <w:rFonts w:eastAsia="SimSun"/>
          <w:b/>
          <w:kern w:val="2"/>
          <w:lang w:val="en-US"/>
        </w:rPr>
        <w:tab/>
      </w:r>
      <w:r w:rsidR="0058067F">
        <w:rPr>
          <w:rFonts w:eastAsia="SimSun"/>
          <w:b/>
          <w:kern w:val="2"/>
          <w:lang w:val="en-US"/>
        </w:rPr>
        <w:tab/>
      </w:r>
      <w:r w:rsidR="00F2663A">
        <w:rPr>
          <w:rFonts w:eastAsia="SimSun"/>
          <w:kern w:val="2"/>
          <w:lang w:val="en-US"/>
        </w:rPr>
        <w:t>56</w:t>
      </w:r>
    </w:p>
    <w:p w14:paraId="2FA7CEBA" w14:textId="09146131" w:rsidR="00D05094" w:rsidRPr="0054761F" w:rsidRDefault="00CC4EAC" w:rsidP="00265843">
      <w:pPr>
        <w:widowControl w:val="0"/>
        <w:spacing w:line="480" w:lineRule="auto"/>
        <w:rPr>
          <w:rFonts w:eastAsia="SimSun"/>
          <w:b/>
          <w:kern w:val="2"/>
          <w:lang w:val="en-US"/>
        </w:rPr>
      </w:pPr>
      <w:r w:rsidRPr="00953770">
        <w:rPr>
          <w:rFonts w:eastAsia="SimSun"/>
          <w:b/>
          <w:kern w:val="2"/>
          <w:lang w:val="en-US"/>
        </w:rPr>
        <w:t>References</w:t>
      </w:r>
      <w:r w:rsidRPr="00953770">
        <w:rPr>
          <w:rFonts w:eastAsia="SimSun"/>
          <w:kern w:val="2"/>
          <w:lang w:val="en-US"/>
        </w:rPr>
        <w:tab/>
      </w:r>
      <w:r w:rsidRPr="00953770">
        <w:rPr>
          <w:rFonts w:eastAsia="SimSun"/>
          <w:kern w:val="2"/>
          <w:lang w:val="en-US"/>
        </w:rPr>
        <w:tab/>
      </w:r>
      <w:r w:rsidRPr="00953770">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4761F">
        <w:rPr>
          <w:rFonts w:eastAsia="SimSun"/>
          <w:kern w:val="2"/>
          <w:lang w:val="en-US"/>
        </w:rPr>
        <w:tab/>
      </w:r>
      <w:r w:rsidR="0058067F">
        <w:rPr>
          <w:rFonts w:eastAsia="SimSun"/>
          <w:kern w:val="2"/>
          <w:lang w:val="en-US"/>
        </w:rPr>
        <w:tab/>
      </w:r>
      <w:r w:rsidR="00DB77A1">
        <w:rPr>
          <w:rFonts w:eastAsia="SimSun"/>
          <w:kern w:val="2"/>
          <w:lang w:val="en-US"/>
        </w:rPr>
        <w:t>5</w:t>
      </w:r>
      <w:r w:rsidR="00F2663A">
        <w:rPr>
          <w:rFonts w:eastAsia="SimSun"/>
          <w:kern w:val="2"/>
          <w:lang w:val="en-US"/>
        </w:rPr>
        <w:t>9</w:t>
      </w:r>
      <w:r w:rsidRPr="00953770">
        <w:rPr>
          <w:rFonts w:eastAsia="SimSun"/>
          <w:kern w:val="2"/>
          <w:lang w:val="en-US"/>
        </w:rPr>
        <w:tab/>
      </w:r>
      <w:r w:rsidRPr="00953770">
        <w:rPr>
          <w:rFonts w:eastAsia="SimSun"/>
          <w:kern w:val="2"/>
          <w:lang w:val="en-US"/>
        </w:rPr>
        <w:tab/>
      </w:r>
      <w:r w:rsidRPr="00953770">
        <w:rPr>
          <w:rFonts w:ascii="Times" w:eastAsia="SimSun" w:hAnsi="Times"/>
          <w:kern w:val="2"/>
          <w:lang w:val="en-US"/>
        </w:rPr>
        <w:tab/>
      </w:r>
      <w:r w:rsidRPr="00953770">
        <w:rPr>
          <w:rFonts w:ascii="Times" w:eastAsia="SimSun" w:hAnsi="Times"/>
          <w:kern w:val="2"/>
          <w:lang w:val="en-US"/>
        </w:rPr>
        <w:tab/>
      </w:r>
      <w:r w:rsidRPr="00953770">
        <w:rPr>
          <w:rFonts w:ascii="Times" w:eastAsia="SimSun" w:hAnsi="Times"/>
          <w:kern w:val="2"/>
          <w:lang w:val="en-US"/>
        </w:rPr>
        <w:tab/>
      </w:r>
      <w:r w:rsidRPr="00953770">
        <w:rPr>
          <w:rFonts w:ascii="Times" w:eastAsia="SimSun" w:hAnsi="Times"/>
          <w:kern w:val="2"/>
          <w:lang w:val="en-US"/>
        </w:rPr>
        <w:tab/>
      </w:r>
      <w:r w:rsidRPr="00953770">
        <w:rPr>
          <w:rFonts w:ascii="Times" w:eastAsia="SimSun" w:hAnsi="Times"/>
          <w:kern w:val="2"/>
          <w:lang w:val="en-US"/>
        </w:rPr>
        <w:tab/>
      </w:r>
    </w:p>
    <w:p w14:paraId="53B27D6D" w14:textId="77777777" w:rsidR="00D05094" w:rsidRPr="00953770" w:rsidRDefault="00D05094" w:rsidP="000406CC">
      <w:pPr>
        <w:widowControl w:val="0"/>
        <w:spacing w:line="276" w:lineRule="auto"/>
        <w:rPr>
          <w:rFonts w:ascii="Times" w:eastAsia="SimSun" w:hAnsi="Times"/>
          <w:kern w:val="2"/>
          <w:lang w:val="en-US"/>
        </w:rPr>
      </w:pPr>
    </w:p>
    <w:p w14:paraId="15CE6AD3" w14:textId="77777777" w:rsidR="00F37C3F" w:rsidRPr="00953770" w:rsidRDefault="00F37C3F" w:rsidP="00551D2D">
      <w:pPr>
        <w:widowControl w:val="0"/>
        <w:spacing w:line="480" w:lineRule="auto"/>
        <w:jc w:val="center"/>
        <w:rPr>
          <w:rFonts w:ascii="Times" w:hAnsi="Times" w:cs="Times"/>
          <w:b/>
          <w:bCs/>
          <w:color w:val="000000"/>
          <w:sz w:val="36"/>
          <w:szCs w:val="36"/>
          <w:lang w:val="en-US" w:eastAsia="en-US"/>
        </w:rPr>
      </w:pPr>
    </w:p>
    <w:p w14:paraId="37E2C9B2" w14:textId="77777777" w:rsidR="00C16C83" w:rsidRDefault="00C16C83">
      <w:pPr>
        <w:rPr>
          <w:rFonts w:eastAsia="Times New Roman"/>
          <w:b/>
          <w:color w:val="000000"/>
          <w:sz w:val="28"/>
          <w:szCs w:val="28"/>
          <w:lang w:val="en-US"/>
        </w:rPr>
      </w:pPr>
      <w:r>
        <w:rPr>
          <w:rFonts w:eastAsia="Times New Roman"/>
          <w:b/>
          <w:color w:val="000000"/>
          <w:sz w:val="28"/>
          <w:szCs w:val="28"/>
          <w:lang w:val="en-US"/>
        </w:rPr>
        <w:br w:type="page"/>
      </w:r>
    </w:p>
    <w:p w14:paraId="08C0B674" w14:textId="2A19B934" w:rsidR="002658E1" w:rsidRDefault="00B07C43" w:rsidP="002658E1">
      <w:pPr>
        <w:spacing w:line="360" w:lineRule="auto"/>
        <w:jc w:val="center"/>
        <w:rPr>
          <w:rFonts w:eastAsia="SimSun"/>
          <w:b/>
          <w:kern w:val="2"/>
          <w:sz w:val="28"/>
          <w:szCs w:val="28"/>
          <w:lang w:val="en-US"/>
        </w:rPr>
      </w:pPr>
      <w:r w:rsidRPr="00953770">
        <w:rPr>
          <w:rFonts w:eastAsia="Times New Roman"/>
          <w:b/>
          <w:color w:val="000000"/>
          <w:sz w:val="28"/>
          <w:szCs w:val="28"/>
          <w:lang w:val="en-US"/>
        </w:rPr>
        <w:t xml:space="preserve">The Impact of Multilateral Trading Facilities on Price Discovery: Further </w:t>
      </w:r>
      <w:r w:rsidRPr="00953770">
        <w:rPr>
          <w:b/>
          <w:bCs/>
          <w:color w:val="000000"/>
          <w:sz w:val="28"/>
          <w:szCs w:val="28"/>
          <w:lang w:val="en-US" w:eastAsia="en-US"/>
        </w:rPr>
        <w:t xml:space="preserve">Evidence from the </w:t>
      </w:r>
      <w:r w:rsidRPr="002B271F">
        <w:rPr>
          <w:rFonts w:eastAsia="SimSun"/>
          <w:b/>
          <w:kern w:val="2"/>
          <w:sz w:val="28"/>
          <w:szCs w:val="28"/>
          <w:lang w:val="en-US"/>
        </w:rPr>
        <w:t>European Markets</w:t>
      </w:r>
    </w:p>
    <w:p w14:paraId="175A16D2" w14:textId="77777777" w:rsidR="002658E1" w:rsidRDefault="002658E1" w:rsidP="002658E1">
      <w:pPr>
        <w:spacing w:line="360" w:lineRule="auto"/>
        <w:rPr>
          <w:rFonts w:eastAsia="SimSun"/>
          <w:b/>
          <w:kern w:val="2"/>
          <w:sz w:val="28"/>
          <w:szCs w:val="28"/>
          <w:lang w:val="en-US"/>
        </w:rPr>
      </w:pPr>
    </w:p>
    <w:p w14:paraId="008823A3" w14:textId="77777777" w:rsidR="00070E4E" w:rsidRPr="00953770" w:rsidRDefault="000D4396" w:rsidP="002658E1">
      <w:pPr>
        <w:spacing w:line="360" w:lineRule="auto"/>
        <w:rPr>
          <w:color w:val="000000" w:themeColor="text1"/>
          <w:lang w:val="en-US"/>
        </w:rPr>
      </w:pPr>
      <w:r w:rsidRPr="00953770">
        <w:rPr>
          <w:rFonts w:eastAsia="SimSun"/>
          <w:b/>
          <w:kern w:val="2"/>
          <w:sz w:val="28"/>
          <w:szCs w:val="28"/>
          <w:lang w:val="en-US"/>
        </w:rPr>
        <w:t>Abstract</w:t>
      </w:r>
      <w:r w:rsidR="00070E4E" w:rsidRPr="00953770">
        <w:rPr>
          <w:color w:val="000000" w:themeColor="text1"/>
          <w:lang w:val="en-US"/>
        </w:rPr>
        <w:t xml:space="preserve"> </w:t>
      </w:r>
    </w:p>
    <w:p w14:paraId="4401EB4F" w14:textId="18AD0D4B" w:rsidR="00E661C8" w:rsidRPr="00E661C8" w:rsidRDefault="0010334A" w:rsidP="002658E1">
      <w:pPr>
        <w:spacing w:line="360" w:lineRule="auto"/>
        <w:jc w:val="both"/>
        <w:rPr>
          <w:color w:val="000000" w:themeColor="text1"/>
          <w:lang w:val="en-US"/>
        </w:rPr>
      </w:pPr>
      <w:r w:rsidRPr="00953770">
        <w:rPr>
          <w:color w:val="000000" w:themeColor="text1"/>
          <w:lang w:val="en-US"/>
        </w:rPr>
        <w:t xml:space="preserve">This </w:t>
      </w:r>
      <w:r w:rsidR="00A94161" w:rsidRPr="00953770">
        <w:rPr>
          <w:color w:val="000000" w:themeColor="text1"/>
          <w:lang w:val="en-US"/>
        </w:rPr>
        <w:t xml:space="preserve">study </w:t>
      </w:r>
      <w:r w:rsidRPr="00953770">
        <w:rPr>
          <w:color w:val="000000" w:themeColor="text1"/>
          <w:lang w:val="en-US"/>
        </w:rPr>
        <w:t xml:space="preserve">examines </w:t>
      </w:r>
      <w:r w:rsidR="00A94161" w:rsidRPr="00953770">
        <w:rPr>
          <w:color w:val="000000" w:themeColor="text1"/>
          <w:lang w:val="en-US"/>
        </w:rPr>
        <w:t>relative price discovery for three major European indices</w:t>
      </w:r>
      <w:r w:rsidRPr="00953770">
        <w:rPr>
          <w:color w:val="000000" w:themeColor="text1"/>
          <w:lang w:val="en-US"/>
        </w:rPr>
        <w:t>,</w:t>
      </w:r>
      <w:r w:rsidR="00312F0A" w:rsidRPr="00953770">
        <w:rPr>
          <w:color w:val="000000" w:themeColor="text1"/>
          <w:lang w:val="en-US"/>
        </w:rPr>
        <w:t xml:space="preserve"> FTSE, CAC</w:t>
      </w:r>
      <w:r w:rsidRPr="00953770">
        <w:rPr>
          <w:color w:val="000000" w:themeColor="text1"/>
          <w:lang w:val="en-US"/>
        </w:rPr>
        <w:t>,</w:t>
      </w:r>
      <w:r w:rsidR="00312F0A" w:rsidRPr="00953770">
        <w:rPr>
          <w:color w:val="000000" w:themeColor="text1"/>
          <w:lang w:val="en-US"/>
        </w:rPr>
        <w:t xml:space="preserve"> and DAX</w:t>
      </w:r>
      <w:r w:rsidR="00A94161" w:rsidRPr="00953770">
        <w:rPr>
          <w:color w:val="000000" w:themeColor="text1"/>
          <w:lang w:val="en-US"/>
        </w:rPr>
        <w:t>, their futures and exchange traded funds (</w:t>
      </w:r>
      <w:r w:rsidR="00E87583">
        <w:rPr>
          <w:color w:val="000000" w:themeColor="text1"/>
          <w:lang w:val="en-US"/>
        </w:rPr>
        <w:t>ETFs</w:t>
      </w:r>
      <w:r w:rsidR="00A94161" w:rsidRPr="00953770">
        <w:rPr>
          <w:color w:val="000000" w:themeColor="text1"/>
          <w:lang w:val="en-US"/>
        </w:rPr>
        <w:t>) u</w:t>
      </w:r>
      <w:r w:rsidR="00312F0A" w:rsidRPr="00953770">
        <w:rPr>
          <w:color w:val="000000" w:themeColor="text1"/>
          <w:lang w:val="en-US"/>
        </w:rPr>
        <w:t xml:space="preserve">sing </w:t>
      </w:r>
      <w:r w:rsidRPr="00953770">
        <w:rPr>
          <w:color w:val="000000" w:themeColor="text1"/>
          <w:lang w:val="en-US"/>
        </w:rPr>
        <w:t xml:space="preserve">the </w:t>
      </w:r>
      <w:r w:rsidRPr="00953770">
        <w:rPr>
          <w:rFonts w:eastAsia="SimSun"/>
          <w:lang w:val="en-US"/>
        </w:rPr>
        <w:t xml:space="preserve">data on </w:t>
      </w:r>
      <w:r w:rsidR="003F2DEE" w:rsidRPr="004932E7">
        <w:rPr>
          <w:rFonts w:eastAsia="SimSun"/>
          <w:color w:val="000000" w:themeColor="text1"/>
          <w:lang w:val="en-US"/>
        </w:rPr>
        <w:t xml:space="preserve">5-minute </w:t>
      </w:r>
      <w:r w:rsidR="00312F0A" w:rsidRPr="004932E7">
        <w:rPr>
          <w:rFonts w:eastAsia="SimSun"/>
          <w:color w:val="000000" w:themeColor="text1"/>
          <w:lang w:val="en-US"/>
        </w:rPr>
        <w:t>intraday</w:t>
      </w:r>
      <w:r w:rsidR="00312F0A" w:rsidRPr="003F2DEE">
        <w:rPr>
          <w:rFonts w:eastAsia="SimSun"/>
          <w:color w:val="FF0000"/>
          <w:lang w:val="en-US"/>
        </w:rPr>
        <w:t xml:space="preserve"> </w:t>
      </w:r>
      <w:r w:rsidR="00312F0A" w:rsidRPr="003F2DEE">
        <w:rPr>
          <w:rFonts w:eastAsia="SimSun"/>
          <w:color w:val="000000" w:themeColor="text1"/>
          <w:lang w:val="en-US"/>
        </w:rPr>
        <w:t>t</w:t>
      </w:r>
      <w:r w:rsidR="00312F0A" w:rsidRPr="00953770">
        <w:rPr>
          <w:rFonts w:eastAsia="SimSun"/>
          <w:lang w:val="en-US"/>
        </w:rPr>
        <w:t xml:space="preserve">ransaction prices over a four-year period. </w:t>
      </w:r>
      <w:r w:rsidR="00B07C43" w:rsidRPr="00953770">
        <w:rPr>
          <w:color w:val="000000" w:themeColor="text1"/>
          <w:lang w:val="en-US"/>
        </w:rPr>
        <w:t>We</w:t>
      </w:r>
      <w:r w:rsidR="00312F0A" w:rsidRPr="00953770">
        <w:rPr>
          <w:color w:val="000000" w:themeColor="text1"/>
          <w:lang w:val="en-US"/>
        </w:rPr>
        <w:t xml:space="preserve"> computed </w:t>
      </w:r>
      <w:r w:rsidR="00B07C43" w:rsidRPr="00953770">
        <w:rPr>
          <w:color w:val="000000" w:themeColor="text1"/>
          <w:lang w:val="en-US"/>
        </w:rPr>
        <w:t xml:space="preserve">both </w:t>
      </w:r>
      <w:r w:rsidR="00312F0A" w:rsidRPr="00953770">
        <w:rPr>
          <w:color w:val="000000" w:themeColor="text1"/>
          <w:lang w:val="en-US"/>
        </w:rPr>
        <w:t>Hasbrouck (1995) information share with error bounds</w:t>
      </w:r>
      <w:r w:rsidR="00B07C43" w:rsidRPr="00953770">
        <w:rPr>
          <w:color w:val="000000" w:themeColor="text1"/>
          <w:lang w:val="en-US"/>
        </w:rPr>
        <w:t xml:space="preserve"> and </w:t>
      </w:r>
      <w:r w:rsidR="00B07C43" w:rsidRPr="00953770">
        <w:rPr>
          <w:rFonts w:eastAsia="SimSun"/>
          <w:lang w:val="en-US"/>
        </w:rPr>
        <w:t>Gonzalo and Granger</w:t>
      </w:r>
      <w:r w:rsidR="00735B43" w:rsidRPr="00953770">
        <w:rPr>
          <w:rFonts w:eastAsia="SimSun"/>
          <w:lang w:val="en-US"/>
        </w:rPr>
        <w:t>’s</w:t>
      </w:r>
      <w:r w:rsidR="00B07C43" w:rsidRPr="00953770">
        <w:rPr>
          <w:rFonts w:eastAsia="SimSun"/>
          <w:lang w:val="en-US"/>
        </w:rPr>
        <w:t xml:space="preserve"> (1995) common</w:t>
      </w:r>
      <w:r w:rsidR="00B07C43" w:rsidRPr="00953770">
        <w:rPr>
          <w:color w:val="000000" w:themeColor="text1"/>
          <w:lang w:val="en-US"/>
        </w:rPr>
        <w:t xml:space="preserve"> factor weights</w:t>
      </w:r>
      <w:r w:rsidR="00E63E9C">
        <w:rPr>
          <w:color w:val="000000" w:themeColor="text1"/>
          <w:lang w:val="en-US"/>
        </w:rPr>
        <w:t xml:space="preserve"> approach</w:t>
      </w:r>
      <w:r w:rsidR="00312F0A" w:rsidRPr="00953770">
        <w:rPr>
          <w:color w:val="000000" w:themeColor="text1"/>
          <w:lang w:val="en-US"/>
        </w:rPr>
        <w:t xml:space="preserve">. </w:t>
      </w:r>
      <w:r w:rsidR="00F248A8" w:rsidRPr="00953770">
        <w:rPr>
          <w:rFonts w:eastAsia="SimSun"/>
          <w:lang w:val="en-US"/>
        </w:rPr>
        <w:t>Gonzalo and Granger</w:t>
      </w:r>
      <w:r w:rsidR="00735B43" w:rsidRPr="00953770">
        <w:rPr>
          <w:rFonts w:eastAsia="SimSun"/>
          <w:lang w:val="en-US"/>
        </w:rPr>
        <w:t>’s</w:t>
      </w:r>
      <w:r w:rsidR="00F248A8" w:rsidRPr="00953770">
        <w:rPr>
          <w:rFonts w:eastAsia="SimSun"/>
          <w:lang w:val="en-US"/>
        </w:rPr>
        <w:t xml:space="preserve"> (1995) common</w:t>
      </w:r>
      <w:r w:rsidR="00F248A8" w:rsidRPr="00953770">
        <w:rPr>
          <w:color w:val="000000" w:themeColor="text1"/>
          <w:lang w:val="en-US"/>
        </w:rPr>
        <w:t xml:space="preserve"> factor weights</w:t>
      </w:r>
      <w:r w:rsidR="00312F0A" w:rsidRPr="00953770">
        <w:rPr>
          <w:color w:val="000000" w:themeColor="text1"/>
          <w:lang w:val="en-US"/>
        </w:rPr>
        <w:t xml:space="preserve"> </w:t>
      </w:r>
      <w:r w:rsidR="00FA24CA">
        <w:rPr>
          <w:color w:val="000000" w:themeColor="text1"/>
          <w:lang w:val="en-US"/>
        </w:rPr>
        <w:t xml:space="preserve">suggest </w:t>
      </w:r>
      <w:r w:rsidR="00735B43" w:rsidRPr="00953770">
        <w:rPr>
          <w:color w:val="000000" w:themeColor="text1"/>
          <w:lang w:val="en-US"/>
        </w:rPr>
        <w:t xml:space="preserve">the </w:t>
      </w:r>
      <w:r w:rsidR="00F248A8" w:rsidRPr="00953770">
        <w:rPr>
          <w:color w:val="000000" w:themeColor="text1"/>
          <w:lang w:val="en-US"/>
        </w:rPr>
        <w:t xml:space="preserve">index futures contracts play a dominant role in price discovery </w:t>
      </w:r>
      <w:r w:rsidR="00FA24CA">
        <w:rPr>
          <w:color w:val="000000" w:themeColor="text1"/>
          <w:lang w:val="en-US"/>
        </w:rPr>
        <w:t>in the CAC market</w:t>
      </w:r>
      <w:r w:rsidR="00F25DA2">
        <w:rPr>
          <w:color w:val="000000" w:themeColor="text1"/>
          <w:lang w:val="en-US"/>
        </w:rPr>
        <w:t>:</w:t>
      </w:r>
      <w:r w:rsidR="006A0271" w:rsidRPr="00F25DA2">
        <w:rPr>
          <w:color w:val="000000" w:themeColor="text1"/>
          <w:lang w:val="en-US"/>
        </w:rPr>
        <w:t xml:space="preserve"> </w:t>
      </w:r>
      <w:r w:rsidR="00FA24CA" w:rsidRPr="00F25DA2">
        <w:rPr>
          <w:rFonts w:eastAsia="SimSun"/>
          <w:color w:val="000000" w:themeColor="text1"/>
          <w:lang w:val="en-US"/>
        </w:rPr>
        <w:t xml:space="preserve">the CAC 40 index futures lead the price discovery and Lyxor CAC 40 </w:t>
      </w:r>
      <w:r w:rsidR="00E87583" w:rsidRPr="00F25DA2">
        <w:rPr>
          <w:rFonts w:eastAsia="SimSun"/>
          <w:color w:val="000000" w:themeColor="text1"/>
          <w:lang w:val="en-US"/>
        </w:rPr>
        <w:t>ETFs</w:t>
      </w:r>
      <w:r w:rsidR="00FA24CA" w:rsidRPr="00F25DA2">
        <w:rPr>
          <w:rFonts w:eastAsia="SimSun"/>
          <w:color w:val="000000" w:themeColor="text1"/>
          <w:lang w:val="en-US"/>
        </w:rPr>
        <w:t xml:space="preserve"> serving the second resort for information</w:t>
      </w:r>
      <w:r w:rsidR="00FA24CA" w:rsidRPr="00F25DA2">
        <w:rPr>
          <w:color w:val="000000" w:themeColor="text1"/>
          <w:lang w:val="en-US"/>
        </w:rPr>
        <w:t xml:space="preserve"> transmission. This could be </w:t>
      </w:r>
      <w:r w:rsidR="00F248A8" w:rsidRPr="00F25DA2">
        <w:rPr>
          <w:color w:val="000000" w:themeColor="text1"/>
          <w:lang w:val="en-US"/>
        </w:rPr>
        <w:t xml:space="preserve">due to the less frequent trading of </w:t>
      </w:r>
      <w:r w:rsidR="00E87583" w:rsidRPr="00F25DA2">
        <w:rPr>
          <w:color w:val="000000" w:themeColor="text1"/>
          <w:lang w:val="en-US"/>
        </w:rPr>
        <w:t>ETFs</w:t>
      </w:r>
      <w:r w:rsidR="00F248A8" w:rsidRPr="00F25DA2">
        <w:rPr>
          <w:color w:val="000000" w:themeColor="text1"/>
          <w:lang w:val="en-US"/>
        </w:rPr>
        <w:t>.</w:t>
      </w:r>
      <w:r w:rsidR="006A0271" w:rsidRPr="00F25DA2">
        <w:rPr>
          <w:color w:val="000000" w:themeColor="text1"/>
          <w:lang w:val="en-US"/>
        </w:rPr>
        <w:t xml:space="preserve"> </w:t>
      </w:r>
      <w:r w:rsidR="00FA24CA" w:rsidRPr="00F25DA2">
        <w:rPr>
          <w:color w:val="000000" w:themeColor="text1"/>
          <w:lang w:val="en-US"/>
        </w:rPr>
        <w:t>More importantly, CAC40 under the Gonzalo &amp; Granger (1995) test shows upper and lower error boun</w:t>
      </w:r>
      <w:r w:rsidR="004F2B6F" w:rsidRPr="00F25DA2">
        <w:rPr>
          <w:color w:val="000000" w:themeColor="text1"/>
          <w:lang w:val="en-US"/>
        </w:rPr>
        <w:t>ds in good range may be the main</w:t>
      </w:r>
      <w:r w:rsidR="00FA24CA" w:rsidRPr="00F25DA2">
        <w:rPr>
          <w:color w:val="000000" w:themeColor="text1"/>
          <w:lang w:val="en-US"/>
        </w:rPr>
        <w:t xml:space="preserve"> reason to drive for the meaningful results. In contrast, the upper and lower bounds estimated from the Hasbrouck (1995) </w:t>
      </w:r>
      <w:r w:rsidR="004932E7" w:rsidRPr="00F25DA2">
        <w:rPr>
          <w:color w:val="000000" w:themeColor="text1"/>
          <w:lang w:val="en-US"/>
        </w:rPr>
        <w:t>are far distant for most cases.</w:t>
      </w:r>
      <w:r w:rsidR="00FA24CA" w:rsidRPr="00F25DA2">
        <w:rPr>
          <w:color w:val="000000" w:themeColor="text1"/>
          <w:lang w:val="en-US"/>
        </w:rPr>
        <w:t xml:space="preserve"> Finally</w:t>
      </w:r>
      <w:r w:rsidR="006A0271" w:rsidRPr="00F25DA2">
        <w:rPr>
          <w:color w:val="000000" w:themeColor="text1"/>
          <w:lang w:val="en-US"/>
        </w:rPr>
        <w:t xml:space="preserve">, </w:t>
      </w:r>
      <w:r w:rsidR="00B07C43" w:rsidRPr="00F25DA2">
        <w:rPr>
          <w:color w:val="000000" w:themeColor="text1"/>
          <w:lang w:val="en-US"/>
        </w:rPr>
        <w:t xml:space="preserve">FTSE and DAX markets </w:t>
      </w:r>
      <w:r w:rsidR="00735B43" w:rsidRPr="00F25DA2">
        <w:rPr>
          <w:color w:val="000000" w:themeColor="text1"/>
          <w:lang w:val="en-US"/>
        </w:rPr>
        <w:t xml:space="preserve">offer compelling evidence to show </w:t>
      </w:r>
      <w:r w:rsidR="006D2E3A" w:rsidRPr="00F25DA2">
        <w:rPr>
          <w:color w:val="000000" w:themeColor="text1"/>
          <w:lang w:val="en-US"/>
        </w:rPr>
        <w:t xml:space="preserve">that </w:t>
      </w:r>
      <w:r w:rsidR="00E87583" w:rsidRPr="00F25DA2">
        <w:rPr>
          <w:color w:val="000000" w:themeColor="text1"/>
          <w:lang w:val="en-US"/>
        </w:rPr>
        <w:t>ETFs</w:t>
      </w:r>
      <w:r w:rsidR="00312F0A" w:rsidRPr="00F25DA2">
        <w:rPr>
          <w:color w:val="000000" w:themeColor="text1"/>
          <w:lang w:val="en-US"/>
        </w:rPr>
        <w:t xml:space="preserve"> lead price discovery</w:t>
      </w:r>
      <w:r w:rsidR="00B07C43" w:rsidRPr="00F25DA2">
        <w:rPr>
          <w:color w:val="000000" w:themeColor="text1"/>
          <w:lang w:val="en-US"/>
        </w:rPr>
        <w:t xml:space="preserve"> and spot</w:t>
      </w:r>
      <w:r w:rsidR="00B46B7E" w:rsidRPr="00F25DA2">
        <w:rPr>
          <w:color w:val="000000" w:themeColor="text1"/>
          <w:lang w:val="en-US"/>
        </w:rPr>
        <w:t>s</w:t>
      </w:r>
      <w:r w:rsidR="00B07C43" w:rsidRPr="00F25DA2">
        <w:rPr>
          <w:color w:val="000000" w:themeColor="text1"/>
          <w:lang w:val="en-US"/>
        </w:rPr>
        <w:t xml:space="preserve"> and futures follow</w:t>
      </w:r>
      <w:r w:rsidR="00EC44F6" w:rsidRPr="00F25DA2">
        <w:rPr>
          <w:color w:val="000000" w:themeColor="text1"/>
          <w:lang w:val="en-US"/>
        </w:rPr>
        <w:t>s</w:t>
      </w:r>
      <w:r w:rsidR="00FB5696" w:rsidRPr="00F25DA2">
        <w:rPr>
          <w:color w:val="000000" w:themeColor="text1"/>
          <w:lang w:val="en-US"/>
        </w:rPr>
        <w:t>.</w:t>
      </w:r>
      <w:r w:rsidR="00312F0A" w:rsidRPr="00F25DA2">
        <w:rPr>
          <w:color w:val="000000" w:themeColor="text1"/>
          <w:lang w:val="en-US"/>
        </w:rPr>
        <w:t xml:space="preserve"> </w:t>
      </w:r>
    </w:p>
    <w:p w14:paraId="762A3B5F" w14:textId="77777777" w:rsidR="002658E1" w:rsidRDefault="002658E1" w:rsidP="002658E1">
      <w:pPr>
        <w:widowControl w:val="0"/>
        <w:spacing w:line="360" w:lineRule="auto"/>
        <w:jc w:val="both"/>
        <w:rPr>
          <w:rFonts w:eastAsia="SimSun"/>
          <w:b/>
          <w:kern w:val="2"/>
          <w:lang w:val="en-US"/>
        </w:rPr>
      </w:pPr>
    </w:p>
    <w:p w14:paraId="7FF364AF" w14:textId="75332524" w:rsidR="00CB1522" w:rsidRPr="00F25DA2" w:rsidRDefault="000D4396" w:rsidP="002658E1">
      <w:pPr>
        <w:widowControl w:val="0"/>
        <w:spacing w:line="360" w:lineRule="auto"/>
        <w:jc w:val="both"/>
        <w:rPr>
          <w:rFonts w:eastAsia="Times New Roman"/>
          <w:b/>
          <w:color w:val="000000"/>
          <w:sz w:val="28"/>
          <w:szCs w:val="28"/>
          <w:lang w:val="en-US"/>
        </w:rPr>
      </w:pPr>
      <w:r w:rsidRPr="00F25DA2">
        <w:rPr>
          <w:rFonts w:eastAsia="SimSun"/>
          <w:b/>
          <w:kern w:val="2"/>
          <w:lang w:val="en-US"/>
        </w:rPr>
        <w:t xml:space="preserve">Keywords: </w:t>
      </w:r>
      <w:r w:rsidRPr="00F25DA2">
        <w:rPr>
          <w:rFonts w:eastAsia="SimSun"/>
          <w:kern w:val="2"/>
          <w:lang w:val="en-US"/>
        </w:rPr>
        <w:t>Exchange Traded Funds</w:t>
      </w:r>
      <w:r w:rsidRPr="00F25DA2">
        <w:rPr>
          <w:lang w:val="en-US"/>
        </w:rPr>
        <w:t>; Price Discovery</w:t>
      </w:r>
      <w:r w:rsidRPr="00F25DA2">
        <w:rPr>
          <w:rFonts w:eastAsia="SimSun"/>
          <w:kern w:val="2"/>
          <w:lang w:val="en-US"/>
        </w:rPr>
        <w:t>; Information Share; Common Factor Weigh</w:t>
      </w:r>
      <w:r w:rsidR="005256DC" w:rsidRPr="00F25DA2">
        <w:rPr>
          <w:rFonts w:eastAsia="SimSun"/>
          <w:kern w:val="2"/>
          <w:lang w:val="en-US"/>
        </w:rPr>
        <w:t>ts</w:t>
      </w:r>
      <w:bookmarkStart w:id="2" w:name="_Toc429924240"/>
      <w:r w:rsidRPr="00F25DA2">
        <w:rPr>
          <w:color w:val="000000"/>
          <w:sz w:val="28"/>
          <w:szCs w:val="28"/>
          <w:lang w:val="en-US"/>
        </w:rPr>
        <w:br w:type="page"/>
      </w:r>
    </w:p>
    <w:p w14:paraId="51B96751" w14:textId="77777777" w:rsidR="00C902E6" w:rsidRDefault="00CB1522" w:rsidP="00CB1522">
      <w:pPr>
        <w:spacing w:line="360" w:lineRule="auto"/>
        <w:jc w:val="center"/>
        <w:rPr>
          <w:rFonts w:eastAsia="Times New Roman"/>
          <w:b/>
          <w:color w:val="000000"/>
          <w:sz w:val="28"/>
          <w:szCs w:val="28"/>
          <w:lang w:val="en-US"/>
        </w:rPr>
      </w:pPr>
      <w:r w:rsidRPr="00F25DA2">
        <w:rPr>
          <w:rFonts w:eastAsia="Times New Roman"/>
          <w:b/>
          <w:color w:val="000000"/>
          <w:sz w:val="28"/>
          <w:szCs w:val="28"/>
          <w:lang w:val="en-US"/>
        </w:rPr>
        <w:t>The Impact of Multilateral Trading Facilities on</w:t>
      </w:r>
      <w:r w:rsidRPr="00953770">
        <w:rPr>
          <w:rFonts w:eastAsia="Times New Roman"/>
          <w:b/>
          <w:color w:val="000000"/>
          <w:sz w:val="28"/>
          <w:szCs w:val="28"/>
          <w:lang w:val="en-US"/>
        </w:rPr>
        <w:t xml:space="preserve"> Price Discovery: </w:t>
      </w:r>
    </w:p>
    <w:p w14:paraId="323500CE" w14:textId="50BD6A4A" w:rsidR="00CB1522" w:rsidRPr="00953770" w:rsidRDefault="00CB1522" w:rsidP="00CB1522">
      <w:pPr>
        <w:spacing w:line="360" w:lineRule="auto"/>
        <w:jc w:val="center"/>
        <w:rPr>
          <w:rFonts w:eastAsia="SimSun"/>
          <w:b/>
          <w:kern w:val="2"/>
          <w:sz w:val="28"/>
          <w:szCs w:val="28"/>
          <w:lang w:val="en-US"/>
        </w:rPr>
      </w:pPr>
      <w:r w:rsidRPr="00953770">
        <w:rPr>
          <w:rFonts w:eastAsia="Times New Roman"/>
          <w:b/>
          <w:color w:val="000000"/>
          <w:sz w:val="28"/>
          <w:szCs w:val="28"/>
          <w:lang w:val="en-US"/>
        </w:rPr>
        <w:t xml:space="preserve">Further </w:t>
      </w:r>
      <w:r w:rsidRPr="00953770">
        <w:rPr>
          <w:b/>
          <w:bCs/>
          <w:color w:val="000000"/>
          <w:sz w:val="28"/>
          <w:szCs w:val="28"/>
          <w:lang w:val="en-US" w:eastAsia="en-US"/>
        </w:rPr>
        <w:t xml:space="preserve">Evidence from the </w:t>
      </w:r>
      <w:r w:rsidRPr="002B271F">
        <w:rPr>
          <w:rFonts w:eastAsia="SimSun"/>
          <w:b/>
          <w:kern w:val="2"/>
          <w:sz w:val="28"/>
          <w:szCs w:val="28"/>
          <w:lang w:val="en-US"/>
        </w:rPr>
        <w:t>European Markets</w:t>
      </w:r>
    </w:p>
    <w:p w14:paraId="5EAF1C05" w14:textId="356914EF" w:rsidR="000D4396" w:rsidRPr="00953770" w:rsidRDefault="000D4396" w:rsidP="00CB1522">
      <w:pPr>
        <w:widowControl w:val="0"/>
        <w:spacing w:line="276" w:lineRule="auto"/>
        <w:jc w:val="center"/>
        <w:rPr>
          <w:color w:val="000000"/>
          <w:sz w:val="28"/>
          <w:szCs w:val="28"/>
          <w:lang w:val="en-US"/>
        </w:rPr>
      </w:pPr>
    </w:p>
    <w:p w14:paraId="7ED2E040" w14:textId="77777777" w:rsidR="000D4396" w:rsidRPr="00953770" w:rsidRDefault="000D4396" w:rsidP="008373E5">
      <w:pPr>
        <w:pStyle w:val="head1"/>
      </w:pPr>
      <w:r w:rsidRPr="00953770">
        <w:t>1 Introduction</w:t>
      </w:r>
      <w:bookmarkEnd w:id="2"/>
      <w:r w:rsidRPr="00953770">
        <w:t xml:space="preserve"> </w:t>
      </w:r>
    </w:p>
    <w:p w14:paraId="7ABAC44C" w14:textId="5CB950C6" w:rsidR="005A719B" w:rsidRDefault="00CB1522" w:rsidP="00953770">
      <w:pPr>
        <w:spacing w:line="480" w:lineRule="auto"/>
        <w:jc w:val="both"/>
        <w:rPr>
          <w:lang w:val="en-US"/>
        </w:rPr>
      </w:pPr>
      <w:r w:rsidRPr="00290622">
        <w:rPr>
          <w:color w:val="000000" w:themeColor="text1"/>
          <w:lang w:val="en-US" w:eastAsia="en-US"/>
        </w:rPr>
        <w:t xml:space="preserve">Nearly a decade after the financial crisis in 2008, </w:t>
      </w:r>
      <w:r w:rsidR="00150AA4" w:rsidRPr="00290622">
        <w:rPr>
          <w:color w:val="000000" w:themeColor="text1"/>
          <w:lang w:val="en-US" w:eastAsia="en-US"/>
        </w:rPr>
        <w:t>exchange traded funds (</w:t>
      </w:r>
      <w:r w:rsidR="008F647C" w:rsidRPr="00290622">
        <w:rPr>
          <w:color w:val="000000" w:themeColor="text1"/>
          <w:lang w:val="en-US" w:eastAsia="en-US"/>
        </w:rPr>
        <w:t>ETF</w:t>
      </w:r>
      <w:r w:rsidR="00EC44F6" w:rsidRPr="00290622">
        <w:rPr>
          <w:color w:val="000000" w:themeColor="text1"/>
          <w:lang w:val="en-US" w:eastAsia="en-US"/>
        </w:rPr>
        <w:t>s</w:t>
      </w:r>
      <w:r w:rsidR="00150AA4" w:rsidRPr="00290622">
        <w:rPr>
          <w:color w:val="000000" w:themeColor="text1"/>
          <w:lang w:val="en-US" w:eastAsia="en-US"/>
        </w:rPr>
        <w:t xml:space="preserve">) have become </w:t>
      </w:r>
      <w:r w:rsidRPr="00290622">
        <w:rPr>
          <w:color w:val="000000" w:themeColor="text1"/>
          <w:lang w:val="en-US" w:eastAsia="en-US"/>
        </w:rPr>
        <w:t xml:space="preserve">highly active and </w:t>
      </w:r>
      <w:r w:rsidR="00326EE0" w:rsidRPr="00290622">
        <w:rPr>
          <w:color w:val="000000" w:themeColor="text1"/>
          <w:lang w:val="en-US" w:eastAsia="en-US"/>
        </w:rPr>
        <w:t>has resumed its significance</w:t>
      </w:r>
      <w:r w:rsidRPr="00290622">
        <w:rPr>
          <w:color w:val="000000" w:themeColor="text1"/>
          <w:lang w:val="en-US" w:eastAsia="en-US"/>
        </w:rPr>
        <w:t xml:space="preserve"> </w:t>
      </w:r>
      <w:r w:rsidR="00EC44F6" w:rsidRPr="00290622">
        <w:rPr>
          <w:color w:val="000000" w:themeColor="text1"/>
          <w:lang w:val="en-US" w:eastAsia="en-US"/>
        </w:rPr>
        <w:t xml:space="preserve">in </w:t>
      </w:r>
      <w:r w:rsidRPr="00290622">
        <w:rPr>
          <w:color w:val="000000" w:themeColor="text1"/>
          <w:lang w:val="en-US" w:eastAsia="en-US"/>
        </w:rPr>
        <w:t>the financial market</w:t>
      </w:r>
      <w:r w:rsidR="008F647C" w:rsidRPr="00290622">
        <w:rPr>
          <w:color w:val="000000" w:themeColor="text1"/>
          <w:lang w:val="en-US" w:eastAsia="en-US"/>
        </w:rPr>
        <w:t xml:space="preserve">, especially its price discovery function. This is primarily due to their nature as </w:t>
      </w:r>
      <w:r w:rsidRPr="00290622">
        <w:rPr>
          <w:color w:val="000000" w:themeColor="text1"/>
          <w:lang w:val="en-US" w:eastAsia="en-US"/>
        </w:rPr>
        <w:t>highly flexible multilateral trading facilities</w:t>
      </w:r>
      <w:r w:rsidR="00DF3126" w:rsidRPr="00290622">
        <w:rPr>
          <w:color w:val="000000" w:themeColor="text1"/>
          <w:lang w:val="en-US" w:eastAsia="en-US"/>
        </w:rPr>
        <w:t>,</w:t>
      </w:r>
      <w:r w:rsidR="00EC44F6" w:rsidRPr="00290622">
        <w:rPr>
          <w:color w:val="000000" w:themeColor="text1"/>
          <w:lang w:val="en-US" w:eastAsia="en-US"/>
        </w:rPr>
        <w:t xml:space="preserve"> </w:t>
      </w:r>
      <w:r w:rsidR="00DF3126" w:rsidRPr="00290622">
        <w:rPr>
          <w:color w:val="000000" w:themeColor="text1"/>
          <w:lang w:val="en-US" w:eastAsia="en-US"/>
        </w:rPr>
        <w:t xml:space="preserve">which </w:t>
      </w:r>
      <w:r w:rsidR="000963AE" w:rsidRPr="00290622">
        <w:rPr>
          <w:color w:val="000000" w:themeColor="text1"/>
          <w:lang w:val="en-US" w:eastAsia="en-US"/>
        </w:rPr>
        <w:t>enable diversification and hedging</w:t>
      </w:r>
      <w:r w:rsidR="00355BD3" w:rsidRPr="00290622">
        <w:rPr>
          <w:color w:val="000000" w:themeColor="text1"/>
          <w:lang w:val="en-US" w:eastAsia="en-US"/>
        </w:rPr>
        <w:t xml:space="preserve">, </w:t>
      </w:r>
      <w:r w:rsidR="008F647C" w:rsidRPr="00290622">
        <w:rPr>
          <w:color w:val="000000" w:themeColor="text1"/>
          <w:lang w:val="en-US"/>
        </w:rPr>
        <w:t xml:space="preserve">and eventually effective and efficient investment decisions for </w:t>
      </w:r>
      <w:r w:rsidR="00355BD3" w:rsidRPr="00290622">
        <w:rPr>
          <w:color w:val="000000" w:themeColor="text1"/>
          <w:lang w:val="en-US"/>
        </w:rPr>
        <w:t>economic agents</w:t>
      </w:r>
      <w:r w:rsidRPr="00290622">
        <w:rPr>
          <w:color w:val="000000" w:themeColor="text1"/>
          <w:lang w:val="en-US" w:eastAsia="en-US"/>
        </w:rPr>
        <w:t xml:space="preserve">. </w:t>
      </w:r>
      <w:r w:rsidR="00D47774" w:rsidRPr="00953770">
        <w:rPr>
          <w:color w:val="000000"/>
          <w:lang w:val="en-US" w:eastAsia="en-US"/>
        </w:rPr>
        <w:t xml:space="preserve">One example </w:t>
      </w:r>
      <w:r w:rsidR="00DF3126" w:rsidRPr="00953770">
        <w:rPr>
          <w:color w:val="000000"/>
          <w:lang w:val="en-US" w:eastAsia="en-US"/>
        </w:rPr>
        <w:t xml:space="preserve">of this emerged </w:t>
      </w:r>
      <w:r w:rsidR="00D47774" w:rsidRPr="00953770">
        <w:rPr>
          <w:lang w:val="en-US"/>
        </w:rPr>
        <w:t>d</w:t>
      </w:r>
      <w:r w:rsidRPr="00953770">
        <w:rPr>
          <w:lang w:val="en-US"/>
        </w:rPr>
        <w:t>uring</w:t>
      </w:r>
      <w:r w:rsidR="00150AA4" w:rsidRPr="00953770">
        <w:rPr>
          <w:lang w:val="en-US"/>
        </w:rPr>
        <w:t xml:space="preserve"> </w:t>
      </w:r>
      <w:r w:rsidR="00DF3126" w:rsidRPr="00953770">
        <w:rPr>
          <w:lang w:val="en-US"/>
        </w:rPr>
        <w:t xml:space="preserve">the </w:t>
      </w:r>
      <w:r w:rsidR="00150AA4" w:rsidRPr="00953770">
        <w:rPr>
          <w:lang w:val="en-US"/>
        </w:rPr>
        <w:t>Fukushima nuclear disaster in 2011</w:t>
      </w:r>
      <w:r w:rsidR="00C85CAD">
        <w:rPr>
          <w:lang w:val="en-US"/>
        </w:rPr>
        <w:t>. W</w:t>
      </w:r>
      <w:r w:rsidR="00463DA2" w:rsidRPr="00953770">
        <w:rPr>
          <w:lang w:val="en-US"/>
        </w:rPr>
        <w:t xml:space="preserve">hile </w:t>
      </w:r>
      <w:r w:rsidR="00150AA4" w:rsidRPr="00953770">
        <w:rPr>
          <w:lang w:val="en-US"/>
        </w:rPr>
        <w:t xml:space="preserve">the home market in Tokyo was </w:t>
      </w:r>
      <w:r w:rsidR="00DF3126" w:rsidRPr="00953770">
        <w:rPr>
          <w:lang w:val="en-US"/>
        </w:rPr>
        <w:t>shut down</w:t>
      </w:r>
      <w:r w:rsidRPr="00953770">
        <w:rPr>
          <w:lang w:val="en-US"/>
        </w:rPr>
        <w:t xml:space="preserve">, </w:t>
      </w:r>
      <w:r w:rsidR="00150AA4" w:rsidRPr="00953770">
        <w:rPr>
          <w:lang w:val="en-US"/>
        </w:rPr>
        <w:t xml:space="preserve">the Japanese </w:t>
      </w:r>
      <w:r w:rsidR="00E87583">
        <w:rPr>
          <w:lang w:val="en-US"/>
        </w:rPr>
        <w:t>ETFs</w:t>
      </w:r>
      <w:r w:rsidR="00150AA4" w:rsidRPr="00953770">
        <w:rPr>
          <w:lang w:val="en-US"/>
        </w:rPr>
        <w:t xml:space="preserve"> listed in the U.</w:t>
      </w:r>
      <w:r w:rsidR="00463DA2" w:rsidRPr="00953770">
        <w:rPr>
          <w:lang w:val="en-US"/>
        </w:rPr>
        <w:t xml:space="preserve"> </w:t>
      </w:r>
      <w:r w:rsidR="00150AA4" w:rsidRPr="00953770">
        <w:rPr>
          <w:lang w:val="en-US"/>
        </w:rPr>
        <w:t xml:space="preserve">S. continued to </w:t>
      </w:r>
      <w:r w:rsidR="00150AA4" w:rsidRPr="0068461E">
        <w:rPr>
          <w:lang w:val="en-US"/>
        </w:rPr>
        <w:t>trade</w:t>
      </w:r>
      <w:r w:rsidR="0068461E" w:rsidRPr="0068461E">
        <w:rPr>
          <w:lang w:val="en-US"/>
        </w:rPr>
        <w:t>.</w:t>
      </w:r>
      <w:r w:rsidR="005B1645" w:rsidRPr="0068461E">
        <w:rPr>
          <w:vertAlign w:val="superscript"/>
          <w:lang w:val="en-US"/>
        </w:rPr>
        <w:t>1</w:t>
      </w:r>
      <w:bookmarkEnd w:id="0"/>
      <w:r w:rsidR="005A719B">
        <w:rPr>
          <w:lang w:val="en-US"/>
        </w:rPr>
        <w:t xml:space="preserve"> </w:t>
      </w:r>
      <w:r w:rsidR="005A719B" w:rsidRPr="00290622">
        <w:rPr>
          <w:color w:val="000000" w:themeColor="text1"/>
          <w:lang w:val="en-US"/>
        </w:rPr>
        <w:t xml:space="preserve">Consequently, it eased </w:t>
      </w:r>
      <w:r w:rsidR="005A719B" w:rsidRPr="00953770">
        <w:rPr>
          <w:lang w:val="en-US"/>
        </w:rPr>
        <w:t xml:space="preserve">investors’ tension and reversed </w:t>
      </w:r>
      <w:r w:rsidR="005A719B">
        <w:rPr>
          <w:lang w:val="en-US"/>
        </w:rPr>
        <w:t>their</w:t>
      </w:r>
      <w:r w:rsidR="005A719B" w:rsidRPr="00953770">
        <w:rPr>
          <w:lang w:val="en-US"/>
        </w:rPr>
        <w:t xml:space="preserve"> tremendous potential loss </w:t>
      </w:r>
      <w:r w:rsidR="005A719B">
        <w:rPr>
          <w:lang w:val="en-US"/>
        </w:rPr>
        <w:t>through</w:t>
      </w:r>
      <w:r w:rsidR="005A719B" w:rsidRPr="00953770">
        <w:rPr>
          <w:lang w:val="en-US"/>
        </w:rPr>
        <w:t xml:space="preserve"> adjusting investment portfolios in response to alterations in </w:t>
      </w:r>
      <w:r w:rsidR="005A719B" w:rsidRPr="00290622">
        <w:rPr>
          <w:color w:val="000000" w:themeColor="text1"/>
          <w:lang w:val="en-US"/>
        </w:rPr>
        <w:t xml:space="preserve">this </w:t>
      </w:r>
      <w:r w:rsidR="005A719B">
        <w:rPr>
          <w:lang w:val="en-US"/>
        </w:rPr>
        <w:t xml:space="preserve">disaster of </w:t>
      </w:r>
      <w:r w:rsidR="005A719B" w:rsidRPr="00953770">
        <w:rPr>
          <w:lang w:val="en-US"/>
        </w:rPr>
        <w:t>radioactiv</w:t>
      </w:r>
      <w:r w:rsidR="005A719B">
        <w:rPr>
          <w:lang w:val="en-US"/>
        </w:rPr>
        <w:t>e leak</w:t>
      </w:r>
      <w:r w:rsidR="005A719B" w:rsidRPr="00953770">
        <w:rPr>
          <w:lang w:val="en-US"/>
        </w:rPr>
        <w:t xml:space="preserve">. </w:t>
      </w:r>
    </w:p>
    <w:p w14:paraId="5A5C6F6E" w14:textId="77777777" w:rsidR="005A719B" w:rsidRDefault="005A719B" w:rsidP="00953770">
      <w:pPr>
        <w:spacing w:line="480" w:lineRule="auto"/>
        <w:jc w:val="both"/>
        <w:rPr>
          <w:lang w:val="en-US"/>
        </w:rPr>
      </w:pPr>
    </w:p>
    <w:p w14:paraId="10E56956" w14:textId="20BEB864" w:rsidR="005A719B" w:rsidRPr="0068461E" w:rsidRDefault="005A719B" w:rsidP="00953770">
      <w:pPr>
        <w:spacing w:line="480" w:lineRule="auto"/>
        <w:jc w:val="both"/>
        <w:rPr>
          <w:vertAlign w:val="superscript"/>
          <w:lang w:val="en-US"/>
        </w:rPr>
      </w:pPr>
      <w:r w:rsidRPr="00953770">
        <w:rPr>
          <w:lang w:val="en-US"/>
        </w:rPr>
        <w:t xml:space="preserve">In Europe, the demand for </w:t>
      </w:r>
      <w:r>
        <w:rPr>
          <w:lang w:val="en-US"/>
        </w:rPr>
        <w:t>ETF</w:t>
      </w:r>
      <w:r w:rsidRPr="00953770">
        <w:rPr>
          <w:lang w:val="en-US"/>
        </w:rPr>
        <w:t>s has never been higher</w:t>
      </w:r>
      <w:r>
        <w:rPr>
          <w:lang w:val="en-US"/>
        </w:rPr>
        <w:t xml:space="preserve"> </w:t>
      </w:r>
      <w:r w:rsidRPr="00290622">
        <w:rPr>
          <w:color w:val="000000" w:themeColor="text1"/>
          <w:lang w:val="en-US"/>
        </w:rPr>
        <w:t xml:space="preserve">as witnessed </w:t>
      </w:r>
      <w:r>
        <w:rPr>
          <w:lang w:val="en-US"/>
        </w:rPr>
        <w:t>presently</w:t>
      </w:r>
      <w:r w:rsidRPr="00953770">
        <w:rPr>
          <w:lang w:val="en-US"/>
        </w:rPr>
        <w:t xml:space="preserve">, and </w:t>
      </w:r>
      <w:r w:rsidRPr="00290622">
        <w:rPr>
          <w:color w:val="000000" w:themeColor="text1"/>
          <w:lang w:val="en-US"/>
        </w:rPr>
        <w:t xml:space="preserve">European ETFs tend to be multilateral traded simultaneously </w:t>
      </w:r>
      <w:r w:rsidRPr="00953770">
        <w:rPr>
          <w:lang w:val="en-US"/>
        </w:rPr>
        <w:t xml:space="preserve">in London, Frankfurt, and Paris. Compared to mutual funds, </w:t>
      </w:r>
      <w:r w:rsidRPr="00290622">
        <w:rPr>
          <w:color w:val="000000" w:themeColor="text1"/>
          <w:lang w:val="en-US"/>
        </w:rPr>
        <w:t>ETFs have clearly become more preferred investments because it is flexible,</w:t>
      </w:r>
      <w:r w:rsidRPr="00953770">
        <w:rPr>
          <w:lang w:val="en-US"/>
        </w:rPr>
        <w:t xml:space="preserve"> extremely liquid, low-cost and offers </w:t>
      </w:r>
      <w:r>
        <w:rPr>
          <w:lang w:val="en-US"/>
        </w:rPr>
        <w:t>pricing</w:t>
      </w:r>
      <w:r w:rsidRPr="00953770">
        <w:rPr>
          <w:lang w:val="en-US"/>
        </w:rPr>
        <w:t xml:space="preserve"> transparency. According to ETFGI, a London-based independent research and consultancy firm, </w:t>
      </w:r>
      <w:r>
        <w:rPr>
          <w:lang w:val="en-US"/>
        </w:rPr>
        <w:t>ETF</w:t>
      </w:r>
      <w:r w:rsidRPr="00953770">
        <w:rPr>
          <w:lang w:val="en-US"/>
        </w:rPr>
        <w:t xml:space="preserve">s managed </w:t>
      </w:r>
      <w:r w:rsidRPr="00290622">
        <w:rPr>
          <w:color w:val="000000" w:themeColor="text1"/>
          <w:lang w:val="en-US"/>
        </w:rPr>
        <w:t xml:space="preserve">in </w:t>
      </w:r>
      <w:r w:rsidRPr="00953770">
        <w:rPr>
          <w:lang w:val="en-US"/>
        </w:rPr>
        <w:t>Europe reached a record</w:t>
      </w:r>
      <w:r>
        <w:rPr>
          <w:lang w:val="en-US"/>
        </w:rPr>
        <w:t xml:space="preserve"> high of</w:t>
      </w:r>
      <w:r w:rsidRPr="00953770">
        <w:rPr>
          <w:lang w:val="en-US"/>
        </w:rPr>
        <w:t xml:space="preserve"> US$571 </w:t>
      </w:r>
      <w:r w:rsidRPr="0068461E">
        <w:rPr>
          <w:lang w:val="en-US"/>
        </w:rPr>
        <w:t>billon</w:t>
      </w:r>
      <w:r w:rsidR="0008306F" w:rsidRPr="0068461E">
        <w:rPr>
          <w:vertAlign w:val="superscript"/>
          <w:lang w:val="en-US"/>
        </w:rPr>
        <w:t>2</w:t>
      </w:r>
      <w:r w:rsidR="0008306F">
        <w:rPr>
          <w:lang w:val="en-US"/>
        </w:rPr>
        <w:t xml:space="preserve"> </w:t>
      </w:r>
      <w:r w:rsidRPr="00953770">
        <w:rPr>
          <w:lang w:val="en-US"/>
        </w:rPr>
        <w:t xml:space="preserve">at the end of 2016. </w:t>
      </w:r>
      <w:r w:rsidRPr="00290622">
        <w:rPr>
          <w:color w:val="000000" w:themeColor="text1"/>
          <w:lang w:val="en-US"/>
        </w:rPr>
        <w:t xml:space="preserve">A year later, this </w:t>
      </w:r>
      <w:r w:rsidRPr="00953770">
        <w:rPr>
          <w:lang w:val="en-US"/>
        </w:rPr>
        <w:t>value amounted to as high as US$777 b</w:t>
      </w:r>
      <w:r>
        <w:rPr>
          <w:lang w:val="en-US"/>
        </w:rPr>
        <w:t>illo</w:t>
      </w:r>
      <w:r w:rsidRPr="00953770">
        <w:rPr>
          <w:lang w:val="en-US"/>
        </w:rPr>
        <w:t>n, increased by a record US$206 b</w:t>
      </w:r>
      <w:r>
        <w:rPr>
          <w:lang w:val="en-US"/>
        </w:rPr>
        <w:t>illio</w:t>
      </w:r>
      <w:r w:rsidRPr="00953770">
        <w:rPr>
          <w:lang w:val="en-US"/>
        </w:rPr>
        <w:t xml:space="preserve">n </w:t>
      </w:r>
      <w:r w:rsidRPr="0068461E">
        <w:rPr>
          <w:lang w:val="en-US"/>
        </w:rPr>
        <w:t>approximately</w:t>
      </w:r>
      <w:r w:rsidR="0068461E" w:rsidRPr="0068461E">
        <w:rPr>
          <w:lang w:val="en-US"/>
        </w:rPr>
        <w:t>.</w:t>
      </w:r>
      <w:r w:rsidR="0068461E" w:rsidRPr="0068461E">
        <w:rPr>
          <w:vertAlign w:val="superscript"/>
          <w:lang w:val="en-US"/>
        </w:rPr>
        <w:t>3,</w:t>
      </w:r>
      <w:r w:rsidR="0008306F" w:rsidRPr="0068461E">
        <w:rPr>
          <w:vertAlign w:val="superscript"/>
          <w:lang w:val="en-US"/>
        </w:rPr>
        <w:t>4</w:t>
      </w:r>
      <w:r>
        <w:rPr>
          <w:lang w:val="en-US"/>
        </w:rPr>
        <w:t xml:space="preserve"> </w:t>
      </w:r>
      <w:r w:rsidRPr="00290622">
        <w:rPr>
          <w:lang w:val="en-US"/>
        </w:rPr>
        <w:t>BlackRock predicts European ETFs under management will reach the amount US$1000 billion by the end of 2020.</w:t>
      </w:r>
      <w:r w:rsidRPr="00953770">
        <w:rPr>
          <w:lang w:val="en-US"/>
        </w:rPr>
        <w:t xml:space="preserve"> Currently, European </w:t>
      </w:r>
      <w:r>
        <w:rPr>
          <w:lang w:val="en-US"/>
        </w:rPr>
        <w:t>ETFs</w:t>
      </w:r>
      <w:r w:rsidRPr="00953770">
        <w:rPr>
          <w:lang w:val="en-US"/>
        </w:rPr>
        <w:t xml:space="preserve"> are largely owned by institutional investors</w:t>
      </w:r>
      <w:r>
        <w:rPr>
          <w:lang w:val="en-US"/>
        </w:rPr>
        <w:t xml:space="preserve"> and </w:t>
      </w:r>
      <w:r w:rsidRPr="00953770">
        <w:rPr>
          <w:lang w:val="en-US"/>
        </w:rPr>
        <w:t xml:space="preserve">retail investors’ adoption of </w:t>
      </w:r>
      <w:r>
        <w:rPr>
          <w:lang w:val="en-US"/>
        </w:rPr>
        <w:t>ETFs</w:t>
      </w:r>
      <w:r w:rsidRPr="00953770">
        <w:rPr>
          <w:lang w:val="en-US"/>
        </w:rPr>
        <w:t xml:space="preserve"> is a crucial ingredient that is still </w:t>
      </w:r>
      <w:r w:rsidRPr="0068461E">
        <w:rPr>
          <w:lang w:val="en-US"/>
        </w:rPr>
        <w:t>missing</w:t>
      </w:r>
      <w:r w:rsidR="0068461E" w:rsidRPr="0068461E">
        <w:rPr>
          <w:lang w:val="en-US"/>
        </w:rPr>
        <w:t>.</w:t>
      </w:r>
      <w:r w:rsidR="0008306F" w:rsidRPr="0068461E">
        <w:rPr>
          <w:vertAlign w:val="superscript"/>
          <w:lang w:val="en-US"/>
        </w:rPr>
        <w:t>5</w:t>
      </w:r>
    </w:p>
    <w:p w14:paraId="683A4033" w14:textId="77777777" w:rsidR="005A719B" w:rsidRPr="00953770" w:rsidRDefault="005A719B" w:rsidP="00555BED">
      <w:pPr>
        <w:spacing w:line="480" w:lineRule="auto"/>
        <w:jc w:val="both"/>
        <w:rPr>
          <w:lang w:val="en-US"/>
        </w:rPr>
      </w:pPr>
    </w:p>
    <w:p w14:paraId="3A8FE5AE" w14:textId="2801EAE2" w:rsidR="005A719B" w:rsidRPr="004E2EAF" w:rsidRDefault="005A719B" w:rsidP="00555BED">
      <w:pPr>
        <w:spacing w:line="480" w:lineRule="auto"/>
        <w:jc w:val="both"/>
        <w:rPr>
          <w:color w:val="000000" w:themeColor="text1"/>
          <w:lang w:val="en-US"/>
        </w:rPr>
      </w:pPr>
      <w:r w:rsidRPr="00953770">
        <w:rPr>
          <w:lang w:val="en-US"/>
        </w:rPr>
        <w:t xml:space="preserve">The European ETF market entails a </w:t>
      </w:r>
      <w:r>
        <w:rPr>
          <w:lang w:val="en-US"/>
        </w:rPr>
        <w:t xml:space="preserve">highly </w:t>
      </w:r>
      <w:r w:rsidRPr="00953770">
        <w:rPr>
          <w:lang w:val="en-US"/>
        </w:rPr>
        <w:t xml:space="preserve">fragmented market with multiple </w:t>
      </w:r>
      <w:r>
        <w:rPr>
          <w:lang w:val="en-US"/>
        </w:rPr>
        <w:t>trading venues and listings</w:t>
      </w:r>
      <w:r w:rsidRPr="00953770">
        <w:rPr>
          <w:lang w:val="en-US"/>
        </w:rPr>
        <w:t>. According to ETFGI, at the end of December 2016, there were 6,976 listings from 56 ETF providers across 25 exchanges in 21 countries</w:t>
      </w:r>
      <w:r>
        <w:rPr>
          <w:lang w:val="en-US"/>
        </w:rPr>
        <w:t xml:space="preserve">. </w:t>
      </w:r>
      <w:r w:rsidRPr="004E2EAF">
        <w:rPr>
          <w:color w:val="000000" w:themeColor="text1"/>
          <w:lang w:val="en-US"/>
        </w:rPr>
        <w:t>The main European ETFs such as DAX, Euro Stoxx 50, Italy’s MIB, France’s CAC 40, and the pan-European STOXX 50 index operate in some of the most liquid markets.</w:t>
      </w:r>
      <w:r w:rsidRPr="001C4BB1">
        <w:rPr>
          <w:color w:val="FF0000"/>
          <w:lang w:val="en-US"/>
        </w:rPr>
        <w:t xml:space="preserve"> </w:t>
      </w:r>
      <w:r w:rsidRPr="00953770">
        <w:rPr>
          <w:lang w:val="en-US"/>
        </w:rPr>
        <w:t xml:space="preserve">Given the current boom and major growth in ETF trading in Europe, </w:t>
      </w:r>
      <w:r w:rsidRPr="00953770">
        <w:rPr>
          <w:iCs/>
          <w:color w:val="000000" w:themeColor="text1"/>
          <w:lang w:val="en-US"/>
        </w:rPr>
        <w:t xml:space="preserve">the need for research addressing the impact of </w:t>
      </w:r>
      <w:r w:rsidRPr="00953770">
        <w:rPr>
          <w:color w:val="000000" w:themeColor="text1"/>
          <w:lang w:val="en-US"/>
        </w:rPr>
        <w:t xml:space="preserve">the introduction of new instruments on the existing price </w:t>
      </w:r>
      <w:r w:rsidRPr="004E2EAF">
        <w:rPr>
          <w:color w:val="000000" w:themeColor="text1"/>
          <w:lang w:val="en-US"/>
        </w:rPr>
        <w:t>discovery structure is urgent.</w:t>
      </w:r>
    </w:p>
    <w:p w14:paraId="240E9FBB" w14:textId="77777777" w:rsidR="005A719B" w:rsidRPr="00953770" w:rsidRDefault="005A719B" w:rsidP="00861A44">
      <w:pPr>
        <w:widowControl w:val="0"/>
        <w:spacing w:line="480" w:lineRule="auto"/>
        <w:jc w:val="both"/>
        <w:rPr>
          <w:lang w:val="en-US"/>
        </w:rPr>
      </w:pPr>
    </w:p>
    <w:p w14:paraId="0BF70A4E" w14:textId="0933EE1C" w:rsidR="005A719B" w:rsidRPr="00B56ABD" w:rsidRDefault="005A719B" w:rsidP="00E87583">
      <w:pPr>
        <w:widowControl w:val="0"/>
        <w:spacing w:line="480" w:lineRule="auto"/>
        <w:jc w:val="both"/>
        <w:rPr>
          <w:rFonts w:eastAsia="SimSun"/>
          <w:color w:val="FF0000"/>
          <w:kern w:val="2"/>
          <w:lang w:val="en-US"/>
        </w:rPr>
      </w:pPr>
      <w:r w:rsidRPr="00420EEB">
        <w:rPr>
          <w:color w:val="000000"/>
          <w:lang w:val="en-US" w:eastAsia="en-US"/>
        </w:rPr>
        <w:t>Recent</w:t>
      </w:r>
      <w:r w:rsidRPr="00953770">
        <w:rPr>
          <w:color w:val="000000"/>
          <w:lang w:val="en-US" w:eastAsia="en-US"/>
        </w:rPr>
        <w:t xml:space="preserve"> academic literature on price discovery seem </w:t>
      </w:r>
      <w:r w:rsidRPr="004F4812">
        <w:rPr>
          <w:color w:val="000000" w:themeColor="text1"/>
          <w:lang w:val="en-US" w:eastAsia="en-US"/>
        </w:rPr>
        <w:t xml:space="preserve">to have little concentration </w:t>
      </w:r>
      <w:r>
        <w:rPr>
          <w:color w:val="000000"/>
          <w:lang w:val="en-US" w:eastAsia="en-US"/>
        </w:rPr>
        <w:t xml:space="preserve">on </w:t>
      </w:r>
      <w:r w:rsidRPr="00953770">
        <w:rPr>
          <w:color w:val="000000"/>
          <w:lang w:val="en-US" w:eastAsia="en-US"/>
        </w:rPr>
        <w:t>the emergence of new financial instrument</w:t>
      </w:r>
      <w:r>
        <w:rPr>
          <w:color w:val="000000"/>
          <w:lang w:val="en-US" w:eastAsia="en-US"/>
        </w:rPr>
        <w:t>s of this kind</w:t>
      </w:r>
      <w:r w:rsidRPr="00953770">
        <w:rPr>
          <w:color w:val="000000"/>
          <w:lang w:val="en-US" w:eastAsia="en-US"/>
        </w:rPr>
        <w:t xml:space="preserve"> (see, for example, </w:t>
      </w:r>
      <w:r w:rsidR="00903E98" w:rsidRPr="00903E98">
        <w:rPr>
          <w:color w:val="000000"/>
          <w:lang w:val="en-US" w:eastAsia="en-US"/>
        </w:rPr>
        <w:t xml:space="preserve">Stoll and Whaley, 1990; Chan, 1992; </w:t>
      </w:r>
      <w:r w:rsidR="00E43CC8">
        <w:rPr>
          <w:color w:val="000000"/>
          <w:lang w:val="en-US" w:eastAsia="en-US"/>
        </w:rPr>
        <w:t>Choi and Subrahmanyam, 1994;</w:t>
      </w:r>
      <w:r w:rsidR="00E43CC8" w:rsidRPr="00903E98">
        <w:rPr>
          <w:color w:val="000000"/>
          <w:lang w:val="en-US" w:eastAsia="en-US"/>
        </w:rPr>
        <w:t xml:space="preserve"> Fleming et al.</w:t>
      </w:r>
      <w:r w:rsidR="00E43CC8">
        <w:rPr>
          <w:color w:val="000000"/>
          <w:lang w:val="en-US" w:eastAsia="en-US"/>
        </w:rPr>
        <w:t xml:space="preserve">, 1996; </w:t>
      </w:r>
      <w:r w:rsidR="00903E98" w:rsidRPr="00903E98">
        <w:rPr>
          <w:color w:val="000000"/>
          <w:lang w:val="en-US" w:eastAsia="en-US"/>
        </w:rPr>
        <w:t xml:space="preserve">Shyy et al., 1996; Pizzi et al., 1998; </w:t>
      </w:r>
      <w:r w:rsidR="00E43CC8">
        <w:rPr>
          <w:color w:val="000000"/>
          <w:lang w:val="en-US" w:eastAsia="en-US"/>
        </w:rPr>
        <w:t>Chu et al., 1999;</w:t>
      </w:r>
      <w:r w:rsidR="00E43CC8" w:rsidRPr="00E43CC8">
        <w:rPr>
          <w:color w:val="000000"/>
          <w:lang w:val="en-US" w:eastAsia="en-US"/>
        </w:rPr>
        <w:t xml:space="preserve"> </w:t>
      </w:r>
      <w:r w:rsidR="00E43CC8" w:rsidRPr="00903E98">
        <w:rPr>
          <w:color w:val="000000"/>
          <w:lang w:val="en-US" w:eastAsia="en-US"/>
        </w:rPr>
        <w:t>Theissen, 2012</w:t>
      </w:r>
      <w:r w:rsidRPr="00953770">
        <w:rPr>
          <w:color w:val="000000"/>
          <w:lang w:val="en-US" w:eastAsia="en-US"/>
        </w:rPr>
        <w:t>)</w:t>
      </w:r>
      <w:r>
        <w:rPr>
          <w:color w:val="000000"/>
          <w:lang w:val="en-US" w:eastAsia="en-US"/>
        </w:rPr>
        <w:t>. The majority have foc</w:t>
      </w:r>
      <w:r w:rsidRPr="00953770">
        <w:rPr>
          <w:color w:val="000000"/>
          <w:lang w:val="en-US" w:eastAsia="en-US"/>
        </w:rPr>
        <w:t xml:space="preserve">used </w:t>
      </w:r>
      <w:r w:rsidRPr="004F4812">
        <w:rPr>
          <w:color w:val="000000" w:themeColor="text1"/>
          <w:lang w:val="en-US" w:eastAsia="en-US"/>
        </w:rPr>
        <w:t>on the role of price discovery between futures and spot markets and the general consensus is that futures market often dominates</w:t>
      </w:r>
      <w:r w:rsidR="0068461E" w:rsidRPr="004F4812">
        <w:rPr>
          <w:color w:val="000000" w:themeColor="text1"/>
          <w:lang w:val="en-US" w:eastAsia="en-US"/>
        </w:rPr>
        <w:t>.</w:t>
      </w:r>
      <w:r w:rsidR="00AA55FD" w:rsidRPr="004F4812">
        <w:rPr>
          <w:color w:val="000000" w:themeColor="text1"/>
          <w:vertAlign w:val="superscript"/>
          <w:lang w:val="en-US" w:eastAsia="en-US"/>
        </w:rPr>
        <w:t>6</w:t>
      </w:r>
      <w:r w:rsidRPr="004F4812">
        <w:rPr>
          <w:color w:val="000000" w:themeColor="text1"/>
          <w:lang w:val="en-US" w:eastAsia="en-US"/>
        </w:rPr>
        <w:t xml:space="preserve"> The traditional view of the lead and lag type of studies suggest that the strong price discovery among financial assets is rooted in three basic aspects: low trading costs (e.g. </w:t>
      </w:r>
      <w:r w:rsidRPr="004F4812">
        <w:rPr>
          <w:rFonts w:ascii="Times" w:eastAsia="SimSun" w:hAnsi="Times"/>
          <w:color w:val="000000" w:themeColor="text1"/>
          <w:lang w:val="en-US"/>
        </w:rPr>
        <w:t xml:space="preserve">Fleming et al., 1996; </w:t>
      </w:r>
      <w:r w:rsidRPr="004F4812">
        <w:rPr>
          <w:rFonts w:ascii="Times" w:eastAsia="Times New Roman" w:hAnsi="Times"/>
          <w:color w:val="000000" w:themeColor="text1"/>
          <w:lang w:val="en-US"/>
        </w:rPr>
        <w:t>Chan, 1992</w:t>
      </w:r>
      <w:r w:rsidRPr="004F4812">
        <w:rPr>
          <w:rFonts w:ascii="Times" w:eastAsia="SimSun" w:hAnsi="Times"/>
          <w:color w:val="000000" w:themeColor="text1"/>
          <w:lang w:val="en-US"/>
        </w:rPr>
        <w:t>)</w:t>
      </w:r>
      <w:r w:rsidRPr="004F4812">
        <w:rPr>
          <w:color w:val="000000" w:themeColor="text1"/>
          <w:lang w:val="en-US" w:eastAsia="en-US"/>
        </w:rPr>
        <w:t>,</w:t>
      </w:r>
      <w:r w:rsidRPr="004F4812">
        <w:rPr>
          <w:rFonts w:eastAsia="SimSun"/>
          <w:color w:val="000000" w:themeColor="text1"/>
          <w:kern w:val="2"/>
          <w:lang w:val="en-US"/>
        </w:rPr>
        <w:t xml:space="preserve"> risk diversification (</w:t>
      </w:r>
      <w:r w:rsidRPr="004F4812">
        <w:rPr>
          <w:rFonts w:eastAsia="Times New Roman" w:hint="eastAsia"/>
          <w:color w:val="000000" w:themeColor="text1"/>
        </w:rPr>
        <w:t>S</w:t>
      </w:r>
      <w:r w:rsidRPr="004F4812">
        <w:rPr>
          <w:rFonts w:eastAsia="Times New Roman"/>
          <w:color w:val="000000" w:themeColor="text1"/>
        </w:rPr>
        <w:t>ubrahmanyam</w:t>
      </w:r>
      <w:r w:rsidRPr="004F4812">
        <w:rPr>
          <w:rFonts w:eastAsia="SimSun"/>
          <w:color w:val="000000" w:themeColor="text1"/>
        </w:rPr>
        <w:t xml:space="preserve">, 1991; </w:t>
      </w:r>
      <w:r w:rsidRPr="004F4812">
        <w:rPr>
          <w:rFonts w:ascii="Times" w:eastAsia="Times New Roman" w:hAnsi="Times"/>
          <w:color w:val="000000" w:themeColor="text1"/>
          <w:lang w:val="en-US"/>
        </w:rPr>
        <w:t xml:space="preserve">Gammil &amp; Perold, 1989; </w:t>
      </w:r>
      <w:r w:rsidRPr="004F4812">
        <w:rPr>
          <w:color w:val="000000" w:themeColor="text1"/>
          <w:lang w:val="en-US" w:eastAsia="en-US"/>
        </w:rPr>
        <w:t>Deville et al., 2014</w:t>
      </w:r>
      <w:r w:rsidRPr="004F4812">
        <w:rPr>
          <w:rFonts w:ascii="Times" w:eastAsia="Times New Roman" w:hAnsi="Times"/>
          <w:color w:val="000000" w:themeColor="text1"/>
          <w:lang w:val="en-US"/>
        </w:rPr>
        <w:t>)</w:t>
      </w:r>
      <w:r w:rsidRPr="004F4812">
        <w:rPr>
          <w:rFonts w:eastAsia="SimSun"/>
          <w:color w:val="000000" w:themeColor="text1"/>
          <w:kern w:val="2"/>
          <w:lang w:val="en-US"/>
        </w:rPr>
        <w:t xml:space="preserve"> and sufficiency together with synchronization of trading (Stoll &amp; Whaley, 1990; Chan, 1992; Shyy et al., 1996; Chou and Chung, 2006;  Theissen, 2012). ETFs, which are designed to replicate the performance of an index as closely as possible (Hedge and </w:t>
      </w:r>
      <w:r w:rsidRPr="004F4812">
        <w:rPr>
          <w:rFonts w:eastAsia="SimSun"/>
          <w:color w:val="000000" w:themeColor="text1"/>
          <w:lang w:val="en-US"/>
        </w:rPr>
        <w:t>McDermott</w:t>
      </w:r>
      <w:r w:rsidRPr="004F4812">
        <w:rPr>
          <w:rFonts w:eastAsia="SimSun"/>
          <w:color w:val="000000" w:themeColor="text1"/>
          <w:kern w:val="2"/>
          <w:lang w:val="en-US"/>
        </w:rPr>
        <w:t xml:space="preserve">, 2004) through a single instrument/fund of a basket of securities, demonstrate excellence in all these areas. However, literature show varied results that stock futures still overpower ETFs in many cases. </w:t>
      </w:r>
      <w:r w:rsidRPr="004F4812">
        <w:rPr>
          <w:rFonts w:eastAsia="SimSun"/>
          <w:color w:val="000000" w:themeColor="text1"/>
          <w:lang w:val="en-US"/>
        </w:rPr>
        <w:t xml:space="preserve">For instance, Frommherz (2017) argues that futures and ETFs of DAX are found in a contesting relationship: the stock index futures market still takes the lead and it was closely followed by the ETF; but the level of dominance of futures was weakened by the ETFs contribution to price discovery. Additionally, trading of the ETF led to the close alignment of share prices of the underlying components of DAX. This means </w:t>
      </w:r>
      <w:r w:rsidRPr="004F4812">
        <w:rPr>
          <w:color w:val="000000" w:themeColor="text1"/>
          <w:lang w:val="en-US" w:eastAsia="en-US"/>
        </w:rPr>
        <w:t>the price gap between the ETFs and underlying stocks were tightened more than that between spot and futures</w:t>
      </w:r>
      <w:r w:rsidR="0068461E" w:rsidRPr="004F4812">
        <w:rPr>
          <w:color w:val="000000" w:themeColor="text1"/>
          <w:lang w:val="en-US" w:eastAsia="en-US"/>
        </w:rPr>
        <w:t>.</w:t>
      </w:r>
      <w:r w:rsidR="0068461E" w:rsidRPr="004F4812">
        <w:rPr>
          <w:color w:val="000000" w:themeColor="text1"/>
          <w:vertAlign w:val="superscript"/>
          <w:lang w:val="en-US" w:eastAsia="en-US"/>
        </w:rPr>
        <w:t>7,</w:t>
      </w:r>
      <w:r w:rsidR="00AA55FD" w:rsidRPr="004F4812">
        <w:rPr>
          <w:color w:val="000000" w:themeColor="text1"/>
          <w:vertAlign w:val="superscript"/>
          <w:lang w:val="en-US" w:eastAsia="en-US"/>
        </w:rPr>
        <w:t>8</w:t>
      </w:r>
      <w:r w:rsidRPr="004F4812">
        <w:rPr>
          <w:color w:val="000000" w:themeColor="text1"/>
          <w:lang w:val="en-US" w:eastAsia="en-US"/>
        </w:rPr>
        <w:t xml:space="preserve"> </w:t>
      </w:r>
      <w:r w:rsidRPr="004F4812">
        <w:rPr>
          <w:rFonts w:eastAsia="SimSun"/>
          <w:color w:val="000000" w:themeColor="text1"/>
          <w:kern w:val="2"/>
          <w:lang w:val="en-US"/>
        </w:rPr>
        <w:t>Therefore, the important and natural question to ask is whether proliferation of ETFs change the existing price leadership held by the stock index futures markets</w:t>
      </w:r>
      <w:r w:rsidRPr="004F4812">
        <w:rPr>
          <w:color w:val="000000" w:themeColor="text1"/>
          <w:lang w:val="en-US" w:eastAsia="en-US"/>
        </w:rPr>
        <w:t xml:space="preserve"> universally or it is subject to a specific market? Again, according to </w:t>
      </w:r>
      <w:r w:rsidRPr="004F4812">
        <w:rPr>
          <w:rFonts w:eastAsia="SimSun"/>
          <w:color w:val="000000" w:themeColor="text1"/>
          <w:kern w:val="2"/>
          <w:lang w:val="en-US"/>
        </w:rPr>
        <w:t xml:space="preserve">Madhavan and Sobczyk (2016), there is no </w:t>
      </w:r>
      <w:r w:rsidRPr="00953770">
        <w:rPr>
          <w:rFonts w:eastAsia="SimSun"/>
          <w:kern w:val="2"/>
          <w:lang w:val="en-US"/>
        </w:rPr>
        <w:t xml:space="preserve">simple answer </w:t>
      </w:r>
      <w:r>
        <w:rPr>
          <w:rFonts w:eastAsia="SimSun"/>
          <w:kern w:val="2"/>
          <w:lang w:val="en-US"/>
        </w:rPr>
        <w:t xml:space="preserve">exists </w:t>
      </w:r>
      <w:r w:rsidRPr="00953770">
        <w:rPr>
          <w:rFonts w:eastAsia="SimSun"/>
          <w:kern w:val="2"/>
          <w:lang w:val="en-US"/>
        </w:rPr>
        <w:t xml:space="preserve">to </w:t>
      </w:r>
      <w:r>
        <w:rPr>
          <w:rFonts w:eastAsia="SimSun"/>
          <w:kern w:val="2"/>
          <w:lang w:val="en-US"/>
        </w:rPr>
        <w:t xml:space="preserve">the question of </w:t>
      </w:r>
      <w:r w:rsidRPr="00953770">
        <w:rPr>
          <w:rFonts w:eastAsia="SimSun"/>
          <w:kern w:val="2"/>
          <w:lang w:val="en-US"/>
        </w:rPr>
        <w:t xml:space="preserve">whether </w:t>
      </w:r>
      <w:r>
        <w:rPr>
          <w:rFonts w:eastAsia="SimSun"/>
          <w:kern w:val="2"/>
          <w:lang w:val="en-US"/>
        </w:rPr>
        <w:t>ETFs</w:t>
      </w:r>
      <w:r w:rsidRPr="00953770">
        <w:rPr>
          <w:rFonts w:eastAsia="SimSun"/>
          <w:kern w:val="2"/>
          <w:lang w:val="en-US"/>
        </w:rPr>
        <w:t xml:space="preserve"> or index futures </w:t>
      </w:r>
      <w:r>
        <w:rPr>
          <w:rFonts w:eastAsia="SimSun"/>
          <w:kern w:val="2"/>
          <w:lang w:val="en-US"/>
        </w:rPr>
        <w:t xml:space="preserve">present the </w:t>
      </w:r>
      <w:r w:rsidRPr="00953770">
        <w:rPr>
          <w:rFonts w:eastAsia="SimSun"/>
          <w:kern w:val="2"/>
          <w:lang w:val="en-US"/>
        </w:rPr>
        <w:t xml:space="preserve">more cost-efficient </w:t>
      </w:r>
      <w:r>
        <w:rPr>
          <w:rFonts w:eastAsia="SimSun"/>
          <w:kern w:val="2"/>
          <w:lang w:val="en-US"/>
        </w:rPr>
        <w:t>alternative.</w:t>
      </w:r>
      <w:r w:rsidRPr="00953770">
        <w:rPr>
          <w:rFonts w:eastAsia="SimSun"/>
          <w:kern w:val="2"/>
          <w:lang w:val="en-US"/>
        </w:rPr>
        <w:t xml:space="preserve"> </w:t>
      </w:r>
      <w:r>
        <w:rPr>
          <w:rFonts w:eastAsia="SimSun"/>
          <w:kern w:val="2"/>
          <w:lang w:val="en-US"/>
        </w:rPr>
        <w:t xml:space="preserve">This is because </w:t>
      </w:r>
      <w:r w:rsidRPr="00953770">
        <w:rPr>
          <w:rFonts w:eastAsia="SimSun"/>
          <w:kern w:val="2"/>
          <w:lang w:val="en-US"/>
        </w:rPr>
        <w:t>either</w:t>
      </w:r>
      <w:r>
        <w:rPr>
          <w:rFonts w:eastAsia="SimSun"/>
          <w:kern w:val="2"/>
          <w:lang w:val="en-US"/>
        </w:rPr>
        <w:t xml:space="preserve"> </w:t>
      </w:r>
      <w:r w:rsidRPr="00953770">
        <w:rPr>
          <w:rFonts w:eastAsia="SimSun"/>
          <w:kern w:val="2"/>
          <w:lang w:val="en-US"/>
        </w:rPr>
        <w:t>can be character</w:t>
      </w:r>
      <w:r>
        <w:rPr>
          <w:rFonts w:eastAsia="SimSun"/>
          <w:kern w:val="2"/>
          <w:lang w:val="en-US"/>
        </w:rPr>
        <w:t>ized</w:t>
      </w:r>
      <w:r w:rsidRPr="00953770">
        <w:rPr>
          <w:rFonts w:eastAsia="SimSun"/>
          <w:kern w:val="2"/>
          <w:lang w:val="en-US"/>
        </w:rPr>
        <w:t xml:space="preserve"> </w:t>
      </w:r>
      <w:r>
        <w:rPr>
          <w:rFonts w:eastAsia="SimSun"/>
          <w:kern w:val="2"/>
          <w:lang w:val="en-US"/>
        </w:rPr>
        <w:t xml:space="preserve">by </w:t>
      </w:r>
      <w:r w:rsidRPr="00953770">
        <w:rPr>
          <w:rFonts w:eastAsia="SimSun"/>
          <w:kern w:val="2"/>
          <w:lang w:val="en-US"/>
        </w:rPr>
        <w:t xml:space="preserve">factors such as short- and long-term investments as well as fully-funded and leveraged investments. However, </w:t>
      </w:r>
      <w:r w:rsidRPr="00953770">
        <w:rPr>
          <w:color w:val="000000"/>
          <w:lang w:val="en-US" w:eastAsia="en-US"/>
        </w:rPr>
        <w:t xml:space="preserve">Deville et al. (2014) </w:t>
      </w:r>
      <w:r>
        <w:rPr>
          <w:color w:val="000000"/>
          <w:lang w:val="en-US" w:eastAsia="en-US"/>
        </w:rPr>
        <w:t xml:space="preserve">asserted </w:t>
      </w:r>
      <w:r w:rsidRPr="00953770">
        <w:rPr>
          <w:color w:val="000000"/>
          <w:lang w:val="en-US" w:eastAsia="en-US"/>
        </w:rPr>
        <w:t xml:space="preserve">that </w:t>
      </w:r>
      <w:r>
        <w:rPr>
          <w:color w:val="000000"/>
          <w:lang w:val="en-US" w:eastAsia="en-US"/>
        </w:rPr>
        <w:t>ETFs</w:t>
      </w:r>
      <w:r w:rsidRPr="00953770">
        <w:rPr>
          <w:color w:val="000000"/>
          <w:lang w:val="en-US" w:eastAsia="en-US"/>
        </w:rPr>
        <w:t xml:space="preserve"> attract long-term position hedgers and liquidity traders, and hence</w:t>
      </w:r>
      <w:r>
        <w:rPr>
          <w:color w:val="000000"/>
          <w:lang w:val="en-US" w:eastAsia="en-US"/>
        </w:rPr>
        <w:t>,</w:t>
      </w:r>
      <w:r w:rsidRPr="00953770">
        <w:rPr>
          <w:color w:val="000000"/>
          <w:lang w:val="en-US" w:eastAsia="en-US"/>
        </w:rPr>
        <w:t xml:space="preserve"> </w:t>
      </w:r>
      <w:r>
        <w:rPr>
          <w:color w:val="000000"/>
          <w:lang w:val="en-US" w:eastAsia="en-US"/>
        </w:rPr>
        <w:t>ETFs</w:t>
      </w:r>
      <w:r w:rsidRPr="00953770">
        <w:rPr>
          <w:color w:val="000000"/>
          <w:lang w:val="en-US" w:eastAsia="en-US"/>
        </w:rPr>
        <w:t xml:space="preserve"> </w:t>
      </w:r>
      <w:r w:rsidRPr="00F05CCF">
        <w:rPr>
          <w:color w:val="000000"/>
          <w:lang w:val="en-US" w:eastAsia="en-US"/>
        </w:rPr>
        <w:t xml:space="preserve">proliferation </w:t>
      </w:r>
      <w:r w:rsidRPr="00953770">
        <w:rPr>
          <w:color w:val="000000"/>
          <w:lang w:val="en-US" w:eastAsia="en-US"/>
        </w:rPr>
        <w:t xml:space="preserve">may result in </w:t>
      </w:r>
      <w:r>
        <w:rPr>
          <w:color w:val="000000"/>
          <w:lang w:val="en-US" w:eastAsia="en-US"/>
        </w:rPr>
        <w:t xml:space="preserve">the </w:t>
      </w:r>
      <w:r w:rsidRPr="00953770">
        <w:rPr>
          <w:color w:val="000000"/>
          <w:lang w:val="en-US" w:eastAsia="en-US"/>
        </w:rPr>
        <w:t xml:space="preserve">redistribution of index traders across the index markets, </w:t>
      </w:r>
      <w:r>
        <w:rPr>
          <w:color w:val="000000"/>
          <w:lang w:val="en-US" w:eastAsia="en-US"/>
        </w:rPr>
        <w:t xml:space="preserve">which, in turn, can enhance the </w:t>
      </w:r>
      <w:r w:rsidRPr="00953770">
        <w:rPr>
          <w:color w:val="000000"/>
          <w:lang w:val="en-US" w:eastAsia="en-US"/>
        </w:rPr>
        <w:t xml:space="preserve">price efficiency. </w:t>
      </w:r>
    </w:p>
    <w:p w14:paraId="0755DB07" w14:textId="77777777" w:rsidR="005A719B" w:rsidRDefault="005A719B" w:rsidP="00686227">
      <w:pPr>
        <w:spacing w:line="480" w:lineRule="auto"/>
        <w:jc w:val="both"/>
        <w:rPr>
          <w:rFonts w:eastAsia="SimSun"/>
          <w:color w:val="FF0000"/>
          <w:kern w:val="2"/>
          <w:lang w:val="en-US" w:eastAsia="en-US"/>
        </w:rPr>
      </w:pPr>
    </w:p>
    <w:p w14:paraId="51F447D5" w14:textId="718F98ED" w:rsidR="005A719B" w:rsidRPr="00953770" w:rsidRDefault="005A719B" w:rsidP="00686227">
      <w:pPr>
        <w:spacing w:line="480" w:lineRule="auto"/>
        <w:jc w:val="both"/>
        <w:rPr>
          <w:color w:val="000000" w:themeColor="text1"/>
          <w:lang w:val="en-US"/>
        </w:rPr>
      </w:pPr>
      <w:r w:rsidRPr="0022341D">
        <w:rPr>
          <w:rFonts w:eastAsia="SimSun"/>
          <w:color w:val="000000" w:themeColor="text1"/>
          <w:kern w:val="2"/>
          <w:lang w:val="en-US" w:eastAsia="en-US"/>
        </w:rPr>
        <w:t xml:space="preserve">After the extensive investigation of the literature, we are urged to further study </w:t>
      </w:r>
      <w:r w:rsidRPr="0022341D">
        <w:rPr>
          <w:color w:val="000000" w:themeColor="text1"/>
          <w:lang w:val="en-US"/>
        </w:rPr>
        <w:t xml:space="preserve">the role of ETFs in price discovery. </w:t>
      </w:r>
      <w:r w:rsidRPr="00953770">
        <w:rPr>
          <w:color w:val="000000" w:themeColor="text1"/>
          <w:lang w:val="en-US"/>
        </w:rPr>
        <w:t>This</w:t>
      </w:r>
      <w:r>
        <w:rPr>
          <w:color w:val="000000" w:themeColor="text1"/>
          <w:lang w:val="en-US"/>
        </w:rPr>
        <w:t xml:space="preserve"> issue </w:t>
      </w:r>
      <w:r w:rsidRPr="00BA140D">
        <w:rPr>
          <w:color w:val="000000" w:themeColor="text1"/>
        </w:rPr>
        <w:t xml:space="preserve">is </w:t>
      </w:r>
      <w:r w:rsidRPr="00953770">
        <w:rPr>
          <w:color w:val="000000" w:themeColor="text1"/>
          <w:lang w:val="en-US"/>
        </w:rPr>
        <w:t>particular</w:t>
      </w:r>
      <w:r>
        <w:rPr>
          <w:color w:val="000000" w:themeColor="text1"/>
          <w:lang w:val="en-US"/>
        </w:rPr>
        <w:t>ly</w:t>
      </w:r>
      <w:r w:rsidRPr="00953770">
        <w:rPr>
          <w:color w:val="000000" w:themeColor="text1"/>
          <w:lang w:val="en-US"/>
        </w:rPr>
        <w:t xml:space="preserve"> </w:t>
      </w:r>
      <w:r>
        <w:rPr>
          <w:color w:val="000000" w:themeColor="text1"/>
          <w:lang w:val="en-US"/>
        </w:rPr>
        <w:t xml:space="preserve">significant </w:t>
      </w:r>
      <w:r w:rsidRPr="00953770">
        <w:rPr>
          <w:color w:val="000000" w:themeColor="text1"/>
          <w:lang w:val="en-US"/>
        </w:rPr>
        <w:t xml:space="preserve">and urgent as </w:t>
      </w:r>
      <w:r w:rsidRPr="00953770">
        <w:rPr>
          <w:rFonts w:eastAsia="SimSun"/>
          <w:kern w:val="2"/>
          <w:lang w:val="en-US"/>
        </w:rPr>
        <w:t xml:space="preserve">the recent proliferation of </w:t>
      </w:r>
      <w:r>
        <w:rPr>
          <w:rFonts w:eastAsia="SimSun"/>
          <w:kern w:val="2"/>
          <w:lang w:val="en-US"/>
        </w:rPr>
        <w:t>ETF</w:t>
      </w:r>
      <w:r w:rsidRPr="00953770">
        <w:rPr>
          <w:rFonts w:eastAsia="SimSun"/>
          <w:kern w:val="2"/>
          <w:lang w:val="en-US"/>
        </w:rPr>
        <w:t xml:space="preserve">s </w:t>
      </w:r>
      <w:r>
        <w:rPr>
          <w:color w:val="000000" w:themeColor="text1"/>
          <w:lang w:val="en-US"/>
        </w:rPr>
        <w:t xml:space="preserve">may lead to changes in </w:t>
      </w:r>
      <w:r w:rsidRPr="00953770">
        <w:rPr>
          <w:color w:val="000000" w:themeColor="text1"/>
          <w:lang w:val="en-US"/>
        </w:rPr>
        <w:t xml:space="preserve">the existing price discovery structure. </w:t>
      </w:r>
      <w:r w:rsidRPr="00953770">
        <w:rPr>
          <w:rFonts w:eastAsia="SimSun"/>
          <w:kern w:val="2"/>
          <w:lang w:val="en-US"/>
        </w:rPr>
        <w:t xml:space="preserve">To </w:t>
      </w:r>
      <w:r>
        <w:rPr>
          <w:rFonts w:eastAsia="SimSun"/>
          <w:kern w:val="2"/>
          <w:lang w:val="en-US"/>
        </w:rPr>
        <w:t xml:space="preserve">accomplish </w:t>
      </w:r>
      <w:r w:rsidRPr="00953770">
        <w:rPr>
          <w:rFonts w:eastAsia="SimSun"/>
          <w:kern w:val="2"/>
          <w:lang w:val="en-US"/>
        </w:rPr>
        <w:t>th</w:t>
      </w:r>
      <w:r>
        <w:rPr>
          <w:rFonts w:eastAsia="SimSun"/>
          <w:kern w:val="2"/>
          <w:lang w:val="en-US"/>
        </w:rPr>
        <w:t>e above-sated purpose</w:t>
      </w:r>
      <w:r w:rsidRPr="00953770">
        <w:rPr>
          <w:rFonts w:eastAsia="SimSun"/>
          <w:kern w:val="2"/>
          <w:lang w:val="en-US"/>
        </w:rPr>
        <w:t xml:space="preserve">, </w:t>
      </w:r>
      <w:r w:rsidRPr="00953770">
        <w:rPr>
          <w:color w:val="000000" w:themeColor="text1"/>
          <w:lang w:val="en-US"/>
        </w:rPr>
        <w:t>we undertake an extensive study of price discovery for three major European price indices</w:t>
      </w:r>
      <w:r>
        <w:rPr>
          <w:color w:val="000000" w:themeColor="text1"/>
          <w:lang w:val="en-US"/>
        </w:rPr>
        <w:t>,</w:t>
      </w:r>
      <w:r w:rsidRPr="00953770">
        <w:rPr>
          <w:color w:val="000000" w:themeColor="text1"/>
          <w:lang w:val="en-US"/>
        </w:rPr>
        <w:t xml:space="preserve"> focus</w:t>
      </w:r>
      <w:r>
        <w:rPr>
          <w:color w:val="000000" w:themeColor="text1"/>
          <w:lang w:val="en-US"/>
        </w:rPr>
        <w:t>ing</w:t>
      </w:r>
      <w:r w:rsidRPr="00953770">
        <w:rPr>
          <w:color w:val="000000" w:themeColor="text1"/>
          <w:lang w:val="en-US"/>
        </w:rPr>
        <w:t xml:space="preserve"> on whether </w:t>
      </w:r>
      <w:r>
        <w:rPr>
          <w:color w:val="000000" w:themeColor="text1"/>
          <w:lang w:val="en-US"/>
        </w:rPr>
        <w:t>ETFs</w:t>
      </w:r>
      <w:r w:rsidRPr="00953770">
        <w:rPr>
          <w:color w:val="000000" w:themeColor="text1"/>
          <w:lang w:val="en-US"/>
        </w:rPr>
        <w:t xml:space="preserve"> have </w:t>
      </w:r>
      <w:r>
        <w:rPr>
          <w:color w:val="000000" w:themeColor="text1"/>
          <w:lang w:val="en-US"/>
        </w:rPr>
        <w:t xml:space="preserve">surpassed </w:t>
      </w:r>
      <w:r w:rsidRPr="00953770">
        <w:rPr>
          <w:color w:val="000000" w:themeColor="text1"/>
          <w:lang w:val="en-US"/>
        </w:rPr>
        <w:t xml:space="preserve">futures or spot indices </w:t>
      </w:r>
      <w:r>
        <w:rPr>
          <w:color w:val="000000" w:themeColor="text1"/>
          <w:lang w:val="en-US"/>
        </w:rPr>
        <w:t xml:space="preserve">to </w:t>
      </w:r>
      <w:r w:rsidRPr="00953770">
        <w:rPr>
          <w:color w:val="000000" w:themeColor="text1"/>
          <w:lang w:val="en-US"/>
        </w:rPr>
        <w:t xml:space="preserve">become the leading information transmission vehicle. In particular, we </w:t>
      </w:r>
      <w:r>
        <w:rPr>
          <w:color w:val="000000" w:themeColor="text1"/>
          <w:lang w:val="en-US"/>
        </w:rPr>
        <w:t>examine</w:t>
      </w:r>
      <w:r w:rsidRPr="00953770">
        <w:rPr>
          <w:color w:val="000000" w:themeColor="text1"/>
          <w:lang w:val="en-US"/>
        </w:rPr>
        <w:t xml:space="preserve"> three major European stock market indices (FTSE 100 in UK, CAC 40 in France, and DAX 30 in Germany), their futures and </w:t>
      </w:r>
      <w:r>
        <w:rPr>
          <w:color w:val="000000" w:themeColor="text1"/>
          <w:lang w:val="en-US"/>
        </w:rPr>
        <w:t>ETFs,</w:t>
      </w:r>
      <w:r w:rsidRPr="00953770">
        <w:rPr>
          <w:color w:val="000000" w:themeColor="text1"/>
          <w:lang w:val="en-US"/>
        </w:rPr>
        <w:t xml:space="preserve"> using a large-scale dataset covering 4 years of intraday 5-minute transaction prices. </w:t>
      </w:r>
      <w:r w:rsidRPr="00953770">
        <w:rPr>
          <w:color w:val="000000"/>
          <w:lang w:val="en-US" w:eastAsia="en-US"/>
        </w:rPr>
        <w:t xml:space="preserve">Our paper employs the Hasbrouck (1995) information share and Gonzalo and Granger (1995) common factor weights approaches to investigate the lead-lag relationship in price discovery </w:t>
      </w:r>
      <w:r>
        <w:rPr>
          <w:color w:val="000000"/>
          <w:lang w:val="en-US" w:eastAsia="en-US"/>
        </w:rPr>
        <w:t xml:space="preserve">between </w:t>
      </w:r>
      <w:r w:rsidRPr="00953770">
        <w:rPr>
          <w:color w:val="000000"/>
          <w:lang w:val="en-US" w:eastAsia="en-US"/>
        </w:rPr>
        <w:t>the spot index, index futures</w:t>
      </w:r>
      <w:r>
        <w:rPr>
          <w:color w:val="000000"/>
          <w:lang w:val="en-US" w:eastAsia="en-US"/>
        </w:rPr>
        <w:t>,</w:t>
      </w:r>
      <w:r w:rsidRPr="00953770">
        <w:rPr>
          <w:color w:val="000000"/>
          <w:lang w:val="en-US" w:eastAsia="en-US"/>
        </w:rPr>
        <w:t xml:space="preserve"> and </w:t>
      </w:r>
      <w:r>
        <w:rPr>
          <w:color w:val="000000"/>
          <w:lang w:val="en-US" w:eastAsia="en-US"/>
        </w:rPr>
        <w:t>ETFs</w:t>
      </w:r>
      <w:r w:rsidRPr="00953770">
        <w:rPr>
          <w:color w:val="000000"/>
          <w:lang w:val="en-US" w:eastAsia="en-US"/>
        </w:rPr>
        <w:t xml:space="preserve">. </w:t>
      </w:r>
      <w:r w:rsidRPr="00953770">
        <w:rPr>
          <w:rFonts w:eastAsia="SimSun"/>
          <w:lang w:val="en-US"/>
        </w:rPr>
        <w:t xml:space="preserve">The common factor weights </w:t>
      </w:r>
      <w:r>
        <w:rPr>
          <w:rFonts w:eastAsia="SimSun"/>
          <w:lang w:val="en-US"/>
        </w:rPr>
        <w:t>analysis produced</w:t>
      </w:r>
      <w:r w:rsidRPr="00953770">
        <w:rPr>
          <w:rFonts w:eastAsia="SimSun"/>
          <w:lang w:val="en-US"/>
        </w:rPr>
        <w:t xml:space="preserve"> substantial evidence to support the view that the </w:t>
      </w:r>
      <w:r>
        <w:rPr>
          <w:rFonts w:eastAsia="SimSun"/>
          <w:lang w:val="en-US"/>
        </w:rPr>
        <w:t>ETFs</w:t>
      </w:r>
      <w:r w:rsidRPr="00953770">
        <w:rPr>
          <w:rFonts w:eastAsia="SimSun"/>
          <w:lang w:val="en-US"/>
        </w:rPr>
        <w:t xml:space="preserve"> have taken over futures contract and </w:t>
      </w:r>
      <w:r>
        <w:rPr>
          <w:rFonts w:eastAsia="SimSun"/>
          <w:lang w:val="en-US"/>
        </w:rPr>
        <w:t xml:space="preserve">currently form </w:t>
      </w:r>
      <w:r w:rsidRPr="00953770">
        <w:rPr>
          <w:rFonts w:eastAsia="SimSun"/>
          <w:lang w:val="en-US"/>
        </w:rPr>
        <w:t xml:space="preserve">the dominant vehicle for price discovery, especially in the UK and German stock markets. </w:t>
      </w:r>
      <w:r w:rsidRPr="00953770">
        <w:rPr>
          <w:color w:val="000000" w:themeColor="text1"/>
          <w:lang w:val="en-US"/>
        </w:rPr>
        <w:t xml:space="preserve">Index futures contracts play a significant leading role in </w:t>
      </w:r>
      <w:r>
        <w:rPr>
          <w:color w:val="000000" w:themeColor="text1"/>
          <w:lang w:val="en-US"/>
        </w:rPr>
        <w:t xml:space="preserve">the </w:t>
      </w:r>
      <w:r w:rsidRPr="00953770">
        <w:rPr>
          <w:color w:val="000000" w:themeColor="text1"/>
          <w:lang w:val="en-US"/>
        </w:rPr>
        <w:t xml:space="preserve">price discovery </w:t>
      </w:r>
      <w:r>
        <w:rPr>
          <w:color w:val="000000" w:themeColor="text1"/>
          <w:lang w:val="en-US"/>
        </w:rPr>
        <w:t xml:space="preserve">process </w:t>
      </w:r>
      <w:r w:rsidRPr="00953770">
        <w:rPr>
          <w:color w:val="000000" w:themeColor="text1"/>
          <w:lang w:val="en-US"/>
        </w:rPr>
        <w:t xml:space="preserve">in </w:t>
      </w:r>
      <w:r>
        <w:rPr>
          <w:color w:val="000000" w:themeColor="text1"/>
          <w:lang w:val="en-US"/>
        </w:rPr>
        <w:t xml:space="preserve">the </w:t>
      </w:r>
      <w:r w:rsidRPr="00953770">
        <w:rPr>
          <w:color w:val="000000" w:themeColor="text1"/>
          <w:lang w:val="en-US"/>
        </w:rPr>
        <w:t xml:space="preserve">French stock market, primarily due to the lower trading frequency of </w:t>
      </w:r>
      <w:r>
        <w:rPr>
          <w:color w:val="000000" w:themeColor="text1"/>
          <w:lang w:val="en-US"/>
        </w:rPr>
        <w:t>ETFs</w:t>
      </w:r>
      <w:r w:rsidRPr="00953770">
        <w:rPr>
          <w:color w:val="000000" w:themeColor="text1"/>
          <w:lang w:val="en-US"/>
        </w:rPr>
        <w:t xml:space="preserve"> in the CAC index market. </w:t>
      </w:r>
    </w:p>
    <w:p w14:paraId="4AEB3548" w14:textId="57B97844" w:rsidR="005A719B" w:rsidRPr="00953770" w:rsidRDefault="005A719B" w:rsidP="007F2179">
      <w:pPr>
        <w:autoSpaceDE w:val="0"/>
        <w:autoSpaceDN w:val="0"/>
        <w:adjustRightInd w:val="0"/>
        <w:spacing w:after="200" w:line="480" w:lineRule="auto"/>
        <w:jc w:val="both"/>
        <w:rPr>
          <w:rFonts w:eastAsia="SimSun"/>
          <w:kern w:val="2"/>
          <w:lang w:val="en-US"/>
        </w:rPr>
      </w:pPr>
    </w:p>
    <w:p w14:paraId="4B99A9CB" w14:textId="73A34703" w:rsidR="005A719B" w:rsidRPr="00953770" w:rsidRDefault="005A719B" w:rsidP="007F2179">
      <w:pPr>
        <w:autoSpaceDE w:val="0"/>
        <w:autoSpaceDN w:val="0"/>
        <w:adjustRightInd w:val="0"/>
        <w:spacing w:after="200" w:line="480" w:lineRule="auto"/>
        <w:jc w:val="both"/>
        <w:rPr>
          <w:rFonts w:eastAsia="SimSun"/>
          <w:kern w:val="2"/>
          <w:lang w:val="en-US"/>
        </w:rPr>
      </w:pPr>
      <w:r w:rsidRPr="00953770">
        <w:rPr>
          <w:rFonts w:eastAsia="SimSun"/>
          <w:kern w:val="2"/>
          <w:lang w:val="en-US"/>
        </w:rPr>
        <w:t xml:space="preserve">The </w:t>
      </w:r>
      <w:r>
        <w:rPr>
          <w:rFonts w:eastAsia="SimSun"/>
          <w:kern w:val="2"/>
          <w:lang w:val="en-US"/>
        </w:rPr>
        <w:t xml:space="preserve">major </w:t>
      </w:r>
      <w:r w:rsidRPr="00953770">
        <w:rPr>
          <w:rFonts w:eastAsia="SimSun"/>
          <w:kern w:val="2"/>
          <w:lang w:val="en-US"/>
        </w:rPr>
        <w:t>contributions of our study are summari</w:t>
      </w:r>
      <w:r>
        <w:rPr>
          <w:rFonts w:eastAsia="SimSun"/>
          <w:kern w:val="2"/>
          <w:lang w:val="en-US"/>
        </w:rPr>
        <w:t>z</w:t>
      </w:r>
      <w:r w:rsidRPr="00953770">
        <w:rPr>
          <w:rFonts w:eastAsia="SimSun"/>
          <w:kern w:val="2"/>
          <w:lang w:val="en-US"/>
        </w:rPr>
        <w:t xml:space="preserve">ed </w:t>
      </w:r>
      <w:r>
        <w:rPr>
          <w:rFonts w:eastAsia="SimSun"/>
          <w:kern w:val="2"/>
          <w:lang w:val="en-US"/>
        </w:rPr>
        <w:t>below</w:t>
      </w:r>
      <w:r w:rsidRPr="00953770">
        <w:rPr>
          <w:rFonts w:eastAsia="SimSun"/>
          <w:kern w:val="2"/>
          <w:lang w:val="en-US"/>
        </w:rPr>
        <w:t xml:space="preserve">. </w:t>
      </w:r>
      <w:r>
        <w:rPr>
          <w:iCs/>
          <w:color w:val="000000" w:themeColor="text1"/>
          <w:lang w:val="en-US"/>
        </w:rPr>
        <w:t>T</w:t>
      </w:r>
      <w:r w:rsidRPr="00953770">
        <w:rPr>
          <w:iCs/>
          <w:color w:val="000000" w:themeColor="text1"/>
          <w:lang w:val="en-US"/>
        </w:rPr>
        <w:t xml:space="preserve">he literature </w:t>
      </w:r>
      <w:r>
        <w:rPr>
          <w:iCs/>
          <w:color w:val="000000" w:themeColor="text1"/>
          <w:lang w:val="en-US"/>
        </w:rPr>
        <w:t xml:space="preserve">presents </w:t>
      </w:r>
      <w:r w:rsidRPr="00953770">
        <w:rPr>
          <w:iCs/>
          <w:color w:val="000000" w:themeColor="text1"/>
          <w:lang w:val="en-US"/>
        </w:rPr>
        <w:t>a</w:t>
      </w:r>
      <w:r>
        <w:rPr>
          <w:iCs/>
          <w:color w:val="000000" w:themeColor="text1"/>
          <w:lang w:val="en-US"/>
        </w:rPr>
        <w:t>n</w:t>
      </w:r>
      <w:r w:rsidRPr="00953770">
        <w:rPr>
          <w:iCs/>
          <w:color w:val="000000" w:themeColor="text1"/>
          <w:lang w:val="en-US"/>
        </w:rPr>
        <w:t xml:space="preserve"> </w:t>
      </w:r>
      <w:r>
        <w:rPr>
          <w:iCs/>
          <w:color w:val="000000" w:themeColor="text1"/>
          <w:lang w:val="en-US"/>
        </w:rPr>
        <w:t xml:space="preserve">acceptable </w:t>
      </w:r>
      <w:r w:rsidRPr="00953770">
        <w:rPr>
          <w:iCs/>
          <w:color w:val="000000" w:themeColor="text1"/>
          <w:lang w:val="en-US"/>
        </w:rPr>
        <w:t xml:space="preserve">body of studies </w:t>
      </w:r>
      <w:r>
        <w:rPr>
          <w:iCs/>
          <w:color w:val="000000" w:themeColor="text1"/>
          <w:lang w:val="en-US"/>
        </w:rPr>
        <w:t xml:space="preserve">for the </w:t>
      </w:r>
      <w:r w:rsidRPr="00953770">
        <w:rPr>
          <w:iCs/>
          <w:color w:val="000000" w:themeColor="text1"/>
          <w:lang w:val="en-US"/>
        </w:rPr>
        <w:t>examin</w:t>
      </w:r>
      <w:r>
        <w:rPr>
          <w:iCs/>
          <w:color w:val="000000" w:themeColor="text1"/>
          <w:lang w:val="en-US"/>
        </w:rPr>
        <w:t>ation of</w:t>
      </w:r>
      <w:r w:rsidRPr="00953770">
        <w:rPr>
          <w:iCs/>
          <w:color w:val="000000" w:themeColor="text1"/>
          <w:lang w:val="en-US"/>
        </w:rPr>
        <w:t xml:space="preserve"> </w:t>
      </w:r>
      <w:r>
        <w:rPr>
          <w:iCs/>
          <w:color w:val="000000" w:themeColor="text1"/>
          <w:lang w:val="en-US"/>
        </w:rPr>
        <w:t xml:space="preserve">the role of </w:t>
      </w:r>
      <w:r w:rsidRPr="00953770">
        <w:rPr>
          <w:iCs/>
          <w:color w:val="000000" w:themeColor="text1"/>
          <w:lang w:val="en-US"/>
        </w:rPr>
        <w:t xml:space="preserve">spots and futures or spots and </w:t>
      </w:r>
      <w:r>
        <w:rPr>
          <w:iCs/>
          <w:color w:val="000000" w:themeColor="text1"/>
          <w:lang w:val="en-US"/>
        </w:rPr>
        <w:t xml:space="preserve">ETFs in </w:t>
      </w:r>
      <w:r w:rsidRPr="00F05CCF">
        <w:rPr>
          <w:iCs/>
          <w:color w:val="000000" w:themeColor="text1"/>
          <w:lang w:val="en-US"/>
        </w:rPr>
        <w:t>price discovery</w:t>
      </w:r>
      <w:r w:rsidRPr="00953770">
        <w:rPr>
          <w:iCs/>
          <w:color w:val="000000" w:themeColor="text1"/>
          <w:lang w:val="en-US"/>
        </w:rPr>
        <w:t xml:space="preserve">. </w:t>
      </w:r>
      <w:r>
        <w:rPr>
          <w:iCs/>
          <w:color w:val="000000" w:themeColor="text1"/>
          <w:lang w:val="en-US"/>
        </w:rPr>
        <w:t>However,</w:t>
      </w:r>
      <w:r w:rsidRPr="00953770">
        <w:rPr>
          <w:iCs/>
          <w:color w:val="000000" w:themeColor="text1"/>
          <w:lang w:val="en-US"/>
        </w:rPr>
        <w:t xml:space="preserve"> so far, </w:t>
      </w:r>
      <w:r>
        <w:rPr>
          <w:iCs/>
          <w:color w:val="000000" w:themeColor="text1"/>
          <w:lang w:val="en-US"/>
        </w:rPr>
        <w:t xml:space="preserve">there have been </w:t>
      </w:r>
      <w:r w:rsidRPr="00953770">
        <w:rPr>
          <w:iCs/>
          <w:color w:val="000000" w:themeColor="text1"/>
          <w:lang w:val="en-US"/>
        </w:rPr>
        <w:t xml:space="preserve">only two studies </w:t>
      </w:r>
      <w:r>
        <w:rPr>
          <w:iCs/>
          <w:color w:val="000000" w:themeColor="text1"/>
          <w:lang w:val="en-US"/>
        </w:rPr>
        <w:t xml:space="preserve">that </w:t>
      </w:r>
      <w:r w:rsidRPr="00953770">
        <w:rPr>
          <w:iCs/>
          <w:color w:val="000000" w:themeColor="text1"/>
          <w:lang w:val="en-US"/>
        </w:rPr>
        <w:t>examine</w:t>
      </w:r>
      <w:r>
        <w:rPr>
          <w:iCs/>
          <w:color w:val="000000" w:themeColor="text1"/>
          <w:lang w:val="en-US"/>
        </w:rPr>
        <w:t>d</w:t>
      </w:r>
      <w:r w:rsidRPr="00953770">
        <w:rPr>
          <w:iCs/>
          <w:color w:val="000000" w:themeColor="text1"/>
          <w:lang w:val="en-US"/>
        </w:rPr>
        <w:t xml:space="preserve"> </w:t>
      </w:r>
      <w:r>
        <w:rPr>
          <w:iCs/>
          <w:color w:val="000000" w:themeColor="text1"/>
          <w:lang w:val="en-US"/>
        </w:rPr>
        <w:t xml:space="preserve">the way in which </w:t>
      </w:r>
      <w:r w:rsidRPr="00953770">
        <w:rPr>
          <w:iCs/>
          <w:color w:val="000000" w:themeColor="text1"/>
          <w:lang w:val="en-US"/>
        </w:rPr>
        <w:t>the dynamic</w:t>
      </w:r>
      <w:r>
        <w:rPr>
          <w:iCs/>
          <w:color w:val="000000" w:themeColor="text1"/>
          <w:lang w:val="en-US"/>
        </w:rPr>
        <w:t>s</w:t>
      </w:r>
      <w:r w:rsidRPr="00953770">
        <w:rPr>
          <w:iCs/>
          <w:color w:val="000000" w:themeColor="text1"/>
          <w:lang w:val="en-US"/>
        </w:rPr>
        <w:t xml:space="preserve"> change</w:t>
      </w:r>
      <w:r>
        <w:rPr>
          <w:iCs/>
          <w:color w:val="000000" w:themeColor="text1"/>
          <w:lang w:val="en-US"/>
        </w:rPr>
        <w:t>,</w:t>
      </w:r>
      <w:r w:rsidRPr="00953770">
        <w:rPr>
          <w:iCs/>
          <w:color w:val="000000" w:themeColor="text1"/>
          <w:lang w:val="en-US"/>
        </w:rPr>
        <w:t xml:space="preserve"> if all three asset classes </w:t>
      </w:r>
      <w:r>
        <w:rPr>
          <w:iCs/>
          <w:color w:val="000000" w:themeColor="text1"/>
          <w:lang w:val="en-US"/>
        </w:rPr>
        <w:t xml:space="preserve">are considered </w:t>
      </w:r>
      <w:r w:rsidRPr="00953770">
        <w:rPr>
          <w:iCs/>
          <w:color w:val="000000" w:themeColor="text1"/>
          <w:lang w:val="en-US"/>
        </w:rPr>
        <w:t>(see Ivanov et al., 2013</w:t>
      </w:r>
      <w:r>
        <w:rPr>
          <w:iCs/>
          <w:color w:val="000000" w:themeColor="text1"/>
          <w:lang w:val="en-US"/>
        </w:rPr>
        <w:t>;</w:t>
      </w:r>
      <w:r w:rsidRPr="00953770">
        <w:rPr>
          <w:iCs/>
          <w:color w:val="000000" w:themeColor="text1"/>
          <w:lang w:val="en-US"/>
        </w:rPr>
        <w:t xml:space="preserve"> </w:t>
      </w:r>
      <w:r>
        <w:rPr>
          <w:iCs/>
          <w:color w:val="000000" w:themeColor="text1"/>
          <w:lang w:val="en-US"/>
        </w:rPr>
        <w:t xml:space="preserve">and </w:t>
      </w:r>
      <w:r w:rsidRPr="00953770">
        <w:rPr>
          <w:iCs/>
          <w:color w:val="000000" w:themeColor="text1"/>
          <w:lang w:val="en-US"/>
        </w:rPr>
        <w:t xml:space="preserve">Chou </w:t>
      </w:r>
      <w:r>
        <w:rPr>
          <w:iCs/>
          <w:color w:val="000000" w:themeColor="text1"/>
          <w:lang w:val="en-US"/>
        </w:rPr>
        <w:t xml:space="preserve">and </w:t>
      </w:r>
      <w:r w:rsidRPr="00953770">
        <w:rPr>
          <w:iCs/>
          <w:color w:val="000000" w:themeColor="text1"/>
          <w:lang w:val="en-US"/>
        </w:rPr>
        <w:t xml:space="preserve">Chung, 2006). </w:t>
      </w:r>
      <w:r>
        <w:rPr>
          <w:iCs/>
          <w:color w:val="000000" w:themeColor="text1"/>
          <w:lang w:val="en-US"/>
        </w:rPr>
        <w:t>T</w:t>
      </w:r>
      <w:r w:rsidRPr="004061E6">
        <w:rPr>
          <w:iCs/>
          <w:color w:val="000000" w:themeColor="text1"/>
          <w:lang w:val="en-US"/>
        </w:rPr>
        <w:t>herefore</w:t>
      </w:r>
      <w:r>
        <w:rPr>
          <w:iCs/>
          <w:color w:val="000000" w:themeColor="text1"/>
          <w:lang w:val="en-US"/>
        </w:rPr>
        <w:t>,</w:t>
      </w:r>
      <w:r w:rsidRPr="00953770">
        <w:rPr>
          <w:iCs/>
          <w:color w:val="000000" w:themeColor="text1"/>
          <w:lang w:val="en-US"/>
        </w:rPr>
        <w:t xml:space="preserve"> </w:t>
      </w:r>
      <w:r>
        <w:rPr>
          <w:iCs/>
          <w:color w:val="000000" w:themeColor="text1"/>
          <w:lang w:val="en-US"/>
        </w:rPr>
        <w:t xml:space="preserve">the need for </w:t>
      </w:r>
      <w:r w:rsidRPr="00953770">
        <w:rPr>
          <w:iCs/>
          <w:color w:val="000000" w:themeColor="text1"/>
          <w:lang w:val="en-US"/>
        </w:rPr>
        <w:t xml:space="preserve">studies </w:t>
      </w:r>
      <w:r>
        <w:rPr>
          <w:iCs/>
          <w:color w:val="000000" w:themeColor="text1"/>
          <w:lang w:val="en-US"/>
        </w:rPr>
        <w:t xml:space="preserve">such as </w:t>
      </w:r>
      <w:r w:rsidRPr="00953770">
        <w:rPr>
          <w:iCs/>
          <w:color w:val="000000" w:themeColor="text1"/>
          <w:lang w:val="en-US"/>
        </w:rPr>
        <w:t xml:space="preserve">ours </w:t>
      </w:r>
      <w:r>
        <w:rPr>
          <w:iCs/>
          <w:color w:val="000000" w:themeColor="text1"/>
          <w:lang w:val="en-US"/>
        </w:rPr>
        <w:t xml:space="preserve">for </w:t>
      </w:r>
      <w:r w:rsidRPr="00953770">
        <w:rPr>
          <w:iCs/>
          <w:color w:val="000000" w:themeColor="text1"/>
          <w:lang w:val="en-US"/>
        </w:rPr>
        <w:t>enrich</w:t>
      </w:r>
      <w:r>
        <w:rPr>
          <w:iCs/>
          <w:color w:val="000000" w:themeColor="text1"/>
          <w:lang w:val="en-US"/>
        </w:rPr>
        <w:t>ing</w:t>
      </w:r>
      <w:r w:rsidRPr="00953770">
        <w:rPr>
          <w:iCs/>
          <w:color w:val="000000" w:themeColor="text1"/>
          <w:lang w:val="en-US"/>
        </w:rPr>
        <w:t xml:space="preserve"> the literature </w:t>
      </w:r>
      <w:r>
        <w:rPr>
          <w:iCs/>
          <w:color w:val="000000" w:themeColor="text1"/>
          <w:lang w:val="en-US"/>
        </w:rPr>
        <w:t>is more urgent. W</w:t>
      </w:r>
      <w:r w:rsidRPr="00953770">
        <w:rPr>
          <w:iCs/>
          <w:color w:val="000000" w:themeColor="text1"/>
          <w:lang w:val="en-US"/>
        </w:rPr>
        <w:t xml:space="preserve">e </w:t>
      </w:r>
      <w:r>
        <w:rPr>
          <w:iCs/>
          <w:color w:val="000000" w:themeColor="text1"/>
          <w:lang w:val="en-US"/>
        </w:rPr>
        <w:t>we</w:t>
      </w:r>
      <w:r w:rsidRPr="00953770">
        <w:rPr>
          <w:iCs/>
          <w:color w:val="000000" w:themeColor="text1"/>
          <w:lang w:val="en-US"/>
        </w:rPr>
        <w:t xml:space="preserve">re </w:t>
      </w:r>
      <w:r>
        <w:rPr>
          <w:iCs/>
          <w:color w:val="000000" w:themeColor="text1"/>
          <w:lang w:val="en-US"/>
        </w:rPr>
        <w:t xml:space="preserve">successful in </w:t>
      </w:r>
      <w:r w:rsidRPr="00953770">
        <w:rPr>
          <w:iCs/>
          <w:color w:val="000000" w:themeColor="text1"/>
          <w:lang w:val="en-US"/>
        </w:rPr>
        <w:t>answer</w:t>
      </w:r>
      <w:r>
        <w:rPr>
          <w:iCs/>
          <w:color w:val="000000" w:themeColor="text1"/>
          <w:lang w:val="en-US"/>
        </w:rPr>
        <w:t>ing</w:t>
      </w:r>
      <w:r w:rsidRPr="00953770">
        <w:rPr>
          <w:iCs/>
          <w:color w:val="000000" w:themeColor="text1"/>
          <w:lang w:val="en-US"/>
        </w:rPr>
        <w:t xml:space="preserve"> the question </w:t>
      </w:r>
      <w:r>
        <w:rPr>
          <w:iCs/>
          <w:color w:val="000000" w:themeColor="text1"/>
          <w:lang w:val="en-US"/>
        </w:rPr>
        <w:t xml:space="preserve">with regard to the </w:t>
      </w:r>
      <w:r w:rsidRPr="00953770">
        <w:rPr>
          <w:iCs/>
          <w:color w:val="000000" w:themeColor="text1"/>
          <w:lang w:val="en-US"/>
        </w:rPr>
        <w:t xml:space="preserve">instrument </w:t>
      </w:r>
      <w:r>
        <w:rPr>
          <w:iCs/>
          <w:color w:val="000000" w:themeColor="text1"/>
          <w:lang w:val="en-US"/>
        </w:rPr>
        <w:t xml:space="preserve">that </w:t>
      </w:r>
      <w:r w:rsidRPr="00953770">
        <w:rPr>
          <w:iCs/>
          <w:color w:val="000000" w:themeColor="text1"/>
          <w:lang w:val="en-US"/>
        </w:rPr>
        <w:t xml:space="preserve">acts as the price leader in a </w:t>
      </w:r>
      <w:r>
        <w:rPr>
          <w:iCs/>
          <w:color w:val="000000" w:themeColor="text1"/>
          <w:lang w:val="en-US"/>
        </w:rPr>
        <w:t xml:space="preserve">substantial </w:t>
      </w:r>
      <w:r w:rsidRPr="00953770">
        <w:rPr>
          <w:iCs/>
          <w:color w:val="000000" w:themeColor="text1"/>
          <w:lang w:val="en-US"/>
        </w:rPr>
        <w:t xml:space="preserve">way. </w:t>
      </w:r>
      <w:r>
        <w:rPr>
          <w:iCs/>
          <w:color w:val="000000" w:themeColor="text1"/>
          <w:lang w:val="en-US"/>
        </w:rPr>
        <w:t>In terms of the m</w:t>
      </w:r>
      <w:r w:rsidRPr="00953770">
        <w:rPr>
          <w:iCs/>
          <w:color w:val="000000" w:themeColor="text1"/>
          <w:lang w:val="en-US"/>
        </w:rPr>
        <w:t xml:space="preserve">ethodology, our </w:t>
      </w:r>
      <w:r>
        <w:rPr>
          <w:iCs/>
          <w:color w:val="000000" w:themeColor="text1"/>
          <w:lang w:val="en-US"/>
        </w:rPr>
        <w:t xml:space="preserve">research </w:t>
      </w:r>
      <w:r w:rsidRPr="00953770">
        <w:rPr>
          <w:iCs/>
          <w:color w:val="000000" w:themeColor="text1"/>
          <w:lang w:val="en-US"/>
        </w:rPr>
        <w:t xml:space="preserve">is among the few studies that </w:t>
      </w:r>
      <w:r>
        <w:rPr>
          <w:iCs/>
          <w:color w:val="000000" w:themeColor="text1"/>
          <w:lang w:val="en-US"/>
        </w:rPr>
        <w:t xml:space="preserve">have </w:t>
      </w:r>
      <w:r w:rsidRPr="00953770">
        <w:rPr>
          <w:iCs/>
          <w:color w:val="000000" w:themeColor="text1"/>
          <w:lang w:val="en-US"/>
        </w:rPr>
        <w:t xml:space="preserve">employed different methods to </w:t>
      </w:r>
      <w:r>
        <w:rPr>
          <w:iCs/>
          <w:color w:val="000000" w:themeColor="text1"/>
          <w:lang w:val="en-US"/>
        </w:rPr>
        <w:t xml:space="preserve">offer </w:t>
      </w:r>
      <w:r w:rsidRPr="00953770">
        <w:rPr>
          <w:iCs/>
          <w:color w:val="000000" w:themeColor="text1"/>
          <w:lang w:val="en-US"/>
        </w:rPr>
        <w:t xml:space="preserve">a robust examination of the question </w:t>
      </w:r>
      <w:r>
        <w:rPr>
          <w:iCs/>
          <w:color w:val="000000" w:themeColor="text1"/>
          <w:lang w:val="en-US"/>
        </w:rPr>
        <w:t xml:space="preserve">related to </w:t>
      </w:r>
      <w:r w:rsidRPr="00953770">
        <w:rPr>
          <w:iCs/>
          <w:color w:val="000000" w:themeColor="text1"/>
          <w:lang w:val="en-US"/>
        </w:rPr>
        <w:t>price discovery</w:t>
      </w:r>
      <w:r>
        <w:rPr>
          <w:iCs/>
          <w:color w:val="000000" w:themeColor="text1"/>
          <w:lang w:val="en-US"/>
        </w:rPr>
        <w:t xml:space="preserve">; </w:t>
      </w:r>
      <w:r w:rsidRPr="00953770">
        <w:rPr>
          <w:iCs/>
          <w:color w:val="000000" w:themeColor="text1"/>
          <w:lang w:val="en-US"/>
        </w:rPr>
        <w:t xml:space="preserve">most studies use </w:t>
      </w:r>
      <w:r>
        <w:rPr>
          <w:iCs/>
          <w:color w:val="000000" w:themeColor="text1"/>
          <w:lang w:val="en-US"/>
        </w:rPr>
        <w:t xml:space="preserve">merely </w:t>
      </w:r>
      <w:r w:rsidRPr="00953770">
        <w:rPr>
          <w:iCs/>
          <w:color w:val="000000" w:themeColor="text1"/>
          <w:lang w:val="en-US"/>
        </w:rPr>
        <w:t xml:space="preserve">one method. This allows us to present findings that are reliable </w:t>
      </w:r>
      <w:r>
        <w:rPr>
          <w:iCs/>
          <w:color w:val="000000" w:themeColor="text1"/>
          <w:lang w:val="en-US"/>
        </w:rPr>
        <w:t xml:space="preserve">in relation </w:t>
      </w:r>
      <w:r w:rsidRPr="00953770">
        <w:rPr>
          <w:iCs/>
          <w:color w:val="000000" w:themeColor="text1"/>
          <w:lang w:val="en-US"/>
        </w:rPr>
        <w:t>to the time period and methodology</w:t>
      </w:r>
      <w:r>
        <w:rPr>
          <w:iCs/>
          <w:color w:val="000000" w:themeColor="text1"/>
          <w:lang w:val="en-US"/>
        </w:rPr>
        <w:t xml:space="preserve"> </w:t>
      </w:r>
      <w:r w:rsidRPr="00F05CCF">
        <w:rPr>
          <w:iCs/>
          <w:color w:val="000000" w:themeColor="text1"/>
          <w:lang w:val="en-US"/>
        </w:rPr>
        <w:t>selected</w:t>
      </w:r>
      <w:r w:rsidRPr="00953770">
        <w:rPr>
          <w:iCs/>
          <w:color w:val="000000" w:themeColor="text1"/>
          <w:lang w:val="en-US"/>
        </w:rPr>
        <w:t>.</w:t>
      </w:r>
    </w:p>
    <w:p w14:paraId="3E79CE63" w14:textId="77777777" w:rsidR="005A719B" w:rsidRPr="00953770" w:rsidRDefault="005A719B" w:rsidP="0030050A">
      <w:pPr>
        <w:spacing w:line="360" w:lineRule="auto"/>
        <w:jc w:val="both"/>
        <w:rPr>
          <w:iCs/>
          <w:color w:val="FF0000"/>
          <w:lang w:val="en-US"/>
        </w:rPr>
      </w:pPr>
    </w:p>
    <w:p w14:paraId="1E26CABE" w14:textId="0619C789" w:rsidR="005A719B" w:rsidRPr="00953770" w:rsidRDefault="005A719B" w:rsidP="00974F25">
      <w:pPr>
        <w:spacing w:line="480" w:lineRule="auto"/>
        <w:jc w:val="both"/>
        <w:rPr>
          <w:iCs/>
          <w:lang w:val="en-US"/>
        </w:rPr>
      </w:pPr>
      <w:r>
        <w:rPr>
          <w:iCs/>
          <w:color w:val="000000" w:themeColor="text1"/>
          <w:lang w:val="en-US"/>
        </w:rPr>
        <w:t>With r</w:t>
      </w:r>
      <w:r w:rsidRPr="00953770">
        <w:rPr>
          <w:iCs/>
          <w:color w:val="000000" w:themeColor="text1"/>
          <w:lang w:val="en-US"/>
        </w:rPr>
        <w:t>egard</w:t>
      </w:r>
      <w:r>
        <w:rPr>
          <w:iCs/>
          <w:color w:val="000000" w:themeColor="text1"/>
          <w:lang w:val="en-US"/>
        </w:rPr>
        <w:t xml:space="preserve"> to</w:t>
      </w:r>
      <w:r w:rsidRPr="00953770">
        <w:rPr>
          <w:iCs/>
          <w:color w:val="000000" w:themeColor="text1"/>
          <w:lang w:val="en-US"/>
        </w:rPr>
        <w:t xml:space="preserve"> </w:t>
      </w:r>
      <w:r>
        <w:rPr>
          <w:iCs/>
          <w:color w:val="000000" w:themeColor="text1"/>
          <w:lang w:val="en-US"/>
        </w:rPr>
        <w:t xml:space="preserve">the </w:t>
      </w:r>
      <w:r w:rsidRPr="00953770">
        <w:rPr>
          <w:iCs/>
          <w:color w:val="000000" w:themeColor="text1"/>
          <w:lang w:val="en-US"/>
        </w:rPr>
        <w:t>findings</w:t>
      </w:r>
      <w:r>
        <w:rPr>
          <w:iCs/>
          <w:color w:val="000000" w:themeColor="text1"/>
          <w:lang w:val="en-US"/>
        </w:rPr>
        <w:t xml:space="preserve"> of our study</w:t>
      </w:r>
      <w:r w:rsidRPr="00953770">
        <w:rPr>
          <w:iCs/>
          <w:color w:val="000000" w:themeColor="text1"/>
          <w:lang w:val="en-US"/>
        </w:rPr>
        <w:t xml:space="preserve">, we </w:t>
      </w:r>
      <w:r>
        <w:rPr>
          <w:iCs/>
          <w:color w:val="000000" w:themeColor="text1"/>
          <w:lang w:val="en-US"/>
        </w:rPr>
        <w:t xml:space="preserve">discovered </w:t>
      </w:r>
      <w:r w:rsidRPr="00953770">
        <w:rPr>
          <w:iCs/>
          <w:color w:val="000000" w:themeColor="text1"/>
          <w:lang w:val="en-US"/>
        </w:rPr>
        <w:t>that over time</w:t>
      </w:r>
      <w:r>
        <w:rPr>
          <w:iCs/>
          <w:color w:val="000000" w:themeColor="text1"/>
          <w:lang w:val="en-US"/>
        </w:rPr>
        <w:t>,</w:t>
      </w:r>
      <w:r w:rsidRPr="00953770">
        <w:rPr>
          <w:iCs/>
          <w:color w:val="000000" w:themeColor="text1"/>
          <w:lang w:val="en-US"/>
        </w:rPr>
        <w:t xml:space="preserve"> </w:t>
      </w:r>
      <w:r>
        <w:rPr>
          <w:iCs/>
          <w:color w:val="000000" w:themeColor="text1"/>
          <w:lang w:val="en-US"/>
        </w:rPr>
        <w:t>ETFs</w:t>
      </w:r>
      <w:r w:rsidRPr="00953770">
        <w:rPr>
          <w:iCs/>
          <w:color w:val="000000" w:themeColor="text1"/>
          <w:lang w:val="en-US"/>
        </w:rPr>
        <w:t xml:space="preserve"> have </w:t>
      </w:r>
      <w:r>
        <w:rPr>
          <w:iCs/>
          <w:color w:val="000000" w:themeColor="text1"/>
          <w:lang w:val="en-US"/>
        </w:rPr>
        <w:t xml:space="preserve">assumed </w:t>
      </w:r>
      <w:r w:rsidRPr="00953770">
        <w:rPr>
          <w:iCs/>
          <w:color w:val="000000" w:themeColor="text1"/>
          <w:lang w:val="en-US"/>
        </w:rPr>
        <w:t>dominan</w:t>
      </w:r>
      <w:r>
        <w:rPr>
          <w:iCs/>
          <w:color w:val="000000" w:themeColor="text1"/>
          <w:lang w:val="en-US"/>
        </w:rPr>
        <w:t>ce</w:t>
      </w:r>
      <w:r w:rsidRPr="00953770">
        <w:rPr>
          <w:iCs/>
          <w:color w:val="000000" w:themeColor="text1"/>
          <w:lang w:val="en-US"/>
        </w:rPr>
        <w:t xml:space="preserve"> </w:t>
      </w:r>
      <w:r>
        <w:rPr>
          <w:iCs/>
          <w:color w:val="000000" w:themeColor="text1"/>
          <w:lang w:val="en-US"/>
        </w:rPr>
        <w:t xml:space="preserve">as a </w:t>
      </w:r>
      <w:r w:rsidRPr="00953770">
        <w:rPr>
          <w:iCs/>
          <w:color w:val="000000" w:themeColor="text1"/>
          <w:lang w:val="en-US"/>
        </w:rPr>
        <w:t xml:space="preserve">vehicle for price discovery in relation to the two main European stock market indices. This </w:t>
      </w:r>
      <w:r w:rsidRPr="00953770">
        <w:rPr>
          <w:iCs/>
          <w:lang w:val="en-US"/>
        </w:rPr>
        <w:t xml:space="preserve">further </w:t>
      </w:r>
      <w:r>
        <w:rPr>
          <w:iCs/>
          <w:lang w:val="en-US"/>
        </w:rPr>
        <w:t>present</w:t>
      </w:r>
      <w:r w:rsidRPr="00953770">
        <w:rPr>
          <w:iCs/>
          <w:lang w:val="en-US"/>
        </w:rPr>
        <w:t xml:space="preserve">s findings </w:t>
      </w:r>
      <w:r>
        <w:rPr>
          <w:iCs/>
          <w:lang w:val="en-US"/>
        </w:rPr>
        <w:t xml:space="preserve">that are contradictory to that of </w:t>
      </w:r>
      <w:r w:rsidRPr="00953770">
        <w:rPr>
          <w:iCs/>
          <w:lang w:val="en-US"/>
        </w:rPr>
        <w:t>Hasbrouck (2003)</w:t>
      </w:r>
      <w:r w:rsidRPr="00953770">
        <w:rPr>
          <w:iCs/>
          <w:color w:val="222222"/>
          <w:shd w:val="clear" w:color="auto" w:fill="FFFFFF"/>
          <w:lang w:val="en-US"/>
        </w:rPr>
        <w:t xml:space="preserve">, </w:t>
      </w:r>
      <w:r w:rsidRPr="00953770">
        <w:rPr>
          <w:iCs/>
          <w:lang w:val="en-US"/>
        </w:rPr>
        <w:t>Schlusche (2009)</w:t>
      </w:r>
      <w:r>
        <w:rPr>
          <w:iCs/>
          <w:lang w:val="en-US"/>
        </w:rPr>
        <w:t>,</w:t>
      </w:r>
      <w:r w:rsidRPr="00953770">
        <w:rPr>
          <w:iCs/>
          <w:lang w:val="en-US"/>
        </w:rPr>
        <w:t xml:space="preserve"> </w:t>
      </w:r>
      <w:r>
        <w:rPr>
          <w:lang w:val="en-US"/>
        </w:rPr>
        <w:t xml:space="preserve">and </w:t>
      </w:r>
      <w:r w:rsidRPr="00953770">
        <w:rPr>
          <w:iCs/>
          <w:lang w:val="en-US"/>
        </w:rPr>
        <w:t>Theissen (2012)</w:t>
      </w:r>
      <w:r>
        <w:rPr>
          <w:iCs/>
          <w:lang w:val="en-US"/>
        </w:rPr>
        <w:t>,</w:t>
      </w:r>
      <w:r w:rsidRPr="00953770">
        <w:rPr>
          <w:iCs/>
          <w:lang w:val="en-US"/>
        </w:rPr>
        <w:t xml:space="preserve"> while </w:t>
      </w:r>
      <w:r>
        <w:rPr>
          <w:iCs/>
          <w:lang w:val="en-US"/>
        </w:rPr>
        <w:t xml:space="preserve">they </w:t>
      </w:r>
      <w:r w:rsidRPr="00953770">
        <w:rPr>
          <w:iCs/>
          <w:lang w:val="en-US"/>
        </w:rPr>
        <w:t xml:space="preserve">are similar to the </w:t>
      </w:r>
      <w:r>
        <w:rPr>
          <w:iCs/>
          <w:lang w:val="en-US"/>
        </w:rPr>
        <w:t>inferences made by</w:t>
      </w:r>
      <w:r w:rsidRPr="00953770">
        <w:rPr>
          <w:iCs/>
          <w:color w:val="000000" w:themeColor="text1"/>
          <w:lang w:val="en-US"/>
        </w:rPr>
        <w:t xml:space="preserve"> Ivanov et al. (2013) and Chou </w:t>
      </w:r>
      <w:r>
        <w:rPr>
          <w:iCs/>
          <w:color w:val="000000" w:themeColor="text1"/>
          <w:lang w:val="en-US"/>
        </w:rPr>
        <w:t xml:space="preserve">and </w:t>
      </w:r>
      <w:r w:rsidRPr="00953770">
        <w:rPr>
          <w:iCs/>
          <w:color w:val="000000" w:themeColor="text1"/>
          <w:lang w:val="en-US"/>
        </w:rPr>
        <w:t xml:space="preserve">Chung (2006). However, our study is </w:t>
      </w:r>
      <w:r>
        <w:rPr>
          <w:iCs/>
          <w:color w:val="000000" w:themeColor="text1"/>
          <w:lang w:val="en-US"/>
        </w:rPr>
        <w:t xml:space="preserve">considerably </w:t>
      </w:r>
      <w:r w:rsidRPr="00953770">
        <w:rPr>
          <w:iCs/>
          <w:color w:val="000000" w:themeColor="text1"/>
          <w:lang w:val="en-US"/>
        </w:rPr>
        <w:t xml:space="preserve">more comprehensive </w:t>
      </w:r>
      <w:r>
        <w:rPr>
          <w:iCs/>
          <w:color w:val="000000" w:themeColor="text1"/>
          <w:lang w:val="en-US"/>
        </w:rPr>
        <w:t xml:space="preserve">compared to those of </w:t>
      </w:r>
      <w:r w:rsidRPr="00953770">
        <w:rPr>
          <w:iCs/>
          <w:color w:val="000000" w:themeColor="text1"/>
          <w:lang w:val="en-US"/>
        </w:rPr>
        <w:t xml:space="preserve">Ivanov et al. (2013) and Chou </w:t>
      </w:r>
      <w:r>
        <w:rPr>
          <w:iCs/>
          <w:color w:val="000000" w:themeColor="text1"/>
          <w:lang w:val="en-US"/>
        </w:rPr>
        <w:t xml:space="preserve">and </w:t>
      </w:r>
      <w:r w:rsidRPr="00953770">
        <w:rPr>
          <w:iCs/>
          <w:color w:val="000000" w:themeColor="text1"/>
          <w:lang w:val="en-US"/>
        </w:rPr>
        <w:t xml:space="preserve">Chung (2006). </w:t>
      </w:r>
      <w:r>
        <w:rPr>
          <w:iCs/>
          <w:color w:val="000000" w:themeColor="text1"/>
          <w:lang w:val="en-US"/>
        </w:rPr>
        <w:t xml:space="preserve">Furthermore, </w:t>
      </w:r>
      <w:r w:rsidRPr="00953770">
        <w:rPr>
          <w:iCs/>
          <w:color w:val="000000" w:themeColor="text1"/>
          <w:lang w:val="en-US"/>
        </w:rPr>
        <w:t xml:space="preserve">this has been discussed in </w:t>
      </w:r>
      <w:r>
        <w:rPr>
          <w:iCs/>
          <w:color w:val="000000" w:themeColor="text1"/>
          <w:lang w:val="en-US"/>
        </w:rPr>
        <w:t xml:space="preserve">greater </w:t>
      </w:r>
      <w:r w:rsidR="00BB082B">
        <w:rPr>
          <w:iCs/>
          <w:color w:val="000000" w:themeColor="text1"/>
          <w:lang w:val="en-US"/>
        </w:rPr>
        <w:t>depth i</w:t>
      </w:r>
      <w:r w:rsidRPr="00953770">
        <w:rPr>
          <w:iCs/>
          <w:color w:val="000000" w:themeColor="text1"/>
          <w:lang w:val="en-US"/>
        </w:rPr>
        <w:t xml:space="preserve">n </w:t>
      </w:r>
      <w:r w:rsidR="00BB082B">
        <w:rPr>
          <w:iCs/>
          <w:color w:val="000000" w:themeColor="text1"/>
          <w:lang w:val="en-US"/>
        </w:rPr>
        <w:t>Section 5.3</w:t>
      </w:r>
      <w:r>
        <w:rPr>
          <w:iCs/>
          <w:color w:val="000000" w:themeColor="text1"/>
          <w:lang w:val="en-US"/>
        </w:rPr>
        <w:t xml:space="preserve"> </w:t>
      </w:r>
      <w:r w:rsidRPr="00953770">
        <w:rPr>
          <w:iCs/>
          <w:color w:val="000000" w:themeColor="text1"/>
          <w:lang w:val="en-US"/>
        </w:rPr>
        <w:t xml:space="preserve">of the paper. </w:t>
      </w:r>
      <w:r w:rsidRPr="00953770">
        <w:rPr>
          <w:iCs/>
          <w:lang w:val="en-US"/>
        </w:rPr>
        <w:t xml:space="preserve">The </w:t>
      </w:r>
      <w:r>
        <w:rPr>
          <w:iCs/>
          <w:lang w:val="en-US"/>
        </w:rPr>
        <w:t xml:space="preserve">discovery </w:t>
      </w:r>
      <w:r w:rsidRPr="00953770">
        <w:rPr>
          <w:iCs/>
          <w:lang w:val="en-US"/>
        </w:rPr>
        <w:t xml:space="preserve">of a greater role </w:t>
      </w:r>
      <w:r>
        <w:rPr>
          <w:iCs/>
          <w:lang w:val="en-US"/>
        </w:rPr>
        <w:t>of ETFs</w:t>
      </w:r>
      <w:r w:rsidRPr="00953770">
        <w:rPr>
          <w:iCs/>
          <w:lang w:val="en-US"/>
        </w:rPr>
        <w:t xml:space="preserve"> in the price discovery process </w:t>
      </w:r>
      <w:r>
        <w:rPr>
          <w:iCs/>
          <w:lang w:val="en-US"/>
        </w:rPr>
        <w:t xml:space="preserve">also contributes </w:t>
      </w:r>
      <w:r w:rsidRPr="00953770">
        <w:rPr>
          <w:iCs/>
          <w:lang w:val="en-US"/>
        </w:rPr>
        <w:t xml:space="preserve">to the wider policy debate </w:t>
      </w:r>
      <w:r>
        <w:rPr>
          <w:iCs/>
          <w:lang w:val="en-US"/>
        </w:rPr>
        <w:t xml:space="preserve">regarding </w:t>
      </w:r>
      <w:r w:rsidRPr="00953770">
        <w:rPr>
          <w:iCs/>
          <w:lang w:val="en-US"/>
        </w:rPr>
        <w:t>the</w:t>
      </w:r>
      <w:r>
        <w:rPr>
          <w:iCs/>
          <w:lang w:val="en-US"/>
        </w:rPr>
        <w:t>ir</w:t>
      </w:r>
      <w:r w:rsidRPr="00953770">
        <w:rPr>
          <w:iCs/>
          <w:lang w:val="en-US"/>
        </w:rPr>
        <w:t xml:space="preserve"> role in stock markets.</w:t>
      </w:r>
    </w:p>
    <w:p w14:paraId="785E8117" w14:textId="77777777" w:rsidR="005A719B" w:rsidRPr="00953770" w:rsidRDefault="005A719B" w:rsidP="007F2179">
      <w:pPr>
        <w:autoSpaceDE w:val="0"/>
        <w:autoSpaceDN w:val="0"/>
        <w:adjustRightInd w:val="0"/>
        <w:spacing w:after="200" w:line="480" w:lineRule="auto"/>
        <w:jc w:val="both"/>
        <w:rPr>
          <w:rFonts w:eastAsia="SimSun"/>
          <w:lang w:val="en-US"/>
        </w:rPr>
      </w:pPr>
    </w:p>
    <w:p w14:paraId="1DF9E7F6" w14:textId="64258039" w:rsidR="005A719B" w:rsidRPr="00953770" w:rsidRDefault="005A719B" w:rsidP="00D618EB">
      <w:pPr>
        <w:autoSpaceDE w:val="0"/>
        <w:autoSpaceDN w:val="0"/>
        <w:adjustRightInd w:val="0"/>
        <w:spacing w:after="200" w:line="480" w:lineRule="auto"/>
        <w:jc w:val="both"/>
        <w:rPr>
          <w:lang w:val="en-US"/>
        </w:rPr>
      </w:pPr>
      <w:r w:rsidRPr="00953770">
        <w:rPr>
          <w:color w:val="000000"/>
          <w:lang w:val="en-US" w:eastAsia="en-US"/>
        </w:rPr>
        <w:t>The remainder of this study is organized as follow</w:t>
      </w:r>
      <w:r>
        <w:rPr>
          <w:color w:val="000000"/>
          <w:lang w:val="en-US" w:eastAsia="en-US"/>
        </w:rPr>
        <w:t>s:</w:t>
      </w:r>
      <w:r w:rsidRPr="00953770">
        <w:rPr>
          <w:color w:val="000000"/>
          <w:lang w:val="en-US" w:eastAsia="en-US"/>
        </w:rPr>
        <w:t xml:space="preserve"> </w:t>
      </w:r>
      <w:r>
        <w:rPr>
          <w:lang w:val="en-US"/>
        </w:rPr>
        <w:t>Section 2</w:t>
      </w:r>
      <w:r w:rsidRPr="00953770">
        <w:rPr>
          <w:lang w:val="en-US"/>
        </w:rPr>
        <w:t xml:space="preserve"> </w:t>
      </w:r>
      <w:r>
        <w:rPr>
          <w:lang w:val="en-US"/>
        </w:rPr>
        <w:t xml:space="preserve">offers a </w:t>
      </w:r>
      <w:r w:rsidRPr="00953770">
        <w:rPr>
          <w:lang w:val="en-US"/>
        </w:rPr>
        <w:t>critical review</w:t>
      </w:r>
      <w:r>
        <w:rPr>
          <w:lang w:val="en-US"/>
        </w:rPr>
        <w:t xml:space="preserve"> of</w:t>
      </w:r>
      <w:r w:rsidRPr="00953770">
        <w:rPr>
          <w:lang w:val="en-US"/>
        </w:rPr>
        <w:t xml:space="preserve"> the existing literature</w:t>
      </w:r>
      <w:r>
        <w:rPr>
          <w:lang w:val="en-US"/>
        </w:rPr>
        <w:t>;</w:t>
      </w:r>
      <w:r w:rsidRPr="00953770">
        <w:rPr>
          <w:lang w:val="en-US"/>
        </w:rPr>
        <w:t xml:space="preserve"> Section</w:t>
      </w:r>
      <w:r>
        <w:rPr>
          <w:lang w:val="en-US"/>
        </w:rPr>
        <w:t>s</w:t>
      </w:r>
      <w:r w:rsidRPr="00953770">
        <w:rPr>
          <w:lang w:val="en-US"/>
        </w:rPr>
        <w:t xml:space="preserve"> </w:t>
      </w:r>
      <w:r>
        <w:rPr>
          <w:lang w:val="en-US"/>
        </w:rPr>
        <w:t>3 and 4 discuss</w:t>
      </w:r>
      <w:r w:rsidRPr="00953770">
        <w:rPr>
          <w:lang w:val="en-US"/>
        </w:rPr>
        <w:t xml:space="preserve"> the empirical data and research methodology employed for this paper</w:t>
      </w:r>
      <w:r>
        <w:rPr>
          <w:lang w:val="en-US"/>
        </w:rPr>
        <w:t>, respectively;</w:t>
      </w:r>
      <w:r w:rsidRPr="00953770">
        <w:rPr>
          <w:lang w:val="en-US"/>
        </w:rPr>
        <w:t xml:space="preserve"> Section </w:t>
      </w:r>
      <w:r>
        <w:rPr>
          <w:lang w:val="en-US"/>
        </w:rPr>
        <w:t>5</w:t>
      </w:r>
      <w:r w:rsidRPr="00953770">
        <w:rPr>
          <w:lang w:val="en-US"/>
        </w:rPr>
        <w:t xml:space="preserve"> presents the estimated results and findings</w:t>
      </w:r>
      <w:r>
        <w:rPr>
          <w:lang w:val="en-US"/>
        </w:rPr>
        <w:t>; and Section 6</w:t>
      </w:r>
      <w:r w:rsidRPr="00953770">
        <w:rPr>
          <w:lang w:val="en-US"/>
        </w:rPr>
        <w:t xml:space="preserve"> </w:t>
      </w:r>
      <w:r>
        <w:rPr>
          <w:lang w:val="en-US"/>
        </w:rPr>
        <w:t xml:space="preserve">provides the </w:t>
      </w:r>
      <w:r w:rsidRPr="00953770">
        <w:rPr>
          <w:lang w:val="en-US"/>
        </w:rPr>
        <w:t>conclu</w:t>
      </w:r>
      <w:r>
        <w:rPr>
          <w:lang w:val="en-US"/>
        </w:rPr>
        <w:t>sion to</w:t>
      </w:r>
      <w:r w:rsidRPr="00953770">
        <w:rPr>
          <w:lang w:val="en-US"/>
        </w:rPr>
        <w:t xml:space="preserve"> this study.</w:t>
      </w:r>
    </w:p>
    <w:p w14:paraId="5C6DDA67" w14:textId="77777777" w:rsidR="00C902E6" w:rsidRDefault="00C902E6" w:rsidP="00C902E6">
      <w:pPr>
        <w:rPr>
          <w:rFonts w:eastAsia="SimSun"/>
          <w:lang w:val="en-US"/>
        </w:rPr>
      </w:pPr>
    </w:p>
    <w:p w14:paraId="416F7A68" w14:textId="50AEC950" w:rsidR="005A719B" w:rsidRPr="00C902E6" w:rsidRDefault="005A719B" w:rsidP="00C902E6">
      <w:pPr>
        <w:spacing w:line="480" w:lineRule="auto"/>
        <w:rPr>
          <w:rFonts w:eastAsia="SimSun"/>
          <w:b/>
          <w:sz w:val="28"/>
          <w:szCs w:val="28"/>
          <w:lang w:val="en-US"/>
        </w:rPr>
      </w:pPr>
      <w:r w:rsidRPr="00C902E6">
        <w:rPr>
          <w:b/>
          <w:sz w:val="28"/>
          <w:szCs w:val="28"/>
        </w:rPr>
        <w:t>2 Literature Review</w:t>
      </w:r>
    </w:p>
    <w:p w14:paraId="53779A9F" w14:textId="3EE2243F" w:rsidR="005A719B" w:rsidRPr="00C902E6" w:rsidRDefault="005A719B" w:rsidP="00C2773E">
      <w:pPr>
        <w:pStyle w:val="head2"/>
      </w:pPr>
      <w:r w:rsidRPr="00C902E6">
        <w:t>2.1 What Informational Role D</w:t>
      </w:r>
      <w:r w:rsidR="00D64B1E">
        <w:t xml:space="preserve">o ETFs Play in Price Discovery? - </w:t>
      </w:r>
      <w:r w:rsidRPr="00C902E6">
        <w:t xml:space="preserve">Summary of Findings from the Literature   </w:t>
      </w:r>
    </w:p>
    <w:p w14:paraId="18289560" w14:textId="7033F4E9" w:rsidR="005A719B" w:rsidRPr="00953770" w:rsidRDefault="005A719B" w:rsidP="00861A44">
      <w:pPr>
        <w:spacing w:line="480" w:lineRule="auto"/>
        <w:jc w:val="both"/>
        <w:rPr>
          <w:rFonts w:eastAsia="SimSun"/>
          <w:lang w:val="en-US"/>
        </w:rPr>
      </w:pPr>
      <w:r w:rsidRPr="002B271F">
        <w:rPr>
          <w:rFonts w:eastAsia="SimSun"/>
          <w:lang w:val="en-US"/>
        </w:rPr>
        <w:t>S</w:t>
      </w:r>
      <w:r w:rsidRPr="00953770">
        <w:rPr>
          <w:rFonts w:eastAsia="SimSun"/>
          <w:lang w:val="en-US"/>
        </w:rPr>
        <w:t xml:space="preserve">everal studies have </w:t>
      </w:r>
      <w:r>
        <w:rPr>
          <w:rFonts w:eastAsia="SimSun"/>
          <w:lang w:val="en-US"/>
        </w:rPr>
        <w:t>investigated</w:t>
      </w:r>
      <w:r w:rsidRPr="00953770">
        <w:rPr>
          <w:rFonts w:eastAsia="SimSun"/>
          <w:lang w:val="en-US"/>
        </w:rPr>
        <w:t xml:space="preserve"> the contribution of </w:t>
      </w:r>
      <w:r>
        <w:rPr>
          <w:rFonts w:eastAsia="SimSun"/>
          <w:lang w:val="en-US"/>
        </w:rPr>
        <w:t>ETFs</w:t>
      </w:r>
      <w:r w:rsidRPr="00953770">
        <w:rPr>
          <w:rFonts w:eastAsia="SimSun"/>
          <w:lang w:val="en-US"/>
        </w:rPr>
        <w:t xml:space="preserve"> </w:t>
      </w:r>
      <w:r>
        <w:rPr>
          <w:rFonts w:eastAsia="SimSun"/>
          <w:lang w:val="en-US"/>
        </w:rPr>
        <w:t>in</w:t>
      </w:r>
      <w:r w:rsidRPr="00953770">
        <w:rPr>
          <w:rFonts w:eastAsia="SimSun"/>
          <w:lang w:val="en-US"/>
        </w:rPr>
        <w:t xml:space="preserve"> the price discovery </w:t>
      </w:r>
      <w:r>
        <w:rPr>
          <w:rFonts w:eastAsia="SimSun"/>
          <w:lang w:val="en-US"/>
        </w:rPr>
        <w:t xml:space="preserve">process </w:t>
      </w:r>
      <w:r w:rsidRPr="00953770">
        <w:rPr>
          <w:rFonts w:eastAsia="SimSun"/>
          <w:lang w:val="en-US"/>
        </w:rPr>
        <w:t xml:space="preserve">in </w:t>
      </w:r>
      <w:r>
        <w:rPr>
          <w:rFonts w:eastAsia="SimSun"/>
          <w:lang w:val="en-US"/>
        </w:rPr>
        <w:t xml:space="preserve">relation to </w:t>
      </w:r>
      <w:r w:rsidRPr="00953770">
        <w:rPr>
          <w:rFonts w:eastAsia="SimSun"/>
          <w:lang w:val="en-US"/>
        </w:rPr>
        <w:t xml:space="preserve">the </w:t>
      </w:r>
      <w:r>
        <w:rPr>
          <w:rFonts w:eastAsia="SimSun"/>
          <w:lang w:val="en-US"/>
        </w:rPr>
        <w:t>t</w:t>
      </w:r>
      <w:r w:rsidRPr="00953770">
        <w:rPr>
          <w:rFonts w:eastAsia="SimSun"/>
          <w:lang w:val="en-US"/>
        </w:rPr>
        <w:t xml:space="preserve">rading </w:t>
      </w:r>
      <w:r>
        <w:rPr>
          <w:rFonts w:eastAsia="SimSun"/>
          <w:lang w:val="en-US"/>
        </w:rPr>
        <w:t>c</w:t>
      </w:r>
      <w:r w:rsidRPr="00953770">
        <w:rPr>
          <w:rFonts w:eastAsia="SimSun"/>
          <w:lang w:val="en-US"/>
        </w:rPr>
        <w:t xml:space="preserve">osts </w:t>
      </w:r>
      <w:r>
        <w:rPr>
          <w:rFonts w:eastAsia="SimSun"/>
          <w:lang w:val="en-US"/>
        </w:rPr>
        <w:t>h</w:t>
      </w:r>
      <w:r w:rsidRPr="00953770">
        <w:rPr>
          <w:rFonts w:eastAsia="SimSun"/>
          <w:lang w:val="en-US"/>
        </w:rPr>
        <w:t xml:space="preserve">ypothesis. </w:t>
      </w:r>
      <w:r>
        <w:rPr>
          <w:rFonts w:eastAsia="SimSun"/>
          <w:lang w:val="en-US"/>
        </w:rPr>
        <w:t>Broadly</w:t>
      </w:r>
      <w:r w:rsidRPr="00953770">
        <w:rPr>
          <w:rFonts w:eastAsia="SimSun"/>
          <w:lang w:val="en-US"/>
        </w:rPr>
        <w:t xml:space="preserve">, they suggested that although </w:t>
      </w:r>
      <w:r>
        <w:rPr>
          <w:rFonts w:eastAsia="SimSun"/>
          <w:lang w:val="en-US"/>
        </w:rPr>
        <w:t>ETFs</w:t>
      </w:r>
      <w:r w:rsidRPr="00953770">
        <w:rPr>
          <w:rFonts w:eastAsia="SimSun"/>
          <w:lang w:val="en-US"/>
        </w:rPr>
        <w:t xml:space="preserve"> offer cheaper costs and have increased in </w:t>
      </w:r>
      <w:r>
        <w:rPr>
          <w:rFonts w:eastAsia="SimSun"/>
          <w:lang w:val="en-US"/>
        </w:rPr>
        <w:t xml:space="preserve">terms of </w:t>
      </w:r>
      <w:r w:rsidRPr="00953770">
        <w:rPr>
          <w:rFonts w:eastAsia="SimSun"/>
          <w:lang w:val="en-US"/>
        </w:rPr>
        <w:t xml:space="preserve">popularity and volume, their contribution to </w:t>
      </w:r>
      <w:r>
        <w:rPr>
          <w:rFonts w:eastAsia="SimSun"/>
          <w:lang w:val="en-US"/>
        </w:rPr>
        <w:t xml:space="preserve">the phenomenon of </w:t>
      </w:r>
      <w:r w:rsidRPr="00953770">
        <w:rPr>
          <w:rFonts w:eastAsia="SimSun"/>
          <w:lang w:val="en-US"/>
        </w:rPr>
        <w:t>price discovery is</w:t>
      </w:r>
      <w:r>
        <w:rPr>
          <w:rFonts w:eastAsia="SimSun"/>
          <w:lang w:val="en-US"/>
        </w:rPr>
        <w:t xml:space="preserve"> limited</w:t>
      </w:r>
      <w:r w:rsidRPr="00953770">
        <w:rPr>
          <w:rFonts w:eastAsia="SimSun"/>
          <w:lang w:val="en-US"/>
        </w:rPr>
        <w:t xml:space="preserve">. For </w:t>
      </w:r>
      <w:r>
        <w:rPr>
          <w:rFonts w:eastAsia="SimSun"/>
          <w:lang w:val="en-US"/>
        </w:rPr>
        <w:t>instance</w:t>
      </w:r>
      <w:r w:rsidRPr="00953770">
        <w:rPr>
          <w:rFonts w:eastAsia="SimSun"/>
          <w:lang w:val="en-US"/>
        </w:rPr>
        <w:t xml:space="preserve">, Beaulieu et al. (2003) and Chou and Chung (2006) examined the effects of </w:t>
      </w:r>
      <w:r>
        <w:rPr>
          <w:rFonts w:eastAsia="SimSun"/>
          <w:lang w:val="en-US"/>
        </w:rPr>
        <w:t xml:space="preserve">the </w:t>
      </w:r>
      <w:r w:rsidRPr="00953770">
        <w:rPr>
          <w:rFonts w:eastAsia="SimSun"/>
          <w:lang w:val="en-US"/>
        </w:rPr>
        <w:t xml:space="preserve">decimalization of </w:t>
      </w:r>
      <w:r>
        <w:rPr>
          <w:rFonts w:eastAsia="SimSun"/>
          <w:lang w:val="en-US"/>
        </w:rPr>
        <w:t>ETFs</w:t>
      </w:r>
      <w:r w:rsidRPr="00953770">
        <w:rPr>
          <w:rFonts w:eastAsia="SimSun"/>
          <w:lang w:val="en-US"/>
        </w:rPr>
        <w:t xml:space="preserve"> trading on price </w:t>
      </w:r>
      <w:r w:rsidRPr="0036258C">
        <w:rPr>
          <w:rFonts w:eastAsia="SimSun"/>
          <w:lang w:val="en-US"/>
        </w:rPr>
        <w:t>discovery</w:t>
      </w:r>
      <w:r w:rsidR="0036258C" w:rsidRPr="0036258C">
        <w:rPr>
          <w:rFonts w:eastAsia="SimSun"/>
          <w:lang w:val="en-US"/>
        </w:rPr>
        <w:t>.</w:t>
      </w:r>
      <w:r w:rsidR="00AA55FD" w:rsidRPr="0036258C">
        <w:rPr>
          <w:rFonts w:eastAsia="SimSun"/>
          <w:vertAlign w:val="superscript"/>
          <w:lang w:val="en-US"/>
        </w:rPr>
        <w:t>9</w:t>
      </w:r>
      <w:r w:rsidRPr="00953770">
        <w:rPr>
          <w:rFonts w:eastAsia="SimSun"/>
          <w:lang w:val="en-US"/>
        </w:rPr>
        <w:t xml:space="preserve"> Their results indicated that index futures </w:t>
      </w:r>
      <w:r>
        <w:rPr>
          <w:rFonts w:eastAsia="SimSun"/>
          <w:lang w:val="en-US"/>
        </w:rPr>
        <w:t xml:space="preserve">continue to </w:t>
      </w:r>
      <w:r w:rsidRPr="00953770">
        <w:rPr>
          <w:rFonts w:eastAsia="SimSun"/>
          <w:lang w:val="en-US"/>
        </w:rPr>
        <w:t xml:space="preserve">lead price discovery. More importantly, </w:t>
      </w:r>
      <w:r>
        <w:rPr>
          <w:rFonts w:eastAsia="SimSun"/>
          <w:lang w:val="en-US"/>
        </w:rPr>
        <w:t>ETFs</w:t>
      </w:r>
      <w:r w:rsidRPr="00953770">
        <w:rPr>
          <w:rFonts w:eastAsia="SimSun"/>
          <w:lang w:val="en-US"/>
        </w:rPr>
        <w:t xml:space="preserve"> </w:t>
      </w:r>
      <w:r>
        <w:rPr>
          <w:rFonts w:eastAsia="SimSun"/>
          <w:lang w:val="en-US"/>
        </w:rPr>
        <w:t xml:space="preserve">began </w:t>
      </w:r>
      <w:r w:rsidRPr="00953770">
        <w:rPr>
          <w:rFonts w:eastAsia="SimSun"/>
          <w:lang w:val="en-US"/>
        </w:rPr>
        <w:t xml:space="preserve">to gain a significant information share after the reduction of </w:t>
      </w:r>
      <w:r>
        <w:rPr>
          <w:rFonts w:eastAsia="SimSun"/>
          <w:lang w:val="en-US"/>
        </w:rPr>
        <w:t>ETFs</w:t>
      </w:r>
      <w:r w:rsidRPr="00953770">
        <w:rPr>
          <w:rFonts w:eastAsia="SimSun"/>
          <w:lang w:val="en-US"/>
        </w:rPr>
        <w:t>’ trading costs, reflecting their increasingly important role in price discovery.</w:t>
      </w:r>
    </w:p>
    <w:p w14:paraId="2BF792A7" w14:textId="77777777" w:rsidR="005A719B" w:rsidRPr="00953770" w:rsidRDefault="005A719B" w:rsidP="00861A44">
      <w:pPr>
        <w:spacing w:line="480" w:lineRule="auto"/>
        <w:jc w:val="both"/>
        <w:rPr>
          <w:rFonts w:eastAsia="SimSun"/>
          <w:lang w:val="en-US"/>
        </w:rPr>
      </w:pPr>
    </w:p>
    <w:p w14:paraId="7367171E" w14:textId="483E3C1E" w:rsidR="005A719B" w:rsidRPr="00953770" w:rsidRDefault="005A719B" w:rsidP="00C2773E">
      <w:pPr>
        <w:spacing w:line="480" w:lineRule="auto"/>
        <w:jc w:val="both"/>
        <w:rPr>
          <w:rFonts w:eastAsia="SimSun"/>
          <w:lang w:val="en-US"/>
        </w:rPr>
      </w:pPr>
      <w:r>
        <w:rPr>
          <w:rFonts w:eastAsia="SimSun"/>
          <w:lang w:val="en-US"/>
        </w:rPr>
        <w:t>However, Deville et al. (2014</w:t>
      </w:r>
      <w:r w:rsidRPr="00953770">
        <w:rPr>
          <w:rFonts w:eastAsia="SimSun"/>
          <w:lang w:val="en-US"/>
        </w:rPr>
        <w:t>)</w:t>
      </w:r>
      <w:r>
        <w:rPr>
          <w:rFonts w:eastAsia="SimSun"/>
          <w:lang w:val="en-US"/>
        </w:rPr>
        <w:t xml:space="preserve"> examined </w:t>
      </w:r>
      <w:r w:rsidRPr="00953770">
        <w:rPr>
          <w:rFonts w:eastAsia="SimSun"/>
          <w:lang w:val="en-US"/>
        </w:rPr>
        <w:t xml:space="preserve">the direct and indirect effect of </w:t>
      </w:r>
      <w:r>
        <w:rPr>
          <w:rFonts w:eastAsia="SimSun"/>
          <w:lang w:val="en-US"/>
        </w:rPr>
        <w:t>ETFs</w:t>
      </w:r>
      <w:r w:rsidRPr="00953770">
        <w:rPr>
          <w:rFonts w:eastAsia="SimSun"/>
          <w:lang w:val="en-US"/>
        </w:rPr>
        <w:t xml:space="preserve"> on </w:t>
      </w:r>
      <w:r w:rsidRPr="00F05CCF">
        <w:rPr>
          <w:rFonts w:eastAsia="SimSun"/>
          <w:lang w:val="en-US"/>
        </w:rPr>
        <w:t>their underlying stocks</w:t>
      </w:r>
      <w:r>
        <w:rPr>
          <w:rFonts w:eastAsia="SimSun"/>
          <w:lang w:val="en-US"/>
        </w:rPr>
        <w:t>’</w:t>
      </w:r>
      <w:r w:rsidRPr="00953770">
        <w:rPr>
          <w:rFonts w:eastAsia="SimSun"/>
          <w:lang w:val="en-US"/>
        </w:rPr>
        <w:t xml:space="preserve"> price efficiency. The effect of </w:t>
      </w:r>
      <w:r>
        <w:rPr>
          <w:rFonts w:eastAsia="SimSun"/>
          <w:lang w:val="en-US"/>
        </w:rPr>
        <w:t>ETFs</w:t>
      </w:r>
      <w:r w:rsidRPr="00953770">
        <w:rPr>
          <w:rFonts w:eastAsia="SimSun"/>
          <w:lang w:val="en-US"/>
        </w:rPr>
        <w:t xml:space="preserve"> on arbitrage activities in the spot and futures markets is referred to as the direct effect of </w:t>
      </w:r>
      <w:r>
        <w:rPr>
          <w:rFonts w:eastAsia="SimSun"/>
          <w:lang w:val="en-US"/>
        </w:rPr>
        <w:t>ETFs</w:t>
      </w:r>
      <w:r w:rsidRPr="00953770">
        <w:rPr>
          <w:rFonts w:eastAsia="SimSun"/>
          <w:lang w:val="en-US"/>
        </w:rPr>
        <w:t xml:space="preserve">, </w:t>
      </w:r>
      <w:r>
        <w:rPr>
          <w:rFonts w:eastAsia="SimSun"/>
          <w:lang w:val="en-US"/>
        </w:rPr>
        <w:t>while</w:t>
      </w:r>
      <w:r w:rsidRPr="00953770">
        <w:rPr>
          <w:rFonts w:eastAsia="SimSun"/>
          <w:lang w:val="en-US"/>
        </w:rPr>
        <w:t xml:space="preserve"> the effect of </w:t>
      </w:r>
      <w:r>
        <w:rPr>
          <w:rFonts w:eastAsia="SimSun"/>
          <w:lang w:val="en-US"/>
        </w:rPr>
        <w:t>ETFs</w:t>
      </w:r>
      <w:r w:rsidRPr="00953770">
        <w:rPr>
          <w:rFonts w:eastAsia="SimSun"/>
          <w:lang w:val="en-US"/>
        </w:rPr>
        <w:t xml:space="preserve"> on the </w:t>
      </w:r>
      <w:r w:rsidRPr="00F05CCF">
        <w:rPr>
          <w:rFonts w:eastAsia="SimSun"/>
          <w:lang w:val="en-US"/>
        </w:rPr>
        <w:t>respective underlying stocks</w:t>
      </w:r>
      <w:r>
        <w:rPr>
          <w:rFonts w:eastAsia="SimSun"/>
          <w:lang w:val="en-US"/>
        </w:rPr>
        <w:t>’</w:t>
      </w:r>
      <w:r w:rsidRPr="00F05CCF">
        <w:rPr>
          <w:rFonts w:eastAsia="SimSun"/>
          <w:lang w:val="en-US"/>
        </w:rPr>
        <w:t xml:space="preserve"> </w:t>
      </w:r>
      <w:r w:rsidRPr="00953770">
        <w:rPr>
          <w:rFonts w:eastAsia="SimSun"/>
          <w:lang w:val="en-US"/>
        </w:rPr>
        <w:t xml:space="preserve">liquidity is </w:t>
      </w:r>
      <w:r>
        <w:rPr>
          <w:rFonts w:eastAsia="SimSun"/>
          <w:lang w:val="en-US"/>
        </w:rPr>
        <w:t xml:space="preserve">described </w:t>
      </w:r>
      <w:r w:rsidRPr="00953770">
        <w:rPr>
          <w:rFonts w:eastAsia="SimSun"/>
          <w:lang w:val="en-US"/>
        </w:rPr>
        <w:t xml:space="preserve">as the indirect effect of </w:t>
      </w:r>
      <w:r>
        <w:rPr>
          <w:rFonts w:eastAsia="SimSun"/>
          <w:lang w:val="en-US"/>
        </w:rPr>
        <w:t>ETFs</w:t>
      </w:r>
      <w:r w:rsidRPr="00953770">
        <w:rPr>
          <w:rFonts w:eastAsia="SimSun"/>
          <w:lang w:val="en-US"/>
        </w:rPr>
        <w:t>. Whil</w:t>
      </w:r>
      <w:r>
        <w:rPr>
          <w:rFonts w:eastAsia="SimSun"/>
          <w:lang w:val="en-US"/>
        </w:rPr>
        <w:t>e</w:t>
      </w:r>
      <w:r w:rsidRPr="00953770">
        <w:rPr>
          <w:rFonts w:eastAsia="SimSun"/>
          <w:lang w:val="en-US"/>
        </w:rPr>
        <w:t xml:space="preserve"> in </w:t>
      </w:r>
      <w:r>
        <w:rPr>
          <w:rFonts w:eastAsia="SimSun"/>
          <w:lang w:val="en-US"/>
        </w:rPr>
        <w:t xml:space="preserve">the </w:t>
      </w:r>
      <w:r w:rsidRPr="00953770">
        <w:rPr>
          <w:rFonts w:eastAsia="SimSun"/>
          <w:lang w:val="en-US"/>
        </w:rPr>
        <w:t>short</w:t>
      </w:r>
      <w:r>
        <w:rPr>
          <w:rFonts w:eastAsia="SimSun"/>
          <w:lang w:val="en-US"/>
        </w:rPr>
        <w:t xml:space="preserve"> term</w:t>
      </w:r>
      <w:r w:rsidRPr="00953770">
        <w:rPr>
          <w:rFonts w:eastAsia="SimSun"/>
          <w:lang w:val="en-US"/>
        </w:rPr>
        <w:t xml:space="preserve">, neither direct nor indirect effect of </w:t>
      </w:r>
      <w:r>
        <w:rPr>
          <w:rFonts w:eastAsia="SimSun"/>
          <w:lang w:val="en-US"/>
        </w:rPr>
        <w:t>ETFs</w:t>
      </w:r>
      <w:r w:rsidRPr="00953770">
        <w:rPr>
          <w:rFonts w:eastAsia="SimSun"/>
          <w:lang w:val="en-US"/>
        </w:rPr>
        <w:t xml:space="preserve"> on the price efficiency of their component stocks </w:t>
      </w:r>
      <w:r>
        <w:rPr>
          <w:rFonts w:eastAsia="SimSun"/>
          <w:lang w:val="en-US"/>
        </w:rPr>
        <w:t xml:space="preserve">could be observed based on </w:t>
      </w:r>
      <w:r w:rsidRPr="00953770">
        <w:rPr>
          <w:rFonts w:eastAsia="SimSun"/>
          <w:lang w:val="en-US"/>
        </w:rPr>
        <w:t>the data used in their study</w:t>
      </w:r>
      <w:r>
        <w:rPr>
          <w:rFonts w:eastAsia="SimSun"/>
          <w:lang w:val="en-US"/>
        </w:rPr>
        <w:t>;</w:t>
      </w:r>
      <w:r w:rsidRPr="00953770">
        <w:rPr>
          <w:rFonts w:eastAsia="SimSun"/>
          <w:lang w:val="en-US"/>
        </w:rPr>
        <w:t xml:space="preserve"> </w:t>
      </w:r>
      <w:r>
        <w:rPr>
          <w:rFonts w:eastAsia="SimSun"/>
          <w:lang w:val="en-US"/>
        </w:rPr>
        <w:t>however, Deville et al. (2014</w:t>
      </w:r>
      <w:r w:rsidRPr="00953770">
        <w:rPr>
          <w:rFonts w:eastAsia="SimSun"/>
          <w:lang w:val="en-US"/>
        </w:rPr>
        <w:t xml:space="preserve">) suggest that </w:t>
      </w:r>
      <w:r>
        <w:rPr>
          <w:rFonts w:eastAsia="SimSun"/>
          <w:lang w:val="en-US"/>
        </w:rPr>
        <w:t xml:space="preserve">in </w:t>
      </w:r>
      <w:r w:rsidRPr="00953770">
        <w:rPr>
          <w:rFonts w:eastAsia="SimSun"/>
          <w:lang w:val="en-US"/>
        </w:rPr>
        <w:t>the long</w:t>
      </w:r>
      <w:r>
        <w:rPr>
          <w:rFonts w:eastAsia="SimSun"/>
          <w:lang w:val="en-US"/>
        </w:rPr>
        <w:t xml:space="preserve"> term,</w:t>
      </w:r>
      <w:r w:rsidRPr="00953770">
        <w:rPr>
          <w:rFonts w:eastAsia="SimSun"/>
          <w:lang w:val="en-US"/>
        </w:rPr>
        <w:t xml:space="preserve"> the price efficiency improve</w:t>
      </w:r>
      <w:r>
        <w:rPr>
          <w:rFonts w:eastAsia="SimSun"/>
          <w:lang w:val="en-US"/>
        </w:rPr>
        <w:t>s,</w:t>
      </w:r>
      <w:r w:rsidRPr="00953770">
        <w:rPr>
          <w:rFonts w:eastAsia="SimSun"/>
          <w:lang w:val="en-US"/>
        </w:rPr>
        <w:t xml:space="preserve"> especially through the indirect effect of </w:t>
      </w:r>
      <w:r w:rsidRPr="0036258C">
        <w:rPr>
          <w:rFonts w:eastAsia="SimSun"/>
          <w:lang w:val="en-US"/>
        </w:rPr>
        <w:t>ETFs</w:t>
      </w:r>
      <w:r w:rsidR="0036258C" w:rsidRPr="0036258C">
        <w:rPr>
          <w:rFonts w:eastAsia="SimSun"/>
          <w:lang w:val="en-US"/>
        </w:rPr>
        <w:t>.</w:t>
      </w:r>
      <w:r w:rsidR="00AA55FD" w:rsidRPr="0036258C">
        <w:rPr>
          <w:rFonts w:eastAsia="SimSun"/>
          <w:vertAlign w:val="superscript"/>
          <w:lang w:val="en-US"/>
        </w:rPr>
        <w:t>10</w:t>
      </w:r>
      <w:r w:rsidRPr="00953770">
        <w:rPr>
          <w:rFonts w:eastAsia="SimSun"/>
          <w:lang w:val="en-US"/>
        </w:rPr>
        <w:t xml:space="preserve"> They suggested that the </w:t>
      </w:r>
      <w:r>
        <w:rPr>
          <w:rFonts w:eastAsia="SimSun"/>
          <w:lang w:val="en-US"/>
        </w:rPr>
        <w:t>ETFs</w:t>
      </w:r>
      <w:r w:rsidRPr="00953770">
        <w:rPr>
          <w:rFonts w:eastAsia="SimSun"/>
          <w:lang w:val="en-US"/>
        </w:rPr>
        <w:t xml:space="preserve"> are more appealing to hedgers and liquidity traders who focus on long-term positions</w:t>
      </w:r>
      <w:r>
        <w:rPr>
          <w:rFonts w:eastAsia="SimSun"/>
          <w:lang w:val="en-US"/>
        </w:rPr>
        <w:t>,</w:t>
      </w:r>
      <w:r w:rsidRPr="00953770">
        <w:rPr>
          <w:rFonts w:eastAsia="SimSun"/>
          <w:lang w:val="en-US"/>
        </w:rPr>
        <w:t xml:space="preserve"> but </w:t>
      </w:r>
      <w:r>
        <w:rPr>
          <w:rFonts w:eastAsia="SimSun"/>
          <w:lang w:val="en-US"/>
        </w:rPr>
        <w:t xml:space="preserve">they may appear </w:t>
      </w:r>
      <w:r w:rsidRPr="00953770">
        <w:rPr>
          <w:rFonts w:eastAsia="SimSun"/>
          <w:lang w:val="en-US"/>
        </w:rPr>
        <w:t xml:space="preserve">unattractive to arbitrageurs </w:t>
      </w:r>
      <w:r>
        <w:rPr>
          <w:rFonts w:eastAsia="SimSun"/>
          <w:lang w:val="en-US"/>
        </w:rPr>
        <w:t>in relation to</w:t>
      </w:r>
      <w:r w:rsidRPr="00953770">
        <w:rPr>
          <w:rFonts w:eastAsia="SimSun"/>
          <w:lang w:val="en-US"/>
        </w:rPr>
        <w:t xml:space="preserve"> index futures. This is because </w:t>
      </w:r>
      <w:r>
        <w:rPr>
          <w:rFonts w:eastAsia="SimSun"/>
          <w:lang w:val="en-US"/>
        </w:rPr>
        <w:t>ETFs</w:t>
      </w:r>
      <w:r w:rsidRPr="00953770">
        <w:rPr>
          <w:rFonts w:eastAsia="SimSun"/>
          <w:lang w:val="en-US"/>
        </w:rPr>
        <w:t xml:space="preserve"> are traded at </w:t>
      </w:r>
      <w:r>
        <w:rPr>
          <w:rFonts w:eastAsia="SimSun"/>
          <w:lang w:val="en-US"/>
        </w:rPr>
        <w:t xml:space="preserve">lesser </w:t>
      </w:r>
      <w:r w:rsidRPr="00953770">
        <w:rPr>
          <w:rFonts w:eastAsia="SimSun"/>
          <w:lang w:val="en-US"/>
        </w:rPr>
        <w:t>frequenc</w:t>
      </w:r>
      <w:r>
        <w:rPr>
          <w:rFonts w:eastAsia="SimSun"/>
          <w:lang w:val="en-US"/>
        </w:rPr>
        <w:t>ies</w:t>
      </w:r>
      <w:r w:rsidRPr="00953770">
        <w:rPr>
          <w:rFonts w:eastAsia="SimSun"/>
          <w:lang w:val="en-US"/>
        </w:rPr>
        <w:t xml:space="preserve"> than futures, and arbitrageurs </w:t>
      </w:r>
      <w:r>
        <w:rPr>
          <w:rFonts w:eastAsia="SimSun"/>
          <w:lang w:val="en-US"/>
        </w:rPr>
        <w:t xml:space="preserve">concerned with </w:t>
      </w:r>
      <w:r w:rsidRPr="00953770">
        <w:rPr>
          <w:rFonts w:eastAsia="SimSun"/>
          <w:lang w:val="en-US"/>
        </w:rPr>
        <w:t xml:space="preserve">short-term profitability may prefer stocks and futures rather than </w:t>
      </w:r>
      <w:r>
        <w:rPr>
          <w:rFonts w:eastAsia="SimSun"/>
          <w:lang w:val="en-US"/>
        </w:rPr>
        <w:t>ETFs</w:t>
      </w:r>
      <w:r w:rsidRPr="00953770">
        <w:rPr>
          <w:rFonts w:eastAsia="SimSun"/>
          <w:lang w:val="en-US"/>
        </w:rPr>
        <w:t xml:space="preserve">. </w:t>
      </w:r>
    </w:p>
    <w:p w14:paraId="6B1ABEA4" w14:textId="77777777" w:rsidR="005A719B" w:rsidRPr="00953770" w:rsidRDefault="005A719B" w:rsidP="00C2773E">
      <w:pPr>
        <w:spacing w:line="480" w:lineRule="auto"/>
        <w:rPr>
          <w:rFonts w:eastAsia="SimSun"/>
          <w:lang w:val="en-US"/>
        </w:rPr>
      </w:pPr>
    </w:p>
    <w:p w14:paraId="50DCE5B1" w14:textId="76F18890" w:rsidR="005A719B" w:rsidRPr="00953770" w:rsidRDefault="005A719B" w:rsidP="00C2773E">
      <w:pPr>
        <w:pStyle w:val="FootnoteText"/>
        <w:spacing w:line="480" w:lineRule="auto"/>
        <w:jc w:val="both"/>
        <w:rPr>
          <w:color w:val="000000" w:themeColor="text1"/>
          <w:sz w:val="24"/>
          <w:szCs w:val="24"/>
        </w:rPr>
      </w:pPr>
      <w:r w:rsidRPr="002B271F">
        <w:rPr>
          <w:rFonts w:ascii="Times New Roman" w:hAnsi="Times New Roman"/>
          <w:color w:val="000000" w:themeColor="text1"/>
          <w:sz w:val="24"/>
          <w:szCs w:val="24"/>
        </w:rPr>
        <w:t>Has</w:t>
      </w:r>
      <w:r w:rsidRPr="00953770">
        <w:rPr>
          <w:rFonts w:ascii="Times New Roman" w:hAnsi="Times New Roman"/>
          <w:color w:val="000000" w:themeColor="text1"/>
          <w:sz w:val="24"/>
          <w:szCs w:val="24"/>
        </w:rPr>
        <w:t xml:space="preserve">brouck (2003) </w:t>
      </w:r>
      <w:r>
        <w:rPr>
          <w:rFonts w:ascii="Times New Roman" w:hAnsi="Times New Roman"/>
          <w:color w:val="000000" w:themeColor="text1"/>
          <w:sz w:val="24"/>
          <w:szCs w:val="24"/>
        </w:rPr>
        <w:t>analyz</w:t>
      </w:r>
      <w:r w:rsidRPr="00953770">
        <w:rPr>
          <w:rFonts w:ascii="Times New Roman" w:hAnsi="Times New Roman"/>
          <w:color w:val="000000" w:themeColor="text1"/>
          <w:sz w:val="24"/>
          <w:szCs w:val="24"/>
        </w:rPr>
        <w:t xml:space="preserve">ed the dynamics of price discovery using both intraday quotes and trades for a wide range of market indices and related contracts including </w:t>
      </w:r>
      <w:r>
        <w:rPr>
          <w:rFonts w:ascii="Times New Roman" w:hAnsi="Times New Roman"/>
          <w:color w:val="000000" w:themeColor="text1"/>
          <w:sz w:val="24"/>
          <w:szCs w:val="24"/>
        </w:rPr>
        <w:t>ETFs</w:t>
      </w:r>
      <w:r w:rsidRPr="00953770">
        <w:rPr>
          <w:rFonts w:ascii="Times New Roman" w:hAnsi="Times New Roman"/>
          <w:color w:val="000000" w:themeColor="text1"/>
          <w:sz w:val="24"/>
          <w:szCs w:val="24"/>
        </w:rPr>
        <w:t>. The groups examined were the S&amp;P 500, S&amp;P Midcap 400</w:t>
      </w:r>
      <w:r>
        <w:rPr>
          <w:rFonts w:ascii="Times New Roman" w:hAnsi="Times New Roman"/>
          <w:color w:val="000000" w:themeColor="text1"/>
          <w:sz w:val="24"/>
          <w:szCs w:val="24"/>
        </w:rPr>
        <w:t>,</w:t>
      </w:r>
      <w:r w:rsidRPr="00953770">
        <w:rPr>
          <w:rFonts w:ascii="Times New Roman" w:hAnsi="Times New Roman"/>
          <w:color w:val="000000" w:themeColor="text1"/>
          <w:sz w:val="24"/>
          <w:szCs w:val="24"/>
        </w:rPr>
        <w:t xml:space="preserve"> and NASDAQ</w:t>
      </w:r>
      <w:r>
        <w:rPr>
          <w:rFonts w:ascii="Times New Roman" w:hAnsi="Times New Roman"/>
          <w:color w:val="000000" w:themeColor="text1"/>
          <w:sz w:val="24"/>
          <w:szCs w:val="24"/>
        </w:rPr>
        <w:t>-</w:t>
      </w:r>
      <w:r w:rsidRPr="00953770">
        <w:rPr>
          <w:rFonts w:ascii="Times New Roman" w:hAnsi="Times New Roman"/>
          <w:color w:val="000000" w:themeColor="text1"/>
          <w:sz w:val="24"/>
          <w:szCs w:val="24"/>
        </w:rPr>
        <w:t>100, comprising regular floor-traded futures, E-mini futures</w:t>
      </w:r>
      <w:r>
        <w:rPr>
          <w:rFonts w:ascii="Times New Roman" w:hAnsi="Times New Roman"/>
          <w:color w:val="000000" w:themeColor="text1"/>
          <w:sz w:val="24"/>
          <w:szCs w:val="24"/>
        </w:rPr>
        <w:t>,</w:t>
      </w:r>
      <w:r w:rsidRPr="00953770">
        <w:rPr>
          <w:rFonts w:ascii="Times New Roman" w:hAnsi="Times New Roman"/>
          <w:color w:val="000000" w:themeColor="text1"/>
          <w:sz w:val="24"/>
          <w:szCs w:val="24"/>
        </w:rPr>
        <w:t xml:space="preserve"> and SPDR </w:t>
      </w:r>
      <w:r>
        <w:rPr>
          <w:rFonts w:ascii="Times New Roman" w:hAnsi="Times New Roman"/>
          <w:color w:val="000000" w:themeColor="text1"/>
          <w:sz w:val="24"/>
          <w:szCs w:val="24"/>
        </w:rPr>
        <w:t>ETFs, respectively</w:t>
      </w:r>
      <w:r w:rsidRPr="00953770">
        <w:rPr>
          <w:rFonts w:ascii="Times New Roman" w:hAnsi="Times New Roman"/>
          <w:color w:val="000000" w:themeColor="text1"/>
          <w:sz w:val="24"/>
          <w:szCs w:val="24"/>
        </w:rPr>
        <w:t xml:space="preserve">. One of the main findings </w:t>
      </w:r>
      <w:r>
        <w:rPr>
          <w:rFonts w:ascii="Times New Roman" w:hAnsi="Times New Roman"/>
          <w:color w:val="000000" w:themeColor="text1"/>
          <w:sz w:val="24"/>
          <w:szCs w:val="24"/>
        </w:rPr>
        <w:t xml:space="preserve">of his study </w:t>
      </w:r>
      <w:r w:rsidRPr="00953770">
        <w:rPr>
          <w:rFonts w:ascii="Times New Roman" w:hAnsi="Times New Roman"/>
          <w:color w:val="000000" w:themeColor="text1"/>
          <w:sz w:val="24"/>
          <w:szCs w:val="24"/>
        </w:rPr>
        <w:t>was that for the S&amp;P 500 and N</w:t>
      </w:r>
      <w:r>
        <w:rPr>
          <w:rFonts w:ascii="Times New Roman" w:hAnsi="Times New Roman"/>
          <w:color w:val="000000" w:themeColor="text1"/>
          <w:sz w:val="24"/>
          <w:szCs w:val="24"/>
        </w:rPr>
        <w:t>ASDAQ-</w:t>
      </w:r>
      <w:r w:rsidRPr="00953770">
        <w:rPr>
          <w:rFonts w:ascii="Times New Roman" w:hAnsi="Times New Roman"/>
          <w:color w:val="000000" w:themeColor="text1"/>
          <w:sz w:val="24"/>
          <w:szCs w:val="24"/>
        </w:rPr>
        <w:t>100 indices</w:t>
      </w:r>
      <w:r>
        <w:rPr>
          <w:rFonts w:ascii="Times New Roman" w:hAnsi="Times New Roman"/>
          <w:color w:val="000000" w:themeColor="text1"/>
          <w:sz w:val="24"/>
          <w:szCs w:val="24"/>
        </w:rPr>
        <w:t>,</w:t>
      </w:r>
      <w:r w:rsidRPr="00953770">
        <w:rPr>
          <w:rFonts w:ascii="Times New Roman" w:hAnsi="Times New Roman"/>
          <w:color w:val="000000" w:themeColor="text1"/>
          <w:sz w:val="24"/>
          <w:szCs w:val="24"/>
        </w:rPr>
        <w:t xml:space="preserve"> E-mini dominates </w:t>
      </w:r>
      <w:r>
        <w:rPr>
          <w:rFonts w:ascii="Times New Roman" w:hAnsi="Times New Roman"/>
          <w:color w:val="000000" w:themeColor="text1"/>
          <w:sz w:val="24"/>
          <w:szCs w:val="24"/>
        </w:rPr>
        <w:t xml:space="preserve">the </w:t>
      </w:r>
      <w:r w:rsidRPr="00953770">
        <w:rPr>
          <w:rFonts w:ascii="Times New Roman" w:hAnsi="Times New Roman"/>
          <w:color w:val="000000" w:themeColor="text1"/>
          <w:sz w:val="24"/>
          <w:szCs w:val="24"/>
        </w:rPr>
        <w:t>price discovery over spot indices, with the contract itself possessing the dominant information share that accounts for up to 90% of the price discovery.</w:t>
      </w:r>
      <w:r>
        <w:rPr>
          <w:rFonts w:ascii="Times New Roman" w:hAnsi="Times New Roman"/>
          <w:color w:val="000000" w:themeColor="text1"/>
          <w:sz w:val="24"/>
          <w:szCs w:val="24"/>
        </w:rPr>
        <w:t xml:space="preserve"> In this case</w:t>
      </w:r>
      <w:r w:rsidRPr="00953770">
        <w:rPr>
          <w:rFonts w:ascii="Times New Roman" w:hAnsi="Times New Roman"/>
          <w:color w:val="000000" w:themeColor="text1"/>
          <w:sz w:val="24"/>
          <w:szCs w:val="24"/>
        </w:rPr>
        <w:t xml:space="preserve">, the paper </w:t>
      </w:r>
      <w:r>
        <w:rPr>
          <w:rFonts w:ascii="Times New Roman" w:hAnsi="Times New Roman"/>
          <w:color w:val="000000" w:themeColor="text1"/>
          <w:sz w:val="24"/>
          <w:szCs w:val="24"/>
        </w:rPr>
        <w:t xml:space="preserve">found </w:t>
      </w:r>
      <w:r w:rsidRPr="00953770">
        <w:rPr>
          <w:rFonts w:ascii="Times New Roman" w:hAnsi="Times New Roman"/>
          <w:color w:val="000000" w:themeColor="text1"/>
          <w:sz w:val="24"/>
          <w:szCs w:val="24"/>
        </w:rPr>
        <w:t xml:space="preserve">that </w:t>
      </w:r>
      <w:r>
        <w:rPr>
          <w:rFonts w:ascii="Times New Roman" w:hAnsi="Times New Roman"/>
          <w:color w:val="000000" w:themeColor="text1"/>
          <w:sz w:val="24"/>
          <w:szCs w:val="24"/>
        </w:rPr>
        <w:t xml:space="preserve">in </w:t>
      </w:r>
      <w:r w:rsidRPr="00953770">
        <w:rPr>
          <w:rFonts w:ascii="Times New Roman" w:hAnsi="Times New Roman"/>
          <w:color w:val="000000" w:themeColor="text1"/>
          <w:sz w:val="24"/>
          <w:szCs w:val="24"/>
        </w:rPr>
        <w:t xml:space="preserve">spite </w:t>
      </w:r>
      <w:r>
        <w:rPr>
          <w:rFonts w:ascii="Times New Roman" w:hAnsi="Times New Roman"/>
          <w:color w:val="000000" w:themeColor="text1"/>
          <w:sz w:val="24"/>
          <w:szCs w:val="24"/>
        </w:rPr>
        <w:t xml:space="preserve">of </w:t>
      </w:r>
      <w:r w:rsidRPr="00953770">
        <w:rPr>
          <w:rFonts w:ascii="Times New Roman" w:hAnsi="Times New Roman"/>
          <w:color w:val="000000" w:themeColor="text1"/>
          <w:sz w:val="24"/>
          <w:szCs w:val="24"/>
        </w:rPr>
        <w:t xml:space="preserve">the introduction of </w:t>
      </w:r>
      <w:r>
        <w:rPr>
          <w:rFonts w:ascii="Times New Roman" w:hAnsi="Times New Roman"/>
          <w:color w:val="000000" w:themeColor="text1"/>
          <w:sz w:val="24"/>
          <w:szCs w:val="24"/>
        </w:rPr>
        <w:t>ETFs</w:t>
      </w:r>
      <w:r w:rsidRPr="00953770">
        <w:rPr>
          <w:rFonts w:ascii="Times New Roman" w:hAnsi="Times New Roman"/>
          <w:color w:val="000000" w:themeColor="text1"/>
          <w:sz w:val="24"/>
          <w:szCs w:val="24"/>
        </w:rPr>
        <w:t>, futures</w:t>
      </w:r>
      <w:r w:rsidRPr="00953770" w:rsidDel="004B60BD">
        <w:rPr>
          <w:rFonts w:ascii="Times New Roman" w:hAnsi="Times New Roman"/>
          <w:color w:val="000000" w:themeColor="text1"/>
          <w:sz w:val="24"/>
          <w:szCs w:val="24"/>
        </w:rPr>
        <w:t xml:space="preserve"> </w:t>
      </w:r>
      <w:r w:rsidRPr="00953770">
        <w:rPr>
          <w:rFonts w:ascii="Times New Roman" w:hAnsi="Times New Roman"/>
          <w:color w:val="000000" w:themeColor="text1"/>
          <w:sz w:val="24"/>
          <w:szCs w:val="24"/>
        </w:rPr>
        <w:t xml:space="preserve">still </w:t>
      </w:r>
      <w:r>
        <w:rPr>
          <w:rFonts w:ascii="Times New Roman" w:hAnsi="Times New Roman"/>
          <w:color w:val="000000" w:themeColor="text1"/>
          <w:sz w:val="24"/>
          <w:szCs w:val="24"/>
        </w:rPr>
        <w:t xml:space="preserve">held the </w:t>
      </w:r>
      <w:r w:rsidRPr="00953770">
        <w:rPr>
          <w:rFonts w:ascii="Times New Roman" w:hAnsi="Times New Roman"/>
          <w:color w:val="000000" w:themeColor="text1"/>
          <w:sz w:val="24"/>
          <w:szCs w:val="24"/>
        </w:rPr>
        <w:t xml:space="preserve">lead in terms of price discovery. </w:t>
      </w:r>
    </w:p>
    <w:p w14:paraId="45649530" w14:textId="77777777" w:rsidR="005A719B" w:rsidRPr="00953770" w:rsidRDefault="005A719B" w:rsidP="00385F24">
      <w:pPr>
        <w:spacing w:line="480" w:lineRule="auto"/>
        <w:jc w:val="both"/>
        <w:rPr>
          <w:color w:val="000000" w:themeColor="text1"/>
          <w:lang w:val="en-US"/>
        </w:rPr>
      </w:pPr>
    </w:p>
    <w:p w14:paraId="3EBC1CC4" w14:textId="10E0920B" w:rsidR="005A719B" w:rsidRPr="00953770" w:rsidRDefault="005A719B" w:rsidP="00C2773E">
      <w:pPr>
        <w:spacing w:line="480" w:lineRule="auto"/>
        <w:jc w:val="both"/>
        <w:rPr>
          <w:color w:val="000000" w:themeColor="text1"/>
          <w:lang w:val="en-US"/>
        </w:rPr>
      </w:pPr>
      <w:r w:rsidRPr="00953770">
        <w:rPr>
          <w:color w:val="000000" w:themeColor="text1"/>
          <w:lang w:val="en-US"/>
        </w:rPr>
        <w:t xml:space="preserve">Tse et al. (2006) </w:t>
      </w:r>
      <w:r>
        <w:rPr>
          <w:color w:val="000000" w:themeColor="text1"/>
          <w:lang w:val="en-US"/>
        </w:rPr>
        <w:t>investigat</w:t>
      </w:r>
      <w:r w:rsidRPr="00953770">
        <w:rPr>
          <w:color w:val="000000" w:themeColor="text1"/>
          <w:lang w:val="en-US"/>
        </w:rPr>
        <w:t>ed both intraday quotes and trades across the Dow Jones and S&amp;P 500 market indices and related contracts. The groups examined were the Dow group</w:t>
      </w:r>
      <w:r>
        <w:rPr>
          <w:color w:val="000000" w:themeColor="text1"/>
          <w:lang w:val="en-US"/>
        </w:rPr>
        <w:t>,</w:t>
      </w:r>
      <w:r w:rsidRPr="00953770">
        <w:rPr>
          <w:color w:val="000000" w:themeColor="text1"/>
          <w:lang w:val="en-US"/>
        </w:rPr>
        <w:t xml:space="preserve"> comprising of the Dow Jones Industrial Average index (DJIA), electronically traded DJIA ETF (DIAMOND), floor-traded futures</w:t>
      </w:r>
      <w:r>
        <w:rPr>
          <w:color w:val="000000" w:themeColor="text1"/>
          <w:lang w:val="en-US"/>
        </w:rPr>
        <w:t>,</w:t>
      </w:r>
      <w:r w:rsidRPr="00953770">
        <w:rPr>
          <w:color w:val="000000" w:themeColor="text1"/>
          <w:lang w:val="en-US"/>
        </w:rPr>
        <w:t xml:space="preserve"> and Dow E-mini</w:t>
      </w:r>
      <w:r>
        <w:rPr>
          <w:color w:val="000000" w:themeColor="text1"/>
          <w:lang w:val="en-US"/>
        </w:rPr>
        <w:t>,</w:t>
      </w:r>
      <w:r w:rsidRPr="00953770">
        <w:rPr>
          <w:color w:val="000000" w:themeColor="text1"/>
          <w:lang w:val="en-US"/>
        </w:rPr>
        <w:t xml:space="preserve"> and the S&amp;P group</w:t>
      </w:r>
      <w:r>
        <w:rPr>
          <w:color w:val="000000" w:themeColor="text1"/>
          <w:lang w:val="en-US"/>
        </w:rPr>
        <w:t>,</w:t>
      </w:r>
      <w:r w:rsidRPr="00953770">
        <w:rPr>
          <w:color w:val="000000" w:themeColor="text1"/>
          <w:lang w:val="en-US"/>
        </w:rPr>
        <w:t xml:space="preserve"> including S&amp;P 500 index, S&amp;P futures (floor-traded), S&amp;P E-mini</w:t>
      </w:r>
      <w:r>
        <w:rPr>
          <w:color w:val="000000" w:themeColor="text1"/>
          <w:lang w:val="en-US"/>
        </w:rPr>
        <w:t>,</w:t>
      </w:r>
      <w:r w:rsidRPr="00953770">
        <w:rPr>
          <w:color w:val="000000" w:themeColor="text1"/>
          <w:lang w:val="en-US"/>
        </w:rPr>
        <w:t xml:space="preserve"> and SPDR </w:t>
      </w:r>
      <w:r>
        <w:rPr>
          <w:color w:val="000000" w:themeColor="text1"/>
          <w:lang w:val="en-US"/>
        </w:rPr>
        <w:t>ETFs</w:t>
      </w:r>
      <w:r w:rsidRPr="00953770">
        <w:rPr>
          <w:color w:val="000000" w:themeColor="text1"/>
          <w:lang w:val="en-US"/>
        </w:rPr>
        <w:t xml:space="preserve">. Their results suggest that for both groups, the electronically traded futures </w:t>
      </w:r>
      <w:r>
        <w:rPr>
          <w:color w:val="000000" w:themeColor="text1"/>
          <w:lang w:val="en-US"/>
        </w:rPr>
        <w:t xml:space="preserve">make the maximum </w:t>
      </w:r>
      <w:r w:rsidRPr="00953770">
        <w:rPr>
          <w:color w:val="000000" w:themeColor="text1"/>
          <w:lang w:val="en-US"/>
        </w:rPr>
        <w:t>contribut</w:t>
      </w:r>
      <w:r>
        <w:rPr>
          <w:color w:val="000000" w:themeColor="text1"/>
          <w:lang w:val="en-US"/>
        </w:rPr>
        <w:t>ion</w:t>
      </w:r>
      <w:r w:rsidRPr="00953770">
        <w:rPr>
          <w:color w:val="000000" w:themeColor="text1"/>
          <w:lang w:val="en-US"/>
        </w:rPr>
        <w:t xml:space="preserve"> to </w:t>
      </w:r>
      <w:r>
        <w:rPr>
          <w:color w:val="000000" w:themeColor="text1"/>
          <w:lang w:val="en-US"/>
        </w:rPr>
        <w:t xml:space="preserve">the </w:t>
      </w:r>
      <w:r w:rsidRPr="00953770">
        <w:rPr>
          <w:color w:val="000000" w:themeColor="text1"/>
          <w:lang w:val="en-US"/>
        </w:rPr>
        <w:t>price discovery</w:t>
      </w:r>
      <w:r>
        <w:rPr>
          <w:color w:val="000000" w:themeColor="text1"/>
          <w:lang w:val="en-US"/>
        </w:rPr>
        <w:t xml:space="preserve"> process</w:t>
      </w:r>
      <w:r w:rsidRPr="00953770">
        <w:rPr>
          <w:color w:val="000000" w:themeColor="text1"/>
          <w:lang w:val="en-US"/>
        </w:rPr>
        <w:t xml:space="preserve">, followed by </w:t>
      </w:r>
      <w:r>
        <w:rPr>
          <w:color w:val="000000" w:themeColor="text1"/>
          <w:lang w:val="en-US"/>
        </w:rPr>
        <w:t>ETFs</w:t>
      </w:r>
      <w:r w:rsidRPr="00953770">
        <w:rPr>
          <w:color w:val="000000" w:themeColor="text1"/>
          <w:lang w:val="en-US"/>
        </w:rPr>
        <w:t xml:space="preserve"> and then indices. </w:t>
      </w:r>
    </w:p>
    <w:p w14:paraId="51A86C3C" w14:textId="77777777" w:rsidR="005A719B" w:rsidRPr="00953770" w:rsidRDefault="005A719B" w:rsidP="00C2773E">
      <w:pPr>
        <w:spacing w:line="480" w:lineRule="auto"/>
        <w:jc w:val="both"/>
        <w:rPr>
          <w:color w:val="000000" w:themeColor="text1"/>
          <w:lang w:val="en-US"/>
        </w:rPr>
      </w:pPr>
    </w:p>
    <w:p w14:paraId="454D1C41" w14:textId="1DCAEA2D" w:rsidR="005A719B" w:rsidRPr="00953770" w:rsidRDefault="005A719B" w:rsidP="00C2773E">
      <w:pPr>
        <w:spacing w:line="480" w:lineRule="auto"/>
        <w:jc w:val="both"/>
        <w:rPr>
          <w:color w:val="000000" w:themeColor="text1"/>
          <w:lang w:val="en-US"/>
        </w:rPr>
      </w:pPr>
      <w:r>
        <w:rPr>
          <w:color w:val="000000" w:themeColor="text1"/>
          <w:lang w:val="en-US"/>
        </w:rPr>
        <w:t xml:space="preserve">Significantly, </w:t>
      </w:r>
      <w:r w:rsidRPr="00953770">
        <w:rPr>
          <w:color w:val="000000" w:themeColor="text1"/>
          <w:lang w:val="en-US"/>
        </w:rPr>
        <w:t>however, Ivanov et al. (2013) studied indices, index futures</w:t>
      </w:r>
      <w:r>
        <w:rPr>
          <w:color w:val="000000" w:themeColor="text1"/>
          <w:lang w:val="en-US"/>
        </w:rPr>
        <w:t>,</w:t>
      </w:r>
      <w:r w:rsidRPr="00953770">
        <w:rPr>
          <w:color w:val="000000" w:themeColor="text1"/>
          <w:lang w:val="en-US"/>
        </w:rPr>
        <w:t xml:space="preserve"> and index </w:t>
      </w:r>
      <w:r>
        <w:rPr>
          <w:color w:val="000000" w:themeColor="text1"/>
          <w:lang w:val="en-US"/>
        </w:rPr>
        <w:t>ETFs</w:t>
      </w:r>
      <w:r w:rsidRPr="00953770">
        <w:rPr>
          <w:color w:val="000000" w:themeColor="text1"/>
          <w:lang w:val="en-US"/>
        </w:rPr>
        <w:t xml:space="preserve"> across the DJIA, S&amp;P 500, S&amp;P 400, NASDAQ</w:t>
      </w:r>
      <w:r>
        <w:rPr>
          <w:color w:val="000000" w:themeColor="text1"/>
          <w:lang w:val="en-US"/>
        </w:rPr>
        <w:t>-</w:t>
      </w:r>
      <w:r w:rsidRPr="00953770">
        <w:rPr>
          <w:color w:val="000000" w:themeColor="text1"/>
          <w:lang w:val="en-US"/>
        </w:rPr>
        <w:t>100</w:t>
      </w:r>
      <w:r>
        <w:rPr>
          <w:color w:val="000000" w:themeColor="text1"/>
          <w:lang w:val="en-US"/>
        </w:rPr>
        <w:t>,</w:t>
      </w:r>
      <w:r w:rsidRPr="00953770">
        <w:rPr>
          <w:color w:val="000000" w:themeColor="text1"/>
          <w:lang w:val="en-US"/>
        </w:rPr>
        <w:t xml:space="preserve"> and Russell 2000. Although the study was not conducted at the intraday level but at the daily level, it generated compelling evidence </w:t>
      </w:r>
      <w:r>
        <w:rPr>
          <w:color w:val="000000" w:themeColor="text1"/>
          <w:lang w:val="en-US"/>
        </w:rPr>
        <w:t xml:space="preserve">suggesting </w:t>
      </w:r>
      <w:r w:rsidRPr="00953770">
        <w:rPr>
          <w:color w:val="000000" w:themeColor="text1"/>
          <w:lang w:val="en-US"/>
        </w:rPr>
        <w:t xml:space="preserve">that the introduction of </w:t>
      </w:r>
      <w:r>
        <w:rPr>
          <w:color w:val="000000" w:themeColor="text1"/>
          <w:lang w:val="en-US"/>
        </w:rPr>
        <w:t>ETFs</w:t>
      </w:r>
      <w:r w:rsidRPr="00953770">
        <w:rPr>
          <w:color w:val="000000" w:themeColor="text1"/>
          <w:lang w:val="en-US"/>
        </w:rPr>
        <w:t xml:space="preserve"> </w:t>
      </w:r>
      <w:r>
        <w:rPr>
          <w:color w:val="000000" w:themeColor="text1"/>
          <w:lang w:val="en-US"/>
        </w:rPr>
        <w:t xml:space="preserve">mitigates </w:t>
      </w:r>
      <w:r w:rsidRPr="00953770">
        <w:rPr>
          <w:color w:val="000000" w:themeColor="text1"/>
          <w:lang w:val="en-US"/>
        </w:rPr>
        <w:t xml:space="preserve">the index futures </w:t>
      </w:r>
      <w:r w:rsidRPr="00F05CCF">
        <w:rPr>
          <w:color w:val="000000" w:themeColor="text1"/>
          <w:lang w:val="en-US"/>
        </w:rPr>
        <w:t xml:space="preserve">dominance </w:t>
      </w:r>
      <w:r w:rsidRPr="00953770">
        <w:rPr>
          <w:color w:val="000000" w:themeColor="text1"/>
          <w:lang w:val="en-US"/>
        </w:rPr>
        <w:t xml:space="preserve">in revealing the underlying price updating process. </w:t>
      </w:r>
      <w:r>
        <w:rPr>
          <w:color w:val="000000" w:themeColor="text1"/>
          <w:lang w:val="en-US"/>
        </w:rPr>
        <w:t xml:space="preserve">This </w:t>
      </w:r>
      <w:r w:rsidRPr="00953770">
        <w:rPr>
          <w:color w:val="000000" w:themeColor="text1"/>
          <w:lang w:val="en-US"/>
        </w:rPr>
        <w:t xml:space="preserve">result is compatible with that of Chou </w:t>
      </w:r>
      <w:r>
        <w:rPr>
          <w:color w:val="000000" w:themeColor="text1"/>
          <w:lang w:val="en-US"/>
        </w:rPr>
        <w:t xml:space="preserve">and </w:t>
      </w:r>
      <w:r w:rsidRPr="00953770">
        <w:rPr>
          <w:color w:val="000000" w:themeColor="text1"/>
          <w:lang w:val="en-US"/>
        </w:rPr>
        <w:t>Chung (2006)</w:t>
      </w:r>
      <w:r>
        <w:rPr>
          <w:color w:val="000000" w:themeColor="text1"/>
          <w:lang w:val="en-US"/>
        </w:rPr>
        <w:t>,</w:t>
      </w:r>
      <w:r w:rsidRPr="00953770">
        <w:rPr>
          <w:color w:val="000000" w:themeColor="text1"/>
          <w:lang w:val="en-US"/>
        </w:rPr>
        <w:t xml:space="preserve"> </w:t>
      </w:r>
      <w:r>
        <w:rPr>
          <w:color w:val="000000" w:themeColor="text1"/>
          <w:lang w:val="en-US"/>
        </w:rPr>
        <w:t xml:space="preserve">who observed </w:t>
      </w:r>
      <w:r>
        <w:rPr>
          <w:rFonts w:eastAsia="SimSun"/>
          <w:lang w:val="en-US"/>
        </w:rPr>
        <w:t>that ETFs</w:t>
      </w:r>
      <w:r w:rsidRPr="00953770">
        <w:rPr>
          <w:rFonts w:eastAsia="SimSun"/>
          <w:lang w:val="en-US"/>
        </w:rPr>
        <w:t xml:space="preserve"> start to gain a significant information share. </w:t>
      </w:r>
    </w:p>
    <w:p w14:paraId="16A4F1CC" w14:textId="77777777" w:rsidR="005A719B" w:rsidRPr="00953770" w:rsidRDefault="005A719B" w:rsidP="00C2773E">
      <w:pPr>
        <w:spacing w:line="480" w:lineRule="auto"/>
        <w:jc w:val="both"/>
        <w:rPr>
          <w:rFonts w:eastAsia="SimSun"/>
          <w:lang w:val="en-US"/>
        </w:rPr>
      </w:pPr>
    </w:p>
    <w:p w14:paraId="63A411C1" w14:textId="1E3B6A23" w:rsidR="005A719B" w:rsidRPr="00953770" w:rsidRDefault="005A719B" w:rsidP="00C2773E">
      <w:pPr>
        <w:spacing w:line="480" w:lineRule="auto"/>
        <w:jc w:val="both"/>
        <w:rPr>
          <w:rFonts w:eastAsia="SimSun"/>
          <w:lang w:val="en-US"/>
        </w:rPr>
      </w:pPr>
      <w:r w:rsidRPr="00953770">
        <w:rPr>
          <w:rFonts w:eastAsia="SimSun"/>
          <w:lang w:val="en-US"/>
        </w:rPr>
        <w:t xml:space="preserve">Krause et al. (2014), on the other hand, </w:t>
      </w:r>
      <w:r>
        <w:rPr>
          <w:rFonts w:eastAsia="SimSun"/>
          <w:lang w:val="en-US"/>
        </w:rPr>
        <w:t>analyz</w:t>
      </w:r>
      <w:r w:rsidRPr="00953770">
        <w:rPr>
          <w:rFonts w:eastAsia="SimSun"/>
          <w:lang w:val="en-US"/>
        </w:rPr>
        <w:t xml:space="preserve">ed the volatility spillover effect and </w:t>
      </w:r>
      <w:r>
        <w:rPr>
          <w:rFonts w:eastAsia="SimSun"/>
          <w:lang w:val="en-US"/>
        </w:rPr>
        <w:t xml:space="preserve">asserted </w:t>
      </w:r>
      <w:r w:rsidRPr="00953770">
        <w:rPr>
          <w:rFonts w:eastAsia="SimSun"/>
          <w:lang w:val="en-US"/>
        </w:rPr>
        <w:t xml:space="preserve">that there are volatility spillover flows from </w:t>
      </w:r>
      <w:r>
        <w:rPr>
          <w:rFonts w:eastAsia="SimSun"/>
          <w:lang w:val="en-US"/>
        </w:rPr>
        <w:t>ETFs</w:t>
      </w:r>
      <w:r w:rsidRPr="00953770">
        <w:rPr>
          <w:rFonts w:eastAsia="SimSun"/>
          <w:lang w:val="en-US"/>
        </w:rPr>
        <w:t xml:space="preserve"> to their component stocks, </w:t>
      </w:r>
      <w:r>
        <w:rPr>
          <w:rFonts w:eastAsia="SimSun"/>
          <w:lang w:val="en-US"/>
        </w:rPr>
        <w:t xml:space="preserve">a process in which </w:t>
      </w:r>
      <w:r w:rsidRPr="00953770">
        <w:rPr>
          <w:rFonts w:eastAsia="SimSun"/>
          <w:lang w:val="en-US"/>
        </w:rPr>
        <w:t>volatility is a driv</w:t>
      </w:r>
      <w:r>
        <w:rPr>
          <w:rFonts w:eastAsia="SimSun"/>
          <w:lang w:val="en-US"/>
        </w:rPr>
        <w:t>ing</w:t>
      </w:r>
      <w:r w:rsidRPr="00953770">
        <w:rPr>
          <w:rFonts w:eastAsia="SimSun"/>
          <w:lang w:val="en-US"/>
        </w:rPr>
        <w:t xml:space="preserve"> factor </w:t>
      </w:r>
      <w:r>
        <w:rPr>
          <w:rFonts w:eastAsia="SimSun"/>
          <w:lang w:val="en-US"/>
        </w:rPr>
        <w:t xml:space="preserve">in </w:t>
      </w:r>
      <w:r w:rsidRPr="00953770">
        <w:rPr>
          <w:rFonts w:eastAsia="SimSun"/>
          <w:lang w:val="en-US"/>
        </w:rPr>
        <w:t>price discovery.</w:t>
      </w:r>
    </w:p>
    <w:p w14:paraId="4E258920" w14:textId="77777777" w:rsidR="005A719B" w:rsidRPr="00953770" w:rsidRDefault="005A719B" w:rsidP="00861A44">
      <w:pPr>
        <w:spacing w:line="480" w:lineRule="auto"/>
        <w:jc w:val="both"/>
        <w:rPr>
          <w:rFonts w:eastAsia="SimSun"/>
          <w:lang w:val="en-US"/>
        </w:rPr>
      </w:pPr>
    </w:p>
    <w:p w14:paraId="4D34977C" w14:textId="77777777" w:rsidR="002658E1" w:rsidRDefault="002658E1" w:rsidP="00C2773E">
      <w:pPr>
        <w:pStyle w:val="head2"/>
      </w:pPr>
    </w:p>
    <w:p w14:paraId="69D96E5B" w14:textId="31816CA6" w:rsidR="005A719B" w:rsidRPr="00953770" w:rsidRDefault="005A719B" w:rsidP="00C2773E">
      <w:pPr>
        <w:pStyle w:val="head2"/>
      </w:pPr>
      <w:r w:rsidRPr="00953770">
        <w:t xml:space="preserve">2.2 Classical Methodologies </w:t>
      </w:r>
      <w:r>
        <w:t>Employ</w:t>
      </w:r>
      <w:r w:rsidRPr="00953770">
        <w:t>ed to Study the Price Discovery</w:t>
      </w:r>
      <w:r>
        <w:t>:</w:t>
      </w:r>
      <w:r w:rsidRPr="00953770">
        <w:t xml:space="preserve"> An Evaluation of Their Features and Drawbacks </w:t>
      </w:r>
    </w:p>
    <w:p w14:paraId="49ECD768" w14:textId="75A44024" w:rsidR="005A719B" w:rsidRPr="00953770" w:rsidRDefault="002658E1" w:rsidP="002658E1">
      <w:pPr>
        <w:pStyle w:val="Head3"/>
      </w:pPr>
      <w:r>
        <w:t xml:space="preserve">   </w:t>
      </w:r>
      <w:r w:rsidR="005A719B" w:rsidRPr="00953770">
        <w:t xml:space="preserve">2.2.1 Vector Autoregressive (VAR) Representation </w:t>
      </w:r>
      <w:r w:rsidR="00C2773E">
        <w:t xml:space="preserve">of the Data to Purge Infrequent </w:t>
      </w:r>
      <w:r w:rsidR="005A719B" w:rsidRPr="00953770">
        <w:t xml:space="preserve">Trade </w:t>
      </w:r>
    </w:p>
    <w:p w14:paraId="7B9A22E2" w14:textId="6BD12023" w:rsidR="005A719B" w:rsidRPr="001968EB" w:rsidRDefault="005A719B" w:rsidP="00537CDB">
      <w:pPr>
        <w:spacing w:line="480" w:lineRule="auto"/>
        <w:jc w:val="both"/>
        <w:rPr>
          <w:rFonts w:eastAsia="SimSun"/>
        </w:rPr>
      </w:pPr>
      <w:r w:rsidRPr="00953770">
        <w:rPr>
          <w:rFonts w:eastAsia="SimSun"/>
          <w:lang w:val="en-US"/>
        </w:rPr>
        <w:t>Existing literature</w:t>
      </w:r>
      <w:r>
        <w:rPr>
          <w:rFonts w:eastAsia="SimSun"/>
          <w:lang w:val="en-US"/>
        </w:rPr>
        <w:t xml:space="preserve"> on the agents involved in price discovery</w:t>
      </w:r>
      <w:r w:rsidRPr="00953770">
        <w:rPr>
          <w:rFonts w:eastAsia="SimSun"/>
          <w:lang w:val="en-US"/>
        </w:rPr>
        <w:t xml:space="preserve"> has documented various empirical methodologies </w:t>
      </w:r>
      <w:r>
        <w:rPr>
          <w:rFonts w:eastAsia="SimSun"/>
          <w:lang w:val="en-US"/>
        </w:rPr>
        <w:t xml:space="preserve">to </w:t>
      </w:r>
      <w:r w:rsidRPr="00953770">
        <w:rPr>
          <w:rFonts w:eastAsia="SimSun"/>
          <w:lang w:val="en-US"/>
        </w:rPr>
        <w:t xml:space="preserve">identify the contribution of a market to </w:t>
      </w:r>
      <w:r>
        <w:rPr>
          <w:rFonts w:eastAsia="SimSun"/>
          <w:lang w:val="en-US"/>
        </w:rPr>
        <w:t xml:space="preserve">the process of </w:t>
      </w:r>
      <w:r w:rsidRPr="00953770">
        <w:rPr>
          <w:rFonts w:eastAsia="SimSun"/>
          <w:lang w:val="en-US"/>
        </w:rPr>
        <w:t xml:space="preserve">price discovery. </w:t>
      </w:r>
      <w:r w:rsidRPr="00953770">
        <w:rPr>
          <w:color w:val="000000" w:themeColor="text1"/>
          <w:lang w:val="en-US"/>
        </w:rPr>
        <w:t xml:space="preserve">The first </w:t>
      </w:r>
      <w:r>
        <w:rPr>
          <w:color w:val="000000" w:themeColor="text1"/>
        </w:rPr>
        <w:t>branch</w:t>
      </w:r>
      <w:r w:rsidRPr="00D92111">
        <w:rPr>
          <w:color w:val="000000" w:themeColor="text1"/>
        </w:rPr>
        <w:t xml:space="preserve"> </w:t>
      </w:r>
      <w:r w:rsidRPr="00953770">
        <w:rPr>
          <w:color w:val="000000" w:themeColor="text1"/>
          <w:lang w:val="en-US"/>
        </w:rPr>
        <w:t xml:space="preserve">of </w:t>
      </w:r>
      <w:r>
        <w:rPr>
          <w:color w:val="000000" w:themeColor="text1"/>
          <w:lang w:val="en-US"/>
        </w:rPr>
        <w:t xml:space="preserve">the </w:t>
      </w:r>
      <w:r w:rsidRPr="00953770">
        <w:rPr>
          <w:color w:val="000000" w:themeColor="text1"/>
          <w:lang w:val="en-US"/>
        </w:rPr>
        <w:t xml:space="preserve">literature focuses on the VECM or vector autoregressive (VAR) representation of the data </w:t>
      </w:r>
      <w:r>
        <w:rPr>
          <w:color w:val="000000" w:themeColor="text1"/>
          <w:lang w:val="en-US"/>
        </w:rPr>
        <w:t xml:space="preserve">obtained </w:t>
      </w:r>
      <w:r w:rsidRPr="00953770">
        <w:rPr>
          <w:color w:val="000000" w:themeColor="text1"/>
          <w:lang w:val="en-US"/>
        </w:rPr>
        <w:t>from multivariate regression analys</w:t>
      </w:r>
      <w:r>
        <w:rPr>
          <w:color w:val="000000" w:themeColor="text1"/>
          <w:lang w:val="en-US"/>
        </w:rPr>
        <w:t>e</w:t>
      </w:r>
      <w:r w:rsidRPr="00953770">
        <w:rPr>
          <w:color w:val="000000" w:themeColor="text1"/>
          <w:lang w:val="en-US"/>
        </w:rPr>
        <w:t xml:space="preserve">s. The </w:t>
      </w:r>
      <w:r>
        <w:rPr>
          <w:color w:val="000000" w:themeColor="text1"/>
          <w:lang w:val="en-US"/>
        </w:rPr>
        <w:t xml:space="preserve">central </w:t>
      </w:r>
      <w:r w:rsidRPr="00953770">
        <w:rPr>
          <w:color w:val="000000" w:themeColor="text1"/>
          <w:lang w:val="en-US"/>
        </w:rPr>
        <w:t xml:space="preserve">rationale is to </w:t>
      </w:r>
      <w:r w:rsidRPr="00953770">
        <w:rPr>
          <w:rFonts w:eastAsia="SimSun"/>
          <w:lang w:val="en-US"/>
        </w:rPr>
        <w:t>address the infrequent trade problem</w:t>
      </w:r>
      <w:r>
        <w:rPr>
          <w:rFonts w:eastAsia="SimSun"/>
          <w:lang w:val="en-US"/>
        </w:rPr>
        <w:t>s</w:t>
      </w:r>
      <w:r w:rsidRPr="00953770">
        <w:rPr>
          <w:rFonts w:eastAsia="SimSun"/>
          <w:lang w:val="en-US"/>
        </w:rPr>
        <w:t xml:space="preserve"> in stock index return, </w:t>
      </w:r>
      <w:r>
        <w:rPr>
          <w:rFonts w:eastAsia="SimSun"/>
          <w:lang w:val="en-US"/>
        </w:rPr>
        <w:t xml:space="preserve">in order to allow </w:t>
      </w:r>
      <w:r w:rsidRPr="00953770">
        <w:rPr>
          <w:rFonts w:eastAsia="SimSun"/>
          <w:lang w:val="en-US"/>
        </w:rPr>
        <w:t xml:space="preserve">index return </w:t>
      </w:r>
      <w:r>
        <w:rPr>
          <w:rFonts w:eastAsia="SimSun"/>
          <w:lang w:val="en-US"/>
        </w:rPr>
        <w:t xml:space="preserve">to </w:t>
      </w:r>
      <w:r w:rsidRPr="00953770">
        <w:rPr>
          <w:rFonts w:eastAsia="SimSun"/>
          <w:lang w:val="en-US"/>
        </w:rPr>
        <w:t xml:space="preserve">be expressed as the weighted average of the contemporaneous and lagged returns </w:t>
      </w:r>
      <w:r>
        <w:rPr>
          <w:rFonts w:eastAsia="SimSun"/>
          <w:lang w:val="en-US"/>
        </w:rPr>
        <w:t xml:space="preserve">along with </w:t>
      </w:r>
      <w:r w:rsidRPr="00953770">
        <w:rPr>
          <w:rFonts w:eastAsia="SimSun"/>
          <w:lang w:val="en-US"/>
        </w:rPr>
        <w:t xml:space="preserve">an error disturbance component, </w:t>
      </w:r>
      <w:r>
        <w:rPr>
          <w:rFonts w:eastAsia="SimSun"/>
          <w:lang w:val="en-US"/>
        </w:rPr>
        <w:t xml:space="preserve">with </w:t>
      </w:r>
      <w:r w:rsidRPr="00953770">
        <w:rPr>
          <w:rFonts w:eastAsia="SimSun"/>
          <w:lang w:val="en-US"/>
        </w:rPr>
        <w:t xml:space="preserve">the assumption that all underlying stocks for an index trade at least once every </w:t>
      </w:r>
      <w:r w:rsidRPr="00953770">
        <w:rPr>
          <w:rFonts w:eastAsia="SimSun"/>
          <w:i/>
          <w:lang w:val="en-US"/>
        </w:rPr>
        <w:t>n</w:t>
      </w:r>
      <w:r w:rsidRPr="00953770">
        <w:rPr>
          <w:rFonts w:eastAsia="SimSun"/>
          <w:lang w:val="en-US"/>
        </w:rPr>
        <w:t xml:space="preserve"> intervals. Stoll and Whaley (1990) construct</w:t>
      </w:r>
      <w:r>
        <w:rPr>
          <w:rFonts w:eastAsia="SimSun"/>
          <w:lang w:val="en-US"/>
        </w:rPr>
        <w:t>ed</w:t>
      </w:r>
      <w:r w:rsidRPr="00953770">
        <w:rPr>
          <w:rFonts w:eastAsia="SimSun"/>
          <w:lang w:val="en-US"/>
        </w:rPr>
        <w:t xml:space="preserve"> index returns using the VAR approach to purge the infrequent trade effects. They </w:t>
      </w:r>
      <w:r>
        <w:rPr>
          <w:rFonts w:eastAsia="SimSun"/>
          <w:lang w:val="en-US"/>
        </w:rPr>
        <w:t>employ</w:t>
      </w:r>
      <w:r w:rsidRPr="00953770">
        <w:rPr>
          <w:rFonts w:eastAsia="SimSun"/>
          <w:lang w:val="en-US"/>
        </w:rPr>
        <w:t xml:space="preserve">ed the return innovations generated from an ARMA model to construct a VAR representation of the data comprising lagged spot index returns and futures returns. Their results indicate </w:t>
      </w:r>
      <w:r>
        <w:rPr>
          <w:rFonts w:eastAsia="SimSun"/>
          <w:lang w:val="en-US"/>
        </w:rPr>
        <w:t xml:space="preserve">that </w:t>
      </w:r>
      <w:r w:rsidRPr="00953770">
        <w:rPr>
          <w:rFonts w:eastAsia="SimSun"/>
          <w:lang w:val="en-US"/>
        </w:rPr>
        <w:t xml:space="preserve">S&amp;P 500 and </w:t>
      </w:r>
      <w:r w:rsidRPr="004F7C47">
        <w:rPr>
          <w:rFonts w:eastAsia="SimSun"/>
          <w:lang w:val="en-US"/>
        </w:rPr>
        <w:t>MM</w:t>
      </w:r>
      <w:r w:rsidRPr="00953770">
        <w:rPr>
          <w:rFonts w:eastAsia="SimSun"/>
          <w:lang w:val="en-US"/>
        </w:rPr>
        <w:t xml:space="preserve"> index futures returns led their associated stock index returns by approximately 5 minutes</w:t>
      </w:r>
      <w:r>
        <w:rPr>
          <w:rFonts w:eastAsia="SimSun"/>
          <w:lang w:val="en-US"/>
        </w:rPr>
        <w:t>;</w:t>
      </w:r>
      <w:r w:rsidRPr="00953770">
        <w:rPr>
          <w:rFonts w:eastAsia="SimSun"/>
          <w:lang w:val="en-US"/>
        </w:rPr>
        <w:t xml:space="preserve"> however, </w:t>
      </w:r>
      <w:r>
        <w:rPr>
          <w:rFonts w:eastAsia="SimSun"/>
          <w:lang w:val="en-US"/>
        </w:rPr>
        <w:t xml:space="preserve">this </w:t>
      </w:r>
      <w:r w:rsidRPr="00953770">
        <w:rPr>
          <w:rFonts w:eastAsia="SimSun"/>
          <w:lang w:val="en-US"/>
        </w:rPr>
        <w:t xml:space="preserve">lead-lag relation is detected </w:t>
      </w:r>
      <w:r>
        <w:rPr>
          <w:rFonts w:eastAsia="SimSun"/>
          <w:lang w:val="en-US"/>
        </w:rPr>
        <w:t xml:space="preserve">only infrequently </w:t>
      </w:r>
      <w:r w:rsidRPr="00953770">
        <w:rPr>
          <w:rFonts w:eastAsia="SimSun"/>
          <w:lang w:val="en-US"/>
        </w:rPr>
        <w:t xml:space="preserve">when the infrequent trade effects have been purged for </w:t>
      </w:r>
      <w:r>
        <w:rPr>
          <w:rFonts w:eastAsia="SimSun"/>
          <w:lang w:val="en-US"/>
        </w:rPr>
        <w:t>a span of 10</w:t>
      </w:r>
      <w:r w:rsidRPr="00953770">
        <w:rPr>
          <w:rFonts w:eastAsia="SimSun"/>
          <w:lang w:val="en-US"/>
        </w:rPr>
        <w:t xml:space="preserve"> minutes or more. These index futures </w:t>
      </w:r>
      <w:r>
        <w:rPr>
          <w:rFonts w:eastAsia="SimSun"/>
          <w:lang w:val="en-US"/>
        </w:rPr>
        <w:t>we</w:t>
      </w:r>
      <w:r w:rsidRPr="00953770">
        <w:rPr>
          <w:rFonts w:eastAsia="SimSun"/>
          <w:lang w:val="en-US"/>
        </w:rPr>
        <w:t xml:space="preserve">re found </w:t>
      </w:r>
      <w:r>
        <w:rPr>
          <w:rFonts w:eastAsia="SimSun"/>
          <w:lang w:val="en-US"/>
        </w:rPr>
        <w:t xml:space="preserve">to </w:t>
      </w:r>
      <w:r w:rsidRPr="00953770">
        <w:rPr>
          <w:rFonts w:eastAsia="SimSun"/>
          <w:lang w:val="en-US"/>
        </w:rPr>
        <w:t xml:space="preserve">lead </w:t>
      </w:r>
      <w:r>
        <w:rPr>
          <w:rFonts w:eastAsia="SimSun"/>
          <w:lang w:val="en-US"/>
        </w:rPr>
        <w:t xml:space="preserve">even </w:t>
      </w:r>
      <w:r w:rsidRPr="00953770">
        <w:rPr>
          <w:rFonts w:eastAsia="SimSun"/>
          <w:lang w:val="en-US"/>
        </w:rPr>
        <w:t xml:space="preserve">frequent and active stocks. </w:t>
      </w:r>
    </w:p>
    <w:p w14:paraId="25151B61" w14:textId="77777777" w:rsidR="005A719B" w:rsidRPr="00953770" w:rsidRDefault="005A719B" w:rsidP="00537CDB">
      <w:pPr>
        <w:spacing w:line="480" w:lineRule="auto"/>
        <w:jc w:val="both"/>
        <w:rPr>
          <w:rFonts w:eastAsia="SimSun"/>
          <w:lang w:val="en-US"/>
        </w:rPr>
      </w:pPr>
    </w:p>
    <w:p w14:paraId="4495EC08" w14:textId="4A9B4B67" w:rsidR="005A719B" w:rsidRPr="00953770" w:rsidRDefault="005A719B" w:rsidP="00537CDB">
      <w:pPr>
        <w:spacing w:line="480" w:lineRule="auto"/>
        <w:jc w:val="both"/>
        <w:rPr>
          <w:rFonts w:eastAsia="SimSun"/>
          <w:lang w:val="en-US"/>
        </w:rPr>
      </w:pPr>
      <w:r w:rsidRPr="00953770">
        <w:rPr>
          <w:rFonts w:eastAsia="SimSun"/>
          <w:lang w:val="en-US"/>
        </w:rPr>
        <w:t xml:space="preserve">The VAR approach remains partially </w:t>
      </w:r>
      <w:r>
        <w:rPr>
          <w:rFonts w:eastAsia="SimSun"/>
          <w:lang w:val="en-US"/>
        </w:rPr>
        <w:t>relevant</w:t>
      </w:r>
      <w:r w:rsidRPr="00953770">
        <w:rPr>
          <w:rFonts w:eastAsia="SimSun"/>
          <w:lang w:val="en-US"/>
        </w:rPr>
        <w:t>. If the spot, index futures</w:t>
      </w:r>
      <w:r>
        <w:rPr>
          <w:rFonts w:eastAsia="SimSun"/>
          <w:lang w:val="en-US"/>
        </w:rPr>
        <w:t>,</w:t>
      </w:r>
      <w:r w:rsidRPr="00953770">
        <w:rPr>
          <w:rFonts w:eastAsia="SimSun"/>
          <w:lang w:val="en-US"/>
        </w:rPr>
        <w:t xml:space="preserve"> and index tracking </w:t>
      </w:r>
      <w:r>
        <w:rPr>
          <w:rFonts w:eastAsia="SimSun"/>
          <w:lang w:val="en-US"/>
        </w:rPr>
        <w:t>ETFs</w:t>
      </w:r>
      <w:r w:rsidRPr="00953770">
        <w:rPr>
          <w:rFonts w:eastAsia="SimSun"/>
          <w:lang w:val="en-US"/>
        </w:rPr>
        <w:t xml:space="preserve"> prices for a given asset </w:t>
      </w:r>
      <w:r>
        <w:rPr>
          <w:rFonts w:eastAsia="SimSun"/>
          <w:lang w:val="en-US"/>
        </w:rPr>
        <w:t xml:space="preserve">deviate </w:t>
      </w:r>
      <w:r w:rsidRPr="00953770">
        <w:rPr>
          <w:rFonts w:eastAsia="SimSun"/>
          <w:lang w:val="en-US"/>
        </w:rPr>
        <w:t xml:space="preserve">from one another, market forces would work bring them back to </w:t>
      </w:r>
      <w:r>
        <w:rPr>
          <w:rFonts w:eastAsia="SimSun"/>
          <w:lang w:val="en-US"/>
        </w:rPr>
        <w:t xml:space="preserve">their earlier values to adhere to </w:t>
      </w:r>
      <w:r w:rsidRPr="00953770">
        <w:rPr>
          <w:rFonts w:eastAsia="SimSun"/>
          <w:lang w:val="en-US"/>
        </w:rPr>
        <w:t xml:space="preserve">their long-run relationship </w:t>
      </w:r>
      <w:r>
        <w:rPr>
          <w:rFonts w:eastAsia="SimSun"/>
          <w:lang w:val="en-US"/>
        </w:rPr>
        <w:t>expressed</w:t>
      </w:r>
      <w:r w:rsidRPr="00953770">
        <w:rPr>
          <w:rFonts w:eastAsia="SimSun"/>
          <w:lang w:val="en-US"/>
        </w:rPr>
        <w:t xml:space="preserve"> by the cost of carry formula. The </w:t>
      </w:r>
      <w:r>
        <w:rPr>
          <w:rFonts w:eastAsia="SimSun"/>
          <w:lang w:val="en-US"/>
        </w:rPr>
        <w:t>singular</w:t>
      </w:r>
      <w:r w:rsidRPr="00953770">
        <w:rPr>
          <w:rFonts w:eastAsia="SimSun"/>
          <w:lang w:val="en-US"/>
        </w:rPr>
        <w:t xml:space="preserve"> reliance on </w:t>
      </w:r>
      <w:r>
        <w:rPr>
          <w:rFonts w:eastAsia="SimSun"/>
          <w:lang w:val="en-US"/>
        </w:rPr>
        <w:t xml:space="preserve">the </w:t>
      </w:r>
      <w:r w:rsidRPr="00953770">
        <w:rPr>
          <w:rFonts w:eastAsia="SimSun"/>
          <w:lang w:val="en-US"/>
        </w:rPr>
        <w:t xml:space="preserve">VAR approach fails to address the implied cointegrating relation between the three index derivative markets as suggested by the theoretical cost-of-carry relation. </w:t>
      </w:r>
    </w:p>
    <w:p w14:paraId="67587989" w14:textId="77777777" w:rsidR="005A719B" w:rsidRDefault="005A719B" w:rsidP="00DB5873">
      <w:pPr>
        <w:rPr>
          <w:rFonts w:eastAsia="SimSun"/>
          <w:lang w:val="en-US"/>
        </w:rPr>
      </w:pPr>
    </w:p>
    <w:p w14:paraId="483B6EBC" w14:textId="77777777" w:rsidR="005A719B" w:rsidRDefault="005A719B" w:rsidP="00DB5873">
      <w:pPr>
        <w:rPr>
          <w:i/>
        </w:rPr>
      </w:pPr>
    </w:p>
    <w:p w14:paraId="15EA3FFE" w14:textId="2F518259" w:rsidR="005A719B" w:rsidRPr="00DB5873" w:rsidRDefault="007354EC" w:rsidP="00C2773E">
      <w:pPr>
        <w:spacing w:line="480" w:lineRule="auto"/>
        <w:rPr>
          <w:rFonts w:eastAsia="SimSun"/>
          <w:i/>
          <w:lang w:val="en-US"/>
        </w:rPr>
      </w:pPr>
      <w:r>
        <w:rPr>
          <w:i/>
        </w:rPr>
        <w:t xml:space="preserve"> </w:t>
      </w:r>
      <w:r w:rsidR="005A719B" w:rsidRPr="00DB5873">
        <w:rPr>
          <w:i/>
        </w:rPr>
        <w:t>2.2.2 Error Correction Models (ECM’s) Approach to Fit Theoretical Cost-of-Carry Relation</w:t>
      </w:r>
    </w:p>
    <w:p w14:paraId="6C1BB170" w14:textId="580CCBCD" w:rsidR="005A719B" w:rsidRPr="00953770" w:rsidRDefault="005A719B" w:rsidP="00861A44">
      <w:pPr>
        <w:spacing w:line="480" w:lineRule="auto"/>
        <w:jc w:val="both"/>
        <w:rPr>
          <w:rFonts w:eastAsia="SimSun"/>
          <w:lang w:val="en-US"/>
        </w:rPr>
      </w:pPr>
      <w:r w:rsidRPr="00953770">
        <w:rPr>
          <w:rFonts w:eastAsia="SimSun"/>
          <w:lang w:val="en-US"/>
        </w:rPr>
        <w:t xml:space="preserve">The Granger representation theorem states that if a dynamic model (error correction model) </w:t>
      </w:r>
      <w:r>
        <w:rPr>
          <w:rFonts w:eastAsia="SimSun"/>
          <w:lang w:val="en-US"/>
        </w:rPr>
        <w:t>containing</w:t>
      </w:r>
      <w:r w:rsidRPr="00953770">
        <w:rPr>
          <w:rFonts w:eastAsia="SimSun"/>
          <w:lang w:val="en-US"/>
        </w:rPr>
        <w:t xml:space="preserve"> </w:t>
      </w:r>
      <w:r>
        <w:rPr>
          <w:rFonts w:eastAsia="SimSun"/>
          <w:lang w:val="en-US"/>
        </w:rPr>
        <w:t xml:space="preserve">a </w:t>
      </w:r>
      <w:r w:rsidRPr="00953770">
        <w:rPr>
          <w:rFonts w:eastAsia="SimSun"/>
          <w:lang w:val="en-US"/>
        </w:rPr>
        <w:t xml:space="preserve">stationary error term and data </w:t>
      </w:r>
      <w:r>
        <w:rPr>
          <w:rFonts w:eastAsia="SimSun"/>
          <w:lang w:val="en-US"/>
        </w:rPr>
        <w:t xml:space="preserve">with </w:t>
      </w:r>
      <w:r w:rsidRPr="00953770">
        <w:rPr>
          <w:rFonts w:eastAsia="SimSun"/>
          <w:lang w:val="en-US"/>
        </w:rPr>
        <w:t>one unit root</w:t>
      </w:r>
      <w:r>
        <w:rPr>
          <w:rFonts w:eastAsia="SimSun"/>
          <w:lang w:val="en-US"/>
        </w:rPr>
        <w:t xml:space="preserve"> exists</w:t>
      </w:r>
      <w:r w:rsidRPr="00953770">
        <w:rPr>
          <w:rFonts w:eastAsia="SimSun"/>
          <w:lang w:val="en-US"/>
        </w:rPr>
        <w:t xml:space="preserve">, then the variables must be cointegrated. Consequently, the second </w:t>
      </w:r>
      <w:r>
        <w:rPr>
          <w:rFonts w:eastAsia="SimSun"/>
          <w:lang w:val="en-US"/>
        </w:rPr>
        <w:t>branch</w:t>
      </w:r>
      <w:r w:rsidRPr="00953770">
        <w:rPr>
          <w:rFonts w:eastAsia="SimSun"/>
          <w:lang w:val="en-US"/>
        </w:rPr>
        <w:t xml:space="preserve"> of literature focuses on the existence of valid error correction models (ECM</w:t>
      </w:r>
      <w:r>
        <w:rPr>
          <w:rFonts w:eastAsia="SimSun"/>
          <w:lang w:val="en-US"/>
        </w:rPr>
        <w:t>’</w:t>
      </w:r>
      <w:r w:rsidRPr="00953770">
        <w:rPr>
          <w:rFonts w:eastAsia="SimSun"/>
          <w:lang w:val="en-US"/>
        </w:rPr>
        <w:t>s) characteri</w:t>
      </w:r>
      <w:r>
        <w:rPr>
          <w:rFonts w:eastAsia="SimSun"/>
          <w:lang w:val="en-US"/>
        </w:rPr>
        <w:t>z</w:t>
      </w:r>
      <w:r w:rsidRPr="00953770">
        <w:rPr>
          <w:rFonts w:eastAsia="SimSun"/>
          <w:lang w:val="en-US"/>
        </w:rPr>
        <w:t>ing the data on spot index, index futures (see, for example, Shyy et al., 1996; Dwyer et al., 1996; Booth et al., 1999; Tse, 2001; Bose, 2007; Schlusche, 2009)</w:t>
      </w:r>
      <w:r>
        <w:rPr>
          <w:rFonts w:eastAsia="SimSun"/>
          <w:lang w:val="en-US"/>
        </w:rPr>
        <w:t>,</w:t>
      </w:r>
      <w:r w:rsidRPr="00953770">
        <w:rPr>
          <w:rFonts w:eastAsia="SimSun"/>
          <w:lang w:val="en-US"/>
        </w:rPr>
        <w:t xml:space="preserve"> and </w:t>
      </w:r>
      <w:r>
        <w:rPr>
          <w:rFonts w:eastAsia="SimSun"/>
          <w:lang w:val="en-US"/>
        </w:rPr>
        <w:t>ETFs</w:t>
      </w:r>
      <w:r w:rsidRPr="00953770">
        <w:rPr>
          <w:rFonts w:eastAsia="SimSun"/>
          <w:lang w:val="en-US"/>
        </w:rPr>
        <w:t>.</w:t>
      </w:r>
    </w:p>
    <w:p w14:paraId="7D730AB9" w14:textId="77777777" w:rsidR="005A719B" w:rsidRPr="00953770" w:rsidRDefault="005A719B" w:rsidP="00861A44">
      <w:pPr>
        <w:spacing w:line="480" w:lineRule="auto"/>
        <w:jc w:val="both"/>
        <w:rPr>
          <w:rFonts w:eastAsia="SimSun"/>
          <w:lang w:val="en-US"/>
        </w:rPr>
      </w:pPr>
    </w:p>
    <w:p w14:paraId="04B46277" w14:textId="47D031E6" w:rsidR="005A719B" w:rsidRPr="00953770" w:rsidRDefault="005A719B" w:rsidP="00861A44">
      <w:pPr>
        <w:spacing w:line="480" w:lineRule="auto"/>
        <w:jc w:val="both"/>
        <w:rPr>
          <w:rFonts w:eastAsia="SimSun"/>
          <w:lang w:val="en-US"/>
        </w:rPr>
      </w:pPr>
      <w:r w:rsidRPr="00953770">
        <w:rPr>
          <w:rFonts w:eastAsia="SimSun"/>
          <w:lang w:val="en-US"/>
        </w:rPr>
        <w:t xml:space="preserve">There are, however, several </w:t>
      </w:r>
      <w:r>
        <w:rPr>
          <w:rFonts w:eastAsia="SimSun"/>
          <w:lang w:val="en-US"/>
        </w:rPr>
        <w:t>limitation</w:t>
      </w:r>
      <w:r w:rsidRPr="00953770">
        <w:rPr>
          <w:rFonts w:eastAsia="SimSun"/>
          <w:lang w:val="en-US"/>
        </w:rPr>
        <w:t xml:space="preserve">s associated with the empirical application of ECM.  In the standard approach </w:t>
      </w:r>
      <w:r>
        <w:rPr>
          <w:rFonts w:eastAsia="SimSun"/>
          <w:lang w:val="en-US"/>
        </w:rPr>
        <w:t>applied for the</w:t>
      </w:r>
      <w:r w:rsidRPr="00953770">
        <w:rPr>
          <w:rFonts w:eastAsia="SimSun"/>
          <w:lang w:val="en-US"/>
        </w:rPr>
        <w:t xml:space="preserve"> estimati</w:t>
      </w:r>
      <w:r>
        <w:rPr>
          <w:rFonts w:eastAsia="SimSun"/>
          <w:lang w:val="en-US"/>
        </w:rPr>
        <w:t>o</w:t>
      </w:r>
      <w:r w:rsidRPr="00953770">
        <w:rPr>
          <w:rFonts w:eastAsia="SimSun"/>
          <w:lang w:val="en-US"/>
        </w:rPr>
        <w:t>n</w:t>
      </w:r>
      <w:r>
        <w:rPr>
          <w:rFonts w:eastAsia="SimSun"/>
          <w:lang w:val="en-US"/>
        </w:rPr>
        <w:t xml:space="preserve"> of</w:t>
      </w:r>
      <w:r w:rsidRPr="00953770">
        <w:rPr>
          <w:rFonts w:eastAsia="SimSun"/>
          <w:lang w:val="en-US"/>
        </w:rPr>
        <w:t xml:space="preserve"> the error correction model, the adjustment of prices is based on the deviation from the long-rum equilibrium relation, and the speed of adjustment is independent of the size of the deviation. However, in practice, often</w:t>
      </w:r>
      <w:r>
        <w:rPr>
          <w:rFonts w:eastAsia="SimSun"/>
          <w:lang w:val="en-US"/>
        </w:rPr>
        <w:t>,</w:t>
      </w:r>
      <w:r w:rsidRPr="00953770">
        <w:rPr>
          <w:rFonts w:eastAsia="SimSun"/>
          <w:lang w:val="en-US"/>
        </w:rPr>
        <w:t xml:space="preserve"> the speed of adjustment is accelerated by arbitrageurs if the deviation is </w:t>
      </w:r>
      <w:r>
        <w:rPr>
          <w:rFonts w:eastAsia="SimSun"/>
          <w:lang w:val="en-US"/>
        </w:rPr>
        <w:t xml:space="preserve">sufficiently </w:t>
      </w:r>
      <w:r w:rsidRPr="00953770">
        <w:rPr>
          <w:rFonts w:eastAsia="SimSun"/>
          <w:lang w:val="en-US"/>
        </w:rPr>
        <w:t xml:space="preserve">large to cover the transaction costs. One </w:t>
      </w:r>
      <w:r>
        <w:rPr>
          <w:rFonts w:eastAsia="SimSun"/>
          <w:lang w:val="en-US"/>
        </w:rPr>
        <w:t>method</w:t>
      </w:r>
      <w:r w:rsidRPr="00953770">
        <w:rPr>
          <w:rFonts w:eastAsia="SimSun"/>
          <w:lang w:val="en-US"/>
        </w:rPr>
        <w:t xml:space="preserve"> </w:t>
      </w:r>
      <w:r>
        <w:rPr>
          <w:rFonts w:eastAsia="SimSun"/>
          <w:lang w:val="en-US"/>
        </w:rPr>
        <w:t xml:space="preserve">to address this </w:t>
      </w:r>
      <w:r w:rsidRPr="00953770">
        <w:rPr>
          <w:rFonts w:eastAsia="SimSun"/>
          <w:lang w:val="en-US"/>
        </w:rPr>
        <w:t xml:space="preserve">problem is to </w:t>
      </w:r>
      <w:r>
        <w:rPr>
          <w:rFonts w:eastAsia="SimSun"/>
          <w:lang w:val="en-US"/>
        </w:rPr>
        <w:t xml:space="preserve">apply the </w:t>
      </w:r>
      <w:r w:rsidRPr="00953770">
        <w:rPr>
          <w:rFonts w:eastAsia="SimSun"/>
          <w:lang w:val="en-US"/>
        </w:rPr>
        <w:t>threshold error correction model (TECM) (see, for example, Yadav et al., 1994; Martens, 1998; Theissen, 2012)</w:t>
      </w:r>
      <w:r>
        <w:rPr>
          <w:rFonts w:eastAsia="SimSun"/>
          <w:lang w:val="en-US"/>
        </w:rPr>
        <w:t>.</w:t>
      </w:r>
      <w:r w:rsidRPr="00953770">
        <w:rPr>
          <w:rFonts w:eastAsia="SimSun"/>
          <w:lang w:val="en-US"/>
        </w:rPr>
        <w:t xml:space="preserve"> TECM incorporates a non-continuous movement function</w:t>
      </w:r>
      <w:r>
        <w:rPr>
          <w:rFonts w:eastAsia="SimSun"/>
          <w:lang w:val="en-US"/>
        </w:rPr>
        <w:t xml:space="preserve"> that </w:t>
      </w:r>
      <w:r w:rsidRPr="00953770">
        <w:rPr>
          <w:rFonts w:eastAsia="SimSun"/>
          <w:lang w:val="en-US"/>
        </w:rPr>
        <w:t xml:space="preserve">allows the allocation of different coefficients for price adjustments, </w:t>
      </w:r>
      <w:r>
        <w:rPr>
          <w:rFonts w:eastAsia="SimSun"/>
          <w:lang w:val="en-US"/>
        </w:rPr>
        <w:t xml:space="preserve">thus allowing </w:t>
      </w:r>
      <w:r w:rsidRPr="00953770">
        <w:rPr>
          <w:rFonts w:eastAsia="SimSun"/>
          <w:lang w:val="en-US"/>
        </w:rPr>
        <w:t xml:space="preserve">the adjustment speed </w:t>
      </w:r>
      <w:r>
        <w:rPr>
          <w:rFonts w:eastAsia="SimSun"/>
          <w:lang w:val="en-US"/>
        </w:rPr>
        <w:t xml:space="preserve">to </w:t>
      </w:r>
      <w:r w:rsidRPr="00953770">
        <w:rPr>
          <w:rFonts w:eastAsia="SimSun"/>
          <w:lang w:val="en-US"/>
        </w:rPr>
        <w:t>vary. If the transaction costs are equal for all investors, usually</w:t>
      </w:r>
      <w:r>
        <w:rPr>
          <w:rFonts w:eastAsia="SimSun"/>
          <w:lang w:val="en-US"/>
        </w:rPr>
        <w:t>,</w:t>
      </w:r>
      <w:r w:rsidRPr="00953770">
        <w:rPr>
          <w:rFonts w:eastAsia="SimSun"/>
          <w:lang w:val="en-US"/>
        </w:rPr>
        <w:t xml:space="preserve"> two adjustment coefficients, one with respect to the non-arbitrage regime and the other to capture the arbitrage activity</w:t>
      </w:r>
      <w:r>
        <w:rPr>
          <w:rFonts w:eastAsia="SimSun"/>
          <w:lang w:val="en-US"/>
        </w:rPr>
        <w:t>, are allowed</w:t>
      </w:r>
      <w:r w:rsidRPr="00953770">
        <w:rPr>
          <w:rFonts w:eastAsia="SimSun"/>
          <w:lang w:val="en-US"/>
        </w:rPr>
        <w:t xml:space="preserve">. However, if the transaction costs vary </w:t>
      </w:r>
      <w:r>
        <w:rPr>
          <w:rFonts w:eastAsia="SimSun"/>
          <w:lang w:val="en-US"/>
        </w:rPr>
        <w:t>among</w:t>
      </w:r>
      <w:r w:rsidRPr="00953770">
        <w:rPr>
          <w:rFonts w:eastAsia="SimSun"/>
          <w:lang w:val="en-US"/>
        </w:rPr>
        <w:t xml:space="preserve"> different investors, a less restrictive model can be applied, for example, the smooth transition error correction model (STECM), which was adopted in Tse (2001), Fung and Yu (2007)</w:t>
      </w:r>
      <w:r>
        <w:rPr>
          <w:rFonts w:eastAsia="SimSun"/>
          <w:lang w:val="en-US"/>
        </w:rPr>
        <w:t>,</w:t>
      </w:r>
      <w:r w:rsidRPr="00953770">
        <w:rPr>
          <w:rFonts w:eastAsia="SimSun"/>
          <w:lang w:val="en-US"/>
        </w:rPr>
        <w:t xml:space="preserve"> and Chen et al. (2013).</w:t>
      </w:r>
    </w:p>
    <w:p w14:paraId="777BE1AB" w14:textId="77777777" w:rsidR="005A719B" w:rsidRPr="00953770" w:rsidRDefault="005A719B" w:rsidP="00861A44">
      <w:pPr>
        <w:spacing w:line="480" w:lineRule="auto"/>
        <w:jc w:val="both"/>
        <w:rPr>
          <w:rFonts w:eastAsia="SimSun"/>
          <w:lang w:val="en-US"/>
        </w:rPr>
      </w:pPr>
    </w:p>
    <w:p w14:paraId="5E97CE7E" w14:textId="4B3ACDB9" w:rsidR="005A719B" w:rsidRPr="00953770" w:rsidRDefault="005A719B" w:rsidP="00861A44">
      <w:pPr>
        <w:spacing w:line="480" w:lineRule="auto"/>
        <w:jc w:val="both"/>
        <w:rPr>
          <w:rFonts w:eastAsia="SimSun"/>
          <w:lang w:val="en-US"/>
        </w:rPr>
      </w:pPr>
      <w:r w:rsidRPr="00953770">
        <w:rPr>
          <w:rFonts w:eastAsia="SimSun"/>
          <w:lang w:val="en-US"/>
        </w:rPr>
        <w:t xml:space="preserve">However, the threshold error correction model (TECM) requires the transition function to be exogenously specified, and </w:t>
      </w:r>
      <w:r>
        <w:rPr>
          <w:rFonts w:eastAsia="SimSun"/>
          <w:lang w:val="en-US"/>
        </w:rPr>
        <w:t xml:space="preserve">commonly, </w:t>
      </w:r>
      <w:r w:rsidRPr="00953770">
        <w:rPr>
          <w:rFonts w:eastAsia="SimSun"/>
          <w:lang w:val="en-US"/>
        </w:rPr>
        <w:t xml:space="preserve">there </w:t>
      </w:r>
      <w:r>
        <w:rPr>
          <w:rFonts w:eastAsia="SimSun"/>
          <w:lang w:val="en-US"/>
        </w:rPr>
        <w:t>are no theoretical foundation</w:t>
      </w:r>
      <w:r w:rsidRPr="00953770">
        <w:rPr>
          <w:rFonts w:eastAsia="SimSun"/>
          <w:lang w:val="en-US"/>
        </w:rPr>
        <w:t xml:space="preserve"> to guide these specifications, which could </w:t>
      </w:r>
      <w:r>
        <w:rPr>
          <w:rFonts w:eastAsia="SimSun"/>
          <w:lang w:val="en-US"/>
        </w:rPr>
        <w:t>contribute</w:t>
      </w:r>
      <w:r w:rsidRPr="00953770">
        <w:rPr>
          <w:rFonts w:eastAsia="SimSun"/>
          <w:lang w:val="en-US"/>
        </w:rPr>
        <w:t xml:space="preserve"> to </w:t>
      </w:r>
      <w:r>
        <w:rPr>
          <w:rFonts w:eastAsia="SimSun"/>
          <w:lang w:val="en-US"/>
        </w:rPr>
        <w:t xml:space="preserve">a </w:t>
      </w:r>
      <w:r w:rsidRPr="00953770">
        <w:rPr>
          <w:rFonts w:eastAsia="SimSun"/>
          <w:lang w:val="en-US"/>
        </w:rPr>
        <w:t xml:space="preserve">systematic problem. </w:t>
      </w:r>
      <w:r>
        <w:rPr>
          <w:rFonts w:eastAsia="SimSun"/>
          <w:lang w:val="en-US"/>
        </w:rPr>
        <w:t xml:space="preserve">Furthermore, </w:t>
      </w:r>
      <w:r w:rsidRPr="00953770">
        <w:rPr>
          <w:rFonts w:eastAsia="SimSun"/>
          <w:lang w:val="en-US"/>
        </w:rPr>
        <w:t xml:space="preserve">models </w:t>
      </w:r>
      <w:r>
        <w:rPr>
          <w:rFonts w:eastAsia="SimSun"/>
          <w:lang w:val="en-US"/>
        </w:rPr>
        <w:t xml:space="preserve">that afford greater flexibility </w:t>
      </w:r>
      <w:r w:rsidRPr="00953770">
        <w:rPr>
          <w:rFonts w:eastAsia="SimSun"/>
          <w:lang w:val="en-US"/>
        </w:rPr>
        <w:t>in non-parametric settings</w:t>
      </w:r>
      <w:r>
        <w:rPr>
          <w:rFonts w:eastAsia="SimSun"/>
          <w:lang w:val="en-US"/>
        </w:rPr>
        <w:t xml:space="preserve"> also exist</w:t>
      </w:r>
      <w:r w:rsidRPr="00953770">
        <w:rPr>
          <w:rFonts w:eastAsia="SimSun"/>
          <w:lang w:val="en-US"/>
        </w:rPr>
        <w:t>, for example, the partially linear error correction model, which incorporates a density-weighted OLS approach to estimate the short-run dynamics</w:t>
      </w:r>
      <w:r>
        <w:rPr>
          <w:rFonts w:eastAsia="SimSun"/>
          <w:lang w:val="en-US"/>
        </w:rPr>
        <w:t>.</w:t>
      </w:r>
      <w:r w:rsidRPr="00953770">
        <w:rPr>
          <w:rFonts w:eastAsia="SimSun"/>
          <w:lang w:val="en-US"/>
        </w:rPr>
        <w:t xml:space="preserve"> </w:t>
      </w:r>
      <w:r>
        <w:rPr>
          <w:rFonts w:eastAsia="SimSun"/>
          <w:lang w:val="en-US"/>
        </w:rPr>
        <w:t xml:space="preserve">In this, </w:t>
      </w:r>
      <w:r w:rsidRPr="00953770">
        <w:rPr>
          <w:rFonts w:eastAsia="SimSun"/>
          <w:lang w:val="en-US"/>
        </w:rPr>
        <w:t xml:space="preserve">the Nadaraya-Watson estimator is </w:t>
      </w:r>
      <w:r>
        <w:rPr>
          <w:rFonts w:eastAsia="SimSun"/>
          <w:lang w:val="en-US"/>
        </w:rPr>
        <w:t xml:space="preserve">employed </w:t>
      </w:r>
      <w:r w:rsidRPr="00953770">
        <w:rPr>
          <w:rFonts w:eastAsia="SimSun"/>
          <w:lang w:val="en-US"/>
        </w:rPr>
        <w:t xml:space="preserve">to estimate the non-parametric model (see, Gaul, 2005; Gaul and Theissen, 2015). Vortelinos (2014) also conducted analysis based on non-parametric functions for equity arbitrages. </w:t>
      </w:r>
    </w:p>
    <w:p w14:paraId="52AC6C25" w14:textId="77777777" w:rsidR="005A719B" w:rsidRPr="00953770" w:rsidRDefault="005A719B" w:rsidP="00861A44">
      <w:pPr>
        <w:spacing w:line="480" w:lineRule="auto"/>
        <w:jc w:val="both"/>
        <w:rPr>
          <w:rFonts w:eastAsia="SimSun"/>
          <w:lang w:val="en-US"/>
        </w:rPr>
      </w:pPr>
    </w:p>
    <w:p w14:paraId="71AA7C17" w14:textId="32AEB4C6" w:rsidR="005A719B" w:rsidRPr="00953770" w:rsidRDefault="005A719B" w:rsidP="00861A44">
      <w:pPr>
        <w:spacing w:line="480" w:lineRule="auto"/>
        <w:jc w:val="both"/>
        <w:rPr>
          <w:rFonts w:eastAsia="SimSun"/>
          <w:b/>
          <w:i/>
          <w:lang w:val="en-US"/>
        </w:rPr>
      </w:pPr>
      <w:r>
        <w:rPr>
          <w:rFonts w:eastAsia="SimSun"/>
          <w:lang w:val="en-US"/>
        </w:rPr>
        <w:t xml:space="preserve">Considering </w:t>
      </w:r>
      <w:r w:rsidRPr="00953770">
        <w:rPr>
          <w:rFonts w:eastAsia="SimSun"/>
          <w:lang w:val="en-US"/>
        </w:rPr>
        <w:t>a more practical</w:t>
      </w:r>
      <w:r>
        <w:rPr>
          <w:rFonts w:eastAsia="SimSun"/>
          <w:lang w:val="en-US"/>
        </w:rPr>
        <w:t xml:space="preserve"> approach</w:t>
      </w:r>
      <w:r w:rsidRPr="00953770">
        <w:rPr>
          <w:rFonts w:eastAsia="SimSun"/>
          <w:lang w:val="en-US"/>
        </w:rPr>
        <w:t xml:space="preserve">, Fleming et al. (1996) and Pizzi et al. (1998) incorporated the residuals generated from the ARMA model into the final estimation of the ECM. However, </w:t>
      </w:r>
      <w:r>
        <w:rPr>
          <w:rFonts w:eastAsia="SimSun"/>
          <w:lang w:val="en-US"/>
        </w:rPr>
        <w:t>this</w:t>
      </w:r>
      <w:r w:rsidRPr="00953770">
        <w:rPr>
          <w:rFonts w:eastAsia="SimSun"/>
          <w:lang w:val="en-US"/>
        </w:rPr>
        <w:t xml:space="preserve"> approach could be misleading when the ARMA residuals </w:t>
      </w:r>
      <w:r>
        <w:rPr>
          <w:rFonts w:eastAsia="SimSun"/>
          <w:lang w:val="en-US"/>
        </w:rPr>
        <w:t xml:space="preserve">are </w:t>
      </w:r>
      <w:r w:rsidRPr="00F05CCF">
        <w:rPr>
          <w:rFonts w:eastAsia="SimSun"/>
          <w:lang w:val="en-US"/>
        </w:rPr>
        <w:t>combin</w:t>
      </w:r>
      <w:r>
        <w:rPr>
          <w:rFonts w:eastAsia="SimSun"/>
          <w:lang w:val="en-US"/>
        </w:rPr>
        <w:t>ed</w:t>
      </w:r>
      <w:r w:rsidRPr="00953770">
        <w:rPr>
          <w:rFonts w:eastAsia="SimSun"/>
          <w:lang w:val="en-US"/>
        </w:rPr>
        <w:t xml:space="preserve"> with the error correction term. Shyy et al. (1996) </w:t>
      </w:r>
      <w:r>
        <w:rPr>
          <w:rFonts w:eastAsia="SimSun"/>
          <w:lang w:val="en-US"/>
        </w:rPr>
        <w:t>employ</w:t>
      </w:r>
      <w:r w:rsidRPr="00953770">
        <w:rPr>
          <w:rFonts w:eastAsia="SimSun"/>
          <w:lang w:val="en-US"/>
        </w:rPr>
        <w:t xml:space="preserve">ed quote mid-points rather than transaction prices </w:t>
      </w:r>
      <w:r>
        <w:rPr>
          <w:rFonts w:eastAsia="SimSun"/>
          <w:lang w:val="en-US"/>
        </w:rPr>
        <w:t xml:space="preserve">in the </w:t>
      </w:r>
      <w:r w:rsidRPr="00953770">
        <w:rPr>
          <w:rFonts w:eastAsia="SimSun"/>
          <w:lang w:val="en-US"/>
        </w:rPr>
        <w:t>estimati</w:t>
      </w:r>
      <w:r>
        <w:rPr>
          <w:rFonts w:eastAsia="SimSun"/>
          <w:lang w:val="en-US"/>
        </w:rPr>
        <w:t>o</w:t>
      </w:r>
      <w:r w:rsidRPr="00953770">
        <w:rPr>
          <w:rFonts w:eastAsia="SimSun"/>
          <w:lang w:val="en-US"/>
        </w:rPr>
        <w:t>n</w:t>
      </w:r>
      <w:r>
        <w:rPr>
          <w:rFonts w:eastAsia="SimSun"/>
          <w:lang w:val="en-US"/>
        </w:rPr>
        <w:t xml:space="preserve"> of</w:t>
      </w:r>
      <w:r w:rsidRPr="00953770">
        <w:rPr>
          <w:rFonts w:eastAsia="SimSun"/>
          <w:lang w:val="en-US"/>
        </w:rPr>
        <w:t xml:space="preserve"> the ECM (as the former </w:t>
      </w:r>
      <w:r>
        <w:rPr>
          <w:rFonts w:eastAsia="SimSun"/>
          <w:lang w:val="en-US"/>
        </w:rPr>
        <w:t xml:space="preserve">does </w:t>
      </w:r>
      <w:r w:rsidRPr="00953770">
        <w:rPr>
          <w:rFonts w:eastAsia="SimSun"/>
          <w:lang w:val="en-US"/>
        </w:rPr>
        <w:t xml:space="preserve">not </w:t>
      </w:r>
      <w:r>
        <w:rPr>
          <w:rFonts w:eastAsia="SimSun"/>
          <w:lang w:val="en-US"/>
        </w:rPr>
        <w:t xml:space="preserve">tend to </w:t>
      </w:r>
      <w:r w:rsidRPr="00953770">
        <w:rPr>
          <w:rFonts w:eastAsia="SimSun"/>
          <w:lang w:val="en-US"/>
        </w:rPr>
        <w:t xml:space="preserve">suffer infrequent trade). Care should be taken </w:t>
      </w:r>
      <w:r>
        <w:rPr>
          <w:rFonts w:eastAsia="SimSun"/>
          <w:lang w:val="en-US"/>
        </w:rPr>
        <w:t xml:space="preserve">in </w:t>
      </w:r>
      <w:r w:rsidRPr="00953770">
        <w:rPr>
          <w:rFonts w:eastAsia="SimSun"/>
          <w:lang w:val="en-US"/>
        </w:rPr>
        <w:t>obtaining the quote mid-points for index</w:t>
      </w:r>
      <w:r>
        <w:rPr>
          <w:rFonts w:eastAsia="SimSun"/>
          <w:lang w:val="en-US"/>
        </w:rPr>
        <w:t>,</w:t>
      </w:r>
      <w:r w:rsidRPr="00953770">
        <w:rPr>
          <w:rFonts w:eastAsia="SimSun"/>
          <w:lang w:val="en-US"/>
        </w:rPr>
        <w:t xml:space="preserve"> as only data </w:t>
      </w:r>
      <w:r>
        <w:rPr>
          <w:rFonts w:eastAsia="SimSun"/>
          <w:lang w:val="en-US"/>
        </w:rPr>
        <w:t xml:space="preserve">pertaining to </w:t>
      </w:r>
      <w:r w:rsidRPr="00953770">
        <w:rPr>
          <w:rFonts w:eastAsia="SimSun"/>
          <w:lang w:val="en-US"/>
        </w:rPr>
        <w:t xml:space="preserve">the best bid prices and best ask prices </w:t>
      </w:r>
      <w:r>
        <w:rPr>
          <w:rFonts w:eastAsia="SimSun"/>
          <w:lang w:val="en-US"/>
        </w:rPr>
        <w:t>is requir</w:t>
      </w:r>
      <w:r w:rsidRPr="00953770">
        <w:rPr>
          <w:rFonts w:eastAsia="SimSun"/>
          <w:lang w:val="en-US"/>
        </w:rPr>
        <w:t>ed.</w:t>
      </w:r>
    </w:p>
    <w:p w14:paraId="7D2AB6D6" w14:textId="77777777" w:rsidR="005A719B" w:rsidRPr="00953770" w:rsidRDefault="005A719B" w:rsidP="00861A44">
      <w:pPr>
        <w:spacing w:line="480" w:lineRule="auto"/>
        <w:jc w:val="both"/>
        <w:rPr>
          <w:rFonts w:eastAsia="SimSun"/>
          <w:b/>
          <w:i/>
          <w:lang w:val="en-US"/>
        </w:rPr>
      </w:pPr>
    </w:p>
    <w:p w14:paraId="00D99A29" w14:textId="3069D6C2" w:rsidR="005A719B" w:rsidRPr="00953770" w:rsidRDefault="005A719B" w:rsidP="00953770">
      <w:pPr>
        <w:pStyle w:val="Head3"/>
      </w:pPr>
      <w:r w:rsidRPr="00953770">
        <w:t>2.2.3 Information Share and Common Factor Decomposition Methods</w:t>
      </w:r>
    </w:p>
    <w:p w14:paraId="08E76740" w14:textId="553C7C04" w:rsidR="005A719B" w:rsidRPr="00953770" w:rsidRDefault="005A719B" w:rsidP="00437F75">
      <w:pPr>
        <w:spacing w:line="480" w:lineRule="auto"/>
        <w:jc w:val="both"/>
        <w:rPr>
          <w:color w:val="000000" w:themeColor="text1"/>
          <w:lang w:val="en-US"/>
        </w:rPr>
      </w:pPr>
      <w:r>
        <w:rPr>
          <w:color w:val="000000" w:themeColor="text1"/>
          <w:lang w:val="en-US"/>
        </w:rPr>
        <w:t xml:space="preserve">The </w:t>
      </w:r>
      <w:r w:rsidRPr="00953770">
        <w:rPr>
          <w:color w:val="000000" w:themeColor="text1"/>
          <w:lang w:val="en-US"/>
        </w:rPr>
        <w:t xml:space="preserve">Hasbrouck (1995) information share and Gonzalo </w:t>
      </w:r>
      <w:r>
        <w:rPr>
          <w:color w:val="000000" w:themeColor="text1"/>
          <w:lang w:val="en-US"/>
        </w:rPr>
        <w:t>and</w:t>
      </w:r>
      <w:r w:rsidRPr="00953770">
        <w:rPr>
          <w:color w:val="000000" w:themeColor="text1"/>
          <w:lang w:val="en-US"/>
        </w:rPr>
        <w:t xml:space="preserve"> Granger (1995) common factor decomposition methods </w:t>
      </w:r>
      <w:r>
        <w:rPr>
          <w:color w:val="000000" w:themeColor="text1"/>
          <w:lang w:val="en-US"/>
        </w:rPr>
        <w:t xml:space="preserve">have been </w:t>
      </w:r>
      <w:r w:rsidRPr="00953770">
        <w:rPr>
          <w:color w:val="000000" w:themeColor="text1"/>
          <w:lang w:val="en-US"/>
        </w:rPr>
        <w:t xml:space="preserve">widely employed in the literature </w:t>
      </w:r>
      <w:r>
        <w:rPr>
          <w:color w:val="000000" w:themeColor="text1"/>
          <w:lang w:val="en-US"/>
        </w:rPr>
        <w:t xml:space="preserve">to </w:t>
      </w:r>
      <w:r w:rsidRPr="00953770">
        <w:rPr>
          <w:color w:val="000000" w:themeColor="text1"/>
          <w:lang w:val="en-US"/>
        </w:rPr>
        <w:t>examin</w:t>
      </w:r>
      <w:r>
        <w:rPr>
          <w:color w:val="000000" w:themeColor="text1"/>
          <w:lang w:val="en-US"/>
        </w:rPr>
        <w:t>e</w:t>
      </w:r>
      <w:r w:rsidRPr="00953770">
        <w:rPr>
          <w:color w:val="000000" w:themeColor="text1"/>
          <w:lang w:val="en-US"/>
        </w:rPr>
        <w:t xml:space="preserve"> price discovery of the same asset traded </w:t>
      </w:r>
      <w:r>
        <w:rPr>
          <w:color w:val="000000" w:themeColor="text1"/>
          <w:lang w:val="en-US"/>
        </w:rPr>
        <w:t xml:space="preserve">in </w:t>
      </w:r>
      <w:r w:rsidRPr="00953770">
        <w:rPr>
          <w:color w:val="000000" w:themeColor="text1"/>
          <w:lang w:val="en-US"/>
        </w:rPr>
        <w:t>different markets. The</w:t>
      </w:r>
      <w:r>
        <w:rPr>
          <w:color w:val="000000" w:themeColor="text1"/>
          <w:lang w:val="en-US"/>
        </w:rPr>
        <w:t>se</w:t>
      </w:r>
      <w:r w:rsidRPr="00953770">
        <w:rPr>
          <w:color w:val="000000" w:themeColor="text1"/>
          <w:lang w:val="en-US"/>
        </w:rPr>
        <w:t xml:space="preserve"> are </w:t>
      </w:r>
      <w:r>
        <w:rPr>
          <w:color w:val="000000" w:themeColor="text1"/>
          <w:lang w:val="en-US"/>
        </w:rPr>
        <w:t xml:space="preserve">composed </w:t>
      </w:r>
      <w:r w:rsidRPr="00953770">
        <w:rPr>
          <w:color w:val="000000" w:themeColor="text1"/>
          <w:lang w:val="en-US"/>
        </w:rPr>
        <w:t xml:space="preserve">on a vector error correction model (VECM), with </w:t>
      </w:r>
      <w:r>
        <w:rPr>
          <w:color w:val="000000" w:themeColor="text1"/>
          <w:lang w:val="en-US"/>
        </w:rPr>
        <w:t xml:space="preserve">the </w:t>
      </w:r>
      <w:r w:rsidRPr="00953770">
        <w:rPr>
          <w:color w:val="000000" w:themeColor="text1"/>
          <w:lang w:val="en-US"/>
        </w:rPr>
        <w:t xml:space="preserve">aid of a decomposition process </w:t>
      </w:r>
      <w:r>
        <w:rPr>
          <w:color w:val="000000" w:themeColor="text1"/>
          <w:lang w:val="en-US"/>
        </w:rPr>
        <w:t xml:space="preserve">included </w:t>
      </w:r>
      <w:r w:rsidRPr="00953770">
        <w:rPr>
          <w:color w:val="000000" w:themeColor="text1"/>
          <w:lang w:val="en-US"/>
        </w:rPr>
        <w:t>in their procedures.</w:t>
      </w:r>
      <w:r w:rsidRPr="00953770">
        <w:rPr>
          <w:rFonts w:eastAsia="SimSun"/>
          <w:lang w:val="en-US"/>
        </w:rPr>
        <w:t xml:space="preserve"> </w:t>
      </w:r>
      <w:r w:rsidRPr="00953770">
        <w:rPr>
          <w:color w:val="000000" w:themeColor="text1"/>
          <w:lang w:val="en-US"/>
        </w:rPr>
        <w:t>The Hasbrouck (1995) information share approach decomposes the innovation terms in VECM and tracks price changes via the permanent component of the innovation. It compares the speed of adjustments of the innovation terms and generates the contributions of return or price series to the price discovery process.</w:t>
      </w:r>
      <w:r w:rsidRPr="00953770">
        <w:rPr>
          <w:rFonts w:eastAsia="SimSun"/>
          <w:lang w:val="en-US"/>
        </w:rPr>
        <w:t xml:space="preserve"> The </w:t>
      </w:r>
      <w:r w:rsidRPr="00953770">
        <w:rPr>
          <w:color w:val="000000" w:themeColor="text1"/>
          <w:lang w:val="en-US"/>
        </w:rPr>
        <w:t xml:space="preserve">Gonzalo </w:t>
      </w:r>
      <w:r>
        <w:rPr>
          <w:color w:val="000000" w:themeColor="text1"/>
          <w:lang w:val="en-US"/>
        </w:rPr>
        <w:t xml:space="preserve">and </w:t>
      </w:r>
      <w:r w:rsidRPr="00953770">
        <w:rPr>
          <w:color w:val="000000" w:themeColor="text1"/>
          <w:lang w:val="en-US"/>
        </w:rPr>
        <w:t>Granger (1995) common factor decomposition method</w:t>
      </w:r>
      <w:r w:rsidRPr="00953770">
        <w:rPr>
          <w:rFonts w:eastAsia="SimSun"/>
          <w:lang w:val="en-US"/>
        </w:rPr>
        <w:t xml:space="preserve"> </w:t>
      </w:r>
      <w:r>
        <w:rPr>
          <w:rFonts w:eastAsia="SimSun"/>
          <w:lang w:val="en-US"/>
        </w:rPr>
        <w:t xml:space="preserve">concentrated </w:t>
      </w:r>
      <w:r w:rsidRPr="00953770">
        <w:rPr>
          <w:rFonts w:eastAsia="SimSun"/>
          <w:lang w:val="en-US"/>
        </w:rPr>
        <w:t xml:space="preserve">on </w:t>
      </w:r>
      <w:r w:rsidRPr="00953770">
        <w:rPr>
          <w:color w:val="000000" w:themeColor="text1"/>
          <w:lang w:val="en-US"/>
        </w:rPr>
        <w:t xml:space="preserve">the component in the price change </w:t>
      </w:r>
      <w:r>
        <w:rPr>
          <w:color w:val="000000" w:themeColor="text1"/>
          <w:lang w:val="en-US"/>
        </w:rPr>
        <w:t>that</w:t>
      </w:r>
      <w:r w:rsidRPr="00953770">
        <w:rPr>
          <w:color w:val="000000" w:themeColor="text1"/>
          <w:lang w:val="en-US"/>
        </w:rPr>
        <w:t xml:space="preserve"> is permanently impounded into security prices and </w:t>
      </w:r>
      <w:r>
        <w:rPr>
          <w:color w:val="000000" w:themeColor="text1"/>
          <w:lang w:val="en-US"/>
        </w:rPr>
        <w:t xml:space="preserve">serves the function of </w:t>
      </w:r>
      <w:r w:rsidRPr="00953770">
        <w:rPr>
          <w:color w:val="000000" w:themeColor="text1"/>
          <w:lang w:val="en-US"/>
        </w:rPr>
        <w:t>reflecting new information</w:t>
      </w:r>
      <w:r>
        <w:rPr>
          <w:color w:val="000000" w:themeColor="text1"/>
          <w:lang w:val="en-US"/>
        </w:rPr>
        <w:t xml:space="preserve"> or updating information</w:t>
      </w:r>
      <w:r w:rsidRPr="00953770">
        <w:rPr>
          <w:color w:val="000000" w:themeColor="text1"/>
          <w:lang w:val="en-US"/>
        </w:rPr>
        <w:t xml:space="preserve">. </w:t>
      </w:r>
    </w:p>
    <w:p w14:paraId="63A344F3" w14:textId="77777777" w:rsidR="005A719B" w:rsidRPr="00953770" w:rsidRDefault="005A719B" w:rsidP="006B515F">
      <w:pPr>
        <w:spacing w:line="360" w:lineRule="auto"/>
        <w:rPr>
          <w:rFonts w:eastAsia="SimSun"/>
          <w:lang w:val="en-US"/>
        </w:rPr>
      </w:pPr>
    </w:p>
    <w:p w14:paraId="01F5C811" w14:textId="45F7BAD3" w:rsidR="005A719B" w:rsidRPr="00953770" w:rsidRDefault="005A719B" w:rsidP="00C2773E">
      <w:pPr>
        <w:spacing w:line="480" w:lineRule="auto"/>
        <w:jc w:val="both"/>
        <w:rPr>
          <w:color w:val="000000" w:themeColor="text1"/>
          <w:lang w:val="en-US"/>
        </w:rPr>
      </w:pPr>
      <w:r w:rsidRPr="00953770">
        <w:rPr>
          <w:rFonts w:eastAsia="SimSun"/>
          <w:lang w:val="en-US"/>
        </w:rPr>
        <w:t>Chou and Chung (2006) employed the Hasbrouck information share to analy</w:t>
      </w:r>
      <w:r>
        <w:rPr>
          <w:rFonts w:eastAsia="SimSun"/>
          <w:lang w:val="en-US"/>
        </w:rPr>
        <w:t>z</w:t>
      </w:r>
      <w:r w:rsidRPr="00953770">
        <w:rPr>
          <w:rFonts w:eastAsia="SimSun"/>
          <w:lang w:val="en-US"/>
        </w:rPr>
        <w:t xml:space="preserve">e </w:t>
      </w:r>
      <w:r w:rsidRPr="00953770">
        <w:rPr>
          <w:color w:val="000000" w:themeColor="text1"/>
          <w:lang w:val="en-US"/>
        </w:rPr>
        <w:t>the Dow Jones, S&amp;P 500</w:t>
      </w:r>
      <w:r>
        <w:rPr>
          <w:color w:val="000000" w:themeColor="text1"/>
          <w:lang w:val="en-US"/>
        </w:rPr>
        <w:t>,</w:t>
      </w:r>
      <w:r w:rsidRPr="00953770">
        <w:rPr>
          <w:color w:val="000000" w:themeColor="text1"/>
          <w:lang w:val="en-US"/>
        </w:rPr>
        <w:t xml:space="preserve"> and NASDAQ indices and </w:t>
      </w:r>
      <w:r>
        <w:rPr>
          <w:color w:val="000000" w:themeColor="text1"/>
          <w:lang w:val="en-US"/>
        </w:rPr>
        <w:t xml:space="preserve">their </w:t>
      </w:r>
      <w:r w:rsidRPr="00953770">
        <w:rPr>
          <w:color w:val="000000" w:themeColor="text1"/>
          <w:lang w:val="en-US"/>
        </w:rPr>
        <w:t xml:space="preserve">related derivatives. They </w:t>
      </w:r>
      <w:r>
        <w:rPr>
          <w:color w:val="000000" w:themeColor="text1"/>
          <w:lang w:val="en-US"/>
        </w:rPr>
        <w:t xml:space="preserve">discovered </w:t>
      </w:r>
      <w:r w:rsidRPr="00953770">
        <w:rPr>
          <w:color w:val="000000" w:themeColor="text1"/>
          <w:lang w:val="en-US"/>
        </w:rPr>
        <w:t xml:space="preserve">that after </w:t>
      </w:r>
      <w:r>
        <w:rPr>
          <w:color w:val="000000" w:themeColor="text1"/>
          <w:lang w:val="en-US"/>
        </w:rPr>
        <w:t>ETFs</w:t>
      </w:r>
      <w:r w:rsidRPr="00953770">
        <w:rPr>
          <w:color w:val="000000" w:themeColor="text1"/>
          <w:lang w:val="en-US"/>
        </w:rPr>
        <w:t xml:space="preserve"> </w:t>
      </w:r>
      <w:r>
        <w:rPr>
          <w:color w:val="000000" w:themeColor="text1"/>
          <w:lang w:val="en-US"/>
        </w:rPr>
        <w:t>we</w:t>
      </w:r>
      <w:r w:rsidRPr="00953770">
        <w:rPr>
          <w:color w:val="000000" w:themeColor="text1"/>
          <w:lang w:val="en-US"/>
        </w:rPr>
        <w:t>re quoted using the decimal method (</w:t>
      </w:r>
      <w:r w:rsidRPr="00953770">
        <w:rPr>
          <w:rFonts w:eastAsia="SimSun"/>
          <w:lang w:val="en-US"/>
        </w:rPr>
        <w:t xml:space="preserve">which effectively decreased the minimum tick size of </w:t>
      </w:r>
      <w:r>
        <w:rPr>
          <w:rFonts w:eastAsia="SimSun"/>
          <w:lang w:val="en-US"/>
        </w:rPr>
        <w:t>ETFs</w:t>
      </w:r>
      <w:r w:rsidRPr="00953770">
        <w:rPr>
          <w:rFonts w:eastAsia="SimSun"/>
          <w:lang w:val="en-US"/>
        </w:rPr>
        <w:t>)</w:t>
      </w:r>
      <w:r>
        <w:rPr>
          <w:rFonts w:eastAsia="SimSun"/>
          <w:lang w:val="en-US"/>
        </w:rPr>
        <w:t>,</w:t>
      </w:r>
      <w:r w:rsidRPr="00953770">
        <w:rPr>
          <w:rFonts w:eastAsia="SimSun"/>
          <w:lang w:val="en-US"/>
        </w:rPr>
        <w:t xml:space="preserve"> the index future led the market. Frommherz (2017) </w:t>
      </w:r>
      <w:r>
        <w:rPr>
          <w:rFonts w:eastAsia="SimSun"/>
          <w:lang w:val="en-US"/>
        </w:rPr>
        <w:t xml:space="preserve">examined </w:t>
      </w:r>
      <w:r w:rsidRPr="00953770">
        <w:rPr>
          <w:rFonts w:eastAsia="SimSun"/>
          <w:lang w:val="en-US"/>
        </w:rPr>
        <w:t xml:space="preserve">the German index market DAX </w:t>
      </w:r>
      <w:r>
        <w:rPr>
          <w:rFonts w:eastAsia="SimSun"/>
          <w:lang w:val="en-US"/>
        </w:rPr>
        <w:t xml:space="preserve">with </w:t>
      </w:r>
      <w:r w:rsidRPr="00953770">
        <w:rPr>
          <w:rFonts w:eastAsia="SimSun"/>
          <w:lang w:val="en-US"/>
        </w:rPr>
        <w:t xml:space="preserve">the </w:t>
      </w:r>
      <w:r w:rsidRPr="00953770">
        <w:rPr>
          <w:color w:val="000000" w:themeColor="text1"/>
          <w:lang w:val="en-US"/>
        </w:rPr>
        <w:t xml:space="preserve">Hasbrouck (1995) </w:t>
      </w:r>
      <w:r w:rsidRPr="00953770">
        <w:rPr>
          <w:rFonts w:eastAsia="SimSun"/>
          <w:lang w:val="en-US"/>
        </w:rPr>
        <w:t xml:space="preserve">information share approach. </w:t>
      </w:r>
      <w:r>
        <w:rPr>
          <w:rFonts w:eastAsia="SimSun"/>
          <w:lang w:val="en-US"/>
        </w:rPr>
        <w:t xml:space="preserve">He </w:t>
      </w:r>
      <w:r w:rsidRPr="00953770">
        <w:rPr>
          <w:rFonts w:eastAsia="SimSun"/>
          <w:lang w:val="en-US"/>
        </w:rPr>
        <w:t>suggest</w:t>
      </w:r>
      <w:r>
        <w:rPr>
          <w:rFonts w:eastAsia="SimSun"/>
          <w:lang w:val="en-US"/>
        </w:rPr>
        <w:t>ed</w:t>
      </w:r>
      <w:r w:rsidRPr="00953770">
        <w:rPr>
          <w:rFonts w:eastAsia="SimSun"/>
          <w:lang w:val="en-US"/>
        </w:rPr>
        <w:t xml:space="preserve"> that the </w:t>
      </w:r>
      <w:r>
        <w:rPr>
          <w:rFonts w:eastAsia="SimSun"/>
          <w:lang w:val="en-US"/>
        </w:rPr>
        <w:t>ETFs</w:t>
      </w:r>
      <w:r w:rsidRPr="00953770">
        <w:rPr>
          <w:rFonts w:eastAsia="SimSun"/>
          <w:lang w:val="en-US"/>
        </w:rPr>
        <w:t xml:space="preserve"> and futures </w:t>
      </w:r>
      <w:r>
        <w:rPr>
          <w:rFonts w:eastAsia="SimSun"/>
          <w:lang w:val="en-US"/>
        </w:rPr>
        <w:t>we</w:t>
      </w:r>
      <w:r w:rsidRPr="00953770">
        <w:rPr>
          <w:rFonts w:eastAsia="SimSun"/>
          <w:lang w:val="en-US"/>
        </w:rPr>
        <w:t>re in counter-competitive positions</w:t>
      </w:r>
      <w:r>
        <w:rPr>
          <w:rFonts w:eastAsia="SimSun"/>
          <w:lang w:val="en-US"/>
        </w:rPr>
        <w:t>;</w:t>
      </w:r>
      <w:r w:rsidRPr="00953770">
        <w:rPr>
          <w:rFonts w:eastAsia="SimSun"/>
          <w:lang w:val="en-US"/>
        </w:rPr>
        <w:t xml:space="preserve"> in particular, when the information share for the index futures decrease</w:t>
      </w:r>
      <w:r>
        <w:rPr>
          <w:rFonts w:eastAsia="SimSun"/>
          <w:lang w:val="en-US"/>
        </w:rPr>
        <w:t>d</w:t>
      </w:r>
      <w:r w:rsidRPr="00953770">
        <w:rPr>
          <w:rFonts w:eastAsia="SimSun"/>
          <w:lang w:val="en-US"/>
        </w:rPr>
        <w:t xml:space="preserve">, the information share for the </w:t>
      </w:r>
      <w:r>
        <w:rPr>
          <w:rFonts w:eastAsia="SimSun"/>
          <w:lang w:val="en-US"/>
        </w:rPr>
        <w:t>ETFs</w:t>
      </w:r>
      <w:r w:rsidRPr="00953770">
        <w:rPr>
          <w:rFonts w:eastAsia="SimSun"/>
          <w:lang w:val="en-US"/>
        </w:rPr>
        <w:t xml:space="preserve"> increase</w:t>
      </w:r>
      <w:r>
        <w:rPr>
          <w:rFonts w:eastAsia="SimSun"/>
          <w:lang w:val="en-US"/>
        </w:rPr>
        <w:t>d</w:t>
      </w:r>
      <w:r w:rsidRPr="00953770">
        <w:rPr>
          <w:rFonts w:eastAsia="SimSun"/>
          <w:lang w:val="en-US"/>
        </w:rPr>
        <w:t xml:space="preserve">. </w:t>
      </w:r>
      <w:r>
        <w:rPr>
          <w:rFonts w:eastAsia="SimSun"/>
          <w:lang w:val="en-US"/>
        </w:rPr>
        <w:t>T</w:t>
      </w:r>
      <w:r w:rsidRPr="00953770">
        <w:rPr>
          <w:rFonts w:eastAsia="SimSun"/>
          <w:lang w:val="en-US"/>
        </w:rPr>
        <w:t>he results also indicate</w:t>
      </w:r>
      <w:r>
        <w:rPr>
          <w:rFonts w:eastAsia="SimSun"/>
          <w:lang w:val="en-US"/>
        </w:rPr>
        <w:t>d</w:t>
      </w:r>
      <w:r w:rsidRPr="00953770">
        <w:rPr>
          <w:rFonts w:eastAsia="SimSun"/>
          <w:lang w:val="en-US"/>
        </w:rPr>
        <w:t xml:space="preserve"> that the futures market led</w:t>
      </w:r>
      <w:r>
        <w:rPr>
          <w:rFonts w:eastAsia="SimSun"/>
          <w:lang w:val="en-US"/>
        </w:rPr>
        <w:t xml:space="preserve"> the</w:t>
      </w:r>
      <w:r w:rsidRPr="00953770">
        <w:rPr>
          <w:rFonts w:eastAsia="SimSun"/>
          <w:lang w:val="en-US"/>
        </w:rPr>
        <w:t xml:space="preserve"> price discovery</w:t>
      </w:r>
      <w:r>
        <w:rPr>
          <w:rFonts w:eastAsia="SimSun"/>
          <w:lang w:val="en-US"/>
        </w:rPr>
        <w:t xml:space="preserve"> process</w:t>
      </w:r>
      <w:r w:rsidRPr="00953770">
        <w:rPr>
          <w:rFonts w:eastAsia="SimSun"/>
          <w:lang w:val="en-US"/>
        </w:rPr>
        <w:t xml:space="preserve"> </w:t>
      </w:r>
      <w:r>
        <w:rPr>
          <w:rFonts w:eastAsia="SimSun"/>
          <w:lang w:val="en-US"/>
        </w:rPr>
        <w:t xml:space="preserve">and is </w:t>
      </w:r>
      <w:r w:rsidRPr="00F15D83">
        <w:rPr>
          <w:rFonts w:eastAsia="SimSun"/>
          <w:lang w:val="en-US"/>
        </w:rPr>
        <w:t xml:space="preserve">followed </w:t>
      </w:r>
      <w:r>
        <w:rPr>
          <w:rFonts w:eastAsia="SimSun"/>
          <w:lang w:val="en-US"/>
        </w:rPr>
        <w:t xml:space="preserve">in this regard </w:t>
      </w:r>
      <w:r w:rsidRPr="00953770">
        <w:rPr>
          <w:rFonts w:eastAsia="SimSun"/>
          <w:lang w:val="en-US"/>
        </w:rPr>
        <w:t xml:space="preserve">by the </w:t>
      </w:r>
      <w:r>
        <w:rPr>
          <w:rFonts w:eastAsia="SimSun"/>
          <w:lang w:val="en-US"/>
        </w:rPr>
        <w:t>ETFs</w:t>
      </w:r>
      <w:r w:rsidRPr="00953770">
        <w:rPr>
          <w:rFonts w:eastAsia="SimSun"/>
          <w:lang w:val="en-US"/>
        </w:rPr>
        <w:t>. So and Tse (2004) employed both the Gonzalo</w:t>
      </w:r>
      <w:r>
        <w:rPr>
          <w:rFonts w:eastAsia="SimSun"/>
          <w:lang w:val="en-US"/>
        </w:rPr>
        <w:t xml:space="preserve"> and </w:t>
      </w:r>
      <w:r w:rsidRPr="00953770">
        <w:rPr>
          <w:rFonts w:eastAsia="SimSun"/>
          <w:lang w:val="en-US"/>
        </w:rPr>
        <w:t xml:space="preserve">Granger common factor model and the Hasbrouck information share to </w:t>
      </w:r>
      <w:r>
        <w:rPr>
          <w:rFonts w:eastAsia="SimSun"/>
          <w:lang w:val="en-US"/>
        </w:rPr>
        <w:t xml:space="preserve">analyze </w:t>
      </w:r>
      <w:r w:rsidRPr="00953770">
        <w:rPr>
          <w:rFonts w:eastAsia="SimSun"/>
          <w:lang w:val="en-US"/>
        </w:rPr>
        <w:t>the minute-by-minute price data from Hang Seng index, its index futures</w:t>
      </w:r>
      <w:r>
        <w:rPr>
          <w:rFonts w:eastAsia="SimSun"/>
          <w:lang w:val="en-US"/>
        </w:rPr>
        <w:t>,</w:t>
      </w:r>
      <w:r w:rsidRPr="00953770">
        <w:rPr>
          <w:rFonts w:eastAsia="SimSun"/>
          <w:lang w:val="en-US"/>
        </w:rPr>
        <w:t xml:space="preserve"> and related tracker fund</w:t>
      </w:r>
      <w:r>
        <w:rPr>
          <w:rFonts w:eastAsia="SimSun"/>
          <w:lang w:val="en-US"/>
        </w:rPr>
        <w:t>s</w:t>
      </w:r>
      <w:r w:rsidRPr="00953770">
        <w:rPr>
          <w:rFonts w:eastAsia="SimSun"/>
          <w:lang w:val="en-US"/>
        </w:rPr>
        <w:t xml:space="preserve">. They </w:t>
      </w:r>
      <w:r>
        <w:rPr>
          <w:rFonts w:eastAsia="SimSun"/>
          <w:lang w:val="en-US"/>
        </w:rPr>
        <w:t>discovered</w:t>
      </w:r>
      <w:r w:rsidRPr="00953770">
        <w:rPr>
          <w:rFonts w:eastAsia="SimSun"/>
          <w:lang w:val="en-US"/>
        </w:rPr>
        <w:t xml:space="preserve"> that these three markets are interrelated, with the futures market containing the </w:t>
      </w:r>
      <w:r>
        <w:rPr>
          <w:rFonts w:eastAsia="SimSun"/>
          <w:lang w:val="en-US"/>
        </w:rPr>
        <w:t>maximum amount of</w:t>
      </w:r>
      <w:r w:rsidRPr="00953770">
        <w:rPr>
          <w:rFonts w:eastAsia="SimSun"/>
          <w:lang w:val="en-US"/>
        </w:rPr>
        <w:t xml:space="preserve"> information, followed by the spot market. </w:t>
      </w:r>
      <w:r>
        <w:rPr>
          <w:rFonts w:eastAsia="SimSun"/>
          <w:lang w:val="en-US"/>
        </w:rPr>
        <w:t>T</w:t>
      </w:r>
      <w:r w:rsidRPr="00953770">
        <w:rPr>
          <w:rFonts w:eastAsia="SimSun"/>
          <w:lang w:val="en-US"/>
        </w:rPr>
        <w:t xml:space="preserve">he tracker fund does not contribute to </w:t>
      </w:r>
      <w:r>
        <w:rPr>
          <w:rFonts w:eastAsia="SimSun"/>
          <w:lang w:val="en-US"/>
        </w:rPr>
        <w:t xml:space="preserve">the process of </w:t>
      </w:r>
      <w:r w:rsidRPr="00953770">
        <w:rPr>
          <w:rFonts w:eastAsia="SimSun"/>
          <w:lang w:val="en-US"/>
        </w:rPr>
        <w:t xml:space="preserve">price discovery. </w:t>
      </w:r>
      <w:r w:rsidRPr="00953770">
        <w:rPr>
          <w:color w:val="000000" w:themeColor="text1"/>
          <w:lang w:val="en-US"/>
        </w:rPr>
        <w:t>Ates and Wang (2005) examined price discovery between floor traded index futures and electronic traded E-mini index futures for the S&amp;P 500 and NASDAQ</w:t>
      </w:r>
      <w:r>
        <w:rPr>
          <w:color w:val="000000" w:themeColor="text1"/>
          <w:lang w:val="en-US"/>
        </w:rPr>
        <w:t>-</w:t>
      </w:r>
      <w:r w:rsidRPr="00953770">
        <w:rPr>
          <w:color w:val="000000" w:themeColor="text1"/>
          <w:lang w:val="en-US"/>
        </w:rPr>
        <w:t xml:space="preserve">100 index futures markets. They </w:t>
      </w:r>
      <w:r>
        <w:rPr>
          <w:color w:val="000000" w:themeColor="text1"/>
          <w:lang w:val="en-US"/>
        </w:rPr>
        <w:t>applied</w:t>
      </w:r>
      <w:r w:rsidRPr="00953770">
        <w:rPr>
          <w:color w:val="000000" w:themeColor="text1"/>
          <w:lang w:val="en-US"/>
        </w:rPr>
        <w:t xml:space="preserve"> </w:t>
      </w:r>
      <w:r w:rsidRPr="00953770">
        <w:rPr>
          <w:rFonts w:eastAsia="SimSun"/>
          <w:lang w:val="en-US"/>
        </w:rPr>
        <w:t>both the Gonzalo</w:t>
      </w:r>
      <w:r>
        <w:rPr>
          <w:rFonts w:eastAsia="SimSun"/>
          <w:lang w:val="en-US"/>
        </w:rPr>
        <w:t xml:space="preserve"> and </w:t>
      </w:r>
      <w:r w:rsidRPr="00953770">
        <w:rPr>
          <w:rFonts w:eastAsia="SimSun"/>
          <w:lang w:val="en-US"/>
        </w:rPr>
        <w:t xml:space="preserve">Granger common factor model and the Hasbrouck information share approach and </w:t>
      </w:r>
      <w:r>
        <w:rPr>
          <w:rFonts w:eastAsia="SimSun"/>
          <w:lang w:val="en-US"/>
        </w:rPr>
        <w:t xml:space="preserve">discovered </w:t>
      </w:r>
      <w:r w:rsidRPr="00953770">
        <w:rPr>
          <w:rFonts w:eastAsia="SimSun"/>
          <w:lang w:val="en-US"/>
        </w:rPr>
        <w:t xml:space="preserve">that </w:t>
      </w:r>
      <w:r w:rsidRPr="00953770">
        <w:rPr>
          <w:color w:val="000000" w:themeColor="text1"/>
          <w:lang w:val="en-US"/>
        </w:rPr>
        <w:t xml:space="preserve">both E-mini index futures and regular index futures contribute to the price discovery process. </w:t>
      </w:r>
    </w:p>
    <w:p w14:paraId="71A6F1AD" w14:textId="77777777" w:rsidR="005A719B" w:rsidRPr="00953770" w:rsidRDefault="005A719B" w:rsidP="00C2773E">
      <w:pPr>
        <w:spacing w:line="480" w:lineRule="auto"/>
        <w:jc w:val="both"/>
        <w:rPr>
          <w:rFonts w:eastAsia="SimSun"/>
          <w:lang w:val="en-US"/>
        </w:rPr>
      </w:pPr>
    </w:p>
    <w:p w14:paraId="0B020F3B" w14:textId="799559B9" w:rsidR="005A719B" w:rsidRPr="00953770" w:rsidRDefault="005A719B" w:rsidP="00C2773E">
      <w:pPr>
        <w:pStyle w:val="head1"/>
        <w:spacing w:line="480" w:lineRule="auto"/>
      </w:pPr>
      <w:r w:rsidRPr="00953770">
        <w:t xml:space="preserve">3 Data </w:t>
      </w:r>
    </w:p>
    <w:p w14:paraId="22543839" w14:textId="31D43C85" w:rsidR="005A719B" w:rsidRPr="00953770" w:rsidRDefault="005A719B" w:rsidP="00C2773E">
      <w:pPr>
        <w:spacing w:line="480" w:lineRule="auto"/>
        <w:jc w:val="both"/>
        <w:rPr>
          <w:rFonts w:eastAsia="SimSun"/>
          <w:lang w:val="en-US"/>
        </w:rPr>
      </w:pPr>
      <w:r w:rsidRPr="00953770">
        <w:rPr>
          <w:rFonts w:eastAsia="SimSun"/>
          <w:lang w:val="en-US"/>
        </w:rPr>
        <w:t>In this study, we accessed Thomson Reuters Tick History</w:t>
      </w:r>
      <w:r w:rsidRPr="00953770">
        <w:rPr>
          <w:rFonts w:eastAsia="SimSun"/>
          <w:vertAlign w:val="superscript"/>
          <w:lang w:val="en-US"/>
        </w:rPr>
        <w:t>TM</w:t>
      </w:r>
      <w:r w:rsidRPr="00953770">
        <w:rPr>
          <w:rFonts w:eastAsia="SimSun"/>
          <w:lang w:val="en-US"/>
        </w:rPr>
        <w:t xml:space="preserve"> and collected intraday real</w:t>
      </w:r>
      <w:r>
        <w:rPr>
          <w:rFonts w:eastAsia="SimSun"/>
          <w:lang w:val="en-US"/>
        </w:rPr>
        <w:t>-</w:t>
      </w:r>
      <w:r w:rsidRPr="00953770">
        <w:rPr>
          <w:rFonts w:eastAsia="SimSun"/>
          <w:lang w:val="en-US"/>
        </w:rPr>
        <w:t xml:space="preserve">time last index values (for futures) and last transaction prices (for </w:t>
      </w:r>
      <w:r>
        <w:rPr>
          <w:rFonts w:eastAsia="SimSun"/>
          <w:lang w:val="en-US"/>
        </w:rPr>
        <w:t>ETFs</w:t>
      </w:r>
      <w:r w:rsidRPr="00953770">
        <w:rPr>
          <w:rFonts w:eastAsia="SimSun"/>
          <w:lang w:val="en-US"/>
        </w:rPr>
        <w:t>) at a 5-minute frequency over a four-year period</w:t>
      </w:r>
      <w:r>
        <w:rPr>
          <w:rFonts w:eastAsia="SimSun"/>
          <w:lang w:val="en-US"/>
        </w:rPr>
        <w:t>, extending</w:t>
      </w:r>
      <w:r w:rsidRPr="00953770">
        <w:rPr>
          <w:rFonts w:eastAsia="SimSun"/>
          <w:lang w:val="en-US"/>
        </w:rPr>
        <w:t xml:space="preserve"> from January 2010 to December </w:t>
      </w:r>
      <w:r w:rsidRPr="0036258C">
        <w:rPr>
          <w:rFonts w:eastAsia="SimSun"/>
          <w:lang w:val="en-US"/>
        </w:rPr>
        <w:t>2013</w:t>
      </w:r>
      <w:r w:rsidR="0036258C" w:rsidRPr="0036258C">
        <w:rPr>
          <w:rFonts w:eastAsia="SimSun"/>
          <w:lang w:val="en-US"/>
        </w:rPr>
        <w:t>.</w:t>
      </w:r>
      <w:r w:rsidR="00D0496C" w:rsidRPr="0036258C">
        <w:rPr>
          <w:rFonts w:eastAsia="SimSun"/>
          <w:vertAlign w:val="superscript"/>
          <w:lang w:val="en-US"/>
        </w:rPr>
        <w:t>11</w:t>
      </w:r>
      <w:r w:rsidRPr="00953770">
        <w:rPr>
          <w:rFonts w:eastAsia="SimSun"/>
          <w:lang w:val="en-US"/>
        </w:rPr>
        <w:t xml:space="preserve"> We </w:t>
      </w:r>
      <w:r>
        <w:rPr>
          <w:rFonts w:eastAsia="SimSun"/>
          <w:lang w:val="en-US"/>
        </w:rPr>
        <w:t>concentrat</w:t>
      </w:r>
      <w:r w:rsidRPr="00953770">
        <w:rPr>
          <w:rFonts w:eastAsia="SimSun"/>
          <w:lang w:val="en-US"/>
        </w:rPr>
        <w:t>ed on the three major European stock markets in the United Kingdom, France</w:t>
      </w:r>
      <w:r>
        <w:rPr>
          <w:rFonts w:eastAsia="SimSun"/>
          <w:lang w:val="en-US"/>
        </w:rPr>
        <w:t>,</w:t>
      </w:r>
      <w:r w:rsidRPr="00953770">
        <w:rPr>
          <w:rFonts w:eastAsia="SimSun"/>
          <w:lang w:val="en-US"/>
        </w:rPr>
        <w:t xml:space="preserve"> and Germany</w:t>
      </w:r>
      <w:r>
        <w:rPr>
          <w:rFonts w:eastAsia="SimSun"/>
          <w:lang w:val="en-US"/>
        </w:rPr>
        <w:t>,</w:t>
      </w:r>
      <w:r w:rsidRPr="00953770">
        <w:rPr>
          <w:rFonts w:eastAsia="SimSun"/>
          <w:lang w:val="en-US"/>
        </w:rPr>
        <w:t xml:space="preserve"> where the representative market indices FTSE 100, CAC 40</w:t>
      </w:r>
      <w:r>
        <w:rPr>
          <w:rFonts w:eastAsia="SimSun"/>
          <w:lang w:val="en-US"/>
        </w:rPr>
        <w:t>,</w:t>
      </w:r>
      <w:r w:rsidRPr="00953770">
        <w:rPr>
          <w:rFonts w:eastAsia="SimSun"/>
          <w:lang w:val="en-US"/>
        </w:rPr>
        <w:t xml:space="preserve"> and DAX 30 </w:t>
      </w:r>
      <w:r>
        <w:rPr>
          <w:rFonts w:eastAsia="SimSun"/>
          <w:lang w:val="en-US"/>
        </w:rPr>
        <w:t>we</w:t>
      </w:r>
      <w:r w:rsidRPr="00953770">
        <w:rPr>
          <w:rFonts w:eastAsia="SimSun"/>
          <w:lang w:val="en-US"/>
        </w:rPr>
        <w:t xml:space="preserve">re considered. We further </w:t>
      </w:r>
      <w:r>
        <w:rPr>
          <w:rFonts w:eastAsia="SimSun"/>
          <w:lang w:val="en-US"/>
        </w:rPr>
        <w:t>classif</w:t>
      </w:r>
      <w:r w:rsidRPr="00953770">
        <w:rPr>
          <w:rFonts w:eastAsia="SimSun"/>
          <w:lang w:val="en-US"/>
        </w:rPr>
        <w:t>ied them into three groups: 1) FTSE group</w:t>
      </w:r>
      <w:r>
        <w:rPr>
          <w:rFonts w:eastAsia="SimSun"/>
          <w:lang w:val="en-US"/>
        </w:rPr>
        <w:t>,</w:t>
      </w:r>
      <w:r w:rsidRPr="00953770">
        <w:rPr>
          <w:rFonts w:eastAsia="SimSun"/>
          <w:lang w:val="en-US"/>
        </w:rPr>
        <w:t xml:space="preserve"> including the spot index, index futures</w:t>
      </w:r>
      <w:r>
        <w:rPr>
          <w:rFonts w:eastAsia="SimSun"/>
          <w:lang w:val="en-US"/>
        </w:rPr>
        <w:t>,</w:t>
      </w:r>
      <w:r w:rsidRPr="00953770">
        <w:rPr>
          <w:rFonts w:eastAsia="SimSun"/>
          <w:lang w:val="en-US"/>
        </w:rPr>
        <w:t xml:space="preserve"> and iShare </w:t>
      </w:r>
      <w:r>
        <w:rPr>
          <w:rFonts w:eastAsia="SimSun"/>
          <w:lang w:val="en-US"/>
        </w:rPr>
        <w:t>ETFs</w:t>
      </w:r>
      <w:r w:rsidRPr="00953770">
        <w:rPr>
          <w:rFonts w:eastAsia="SimSun"/>
          <w:lang w:val="en-US"/>
        </w:rPr>
        <w:t>; 2) CAC group containing the spot index, index futures</w:t>
      </w:r>
      <w:r>
        <w:rPr>
          <w:rFonts w:eastAsia="SimSun"/>
          <w:lang w:val="en-US"/>
        </w:rPr>
        <w:t>,</w:t>
      </w:r>
      <w:r w:rsidRPr="00953770">
        <w:rPr>
          <w:rFonts w:eastAsia="SimSun"/>
          <w:lang w:val="en-US"/>
        </w:rPr>
        <w:t xml:space="preserve"> and Lyxor </w:t>
      </w:r>
      <w:r>
        <w:rPr>
          <w:rFonts w:eastAsia="SimSun"/>
          <w:lang w:val="en-US"/>
        </w:rPr>
        <w:t>ETFs;</w:t>
      </w:r>
      <w:r w:rsidRPr="00953770">
        <w:rPr>
          <w:rFonts w:eastAsia="SimSun"/>
          <w:lang w:val="en-US"/>
        </w:rPr>
        <w:t xml:space="preserve"> 3) DAX group of the spot index, index futures</w:t>
      </w:r>
      <w:r>
        <w:rPr>
          <w:rFonts w:eastAsia="SimSun"/>
          <w:lang w:val="en-US"/>
        </w:rPr>
        <w:t>,</w:t>
      </w:r>
      <w:r w:rsidRPr="00953770">
        <w:rPr>
          <w:rFonts w:eastAsia="SimSun"/>
          <w:lang w:val="en-US"/>
        </w:rPr>
        <w:t xml:space="preserve"> and iShare </w:t>
      </w:r>
      <w:r w:rsidRPr="0036258C">
        <w:rPr>
          <w:rFonts w:eastAsia="SimSun"/>
          <w:lang w:val="en-US"/>
        </w:rPr>
        <w:t>ETFs</w:t>
      </w:r>
      <w:r w:rsidR="0036258C" w:rsidRPr="0036258C">
        <w:rPr>
          <w:rFonts w:eastAsia="SimSun"/>
          <w:lang w:val="en-US"/>
        </w:rPr>
        <w:t>.</w:t>
      </w:r>
      <w:r w:rsidR="00D0496C" w:rsidRPr="0036258C">
        <w:rPr>
          <w:rFonts w:eastAsia="SimSun"/>
          <w:vertAlign w:val="superscript"/>
          <w:lang w:val="en-US"/>
        </w:rPr>
        <w:t>12</w:t>
      </w:r>
      <w:r w:rsidRPr="00953770">
        <w:rPr>
          <w:rFonts w:eastAsia="SimSun"/>
          <w:lang w:val="en-US"/>
        </w:rPr>
        <w:t xml:space="preserve"> </w:t>
      </w:r>
      <w:r w:rsidRPr="00953770">
        <w:rPr>
          <w:color w:val="000000"/>
          <w:lang w:val="en-US"/>
        </w:rPr>
        <w:t xml:space="preserve">The continuous trading hours for the London Stock Exchange </w:t>
      </w:r>
      <w:r>
        <w:rPr>
          <w:color w:val="000000"/>
          <w:lang w:val="en-US"/>
        </w:rPr>
        <w:t>begin</w:t>
      </w:r>
      <w:r w:rsidRPr="00953770">
        <w:rPr>
          <w:color w:val="000000"/>
          <w:lang w:val="en-US"/>
        </w:rPr>
        <w:t xml:space="preserve"> from 8:00 to 16:30 in London time, and the </w:t>
      </w:r>
      <w:r>
        <w:rPr>
          <w:color w:val="000000"/>
          <w:lang w:val="en-US"/>
        </w:rPr>
        <w:t xml:space="preserve">same </w:t>
      </w:r>
      <w:r w:rsidRPr="00953770">
        <w:rPr>
          <w:color w:val="000000"/>
          <w:lang w:val="en-US"/>
        </w:rPr>
        <w:t xml:space="preserve">time </w:t>
      </w:r>
      <w:r>
        <w:rPr>
          <w:color w:val="000000"/>
          <w:lang w:val="en-US"/>
        </w:rPr>
        <w:t xml:space="preserve">is followed by </w:t>
      </w:r>
      <w:r w:rsidRPr="00953770">
        <w:rPr>
          <w:color w:val="000000"/>
          <w:lang w:val="en-US"/>
        </w:rPr>
        <w:t xml:space="preserve">CAC trading and DAX. </w:t>
      </w:r>
      <w:r w:rsidRPr="00953770">
        <w:rPr>
          <w:rFonts w:eastAsia="SimSun"/>
          <w:lang w:val="en-US"/>
        </w:rPr>
        <w:t>Any data falling into non-overlapping intraday trading time</w:t>
      </w:r>
      <w:r>
        <w:rPr>
          <w:rFonts w:eastAsia="SimSun"/>
          <w:lang w:val="en-US"/>
        </w:rPr>
        <w:t>s</w:t>
      </w:r>
      <w:r w:rsidRPr="00953770">
        <w:rPr>
          <w:rFonts w:eastAsia="SimSun"/>
          <w:lang w:val="en-US"/>
        </w:rPr>
        <w:t xml:space="preserve"> were deleted. Given </w:t>
      </w:r>
      <w:r>
        <w:rPr>
          <w:rFonts w:eastAsia="SimSun"/>
          <w:lang w:val="en-US"/>
        </w:rPr>
        <w:t xml:space="preserve">the fact </w:t>
      </w:r>
      <w:r w:rsidRPr="00953770">
        <w:rPr>
          <w:rFonts w:eastAsia="SimSun"/>
          <w:lang w:val="en-US"/>
        </w:rPr>
        <w:t xml:space="preserve">that the futures contracts for the CAC 40 and DAX are traded between 8:00 and 22:00 Central European Time, the reduced sample for the futures contracts may introduce bias into the results. </w:t>
      </w:r>
    </w:p>
    <w:p w14:paraId="04DA5FC1" w14:textId="77777777" w:rsidR="005A719B" w:rsidRPr="00953770" w:rsidRDefault="005A719B" w:rsidP="008676E1">
      <w:pPr>
        <w:spacing w:line="480" w:lineRule="auto"/>
        <w:jc w:val="both"/>
        <w:rPr>
          <w:rFonts w:eastAsia="SimSun"/>
          <w:lang w:val="en-US"/>
        </w:rPr>
      </w:pPr>
    </w:p>
    <w:p w14:paraId="0160438E" w14:textId="6616812D" w:rsidR="005A719B" w:rsidRPr="00953770" w:rsidRDefault="005A719B" w:rsidP="008676E1">
      <w:pPr>
        <w:spacing w:line="480" w:lineRule="auto"/>
        <w:jc w:val="both"/>
        <w:rPr>
          <w:rFonts w:eastAsia="SimSun"/>
          <w:lang w:val="en-US"/>
        </w:rPr>
      </w:pPr>
      <w:r w:rsidRPr="00953770">
        <w:rPr>
          <w:rFonts w:eastAsia="SimSun"/>
          <w:lang w:val="en-US"/>
        </w:rPr>
        <w:t xml:space="preserve">The missing data are spread across the sample period, and this could be due to the technical problems </w:t>
      </w:r>
      <w:r>
        <w:rPr>
          <w:rFonts w:eastAsia="SimSun"/>
          <w:lang w:val="en-US"/>
        </w:rPr>
        <w:t xml:space="preserve">faced </w:t>
      </w:r>
      <w:r w:rsidRPr="00B711EC">
        <w:rPr>
          <w:rFonts w:eastAsia="SimSun"/>
        </w:rPr>
        <w:t xml:space="preserve">in </w:t>
      </w:r>
      <w:r w:rsidRPr="00953770">
        <w:rPr>
          <w:rFonts w:eastAsia="SimSun"/>
          <w:lang w:val="en-US"/>
        </w:rPr>
        <w:t xml:space="preserve">recording the raw data. </w:t>
      </w:r>
      <w:r>
        <w:rPr>
          <w:rFonts w:eastAsia="SimSun"/>
          <w:lang w:val="en-US"/>
        </w:rPr>
        <w:t>T</w:t>
      </w:r>
      <w:r w:rsidRPr="00953770">
        <w:rPr>
          <w:rFonts w:eastAsia="SimSun"/>
          <w:lang w:val="en-US"/>
        </w:rPr>
        <w:t>he raw data</w:t>
      </w:r>
      <w:r>
        <w:rPr>
          <w:rFonts w:eastAsia="SimSun"/>
          <w:lang w:val="en-US"/>
        </w:rPr>
        <w:t xml:space="preserve"> also includes </w:t>
      </w:r>
      <w:r w:rsidRPr="00F05CCF">
        <w:rPr>
          <w:rFonts w:eastAsia="SimSun"/>
          <w:lang w:val="en-US"/>
        </w:rPr>
        <w:t>some extreme outliers</w:t>
      </w:r>
      <w:r w:rsidRPr="00953770">
        <w:rPr>
          <w:rFonts w:eastAsia="SimSun"/>
          <w:lang w:val="en-US"/>
        </w:rPr>
        <w:t>. Verousis and Gwilym (2010) suggest deleting the outliner, defined as excessive price changes above a 5% threshold. We follow</w:t>
      </w:r>
      <w:r>
        <w:rPr>
          <w:rFonts w:eastAsia="SimSun"/>
          <w:lang w:val="en-US"/>
        </w:rPr>
        <w:t>ed</w:t>
      </w:r>
      <w:r w:rsidRPr="00953770">
        <w:rPr>
          <w:rFonts w:eastAsia="SimSun"/>
          <w:lang w:val="en-US"/>
        </w:rPr>
        <w:t xml:space="preserve"> this approach and backfilled the unwanted outliers or missing data using the nearest available index value or transaction price. </w:t>
      </w:r>
      <w:r>
        <w:rPr>
          <w:rFonts w:eastAsia="SimSun"/>
          <w:lang w:val="en-US"/>
        </w:rPr>
        <w:t>Since</w:t>
      </w:r>
      <w:r w:rsidRPr="00953770">
        <w:rPr>
          <w:rFonts w:eastAsia="SimSun"/>
          <w:lang w:val="en-US"/>
        </w:rPr>
        <w:t xml:space="preserve"> </w:t>
      </w:r>
      <w:r w:rsidRPr="002B271F">
        <w:rPr>
          <w:rFonts w:eastAsia="SimSun"/>
          <w:lang w:val="en-US"/>
        </w:rPr>
        <w:t>o</w:t>
      </w:r>
      <w:r w:rsidRPr="00953770">
        <w:rPr>
          <w:rFonts w:eastAsia="SimSun"/>
          <w:lang w:val="en-US"/>
        </w:rPr>
        <w:t xml:space="preserve">nly a handful of data points were replaced, such </w:t>
      </w:r>
      <w:r>
        <w:rPr>
          <w:rFonts w:eastAsia="SimSun"/>
          <w:lang w:val="en-US"/>
        </w:rPr>
        <w:t>“</w:t>
      </w:r>
      <w:r w:rsidRPr="00953770">
        <w:rPr>
          <w:rFonts w:eastAsia="SimSun"/>
          <w:lang w:val="en-US"/>
        </w:rPr>
        <w:t xml:space="preserve">data cleaning” would not </w:t>
      </w:r>
      <w:r>
        <w:rPr>
          <w:rFonts w:eastAsia="SimSun"/>
          <w:lang w:val="en-US"/>
        </w:rPr>
        <w:t xml:space="preserve">have a </w:t>
      </w:r>
      <w:r w:rsidRPr="00953770">
        <w:rPr>
          <w:rFonts w:eastAsia="SimSun"/>
          <w:lang w:val="en-US"/>
        </w:rPr>
        <w:t xml:space="preserve">significant impact on the quality of the data. </w:t>
      </w:r>
    </w:p>
    <w:p w14:paraId="772ED9BD" w14:textId="77777777" w:rsidR="005A719B" w:rsidRPr="00953770" w:rsidRDefault="005A719B" w:rsidP="00CB08F4">
      <w:pPr>
        <w:spacing w:line="480" w:lineRule="auto"/>
        <w:jc w:val="both"/>
        <w:rPr>
          <w:rFonts w:eastAsia="SimSun"/>
          <w:lang w:val="en-US"/>
        </w:rPr>
      </w:pPr>
    </w:p>
    <w:p w14:paraId="1B249A26" w14:textId="4B720621" w:rsidR="005A719B" w:rsidRPr="00F8022B" w:rsidRDefault="005A719B" w:rsidP="00CB08F4">
      <w:pPr>
        <w:spacing w:line="480" w:lineRule="auto"/>
        <w:jc w:val="both"/>
        <w:rPr>
          <w:rFonts w:eastAsia="SimSun"/>
        </w:rPr>
      </w:pPr>
      <w:r w:rsidRPr="00953770">
        <w:rPr>
          <w:rFonts w:eastAsia="SimSun"/>
          <w:lang w:val="en-US"/>
        </w:rPr>
        <w:t xml:space="preserve">As </w:t>
      </w:r>
      <w:r>
        <w:rPr>
          <w:rFonts w:eastAsia="SimSun"/>
          <w:lang w:val="en-US"/>
        </w:rPr>
        <w:t>observ</w:t>
      </w:r>
      <w:r w:rsidRPr="00953770">
        <w:rPr>
          <w:rFonts w:eastAsia="SimSun"/>
          <w:lang w:val="en-US"/>
        </w:rPr>
        <w:t xml:space="preserve">ed in Section 1.1, concerns with </w:t>
      </w:r>
      <w:r>
        <w:rPr>
          <w:rFonts w:eastAsia="SimSun"/>
          <w:lang w:val="en-US"/>
        </w:rPr>
        <w:t xml:space="preserve">regard to </w:t>
      </w:r>
      <w:r w:rsidRPr="00953770">
        <w:rPr>
          <w:rFonts w:eastAsia="SimSun"/>
          <w:lang w:val="en-US"/>
        </w:rPr>
        <w:t>infrequent trade in the constituents</w:t>
      </w:r>
      <w:r>
        <w:rPr>
          <w:rFonts w:eastAsia="SimSun"/>
          <w:lang w:val="en-US"/>
        </w:rPr>
        <w:t xml:space="preserve"> prevail</w:t>
      </w:r>
      <w:r w:rsidRPr="00953770">
        <w:rPr>
          <w:rFonts w:eastAsia="SimSun"/>
          <w:lang w:val="en-US"/>
        </w:rPr>
        <w:t xml:space="preserve">. In particular, </w:t>
      </w:r>
      <w:r w:rsidRPr="00953770">
        <w:rPr>
          <w:rFonts w:ascii="Times" w:hAnsi="Times"/>
          <w:lang w:val="en-US"/>
        </w:rPr>
        <w:t xml:space="preserve">many component stocks (such as those </w:t>
      </w:r>
      <w:r>
        <w:rPr>
          <w:rFonts w:ascii="Times" w:hAnsi="Times"/>
          <w:lang w:val="en-US"/>
        </w:rPr>
        <w:t xml:space="preserve">present </w:t>
      </w:r>
      <w:r w:rsidRPr="00953770">
        <w:rPr>
          <w:rFonts w:ascii="Times" w:hAnsi="Times"/>
          <w:lang w:val="en-US"/>
        </w:rPr>
        <w:t xml:space="preserve">on the S&amp;P500 index) are not traded </w:t>
      </w:r>
      <w:r>
        <w:rPr>
          <w:rFonts w:ascii="Times" w:hAnsi="Times"/>
          <w:lang w:val="en-US"/>
        </w:rPr>
        <w:t xml:space="preserve">sufficiently </w:t>
      </w:r>
      <w:r w:rsidRPr="00953770">
        <w:rPr>
          <w:rFonts w:ascii="Times" w:hAnsi="Times"/>
          <w:lang w:val="en-US"/>
        </w:rPr>
        <w:t xml:space="preserve">frequently (Chan, </w:t>
      </w:r>
      <w:r>
        <w:rPr>
          <w:rFonts w:ascii="Times" w:hAnsi="Times"/>
          <w:lang w:val="en-US"/>
        </w:rPr>
        <w:t>19</w:t>
      </w:r>
      <w:r w:rsidRPr="00953770">
        <w:rPr>
          <w:rFonts w:ascii="Times" w:hAnsi="Times"/>
          <w:lang w:val="en-US"/>
        </w:rPr>
        <w:t>92)</w:t>
      </w:r>
      <w:r>
        <w:rPr>
          <w:rFonts w:ascii="Times" w:hAnsi="Times"/>
          <w:lang w:val="en-US"/>
        </w:rPr>
        <w:t xml:space="preserve">. </w:t>
      </w:r>
      <w:r>
        <w:rPr>
          <w:rFonts w:eastAsia="SimSun"/>
          <w:lang w:val="en-US"/>
        </w:rPr>
        <w:t>In this regard</w:t>
      </w:r>
      <w:r w:rsidRPr="00953770">
        <w:rPr>
          <w:rFonts w:eastAsia="SimSun"/>
          <w:lang w:val="en-US"/>
        </w:rPr>
        <w:t>, the index markets we consider</w:t>
      </w:r>
      <w:r>
        <w:rPr>
          <w:rFonts w:eastAsia="SimSun"/>
          <w:lang w:val="en-US"/>
        </w:rPr>
        <w:t>ed</w:t>
      </w:r>
      <w:r w:rsidRPr="00953770">
        <w:rPr>
          <w:rFonts w:eastAsia="SimSun"/>
          <w:lang w:val="en-US"/>
        </w:rPr>
        <w:t xml:space="preserve"> in our analysis</w:t>
      </w:r>
      <w:r>
        <w:rPr>
          <w:rFonts w:eastAsia="SimSun"/>
          <w:lang w:val="en-US"/>
        </w:rPr>
        <w:t>,</w:t>
      </w:r>
      <w:r w:rsidRPr="00953770">
        <w:rPr>
          <w:rFonts w:eastAsia="SimSun"/>
          <w:lang w:val="en-US"/>
        </w:rPr>
        <w:t xml:space="preserve"> FTSE 100, CAC 40</w:t>
      </w:r>
      <w:r>
        <w:rPr>
          <w:rFonts w:eastAsia="SimSun"/>
          <w:lang w:val="en-US"/>
        </w:rPr>
        <w:t>,</w:t>
      </w:r>
      <w:r w:rsidRPr="00953770">
        <w:rPr>
          <w:rFonts w:eastAsia="SimSun"/>
          <w:lang w:val="en-US"/>
        </w:rPr>
        <w:t xml:space="preserve"> and DAX 30, contain</w:t>
      </w:r>
      <w:r>
        <w:rPr>
          <w:rFonts w:eastAsia="SimSun"/>
          <w:lang w:val="en-US"/>
        </w:rPr>
        <w:t>ed a</w:t>
      </w:r>
      <w:r w:rsidRPr="00953770">
        <w:rPr>
          <w:rFonts w:eastAsia="SimSun"/>
          <w:lang w:val="en-US"/>
        </w:rPr>
        <w:t xml:space="preserve"> limited number of constituents, compared </w:t>
      </w:r>
      <w:r>
        <w:rPr>
          <w:rFonts w:eastAsia="SimSun"/>
          <w:lang w:val="en-US"/>
        </w:rPr>
        <w:t xml:space="preserve">to </w:t>
      </w:r>
      <w:r w:rsidRPr="00953770">
        <w:rPr>
          <w:rFonts w:eastAsia="SimSun"/>
          <w:lang w:val="en-US"/>
        </w:rPr>
        <w:t>the 500 constituents in S&amp;P 500. Thus, the</w:t>
      </w:r>
      <w:r>
        <w:rPr>
          <w:rFonts w:eastAsia="SimSun"/>
          <w:lang w:val="en-US"/>
        </w:rPr>
        <w:t>re is a</w:t>
      </w:r>
      <w:r w:rsidRPr="00953770">
        <w:rPr>
          <w:rFonts w:eastAsia="SimSun"/>
          <w:lang w:val="en-US"/>
        </w:rPr>
        <w:t xml:space="preserve"> possibility that not all component stocks trade in a given time interval </w:t>
      </w:r>
      <w:r>
        <w:rPr>
          <w:rFonts w:eastAsia="SimSun"/>
          <w:lang w:val="en-US"/>
        </w:rPr>
        <w:t>were</w:t>
      </w:r>
      <w:r w:rsidRPr="00953770">
        <w:rPr>
          <w:rFonts w:eastAsia="SimSun"/>
          <w:lang w:val="en-US"/>
        </w:rPr>
        <w:t xml:space="preserve"> small. Moreover, we examine</w:t>
      </w:r>
      <w:r>
        <w:rPr>
          <w:rFonts w:eastAsia="SimSun"/>
          <w:lang w:val="en-US"/>
        </w:rPr>
        <w:t>d</w:t>
      </w:r>
      <w:r w:rsidRPr="00953770">
        <w:rPr>
          <w:rFonts w:eastAsia="SimSun"/>
          <w:lang w:val="en-US"/>
        </w:rPr>
        <w:t xml:space="preserve"> price discovery across multimarket and multichannel trades using data with 5-minute time span</w:t>
      </w:r>
      <w:r>
        <w:rPr>
          <w:rFonts w:eastAsia="SimSun"/>
          <w:lang w:val="en-US"/>
        </w:rPr>
        <w:t xml:space="preserve">; consequently, </w:t>
      </w:r>
      <w:r w:rsidRPr="00953770">
        <w:rPr>
          <w:rFonts w:eastAsia="SimSun"/>
          <w:lang w:val="en-US"/>
        </w:rPr>
        <w:t>the infrequent trade problem may not be a significant issue.</w:t>
      </w:r>
    </w:p>
    <w:p w14:paraId="4D242249" w14:textId="77777777" w:rsidR="005A719B" w:rsidRDefault="005A719B" w:rsidP="00E63A0B">
      <w:pPr>
        <w:spacing w:line="480" w:lineRule="auto"/>
        <w:jc w:val="both"/>
        <w:rPr>
          <w:rFonts w:eastAsia="SimSun"/>
          <w:lang w:val="en-US"/>
        </w:rPr>
      </w:pPr>
    </w:p>
    <w:p w14:paraId="25BA915A" w14:textId="7999C1CF" w:rsidR="005A719B" w:rsidRPr="00BB5EB3" w:rsidRDefault="003D4349" w:rsidP="00E63A0B">
      <w:pPr>
        <w:spacing w:line="480" w:lineRule="auto"/>
        <w:jc w:val="both"/>
        <w:rPr>
          <w:rFonts w:eastAsia="SimSun"/>
          <w:i/>
          <w:lang w:val="en-US"/>
        </w:rPr>
      </w:pPr>
      <w:r>
        <w:rPr>
          <w:rFonts w:eastAsia="SimSun"/>
          <w:i/>
          <w:lang w:val="en-US"/>
        </w:rPr>
        <w:t xml:space="preserve">3.1 </w:t>
      </w:r>
      <w:r w:rsidR="005A719B" w:rsidRPr="00BB5EB3">
        <w:rPr>
          <w:rFonts w:eastAsia="SimSun"/>
          <w:i/>
          <w:lang w:val="en-US"/>
        </w:rPr>
        <w:t>Demeaned Process on Price Series</w:t>
      </w:r>
    </w:p>
    <w:p w14:paraId="72A3A994" w14:textId="21801A38" w:rsidR="005A719B" w:rsidRPr="00953770" w:rsidRDefault="005A719B" w:rsidP="00E873AE">
      <w:pPr>
        <w:spacing w:line="480" w:lineRule="auto"/>
        <w:jc w:val="both"/>
        <w:rPr>
          <w:rFonts w:eastAsia="SimSun"/>
          <w:lang w:val="en-US"/>
        </w:rPr>
      </w:pPr>
      <w:r w:rsidRPr="00953770">
        <w:rPr>
          <w:rFonts w:eastAsia="SimSun"/>
          <w:lang w:val="en-US"/>
        </w:rPr>
        <w:t xml:space="preserve">The relationship between index futures and </w:t>
      </w:r>
      <w:r>
        <w:rPr>
          <w:rFonts w:eastAsia="SimSun"/>
          <w:lang w:val="en-US"/>
        </w:rPr>
        <w:t>their</w:t>
      </w:r>
      <w:r w:rsidRPr="00953770">
        <w:rPr>
          <w:rFonts w:eastAsia="SimSun"/>
          <w:lang w:val="en-US"/>
        </w:rPr>
        <w:t xml:space="preserve"> underlying spot index </w:t>
      </w:r>
      <w:r>
        <w:rPr>
          <w:rFonts w:eastAsia="SimSun"/>
          <w:lang w:val="en-US"/>
        </w:rPr>
        <w:t>is</w:t>
      </w:r>
      <w:r w:rsidRPr="00953770">
        <w:rPr>
          <w:rFonts w:eastAsia="SimSun"/>
          <w:lang w:val="en-US"/>
        </w:rPr>
        <w:t xml:space="preserve"> often described as the cost-of-carry model, </w:t>
      </w:r>
      <m:oMath>
        <m:sSub>
          <m:sSubPr>
            <m:ctrlPr>
              <w:rPr>
                <w:rFonts w:ascii="Cambria Math" w:eastAsia="SimSun" w:hAnsi="Cambria Math"/>
                <w:i/>
                <w:lang w:val="en-US"/>
              </w:rPr>
            </m:ctrlPr>
          </m:sSubPr>
          <m:e>
            <m:r>
              <w:rPr>
                <w:rFonts w:ascii="Cambria Math" w:eastAsia="SimSun" w:hAnsi="Cambria Math"/>
                <w:lang w:val="en-US"/>
              </w:rPr>
              <m:t>F</m:t>
            </m:r>
          </m:e>
          <m:sub>
            <m:r>
              <w:rPr>
                <w:rFonts w:ascii="Cambria Math" w:eastAsia="SimSun" w:hAnsi="Cambria Math"/>
                <w:lang w:val="en-US"/>
              </w:rPr>
              <m:t>t,T</m:t>
            </m:r>
          </m:sub>
        </m:sSub>
        <m:r>
          <w:rPr>
            <w:rFonts w:ascii="Cambria Math" w:eastAsia="SimSun" w:hAnsi="Cambria Math"/>
            <w:lang w:val="en-US"/>
          </w:rPr>
          <m:t>=</m:t>
        </m:r>
        <m:sSub>
          <m:sSubPr>
            <m:ctrlPr>
              <w:rPr>
                <w:rFonts w:ascii="Cambria Math" w:eastAsia="SimSun" w:hAnsi="Cambria Math"/>
                <w:i/>
                <w:lang w:val="en-US"/>
              </w:rPr>
            </m:ctrlPr>
          </m:sSubPr>
          <m:e>
            <m:r>
              <w:rPr>
                <w:rFonts w:ascii="Cambria Math" w:eastAsia="SimSun" w:hAnsi="Cambria Math"/>
                <w:lang w:val="en-US"/>
              </w:rPr>
              <m:t>S</m:t>
            </m:r>
          </m:e>
          <m:sub>
            <m:r>
              <w:rPr>
                <w:rFonts w:ascii="Cambria Math" w:eastAsia="SimSun" w:hAnsi="Cambria Math"/>
                <w:lang w:val="en-US"/>
              </w:rPr>
              <m:t>t</m:t>
            </m:r>
          </m:sub>
        </m:sSub>
        <m:sSup>
          <m:sSupPr>
            <m:ctrlPr>
              <w:rPr>
                <w:rFonts w:ascii="Cambria Math" w:eastAsia="SimSun" w:hAnsi="Cambria Math"/>
                <w:i/>
                <w:lang w:val="en-US"/>
              </w:rPr>
            </m:ctrlPr>
          </m:sSupPr>
          <m:e>
            <m:r>
              <w:rPr>
                <w:rFonts w:ascii="Cambria Math" w:eastAsia="SimSun" w:hAnsi="Cambria Math"/>
                <w:lang w:val="en-US"/>
              </w:rPr>
              <m:t>e</m:t>
            </m:r>
          </m:e>
          <m:sup>
            <m:r>
              <w:rPr>
                <w:rFonts w:ascii="Cambria Math" w:eastAsia="SimSun" w:hAnsi="Cambria Math"/>
                <w:lang w:val="en-US"/>
              </w:rPr>
              <m:t>(</m:t>
            </m:r>
            <m:sSub>
              <m:sSubPr>
                <m:ctrlPr>
                  <w:rPr>
                    <w:rFonts w:ascii="Cambria Math" w:eastAsia="SimSun" w:hAnsi="Cambria Math"/>
                    <w:i/>
                    <w:lang w:val="en-US"/>
                  </w:rPr>
                </m:ctrlPr>
              </m:sSubPr>
              <m:e>
                <m:r>
                  <w:rPr>
                    <w:rFonts w:ascii="Cambria Math" w:eastAsia="SimSun" w:hAnsi="Cambria Math"/>
                    <w:lang w:val="en-US"/>
                  </w:rPr>
                  <m:t>r</m:t>
                </m:r>
              </m:e>
              <m:sub>
                <m:r>
                  <w:rPr>
                    <w:rFonts w:ascii="Cambria Math" w:eastAsia="SimSun" w:hAnsi="Cambria Math"/>
                    <w:lang w:val="en-US"/>
                  </w:rPr>
                  <m:t>t,T</m:t>
                </m:r>
              </m:sub>
            </m:sSub>
            <m:r>
              <w:rPr>
                <w:rFonts w:ascii="Cambria Math" w:eastAsia="SimSun" w:hAnsi="Cambria Math"/>
                <w:lang w:val="en-US"/>
              </w:rPr>
              <m:t>-</m:t>
            </m:r>
            <m:sSub>
              <m:sSubPr>
                <m:ctrlPr>
                  <w:rPr>
                    <w:rFonts w:ascii="Cambria Math" w:eastAsia="SimSun" w:hAnsi="Cambria Math"/>
                    <w:i/>
                    <w:lang w:val="en-US"/>
                  </w:rPr>
                </m:ctrlPr>
              </m:sSubPr>
              <m:e>
                <m:r>
                  <w:rPr>
                    <w:rFonts w:ascii="Cambria Math" w:eastAsia="SimSun" w:hAnsi="Cambria Math"/>
                    <w:lang w:val="en-US"/>
                  </w:rPr>
                  <m:t>K</m:t>
                </m:r>
              </m:e>
              <m:sub>
                <m:r>
                  <w:rPr>
                    <w:rFonts w:ascii="Cambria Math" w:eastAsia="SimSun" w:hAnsi="Cambria Math"/>
                    <w:lang w:val="en-US"/>
                  </w:rPr>
                  <m:t>t,T</m:t>
                </m:r>
              </m:sub>
            </m:sSub>
            <m:r>
              <w:rPr>
                <w:rFonts w:ascii="Cambria Math" w:eastAsia="SimSun" w:hAnsi="Cambria Math"/>
                <w:lang w:val="en-US"/>
              </w:rPr>
              <m:t>)(T-t)</m:t>
            </m:r>
          </m:sup>
        </m:sSup>
      </m:oMath>
      <w:r w:rsidRPr="00953770">
        <w:rPr>
          <w:rFonts w:eastAsia="SimSun"/>
          <w:lang w:val="en-US"/>
        </w:rPr>
        <w:t xml:space="preserve">, where </w:t>
      </w:r>
      <m:oMath>
        <m:sSub>
          <m:sSubPr>
            <m:ctrlPr>
              <w:rPr>
                <w:rFonts w:ascii="Cambria Math" w:eastAsia="SimSun" w:hAnsi="Cambria Math"/>
                <w:i/>
                <w:lang w:val="en-US"/>
              </w:rPr>
            </m:ctrlPr>
          </m:sSubPr>
          <m:e>
            <m:r>
              <w:rPr>
                <w:rFonts w:ascii="Cambria Math" w:eastAsia="SimSun" w:hAnsi="Cambria Math"/>
                <w:lang w:val="en-US"/>
              </w:rPr>
              <m:t>F</m:t>
            </m:r>
          </m:e>
          <m:sub>
            <m:r>
              <w:rPr>
                <w:rFonts w:ascii="Cambria Math" w:eastAsia="SimSun" w:hAnsi="Cambria Math"/>
                <w:lang w:val="en-US"/>
              </w:rPr>
              <m:t>t,T</m:t>
            </m:r>
          </m:sub>
        </m:sSub>
      </m:oMath>
      <w:r w:rsidRPr="00953770">
        <w:rPr>
          <w:rFonts w:eastAsia="SimSun"/>
          <w:lang w:val="en-US"/>
        </w:rPr>
        <w:t xml:space="preserve"> </w:t>
      </w:r>
      <w:r>
        <w:rPr>
          <w:rFonts w:eastAsia="SimSun"/>
          <w:lang w:val="en-US"/>
        </w:rPr>
        <w:t xml:space="preserve">indicates </w:t>
      </w:r>
      <w:r w:rsidRPr="00953770">
        <w:rPr>
          <w:rFonts w:eastAsia="SimSun"/>
          <w:lang w:val="en-US"/>
        </w:rPr>
        <w:t xml:space="preserve">the futures price at time t, T </w:t>
      </w:r>
      <w:r>
        <w:rPr>
          <w:rFonts w:eastAsia="SimSun"/>
          <w:lang w:val="en-US"/>
        </w:rPr>
        <w:t>represents</w:t>
      </w:r>
      <w:r w:rsidRPr="00953770">
        <w:rPr>
          <w:rFonts w:eastAsia="SimSun"/>
          <w:lang w:val="en-US"/>
        </w:rPr>
        <w:t xml:space="preserve"> the contract expiration date, </w:t>
      </w:r>
      <m:oMath>
        <m:sSub>
          <m:sSubPr>
            <m:ctrlPr>
              <w:rPr>
                <w:rFonts w:ascii="Cambria Math" w:eastAsia="SimSun" w:hAnsi="Cambria Math"/>
                <w:i/>
                <w:lang w:val="en-US"/>
              </w:rPr>
            </m:ctrlPr>
          </m:sSubPr>
          <m:e>
            <m:r>
              <w:rPr>
                <w:rFonts w:ascii="Cambria Math" w:eastAsia="SimSun" w:hAnsi="Cambria Math"/>
                <w:lang w:val="en-US"/>
              </w:rPr>
              <m:t>S</m:t>
            </m:r>
          </m:e>
          <m:sub>
            <m:r>
              <w:rPr>
                <w:rFonts w:ascii="Cambria Math" w:eastAsia="SimSun" w:hAnsi="Cambria Math"/>
                <w:lang w:val="en-US"/>
              </w:rPr>
              <m:t>t</m:t>
            </m:r>
          </m:sub>
        </m:sSub>
      </m:oMath>
      <w:r w:rsidRPr="00953770">
        <w:rPr>
          <w:rFonts w:eastAsia="SimSun"/>
          <w:lang w:val="en-US"/>
        </w:rPr>
        <w:t xml:space="preserve"> is the spot index value at time t, </w:t>
      </w:r>
      <m:oMath>
        <m:sSub>
          <m:sSubPr>
            <m:ctrlPr>
              <w:rPr>
                <w:rFonts w:ascii="Cambria Math" w:eastAsia="SimSun" w:hAnsi="Cambria Math"/>
                <w:i/>
                <w:lang w:val="en-US"/>
              </w:rPr>
            </m:ctrlPr>
          </m:sSubPr>
          <m:e>
            <m:r>
              <w:rPr>
                <w:rFonts w:ascii="Cambria Math" w:eastAsia="SimSun" w:hAnsi="Cambria Math"/>
                <w:lang w:val="en-US"/>
              </w:rPr>
              <m:t>r</m:t>
            </m:r>
          </m:e>
          <m:sub>
            <m:r>
              <w:rPr>
                <w:rFonts w:ascii="Cambria Math" w:eastAsia="SimSun" w:hAnsi="Cambria Math"/>
                <w:lang w:val="en-US"/>
              </w:rPr>
              <m:t>t,T</m:t>
            </m:r>
          </m:sub>
        </m:sSub>
      </m:oMath>
      <w:r w:rsidRPr="00953770">
        <w:rPr>
          <w:rFonts w:eastAsia="SimSun"/>
          <w:lang w:val="en-US"/>
        </w:rPr>
        <w:t xml:space="preserve"> is the risk-free rate within the time period (t, t+1, t+2, …, T), and </w:t>
      </w:r>
      <m:oMath>
        <m:sSub>
          <m:sSubPr>
            <m:ctrlPr>
              <w:rPr>
                <w:rFonts w:ascii="Cambria Math" w:eastAsia="SimSun" w:hAnsi="Cambria Math"/>
                <w:i/>
                <w:lang w:val="en-US"/>
              </w:rPr>
            </m:ctrlPr>
          </m:sSubPr>
          <m:e>
            <m:r>
              <w:rPr>
                <w:rFonts w:ascii="Cambria Math" w:eastAsia="SimSun" w:hAnsi="Cambria Math"/>
                <w:lang w:val="en-US"/>
              </w:rPr>
              <m:t>K</m:t>
            </m:r>
          </m:e>
          <m:sub>
            <m:r>
              <w:rPr>
                <w:rFonts w:ascii="Cambria Math" w:eastAsia="SimSun" w:hAnsi="Cambria Math"/>
                <w:lang w:val="en-US"/>
              </w:rPr>
              <m:t>t,T</m:t>
            </m:r>
          </m:sub>
        </m:sSub>
      </m:oMath>
      <w:r w:rsidRPr="00953770">
        <w:rPr>
          <w:rFonts w:eastAsia="SimSun"/>
          <w:lang w:val="en-US"/>
        </w:rPr>
        <w:t xml:space="preserve"> is the expected dividend yield for the underlying investment. The cointegrating relation of spot index and index futures implied by the theoretical cost-of-carry model is time-varying and could </w:t>
      </w:r>
      <w:r w:rsidRPr="00FF3070">
        <w:rPr>
          <w:rFonts w:eastAsia="SimSun"/>
          <w:lang w:val="en-US"/>
        </w:rPr>
        <w:t>typically</w:t>
      </w:r>
      <w:r w:rsidRPr="00953770">
        <w:rPr>
          <w:rFonts w:eastAsia="SimSun"/>
          <w:lang w:val="en-US"/>
        </w:rPr>
        <w:t xml:space="preserve"> vary within one trading day. Many empirical studies do not address this issue</w:t>
      </w:r>
      <w:r>
        <w:rPr>
          <w:rFonts w:eastAsia="SimSun"/>
          <w:lang w:val="en-US"/>
        </w:rPr>
        <w:t>,</w:t>
      </w:r>
      <w:r w:rsidRPr="00953770">
        <w:rPr>
          <w:rFonts w:eastAsia="SimSun"/>
          <w:lang w:val="en-US"/>
        </w:rPr>
        <w:t xml:space="preserve"> with </w:t>
      </w:r>
      <w:r>
        <w:rPr>
          <w:rFonts w:eastAsia="SimSun"/>
          <w:lang w:val="en-US"/>
        </w:rPr>
        <w:t xml:space="preserve">a limited number of </w:t>
      </w:r>
      <w:r w:rsidRPr="00953770">
        <w:rPr>
          <w:rFonts w:eastAsia="SimSun"/>
          <w:lang w:val="en-US"/>
        </w:rPr>
        <w:t xml:space="preserve">studies suggesting </w:t>
      </w:r>
      <w:r>
        <w:rPr>
          <w:rFonts w:eastAsia="SimSun"/>
          <w:lang w:val="en-US"/>
        </w:rPr>
        <w:t xml:space="preserve">strategies </w:t>
      </w:r>
      <w:r w:rsidRPr="00953770">
        <w:rPr>
          <w:rFonts w:eastAsia="SimSun"/>
          <w:lang w:val="en-US"/>
        </w:rPr>
        <w:t xml:space="preserve">to deal </w:t>
      </w:r>
      <w:r>
        <w:rPr>
          <w:rFonts w:eastAsia="SimSun"/>
          <w:lang w:val="en-US"/>
        </w:rPr>
        <w:t>this</w:t>
      </w:r>
      <w:r w:rsidRPr="00953770">
        <w:rPr>
          <w:rFonts w:eastAsia="SimSun"/>
          <w:lang w:val="en-US"/>
        </w:rPr>
        <w:t xml:space="preserve"> problem. Dwyer et al. (1996), for example, subtracted the daily average from the logarithmic form of the prices of futures and cash indexes. By doing </w:t>
      </w:r>
      <w:r>
        <w:rPr>
          <w:rFonts w:eastAsia="SimSun"/>
          <w:lang w:val="en-US"/>
        </w:rPr>
        <w:t>this,</w:t>
      </w:r>
      <w:r w:rsidRPr="00953770">
        <w:rPr>
          <w:rFonts w:eastAsia="SimSun"/>
          <w:lang w:val="en-US"/>
        </w:rPr>
        <w:t xml:space="preserve"> they managed to </w:t>
      </w:r>
      <w:r>
        <w:rPr>
          <w:rFonts w:eastAsia="SimSun"/>
          <w:lang w:val="en-US"/>
        </w:rPr>
        <w:t>eliminate</w:t>
      </w:r>
      <w:r w:rsidRPr="00953770">
        <w:rPr>
          <w:rFonts w:eastAsia="SimSun"/>
          <w:lang w:val="en-US"/>
        </w:rPr>
        <w:t xml:space="preserve"> any constant component generated by dividends and interest rates for the day. Other studies </w:t>
      </w:r>
      <w:r>
        <w:rPr>
          <w:rFonts w:eastAsia="SimSun"/>
          <w:lang w:val="en-US"/>
        </w:rPr>
        <w:t>applied</w:t>
      </w:r>
      <w:r w:rsidRPr="00953770">
        <w:rPr>
          <w:rFonts w:eastAsia="SimSun"/>
          <w:lang w:val="en-US"/>
        </w:rPr>
        <w:t xml:space="preserve"> the discounted future prices approach and </w:t>
      </w:r>
      <w:r>
        <w:rPr>
          <w:rFonts w:eastAsia="SimSun"/>
          <w:lang w:val="en-US"/>
        </w:rPr>
        <w:t xml:space="preserve">employed </w:t>
      </w:r>
      <w:r w:rsidRPr="00953770">
        <w:rPr>
          <w:rFonts w:eastAsia="SimSun"/>
          <w:lang w:val="en-US"/>
        </w:rPr>
        <w:t>a pre-specified cointegration vector to address th</w:t>
      </w:r>
      <w:r>
        <w:rPr>
          <w:rFonts w:eastAsia="SimSun"/>
          <w:lang w:val="en-US"/>
        </w:rPr>
        <w:t>is</w:t>
      </w:r>
      <w:r w:rsidRPr="00953770">
        <w:rPr>
          <w:rFonts w:eastAsia="SimSun"/>
          <w:lang w:val="en-US"/>
        </w:rPr>
        <w:t xml:space="preserve"> issue (see, for example, Martens, 1998</w:t>
      </w:r>
      <w:r>
        <w:rPr>
          <w:rFonts w:eastAsia="SimSun"/>
          <w:lang w:val="en-US"/>
        </w:rPr>
        <w:t>;</w:t>
      </w:r>
      <w:r w:rsidRPr="00953770">
        <w:rPr>
          <w:rFonts w:eastAsia="SimSun"/>
          <w:lang w:val="en-US"/>
        </w:rPr>
        <w:t xml:space="preserve"> Tse, 2001</w:t>
      </w:r>
      <w:r>
        <w:rPr>
          <w:rFonts w:eastAsia="SimSun"/>
          <w:lang w:val="en-US"/>
        </w:rPr>
        <w:t>;</w:t>
      </w:r>
      <w:r w:rsidRPr="00953770">
        <w:rPr>
          <w:rFonts w:eastAsia="SimSun"/>
          <w:lang w:val="en-US"/>
        </w:rPr>
        <w:t xml:space="preserve"> Schlusche, 2009). However, as </w:t>
      </w:r>
      <w:r>
        <w:rPr>
          <w:rFonts w:eastAsia="SimSun"/>
          <w:lang w:val="en-US"/>
        </w:rPr>
        <w:t>emphasized</w:t>
      </w:r>
      <w:r w:rsidRPr="00953770">
        <w:rPr>
          <w:rFonts w:eastAsia="SimSun"/>
          <w:lang w:val="en-US"/>
        </w:rPr>
        <w:t xml:space="preserve"> by Theissen (2012), since future prices often deviate from values implied by theoretical cost-of-carry model</w:t>
      </w:r>
      <w:r>
        <w:rPr>
          <w:rFonts w:eastAsia="SimSun"/>
          <w:lang w:val="en-US"/>
        </w:rPr>
        <w:t>s</w:t>
      </w:r>
      <w:r w:rsidRPr="00953770">
        <w:rPr>
          <w:rFonts w:eastAsia="SimSun"/>
          <w:lang w:val="en-US"/>
        </w:rPr>
        <w:t xml:space="preserve">, discounting the future price with regard to certain benchmark risk-free rate would </w:t>
      </w:r>
      <w:r>
        <w:rPr>
          <w:rFonts w:eastAsia="SimSun"/>
          <w:lang w:val="en-US"/>
        </w:rPr>
        <w:t xml:space="preserve">introduce </w:t>
      </w:r>
      <w:r w:rsidRPr="00953770">
        <w:rPr>
          <w:rFonts w:eastAsia="SimSun"/>
          <w:lang w:val="en-US"/>
        </w:rPr>
        <w:t xml:space="preserve">bias in the estimation. </w:t>
      </w:r>
      <w:r>
        <w:rPr>
          <w:rFonts w:eastAsia="SimSun"/>
          <w:lang w:val="en-US"/>
        </w:rPr>
        <w:t>Conversely</w:t>
      </w:r>
      <w:r w:rsidRPr="00953770">
        <w:rPr>
          <w:rFonts w:eastAsia="SimSun"/>
          <w:lang w:val="en-US"/>
        </w:rPr>
        <w:t xml:space="preserve">, the demeaning method could </w:t>
      </w:r>
      <w:r>
        <w:rPr>
          <w:rFonts w:eastAsia="SimSun"/>
          <w:lang w:val="en-US"/>
        </w:rPr>
        <w:t xml:space="preserve">eliminate </w:t>
      </w:r>
      <w:r w:rsidRPr="00953770">
        <w:rPr>
          <w:rFonts w:eastAsia="SimSun"/>
          <w:lang w:val="en-US"/>
        </w:rPr>
        <w:t xml:space="preserve">any </w:t>
      </w:r>
      <w:r w:rsidRPr="00F05CCF">
        <w:rPr>
          <w:rFonts w:eastAsia="SimSun"/>
          <w:lang w:val="en-US"/>
        </w:rPr>
        <w:t xml:space="preserve">deviation </w:t>
      </w:r>
      <w:r>
        <w:rPr>
          <w:rFonts w:eastAsia="SimSun"/>
          <w:lang w:val="en-US"/>
        </w:rPr>
        <w:t xml:space="preserve">in </w:t>
      </w:r>
      <w:r w:rsidRPr="00953770">
        <w:rPr>
          <w:rFonts w:eastAsia="SimSun"/>
          <w:lang w:val="en-US"/>
        </w:rPr>
        <w:t xml:space="preserve">futures prices from the values of the cost-of-carry relation, </w:t>
      </w:r>
      <w:r>
        <w:rPr>
          <w:rFonts w:eastAsia="SimSun"/>
          <w:lang w:val="en-US"/>
        </w:rPr>
        <w:t xml:space="preserve">a change that would render </w:t>
      </w:r>
      <w:r w:rsidRPr="00953770">
        <w:rPr>
          <w:rFonts w:eastAsia="SimSun"/>
          <w:lang w:val="en-US"/>
        </w:rPr>
        <w:t>the method superior</w:t>
      </w:r>
      <w:r>
        <w:rPr>
          <w:rFonts w:eastAsia="SimSun"/>
          <w:lang w:val="en-US"/>
        </w:rPr>
        <w:t xml:space="preserve"> by itself</w:t>
      </w:r>
      <w:r w:rsidRPr="00953770">
        <w:rPr>
          <w:rFonts w:eastAsia="SimSun"/>
          <w:lang w:val="en-US"/>
        </w:rPr>
        <w:t>.</w:t>
      </w:r>
    </w:p>
    <w:p w14:paraId="07DB08F2" w14:textId="77777777" w:rsidR="005A719B" w:rsidRPr="00953770" w:rsidRDefault="005A719B" w:rsidP="0035578F">
      <w:pPr>
        <w:spacing w:line="480" w:lineRule="auto"/>
        <w:jc w:val="both"/>
        <w:rPr>
          <w:rFonts w:eastAsia="SimSun"/>
          <w:lang w:val="en-US"/>
        </w:rPr>
      </w:pPr>
    </w:p>
    <w:p w14:paraId="7E01B3DF" w14:textId="7CEF5754" w:rsidR="005A719B" w:rsidRDefault="005A719B" w:rsidP="00DF36DB">
      <w:pPr>
        <w:spacing w:line="480" w:lineRule="auto"/>
        <w:jc w:val="both"/>
        <w:rPr>
          <w:color w:val="000000" w:themeColor="text1"/>
          <w:lang w:val="en-US"/>
        </w:rPr>
      </w:pPr>
      <w:r w:rsidRPr="00953770">
        <w:rPr>
          <w:color w:val="000000" w:themeColor="text1"/>
          <w:lang w:val="en-US"/>
        </w:rPr>
        <w:t>Our clean data sample co</w:t>
      </w:r>
      <w:r>
        <w:rPr>
          <w:color w:val="000000" w:themeColor="text1"/>
          <w:lang w:val="en-US"/>
        </w:rPr>
        <w:t>mprised</w:t>
      </w:r>
      <w:r w:rsidRPr="00953770">
        <w:rPr>
          <w:color w:val="000000" w:themeColor="text1"/>
          <w:lang w:val="en-US"/>
        </w:rPr>
        <w:t xml:space="preserve"> 9 demeaned price series. </w:t>
      </w:r>
      <w:r w:rsidRPr="00953770">
        <w:rPr>
          <w:rFonts w:eastAsia="SimSun"/>
          <w:lang w:val="en-US"/>
        </w:rPr>
        <w:t xml:space="preserve">They </w:t>
      </w:r>
      <w:r>
        <w:rPr>
          <w:rFonts w:eastAsia="SimSun"/>
          <w:lang w:val="en-US"/>
        </w:rPr>
        <w:t>we</w:t>
      </w:r>
      <w:r w:rsidRPr="00953770">
        <w:rPr>
          <w:rFonts w:eastAsia="SimSun"/>
          <w:lang w:val="en-US"/>
        </w:rPr>
        <w:t xml:space="preserve">re calculated by subtracting the daily average from the intraday log price series (see </w:t>
      </w:r>
      <w:r w:rsidR="009E40ED">
        <w:rPr>
          <w:rFonts w:eastAsia="SimSun"/>
          <w:lang w:val="en-US"/>
        </w:rPr>
        <w:t>Table 3</w:t>
      </w:r>
      <w:r w:rsidRPr="00953770">
        <w:rPr>
          <w:rFonts w:eastAsia="SimSun"/>
          <w:lang w:val="en-US"/>
        </w:rPr>
        <w:t xml:space="preserve"> for the descriptive statistics for the demeaned log series).</w:t>
      </w:r>
      <w:r w:rsidRPr="00953770">
        <w:rPr>
          <w:color w:val="000000" w:themeColor="text1"/>
          <w:lang w:val="en-US"/>
        </w:rPr>
        <w:t xml:space="preserve"> </w:t>
      </w:r>
    </w:p>
    <w:p w14:paraId="780C01E9" w14:textId="77777777" w:rsidR="0098062D" w:rsidRDefault="0098062D" w:rsidP="00DF36DB">
      <w:pPr>
        <w:widowControl w:val="0"/>
        <w:spacing w:line="480" w:lineRule="auto"/>
        <w:rPr>
          <w:rFonts w:eastAsia="SimSun"/>
          <w:kern w:val="2"/>
          <w:highlight w:val="yellow"/>
          <w:lang w:val="en-US"/>
        </w:rPr>
      </w:pPr>
    </w:p>
    <w:p w14:paraId="2F506F0C" w14:textId="44030330" w:rsidR="001D2EDA" w:rsidRPr="00A06F72" w:rsidRDefault="001D2EDA" w:rsidP="00DF36DB">
      <w:pPr>
        <w:widowControl w:val="0"/>
        <w:spacing w:line="480" w:lineRule="auto"/>
        <w:rPr>
          <w:rFonts w:eastAsia="SimSun"/>
          <w:i/>
          <w:kern w:val="2"/>
          <w:lang w:val="en-US"/>
        </w:rPr>
      </w:pPr>
      <w:r w:rsidRPr="00C22699">
        <w:rPr>
          <w:rFonts w:eastAsia="SimSun"/>
          <w:i/>
          <w:kern w:val="2"/>
          <w:lang w:val="en-US"/>
        </w:rPr>
        <w:t xml:space="preserve">3.2 </w:t>
      </w:r>
      <w:r w:rsidRPr="00C22699">
        <w:rPr>
          <w:i/>
          <w:iCs/>
        </w:rPr>
        <w:t xml:space="preserve">Why </w:t>
      </w:r>
      <w:r w:rsidR="00F603D8" w:rsidRPr="00C22699">
        <w:rPr>
          <w:i/>
          <w:iCs/>
        </w:rPr>
        <w:t>a</w:t>
      </w:r>
      <w:r w:rsidRPr="00C22699">
        <w:rPr>
          <w:i/>
          <w:iCs/>
        </w:rPr>
        <w:t xml:space="preserve"> Sample Ending in 2013, </w:t>
      </w:r>
      <w:r w:rsidR="00F603D8" w:rsidRPr="00C22699">
        <w:rPr>
          <w:i/>
          <w:iCs/>
        </w:rPr>
        <w:t>d</w:t>
      </w:r>
      <w:r w:rsidRPr="00C22699">
        <w:rPr>
          <w:i/>
          <w:iCs/>
        </w:rPr>
        <w:t xml:space="preserve">ue to Data Restrictions, </w:t>
      </w:r>
      <w:r w:rsidR="00F603D8" w:rsidRPr="00C22699">
        <w:rPr>
          <w:i/>
          <w:iCs/>
        </w:rPr>
        <w:t>i</w:t>
      </w:r>
      <w:r w:rsidRPr="00C22699">
        <w:rPr>
          <w:i/>
          <w:iCs/>
        </w:rPr>
        <w:t xml:space="preserve">s Relevant </w:t>
      </w:r>
      <w:r w:rsidR="00F603D8" w:rsidRPr="00C22699">
        <w:rPr>
          <w:i/>
          <w:iCs/>
        </w:rPr>
        <w:t>f</w:t>
      </w:r>
      <w:r w:rsidRPr="00C22699">
        <w:rPr>
          <w:i/>
          <w:iCs/>
        </w:rPr>
        <w:t>or 2018?</w:t>
      </w:r>
    </w:p>
    <w:p w14:paraId="241E5E61" w14:textId="106D85FE" w:rsidR="002903CD" w:rsidRDefault="002903CD" w:rsidP="00DF36DB">
      <w:pPr>
        <w:spacing w:line="480" w:lineRule="auto"/>
        <w:jc w:val="both"/>
        <w:rPr>
          <w:iCs/>
          <w:color w:val="000000" w:themeColor="text1"/>
        </w:rPr>
      </w:pPr>
      <w:r w:rsidRPr="005F648F">
        <w:rPr>
          <w:iCs/>
          <w:color w:val="000000" w:themeColor="text1"/>
        </w:rPr>
        <w:t xml:space="preserve">Our dataset only comprises the last trading day of 2013 and it would be </w:t>
      </w:r>
      <w:r>
        <w:rPr>
          <w:iCs/>
          <w:color w:val="000000" w:themeColor="text1"/>
        </w:rPr>
        <w:t xml:space="preserve">advantageous </w:t>
      </w:r>
      <w:r w:rsidRPr="005F648F">
        <w:rPr>
          <w:iCs/>
          <w:color w:val="000000" w:themeColor="text1"/>
        </w:rPr>
        <w:t xml:space="preserve">if we </w:t>
      </w:r>
      <w:r>
        <w:rPr>
          <w:iCs/>
          <w:color w:val="000000" w:themeColor="text1"/>
        </w:rPr>
        <w:t xml:space="preserve">could </w:t>
      </w:r>
      <w:r w:rsidRPr="005F648F">
        <w:rPr>
          <w:iCs/>
          <w:color w:val="000000" w:themeColor="text1"/>
        </w:rPr>
        <w:t xml:space="preserve">extend it to the most recent period. However, we are constrained by data availability from the data vendor. To address </w:t>
      </w:r>
      <w:r>
        <w:rPr>
          <w:iCs/>
          <w:color w:val="000000" w:themeColor="text1"/>
        </w:rPr>
        <w:t>this</w:t>
      </w:r>
      <w:r w:rsidRPr="005F648F">
        <w:rPr>
          <w:iCs/>
          <w:color w:val="000000" w:themeColor="text1"/>
        </w:rPr>
        <w:t xml:space="preserve"> problem, we obtained some statistics representing the overall ETFs growth in Europe</w:t>
      </w:r>
      <w:r>
        <w:rPr>
          <w:iCs/>
          <w:color w:val="000000" w:themeColor="text1"/>
        </w:rPr>
        <w:t>. This will</w:t>
      </w:r>
      <w:r w:rsidRPr="005F648F">
        <w:rPr>
          <w:iCs/>
          <w:color w:val="000000" w:themeColor="text1"/>
        </w:rPr>
        <w:t xml:space="preserve"> </w:t>
      </w:r>
      <w:r>
        <w:rPr>
          <w:iCs/>
          <w:color w:val="000000" w:themeColor="text1"/>
        </w:rPr>
        <w:t xml:space="preserve">allow </w:t>
      </w:r>
      <w:r w:rsidRPr="005F648F">
        <w:rPr>
          <w:iCs/>
          <w:color w:val="000000" w:themeColor="text1"/>
        </w:rPr>
        <w:t xml:space="preserve">us to explain why the price data of the ETFs currently used in our paper, grouped under </w:t>
      </w:r>
      <w:r w:rsidRPr="00E704BE">
        <w:rPr>
          <w:iCs/>
          <w:color w:val="000000" w:themeColor="text1"/>
        </w:rPr>
        <w:t xml:space="preserve">FTSE 100, CAC 40, DAX 30, ending in 2013, is </w:t>
      </w:r>
      <w:r>
        <w:rPr>
          <w:iCs/>
          <w:color w:val="000000" w:themeColor="text1"/>
        </w:rPr>
        <w:t>cap</w:t>
      </w:r>
      <w:r w:rsidRPr="00E704BE">
        <w:rPr>
          <w:iCs/>
          <w:color w:val="000000" w:themeColor="text1"/>
        </w:rPr>
        <w:t xml:space="preserve">able </w:t>
      </w:r>
      <w:r>
        <w:rPr>
          <w:iCs/>
          <w:color w:val="000000" w:themeColor="text1"/>
        </w:rPr>
        <w:t xml:space="preserve">of </w:t>
      </w:r>
      <w:r w:rsidRPr="00E704BE">
        <w:rPr>
          <w:iCs/>
          <w:color w:val="000000" w:themeColor="text1"/>
        </w:rPr>
        <w:t>generaliz</w:t>
      </w:r>
      <w:r>
        <w:rPr>
          <w:iCs/>
          <w:color w:val="000000" w:themeColor="text1"/>
        </w:rPr>
        <w:t>ing</w:t>
      </w:r>
      <w:r w:rsidRPr="00E704BE">
        <w:rPr>
          <w:iCs/>
          <w:color w:val="000000" w:themeColor="text1"/>
        </w:rPr>
        <w:t xml:space="preserve"> comparable results in the near future, especially for the year 2018. The data are obtained from </w:t>
      </w:r>
      <w:r w:rsidRPr="00E43AC6">
        <w:rPr>
          <w:iCs/>
          <w:color w:val="000000" w:themeColor="text1"/>
        </w:rPr>
        <w:t>ETFGI, a leading independent research and consultancy firm on trends in the global ETF/ETP ecosystem</w:t>
      </w:r>
      <w:r w:rsidRPr="00EA7143">
        <w:rPr>
          <w:color w:val="424242"/>
        </w:rPr>
        <w:t>.</w:t>
      </w:r>
      <w:r w:rsidRPr="00EA7143">
        <w:rPr>
          <w:iCs/>
          <w:color w:val="000000" w:themeColor="text1"/>
        </w:rPr>
        <w:t xml:space="preserve"> A detailed description of the ETFs growth is provided in </w:t>
      </w:r>
      <w:r w:rsidR="0035300A">
        <w:rPr>
          <w:iCs/>
          <w:color w:val="000000" w:themeColor="text1"/>
        </w:rPr>
        <w:t>Table 1</w:t>
      </w:r>
      <w:r w:rsidRPr="00EA7143">
        <w:rPr>
          <w:iCs/>
          <w:color w:val="000000" w:themeColor="text1"/>
        </w:rPr>
        <w:t>.</w:t>
      </w:r>
    </w:p>
    <w:p w14:paraId="3C177838" w14:textId="1D6FD801" w:rsidR="002903CD" w:rsidRPr="00A42D92" w:rsidRDefault="0035300A" w:rsidP="00DF36DB">
      <w:pPr>
        <w:spacing w:line="480" w:lineRule="auto"/>
        <w:jc w:val="center"/>
        <w:rPr>
          <w:b/>
        </w:rPr>
      </w:pPr>
      <w:r w:rsidRPr="00A42D92">
        <w:rPr>
          <w:b/>
        </w:rPr>
        <w:t>Table 1</w:t>
      </w:r>
      <w:r w:rsidR="002903CD" w:rsidRPr="00A42D92">
        <w:rPr>
          <w:b/>
        </w:rPr>
        <w:t xml:space="preserve"> European ETFs Growth 2008–2018</w:t>
      </w:r>
    </w:p>
    <w:tbl>
      <w:tblPr>
        <w:tblW w:w="9350" w:type="dxa"/>
        <w:tblLayout w:type="fixed"/>
        <w:tblLook w:val="04A0" w:firstRow="1" w:lastRow="0" w:firstColumn="1" w:lastColumn="0" w:noHBand="0" w:noVBand="1"/>
      </w:tblPr>
      <w:tblGrid>
        <w:gridCol w:w="2045"/>
        <w:gridCol w:w="623"/>
        <w:gridCol w:w="624"/>
        <w:gridCol w:w="624"/>
        <w:gridCol w:w="624"/>
        <w:gridCol w:w="624"/>
        <w:gridCol w:w="624"/>
        <w:gridCol w:w="624"/>
        <w:gridCol w:w="624"/>
        <w:gridCol w:w="624"/>
        <w:gridCol w:w="624"/>
        <w:gridCol w:w="1066"/>
      </w:tblGrid>
      <w:tr w:rsidR="002903CD" w:rsidRPr="00415C44" w14:paraId="038C73B2" w14:textId="77777777" w:rsidTr="00DF36DB">
        <w:trPr>
          <w:trHeight w:val="308"/>
        </w:trPr>
        <w:tc>
          <w:tcPr>
            <w:tcW w:w="2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BD309" w14:textId="77777777" w:rsidR="002903CD" w:rsidRPr="00415C44" w:rsidRDefault="002903CD" w:rsidP="00380777">
            <w:pPr>
              <w:rPr>
                <w:rFonts w:eastAsia="Times New Roman"/>
                <w:color w:val="000000"/>
                <w:sz w:val="18"/>
                <w:szCs w:val="18"/>
              </w:rPr>
            </w:pPr>
            <w:r w:rsidRPr="00415C44">
              <w:rPr>
                <w:rFonts w:eastAsia="Times New Roman"/>
                <w:color w:val="000000"/>
                <w:sz w:val="18"/>
                <w:szCs w:val="18"/>
              </w:rPr>
              <w:t> </w:t>
            </w:r>
          </w:p>
        </w:tc>
        <w:tc>
          <w:tcPr>
            <w:tcW w:w="623" w:type="dxa"/>
            <w:tcBorders>
              <w:top w:val="single" w:sz="4" w:space="0" w:color="auto"/>
              <w:left w:val="nil"/>
              <w:bottom w:val="single" w:sz="4" w:space="0" w:color="auto"/>
              <w:right w:val="single" w:sz="4" w:space="0" w:color="auto"/>
            </w:tcBorders>
            <w:shd w:val="clear" w:color="auto" w:fill="auto"/>
            <w:noWrap/>
            <w:vAlign w:val="bottom"/>
            <w:hideMark/>
          </w:tcPr>
          <w:p w14:paraId="228BE02E"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2008</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6B240B5E"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2009</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60D4FA00"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2010</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6587BEB8"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2011</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23AC8830"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2012</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2CF17022"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2013</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456781E6"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2014</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2EEF1B37"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2015</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25F3CB79"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2016</w:t>
            </w:r>
          </w:p>
        </w:tc>
        <w:tc>
          <w:tcPr>
            <w:tcW w:w="624" w:type="dxa"/>
            <w:tcBorders>
              <w:top w:val="single" w:sz="4" w:space="0" w:color="auto"/>
              <w:left w:val="nil"/>
              <w:bottom w:val="single" w:sz="4" w:space="0" w:color="auto"/>
              <w:right w:val="single" w:sz="4" w:space="0" w:color="auto"/>
            </w:tcBorders>
            <w:shd w:val="clear" w:color="auto" w:fill="auto"/>
            <w:noWrap/>
            <w:vAlign w:val="bottom"/>
            <w:hideMark/>
          </w:tcPr>
          <w:p w14:paraId="14D1A72B" w14:textId="77777777" w:rsidR="002903CD" w:rsidRPr="00415C44" w:rsidRDefault="002903CD" w:rsidP="00380777">
            <w:pPr>
              <w:jc w:val="right"/>
              <w:rPr>
                <w:rFonts w:eastAsia="Times New Roman"/>
                <w:color w:val="000000"/>
                <w:sz w:val="18"/>
                <w:szCs w:val="18"/>
              </w:rPr>
            </w:pPr>
            <w:r w:rsidRPr="00415C44">
              <w:rPr>
                <w:rFonts w:eastAsia="Times New Roman"/>
                <w:color w:val="000000"/>
                <w:sz w:val="18"/>
                <w:szCs w:val="18"/>
              </w:rPr>
              <w:t>2017</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4A06D7AA" w14:textId="77777777" w:rsidR="002903CD" w:rsidRPr="00415C44" w:rsidRDefault="002903CD" w:rsidP="00380777">
            <w:pPr>
              <w:rPr>
                <w:rFonts w:eastAsia="Times New Roman"/>
                <w:color w:val="000000"/>
                <w:sz w:val="18"/>
                <w:szCs w:val="18"/>
              </w:rPr>
            </w:pPr>
            <w:r w:rsidRPr="00415C44">
              <w:rPr>
                <w:rFonts w:eastAsia="Times New Roman"/>
                <w:color w:val="000000"/>
                <w:sz w:val="18"/>
                <w:szCs w:val="18"/>
              </w:rPr>
              <w:t>July</w:t>
            </w:r>
            <w:r>
              <w:rPr>
                <w:rFonts w:eastAsia="Times New Roman"/>
                <w:color w:val="000000"/>
                <w:sz w:val="18"/>
                <w:szCs w:val="18"/>
              </w:rPr>
              <w:t xml:space="preserve"> </w:t>
            </w:r>
            <w:r w:rsidRPr="00415C44">
              <w:rPr>
                <w:rFonts w:eastAsia="Times New Roman"/>
                <w:color w:val="000000"/>
                <w:sz w:val="18"/>
                <w:szCs w:val="18"/>
              </w:rPr>
              <w:t>2018</w:t>
            </w:r>
          </w:p>
        </w:tc>
      </w:tr>
      <w:tr w:rsidR="002903CD" w:rsidRPr="00415C44" w14:paraId="79DD2B1C" w14:textId="77777777" w:rsidTr="00DF36DB">
        <w:trPr>
          <w:trHeight w:val="308"/>
        </w:trPr>
        <w:tc>
          <w:tcPr>
            <w:tcW w:w="2045" w:type="dxa"/>
            <w:tcBorders>
              <w:top w:val="nil"/>
              <w:left w:val="single" w:sz="4" w:space="0" w:color="auto"/>
              <w:bottom w:val="nil"/>
              <w:right w:val="single" w:sz="4" w:space="0" w:color="auto"/>
            </w:tcBorders>
            <w:shd w:val="clear" w:color="auto" w:fill="auto"/>
            <w:noWrap/>
            <w:vAlign w:val="bottom"/>
            <w:hideMark/>
          </w:tcPr>
          <w:p w14:paraId="3E3F2C76" w14:textId="77777777" w:rsidR="002903CD" w:rsidRPr="00415C44" w:rsidRDefault="002903CD" w:rsidP="00380777">
            <w:pPr>
              <w:rPr>
                <w:rFonts w:eastAsia="Times New Roman"/>
                <w:color w:val="000000"/>
                <w:sz w:val="18"/>
                <w:szCs w:val="18"/>
              </w:rPr>
            </w:pPr>
            <w:r w:rsidRPr="00415C44">
              <w:rPr>
                <w:rFonts w:eastAsia="Times New Roman"/>
                <w:color w:val="000000"/>
                <w:sz w:val="18"/>
                <w:szCs w:val="18"/>
              </w:rPr>
              <w:t>Asset Value (US$ Bn)</w:t>
            </w:r>
          </w:p>
        </w:tc>
        <w:tc>
          <w:tcPr>
            <w:tcW w:w="623" w:type="dxa"/>
            <w:tcBorders>
              <w:top w:val="nil"/>
              <w:left w:val="nil"/>
              <w:bottom w:val="nil"/>
              <w:right w:val="single" w:sz="4" w:space="0" w:color="auto"/>
            </w:tcBorders>
            <w:shd w:val="clear" w:color="auto" w:fill="auto"/>
            <w:noWrap/>
            <w:vAlign w:val="bottom"/>
            <w:hideMark/>
          </w:tcPr>
          <w:p w14:paraId="18997892"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219</w:t>
            </w:r>
          </w:p>
        </w:tc>
        <w:tc>
          <w:tcPr>
            <w:tcW w:w="624" w:type="dxa"/>
            <w:tcBorders>
              <w:top w:val="nil"/>
              <w:left w:val="nil"/>
              <w:bottom w:val="nil"/>
              <w:right w:val="single" w:sz="4" w:space="0" w:color="auto"/>
            </w:tcBorders>
            <w:shd w:val="clear" w:color="auto" w:fill="auto"/>
            <w:noWrap/>
            <w:vAlign w:val="bottom"/>
            <w:hideMark/>
          </w:tcPr>
          <w:p w14:paraId="52B33A60"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226</w:t>
            </w:r>
          </w:p>
        </w:tc>
        <w:tc>
          <w:tcPr>
            <w:tcW w:w="624" w:type="dxa"/>
            <w:tcBorders>
              <w:top w:val="nil"/>
              <w:left w:val="nil"/>
              <w:bottom w:val="nil"/>
              <w:right w:val="single" w:sz="4" w:space="0" w:color="auto"/>
            </w:tcBorders>
            <w:shd w:val="clear" w:color="auto" w:fill="auto"/>
            <w:noWrap/>
            <w:vAlign w:val="bottom"/>
            <w:hideMark/>
          </w:tcPr>
          <w:p w14:paraId="40D35DB3"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281</w:t>
            </w:r>
          </w:p>
        </w:tc>
        <w:tc>
          <w:tcPr>
            <w:tcW w:w="624" w:type="dxa"/>
            <w:tcBorders>
              <w:top w:val="nil"/>
              <w:left w:val="nil"/>
              <w:bottom w:val="nil"/>
              <w:right w:val="single" w:sz="4" w:space="0" w:color="auto"/>
            </w:tcBorders>
            <w:shd w:val="clear" w:color="auto" w:fill="auto"/>
            <w:noWrap/>
            <w:vAlign w:val="bottom"/>
            <w:hideMark/>
          </w:tcPr>
          <w:p w14:paraId="07BE7A4A"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268</w:t>
            </w:r>
          </w:p>
        </w:tc>
        <w:tc>
          <w:tcPr>
            <w:tcW w:w="624" w:type="dxa"/>
            <w:tcBorders>
              <w:top w:val="nil"/>
              <w:left w:val="nil"/>
              <w:bottom w:val="nil"/>
              <w:right w:val="single" w:sz="4" w:space="0" w:color="auto"/>
            </w:tcBorders>
            <w:shd w:val="clear" w:color="auto" w:fill="auto"/>
            <w:noWrap/>
            <w:vAlign w:val="bottom"/>
            <w:hideMark/>
          </w:tcPr>
          <w:p w14:paraId="31662FB1"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331</w:t>
            </w:r>
          </w:p>
        </w:tc>
        <w:tc>
          <w:tcPr>
            <w:tcW w:w="624" w:type="dxa"/>
            <w:tcBorders>
              <w:top w:val="nil"/>
              <w:left w:val="nil"/>
              <w:bottom w:val="nil"/>
              <w:right w:val="single" w:sz="4" w:space="0" w:color="auto"/>
            </w:tcBorders>
            <w:shd w:val="clear" w:color="auto" w:fill="auto"/>
            <w:noWrap/>
            <w:vAlign w:val="bottom"/>
            <w:hideMark/>
          </w:tcPr>
          <w:p w14:paraId="384065BA"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395</w:t>
            </w:r>
          </w:p>
        </w:tc>
        <w:tc>
          <w:tcPr>
            <w:tcW w:w="624" w:type="dxa"/>
            <w:tcBorders>
              <w:top w:val="nil"/>
              <w:left w:val="nil"/>
              <w:bottom w:val="nil"/>
              <w:right w:val="single" w:sz="4" w:space="0" w:color="auto"/>
            </w:tcBorders>
            <w:shd w:val="clear" w:color="auto" w:fill="auto"/>
            <w:noWrap/>
            <w:vAlign w:val="bottom"/>
            <w:hideMark/>
          </w:tcPr>
          <w:p w14:paraId="198B74E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438</w:t>
            </w:r>
          </w:p>
        </w:tc>
        <w:tc>
          <w:tcPr>
            <w:tcW w:w="624" w:type="dxa"/>
            <w:tcBorders>
              <w:top w:val="nil"/>
              <w:left w:val="nil"/>
              <w:bottom w:val="nil"/>
              <w:right w:val="single" w:sz="4" w:space="0" w:color="auto"/>
            </w:tcBorders>
            <w:shd w:val="clear" w:color="auto" w:fill="auto"/>
            <w:noWrap/>
            <w:vAlign w:val="bottom"/>
            <w:hideMark/>
          </w:tcPr>
          <w:p w14:paraId="16107DB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488</w:t>
            </w:r>
          </w:p>
        </w:tc>
        <w:tc>
          <w:tcPr>
            <w:tcW w:w="624" w:type="dxa"/>
            <w:tcBorders>
              <w:top w:val="nil"/>
              <w:left w:val="nil"/>
              <w:bottom w:val="nil"/>
              <w:right w:val="single" w:sz="4" w:space="0" w:color="auto"/>
            </w:tcBorders>
            <w:shd w:val="clear" w:color="auto" w:fill="auto"/>
            <w:noWrap/>
            <w:vAlign w:val="bottom"/>
            <w:hideMark/>
          </w:tcPr>
          <w:p w14:paraId="11B38703"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542</w:t>
            </w:r>
          </w:p>
        </w:tc>
        <w:tc>
          <w:tcPr>
            <w:tcW w:w="624" w:type="dxa"/>
            <w:tcBorders>
              <w:top w:val="nil"/>
              <w:left w:val="nil"/>
              <w:bottom w:val="nil"/>
              <w:right w:val="single" w:sz="4" w:space="0" w:color="auto"/>
            </w:tcBorders>
            <w:shd w:val="clear" w:color="auto" w:fill="auto"/>
            <w:noWrap/>
            <w:vAlign w:val="bottom"/>
            <w:hideMark/>
          </w:tcPr>
          <w:p w14:paraId="2F4F340A"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762</w:t>
            </w:r>
          </w:p>
        </w:tc>
        <w:tc>
          <w:tcPr>
            <w:tcW w:w="1066" w:type="dxa"/>
            <w:tcBorders>
              <w:top w:val="nil"/>
              <w:left w:val="nil"/>
              <w:bottom w:val="nil"/>
              <w:right w:val="single" w:sz="4" w:space="0" w:color="auto"/>
            </w:tcBorders>
            <w:shd w:val="clear" w:color="auto" w:fill="auto"/>
            <w:noWrap/>
            <w:vAlign w:val="bottom"/>
            <w:hideMark/>
          </w:tcPr>
          <w:p w14:paraId="0C8C3515"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788</w:t>
            </w:r>
          </w:p>
        </w:tc>
      </w:tr>
      <w:tr w:rsidR="002903CD" w:rsidRPr="00415C44" w14:paraId="7ABD2A75" w14:textId="77777777" w:rsidTr="00DF36DB">
        <w:trPr>
          <w:trHeight w:val="308"/>
        </w:trPr>
        <w:tc>
          <w:tcPr>
            <w:tcW w:w="2045" w:type="dxa"/>
            <w:tcBorders>
              <w:top w:val="nil"/>
              <w:left w:val="single" w:sz="4" w:space="0" w:color="auto"/>
              <w:bottom w:val="single" w:sz="4" w:space="0" w:color="auto"/>
              <w:right w:val="single" w:sz="4" w:space="0" w:color="auto"/>
            </w:tcBorders>
            <w:shd w:val="clear" w:color="auto" w:fill="auto"/>
            <w:noWrap/>
            <w:vAlign w:val="bottom"/>
            <w:hideMark/>
          </w:tcPr>
          <w:p w14:paraId="34CBD220" w14:textId="77777777" w:rsidR="002903CD" w:rsidRPr="00415C44" w:rsidRDefault="002903CD" w:rsidP="00380777">
            <w:pPr>
              <w:rPr>
                <w:rFonts w:eastAsia="Times New Roman"/>
                <w:color w:val="000000"/>
                <w:sz w:val="18"/>
                <w:szCs w:val="18"/>
              </w:rPr>
            </w:pPr>
            <w:r w:rsidRPr="00415C44">
              <w:rPr>
                <w:rFonts w:eastAsia="Times New Roman"/>
                <w:color w:val="000000"/>
                <w:sz w:val="18"/>
                <w:szCs w:val="18"/>
              </w:rPr>
              <w:t>Growth rate (%)</w:t>
            </w:r>
          </w:p>
        </w:tc>
        <w:tc>
          <w:tcPr>
            <w:tcW w:w="623" w:type="dxa"/>
            <w:tcBorders>
              <w:top w:val="nil"/>
              <w:left w:val="nil"/>
              <w:bottom w:val="single" w:sz="4" w:space="0" w:color="auto"/>
              <w:right w:val="single" w:sz="4" w:space="0" w:color="auto"/>
            </w:tcBorders>
            <w:shd w:val="clear" w:color="auto" w:fill="auto"/>
            <w:noWrap/>
            <w:vAlign w:val="bottom"/>
            <w:hideMark/>
          </w:tcPr>
          <w:p w14:paraId="0A48E055"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65.91</w:t>
            </w:r>
          </w:p>
        </w:tc>
        <w:tc>
          <w:tcPr>
            <w:tcW w:w="624" w:type="dxa"/>
            <w:tcBorders>
              <w:top w:val="nil"/>
              <w:left w:val="nil"/>
              <w:bottom w:val="single" w:sz="4" w:space="0" w:color="auto"/>
              <w:right w:val="single" w:sz="4" w:space="0" w:color="auto"/>
            </w:tcBorders>
            <w:shd w:val="clear" w:color="auto" w:fill="auto"/>
            <w:noWrap/>
            <w:vAlign w:val="bottom"/>
            <w:hideMark/>
          </w:tcPr>
          <w:p w14:paraId="28D2D40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3.20</w:t>
            </w:r>
          </w:p>
        </w:tc>
        <w:tc>
          <w:tcPr>
            <w:tcW w:w="624" w:type="dxa"/>
            <w:tcBorders>
              <w:top w:val="nil"/>
              <w:left w:val="nil"/>
              <w:bottom w:val="single" w:sz="4" w:space="0" w:color="auto"/>
              <w:right w:val="single" w:sz="4" w:space="0" w:color="auto"/>
            </w:tcBorders>
            <w:shd w:val="clear" w:color="auto" w:fill="auto"/>
            <w:noWrap/>
            <w:vAlign w:val="bottom"/>
            <w:hideMark/>
          </w:tcPr>
          <w:p w14:paraId="3B1CDE65"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24.34</w:t>
            </w:r>
          </w:p>
        </w:tc>
        <w:tc>
          <w:tcPr>
            <w:tcW w:w="624" w:type="dxa"/>
            <w:tcBorders>
              <w:top w:val="nil"/>
              <w:left w:val="nil"/>
              <w:bottom w:val="single" w:sz="4" w:space="0" w:color="auto"/>
              <w:right w:val="single" w:sz="4" w:space="0" w:color="auto"/>
            </w:tcBorders>
            <w:shd w:val="clear" w:color="auto" w:fill="auto"/>
            <w:noWrap/>
            <w:vAlign w:val="bottom"/>
            <w:hideMark/>
          </w:tcPr>
          <w:p w14:paraId="5D8C97F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-4.63</w:t>
            </w:r>
          </w:p>
        </w:tc>
        <w:tc>
          <w:tcPr>
            <w:tcW w:w="624" w:type="dxa"/>
            <w:tcBorders>
              <w:top w:val="nil"/>
              <w:left w:val="nil"/>
              <w:bottom w:val="single" w:sz="4" w:space="0" w:color="auto"/>
              <w:right w:val="single" w:sz="4" w:space="0" w:color="auto"/>
            </w:tcBorders>
            <w:shd w:val="clear" w:color="auto" w:fill="auto"/>
            <w:noWrap/>
            <w:vAlign w:val="bottom"/>
            <w:hideMark/>
          </w:tcPr>
          <w:p w14:paraId="75AEBF4F"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23.51</w:t>
            </w:r>
          </w:p>
        </w:tc>
        <w:tc>
          <w:tcPr>
            <w:tcW w:w="624" w:type="dxa"/>
            <w:tcBorders>
              <w:top w:val="nil"/>
              <w:left w:val="nil"/>
              <w:bottom w:val="single" w:sz="4" w:space="0" w:color="auto"/>
              <w:right w:val="single" w:sz="4" w:space="0" w:color="auto"/>
            </w:tcBorders>
            <w:shd w:val="clear" w:color="auto" w:fill="auto"/>
            <w:noWrap/>
            <w:vAlign w:val="bottom"/>
            <w:hideMark/>
          </w:tcPr>
          <w:p w14:paraId="4BEE3F12"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19.34</w:t>
            </w:r>
          </w:p>
        </w:tc>
        <w:tc>
          <w:tcPr>
            <w:tcW w:w="624" w:type="dxa"/>
            <w:tcBorders>
              <w:top w:val="nil"/>
              <w:left w:val="nil"/>
              <w:bottom w:val="single" w:sz="4" w:space="0" w:color="auto"/>
              <w:right w:val="single" w:sz="4" w:space="0" w:color="auto"/>
            </w:tcBorders>
            <w:shd w:val="clear" w:color="auto" w:fill="auto"/>
            <w:noWrap/>
            <w:vAlign w:val="bottom"/>
            <w:hideMark/>
          </w:tcPr>
          <w:p w14:paraId="0DF67BAB"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10.89</w:t>
            </w:r>
          </w:p>
        </w:tc>
        <w:tc>
          <w:tcPr>
            <w:tcW w:w="624" w:type="dxa"/>
            <w:tcBorders>
              <w:top w:val="nil"/>
              <w:left w:val="nil"/>
              <w:bottom w:val="single" w:sz="4" w:space="0" w:color="auto"/>
              <w:right w:val="single" w:sz="4" w:space="0" w:color="auto"/>
            </w:tcBorders>
            <w:shd w:val="clear" w:color="auto" w:fill="auto"/>
            <w:noWrap/>
            <w:vAlign w:val="bottom"/>
            <w:hideMark/>
          </w:tcPr>
          <w:p w14:paraId="43F318B3"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11.42</w:t>
            </w:r>
          </w:p>
        </w:tc>
        <w:tc>
          <w:tcPr>
            <w:tcW w:w="624" w:type="dxa"/>
            <w:tcBorders>
              <w:top w:val="nil"/>
              <w:left w:val="nil"/>
              <w:bottom w:val="single" w:sz="4" w:space="0" w:color="auto"/>
              <w:right w:val="single" w:sz="4" w:space="0" w:color="auto"/>
            </w:tcBorders>
            <w:shd w:val="clear" w:color="auto" w:fill="auto"/>
            <w:noWrap/>
            <w:vAlign w:val="bottom"/>
            <w:hideMark/>
          </w:tcPr>
          <w:p w14:paraId="6007731A"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11.07</w:t>
            </w:r>
          </w:p>
        </w:tc>
        <w:tc>
          <w:tcPr>
            <w:tcW w:w="624" w:type="dxa"/>
            <w:tcBorders>
              <w:top w:val="nil"/>
              <w:left w:val="nil"/>
              <w:bottom w:val="single" w:sz="4" w:space="0" w:color="auto"/>
              <w:right w:val="single" w:sz="4" w:space="0" w:color="auto"/>
            </w:tcBorders>
            <w:shd w:val="clear" w:color="auto" w:fill="auto"/>
            <w:noWrap/>
            <w:vAlign w:val="bottom"/>
            <w:hideMark/>
          </w:tcPr>
          <w:p w14:paraId="18D791C0"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40.59</w:t>
            </w:r>
          </w:p>
        </w:tc>
        <w:tc>
          <w:tcPr>
            <w:tcW w:w="1066" w:type="dxa"/>
            <w:tcBorders>
              <w:top w:val="nil"/>
              <w:left w:val="nil"/>
              <w:bottom w:val="single" w:sz="4" w:space="0" w:color="auto"/>
              <w:right w:val="single" w:sz="4" w:space="0" w:color="auto"/>
            </w:tcBorders>
            <w:shd w:val="clear" w:color="auto" w:fill="auto"/>
            <w:noWrap/>
            <w:vAlign w:val="bottom"/>
            <w:hideMark/>
          </w:tcPr>
          <w:p w14:paraId="20FF3C68"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3.41</w:t>
            </w:r>
          </w:p>
        </w:tc>
      </w:tr>
      <w:tr w:rsidR="002903CD" w:rsidRPr="00415C44" w14:paraId="452E31F1" w14:textId="77777777" w:rsidTr="00DF36DB">
        <w:trPr>
          <w:trHeight w:val="308"/>
        </w:trPr>
        <w:tc>
          <w:tcPr>
            <w:tcW w:w="2045" w:type="dxa"/>
            <w:tcBorders>
              <w:top w:val="nil"/>
              <w:left w:val="single" w:sz="4" w:space="0" w:color="auto"/>
              <w:bottom w:val="single" w:sz="4" w:space="0" w:color="auto"/>
              <w:right w:val="single" w:sz="4" w:space="0" w:color="auto"/>
            </w:tcBorders>
            <w:shd w:val="clear" w:color="auto" w:fill="auto"/>
            <w:noWrap/>
            <w:vAlign w:val="bottom"/>
          </w:tcPr>
          <w:p w14:paraId="4612D20D" w14:textId="77777777" w:rsidR="002903CD" w:rsidRPr="00415C44" w:rsidRDefault="002903CD" w:rsidP="00380777">
            <w:pPr>
              <w:rPr>
                <w:rFonts w:eastAsia="Times New Roman"/>
                <w:color w:val="000000"/>
                <w:sz w:val="18"/>
                <w:szCs w:val="18"/>
              </w:rPr>
            </w:pPr>
            <w:r w:rsidRPr="00415C44">
              <w:rPr>
                <w:rFonts w:eastAsia="Times New Roman"/>
                <w:color w:val="000000"/>
                <w:sz w:val="18"/>
                <w:szCs w:val="18"/>
              </w:rPr>
              <w:t>No. of ETFs</w:t>
            </w:r>
          </w:p>
        </w:tc>
        <w:tc>
          <w:tcPr>
            <w:tcW w:w="623" w:type="dxa"/>
            <w:tcBorders>
              <w:top w:val="nil"/>
              <w:left w:val="nil"/>
              <w:bottom w:val="single" w:sz="4" w:space="0" w:color="auto"/>
              <w:right w:val="single" w:sz="4" w:space="0" w:color="auto"/>
            </w:tcBorders>
            <w:shd w:val="clear" w:color="auto" w:fill="auto"/>
            <w:noWrap/>
            <w:vAlign w:val="bottom"/>
          </w:tcPr>
          <w:p w14:paraId="5B1106D3"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640</w:t>
            </w:r>
          </w:p>
        </w:tc>
        <w:tc>
          <w:tcPr>
            <w:tcW w:w="624" w:type="dxa"/>
            <w:tcBorders>
              <w:top w:val="nil"/>
              <w:left w:val="nil"/>
              <w:bottom w:val="single" w:sz="4" w:space="0" w:color="auto"/>
              <w:right w:val="single" w:sz="4" w:space="0" w:color="auto"/>
            </w:tcBorders>
            <w:shd w:val="clear" w:color="auto" w:fill="auto"/>
            <w:noWrap/>
            <w:vAlign w:val="bottom"/>
          </w:tcPr>
          <w:p w14:paraId="373FBF25"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833</w:t>
            </w:r>
          </w:p>
        </w:tc>
        <w:tc>
          <w:tcPr>
            <w:tcW w:w="624" w:type="dxa"/>
            <w:tcBorders>
              <w:top w:val="nil"/>
              <w:left w:val="nil"/>
              <w:bottom w:val="single" w:sz="4" w:space="0" w:color="auto"/>
              <w:right w:val="single" w:sz="4" w:space="0" w:color="auto"/>
            </w:tcBorders>
            <w:shd w:val="clear" w:color="auto" w:fill="auto"/>
            <w:noWrap/>
            <w:vAlign w:val="bottom"/>
          </w:tcPr>
          <w:p w14:paraId="2394B6E6"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1069</w:t>
            </w:r>
          </w:p>
        </w:tc>
        <w:tc>
          <w:tcPr>
            <w:tcW w:w="624" w:type="dxa"/>
            <w:tcBorders>
              <w:top w:val="nil"/>
              <w:left w:val="nil"/>
              <w:bottom w:val="single" w:sz="4" w:space="0" w:color="auto"/>
              <w:right w:val="single" w:sz="4" w:space="0" w:color="auto"/>
            </w:tcBorders>
            <w:shd w:val="clear" w:color="auto" w:fill="auto"/>
            <w:noWrap/>
            <w:vAlign w:val="bottom"/>
          </w:tcPr>
          <w:p w14:paraId="1B3961D6"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1227</w:t>
            </w:r>
          </w:p>
        </w:tc>
        <w:tc>
          <w:tcPr>
            <w:tcW w:w="624" w:type="dxa"/>
            <w:tcBorders>
              <w:top w:val="nil"/>
              <w:left w:val="nil"/>
              <w:bottom w:val="single" w:sz="4" w:space="0" w:color="auto"/>
              <w:right w:val="single" w:sz="4" w:space="0" w:color="auto"/>
            </w:tcBorders>
            <w:shd w:val="clear" w:color="auto" w:fill="auto"/>
            <w:noWrap/>
            <w:vAlign w:val="bottom"/>
          </w:tcPr>
          <w:p w14:paraId="036AFEC6"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1325</w:t>
            </w:r>
          </w:p>
        </w:tc>
        <w:tc>
          <w:tcPr>
            <w:tcW w:w="624" w:type="dxa"/>
            <w:tcBorders>
              <w:top w:val="nil"/>
              <w:left w:val="nil"/>
              <w:bottom w:val="single" w:sz="4" w:space="0" w:color="auto"/>
              <w:right w:val="single" w:sz="4" w:space="0" w:color="auto"/>
            </w:tcBorders>
            <w:shd w:val="clear" w:color="auto" w:fill="auto"/>
            <w:noWrap/>
            <w:vAlign w:val="bottom"/>
          </w:tcPr>
          <w:p w14:paraId="3ABCB5F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1375</w:t>
            </w:r>
          </w:p>
        </w:tc>
        <w:tc>
          <w:tcPr>
            <w:tcW w:w="624" w:type="dxa"/>
            <w:tcBorders>
              <w:top w:val="nil"/>
              <w:left w:val="nil"/>
              <w:bottom w:val="single" w:sz="4" w:space="0" w:color="auto"/>
              <w:right w:val="single" w:sz="4" w:space="0" w:color="auto"/>
            </w:tcBorders>
            <w:shd w:val="clear" w:color="auto" w:fill="auto"/>
            <w:noWrap/>
            <w:vAlign w:val="bottom"/>
          </w:tcPr>
          <w:p w14:paraId="749D9BDF"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1459</w:t>
            </w:r>
          </w:p>
        </w:tc>
        <w:tc>
          <w:tcPr>
            <w:tcW w:w="624" w:type="dxa"/>
            <w:tcBorders>
              <w:top w:val="nil"/>
              <w:left w:val="nil"/>
              <w:bottom w:val="single" w:sz="4" w:space="0" w:color="auto"/>
              <w:right w:val="single" w:sz="4" w:space="0" w:color="auto"/>
            </w:tcBorders>
            <w:shd w:val="clear" w:color="auto" w:fill="auto"/>
            <w:noWrap/>
            <w:vAlign w:val="bottom"/>
          </w:tcPr>
          <w:p w14:paraId="5D719D5D"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1542</w:t>
            </w:r>
          </w:p>
        </w:tc>
        <w:tc>
          <w:tcPr>
            <w:tcW w:w="624" w:type="dxa"/>
            <w:tcBorders>
              <w:top w:val="nil"/>
              <w:left w:val="nil"/>
              <w:bottom w:val="single" w:sz="4" w:space="0" w:color="auto"/>
              <w:right w:val="single" w:sz="4" w:space="0" w:color="auto"/>
            </w:tcBorders>
            <w:shd w:val="clear" w:color="auto" w:fill="auto"/>
            <w:noWrap/>
            <w:vAlign w:val="bottom"/>
          </w:tcPr>
          <w:p w14:paraId="6AAEF397"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1560</w:t>
            </w:r>
          </w:p>
        </w:tc>
        <w:tc>
          <w:tcPr>
            <w:tcW w:w="624" w:type="dxa"/>
            <w:tcBorders>
              <w:top w:val="nil"/>
              <w:left w:val="nil"/>
              <w:bottom w:val="single" w:sz="4" w:space="0" w:color="auto"/>
              <w:right w:val="single" w:sz="4" w:space="0" w:color="auto"/>
            </w:tcBorders>
            <w:shd w:val="clear" w:color="auto" w:fill="auto"/>
            <w:noWrap/>
            <w:vAlign w:val="bottom"/>
          </w:tcPr>
          <w:p w14:paraId="54C3DCE4"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1610</w:t>
            </w:r>
          </w:p>
        </w:tc>
        <w:tc>
          <w:tcPr>
            <w:tcW w:w="1066" w:type="dxa"/>
            <w:tcBorders>
              <w:top w:val="nil"/>
              <w:left w:val="nil"/>
              <w:bottom w:val="single" w:sz="4" w:space="0" w:color="auto"/>
              <w:right w:val="single" w:sz="4" w:space="0" w:color="auto"/>
            </w:tcBorders>
            <w:shd w:val="clear" w:color="auto" w:fill="auto"/>
            <w:noWrap/>
            <w:vAlign w:val="bottom"/>
          </w:tcPr>
          <w:p w14:paraId="78FE0C63" w14:textId="77777777" w:rsidR="002903CD" w:rsidRPr="00415C44" w:rsidRDefault="002903CD" w:rsidP="00380777">
            <w:pPr>
              <w:jc w:val="center"/>
              <w:rPr>
                <w:rFonts w:eastAsia="Times New Roman"/>
                <w:color w:val="000000"/>
                <w:sz w:val="18"/>
                <w:szCs w:val="18"/>
              </w:rPr>
            </w:pPr>
            <w:r w:rsidRPr="00415C44">
              <w:rPr>
                <w:rFonts w:eastAsia="Times New Roman"/>
                <w:color w:val="000000"/>
                <w:sz w:val="18"/>
                <w:szCs w:val="18"/>
              </w:rPr>
              <w:t>1675</w:t>
            </w:r>
          </w:p>
        </w:tc>
      </w:tr>
    </w:tbl>
    <w:p w14:paraId="183ECDAF" w14:textId="77777777" w:rsidR="002903CD" w:rsidRPr="00A56C94" w:rsidRDefault="002903CD" w:rsidP="00A56C94">
      <w:pPr>
        <w:spacing w:before="120"/>
        <w:jc w:val="both"/>
        <w:rPr>
          <w:i/>
          <w:sz w:val="20"/>
          <w:szCs w:val="20"/>
        </w:rPr>
      </w:pPr>
      <w:r w:rsidRPr="00A56C94">
        <w:rPr>
          <w:i/>
          <w:color w:val="333333"/>
          <w:sz w:val="20"/>
          <w:szCs w:val="20"/>
        </w:rPr>
        <w:t>Source: ETFGI data sourced from ETF/ETP sponsors, exchanges, regulatory filings, Thomson Reuters/Lipper, Bloomberg, publicly available sources, and data generated in-house.</w:t>
      </w:r>
    </w:p>
    <w:p w14:paraId="3C6571F7" w14:textId="77777777" w:rsidR="002903CD" w:rsidRPr="00EA7143" w:rsidRDefault="002903CD" w:rsidP="002903CD"/>
    <w:p w14:paraId="1AD1DDD6" w14:textId="6FFF89EF" w:rsidR="002903CD" w:rsidRPr="00185EDB" w:rsidRDefault="002903CD" w:rsidP="002903CD">
      <w:pPr>
        <w:spacing w:line="480" w:lineRule="auto"/>
        <w:jc w:val="both"/>
      </w:pPr>
      <w:r w:rsidRPr="00EA7143">
        <w:rPr>
          <w:iCs/>
          <w:color w:val="000000" w:themeColor="text1"/>
        </w:rPr>
        <w:t xml:space="preserve">We </w:t>
      </w:r>
      <w:r>
        <w:rPr>
          <w:iCs/>
          <w:color w:val="000000" w:themeColor="text1"/>
        </w:rPr>
        <w:t xml:space="preserve">purposely </w:t>
      </w:r>
      <w:r w:rsidRPr="00EA7143">
        <w:rPr>
          <w:iCs/>
          <w:color w:val="000000" w:themeColor="text1"/>
        </w:rPr>
        <w:t xml:space="preserve">classified the above data </w:t>
      </w:r>
      <w:r>
        <w:rPr>
          <w:iCs/>
          <w:color w:val="000000" w:themeColor="text1"/>
        </w:rPr>
        <w:t>into</w:t>
      </w:r>
      <w:r w:rsidRPr="00EA7143">
        <w:rPr>
          <w:iCs/>
          <w:color w:val="000000" w:themeColor="text1"/>
        </w:rPr>
        <w:t xml:space="preserve"> three particular time periods: the 2008 financial crisis, 2010</w:t>
      </w:r>
      <w:r w:rsidRPr="00962D47">
        <w:rPr>
          <w:iCs/>
          <w:color w:val="000000" w:themeColor="text1"/>
        </w:rPr>
        <w:t>–</w:t>
      </w:r>
      <w:r w:rsidRPr="00EA7143">
        <w:rPr>
          <w:iCs/>
          <w:color w:val="000000" w:themeColor="text1"/>
        </w:rPr>
        <w:t>2013 post-crisis (i.e. our actual sample period in the paper), and 2014</w:t>
      </w:r>
      <w:r w:rsidRPr="00962D47">
        <w:rPr>
          <w:iCs/>
          <w:color w:val="000000" w:themeColor="text1"/>
        </w:rPr>
        <w:t>–</w:t>
      </w:r>
      <w:r w:rsidRPr="00EA7143">
        <w:rPr>
          <w:iCs/>
          <w:color w:val="000000" w:themeColor="text1"/>
        </w:rPr>
        <w:t xml:space="preserve">2018 post-crisis periods. Overall, we </w:t>
      </w:r>
      <w:r>
        <w:rPr>
          <w:iCs/>
          <w:color w:val="000000" w:themeColor="text1"/>
        </w:rPr>
        <w:t xml:space="preserve">found </w:t>
      </w:r>
      <w:r w:rsidRPr="00EA7143">
        <w:rPr>
          <w:iCs/>
          <w:color w:val="000000" w:themeColor="text1"/>
        </w:rPr>
        <w:t xml:space="preserve">compelling evidence that the two </w:t>
      </w:r>
      <w:r w:rsidRPr="00EA7143">
        <w:rPr>
          <w:i/>
          <w:iCs/>
          <w:color w:val="000000" w:themeColor="text1"/>
        </w:rPr>
        <w:t>post-crisis</w:t>
      </w:r>
      <w:r w:rsidRPr="00EA7143">
        <w:rPr>
          <w:iCs/>
          <w:color w:val="000000" w:themeColor="text1"/>
        </w:rPr>
        <w:t xml:space="preserve"> periods exhibit similar trend</w:t>
      </w:r>
      <w:r>
        <w:rPr>
          <w:iCs/>
          <w:color w:val="000000" w:themeColor="text1"/>
        </w:rPr>
        <w:t>s</w:t>
      </w:r>
      <w:r w:rsidRPr="00EA7143">
        <w:rPr>
          <w:iCs/>
          <w:color w:val="000000" w:themeColor="text1"/>
        </w:rPr>
        <w:t xml:space="preserve">, both in terms of the ETFs asset value and size. </w:t>
      </w:r>
      <w:r>
        <w:rPr>
          <w:iCs/>
          <w:color w:val="000000" w:themeColor="text1"/>
        </w:rPr>
        <w:t xml:space="preserve">Such a high similarity, following Deloitte Consulting, is owing to </w:t>
      </w:r>
      <w:r>
        <w:t xml:space="preserve">the post-crisis quantitative easing bull run in the financial market (p. 1, </w:t>
      </w:r>
      <w:r w:rsidRPr="00EA7143">
        <w:rPr>
          <w:iCs/>
        </w:rPr>
        <w:t>https://www2.deloitte.com/content/dam/Deloitte/lu/Documents/financial-services/performancemagazine/articles/lu_growth-etf-in-europe-012017.pdf</w:t>
      </w:r>
      <w:r>
        <w:rPr>
          <w:iCs/>
        </w:rPr>
        <w:t>).</w:t>
      </w:r>
      <w:r>
        <w:t xml:space="preserve"> In this regard, we are confident that </w:t>
      </w:r>
      <w:r>
        <w:rPr>
          <w:iCs/>
          <w:color w:val="000000" w:themeColor="text1"/>
        </w:rPr>
        <w:t>it will be appropriate for us to</w:t>
      </w:r>
      <w:r w:rsidRPr="00EA7143">
        <w:rPr>
          <w:iCs/>
          <w:color w:val="000000" w:themeColor="text1"/>
        </w:rPr>
        <w:t xml:space="preserve"> </w:t>
      </w:r>
      <w:r>
        <w:rPr>
          <w:iCs/>
          <w:color w:val="000000" w:themeColor="text1"/>
        </w:rPr>
        <w:t>extrapolate</w:t>
      </w:r>
      <w:r w:rsidRPr="00EA7143">
        <w:rPr>
          <w:iCs/>
          <w:color w:val="000000" w:themeColor="text1"/>
        </w:rPr>
        <w:t xml:space="preserve"> our </w:t>
      </w:r>
      <w:r>
        <w:rPr>
          <w:iCs/>
          <w:color w:val="000000" w:themeColor="text1"/>
        </w:rPr>
        <w:t xml:space="preserve">existing </w:t>
      </w:r>
      <w:r w:rsidRPr="00EA7143">
        <w:rPr>
          <w:iCs/>
          <w:color w:val="000000" w:themeColor="text1"/>
        </w:rPr>
        <w:t>research results, based on January 2010</w:t>
      </w:r>
      <w:r w:rsidRPr="00CC6489">
        <w:rPr>
          <w:iCs/>
          <w:color w:val="000000" w:themeColor="text1"/>
        </w:rPr>
        <w:t>–</w:t>
      </w:r>
      <w:r w:rsidRPr="00EA7143">
        <w:rPr>
          <w:iCs/>
          <w:color w:val="000000" w:themeColor="text1"/>
        </w:rPr>
        <w:t xml:space="preserve">December 2013, to the future period </w:t>
      </w:r>
      <w:r>
        <w:rPr>
          <w:iCs/>
          <w:color w:val="000000" w:themeColor="text1"/>
        </w:rPr>
        <w:t xml:space="preserve">of </w:t>
      </w:r>
      <w:r w:rsidRPr="00EA7143">
        <w:rPr>
          <w:iCs/>
          <w:color w:val="000000" w:themeColor="text1"/>
        </w:rPr>
        <w:t>2014</w:t>
      </w:r>
      <w:r w:rsidRPr="00CC6489">
        <w:rPr>
          <w:iCs/>
          <w:color w:val="000000" w:themeColor="text1"/>
        </w:rPr>
        <w:t>–</w:t>
      </w:r>
      <w:r w:rsidRPr="00EA7143">
        <w:rPr>
          <w:iCs/>
          <w:color w:val="000000" w:themeColor="text1"/>
        </w:rPr>
        <w:t xml:space="preserve">2018. We illustrate these points in conjunction with the statistics outlined in </w:t>
      </w:r>
      <w:r w:rsidR="0035300A">
        <w:rPr>
          <w:iCs/>
          <w:color w:val="000000" w:themeColor="text1"/>
        </w:rPr>
        <w:t>Table 1</w:t>
      </w:r>
      <w:r w:rsidRPr="00EA7143">
        <w:rPr>
          <w:iCs/>
          <w:color w:val="000000" w:themeColor="text1"/>
        </w:rPr>
        <w:t xml:space="preserve"> as follows.</w:t>
      </w:r>
    </w:p>
    <w:p w14:paraId="00380AB3" w14:textId="77777777" w:rsidR="002903CD" w:rsidRDefault="002903CD" w:rsidP="002903CD">
      <w:pPr>
        <w:spacing w:line="480" w:lineRule="auto"/>
        <w:jc w:val="both"/>
      </w:pPr>
    </w:p>
    <w:p w14:paraId="00FF3219" w14:textId="08470B80" w:rsidR="002903CD" w:rsidRDefault="002903CD" w:rsidP="002903CD">
      <w:pPr>
        <w:spacing w:line="480" w:lineRule="auto"/>
        <w:jc w:val="both"/>
      </w:pPr>
      <w:r>
        <w:t>The European ETF industry continues to build on the significant growth over the last 10 years or so. ETF</w:t>
      </w:r>
      <w:r w:rsidRPr="00CC6489">
        <w:t xml:space="preserve"> </w:t>
      </w:r>
      <w:r>
        <w:t>p</w:t>
      </w:r>
      <w:r w:rsidRPr="00CC6489">
        <w:t>romoters</w:t>
      </w:r>
      <w:r>
        <w:t xml:space="preserve"> are developing new products by expanding the nature of the ETFs in the market. ETFGI </w:t>
      </w:r>
      <w:r w:rsidRPr="00EA7143">
        <w:t xml:space="preserve">reported that the assets invested in ETFs listed in Europe increased by 2.13% during July 2018 to reach US$788 billion at the end of the month. Year-to-date, assets have increased by 3.17% from $762 </w:t>
      </w:r>
      <w:r>
        <w:t>billion</w:t>
      </w:r>
      <w:r w:rsidRPr="00EA7143">
        <w:t xml:space="preserve"> at the end of 2017. </w:t>
      </w:r>
      <w:r>
        <w:t>T</w:t>
      </w:r>
      <w:r w:rsidRPr="00EA7143">
        <w:t xml:space="preserve">he growth rate of the asset value </w:t>
      </w:r>
      <w:r>
        <w:t xml:space="preserve">undoubtedly </w:t>
      </w:r>
      <w:r w:rsidRPr="00EA7143">
        <w:t xml:space="preserve">varies from </w:t>
      </w:r>
      <w:r>
        <w:t>time to time.</w:t>
      </w:r>
      <w:r w:rsidRPr="00EA7143">
        <w:t xml:space="preserve"> </w:t>
      </w:r>
      <w:r w:rsidRPr="00121E82">
        <w:t>However</w:t>
      </w:r>
      <w:r>
        <w:t>,</w:t>
      </w:r>
      <w:r w:rsidRPr="00121E82">
        <w:t xml:space="preserve"> </w:t>
      </w:r>
      <w:r>
        <w:t>it is intriguing</w:t>
      </w:r>
      <w:r w:rsidRPr="00EA7143">
        <w:t xml:space="preserve"> to </w:t>
      </w:r>
      <w:r>
        <w:t xml:space="preserve">note </w:t>
      </w:r>
      <w:r w:rsidRPr="00EA7143">
        <w:t xml:space="preserve">that, on average, the </w:t>
      </w:r>
      <w:r>
        <w:t xml:space="preserve">asset </w:t>
      </w:r>
      <w:r w:rsidRPr="00EA7143">
        <w:t xml:space="preserve">value of ETFs </w:t>
      </w:r>
      <w:r>
        <w:t xml:space="preserve">has grown </w:t>
      </w:r>
      <w:r w:rsidRPr="00EA7143">
        <w:t xml:space="preserve">at almost </w:t>
      </w:r>
      <w:r>
        <w:t xml:space="preserve">an </w:t>
      </w:r>
      <w:r w:rsidRPr="00EA7143">
        <w:t>identical rate across the two post-crisis periods</w:t>
      </w:r>
      <w:r>
        <w:t xml:space="preserve">. In particular, during the </w:t>
      </w:r>
      <w:r w:rsidRPr="00EA7143">
        <w:t>2010</w:t>
      </w:r>
      <w:r w:rsidRPr="00121E82">
        <w:t>–</w:t>
      </w:r>
      <w:r w:rsidRPr="00EA7143">
        <w:t xml:space="preserve">2013 </w:t>
      </w:r>
      <w:r w:rsidRPr="00121E82">
        <w:t xml:space="preserve">post-crisis </w:t>
      </w:r>
      <w:r w:rsidRPr="00EA7143">
        <w:t>period</w:t>
      </w:r>
      <w:r>
        <w:t>,</w:t>
      </w:r>
      <w:r w:rsidRPr="00EA7143">
        <w:t xml:space="preserve"> </w:t>
      </w:r>
      <w:r>
        <w:t xml:space="preserve">the average growth rate of the asset value was </w:t>
      </w:r>
      <w:r w:rsidRPr="00EA7143">
        <w:t>15.64%</w:t>
      </w:r>
      <w:r>
        <w:t xml:space="preserve">, whereas in the </w:t>
      </w:r>
      <w:r w:rsidRPr="00EA7143">
        <w:t>2014</w:t>
      </w:r>
      <w:r w:rsidRPr="00121E82">
        <w:t>–</w:t>
      </w:r>
      <w:r w:rsidRPr="00EA7143">
        <w:t xml:space="preserve">2018 </w:t>
      </w:r>
      <w:r w:rsidRPr="00121E82">
        <w:t xml:space="preserve">post-crisis </w:t>
      </w:r>
      <w:r w:rsidRPr="00EA7143">
        <w:t>period</w:t>
      </w:r>
      <w:r>
        <w:t xml:space="preserve">, the estimated average growth rate was </w:t>
      </w:r>
      <w:r w:rsidRPr="00EA7143">
        <w:t>15.47%</w:t>
      </w:r>
      <w:r>
        <w:t>. Such a similarity is i</w:t>
      </w:r>
      <w:r w:rsidRPr="00121E82">
        <w:t xml:space="preserve">ndeed </w:t>
      </w:r>
      <w:r>
        <w:t xml:space="preserve">attributable to the Net Asset Value of the underlying stock of the ETFs. In particular, </w:t>
      </w:r>
      <w:r w:rsidRPr="00803E5A">
        <w:t xml:space="preserve">the price of ETFs mainly </w:t>
      </w:r>
      <w:r>
        <w:t xml:space="preserve">depends </w:t>
      </w:r>
      <w:r w:rsidRPr="00803E5A">
        <w:t xml:space="preserve">on the creation and redemption mechanism to keep the value of the ETFs in line with the Net Asset Value (NAV) of the underlying stocks at the end of the trading day on which the transaction was initiated. </w:t>
      </w:r>
      <w:r>
        <w:t>Thus</w:t>
      </w:r>
      <w:r w:rsidRPr="00803E5A">
        <w:t xml:space="preserve">, in the </w:t>
      </w:r>
      <w:r>
        <w:t>two</w:t>
      </w:r>
      <w:r w:rsidRPr="00803E5A">
        <w:t xml:space="preserve"> post-crisis periods, no particular structural changes existed in the NAV of the stock, meaning that the asset values of the ETFs share </w:t>
      </w:r>
      <w:r>
        <w:t xml:space="preserve">a </w:t>
      </w:r>
      <w:r w:rsidRPr="00803E5A">
        <w:t xml:space="preserve">similar trend across the two periods (see </w:t>
      </w:r>
      <w:r w:rsidR="0035300A">
        <w:t>Table 1</w:t>
      </w:r>
      <w:r w:rsidRPr="00803E5A">
        <w:t>). In fact, NAV trading is also much more common in Europe than in the US</w:t>
      </w:r>
      <w:r>
        <w:t>,</w:t>
      </w:r>
      <w:r w:rsidRPr="00803E5A">
        <w:t xml:space="preserve"> where the market is significantly more liquid (https://www.ft.com/content/ef4b5106-58aa-11e1-b9c6-00144feabdc0: Nomura and Tradition launch new ETF trading platform)</w:t>
      </w:r>
      <w:r>
        <w:t>.</w:t>
      </w:r>
    </w:p>
    <w:p w14:paraId="59319DFB" w14:textId="77777777" w:rsidR="002903CD" w:rsidRPr="00EA7143" w:rsidRDefault="002903CD" w:rsidP="002903CD">
      <w:pPr>
        <w:spacing w:line="480" w:lineRule="auto"/>
        <w:contextualSpacing/>
        <w:jc w:val="both"/>
      </w:pPr>
    </w:p>
    <w:p w14:paraId="5F869789" w14:textId="589DCDCB" w:rsidR="002903CD" w:rsidRPr="00EA7143" w:rsidRDefault="002903CD" w:rsidP="002903CD">
      <w:pPr>
        <w:spacing w:line="480" w:lineRule="auto"/>
        <w:jc w:val="both"/>
      </w:pPr>
      <w:r>
        <w:t>Another salient feature of the</w:t>
      </w:r>
      <w:r w:rsidRPr="00ED54F4">
        <w:t xml:space="preserve"> statistics outlined in </w:t>
      </w:r>
      <w:r w:rsidR="0035300A">
        <w:t>Table 1</w:t>
      </w:r>
      <w:r>
        <w:t xml:space="preserve"> is that there is comparable evidence pertaining to the size of the European ETFs in the two post-crisis periods that we consider. </w:t>
      </w:r>
      <w:r w:rsidRPr="00EA7143">
        <w:t>The average size of the ETFs during the post-crisis period 2010</w:t>
      </w:r>
      <w:r w:rsidRPr="00121E82">
        <w:t>–</w:t>
      </w:r>
      <w:r w:rsidRPr="00EA7143">
        <w:t>2013 was 1249</w:t>
      </w:r>
      <w:r>
        <w:t xml:space="preserve">, whereas </w:t>
      </w:r>
      <w:r w:rsidRPr="00EA7143">
        <w:t>the size of the ETFs during 2014</w:t>
      </w:r>
      <w:r w:rsidRPr="00121E82">
        <w:t>–</w:t>
      </w:r>
      <w:r w:rsidRPr="00EA7143">
        <w:t xml:space="preserve">2018 was 1569. </w:t>
      </w:r>
      <w:r>
        <w:t>Here, we would like to emphasize that</w:t>
      </w:r>
      <w:r w:rsidRPr="00EA7143">
        <w:t xml:space="preserve"> the two average size</w:t>
      </w:r>
      <w:r>
        <w:t>s (per year)</w:t>
      </w:r>
      <w:r w:rsidRPr="00EA7143">
        <w:t xml:space="preserve"> </w:t>
      </w:r>
      <w:r>
        <w:t xml:space="preserve">are quite comparable, which is particularly true </w:t>
      </w:r>
      <w:r w:rsidRPr="00EA7143">
        <w:t xml:space="preserve">when </w:t>
      </w:r>
      <w:r>
        <w:t xml:space="preserve">we look at </w:t>
      </w:r>
      <w:r w:rsidRPr="00EA7143">
        <w:t xml:space="preserve">the size of the ETFs in the </w:t>
      </w:r>
      <w:r w:rsidRPr="00121E82">
        <w:t xml:space="preserve">2008 </w:t>
      </w:r>
      <w:r w:rsidRPr="00EA7143">
        <w:t xml:space="preserve">crisis period </w:t>
      </w:r>
      <w:r>
        <w:t>alone</w:t>
      </w:r>
      <w:r w:rsidRPr="00EA7143">
        <w:t>, which was 640.</w:t>
      </w:r>
    </w:p>
    <w:p w14:paraId="497050C4" w14:textId="77777777" w:rsidR="002903CD" w:rsidRPr="00EA7143" w:rsidRDefault="002903CD" w:rsidP="002903CD">
      <w:pPr>
        <w:spacing w:line="480" w:lineRule="auto"/>
        <w:jc w:val="both"/>
      </w:pPr>
    </w:p>
    <w:p w14:paraId="74D73B8D" w14:textId="37D33CD0" w:rsidR="002903CD" w:rsidRDefault="002903CD" w:rsidP="002903CD">
      <w:pPr>
        <w:spacing w:line="480" w:lineRule="auto"/>
        <w:jc w:val="both"/>
      </w:pPr>
      <w:r>
        <w:t xml:space="preserve">To further explain why </w:t>
      </w:r>
      <w:r w:rsidRPr="00EA7143">
        <w:t xml:space="preserve">a sample ending </w:t>
      </w:r>
      <w:r>
        <w:t xml:space="preserve">in </w:t>
      </w:r>
      <w:r w:rsidRPr="00EA7143">
        <w:t xml:space="preserve">2013 </w:t>
      </w:r>
      <w:r>
        <w:t>is</w:t>
      </w:r>
      <w:r w:rsidRPr="00EA7143">
        <w:t xml:space="preserve"> indeed relevant for 2018</w:t>
      </w:r>
      <w:r>
        <w:t xml:space="preserve">, we turned the statistics in </w:t>
      </w:r>
      <w:r w:rsidR="0035300A">
        <w:t>Table 1</w:t>
      </w:r>
      <w:r>
        <w:t xml:space="preserve"> into a time series graph (see Figure </w:t>
      </w:r>
      <w:r w:rsidR="00C47396">
        <w:t>1</w:t>
      </w:r>
      <w:r>
        <w:t xml:space="preserve">). The breakdown of the three time periods enables us to conclude that </w:t>
      </w:r>
      <w:r w:rsidRPr="00F275FA">
        <w:t xml:space="preserve">the </w:t>
      </w:r>
      <w:r>
        <w:t>European</w:t>
      </w:r>
      <w:r w:rsidRPr="00F275FA">
        <w:t xml:space="preserve"> ETFs saw a steady growing pattern both in the 2010</w:t>
      </w:r>
      <w:r w:rsidRPr="004E57FB">
        <w:t>–</w:t>
      </w:r>
      <w:r w:rsidRPr="00F275FA">
        <w:t>2013 and 2014</w:t>
      </w:r>
      <w:r w:rsidRPr="004E57FB">
        <w:t>–</w:t>
      </w:r>
      <w:r w:rsidRPr="00F275FA">
        <w:t xml:space="preserve">2018 post-crisis periods (Figure </w:t>
      </w:r>
      <w:r w:rsidR="00FD14E9">
        <w:t>1</w:t>
      </w:r>
      <w:r w:rsidRPr="00F275FA">
        <w:t>)</w:t>
      </w:r>
      <w:r>
        <w:t xml:space="preserve">. </w:t>
      </w:r>
      <w:r w:rsidRPr="002C3F16">
        <w:t>ETFs attract long-term position hedgers and liquidity traders rather than arbitragers</w:t>
      </w:r>
      <w:r>
        <w:t>, as</w:t>
      </w:r>
      <w:r w:rsidRPr="002C3F16">
        <w:t xml:space="preserve"> ETFs are traded at </w:t>
      </w:r>
      <w:r>
        <w:t xml:space="preserve">a </w:t>
      </w:r>
      <w:r w:rsidRPr="002C3F16">
        <w:t>slower frequency than futures and arbitrageurs who care about short-term profitability prefer stocks and futures rather than the ETFs</w:t>
      </w:r>
      <w:r>
        <w:t xml:space="preserve"> </w:t>
      </w:r>
      <w:r w:rsidRPr="002C3F16">
        <w:t xml:space="preserve">(Deville et al., 2014). Even </w:t>
      </w:r>
      <w:r>
        <w:t xml:space="preserve">if </w:t>
      </w:r>
      <w:r w:rsidRPr="002C3F16">
        <w:t xml:space="preserve">there </w:t>
      </w:r>
      <w:r>
        <w:t xml:space="preserve">is additional </w:t>
      </w:r>
      <w:r w:rsidRPr="002C3F16">
        <w:t xml:space="preserve">liquidity coming from ETFs due to short-term trading, </w:t>
      </w:r>
      <w:r>
        <w:t xml:space="preserve">it </w:t>
      </w:r>
      <w:r w:rsidRPr="002C3F16">
        <w:t xml:space="preserve">will </w:t>
      </w:r>
      <w:r>
        <w:t xml:space="preserve">disappear </w:t>
      </w:r>
      <w:r w:rsidRPr="002C3F16">
        <w:t xml:space="preserve">when the market is depressed, leaving mainly hedgers and liquidity traders who focus on long-term positions. </w:t>
      </w:r>
      <w:r>
        <w:t>Thus</w:t>
      </w:r>
      <w:r w:rsidRPr="002C3F16">
        <w:t xml:space="preserve">, in </w:t>
      </w:r>
      <w:r>
        <w:t xml:space="preserve">the </w:t>
      </w:r>
      <w:r w:rsidRPr="002C3F16">
        <w:t xml:space="preserve">longer term, </w:t>
      </w:r>
      <w:r>
        <w:t xml:space="preserve">the </w:t>
      </w:r>
      <w:r w:rsidRPr="002C3F16">
        <w:t>transaction prices of the ETFs</w:t>
      </w:r>
      <w:r>
        <w:t xml:space="preserve"> would be expected to exhibit a</w:t>
      </w:r>
      <w:r w:rsidRPr="002C3F16">
        <w:t xml:space="preserve"> stable pattern due to the nature of ETFs traders. In </w:t>
      </w:r>
      <w:r>
        <w:t>addition</w:t>
      </w:r>
      <w:r w:rsidRPr="002C3F16">
        <w:t>, with the introduction of MiFID (The Markets in Financial Instruments Directive)</w:t>
      </w:r>
      <w:r>
        <w:t>,</w:t>
      </w:r>
      <w:r w:rsidRPr="002C3F16">
        <w:t xml:space="preserve"> </w:t>
      </w:r>
      <w:r>
        <w:t xml:space="preserve">which </w:t>
      </w:r>
      <w:r w:rsidRPr="002C3F16">
        <w:t>came into force on the 1st of November in 2007 (aim</w:t>
      </w:r>
      <w:r>
        <w:t>ing</w:t>
      </w:r>
      <w:r w:rsidRPr="002C3F16">
        <w:t xml:space="preserve"> to promote a harmonized European financial market through a pan-Europe regulatory framework), </w:t>
      </w:r>
      <w:r>
        <w:t xml:space="preserve">the </w:t>
      </w:r>
      <w:r w:rsidRPr="002C3F16">
        <w:t xml:space="preserve">diversity of taxation and regulatory requirements, different clearing and settlement systems, and the existence of diverse jurisdictions have been gradually removed and unified. Consequently, </w:t>
      </w:r>
      <w:r>
        <w:t xml:space="preserve">we would expect that </w:t>
      </w:r>
      <w:r w:rsidRPr="002C3F16">
        <w:t xml:space="preserve">the value and size of </w:t>
      </w:r>
      <w:r>
        <w:t xml:space="preserve">European </w:t>
      </w:r>
      <w:r w:rsidRPr="002C3F16">
        <w:t>ETFs</w:t>
      </w:r>
      <w:r>
        <w:t xml:space="preserve"> to have</w:t>
      </w:r>
      <w:r w:rsidRPr="002C3F16">
        <w:t xml:space="preserve"> a steady growing pattern</w:t>
      </w:r>
      <w:r>
        <w:t>,</w:t>
      </w:r>
      <w:r w:rsidRPr="002C3F16">
        <w:t xml:space="preserve"> both in the 2010</w:t>
      </w:r>
      <w:r w:rsidRPr="004E57FB">
        <w:t>–</w:t>
      </w:r>
      <w:r w:rsidRPr="002C3F16">
        <w:t>2013 and 2014</w:t>
      </w:r>
      <w:r w:rsidRPr="004E57FB">
        <w:t>–</w:t>
      </w:r>
      <w:r w:rsidRPr="002C3F16">
        <w:t>2018 post-crisis periods</w:t>
      </w:r>
      <w:r>
        <w:t>.</w:t>
      </w:r>
    </w:p>
    <w:p w14:paraId="3DD0D287" w14:textId="77777777" w:rsidR="00DF36DB" w:rsidRDefault="00DF36DB" w:rsidP="002903CD">
      <w:pPr>
        <w:spacing w:line="480" w:lineRule="auto"/>
        <w:jc w:val="both"/>
      </w:pPr>
    </w:p>
    <w:p w14:paraId="001493F3" w14:textId="77777777" w:rsidR="002903CD" w:rsidRDefault="002903CD" w:rsidP="002903CD">
      <w:pPr>
        <w:spacing w:line="480" w:lineRule="auto"/>
        <w:jc w:val="center"/>
      </w:pPr>
      <w:r w:rsidRPr="00EA7143">
        <w:rPr>
          <w:noProof/>
        </w:rPr>
        <w:drawing>
          <wp:inline distT="0" distB="0" distL="0" distR="0" wp14:anchorId="338565E6" wp14:editId="2BC2FF62">
            <wp:extent cx="4572000" cy="2743200"/>
            <wp:effectExtent l="0" t="0" r="0" b="0"/>
            <wp:docPr id="2" name="Chart 2">
              <a:extLst xmlns:a="http://schemas.openxmlformats.org/drawingml/2006/main">
                <a:ext uri="{FF2B5EF4-FFF2-40B4-BE49-F238E27FC236}">
                  <a16:creationId xmlns:a16="http://schemas.microsoft.com/office/drawing/2014/main" id="{5727BEC8-92BD-45A5-85FC-86F63F447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7C9158" w14:textId="77777777" w:rsidR="002903CD" w:rsidRPr="00A56C94" w:rsidRDefault="002903CD" w:rsidP="00A56C94">
      <w:pPr>
        <w:jc w:val="both"/>
        <w:rPr>
          <w:i/>
          <w:sz w:val="20"/>
          <w:szCs w:val="20"/>
        </w:rPr>
      </w:pPr>
      <w:r w:rsidRPr="00A56C94">
        <w:rPr>
          <w:i/>
          <w:color w:val="333333"/>
          <w:sz w:val="20"/>
          <w:szCs w:val="20"/>
        </w:rPr>
        <w:t>Source: ETFGI data sourced from ETF/ETP sponsors, exchanges, regulatory filings, Thomson Reuters/Lipper, Bloomberg, publicly available sources, and data generated in-house.</w:t>
      </w:r>
    </w:p>
    <w:p w14:paraId="35E09C10" w14:textId="77777777" w:rsidR="002903CD" w:rsidRDefault="002903CD" w:rsidP="002903CD">
      <w:pPr>
        <w:spacing w:line="480" w:lineRule="auto"/>
        <w:jc w:val="both"/>
        <w:rPr>
          <w:iCs/>
        </w:rPr>
      </w:pPr>
    </w:p>
    <w:p w14:paraId="04CFD0AE" w14:textId="77777777" w:rsidR="002903CD" w:rsidRPr="00EA7143" w:rsidRDefault="002903CD" w:rsidP="00DF36DB">
      <w:pPr>
        <w:spacing w:line="480" w:lineRule="auto"/>
        <w:jc w:val="both"/>
        <w:rPr>
          <w:iCs/>
        </w:rPr>
      </w:pPr>
      <w:r w:rsidRPr="00EA7143">
        <w:rPr>
          <w:iCs/>
        </w:rPr>
        <w:t xml:space="preserve">Finally, </w:t>
      </w:r>
      <w:r>
        <w:rPr>
          <w:iCs/>
        </w:rPr>
        <w:t xml:space="preserve">it is certainly true that price discovery will be greatly affected, given </w:t>
      </w:r>
      <w:r w:rsidRPr="00EA7143">
        <w:t xml:space="preserve">the incredible changes in </w:t>
      </w:r>
      <w:r>
        <w:t xml:space="preserve">the </w:t>
      </w:r>
      <w:r w:rsidRPr="00EA7143">
        <w:t xml:space="preserve">speed of execution </w:t>
      </w:r>
      <w:r>
        <w:t xml:space="preserve">of </w:t>
      </w:r>
      <w:r w:rsidRPr="00EA7143">
        <w:t xml:space="preserve">ETFs in the </w:t>
      </w:r>
      <w:r>
        <w:t xml:space="preserve">financial </w:t>
      </w:r>
      <w:r w:rsidRPr="00EA7143">
        <w:t xml:space="preserve">markets. </w:t>
      </w:r>
      <w:r>
        <w:rPr>
          <w:iCs/>
        </w:rPr>
        <w:t>I</w:t>
      </w:r>
      <w:r w:rsidRPr="00EA7143">
        <w:rPr>
          <w:iCs/>
        </w:rPr>
        <w:t xml:space="preserve">n Europe, </w:t>
      </w:r>
      <w:r>
        <w:rPr>
          <w:iCs/>
        </w:rPr>
        <w:t xml:space="preserve">on the other hand, </w:t>
      </w:r>
      <w:r w:rsidRPr="00EA7143">
        <w:rPr>
          <w:iCs/>
        </w:rPr>
        <w:t>especially from 2016, the speed of trading in ETFs has not grown much due to the emergence of synthetic ETFs</w:t>
      </w:r>
      <w:r>
        <w:rPr>
          <w:iCs/>
        </w:rPr>
        <w:t>, such as Smart beta ETFs</w:t>
      </w:r>
      <w:r w:rsidRPr="00EA7143">
        <w:rPr>
          <w:iCs/>
        </w:rPr>
        <w:t xml:space="preserve"> (</w:t>
      </w:r>
      <w:r>
        <w:rPr>
          <w:iCs/>
        </w:rPr>
        <w:t xml:space="preserve">p. 6, </w:t>
      </w:r>
      <w:r w:rsidRPr="00EA7143">
        <w:rPr>
          <w:iCs/>
        </w:rPr>
        <w:t>https://www2.deloitte.com/content/dam/Deloitte/lu/Documents/financial-services/performancemagazine/articles/lu_growth-etf-in-europe-012017.pdf). This implies that the trading speed does not seem to</w:t>
      </w:r>
      <w:r>
        <w:rPr>
          <w:iCs/>
        </w:rPr>
        <w:t xml:space="preserve"> be the real driver </w:t>
      </w:r>
      <w:r w:rsidRPr="00EA7143">
        <w:rPr>
          <w:iCs/>
        </w:rPr>
        <w:t>alter</w:t>
      </w:r>
      <w:r>
        <w:rPr>
          <w:iCs/>
        </w:rPr>
        <w:t>ing</w:t>
      </w:r>
      <w:r w:rsidRPr="00EA7143">
        <w:rPr>
          <w:iCs/>
        </w:rPr>
        <w:t>/affect</w:t>
      </w:r>
      <w:r>
        <w:rPr>
          <w:iCs/>
        </w:rPr>
        <w:t>ing</w:t>
      </w:r>
      <w:r w:rsidRPr="00EA7143">
        <w:rPr>
          <w:iCs/>
        </w:rPr>
        <w:t xml:space="preserve"> price discovery to a great extent in recent years. It </w:t>
      </w:r>
      <w:r>
        <w:rPr>
          <w:iCs/>
        </w:rPr>
        <w:t>has been reported that</w:t>
      </w:r>
      <w:r w:rsidRPr="00EA7143">
        <w:rPr>
          <w:iCs/>
        </w:rPr>
        <w:t xml:space="preserve"> </w:t>
      </w:r>
      <w:r>
        <w:rPr>
          <w:iCs/>
        </w:rPr>
        <w:t>Smart beta ETFs make up most of the new product launches in Europe. They u</w:t>
      </w:r>
      <w:r w:rsidRPr="004E57FB">
        <w:rPr>
          <w:iCs/>
        </w:rPr>
        <w:t xml:space="preserve">ndoubtedly </w:t>
      </w:r>
      <w:r w:rsidRPr="00EA7143">
        <w:rPr>
          <w:iCs/>
        </w:rPr>
        <w:t>attracted strong inflows from investors seeking return at a lower cost than actively managed fund</w:t>
      </w:r>
      <w:r>
        <w:rPr>
          <w:iCs/>
        </w:rPr>
        <w:t xml:space="preserve">s due to their </w:t>
      </w:r>
      <w:r w:rsidRPr="00EA7143">
        <w:rPr>
          <w:iCs/>
        </w:rPr>
        <w:t xml:space="preserve">synthetic </w:t>
      </w:r>
      <w:r>
        <w:rPr>
          <w:iCs/>
        </w:rPr>
        <w:t xml:space="preserve">(i.e. </w:t>
      </w:r>
      <w:r w:rsidRPr="00EA7143">
        <w:rPr>
          <w:iCs/>
        </w:rPr>
        <w:t>highly leveraged</w:t>
      </w:r>
      <w:r>
        <w:rPr>
          <w:iCs/>
        </w:rPr>
        <w:t xml:space="preserve">) nature. Further, </w:t>
      </w:r>
      <w:r w:rsidRPr="00EA7143">
        <w:rPr>
          <w:iCs/>
        </w:rPr>
        <w:t xml:space="preserve">such inflows are particularly strong in Europe. </w:t>
      </w:r>
      <w:r>
        <w:rPr>
          <w:iCs/>
        </w:rPr>
        <w:t xml:space="preserve">The consequence is that </w:t>
      </w:r>
      <w:r w:rsidRPr="00EA7143">
        <w:rPr>
          <w:iCs/>
        </w:rPr>
        <w:t>ETFs promoters find it difficult to create and test these new products for investors look</w:t>
      </w:r>
      <w:r>
        <w:rPr>
          <w:iCs/>
        </w:rPr>
        <w:t>ing</w:t>
      </w:r>
      <w:r w:rsidRPr="00EA7143">
        <w:rPr>
          <w:iCs/>
        </w:rPr>
        <w:t xml:space="preserve"> to Smart beta ETFs, as some of them provide less transparency than the traditional ETFs that hold physical securities, resulting in the overall trading speed not grow</w:t>
      </w:r>
      <w:r>
        <w:rPr>
          <w:iCs/>
        </w:rPr>
        <w:t>ing</w:t>
      </w:r>
      <w:r w:rsidRPr="00EA7143">
        <w:rPr>
          <w:iCs/>
        </w:rPr>
        <w:t xml:space="preserve"> </w:t>
      </w:r>
      <w:r>
        <w:rPr>
          <w:iCs/>
        </w:rPr>
        <w:t xml:space="preserve">as </w:t>
      </w:r>
      <w:r w:rsidRPr="00EA7143">
        <w:rPr>
          <w:iCs/>
        </w:rPr>
        <w:t xml:space="preserve">much </w:t>
      </w:r>
      <w:r>
        <w:rPr>
          <w:iCs/>
        </w:rPr>
        <w:t>as it should</w:t>
      </w:r>
      <w:r w:rsidRPr="00EA7143">
        <w:rPr>
          <w:iCs/>
        </w:rPr>
        <w:t>.</w:t>
      </w:r>
    </w:p>
    <w:p w14:paraId="470EB93C" w14:textId="64BCD1A8" w:rsidR="002903CD" w:rsidRDefault="001D2EDA" w:rsidP="00DF36DB">
      <w:pPr>
        <w:tabs>
          <w:tab w:val="left" w:pos="3870"/>
        </w:tabs>
        <w:spacing w:line="480" w:lineRule="auto"/>
        <w:rPr>
          <w:iCs/>
          <w:color w:val="000000" w:themeColor="text1"/>
        </w:rPr>
      </w:pPr>
      <w:r>
        <w:rPr>
          <w:iCs/>
          <w:color w:val="000000" w:themeColor="text1"/>
        </w:rPr>
        <w:tab/>
      </w:r>
    </w:p>
    <w:p w14:paraId="6BB998AF" w14:textId="77777777" w:rsidR="00A42D92" w:rsidRDefault="001D2EDA" w:rsidP="00DF36DB">
      <w:pPr>
        <w:spacing w:after="160" w:line="480" w:lineRule="auto"/>
        <w:jc w:val="both"/>
        <w:rPr>
          <w:rFonts w:eastAsia="DengXian"/>
          <w:i/>
          <w:lang w:val="en-US"/>
        </w:rPr>
      </w:pPr>
      <w:r w:rsidRPr="00C22699">
        <w:rPr>
          <w:rFonts w:eastAsia="DengXian"/>
          <w:i/>
          <w:lang w:val="en-US"/>
        </w:rPr>
        <w:t xml:space="preserve">3.2.1 </w:t>
      </w:r>
      <w:r w:rsidR="00DE00FE" w:rsidRPr="00C22699">
        <w:rPr>
          <w:rFonts w:eastAsia="DengXian"/>
          <w:i/>
          <w:lang w:val="en-US"/>
        </w:rPr>
        <w:t xml:space="preserve">Some </w:t>
      </w:r>
      <w:r w:rsidRPr="00C22699">
        <w:rPr>
          <w:rFonts w:eastAsia="DengXian"/>
          <w:i/>
          <w:lang w:val="en-US"/>
        </w:rPr>
        <w:t>F</w:t>
      </w:r>
      <w:r w:rsidR="00DE00FE" w:rsidRPr="00C22699">
        <w:rPr>
          <w:rFonts w:eastAsia="DengXian"/>
          <w:i/>
          <w:lang w:val="en-US"/>
        </w:rPr>
        <w:t xml:space="preserve">urther </w:t>
      </w:r>
      <w:r w:rsidRPr="00C22699">
        <w:rPr>
          <w:rFonts w:eastAsia="DengXian"/>
          <w:i/>
          <w:lang w:val="en-US"/>
        </w:rPr>
        <w:t>I</w:t>
      </w:r>
      <w:r w:rsidR="00DE00FE" w:rsidRPr="00C22699">
        <w:rPr>
          <w:rFonts w:eastAsia="DengXian"/>
          <w:i/>
          <w:lang w:val="en-US"/>
        </w:rPr>
        <w:t xml:space="preserve">nvestigation </w:t>
      </w:r>
      <w:r w:rsidRPr="00C22699">
        <w:rPr>
          <w:rFonts w:eastAsia="DengXian"/>
          <w:i/>
          <w:lang w:val="en-US"/>
        </w:rPr>
        <w:t>on</w:t>
      </w:r>
      <w:r w:rsidR="00DE00FE" w:rsidRPr="00C22699">
        <w:rPr>
          <w:rFonts w:eastAsia="DengXian"/>
          <w:i/>
          <w:lang w:val="en-US"/>
        </w:rPr>
        <w:t xml:space="preserve"> </w:t>
      </w:r>
      <w:r w:rsidR="00EC621F" w:rsidRPr="00C22699">
        <w:rPr>
          <w:rFonts w:eastAsia="DengXian"/>
          <w:i/>
          <w:lang w:val="en-US"/>
        </w:rPr>
        <w:t>t</w:t>
      </w:r>
      <w:r w:rsidR="00DE00FE" w:rsidRPr="00C22699">
        <w:rPr>
          <w:rFonts w:eastAsia="DengXian"/>
          <w:i/>
          <w:lang w:val="en-US"/>
        </w:rPr>
        <w:t xml:space="preserve">he </w:t>
      </w:r>
      <w:r w:rsidRPr="00C22699">
        <w:rPr>
          <w:rFonts w:eastAsia="DengXian"/>
          <w:i/>
          <w:lang w:val="en-US"/>
        </w:rPr>
        <w:t>P</w:t>
      </w:r>
      <w:r w:rsidR="00DE00FE" w:rsidRPr="00C22699">
        <w:rPr>
          <w:rFonts w:eastAsia="DengXian"/>
          <w:i/>
          <w:lang w:val="en-US"/>
        </w:rPr>
        <w:t xml:space="preserve">ost-2013 </w:t>
      </w:r>
      <w:r w:rsidRPr="00C22699">
        <w:rPr>
          <w:rFonts w:eastAsia="DengXian"/>
          <w:i/>
          <w:lang w:val="en-US"/>
        </w:rPr>
        <w:t>P</w:t>
      </w:r>
      <w:r w:rsidR="00DE00FE" w:rsidRPr="00C22699">
        <w:rPr>
          <w:rFonts w:eastAsia="DengXian"/>
          <w:i/>
          <w:lang w:val="en-US"/>
        </w:rPr>
        <w:t xml:space="preserve">ublications </w:t>
      </w:r>
      <w:r w:rsidR="00EC621F" w:rsidRPr="00C22699">
        <w:rPr>
          <w:rFonts w:eastAsia="DengXian"/>
          <w:i/>
          <w:lang w:val="en-US"/>
        </w:rPr>
        <w:t>t</w:t>
      </w:r>
      <w:r w:rsidR="00DE00FE" w:rsidRPr="00C22699">
        <w:rPr>
          <w:rFonts w:eastAsia="DengXian"/>
          <w:i/>
          <w:lang w:val="en-US"/>
        </w:rPr>
        <w:t xml:space="preserve">hat </w:t>
      </w:r>
      <w:r w:rsidR="00EC621F" w:rsidRPr="00C22699">
        <w:rPr>
          <w:rFonts w:eastAsia="DengXian"/>
          <w:i/>
          <w:lang w:val="en-US"/>
        </w:rPr>
        <w:t>u</w:t>
      </w:r>
      <w:r w:rsidR="00DE00FE" w:rsidRPr="00C22699">
        <w:rPr>
          <w:rFonts w:eastAsia="DengXian"/>
          <w:i/>
          <w:lang w:val="en-US"/>
        </w:rPr>
        <w:t xml:space="preserve">se ETFs </w:t>
      </w:r>
      <w:r w:rsidRPr="00C22699">
        <w:rPr>
          <w:rFonts w:eastAsia="DengXian"/>
          <w:i/>
          <w:lang w:val="en-US"/>
        </w:rPr>
        <w:t>D</w:t>
      </w:r>
      <w:r w:rsidR="00DE00FE" w:rsidRPr="00C22699">
        <w:rPr>
          <w:rFonts w:eastAsia="DengXian"/>
          <w:i/>
          <w:lang w:val="en-US"/>
        </w:rPr>
        <w:t>ata</w:t>
      </w:r>
    </w:p>
    <w:p w14:paraId="3951EFE5" w14:textId="7FF817E5" w:rsidR="00DE00FE" w:rsidRPr="00A42D92" w:rsidRDefault="00DE00FE" w:rsidP="00DF36DB">
      <w:pPr>
        <w:spacing w:after="160" w:line="480" w:lineRule="auto"/>
        <w:jc w:val="both"/>
        <w:rPr>
          <w:rFonts w:eastAsia="DengXian"/>
          <w:i/>
          <w:lang w:val="en-US"/>
        </w:rPr>
      </w:pPr>
      <w:r w:rsidRPr="00DE00FE">
        <w:rPr>
          <w:rFonts w:eastAsia="DengXian"/>
          <w:lang w:val="en-US"/>
        </w:rPr>
        <w:t xml:space="preserve">Our current study looks at 5-minute intra-day data over 4 years (January 2010–December 2013) for nine series involving three types of instruments across three markets. We believe that this is quite a substantial and extensive dataset. It is more important to note, however, that although all recent literature used ETFs, there is no existing literature on this topic that has been able to use intra-day data beyond the year 2011 (see </w:t>
      </w:r>
      <w:r w:rsidR="00175BB9">
        <w:rPr>
          <w:rFonts w:eastAsia="DengXian"/>
          <w:lang w:val="en-US"/>
        </w:rPr>
        <w:t>Table 2</w:t>
      </w:r>
      <w:r w:rsidRPr="00DE00FE">
        <w:rPr>
          <w:rFonts w:eastAsia="DengXian"/>
          <w:lang w:val="en-US"/>
        </w:rPr>
        <w:t xml:space="preserve">). We suspect that the data problem may be common. Further, these studies only cover post-2013 literature that involve ETFs, including the most recent ones by </w:t>
      </w:r>
      <w:r w:rsidRPr="00DE00FE">
        <w:rPr>
          <w:rFonts w:eastAsia="Times New Roman"/>
          <w:color w:val="000000"/>
          <w:lang w:val="en-US"/>
        </w:rPr>
        <w:t xml:space="preserve">Frommherz (2017) and </w:t>
      </w:r>
      <w:r w:rsidRPr="00DE00FE">
        <w:rPr>
          <w:rFonts w:eastAsia="Times New Roman"/>
          <w:bCs/>
          <w:color w:val="000000"/>
          <w:lang w:val="en-US"/>
        </w:rPr>
        <w:t xml:space="preserve">Deville et al. (2014), which </w:t>
      </w:r>
      <w:r w:rsidRPr="00DE00FE">
        <w:rPr>
          <w:rFonts w:eastAsia="DengXian"/>
          <w:lang w:val="en-US"/>
        </w:rPr>
        <w:t xml:space="preserve">only cover few years/months of data between 2007–2011. Since there is no literature on this topic that has demonstrated the use of intra-day data beyond the year 2011, we suspect that the data problem may be common. Our current study looks at 5-minute intra-day data over 4 years (January 2010–December 2013), which is a more substantial dataset. We also collected data of 9 instruments in order to obtain complete coverage of different segments (trading venues) of the European market. Although it would undoubtedly be better to bring the dataset up to the present time, we believe that we have achieved the best dataset available for such a study. Therefore, we are confident in the robustness of our main finding that ETFs have gradually taken over the price discovery role from futures. </w:t>
      </w:r>
    </w:p>
    <w:p w14:paraId="176D01DB" w14:textId="1D50628B" w:rsidR="00DE00FE" w:rsidRPr="00A42D92" w:rsidRDefault="00175BB9" w:rsidP="00DF36DB">
      <w:pPr>
        <w:spacing w:after="160" w:line="480" w:lineRule="auto"/>
        <w:jc w:val="center"/>
        <w:rPr>
          <w:rFonts w:eastAsia="DengXian"/>
          <w:b/>
          <w:lang w:val="en-US"/>
        </w:rPr>
      </w:pPr>
      <w:r w:rsidRPr="00A42D92">
        <w:rPr>
          <w:rFonts w:eastAsia="DengXian"/>
          <w:b/>
          <w:lang w:val="en-US"/>
        </w:rPr>
        <w:t>Table 2</w:t>
      </w:r>
      <w:r w:rsidR="00DE00FE" w:rsidRPr="00A42D92">
        <w:rPr>
          <w:rFonts w:eastAsia="DengXian"/>
          <w:b/>
          <w:lang w:val="en-US"/>
        </w:rPr>
        <w:t xml:space="preserve"> Some </w:t>
      </w:r>
      <w:r w:rsidR="002717FD" w:rsidRPr="00A42D92">
        <w:rPr>
          <w:rFonts w:eastAsia="DengXian"/>
          <w:b/>
          <w:lang w:val="en-US"/>
        </w:rPr>
        <w:t>F</w:t>
      </w:r>
      <w:r w:rsidR="00DE00FE" w:rsidRPr="00A42D92">
        <w:rPr>
          <w:rFonts w:eastAsia="DengXian"/>
          <w:b/>
          <w:lang w:val="en-US"/>
        </w:rPr>
        <w:t xml:space="preserve">urther </w:t>
      </w:r>
      <w:r w:rsidR="002717FD" w:rsidRPr="00A42D92">
        <w:rPr>
          <w:rFonts w:eastAsia="DengXian"/>
          <w:b/>
          <w:lang w:val="en-US"/>
        </w:rPr>
        <w:t>I</w:t>
      </w:r>
      <w:r w:rsidR="00DE00FE" w:rsidRPr="00A42D92">
        <w:rPr>
          <w:rFonts w:eastAsia="DengXian"/>
          <w:b/>
          <w:lang w:val="en-US"/>
        </w:rPr>
        <w:t xml:space="preserve">nvestigation on the </w:t>
      </w:r>
      <w:r w:rsidR="002717FD" w:rsidRPr="00A42D92">
        <w:rPr>
          <w:rFonts w:eastAsia="DengXian"/>
          <w:b/>
          <w:lang w:val="en-US"/>
        </w:rPr>
        <w:t>P</w:t>
      </w:r>
      <w:r w:rsidR="00DE00FE" w:rsidRPr="00A42D92">
        <w:rPr>
          <w:rFonts w:eastAsia="DengXian"/>
          <w:b/>
          <w:lang w:val="en-US"/>
        </w:rPr>
        <w:t xml:space="preserve">ost-2013 </w:t>
      </w:r>
      <w:r w:rsidR="002717FD" w:rsidRPr="00A42D92">
        <w:rPr>
          <w:rFonts w:eastAsia="DengXian"/>
          <w:b/>
          <w:lang w:val="en-US"/>
        </w:rPr>
        <w:t>P</w:t>
      </w:r>
      <w:r w:rsidR="00DE00FE" w:rsidRPr="00A42D92">
        <w:rPr>
          <w:rFonts w:eastAsia="DengXian"/>
          <w:b/>
          <w:lang w:val="en-US"/>
        </w:rPr>
        <w:t xml:space="preserve">ublications that </w:t>
      </w:r>
      <w:r w:rsidR="00A42D92" w:rsidRPr="00A42D92">
        <w:rPr>
          <w:rFonts w:eastAsia="DengXian"/>
          <w:b/>
          <w:lang w:val="en-US"/>
        </w:rPr>
        <w:t>u</w:t>
      </w:r>
      <w:r w:rsidR="00DE00FE" w:rsidRPr="00A42D92">
        <w:rPr>
          <w:rFonts w:eastAsia="DengXian"/>
          <w:b/>
          <w:lang w:val="en-US"/>
        </w:rPr>
        <w:t xml:space="preserve">se ETFs </w:t>
      </w:r>
      <w:r w:rsidR="002E71CA" w:rsidRPr="00A42D92">
        <w:rPr>
          <w:rFonts w:eastAsia="DengXian"/>
          <w:b/>
          <w:lang w:val="en-US"/>
        </w:rPr>
        <w:t>D</w:t>
      </w:r>
      <w:r w:rsidR="00DE00FE" w:rsidRPr="00A42D92">
        <w:rPr>
          <w:rFonts w:eastAsia="DengXian"/>
          <w:b/>
          <w:lang w:val="en-US"/>
        </w:rPr>
        <w:t>ata</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6"/>
        <w:gridCol w:w="4921"/>
        <w:gridCol w:w="1296"/>
        <w:gridCol w:w="1734"/>
      </w:tblGrid>
      <w:tr w:rsidR="00DE00FE" w:rsidRPr="00DE00FE" w14:paraId="35CADB2F" w14:textId="77777777" w:rsidTr="00920BB5">
        <w:trPr>
          <w:trHeight w:val="315"/>
        </w:trPr>
        <w:tc>
          <w:tcPr>
            <w:tcW w:w="1426" w:type="dxa"/>
            <w:tcBorders>
              <w:top w:val="single" w:sz="4" w:space="0" w:color="auto"/>
              <w:bottom w:val="single" w:sz="4" w:space="0" w:color="auto"/>
            </w:tcBorders>
            <w:shd w:val="clear" w:color="auto" w:fill="auto"/>
            <w:noWrap/>
            <w:vAlign w:val="bottom"/>
            <w:hideMark/>
          </w:tcPr>
          <w:p w14:paraId="4BECFAFC"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Post-2013 </w:t>
            </w:r>
          </w:p>
          <w:p w14:paraId="5D6579E0"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ETFs-related Publications</w:t>
            </w:r>
          </w:p>
        </w:tc>
        <w:tc>
          <w:tcPr>
            <w:tcW w:w="4921" w:type="dxa"/>
            <w:tcBorders>
              <w:top w:val="single" w:sz="4" w:space="0" w:color="auto"/>
              <w:bottom w:val="single" w:sz="4" w:space="0" w:color="auto"/>
            </w:tcBorders>
            <w:shd w:val="clear" w:color="auto" w:fill="auto"/>
            <w:noWrap/>
            <w:vAlign w:val="bottom"/>
            <w:hideMark/>
          </w:tcPr>
          <w:p w14:paraId="19016889" w14:textId="77777777" w:rsidR="00DE00FE" w:rsidRPr="00DE00FE" w:rsidRDefault="00DE00FE" w:rsidP="00DE00FE">
            <w:pPr>
              <w:jc w:val="center"/>
              <w:rPr>
                <w:rFonts w:eastAsia="Times New Roman"/>
                <w:color w:val="000000"/>
                <w:sz w:val="20"/>
                <w:szCs w:val="20"/>
                <w:lang w:val="en-US"/>
              </w:rPr>
            </w:pPr>
            <w:r w:rsidRPr="00DE00FE">
              <w:rPr>
                <w:rFonts w:eastAsia="Times New Roman"/>
                <w:color w:val="000000"/>
                <w:sz w:val="20"/>
                <w:szCs w:val="20"/>
                <w:lang w:val="en-US"/>
              </w:rPr>
              <w:t>Price Series</w:t>
            </w:r>
          </w:p>
        </w:tc>
        <w:tc>
          <w:tcPr>
            <w:tcW w:w="1296" w:type="dxa"/>
            <w:tcBorders>
              <w:top w:val="single" w:sz="4" w:space="0" w:color="auto"/>
              <w:bottom w:val="single" w:sz="4" w:space="0" w:color="auto"/>
            </w:tcBorders>
            <w:shd w:val="clear" w:color="auto" w:fill="auto"/>
            <w:noWrap/>
            <w:vAlign w:val="bottom"/>
            <w:hideMark/>
          </w:tcPr>
          <w:p w14:paraId="6614014C"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Data Frequency  </w:t>
            </w:r>
          </w:p>
        </w:tc>
        <w:tc>
          <w:tcPr>
            <w:tcW w:w="1734" w:type="dxa"/>
            <w:tcBorders>
              <w:top w:val="single" w:sz="4" w:space="0" w:color="auto"/>
              <w:bottom w:val="single" w:sz="4" w:space="0" w:color="auto"/>
            </w:tcBorders>
            <w:shd w:val="clear" w:color="auto" w:fill="auto"/>
            <w:noWrap/>
            <w:vAlign w:val="bottom"/>
            <w:hideMark/>
          </w:tcPr>
          <w:p w14:paraId="28829CEC"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Time Period</w:t>
            </w:r>
          </w:p>
        </w:tc>
      </w:tr>
      <w:tr w:rsidR="00DE00FE" w:rsidRPr="00DE00FE" w14:paraId="7D7D5292" w14:textId="77777777" w:rsidTr="00920BB5">
        <w:trPr>
          <w:trHeight w:val="315"/>
        </w:trPr>
        <w:tc>
          <w:tcPr>
            <w:tcW w:w="1426" w:type="dxa"/>
            <w:tcBorders>
              <w:top w:val="single" w:sz="4" w:space="0" w:color="auto"/>
            </w:tcBorders>
            <w:shd w:val="clear" w:color="auto" w:fill="auto"/>
            <w:noWrap/>
            <w:vAlign w:val="bottom"/>
            <w:hideMark/>
          </w:tcPr>
          <w:p w14:paraId="42475E8F" w14:textId="77777777" w:rsidR="00DE00FE" w:rsidRPr="00DE00FE" w:rsidRDefault="00DE00FE" w:rsidP="00DE00FE">
            <w:pPr>
              <w:rPr>
                <w:rFonts w:eastAsia="Times New Roman"/>
                <w:color w:val="000000"/>
                <w:sz w:val="20"/>
                <w:szCs w:val="20"/>
                <w:lang w:val="en-US"/>
              </w:rPr>
            </w:pPr>
          </w:p>
        </w:tc>
        <w:tc>
          <w:tcPr>
            <w:tcW w:w="4921" w:type="dxa"/>
            <w:tcBorders>
              <w:top w:val="single" w:sz="4" w:space="0" w:color="auto"/>
            </w:tcBorders>
            <w:shd w:val="clear" w:color="auto" w:fill="auto"/>
            <w:noWrap/>
            <w:vAlign w:val="bottom"/>
            <w:hideMark/>
          </w:tcPr>
          <w:p w14:paraId="47036E8A" w14:textId="77777777" w:rsidR="00DE00FE" w:rsidRPr="00DE00FE" w:rsidRDefault="00DE00FE" w:rsidP="00DE00FE">
            <w:pPr>
              <w:rPr>
                <w:rFonts w:eastAsia="Times New Roman"/>
                <w:sz w:val="20"/>
                <w:szCs w:val="20"/>
                <w:lang w:val="en-US"/>
              </w:rPr>
            </w:pPr>
          </w:p>
        </w:tc>
        <w:tc>
          <w:tcPr>
            <w:tcW w:w="1296" w:type="dxa"/>
            <w:tcBorders>
              <w:top w:val="single" w:sz="4" w:space="0" w:color="auto"/>
            </w:tcBorders>
            <w:shd w:val="clear" w:color="auto" w:fill="auto"/>
            <w:noWrap/>
            <w:vAlign w:val="bottom"/>
            <w:hideMark/>
          </w:tcPr>
          <w:p w14:paraId="69B46EC2" w14:textId="77777777" w:rsidR="00DE00FE" w:rsidRPr="00DE00FE" w:rsidRDefault="00DE00FE" w:rsidP="00DE00FE">
            <w:pPr>
              <w:rPr>
                <w:rFonts w:eastAsia="Times New Roman"/>
                <w:sz w:val="20"/>
                <w:szCs w:val="20"/>
                <w:lang w:val="en-US"/>
              </w:rPr>
            </w:pPr>
          </w:p>
        </w:tc>
        <w:tc>
          <w:tcPr>
            <w:tcW w:w="1734" w:type="dxa"/>
            <w:tcBorders>
              <w:top w:val="single" w:sz="4" w:space="0" w:color="auto"/>
            </w:tcBorders>
            <w:shd w:val="clear" w:color="auto" w:fill="auto"/>
            <w:noWrap/>
            <w:vAlign w:val="bottom"/>
            <w:hideMark/>
          </w:tcPr>
          <w:p w14:paraId="4A0A0562" w14:textId="77777777" w:rsidR="00DE00FE" w:rsidRPr="00DE00FE" w:rsidRDefault="00DE00FE" w:rsidP="00DE00FE">
            <w:pPr>
              <w:rPr>
                <w:rFonts w:eastAsia="Times New Roman"/>
                <w:sz w:val="20"/>
                <w:szCs w:val="20"/>
                <w:lang w:val="en-US"/>
              </w:rPr>
            </w:pPr>
          </w:p>
        </w:tc>
      </w:tr>
      <w:tr w:rsidR="00DE00FE" w:rsidRPr="00DE00FE" w14:paraId="13FC8AA6" w14:textId="77777777" w:rsidTr="00920BB5">
        <w:trPr>
          <w:trHeight w:val="315"/>
        </w:trPr>
        <w:tc>
          <w:tcPr>
            <w:tcW w:w="1426" w:type="dxa"/>
            <w:shd w:val="clear" w:color="auto" w:fill="auto"/>
            <w:noWrap/>
            <w:vAlign w:val="bottom"/>
            <w:hideMark/>
          </w:tcPr>
          <w:p w14:paraId="4BD5A04D"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Ivanov (2013)</w:t>
            </w:r>
          </w:p>
        </w:tc>
        <w:tc>
          <w:tcPr>
            <w:tcW w:w="4921" w:type="dxa"/>
            <w:shd w:val="clear" w:color="auto" w:fill="auto"/>
            <w:noWrap/>
            <w:vAlign w:val="bottom"/>
            <w:hideMark/>
          </w:tcPr>
          <w:p w14:paraId="5D738E26"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Commodities spot, ETFs and futures prices</w:t>
            </w:r>
          </w:p>
        </w:tc>
        <w:tc>
          <w:tcPr>
            <w:tcW w:w="1296" w:type="dxa"/>
            <w:shd w:val="clear" w:color="auto" w:fill="auto"/>
            <w:noWrap/>
            <w:vAlign w:val="bottom"/>
            <w:hideMark/>
          </w:tcPr>
          <w:p w14:paraId="35214263" w14:textId="77777777" w:rsidR="00DE00FE" w:rsidRPr="00DE00FE" w:rsidRDefault="00DE00FE" w:rsidP="00DE00FE">
            <w:pPr>
              <w:rPr>
                <w:rFonts w:eastAsia="Times New Roman"/>
                <w:i/>
                <w:color w:val="000000"/>
                <w:sz w:val="20"/>
                <w:szCs w:val="20"/>
                <w:lang w:val="en-US"/>
              </w:rPr>
            </w:pPr>
            <w:r w:rsidRPr="00DE00FE">
              <w:rPr>
                <w:rFonts w:eastAsia="Times New Roman"/>
                <w:i/>
                <w:color w:val="000000"/>
                <w:sz w:val="20"/>
                <w:szCs w:val="20"/>
                <w:lang w:val="en-US"/>
              </w:rPr>
              <w:t>1 minute</w:t>
            </w:r>
          </w:p>
        </w:tc>
        <w:tc>
          <w:tcPr>
            <w:tcW w:w="1734" w:type="dxa"/>
            <w:shd w:val="clear" w:color="auto" w:fill="auto"/>
            <w:noWrap/>
            <w:vAlign w:val="bottom"/>
            <w:hideMark/>
          </w:tcPr>
          <w:p w14:paraId="57FCB019"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March–August 2009</w:t>
            </w:r>
          </w:p>
        </w:tc>
      </w:tr>
      <w:tr w:rsidR="00DE00FE" w:rsidRPr="00DE00FE" w14:paraId="504C0A56" w14:textId="77777777" w:rsidTr="00920BB5">
        <w:trPr>
          <w:trHeight w:val="315"/>
        </w:trPr>
        <w:tc>
          <w:tcPr>
            <w:tcW w:w="1426" w:type="dxa"/>
            <w:shd w:val="clear" w:color="auto" w:fill="auto"/>
            <w:noWrap/>
            <w:vAlign w:val="bottom"/>
            <w:hideMark/>
          </w:tcPr>
          <w:p w14:paraId="5A5FB46E" w14:textId="77777777" w:rsidR="00DE00FE" w:rsidRPr="00DE00FE" w:rsidRDefault="00DE00FE" w:rsidP="00DE00FE">
            <w:pPr>
              <w:rPr>
                <w:rFonts w:eastAsia="Times New Roman"/>
                <w:color w:val="000000"/>
                <w:sz w:val="20"/>
                <w:szCs w:val="20"/>
                <w:lang w:val="en-US"/>
              </w:rPr>
            </w:pPr>
          </w:p>
        </w:tc>
        <w:tc>
          <w:tcPr>
            <w:tcW w:w="4921" w:type="dxa"/>
            <w:shd w:val="clear" w:color="auto" w:fill="auto"/>
            <w:noWrap/>
            <w:vAlign w:val="bottom"/>
            <w:hideMark/>
          </w:tcPr>
          <w:p w14:paraId="2499CDA8" w14:textId="77777777" w:rsidR="00DE00FE" w:rsidRPr="00DE00FE" w:rsidRDefault="00DE00FE" w:rsidP="00DE00FE">
            <w:pPr>
              <w:rPr>
                <w:rFonts w:eastAsia="Times New Roman"/>
                <w:sz w:val="20"/>
                <w:szCs w:val="20"/>
                <w:lang w:val="en-US"/>
              </w:rPr>
            </w:pPr>
          </w:p>
        </w:tc>
        <w:tc>
          <w:tcPr>
            <w:tcW w:w="1296" w:type="dxa"/>
            <w:shd w:val="clear" w:color="auto" w:fill="auto"/>
            <w:noWrap/>
            <w:vAlign w:val="bottom"/>
            <w:hideMark/>
          </w:tcPr>
          <w:p w14:paraId="3B737CE0" w14:textId="77777777" w:rsidR="00DE00FE" w:rsidRPr="00DE00FE" w:rsidRDefault="00DE00FE" w:rsidP="00DE00FE">
            <w:pPr>
              <w:rPr>
                <w:rFonts w:eastAsia="Times New Roman"/>
                <w:sz w:val="20"/>
                <w:szCs w:val="20"/>
                <w:lang w:val="en-US"/>
              </w:rPr>
            </w:pPr>
          </w:p>
        </w:tc>
        <w:tc>
          <w:tcPr>
            <w:tcW w:w="1734" w:type="dxa"/>
            <w:shd w:val="clear" w:color="auto" w:fill="auto"/>
            <w:noWrap/>
            <w:vAlign w:val="bottom"/>
            <w:hideMark/>
          </w:tcPr>
          <w:p w14:paraId="588A64DB" w14:textId="77777777" w:rsidR="00DE00FE" w:rsidRPr="00DE00FE" w:rsidRDefault="00DE00FE" w:rsidP="00DE00FE">
            <w:pPr>
              <w:rPr>
                <w:rFonts w:eastAsia="Times New Roman"/>
                <w:sz w:val="20"/>
                <w:szCs w:val="20"/>
                <w:lang w:val="en-US"/>
              </w:rPr>
            </w:pPr>
          </w:p>
        </w:tc>
      </w:tr>
      <w:tr w:rsidR="00DE00FE" w:rsidRPr="00DE00FE" w14:paraId="4AF23697" w14:textId="77777777" w:rsidTr="00920BB5">
        <w:trPr>
          <w:trHeight w:val="315"/>
        </w:trPr>
        <w:tc>
          <w:tcPr>
            <w:tcW w:w="1426" w:type="dxa"/>
            <w:shd w:val="clear" w:color="auto" w:fill="auto"/>
            <w:noWrap/>
            <w:vAlign w:val="bottom"/>
            <w:hideMark/>
          </w:tcPr>
          <w:p w14:paraId="10356AD9"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Ivanov et al. (2013)</w:t>
            </w:r>
          </w:p>
        </w:tc>
        <w:tc>
          <w:tcPr>
            <w:tcW w:w="4921" w:type="dxa"/>
            <w:shd w:val="clear" w:color="auto" w:fill="auto"/>
            <w:noWrap/>
            <w:vAlign w:val="bottom"/>
            <w:hideMark/>
          </w:tcPr>
          <w:p w14:paraId="6C50C5FF"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Spot, ETFs and futures of the DJIA, S&amp;P500, S&amp;P400, NASDAQ 100 and Russell 2000</w:t>
            </w:r>
          </w:p>
        </w:tc>
        <w:tc>
          <w:tcPr>
            <w:tcW w:w="1296" w:type="dxa"/>
            <w:shd w:val="clear" w:color="auto" w:fill="auto"/>
            <w:noWrap/>
            <w:vAlign w:val="bottom"/>
            <w:hideMark/>
          </w:tcPr>
          <w:p w14:paraId="71C8A632" w14:textId="77777777" w:rsidR="00DE00FE" w:rsidRPr="00DE00FE" w:rsidRDefault="00DE00FE" w:rsidP="00DE00FE">
            <w:pPr>
              <w:rPr>
                <w:rFonts w:eastAsia="Times New Roman"/>
                <w:i/>
                <w:color w:val="000000"/>
                <w:sz w:val="20"/>
                <w:szCs w:val="20"/>
                <w:lang w:val="en-US"/>
              </w:rPr>
            </w:pPr>
            <w:r w:rsidRPr="00DE00FE">
              <w:rPr>
                <w:rFonts w:eastAsia="Times New Roman"/>
                <w:i/>
                <w:color w:val="000000"/>
                <w:sz w:val="20"/>
                <w:szCs w:val="20"/>
                <w:lang w:val="en-US"/>
              </w:rPr>
              <w:t>1 minute</w:t>
            </w:r>
          </w:p>
        </w:tc>
        <w:tc>
          <w:tcPr>
            <w:tcW w:w="1734" w:type="dxa"/>
            <w:shd w:val="clear" w:color="auto" w:fill="auto"/>
            <w:noWrap/>
            <w:vAlign w:val="bottom"/>
            <w:hideMark/>
          </w:tcPr>
          <w:p w14:paraId="399CAEFF"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January 2001–March </w:t>
            </w:r>
            <w:r w:rsidRPr="00DE00FE">
              <w:rPr>
                <w:rFonts w:eastAsia="Times New Roman"/>
                <w:i/>
                <w:color w:val="000000"/>
                <w:sz w:val="20"/>
                <w:szCs w:val="20"/>
                <w:lang w:val="en-US"/>
              </w:rPr>
              <w:t>2011</w:t>
            </w:r>
          </w:p>
        </w:tc>
      </w:tr>
      <w:tr w:rsidR="00DE00FE" w:rsidRPr="00DE00FE" w14:paraId="17A563CA" w14:textId="77777777" w:rsidTr="00920BB5">
        <w:trPr>
          <w:trHeight w:val="315"/>
        </w:trPr>
        <w:tc>
          <w:tcPr>
            <w:tcW w:w="1426" w:type="dxa"/>
            <w:shd w:val="clear" w:color="auto" w:fill="auto"/>
            <w:noWrap/>
            <w:vAlign w:val="bottom"/>
            <w:hideMark/>
          </w:tcPr>
          <w:p w14:paraId="49252369" w14:textId="77777777" w:rsidR="00DE00FE" w:rsidRPr="00DE00FE" w:rsidRDefault="00DE00FE" w:rsidP="00DE00FE">
            <w:pPr>
              <w:rPr>
                <w:rFonts w:eastAsia="Times New Roman"/>
                <w:color w:val="000000"/>
                <w:sz w:val="20"/>
                <w:szCs w:val="20"/>
                <w:lang w:val="en-US"/>
              </w:rPr>
            </w:pPr>
          </w:p>
        </w:tc>
        <w:tc>
          <w:tcPr>
            <w:tcW w:w="4921" w:type="dxa"/>
            <w:shd w:val="clear" w:color="auto" w:fill="auto"/>
            <w:noWrap/>
            <w:vAlign w:val="bottom"/>
            <w:hideMark/>
          </w:tcPr>
          <w:p w14:paraId="30CC43D8" w14:textId="77777777" w:rsidR="00DE00FE" w:rsidRPr="00DE00FE" w:rsidRDefault="00DE00FE" w:rsidP="00DE00FE">
            <w:pPr>
              <w:rPr>
                <w:rFonts w:eastAsia="Times New Roman"/>
                <w:sz w:val="20"/>
                <w:szCs w:val="20"/>
                <w:lang w:val="en-US"/>
              </w:rPr>
            </w:pPr>
          </w:p>
        </w:tc>
        <w:tc>
          <w:tcPr>
            <w:tcW w:w="1296" w:type="dxa"/>
            <w:shd w:val="clear" w:color="auto" w:fill="auto"/>
            <w:noWrap/>
            <w:vAlign w:val="bottom"/>
            <w:hideMark/>
          </w:tcPr>
          <w:p w14:paraId="27538100" w14:textId="77777777" w:rsidR="00DE00FE" w:rsidRPr="00DE00FE" w:rsidRDefault="00DE00FE" w:rsidP="00DE00FE">
            <w:pPr>
              <w:rPr>
                <w:rFonts w:eastAsia="Times New Roman"/>
                <w:sz w:val="20"/>
                <w:szCs w:val="20"/>
                <w:lang w:val="en-US"/>
              </w:rPr>
            </w:pPr>
          </w:p>
        </w:tc>
        <w:tc>
          <w:tcPr>
            <w:tcW w:w="1734" w:type="dxa"/>
            <w:shd w:val="clear" w:color="auto" w:fill="auto"/>
            <w:noWrap/>
            <w:vAlign w:val="bottom"/>
            <w:hideMark/>
          </w:tcPr>
          <w:p w14:paraId="49889412" w14:textId="77777777" w:rsidR="00DE00FE" w:rsidRPr="00DE00FE" w:rsidRDefault="00DE00FE" w:rsidP="00DE00FE">
            <w:pPr>
              <w:rPr>
                <w:rFonts w:eastAsia="Times New Roman"/>
                <w:sz w:val="20"/>
                <w:szCs w:val="20"/>
                <w:lang w:val="en-US"/>
              </w:rPr>
            </w:pPr>
          </w:p>
        </w:tc>
      </w:tr>
      <w:tr w:rsidR="00DE00FE" w:rsidRPr="00DE00FE" w14:paraId="2AD24B93" w14:textId="77777777" w:rsidTr="00920BB5">
        <w:trPr>
          <w:trHeight w:val="315"/>
        </w:trPr>
        <w:tc>
          <w:tcPr>
            <w:tcW w:w="1426" w:type="dxa"/>
            <w:shd w:val="clear" w:color="auto" w:fill="auto"/>
            <w:noWrap/>
            <w:vAlign w:val="bottom"/>
            <w:hideMark/>
          </w:tcPr>
          <w:p w14:paraId="3EF1E96A" w14:textId="2CF0853E"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Krause </w:t>
            </w:r>
            <w:r w:rsidR="00961B24">
              <w:rPr>
                <w:rFonts w:eastAsia="Times New Roman"/>
                <w:color w:val="000000"/>
                <w:sz w:val="20"/>
                <w:szCs w:val="20"/>
                <w:lang w:val="en-US"/>
              </w:rPr>
              <w:t xml:space="preserve">et al. </w:t>
            </w:r>
            <w:r w:rsidRPr="00DE00FE">
              <w:rPr>
                <w:rFonts w:eastAsia="Times New Roman"/>
                <w:color w:val="000000"/>
                <w:sz w:val="20"/>
                <w:szCs w:val="20"/>
                <w:lang w:val="en-US"/>
              </w:rPr>
              <w:t>(2014)</w:t>
            </w:r>
          </w:p>
        </w:tc>
        <w:tc>
          <w:tcPr>
            <w:tcW w:w="4921" w:type="dxa"/>
            <w:shd w:val="clear" w:color="auto" w:fill="auto"/>
            <w:noWrap/>
            <w:vAlign w:val="bottom"/>
            <w:hideMark/>
          </w:tcPr>
          <w:p w14:paraId="619467B7"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ETFs and component stock return and price data, for nine Select Sector SPDR ETFs</w:t>
            </w:r>
          </w:p>
        </w:tc>
        <w:tc>
          <w:tcPr>
            <w:tcW w:w="1296" w:type="dxa"/>
            <w:shd w:val="clear" w:color="auto" w:fill="auto"/>
            <w:noWrap/>
            <w:vAlign w:val="bottom"/>
            <w:hideMark/>
          </w:tcPr>
          <w:p w14:paraId="155BBA04"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Daily</w:t>
            </w:r>
          </w:p>
        </w:tc>
        <w:tc>
          <w:tcPr>
            <w:tcW w:w="1734" w:type="dxa"/>
            <w:shd w:val="clear" w:color="auto" w:fill="auto"/>
            <w:noWrap/>
            <w:vAlign w:val="bottom"/>
            <w:hideMark/>
          </w:tcPr>
          <w:p w14:paraId="7AFBD975"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March 2003–December 2013</w:t>
            </w:r>
          </w:p>
        </w:tc>
      </w:tr>
      <w:tr w:rsidR="00DE00FE" w:rsidRPr="00DE00FE" w14:paraId="3AEC1974" w14:textId="77777777" w:rsidTr="00920BB5">
        <w:trPr>
          <w:trHeight w:val="315"/>
        </w:trPr>
        <w:tc>
          <w:tcPr>
            <w:tcW w:w="1426" w:type="dxa"/>
            <w:shd w:val="clear" w:color="auto" w:fill="auto"/>
            <w:noWrap/>
            <w:vAlign w:val="bottom"/>
            <w:hideMark/>
          </w:tcPr>
          <w:p w14:paraId="60AA19CC" w14:textId="77777777" w:rsidR="00DE00FE" w:rsidRPr="00DE00FE" w:rsidRDefault="00DE00FE" w:rsidP="00DE00FE">
            <w:pPr>
              <w:rPr>
                <w:rFonts w:eastAsia="Times New Roman"/>
                <w:color w:val="000000"/>
                <w:sz w:val="20"/>
                <w:szCs w:val="20"/>
                <w:lang w:val="en-US"/>
              </w:rPr>
            </w:pPr>
          </w:p>
        </w:tc>
        <w:tc>
          <w:tcPr>
            <w:tcW w:w="4921" w:type="dxa"/>
            <w:shd w:val="clear" w:color="auto" w:fill="auto"/>
            <w:noWrap/>
            <w:vAlign w:val="bottom"/>
            <w:hideMark/>
          </w:tcPr>
          <w:p w14:paraId="78AC8750" w14:textId="77777777" w:rsidR="00DE00FE" w:rsidRPr="00DE00FE" w:rsidRDefault="00DE00FE" w:rsidP="00DE00FE">
            <w:pPr>
              <w:rPr>
                <w:rFonts w:eastAsia="Times New Roman"/>
                <w:sz w:val="20"/>
                <w:szCs w:val="20"/>
                <w:lang w:val="en-US"/>
              </w:rPr>
            </w:pPr>
          </w:p>
        </w:tc>
        <w:tc>
          <w:tcPr>
            <w:tcW w:w="1296" w:type="dxa"/>
            <w:shd w:val="clear" w:color="auto" w:fill="auto"/>
            <w:noWrap/>
            <w:vAlign w:val="bottom"/>
            <w:hideMark/>
          </w:tcPr>
          <w:p w14:paraId="0DD010F6" w14:textId="77777777" w:rsidR="00DE00FE" w:rsidRPr="00DE00FE" w:rsidRDefault="00DE00FE" w:rsidP="00DE00FE">
            <w:pPr>
              <w:rPr>
                <w:rFonts w:eastAsia="Times New Roman"/>
                <w:sz w:val="20"/>
                <w:szCs w:val="20"/>
                <w:lang w:val="en-US"/>
              </w:rPr>
            </w:pPr>
          </w:p>
        </w:tc>
        <w:tc>
          <w:tcPr>
            <w:tcW w:w="1734" w:type="dxa"/>
            <w:shd w:val="clear" w:color="auto" w:fill="auto"/>
            <w:noWrap/>
            <w:vAlign w:val="bottom"/>
            <w:hideMark/>
          </w:tcPr>
          <w:p w14:paraId="02275B74" w14:textId="77777777" w:rsidR="00DE00FE" w:rsidRPr="00DE00FE" w:rsidRDefault="00DE00FE" w:rsidP="00DE00FE">
            <w:pPr>
              <w:rPr>
                <w:rFonts w:eastAsia="Times New Roman"/>
                <w:sz w:val="20"/>
                <w:szCs w:val="20"/>
                <w:lang w:val="en-US"/>
              </w:rPr>
            </w:pPr>
          </w:p>
        </w:tc>
      </w:tr>
      <w:tr w:rsidR="00DE00FE" w:rsidRPr="00DE00FE" w14:paraId="27412078" w14:textId="77777777" w:rsidTr="00920BB5">
        <w:trPr>
          <w:trHeight w:val="315"/>
        </w:trPr>
        <w:tc>
          <w:tcPr>
            <w:tcW w:w="1426" w:type="dxa"/>
            <w:shd w:val="clear" w:color="auto" w:fill="auto"/>
            <w:noWrap/>
            <w:vAlign w:val="bottom"/>
            <w:hideMark/>
          </w:tcPr>
          <w:p w14:paraId="0E994658" w14:textId="77777777" w:rsidR="00DE00FE" w:rsidRPr="00DE00FE" w:rsidRDefault="00DE00FE" w:rsidP="00DE00FE">
            <w:pPr>
              <w:rPr>
                <w:rFonts w:eastAsia="Times New Roman"/>
                <w:bCs/>
                <w:color w:val="000000"/>
                <w:sz w:val="20"/>
                <w:szCs w:val="20"/>
                <w:lang w:val="en-US"/>
              </w:rPr>
            </w:pPr>
            <w:r w:rsidRPr="00DE00FE">
              <w:rPr>
                <w:rFonts w:eastAsia="Times New Roman"/>
                <w:bCs/>
                <w:color w:val="000000"/>
                <w:sz w:val="20"/>
                <w:szCs w:val="20"/>
                <w:lang w:val="en-US"/>
              </w:rPr>
              <w:t>Deville et al. (2014)</w:t>
            </w:r>
          </w:p>
        </w:tc>
        <w:tc>
          <w:tcPr>
            <w:tcW w:w="4921" w:type="dxa"/>
            <w:shd w:val="clear" w:color="auto" w:fill="auto"/>
            <w:noWrap/>
            <w:vAlign w:val="bottom"/>
            <w:hideMark/>
          </w:tcPr>
          <w:p w14:paraId="292C6839"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Spot, ETFs and futures of the CAC 40</w:t>
            </w:r>
          </w:p>
        </w:tc>
        <w:tc>
          <w:tcPr>
            <w:tcW w:w="1296" w:type="dxa"/>
            <w:shd w:val="clear" w:color="auto" w:fill="auto"/>
            <w:noWrap/>
            <w:vAlign w:val="bottom"/>
            <w:hideMark/>
          </w:tcPr>
          <w:p w14:paraId="27A72CC6" w14:textId="77777777" w:rsidR="00DE00FE" w:rsidRPr="00DE00FE" w:rsidRDefault="00DE00FE" w:rsidP="00DE00FE">
            <w:pPr>
              <w:rPr>
                <w:rFonts w:eastAsia="Times New Roman"/>
                <w:i/>
                <w:color w:val="000000"/>
                <w:sz w:val="20"/>
                <w:szCs w:val="20"/>
                <w:lang w:val="en-US"/>
              </w:rPr>
            </w:pPr>
            <w:r w:rsidRPr="00DE00FE">
              <w:rPr>
                <w:rFonts w:eastAsia="Times New Roman"/>
                <w:i/>
                <w:color w:val="000000"/>
                <w:sz w:val="20"/>
                <w:szCs w:val="20"/>
                <w:lang w:val="en-US"/>
              </w:rPr>
              <w:t>Intraday</w:t>
            </w:r>
          </w:p>
        </w:tc>
        <w:tc>
          <w:tcPr>
            <w:tcW w:w="1734" w:type="dxa"/>
            <w:shd w:val="clear" w:color="auto" w:fill="auto"/>
            <w:noWrap/>
            <w:vAlign w:val="bottom"/>
            <w:hideMark/>
          </w:tcPr>
          <w:p w14:paraId="536D6824"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Two periods surrounding January </w:t>
            </w:r>
            <w:r w:rsidRPr="00DE00FE">
              <w:rPr>
                <w:rFonts w:eastAsia="Times New Roman"/>
                <w:i/>
                <w:color w:val="000000"/>
                <w:sz w:val="20"/>
                <w:szCs w:val="20"/>
                <w:lang w:val="en-US"/>
              </w:rPr>
              <w:t>2011</w:t>
            </w:r>
          </w:p>
        </w:tc>
      </w:tr>
      <w:tr w:rsidR="00DE00FE" w:rsidRPr="00DE00FE" w14:paraId="44950FA9" w14:textId="77777777" w:rsidTr="00920BB5">
        <w:trPr>
          <w:trHeight w:val="315"/>
        </w:trPr>
        <w:tc>
          <w:tcPr>
            <w:tcW w:w="1426" w:type="dxa"/>
            <w:shd w:val="clear" w:color="auto" w:fill="auto"/>
            <w:noWrap/>
            <w:vAlign w:val="bottom"/>
            <w:hideMark/>
          </w:tcPr>
          <w:p w14:paraId="08876AF2" w14:textId="77777777" w:rsidR="00DE00FE" w:rsidRPr="00DE00FE" w:rsidRDefault="00DE00FE" w:rsidP="00DE00FE">
            <w:pPr>
              <w:rPr>
                <w:rFonts w:eastAsia="Times New Roman"/>
                <w:color w:val="000000"/>
                <w:sz w:val="20"/>
                <w:szCs w:val="20"/>
                <w:lang w:val="en-US"/>
              </w:rPr>
            </w:pPr>
          </w:p>
        </w:tc>
        <w:tc>
          <w:tcPr>
            <w:tcW w:w="4921" w:type="dxa"/>
            <w:shd w:val="clear" w:color="auto" w:fill="auto"/>
            <w:noWrap/>
            <w:vAlign w:val="bottom"/>
            <w:hideMark/>
          </w:tcPr>
          <w:p w14:paraId="4E1E871A" w14:textId="77777777" w:rsidR="00DE00FE" w:rsidRPr="00DE00FE" w:rsidRDefault="00DE00FE" w:rsidP="00DE00FE">
            <w:pPr>
              <w:rPr>
                <w:rFonts w:eastAsia="Times New Roman"/>
                <w:sz w:val="20"/>
                <w:szCs w:val="20"/>
                <w:lang w:val="en-US"/>
              </w:rPr>
            </w:pPr>
          </w:p>
        </w:tc>
        <w:tc>
          <w:tcPr>
            <w:tcW w:w="1296" w:type="dxa"/>
            <w:shd w:val="clear" w:color="auto" w:fill="auto"/>
            <w:noWrap/>
            <w:vAlign w:val="bottom"/>
            <w:hideMark/>
          </w:tcPr>
          <w:p w14:paraId="0431CB56" w14:textId="77777777" w:rsidR="00DE00FE" w:rsidRPr="00DE00FE" w:rsidRDefault="00DE00FE" w:rsidP="00DE00FE">
            <w:pPr>
              <w:rPr>
                <w:rFonts w:eastAsia="Times New Roman"/>
                <w:sz w:val="20"/>
                <w:szCs w:val="20"/>
                <w:lang w:val="en-US"/>
              </w:rPr>
            </w:pPr>
          </w:p>
        </w:tc>
        <w:tc>
          <w:tcPr>
            <w:tcW w:w="1734" w:type="dxa"/>
            <w:shd w:val="clear" w:color="auto" w:fill="auto"/>
            <w:noWrap/>
            <w:vAlign w:val="bottom"/>
            <w:hideMark/>
          </w:tcPr>
          <w:p w14:paraId="05526262" w14:textId="77777777" w:rsidR="00DE00FE" w:rsidRPr="00DE00FE" w:rsidRDefault="00DE00FE" w:rsidP="00DE00FE">
            <w:pPr>
              <w:rPr>
                <w:rFonts w:eastAsia="Times New Roman"/>
                <w:sz w:val="20"/>
                <w:szCs w:val="20"/>
                <w:lang w:val="en-US"/>
              </w:rPr>
            </w:pPr>
          </w:p>
        </w:tc>
      </w:tr>
      <w:tr w:rsidR="00DE00FE" w:rsidRPr="00DE00FE" w14:paraId="7FCDC150" w14:textId="77777777" w:rsidTr="00920BB5">
        <w:trPr>
          <w:trHeight w:val="315"/>
        </w:trPr>
        <w:tc>
          <w:tcPr>
            <w:tcW w:w="1426" w:type="dxa"/>
            <w:shd w:val="clear" w:color="auto" w:fill="auto"/>
            <w:noWrap/>
            <w:vAlign w:val="bottom"/>
            <w:hideMark/>
          </w:tcPr>
          <w:p w14:paraId="258699DE"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Madhavan and Sobczyk (2016)</w:t>
            </w:r>
          </w:p>
        </w:tc>
        <w:tc>
          <w:tcPr>
            <w:tcW w:w="4921" w:type="dxa"/>
            <w:shd w:val="clear" w:color="auto" w:fill="auto"/>
            <w:noWrap/>
            <w:vAlign w:val="bottom"/>
            <w:hideMark/>
          </w:tcPr>
          <w:p w14:paraId="37C99A76"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All US domiciled ETFs</w:t>
            </w:r>
          </w:p>
        </w:tc>
        <w:tc>
          <w:tcPr>
            <w:tcW w:w="1296" w:type="dxa"/>
            <w:shd w:val="clear" w:color="auto" w:fill="auto"/>
            <w:noWrap/>
            <w:vAlign w:val="bottom"/>
            <w:hideMark/>
          </w:tcPr>
          <w:p w14:paraId="4C377F47"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Daily</w:t>
            </w:r>
          </w:p>
        </w:tc>
        <w:tc>
          <w:tcPr>
            <w:tcW w:w="1734" w:type="dxa"/>
            <w:shd w:val="clear" w:color="auto" w:fill="auto"/>
            <w:noWrap/>
            <w:vAlign w:val="bottom"/>
            <w:hideMark/>
          </w:tcPr>
          <w:p w14:paraId="081A9B8A"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January 2014</w:t>
            </w:r>
          </w:p>
        </w:tc>
      </w:tr>
      <w:tr w:rsidR="00DE00FE" w:rsidRPr="00DE00FE" w14:paraId="76E39DC3" w14:textId="77777777" w:rsidTr="00920BB5">
        <w:trPr>
          <w:trHeight w:val="315"/>
        </w:trPr>
        <w:tc>
          <w:tcPr>
            <w:tcW w:w="1426" w:type="dxa"/>
            <w:shd w:val="clear" w:color="auto" w:fill="auto"/>
            <w:noWrap/>
            <w:vAlign w:val="bottom"/>
            <w:hideMark/>
          </w:tcPr>
          <w:p w14:paraId="137E2582" w14:textId="77777777" w:rsidR="00DE00FE" w:rsidRPr="00DE00FE" w:rsidRDefault="00DE00FE" w:rsidP="00DE00FE">
            <w:pPr>
              <w:rPr>
                <w:rFonts w:eastAsia="Times New Roman"/>
                <w:color w:val="000000"/>
                <w:sz w:val="20"/>
                <w:szCs w:val="20"/>
                <w:lang w:val="en-US"/>
              </w:rPr>
            </w:pPr>
          </w:p>
        </w:tc>
        <w:tc>
          <w:tcPr>
            <w:tcW w:w="4921" w:type="dxa"/>
            <w:shd w:val="clear" w:color="auto" w:fill="auto"/>
            <w:noWrap/>
            <w:vAlign w:val="bottom"/>
            <w:hideMark/>
          </w:tcPr>
          <w:p w14:paraId="6971A10C" w14:textId="77777777" w:rsidR="00DE00FE" w:rsidRPr="00DE00FE" w:rsidRDefault="00DE00FE" w:rsidP="00DE00FE">
            <w:pPr>
              <w:rPr>
                <w:rFonts w:eastAsia="Times New Roman"/>
                <w:sz w:val="20"/>
                <w:szCs w:val="20"/>
                <w:lang w:val="en-US"/>
              </w:rPr>
            </w:pPr>
          </w:p>
        </w:tc>
        <w:tc>
          <w:tcPr>
            <w:tcW w:w="1296" w:type="dxa"/>
            <w:shd w:val="clear" w:color="auto" w:fill="auto"/>
            <w:noWrap/>
            <w:vAlign w:val="bottom"/>
            <w:hideMark/>
          </w:tcPr>
          <w:p w14:paraId="473C4BBC" w14:textId="77777777" w:rsidR="00DE00FE" w:rsidRPr="00DE00FE" w:rsidRDefault="00DE00FE" w:rsidP="00DE00FE">
            <w:pPr>
              <w:rPr>
                <w:rFonts w:eastAsia="Times New Roman"/>
                <w:sz w:val="20"/>
                <w:szCs w:val="20"/>
                <w:lang w:val="en-US"/>
              </w:rPr>
            </w:pPr>
          </w:p>
        </w:tc>
        <w:tc>
          <w:tcPr>
            <w:tcW w:w="1734" w:type="dxa"/>
            <w:shd w:val="clear" w:color="auto" w:fill="auto"/>
            <w:noWrap/>
            <w:vAlign w:val="bottom"/>
            <w:hideMark/>
          </w:tcPr>
          <w:p w14:paraId="6F32473B" w14:textId="77777777" w:rsidR="00DE00FE" w:rsidRPr="00DE00FE" w:rsidRDefault="00DE00FE" w:rsidP="00DE00FE">
            <w:pPr>
              <w:rPr>
                <w:rFonts w:eastAsia="Times New Roman"/>
                <w:sz w:val="20"/>
                <w:szCs w:val="20"/>
                <w:lang w:val="en-US"/>
              </w:rPr>
            </w:pPr>
          </w:p>
        </w:tc>
      </w:tr>
      <w:tr w:rsidR="00DE00FE" w:rsidRPr="00DE00FE" w14:paraId="35EA3BEE" w14:textId="77777777" w:rsidTr="00920BB5">
        <w:trPr>
          <w:trHeight w:val="315"/>
        </w:trPr>
        <w:tc>
          <w:tcPr>
            <w:tcW w:w="1426" w:type="dxa"/>
            <w:shd w:val="clear" w:color="auto" w:fill="auto"/>
            <w:noWrap/>
            <w:vAlign w:val="bottom"/>
            <w:hideMark/>
          </w:tcPr>
          <w:p w14:paraId="15284172"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Frommherz (2017) </w:t>
            </w:r>
          </w:p>
        </w:tc>
        <w:tc>
          <w:tcPr>
            <w:tcW w:w="4921" w:type="dxa"/>
            <w:shd w:val="clear" w:color="auto" w:fill="auto"/>
            <w:noWrap/>
            <w:vAlign w:val="bottom"/>
            <w:hideMark/>
          </w:tcPr>
          <w:p w14:paraId="446372C7"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German equity index DAX, DAX futures, as well as DAX options and the top-level order book of the iShares DAX ETFs</w:t>
            </w:r>
          </w:p>
        </w:tc>
        <w:tc>
          <w:tcPr>
            <w:tcW w:w="1296" w:type="dxa"/>
            <w:shd w:val="clear" w:color="auto" w:fill="auto"/>
            <w:noWrap/>
            <w:vAlign w:val="bottom"/>
            <w:hideMark/>
          </w:tcPr>
          <w:p w14:paraId="36371742" w14:textId="77777777" w:rsidR="00DE00FE" w:rsidRPr="00DE00FE" w:rsidRDefault="00DE00FE" w:rsidP="00DE00FE">
            <w:pPr>
              <w:rPr>
                <w:rFonts w:eastAsia="Times New Roman"/>
                <w:i/>
                <w:color w:val="000000"/>
                <w:sz w:val="20"/>
                <w:szCs w:val="20"/>
                <w:lang w:val="en-US"/>
              </w:rPr>
            </w:pPr>
            <w:r w:rsidRPr="00DE00FE">
              <w:rPr>
                <w:rFonts w:eastAsia="Times New Roman"/>
                <w:i/>
                <w:color w:val="000000"/>
                <w:sz w:val="20"/>
                <w:szCs w:val="20"/>
                <w:lang w:val="en-US"/>
              </w:rPr>
              <w:t xml:space="preserve">1 second </w:t>
            </w:r>
          </w:p>
        </w:tc>
        <w:tc>
          <w:tcPr>
            <w:tcW w:w="1734" w:type="dxa"/>
            <w:shd w:val="clear" w:color="auto" w:fill="auto"/>
            <w:noWrap/>
            <w:vAlign w:val="bottom"/>
            <w:hideMark/>
          </w:tcPr>
          <w:p w14:paraId="7A840615" w14:textId="77777777" w:rsidR="00DE00FE" w:rsidRPr="00DE00FE" w:rsidRDefault="00DE00FE" w:rsidP="00DE00FE">
            <w:pPr>
              <w:rPr>
                <w:rFonts w:eastAsia="Times New Roman"/>
                <w:color w:val="000000"/>
                <w:sz w:val="20"/>
                <w:szCs w:val="20"/>
                <w:lang w:val="en-US"/>
              </w:rPr>
            </w:pPr>
            <w:r w:rsidRPr="00DE00FE">
              <w:rPr>
                <w:rFonts w:eastAsia="Times New Roman"/>
                <w:color w:val="000000"/>
                <w:sz w:val="20"/>
                <w:szCs w:val="20"/>
                <w:lang w:val="en-US"/>
              </w:rPr>
              <w:t xml:space="preserve">July 2007–December </w:t>
            </w:r>
            <w:r w:rsidRPr="00DE00FE">
              <w:rPr>
                <w:rFonts w:eastAsia="Times New Roman"/>
                <w:i/>
                <w:color w:val="000000"/>
                <w:sz w:val="20"/>
                <w:szCs w:val="20"/>
                <w:lang w:val="en-US"/>
              </w:rPr>
              <w:t>2009</w:t>
            </w:r>
          </w:p>
        </w:tc>
      </w:tr>
    </w:tbl>
    <w:p w14:paraId="7609ED4D" w14:textId="77777777" w:rsidR="00DE00FE" w:rsidRPr="00DE00FE" w:rsidRDefault="00DE00FE" w:rsidP="00DE00FE">
      <w:pPr>
        <w:spacing w:after="160" w:line="480" w:lineRule="auto"/>
        <w:jc w:val="both"/>
        <w:rPr>
          <w:rFonts w:ascii="Calibri" w:eastAsia="DengXian" w:hAnsi="Calibri"/>
          <w:sz w:val="22"/>
          <w:szCs w:val="22"/>
          <w:lang w:val="en-US"/>
        </w:rPr>
      </w:pPr>
    </w:p>
    <w:p w14:paraId="7ADDAB1A" w14:textId="50189D92" w:rsidR="005A719B" w:rsidRDefault="005A719B" w:rsidP="00B35B47">
      <w:pPr>
        <w:spacing w:line="480" w:lineRule="auto"/>
        <w:jc w:val="both"/>
        <w:rPr>
          <w:b/>
          <w:color w:val="000000" w:themeColor="text1"/>
          <w:sz w:val="28"/>
          <w:szCs w:val="28"/>
          <w:lang w:val="en-US"/>
        </w:rPr>
      </w:pPr>
      <w:r w:rsidRPr="00344C3A">
        <w:rPr>
          <w:b/>
          <w:color w:val="000000" w:themeColor="text1"/>
          <w:sz w:val="28"/>
          <w:szCs w:val="28"/>
          <w:lang w:val="en-US"/>
        </w:rPr>
        <w:t xml:space="preserve">4 </w:t>
      </w:r>
      <w:r>
        <w:rPr>
          <w:b/>
          <w:color w:val="000000" w:themeColor="text1"/>
          <w:sz w:val="28"/>
          <w:szCs w:val="28"/>
          <w:lang w:val="en-US"/>
        </w:rPr>
        <w:t>Methodology</w:t>
      </w:r>
    </w:p>
    <w:p w14:paraId="72407432" w14:textId="27F8EB69" w:rsidR="005A719B" w:rsidRPr="00953770" w:rsidRDefault="005A719B" w:rsidP="00564574">
      <w:pPr>
        <w:spacing w:line="480" w:lineRule="auto"/>
        <w:jc w:val="both"/>
        <w:rPr>
          <w:rFonts w:eastAsia="SimSun"/>
          <w:lang w:val="en-US"/>
        </w:rPr>
      </w:pPr>
      <w:r w:rsidRPr="00953770">
        <w:rPr>
          <w:rFonts w:eastAsia="SimSun"/>
          <w:lang w:val="en-US"/>
        </w:rPr>
        <w:t xml:space="preserve">The purpose of this study </w:t>
      </w:r>
      <w:r>
        <w:rPr>
          <w:rFonts w:eastAsia="SimSun"/>
          <w:lang w:val="en-US"/>
        </w:rPr>
        <w:t>was</w:t>
      </w:r>
      <w:r w:rsidRPr="00953770">
        <w:rPr>
          <w:rFonts w:eastAsia="SimSun"/>
          <w:lang w:val="en-US"/>
        </w:rPr>
        <w:t xml:space="preserve"> to </w:t>
      </w:r>
      <w:r>
        <w:rPr>
          <w:rFonts w:eastAsia="SimSun"/>
          <w:lang w:val="en-US"/>
        </w:rPr>
        <w:t xml:space="preserve">attempt </w:t>
      </w:r>
      <w:r w:rsidRPr="00953770">
        <w:rPr>
          <w:rFonts w:eastAsia="SimSun"/>
          <w:lang w:val="en-US"/>
        </w:rPr>
        <w:t xml:space="preserve">to </w:t>
      </w:r>
      <w:r>
        <w:rPr>
          <w:rFonts w:eastAsia="SimSun"/>
          <w:lang w:val="en-US"/>
        </w:rPr>
        <w:t xml:space="preserve">gain an </w:t>
      </w:r>
      <w:r w:rsidRPr="00953770">
        <w:rPr>
          <w:rFonts w:eastAsia="SimSun"/>
          <w:lang w:val="en-US"/>
        </w:rPr>
        <w:t>understand</w:t>
      </w:r>
      <w:r>
        <w:rPr>
          <w:rFonts w:eastAsia="SimSun"/>
          <w:lang w:val="en-US"/>
        </w:rPr>
        <w:t>ing regarding</w:t>
      </w:r>
      <w:r w:rsidRPr="00953770">
        <w:rPr>
          <w:rFonts w:eastAsia="SimSun"/>
          <w:lang w:val="en-US"/>
        </w:rPr>
        <w:t xml:space="preserve"> the relative efficiency </w:t>
      </w:r>
      <w:r>
        <w:rPr>
          <w:rFonts w:eastAsia="SimSun"/>
          <w:lang w:val="en-US"/>
        </w:rPr>
        <w:t>in the</w:t>
      </w:r>
      <w:r w:rsidRPr="00953770">
        <w:rPr>
          <w:rFonts w:eastAsia="SimSun"/>
          <w:lang w:val="en-US"/>
        </w:rPr>
        <w:t xml:space="preserve"> price discovery </w:t>
      </w:r>
      <w:r>
        <w:rPr>
          <w:rFonts w:eastAsia="SimSun"/>
          <w:lang w:val="en-US"/>
        </w:rPr>
        <w:t xml:space="preserve">process of </w:t>
      </w:r>
      <w:r w:rsidRPr="00953770">
        <w:rPr>
          <w:rFonts w:eastAsia="SimSun"/>
          <w:lang w:val="en-US"/>
        </w:rPr>
        <w:t xml:space="preserve">three index derivative markets. As </w:t>
      </w:r>
      <w:r>
        <w:rPr>
          <w:rFonts w:eastAsia="SimSun"/>
          <w:lang w:val="en-US"/>
        </w:rPr>
        <w:t xml:space="preserve">observed </w:t>
      </w:r>
      <w:r w:rsidRPr="0021530A">
        <w:rPr>
          <w:rFonts w:eastAsia="SimSun"/>
          <w:lang w:val="en-US"/>
        </w:rPr>
        <w:t>in Sections 2.2.1 and 2.2.2, the</w:t>
      </w:r>
      <w:r w:rsidRPr="00953770">
        <w:rPr>
          <w:rFonts w:eastAsia="SimSun"/>
          <w:lang w:val="en-US"/>
        </w:rPr>
        <w:t xml:space="preserve"> spot index, index futures</w:t>
      </w:r>
      <w:r>
        <w:rPr>
          <w:rFonts w:eastAsia="SimSun"/>
          <w:lang w:val="en-US"/>
        </w:rPr>
        <w:t>,</w:t>
      </w:r>
      <w:r w:rsidRPr="00953770">
        <w:rPr>
          <w:rFonts w:eastAsia="SimSun"/>
          <w:lang w:val="en-US"/>
        </w:rPr>
        <w:t xml:space="preserve"> and index tracking </w:t>
      </w:r>
      <w:r>
        <w:rPr>
          <w:rFonts w:eastAsia="SimSun"/>
          <w:lang w:val="en-US"/>
        </w:rPr>
        <w:t>ETFs</w:t>
      </w:r>
      <w:r w:rsidRPr="00953770">
        <w:rPr>
          <w:rFonts w:eastAsia="SimSun"/>
          <w:lang w:val="en-US"/>
        </w:rPr>
        <w:t xml:space="preserve"> are based on the same underlying assets</w:t>
      </w:r>
      <w:r>
        <w:rPr>
          <w:rFonts w:eastAsia="SimSun"/>
          <w:lang w:val="en-US"/>
        </w:rPr>
        <w:t>;</w:t>
      </w:r>
      <w:r w:rsidRPr="00953770">
        <w:rPr>
          <w:rFonts w:eastAsia="SimSun"/>
          <w:lang w:val="en-US"/>
        </w:rPr>
        <w:t xml:space="preserve"> thus, these markets are affected by the same information set. If the spot, futures</w:t>
      </w:r>
      <w:r>
        <w:rPr>
          <w:rFonts w:eastAsia="SimSun"/>
          <w:lang w:val="en-US"/>
        </w:rPr>
        <w:t>,</w:t>
      </w:r>
      <w:r w:rsidRPr="00953770">
        <w:rPr>
          <w:rFonts w:eastAsia="SimSun"/>
          <w:lang w:val="en-US"/>
        </w:rPr>
        <w:t xml:space="preserve"> and </w:t>
      </w:r>
      <w:r>
        <w:rPr>
          <w:rFonts w:eastAsia="SimSun"/>
          <w:lang w:val="en-US"/>
        </w:rPr>
        <w:t>ETFs</w:t>
      </w:r>
      <w:r w:rsidRPr="00953770">
        <w:rPr>
          <w:rFonts w:eastAsia="SimSun"/>
          <w:lang w:val="en-US"/>
        </w:rPr>
        <w:t xml:space="preserve"> prices for a given asset </w:t>
      </w:r>
      <w:r>
        <w:rPr>
          <w:rFonts w:eastAsia="SimSun"/>
          <w:lang w:val="en-US"/>
        </w:rPr>
        <w:t xml:space="preserve">deviate </w:t>
      </w:r>
      <w:r w:rsidRPr="00953770">
        <w:rPr>
          <w:rFonts w:eastAsia="SimSun"/>
          <w:lang w:val="en-US"/>
        </w:rPr>
        <w:t xml:space="preserve">from </w:t>
      </w:r>
      <w:r>
        <w:rPr>
          <w:rFonts w:eastAsia="SimSun"/>
          <w:lang w:val="en-US"/>
        </w:rPr>
        <w:t xml:space="preserve">each </w:t>
      </w:r>
      <w:r w:rsidRPr="00953770">
        <w:rPr>
          <w:rFonts w:eastAsia="SimSun"/>
          <w:lang w:val="en-US"/>
        </w:rPr>
        <w:t xml:space="preserve">another, </w:t>
      </w:r>
      <w:r>
        <w:rPr>
          <w:rFonts w:eastAsia="SimSun"/>
          <w:lang w:val="en-US"/>
        </w:rPr>
        <w:t xml:space="preserve">the </w:t>
      </w:r>
      <w:r w:rsidRPr="00953770">
        <w:rPr>
          <w:rFonts w:eastAsia="SimSun"/>
          <w:lang w:val="en-US"/>
        </w:rPr>
        <w:t xml:space="preserve">market forces would </w:t>
      </w:r>
      <w:r>
        <w:rPr>
          <w:rFonts w:eastAsia="SimSun"/>
          <w:lang w:val="en-US"/>
        </w:rPr>
        <w:t xml:space="preserve">function </w:t>
      </w:r>
      <w:r w:rsidRPr="00953770">
        <w:rPr>
          <w:rFonts w:eastAsia="SimSun"/>
          <w:lang w:val="en-US"/>
        </w:rPr>
        <w:t xml:space="preserve">to </w:t>
      </w:r>
      <w:r>
        <w:rPr>
          <w:rFonts w:eastAsia="SimSun"/>
          <w:lang w:val="en-US"/>
        </w:rPr>
        <w:t xml:space="preserve">realign them to the same values </w:t>
      </w:r>
      <w:r w:rsidRPr="00C2448E">
        <w:rPr>
          <w:rFonts w:eastAsia="SimSun"/>
        </w:rPr>
        <w:t xml:space="preserve">to follow their long-run </w:t>
      </w:r>
      <w:r w:rsidRPr="00953770">
        <w:rPr>
          <w:rFonts w:eastAsia="SimSun"/>
          <w:lang w:val="en-US"/>
        </w:rPr>
        <w:t>relationship given by the cost</w:t>
      </w:r>
      <w:r>
        <w:rPr>
          <w:rFonts w:eastAsia="SimSun"/>
          <w:lang w:val="en-US"/>
        </w:rPr>
        <w:t>-</w:t>
      </w:r>
      <w:r w:rsidRPr="00953770">
        <w:rPr>
          <w:rFonts w:eastAsia="SimSun"/>
          <w:lang w:val="en-US"/>
        </w:rPr>
        <w:t>of carry</w:t>
      </w:r>
      <w:r>
        <w:rPr>
          <w:rFonts w:eastAsia="SimSun"/>
          <w:lang w:val="en-US"/>
        </w:rPr>
        <w:t>-</w:t>
      </w:r>
      <w:r w:rsidRPr="00953770">
        <w:rPr>
          <w:rFonts w:eastAsia="SimSun"/>
          <w:lang w:val="en-US"/>
        </w:rPr>
        <w:t xml:space="preserve">formula. The examination </w:t>
      </w:r>
      <w:r>
        <w:rPr>
          <w:rFonts w:eastAsia="SimSun"/>
          <w:lang w:val="en-US"/>
        </w:rPr>
        <w:t>of</w:t>
      </w:r>
      <w:r w:rsidRPr="00953770">
        <w:rPr>
          <w:rFonts w:eastAsia="SimSun"/>
          <w:lang w:val="en-US"/>
        </w:rPr>
        <w:t xml:space="preserve"> the deviations of the three index derivative markets from the long-run equilibrium relation helps us understand </w:t>
      </w:r>
      <w:r>
        <w:rPr>
          <w:rFonts w:eastAsia="SimSun"/>
          <w:lang w:val="en-US"/>
        </w:rPr>
        <w:t xml:space="preserve">the way in which </w:t>
      </w:r>
      <w:r w:rsidRPr="00953770">
        <w:rPr>
          <w:rFonts w:eastAsia="SimSun"/>
          <w:lang w:val="en-US"/>
        </w:rPr>
        <w:t xml:space="preserve">these markets adjust their prices </w:t>
      </w:r>
      <w:r>
        <w:rPr>
          <w:rFonts w:eastAsia="SimSun"/>
          <w:lang w:val="en-US"/>
        </w:rPr>
        <w:t xml:space="preserve">in relation </w:t>
      </w:r>
      <w:r w:rsidRPr="00953770">
        <w:rPr>
          <w:rFonts w:eastAsia="SimSun"/>
          <w:lang w:val="en-US"/>
        </w:rPr>
        <w:t>to common information</w:t>
      </w:r>
      <w:r>
        <w:rPr>
          <w:rFonts w:eastAsia="SimSun"/>
          <w:lang w:val="en-US"/>
        </w:rPr>
        <w:t xml:space="preserve"> received</w:t>
      </w:r>
      <w:r w:rsidRPr="00953770">
        <w:rPr>
          <w:rFonts w:eastAsia="SimSun"/>
          <w:lang w:val="en-US"/>
        </w:rPr>
        <w:t xml:space="preserve">. </w:t>
      </w:r>
      <w:r>
        <w:rPr>
          <w:rFonts w:eastAsia="SimSun"/>
          <w:lang w:val="en-US"/>
        </w:rPr>
        <w:t>Then, w</w:t>
      </w:r>
      <w:r w:rsidRPr="00953770">
        <w:rPr>
          <w:rFonts w:eastAsia="SimSun"/>
          <w:lang w:val="en-US"/>
        </w:rPr>
        <w:t xml:space="preserve">e </w:t>
      </w:r>
      <w:r>
        <w:rPr>
          <w:rFonts w:eastAsia="SimSun"/>
          <w:lang w:val="en-US"/>
        </w:rPr>
        <w:t xml:space="preserve">can </w:t>
      </w:r>
      <w:r w:rsidRPr="00953770">
        <w:rPr>
          <w:rFonts w:eastAsia="SimSun"/>
          <w:lang w:val="en-US"/>
        </w:rPr>
        <w:t>analy</w:t>
      </w:r>
      <w:r>
        <w:rPr>
          <w:rFonts w:eastAsia="SimSun"/>
          <w:lang w:val="en-US"/>
        </w:rPr>
        <w:t>z</w:t>
      </w:r>
      <w:r w:rsidRPr="00953770">
        <w:rPr>
          <w:rFonts w:eastAsia="SimSun"/>
          <w:lang w:val="en-US"/>
        </w:rPr>
        <w:t>e these markets</w:t>
      </w:r>
      <w:r>
        <w:rPr>
          <w:rFonts w:eastAsia="SimSun"/>
          <w:lang w:val="en-US"/>
        </w:rPr>
        <w:t xml:space="preserve">’ ability to transmit </w:t>
      </w:r>
      <w:r w:rsidRPr="00F05CCF">
        <w:rPr>
          <w:rFonts w:eastAsia="SimSun"/>
          <w:lang w:val="en-US"/>
        </w:rPr>
        <w:t xml:space="preserve">information </w:t>
      </w:r>
      <w:r w:rsidRPr="00953770">
        <w:rPr>
          <w:rFonts w:eastAsia="SimSun"/>
          <w:lang w:val="en-US"/>
        </w:rPr>
        <w:t xml:space="preserve">and reveal their relative efficiency </w:t>
      </w:r>
      <w:r>
        <w:rPr>
          <w:rFonts w:eastAsia="SimSun"/>
          <w:lang w:val="en-US"/>
        </w:rPr>
        <w:t xml:space="preserve">in the </w:t>
      </w:r>
      <w:r w:rsidRPr="00953770">
        <w:rPr>
          <w:rFonts w:eastAsia="SimSun"/>
          <w:lang w:val="en-US"/>
        </w:rPr>
        <w:t>price discovery</w:t>
      </w:r>
      <w:r>
        <w:rPr>
          <w:rFonts w:eastAsia="SimSun"/>
          <w:lang w:val="en-US"/>
        </w:rPr>
        <w:t xml:space="preserve"> process</w:t>
      </w:r>
      <w:r w:rsidRPr="00953770">
        <w:rPr>
          <w:rFonts w:eastAsia="SimSun"/>
          <w:lang w:val="en-US"/>
        </w:rPr>
        <w:t xml:space="preserve">. The Hasbrouck (1995) information share and the Gonzalo and Granger (1995) common factor weights </w:t>
      </w:r>
      <w:r>
        <w:rPr>
          <w:rFonts w:eastAsia="SimSun"/>
          <w:lang w:val="en-US"/>
        </w:rPr>
        <w:t>were</w:t>
      </w:r>
      <w:r w:rsidRPr="00953770">
        <w:rPr>
          <w:rFonts w:eastAsia="SimSun"/>
          <w:lang w:val="en-US"/>
        </w:rPr>
        <w:t xml:space="preserve"> applied in our study to investigate the contribution of each market to the price discovery process. These two methods essentially </w:t>
      </w:r>
      <w:r>
        <w:rPr>
          <w:rFonts w:eastAsia="SimSun"/>
          <w:lang w:val="en-US"/>
        </w:rPr>
        <w:t xml:space="preserve">analyze </w:t>
      </w:r>
      <w:r w:rsidRPr="00953770">
        <w:rPr>
          <w:rFonts w:eastAsia="SimSun"/>
          <w:lang w:val="en-US"/>
        </w:rPr>
        <w:t xml:space="preserve">the common factor among cointegrated price series to examine </w:t>
      </w:r>
      <w:r>
        <w:rPr>
          <w:rFonts w:eastAsia="SimSun"/>
          <w:lang w:val="en-US"/>
        </w:rPr>
        <w:t>the way in which</w:t>
      </w:r>
      <w:r w:rsidRPr="00953770">
        <w:rPr>
          <w:rFonts w:eastAsia="SimSun"/>
          <w:lang w:val="en-US"/>
        </w:rPr>
        <w:t xml:space="preserve"> the information is transmitted </w:t>
      </w:r>
      <w:r>
        <w:rPr>
          <w:rFonts w:eastAsia="SimSun"/>
          <w:lang w:val="en-US"/>
        </w:rPr>
        <w:t xml:space="preserve">across </w:t>
      </w:r>
      <w:r w:rsidRPr="00953770">
        <w:rPr>
          <w:rFonts w:eastAsia="SimSun"/>
          <w:lang w:val="en-US"/>
        </w:rPr>
        <w:t>the markets.</w:t>
      </w:r>
    </w:p>
    <w:p w14:paraId="70226318" w14:textId="0499B448" w:rsidR="005A719B" w:rsidRPr="00E429DC" w:rsidRDefault="005A719B" w:rsidP="00B35B47">
      <w:pPr>
        <w:spacing w:line="480" w:lineRule="auto"/>
        <w:jc w:val="both"/>
        <w:rPr>
          <w:i/>
          <w:color w:val="000000" w:themeColor="text1"/>
          <w:lang w:val="en-US"/>
        </w:rPr>
      </w:pPr>
      <w:r>
        <w:rPr>
          <w:i/>
          <w:color w:val="000000" w:themeColor="text1"/>
          <w:lang w:val="en-US"/>
        </w:rPr>
        <w:t>4.1 Hasbrouck (1995) Information S</w:t>
      </w:r>
      <w:r w:rsidRPr="00E429DC">
        <w:rPr>
          <w:i/>
          <w:color w:val="000000" w:themeColor="text1"/>
          <w:lang w:val="en-US"/>
        </w:rPr>
        <w:t xml:space="preserve">hare </w:t>
      </w:r>
      <w:r>
        <w:rPr>
          <w:i/>
          <w:color w:val="000000" w:themeColor="text1"/>
          <w:lang w:val="en-US"/>
        </w:rPr>
        <w:t>Method</w:t>
      </w:r>
    </w:p>
    <w:p w14:paraId="16CE2F0F" w14:textId="7527A6B4" w:rsidR="005A719B" w:rsidRPr="00AA1EDC" w:rsidRDefault="00A54322" w:rsidP="00E429DC">
      <w:pPr>
        <w:spacing w:line="360" w:lineRule="auto"/>
        <w:jc w:val="both"/>
        <w:rPr>
          <w:color w:val="000000" w:themeColor="text1"/>
        </w:rPr>
      </w:pPr>
      <w:r>
        <w:rPr>
          <w:color w:val="000000" w:themeColor="text1"/>
          <w:lang w:val="en-US"/>
        </w:rPr>
        <w:t xml:space="preserve">The </w:t>
      </w:r>
      <w:r w:rsidR="00F92744">
        <w:rPr>
          <w:color w:val="000000" w:themeColor="text1"/>
          <w:lang w:val="en-US"/>
        </w:rPr>
        <w:t>Hasbrouck (1995) information s</w:t>
      </w:r>
      <w:r w:rsidR="009D7660" w:rsidRPr="009D7660">
        <w:rPr>
          <w:color w:val="000000" w:themeColor="text1"/>
          <w:lang w:val="en-US"/>
        </w:rPr>
        <w:t xml:space="preserve">hare </w:t>
      </w:r>
      <w:r w:rsidR="009D7660">
        <w:rPr>
          <w:color w:val="000000" w:themeColor="text1"/>
          <w:lang w:val="en-US"/>
        </w:rPr>
        <w:t>m</w:t>
      </w:r>
      <w:r w:rsidR="009D7660" w:rsidRPr="009D7660">
        <w:rPr>
          <w:color w:val="000000" w:themeColor="text1"/>
          <w:lang w:val="en-US"/>
        </w:rPr>
        <w:t>ethod</w:t>
      </w:r>
      <w:r w:rsidR="009D7660" w:rsidRPr="00AA1EDC">
        <w:rPr>
          <w:color w:val="000000" w:themeColor="text1"/>
        </w:rPr>
        <w:t xml:space="preserve"> </w:t>
      </w:r>
      <w:r w:rsidR="009D7660">
        <w:rPr>
          <w:color w:val="000000" w:themeColor="text1"/>
        </w:rPr>
        <w:t>is</w:t>
      </w:r>
      <w:r w:rsidR="005A719B" w:rsidRPr="00AA1EDC">
        <w:rPr>
          <w:color w:val="000000" w:themeColor="text1"/>
        </w:rPr>
        <w:t xml:space="preserve"> based on the existence of </w:t>
      </w:r>
      <w:r w:rsidR="005A719B" w:rsidRPr="00AA1EDC">
        <w:rPr>
          <w:i/>
          <w:color w:val="000000" w:themeColor="text1"/>
        </w:rPr>
        <w:t>q</w:t>
      </w:r>
      <w:r w:rsidR="005A719B" w:rsidRPr="00AA1EDC">
        <w:rPr>
          <w:color w:val="000000" w:themeColor="text1"/>
        </w:rPr>
        <w:t xml:space="preserve"> co-integrated I(1) price series</w:t>
      </w:r>
      <w:r w:rsidR="005A719B" w:rsidRPr="00AA1EDC">
        <w:rPr>
          <w:rFonts w:hint="eastAsia"/>
          <w:color w:val="000000" w:themeColor="text1"/>
        </w:rPr>
        <w:t xml:space="preserve"> </w:t>
      </w:r>
      <w:r w:rsidR="005A719B" w:rsidRPr="00AA1EDC">
        <w:rPr>
          <w:color w:val="000000" w:themeColor="text1"/>
        </w:rPr>
        <w:t xml:space="preserve">defined by the </w:t>
      </w:r>
      <w:r w:rsidR="005A719B" w:rsidRPr="00AA1EDC">
        <w:rPr>
          <w:i/>
          <w:color w:val="000000" w:themeColor="text1"/>
        </w:rPr>
        <w:t>q</w:t>
      </w:r>
      <w:r w:rsidR="005A719B" w:rsidRPr="00AA1EDC">
        <w:rPr>
          <w:color w:val="000000" w:themeColor="text1"/>
        </w:rPr>
        <w:t xml:space="preserve">-dimensional price vector </w:t>
      </w:r>
      <w:r w:rsidR="00CE5A07" w:rsidRPr="00AA1EDC">
        <w:rPr>
          <w:noProof/>
          <w:color w:val="000000" w:themeColor="text1"/>
          <w:position w:val="-14"/>
        </w:rPr>
        <w:object w:dxaOrig="2000" w:dyaOrig="380" w14:anchorId="1BFFD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pt;height:21pt;mso-width-percent:0;mso-height-percent:0;mso-width-percent:0;mso-height-percent:0" o:ole="">
            <v:imagedata r:id="rId9" o:title=""/>
          </v:shape>
          <o:OLEObject Type="Embed" ProgID="Equation.3" ShapeID="_x0000_i1025" DrawAspect="Content" ObjectID="_1612593833" r:id="rId10"/>
        </w:object>
      </w:r>
      <w:r w:rsidR="005A719B" w:rsidRPr="00AA1EDC">
        <w:rPr>
          <w:color w:val="000000" w:themeColor="text1"/>
        </w:rPr>
        <w:t xml:space="preserve">. In our paper </w:t>
      </w:r>
      <w:r w:rsidR="005A719B" w:rsidRPr="00AA1EDC">
        <w:rPr>
          <w:i/>
          <w:color w:val="000000" w:themeColor="text1"/>
        </w:rPr>
        <w:t xml:space="preserve">q </w:t>
      </w:r>
      <w:r w:rsidR="005A719B" w:rsidRPr="00AA1EDC">
        <w:rPr>
          <w:color w:val="000000" w:themeColor="text1"/>
        </w:rPr>
        <w:t xml:space="preserve">= </w:t>
      </w:r>
      <w:r w:rsidR="005A719B">
        <w:rPr>
          <w:color w:val="000000" w:themeColor="text1"/>
        </w:rPr>
        <w:t>3</w:t>
      </w:r>
      <w:r w:rsidR="00875E43">
        <w:rPr>
          <w:color w:val="000000" w:themeColor="text1"/>
        </w:rPr>
        <w:t xml:space="preserve"> </w:t>
      </w:r>
      <w:r w:rsidR="005A719B" w:rsidRPr="00AA1EDC">
        <w:rPr>
          <w:color w:val="000000" w:themeColor="text1"/>
        </w:rPr>
        <w:t xml:space="preserve">corresponds to </w:t>
      </w:r>
      <w:r w:rsidR="00875E43">
        <w:rPr>
          <w:color w:val="000000" w:themeColor="text1"/>
        </w:rPr>
        <w:t xml:space="preserve">the </w:t>
      </w:r>
      <w:r w:rsidR="005A719B" w:rsidRPr="00AA1EDC">
        <w:rPr>
          <w:color w:val="000000" w:themeColor="text1"/>
        </w:rPr>
        <w:t>three groups of data based on the u</w:t>
      </w:r>
      <w:r w:rsidR="007354EC">
        <w:rPr>
          <w:color w:val="000000" w:themeColor="text1"/>
        </w:rPr>
        <w:t>nderlying equity indices, namely</w:t>
      </w:r>
      <w:r w:rsidR="005A719B" w:rsidRPr="00AA1EDC">
        <w:rPr>
          <w:color w:val="000000" w:themeColor="text1"/>
        </w:rPr>
        <w:t xml:space="preserve"> </w:t>
      </w:r>
      <w:r w:rsidR="00DC26B1">
        <w:rPr>
          <w:color w:val="000000" w:themeColor="text1"/>
        </w:rPr>
        <w:t>FTSE</w:t>
      </w:r>
      <w:r w:rsidR="007354EC">
        <w:rPr>
          <w:color w:val="000000" w:themeColor="text1"/>
        </w:rPr>
        <w:t xml:space="preserve"> </w:t>
      </w:r>
      <w:r w:rsidR="005A719B">
        <w:rPr>
          <w:color w:val="000000" w:themeColor="text1"/>
        </w:rPr>
        <w:t xml:space="preserve">100, </w:t>
      </w:r>
      <w:r w:rsidR="00DC26B1">
        <w:rPr>
          <w:color w:val="000000" w:themeColor="text1"/>
        </w:rPr>
        <w:t>CAC</w:t>
      </w:r>
      <w:r w:rsidR="007354EC">
        <w:rPr>
          <w:color w:val="000000" w:themeColor="text1"/>
        </w:rPr>
        <w:t xml:space="preserve"> </w:t>
      </w:r>
      <w:r w:rsidR="00DC26B1">
        <w:rPr>
          <w:color w:val="000000" w:themeColor="text1"/>
        </w:rPr>
        <w:t xml:space="preserve">40 </w:t>
      </w:r>
      <w:r w:rsidR="005A719B" w:rsidRPr="00AA1EDC">
        <w:rPr>
          <w:color w:val="000000" w:themeColor="text1"/>
        </w:rPr>
        <w:t>and</w:t>
      </w:r>
      <w:r w:rsidR="00DC26B1">
        <w:rPr>
          <w:color w:val="000000" w:themeColor="text1"/>
        </w:rPr>
        <w:t xml:space="preserve"> DAX</w:t>
      </w:r>
      <w:r w:rsidR="007354EC">
        <w:rPr>
          <w:color w:val="000000" w:themeColor="text1"/>
        </w:rPr>
        <w:t xml:space="preserve"> </w:t>
      </w:r>
      <w:r w:rsidR="005A719B">
        <w:rPr>
          <w:color w:val="000000" w:themeColor="text1"/>
        </w:rPr>
        <w:t>30</w:t>
      </w:r>
      <w:r w:rsidR="005A719B" w:rsidRPr="00AA1EDC">
        <w:rPr>
          <w:color w:val="000000" w:themeColor="text1"/>
        </w:rPr>
        <w:t xml:space="preserve">. In particular, when </w:t>
      </w:r>
      <w:r w:rsidR="005A719B" w:rsidRPr="00AA1EDC">
        <w:rPr>
          <w:i/>
          <w:color w:val="000000" w:themeColor="text1"/>
        </w:rPr>
        <w:t>q</w:t>
      </w:r>
      <w:r w:rsidR="00875E43">
        <w:rPr>
          <w:i/>
          <w:color w:val="000000" w:themeColor="text1"/>
        </w:rPr>
        <w:t xml:space="preserve"> = </w:t>
      </w:r>
      <w:r w:rsidR="005A719B">
        <w:rPr>
          <w:color w:val="000000" w:themeColor="text1"/>
        </w:rPr>
        <w:t>3</w:t>
      </w:r>
      <w:r w:rsidR="005A719B" w:rsidRPr="00AA1EDC">
        <w:rPr>
          <w:color w:val="000000" w:themeColor="text1"/>
        </w:rPr>
        <w:t>,</w:t>
      </w:r>
      <w:r w:rsidR="005A719B">
        <w:rPr>
          <w:color w:val="000000" w:themeColor="text1"/>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=(FTSE_SPOT,FTSE_FT,FTSE_ETF)</m:t>
        </m:r>
      </m:oMath>
      <w:r w:rsidR="00875E43">
        <w:t xml:space="preserve">, </w:t>
      </w:r>
      <w:r w:rsidR="005A719B" w:rsidRPr="00AA1EDC">
        <w:rPr>
          <w:color w:val="000000" w:themeColor="text1"/>
        </w:rPr>
        <w:t xml:space="preserve">when </w:t>
      </w:r>
      <w:r w:rsidR="005A719B" w:rsidRPr="00AA1EDC">
        <w:rPr>
          <w:i/>
          <w:color w:val="000000" w:themeColor="text1"/>
        </w:rPr>
        <w:t>q</w:t>
      </w:r>
      <w:r w:rsidR="005A719B" w:rsidRPr="00AA1EDC">
        <w:rPr>
          <w:color w:val="000000" w:themeColor="text1"/>
        </w:rPr>
        <w:t xml:space="preserve"> = 3,</w:t>
      </w:r>
      <w:r w:rsidR="005A719B">
        <w:rPr>
          <w:color w:val="000000" w:themeColor="text1"/>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CAC_SPOT,CAC_FT,CAC_ETF</m:t>
            </m:r>
          </m:e>
        </m:d>
        <m:r>
          <w:rPr>
            <w:rFonts w:ascii="Cambria Math" w:hAnsi="Cambria Math"/>
          </w:rPr>
          <m:t xml:space="preserve">, </m:t>
        </m:r>
      </m:oMath>
      <w:r w:rsidR="005A719B" w:rsidRPr="00AA1EDC">
        <w:rPr>
          <w:color w:val="000000" w:themeColor="text1"/>
        </w:rPr>
        <w:t xml:space="preserve"> and when </w:t>
      </w:r>
      <w:r w:rsidR="005A719B" w:rsidRPr="00AA1EDC">
        <w:rPr>
          <w:i/>
          <w:color w:val="000000" w:themeColor="text1"/>
        </w:rPr>
        <w:t>q</w:t>
      </w:r>
      <w:r w:rsidR="005A719B">
        <w:rPr>
          <w:color w:val="000000" w:themeColor="text1"/>
        </w:rPr>
        <w:t xml:space="preserve"> = 3</w:t>
      </w:r>
      <w:r w:rsidR="005A719B" w:rsidRPr="00AA1EDC">
        <w:rPr>
          <w:color w:val="000000" w:themeColor="text1"/>
        </w:rPr>
        <w:t xml:space="preserv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=(DAX_SPOT,DAX_FT,DAX_ETF)</m:t>
        </m:r>
      </m:oMath>
      <w:r w:rsidR="00875E43">
        <w:rPr>
          <w:color w:val="000000" w:themeColor="text1"/>
        </w:rPr>
        <w:t xml:space="preserve">. </w:t>
      </w:r>
      <w:r w:rsidR="005A719B" w:rsidRPr="00AA1EDC">
        <w:rPr>
          <w:color w:val="000000" w:themeColor="text1"/>
        </w:rPr>
        <w:t xml:space="preserve">Hence, overall, we run three separate estimations in analyzing these different sets of variables. </w:t>
      </w:r>
    </w:p>
    <w:p w14:paraId="7EF01774" w14:textId="77777777" w:rsidR="005A719B" w:rsidRPr="00AA1EDC" w:rsidRDefault="005A719B" w:rsidP="007A53E1">
      <w:pPr>
        <w:spacing w:line="360" w:lineRule="auto"/>
        <w:rPr>
          <w:color w:val="000000" w:themeColor="text1"/>
        </w:rPr>
      </w:pPr>
    </w:p>
    <w:p w14:paraId="5BC0C882" w14:textId="77777777" w:rsidR="005A719B" w:rsidRPr="00AA1EDC" w:rsidRDefault="005A719B" w:rsidP="00E429DC">
      <w:pPr>
        <w:spacing w:line="360" w:lineRule="auto"/>
        <w:jc w:val="both"/>
        <w:rPr>
          <w:color w:val="000000" w:themeColor="text1"/>
        </w:rPr>
      </w:pPr>
      <w:r w:rsidRPr="00AA1EDC">
        <w:rPr>
          <w:rFonts w:hint="eastAsia"/>
          <w:color w:val="000000" w:themeColor="text1"/>
        </w:rPr>
        <w:t xml:space="preserve">Our testable framework begins with Johansen </w:t>
      </w:r>
      <w:r w:rsidRPr="00AA1EDC">
        <w:rPr>
          <w:color w:val="000000" w:themeColor="text1"/>
        </w:rPr>
        <w:t xml:space="preserve">and Juselius </w:t>
      </w:r>
      <w:r w:rsidRPr="00AA1EDC">
        <w:rPr>
          <w:rFonts w:hint="eastAsia"/>
          <w:color w:val="000000" w:themeColor="text1"/>
        </w:rPr>
        <w:t xml:space="preserve">(1990) </w:t>
      </w:r>
      <w:r w:rsidRPr="00AA1EDC">
        <w:rPr>
          <w:color w:val="000000" w:themeColor="text1"/>
        </w:rPr>
        <w:t>cointegration</w:t>
      </w:r>
      <w:r w:rsidRPr="00AA1EDC">
        <w:rPr>
          <w:rFonts w:hint="eastAsia"/>
          <w:color w:val="000000" w:themeColor="text1"/>
        </w:rPr>
        <w:t xml:space="preserve"> test</w:t>
      </w:r>
      <w:r w:rsidRPr="00AA1EDC">
        <w:rPr>
          <w:color w:val="000000" w:themeColor="text1"/>
        </w:rPr>
        <w:t xml:space="preserve"> in examining the co-integrating relationship among the price variables. </w:t>
      </w:r>
      <w:r w:rsidRPr="00AA1EDC">
        <w:rPr>
          <w:rFonts w:hint="eastAsia"/>
          <w:color w:val="000000" w:themeColor="text1"/>
        </w:rPr>
        <w:t>The test sets out to estimate the following VECM:</w:t>
      </w:r>
    </w:p>
    <w:p w14:paraId="0DD8F760" w14:textId="77777777" w:rsidR="005A719B" w:rsidRPr="00AA1EDC" w:rsidRDefault="005A719B" w:rsidP="007A53E1">
      <w:pPr>
        <w:spacing w:line="360" w:lineRule="auto"/>
        <w:rPr>
          <w:color w:val="000000" w:themeColor="text1"/>
        </w:rPr>
      </w:pPr>
    </w:p>
    <w:p w14:paraId="5796D0AD" w14:textId="52AA7EB9" w:rsidR="005A719B" w:rsidRPr="00AA1EDC" w:rsidRDefault="00CE5A07" w:rsidP="007A53E1">
      <w:pPr>
        <w:spacing w:line="360" w:lineRule="auto"/>
        <w:ind w:left="2520" w:firstLine="420"/>
        <w:rPr>
          <w:color w:val="000000" w:themeColor="text1"/>
        </w:rPr>
      </w:pPr>
      <w:r w:rsidRPr="00AA1EDC">
        <w:rPr>
          <w:noProof/>
          <w:color w:val="000000" w:themeColor="text1"/>
          <w:position w:val="-30"/>
        </w:rPr>
        <w:object w:dxaOrig="2880" w:dyaOrig="700" w14:anchorId="2A08E582">
          <v:shape id="_x0000_i1026" type="#_x0000_t75" alt="" style="width:2in;height:33.5pt;mso-width-percent:0;mso-height-percent:0;mso-width-percent:0;mso-height-percent:0" o:ole="">
            <v:imagedata r:id="rId11" o:title=""/>
          </v:shape>
          <o:OLEObject Type="Embed" ProgID="Equation.3" ShapeID="_x0000_i1026" DrawAspect="Content" ObjectID="_1612593834" r:id="rId12"/>
        </w:object>
      </w:r>
      <w:r w:rsidR="005A719B">
        <w:rPr>
          <w:color w:val="000000" w:themeColor="text1"/>
        </w:rPr>
        <w:tab/>
      </w:r>
      <w:r w:rsidR="005A719B">
        <w:rPr>
          <w:color w:val="000000" w:themeColor="text1"/>
        </w:rPr>
        <w:tab/>
      </w:r>
      <w:r w:rsidR="005A719B">
        <w:rPr>
          <w:color w:val="000000" w:themeColor="text1"/>
        </w:rPr>
        <w:tab/>
      </w:r>
      <w:r w:rsidR="005A719B" w:rsidRPr="00AA1EDC">
        <w:rPr>
          <w:rFonts w:hint="eastAsia"/>
          <w:color w:val="000000" w:themeColor="text1"/>
        </w:rPr>
        <w:t>(1)</w:t>
      </w:r>
    </w:p>
    <w:p w14:paraId="4FD05C88" w14:textId="77777777" w:rsidR="005A719B" w:rsidRPr="00AA1EDC" w:rsidRDefault="005A719B" w:rsidP="007A53E1">
      <w:pPr>
        <w:spacing w:line="360" w:lineRule="auto"/>
        <w:rPr>
          <w:color w:val="000000" w:themeColor="text1"/>
        </w:rPr>
      </w:pPr>
    </w:p>
    <w:p w14:paraId="077AA587" w14:textId="77777777" w:rsidR="005A719B" w:rsidRPr="00AA1EDC" w:rsidRDefault="005A719B" w:rsidP="00E429DC">
      <w:pPr>
        <w:spacing w:line="360" w:lineRule="auto"/>
        <w:jc w:val="both"/>
        <w:rPr>
          <w:color w:val="000000" w:themeColor="text1"/>
        </w:rPr>
      </w:pPr>
      <w:r w:rsidRPr="00AA1EDC">
        <w:rPr>
          <w:color w:val="000000" w:themeColor="text1"/>
        </w:rPr>
        <w:t xml:space="preserve">where </w:t>
      </w:r>
      <w:r w:rsidR="00CE5A07" w:rsidRPr="00AA1EDC">
        <w:rPr>
          <w:noProof/>
          <w:color w:val="000000" w:themeColor="text1"/>
          <w:position w:val="-10"/>
        </w:rPr>
        <w:object w:dxaOrig="1020" w:dyaOrig="320" w14:anchorId="2812E21C">
          <v:shape id="_x0000_i1027" type="#_x0000_t75" alt="" style="width:52pt;height:18.5pt;mso-width-percent:0;mso-height-percent:0;mso-width-percent:0;mso-height-percent:0" o:ole="">
            <v:imagedata r:id="rId13" o:title=""/>
          </v:shape>
          <o:OLEObject Type="Embed" ProgID="Equation.3" ShapeID="_x0000_i1027" DrawAspect="Content" ObjectID="_1612593835" r:id="rId14"/>
        </w:object>
      </w:r>
      <w:r w:rsidRPr="00AA1EDC">
        <w:rPr>
          <w:color w:val="000000" w:themeColor="text1"/>
        </w:rPr>
        <w:t>,</w:t>
      </w:r>
      <w:r w:rsidR="00CE5A07" w:rsidRPr="00AA1EDC">
        <w:rPr>
          <w:noProof/>
          <w:color w:val="000000" w:themeColor="text1"/>
          <w:position w:val="-14"/>
        </w:rPr>
        <w:object w:dxaOrig="300" w:dyaOrig="380" w14:anchorId="347B8AE2">
          <v:shape id="_x0000_i1028" type="#_x0000_t75" alt="" style="width:14pt;height:21pt;mso-width-percent:0;mso-height-percent:0;mso-width-percent:0;mso-height-percent:0" o:ole="">
            <v:imagedata r:id="rId15" o:title=""/>
          </v:shape>
          <o:OLEObject Type="Embed" ProgID="Equation.DSMT4" ShapeID="_x0000_i1028" DrawAspect="Content" ObjectID="_1612593836" r:id="rId16"/>
        </w:object>
      </w:r>
      <w:r w:rsidRPr="00AA1EDC">
        <w:rPr>
          <w:color w:val="000000" w:themeColor="text1"/>
        </w:rPr>
        <w:t xml:space="preserve"> is a q x q matrix of coefficients, </w:t>
      </w:r>
      <w:r w:rsidR="00CE5A07" w:rsidRPr="00AA1EDC">
        <w:rPr>
          <w:noProof/>
          <w:color w:val="000000" w:themeColor="text1"/>
          <w:position w:val="-6"/>
        </w:rPr>
        <w:object w:dxaOrig="240" w:dyaOrig="220" w14:anchorId="242FB7B6">
          <v:shape id="_x0000_i1029" type="#_x0000_t75" alt="" style="width:14pt;height:9.5pt;mso-width-percent:0;mso-height-percent:0;mso-width-percent:0;mso-height-percent:0" o:ole="">
            <v:imagedata r:id="rId17" o:title=""/>
          </v:shape>
          <o:OLEObject Type="Embed" ProgID="Equation.3" ShapeID="_x0000_i1029" DrawAspect="Content" ObjectID="_1612593837" r:id="rId18"/>
        </w:object>
      </w:r>
      <w:r w:rsidRPr="00AA1EDC">
        <w:rPr>
          <w:color w:val="000000" w:themeColor="text1"/>
        </w:rPr>
        <w:t xml:space="preserve"> is the error correction vector, </w:t>
      </w:r>
      <w:r w:rsidR="00CE5A07" w:rsidRPr="00AA1EDC">
        <w:rPr>
          <w:noProof/>
          <w:color w:val="000000" w:themeColor="text1"/>
          <w:position w:val="-10"/>
        </w:rPr>
        <w:object w:dxaOrig="240" w:dyaOrig="320" w14:anchorId="21786C97">
          <v:shape id="_x0000_i1030" type="#_x0000_t75" alt="" style="width:14pt;height:18.5pt;mso-width-percent:0;mso-height-percent:0;mso-width-percent:0;mso-height-percent:0" o:ole="">
            <v:imagedata r:id="rId19" o:title=""/>
          </v:shape>
          <o:OLEObject Type="Embed" ProgID="Equation.3" ShapeID="_x0000_i1030" DrawAspect="Content" ObjectID="_1612593838" r:id="rId20"/>
        </w:object>
      </w:r>
      <w:r w:rsidRPr="00AA1EDC">
        <w:rPr>
          <w:color w:val="000000" w:themeColor="text1"/>
        </w:rPr>
        <w:t xml:space="preserve"> is the co</w:t>
      </w:r>
      <w:r w:rsidRPr="00AA1EDC">
        <w:rPr>
          <w:rFonts w:hint="eastAsia"/>
          <w:color w:val="000000" w:themeColor="text1"/>
        </w:rPr>
        <w:t>-</w:t>
      </w:r>
      <w:r w:rsidRPr="00AA1EDC">
        <w:rPr>
          <w:color w:val="000000" w:themeColor="text1"/>
        </w:rPr>
        <w:t xml:space="preserve">integrating vector and </w:t>
      </w:r>
      <w:r w:rsidR="00CE5A07" w:rsidRPr="00AA1EDC">
        <w:rPr>
          <w:noProof/>
          <w:color w:val="000000" w:themeColor="text1"/>
          <w:position w:val="-12"/>
        </w:rPr>
        <w:object w:dxaOrig="240" w:dyaOrig="360" w14:anchorId="681A5632">
          <v:shape id="_x0000_i1031" type="#_x0000_t75" alt="" style="width:14pt;height:19pt;mso-width-percent:0;mso-height-percent:0;mso-width-percent:0;mso-height-percent:0" o:ole="">
            <v:imagedata r:id="rId21" o:title=""/>
          </v:shape>
          <o:OLEObject Type="Embed" ProgID="Equation.3" ShapeID="_x0000_i1031" DrawAspect="Content" ObjectID="_1612593839" r:id="rId22"/>
        </w:object>
      </w:r>
      <w:r w:rsidRPr="00AA1EDC">
        <w:rPr>
          <w:color w:val="000000" w:themeColor="text1"/>
        </w:rPr>
        <w:t xml:space="preserve"> is a zero-mean vector of innovations with a covariance matrix </w:t>
      </w:r>
      <w:r w:rsidR="00CE5A07" w:rsidRPr="00AA1EDC">
        <w:rPr>
          <w:noProof/>
          <w:color w:val="000000" w:themeColor="text1"/>
          <w:position w:val="-4"/>
        </w:rPr>
        <w:object w:dxaOrig="260" w:dyaOrig="260" w14:anchorId="4037959F">
          <v:shape id="_x0000_i1032" type="#_x0000_t75" alt="" style="width:14pt;height:14pt;mso-width-percent:0;mso-height-percent:0;mso-width-percent:0;mso-height-percent:0" o:ole="">
            <v:imagedata r:id="rId23" o:title=""/>
          </v:shape>
          <o:OLEObject Type="Embed" ProgID="Equation.DSMT4" ShapeID="_x0000_i1032" DrawAspect="Content" ObjectID="_1612593840" r:id="rId24"/>
        </w:object>
      </w:r>
      <w:r w:rsidRPr="00AA1EDC">
        <w:rPr>
          <w:color w:val="000000" w:themeColor="text1"/>
        </w:rPr>
        <w:t xml:space="preserve">. The term </w:t>
      </w:r>
      <w:r w:rsidR="00CE5A07" w:rsidRPr="00AA1EDC">
        <w:rPr>
          <w:noProof/>
          <w:color w:val="000000" w:themeColor="text1"/>
          <w:position w:val="-12"/>
        </w:rPr>
        <w:object w:dxaOrig="560" w:dyaOrig="360" w14:anchorId="410C5093">
          <v:shape id="_x0000_i1033" type="#_x0000_t75" alt="" style="width:28.5pt;height:19pt;mso-width-percent:0;mso-height-percent:0;mso-width-percent:0;mso-height-percent:0" o:ole="">
            <v:imagedata r:id="rId25" o:title=""/>
          </v:shape>
          <o:OLEObject Type="Embed" ProgID="Equation.3" ShapeID="_x0000_i1033" DrawAspect="Content" ObjectID="_1612593841" r:id="rId26"/>
        </w:object>
      </w:r>
      <w:r w:rsidRPr="00AA1EDC">
        <w:rPr>
          <w:color w:val="000000" w:themeColor="text1"/>
        </w:rPr>
        <w:t xml:space="preserve"> captures the long-run equilibrium of the variables in the system, whereas the term </w:t>
      </w:r>
      <w:r w:rsidR="00CE5A07" w:rsidRPr="00AA1EDC">
        <w:rPr>
          <w:noProof/>
          <w:color w:val="000000" w:themeColor="text1"/>
          <w:position w:val="-30"/>
        </w:rPr>
        <w:object w:dxaOrig="1080" w:dyaOrig="700" w14:anchorId="548B0E98">
          <v:shape id="_x0000_i1034" type="#_x0000_t75" alt="" style="width:55pt;height:33.5pt;mso-width-percent:0;mso-height-percent:0;mso-width-percent:0;mso-height-percent:0" o:ole="">
            <v:imagedata r:id="rId27" o:title=""/>
          </v:shape>
          <o:OLEObject Type="Embed" ProgID="Equation.DSMT4" ShapeID="_x0000_i1034" DrawAspect="Content" ObjectID="_1612593842" r:id="rId28"/>
        </w:object>
      </w:r>
      <w:r w:rsidRPr="00AA1EDC">
        <w:rPr>
          <w:color w:val="000000" w:themeColor="text1"/>
        </w:rPr>
        <w:t xml:space="preserve"> incorporates the short-run dynamics of the system.</w:t>
      </w:r>
    </w:p>
    <w:p w14:paraId="072CD089" w14:textId="77777777" w:rsidR="005A719B" w:rsidRPr="00AA1EDC" w:rsidRDefault="005A719B" w:rsidP="007A53E1">
      <w:pPr>
        <w:spacing w:line="360" w:lineRule="auto"/>
        <w:rPr>
          <w:color w:val="000000" w:themeColor="text1"/>
        </w:rPr>
      </w:pPr>
    </w:p>
    <w:p w14:paraId="5D48DCDA" w14:textId="77777777" w:rsidR="005A719B" w:rsidRPr="00AA1EDC" w:rsidRDefault="005A719B" w:rsidP="00E429DC">
      <w:pPr>
        <w:spacing w:line="360" w:lineRule="auto"/>
        <w:jc w:val="both"/>
        <w:rPr>
          <w:color w:val="000000" w:themeColor="text1"/>
        </w:rPr>
      </w:pPr>
      <w:r w:rsidRPr="00AA1EDC">
        <w:rPr>
          <w:color w:val="000000" w:themeColor="text1"/>
        </w:rPr>
        <w:t xml:space="preserve">The coefficient matrix </w:t>
      </w:r>
      <w:r w:rsidR="00CE5A07" w:rsidRPr="00AA1EDC">
        <w:rPr>
          <w:noProof/>
          <w:color w:val="000000" w:themeColor="text1"/>
          <w:position w:val="-4"/>
        </w:rPr>
        <w:object w:dxaOrig="260" w:dyaOrig="240" w14:anchorId="15972698">
          <v:shape id="_x0000_i1035" type="#_x0000_t75" alt="" style="width:14pt;height:14pt;mso-width-percent:0;mso-height-percent:0;mso-width-percent:0;mso-height-percent:0" o:ole="">
            <v:imagedata r:id="rId29" o:title=""/>
          </v:shape>
          <o:OLEObject Type="Embed" ProgID="Equation.3" ShapeID="_x0000_i1035" DrawAspect="Content" ObjectID="_1612593843" r:id="rId30"/>
        </w:object>
      </w:r>
      <w:r w:rsidRPr="00AA1EDC">
        <w:rPr>
          <w:color w:val="000000" w:themeColor="text1"/>
        </w:rPr>
        <w:t xml:space="preserve"> contains information about the co-integrating relationship between the variables </w:t>
      </w:r>
      <w:r w:rsidR="00CE5A07" w:rsidRPr="00AA1EDC">
        <w:rPr>
          <w:noProof/>
          <w:color w:val="000000" w:themeColor="text1"/>
          <w:position w:val="-12"/>
        </w:rPr>
        <w:object w:dxaOrig="260" w:dyaOrig="360" w14:anchorId="78FA6B75">
          <v:shape id="_x0000_i1036" type="#_x0000_t75" alt="" style="width:14pt;height:19pt;mso-width-percent:0;mso-height-percent:0;mso-width-percent:0;mso-height-percent:0" o:ole="">
            <v:imagedata r:id="rId31" o:title=""/>
          </v:shape>
          <o:OLEObject Type="Embed" ProgID="Equation.3" ShapeID="_x0000_i1036" DrawAspect="Content" ObjectID="_1612593844" r:id="rId32"/>
        </w:object>
      </w:r>
      <w:r w:rsidRPr="00AA1EDC">
        <w:rPr>
          <w:color w:val="000000" w:themeColor="text1"/>
        </w:rPr>
        <w:t xml:space="preserve">. In particular, Johansen and Juselius (1990) shows that the rank of the matrix </w:t>
      </w:r>
      <w:r w:rsidR="00CE5A07" w:rsidRPr="00AA1EDC">
        <w:rPr>
          <w:noProof/>
          <w:color w:val="000000" w:themeColor="text1"/>
          <w:position w:val="-4"/>
        </w:rPr>
        <w:object w:dxaOrig="260" w:dyaOrig="240" w14:anchorId="16F23007">
          <v:shape id="_x0000_i1037" type="#_x0000_t75" alt="" style="width:14pt;height:14pt;mso-width-percent:0;mso-height-percent:0;mso-width-percent:0;mso-height-percent:0" o:ole="">
            <v:imagedata r:id="rId29" o:title=""/>
          </v:shape>
          <o:OLEObject Type="Embed" ProgID="Equation.3" ShapeID="_x0000_i1037" DrawAspect="Content" ObjectID="_1612593845" r:id="rId33"/>
        </w:object>
      </w:r>
      <w:r w:rsidRPr="00AA1EDC">
        <w:rPr>
          <w:color w:val="000000" w:themeColor="text1"/>
        </w:rPr>
        <w:t xml:space="preserve"> defines the number of co-integrating relationships in the system, which may be determined using the Johansen and Juselius (1990) Trace Test to test for the null hypothesis of at most </w:t>
      </w:r>
      <w:r w:rsidR="00CE5A07" w:rsidRPr="00AA1EDC">
        <w:rPr>
          <w:i/>
          <w:noProof/>
          <w:color w:val="000000" w:themeColor="text1"/>
          <w:position w:val="-4"/>
        </w:rPr>
        <w:object w:dxaOrig="180" w:dyaOrig="200" w14:anchorId="7FB03FE8">
          <v:shape id="_x0000_i1038" type="#_x0000_t75" alt="" style="width:7.5pt;height:14pt;mso-width-percent:0;mso-height-percent:0;mso-width-percent:0;mso-height-percent:0" o:ole="">
            <v:imagedata r:id="rId34" o:title=""/>
          </v:shape>
          <o:OLEObject Type="Embed" ProgID="Equation.DSMT4" ShapeID="_x0000_i1038" DrawAspect="Content" ObjectID="_1612593846" r:id="rId35"/>
        </w:object>
      </w:r>
      <w:r w:rsidRPr="00AA1EDC">
        <w:rPr>
          <w:i/>
          <w:color w:val="000000" w:themeColor="text1"/>
        </w:rPr>
        <w:t xml:space="preserve"> </w:t>
      </w:r>
      <w:r w:rsidRPr="00AA1EDC">
        <w:rPr>
          <w:color w:val="000000" w:themeColor="text1"/>
        </w:rPr>
        <w:t xml:space="preserve">co-integrating relationships and at least </w:t>
      </w:r>
      <w:r w:rsidRPr="00AA1EDC">
        <w:rPr>
          <w:i/>
          <w:color w:val="000000" w:themeColor="text1"/>
        </w:rPr>
        <w:t xml:space="preserve">h=q–r </w:t>
      </w:r>
      <w:r w:rsidRPr="00AA1EDC">
        <w:rPr>
          <w:color w:val="000000" w:themeColor="text1"/>
        </w:rPr>
        <w:t>common factors. The test statistic is given by:</w:t>
      </w:r>
    </w:p>
    <w:p w14:paraId="4F4D832B" w14:textId="77777777" w:rsidR="005A719B" w:rsidRPr="00AA1EDC" w:rsidRDefault="005A719B" w:rsidP="007A53E1">
      <w:pPr>
        <w:spacing w:line="360" w:lineRule="auto"/>
        <w:rPr>
          <w:color w:val="000000" w:themeColor="text1"/>
        </w:rPr>
      </w:pPr>
    </w:p>
    <w:p w14:paraId="6BADD8A4"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30"/>
        </w:rPr>
        <w:object w:dxaOrig="2460" w:dyaOrig="700" w14:anchorId="6A5A8DB9">
          <v:shape id="_x0000_i1039" type="#_x0000_t75" alt="" style="width:121.5pt;height:33.5pt;mso-width-percent:0;mso-height-percent:0;mso-width-percent:0;mso-height-percent:0" o:ole="">
            <v:imagedata r:id="rId36" o:title=""/>
          </v:shape>
          <o:OLEObject Type="Embed" ProgID="Equation.DSMT4" ShapeID="_x0000_i1039" DrawAspect="Content" ObjectID="_1612593847" r:id="rId37"/>
        </w:object>
      </w:r>
      <w:r w:rsidRPr="00AA1EDC">
        <w:rPr>
          <w:rFonts w:hint="eastAsia"/>
          <w:color w:val="000000" w:themeColor="text1"/>
        </w:rPr>
        <w:tab/>
        <w:t>(2)</w:t>
      </w:r>
    </w:p>
    <w:p w14:paraId="075D0B7C" w14:textId="77777777" w:rsidR="005A719B" w:rsidRPr="00AA1EDC" w:rsidRDefault="005A719B" w:rsidP="007A53E1">
      <w:pPr>
        <w:spacing w:line="360" w:lineRule="auto"/>
        <w:rPr>
          <w:color w:val="000000" w:themeColor="text1"/>
        </w:rPr>
      </w:pPr>
    </w:p>
    <w:p w14:paraId="178E49EC" w14:textId="77777777" w:rsidR="005A719B" w:rsidRPr="00AA1EDC" w:rsidRDefault="005A719B" w:rsidP="00E429DC">
      <w:pPr>
        <w:spacing w:line="360" w:lineRule="auto"/>
        <w:jc w:val="both"/>
        <w:rPr>
          <w:color w:val="000000" w:themeColor="text1"/>
        </w:rPr>
      </w:pPr>
      <w:r w:rsidRPr="00AA1EDC">
        <w:rPr>
          <w:color w:val="000000" w:themeColor="text1"/>
        </w:rPr>
        <w:t>where</w:t>
      </w:r>
      <w:r w:rsidRPr="00AA1EDC">
        <w:rPr>
          <w:rFonts w:hint="eastAsia"/>
          <w:color w:val="000000" w:themeColor="text1"/>
        </w:rPr>
        <w:t xml:space="preserve"> </w:t>
      </w:r>
      <w:r w:rsidRPr="00AA1EDC">
        <w:rPr>
          <w:i/>
          <w:color w:val="000000" w:themeColor="text1"/>
        </w:rPr>
        <w:t>T</w:t>
      </w:r>
      <w:r w:rsidRPr="00AA1EDC">
        <w:rPr>
          <w:color w:val="000000" w:themeColor="text1"/>
        </w:rPr>
        <w:t xml:space="preserve"> is the sample size and </w:t>
      </w:r>
      <w:r w:rsidR="00CE5A07" w:rsidRPr="00AA1EDC">
        <w:rPr>
          <w:noProof/>
          <w:color w:val="000000" w:themeColor="text1"/>
          <w:position w:val="-14"/>
        </w:rPr>
        <w:object w:dxaOrig="1660" w:dyaOrig="420" w14:anchorId="2B0D673A">
          <v:shape id="_x0000_i1040" type="#_x0000_t75" alt="" style="width:85pt;height:21pt;mso-width-percent:0;mso-height-percent:0;mso-width-percent:0;mso-height-percent:0" o:ole="">
            <v:imagedata r:id="rId38" o:title=""/>
          </v:shape>
          <o:OLEObject Type="Embed" ProgID="Equation.3" ShapeID="_x0000_i1040" DrawAspect="Content" ObjectID="_1612593848" r:id="rId39"/>
        </w:object>
      </w:r>
      <w:r w:rsidRPr="00AA1EDC">
        <w:rPr>
          <w:color w:val="000000" w:themeColor="text1"/>
        </w:rPr>
        <w:t xml:space="preserve"> are the eigenvalues of squared canonical correlation between the two residual vectors from the level and first-difference regressions, respectively. </w:t>
      </w:r>
    </w:p>
    <w:p w14:paraId="48B6AD37" w14:textId="77777777" w:rsidR="005A719B" w:rsidRPr="00AA1EDC" w:rsidRDefault="005A719B" w:rsidP="007A53E1">
      <w:pPr>
        <w:spacing w:line="360" w:lineRule="auto"/>
        <w:rPr>
          <w:rFonts w:ascii="SimSun" w:eastAsia="SimSun" w:hAnsi="SimSun" w:cs="SimSun"/>
          <w:color w:val="000000" w:themeColor="text1"/>
        </w:rPr>
      </w:pPr>
    </w:p>
    <w:p w14:paraId="231FDF97" w14:textId="0539B891" w:rsidR="005A719B" w:rsidRPr="00AA1EDC" w:rsidRDefault="005A719B" w:rsidP="00E429DC">
      <w:pPr>
        <w:spacing w:line="360" w:lineRule="auto"/>
        <w:jc w:val="both"/>
        <w:rPr>
          <w:color w:val="000000" w:themeColor="text1"/>
        </w:rPr>
      </w:pPr>
      <w:r>
        <w:rPr>
          <w:color w:val="000000" w:themeColor="text1"/>
        </w:rPr>
        <w:t>The Hasbrouck (1995)</w:t>
      </w:r>
      <w:r w:rsidR="00F92744">
        <w:rPr>
          <w:color w:val="000000" w:themeColor="text1"/>
        </w:rPr>
        <w:t xml:space="preserve"> information s</w:t>
      </w:r>
      <w:r>
        <w:rPr>
          <w:color w:val="000000" w:themeColor="text1"/>
        </w:rPr>
        <w:t>hare method is</w:t>
      </w:r>
      <w:r w:rsidRPr="00AA1EDC">
        <w:rPr>
          <w:color w:val="000000" w:themeColor="text1"/>
        </w:rPr>
        <w:t xml:space="preserve"> based on the information embedded in the matrix </w:t>
      </w:r>
      <w:r w:rsidR="00CE5A07" w:rsidRPr="00AA1EDC">
        <w:rPr>
          <w:noProof/>
          <w:color w:val="000000" w:themeColor="text1"/>
          <w:position w:val="-4"/>
        </w:rPr>
        <w:object w:dxaOrig="260" w:dyaOrig="240" w14:anchorId="4587472F">
          <v:shape id="_x0000_i1041" type="#_x0000_t75" alt="" style="width:14pt;height:14pt;mso-width-percent:0;mso-height-percent:0;mso-width-percent:0;mso-height-percent:0" o:ole="">
            <v:imagedata r:id="rId29" o:title=""/>
          </v:shape>
          <o:OLEObject Type="Embed" ProgID="Equation.3" ShapeID="_x0000_i1041" DrawAspect="Content" ObjectID="_1612593849" r:id="rId40"/>
        </w:object>
      </w:r>
      <w:r w:rsidRPr="00AA1EDC">
        <w:rPr>
          <w:color w:val="000000" w:themeColor="text1"/>
        </w:rPr>
        <w:t xml:space="preserve"> of equation (1). </w:t>
      </w:r>
      <w:r>
        <w:rPr>
          <w:rFonts w:eastAsia="SimSun"/>
          <w:color w:val="000000" w:themeColor="text1"/>
        </w:rPr>
        <w:t>In particular, it</w:t>
      </w:r>
      <w:r w:rsidRPr="00AA1EDC">
        <w:rPr>
          <w:rFonts w:eastAsia="SimSun"/>
          <w:color w:val="000000" w:themeColor="text1"/>
        </w:rPr>
        <w:t xml:space="preserve"> involve</w:t>
      </w:r>
      <w:r>
        <w:rPr>
          <w:rFonts w:eastAsia="SimSun"/>
          <w:color w:val="000000" w:themeColor="text1"/>
        </w:rPr>
        <w:t>s</w:t>
      </w:r>
      <w:r w:rsidRPr="00AA1EDC">
        <w:rPr>
          <w:rFonts w:eastAsia="SimSun"/>
          <w:color w:val="000000" w:themeColor="text1"/>
        </w:rPr>
        <w:t xml:space="preserve"> a process of decomposing the impact of innovations (news) and allocate such an impact to individual price series.</w:t>
      </w:r>
      <w:r w:rsidRPr="00AA1EDC">
        <w:rPr>
          <w:color w:val="000000" w:themeColor="text1"/>
        </w:rPr>
        <w:t xml:space="preserve"> Hasbrouck (1995) decomposes the variance of the common factor innovations and defines the </w:t>
      </w:r>
      <w:r w:rsidR="00A54322">
        <w:rPr>
          <w:color w:val="000000" w:themeColor="text1"/>
        </w:rPr>
        <w:t xml:space="preserve">information share </w:t>
      </w:r>
      <w:r w:rsidRPr="00AA1EDC">
        <w:rPr>
          <w:color w:val="000000" w:themeColor="text1"/>
        </w:rPr>
        <w:t>of a market</w:t>
      </w:r>
      <w:r w:rsidRPr="00AA1EDC">
        <w:rPr>
          <w:rFonts w:hint="eastAsia"/>
          <w:color w:val="000000" w:themeColor="text1"/>
        </w:rPr>
        <w:t xml:space="preserve"> </w:t>
      </w:r>
      <w:r w:rsidRPr="00AA1EDC">
        <w:rPr>
          <w:color w:val="000000" w:themeColor="text1"/>
        </w:rPr>
        <w:t>as the proportion of the variance of the common factor innovations that is attributable to innovations in that market.</w:t>
      </w:r>
      <w:r w:rsidRPr="00AA1EDC">
        <w:rPr>
          <w:rFonts w:hint="eastAsia"/>
          <w:color w:val="000000" w:themeColor="text1"/>
        </w:rPr>
        <w:t xml:space="preserve"> </w:t>
      </w:r>
      <w:r w:rsidRPr="00AA1EDC">
        <w:rPr>
          <w:color w:val="000000" w:themeColor="text1"/>
        </w:rPr>
        <w:t>The decomposition begins with a vector moving average (VMA) representation of Eq. (1) that is:</w:t>
      </w:r>
    </w:p>
    <w:p w14:paraId="18D157B5" w14:textId="77777777" w:rsidR="005A719B" w:rsidRPr="00AA1EDC" w:rsidRDefault="005A719B" w:rsidP="007A53E1">
      <w:pPr>
        <w:spacing w:line="360" w:lineRule="auto"/>
        <w:rPr>
          <w:color w:val="000000" w:themeColor="text1"/>
        </w:rPr>
      </w:pPr>
    </w:p>
    <w:p w14:paraId="321E88E8"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14"/>
        </w:rPr>
        <w:object w:dxaOrig="4300" w:dyaOrig="400" w14:anchorId="690BADBB">
          <v:shape id="_x0000_i1042" type="#_x0000_t75" alt="" style="width:3in;height:21pt;mso-width-percent:0;mso-height-percent:0;mso-width-percent:0;mso-height-percent:0" o:ole="">
            <v:imagedata r:id="rId41" o:title=""/>
          </v:shape>
          <o:OLEObject Type="Embed" ProgID="Equation.DSMT4" ShapeID="_x0000_i1042" DrawAspect="Content" ObjectID="_1612593850" r:id="rId42"/>
        </w:object>
      </w:r>
      <w:r w:rsidRPr="00AA1EDC">
        <w:rPr>
          <w:color w:val="000000" w:themeColor="text1"/>
        </w:rPr>
        <w:tab/>
        <w:t>(</w:t>
      </w:r>
      <w:r w:rsidRPr="00AA1EDC">
        <w:rPr>
          <w:rFonts w:hint="eastAsia"/>
          <w:color w:val="000000" w:themeColor="text1"/>
        </w:rPr>
        <w:t>3</w:t>
      </w:r>
      <w:r w:rsidRPr="00AA1EDC">
        <w:rPr>
          <w:color w:val="000000" w:themeColor="text1"/>
        </w:rPr>
        <w:t>)</w:t>
      </w:r>
    </w:p>
    <w:p w14:paraId="5876F110" w14:textId="77777777" w:rsidR="005A719B" w:rsidRPr="00AA1EDC" w:rsidRDefault="005A719B" w:rsidP="007A53E1">
      <w:pPr>
        <w:spacing w:line="360" w:lineRule="auto"/>
        <w:rPr>
          <w:color w:val="000000" w:themeColor="text1"/>
        </w:rPr>
      </w:pPr>
    </w:p>
    <w:p w14:paraId="660AE946" w14:textId="77777777" w:rsidR="005A719B" w:rsidRPr="00AA1EDC" w:rsidRDefault="005A719B" w:rsidP="007A53E1">
      <w:pPr>
        <w:spacing w:line="360" w:lineRule="auto"/>
        <w:rPr>
          <w:color w:val="000000" w:themeColor="text1"/>
        </w:rPr>
      </w:pPr>
      <w:r w:rsidRPr="00AA1EDC">
        <w:rPr>
          <w:color w:val="000000" w:themeColor="text1"/>
        </w:rPr>
        <w:t>An integrated form of Eq. (3) is then:</w:t>
      </w:r>
    </w:p>
    <w:p w14:paraId="4BA402F0" w14:textId="77777777" w:rsidR="005A719B" w:rsidRPr="00AA1EDC" w:rsidRDefault="005A719B" w:rsidP="007A53E1">
      <w:pPr>
        <w:spacing w:line="360" w:lineRule="auto"/>
        <w:rPr>
          <w:color w:val="000000" w:themeColor="text1"/>
        </w:rPr>
      </w:pPr>
    </w:p>
    <w:p w14:paraId="6E11893A"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2540" w:dyaOrig="680" w14:anchorId="2CC607C1">
          <v:shape id="_x0000_i1043" type="#_x0000_t75" alt="" style="width:123pt;height:33.5pt;mso-width-percent:0;mso-height-percent:0;mso-width-percent:0;mso-height-percent:0" o:ole="">
            <v:imagedata r:id="rId43" o:title=""/>
          </v:shape>
          <o:OLEObject Type="Embed" ProgID="Equation.DSMT4" ShapeID="_x0000_i1043" DrawAspect="Content" ObjectID="_1612593851" r:id="rId44"/>
        </w:object>
      </w:r>
      <w:r w:rsidRPr="00AA1EDC">
        <w:rPr>
          <w:color w:val="000000" w:themeColor="text1"/>
        </w:rPr>
        <w:tab/>
        <w:t>(</w:t>
      </w:r>
      <w:r w:rsidRPr="00AA1EDC">
        <w:rPr>
          <w:rFonts w:hint="eastAsia"/>
          <w:color w:val="000000" w:themeColor="text1"/>
        </w:rPr>
        <w:t>4</w:t>
      </w:r>
      <w:r w:rsidRPr="00AA1EDC">
        <w:rPr>
          <w:color w:val="000000" w:themeColor="text1"/>
        </w:rPr>
        <w:t>)</w:t>
      </w:r>
    </w:p>
    <w:p w14:paraId="31CA6052" w14:textId="77777777" w:rsidR="005A719B" w:rsidRPr="00AA1EDC" w:rsidRDefault="005A719B" w:rsidP="007A53E1">
      <w:pPr>
        <w:spacing w:line="360" w:lineRule="auto"/>
        <w:rPr>
          <w:color w:val="000000" w:themeColor="text1"/>
        </w:rPr>
      </w:pPr>
    </w:p>
    <w:p w14:paraId="3BDDF325" w14:textId="25BBE483" w:rsidR="005A719B" w:rsidRPr="00AA1EDC" w:rsidRDefault="005A719B" w:rsidP="00E429DC">
      <w:pPr>
        <w:spacing w:line="360" w:lineRule="auto"/>
        <w:jc w:val="both"/>
        <w:rPr>
          <w:color w:val="000000" w:themeColor="text1"/>
        </w:rPr>
      </w:pPr>
      <w:r w:rsidRPr="00AA1EDC">
        <w:rPr>
          <w:color w:val="000000" w:themeColor="text1"/>
        </w:rPr>
        <w:t xml:space="preserve">The matrix </w:t>
      </w:r>
      <w:r w:rsidR="00CE5A07" w:rsidRPr="00AA1EDC">
        <w:rPr>
          <w:noProof/>
          <w:color w:val="000000" w:themeColor="text1"/>
          <w:position w:val="-14"/>
        </w:rPr>
        <w:object w:dxaOrig="560" w:dyaOrig="400" w14:anchorId="24B1937B">
          <v:shape id="_x0000_i1044" type="#_x0000_t75" alt="" style="width:28.5pt;height:21pt;mso-width-percent:0;mso-height-percent:0;mso-width-percent:0;mso-height-percent:0" o:ole="">
            <v:imagedata r:id="rId45" o:title=""/>
          </v:shape>
          <o:OLEObject Type="Embed" ProgID="Equation.DSMT4" ShapeID="_x0000_i1044" DrawAspect="Content" ObjectID="_1612593852" r:id="rId46"/>
        </w:object>
      </w:r>
      <w:r w:rsidRPr="00AA1EDC">
        <w:rPr>
          <w:color w:val="000000" w:themeColor="text1"/>
        </w:rPr>
        <w:t xml:space="preserve"> in Eq. (</w:t>
      </w:r>
      <w:r w:rsidRPr="00AA1EDC">
        <w:rPr>
          <w:rFonts w:hint="eastAsia"/>
          <w:color w:val="000000" w:themeColor="text1"/>
        </w:rPr>
        <w:t>4</w:t>
      </w:r>
      <w:r w:rsidRPr="00AA1EDC">
        <w:rPr>
          <w:color w:val="000000" w:themeColor="text1"/>
        </w:rPr>
        <w:t xml:space="preserve">) is the sum of the moving average coefficients, where </w:t>
      </w:r>
      <w:r w:rsidR="00CE5A07" w:rsidRPr="00AA1EDC">
        <w:rPr>
          <w:noProof/>
          <w:color w:val="000000" w:themeColor="text1"/>
          <w:position w:val="-14"/>
        </w:rPr>
        <w:object w:dxaOrig="2120" w:dyaOrig="400" w14:anchorId="1DCF4B60">
          <v:shape id="_x0000_i1045" type="#_x0000_t75" alt="" style="width:107.5pt;height:21pt;mso-width-percent:0;mso-height-percent:0;mso-width-percent:0;mso-height-percent:0" o:ole="">
            <v:imagedata r:id="rId47" o:title=""/>
          </v:shape>
          <o:OLEObject Type="Embed" ProgID="Equation.DSMT4" ShapeID="_x0000_i1045" DrawAspect="Content" ObjectID="_1612593853" r:id="rId48"/>
        </w:object>
      </w:r>
      <w:r w:rsidRPr="00AA1EDC">
        <w:rPr>
          <w:color w:val="000000" w:themeColor="text1"/>
        </w:rPr>
        <w:t xml:space="preserve"> , which implies</w:t>
      </w:r>
      <w:r w:rsidR="00CE5A07" w:rsidRPr="00AA1EDC">
        <w:rPr>
          <w:noProof/>
          <w:color w:val="000000" w:themeColor="text1"/>
          <w:position w:val="-14"/>
        </w:rPr>
        <w:object w:dxaOrig="1120" w:dyaOrig="400" w14:anchorId="66284C39">
          <v:shape id="_x0000_i1046" type="#_x0000_t75" alt="" style="width:53pt;height:21pt;mso-width-percent:0;mso-height-percent:0;mso-width-percent:0;mso-height-percent:0" o:ole="">
            <v:imagedata r:id="rId49" o:title=""/>
          </v:shape>
          <o:OLEObject Type="Embed" ProgID="Equation.DSMT4" ShapeID="_x0000_i1046" DrawAspect="Content" ObjectID="_1612593854" r:id="rId50"/>
        </w:object>
      </w:r>
      <w:r w:rsidRPr="00AA1EDC">
        <w:rPr>
          <w:color w:val="000000" w:themeColor="text1"/>
        </w:rPr>
        <w:t xml:space="preserve">. Since </w:t>
      </w:r>
      <w:r w:rsidR="00CE5A07" w:rsidRPr="00AA1EDC">
        <w:rPr>
          <w:noProof/>
          <w:color w:val="000000" w:themeColor="text1"/>
          <w:position w:val="-14"/>
        </w:rPr>
        <w:object w:dxaOrig="740" w:dyaOrig="400" w14:anchorId="462932CB">
          <v:shape id="_x0000_i1047" type="#_x0000_t75" alt="" style="width:38.5pt;height:21pt;mso-width-percent:0;mso-height-percent:0;mso-width-percent:0;mso-height-percent:0" o:ole="">
            <v:imagedata r:id="rId51" o:title=""/>
          </v:shape>
          <o:OLEObject Type="Embed" ProgID="Equation.DSMT4" ShapeID="_x0000_i1047" DrawAspect="Content" ObjectID="_1612593855" r:id="rId52"/>
        </w:object>
      </w:r>
      <w:r w:rsidRPr="00AA1EDC">
        <w:rPr>
          <w:color w:val="000000" w:themeColor="text1"/>
        </w:rPr>
        <w:t xml:space="preserve"> represents the long-run impact of the innovations on </w:t>
      </w:r>
      <w:r w:rsidRPr="00AA1EDC">
        <w:rPr>
          <w:i/>
          <w:color w:val="000000" w:themeColor="text1"/>
        </w:rPr>
        <w:t>q</w:t>
      </w:r>
      <w:r w:rsidRPr="00AA1EDC">
        <w:rPr>
          <w:color w:val="000000" w:themeColor="text1"/>
        </w:rPr>
        <w:t xml:space="preserve"> price series, the estimation of </w:t>
      </w:r>
      <w:r w:rsidR="00CE5A07" w:rsidRPr="00AA1EDC">
        <w:rPr>
          <w:noProof/>
          <w:color w:val="000000" w:themeColor="text1"/>
          <w:position w:val="-14"/>
        </w:rPr>
        <w:object w:dxaOrig="560" w:dyaOrig="400" w14:anchorId="55DC4A7D">
          <v:shape id="_x0000_i1048" type="#_x0000_t75" alt="" style="width:28.5pt;height:21pt;mso-width-percent:0;mso-height-percent:0;mso-width-percent:0;mso-height-percent:0" o:ole="">
            <v:imagedata r:id="rId45" o:title=""/>
          </v:shape>
          <o:OLEObject Type="Embed" ProgID="Equation.DSMT4" ShapeID="_x0000_i1048" DrawAspect="Content" ObjectID="_1612593856" r:id="rId53"/>
        </w:object>
      </w:r>
      <w:r w:rsidR="00A54322">
        <w:rPr>
          <w:color w:val="000000" w:themeColor="text1"/>
        </w:rPr>
        <w:t xml:space="preserve"> is crucial in computing the information share</w:t>
      </w:r>
      <w:r w:rsidRPr="00AA1EDC">
        <w:rPr>
          <w:color w:val="000000" w:themeColor="text1"/>
        </w:rPr>
        <w:t xml:space="preserve">. Denoting </w:t>
      </w:r>
      <w:r w:rsidR="00CE5A07" w:rsidRPr="00AA1EDC">
        <w:rPr>
          <w:noProof/>
          <w:color w:val="000000" w:themeColor="text1"/>
          <w:position w:val="-14"/>
        </w:rPr>
        <w:object w:dxaOrig="1840" w:dyaOrig="380" w14:anchorId="138C73D6">
          <v:shape id="_x0000_i1049" type="#_x0000_t75" alt="" style="width:93.5pt;height:17pt;mso-width-percent:0;mso-height-percent:0;mso-width-percent:0;mso-height-percent:0" o:ole="">
            <v:imagedata r:id="rId54" o:title=""/>
          </v:shape>
          <o:OLEObject Type="Embed" ProgID="Equation.3" ShapeID="_x0000_i1049" DrawAspect="Content" ObjectID="_1612593857" r:id="rId55"/>
        </w:object>
      </w:r>
      <w:r w:rsidRPr="00AA1EDC">
        <w:rPr>
          <w:color w:val="000000" w:themeColor="text1"/>
        </w:rPr>
        <w:t xml:space="preserve"> as a common row vector in </w:t>
      </w:r>
      <w:r w:rsidR="00CE5A07" w:rsidRPr="00AA1EDC">
        <w:rPr>
          <w:noProof/>
          <w:color w:val="000000" w:themeColor="text1"/>
          <w:position w:val="-14"/>
        </w:rPr>
        <w:object w:dxaOrig="560" w:dyaOrig="400" w14:anchorId="7EC15A0C">
          <v:shape id="_x0000_i1050" type="#_x0000_t75" alt="" style="width:28.5pt;height:21pt;mso-width-percent:0;mso-height-percent:0;mso-width-percent:0;mso-height-percent:0" o:ole="">
            <v:imagedata r:id="rId45" o:title=""/>
          </v:shape>
          <o:OLEObject Type="Embed" ProgID="Equation.DSMT4" ShapeID="_x0000_i1050" DrawAspect="Content" ObjectID="_1612593858" r:id="rId56"/>
        </w:object>
      </w:r>
      <w:r w:rsidRPr="00AA1EDC">
        <w:rPr>
          <w:color w:val="000000" w:themeColor="text1"/>
        </w:rPr>
        <w:t xml:space="preserve"> and τ as a column unit vector, Eq. (</w:t>
      </w:r>
      <w:r w:rsidRPr="00AA1EDC">
        <w:rPr>
          <w:rFonts w:hint="eastAsia"/>
          <w:color w:val="000000" w:themeColor="text1"/>
        </w:rPr>
        <w:t>4</w:t>
      </w:r>
      <w:r w:rsidRPr="00AA1EDC">
        <w:rPr>
          <w:color w:val="000000" w:themeColor="text1"/>
        </w:rPr>
        <w:t>) may be re-written as:</w:t>
      </w:r>
    </w:p>
    <w:p w14:paraId="4CC5A59D" w14:textId="77777777" w:rsidR="005A719B" w:rsidRPr="00AA1EDC" w:rsidRDefault="005A719B" w:rsidP="007A53E1">
      <w:pPr>
        <w:spacing w:line="360" w:lineRule="auto"/>
        <w:rPr>
          <w:color w:val="000000" w:themeColor="text1"/>
        </w:rPr>
      </w:pPr>
    </w:p>
    <w:p w14:paraId="556F4356"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2299" w:dyaOrig="680" w14:anchorId="6B899FB3">
          <v:shape id="_x0000_i1051" type="#_x0000_t75" alt="" style="width:115pt;height:33.5pt;mso-width-percent:0;mso-height-percent:0;mso-width-percent:0;mso-height-percent:0" o:ole="">
            <v:imagedata r:id="rId57" o:title=""/>
          </v:shape>
          <o:OLEObject Type="Embed" ProgID="Equation.DSMT4" ShapeID="_x0000_i1051" DrawAspect="Content" ObjectID="_1612593859" r:id="rId58"/>
        </w:object>
      </w:r>
      <w:r w:rsidRPr="00AA1EDC">
        <w:rPr>
          <w:color w:val="000000" w:themeColor="text1"/>
        </w:rPr>
        <w:tab/>
        <w:t>(</w:t>
      </w:r>
      <w:r w:rsidRPr="00AA1EDC">
        <w:rPr>
          <w:rFonts w:hint="eastAsia"/>
          <w:color w:val="000000" w:themeColor="text1"/>
        </w:rPr>
        <w:t>5</w:t>
      </w:r>
      <w:r w:rsidRPr="00AA1EDC">
        <w:rPr>
          <w:color w:val="000000" w:themeColor="text1"/>
        </w:rPr>
        <w:t>)</w:t>
      </w:r>
    </w:p>
    <w:p w14:paraId="28772923" w14:textId="77777777" w:rsidR="005A719B" w:rsidRPr="00AA1EDC" w:rsidRDefault="005A719B" w:rsidP="007A53E1">
      <w:pPr>
        <w:spacing w:line="360" w:lineRule="auto"/>
        <w:rPr>
          <w:color w:val="000000" w:themeColor="text1"/>
        </w:rPr>
      </w:pPr>
    </w:p>
    <w:p w14:paraId="7E71F6F5" w14:textId="249DEB6F" w:rsidR="005A719B" w:rsidRPr="00AA1EDC" w:rsidRDefault="005A719B" w:rsidP="00E429DC">
      <w:pPr>
        <w:spacing w:line="360" w:lineRule="auto"/>
        <w:jc w:val="both"/>
        <w:rPr>
          <w:color w:val="000000" w:themeColor="text1"/>
        </w:rPr>
      </w:pPr>
      <w:r w:rsidRPr="00AA1EDC">
        <w:rPr>
          <w:color w:val="000000" w:themeColor="text1"/>
        </w:rPr>
        <w:t>Eq. (</w:t>
      </w:r>
      <w:r w:rsidRPr="00AA1EDC">
        <w:rPr>
          <w:rFonts w:hint="eastAsia"/>
          <w:color w:val="000000" w:themeColor="text1"/>
        </w:rPr>
        <w:t>5</w:t>
      </w:r>
      <w:r w:rsidRPr="00AA1EDC">
        <w:rPr>
          <w:color w:val="000000" w:themeColor="text1"/>
        </w:rPr>
        <w:t xml:space="preserve">) above reveals that the price of an index is composed of two parts, the first part is the common factor component </w:t>
      </w:r>
      <w:r w:rsidR="00CE5A07" w:rsidRPr="00AA1EDC">
        <w:rPr>
          <w:noProof/>
          <w:color w:val="000000" w:themeColor="text1"/>
          <w:position w:val="-28"/>
        </w:rPr>
        <w:object w:dxaOrig="840" w:dyaOrig="680" w14:anchorId="05338015">
          <v:shape id="_x0000_i1052" type="#_x0000_t75" alt="" style="width:43.5pt;height:33.5pt;mso-width-percent:0;mso-height-percent:0;mso-width-percent:0;mso-height-percent:0" o:ole="">
            <v:imagedata r:id="rId59" o:title=""/>
          </v:shape>
          <o:OLEObject Type="Embed" ProgID="Equation.DSMT4" ShapeID="_x0000_i1052" DrawAspect="Content" ObjectID="_1612593860" r:id="rId60"/>
        </w:object>
      </w:r>
      <w:r w:rsidRPr="00AA1EDC">
        <w:rPr>
          <w:color w:val="000000" w:themeColor="text1"/>
        </w:rPr>
        <w:t>, and the second part is the transitory portion</w:t>
      </w:r>
      <w:r w:rsidR="00CE5A07" w:rsidRPr="00AA1EDC">
        <w:rPr>
          <w:noProof/>
          <w:color w:val="000000" w:themeColor="text1"/>
          <w:position w:val="-14"/>
        </w:rPr>
        <w:object w:dxaOrig="900" w:dyaOrig="400" w14:anchorId="540ED1CC">
          <v:shape id="_x0000_i1053" type="#_x0000_t75" alt="" style="width:46pt;height:21pt;mso-width-percent:0;mso-height-percent:0;mso-width-percent:0;mso-height-percent:0" o:ole="">
            <v:imagedata r:id="rId61" o:title=""/>
          </v:shape>
          <o:OLEObject Type="Embed" ProgID="Equation.DSMT4" ShapeID="_x0000_i1053" DrawAspect="Content" ObjectID="_1612593861" r:id="rId62"/>
        </w:object>
      </w:r>
      <w:r w:rsidRPr="00AA1EDC">
        <w:rPr>
          <w:color w:val="000000" w:themeColor="text1"/>
        </w:rPr>
        <w:t xml:space="preserve">. The increment </w:t>
      </w:r>
      <w:r w:rsidR="00CE5A07" w:rsidRPr="00AA1EDC">
        <w:rPr>
          <w:noProof/>
          <w:color w:val="000000" w:themeColor="text1"/>
          <w:position w:val="-12"/>
        </w:rPr>
        <w:object w:dxaOrig="380" w:dyaOrig="360" w14:anchorId="574386E4">
          <v:shape id="_x0000_i1054" type="#_x0000_t75" alt="" style="width:21pt;height:19pt;mso-width-percent:0;mso-height-percent:0;mso-width-percent:0;mso-height-percent:0" o:ole="">
            <v:imagedata r:id="rId63" o:title=""/>
          </v:shape>
          <o:OLEObject Type="Embed" ProgID="Equation.DSMT4" ShapeID="_x0000_i1054" DrawAspect="Content" ObjectID="_1612593862" r:id="rId64"/>
        </w:object>
      </w:r>
      <w:r w:rsidRPr="00AA1EDC">
        <w:rPr>
          <w:color w:val="000000" w:themeColor="text1"/>
        </w:rPr>
        <w:t xml:space="preserve"> can be interpreted as the component of the price change which is permanently impounded into security prices and responsible for reflecting new information. The variance of </w:t>
      </w:r>
      <w:r w:rsidR="00CE5A07" w:rsidRPr="00AA1EDC">
        <w:rPr>
          <w:noProof/>
          <w:color w:val="000000" w:themeColor="text1"/>
          <w:position w:val="-12"/>
        </w:rPr>
        <w:object w:dxaOrig="380" w:dyaOrig="360" w14:anchorId="697ECB6D">
          <v:shape id="_x0000_i1055" type="#_x0000_t75" alt="" style="width:21pt;height:19pt;mso-width-percent:0;mso-height-percent:0;mso-width-percent:0;mso-height-percent:0" o:ole="">
            <v:imagedata r:id="rId63" o:title=""/>
          </v:shape>
          <o:OLEObject Type="Embed" ProgID="Equation.DSMT4" ShapeID="_x0000_i1055" DrawAspect="Content" ObjectID="_1612593863" r:id="rId65"/>
        </w:object>
      </w:r>
      <w:r w:rsidRPr="00AA1EDC">
        <w:rPr>
          <w:color w:val="000000" w:themeColor="text1"/>
        </w:rPr>
        <w:t xml:space="preserve">, which is </w:t>
      </w:r>
      <w:r w:rsidR="00CE5A07" w:rsidRPr="00AA1EDC">
        <w:rPr>
          <w:noProof/>
          <w:color w:val="000000" w:themeColor="text1"/>
          <w:position w:val="-12"/>
        </w:rPr>
        <w:object w:dxaOrig="1680" w:dyaOrig="360" w14:anchorId="6B277839">
          <v:shape id="_x0000_i1056" type="#_x0000_t75" alt="" style="width:85pt;height:19pt;mso-width-percent:0;mso-height-percent:0;mso-width-percent:0;mso-height-percent:0" o:ole="">
            <v:imagedata r:id="rId66" o:title=""/>
          </v:shape>
          <o:OLEObject Type="Embed" ProgID="Equation.3" ShapeID="_x0000_i1056" DrawAspect="Content" ObjectID="_1612593864" r:id="rId67"/>
        </w:object>
      </w:r>
      <w:r w:rsidRPr="00AA1EDC">
        <w:rPr>
          <w:color w:val="000000" w:themeColor="text1"/>
        </w:rPr>
        <w:t>, is then used to compute the</w:t>
      </w:r>
      <w:r w:rsidRPr="00AA1EDC">
        <w:rPr>
          <w:rFonts w:hint="eastAsia"/>
          <w:color w:val="000000" w:themeColor="text1"/>
        </w:rPr>
        <w:t xml:space="preserve"> </w:t>
      </w:r>
      <w:r w:rsidR="00A54322">
        <w:rPr>
          <w:color w:val="000000" w:themeColor="text1"/>
        </w:rPr>
        <w:t>information share</w:t>
      </w:r>
      <w:r w:rsidRPr="00AA1EDC">
        <w:rPr>
          <w:color w:val="000000" w:themeColor="text1"/>
        </w:rPr>
        <w:t>.</w:t>
      </w:r>
      <w:r w:rsidRPr="00AA1EDC">
        <w:rPr>
          <w:rFonts w:hint="eastAsia"/>
          <w:color w:val="000000" w:themeColor="text1"/>
        </w:rPr>
        <w:t xml:space="preserve"> </w:t>
      </w:r>
      <w:r w:rsidRPr="00AA1EDC">
        <w:rPr>
          <w:color w:val="000000" w:themeColor="text1"/>
        </w:rPr>
        <w:t xml:space="preserve">Hasbrouck (1995) shows that the </w:t>
      </w:r>
      <w:r w:rsidR="00A54322">
        <w:rPr>
          <w:color w:val="000000" w:themeColor="text1"/>
        </w:rPr>
        <w:t>information share (</w:t>
      </w:r>
      <w:r w:rsidRPr="00AA1EDC">
        <w:rPr>
          <w:color w:val="000000" w:themeColor="text1"/>
        </w:rPr>
        <w:t>IS</w:t>
      </w:r>
      <w:r w:rsidR="00A54322">
        <w:rPr>
          <w:color w:val="000000" w:themeColor="text1"/>
        </w:rPr>
        <w:t>)</w:t>
      </w:r>
      <w:r w:rsidRPr="00AA1EDC">
        <w:rPr>
          <w:color w:val="000000" w:themeColor="text1"/>
        </w:rPr>
        <w:t xml:space="preserve"> for a market </w:t>
      </w:r>
      <w:r w:rsidRPr="00AA1EDC">
        <w:rPr>
          <w:i/>
          <w:color w:val="000000" w:themeColor="text1"/>
        </w:rPr>
        <w:t>j</w:t>
      </w:r>
      <w:r w:rsidRPr="00AA1EDC">
        <w:rPr>
          <w:color w:val="000000" w:themeColor="text1"/>
        </w:rPr>
        <w:t xml:space="preserve"> is given by:</w:t>
      </w:r>
    </w:p>
    <w:p w14:paraId="751C0DA3" w14:textId="77777777" w:rsidR="005A719B" w:rsidRPr="00AA1EDC" w:rsidRDefault="005A719B" w:rsidP="007A53E1">
      <w:pPr>
        <w:spacing w:line="360" w:lineRule="auto"/>
        <w:rPr>
          <w:color w:val="000000" w:themeColor="text1"/>
        </w:rPr>
      </w:pPr>
    </w:p>
    <w:p w14:paraId="50441123"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740" w:dyaOrig="720" w14:anchorId="7CEB5F68">
          <v:shape id="_x0000_i1057" type="#_x0000_t75" alt="" style="width:38.5pt;height:38.5pt;mso-width-percent:0;mso-height-percent:0;mso-width-percent:0;mso-height-percent:0" o:ole="">
            <v:imagedata r:id="rId68" o:title=""/>
          </v:shape>
          <o:OLEObject Type="Embed" ProgID="Equation.DSMT4" ShapeID="_x0000_i1057" DrawAspect="Content" ObjectID="_1612593865" r:id="rId69"/>
        </w:object>
      </w:r>
      <w:r w:rsidRPr="00AA1EDC">
        <w:rPr>
          <w:color w:val="000000" w:themeColor="text1"/>
        </w:rPr>
        <w:tab/>
        <w:t>(</w:t>
      </w:r>
      <w:r w:rsidRPr="00AA1EDC">
        <w:rPr>
          <w:rFonts w:hint="eastAsia"/>
          <w:color w:val="000000" w:themeColor="text1"/>
        </w:rPr>
        <w:t>6</w:t>
      </w:r>
      <w:r w:rsidRPr="00AA1EDC">
        <w:rPr>
          <w:color w:val="000000" w:themeColor="text1"/>
        </w:rPr>
        <w:t>)</w:t>
      </w:r>
    </w:p>
    <w:p w14:paraId="5E524D58" w14:textId="77777777" w:rsidR="005A719B" w:rsidRPr="00AA1EDC" w:rsidRDefault="005A719B" w:rsidP="007A53E1">
      <w:pPr>
        <w:spacing w:line="360" w:lineRule="auto"/>
        <w:rPr>
          <w:color w:val="000000" w:themeColor="text1"/>
        </w:rPr>
      </w:pPr>
    </w:p>
    <w:p w14:paraId="166E1CD0" w14:textId="77777777" w:rsidR="005A719B" w:rsidRPr="00AA1EDC" w:rsidRDefault="005A719B" w:rsidP="00E429DC">
      <w:pPr>
        <w:spacing w:line="360" w:lineRule="auto"/>
        <w:jc w:val="both"/>
        <w:rPr>
          <w:color w:val="000000" w:themeColor="text1"/>
        </w:rPr>
      </w:pPr>
      <w:r w:rsidRPr="00AA1EDC">
        <w:rPr>
          <w:color w:val="000000" w:themeColor="text1"/>
        </w:rPr>
        <w:t>In general, the price innovations may be contemporaneously correlated. In order to address such an issue, Hasbrouck (1995) performed the</w:t>
      </w:r>
      <w:r w:rsidRPr="00AA1EDC">
        <w:rPr>
          <w:rFonts w:hint="eastAsia"/>
          <w:color w:val="000000" w:themeColor="text1"/>
        </w:rPr>
        <w:t xml:space="preserve"> </w:t>
      </w:r>
      <w:r w:rsidRPr="00AA1EDC">
        <w:rPr>
          <w:color w:val="000000" w:themeColor="text1"/>
        </w:rPr>
        <w:t xml:space="preserve">Cholesky factorization on the covariance matrix </w:t>
      </w:r>
      <w:r w:rsidR="00CE5A07" w:rsidRPr="00AA1EDC">
        <w:rPr>
          <w:noProof/>
          <w:color w:val="000000" w:themeColor="text1"/>
          <w:position w:val="-4"/>
        </w:rPr>
        <w:object w:dxaOrig="260" w:dyaOrig="260" w14:anchorId="0A4D7791">
          <v:shape id="_x0000_i1058" type="#_x0000_t75" alt="" style="width:14pt;height:14pt;mso-width-percent:0;mso-height-percent:0;mso-width-percent:0;mso-height-percent:0" o:ole="">
            <v:imagedata r:id="rId23" o:title=""/>
          </v:shape>
          <o:OLEObject Type="Embed" ProgID="Equation.DSMT4" ShapeID="_x0000_i1058" DrawAspect="Content" ObjectID="_1612593866" r:id="rId70"/>
        </w:object>
      </w:r>
      <w:r w:rsidRPr="00AA1EDC">
        <w:rPr>
          <w:color w:val="000000" w:themeColor="text1"/>
          <w:position w:val="-4"/>
        </w:rPr>
        <w:t xml:space="preserve">, </w:t>
      </w:r>
      <w:r w:rsidRPr="00AA1EDC">
        <w:rPr>
          <w:color w:val="000000" w:themeColor="text1"/>
        </w:rPr>
        <w:t xml:space="preserve">such that </w:t>
      </w:r>
      <w:r w:rsidR="00CE5A07" w:rsidRPr="00AA1EDC">
        <w:rPr>
          <w:noProof/>
          <w:color w:val="000000" w:themeColor="text1"/>
          <w:position w:val="-4"/>
        </w:rPr>
        <w:object w:dxaOrig="880" w:dyaOrig="260" w14:anchorId="13391EFC">
          <v:shape id="_x0000_i1059" type="#_x0000_t75" alt="" style="width:44pt;height:14pt;mso-width-percent:0;mso-height-percent:0;mso-width-percent:0;mso-height-percent:0" o:ole="">
            <v:imagedata r:id="rId71" o:title=""/>
          </v:shape>
          <o:OLEObject Type="Embed" ProgID="Equation.3" ShapeID="_x0000_i1059" DrawAspect="Content" ObjectID="_1612593867" r:id="rId72"/>
        </w:object>
      </w:r>
      <w:r w:rsidRPr="00AA1EDC">
        <w:rPr>
          <w:color w:val="000000" w:themeColor="text1"/>
        </w:rPr>
        <w:t>. Thus, Eq. (6) may be re-written as:</w:t>
      </w:r>
    </w:p>
    <w:p w14:paraId="195403FF" w14:textId="77777777" w:rsidR="005A719B" w:rsidRPr="00AA1EDC" w:rsidRDefault="005A719B" w:rsidP="007A53E1">
      <w:pPr>
        <w:spacing w:line="360" w:lineRule="auto"/>
        <w:rPr>
          <w:color w:val="000000" w:themeColor="text1"/>
        </w:rPr>
      </w:pPr>
    </w:p>
    <w:p w14:paraId="472A1C76"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999" w:dyaOrig="880" w14:anchorId="7F9E5878">
          <v:shape id="_x0000_i1060" type="#_x0000_t75" alt="" style="width:49.5pt;height:44pt;mso-width-percent:0;mso-height-percent:0;mso-width-percent:0;mso-height-percent:0" o:ole="">
            <v:imagedata r:id="rId73" o:title=""/>
          </v:shape>
          <o:OLEObject Type="Embed" ProgID="Equation.DSMT4" ShapeID="_x0000_i1060" DrawAspect="Content" ObjectID="_1612593868" r:id="rId74"/>
        </w:object>
      </w:r>
      <w:r w:rsidRPr="00AA1EDC">
        <w:rPr>
          <w:color w:val="000000" w:themeColor="text1"/>
        </w:rPr>
        <w:tab/>
        <w:t>(</w:t>
      </w:r>
      <w:r w:rsidRPr="00AA1EDC">
        <w:rPr>
          <w:rFonts w:hint="eastAsia"/>
          <w:color w:val="000000" w:themeColor="text1"/>
        </w:rPr>
        <w:t>7</w:t>
      </w:r>
      <w:r w:rsidRPr="00AA1EDC">
        <w:rPr>
          <w:color w:val="000000" w:themeColor="text1"/>
        </w:rPr>
        <w:t>)</w:t>
      </w:r>
    </w:p>
    <w:p w14:paraId="3592B801" w14:textId="77777777" w:rsidR="005A719B" w:rsidRPr="00AA1EDC" w:rsidRDefault="005A719B" w:rsidP="007A53E1">
      <w:pPr>
        <w:spacing w:line="360" w:lineRule="auto"/>
        <w:rPr>
          <w:color w:val="000000" w:themeColor="text1"/>
        </w:rPr>
      </w:pPr>
    </w:p>
    <w:p w14:paraId="58A9CFBC" w14:textId="77777777" w:rsidR="005A719B" w:rsidRPr="00AA1EDC" w:rsidRDefault="005A719B" w:rsidP="007A53E1">
      <w:pPr>
        <w:spacing w:line="360" w:lineRule="auto"/>
        <w:rPr>
          <w:color w:val="000000" w:themeColor="text1"/>
        </w:rPr>
      </w:pPr>
      <w:r w:rsidRPr="00AA1EDC">
        <w:rPr>
          <w:color w:val="000000" w:themeColor="text1"/>
        </w:rPr>
        <w:t xml:space="preserve">where </w:t>
      </w:r>
      <w:r w:rsidR="00CE5A07" w:rsidRPr="00AA1EDC">
        <w:rPr>
          <w:noProof/>
          <w:color w:val="000000" w:themeColor="text1"/>
          <w:position w:val="-4"/>
        </w:rPr>
        <w:object w:dxaOrig="260" w:dyaOrig="260" w14:anchorId="60DBC9B0">
          <v:shape id="_x0000_i1061" type="#_x0000_t75" alt="" style="width:14pt;height:14pt;mso-width-percent:0;mso-height-percent:0;mso-width-percent:0;mso-height-percent:0" o:ole="">
            <v:imagedata r:id="rId75" o:title=""/>
          </v:shape>
          <o:OLEObject Type="Embed" ProgID="Equation.3" ShapeID="_x0000_i1061" DrawAspect="Content" ObjectID="_1612593869" r:id="rId76"/>
        </w:object>
      </w:r>
      <w:r w:rsidRPr="00AA1EDC">
        <w:rPr>
          <w:color w:val="000000" w:themeColor="text1"/>
        </w:rPr>
        <w:t xml:space="preserve"> is a lower triangular matrix with elements </w:t>
      </w:r>
      <w:r w:rsidR="00CE5A07" w:rsidRPr="00AA1EDC">
        <w:rPr>
          <w:noProof/>
          <w:color w:val="000000" w:themeColor="text1"/>
          <w:position w:val="-18"/>
        </w:rPr>
        <w:object w:dxaOrig="1480" w:dyaOrig="420" w14:anchorId="4980201F">
          <v:shape id="_x0000_i1062" type="#_x0000_t75" alt="" style="width:1in;height:21pt;mso-width-percent:0;mso-height-percent:0;mso-width-percent:0;mso-height-percent:0" o:ole="">
            <v:imagedata r:id="rId77" o:title=""/>
          </v:shape>
          <o:OLEObject Type="Embed" ProgID="Equation.3" ShapeID="_x0000_i1062" DrawAspect="Content" ObjectID="_1612593870" r:id="rId78"/>
        </w:object>
      </w:r>
      <w:r w:rsidRPr="00AA1EDC">
        <w:rPr>
          <w:color w:val="000000" w:themeColor="text1"/>
        </w:rPr>
        <w:t>.</w:t>
      </w:r>
    </w:p>
    <w:p w14:paraId="0593432E" w14:textId="77777777" w:rsidR="005A719B" w:rsidRPr="00AA1EDC" w:rsidRDefault="005A719B" w:rsidP="007A53E1">
      <w:pPr>
        <w:spacing w:line="360" w:lineRule="auto"/>
        <w:rPr>
          <w:color w:val="000000" w:themeColor="text1"/>
        </w:rPr>
      </w:pPr>
    </w:p>
    <w:p w14:paraId="7D84F40E" w14:textId="77777777" w:rsidR="005A719B" w:rsidRPr="00AA1EDC" w:rsidRDefault="005A719B" w:rsidP="00E429DC">
      <w:pPr>
        <w:spacing w:line="360" w:lineRule="auto"/>
        <w:jc w:val="both"/>
        <w:rPr>
          <w:color w:val="000000" w:themeColor="text1"/>
        </w:rPr>
      </w:pPr>
      <w:r w:rsidRPr="005B3AED">
        <w:rPr>
          <w:color w:val="000000" w:themeColor="text1"/>
        </w:rPr>
        <w:t>Baillie and Bollerslev (2002)</w:t>
      </w:r>
      <w:r w:rsidRPr="00AA1EDC">
        <w:rPr>
          <w:color w:val="000000" w:themeColor="text1"/>
        </w:rPr>
        <w:t xml:space="preserve"> show</w:t>
      </w:r>
      <w:r w:rsidRPr="00AA1EDC">
        <w:rPr>
          <w:rFonts w:hint="eastAsia"/>
          <w:color w:val="000000" w:themeColor="text1"/>
        </w:rPr>
        <w:t xml:space="preserve"> </w:t>
      </w:r>
      <w:r w:rsidRPr="00AA1EDC">
        <w:rPr>
          <w:color w:val="000000" w:themeColor="text1"/>
        </w:rPr>
        <w:t xml:space="preserve">that the values of </w:t>
      </w:r>
      <w:r w:rsidR="00CE5A07" w:rsidRPr="00AA1EDC">
        <w:rPr>
          <w:noProof/>
          <w:color w:val="000000" w:themeColor="text1"/>
          <w:position w:val="-10"/>
        </w:rPr>
        <w:object w:dxaOrig="240" w:dyaOrig="260" w14:anchorId="4CE32AD5">
          <v:shape id="_x0000_i1063" type="#_x0000_t75" alt="" style="width:14pt;height:14pt;mso-width-percent:0;mso-height-percent:0;mso-width-percent:0;mso-height-percent:0" o:ole="">
            <v:imagedata r:id="rId79" o:title=""/>
          </v:shape>
          <o:OLEObject Type="Embed" ProgID="Equation.DSMT4" ShapeID="_x0000_i1063" DrawAspect="Content" ObjectID="_1612593871" r:id="rId80"/>
        </w:object>
      </w:r>
      <w:r w:rsidRPr="00AA1EDC">
        <w:rPr>
          <w:color w:val="000000" w:themeColor="text1"/>
        </w:rPr>
        <w:t xml:space="preserve"> are directly related to </w:t>
      </w:r>
      <w:r w:rsidR="00CE5A07" w:rsidRPr="00AA1EDC">
        <w:rPr>
          <w:noProof/>
          <w:color w:val="000000" w:themeColor="text1"/>
          <w:position w:val="-10"/>
        </w:rPr>
        <w:object w:dxaOrig="200" w:dyaOrig="260" w14:anchorId="66E38D75">
          <v:shape id="_x0000_i1064" type="#_x0000_t75" alt="" style="width:7.5pt;height:14pt;mso-width-percent:0;mso-height-percent:0;mso-width-percent:0;mso-height-percent:0" o:ole="">
            <v:imagedata r:id="rId81" o:title=""/>
          </v:shape>
          <o:OLEObject Type="Embed" ProgID="Equation.DSMT4" ShapeID="_x0000_i1064" DrawAspect="Content" ObjectID="_1612593872" r:id="rId82"/>
        </w:object>
      </w:r>
      <w:r w:rsidRPr="00AA1EDC">
        <w:rPr>
          <w:color w:val="000000" w:themeColor="text1"/>
        </w:rPr>
        <w:t xml:space="preserve"> that defines the vector </w:t>
      </w:r>
      <w:r w:rsidR="00CE5A07" w:rsidRPr="00AA1EDC">
        <w:rPr>
          <w:noProof/>
          <w:color w:val="000000" w:themeColor="text1"/>
          <w:position w:val="-4"/>
        </w:rPr>
        <w:object w:dxaOrig="220" w:dyaOrig="240" w14:anchorId="4CE9B0F3">
          <v:shape id="_x0000_i1065" type="#_x0000_t75" alt="" style="width:9.5pt;height:14pt;mso-width-percent:0;mso-height-percent:0;mso-width-percent:0;mso-height-percent:0" o:ole="">
            <v:imagedata r:id="rId83" o:title=""/>
          </v:shape>
          <o:OLEObject Type="Embed" ProgID="Equation.3" ShapeID="_x0000_i1065" DrawAspect="Content" ObjectID="_1612593873" r:id="rId84"/>
        </w:object>
      </w:r>
      <w:r w:rsidRPr="00AA1EDC">
        <w:rPr>
          <w:color w:val="000000" w:themeColor="text1"/>
        </w:rPr>
        <w:t>, such that Eq. (</w:t>
      </w:r>
      <w:r w:rsidRPr="00AA1EDC">
        <w:rPr>
          <w:rFonts w:hint="eastAsia"/>
          <w:color w:val="000000" w:themeColor="text1"/>
        </w:rPr>
        <w:t>6</w:t>
      </w:r>
      <w:r w:rsidRPr="00AA1EDC">
        <w:rPr>
          <w:color w:val="000000" w:themeColor="text1"/>
        </w:rPr>
        <w:t>) and Eq. (</w:t>
      </w:r>
      <w:r w:rsidRPr="00AA1EDC">
        <w:rPr>
          <w:rFonts w:hint="eastAsia"/>
          <w:color w:val="000000" w:themeColor="text1"/>
        </w:rPr>
        <w:t>7</w:t>
      </w:r>
      <w:r w:rsidRPr="00AA1EDC">
        <w:rPr>
          <w:color w:val="000000" w:themeColor="text1"/>
        </w:rPr>
        <w:t>) may be formulated in the forms of Eq. (8) and Eq. (9), respectively:</w:t>
      </w:r>
    </w:p>
    <w:p w14:paraId="7093ADB3" w14:textId="77777777" w:rsidR="005A719B" w:rsidRPr="00AA1EDC" w:rsidRDefault="005A719B" w:rsidP="007A53E1">
      <w:pPr>
        <w:spacing w:line="360" w:lineRule="auto"/>
        <w:rPr>
          <w:color w:val="000000" w:themeColor="text1"/>
        </w:rPr>
      </w:pPr>
    </w:p>
    <w:p w14:paraId="6C7BAC87"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700" w:dyaOrig="720" w14:anchorId="3132595A">
          <v:shape id="_x0000_i1066" type="#_x0000_t75" alt="" style="width:33.5pt;height:38.5pt;mso-width-percent:0;mso-height-percent:0;mso-width-percent:0;mso-height-percent:0" o:ole="">
            <v:imagedata r:id="rId85" o:title=""/>
          </v:shape>
          <o:OLEObject Type="Embed" ProgID="Equation.DSMT4" ShapeID="_x0000_i1066" DrawAspect="Content" ObjectID="_1612593874" r:id="rId86"/>
        </w:object>
      </w:r>
      <w:r w:rsidRPr="00AA1EDC">
        <w:rPr>
          <w:color w:val="000000" w:themeColor="text1"/>
        </w:rPr>
        <w:tab/>
        <w:t>(</w:t>
      </w:r>
      <w:r w:rsidRPr="00AA1EDC">
        <w:rPr>
          <w:rFonts w:hint="eastAsia"/>
          <w:color w:val="000000" w:themeColor="text1"/>
        </w:rPr>
        <w:t>8</w:t>
      </w:r>
      <w:r w:rsidRPr="00AA1EDC">
        <w:rPr>
          <w:color w:val="000000" w:themeColor="text1"/>
        </w:rPr>
        <w:t>)</w:t>
      </w:r>
    </w:p>
    <w:p w14:paraId="5F96A4A9" w14:textId="77777777" w:rsidR="005A719B" w:rsidRPr="00AA1EDC" w:rsidRDefault="005A719B" w:rsidP="007A53E1">
      <w:pPr>
        <w:spacing w:line="360" w:lineRule="auto"/>
        <w:rPr>
          <w:color w:val="000000" w:themeColor="text1"/>
        </w:rPr>
      </w:pPr>
    </w:p>
    <w:p w14:paraId="3137DDB5" w14:textId="77777777" w:rsidR="005A719B" w:rsidRPr="00AA1EDC" w:rsidRDefault="005A719B" w:rsidP="007A53E1">
      <w:pPr>
        <w:pStyle w:val="MTDisplayEquation"/>
        <w:rPr>
          <w:color w:val="000000" w:themeColor="text1"/>
        </w:rPr>
      </w:pPr>
      <w:r w:rsidRPr="00AA1EDC">
        <w:rPr>
          <w:color w:val="000000" w:themeColor="text1"/>
        </w:rPr>
        <w:tab/>
      </w:r>
      <w:r w:rsidR="00CE5A07" w:rsidRPr="00AA1EDC">
        <w:rPr>
          <w:noProof/>
          <w:color w:val="000000" w:themeColor="text1"/>
          <w:position w:val="-28"/>
        </w:rPr>
        <w:object w:dxaOrig="960" w:dyaOrig="880" w14:anchorId="567419E3">
          <v:shape id="_x0000_i1067" type="#_x0000_t75" alt="" style="width:48.5pt;height:44pt;mso-width-percent:0;mso-height-percent:0;mso-width-percent:0;mso-height-percent:0" o:ole="">
            <v:imagedata r:id="rId87" o:title=""/>
          </v:shape>
          <o:OLEObject Type="Embed" ProgID="Equation.DSMT4" ShapeID="_x0000_i1067" DrawAspect="Content" ObjectID="_1612593875" r:id="rId88"/>
        </w:object>
      </w:r>
      <w:r w:rsidRPr="00AA1EDC">
        <w:rPr>
          <w:color w:val="000000" w:themeColor="text1"/>
        </w:rPr>
        <w:tab/>
        <w:t>(</w:t>
      </w:r>
      <w:r w:rsidRPr="00AA1EDC">
        <w:rPr>
          <w:rFonts w:hint="eastAsia"/>
          <w:color w:val="000000" w:themeColor="text1"/>
        </w:rPr>
        <w:t>9</w:t>
      </w:r>
      <w:r w:rsidRPr="00AA1EDC">
        <w:rPr>
          <w:color w:val="000000" w:themeColor="text1"/>
        </w:rPr>
        <w:t>)</w:t>
      </w:r>
    </w:p>
    <w:p w14:paraId="47413B53" w14:textId="77777777" w:rsidR="005A719B" w:rsidRPr="00AA1EDC" w:rsidRDefault="005A719B" w:rsidP="007A53E1">
      <w:pPr>
        <w:pStyle w:val="p1"/>
        <w:spacing w:line="360" w:lineRule="auto"/>
        <w:rPr>
          <w:color w:val="000000" w:themeColor="text1"/>
        </w:rPr>
      </w:pPr>
    </w:p>
    <w:p w14:paraId="2C8DBF70" w14:textId="77777777" w:rsidR="005A719B" w:rsidRPr="00AA1EDC" w:rsidRDefault="005A719B" w:rsidP="00E429DC">
      <w:pPr>
        <w:spacing w:line="360" w:lineRule="auto"/>
        <w:jc w:val="both"/>
        <w:rPr>
          <w:color w:val="000000" w:themeColor="text1"/>
        </w:rPr>
      </w:pPr>
      <w:r w:rsidRPr="00AA1EDC">
        <w:rPr>
          <w:color w:val="000000" w:themeColor="text1"/>
        </w:rPr>
        <w:t xml:space="preserve">Due to the orthogonalization of the covariance matrix </w:t>
      </w:r>
      <w:r w:rsidR="00CE5A07" w:rsidRPr="00AA1EDC">
        <w:rPr>
          <w:noProof/>
          <w:color w:val="000000" w:themeColor="text1"/>
          <w:position w:val="-4"/>
        </w:rPr>
        <w:object w:dxaOrig="260" w:dyaOrig="260" w14:anchorId="16D280C5">
          <v:shape id="_x0000_i1068" type="#_x0000_t75" alt="" style="width:14pt;height:14pt;mso-width-percent:0;mso-height-percent:0;mso-width-percent:0;mso-height-percent:0" o:ole="">
            <v:imagedata r:id="rId23" o:title=""/>
          </v:shape>
          <o:OLEObject Type="Embed" ProgID="Equation.DSMT4" ShapeID="_x0000_i1068" DrawAspect="Content" ObjectID="_1612593876" r:id="rId89"/>
        </w:object>
      </w:r>
      <w:r w:rsidRPr="00AA1EDC">
        <w:rPr>
          <w:color w:val="000000" w:themeColor="text1"/>
        </w:rPr>
        <w:t>, a unique measure of IS for each market may not be obtained straightforwardly. Instead, an upper and a lower bound are defined with the largest (smallest) IS value being obtained when the variable is first (last) in the Cholesky</w:t>
      </w:r>
      <w:r w:rsidRPr="00AA1EDC">
        <w:rPr>
          <w:rFonts w:hint="eastAsia"/>
          <w:color w:val="000000" w:themeColor="text1"/>
        </w:rPr>
        <w:t xml:space="preserve"> </w:t>
      </w:r>
      <w:r w:rsidRPr="00AA1EDC">
        <w:rPr>
          <w:color w:val="000000" w:themeColor="text1"/>
        </w:rPr>
        <w:t>ordering.</w:t>
      </w:r>
      <w:r w:rsidRPr="00AA1EDC">
        <w:rPr>
          <w:rFonts w:hint="eastAsia"/>
          <w:color w:val="000000" w:themeColor="text1"/>
        </w:rPr>
        <w:t xml:space="preserve"> </w:t>
      </w:r>
      <w:r w:rsidRPr="00AA1EDC">
        <w:rPr>
          <w:color w:val="000000" w:themeColor="text1"/>
        </w:rPr>
        <w:t xml:space="preserve">Here, the upper and lower bounds of a market’s IS with the price series being the first and last series are given by </w:t>
      </w:r>
      <w:r w:rsidRPr="00AA1EDC">
        <w:rPr>
          <w:i/>
          <w:color w:val="000000" w:themeColor="text1"/>
        </w:rPr>
        <w:t>IS</w:t>
      </w:r>
      <w:r w:rsidRPr="00AA1EDC">
        <w:rPr>
          <w:i/>
          <w:color w:val="000000" w:themeColor="text1"/>
          <w:vertAlign w:val="subscript"/>
        </w:rPr>
        <w:t>1</w:t>
      </w:r>
      <w:r w:rsidRPr="00AA1EDC">
        <w:rPr>
          <w:color w:val="000000" w:themeColor="text1"/>
        </w:rPr>
        <w:t xml:space="preserve"> (Eq. 10) and </w:t>
      </w:r>
      <w:r w:rsidRPr="00AA1EDC">
        <w:rPr>
          <w:i/>
          <w:color w:val="000000" w:themeColor="text1"/>
        </w:rPr>
        <w:t>IS</w:t>
      </w:r>
      <w:r w:rsidRPr="00AA1EDC">
        <w:rPr>
          <w:i/>
          <w:color w:val="000000" w:themeColor="text1"/>
          <w:vertAlign w:val="subscript"/>
        </w:rPr>
        <w:t>q</w:t>
      </w:r>
      <w:r w:rsidRPr="00AA1EDC">
        <w:rPr>
          <w:color w:val="000000" w:themeColor="text1"/>
        </w:rPr>
        <w:t xml:space="preserve"> (Eq. 11), respectively:</w:t>
      </w:r>
    </w:p>
    <w:p w14:paraId="54F5EED3" w14:textId="77777777" w:rsidR="005A719B" w:rsidRPr="00AA1EDC" w:rsidRDefault="005A719B" w:rsidP="007A53E1">
      <w:pPr>
        <w:spacing w:line="360" w:lineRule="auto"/>
        <w:rPr>
          <w:color w:val="000000" w:themeColor="text1"/>
        </w:rPr>
      </w:pPr>
    </w:p>
    <w:p w14:paraId="79D7E4E6" w14:textId="71CC6C00" w:rsidR="005A719B" w:rsidRPr="00AA1EDC" w:rsidRDefault="00CE5A07" w:rsidP="007A53E1">
      <w:pPr>
        <w:spacing w:line="360" w:lineRule="auto"/>
        <w:ind w:leftChars="700" w:left="1680" w:firstLineChars="225" w:firstLine="540"/>
        <w:rPr>
          <w:color w:val="000000" w:themeColor="text1"/>
        </w:rPr>
      </w:pPr>
      <w:r w:rsidRPr="00AA1EDC">
        <w:rPr>
          <w:noProof/>
          <w:color w:val="000000" w:themeColor="text1"/>
          <w:position w:val="-72"/>
        </w:rPr>
        <w:object w:dxaOrig="4480" w:dyaOrig="1560" w14:anchorId="1270053D">
          <v:shape id="_x0000_i1069" type="#_x0000_t75" alt="" style="width:220pt;height:77.5pt;mso-width-percent:0;mso-height-percent:0;mso-width-percent:0;mso-height-percent:0" o:ole="">
            <v:imagedata r:id="rId90" o:title=""/>
          </v:shape>
          <o:OLEObject Type="Embed" ProgID="Equation.3" ShapeID="_x0000_i1069" DrawAspect="Content" ObjectID="_1612593877" r:id="rId91"/>
        </w:object>
      </w:r>
      <w:r w:rsidR="005A719B">
        <w:rPr>
          <w:color w:val="000000" w:themeColor="text1"/>
        </w:rPr>
        <w:tab/>
      </w:r>
      <w:r w:rsidR="00C759C6">
        <w:rPr>
          <w:color w:val="000000" w:themeColor="text1"/>
        </w:rPr>
        <w:tab/>
      </w:r>
      <w:r w:rsidR="005A719B" w:rsidRPr="00AA1EDC">
        <w:rPr>
          <w:color w:val="000000" w:themeColor="text1"/>
        </w:rPr>
        <w:t>(</w:t>
      </w:r>
      <w:r w:rsidR="005A719B" w:rsidRPr="00AA1EDC">
        <w:rPr>
          <w:rFonts w:hint="eastAsia"/>
          <w:color w:val="000000" w:themeColor="text1"/>
        </w:rPr>
        <w:t>10</w:t>
      </w:r>
      <w:r w:rsidR="005A719B" w:rsidRPr="00AA1EDC">
        <w:rPr>
          <w:color w:val="000000" w:themeColor="text1"/>
        </w:rPr>
        <w:t>)</w:t>
      </w:r>
    </w:p>
    <w:p w14:paraId="6A7539FF" w14:textId="77777777" w:rsidR="005A719B" w:rsidRPr="00AA1EDC" w:rsidRDefault="005A719B" w:rsidP="007A53E1">
      <w:pPr>
        <w:spacing w:line="360" w:lineRule="auto"/>
        <w:ind w:leftChars="700" w:left="1680" w:firstLineChars="225" w:firstLine="540"/>
        <w:rPr>
          <w:color w:val="000000" w:themeColor="text1"/>
        </w:rPr>
      </w:pPr>
    </w:p>
    <w:p w14:paraId="2E3EE1F3" w14:textId="4A583250" w:rsidR="005A719B" w:rsidRPr="00AA1EDC" w:rsidRDefault="00CE5A07" w:rsidP="007A53E1">
      <w:pPr>
        <w:spacing w:line="360" w:lineRule="auto"/>
        <w:ind w:leftChars="700" w:left="1680" w:firstLineChars="225" w:firstLine="540"/>
        <w:rPr>
          <w:color w:val="000000" w:themeColor="text1"/>
        </w:rPr>
      </w:pPr>
      <w:r w:rsidRPr="00AA1EDC">
        <w:rPr>
          <w:noProof/>
          <w:color w:val="000000" w:themeColor="text1"/>
          <w:position w:val="-72"/>
        </w:rPr>
        <w:object w:dxaOrig="4500" w:dyaOrig="1200" w14:anchorId="08548277">
          <v:shape id="_x0000_i1070" type="#_x0000_t75" alt="" style="width:224.5pt;height:59pt;mso-width-percent:0;mso-height-percent:0;mso-width-percent:0;mso-height-percent:0" o:ole="">
            <v:imagedata r:id="rId92" o:title=""/>
          </v:shape>
          <o:OLEObject Type="Embed" ProgID="Equation.3" ShapeID="_x0000_i1070" DrawAspect="Content" ObjectID="_1612593878" r:id="rId93"/>
        </w:object>
      </w:r>
      <w:r w:rsidR="005A719B">
        <w:rPr>
          <w:color w:val="000000" w:themeColor="text1"/>
        </w:rPr>
        <w:tab/>
      </w:r>
      <w:r w:rsidR="00C759C6">
        <w:rPr>
          <w:color w:val="000000" w:themeColor="text1"/>
        </w:rPr>
        <w:tab/>
      </w:r>
      <w:r w:rsidR="005A719B" w:rsidRPr="00AA1EDC">
        <w:rPr>
          <w:color w:val="000000" w:themeColor="text1"/>
        </w:rPr>
        <w:t>(</w:t>
      </w:r>
      <w:r w:rsidR="005A719B" w:rsidRPr="00AA1EDC">
        <w:rPr>
          <w:rFonts w:hint="eastAsia"/>
          <w:color w:val="000000" w:themeColor="text1"/>
        </w:rPr>
        <w:t>11</w:t>
      </w:r>
      <w:r w:rsidR="005A719B" w:rsidRPr="00AA1EDC">
        <w:rPr>
          <w:color w:val="000000" w:themeColor="text1"/>
        </w:rPr>
        <w:t>)</w:t>
      </w:r>
    </w:p>
    <w:p w14:paraId="3D6EF9D9" w14:textId="77777777" w:rsidR="005A719B" w:rsidRPr="00AA1EDC" w:rsidRDefault="005A719B" w:rsidP="007A53E1">
      <w:pPr>
        <w:spacing w:line="360" w:lineRule="auto"/>
        <w:rPr>
          <w:color w:val="000000" w:themeColor="text1"/>
        </w:rPr>
      </w:pPr>
    </w:p>
    <w:p w14:paraId="6573DA1D" w14:textId="77777777" w:rsidR="005A719B" w:rsidRPr="00AA1EDC" w:rsidRDefault="005A719B" w:rsidP="00E429DC">
      <w:pPr>
        <w:spacing w:line="360" w:lineRule="auto"/>
        <w:jc w:val="both"/>
        <w:rPr>
          <w:color w:val="000000" w:themeColor="text1"/>
        </w:rPr>
      </w:pPr>
      <w:r w:rsidRPr="00AA1EDC">
        <w:rPr>
          <w:color w:val="000000" w:themeColor="text1"/>
        </w:rPr>
        <w:t>Baillie and Bollerslev (2002) suggest that the midpoint of these two bounds may be used as a measure of price discovery for each market.</w:t>
      </w:r>
    </w:p>
    <w:p w14:paraId="28837409" w14:textId="77777777" w:rsidR="005A719B" w:rsidRDefault="005A719B" w:rsidP="007A53E1">
      <w:pPr>
        <w:spacing w:line="360" w:lineRule="auto"/>
        <w:rPr>
          <w:color w:val="000000" w:themeColor="text1"/>
        </w:rPr>
      </w:pPr>
    </w:p>
    <w:p w14:paraId="1464D140" w14:textId="53B557B2" w:rsidR="005A719B" w:rsidRPr="00BF4A6D" w:rsidRDefault="005A719B" w:rsidP="004F7752">
      <w:pPr>
        <w:widowControl w:val="0"/>
        <w:spacing w:line="480" w:lineRule="auto"/>
        <w:jc w:val="both"/>
        <w:rPr>
          <w:rFonts w:ascii="Times" w:hAnsi="Times"/>
          <w:i/>
          <w:kern w:val="2"/>
        </w:rPr>
      </w:pPr>
      <w:r>
        <w:rPr>
          <w:rFonts w:ascii="Times" w:hAnsi="Times"/>
          <w:i/>
          <w:kern w:val="2"/>
        </w:rPr>
        <w:t>4.2</w:t>
      </w:r>
      <w:r w:rsidRPr="00BF4A6D">
        <w:rPr>
          <w:rFonts w:ascii="Times" w:hAnsi="Times"/>
          <w:i/>
          <w:kern w:val="2"/>
        </w:rPr>
        <w:t xml:space="preserve"> The Gonzalo and Granger (1995) </w:t>
      </w:r>
      <w:r w:rsidR="00DB0218">
        <w:rPr>
          <w:rFonts w:ascii="Times" w:hAnsi="Times"/>
          <w:i/>
          <w:kern w:val="2"/>
        </w:rPr>
        <w:t>Common Factor Weights</w:t>
      </w:r>
      <w:r w:rsidRPr="00BF4A6D">
        <w:rPr>
          <w:rFonts w:ascii="Times" w:hAnsi="Times"/>
          <w:i/>
          <w:kern w:val="2"/>
        </w:rPr>
        <w:t xml:space="preserve"> Model</w:t>
      </w:r>
    </w:p>
    <w:p w14:paraId="7ABC4476" w14:textId="0657B462" w:rsidR="005A719B" w:rsidRPr="004D46CF" w:rsidRDefault="005A719B" w:rsidP="004F7752">
      <w:pPr>
        <w:widowControl w:val="0"/>
        <w:spacing w:line="480" w:lineRule="auto"/>
        <w:jc w:val="both"/>
        <w:rPr>
          <w:b/>
          <w:kern w:val="2"/>
        </w:rPr>
      </w:pPr>
      <w:r w:rsidRPr="00BF4A6D">
        <w:rPr>
          <w:rFonts w:ascii="Times" w:hAnsi="Times"/>
          <w:b/>
          <w:kern w:val="2"/>
        </w:rPr>
        <w:fldChar w:fldCharType="begin"/>
      </w:r>
      <w:r w:rsidRPr="00BF4A6D">
        <w:rPr>
          <w:rFonts w:ascii="Times" w:hAnsi="Times"/>
          <w:b/>
          <w:kern w:val="2"/>
        </w:rPr>
        <w:instrText xml:space="preserve"> QUOTE </w:instrText>
      </w:r>
      <w:r w:rsidR="001C0554">
        <w:rPr>
          <w:rFonts w:ascii="Times" w:hAnsi="Times"/>
          <w:noProof/>
          <w:position w:val="-6"/>
        </w:rPr>
        <w:pict w14:anchorId="165C70F7">
          <v:shape id="_x0000_i1071" type="#_x0000_t75" alt="" style="width:81.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592&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485592&quot; wsp:rsidP=&quot;00485592&quot;&gt;&lt;aml:annotation aml:id=&quot;0&quot; w:type=&quot;Word.Deletion&quot; aml:author=&quot;Microsoft Office User&quot; aml:createdate=&quot;2017-05-22T21:28:00Z&quot;&gt;&lt;aml:content&gt;&lt;m:oMathPara&gt;&lt;m:oMath&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àÜ&lt;/m:t&gt;&lt;/m:r&gt;&lt;m:sSub&gt;&lt;m:sSubPr&gt;&lt;m:ctrlPr&gt;&lt;w:rPr&gt;&lt;w:rFonts w:ascii=&quot;Cambria Math&quot; w:fareast=&quot;SimSun&quot; w:h-ansi=&quot;Cambria Math&quot;/&gt;&lt;wx:font wx:val=&quot;Cambria Math&quot;/&gt;&lt;w:b/&gt;&lt;w:kern w:val=&quot;2&quot;/&gt;&lt;w:sz w:val=&quot;28&quot;/&gt;&lt;w:sz-cs w:val=&quot;28&quot;/&gt;&lt;w:lang w:val=&quot;EN-US&quot;/&gt;&lt;/w:rPr&gt;&lt;/m:ctrlPr&gt;&lt;/m:sSubPr&gt;&lt;m:e&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P&lt;/m:t&gt;&lt;/m:r&gt;&lt;/m:e&gt;&lt;m:sub&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t&lt;/m:t&gt;&lt;/m:r&gt;&lt;/m:sub&gt;&lt;/m:sSub&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Œ®(L)&lt;/m:t&gt;&lt;/m:r&gt;&lt;m:sSub&gt;&lt;m:sSubPr&gt;&lt;m:ctrlPr&gt;&lt;w:rPr&gt;&lt;w:rFonts w:ascii=&quot;Cambria Math&quot; w:fareast=&quot;SimSun&quot; w:h-ansi=&quot;Cambria Math&quot;/&gt;&lt;wx:font wx:val=&quot;Cambria Math&quot;/&gt;&lt;w:b/&gt;&lt;w:kern w:val=&quot;2&quot;/&gt;&lt;w:sz w:val=&quot;28&quot;/&gt;&lt;w:sz-cs w:val=&quot;28&quot;/&gt;&lt;w:lang w:val=&quot;EN-US&quot;/&gt;&lt;/w:rPr&gt;&lt;/m:ctrlPr&gt;&lt;/m:sSubPr&gt;&lt;m:e&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e&lt;/m:t&gt;&lt;/m:r&gt;&lt;/m:e&gt;&lt;m:sub&gt;&lt;m:r&gt;&lt;m:rPr&gt;&lt;m:sty m:val=&quot;b&quot;/&gt;&lt;/m:rPr&gt;&lt;w:rPr&gt;&lt;w:rFonts w:ascii=&quot;Cambria Math&quot; w:fareast=&quot;SimSun&quot; w:h-ansi=&quot;Cambria Math&quot;/&gt;&lt;wx:font wx:val=&quot;Cambria Math&quot;/&gt;&lt;w:b/&gt;&lt;w:kern w:val=&quot;2&quot;/&gt;&lt;w:sz w:val=&quot;28&quot;/&gt;&lt;w:sz-cs w:val=&quot;28&quot;/&gt;&lt;w:lang w:val=&quot;EN-US&quot;/&gt;&lt;/w:rPr&gt;&lt;m:t&gt;t&lt;/m:t&gt;&lt;/m:r&gt;&lt;/m:sub&gt;&lt;/m:sSub&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BF4A6D">
        <w:rPr>
          <w:rFonts w:ascii="Times" w:hAnsi="Times"/>
          <w:b/>
          <w:kern w:val="2"/>
        </w:rPr>
        <w:instrText xml:space="preserve"> </w:instrText>
      </w:r>
      <w:r w:rsidRPr="00BF4A6D">
        <w:rPr>
          <w:rFonts w:ascii="Times" w:hAnsi="Times"/>
          <w:b/>
          <w:kern w:val="2"/>
        </w:rPr>
        <w:fldChar w:fldCharType="end"/>
      </w:r>
      <w:r w:rsidRPr="00BF4A6D">
        <w:rPr>
          <w:kern w:val="2"/>
        </w:rPr>
        <w:t>Whil</w:t>
      </w:r>
      <w:r>
        <w:rPr>
          <w:kern w:val="2"/>
        </w:rPr>
        <w:t>e</w:t>
      </w:r>
      <w:r w:rsidRPr="00BF4A6D">
        <w:rPr>
          <w:kern w:val="2"/>
        </w:rPr>
        <w:t xml:space="preserve"> Hasbrouck</w:t>
      </w:r>
      <w:r>
        <w:rPr>
          <w:kern w:val="2"/>
        </w:rPr>
        <w:t>’s</w:t>
      </w:r>
      <w:r w:rsidRPr="00BF4A6D">
        <w:rPr>
          <w:kern w:val="2"/>
        </w:rPr>
        <w:t xml:space="preserve"> (1995) information share method uses the variance of the common factor innovations to measure price discovery, such that the contribution by each market to the variance is the information share, Gonzalo and Granger</w:t>
      </w:r>
      <w:r>
        <w:rPr>
          <w:kern w:val="2"/>
        </w:rPr>
        <w:t>’s</w:t>
      </w:r>
      <w:r w:rsidRPr="00BF4A6D">
        <w:rPr>
          <w:kern w:val="2"/>
        </w:rPr>
        <w:t xml:space="preserve"> (1995) </w:t>
      </w:r>
      <w:r w:rsidR="00DB0218">
        <w:rPr>
          <w:rFonts w:ascii="Times" w:hAnsi="Times"/>
          <w:kern w:val="2"/>
        </w:rPr>
        <w:t xml:space="preserve">common factor weights </w:t>
      </w:r>
      <w:r w:rsidRPr="00BF4A6D">
        <w:rPr>
          <w:kern w:val="2"/>
        </w:rPr>
        <w:t xml:space="preserve">method concentrates on an error correction process which impounds permanent shocks to raise system disequilibrium, with the error correction coefficient as the contribution of each market to the common factor. Central to Gonzalo and Granger (1995) is a permanent-transitory decomposition process from which price discovery may be measured. Such a decomposition process closely follows the </w:t>
      </w:r>
      <w:r w:rsidRPr="001C7733">
        <w:rPr>
          <w:kern w:val="2"/>
        </w:rPr>
        <w:t>Stock and Watson (1988)</w:t>
      </w:r>
      <w:r w:rsidRPr="00BF4A6D">
        <w:rPr>
          <w:kern w:val="2"/>
        </w:rPr>
        <w:t xml:space="preserve"> common trend representation of </w:t>
      </w:r>
      <w:r w:rsidRPr="00BF4A6D">
        <w:rPr>
          <w:kern w:val="2"/>
        </w:rPr>
        <w:fldChar w:fldCharType="begin"/>
      </w:r>
      <w:r w:rsidRPr="00BF4A6D">
        <w:rPr>
          <w:kern w:val="2"/>
        </w:rPr>
        <w:instrText xml:space="preserve"> QUOTE </w:instrText>
      </w:r>
      <w:r w:rsidR="001C0554">
        <w:rPr>
          <w:noProof/>
          <w:position w:val="-6"/>
        </w:rPr>
        <w:pict w14:anchorId="798BBF10">
          <v:shape id="_x0000_i1072"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0277&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80277&quot; wsp:rsidP=&quot;00980277&quot;&gt;&lt;m:oMathPara&gt;&lt;m:oMath&gt;&lt;m:sSub&gt;&lt;m:sSubPr&gt;&lt;m:ctrlPr&gt;&lt;aml:annotation aml:id=&quot;0&quot; w:type=&quot;Word.Insertion&quot; aml:author=&quot;Microsoft Office User&quot; aml:createdate=&quot;2017-05-24T14:46: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P&lt;/m:t&gt;&lt;/m:r&gt;&lt;/aml:content&gt;&lt;/aml:annotation&gt;&lt;/m:e&gt;&lt;m:sub&gt;&lt;aml:annotation aml:id=&quot;2&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BF4A6D">
        <w:rPr>
          <w:kern w:val="2"/>
        </w:rPr>
        <w:instrText xml:space="preserve"> </w:instrText>
      </w:r>
      <w:r w:rsidRPr="00BF4A6D">
        <w:rPr>
          <w:kern w:val="2"/>
        </w:rPr>
        <w:fldChar w:fldCharType="separate"/>
      </w:r>
      <w:r w:rsidR="001C0554">
        <w:rPr>
          <w:noProof/>
          <w:position w:val="-6"/>
        </w:rPr>
        <w:pict w14:anchorId="7488597A">
          <v:shape id="_x0000_i1073"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0277&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80277&quot; wsp:rsidP=&quot;00980277&quot;&gt;&lt;m:oMathPara&gt;&lt;m:oMath&gt;&lt;m:sSub&gt;&lt;m:sSubPr&gt;&lt;m:ctrlPr&gt;&lt;aml:annotation aml:id=&quot;0&quot; w:type=&quot;Word.Insertion&quot; aml:author=&quot;Microsoft Office User&quot; aml:createdate=&quot;2017-05-24T14:46: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P&lt;/m:t&gt;&lt;/m:r&gt;&lt;/aml:content&gt;&lt;/aml:annotation&gt;&lt;/m:e&gt;&lt;m:sub&gt;&lt;aml:annotation aml:id=&quot;2&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BF4A6D">
        <w:rPr>
          <w:kern w:val="2"/>
        </w:rPr>
        <w:fldChar w:fldCharType="end"/>
      </w:r>
      <w:r w:rsidRPr="00BF4A6D">
        <w:rPr>
          <w:kern w:val="2"/>
        </w:rPr>
        <w:t>, which is:</w:t>
      </w:r>
    </w:p>
    <w:p w14:paraId="239B5642" w14:textId="3E92DE50" w:rsidR="005A719B" w:rsidRPr="004D46CF" w:rsidRDefault="005A719B" w:rsidP="006417D3">
      <w:pPr>
        <w:widowControl w:val="0"/>
        <w:spacing w:line="480" w:lineRule="auto"/>
        <w:jc w:val="center"/>
        <w:rPr>
          <w:kern w:val="2"/>
          <w:sz w:val="28"/>
          <w:szCs w:val="28"/>
        </w:rPr>
      </w:pPr>
      <w:r w:rsidRPr="00BF4A6D">
        <w:rPr>
          <w:kern w:val="2"/>
          <w:sz w:val="28"/>
          <w:szCs w:val="28"/>
        </w:rPr>
        <w:fldChar w:fldCharType="begin"/>
      </w:r>
      <w:r w:rsidRPr="00BF4A6D">
        <w:rPr>
          <w:kern w:val="2"/>
          <w:sz w:val="28"/>
          <w:szCs w:val="28"/>
        </w:rPr>
        <w:instrText xml:space="preserve"> QUOTE </w:instrText>
      </w:r>
      <w:r w:rsidR="001C0554">
        <w:rPr>
          <w:noProof/>
          <w:position w:val="-6"/>
        </w:rPr>
        <w:pict w14:anchorId="64A68681">
          <v:shape id="_x0000_i1074" type="#_x0000_t75" alt="" style="width:85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BDE&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43BDE&quot; wsp:rsidP=&quot;00043BDE&quot;&gt;&lt;m:oMathPara&gt;&lt;m:oMath&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P&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sSub&gt;&lt;m:sSubPr&gt;&lt;m:ctrlPr&gt;&lt;w:rPr&gt;&lt;w:rFonts w:ascii=&quot;Cambria Math&quot; w:fareast=&quot;SimSun&quot; w:h-ansi=&quot;Cambria Math&quot;/&gt;&lt;wx:font wx:val=&quot;Cambria Math&quot;/&gt;&lt;w:kern w:val=&quot;2&quot;/&gt;&lt;w:sz w:val=&quot;28&quot;/&gt;&lt;w:sz-cs w:val=&quot;28&quot;/&gt;&lt;w:lang w:val=&quot;EN-US&quot;/&gt;&lt;/w:rPr&gt;&lt;/m:ctrlPr&gt;&lt;/m:sSubPr&gt;&lt;m:e&gt;&lt;m:r&gt;&lt;m:rPr&gt;&lt;m:sty m:val=&quot;p&quot;/&gt;&lt;/m:rPr&gt;&lt;w:rPr&gt;&lt;w:rFonts w:ascii=&quot;Cambria Math&quot; w:fareast=&quot;SimSun&quot; w:h-ansi=&quot;Cambria Math&quot;/&gt;&lt;wx:font wx:val=&quot;Cambria Math&quot;/&gt;&lt;w:kern w:val=&quot;2&quot;/&gt;&lt;w:sz w:val=&quot;28&quot;/&gt;&lt;w:sz-cs w:val=&quot;28&quot;/&gt;&lt;w:lang w:val=&quot;EN-US&quot;/&gt;&lt;/w:rPr&gt;&lt;m:t&gt;Œì&lt;/m:t&gt;&lt;/m:r&gt;&lt;/m:e&gt;&lt;m:sub&gt;&lt;m:r&gt;&lt;w:rPr&gt;&lt;w:rFonts w:ascii=&quot;Cambria Math&quot; w:fareast=&quot;SimSun&quot; w:h-ansi=&quot;Cambria Math&quot;/&gt;&lt;wx:font wx:val=&quot;Cambria Math&quot;/&gt;&lt;w:i/&gt;&lt;w:kern w:val=&quot;2&quot;/&gt;&lt;w:sz w:val=&quot;28&quot;/&gt;&lt;w:sz-cs w:val=&quot;28&quot;/&gt;&lt;w:lang w:val=&quot;EN-US&quot;/&gt;&lt;/w:rPr&gt;&lt;m:t&gt;1&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f&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G&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BF4A6D">
        <w:rPr>
          <w:kern w:val="2"/>
          <w:sz w:val="28"/>
          <w:szCs w:val="28"/>
        </w:rPr>
        <w:instrText xml:space="preserve"> </w:instrText>
      </w:r>
      <w:r w:rsidRPr="00BF4A6D">
        <w:rPr>
          <w:kern w:val="2"/>
          <w:sz w:val="28"/>
          <w:szCs w:val="28"/>
        </w:rPr>
        <w:fldChar w:fldCharType="end"/>
      </w:r>
      <w:r w:rsidRPr="00BF4A6D">
        <w:rPr>
          <w:kern w:val="2"/>
          <w:sz w:val="28"/>
          <w:szCs w:val="28"/>
        </w:rPr>
        <w:t xml:space="preserve">           </w:t>
      </w:r>
      <w:r>
        <w:rPr>
          <w:kern w:val="2"/>
          <w:sz w:val="28"/>
          <w:szCs w:val="28"/>
        </w:rPr>
        <w:t xml:space="preserve">                   </w:t>
      </w:r>
      <w:r w:rsidR="001C0554">
        <w:rPr>
          <w:noProof/>
          <w:position w:val="-6"/>
        </w:rPr>
        <w:pict w14:anchorId="630D9A6C">
          <v:shape id="_x0000_i1075" type="#_x0000_t75" alt="" style="width:85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BDE&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43BDE&quot; wsp:rsidP=&quot;00043BDE&quot;&gt;&lt;m:oMathPara&gt;&lt;m:oMath&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P&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sSub&gt;&lt;m:sSubPr&gt;&lt;m:ctrlPr&gt;&lt;w:rPr&gt;&lt;w:rFonts w:ascii=&quot;Cambria Math&quot; w:fareast=&quot;SimSun&quot; w:h-ansi=&quot;Cambria Math&quot;/&gt;&lt;wx:font wx:val=&quot;Cambria Math&quot;/&gt;&lt;w:kern w:val=&quot;2&quot;/&gt;&lt;w:sz w:val=&quot;28&quot;/&gt;&lt;w:sz-cs w:val=&quot;28&quot;/&gt;&lt;w:lang w:val=&quot;EN-US&quot;/&gt;&lt;/w:rPr&gt;&lt;/m:ctrlPr&gt;&lt;/m:sSubPr&gt;&lt;m:e&gt;&lt;m:r&gt;&lt;m:rPr&gt;&lt;m:sty m:val=&quot;p&quot;/&gt;&lt;/m:rPr&gt;&lt;w:rPr&gt;&lt;w:rFonts w:ascii=&quot;Cambria Math&quot; w:fareast=&quot;SimSun&quot; w:h-ansi=&quot;Cambria Math&quot;/&gt;&lt;wx:font wx:val=&quot;Cambria Math&quot;/&gt;&lt;w:kern w:val=&quot;2&quot;/&gt;&lt;w:sz w:val=&quot;28&quot;/&gt;&lt;w:sz-cs w:val=&quot;28&quot;/&gt;&lt;w:lang w:val=&quot;EN-US&quot;/&gt;&lt;/w:rPr&gt;&lt;m:t&gt;Œì&lt;/m:t&gt;&lt;/m:r&gt;&lt;/m:e&gt;&lt;m:sub&gt;&lt;m:r&gt;&lt;w:rPr&gt;&lt;w:rFonts w:ascii=&quot;Cambria Math&quot; w:fareast=&quot;SimSun&quot; w:h-ansi=&quot;Cambria Math&quot;/&gt;&lt;wx:font wx:val=&quot;Cambria Math&quot;/&gt;&lt;w:i/&gt;&lt;w:kern w:val=&quot;2&quot;/&gt;&lt;w:sz w:val=&quot;28&quot;/&gt;&lt;w:sz-cs w:val=&quot;28&quot;/&gt;&lt;w:lang w:val=&quot;EN-US&quot;/&gt;&lt;/w:rPr&gt;&lt;m:t&gt;1&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f&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G&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00C759C6">
        <w:rPr>
          <w:kern w:val="2"/>
          <w:sz w:val="28"/>
          <w:szCs w:val="28"/>
        </w:rPr>
        <w:tab/>
      </w:r>
      <w:r w:rsidR="00C759C6">
        <w:rPr>
          <w:kern w:val="2"/>
          <w:sz w:val="28"/>
          <w:szCs w:val="28"/>
        </w:rPr>
        <w:tab/>
      </w:r>
      <w:r w:rsidR="00C759C6">
        <w:rPr>
          <w:kern w:val="2"/>
          <w:sz w:val="28"/>
          <w:szCs w:val="28"/>
        </w:rPr>
        <w:tab/>
      </w:r>
      <w:r w:rsidR="00C759C6">
        <w:rPr>
          <w:kern w:val="2"/>
          <w:sz w:val="28"/>
          <w:szCs w:val="28"/>
        </w:rPr>
        <w:tab/>
      </w:r>
      <w:r w:rsidR="00C759C6">
        <w:rPr>
          <w:kern w:val="2"/>
          <w:sz w:val="28"/>
          <w:szCs w:val="28"/>
        </w:rPr>
        <w:tab/>
      </w:r>
      <w:r w:rsidRPr="00C759C6">
        <w:rPr>
          <w:kern w:val="2"/>
        </w:rPr>
        <w:t>(12)</w:t>
      </w:r>
    </w:p>
    <w:p w14:paraId="1948F154" w14:textId="77777777" w:rsidR="005A719B" w:rsidRPr="004D46CF" w:rsidRDefault="005A719B" w:rsidP="006417D3">
      <w:pPr>
        <w:widowControl w:val="0"/>
        <w:spacing w:line="480" w:lineRule="auto"/>
        <w:jc w:val="both"/>
        <w:rPr>
          <w:kern w:val="2"/>
        </w:rPr>
      </w:pPr>
      <w:r w:rsidRPr="00BF4A6D">
        <w:rPr>
          <w:kern w:val="2"/>
        </w:rPr>
        <w:t xml:space="preserve">where </w:t>
      </w:r>
      <w:r w:rsidRPr="00BF4A6D">
        <w:rPr>
          <w:kern w:val="2"/>
        </w:rPr>
        <w:fldChar w:fldCharType="begin"/>
      </w:r>
      <w:r w:rsidRPr="00BF4A6D">
        <w:rPr>
          <w:kern w:val="2"/>
        </w:rPr>
        <w:instrText xml:space="preserve"> QUOTE </w:instrText>
      </w:r>
      <w:r w:rsidR="001C0554">
        <w:rPr>
          <w:noProof/>
          <w:position w:val="-6"/>
        </w:rPr>
        <w:pict w14:anchorId="213B8347">
          <v:shape id="_x0000_i1076"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57F5&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1F57F5&quot; wsp:rsidP=&quot;001F57F5&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BF4A6D">
        <w:rPr>
          <w:kern w:val="2"/>
        </w:rPr>
        <w:instrText xml:space="preserve"> </w:instrText>
      </w:r>
      <w:r w:rsidRPr="00BF4A6D">
        <w:rPr>
          <w:kern w:val="2"/>
        </w:rPr>
        <w:fldChar w:fldCharType="separate"/>
      </w:r>
      <w:r w:rsidR="001C0554">
        <w:rPr>
          <w:noProof/>
          <w:position w:val="-6"/>
        </w:rPr>
        <w:pict w14:anchorId="5AA33354">
          <v:shape id="_x0000_i1077"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57F5&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1F57F5&quot; wsp:rsidP=&quot;001F57F5&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BF4A6D">
        <w:rPr>
          <w:kern w:val="2"/>
        </w:rPr>
        <w:fldChar w:fldCharType="end"/>
      </w:r>
      <w:r w:rsidRPr="00BF4A6D">
        <w:rPr>
          <w:kern w:val="2"/>
        </w:rPr>
        <w:t xml:space="preserve"> is a vector of I(1) time series of prices (for example, actual transaction prices; bid/offer quotes); </w:t>
      </w:r>
      <w:r w:rsidRPr="00BF4A6D">
        <w:rPr>
          <w:kern w:val="2"/>
        </w:rPr>
        <w:fldChar w:fldCharType="begin"/>
      </w:r>
      <w:r w:rsidRPr="00BF4A6D">
        <w:rPr>
          <w:kern w:val="2"/>
        </w:rPr>
        <w:instrText xml:space="preserve"> QUOTE </w:instrText>
      </w:r>
      <w:r w:rsidR="001C0554">
        <w:rPr>
          <w:noProof/>
          <w:position w:val="-6"/>
        </w:rPr>
        <w:pict w14:anchorId="60B7D3BF">
          <v:shape id="_x0000_i1078"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06F7&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ED06F7&quot; wsp:rsidP=&quot;00ED06F7&quot;&gt;&lt;m:oMathPara&gt;&lt;m:oMath&gt;&lt;m:sSub&gt;&lt;m:sSubPr&gt;&lt;m:ctrlPr&gt;&lt;w:rPr&gt;&lt;w:rFonts w:ascii=&quot;Cambria Math&quot; w:fareast=&quot;SimSun&quot; w:h-ansi=&quot;Cambria Math&quot;/&gt;&lt;wx:font wx:val=&quot;Cambria Math&quot;/&gt;&lt;w:kern w:val=&quot;2&quot;/&gt;&lt;w:lang w:val=&quot;EN-US&quot;/&gt;&lt;/w:rPr&gt;&lt;/m:ctrlPr&gt;&lt;/m:sSubPr&gt;&lt;m:e&gt;&lt;m:r&gt;&lt;m:rPr&gt;&lt;m:sty m:val=&quot;p&quot;/&gt;&lt;/m:rPr&gt;&lt;w:rPr&gt;&lt;w:rFonts w:ascii=&quot;Cambria Math&quot; w:fareast=&quot;SimSun&quot; w:h-ansi=&quot;Cambria Math&quot;/&gt;&lt;wx:font wx:val=&quot;Cambria Math&quot;/&gt;&lt;w:kern w:val=&quot;2&quot;/&gt;&lt;w:lang w:val=&quot;EN-US&quot;/&gt;&lt;/w:rPr&gt;&lt;m:t&gt;Œì&lt;/m:t&gt;&lt;/m:r&gt;&lt;/m:e&gt;&lt;m:sub&gt;&lt;m:r&gt;&lt;w:rPr&gt;&lt;w:rFonts w:ascii=&quot;Cambria Math&quot; w:fareast=&quot;SimSun&quot; w:h-ansi=&quot;Cambria Math&quot;/&gt;&lt;wx:font wx:val=&quot;Cambria Math&quot;/&gt;&lt;w:i/&gt;&lt;w:kern w:val=&quot;2&quot;/&gt;&lt;w:lang w:val=&quot;EN-US&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BF4A6D">
        <w:rPr>
          <w:kern w:val="2"/>
        </w:rPr>
        <w:instrText xml:space="preserve"> </w:instrText>
      </w:r>
      <w:r w:rsidRPr="00BF4A6D">
        <w:rPr>
          <w:kern w:val="2"/>
        </w:rPr>
        <w:fldChar w:fldCharType="separate"/>
      </w:r>
      <w:r w:rsidR="001C0554">
        <w:rPr>
          <w:noProof/>
          <w:position w:val="-6"/>
        </w:rPr>
        <w:pict w14:anchorId="3971786B">
          <v:shape id="_x0000_i1079"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06F7&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ED06F7&quot; wsp:rsidP=&quot;00ED06F7&quot;&gt;&lt;m:oMathPara&gt;&lt;m:oMath&gt;&lt;m:sSub&gt;&lt;m:sSubPr&gt;&lt;m:ctrlPr&gt;&lt;w:rPr&gt;&lt;w:rFonts w:ascii=&quot;Cambria Math&quot; w:fareast=&quot;SimSun&quot; w:h-ansi=&quot;Cambria Math&quot;/&gt;&lt;wx:font wx:val=&quot;Cambria Math&quot;/&gt;&lt;w:kern w:val=&quot;2&quot;/&gt;&lt;w:lang w:val=&quot;EN-US&quot;/&gt;&lt;/w:rPr&gt;&lt;/m:ctrlPr&gt;&lt;/m:sSubPr&gt;&lt;m:e&gt;&lt;m:r&gt;&lt;m:rPr&gt;&lt;m:sty m:val=&quot;p&quot;/&gt;&lt;/m:rPr&gt;&lt;w:rPr&gt;&lt;w:rFonts w:ascii=&quot;Cambria Math&quot; w:fareast=&quot;SimSun&quot; w:h-ansi=&quot;Cambria Math&quot;/&gt;&lt;wx:font wx:val=&quot;Cambria Math&quot;/&gt;&lt;w:kern w:val=&quot;2&quot;/&gt;&lt;w:lang w:val=&quot;EN-US&quot;/&gt;&lt;/w:rPr&gt;&lt;m:t&gt;Œì&lt;/m:t&gt;&lt;/m:r&gt;&lt;/m:e&gt;&lt;m:sub&gt;&lt;m:r&gt;&lt;w:rPr&gt;&lt;w:rFonts w:ascii=&quot;Cambria Math&quot; w:fareast=&quot;SimSun&quot; w:h-ansi=&quot;Cambria Math&quot;/&gt;&lt;wx:font wx:val=&quot;Cambria Math&quot;/&gt;&lt;w:i/&gt;&lt;w:kern w:val=&quot;2&quot;/&gt;&lt;w:lang w:val=&quot;EN-US&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BF4A6D">
        <w:rPr>
          <w:kern w:val="2"/>
        </w:rPr>
        <w:fldChar w:fldCharType="end"/>
      </w:r>
      <w:r w:rsidRPr="00BF4A6D">
        <w:rPr>
          <w:kern w:val="2"/>
        </w:rPr>
        <w:t xml:space="preserve"> is the loading matrix, </w:t>
      </w:r>
      <w:r w:rsidRPr="00BF4A6D">
        <w:rPr>
          <w:kern w:val="2"/>
        </w:rPr>
        <w:fldChar w:fldCharType="begin"/>
      </w:r>
      <w:r w:rsidRPr="00BF4A6D">
        <w:rPr>
          <w:kern w:val="2"/>
        </w:rPr>
        <w:instrText xml:space="preserve"> QUOTE </w:instrText>
      </w:r>
      <w:r w:rsidR="001C0554">
        <w:rPr>
          <w:noProof/>
          <w:position w:val="-6"/>
        </w:rPr>
        <w:pict w14:anchorId="235E8BC6">
          <v:shape id="_x0000_i1080"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15E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C15E2&quot; wsp:rsidP=&quot;009C15E2&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f&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BF4A6D">
        <w:rPr>
          <w:kern w:val="2"/>
        </w:rPr>
        <w:instrText xml:space="preserve"> </w:instrText>
      </w:r>
      <w:r w:rsidRPr="00BF4A6D">
        <w:rPr>
          <w:kern w:val="2"/>
        </w:rPr>
        <w:fldChar w:fldCharType="separate"/>
      </w:r>
      <w:r w:rsidR="001C0554">
        <w:rPr>
          <w:noProof/>
          <w:position w:val="-6"/>
        </w:rPr>
        <w:pict w14:anchorId="44031C55">
          <v:shape id="_x0000_i1081"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15E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C15E2&quot; wsp:rsidP=&quot;009C15E2&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f&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BF4A6D">
        <w:rPr>
          <w:kern w:val="2"/>
        </w:rPr>
        <w:fldChar w:fldCharType="end"/>
      </w:r>
      <w:r w:rsidRPr="00BF4A6D">
        <w:rPr>
          <w:kern w:val="2"/>
        </w:rPr>
        <w:t xml:space="preserve"> is the common factor, </w:t>
      </w:r>
      <w:r>
        <w:rPr>
          <w:kern w:val="2"/>
        </w:rPr>
        <w:t xml:space="preserve">and </w:t>
      </w:r>
      <w:r w:rsidRPr="00BF4A6D">
        <w:rPr>
          <w:kern w:val="2"/>
        </w:rPr>
        <w:fldChar w:fldCharType="begin"/>
      </w:r>
      <w:r w:rsidRPr="00BF4A6D">
        <w:rPr>
          <w:kern w:val="2"/>
        </w:rPr>
        <w:instrText xml:space="preserve"> QUOTE </w:instrText>
      </w:r>
      <w:r w:rsidR="001C0554">
        <w:rPr>
          <w:noProof/>
          <w:position w:val="-6"/>
        </w:rPr>
        <w:pict w14:anchorId="3DEE454E">
          <v:shape id="_x0000_i1082" type="#_x0000_t75" alt="" style="width:13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AB&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B37AB&quot; wsp:rsidP=&quot;000B37A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G&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BF4A6D">
        <w:rPr>
          <w:kern w:val="2"/>
        </w:rPr>
        <w:instrText xml:space="preserve"> </w:instrText>
      </w:r>
      <w:r w:rsidRPr="00BF4A6D">
        <w:rPr>
          <w:kern w:val="2"/>
        </w:rPr>
        <w:fldChar w:fldCharType="separate"/>
      </w:r>
      <w:r w:rsidR="001C0554">
        <w:rPr>
          <w:noProof/>
          <w:position w:val="-6"/>
        </w:rPr>
        <w:pict w14:anchorId="684592C1">
          <v:shape id="_x0000_i1083" type="#_x0000_t75" alt="" style="width:13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AB&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B37AB&quot; wsp:rsidP=&quot;000B37A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G&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 o:title="" chromakey="white"/>
          </v:shape>
        </w:pict>
      </w:r>
      <w:r w:rsidRPr="00BF4A6D">
        <w:rPr>
          <w:kern w:val="2"/>
        </w:rPr>
        <w:fldChar w:fldCharType="end"/>
      </w:r>
      <w:r w:rsidRPr="00BF4A6D">
        <w:rPr>
          <w:kern w:val="2"/>
        </w:rPr>
        <w:t xml:space="preserve"> is the transitory component that has no permanent effect on </w:t>
      </w:r>
      <w:r w:rsidRPr="00BF4A6D">
        <w:rPr>
          <w:kern w:val="2"/>
        </w:rPr>
        <w:fldChar w:fldCharType="begin"/>
      </w:r>
      <w:r w:rsidRPr="00BF4A6D">
        <w:rPr>
          <w:kern w:val="2"/>
        </w:rPr>
        <w:instrText xml:space="preserve"> QUOTE </w:instrText>
      </w:r>
      <w:r w:rsidR="001C0554">
        <w:rPr>
          <w:noProof/>
          <w:position w:val="-6"/>
        </w:rPr>
        <w:pict w14:anchorId="55D070F1">
          <v:shape id="_x0000_i1084"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19AF&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419AF&quot; wsp:rsidP=&quot;00C419AF&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BF4A6D">
        <w:rPr>
          <w:kern w:val="2"/>
        </w:rPr>
        <w:instrText xml:space="preserve"> </w:instrText>
      </w:r>
      <w:r w:rsidRPr="00BF4A6D">
        <w:rPr>
          <w:kern w:val="2"/>
        </w:rPr>
        <w:fldChar w:fldCharType="separate"/>
      </w:r>
      <w:r w:rsidR="001C0554">
        <w:rPr>
          <w:noProof/>
          <w:position w:val="-6"/>
        </w:rPr>
        <w:pict w14:anchorId="737ECBE1">
          <v:shape id="_x0000_i1085"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19AF&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419AF&quot; wsp:rsidP=&quot;00C419AF&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1" o:title="" chromakey="white"/>
          </v:shape>
        </w:pict>
      </w:r>
      <w:r w:rsidRPr="00BF4A6D">
        <w:rPr>
          <w:kern w:val="2"/>
        </w:rPr>
        <w:fldChar w:fldCharType="end"/>
      </w:r>
      <w:r w:rsidRPr="00BF4A6D">
        <w:rPr>
          <w:kern w:val="2"/>
        </w:rPr>
        <w:t xml:space="preserve">. Gonzalo and Granger (1995) further impose a linear restriction on </w:t>
      </w:r>
      <w:r w:rsidRPr="00BF4A6D">
        <w:rPr>
          <w:kern w:val="2"/>
        </w:rPr>
        <w:fldChar w:fldCharType="begin"/>
      </w:r>
      <w:r w:rsidRPr="00BF4A6D">
        <w:rPr>
          <w:kern w:val="2"/>
        </w:rPr>
        <w:instrText xml:space="preserve"> QUOTE </w:instrText>
      </w:r>
      <w:r w:rsidR="001C0554">
        <w:rPr>
          <w:noProof/>
          <w:position w:val="-6"/>
        </w:rPr>
        <w:pict w14:anchorId="395B0EC4">
          <v:shape id="_x0000_i1086"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21B&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29021B&quot; wsp:rsidP=&quot;0029021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BF4A6D">
        <w:rPr>
          <w:kern w:val="2"/>
        </w:rPr>
        <w:instrText xml:space="preserve"> </w:instrText>
      </w:r>
      <w:r w:rsidRPr="00BF4A6D">
        <w:rPr>
          <w:kern w:val="2"/>
        </w:rPr>
        <w:fldChar w:fldCharType="separate"/>
      </w:r>
      <w:r w:rsidR="001C0554">
        <w:rPr>
          <w:noProof/>
          <w:position w:val="-6"/>
        </w:rPr>
        <w:pict w14:anchorId="7AD0422B">
          <v:shape id="_x0000_i1087"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21B&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29021B&quot; wsp:rsidP=&quot;0029021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P&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Pr="00BF4A6D">
        <w:rPr>
          <w:kern w:val="2"/>
        </w:rPr>
        <w:fldChar w:fldCharType="end"/>
      </w:r>
      <w:r w:rsidRPr="00BF4A6D">
        <w:rPr>
          <w:kern w:val="2"/>
        </w:rPr>
        <w:t xml:space="preserve"> in order to identify </w:t>
      </w:r>
      <w:r w:rsidRPr="00BF4A6D">
        <w:rPr>
          <w:kern w:val="2"/>
        </w:rPr>
        <w:fldChar w:fldCharType="begin"/>
      </w:r>
      <w:r w:rsidRPr="00BF4A6D">
        <w:rPr>
          <w:kern w:val="2"/>
        </w:rPr>
        <w:instrText xml:space="preserve"> QUOTE </w:instrText>
      </w:r>
      <w:r w:rsidR="001C0554">
        <w:rPr>
          <w:noProof/>
          <w:position w:val="-6"/>
        </w:rPr>
        <w:pict w14:anchorId="740FBD2C">
          <v:shape id="_x0000_i1088"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4BDB&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D04BDB&quot; wsp:rsidP=&quot;00D04BD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f&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BF4A6D">
        <w:rPr>
          <w:kern w:val="2"/>
        </w:rPr>
        <w:instrText xml:space="preserve"> </w:instrText>
      </w:r>
      <w:r w:rsidRPr="00BF4A6D">
        <w:rPr>
          <w:kern w:val="2"/>
        </w:rPr>
        <w:fldChar w:fldCharType="separate"/>
      </w:r>
      <w:r w:rsidR="001C0554">
        <w:rPr>
          <w:noProof/>
          <w:position w:val="-6"/>
        </w:rPr>
        <w:pict w14:anchorId="7F5EE130">
          <v:shape id="_x0000_i1089"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4BDB&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D04BDB&quot; wsp:rsidP=&quot;00D04BDB&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f&lt;/m:t&gt;&lt;/m:r&gt;&lt;/m:e&gt;&lt;m:sub&gt;&lt;m:r&gt;&lt;w:rPr&gt;&lt;w:rFonts w:ascii=&quot;Cambria Math&quot; w:fareast=&quot;SimSun&quot; w:h-ansi=&quot;Cambria Math&quot;/&gt;&lt;wx:font wx:val=&quot;Cambria Math&quot;/&gt;&lt;w:i/&gt;&lt;w:kern w:val=&quot;2&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Pr="00BF4A6D">
        <w:rPr>
          <w:kern w:val="2"/>
        </w:rPr>
        <w:fldChar w:fldCharType="end"/>
      </w:r>
      <w:r>
        <w:rPr>
          <w:kern w:val="2"/>
        </w:rPr>
        <w:t>,</w:t>
      </w:r>
      <w:r w:rsidRPr="00BF4A6D">
        <w:rPr>
          <w:kern w:val="2"/>
        </w:rPr>
        <w:t xml:space="preserve"> that is:    </w:t>
      </w:r>
    </w:p>
    <w:p w14:paraId="1E5EE4B5" w14:textId="05FB44AF" w:rsidR="005A719B" w:rsidRPr="00BF4A6D" w:rsidRDefault="005A719B" w:rsidP="006417D3">
      <w:pPr>
        <w:widowControl w:val="0"/>
        <w:spacing w:line="480" w:lineRule="auto"/>
        <w:jc w:val="center"/>
        <w:rPr>
          <w:kern w:val="2"/>
          <w:sz w:val="28"/>
          <w:szCs w:val="28"/>
        </w:rPr>
      </w:pPr>
      <w:r w:rsidRPr="00BF4A6D">
        <w:rPr>
          <w:kern w:val="2"/>
          <w:sz w:val="28"/>
          <w:szCs w:val="28"/>
        </w:rPr>
        <w:fldChar w:fldCharType="begin"/>
      </w:r>
      <w:r w:rsidRPr="00BF4A6D">
        <w:rPr>
          <w:kern w:val="2"/>
          <w:sz w:val="28"/>
          <w:szCs w:val="28"/>
        </w:rPr>
        <w:instrText xml:space="preserve"> QUOTE </w:instrText>
      </w:r>
      <w:r w:rsidR="001C0554">
        <w:rPr>
          <w:noProof/>
          <w:position w:val="-10"/>
        </w:rPr>
        <w:pict w14:anchorId="075BF764">
          <v:shape id="_x0000_i1090" type="#_x0000_t75" alt="" style="width:56pt;height:19.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21F4&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721F4&quot; wsp:rsidP=&quot;00A721F4&quot;&gt;&lt;m:oMathPara&gt;&lt;m:oMath&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f&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œï&lt;/m:t&gt;&lt;/m:r&gt;&lt;/m:e&gt;&lt;m:sub&gt;&lt;m:r&gt;&lt;w:rPr&gt;&lt;w:rFonts w:ascii=&quot;Cambria Math&quot; w:fareast=&quot;SimSun&quot; w:h-ansi=&quot;Cambria Math&quot;/&gt;&lt;wx:font wx:val=&quot;Cambria Math&quot;/&gt;&lt;w:i/&gt;&lt;w:kern w:val=&quot;2&quot;/&gt;&lt;w:sz w:val=&quot;28&quot;/&gt;&lt;w:sz-cs w:val=&quot;28&quot;/&gt;&lt;w:lang w:val=&quot;EN-US&quot;/&gt;&lt;/w:rPr&gt;&lt;m:t&gt;j&lt;/m:t&gt;&lt;/m:r&gt;&lt;/m:sub&gt;&lt;/m:sSub&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P&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Pr="00BF4A6D">
        <w:rPr>
          <w:kern w:val="2"/>
          <w:sz w:val="28"/>
          <w:szCs w:val="28"/>
        </w:rPr>
        <w:instrText xml:space="preserve"> </w:instrText>
      </w:r>
      <w:r w:rsidRPr="00BF4A6D">
        <w:rPr>
          <w:kern w:val="2"/>
          <w:sz w:val="28"/>
          <w:szCs w:val="28"/>
        </w:rPr>
        <w:fldChar w:fldCharType="end"/>
      </w:r>
      <w:r w:rsidRPr="00BF4A6D">
        <w:rPr>
          <w:kern w:val="2"/>
          <w:sz w:val="28"/>
          <w:szCs w:val="28"/>
        </w:rPr>
        <w:t xml:space="preserve">        </w:t>
      </w:r>
      <w:r>
        <w:rPr>
          <w:kern w:val="2"/>
          <w:sz w:val="28"/>
          <w:szCs w:val="28"/>
        </w:rPr>
        <w:t xml:space="preserve">                              </w:t>
      </w:r>
      <w:r w:rsidR="001C0554">
        <w:rPr>
          <w:noProof/>
          <w:position w:val="-10"/>
        </w:rPr>
        <w:pict w14:anchorId="346C37FC">
          <v:shape id="_x0000_i1091" type="#_x0000_t75" alt="" style="width:56pt;height:19.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21F4&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721F4&quot; wsp:rsidP=&quot;00A721F4&quot;&gt;&lt;m:oMathPara&gt;&lt;m:oMath&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f&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r&gt;&lt;w:rPr&gt;&lt;w:rFonts w:ascii=&quot;Cambria Math&quot; w:fareast=&quot;SimSun&quot; w:h-ansi=&quot;Cambria Math&quot;/&gt;&lt;wx:font wx:val=&quot;Cambria Math&quot;/&gt;&lt;w:i/&gt;&lt;w:kern w:val=&quot;2&quot;/&gt;&lt;w:sz w:val=&quot;28&quot;/&gt;&lt;w:sz-cs w:val=&quot;28&quot;/&gt;&lt;w:lang w:val=&quot;EN-US&quot;/&gt;&lt;/w:rPr&gt;&lt;m:t&gt;=&lt;/m:t&gt;&lt;/m:r&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œï&lt;/m:t&gt;&lt;/m:r&gt;&lt;/m:e&gt;&lt;m:sub&gt;&lt;m:r&gt;&lt;w:rPr&gt;&lt;w:rFonts w:ascii=&quot;Cambria Math&quot; w:fareast=&quot;SimSun&quot; w:h-ansi=&quot;Cambria Math&quot;/&gt;&lt;wx:font wx:val=&quot;Cambria Math&quot;/&gt;&lt;w:i/&gt;&lt;w:kern w:val=&quot;2&quot;/&gt;&lt;w:sz w:val=&quot;28&quot;/&gt;&lt;w:sz-cs w:val=&quot;28&quot;/&gt;&lt;w:lang w:val=&quot;EN-US&quot;/&gt;&lt;/w:rPr&gt;&lt;m:t&gt;j&lt;/m:t&gt;&lt;/m:r&gt;&lt;/m:sub&gt;&lt;/m:sSub&gt;&lt;m:sSub&gt;&lt;m:sSubPr&gt;&lt;m:ctrlPr&gt;&lt;w:rPr&gt;&lt;w:rFonts w:ascii=&quot;Cambria Math&quot; w:fareast=&quot;SimSun&quot; w:h-ansi=&quot;Cambria Math&quot;/&gt;&lt;wx:font wx:val=&quot;Cambria Math&quot;/&gt;&lt;w:i/&gt;&lt;w:kern w:val=&quot;2&quot;/&gt;&lt;w:sz w:val=&quot;28&quot;/&gt;&lt;w:sz-cs w:val=&quot;28&quot;/&gt;&lt;w:lang w:val=&quot;EN-US&quot;/&gt;&lt;/w:rPr&gt;&lt;/m:ctrlPr&gt;&lt;/m:sSubPr&gt;&lt;m:e&gt;&lt;m:r&gt;&lt;w:rPr&gt;&lt;w:rFonts w:ascii=&quot;Cambria Math&quot; w:fareast=&quot;SimSun&quot; w:h-ansi=&quot;Cambria Math&quot;/&gt;&lt;wx:font wx:val=&quot;Cambria Math&quot;/&gt;&lt;w:i/&gt;&lt;w:kern w:val=&quot;2&quot;/&gt;&lt;w:sz w:val=&quot;28&quot;/&gt;&lt;w:sz-cs w:val=&quot;28&quot;/&gt;&lt;w:lang w:val=&quot;EN-US&quot;/&gt;&lt;/w:rPr&gt;&lt;m:t&gt;P&lt;/m:t&gt;&lt;/m:r&gt;&lt;/m:e&gt;&lt;m:sub&gt;&lt;m:r&gt;&lt;w:rPr&gt;&lt;w:rFonts w:ascii=&quot;Cambria Math&quot; w:fareast=&quot;SimSun&quot; w:h-ansi=&quot;Cambria Math&quot;/&gt;&lt;wx:font wx:val=&quot;Cambria Math&quot;/&gt;&lt;w:i/&gt;&lt;w:kern w:val=&quot;2&quot;/&gt;&lt;w:sz w:val=&quot;28&quot;/&gt;&lt;w:sz-cs w:val=&quot;28&quot;/&gt;&lt;w:lang w:val=&quot;EN-US&quot;/&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4" o:title="" chromakey="white"/>
          </v:shape>
        </w:pict>
      </w:r>
      <w:r w:rsidR="00C759C6">
        <w:rPr>
          <w:kern w:val="2"/>
          <w:sz w:val="28"/>
          <w:szCs w:val="28"/>
        </w:rPr>
        <w:tab/>
      </w:r>
      <w:r w:rsidR="00C759C6">
        <w:rPr>
          <w:kern w:val="2"/>
          <w:sz w:val="28"/>
          <w:szCs w:val="28"/>
        </w:rPr>
        <w:tab/>
      </w:r>
      <w:r w:rsidR="00C759C6">
        <w:rPr>
          <w:kern w:val="2"/>
          <w:sz w:val="28"/>
          <w:szCs w:val="28"/>
        </w:rPr>
        <w:tab/>
      </w:r>
      <w:r w:rsidR="00C759C6">
        <w:rPr>
          <w:kern w:val="2"/>
          <w:sz w:val="28"/>
          <w:szCs w:val="28"/>
        </w:rPr>
        <w:tab/>
      </w:r>
      <w:r w:rsidR="00C759C6">
        <w:rPr>
          <w:kern w:val="2"/>
          <w:sz w:val="28"/>
          <w:szCs w:val="28"/>
        </w:rPr>
        <w:tab/>
      </w:r>
      <w:r w:rsidRPr="00C759C6">
        <w:rPr>
          <w:kern w:val="2"/>
        </w:rPr>
        <w:t>(13)</w:t>
      </w:r>
    </w:p>
    <w:p w14:paraId="3978A848" w14:textId="0F1452BF" w:rsidR="005A719B" w:rsidRDefault="005A719B" w:rsidP="006417D3">
      <w:pPr>
        <w:widowControl w:val="0"/>
        <w:spacing w:line="480" w:lineRule="auto"/>
        <w:jc w:val="both"/>
        <w:rPr>
          <w:kern w:val="2"/>
        </w:rPr>
      </w:pPr>
      <w:r w:rsidRPr="00BF4A6D">
        <w:rPr>
          <w:kern w:val="2"/>
        </w:rPr>
        <w:t xml:space="preserve">where </w:t>
      </w:r>
      <w:r w:rsidRPr="00BF4A6D">
        <w:rPr>
          <w:kern w:val="2"/>
          <w:sz w:val="28"/>
          <w:szCs w:val="28"/>
        </w:rPr>
        <w:fldChar w:fldCharType="begin"/>
      </w:r>
      <w:r w:rsidRPr="00BF4A6D">
        <w:rPr>
          <w:kern w:val="2"/>
          <w:sz w:val="28"/>
          <w:szCs w:val="28"/>
        </w:rPr>
        <w:instrText xml:space="preserve"> QUOTE </w:instrText>
      </w:r>
      <w:r w:rsidR="001C0554">
        <w:rPr>
          <w:noProof/>
          <w:position w:val="-8"/>
        </w:rPr>
        <w:pict w14:anchorId="23317FA4">
          <v:shape id="_x0000_i1092"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64ECA&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364ECA&quot; wsp:rsidP=&quot;00364ECA&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Pr="00BF4A6D">
        <w:rPr>
          <w:kern w:val="2"/>
          <w:sz w:val="28"/>
          <w:szCs w:val="28"/>
        </w:rPr>
        <w:instrText xml:space="preserve"> </w:instrText>
      </w:r>
      <w:r w:rsidRPr="00BF4A6D">
        <w:rPr>
          <w:kern w:val="2"/>
          <w:sz w:val="28"/>
          <w:szCs w:val="28"/>
        </w:rPr>
        <w:fldChar w:fldCharType="separate"/>
      </w:r>
      <w:r w:rsidR="001C0554">
        <w:rPr>
          <w:noProof/>
          <w:position w:val="-8"/>
        </w:rPr>
        <w:pict w14:anchorId="38D1D924">
          <v:shape id="_x0000_i1093"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64ECA&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364ECA&quot; wsp:rsidP=&quot;00364ECA&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 o:title="" chromakey="white"/>
          </v:shape>
        </w:pict>
      </w:r>
      <w:r w:rsidRPr="00BF4A6D">
        <w:rPr>
          <w:kern w:val="2"/>
          <w:sz w:val="28"/>
          <w:szCs w:val="28"/>
        </w:rPr>
        <w:fldChar w:fldCharType="end"/>
      </w:r>
      <w:r w:rsidRPr="00BF4A6D">
        <w:rPr>
          <w:kern w:val="2"/>
          <w:sz w:val="28"/>
          <w:szCs w:val="28"/>
        </w:rPr>
        <w:t xml:space="preserve"> </w:t>
      </w:r>
      <w:r w:rsidRPr="00BF4A6D">
        <w:rPr>
          <w:kern w:val="2"/>
        </w:rPr>
        <w:t xml:space="preserve">is the coefficient vector which associates the prices with the common factor. </w:t>
      </w:r>
      <w:r w:rsidR="001C7733" w:rsidRPr="00D645D8">
        <w:rPr>
          <w:kern w:val="2"/>
        </w:rPr>
        <w:t>Harris</w:t>
      </w:r>
      <w:r w:rsidR="001C7733" w:rsidRPr="001C7733">
        <w:rPr>
          <w:kern w:val="2"/>
        </w:rPr>
        <w:t xml:space="preserve"> et al. (2002</w:t>
      </w:r>
      <w:r w:rsidR="006D5547">
        <w:rPr>
          <w:kern w:val="2"/>
        </w:rPr>
        <w:t>a</w:t>
      </w:r>
      <w:r w:rsidRPr="001C7733">
        <w:rPr>
          <w:kern w:val="2"/>
        </w:rPr>
        <w:t>) and Baillie et al. (2002)</w:t>
      </w:r>
      <w:r w:rsidRPr="00BF4A6D">
        <w:rPr>
          <w:kern w:val="2"/>
        </w:rPr>
        <w:t xml:space="preserve"> suggested that </w:t>
      </w:r>
      <w:r w:rsidRPr="00BF4A6D">
        <w:rPr>
          <w:kern w:val="2"/>
        </w:rPr>
        <w:fldChar w:fldCharType="begin"/>
      </w:r>
      <w:r w:rsidRPr="00BF4A6D">
        <w:rPr>
          <w:kern w:val="2"/>
        </w:rPr>
        <w:instrText xml:space="preserve"> QUOTE </w:instrText>
      </w:r>
      <w:r w:rsidR="001C0554">
        <w:rPr>
          <w:noProof/>
          <w:position w:val="-8"/>
        </w:rPr>
        <w:pict w14:anchorId="4FAAB75B">
          <v:shape id="_x0000_i1094"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801&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BA7801&quot; wsp:rsidP=&quot;00BA7801&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BF4A6D">
        <w:rPr>
          <w:kern w:val="2"/>
        </w:rPr>
        <w:instrText xml:space="preserve"> </w:instrText>
      </w:r>
      <w:r w:rsidRPr="00BF4A6D">
        <w:rPr>
          <w:kern w:val="2"/>
        </w:rPr>
        <w:fldChar w:fldCharType="separate"/>
      </w:r>
      <w:r w:rsidR="001C0554">
        <w:rPr>
          <w:noProof/>
          <w:position w:val="-8"/>
        </w:rPr>
        <w:pict w14:anchorId="525E72BD">
          <v:shape id="_x0000_i1095"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801&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BA7801&quot; wsp:rsidP=&quot;00BA7801&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BF4A6D">
        <w:rPr>
          <w:kern w:val="2"/>
        </w:rPr>
        <w:fldChar w:fldCharType="end"/>
      </w:r>
      <w:r w:rsidRPr="00BF4A6D">
        <w:rPr>
          <w:kern w:val="2"/>
        </w:rPr>
        <w:t xml:space="preserve"> can be normalized such that they pick up the weights of market j’s contributions to the common factor. </w:t>
      </w:r>
      <w:r>
        <w:rPr>
          <w:kern w:val="2"/>
        </w:rPr>
        <w:t>T</w:t>
      </w:r>
      <w:r w:rsidRPr="00BF4A6D">
        <w:rPr>
          <w:kern w:val="2"/>
        </w:rPr>
        <w:t xml:space="preserve">he higher the common factor weight </w:t>
      </w:r>
      <w:r w:rsidRPr="00BF4A6D">
        <w:rPr>
          <w:kern w:val="2"/>
        </w:rPr>
        <w:fldChar w:fldCharType="begin"/>
      </w:r>
      <w:r w:rsidRPr="00BF4A6D">
        <w:rPr>
          <w:kern w:val="2"/>
        </w:rPr>
        <w:instrText xml:space="preserve"> QUOTE </w:instrText>
      </w:r>
      <w:r w:rsidR="001C0554">
        <w:rPr>
          <w:noProof/>
          <w:position w:val="-8"/>
        </w:rPr>
        <w:pict w14:anchorId="7D068E27">
          <v:shape id="_x0000_i1096"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1699&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F1699&quot; wsp:rsidP=&quot;006F1699&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BF4A6D">
        <w:rPr>
          <w:kern w:val="2"/>
        </w:rPr>
        <w:instrText xml:space="preserve"> </w:instrText>
      </w:r>
      <w:r w:rsidRPr="00BF4A6D">
        <w:rPr>
          <w:kern w:val="2"/>
        </w:rPr>
        <w:fldChar w:fldCharType="separate"/>
      </w:r>
      <w:r w:rsidR="001C0554">
        <w:rPr>
          <w:noProof/>
          <w:position w:val="-8"/>
        </w:rPr>
        <w:pict w14:anchorId="24A284E8">
          <v:shape id="_x0000_i1097"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1699&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F1699&quot; wsp:rsidP=&quot;006F1699&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BF4A6D">
        <w:rPr>
          <w:kern w:val="2"/>
        </w:rPr>
        <w:fldChar w:fldCharType="end"/>
      </w:r>
      <w:r w:rsidRPr="00BF4A6D">
        <w:rPr>
          <w:kern w:val="2"/>
        </w:rPr>
        <w:t xml:space="preserve">, the greater </w:t>
      </w:r>
      <w:r>
        <w:rPr>
          <w:kern w:val="2"/>
        </w:rPr>
        <w:t xml:space="preserve">is </w:t>
      </w:r>
      <w:r w:rsidRPr="00BF4A6D">
        <w:rPr>
          <w:kern w:val="2"/>
        </w:rPr>
        <w:t xml:space="preserve">the importance of market j’s contributions to the long-term stochastic </w:t>
      </w:r>
      <w:r w:rsidRPr="00DA5258">
        <w:rPr>
          <w:kern w:val="2"/>
        </w:rPr>
        <w:t>trend</w:t>
      </w:r>
      <w:r w:rsidR="00DA5258" w:rsidRPr="00DA5258">
        <w:rPr>
          <w:kern w:val="2"/>
        </w:rPr>
        <w:t>.</w:t>
      </w:r>
      <w:r w:rsidR="008E063F" w:rsidRPr="00DA5258">
        <w:rPr>
          <w:kern w:val="2"/>
          <w:vertAlign w:val="superscript"/>
        </w:rPr>
        <w:t>13</w:t>
      </w:r>
    </w:p>
    <w:p w14:paraId="64DC924B" w14:textId="77777777" w:rsidR="005A719B" w:rsidRPr="00BF4A6D" w:rsidRDefault="005A719B" w:rsidP="006417D3">
      <w:pPr>
        <w:widowControl w:val="0"/>
        <w:spacing w:line="480" w:lineRule="auto"/>
        <w:jc w:val="both"/>
        <w:rPr>
          <w:kern w:val="2"/>
        </w:rPr>
      </w:pPr>
    </w:p>
    <w:p w14:paraId="7CE533AA" w14:textId="27D3539D" w:rsidR="005A719B" w:rsidRPr="00BF4A6D" w:rsidRDefault="005A719B" w:rsidP="006417D3">
      <w:pPr>
        <w:widowControl w:val="0"/>
        <w:spacing w:line="480" w:lineRule="auto"/>
        <w:jc w:val="both"/>
        <w:rPr>
          <w:kern w:val="2"/>
        </w:rPr>
      </w:pPr>
      <w:r w:rsidRPr="00BF4A6D">
        <w:rPr>
          <w:kern w:val="2"/>
        </w:rPr>
        <w:t xml:space="preserve">Gonzalo and Granger (1995) proved that </w:t>
      </w:r>
      <w:r w:rsidRPr="00BF4A6D">
        <w:rPr>
          <w:kern w:val="2"/>
        </w:rPr>
        <w:fldChar w:fldCharType="begin"/>
      </w:r>
      <w:r w:rsidRPr="00BF4A6D">
        <w:rPr>
          <w:kern w:val="2"/>
        </w:rPr>
        <w:instrText xml:space="preserve"> QUOTE </w:instrText>
      </w:r>
      <w:r w:rsidR="001C0554">
        <w:rPr>
          <w:noProof/>
          <w:position w:val="-8"/>
        </w:rPr>
        <w:pict w14:anchorId="2411A88C">
          <v:shape id="_x0000_i1098"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3DDD&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733DDD&quot; wsp:rsidP=&quot;00733DDD&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BF4A6D">
        <w:rPr>
          <w:kern w:val="2"/>
        </w:rPr>
        <w:instrText xml:space="preserve"> </w:instrText>
      </w:r>
      <w:r w:rsidRPr="00BF4A6D">
        <w:rPr>
          <w:kern w:val="2"/>
        </w:rPr>
        <w:fldChar w:fldCharType="separate"/>
      </w:r>
      <w:r w:rsidR="001C0554">
        <w:rPr>
          <w:noProof/>
          <w:position w:val="-8"/>
        </w:rPr>
        <w:pict w14:anchorId="69E0879F">
          <v:shape id="_x0000_i1099"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3DDD&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733DDD&quot; wsp:rsidP=&quot;00733DDD&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ï&lt;/m:t&gt;&lt;/m:r&gt;&lt;/m:e&gt;&lt;m:sub&gt;&lt;m:r&gt;&lt;w:rPr&gt;&lt;w:rFonts w:ascii=&quot;Cambria Math&quot; w:fareast=&quot;SimSun&quot; w:h-ansi=&quot;Cambria Math&quot;/&gt;&lt;wx:font wx:val=&quot;Cambria Math&quot;/&gt;&lt;w:i/&gt;&lt;w:kern w:val=&quot;2&quot;/&gt;&lt;w:lang w:val=&quot;EN-US&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r w:rsidRPr="00BF4A6D">
        <w:rPr>
          <w:kern w:val="2"/>
        </w:rPr>
        <w:fldChar w:fldCharType="end"/>
      </w:r>
      <w:r w:rsidRPr="00BF4A6D">
        <w:rPr>
          <w:kern w:val="2"/>
        </w:rPr>
        <w:t xml:space="preserve"> is orthogonal to the error correction coefficient vector </w:t>
      </w:r>
      <w:r w:rsidRPr="00BF4A6D">
        <w:rPr>
          <w:kern w:val="2"/>
        </w:rPr>
        <w:fldChar w:fldCharType="begin"/>
      </w:r>
      <w:r w:rsidRPr="00BF4A6D">
        <w:rPr>
          <w:kern w:val="2"/>
        </w:rPr>
        <w:instrText xml:space="preserve"> QUOTE </w:instrText>
      </w:r>
      <w:r w:rsidR="001C0554">
        <w:rPr>
          <w:noProof/>
          <w:position w:val="-6"/>
        </w:rPr>
        <w:pict w14:anchorId="292A65AF">
          <v:shape id="_x0000_i1100"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88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8488F&quot; wsp:rsidP=&quot;0068488F&quot;&gt;&lt;m:oMathPara&gt;&lt;m:oMath&gt;&lt;m:r&gt;&lt;w:rPr&gt;&lt;w:rFonts w:ascii=&quot;Cambria Math&quot; w:fareast=&quot;SimSun&quot; w:h-ansi=&quot;Cambria Math&quot;/&gt;&lt;wx:font wx:val=&quot;Cambria Math&quot;/&gt;&lt;w:i/&gt;&lt;w:kern w:val=&quot;2&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BF4A6D">
        <w:rPr>
          <w:kern w:val="2"/>
        </w:rPr>
        <w:instrText xml:space="preserve"> </w:instrText>
      </w:r>
      <w:r w:rsidRPr="00BF4A6D">
        <w:rPr>
          <w:kern w:val="2"/>
        </w:rPr>
        <w:fldChar w:fldCharType="separate"/>
      </w:r>
      <w:r w:rsidR="001C0554">
        <w:rPr>
          <w:noProof/>
          <w:position w:val="-6"/>
        </w:rPr>
        <w:pict w14:anchorId="70A0BC8F">
          <v:shape id="_x0000_i1101"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88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8488F&quot; wsp:rsidP=&quot;0068488F&quot;&gt;&lt;m:oMathPara&gt;&lt;m:oMath&gt;&lt;m:r&gt;&lt;w:rPr&gt;&lt;w:rFonts w:ascii=&quot;Cambria Math&quot; w:fareast=&quot;SimSun&quot; w:h-ansi=&quot;Cambria Math&quot;/&gt;&lt;wx:font wx:val=&quot;Cambria Math&quot;/&gt;&lt;w:i/&gt;&lt;w:kern w:val=&quot;2&quot;/&gt;&lt;w:lang w:val=&quot;EN-US&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r w:rsidRPr="00BF4A6D">
        <w:rPr>
          <w:kern w:val="2"/>
        </w:rPr>
        <w:fldChar w:fldCharType="end"/>
      </w:r>
      <w:r w:rsidR="00A82A36">
        <w:rPr>
          <w:kern w:val="2"/>
        </w:rPr>
        <w:t xml:space="preserve"> in the vector error c</w:t>
      </w:r>
      <w:r w:rsidRPr="00BF4A6D">
        <w:rPr>
          <w:kern w:val="2"/>
        </w:rPr>
        <w:t xml:space="preserve">orrection representation of </w:t>
      </w:r>
      <w:r w:rsidR="001C0554">
        <w:rPr>
          <w:noProof/>
          <w:position w:val="-6"/>
        </w:rPr>
        <w:pict w14:anchorId="05FDF48B">
          <v:shape id="_x0000_i1102"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0277&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80277&quot; wsp:rsidP=&quot;00980277&quot;&gt;&lt;m:oMathPara&gt;&lt;m:oMath&gt;&lt;m:sSub&gt;&lt;m:sSubPr&gt;&lt;m:ctrlPr&gt;&lt;aml:annotation aml:id=&quot;0&quot; w:type=&quot;Word.Insertion&quot; aml:author=&quot;Microsoft Office User&quot; aml:createdate=&quot;2017-05-24T14:46: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P&lt;/m:t&gt;&lt;/m:r&gt;&lt;/aml:content&gt;&lt;/aml:annotation&gt;&lt;/m:e&gt;&lt;m:sub&gt;&lt;aml:annotation aml:id=&quot;2&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BF4A6D">
        <w:rPr>
          <w:kern w:val="2"/>
        </w:rPr>
        <w:t xml:space="preserve">, such that </w:t>
      </w:r>
      <w:r w:rsidRPr="00BF4A6D">
        <w:rPr>
          <w:kern w:val="2"/>
        </w:rPr>
        <w:fldChar w:fldCharType="begin"/>
      </w:r>
      <w:r w:rsidRPr="00BF4A6D">
        <w:rPr>
          <w:kern w:val="2"/>
        </w:rPr>
        <w:instrText xml:space="preserve"> QUOTE </w:instrText>
      </w:r>
      <w:r w:rsidR="001C0554">
        <w:rPr>
          <w:noProof/>
          <w:position w:val="-6"/>
        </w:rPr>
        <w:pict w14:anchorId="0C75B39D">
          <v:shape id="_x0000_i1103" type="#_x0000_t75" alt="" style="width:41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1C87&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561C87&quot; wsp:rsidP=&quot;00561C87&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r&gt;&lt;w:rPr&gt;&lt;w:rFonts w:ascii=&quot;Cambria Math&quot; w:fareast=&quot;SimSun&quot; w:h-ansi=&quot;Cambria Math&quot;/&gt;&lt;wx:font wx:val=&quot;Cambria Math&quot;/&gt;&lt;w:i/&gt;&lt;w:kern w:val=&quot;2&quot;/&gt;&lt;w:lang w:val=&quot;EN-US&quot;/&gt;&lt;/w:rPr&gt;&lt;m:t&gt;=&lt;/m:t&gt;&lt;/m:r&gt;&lt;m:sSup&gt;&lt;m:sSupPr&gt;&lt;m:ctrlPr&gt;&lt;w:rPr&gt;&lt;w:rFonts w:ascii=&quot;Cambria Math&quot; w:fareast=&quot;SimSun&quot; w:h-ansi=&quot;Cambria Math&quot;/&gt;&lt;wx:font wx:val=&quot;Cambria Math&quot;/&gt;&lt;w:i/&gt;&lt;w:kern w:val=&quot;2&quot;/&gt;&lt;w:lang w:val=&quot;EN-US&quot;/&gt;&lt;/w:rPr&gt;&lt;/m:ctrlPr&gt;&lt;/m:sSupPr&gt;&lt;m:e&gt;&lt;m:r&gt;&lt;w:rPr&gt;&lt;w:rFonts w:ascii=&quot;Cambria Math&quot; w:fareast=&quot;SimSun&quot; w:h-ansi=&quot;Cambria Math&quot;/&gt;&lt;wx:font wx:val=&quot;Cambria Math&quot;/&gt;&lt;w:i/&gt;&lt;w:kern w:val=&quot;2&quot;/&gt;&lt;w:lang w:val=&quot;EN-US&quot;/&gt;&lt;/w:rPr&gt;&lt;m:t&gt;œï&lt;/m:t&gt;&lt;/m:r&gt;&lt;/m:e&gt;&lt;m:sup&gt;&lt;m:r&gt;&lt;w:rPr&gt;&lt;w:rFonts w:ascii=&quot;Cambria Math&quot; w:fareast=&quot;SimSun&quot; w:h-ansi=&quot;Cambria Math&quot;/&gt;&lt;wx:font wx:val=&quot;Cambria Math&quot;/&gt;&lt;w:i/&gt;&lt;w:kern w:val=&quot;2&quot;/&gt;&lt;w:lang w:val=&quot;EN-US&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BF4A6D">
        <w:rPr>
          <w:kern w:val="2"/>
        </w:rPr>
        <w:instrText xml:space="preserve"> </w:instrText>
      </w:r>
      <w:r w:rsidRPr="00BF4A6D">
        <w:rPr>
          <w:kern w:val="2"/>
        </w:rPr>
        <w:fldChar w:fldCharType="separate"/>
      </w:r>
      <w:r w:rsidR="001C0554">
        <w:rPr>
          <w:noProof/>
          <w:position w:val="-6"/>
        </w:rPr>
        <w:pict w14:anchorId="47E2A4E2">
          <v:shape id="_x0000_i1104" type="#_x0000_t75" alt="" style="width:41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1C87&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561C87&quot; wsp:rsidP=&quot;00561C87&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r&gt;&lt;w:rPr&gt;&lt;w:rFonts w:ascii=&quot;Cambria Math&quot; w:fareast=&quot;SimSun&quot; w:h-ansi=&quot;Cambria Math&quot;/&gt;&lt;wx:font wx:val=&quot;Cambria Math&quot;/&gt;&lt;w:i/&gt;&lt;w:kern w:val=&quot;2&quot;/&gt;&lt;w:lang w:val=&quot;EN-US&quot;/&gt;&lt;/w:rPr&gt;&lt;m:t&gt;=&lt;/m:t&gt;&lt;/m:r&gt;&lt;m:sSup&gt;&lt;m:sSupPr&gt;&lt;m:ctrlPr&gt;&lt;w:rPr&gt;&lt;w:rFonts w:ascii=&quot;Cambria Math&quot; w:fareast=&quot;SimSun&quot; w:h-ansi=&quot;Cambria Math&quot;/&gt;&lt;wx:font wx:val=&quot;Cambria Math&quot;/&gt;&lt;w:i/&gt;&lt;w:kern w:val=&quot;2&quot;/&gt;&lt;w:lang w:val=&quot;EN-US&quot;/&gt;&lt;/w:rPr&gt;&lt;/m:ctrlPr&gt;&lt;/m:sSupPr&gt;&lt;m:e&gt;&lt;m:r&gt;&lt;w:rPr&gt;&lt;w:rFonts w:ascii=&quot;Cambria Math&quot; w:fareast=&quot;SimSun&quot; w:h-ansi=&quot;Cambria Math&quot;/&gt;&lt;wx:font wx:val=&quot;Cambria Math&quot;/&gt;&lt;w:i/&gt;&lt;w:kern w:val=&quot;2&quot;/&gt;&lt;w:lang w:val=&quot;EN-US&quot;/&gt;&lt;/w:rPr&gt;&lt;m:t&gt;œï&lt;/m:t&gt;&lt;/m:r&gt;&lt;/m:e&gt;&lt;m:sup&gt;&lt;m:r&gt;&lt;w:rPr&gt;&lt;w:rFonts w:ascii=&quot;Cambria Math&quot; w:fareast=&quot;SimSun&quot; w:h-ansi=&quot;Cambria Math&quot;/&gt;&lt;wx:font wx:val=&quot;Cambria Math&quot;/&gt;&lt;w:i/&gt;&lt;w:kern w:val=&quot;2&quot;/&gt;&lt;w:lang w:val=&quot;EN-US&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0" o:title="" chromakey="white"/>
          </v:shape>
        </w:pict>
      </w:r>
      <w:r w:rsidRPr="00BF4A6D">
        <w:rPr>
          <w:kern w:val="2"/>
        </w:rPr>
        <w:fldChar w:fldCharType="end"/>
      </w:r>
      <w:r w:rsidRPr="00BF4A6D">
        <w:rPr>
          <w:kern w:val="2"/>
        </w:rPr>
        <w:t xml:space="preserve">. </w:t>
      </w:r>
      <w:r>
        <w:rPr>
          <w:kern w:val="2"/>
        </w:rPr>
        <w:t xml:space="preserve">Additionally, </w:t>
      </w:r>
      <w:r w:rsidRPr="00BF4A6D">
        <w:rPr>
          <w:kern w:val="2"/>
        </w:rPr>
        <w:fldChar w:fldCharType="begin"/>
      </w:r>
      <w:r w:rsidRPr="00BF4A6D">
        <w:rPr>
          <w:kern w:val="2"/>
        </w:rPr>
        <w:instrText xml:space="preserve"> QUOTE </w:instrText>
      </w:r>
      <w:r w:rsidR="001C0554">
        <w:rPr>
          <w:noProof/>
          <w:position w:val="-6"/>
        </w:rPr>
        <w:pict w14:anchorId="77E282B2">
          <v:shape id="_x0000_i1105"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03C4&quot;/&gt;&lt;wsp:rsid wsp:val=&quot;00FF1704&quot;/&gt;&lt;wsp:rsid wsp:val=&quot;00FF263B&quot;/&gt;&lt;wsp:rsid wsp:val=&quot;00FF3359&quot;/&gt;&lt;wsp:rsid wsp:val=&quot;00FF4CFC&quot;/&gt;&lt;/wsp:rsids&gt;&lt;/w:docPr&gt;&lt;w:body&gt;&lt;wx:sect&gt;&lt;w:p wsp:rsidR=&quot;00000000&quot; wsp:rsidRDefault=&quot;00FF03C4&quot; wsp:rsidP=&quot;00FF03C4&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BF4A6D">
        <w:rPr>
          <w:kern w:val="2"/>
        </w:rPr>
        <w:instrText xml:space="preserve"> </w:instrText>
      </w:r>
      <w:r w:rsidRPr="00BF4A6D">
        <w:rPr>
          <w:kern w:val="2"/>
        </w:rPr>
        <w:fldChar w:fldCharType="separate"/>
      </w:r>
      <w:r w:rsidR="001C0554">
        <w:rPr>
          <w:noProof/>
          <w:position w:val="-6"/>
        </w:rPr>
        <w:pict w14:anchorId="3E54177C">
          <v:shape id="_x0000_i1106"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03C4&quot;/&gt;&lt;wsp:rsid wsp:val=&quot;00FF1704&quot;/&gt;&lt;wsp:rsid wsp:val=&quot;00FF263B&quot;/&gt;&lt;wsp:rsid wsp:val=&quot;00FF3359&quot;/&gt;&lt;wsp:rsid wsp:val=&quot;00FF4CFC&quot;/&gt;&lt;/wsp:rsids&gt;&lt;/w:docPr&gt;&lt;w:body&gt;&lt;wx:sect&gt;&lt;w:p wsp:rsidR=&quot;00000000&quot; wsp:rsidRDefault=&quot;00FF03C4&quot; wsp:rsidP=&quot;00FF03C4&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1" o:title="" chromakey="white"/>
          </v:shape>
        </w:pict>
      </w:r>
      <w:r w:rsidRPr="00BF4A6D">
        <w:rPr>
          <w:kern w:val="2"/>
        </w:rPr>
        <w:fldChar w:fldCharType="end"/>
      </w:r>
      <w:r w:rsidRPr="00BF4A6D">
        <w:rPr>
          <w:kern w:val="2"/>
        </w:rPr>
        <w:t xml:space="preserve"> can be found </w:t>
      </w:r>
      <w:r>
        <w:rPr>
          <w:kern w:val="2"/>
        </w:rPr>
        <w:t xml:space="preserve">by </w:t>
      </w:r>
      <w:r w:rsidR="00A82A36">
        <w:rPr>
          <w:kern w:val="2"/>
        </w:rPr>
        <w:t>estimating this vector error c</w:t>
      </w:r>
      <w:r w:rsidRPr="00BF4A6D">
        <w:rPr>
          <w:kern w:val="2"/>
        </w:rPr>
        <w:t>orrection representation of</w:t>
      </w:r>
      <w:r>
        <w:rPr>
          <w:kern w:val="2"/>
        </w:rPr>
        <w:t xml:space="preserve"> </w:t>
      </w:r>
      <w:r w:rsidR="001C0554">
        <w:rPr>
          <w:noProof/>
          <w:position w:val="-6"/>
        </w:rPr>
        <w:pict w14:anchorId="46F2DC43">
          <v:shape id="_x0000_i1107"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0277&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80277&quot; wsp:rsidP=&quot;00980277&quot;&gt;&lt;m:oMathPara&gt;&lt;m:oMath&gt;&lt;m:sSub&gt;&lt;m:sSubPr&gt;&lt;m:ctrlPr&gt;&lt;aml:annotation aml:id=&quot;0&quot; w:type=&quot;Word.Insertion&quot; aml:author=&quot;Microsoft Office User&quot; aml:createdate=&quot;2017-05-24T14:46: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P&lt;/m:t&gt;&lt;/m:r&gt;&lt;/aml:content&gt;&lt;/aml:annotation&gt;&lt;/m:e&gt;&lt;m:sub&gt;&lt;aml:annotation aml:id=&quot;2&quot; w:type=&quot;Word.Insertion&quot; aml:author=&quot;Microsoft Office User&quot; aml:createdate=&quot;2017-05-24T14:46: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BF4A6D">
        <w:rPr>
          <w:position w:val="-6"/>
        </w:rPr>
        <w:t xml:space="preserve"> </w:t>
      </w:r>
      <w:r w:rsidRPr="00BF4A6D">
        <w:rPr>
          <w:kern w:val="2"/>
        </w:rPr>
        <w:t xml:space="preserve">via OLS, </w:t>
      </w:r>
      <w:r>
        <w:rPr>
          <w:kern w:val="2"/>
        </w:rPr>
        <w:t xml:space="preserve">which </w:t>
      </w:r>
      <w:r w:rsidRPr="00BF4A6D">
        <w:rPr>
          <w:kern w:val="2"/>
        </w:rPr>
        <w:t xml:space="preserve">is: </w:t>
      </w:r>
    </w:p>
    <w:p w14:paraId="7FFBFA96" w14:textId="381B8109" w:rsidR="005A719B" w:rsidRPr="00BF4A6D" w:rsidRDefault="005A719B" w:rsidP="006417D3">
      <w:pPr>
        <w:autoSpaceDE w:val="0"/>
        <w:autoSpaceDN w:val="0"/>
        <w:adjustRightInd w:val="0"/>
        <w:spacing w:line="480" w:lineRule="auto"/>
        <w:jc w:val="center"/>
        <w:rPr>
          <w:kern w:val="2"/>
        </w:rPr>
      </w:pPr>
      <w:r w:rsidRPr="00BF4A6D">
        <w:rPr>
          <w:kern w:val="2"/>
        </w:rPr>
        <w:fldChar w:fldCharType="begin"/>
      </w:r>
      <w:r w:rsidRPr="00BF4A6D">
        <w:rPr>
          <w:kern w:val="2"/>
        </w:rPr>
        <w:instrText xml:space="preserve"> QUOTE </w:instrText>
      </w:r>
      <w:r w:rsidR="001C0554">
        <w:rPr>
          <w:noProof/>
          <w:position w:val="-10"/>
        </w:rPr>
        <w:pict w14:anchorId="19A027D2">
          <v:shape id="_x0000_i1108" type="#_x0000_t75" alt="" style="width:200pt;height:17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C3390&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8C3390&quot; wsp:rsidP=&quot;008C3390&quot;&gt;&lt;m:oMathPara&gt;&lt;m:oMath&gt;&lt;m:r&gt;&lt;w:rPr&gt;&lt;w:rFonts w:ascii=&quot;Cambria Math&quot; w:fareast=&quot;SimSun&quot; w:h-ansi=&quot;Cambria Math&quot;/&gt;&lt;wx:font wx:val=&quot;Cambria Math&quot;/&gt;&lt;w:i/&gt;&lt;w:lang w:val=&quot;EN-US&quot;/&gt;&lt;/w:rPr&gt;&lt;m:t&gt;‚àÜ&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lt;/m:t&gt;&lt;/m:r&gt;&lt;/m:sub&gt;&lt;/m:sSub&gt;&lt;m:r&gt;&lt;w:rPr&gt;&lt;w:rFonts w:ascii=&quot;Cambria Math&quot; w:fareast=&quot;SimSun&quot; w:h-ansi=&quot;Cambria Math&quot;/&gt;&lt;wx:font wx:val=&quot;Cambria Math&quot;/&gt;&lt;w:i/&gt;&lt;w:lang w:val=&quot;EN-US&quot;/&gt;&lt;/w:rPr&gt;&lt;m:t&gt;=Œ±&lt;/m:t&gt;&lt;/m:r&gt;&lt;m:sSup&gt;&lt;m:sSupPr&gt;&lt;m:ctrlPr&gt;&lt;w:rPr&gt;&lt;w:rFonts w:ascii=&quot;Cambria Math&quot; w:fareast=&quot;SimSun&quot; w:h-ansi=&quot;Cambria Math&quot;/&gt;&lt;wx:font wx:val=&quot;Cambria Math&quot;/&gt;&lt;w:i/&gt;&lt;w:lang w:val=&quot;EN-US&quot;/&gt;&lt;/w:rPr&gt;&lt;/m:ctrlPr&gt;&lt;/m:sSupPr&gt;&lt;m:e&gt;&lt;m:r&gt;&lt;w:rPr&gt;&lt;w:rFonts w:ascii=&quot;Cambria Math&quot; w:fareast=&quot;SimSun&quot; w:h-ansi=&quot;Cambria Math&quot;/&gt;&lt;wx:font wx:val=&quot;Cambria Math&quot;/&gt;&lt;w:i/&gt;&lt;w:lang w:val=&quot;EN-US&quot;/&gt;&lt;/w:rPr&gt;&lt;m:t&gt;Œ=&lt;/m:t&gt;&lt;/m:r&gt;&lt;/m:e&gt;&lt;m:sup&gt;&lt;m:r&gt;&lt;w:rPr&gt;&lt;w:rFonts w:ascii=&quot;Cambria Math&quot; w:fareast=&quot;SimSun&quot; w:h-ansi=&quot;Cambria Math&quot;/&gt;&lt;wx:font wx:val=&quot;Cambria Math&quot;/&gt;&lt;w:i/&gt;&lt;w:lang w:val=&quot;EN-US&quot;/&gt;&lt;/w:rPr&gt;&lt;m:t&gt;'&lt;/m:t&gt;&lt;/m:r&gt;&lt;/m:sup&gt;&lt;/m:sSup&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1&lt;/m:t&gt;&lt;/m:r&gt;&lt;/m:sub&gt;&lt;/m:sSub&gt;&lt;m:r&gt;&lt;w:rPr&gt;&lt;w:rFonts w:ascii=&quot;Cambria Math&quot; w:fareast=&quot;SimSun&quot; w:h-ansi=&quot;Cambria Math&quot;/&gt;&lt;wx:font wx:val=&quot;Cambria Math&quot;/&gt;&lt;w:i/&gt;&lt;w:lang w:val=&quot;EN-US&quot;/&gt;&lt;/w:rPr&gt;&lt;m:t&gt;+&lt;/m:t&gt;&lt;/m:r&gt;&lt;m:nary&gt;&lt;m:naryPr&gt;&lt;m:chr m:val=&quot;‚àë&quot;/&gt;&lt;m:limLoc m:val=&quot;undOvr&quot;/&gt;&lt;m:ctrlPr&gt;&lt;w:rPr&gt;&lt;w:rFonts w:ascii=&quot;Cambria Math&quot; w:fareast=&quot;SimSun&quot; w:h-ansi=&quot;Cambria Math&quot;/&gt;&lt;wx:font wx:val=&quot;Cambria Math&quot;/&gt;&lt;w:i/&gt;&lt;w:lang w:val=&quot;EN-US&quot;/&gt;&lt;/w:rPr&gt;&lt;/m:ctrlPr&gt;&lt;/m:naryPr&gt;&lt;m:sub&gt;&lt;m:r&gt;&lt;w:rPr&gt;&lt;w:rFonts w:ascii=&quot;Cambria Math&quot; w:fareast=&quot;SimSun&quot; w:h-ansi=&quot;Cambria Math&quot;/&gt;&lt;wx:font wx:val=&quot;Cambria Math&quot;/&gt;&lt;w:i/&gt;&lt;w:lang w:val=&quot;EN-US&quot;/&gt;&lt;/w:rPr&gt;&lt;m:t&gt;j=1&lt;/m:t&gt;&lt;/m:r&gt;&lt;/m:sub&gt;&lt;m:sup&gt;&lt;m:r&gt;&lt;w:rPr&gt;&lt;w:rFonts w:ascii=&quot;Cambria Math&quot; w:fareast=&quot;SimSun&quot; w:h-ansi=&quot;Cambria Math&quot;/&gt;&lt;wx:font wx:val=&quot;Cambria Math&quot;/&gt;&lt;w:i/&gt;&lt;w:lang w:val=&quot;EN-US&quot;/&gt;&lt;/w:rPr&gt;&lt;m:t&gt;k&lt;/m:t&gt;&lt;/m:r&gt;&lt;/m:sup&gt;&lt;m:e&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A&lt;/m:t&gt;&lt;/m:r&gt;&lt;/m:e&gt;&lt;m:sub&gt;&lt;m:r&gt;&lt;w:rPr&gt;&lt;w:rFonts w:ascii=&quot;Cambria Math&quot; w:fareast=&quot;SimSun&quot; w:h-ansi=&quot;Cambria Math&quot;/&gt;&lt;wx:font wx:val=&quot;Cambria Math&quot;/&gt;&lt;w:i/&gt;&lt;w:lang w:val=&quot;EN-US&quot;/&gt;&lt;/w:rPr&gt;&lt;m:t&gt;j&lt;/m:t&gt;&lt;/m:r&gt;&lt;/m:sub&gt;&lt;/m:sSub&gt;&lt;m:r&gt;&lt;w:rPr&gt;&lt;w:rFonts w:ascii=&quot;Cambria Math&quot; w:fareast=&quot;SimSun&quot; w:h-ansi=&quot;Cambria Math&quot;/&gt;&lt;wx:font wx:val=&quot;Cambria Math&quot;/&gt;&lt;w:i/&gt;&lt;w:lang w:val=&quot;EN-US&quot;/&gt;&lt;/w:rPr&gt;&lt;m:t&gt;‚àÜ&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j&lt;/m:t&gt;&lt;/m:r&gt;&lt;/m:sub&gt;&lt;/m:sSub&gt;&lt;/m:e&gt;&lt;/m:nary&gt;&lt;m:r&gt;&lt;w:rPr&gt;&lt;w:rFonts w:ascii=&quot;Cambria Math&quot; w:fareast=&quot;SimSun&quot; w:h-ansi=&quot;Cambria Math&quot;/&gt;&lt;wx:font wx:val=&quot;Cambria Math&quot;/&gt;&lt;w:i/&gt;&lt;w:lang w:val=&quot;EN-US&quot;/&gt;&lt;/w:rPr&gt;&lt;m:t&gt;+&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e&lt;/m:t&gt;&lt;/m:r&gt;&lt;/m:e&gt;&lt;m:sub&gt;&lt;m:r&gt;&lt;w:rPr&gt;&lt;w:rFonts w:ascii=&quot;Cambria Math&quot; w:fareast=&quot;SimSun&quot; w:h-ansi=&quot;Cambria Math&quot;/&gt;&lt;wx:font wx:val=&quot;Cambria Math&quot;/&gt;&lt;w:i/&gt;&lt;w:lang w:val=&quot;EN-US&quot;/&gt;&lt;/w:rPr&gt;&lt;m:t&gt;t&lt;/m:t&gt;&lt;/m:r&gt;&lt;/m:sub&gt;&lt;/m:sSub&gt;&lt;m:r&gt;&lt;w:rPr&gt;&lt;w:rFonts w:ascii=&quot;Cambria Math&quot; w:fareast=&quot;SimSun&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Pr="00BF4A6D">
        <w:rPr>
          <w:kern w:val="2"/>
        </w:rPr>
        <w:instrText xml:space="preserve"> </w:instrText>
      </w:r>
      <w:r w:rsidRPr="00BF4A6D">
        <w:rPr>
          <w:kern w:val="2"/>
        </w:rPr>
        <w:fldChar w:fldCharType="end"/>
      </w:r>
      <w:r w:rsidR="007A0BFE">
        <w:rPr>
          <w:kern w:val="2"/>
        </w:rPr>
        <w:tab/>
      </w:r>
      <w:r w:rsidR="00C759C6">
        <w:rPr>
          <w:kern w:val="2"/>
        </w:rPr>
        <w:tab/>
      </w:r>
      <w:r w:rsidR="001C0554">
        <w:rPr>
          <w:noProof/>
          <w:position w:val="-10"/>
        </w:rPr>
        <w:pict w14:anchorId="0787CBF2">
          <v:shape id="_x0000_i1109" type="#_x0000_t75" alt="" style="width:200pt;height:17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C3390&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8C3390&quot; wsp:rsidP=&quot;008C3390&quot;&gt;&lt;m:oMathPara&gt;&lt;m:oMath&gt;&lt;m:r&gt;&lt;w:rPr&gt;&lt;w:rFonts w:ascii=&quot;Cambria Math&quot; w:fareast=&quot;SimSun&quot; w:h-ansi=&quot;Cambria Math&quot;/&gt;&lt;wx:font wx:val=&quot;Cambria Math&quot;/&gt;&lt;w:i/&gt;&lt;w:lang w:val=&quot;EN-US&quot;/&gt;&lt;/w:rPr&gt;&lt;m:t&gt;‚àÜ&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lt;/m:t&gt;&lt;/m:r&gt;&lt;/m:sub&gt;&lt;/m:sSub&gt;&lt;m:r&gt;&lt;w:rPr&gt;&lt;w:rFonts w:ascii=&quot;Cambria Math&quot; w:fareast=&quot;SimSun&quot; w:h-ansi=&quot;Cambria Math&quot;/&gt;&lt;wx:font wx:val=&quot;Cambria Math&quot;/&gt;&lt;w:i/&gt;&lt;w:lang w:val=&quot;EN-US&quot;/&gt;&lt;/w:rPr&gt;&lt;m:t&gt;=Œ±&lt;/m:t&gt;&lt;/m:r&gt;&lt;m:sSup&gt;&lt;m:sSupPr&gt;&lt;m:ctrlPr&gt;&lt;w:rPr&gt;&lt;w:rFonts w:ascii=&quot;Cambria Math&quot; w:fareast=&quot;SimSun&quot; w:h-ansi=&quot;Cambria Math&quot;/&gt;&lt;wx:font wx:val=&quot;Cambria Math&quot;/&gt;&lt;w:i/&gt;&lt;w:lang w:val=&quot;EN-US&quot;/&gt;&lt;/w:rPr&gt;&lt;/m:ctrlPr&gt;&lt;/m:sSupPr&gt;&lt;m:e&gt;&lt;m:r&gt;&lt;w:rPr&gt;&lt;w:rFonts w:ascii=&quot;Cambria Math&quot; w:fareast=&quot;SimSun&quot; w:h-ansi=&quot;Cambria Math&quot;/&gt;&lt;wx:font wx:val=&quot;Cambria Math&quot;/&gt;&lt;w:i/&gt;&lt;w:lang w:val=&quot;EN-US&quot;/&gt;&lt;/w:rPr&gt;&lt;m:t&gt;Œ=&lt;/m:t&gt;&lt;/m:r&gt;&lt;/m:e&gt;&lt;m:sup&gt;&lt;m:r&gt;&lt;w:rPr&gt;&lt;w:rFonts w:ascii=&quot;Cambria Math&quot; w:fareast=&quot;SimSun&quot; w:h-ansi=&quot;Cambria Math&quot;/&gt;&lt;wx:font wx:val=&quot;Cambria Math&quot;/&gt;&lt;w:i/&gt;&lt;w:lang w:val=&quot;EN-US&quot;/&gt;&lt;/w:rPr&gt;&lt;m:t&gt;'&lt;/m:t&gt;&lt;/m:r&gt;&lt;/m:sup&gt;&lt;/m:sSup&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1&lt;/m:t&gt;&lt;/m:r&gt;&lt;/m:sub&gt;&lt;/m:sSub&gt;&lt;m:r&gt;&lt;w:rPr&gt;&lt;w:rFonts w:ascii=&quot;Cambria Math&quot; w:fareast=&quot;SimSun&quot; w:h-ansi=&quot;Cambria Math&quot;/&gt;&lt;wx:font wx:val=&quot;Cambria Math&quot;/&gt;&lt;w:i/&gt;&lt;w:lang w:val=&quot;EN-US&quot;/&gt;&lt;/w:rPr&gt;&lt;m:t&gt;+&lt;/m:t&gt;&lt;/m:r&gt;&lt;m:nary&gt;&lt;m:naryPr&gt;&lt;m:chr m:val=&quot;‚àë&quot;/&gt;&lt;m:limLoc m:val=&quot;undOvr&quot;/&gt;&lt;m:ctrlPr&gt;&lt;w:rPr&gt;&lt;w:rFonts w:ascii=&quot;Cambria Math&quot; w:fareast=&quot;SimSun&quot; w:h-ansi=&quot;Cambria Math&quot;/&gt;&lt;wx:font wx:val=&quot;Cambria Math&quot;/&gt;&lt;w:i/&gt;&lt;w:lang w:val=&quot;EN-US&quot;/&gt;&lt;/w:rPr&gt;&lt;/m:ctrlPr&gt;&lt;/m:naryPr&gt;&lt;m:sub&gt;&lt;m:r&gt;&lt;w:rPr&gt;&lt;w:rFonts w:ascii=&quot;Cambria Math&quot; w:fareast=&quot;SimSun&quot; w:h-ansi=&quot;Cambria Math&quot;/&gt;&lt;wx:font wx:val=&quot;Cambria Math&quot;/&gt;&lt;w:i/&gt;&lt;w:lang w:val=&quot;EN-US&quot;/&gt;&lt;/w:rPr&gt;&lt;m:t&gt;j=1&lt;/m:t&gt;&lt;/m:r&gt;&lt;/m:sub&gt;&lt;m:sup&gt;&lt;m:r&gt;&lt;w:rPr&gt;&lt;w:rFonts w:ascii=&quot;Cambria Math&quot; w:fareast=&quot;SimSun&quot; w:h-ansi=&quot;Cambria Math&quot;/&gt;&lt;wx:font wx:val=&quot;Cambria Math&quot;/&gt;&lt;w:i/&gt;&lt;w:lang w:val=&quot;EN-US&quot;/&gt;&lt;/w:rPr&gt;&lt;m:t&gt;k&lt;/m:t&gt;&lt;/m:r&gt;&lt;/m:sup&gt;&lt;m:e&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A&lt;/m:t&gt;&lt;/m:r&gt;&lt;/m:e&gt;&lt;m:sub&gt;&lt;m:r&gt;&lt;w:rPr&gt;&lt;w:rFonts w:ascii=&quot;Cambria Math&quot; w:fareast=&quot;SimSun&quot; w:h-ansi=&quot;Cambria Math&quot;/&gt;&lt;wx:font wx:val=&quot;Cambria Math&quot;/&gt;&lt;w:i/&gt;&lt;w:lang w:val=&quot;EN-US&quot;/&gt;&lt;/w:rPr&gt;&lt;m:t&gt;j&lt;/m:t&gt;&lt;/m:r&gt;&lt;/m:sub&gt;&lt;/m:sSub&gt;&lt;m:r&gt;&lt;w:rPr&gt;&lt;w:rFonts w:ascii=&quot;Cambria Math&quot; w:fareast=&quot;SimSun&quot; w:h-ansi=&quot;Cambria Math&quot;/&gt;&lt;wx:font wx:val=&quot;Cambria Math&quot;/&gt;&lt;w:i/&gt;&lt;w:lang w:val=&quot;EN-US&quot;/&gt;&lt;/w:rPr&gt;&lt;m:t&gt;‚àÜ&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P&lt;/m:t&gt;&lt;/m:r&gt;&lt;/m:e&gt;&lt;m:sub&gt;&lt;m:r&gt;&lt;w:rPr&gt;&lt;w:rFonts w:ascii=&quot;Cambria Math&quot; w:fareast=&quot;SimSun&quot; w:h-ansi=&quot;Cambria Math&quot;/&gt;&lt;wx:font wx:val=&quot;Cambria Math&quot;/&gt;&lt;w:i/&gt;&lt;w:lang w:val=&quot;EN-US&quot;/&gt;&lt;/w:rPr&gt;&lt;m:t&gt;t-j&lt;/m:t&gt;&lt;/m:r&gt;&lt;/m:sub&gt;&lt;/m:sSub&gt;&lt;/m:e&gt;&lt;/m:nary&gt;&lt;m:r&gt;&lt;w:rPr&gt;&lt;w:rFonts w:ascii=&quot;Cambria Math&quot; w:fareast=&quot;SimSun&quot; w:h-ansi=&quot;Cambria Math&quot;/&gt;&lt;wx:font wx:val=&quot;Cambria Math&quot;/&gt;&lt;w:i/&gt;&lt;w:lang w:val=&quot;EN-US&quot;/&gt;&lt;/w:rPr&gt;&lt;m:t&gt;+&lt;/m:t&gt;&lt;/m:r&gt;&lt;m:sSub&gt;&lt;m:sSubPr&gt;&lt;m:ctrlPr&gt;&lt;w:rPr&gt;&lt;w:rFonts w:ascii=&quot;Cambria Math&quot; w:fareast=&quot;SimSun&quot; w:h-ansi=&quot;Cambria Math&quot;/&gt;&lt;wx:font wx:val=&quot;Cambria Math&quot;/&gt;&lt;w:i/&gt;&lt;w:lang w:val=&quot;EN-US&quot;/&gt;&lt;/w:rPr&gt;&lt;/m:ctrlPr&gt;&lt;/m:sSubPr&gt;&lt;m:e&gt;&lt;m:r&gt;&lt;w:rPr&gt;&lt;w:rFonts w:ascii=&quot;Cambria Math&quot; w:fareast=&quot;SimSun&quot; w:h-ansi=&quot;Cambria Math&quot;/&gt;&lt;wx:font wx:val=&quot;Cambria Math&quot;/&gt;&lt;w:i/&gt;&lt;w:lang w:val=&quot;EN-US&quot;/&gt;&lt;/w:rPr&gt;&lt;m:t&gt;e&lt;/m:t&gt;&lt;/m:r&gt;&lt;/m:e&gt;&lt;m:sub&gt;&lt;m:r&gt;&lt;w:rPr&gt;&lt;w:rFonts w:ascii=&quot;Cambria Math&quot; w:fareast=&quot;SimSun&quot; w:h-ansi=&quot;Cambria Math&quot;/&gt;&lt;wx:font wx:val=&quot;Cambria Math&quot;/&gt;&lt;w:i/&gt;&lt;w:lang w:val=&quot;EN-US&quot;/&gt;&lt;/w:rPr&gt;&lt;m:t&gt;t&lt;/m:t&gt;&lt;/m:r&gt;&lt;/m:sub&gt;&lt;/m:sSub&gt;&lt;m:r&gt;&lt;w:rPr&gt;&lt;w:rFonts w:ascii=&quot;Cambria Math&quot; w:fareast=&quot;SimSun&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2" o:title="" chromakey="white"/>
          </v:shape>
        </w:pict>
      </w:r>
      <w:r w:rsidR="007A0BFE">
        <w:rPr>
          <w:kern w:val="2"/>
        </w:rPr>
        <w:tab/>
        <w:t xml:space="preserve">              </w:t>
      </w:r>
      <w:r w:rsidR="00D65C21">
        <w:rPr>
          <w:kern w:val="2"/>
        </w:rPr>
        <w:t xml:space="preserve">        </w:t>
      </w:r>
      <w:r>
        <w:rPr>
          <w:kern w:val="2"/>
        </w:rPr>
        <w:t>(14</w:t>
      </w:r>
      <w:r w:rsidRPr="00BF4A6D">
        <w:rPr>
          <w:kern w:val="2"/>
        </w:rPr>
        <w:t>)</w:t>
      </w:r>
    </w:p>
    <w:p w14:paraId="00C95A30" w14:textId="77777777" w:rsidR="005A719B" w:rsidRDefault="005A719B" w:rsidP="006417D3">
      <w:pPr>
        <w:widowControl w:val="0"/>
        <w:spacing w:line="480" w:lineRule="auto"/>
        <w:jc w:val="both"/>
        <w:rPr>
          <w:kern w:val="2"/>
        </w:rPr>
      </w:pPr>
      <w:r w:rsidRPr="00BF4A6D">
        <w:rPr>
          <w:kern w:val="2"/>
        </w:rPr>
        <w:t>where</w:t>
      </w:r>
      <w:r w:rsidRPr="00BF4A6D">
        <w:rPr>
          <w:kern w:val="2"/>
          <w:sz w:val="28"/>
          <w:szCs w:val="28"/>
        </w:rPr>
        <w:t xml:space="preserve"> </w:t>
      </w:r>
      <w:r w:rsidRPr="00BF4A6D">
        <w:rPr>
          <w:kern w:val="2"/>
        </w:rPr>
        <w:fldChar w:fldCharType="begin"/>
      </w:r>
      <w:r w:rsidRPr="00BF4A6D">
        <w:rPr>
          <w:kern w:val="2"/>
        </w:rPr>
        <w:instrText xml:space="preserve"> QUOTE </w:instrText>
      </w:r>
      <w:r w:rsidR="001C0554">
        <w:rPr>
          <w:noProof/>
          <w:position w:val="-6"/>
        </w:rPr>
        <w:pict w14:anchorId="2674FF54">
          <v:shape id="_x0000_i1110"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0A6&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C30A6&quot; wsp:rsidP=&quot;000C30A6&quot;&gt;&lt;aml:annotation aml:id=&quot;0&quot; w:type=&quot;Word.Insertion&quot; aml:author=&quot;Microsoft Office User&quot; aml:createdate=&quot;2017-05-24T14:41:00Z&quot;&gt;&lt;aml:content&gt;&lt;m:oMathPara&gt;&lt;m:oMath&gt;&lt;m:r&gt;&lt;w:rPr&gt;&lt;w:rFonts w:ascii=&quot;Cambria Math&quot; w:fareast=&quot;SimSun&quot; w:h-ansi=&quot;Cambria Math&quot;/&gt;&lt;wx:font wx:val=&quot;Cambria Math&quot;/&gt;&lt;w:i/&gt;&lt;w:kern w:val=&quot;2&quot;/&gt;&lt;w:lang w:val=&quot;EN-US&quot;/&gt;&lt;/w:rPr&gt;&lt;m:t&gt;Œ±&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BF4A6D">
        <w:rPr>
          <w:kern w:val="2"/>
        </w:rPr>
        <w:instrText xml:space="preserve"> </w:instrText>
      </w:r>
      <w:r w:rsidRPr="00BF4A6D">
        <w:rPr>
          <w:kern w:val="2"/>
        </w:rPr>
        <w:fldChar w:fldCharType="separate"/>
      </w:r>
      <w:r w:rsidR="001C0554">
        <w:rPr>
          <w:noProof/>
          <w:position w:val="-6"/>
        </w:rPr>
        <w:pict w14:anchorId="76488CED">
          <v:shape id="_x0000_i1111"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0A6&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C30A6&quot; wsp:rsidP=&quot;000C30A6&quot;&gt;&lt;aml:annotation aml:id=&quot;0&quot; w:type=&quot;Word.Insertion&quot; aml:author=&quot;Microsoft Office User&quot; aml:createdate=&quot;2017-05-24T14:41:00Z&quot;&gt;&lt;aml:content&gt;&lt;m:oMathPara&gt;&lt;m:oMath&gt;&lt;m:r&gt;&lt;w:rPr&gt;&lt;w:rFonts w:ascii=&quot;Cambria Math&quot; w:fareast=&quot;SimSun&quot; w:h-ansi=&quot;Cambria Math&quot;/&gt;&lt;wx:font wx:val=&quot;Cambria Math&quot;/&gt;&lt;w:i/&gt;&lt;w:kern w:val=&quot;2&quot;/&gt;&lt;w:lang w:val=&quot;EN-US&quot;/&gt;&lt;/w:rPr&gt;&lt;m:t&gt;Œ±&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 o:title="" chromakey="white"/>
          </v:shape>
        </w:pict>
      </w:r>
      <w:r w:rsidRPr="00BF4A6D">
        <w:rPr>
          <w:kern w:val="2"/>
        </w:rPr>
        <w:fldChar w:fldCharType="end"/>
      </w:r>
      <w:r w:rsidRPr="00BF4A6D">
        <w:rPr>
          <w:kern w:val="2"/>
        </w:rPr>
        <w:t xml:space="preserve"> represents an error correction vector;</w:t>
      </w:r>
      <w:r>
        <w:rPr>
          <w:kern w:val="2"/>
          <w:sz w:val="28"/>
          <w:szCs w:val="28"/>
        </w:rPr>
        <w:t xml:space="preserve"> </w:t>
      </w:r>
      <w:r w:rsidRPr="00BF4A6D">
        <w:rPr>
          <w:kern w:val="2"/>
          <w:sz w:val="28"/>
          <w:szCs w:val="28"/>
        </w:rPr>
        <w:fldChar w:fldCharType="begin"/>
      </w:r>
      <w:r w:rsidRPr="00BF4A6D">
        <w:rPr>
          <w:kern w:val="2"/>
          <w:sz w:val="28"/>
          <w:szCs w:val="28"/>
        </w:rPr>
        <w:instrText xml:space="preserve"> QUOTE </w:instrText>
      </w:r>
      <w:r w:rsidR="001C0554">
        <w:rPr>
          <w:noProof/>
          <w:position w:val="-6"/>
        </w:rPr>
        <w:pict w14:anchorId="22A9618A">
          <v:shape id="_x0000_i1112"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3043&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13043&quot; wsp:rsidP=&quot;00613043&quot;&gt;&lt;aml:annotation aml:id=&quot;0&quot; w:type=&quot;Word.Insertion&quot; aml:author=&quot;Microsoft Office User&quot; aml:createdate=&quot;2017-05-24T15:01:00Z&quot;&gt;&lt;aml:content&gt;&lt;m:oMathPara&gt;&lt;m:oMath&gt;&lt;m:r&gt;&lt;w:rPr&gt;&lt;w:rFonts w:ascii=&quot;Cambria Math&quot; w:fareast=&quot;SimSun&quot; w:h-ansi=&quot;Cambria Math&quot;/&gt;&lt;wx:font wx:val=&quot;Cambria Math&quot;/&gt;&lt;w:i/&gt;&lt;w:kern w:val=&quot;2&quot;/&gt;&lt;w:lang w:val=&quot;EN-US&quot;/&gt;&lt;/w:rPr&gt;&lt;m:t&gt;Œ=&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 o:title="" chromakey="white"/>
          </v:shape>
        </w:pict>
      </w:r>
      <w:r w:rsidRPr="00BF4A6D">
        <w:rPr>
          <w:kern w:val="2"/>
          <w:sz w:val="28"/>
          <w:szCs w:val="28"/>
        </w:rPr>
        <w:instrText xml:space="preserve"> </w:instrText>
      </w:r>
      <w:r w:rsidRPr="00BF4A6D">
        <w:rPr>
          <w:kern w:val="2"/>
          <w:sz w:val="28"/>
          <w:szCs w:val="28"/>
        </w:rPr>
        <w:fldChar w:fldCharType="separate"/>
      </w:r>
      <w:r w:rsidR="001C0554">
        <w:rPr>
          <w:noProof/>
          <w:position w:val="-6"/>
        </w:rPr>
        <w:pict w14:anchorId="4EC125A5">
          <v:shape id="_x0000_i1113" type="#_x0000_t75" alt="" style="width: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3043&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613043&quot; wsp:rsidP=&quot;00613043&quot;&gt;&lt;aml:annotation aml:id=&quot;0&quot; w:type=&quot;Word.Insertion&quot; aml:author=&quot;Microsoft Office User&quot; aml:createdate=&quot;2017-05-24T15:01:00Z&quot;&gt;&lt;aml:content&gt;&lt;m:oMathPara&gt;&lt;m:oMath&gt;&lt;m:r&gt;&lt;w:rPr&gt;&lt;w:rFonts w:ascii=&quot;Cambria Math&quot; w:fareast=&quot;SimSun&quot; w:h-ansi=&quot;Cambria Math&quot;/&gt;&lt;wx:font wx:val=&quot;Cambria Math&quot;/&gt;&lt;w:i/&gt;&lt;w:kern w:val=&quot;2&quot;/&gt;&lt;w:lang w:val=&quot;EN-US&quot;/&gt;&lt;/w:rPr&gt;&lt;m:t&gt;Œ=&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 o:title="" chromakey="white"/>
          </v:shape>
        </w:pict>
      </w:r>
      <w:r w:rsidRPr="00BF4A6D">
        <w:rPr>
          <w:kern w:val="2"/>
          <w:sz w:val="28"/>
          <w:szCs w:val="28"/>
        </w:rPr>
        <w:fldChar w:fldCharType="end"/>
      </w:r>
      <w:r w:rsidRPr="00BF4A6D">
        <w:rPr>
          <w:kern w:val="2"/>
          <w:sz w:val="28"/>
          <w:szCs w:val="28"/>
        </w:rPr>
        <w:t xml:space="preserve"> </w:t>
      </w:r>
      <w:r w:rsidRPr="00BF4A6D">
        <w:rPr>
          <w:kern w:val="2"/>
        </w:rPr>
        <w:t xml:space="preserve">is the co-integrating vector; </w:t>
      </w:r>
      <w:r w:rsidRPr="00BF4A6D">
        <w:rPr>
          <w:kern w:val="2"/>
        </w:rPr>
        <w:fldChar w:fldCharType="begin"/>
      </w:r>
      <w:r w:rsidRPr="00BF4A6D">
        <w:rPr>
          <w:kern w:val="2"/>
        </w:rPr>
        <w:instrText xml:space="preserve"> QUOTE </w:instrText>
      </w:r>
      <w:r w:rsidR="001C0554">
        <w:rPr>
          <w:noProof/>
          <w:position w:val="-6"/>
        </w:rPr>
        <w:pict w14:anchorId="52235465">
          <v:shape id="_x0000_i1114"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39CF&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F639CF&quot; wsp:rsidP=&quot;00F639CF&quot;&gt;&lt;m:oMathPara&gt;&lt;m:oMath&gt;&lt;m:sSub&gt;&lt;m:sSubPr&gt;&lt;m:ctrlPr&gt;&lt;aml:annotation aml:id=&quot;0&quot; w:type=&quot;Word.Insertion&quot; aml:author=&quot;Microsoft Office User&quot; aml:createdate=&quot;2017-05-24T14:41: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1:00Z&quot;&gt;&lt;aml:content&gt;&lt;m:r&gt;&lt;w:rPr&gt;&lt;w:rFonts w:ascii=&quot;Cambria Math&quot; w:fareast=&quot;SimSun&quot; w:h-ansi=&quot;Cambria Math&quot;/&gt;&lt;wx:font wx:val=&quot;Cambria Math&quot;/&gt;&lt;w:i/&gt;&lt;w:kern w:val=&quot;2&quot;/&gt;&lt;w:lang w:val=&quot;EN-US&quot;/&gt;&lt;/w:rPr&gt;&lt;m:t&gt;e&lt;/m:t&gt;&lt;/m:r&gt;&lt;/aml:content&gt;&lt;/aml:annotation&gt;&lt;/m:e&gt;&lt;m:sub&gt;&lt;aml:annotation aml:id=&quot;2&quot; w:type=&quot;Word.Insertion&quot; aml:author=&quot;Microsoft Office User&quot; aml:createdate=&quot;2017-05-24T14:41: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BF4A6D">
        <w:rPr>
          <w:kern w:val="2"/>
        </w:rPr>
        <w:instrText xml:space="preserve"> </w:instrText>
      </w:r>
      <w:r w:rsidRPr="00BF4A6D">
        <w:rPr>
          <w:kern w:val="2"/>
        </w:rPr>
        <w:fldChar w:fldCharType="separate"/>
      </w:r>
      <w:r w:rsidR="001C0554">
        <w:rPr>
          <w:noProof/>
          <w:position w:val="-6"/>
        </w:rPr>
        <w:pict w14:anchorId="6275B6B2">
          <v:shape id="_x0000_i1115" type="#_x0000_t75" alt="" style="width:9.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39CF&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F639CF&quot; wsp:rsidP=&quot;00F639CF&quot;&gt;&lt;m:oMathPara&gt;&lt;m:oMath&gt;&lt;m:sSub&gt;&lt;m:sSubPr&gt;&lt;m:ctrlPr&gt;&lt;aml:annotation aml:id=&quot;0&quot; w:type=&quot;Word.Insertion&quot; aml:author=&quot;Microsoft Office User&quot; aml:createdate=&quot;2017-05-24T14:41:00Z&quot;&gt;&lt;aml:content&gt;&lt;w:rPr&gt;&lt;w:rFonts w:ascii=&quot;Cambria Math&quot; w:fareast=&quot;SimSun&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4T14:41:00Z&quot;&gt;&lt;aml:content&gt;&lt;m:r&gt;&lt;w:rPr&gt;&lt;w:rFonts w:ascii=&quot;Cambria Math&quot; w:fareast=&quot;SimSun&quot; w:h-ansi=&quot;Cambria Math&quot;/&gt;&lt;wx:font wx:val=&quot;Cambria Math&quot;/&gt;&lt;w:i/&gt;&lt;w:kern w:val=&quot;2&quot;/&gt;&lt;w:lang w:val=&quot;EN-US&quot;/&gt;&lt;/w:rPr&gt;&lt;m:t&gt;e&lt;/m:t&gt;&lt;/m:r&gt;&lt;/aml:content&gt;&lt;/aml:annotation&gt;&lt;/m:e&gt;&lt;m:sub&gt;&lt;aml:annotation aml:id=&quot;2&quot; w:type=&quot;Word.Insertion&quot; aml:author=&quot;Microsoft Office User&quot; aml:createdate=&quot;2017-05-24T14:41:00Z&quot;&gt;&lt;aml:content&gt;&lt;m:r&gt;&lt;w:rPr&gt;&lt;w:rFonts w:ascii=&quot;Cambria Math&quot; w:fareast=&quot;SimSun&quot; w:h-ansi=&quot;Cambria Math&quot;/&gt;&lt;wx:font wx:val=&quot;Cambria Math&quot;/&gt;&lt;w:i/&gt;&lt;w:kern w:val=&quot;2&quot;/&gt;&lt;w:lang w:val=&quot;EN-US&quot;/&gt;&lt;/w:rPr&gt;&lt;m:t&gt;t&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 o:title="" chromakey="white"/>
          </v:shape>
        </w:pict>
      </w:r>
      <w:r w:rsidRPr="00BF4A6D">
        <w:rPr>
          <w:kern w:val="2"/>
        </w:rPr>
        <w:fldChar w:fldCharType="end"/>
      </w:r>
      <w:r w:rsidRPr="00BF4A6D">
        <w:rPr>
          <w:kern w:val="2"/>
        </w:rPr>
        <w:t xml:space="preserve"> represents a vector of serially uncorrelated innovations with zero-mean. The fundamental assumption is that when one security is traded in several markets, the prices of the security in different markets will not drift too much from each other, and the price differentials are captured by the error correction term. </w:t>
      </w:r>
    </w:p>
    <w:p w14:paraId="47958322" w14:textId="77777777" w:rsidR="005A719B" w:rsidRPr="00BF4A6D" w:rsidRDefault="005A719B" w:rsidP="006417D3">
      <w:pPr>
        <w:widowControl w:val="0"/>
        <w:spacing w:line="480" w:lineRule="auto"/>
        <w:jc w:val="both"/>
        <w:rPr>
          <w:kern w:val="2"/>
        </w:rPr>
      </w:pPr>
    </w:p>
    <w:p w14:paraId="4DD482D3" w14:textId="2CEB3E41" w:rsidR="005A719B" w:rsidRPr="00BF4A6D" w:rsidRDefault="005A719B" w:rsidP="006417D3">
      <w:pPr>
        <w:autoSpaceDE w:val="0"/>
        <w:autoSpaceDN w:val="0"/>
        <w:adjustRightInd w:val="0"/>
        <w:spacing w:line="480" w:lineRule="auto"/>
        <w:jc w:val="both"/>
        <w:rPr>
          <w:rFonts w:cs="Times"/>
        </w:rPr>
      </w:pPr>
      <w:r w:rsidRPr="001C7733">
        <w:rPr>
          <w:kern w:val="2"/>
        </w:rPr>
        <w:t xml:space="preserve">Following Johansen (1988), </w:t>
      </w:r>
      <w:r w:rsidRPr="001C7733">
        <w:rPr>
          <w:rFonts w:cs="Times"/>
        </w:rPr>
        <w:t>the</w:t>
      </w:r>
      <w:r w:rsidRPr="00BF4A6D">
        <w:rPr>
          <w:rFonts w:cs="Times"/>
        </w:rPr>
        <w:t xml:space="preserve"> maximum likelihood estimator of </w:t>
      </w:r>
      <w:r w:rsidRPr="00BF4A6D">
        <w:rPr>
          <w:rFonts w:cs="Times"/>
        </w:rPr>
        <w:fldChar w:fldCharType="begin"/>
      </w:r>
      <w:r w:rsidRPr="00BF4A6D">
        <w:rPr>
          <w:rFonts w:cs="Times"/>
        </w:rPr>
        <w:instrText xml:space="preserve"> QUOTE </w:instrText>
      </w:r>
      <w:r w:rsidR="001C0554">
        <w:rPr>
          <w:noProof/>
          <w:position w:val="-6"/>
        </w:rPr>
        <w:pict w14:anchorId="43475862">
          <v:shape id="_x0000_i1116"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2741&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5D2741&quot; wsp:rsidP=&quot;005D2741&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lt;/m:t&gt;&lt;/m:r&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BF4A6D">
        <w:rPr>
          <w:rFonts w:cs="Times"/>
        </w:rPr>
        <w:instrText xml:space="preserve"> </w:instrText>
      </w:r>
      <w:r w:rsidRPr="00BF4A6D">
        <w:rPr>
          <w:rFonts w:cs="Times"/>
        </w:rPr>
        <w:fldChar w:fldCharType="separate"/>
      </w:r>
      <w:r w:rsidR="001C0554">
        <w:rPr>
          <w:noProof/>
          <w:position w:val="-6"/>
        </w:rPr>
        <w:pict w14:anchorId="2911F57C">
          <v:shape id="_x0000_i1117"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2741&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5D2741&quot; wsp:rsidP=&quot;005D2741&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lt;/m:t&gt;&lt;/m:r&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6" o:title="" chromakey="white"/>
          </v:shape>
        </w:pict>
      </w:r>
      <w:r w:rsidRPr="00BF4A6D">
        <w:rPr>
          <w:rFonts w:cs="Times"/>
        </w:rPr>
        <w:fldChar w:fldCharType="end"/>
      </w:r>
      <w:r w:rsidRPr="00BF4A6D">
        <w:rPr>
          <w:rFonts w:cs="Times"/>
        </w:rPr>
        <w:t xml:space="preserve"> can be found by solving Eq. </w:t>
      </w:r>
      <w:r w:rsidR="004E5D2D">
        <w:rPr>
          <w:rFonts w:cs="Times"/>
        </w:rPr>
        <w:t>(15</w:t>
      </w:r>
      <w:r w:rsidRPr="00BF4A6D">
        <w:rPr>
          <w:rFonts w:cs="Times"/>
        </w:rPr>
        <w:t xml:space="preserve">): </w:t>
      </w:r>
    </w:p>
    <w:p w14:paraId="6CABA4ED" w14:textId="1037A33B" w:rsidR="005A719B" w:rsidRPr="004D46CF" w:rsidRDefault="00046A8A" w:rsidP="006417D3">
      <w:pPr>
        <w:autoSpaceDE w:val="0"/>
        <w:autoSpaceDN w:val="0"/>
        <w:adjustRightInd w:val="0"/>
        <w:spacing w:after="240" w:line="480" w:lineRule="auto"/>
        <w:jc w:val="center"/>
        <w:rPr>
          <w:rFonts w:cs="Times"/>
          <w:kern w:val="2"/>
          <w:sz w:val="28"/>
          <w:szCs w:val="28"/>
        </w:rPr>
      </w:pPr>
      <w:r>
        <w:rPr>
          <w:rFonts w:cs="Times"/>
          <w:kern w:val="2"/>
        </w:rPr>
        <w:t xml:space="preserve">          </w:t>
      </w:r>
      <w:r w:rsidR="007A0BFE">
        <w:rPr>
          <w:rFonts w:cs="Times"/>
          <w:kern w:val="2"/>
        </w:rPr>
        <w:t xml:space="preserve">    </w:t>
      </w:r>
      <w:r w:rsidR="005A719B" w:rsidRPr="00BF4A6D">
        <w:rPr>
          <w:rFonts w:cs="Times"/>
          <w:kern w:val="2"/>
        </w:rPr>
        <w:fldChar w:fldCharType="begin"/>
      </w:r>
      <w:r w:rsidR="005A719B" w:rsidRPr="00BF4A6D">
        <w:rPr>
          <w:rFonts w:cs="Times"/>
          <w:kern w:val="2"/>
        </w:rPr>
        <w:instrText xml:space="preserve"> QUOTE </w:instrText>
      </w:r>
      <w:r w:rsidR="001C0554">
        <w:rPr>
          <w:noProof/>
          <w:position w:val="-6"/>
        </w:rPr>
        <w:pict w14:anchorId="26491E8B">
          <v:shape id="_x0000_i1118" type="#_x0000_t75" alt="" style="width:10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540A&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9540A&quot; wsp:rsidP=&quot;00A9540A&quot;&gt;&lt;m:oMathPara&gt;&lt;m:oMath&gt;&lt;m:d&gt;&lt;m:dPr&gt;&lt;m:begChr m:val=&quot;|&quot;/&gt;&lt;m:endChr m:val=&quot;|&quot;/&gt;&lt;m:ctrlPr&gt;&lt;w:rPr&gt;&lt;w:rFonts w:ascii=&quot;Cambria Math&quot; w:fareast=&quot;SimSun&quot; w:h-ansi=&quot;Cambria Math&quot;/&gt;&lt;wx:font wx:val=&quot;Cambria Math&quot;/&gt;&lt;w:i/&gt;&lt;w:kern w:val=&quot;2&quot;/&gt;&lt;w:lang w:val=&quot;EN-US&quot;/&gt;&lt;/w:rPr&gt;&lt;/m:ctrlPr&gt;&lt;/m:dPr&gt;&lt;m:e&gt;&lt;m:r&gt;&lt;w:rPr&gt;&lt;w:rFonts w:ascii=&quot;Cambria Math&quot; w:fareast=&quot;SimSun&quot; w:h-ansi=&quot;Cambria Math&quot;/&gt;&lt;wx:font wx:val=&quot;Cambria Math&quot;/&gt;&lt;w:i/&gt;&lt;w:kern w:val=&quot;2&quot;/&gt;&lt;w:lang w:val=&quot;EN-US&quot;/&gt;&lt;/w:rPr&gt;&lt;m:t&gt;Œª&lt;/m:t&gt;&lt;/m:r&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00&lt;/m:t&gt;&lt;/m:r&gt;&lt;/m:sub&gt;&lt;/m:sSub&gt;&lt;m:r&gt;&lt;w:rPr&gt;&lt;w:rFonts w:ascii=&quot;Cambria Math&quot; w:fareast=&quot;SimSun&quot; w:h-ansi=&quot;Cambria Math&quot;/&gt;&lt;wx:font wx:val=&quot;Cambria Math&quot;/&gt;&lt;w:i/&gt;&lt;w:kern w:val=&quot;2&quot;/&gt;&lt;w:lang w:val=&quot;EN-US&quot;/&gt;&lt;/w:rPr&gt;&lt;m:t&gt;-&lt;/m:t&gt;&lt;/m:r&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01&lt;/m:t&gt;&lt;/m:r&gt;&lt;/m:sub&gt;&lt;/m:sSub&gt;&lt;m:sSubSup&gt;&lt;m:sSubSupPr&gt;&lt;m:ctrlPr&gt;&lt;w:rPr&gt;&lt;w:rFonts w:ascii=&quot;Cambria Math&quot; w:fareast=&quot;SimSun&quot; w:h-ansi=&quot;Cambria Math&quot;/&gt;&lt;wx:font wx:val=&quot;Cambria Math&quot;/&gt;&lt;w:i/&gt;&lt;w:kern w:val=&quot;2&quot;/&gt;&lt;w:lang w:val=&quot;EN-US&quot;/&gt;&lt;/w:rPr&gt;&lt;/m:ctrlPr&gt;&lt;/m:sSubSup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11&lt;/m:t&gt;&lt;/m:r&gt;&lt;/m:sub&gt;&lt;m:sup&gt;&lt;m:r&gt;&lt;w:rPr&gt;&lt;w:rFonts w:ascii=&quot;Cambria Math&quot; w:fareast=&quot;SimSun&quot; w:h-ansi=&quot;Cambria Math&quot;/&gt;&lt;wx:font wx:val=&quot;Cambria Math&quot;/&gt;&lt;w:i/&gt;&lt;w:kern w:val=&quot;2&quot;/&gt;&lt;w:lang w:val=&quot;EN-US&quot;/&gt;&lt;/w:rPr&gt;&lt;m:t&gt;-1&lt;/m:t&gt;&lt;/m:r&gt;&lt;/m:sup&gt;&lt;/m:sSubSup&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10&lt;/m:t&gt;&lt;/m:r&gt;&lt;/m:sub&gt;&lt;/m:sSub&gt;&lt;/m:e&gt;&lt;/m:d&gt;&lt;m:r&gt;&lt;w:rPr&gt;&lt;w:rFonts w:ascii=&quot;Cambria Math&quot; w:fareast=&quot;SimSun&quot; w:h-ansi=&quot;Cambria Math&quot;/&gt;&lt;wx:font wx:val=&quot;Cambria Math&quot;/&gt;&lt;w:i/&gt;&lt;w:kern w:val=&quot;2&quot;/&gt;&lt;w:lang w:val=&quot;EN-US&quot;/&gt;&lt;/w:rPr&gt;&lt;m:t&gt;=0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005A719B" w:rsidRPr="00BF4A6D">
        <w:rPr>
          <w:rFonts w:cs="Times"/>
          <w:kern w:val="2"/>
        </w:rPr>
        <w:instrText xml:space="preserve"> </w:instrText>
      </w:r>
      <w:r w:rsidR="005A719B" w:rsidRPr="00BF4A6D">
        <w:rPr>
          <w:rFonts w:cs="Times"/>
          <w:kern w:val="2"/>
        </w:rPr>
        <w:fldChar w:fldCharType="separate"/>
      </w:r>
      <w:r w:rsidR="001C0554">
        <w:rPr>
          <w:noProof/>
          <w:position w:val="-6"/>
        </w:rPr>
        <w:pict w14:anchorId="577A6D33">
          <v:shape id="_x0000_i1119" type="#_x0000_t75" alt="" style="width:107.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540A&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9540A&quot; wsp:rsidP=&quot;00A9540A&quot;&gt;&lt;m:oMathPara&gt;&lt;m:oMath&gt;&lt;m:d&gt;&lt;m:dPr&gt;&lt;m:begChr m:val=&quot;|&quot;/&gt;&lt;m:endChr m:val=&quot;|&quot;/&gt;&lt;m:ctrlPr&gt;&lt;w:rPr&gt;&lt;w:rFonts w:ascii=&quot;Cambria Math&quot; w:fareast=&quot;SimSun&quot; w:h-ansi=&quot;Cambria Math&quot;/&gt;&lt;wx:font wx:val=&quot;Cambria Math&quot;/&gt;&lt;w:i/&gt;&lt;w:kern w:val=&quot;2&quot;/&gt;&lt;w:lang w:val=&quot;EN-US&quot;/&gt;&lt;/w:rPr&gt;&lt;/m:ctrlPr&gt;&lt;/m:dPr&gt;&lt;m:e&gt;&lt;m:r&gt;&lt;w:rPr&gt;&lt;w:rFonts w:ascii=&quot;Cambria Math&quot; w:fareast=&quot;SimSun&quot; w:h-ansi=&quot;Cambria Math&quot;/&gt;&lt;wx:font wx:val=&quot;Cambria Math&quot;/&gt;&lt;w:i/&gt;&lt;w:kern w:val=&quot;2&quot;/&gt;&lt;w:lang w:val=&quot;EN-US&quot;/&gt;&lt;/w:rPr&gt;&lt;m:t&gt;Œª&lt;/m:t&gt;&lt;/m:r&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00&lt;/m:t&gt;&lt;/m:r&gt;&lt;/m:sub&gt;&lt;/m:sSub&gt;&lt;m:r&gt;&lt;w:rPr&gt;&lt;w:rFonts w:ascii=&quot;Cambria Math&quot; w:fareast=&quot;SimSun&quot; w:h-ansi=&quot;Cambria Math&quot;/&gt;&lt;wx:font wx:val=&quot;Cambria Math&quot;/&gt;&lt;w:i/&gt;&lt;w:kern w:val=&quot;2&quot;/&gt;&lt;w:lang w:val=&quot;EN-US&quot;/&gt;&lt;/w:rPr&gt;&lt;m:t&gt;-&lt;/m:t&gt;&lt;/m:r&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01&lt;/m:t&gt;&lt;/m:r&gt;&lt;/m:sub&gt;&lt;/m:sSub&gt;&lt;m:sSubSup&gt;&lt;m:sSubSupPr&gt;&lt;m:ctrlPr&gt;&lt;w:rPr&gt;&lt;w:rFonts w:ascii=&quot;Cambria Math&quot; w:fareast=&quot;SimSun&quot; w:h-ansi=&quot;Cambria Math&quot;/&gt;&lt;wx:font wx:val=&quot;Cambria Math&quot;/&gt;&lt;w:i/&gt;&lt;w:kern w:val=&quot;2&quot;/&gt;&lt;w:lang w:val=&quot;EN-US&quot;/&gt;&lt;/w:rPr&gt;&lt;/m:ctrlPr&gt;&lt;/m:sSubSup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11&lt;/m:t&gt;&lt;/m:r&gt;&lt;/m:sub&gt;&lt;m:sup&gt;&lt;m:r&gt;&lt;w:rPr&gt;&lt;w:rFonts w:ascii=&quot;Cambria Math&quot; w:fareast=&quot;SimSun&quot; w:h-ansi=&quot;Cambria Math&quot;/&gt;&lt;wx:font wx:val=&quot;Cambria Math&quot;/&gt;&lt;w:i/&gt;&lt;w:kern w:val=&quot;2&quot;/&gt;&lt;w:lang w:val=&quot;EN-US&quot;/&gt;&lt;/w:rPr&gt;&lt;m:t&gt;-1&lt;/m:t&gt;&lt;/m:r&gt;&lt;/m:sup&gt;&lt;/m:sSubSup&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S&lt;/m:t&gt;&lt;/m:r&gt;&lt;/m:e&gt;&lt;m:sub&gt;&lt;m:r&gt;&lt;w:rPr&gt;&lt;w:rFonts w:ascii=&quot;Cambria Math&quot; w:fareast=&quot;SimSun&quot; w:h-ansi=&quot;Cambria Math&quot;/&gt;&lt;wx:font wx:val=&quot;Cambria Math&quot;/&gt;&lt;w:i/&gt;&lt;w:kern w:val=&quot;2&quot;/&gt;&lt;w:lang w:val=&quot;EN-US&quot;/&gt;&lt;/w:rPr&gt;&lt;m:t&gt;10&lt;/m:t&gt;&lt;/m:r&gt;&lt;/m:sub&gt;&lt;/m:sSub&gt;&lt;/m:e&gt;&lt;/m:d&gt;&lt;m:r&gt;&lt;w:rPr&gt;&lt;w:rFonts w:ascii=&quot;Cambria Math&quot; w:fareast=&quot;SimSun&quot; w:h-ansi=&quot;Cambria Math&quot;/&gt;&lt;wx:font wx:val=&quot;Cambria Math&quot;/&gt;&lt;w:i/&gt;&lt;w:kern w:val=&quot;2&quot;/&gt;&lt;w:lang w:val=&quot;EN-US&quot;/&gt;&lt;/w:rPr&gt;&lt;m:t&gt;=0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7" o:title="" chromakey="white"/>
          </v:shape>
        </w:pict>
      </w:r>
      <w:r w:rsidR="005A719B" w:rsidRPr="00BF4A6D">
        <w:rPr>
          <w:rFonts w:cs="Times"/>
          <w:kern w:val="2"/>
        </w:rPr>
        <w:fldChar w:fldCharType="end"/>
      </w:r>
      <w:r w:rsidR="005A719B" w:rsidRPr="00BF4A6D">
        <w:rPr>
          <w:rFonts w:cs="Times"/>
          <w:kern w:val="2"/>
        </w:rPr>
        <w:t xml:space="preserve"> </w:t>
      </w:r>
      <w:r w:rsidR="008E063F" w:rsidRPr="00DA5258">
        <w:rPr>
          <w:rFonts w:cs="Times"/>
          <w:kern w:val="2"/>
          <w:vertAlign w:val="superscript"/>
        </w:rPr>
        <w:t>14</w:t>
      </w:r>
      <w:r w:rsidR="005A719B" w:rsidRPr="00BF4A6D">
        <w:rPr>
          <w:rFonts w:cs="Times"/>
          <w:kern w:val="2"/>
          <w:sz w:val="28"/>
          <w:szCs w:val="28"/>
        </w:rPr>
        <w:t xml:space="preserve">                     </w:t>
      </w:r>
      <w:r w:rsidR="007A0BFE">
        <w:rPr>
          <w:rFonts w:cs="Times"/>
          <w:kern w:val="2"/>
          <w:sz w:val="28"/>
          <w:szCs w:val="28"/>
        </w:rPr>
        <w:t xml:space="preserve">   </w:t>
      </w:r>
      <w:r>
        <w:rPr>
          <w:rFonts w:cs="Times"/>
          <w:kern w:val="2"/>
          <w:sz w:val="28"/>
          <w:szCs w:val="28"/>
        </w:rPr>
        <w:t xml:space="preserve">        </w:t>
      </w:r>
      <w:r w:rsidR="007A0BFE">
        <w:rPr>
          <w:rFonts w:cs="Times"/>
          <w:kern w:val="2"/>
          <w:sz w:val="28"/>
          <w:szCs w:val="28"/>
        </w:rPr>
        <w:t xml:space="preserve">               </w:t>
      </w:r>
      <w:r>
        <w:rPr>
          <w:rFonts w:cs="Times"/>
          <w:kern w:val="2"/>
          <w:sz w:val="28"/>
          <w:szCs w:val="28"/>
        </w:rPr>
        <w:t xml:space="preserve">    </w:t>
      </w:r>
      <w:r w:rsidR="005A719B">
        <w:rPr>
          <w:rFonts w:cs="Times"/>
          <w:kern w:val="2"/>
        </w:rPr>
        <w:t>(15</w:t>
      </w:r>
      <w:r w:rsidR="005A719B" w:rsidRPr="00BF4A6D">
        <w:rPr>
          <w:rFonts w:cs="Times"/>
          <w:kern w:val="2"/>
        </w:rPr>
        <w:t>)</w:t>
      </w:r>
    </w:p>
    <w:p w14:paraId="0FE314DB" w14:textId="4F156E0F" w:rsidR="005A719B" w:rsidRPr="00BF4A6D" w:rsidRDefault="005A719B" w:rsidP="006417D3">
      <w:pPr>
        <w:autoSpaceDE w:val="0"/>
        <w:autoSpaceDN w:val="0"/>
        <w:adjustRightInd w:val="0"/>
        <w:spacing w:after="240" w:line="480" w:lineRule="auto"/>
        <w:jc w:val="both"/>
        <w:rPr>
          <w:rFonts w:cs="Times"/>
        </w:rPr>
      </w:pPr>
      <w:r w:rsidRPr="00BF4A6D">
        <w:rPr>
          <w:rFonts w:cs="Times"/>
        </w:rPr>
        <w:t xml:space="preserve">for the eigenvalues </w:t>
      </w:r>
      <w:r w:rsidRPr="00BF4A6D">
        <w:rPr>
          <w:rFonts w:cs="Times"/>
        </w:rPr>
        <w:fldChar w:fldCharType="begin"/>
      </w:r>
      <w:r w:rsidRPr="00BF4A6D">
        <w:rPr>
          <w:rFonts w:cs="Times"/>
        </w:rPr>
        <w:instrText xml:space="preserve"> QUOTE </w:instrText>
      </w:r>
      <w:r w:rsidR="001C0554">
        <w:rPr>
          <w:noProof/>
          <w:position w:val="-6"/>
        </w:rPr>
        <w:pict w14:anchorId="1AA5B8F7">
          <v:shape id="_x0000_i1120" type="#_x0000_t75" alt="" style="width:63.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77FFB&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F77FFB&quot; wsp:rsidP=&quot;00F77FFB&quot;&gt;&lt;m:oMathPara&gt;&lt;m:oMath&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ª&lt;/m:t&gt;&lt;/m:r&gt;&lt;/m:e&gt;&lt;m:sub&gt;&lt;m:r&gt;&lt;w:rPr&gt;&lt;w:rFonts w:ascii=&quot;Cambria Math&quot; w:fareast=&quot;SimSun&quot; w:h-ansi=&quot;Cambria Math&quot; w:cs=&quot;Times&quot;/&gt;&lt;wx:font wx:val=&quot;Cambria Math&quot;/&gt;&lt;w:i/&gt;&lt;w:lang w:val=&quot;EN-US&quot;/&gt;&lt;/w:rPr&gt;&lt;m:t&gt;1&lt;/m:t&gt;&lt;/m:r&gt;&lt;/m:sub&gt;&lt;/m:sSub&gt;&lt;/m:e&gt;&lt;/m:acc&gt;&lt;m:r&gt;&lt;w:rPr&gt;&lt;w:rFonts w:ascii=&quot;Cambria Math&quot; w:fareast=&quot;SimSun&quot; w:h-ansi=&quot;Cambria Math&quot; w:cs=&quot;Times&quot;/&gt;&lt;wx:font wx:val=&quot;Cambria Math&quot;/&gt;&lt;w:i/&gt;&lt;w:lang w:val=&quot;EN-US&quot;/&gt;&lt;/w:rPr&gt;&lt;m:t&gt;&amp;gt;‚Ä¶&amp;gt;&lt;/m:t&gt;&lt;/m:r&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ª&lt;/m:t&gt;&lt;/m:r&gt;&lt;/m:e&gt;&lt;m:sub&gt;&lt;m:r&gt;&lt;w:rPr&gt;&lt;w:rFonts w:ascii=&quot;Cambria Math&quot; w:fareast=&quot;SimSun&quot; w:h-ansi=&quot;Cambria Math&quot; w:cs=&quot;Times&quot;/&gt;&lt;wx:font wx:val=&quot;Cambria Math&quot;/&gt;&lt;w:i/&gt;&lt;w:lang w:val=&quot;EN-US&quot;/&gt;&lt;/w:rPr&gt;&lt;m:t&gt;n&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BF4A6D">
        <w:rPr>
          <w:rFonts w:cs="Times"/>
        </w:rPr>
        <w:instrText xml:space="preserve"> </w:instrText>
      </w:r>
      <w:r w:rsidRPr="00BF4A6D">
        <w:rPr>
          <w:rFonts w:cs="Times"/>
        </w:rPr>
        <w:fldChar w:fldCharType="separate"/>
      </w:r>
      <w:r w:rsidR="001C0554">
        <w:rPr>
          <w:noProof/>
          <w:position w:val="-6"/>
        </w:rPr>
        <w:pict w14:anchorId="3344735E">
          <v:shape id="_x0000_i1121" type="#_x0000_t75" alt="" style="width:63.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77FFB&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F77FFB&quot; wsp:rsidP=&quot;00F77FFB&quot;&gt;&lt;m:oMathPara&gt;&lt;m:oMath&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ª&lt;/m:t&gt;&lt;/m:r&gt;&lt;/m:e&gt;&lt;m:sub&gt;&lt;m:r&gt;&lt;w:rPr&gt;&lt;w:rFonts w:ascii=&quot;Cambria Math&quot; w:fareast=&quot;SimSun&quot; w:h-ansi=&quot;Cambria Math&quot; w:cs=&quot;Times&quot;/&gt;&lt;wx:font wx:val=&quot;Cambria Math&quot;/&gt;&lt;w:i/&gt;&lt;w:lang w:val=&quot;EN-US&quot;/&gt;&lt;/w:rPr&gt;&lt;m:t&gt;1&lt;/m:t&gt;&lt;/m:r&gt;&lt;/m:sub&gt;&lt;/m:sSub&gt;&lt;/m:e&gt;&lt;/m:acc&gt;&lt;m:r&gt;&lt;w:rPr&gt;&lt;w:rFonts w:ascii=&quot;Cambria Math&quot; w:fareast=&quot;SimSun&quot; w:h-ansi=&quot;Cambria Math&quot; w:cs=&quot;Times&quot;/&gt;&lt;wx:font wx:val=&quot;Cambria Math&quot;/&gt;&lt;w:i/&gt;&lt;w:lang w:val=&quot;EN-US&quot;/&gt;&lt;/w:rPr&gt;&lt;m:t&gt;&amp;gt;‚Ä¶&amp;gt;&lt;/m:t&gt;&lt;/m:r&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Œª&lt;/m:t&gt;&lt;/m:r&gt;&lt;/m:e&gt;&lt;m:sub&gt;&lt;m:r&gt;&lt;w:rPr&gt;&lt;w:rFonts w:ascii=&quot;Cambria Math&quot; w:fareast=&quot;SimSun&quot; w:h-ansi=&quot;Cambria Math&quot; w:cs=&quot;Times&quot;/&gt;&lt;wx:font wx:val=&quot;Cambria Math&quot;/&gt;&lt;w:i/&gt;&lt;w:lang w:val=&quot;EN-US&quot;/&gt;&lt;/w:rPr&gt;&lt;m:t&gt;n&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8" o:title="" chromakey="white"/>
          </v:shape>
        </w:pict>
      </w:r>
      <w:r w:rsidRPr="00BF4A6D">
        <w:rPr>
          <w:rFonts w:cs="Times"/>
        </w:rPr>
        <w:fldChar w:fldCharType="end"/>
      </w:r>
      <w:r w:rsidRPr="00BF4A6D">
        <w:rPr>
          <w:rFonts w:cs="Times"/>
        </w:rPr>
        <w:t xml:space="preserve"> and eigenvectors </w:t>
      </w:r>
      <w:r w:rsidRPr="00BF4A6D">
        <w:rPr>
          <w:rFonts w:cs="Times"/>
        </w:rPr>
        <w:fldChar w:fldCharType="begin"/>
      </w:r>
      <w:r w:rsidRPr="00BF4A6D">
        <w:rPr>
          <w:rFonts w:cs="Times"/>
        </w:rPr>
        <w:instrText xml:space="preserve"> QUOTE </w:instrText>
      </w:r>
      <w:r w:rsidR="001C0554">
        <w:rPr>
          <w:noProof/>
          <w:position w:val="-6"/>
        </w:rPr>
        <w:pict w14:anchorId="64A111D6">
          <v:shape id="_x0000_i1122" type="#_x0000_t75" alt="" style="width:90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77946&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77946&quot; wsp:rsidP=&quot;00C77946&quot;&gt;&lt;m:oMathPara&gt;&lt;m:oMath&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r&gt;&lt;w:rPr&gt;&lt;w:rFonts w:ascii=&quot;Cambria Math&quot; w:fareast=&quot;SimSun&quot; w:h-ansi=&quot;Cambria Math&quot; w:cs=&quot;Times&quot;/&gt;&lt;wx:font wx:val=&quot;Cambria Math&quot;/&gt;&lt;w:i/&gt;&lt;w:lang w:val=&quot;EN-US&quot;/&gt;&lt;/w:rPr&gt;&lt;m:t&gt;= (&lt;/m:t&gt;&lt;/m:r&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m&lt;/m:t&gt;&lt;/m:r&gt;&lt;/m:e&gt;&lt;m:sub&gt;&lt;m:r&gt;&lt;w:rPr&gt;&lt;w:rFonts w:ascii=&quot;Cambria Math&quot; w:fareast=&quot;SimSun&quot; w:h-ansi=&quot;Cambria Math&quot; w:cs=&quot;Times&quot;/&gt;&lt;wx:font wx:val=&quot;Cambria Math&quot;/&gt;&lt;w:i/&gt;&lt;w:lang w:val=&quot;EN-US&quot;/&gt;&lt;/w:rPr&gt;&lt;m:t&gt;1&lt;/m:t&gt;&lt;/m:r&gt;&lt;/m:sub&gt;&lt;/m:sSub&gt;&lt;/m:e&gt;&lt;/m:acc&gt;&lt;m:r&gt;&lt;w:rPr&gt;&lt;w:rFonts w:ascii=&quot;Cambria Math&quot; w:fareast=&quot;SimSun&quot; w:h-ansi=&quot;Cambria Math&quot; w:cs=&quot;Times&quot;/&gt;&lt;wx:font wx:val=&quot;Cambria Math&quot;/&gt;&lt;w:i/&gt;&lt;w:lang w:val=&quot;EN-US&quot;/&gt;&lt;/w:rPr&gt;&lt;m:t&gt;,‚Ä¶, &lt;/m:t&gt;&lt;/m:r&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e&gt;&lt;m:sub&gt;&lt;m:r&gt;&lt;w:rPr&gt;&lt;w:rFonts w:ascii=&quot;Cambria Math&quot; w:fareast=&quot;SimSun&quot; w:h-ansi=&quot;Cambria Math&quot; w:cs=&quot;Times&quot;/&gt;&lt;wx:font wx:val=&quot;Cambria Math&quot;/&gt;&lt;w:i/&gt;&lt;w:lang w:val=&quot;EN-US&quot;/&gt;&lt;/w:rPr&gt;&lt;m:t&gt;n&lt;/m:t&gt;&lt;/m:r&gt;&lt;/m:sub&gt;&lt;/m:sSub&gt;&lt;m:r&gt;&lt;w:rPr&gt;&lt;w:rFonts w:ascii=&quot;Cambria Math&quot; w:fareast=&quot;SimSun&quot; w:h-ansi=&quot;Cambria Math&quot; w:cs=&quot;Times&quot;/&gt;&lt;wx:font wx:val=&quot;Cambria Math&quot;/&gt;&lt;w:i/&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BF4A6D">
        <w:rPr>
          <w:rFonts w:cs="Times"/>
        </w:rPr>
        <w:instrText xml:space="preserve"> </w:instrText>
      </w:r>
      <w:r w:rsidRPr="00BF4A6D">
        <w:rPr>
          <w:rFonts w:cs="Times"/>
        </w:rPr>
        <w:fldChar w:fldCharType="separate"/>
      </w:r>
      <w:r w:rsidR="001C0554">
        <w:rPr>
          <w:noProof/>
          <w:position w:val="-6"/>
        </w:rPr>
        <w:pict w14:anchorId="0D944ECB">
          <v:shape id="_x0000_i1123" type="#_x0000_t75" alt="" style="width:90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77946&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77946&quot; wsp:rsidP=&quot;00C77946&quot;&gt;&lt;m:oMathPara&gt;&lt;m:oMath&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r&gt;&lt;w:rPr&gt;&lt;w:rFonts w:ascii=&quot;Cambria Math&quot; w:fareast=&quot;SimSun&quot; w:h-ansi=&quot;Cambria Math&quot; w:cs=&quot;Times&quot;/&gt;&lt;wx:font wx:val=&quot;Cambria Math&quot;/&gt;&lt;w:i/&gt;&lt;w:lang w:val=&quot;EN-US&quot;/&gt;&lt;/w:rPr&gt;&lt;m:t&gt;= (&lt;/m:t&gt;&lt;/m:r&gt;&lt;m:acc&gt;&lt;m:accPr&gt;&lt;m:ctrlPr&gt;&lt;w:rPr&gt;&lt;w:rFonts w:ascii=&quot;Cambria Math&quot; w:fareast=&quot;SimSun&quot; w:h-ansi=&quot;Cambria Math&quot; w:cs=&quot;Times&quot;/&gt;&lt;wx:font wx:val=&quot;Cambria Math&quot;/&gt;&lt;w:i/&gt;&lt;w:lang w:val=&quot;EN-US&quot;/&gt;&lt;/w:rPr&gt;&lt;/m:ctrlPr&gt;&lt;/m:accPr&gt;&lt;m:e&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m&lt;/m:t&gt;&lt;/m:r&gt;&lt;/m:e&gt;&lt;m:sub&gt;&lt;m:r&gt;&lt;w:rPr&gt;&lt;w:rFonts w:ascii=&quot;Cambria Math&quot; w:fareast=&quot;SimSun&quot; w:h-ansi=&quot;Cambria Math&quot; w:cs=&quot;Times&quot;/&gt;&lt;wx:font wx:val=&quot;Cambria Math&quot;/&gt;&lt;w:i/&gt;&lt;w:lang w:val=&quot;EN-US&quot;/&gt;&lt;/w:rPr&gt;&lt;m:t&gt;1&lt;/m:t&gt;&lt;/m:r&gt;&lt;/m:sub&gt;&lt;/m:sSub&gt;&lt;/m:e&gt;&lt;/m:acc&gt;&lt;m:r&gt;&lt;w:rPr&gt;&lt;w:rFonts w:ascii=&quot;Cambria Math&quot; w:fareast=&quot;SimSun&quot; w:h-ansi=&quot;Cambria Math&quot; w:cs=&quot;Times&quot;/&gt;&lt;wx:font wx:val=&quot;Cambria Math&quot;/&gt;&lt;w:i/&gt;&lt;w:lang w:val=&quot;EN-US&quot;/&gt;&lt;/w:rPr&gt;&lt;m:t&gt;,‚Ä¶, &lt;/m:t&gt;&lt;/m:r&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e&gt;&lt;m:sub&gt;&lt;m:r&gt;&lt;w:rPr&gt;&lt;w:rFonts w:ascii=&quot;Cambria Math&quot; w:fareast=&quot;SimSun&quot; w:h-ansi=&quot;Cambria Math&quot; w:cs=&quot;Times&quot;/&gt;&lt;wx:font wx:val=&quot;Cambria Math&quot;/&gt;&lt;w:i/&gt;&lt;w:lang w:val=&quot;EN-US&quot;/&gt;&lt;/w:rPr&gt;&lt;m:t&gt;n&lt;/m:t&gt;&lt;/m:r&gt;&lt;/m:sub&gt;&lt;/m:sSub&gt;&lt;m:r&gt;&lt;w:rPr&gt;&lt;w:rFonts w:ascii=&quot;Cambria Math&quot; w:fareast=&quot;SimSun&quot; w:h-ansi=&quot;Cambria Math&quot; w:cs=&quot;Times&quot;/&gt;&lt;wx:font wx:val=&quot;Cambria Math&quot;/&gt;&lt;w:i/&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9" o:title="" chromakey="white"/>
          </v:shape>
        </w:pict>
      </w:r>
      <w:r w:rsidRPr="00BF4A6D">
        <w:rPr>
          <w:rFonts w:cs="Times"/>
        </w:rPr>
        <w:fldChar w:fldCharType="end"/>
      </w:r>
      <w:r w:rsidRPr="00BF4A6D">
        <w:rPr>
          <w:rFonts w:cs="Times"/>
        </w:rPr>
        <w:t xml:space="preserve">. Normalising the eigenvectors such that </w:t>
      </w:r>
      <w:r w:rsidRPr="00BF4A6D">
        <w:rPr>
          <w:rFonts w:cs="Times"/>
        </w:rPr>
        <w:fldChar w:fldCharType="begin"/>
      </w:r>
      <w:r w:rsidRPr="00BF4A6D">
        <w:rPr>
          <w:rFonts w:cs="Times"/>
        </w:rPr>
        <w:instrText xml:space="preserve"> QUOTE </w:instrText>
      </w:r>
      <w:r w:rsidR="001C0554">
        <w:rPr>
          <w:noProof/>
          <w:position w:val="-6"/>
        </w:rPr>
        <w:pict w14:anchorId="7D198317">
          <v:shape id="_x0000_i1124" type="#_x0000_t75" alt="" style="width:59.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87A5D&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387A5D&quot; wsp:rsidP=&quot;00387A5D&quot;&gt;&lt;m:oMathPara&gt;&lt;m:oMath&gt;&lt;m:sSup&gt;&lt;m:sSupPr&gt;&lt;m:ctrlPr&gt;&lt;w:rPr&gt;&lt;w:rFonts w:ascii=&quot;Cambria Math&quot; w:fareast=&quot;SimSun&quot; w:h-ansi=&quot;Cambria Math&quot; w:cs=&quot;Times&quot;/&gt;&lt;wx:font wx:val=&quot;Cambria Math&quot;/&gt;&lt;w:i/&gt;&lt;w:lang w:val=&quot;EN-US&quot;/&gt;&lt;/w:rPr&gt;&lt;/m:ctrlPr&gt;&lt;/m:sSup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e&gt;&lt;m:sup&gt;&lt;m:r&gt;&lt;w:rPr&gt;&lt;w:rFonts w:ascii=&quot;Cambria Math&quot; w:fareast=&quot;SimSun&quot; w:h-ansi=&quot;Cambria Math&quot; w:cs=&quot;Times&quot;/&gt;&lt;wx:font wx:val=&quot;Cambria Math&quot;/&gt;&lt;w:i/&gt;&lt;w:lang w:val=&quot;EN-US&quot;/&gt;&lt;/w:rPr&gt;&lt;m:t&gt;'&lt;/m:t&gt;&lt;/m:r&gt;&lt;/m:sup&gt;&lt;/m:sSup&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S&lt;/m:t&gt;&lt;/m:r&gt;&lt;/m:e&gt;&lt;m:sub&gt;&lt;m:r&gt;&lt;w:rPr&gt;&lt;w:rFonts w:ascii=&quot;Cambria Math&quot; w:fareast=&quot;SimSun&quot; w:h-ansi=&quot;Cambria Math&quot; w:cs=&quot;Times&quot;/&gt;&lt;wx:font wx:val=&quot;Cambria Math&quot;/&gt;&lt;w:i/&gt;&lt;w:lang w:val=&quot;EN-US&quot;/&gt;&lt;/w:rPr&gt;&lt;m:t&gt;00&lt;/m:t&gt;&lt;/m:r&gt;&lt;/m:sub&gt;&lt;/m:sSub&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r&gt;&lt;w:rPr&gt;&lt;w:rFonts w:ascii=&quot;Cambria Math&quot; w:fareast=&quot;SimSun&quot; w:h-ansi=&quot;Cambria Math&quot; w:cs=&quot;Times&quot;/&gt;&lt;wx:font wx:val=&quot;Cambria Math&quot;/&gt;&lt;w:i/&gt;&lt;w:lang w:val=&quot;EN-US&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BF4A6D">
        <w:rPr>
          <w:rFonts w:cs="Times"/>
        </w:rPr>
        <w:instrText xml:space="preserve"> </w:instrText>
      </w:r>
      <w:r w:rsidRPr="00BF4A6D">
        <w:rPr>
          <w:rFonts w:cs="Times"/>
        </w:rPr>
        <w:fldChar w:fldCharType="separate"/>
      </w:r>
      <w:r w:rsidR="001C0554">
        <w:rPr>
          <w:noProof/>
          <w:position w:val="-6"/>
        </w:rPr>
        <w:pict w14:anchorId="26CC217D">
          <v:shape id="_x0000_i1125" type="#_x0000_t75" alt="" style="width:59.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87A5D&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387A5D&quot; wsp:rsidP=&quot;00387A5D&quot;&gt;&lt;m:oMathPara&gt;&lt;m:oMath&gt;&lt;m:sSup&gt;&lt;m:sSupPr&gt;&lt;m:ctrlPr&gt;&lt;w:rPr&gt;&lt;w:rFonts w:ascii=&quot;Cambria Math&quot; w:fareast=&quot;SimSun&quot; w:h-ansi=&quot;Cambria Math&quot; w:cs=&quot;Times&quot;/&gt;&lt;wx:font wx:val=&quot;Cambria Math&quot;/&gt;&lt;w:i/&gt;&lt;w:lang w:val=&quot;EN-US&quot;/&gt;&lt;/w:rPr&gt;&lt;/m:ctrlPr&gt;&lt;/m:sSup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e&gt;&lt;m:sup&gt;&lt;m:r&gt;&lt;w:rPr&gt;&lt;w:rFonts w:ascii=&quot;Cambria Math&quot; w:fareast=&quot;SimSun&quot; w:h-ansi=&quot;Cambria Math&quot; w:cs=&quot;Times&quot;/&gt;&lt;wx:font wx:val=&quot;Cambria Math&quot;/&gt;&lt;w:i/&gt;&lt;w:lang w:val=&quot;EN-US&quot;/&gt;&lt;/w:rPr&gt;&lt;m:t&gt;'&lt;/m:t&gt;&lt;/m:r&gt;&lt;/m:sup&gt;&lt;/m:sSup&gt;&lt;m:sSub&gt;&lt;m:sSubPr&gt;&lt;m:ctrlPr&gt;&lt;w:rPr&gt;&lt;w:rFonts w:ascii=&quot;Cambria Math&quot; w:fareast=&quot;SimSun&quot; w:h-ansi=&quot;Cambria Math&quot; w:cs=&quot;Times&quot;/&gt;&lt;wx:font wx:val=&quot;Cambria Math&quot;/&gt;&lt;w:i/&gt;&lt;w:lang w:val=&quot;EN-US&quot;/&gt;&lt;/w:rPr&gt;&lt;/m:ctrlPr&gt;&lt;/m:sSubPr&gt;&lt;m:e&gt;&lt;m:r&gt;&lt;w:rPr&gt;&lt;w:rFonts w:ascii=&quot;Cambria Math&quot; w:fareast=&quot;SimSun&quot; w:h-ansi=&quot;Cambria Math&quot; w:cs=&quot;Times&quot;/&gt;&lt;wx:font wx:val=&quot;Cambria Math&quot;/&gt;&lt;w:i/&gt;&lt;w:lang w:val=&quot;EN-US&quot;/&gt;&lt;/w:rPr&gt;&lt;m:t&gt;S&lt;/m:t&gt;&lt;/m:r&gt;&lt;/m:e&gt;&lt;m:sub&gt;&lt;m:r&gt;&lt;w:rPr&gt;&lt;w:rFonts w:ascii=&quot;Cambria Math&quot; w:fareast=&quot;SimSun&quot; w:h-ansi=&quot;Cambria Math&quot; w:cs=&quot;Times&quot;/&gt;&lt;wx:font wx:val=&quot;Cambria Math&quot;/&gt;&lt;w:i/&gt;&lt;w:lang w:val=&quot;EN-US&quot;/&gt;&lt;/w:rPr&gt;&lt;m:t&gt;00&lt;/m:t&gt;&lt;/m:r&gt;&lt;/m:sub&gt;&lt;/m:sSub&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r&gt;&lt;w:rPr&gt;&lt;w:rFonts w:ascii=&quot;Cambria Math&quot; w:fareast=&quot;SimSun&quot; w:h-ansi=&quot;Cambria Math&quot; w:cs=&quot;Times&quot;/&gt;&lt;wx:font wx:val=&quot;Cambria Math&quot;/&gt;&lt;w:i/&gt;&lt;w:lang w:val=&quot;EN-US&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 o:title="" chromakey="white"/>
          </v:shape>
        </w:pict>
      </w:r>
      <w:r w:rsidRPr="00BF4A6D">
        <w:rPr>
          <w:rFonts w:cs="Times"/>
        </w:rPr>
        <w:fldChar w:fldCharType="end"/>
      </w:r>
      <w:r w:rsidRPr="00BF4A6D">
        <w:rPr>
          <w:rFonts w:cs="Times"/>
        </w:rPr>
        <w:t xml:space="preserve">, the selection of </w:t>
      </w:r>
      <w:r w:rsidRPr="00BF4A6D">
        <w:rPr>
          <w:rFonts w:cs="Times"/>
        </w:rPr>
        <w:fldChar w:fldCharType="begin"/>
      </w:r>
      <w:r w:rsidRPr="00BF4A6D">
        <w:rPr>
          <w:rFonts w:cs="Times"/>
        </w:rPr>
        <w:instrText xml:space="preserve"> QUOTE </w:instrText>
      </w:r>
      <w:r w:rsidR="001C0554">
        <w:rPr>
          <w:noProof/>
          <w:position w:val="-6"/>
        </w:rPr>
        <w:pict w14:anchorId="21294F6D">
          <v:shape id="_x0000_i1126"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47B07&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47B07&quot; wsp:rsidP=&quot;00047B07&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Œ±&lt;/m:t&gt;&lt;/m:r&gt;&lt;/m:e&gt;&lt;/m:acc&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BF4A6D">
        <w:rPr>
          <w:rFonts w:cs="Times"/>
        </w:rPr>
        <w:instrText xml:space="preserve"> </w:instrText>
      </w:r>
      <w:r w:rsidRPr="00BF4A6D">
        <w:rPr>
          <w:rFonts w:cs="Times"/>
        </w:rPr>
        <w:fldChar w:fldCharType="separate"/>
      </w:r>
      <w:r w:rsidR="001C0554">
        <w:rPr>
          <w:noProof/>
          <w:position w:val="-6"/>
        </w:rPr>
        <w:pict w14:anchorId="50856261">
          <v:shape id="_x0000_i1127"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47B07&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047B07&quot; wsp:rsidP=&quot;00047B07&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Œ±&lt;/m:t&gt;&lt;/m:r&gt;&lt;/m:e&gt;&lt;/m:acc&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 o:title="" chromakey="white"/>
          </v:shape>
        </w:pict>
      </w:r>
      <w:r w:rsidRPr="00BF4A6D">
        <w:rPr>
          <w:rFonts w:cs="Times"/>
        </w:rPr>
        <w:fldChar w:fldCharType="end"/>
      </w:r>
      <w:r w:rsidR="004E5D2D">
        <w:rPr>
          <w:rFonts w:cs="Times"/>
        </w:rPr>
        <w:t xml:space="preserve"> is given by Eq. (16</w:t>
      </w:r>
      <w:r w:rsidRPr="00BF4A6D">
        <w:rPr>
          <w:rFonts w:cs="Times"/>
        </w:rPr>
        <w:t>):</w:t>
      </w:r>
    </w:p>
    <w:p w14:paraId="15A3D9AC" w14:textId="3B1A4ECB" w:rsidR="005A719B" w:rsidRPr="00BF4A6D" w:rsidRDefault="007A0BFE" w:rsidP="006417D3">
      <w:pPr>
        <w:autoSpaceDE w:val="0"/>
        <w:autoSpaceDN w:val="0"/>
        <w:adjustRightInd w:val="0"/>
        <w:spacing w:after="240" w:line="480" w:lineRule="auto"/>
        <w:jc w:val="center"/>
        <w:rPr>
          <w:rFonts w:cs="Times"/>
        </w:rPr>
      </w:pPr>
      <w:r>
        <w:rPr>
          <w:rFonts w:cs="Times"/>
        </w:rPr>
        <w:t xml:space="preserve">                     </w:t>
      </w:r>
      <w:r w:rsidR="005A719B" w:rsidRPr="00BF4A6D">
        <w:rPr>
          <w:rFonts w:cs="Times"/>
        </w:rPr>
        <w:fldChar w:fldCharType="begin"/>
      </w:r>
      <w:r w:rsidR="005A719B" w:rsidRPr="00BF4A6D">
        <w:rPr>
          <w:rFonts w:cs="Times"/>
        </w:rPr>
        <w:instrText xml:space="preserve"> QUOTE </w:instrText>
      </w:r>
      <w:r w:rsidR="001C0554">
        <w:rPr>
          <w:noProof/>
          <w:position w:val="-6"/>
        </w:rPr>
        <w:pict w14:anchorId="3A3BBAC0">
          <v:shape id="_x0000_i1128" type="#_x0000_t75" alt="" style="width:200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8DE&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BA18DE&quot; wsp:rsidP=&quot;00BA18DE&quot;&gt;&lt;m:oMathPara&gt;&lt;m:oMath&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Œ±&lt;/m:t&gt;&lt;/m:r&gt;&lt;/m:e&gt;&lt;/m:acc&gt;&lt;/m:e&gt;&lt;m:sub&gt;&lt;m:r&gt;&lt;w:rPr&gt;&lt;w:rFonts w:ascii=&quot;Cambria Math&quot; w:fareast=&quot;SimSun&quot; w:h-ansi=&quot;Cambria Math&quot;/&gt;&lt;wx:font wx:val=&quot;Cambria Math&quot;/&gt;&lt;w:i/&gt;&lt;w:lang w:val=&quot;EN-US&quot;/&gt;&lt;/w:rPr&gt;&lt;m:t&gt;‚ä•&lt;/m:t&gt;&lt;/m:r&gt;&lt;/m:sub&gt;&lt;/m:sSub&gt;&lt;m:r&gt;&lt;w:rPr&gt;&lt;w:rFonts w:ascii=&quot;Cambria Math&quot; w:fareast=&quot;SimSun&quot; w:h-ansi=&quot;Cambria Math&quot;/&gt;&lt;wx:font wx:val=&quot;Cambria Math&quot;/&gt;&lt;w:i/&gt;&lt;w:lang w:val=&quot;EN-US&quot;/&gt;&lt;/w:rPr&gt;&lt;m:t&gt;=&lt;/m:t&gt;&lt;/m:r&gt;&lt;m:d&gt;&lt;m:dPr&gt;&lt;m:ctrlPr&gt;&lt;w:rPr&gt;&lt;w:rFonts w:ascii=&quot;Cambria Math&quot; w:fareast=&quot;SimSun&quot; w:h-ansi=&quot;Cambria Math&quot;/&gt;&lt;wx:font wx:val=&quot;Cambria Math&quot;/&gt;&lt;w:i/&gt;&lt;w:lang w:val=&quot;EN-US&quot;/&gt;&lt;/w:rPr&gt;&lt;/m:ctrlPr&gt;&lt;/m:dPr&gt;&lt;m:e&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m&lt;/m:t&gt;&lt;/m:r&gt;&lt;/m:e&gt;&lt;/m:acc&gt;&lt;/m:e&gt;&lt;m:sub&gt;&lt;m:r&gt;&lt;w:rPr&gt;&lt;w:rFonts w:ascii=&quot;Cambria Math&quot; w:fareast=&quot;SimSun&quot; w:h-ansi=&quot;Cambria Math&quot;/&gt;&lt;wx:font wx:val=&quot;Cambria Math&quot;/&gt;&lt;w:i/&gt;&lt;w:lang w:val=&quot;EN-US&quot;/&gt;&lt;/w:rPr&gt;&lt;m:t&gt;r+1&lt;/m:t&gt;&lt;/m:r&gt;&lt;/m:sub&gt;&lt;/m:sSub&gt;&lt;m:r&gt;&lt;w:rPr&gt;&lt;w:rFonts w:ascii=&quot;Cambria Math&quot; w:fareast=&quot;SimSun&quot; w:h-ansi=&quot;Cambria Math&quot;/&gt;&lt;wx:font wx:val=&quot;Cambria Math&quot;/&gt;&lt;w:i/&gt;&lt;w:lang w:val=&quot;EN-US&quot;/&gt;&lt;/w:rPr&gt;&lt;m:t&gt;,‚Ä¶, &lt;/m:t&gt;&lt;/m:r&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m&lt;/m:t&gt;&lt;/m:r&gt;&lt;/m:e&gt;&lt;/m:acc&gt;&lt;/m:e&gt;&lt;m:sub&gt;&lt;m:r&gt;&lt;w:rPr&gt;&lt;w:rFonts w:ascii=&quot;Cambria Math&quot; w:fareast=&quot;SimSun&quot; w:h-ansi=&quot;Cambria Math&quot;/&gt;&lt;wx:font wx:val=&quot;Cambria Math&quot;/&gt;&lt;w:i/&gt;&lt;w:lang w:val=&quot;EN-US&quot;/&gt;&lt;/w:rPr&gt;&lt;m:t&gt;n&lt;/m:t&gt;&lt;/m:r&gt;&lt;/m:sub&gt;&lt;/m:sSub&gt;&lt;/m:e&gt;&lt;/m:d&gt;&lt;m:r&gt;&lt;w:rPr&gt;&lt;w:rFonts w:ascii=&quot;Cambria Math&quot; w:fareast=&quot;SimSun&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005A719B" w:rsidRPr="00BF4A6D">
        <w:rPr>
          <w:rFonts w:cs="Times"/>
        </w:rPr>
        <w:instrText xml:space="preserve"> </w:instrText>
      </w:r>
      <w:r w:rsidR="005A719B" w:rsidRPr="00BF4A6D">
        <w:rPr>
          <w:rFonts w:cs="Times"/>
        </w:rPr>
        <w:fldChar w:fldCharType="separate"/>
      </w:r>
      <w:r w:rsidR="001C0554">
        <w:rPr>
          <w:noProof/>
          <w:position w:val="-6"/>
        </w:rPr>
        <w:pict w14:anchorId="17FA4E9B">
          <v:shape id="_x0000_i1129" type="#_x0000_t75" alt="" style="width:198.5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8DE&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BA18DE&quot; wsp:rsidP=&quot;00BA18DE&quot;&gt;&lt;m:oMathPara&gt;&lt;m:oMath&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Œ±&lt;/m:t&gt;&lt;/m:r&gt;&lt;/m:e&gt;&lt;/m:acc&gt;&lt;/m:e&gt;&lt;m:sub&gt;&lt;m:r&gt;&lt;w:rPr&gt;&lt;w:rFonts w:ascii=&quot;Cambria Math&quot; w:fareast=&quot;SimSun&quot; w:h-ansi=&quot;Cambria Math&quot;/&gt;&lt;wx:font wx:val=&quot;Cambria Math&quot;/&gt;&lt;w:i/&gt;&lt;w:lang w:val=&quot;EN-US&quot;/&gt;&lt;/w:rPr&gt;&lt;m:t&gt;‚ä•&lt;/m:t&gt;&lt;/m:r&gt;&lt;/m:sub&gt;&lt;/m:sSub&gt;&lt;m:r&gt;&lt;w:rPr&gt;&lt;w:rFonts w:ascii=&quot;Cambria Math&quot; w:fareast=&quot;SimSun&quot; w:h-ansi=&quot;Cambria Math&quot;/&gt;&lt;wx:font wx:val=&quot;Cambria Math&quot;/&gt;&lt;w:i/&gt;&lt;w:lang w:val=&quot;EN-US&quot;/&gt;&lt;/w:rPr&gt;&lt;m:t&gt;=&lt;/m:t&gt;&lt;/m:r&gt;&lt;m:d&gt;&lt;m:dPr&gt;&lt;m:ctrlPr&gt;&lt;w:rPr&gt;&lt;w:rFonts w:ascii=&quot;Cambria Math&quot; w:fareast=&quot;SimSun&quot; w:h-ansi=&quot;Cambria Math&quot;/&gt;&lt;wx:font wx:val=&quot;Cambria Math&quot;/&gt;&lt;w:i/&gt;&lt;w:lang w:val=&quot;EN-US&quot;/&gt;&lt;/w:rPr&gt;&lt;/m:ctrlPr&gt;&lt;/m:dPr&gt;&lt;m:e&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m&lt;/m:t&gt;&lt;/m:r&gt;&lt;/m:e&gt;&lt;/m:acc&gt;&lt;/m:e&gt;&lt;m:sub&gt;&lt;m:r&gt;&lt;w:rPr&gt;&lt;w:rFonts w:ascii=&quot;Cambria Math&quot; w:fareast=&quot;SimSun&quot; w:h-ansi=&quot;Cambria Math&quot;/&gt;&lt;wx:font wx:val=&quot;Cambria Math&quot;/&gt;&lt;w:i/&gt;&lt;w:lang w:val=&quot;EN-US&quot;/&gt;&lt;/w:rPr&gt;&lt;m:t&gt;r+1&lt;/m:t&gt;&lt;/m:r&gt;&lt;/m:sub&gt;&lt;/m:sSub&gt;&lt;m:r&gt;&lt;w:rPr&gt;&lt;w:rFonts w:ascii=&quot;Cambria Math&quot; w:fareast=&quot;SimSun&quot; w:h-ansi=&quot;Cambria Math&quot;/&gt;&lt;wx:font wx:val=&quot;Cambria Math&quot;/&gt;&lt;w:i/&gt;&lt;w:lang w:val=&quot;EN-US&quot;/&gt;&lt;/w:rPr&gt;&lt;m:t&gt;,‚Ä¶, &lt;/m:t&gt;&lt;/m:r&gt;&lt;m:sSub&gt;&lt;m:sSubPr&gt;&lt;m:ctrlPr&gt;&lt;w:rPr&gt;&lt;w:rFonts w:ascii=&quot;Cambria Math&quot; w:fareast=&quot;SimSun&quot; w:h-ansi=&quot;Cambria Math&quot;/&gt;&lt;wx:font wx:val=&quot;Cambria Math&quot;/&gt;&lt;w:i/&gt;&lt;w:lang w:val=&quot;EN-US&quot;/&gt;&lt;/w:rPr&gt;&lt;/m:ctrlPr&gt;&lt;/m:sSubPr&gt;&lt;m:e&gt;&lt;m:acc&gt;&lt;m:accPr&gt;&lt;m:ctrlPr&gt;&lt;w:rPr&gt;&lt;w:rFonts w:ascii=&quot;Cambria Math&quot; w:fareast=&quot;SimSun&quot; w:h-ansi=&quot;Cambria Math&quot;/&gt;&lt;wx:font wx:val=&quot;Cambria Math&quot;/&gt;&lt;w:i/&gt;&lt;w:lang w:val=&quot;EN-US&quot;/&gt;&lt;/w:rPr&gt;&lt;/m:ctrlPr&gt;&lt;/m:accPr&gt;&lt;m:e&gt;&lt;m:r&gt;&lt;w:rPr&gt;&lt;w:rFonts w:ascii=&quot;Cambria Math&quot; w:fareast=&quot;SimSun&quot; w:h-ansi=&quot;Cambria Math&quot;/&gt;&lt;wx:font wx:val=&quot;Cambria Math&quot;/&gt;&lt;w:i/&gt;&lt;w:lang w:val=&quot;EN-US&quot;/&gt;&lt;/w:rPr&gt;&lt;m:t&gt;m&lt;/m:t&gt;&lt;/m:r&gt;&lt;/m:e&gt;&lt;/m:acc&gt;&lt;/m:e&gt;&lt;m:sub&gt;&lt;m:r&gt;&lt;w:rPr&gt;&lt;w:rFonts w:ascii=&quot;Cambria Math&quot; w:fareast=&quot;SimSun&quot; w:h-ansi=&quot;Cambria Math&quot;/&gt;&lt;wx:font wx:val=&quot;Cambria Math&quot;/&gt;&lt;w:i/&gt;&lt;w:lang w:val=&quot;EN-US&quot;/&gt;&lt;/w:rPr&gt;&lt;m:t&gt;n&lt;/m:t&gt;&lt;/m:r&gt;&lt;/m:sub&gt;&lt;/m:sSub&gt;&lt;/m:e&gt;&lt;/m:d&gt;&lt;m:r&gt;&lt;w:rPr&gt;&lt;w:rFonts w:ascii=&quot;Cambria Math&quot; w:fareast=&quot;SimSun&quot; w:h-ansi=&quot;Cambria Math&quot;/&gt;&lt;wx:font wx:val=&quot;Cambria Math&quot;/&gt;&lt;w:i/&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2" o:title="" chromakey="white"/>
          </v:shape>
        </w:pict>
      </w:r>
      <w:r w:rsidR="005A719B" w:rsidRPr="00BF4A6D">
        <w:rPr>
          <w:rFonts w:cs="Times"/>
        </w:rPr>
        <w:fldChar w:fldCharType="end"/>
      </w:r>
      <w:r w:rsidR="00046A8A">
        <w:rPr>
          <w:rFonts w:cs="Times"/>
        </w:rPr>
        <w:t xml:space="preserve">                             </w:t>
      </w:r>
      <w:r w:rsidR="005A719B">
        <w:rPr>
          <w:rFonts w:cs="Times"/>
        </w:rPr>
        <w:t>(16</w:t>
      </w:r>
      <w:r w:rsidR="005A719B" w:rsidRPr="00BF4A6D">
        <w:rPr>
          <w:rFonts w:cs="Times"/>
        </w:rPr>
        <w:t>)</w:t>
      </w:r>
    </w:p>
    <w:p w14:paraId="49E2533B" w14:textId="77777777" w:rsidR="005A719B" w:rsidRPr="00BF4A6D" w:rsidRDefault="005A719B" w:rsidP="006417D3">
      <w:pPr>
        <w:autoSpaceDE w:val="0"/>
        <w:autoSpaceDN w:val="0"/>
        <w:adjustRightInd w:val="0"/>
        <w:spacing w:after="240" w:line="480" w:lineRule="auto"/>
        <w:jc w:val="both"/>
        <w:rPr>
          <w:rFonts w:cs="Times"/>
          <w:i/>
          <w:sz w:val="28"/>
          <w:szCs w:val="28"/>
        </w:rPr>
      </w:pPr>
      <w:r w:rsidRPr="00BF4A6D">
        <w:rPr>
          <w:rFonts w:cs="Times"/>
        </w:rPr>
        <w:t xml:space="preserve">It is important to note that the selection of </w:t>
      </w:r>
      <w:r w:rsidRPr="00BF4A6D">
        <w:rPr>
          <w:rFonts w:cs="Times"/>
        </w:rPr>
        <w:fldChar w:fldCharType="begin"/>
      </w:r>
      <w:r w:rsidRPr="00BF4A6D">
        <w:rPr>
          <w:rFonts w:cs="Times"/>
        </w:rPr>
        <w:instrText xml:space="preserve"> QUOTE </w:instrText>
      </w:r>
      <w:r w:rsidR="001C0554">
        <w:rPr>
          <w:noProof/>
          <w:position w:val="-6"/>
        </w:rPr>
        <w:pict w14:anchorId="26870D7A">
          <v:shape id="_x0000_i1130"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AF5&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07AF5&quot; wsp:rsidP=&quot;00907AF5&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Œ±&lt;/m:t&gt;&lt;/m:r&gt;&lt;/m:e&gt;&lt;/m:acc&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Pr="00BF4A6D">
        <w:rPr>
          <w:rFonts w:cs="Times"/>
        </w:rPr>
        <w:instrText xml:space="preserve"> </w:instrText>
      </w:r>
      <w:r w:rsidRPr="00BF4A6D">
        <w:rPr>
          <w:rFonts w:cs="Times"/>
        </w:rPr>
        <w:fldChar w:fldCharType="separate"/>
      </w:r>
      <w:r w:rsidR="001C0554">
        <w:rPr>
          <w:noProof/>
          <w:position w:val="-6"/>
        </w:rPr>
        <w:pict w14:anchorId="6A53D562">
          <v:shape id="_x0000_i1131" type="#_x0000_t75" alt="" style="width:14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AF5&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907AF5&quot; wsp:rsidP=&quot;00907AF5&quot;&gt;&lt;m:oMathPara&gt;&lt;m:oMath&gt;&lt;m:sSub&gt;&lt;m:sSubPr&gt;&lt;m:ctrlPr&gt;&lt;w:rPr&gt;&lt;w:rFonts w:ascii=&quot;Cambria Math&quot; w:fareast=&quot;SimSun&quot; w:h-ansi=&quot;Cambria Math&quot; w:cs=&quot;Times&quot;/&gt;&lt;wx:font wx:val=&quot;Cambria Math&quot;/&gt;&lt;w:i/&gt;&lt;w:lang w:val=&quot;EN-US&quot;/&gt;&lt;/w:rPr&gt;&lt;/m:ctrlPr&gt;&lt;/m:sSubPr&gt;&lt;m:e&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Œ±&lt;/m:t&gt;&lt;/m:r&gt;&lt;/m:e&gt;&lt;/m:acc&gt;&lt;/m:e&gt;&lt;m:sub&gt;&lt;m:r&gt;&lt;w:rPr&gt;&lt;w:rFonts w:ascii=&quot;Cambria Math&quot; w:fareast=&quot;SimSun&quot; w:h-ansi=&quot;Cambria Math&quot; w:cs=&quot;Times&quot;/&gt;&lt;wx:font wx:val=&quot;Cambria Math&quot;/&gt;&lt;w:i/&gt;&lt;w:lang w:val=&quot;EN-US&quot;/&gt;&lt;/w:rPr&gt;&lt;m:t&gt;‚ä•&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3" o:title="" chromakey="white"/>
          </v:shape>
        </w:pict>
      </w:r>
      <w:r w:rsidRPr="00BF4A6D">
        <w:rPr>
          <w:rFonts w:cs="Times"/>
        </w:rPr>
        <w:fldChar w:fldCharType="end"/>
      </w:r>
      <w:r w:rsidRPr="00BF4A6D">
        <w:rPr>
          <w:rFonts w:cs="Times"/>
        </w:rPr>
        <w:t xml:space="preserve"> is according to the last column of the eigenvector </w:t>
      </w:r>
      <w:r w:rsidRPr="00BF4A6D">
        <w:rPr>
          <w:rFonts w:cs="Times"/>
        </w:rPr>
        <w:fldChar w:fldCharType="begin"/>
      </w:r>
      <w:r w:rsidRPr="00BF4A6D">
        <w:rPr>
          <w:rFonts w:cs="Times"/>
        </w:rPr>
        <w:instrText xml:space="preserve"> QUOTE </w:instrText>
      </w:r>
      <w:r w:rsidR="001C0554">
        <w:rPr>
          <w:noProof/>
          <w:position w:val="-6"/>
        </w:rPr>
        <w:pict w14:anchorId="42DEF44C">
          <v:shape id="_x0000_i1132" type="#_x0000_t75" alt="" style="width:9.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02E&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41302E&quot; wsp:rsidP=&quot;0041302E&quot;&gt;&lt;m:oMathPara&gt;&lt;m:oMath&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r w:rsidRPr="00BF4A6D">
        <w:rPr>
          <w:rFonts w:cs="Times"/>
        </w:rPr>
        <w:instrText xml:space="preserve"> </w:instrText>
      </w:r>
      <w:r w:rsidRPr="00BF4A6D">
        <w:rPr>
          <w:rFonts w:cs="Times"/>
        </w:rPr>
        <w:fldChar w:fldCharType="separate"/>
      </w:r>
      <w:r w:rsidR="001C0554">
        <w:rPr>
          <w:noProof/>
          <w:position w:val="-6"/>
        </w:rPr>
        <w:pict w14:anchorId="786A0F77">
          <v:shape id="_x0000_i1133" type="#_x0000_t75" alt="" style="width:9.5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02E&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41302E&quot; wsp:rsidP=&quot;0041302E&quot;&gt;&lt;m:oMathPara&gt;&lt;m:oMath&gt;&lt;m:acc&gt;&lt;m:accPr&gt;&lt;m:ctrlPr&gt;&lt;w:rPr&gt;&lt;w:rFonts w:ascii=&quot;Cambria Math&quot; w:fareast=&quot;SimSun&quot; w:h-ansi=&quot;Cambria Math&quot; w:cs=&quot;Times&quot;/&gt;&lt;wx:font wx:val=&quot;Cambria Math&quot;/&gt;&lt;w:i/&gt;&lt;w:lang w:val=&quot;EN-US&quot;/&gt;&lt;/w:rPr&gt;&lt;/m:ctrlPr&gt;&lt;/m:accPr&gt;&lt;m:e&gt;&lt;m:r&gt;&lt;w:rPr&gt;&lt;w:rFonts w:ascii=&quot;Cambria Math&quot; w:fareast=&quot;SimSun&quot; w:h-ansi=&quot;Cambria Math&quot; w:cs=&quot;Times&quot;/&gt;&lt;wx:font wx:val=&quot;Cambria Math&quot;/&gt;&lt;w:i/&gt;&lt;w:lang w:val=&quot;EN-US&quot;/&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 o:title="" chromakey="white"/>
          </v:shape>
        </w:pict>
      </w:r>
      <w:r w:rsidRPr="00BF4A6D">
        <w:rPr>
          <w:rFonts w:cs="Times"/>
        </w:rPr>
        <w:fldChar w:fldCharType="end"/>
      </w:r>
      <w:r w:rsidRPr="00BF4A6D">
        <w:rPr>
          <w:rFonts w:cs="Times"/>
        </w:rPr>
        <w:t xml:space="preserve">, and </w:t>
      </w:r>
      <w:r w:rsidRPr="00BF4A6D">
        <w:rPr>
          <w:rFonts w:cs="Times"/>
          <w:kern w:val="2"/>
        </w:rPr>
        <w:fldChar w:fldCharType="begin"/>
      </w:r>
      <w:r w:rsidRPr="00BF4A6D">
        <w:rPr>
          <w:rFonts w:cs="Times"/>
          <w:kern w:val="2"/>
        </w:rPr>
        <w:instrText xml:space="preserve"> QUOTE </w:instrText>
      </w:r>
      <w:r w:rsidR="001C0554">
        <w:rPr>
          <w:noProof/>
          <w:position w:val="-6"/>
        </w:rPr>
        <w:pict w14:anchorId="73B369FF">
          <v:shape id="_x0000_i1134" type="#_x0000_t75" alt="" style="width:41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C520A&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C520A&quot; wsp:rsidP=&quot;00CC520A&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r&gt;&lt;w:rPr&gt;&lt;w:rFonts w:ascii=&quot;Cambria Math&quot; w:fareast=&quot;SimSun&quot; w:h-ansi=&quot;Cambria Math&quot;/&gt;&lt;wx:font wx:val=&quot;Cambria Math&quot;/&gt;&lt;w:i/&gt;&lt;w:kern w:val=&quot;2&quot;/&gt;&lt;w:lang w:val=&quot;EN-US&quot;/&gt;&lt;/w:rPr&gt;&lt;m:t&gt;=&lt;/m:t&gt;&lt;/m:r&gt;&lt;m:sSup&gt;&lt;m:sSupPr&gt;&lt;m:ctrlPr&gt;&lt;w:rPr&gt;&lt;w:rFonts w:ascii=&quot;Cambria Math&quot; w:fareast=&quot;SimSun&quot; w:h-ansi=&quot;Cambria Math&quot;/&gt;&lt;wx:font wx:val=&quot;Cambria Math&quot;/&gt;&lt;w:i/&gt;&lt;w:kern w:val=&quot;2&quot;/&gt;&lt;w:lang w:val=&quot;EN-US&quot;/&gt;&lt;/w:rPr&gt;&lt;/m:ctrlPr&gt;&lt;/m:sSupPr&gt;&lt;m:e&gt;&lt;m:r&gt;&lt;w:rPr&gt;&lt;w:rFonts w:ascii=&quot;Cambria Math&quot; w:fareast=&quot;SimSun&quot; w:h-ansi=&quot;Cambria Math&quot;/&gt;&lt;wx:font wx:val=&quot;Cambria Math&quot;/&gt;&lt;w:i/&gt;&lt;w:kern w:val=&quot;2&quot;/&gt;&lt;w:lang w:val=&quot;EN-US&quot;/&gt;&lt;/w:rPr&gt;&lt;m:t&gt;œï&lt;/m:t&gt;&lt;/m:r&gt;&lt;/m:e&gt;&lt;m:sup&gt;&lt;m:r&gt;&lt;w:rPr&gt;&lt;w:rFonts w:ascii=&quot;Cambria Math&quot; w:fareast=&quot;SimSun&quot; w:h-ansi=&quot;Cambria Math&quot;/&gt;&lt;wx:font wx:val=&quot;Cambria Math&quot;/&gt;&lt;w:i/&gt;&lt;w:kern w:val=&quot;2&quot;/&gt;&lt;w:lang w:val=&quot;EN-US&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BF4A6D">
        <w:rPr>
          <w:rFonts w:cs="Times"/>
          <w:kern w:val="2"/>
        </w:rPr>
        <w:instrText xml:space="preserve"> </w:instrText>
      </w:r>
      <w:r w:rsidRPr="00BF4A6D">
        <w:rPr>
          <w:rFonts w:cs="Times"/>
          <w:kern w:val="2"/>
        </w:rPr>
        <w:fldChar w:fldCharType="separate"/>
      </w:r>
      <w:r w:rsidR="001C0554">
        <w:rPr>
          <w:noProof/>
          <w:position w:val="-6"/>
        </w:rPr>
        <w:pict w14:anchorId="68DB6A0A">
          <v:shape id="_x0000_i1135" type="#_x0000_t75" alt="" style="width:41pt;height:15.5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C520A&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CC520A&quot; wsp:rsidP=&quot;00CC520A&quot;&gt;&lt;m:oMathPara&gt;&lt;m:oMath&gt;&lt;m:sSub&gt;&lt;m:sSubPr&gt;&lt;m:ctrlPr&gt;&lt;w:rPr&gt;&lt;w:rFonts w:ascii=&quot;Cambria Math&quot; w:fareast=&quot;SimSun&quot; w:h-ansi=&quot;Cambria Math&quot;/&gt;&lt;wx:font wx:val=&quot;Cambria Math&quot;/&gt;&lt;w:i/&gt;&lt;w:kern w:val=&quot;2&quot;/&gt;&lt;w:lang w:val=&quot;EN-US&quot;/&gt;&lt;/w:rPr&gt;&lt;/m:ctrlPr&gt;&lt;/m:sSubPr&gt;&lt;m:e&gt;&lt;m:r&gt;&lt;w:rPr&gt;&lt;w:rFonts w:ascii=&quot;Cambria Math&quot; w:fareast=&quot;SimSun&quot; w:h-ansi=&quot;Cambria Math&quot;/&gt;&lt;wx:font wx:val=&quot;Cambria Math&quot;/&gt;&lt;w:i/&gt;&lt;w:kern w:val=&quot;2&quot;/&gt;&lt;w:lang w:val=&quot;EN-US&quot;/&gt;&lt;/w:rPr&gt;&lt;m:t&gt;Œ±&lt;/m:t&gt;&lt;/m:r&gt;&lt;/m:e&gt;&lt;m:sub&gt;&lt;m:r&gt;&lt;w:rPr&gt;&lt;w:rFonts w:ascii=&quot;Cambria Math&quot; w:fareast=&quot;SimSun&quot; w:h-ansi=&quot;Cambria Math&quot;/&gt;&lt;wx:font wx:val=&quot;Cambria Math&quot;/&gt;&lt;w:i/&gt;&lt;w:kern w:val=&quot;2&quot;/&gt;&lt;w:lang w:val=&quot;EN-US&quot;/&gt;&lt;/w:rPr&gt;&lt;m:t&gt;‚ä•&lt;/m:t&gt;&lt;/m:r&gt;&lt;/m:sub&gt;&lt;/m:sSub&gt;&lt;m:r&gt;&lt;w:rPr&gt;&lt;w:rFonts w:ascii=&quot;Cambria Math&quot; w:fareast=&quot;SimSun&quot; w:h-ansi=&quot;Cambria Math&quot;/&gt;&lt;wx:font wx:val=&quot;Cambria Math&quot;/&gt;&lt;w:i/&gt;&lt;w:kern w:val=&quot;2&quot;/&gt;&lt;w:lang w:val=&quot;EN-US&quot;/&gt;&lt;/w:rPr&gt;&lt;m:t&gt;=&lt;/m:t&gt;&lt;/m:r&gt;&lt;m:sSup&gt;&lt;m:sSupPr&gt;&lt;m:ctrlPr&gt;&lt;w:rPr&gt;&lt;w:rFonts w:ascii=&quot;Cambria Math&quot; w:fareast=&quot;SimSun&quot; w:h-ansi=&quot;Cambria Math&quot;/&gt;&lt;wx:font wx:val=&quot;Cambria Math&quot;/&gt;&lt;w:i/&gt;&lt;w:kern w:val=&quot;2&quot;/&gt;&lt;w:lang w:val=&quot;EN-US&quot;/&gt;&lt;/w:rPr&gt;&lt;/m:ctrlPr&gt;&lt;/m:sSupPr&gt;&lt;m:e&gt;&lt;m:r&gt;&lt;w:rPr&gt;&lt;w:rFonts w:ascii=&quot;Cambria Math&quot; w:fareast=&quot;SimSun&quot; w:h-ansi=&quot;Cambria Math&quot;/&gt;&lt;wx:font wx:val=&quot;Cambria Math&quot;/&gt;&lt;w:i/&gt;&lt;w:kern w:val=&quot;2&quot;/&gt;&lt;w:lang w:val=&quot;EN-US&quot;/&gt;&lt;/w:rPr&gt;&lt;m:t&gt;œï&lt;/m:t&gt;&lt;/m:r&gt;&lt;/m:e&gt;&lt;m:sup&gt;&lt;m:r&gt;&lt;w:rPr&gt;&lt;w:rFonts w:ascii=&quot;Cambria Math&quot; w:fareast=&quot;SimSun&quot; w:h-ansi=&quot;Cambria Math&quot;/&gt;&lt;wx:font wx:val=&quot;Cambria Math&quot;/&gt;&lt;w:i/&gt;&lt;w:kern w:val=&quot;2&quot;/&gt;&lt;w:lang w:val=&quot;EN-US&quot;/&gt;&lt;/w:rPr&gt;&lt;m:t&gt;'&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 o:title="" chromakey="white"/>
          </v:shape>
        </w:pict>
      </w:r>
      <w:r w:rsidRPr="00BF4A6D">
        <w:rPr>
          <w:rFonts w:cs="Times"/>
          <w:kern w:val="2"/>
        </w:rPr>
        <w:fldChar w:fldCharType="end"/>
      </w:r>
      <w:r w:rsidRPr="00BF4A6D">
        <w:rPr>
          <w:rFonts w:cs="Times"/>
          <w:kern w:val="2"/>
        </w:rPr>
        <w:t xml:space="preserve">. </w:t>
      </w:r>
    </w:p>
    <w:p w14:paraId="0EF06833" w14:textId="77777777" w:rsidR="005A719B" w:rsidRDefault="005A719B" w:rsidP="006417D3">
      <w:pPr>
        <w:autoSpaceDE w:val="0"/>
        <w:autoSpaceDN w:val="0"/>
        <w:adjustRightInd w:val="0"/>
        <w:spacing w:after="240" w:line="480" w:lineRule="auto"/>
        <w:jc w:val="both"/>
      </w:pPr>
    </w:p>
    <w:p w14:paraId="0A9FDDAC" w14:textId="1787F833" w:rsidR="005A719B" w:rsidRDefault="005A719B" w:rsidP="006417D3">
      <w:pPr>
        <w:autoSpaceDE w:val="0"/>
        <w:autoSpaceDN w:val="0"/>
        <w:adjustRightInd w:val="0"/>
        <w:spacing w:after="240" w:line="480" w:lineRule="auto"/>
        <w:jc w:val="both"/>
      </w:pPr>
      <w:r w:rsidRPr="00BF4A6D">
        <w:t>Following the Gonzalo and Granger (1995)</w:t>
      </w:r>
      <w:r w:rsidR="00A82A36">
        <w:t xml:space="preserve"> </w:t>
      </w:r>
      <w:r w:rsidR="00DB0218">
        <w:t>common factor weights model</w:t>
      </w:r>
      <w:r w:rsidRPr="00BF4A6D">
        <w:t>, our testable framework is explained as follows. We allow the long-run common stochastic factor shared by security prices on different markets to be expressed as a linear combination of these series where:</w:t>
      </w:r>
    </w:p>
    <w:p w14:paraId="3207BDCB" w14:textId="142493CE" w:rsidR="005A719B" w:rsidRPr="00BF4A6D" w:rsidRDefault="0009603F" w:rsidP="00463BD7">
      <w:pPr>
        <w:autoSpaceDE w:val="0"/>
        <w:autoSpaceDN w:val="0"/>
        <w:adjustRightInd w:val="0"/>
        <w:spacing w:after="240" w:line="480" w:lineRule="auto"/>
        <w:jc w:val="center"/>
      </w:pPr>
      <m:oMath>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1</m:t>
            </m:r>
          </m:sub>
        </m:sSub>
        <m:r>
          <w:rPr>
            <w:rFonts w:ascii="Cambria Math" w:hAnsi="Cambria Math"/>
          </w:rPr>
          <m:t>PS+</m:t>
        </m:r>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PF+</m:t>
        </m:r>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PE</m:t>
        </m:r>
      </m:oMath>
      <w:r w:rsidR="005A719B">
        <w:t xml:space="preserve">                </w:t>
      </w:r>
      <w:r>
        <w:tab/>
      </w:r>
      <w:r>
        <w:tab/>
        <w:t xml:space="preserve">                 </w:t>
      </w:r>
      <w:r w:rsidR="005A719B">
        <w:t>(17</w:t>
      </w:r>
      <w:r w:rsidR="005A719B" w:rsidRPr="00BF4A6D">
        <w:t>)</w:t>
      </w:r>
    </w:p>
    <w:p w14:paraId="6E08D1F6" w14:textId="3AC06A91" w:rsidR="005A719B" w:rsidRDefault="005A719B" w:rsidP="00A46E47">
      <w:pPr>
        <w:autoSpaceDE w:val="0"/>
        <w:autoSpaceDN w:val="0"/>
        <w:adjustRightInd w:val="0"/>
        <w:spacing w:line="480" w:lineRule="auto"/>
        <w:jc w:val="both"/>
      </w:pPr>
      <w:r w:rsidRPr="00BF4A6D">
        <w:t xml:space="preserve">and </w:t>
      </w:r>
      <w:r w:rsidRPr="00BF4A6D">
        <w:fldChar w:fldCharType="begin"/>
      </w:r>
      <w:r w:rsidRPr="00BF4A6D">
        <w:instrText xml:space="preserve"> QUOTE </w:instrText>
      </w:r>
      <w:r w:rsidR="001C0554">
        <w:rPr>
          <w:noProof/>
          <w:position w:val="-6"/>
        </w:rPr>
        <w:pict w14:anchorId="56F111D6">
          <v:shape id="_x0000_i1136" type="#_x0000_t75" alt="" style="width:13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109C&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A109C&quot; wsp:rsidP=&quot;00AA109C&quot;&gt;&lt;m:oMathPara&gt;&lt;m:oMath&gt;&lt;m:sSub&gt;&lt;m:sSubPr&gt;&lt;m:ctrlPr&gt;&lt;aml:annotation aml:id=&quot;0&quot; w:type=&quot;Word.Insertion&quot; aml:author=&quot;Microsoft Office User&quot; aml:createdate=&quot;2017-05-22T21:56:00Z&quot;&gt;&lt;aml:content&gt;&lt;w:rPr&gt;&lt;w:rFonts w:ascii=&quot;Cambria Math&quot; w:fareast=&quot;SimSun&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f&lt;/m:t&gt;&lt;/m:r&gt;&lt;/aml:content&gt;&lt;/aml:annotation&gt;&lt;/m:e&gt;&lt;m:sub&gt;&lt;aml:annotation aml:id=&quot;2&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t&lt;/m:t&gt;&lt;/m:r&gt;&lt;/aml:content&gt;&lt;/aml:annotation&gt;&lt;/m:sub&gt;&lt;/m:sSub&gt;&lt;aml:annotation aml:id=&quot;3&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BF4A6D">
        <w:instrText xml:space="preserve"> </w:instrText>
      </w:r>
      <w:r w:rsidRPr="00BF4A6D">
        <w:fldChar w:fldCharType="separate"/>
      </w:r>
      <w:r w:rsidR="001C0554">
        <w:rPr>
          <w:noProof/>
          <w:position w:val="-6"/>
        </w:rPr>
        <w:pict w14:anchorId="56B5303F">
          <v:shape id="_x0000_i1137" type="#_x0000_t75" alt="" style="width:13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109C&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A109C&quot; wsp:rsidP=&quot;00AA109C&quot;&gt;&lt;m:oMathPara&gt;&lt;m:oMath&gt;&lt;m:sSub&gt;&lt;m:sSubPr&gt;&lt;m:ctrlPr&gt;&lt;aml:annotation aml:id=&quot;0&quot; w:type=&quot;Word.Insertion&quot; aml:author=&quot;Microsoft Office User&quot; aml:createdate=&quot;2017-05-22T21:56:00Z&quot;&gt;&lt;aml:content&gt;&lt;w:rPr&gt;&lt;w:rFonts w:ascii=&quot;Cambria Math&quot; w:fareast=&quot;SimSun&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f&lt;/m:t&gt;&lt;/m:r&gt;&lt;/aml:content&gt;&lt;/aml:annotation&gt;&lt;/m:e&gt;&lt;m:sub&gt;&lt;aml:annotation aml:id=&quot;2&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t&lt;/m:t&gt;&lt;/m:r&gt;&lt;/aml:content&gt;&lt;/aml:annotation&gt;&lt;/m:sub&gt;&lt;/m:sSub&gt;&lt;aml:annotation aml:id=&quot;3&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rsidRPr="00BF4A6D">
        <w:fldChar w:fldCharType="end"/>
      </w:r>
      <w:r>
        <w:t>is the common factor, and PS, PF, and PE</w:t>
      </w:r>
      <w:r w:rsidRPr="00BF4A6D">
        <w:t xml:space="preserve"> are the </w:t>
      </w:r>
      <w:r>
        <w:t>price series with respect to spot index, index futures and ETFs</w:t>
      </w:r>
      <w:r w:rsidRPr="00BF4A6D">
        <w:t xml:space="preserve">. </w:t>
      </w:r>
      <w:r w:rsidRPr="00BF4A6D">
        <w:fldChar w:fldCharType="begin"/>
      </w:r>
      <w:r w:rsidRPr="00BF4A6D">
        <w:instrText xml:space="preserve"> QUOTE </w:instrText>
      </w:r>
      <w:r w:rsidR="001C0554">
        <w:rPr>
          <w:noProof/>
          <w:position w:val="-8"/>
        </w:rPr>
        <w:pict w14:anchorId="620C2177">
          <v:shape id="_x0000_i1138"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2B5F&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DC2B5F&quot; wsp:rsidP=&quot;00DC2B5F&quot;&gt;&lt;m:oMathPara&gt;&lt;m:oMath&gt;&lt;m:sSub&gt;&lt;m:sSubPr&gt;&lt;m:ctrlPr&gt;&lt;aml:annotation aml:id=&quot;0&quot; w:type=&quot;Word.Insertion&quot; aml:author=&quot;Microsoft Office User&quot; aml:createdate=&quot;2017-05-22T21:56:00Z&quot;&gt;&lt;aml:content&gt;&lt;w:rPr&gt;&lt;w:rFonts w:ascii=&quot;Cambria Math&quot; w:fareast=&quot;SimSun&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œï&lt;/m:t&gt;&lt;/m:r&gt;&lt;/aml:content&gt;&lt;/aml:annotation&gt;&lt;/m:e&gt;&lt;m:sub&gt;&lt;aml:annotation aml:id=&quot;2&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BF4A6D">
        <w:instrText xml:space="preserve"> </w:instrText>
      </w:r>
      <w:r w:rsidRPr="00BF4A6D">
        <w:fldChar w:fldCharType="separate"/>
      </w:r>
      <w:r w:rsidR="001C0554">
        <w:rPr>
          <w:noProof/>
          <w:position w:val="-8"/>
        </w:rPr>
        <w:pict w14:anchorId="26CBAC5B">
          <v:shape id="_x0000_i1139" type="#_x0000_t75" alt="" style="width:13pt;height:16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2B5F&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DC2B5F&quot; wsp:rsidP=&quot;00DC2B5F&quot;&gt;&lt;m:oMathPara&gt;&lt;m:oMath&gt;&lt;m:sSub&gt;&lt;m:sSubPr&gt;&lt;m:ctrlPr&gt;&lt;aml:annotation aml:id=&quot;0&quot; w:type=&quot;Word.Insertion&quot; aml:author=&quot;Microsoft Office User&quot; aml:createdate=&quot;2017-05-22T21:56:00Z&quot;&gt;&lt;aml:content&gt;&lt;w:rPr&gt;&lt;w:rFonts w:ascii=&quot;Cambria Math&quot; w:fareast=&quot;SimSun&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œï&lt;/m:t&gt;&lt;/m:r&gt;&lt;/aml:content&gt;&lt;/aml:annotation&gt;&lt;/m:e&gt;&lt;m:sub&gt;&lt;aml:annotation aml:id=&quot;2&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BF4A6D">
        <w:fldChar w:fldCharType="end"/>
      </w:r>
      <w:r w:rsidRPr="00BF4A6D">
        <w:t xml:space="preserve"> can be seen</w:t>
      </w:r>
      <w:r w:rsidR="004B1930">
        <w:t xml:space="preserve"> as the contributions from each</w:t>
      </w:r>
      <w:r w:rsidR="004B1930" w:rsidRPr="00953770">
        <w:rPr>
          <w:rFonts w:eastAsia="SimSun"/>
          <w:lang w:val="en-US"/>
        </w:rPr>
        <w:t xml:space="preserve"> index derivative market</w:t>
      </w:r>
      <w:r w:rsidRPr="00BF4A6D">
        <w:t xml:space="preserve"> to the common factor </w:t>
      </w:r>
      <w:r w:rsidR="001C0554">
        <w:rPr>
          <w:noProof/>
          <w:position w:val="-6"/>
        </w:rPr>
        <w:pict w14:anchorId="463CBECF">
          <v:shape id="_x0000_i1140" type="#_x0000_t75" alt="" style="width:13pt;height:14pt;mso-width-percent:0;mso-height-percent:0;mso-width-percent:0;mso-height-percent:0" equationxml="&lt;?xml version=&quot;1.0&quot; encoding=&quot;UTF-8&quot; standalone=&quot;yes&quot;?&gt;&#10;&#10;&#10;&#10;&#10;&#10;&#10;&#10;&#10;&#10;&#10;&#10;&#10;&#10;&#10;&#10;&#10;&#10;&#10;&#10;&#10;&#10;&#10;&#10;&lt;?mso-application progid=&quot;Word.Document&quot;?&gt;&#10;&#10;&#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hideSpellingErrors/&gt;&lt;w:hideGrammaticalErrors/&gt;&lt;w:defaultTabStop w:val=&quot;720&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1C2F&quot;/&gt;&lt;wsp:rsid wsp:val=&quot;00007D0C&quot;/&gt;&lt;wsp:rsid wsp:val=&quot;000104AE&quot;/&gt;&lt;wsp:rsid wsp:val=&quot;00012125&quot;/&gt;&lt;wsp:rsid wsp:val=&quot;0001744C&quot;/&gt;&lt;wsp:rsid wsp:val=&quot;00017860&quot;/&gt;&lt;wsp:rsid wsp:val=&quot;00020E06&quot;/&gt;&lt;wsp:rsid wsp:val=&quot;00022366&quot;/&gt;&lt;wsp:rsid wsp:val=&quot;00024A23&quot;/&gt;&lt;wsp:rsid wsp:val=&quot;000322B0&quot;/&gt;&lt;wsp:rsid wsp:val=&quot;0003398C&quot;/&gt;&lt;wsp:rsid wsp:val=&quot;000342F3&quot;/&gt;&lt;wsp:rsid wsp:val=&quot;00042B5D&quot;/&gt;&lt;wsp:rsid wsp:val=&quot;00043C72&quot;/&gt;&lt;wsp:rsid wsp:val=&quot;00045D9D&quot;/&gt;&lt;wsp:rsid wsp:val=&quot;000515F6&quot;/&gt;&lt;wsp:rsid wsp:val=&quot;000631F6&quot;/&gt;&lt;wsp:rsid wsp:val=&quot;000634D9&quot;/&gt;&lt;wsp:rsid wsp:val=&quot;000643E7&quot;/&gt;&lt;wsp:rsid wsp:val=&quot;00070266&quot;/&gt;&lt;wsp:rsid wsp:val=&quot;00071B43&quot;/&gt;&lt;wsp:rsid wsp:val=&quot;00072722&quot;/&gt;&lt;wsp:rsid wsp:val=&quot;00072E18&quot;/&gt;&lt;wsp:rsid wsp:val=&quot;0007430E&quot;/&gt;&lt;wsp:rsid wsp:val=&quot;00076B17&quot;/&gt;&lt;wsp:rsid wsp:val=&quot;000777E5&quot;/&gt;&lt;wsp:rsid wsp:val=&quot;00083402&quot;/&gt;&lt;wsp:rsid wsp:val=&quot;00084051&quot;/&gt;&lt;wsp:rsid wsp:val=&quot;00084104&quot;/&gt;&lt;wsp:rsid wsp:val=&quot;000841F9&quot;/&gt;&lt;wsp:rsid wsp:val=&quot;00084299&quot;/&gt;&lt;wsp:rsid wsp:val=&quot;0008452C&quot;/&gt;&lt;wsp:rsid wsp:val=&quot;00085B77&quot;/&gt;&lt;wsp:rsid wsp:val=&quot;00085D64&quot;/&gt;&lt;wsp:rsid wsp:val=&quot;00090499&quot;/&gt;&lt;wsp:rsid wsp:val=&quot;000912C2&quot;/&gt;&lt;wsp:rsid wsp:val=&quot;00091C0E&quot;/&gt;&lt;wsp:rsid wsp:val=&quot;00093B86&quot;/&gt;&lt;wsp:rsid wsp:val=&quot;000A0144&quot;/&gt;&lt;wsp:rsid wsp:val=&quot;000A102E&quot;/&gt;&lt;wsp:rsid wsp:val=&quot;000A2B87&quot;/&gt;&lt;wsp:rsid wsp:val=&quot;000A2CC5&quot;/&gt;&lt;wsp:rsid wsp:val=&quot;000A40FF&quot;/&gt;&lt;wsp:rsid wsp:val=&quot;000A44BD&quot;/&gt;&lt;wsp:rsid wsp:val=&quot;000A7B42&quot;/&gt;&lt;wsp:rsid wsp:val=&quot;000B3695&quot;/&gt;&lt;wsp:rsid wsp:val=&quot;000B37C0&quot;/&gt;&lt;wsp:rsid wsp:val=&quot;000B3DF8&quot;/&gt;&lt;wsp:rsid wsp:val=&quot;000B5947&quot;/&gt;&lt;wsp:rsid wsp:val=&quot;000B625F&quot;/&gt;&lt;wsp:rsid wsp:val=&quot;000C1EB2&quot;/&gt;&lt;wsp:rsid wsp:val=&quot;000C39C1&quot;/&gt;&lt;wsp:rsid wsp:val=&quot;000C5882&quot;/&gt;&lt;wsp:rsid wsp:val=&quot;000C59B1&quot;/&gt;&lt;wsp:rsid wsp:val=&quot;000C704E&quot;/&gt;&lt;wsp:rsid wsp:val=&quot;000D23C9&quot;/&gt;&lt;wsp:rsid wsp:val=&quot;000D3F33&quot;/&gt;&lt;wsp:rsid wsp:val=&quot;000D4280&quot;/&gt;&lt;wsp:rsid wsp:val=&quot;000D7FB4&quot;/&gt;&lt;wsp:rsid wsp:val=&quot;000E13D9&quot;/&gt;&lt;wsp:rsid wsp:val=&quot;000E3CCB&quot;/&gt;&lt;wsp:rsid wsp:val=&quot;000E48CC&quot;/&gt;&lt;wsp:rsid wsp:val=&quot;000E56A5&quot;/&gt;&lt;wsp:rsid wsp:val=&quot;000E56AC&quot;/&gt;&lt;wsp:rsid wsp:val=&quot;000F01D1&quot;/&gt;&lt;wsp:rsid wsp:val=&quot;000F28F7&quot;/&gt;&lt;wsp:rsid wsp:val=&quot;000F444D&quot;/&gt;&lt;wsp:rsid wsp:val=&quot;000F4B33&quot;/&gt;&lt;wsp:rsid wsp:val=&quot;000F63B8&quot;/&gt;&lt;wsp:rsid wsp:val=&quot;0010540F&quot;/&gt;&lt;wsp:rsid wsp:val=&quot;00105524&quot;/&gt;&lt;wsp:rsid wsp:val=&quot;00110C91&quot;/&gt;&lt;wsp:rsid wsp:val=&quot;00114793&quot;/&gt;&lt;wsp:rsid wsp:val=&quot;00121BC9&quot;/&gt;&lt;wsp:rsid wsp:val=&quot;001233AC&quot;/&gt;&lt;wsp:rsid wsp:val=&quot;0012624D&quot;/&gt;&lt;wsp:rsid wsp:val=&quot;00126BF4&quot;/&gt;&lt;wsp:rsid wsp:val=&quot;001279FC&quot;/&gt;&lt;wsp:rsid wsp:val=&quot;00134D17&quot;/&gt;&lt;wsp:rsid wsp:val=&quot;00137428&quot;/&gt;&lt;wsp:rsid wsp:val=&quot;00137BC5&quot;/&gt;&lt;wsp:rsid wsp:val=&quot;0014274D&quot;/&gt;&lt;wsp:rsid wsp:val=&quot;00143513&quot;/&gt;&lt;wsp:rsid wsp:val=&quot;00145DD0&quot;/&gt;&lt;wsp:rsid wsp:val=&quot;00150FF9&quot;/&gt;&lt;wsp:rsid wsp:val=&quot;00151E64&quot;/&gt;&lt;wsp:rsid wsp:val=&quot;001569EF&quot;/&gt;&lt;wsp:rsid wsp:val=&quot;001573FC&quot;/&gt;&lt;wsp:rsid wsp:val=&quot;00161CAA&quot;/&gt;&lt;wsp:rsid wsp:val=&quot;00162DF4&quot;/&gt;&lt;wsp:rsid wsp:val=&quot;00163357&quot;/&gt;&lt;wsp:rsid wsp:val=&quot;001662B0&quot;/&gt;&lt;wsp:rsid wsp:val=&quot;00166E4C&quot;/&gt;&lt;wsp:rsid wsp:val=&quot;00171E4C&quot;/&gt;&lt;wsp:rsid wsp:val=&quot;00171FF0&quot;/&gt;&lt;wsp:rsid wsp:val=&quot;00172D63&quot;/&gt;&lt;wsp:rsid wsp:val=&quot;001752DA&quot;/&gt;&lt;wsp:rsid wsp:val=&quot;00176C42&quot;/&gt;&lt;wsp:rsid wsp:val=&quot;001818F4&quot;/&gt;&lt;wsp:rsid wsp:val=&quot;00184393&quot;/&gt;&lt;wsp:rsid wsp:val=&quot;001849BE&quot;/&gt;&lt;wsp:rsid wsp:val=&quot;00185FD5&quot;/&gt;&lt;wsp:rsid wsp:val=&quot;001909DA&quot;/&gt;&lt;wsp:rsid wsp:val=&quot;001917FE&quot;/&gt;&lt;wsp:rsid wsp:val=&quot;001945E9&quot;/&gt;&lt;wsp:rsid wsp:val=&quot;001A01C9&quot;/&gt;&lt;wsp:rsid wsp:val=&quot;001A04F0&quot;/&gt;&lt;wsp:rsid wsp:val=&quot;001A0BD4&quot;/&gt;&lt;wsp:rsid wsp:val=&quot;001A0EFB&quot;/&gt;&lt;wsp:rsid wsp:val=&quot;001A12EE&quot;/&gt;&lt;wsp:rsid wsp:val=&quot;001A64CD&quot;/&gt;&lt;wsp:rsid wsp:val=&quot;001A698F&quot;/&gt;&lt;wsp:rsid wsp:val=&quot;001B0DFA&quot;/&gt;&lt;wsp:rsid wsp:val=&quot;001B37A0&quot;/&gt;&lt;wsp:rsid wsp:val=&quot;001C1E9D&quot;/&gt;&lt;wsp:rsid wsp:val=&quot;001C3F3A&quot;/&gt;&lt;wsp:rsid wsp:val=&quot;001C7A74&quot;/&gt;&lt;wsp:rsid wsp:val=&quot;001D6CF1&quot;/&gt;&lt;wsp:rsid wsp:val=&quot;001D7AF4&quot;/&gt;&lt;wsp:rsid wsp:val=&quot;001E1FC1&quot;/&gt;&lt;wsp:rsid wsp:val=&quot;001E73C6&quot;/&gt;&lt;wsp:rsid wsp:val=&quot;001E77CE&quot;/&gt;&lt;wsp:rsid wsp:val=&quot;001F4673&quot;/&gt;&lt;wsp:rsid wsp:val=&quot;001F6660&quot;/&gt;&lt;wsp:rsid wsp:val=&quot;00201C4E&quot;/&gt;&lt;wsp:rsid wsp:val=&quot;00211192&quot;/&gt;&lt;wsp:rsid wsp:val=&quot;002131B4&quot;/&gt;&lt;wsp:rsid wsp:val=&quot;00213F26&quot;/&gt;&lt;wsp:rsid wsp:val=&quot;00216BCA&quot;/&gt;&lt;wsp:rsid wsp:val=&quot;00217756&quot;/&gt;&lt;wsp:rsid wsp:val=&quot;0022037B&quot;/&gt;&lt;wsp:rsid wsp:val=&quot;002230FF&quot;/&gt;&lt;wsp:rsid wsp:val=&quot;002241A6&quot;/&gt;&lt;wsp:rsid wsp:val=&quot;00224BBC&quot;/&gt;&lt;wsp:rsid wsp:val=&quot;00224E9A&quot;/&gt;&lt;wsp:rsid wsp:val=&quot;0022612E&quot;/&gt;&lt;wsp:rsid wsp:val=&quot;0022641B&quot;/&gt;&lt;wsp:rsid wsp:val=&quot;00227229&quot;/&gt;&lt;wsp:rsid wsp:val=&quot;00232568&quot;/&gt;&lt;wsp:rsid wsp:val=&quot;00241CB0&quot;/&gt;&lt;wsp:rsid wsp:val=&quot;002508DE&quot;/&gt;&lt;wsp:rsid wsp:val=&quot;00250E1A&quot;/&gt;&lt;wsp:rsid wsp:val=&quot;002511BE&quot;/&gt;&lt;wsp:rsid wsp:val=&quot;00254B44&quot;/&gt;&lt;wsp:rsid wsp:val=&quot;00254F80&quot;/&gt;&lt;wsp:rsid wsp:val=&quot;00256D4B&quot;/&gt;&lt;wsp:rsid wsp:val=&quot;00256DFA&quot;/&gt;&lt;wsp:rsid wsp:val=&quot;002603A3&quot;/&gt;&lt;wsp:rsid wsp:val=&quot;002607CA&quot;/&gt;&lt;wsp:rsid wsp:val=&quot;0026112D&quot;/&gt;&lt;wsp:rsid wsp:val=&quot;00264417&quot;/&gt;&lt;wsp:rsid wsp:val=&quot;002664C1&quot;/&gt;&lt;wsp:rsid wsp:val=&quot;00272543&quot;/&gt;&lt;wsp:rsid wsp:val=&quot;00272B9D&quot;/&gt;&lt;wsp:rsid wsp:val=&quot;0027454A&quot;/&gt;&lt;wsp:rsid wsp:val=&quot;00275DC0&quot;/&gt;&lt;wsp:rsid wsp:val=&quot;002812CF&quot;/&gt;&lt;wsp:rsid wsp:val=&quot;00284F40&quot;/&gt;&lt;wsp:rsid wsp:val=&quot;00285294&quot;/&gt;&lt;wsp:rsid wsp:val=&quot;002869D9&quot;/&gt;&lt;wsp:rsid wsp:val=&quot;002870CA&quot;/&gt;&lt;wsp:rsid wsp:val=&quot;00290418&quot;/&gt;&lt;wsp:rsid wsp:val=&quot;002A05C1&quot;/&gt;&lt;wsp:rsid wsp:val=&quot;002A12E8&quot;/&gt;&lt;wsp:rsid wsp:val=&quot;002A36DD&quot;/&gt;&lt;wsp:rsid wsp:val=&quot;002A5021&quot;/&gt;&lt;wsp:rsid wsp:val=&quot;002A579A&quot;/&gt;&lt;wsp:rsid wsp:val=&quot;002B2022&quot;/&gt;&lt;wsp:rsid wsp:val=&quot;002B377F&quot;/&gt;&lt;wsp:rsid wsp:val=&quot;002B79BF&quot;/&gt;&lt;wsp:rsid wsp:val=&quot;002C2905&quot;/&gt;&lt;wsp:rsid wsp:val=&quot;002D4963&quot;/&gt;&lt;wsp:rsid wsp:val=&quot;002D61BC&quot;/&gt;&lt;wsp:rsid wsp:val=&quot;002D751A&quot;/&gt;&lt;wsp:rsid wsp:val=&quot;002E0F5F&quot;/&gt;&lt;wsp:rsid wsp:val=&quot;002E3B75&quot;/&gt;&lt;wsp:rsid wsp:val=&quot;002E6115&quot;/&gt;&lt;wsp:rsid wsp:val=&quot;002E7ABA&quot;/&gt;&lt;wsp:rsid wsp:val=&quot;002F0789&quot;/&gt;&lt;wsp:rsid wsp:val=&quot;002F2004&quot;/&gt;&lt;wsp:rsid wsp:val=&quot;002F4C97&quot;/&gt;&lt;wsp:rsid wsp:val=&quot;002F6D20&quot;/&gt;&lt;wsp:rsid wsp:val=&quot;002F6E82&quot;/&gt;&lt;wsp:rsid wsp:val=&quot;00311091&quot;/&gt;&lt;wsp:rsid wsp:val=&quot;003241BB&quot;/&gt;&lt;wsp:rsid wsp:val=&quot;00325CDB&quot;/&gt;&lt;wsp:rsid wsp:val=&quot;00326C03&quot;/&gt;&lt;wsp:rsid wsp:val=&quot;00326FDA&quot;/&gt;&lt;wsp:rsid wsp:val=&quot;00327BC4&quot;/&gt;&lt;wsp:rsid wsp:val=&quot;00327DE9&quot;/&gt;&lt;wsp:rsid wsp:val=&quot;003304E0&quot;/&gt;&lt;wsp:rsid wsp:val=&quot;00333B7D&quot;/&gt;&lt;wsp:rsid wsp:val=&quot;00334509&quot;/&gt;&lt;wsp:rsid wsp:val=&quot;00337F6C&quot;/&gt;&lt;wsp:rsid wsp:val=&quot;00341294&quot;/&gt;&lt;wsp:rsid wsp:val=&quot;00342E19&quot;/&gt;&lt;wsp:rsid wsp:val=&quot;00346167&quot;/&gt;&lt;wsp:rsid wsp:val=&quot;00354617&quot;/&gt;&lt;wsp:rsid wsp:val=&quot;00356DF1&quot;/&gt;&lt;wsp:rsid wsp:val=&quot;00356E2F&quot;/&gt;&lt;wsp:rsid wsp:val=&quot;00360054&quot;/&gt;&lt;wsp:rsid wsp:val=&quot;00361485&quot;/&gt;&lt;wsp:rsid wsp:val=&quot;00370CC1&quot;/&gt;&lt;wsp:rsid wsp:val=&quot;003749E1&quot;/&gt;&lt;wsp:rsid wsp:val=&quot;00374FE5&quot;/&gt;&lt;wsp:rsid wsp:val=&quot;003770DF&quot;/&gt;&lt;wsp:rsid wsp:val=&quot;00381BB9&quot;/&gt;&lt;wsp:rsid wsp:val=&quot;00385EA8&quot;/&gt;&lt;wsp:rsid wsp:val=&quot;00386AF5&quot;/&gt;&lt;wsp:rsid wsp:val=&quot;00386B74&quot;/&gt;&lt;wsp:rsid wsp:val=&quot;00392EE2&quot;/&gt;&lt;wsp:rsid wsp:val=&quot;00393A2E&quot;/&gt;&lt;wsp:rsid wsp:val=&quot;003941A9&quot;/&gt;&lt;wsp:rsid wsp:val=&quot;00396752&quot;/&gt;&lt;wsp:rsid wsp:val=&quot;003972B1&quot;/&gt;&lt;wsp:rsid wsp:val=&quot;00397951&quot;/&gt;&lt;wsp:rsid wsp:val=&quot;003A17C5&quot;/&gt;&lt;wsp:rsid wsp:val=&quot;003A6690&quot;/&gt;&lt;wsp:rsid wsp:val=&quot;003A7DE4&quot;/&gt;&lt;wsp:rsid wsp:val=&quot;003B2B81&quot;/&gt;&lt;wsp:rsid wsp:val=&quot;003B3652&quot;/&gt;&lt;wsp:rsid wsp:val=&quot;003B5913&quot;/&gt;&lt;wsp:rsid wsp:val=&quot;003B67BB&quot;/&gt;&lt;wsp:rsid wsp:val=&quot;003B6AA3&quot;/&gt;&lt;wsp:rsid wsp:val=&quot;003B76DA&quot;/&gt;&lt;wsp:rsid wsp:val=&quot;003C11EF&quot;/&gt;&lt;wsp:rsid wsp:val=&quot;003C52D0&quot;/&gt;&lt;wsp:rsid wsp:val=&quot;003C5821&quot;/&gt;&lt;wsp:rsid wsp:val=&quot;003C73E6&quot;/&gt;&lt;wsp:rsid wsp:val=&quot;003D2EAE&quot;/&gt;&lt;wsp:rsid wsp:val=&quot;003D5855&quot;/&gt;&lt;wsp:rsid wsp:val=&quot;003D5A14&quot;/&gt;&lt;wsp:rsid wsp:val=&quot;003E1855&quot;/&gt;&lt;wsp:rsid wsp:val=&quot;003E1E78&quot;/&gt;&lt;wsp:rsid wsp:val=&quot;003E4A3C&quot;/&gt;&lt;wsp:rsid wsp:val=&quot;003E5942&quot;/&gt;&lt;wsp:rsid wsp:val=&quot;003E73D1&quot;/&gt;&lt;wsp:rsid wsp:val=&quot;003F681D&quot;/&gt;&lt;wsp:rsid wsp:val=&quot;003F7002&quot;/&gt;&lt;wsp:rsid wsp:val=&quot;003F7B86&quot;/&gt;&lt;wsp:rsid wsp:val=&quot;00402215&quot;/&gt;&lt;wsp:rsid wsp:val=&quot;00403B32&quot;/&gt;&lt;wsp:rsid wsp:val=&quot;00403CA5&quot;/&gt;&lt;wsp:rsid wsp:val=&quot;00410F8A&quot;/&gt;&lt;wsp:rsid wsp:val=&quot;00413273&quot;/&gt;&lt;wsp:rsid wsp:val=&quot;00414F25&quot;/&gt;&lt;wsp:rsid wsp:val=&quot;0041727F&quot;/&gt;&lt;wsp:rsid wsp:val=&quot;00420C20&quot;/&gt;&lt;wsp:rsid wsp:val=&quot;00422771&quot;/&gt;&lt;wsp:rsid wsp:val=&quot;00422F9D&quot;/&gt;&lt;wsp:rsid wsp:val=&quot;0042506D&quot;/&gt;&lt;wsp:rsid wsp:val=&quot;004302B1&quot;/&gt;&lt;wsp:rsid wsp:val=&quot;00433631&quot;/&gt;&lt;wsp:rsid wsp:val=&quot;00437106&quot;/&gt;&lt;wsp:rsid wsp:val=&quot;004416A2&quot;/&gt;&lt;wsp:rsid wsp:val=&quot;00442513&quot;/&gt;&lt;wsp:rsid wsp:val=&quot;00443A3C&quot;/&gt;&lt;wsp:rsid wsp:val=&quot;004453A8&quot;/&gt;&lt;wsp:rsid wsp:val=&quot;004516E8&quot;/&gt;&lt;wsp:rsid wsp:val=&quot;00452047&quot;/&gt;&lt;wsp:rsid wsp:val=&quot;00452B42&quot;/&gt;&lt;wsp:rsid wsp:val=&quot;0045456C&quot;/&gt;&lt;wsp:rsid wsp:val=&quot;00455557&quot;/&gt;&lt;wsp:rsid wsp:val=&quot;00465FF8&quot;/&gt;&lt;wsp:rsid wsp:val=&quot;0046751C&quot;/&gt;&lt;wsp:rsid wsp:val=&quot;004715BA&quot;/&gt;&lt;wsp:rsid wsp:val=&quot;004722F8&quot;/&gt;&lt;wsp:rsid wsp:val=&quot;00475FA6&quot;/&gt;&lt;wsp:rsid wsp:val=&quot;0047607B&quot;/&gt;&lt;wsp:rsid wsp:val=&quot;004769E6&quot;/&gt;&lt;wsp:rsid wsp:val=&quot;00476EFD&quot;/&gt;&lt;wsp:rsid wsp:val=&quot;0048145B&quot;/&gt;&lt;wsp:rsid wsp:val=&quot;00481C76&quot;/&gt;&lt;wsp:rsid wsp:val=&quot;00485A0F&quot;/&gt;&lt;wsp:rsid wsp:val=&quot;004865C5&quot;/&gt;&lt;wsp:rsid wsp:val=&quot;0049140D&quot;/&gt;&lt;wsp:rsid wsp:val=&quot;00491E53&quot;/&gt;&lt;wsp:rsid wsp:val=&quot;00494D4C&quot;/&gt;&lt;wsp:rsid wsp:val=&quot;004B6B98&quot;/&gt;&lt;wsp:rsid wsp:val=&quot;004C1A0D&quot;/&gt;&lt;wsp:rsid wsp:val=&quot;004C3304&quot;/&gt;&lt;wsp:rsid wsp:val=&quot;004C45C8&quot;/&gt;&lt;wsp:rsid wsp:val=&quot;004D0F9A&quot;/&gt;&lt;wsp:rsid wsp:val=&quot;004D16A1&quot;/&gt;&lt;wsp:rsid wsp:val=&quot;004D1B62&quot;/&gt;&lt;wsp:rsid wsp:val=&quot;004D239F&quot;/&gt;&lt;wsp:rsid wsp:val=&quot;004D484A&quot;/&gt;&lt;wsp:rsid wsp:val=&quot;004D6A74&quot;/&gt;&lt;wsp:rsid wsp:val=&quot;004D7945&quot;/&gt;&lt;wsp:rsid wsp:val=&quot;004E0029&quot;/&gt;&lt;wsp:rsid wsp:val=&quot;004E1319&quot;/&gt;&lt;wsp:rsid wsp:val=&quot;004E3C0B&quot;/&gt;&lt;wsp:rsid wsp:val=&quot;004E632E&quot;/&gt;&lt;wsp:rsid wsp:val=&quot;004E64DF&quot;/&gt;&lt;wsp:rsid wsp:val=&quot;004F2383&quot;/&gt;&lt;wsp:rsid wsp:val=&quot;004F2749&quot;/&gt;&lt;wsp:rsid wsp:val=&quot;004F58C8&quot;/&gt;&lt;wsp:rsid wsp:val=&quot;004F5C4A&quot;/&gt;&lt;wsp:rsid wsp:val=&quot;005102E0&quot;/&gt;&lt;wsp:rsid wsp:val=&quot;005106B5&quot;/&gt;&lt;wsp:rsid wsp:val=&quot;00510909&quot;/&gt;&lt;wsp:rsid wsp:val=&quot;00510B8C&quot;/&gt;&lt;wsp:rsid wsp:val=&quot;00511750&quot;/&gt;&lt;wsp:rsid wsp:val=&quot;005121E6&quot;/&gt;&lt;wsp:rsid wsp:val=&quot;00513DDD&quot;/&gt;&lt;wsp:rsid wsp:val=&quot;005158A5&quot;/&gt;&lt;wsp:rsid wsp:val=&quot;005208E5&quot;/&gt;&lt;wsp:rsid wsp:val=&quot;005230B0&quot;/&gt;&lt;wsp:rsid wsp:val=&quot;00527220&quot;/&gt;&lt;wsp:rsid wsp:val=&quot;005324A3&quot;/&gt;&lt;wsp:rsid wsp:val=&quot;00532754&quot;/&gt;&lt;wsp:rsid wsp:val=&quot;005346C7&quot;/&gt;&lt;wsp:rsid wsp:val=&quot;00534F42&quot;/&gt;&lt;wsp:rsid wsp:val=&quot;0054212D&quot;/&gt;&lt;wsp:rsid wsp:val=&quot;00542D13&quot;/&gt;&lt;wsp:rsid wsp:val=&quot;00543679&quot;/&gt;&lt;wsp:rsid wsp:val=&quot;00547F78&quot;/&gt;&lt;wsp:rsid wsp:val=&quot;00550072&quot;/&gt;&lt;wsp:rsid wsp:val=&quot;0055124F&quot;/&gt;&lt;wsp:rsid wsp:val=&quot;005641C1&quot;/&gt;&lt;wsp:rsid wsp:val=&quot;005763A2&quot;/&gt;&lt;wsp:rsid wsp:val=&quot;00580E18&quot;/&gt;&lt;wsp:rsid wsp:val=&quot;00581BA1&quot;/&gt;&lt;wsp:rsid wsp:val=&quot;005822CB&quot;/&gt;&lt;wsp:rsid wsp:val=&quot;00582733&quot;/&gt;&lt;wsp:rsid wsp:val=&quot;00582EB6&quot;/&gt;&lt;wsp:rsid wsp:val=&quot;00583A69&quot;/&gt;&lt;wsp:rsid wsp:val=&quot;00584CB6&quot;/&gt;&lt;wsp:rsid wsp:val=&quot;00590768&quot;/&gt;&lt;wsp:rsid wsp:val=&quot;00590A14&quot;/&gt;&lt;wsp:rsid wsp:val=&quot;00594592&quot;/&gt;&lt;wsp:rsid wsp:val=&quot;005964F9&quot;/&gt;&lt;wsp:rsid wsp:val=&quot;005A4332&quot;/&gt;&lt;wsp:rsid wsp:val=&quot;005A5897&quot;/&gt;&lt;wsp:rsid wsp:val=&quot;005B0814&quot;/&gt;&lt;wsp:rsid wsp:val=&quot;005B7800&quot;/&gt;&lt;wsp:rsid wsp:val=&quot;005C02B4&quot;/&gt;&lt;wsp:rsid wsp:val=&quot;005C3EE5&quot;/&gt;&lt;wsp:rsid wsp:val=&quot;005D4B05&quot;/&gt;&lt;wsp:rsid wsp:val=&quot;005D5BEA&quot;/&gt;&lt;wsp:rsid wsp:val=&quot;005E13F7&quot;/&gt;&lt;wsp:rsid wsp:val=&quot;005E3CC9&quot;/&gt;&lt;wsp:rsid wsp:val=&quot;005E4AB4&quot;/&gt;&lt;wsp:rsid wsp:val=&quot;005F1ED8&quot;/&gt;&lt;wsp:rsid wsp:val=&quot;005F30C6&quot;/&gt;&lt;wsp:rsid wsp:val=&quot;00600357&quot;/&gt;&lt;wsp:rsid wsp:val=&quot;00603AC3&quot;/&gt;&lt;wsp:rsid wsp:val=&quot;00604BDE&quot;/&gt;&lt;wsp:rsid wsp:val=&quot;006063E1&quot;/&gt;&lt;wsp:rsid wsp:val=&quot;006065DB&quot;/&gt;&lt;wsp:rsid wsp:val=&quot;00610900&quot;/&gt;&lt;wsp:rsid wsp:val=&quot;00616292&quot;/&gt;&lt;wsp:rsid wsp:val=&quot;00621AA5&quot;/&gt;&lt;wsp:rsid wsp:val=&quot;006301BA&quot;/&gt;&lt;wsp:rsid wsp:val=&quot;00630692&quot;/&gt;&lt;wsp:rsid wsp:val=&quot;006466A7&quot;/&gt;&lt;wsp:rsid wsp:val=&quot;00647F02&quot;/&gt;&lt;wsp:rsid wsp:val=&quot;00651035&quot;/&gt;&lt;wsp:rsid wsp:val=&quot;00653AC5&quot;/&gt;&lt;wsp:rsid wsp:val=&quot;00655112&quot;/&gt;&lt;wsp:rsid wsp:val=&quot;0065555D&quot;/&gt;&lt;wsp:rsid wsp:val=&quot;00655CD8&quot;/&gt;&lt;wsp:rsid wsp:val=&quot;006631EE&quot;/&gt;&lt;wsp:rsid wsp:val=&quot;00663D09&quot;/&gt;&lt;wsp:rsid wsp:val=&quot;00671981&quot;/&gt;&lt;wsp:rsid wsp:val=&quot;00671EA8&quot;/&gt;&lt;wsp:rsid wsp:val=&quot;0067217C&quot;/&gt;&lt;wsp:rsid wsp:val=&quot;0067544F&quot;/&gt;&lt;wsp:rsid wsp:val=&quot;0068025B&quot;/&gt;&lt;wsp:rsid wsp:val=&quot;00682912&quot;/&gt;&lt;wsp:rsid wsp:val=&quot;006847EF&quot;/&gt;&lt;wsp:rsid wsp:val=&quot;00684C06&quot;/&gt;&lt;wsp:rsid wsp:val=&quot;00691997&quot;/&gt;&lt;wsp:rsid wsp:val=&quot;00693629&quot;/&gt;&lt;wsp:rsid wsp:val=&quot;006941D3&quot;/&gt;&lt;wsp:rsid wsp:val=&quot;0069434C&quot;/&gt;&lt;wsp:rsid wsp:val=&quot;00697B3C&quot;/&gt;&lt;wsp:rsid wsp:val=&quot;006A0977&quot;/&gt;&lt;wsp:rsid wsp:val=&quot;006A194B&quot;/&gt;&lt;wsp:rsid wsp:val=&quot;006A1BF7&quot;/&gt;&lt;wsp:rsid wsp:val=&quot;006A1C8B&quot;/&gt;&lt;wsp:rsid wsp:val=&quot;006A2DF7&quot;/&gt;&lt;wsp:rsid wsp:val=&quot;006A47D8&quot;/&gt;&lt;wsp:rsid wsp:val=&quot;006B1BB0&quot;/&gt;&lt;wsp:rsid wsp:val=&quot;006B1BE5&quot;/&gt;&lt;wsp:rsid wsp:val=&quot;006B6443&quot;/&gt;&lt;wsp:rsid wsp:val=&quot;006B6CEE&quot;/&gt;&lt;wsp:rsid wsp:val=&quot;006B780F&quot;/&gt;&lt;wsp:rsid wsp:val=&quot;006B7CA6&quot;/&gt;&lt;wsp:rsid wsp:val=&quot;006C607D&quot;/&gt;&lt;wsp:rsid wsp:val=&quot;006C6E44&quot;/&gt;&lt;wsp:rsid wsp:val=&quot;006D7AEC&quot;/&gt;&lt;wsp:rsid wsp:val=&quot;006E33FC&quot;/&gt;&lt;wsp:rsid wsp:val=&quot;006E42AE&quot;/&gt;&lt;wsp:rsid wsp:val=&quot;006E6637&quot;/&gt;&lt;wsp:rsid wsp:val=&quot;006E7853&quot;/&gt;&lt;wsp:rsid wsp:val=&quot;006E7D2C&quot;/&gt;&lt;wsp:rsid wsp:val=&quot;006F0C3C&quot;/&gt;&lt;wsp:rsid wsp:val=&quot;006F647A&quot;/&gt;&lt;wsp:rsid wsp:val=&quot;006F6D54&quot;/&gt;&lt;wsp:rsid wsp:val=&quot;00700AF6&quot;/&gt;&lt;wsp:rsid wsp:val=&quot;007070D6&quot;/&gt;&lt;wsp:rsid wsp:val=&quot;007077E8&quot;/&gt;&lt;wsp:rsid wsp:val=&quot;00707BE5&quot;/&gt;&lt;wsp:rsid wsp:val=&quot;007103B6&quot;/&gt;&lt;wsp:rsid wsp:val=&quot;007111B9&quot;/&gt;&lt;wsp:rsid wsp:val=&quot;00714243&quot;/&gt;&lt;wsp:rsid wsp:val=&quot;0071596E&quot;/&gt;&lt;wsp:rsid wsp:val=&quot;00717EA5&quot;/&gt;&lt;wsp:rsid wsp:val=&quot;007210B2&quot;/&gt;&lt;wsp:rsid wsp:val=&quot;007216E2&quot;/&gt;&lt;wsp:rsid wsp:val=&quot;007225A3&quot;/&gt;&lt;wsp:rsid wsp:val=&quot;00722ADC&quot;/&gt;&lt;wsp:rsid wsp:val=&quot;007240BF&quot;/&gt;&lt;wsp:rsid wsp:val=&quot;00725328&quot;/&gt;&lt;wsp:rsid wsp:val=&quot;00730879&quot;/&gt;&lt;wsp:rsid wsp:val=&quot;00731127&quot;/&gt;&lt;wsp:rsid wsp:val=&quot;00731744&quot;/&gt;&lt;wsp:rsid wsp:val=&quot;00731AE9&quot;/&gt;&lt;wsp:rsid wsp:val=&quot;0073207F&quot;/&gt;&lt;wsp:rsid wsp:val=&quot;007333F0&quot;/&gt;&lt;wsp:rsid wsp:val=&quot;0073755E&quot;/&gt;&lt;wsp:rsid wsp:val=&quot;00742498&quot;/&gt;&lt;wsp:rsid wsp:val=&quot;00743591&quot;/&gt;&lt;wsp:rsid wsp:val=&quot;007447CF&quot;/&gt;&lt;wsp:rsid wsp:val=&quot;00747C18&quot;/&gt;&lt;wsp:rsid wsp:val=&quot;00762CFA&quot;/&gt;&lt;wsp:rsid wsp:val=&quot;00764A2B&quot;/&gt;&lt;wsp:rsid wsp:val=&quot;007767B1&quot;/&gt;&lt;wsp:rsid wsp:val=&quot;00781C58&quot;/&gt;&lt;wsp:rsid wsp:val=&quot;00783287&quot;/&gt;&lt;wsp:rsid wsp:val=&quot;00787AA0&quot;/&gt;&lt;wsp:rsid wsp:val=&quot;00792C82&quot;/&gt;&lt;wsp:rsid wsp:val=&quot;00793368&quot;/&gt;&lt;wsp:rsid wsp:val=&quot;007935D0&quot;/&gt;&lt;wsp:rsid wsp:val=&quot;00795042&quot;/&gt;&lt;wsp:rsid wsp:val=&quot;00795DB6&quot;/&gt;&lt;wsp:rsid wsp:val=&quot;00796037&quot;/&gt;&lt;wsp:rsid wsp:val=&quot;007A268B&quot;/&gt;&lt;wsp:rsid wsp:val=&quot;007A5496&quot;/&gt;&lt;wsp:rsid wsp:val=&quot;007A5869&quot;/&gt;&lt;wsp:rsid wsp:val=&quot;007A7229&quot;/&gt;&lt;wsp:rsid wsp:val=&quot;007B28C5&quot;/&gt;&lt;wsp:rsid wsp:val=&quot;007B5AE6&quot;/&gt;&lt;wsp:rsid wsp:val=&quot;007C27C7&quot;/&gt;&lt;wsp:rsid wsp:val=&quot;007C76BD&quot;/&gt;&lt;wsp:rsid wsp:val=&quot;007D19F5&quot;/&gt;&lt;wsp:rsid wsp:val=&quot;007D42AC&quot;/&gt;&lt;wsp:rsid wsp:val=&quot;007D7F05&quot;/&gt;&lt;wsp:rsid wsp:val=&quot;007E3855&quot;/&gt;&lt;wsp:rsid wsp:val=&quot;007F47E0&quot;/&gt;&lt;wsp:rsid wsp:val=&quot;008005A0&quot;/&gt;&lt;wsp:rsid wsp:val=&quot;00800A44&quot;/&gt;&lt;wsp:rsid wsp:val=&quot;00805B08&quot;/&gt;&lt;wsp:rsid wsp:val=&quot;00812B1B&quot;/&gt;&lt;wsp:rsid wsp:val=&quot;00814695&quot;/&gt;&lt;wsp:rsid wsp:val=&quot;00814C0B&quot;/&gt;&lt;wsp:rsid wsp:val=&quot;00820640&quot;/&gt;&lt;wsp:rsid wsp:val=&quot;00820B46&quot;/&gt;&lt;wsp:rsid wsp:val=&quot;00821680&quot;/&gt;&lt;wsp:rsid wsp:val=&quot;0082567B&quot;/&gt;&lt;wsp:rsid wsp:val=&quot;008258D8&quot;/&gt;&lt;wsp:rsid wsp:val=&quot;00827683&quot;/&gt;&lt;wsp:rsid wsp:val=&quot;00831DDF&quot;/&gt;&lt;wsp:rsid wsp:val=&quot;00832BCB&quot;/&gt;&lt;wsp:rsid wsp:val=&quot;008336E2&quot;/&gt;&lt;wsp:rsid wsp:val=&quot;00834868&quot;/&gt;&lt;wsp:rsid wsp:val=&quot;00835F8A&quot;/&gt;&lt;wsp:rsid wsp:val=&quot;00836188&quot;/&gt;&lt;wsp:rsid wsp:val=&quot;00836280&quot;/&gt;&lt;wsp:rsid wsp:val=&quot;008364FE&quot;/&gt;&lt;wsp:rsid wsp:val=&quot;00836EF4&quot;/&gt;&lt;wsp:rsid wsp:val=&quot;008402BE&quot;/&gt;&lt;wsp:rsid wsp:val=&quot;00841FAE&quot;/&gt;&lt;wsp:rsid wsp:val=&quot;008427DB&quot;/&gt;&lt;wsp:rsid wsp:val=&quot;008434EF&quot;/&gt;&lt;wsp:rsid wsp:val=&quot;008437E8&quot;/&gt;&lt;wsp:rsid wsp:val=&quot;00845BF2&quot;/&gt;&lt;wsp:rsid wsp:val=&quot;00846B2F&quot;/&gt;&lt;wsp:rsid wsp:val=&quot;00846CEC&quot;/&gt;&lt;wsp:rsid wsp:val=&quot;00850DA7&quot;/&gt;&lt;wsp:rsid wsp:val=&quot;008511CF&quot;/&gt;&lt;wsp:rsid wsp:val=&quot;00854313&quot;/&gt;&lt;wsp:rsid wsp:val=&quot;00857208&quot;/&gt;&lt;wsp:rsid wsp:val=&quot;0085785A&quot;/&gt;&lt;wsp:rsid wsp:val=&quot;008616CE&quot;/&gt;&lt;wsp:rsid wsp:val=&quot;00866006&quot;/&gt;&lt;wsp:rsid wsp:val=&quot;0086741C&quot;/&gt;&lt;wsp:rsid wsp:val=&quot;008678D9&quot;/&gt;&lt;wsp:rsid wsp:val=&quot;00870475&quot;/&gt;&lt;wsp:rsid wsp:val=&quot;0087487C&quot;/&gt;&lt;wsp:rsid wsp:val=&quot;00877667&quot;/&gt;&lt;wsp:rsid wsp:val=&quot;008804C5&quot;/&gt;&lt;wsp:rsid wsp:val=&quot;0088251F&quot;/&gt;&lt;wsp:rsid wsp:val=&quot;00884B1E&quot;/&gt;&lt;wsp:rsid wsp:val=&quot;00894FF0&quot;/&gt;&lt;wsp:rsid wsp:val=&quot;00896227&quot;/&gt;&lt;wsp:rsid wsp:val=&quot;008A254E&quot;/&gt;&lt;wsp:rsid wsp:val=&quot;008A6504&quot;/&gt;&lt;wsp:rsid wsp:val=&quot;008A77CD&quot;/&gt;&lt;wsp:rsid wsp:val=&quot;008B00D0&quot;/&gt;&lt;wsp:rsid wsp:val=&quot;008B64EB&quot;/&gt;&lt;wsp:rsid wsp:val=&quot;008D04BD&quot;/&gt;&lt;wsp:rsid wsp:val=&quot;008D2D7A&quot;/&gt;&lt;wsp:rsid wsp:val=&quot;008D7981&quot;/&gt;&lt;wsp:rsid wsp:val=&quot;008E0084&quot;/&gt;&lt;wsp:rsid wsp:val=&quot;008E2364&quot;/&gt;&lt;wsp:rsid wsp:val=&quot;008E74DA&quot;/&gt;&lt;wsp:rsid wsp:val=&quot;008F0363&quot;/&gt;&lt;wsp:rsid wsp:val=&quot;008F0FD4&quot;/&gt;&lt;wsp:rsid wsp:val=&quot;008F1FB8&quot;/&gt;&lt;wsp:rsid wsp:val=&quot;008F4061&quot;/&gt;&lt;wsp:rsid wsp:val=&quot;008F47F6&quot;/&gt;&lt;wsp:rsid wsp:val=&quot;008F563A&quot;/&gt;&lt;wsp:rsid wsp:val=&quot;00900358&quot;/&gt;&lt;wsp:rsid wsp:val=&quot;009037EF&quot;/&gt;&lt;wsp:rsid wsp:val=&quot;009046D3&quot;/&gt;&lt;wsp:rsid wsp:val=&quot;00907D7E&quot;/&gt;&lt;wsp:rsid wsp:val=&quot;009105F7&quot;/&gt;&lt;wsp:rsid wsp:val=&quot;009127D1&quot;/&gt;&lt;wsp:rsid wsp:val=&quot;00913408&quot;/&gt;&lt;wsp:rsid wsp:val=&quot;00916FDF&quot;/&gt;&lt;wsp:rsid wsp:val=&quot;009204DD&quot;/&gt;&lt;wsp:rsid wsp:val=&quot;00924E90&quot;/&gt;&lt;wsp:rsid wsp:val=&quot;00925219&quot;/&gt;&lt;wsp:rsid wsp:val=&quot;009252F4&quot;/&gt;&lt;wsp:rsid wsp:val=&quot;009255B0&quot;/&gt;&lt;wsp:rsid wsp:val=&quot;00926FC6&quot;/&gt;&lt;wsp:rsid wsp:val=&quot;0093103E&quot;/&gt;&lt;wsp:rsid wsp:val=&quot;0093377A&quot;/&gt;&lt;wsp:rsid wsp:val=&quot;00933997&quot;/&gt;&lt;wsp:rsid wsp:val=&quot;00933F79&quot;/&gt;&lt;wsp:rsid wsp:val=&quot;0093418B&quot;/&gt;&lt;wsp:rsid wsp:val=&quot;00935430&quot;/&gt;&lt;wsp:rsid wsp:val=&quot;0094402D&quot;/&gt;&lt;wsp:rsid wsp:val=&quot;00947133&quot;/&gt;&lt;wsp:rsid wsp:val=&quot;00947A19&quot;/&gt;&lt;wsp:rsid wsp:val=&quot;00950297&quot;/&gt;&lt;wsp:rsid wsp:val=&quot;00950CC8&quot;/&gt;&lt;wsp:rsid wsp:val=&quot;009541C6&quot;/&gt;&lt;wsp:rsid wsp:val=&quot;00955235&quot;/&gt;&lt;wsp:rsid wsp:val=&quot;00955E20&quot;/&gt;&lt;wsp:rsid wsp:val=&quot;00956983&quot;/&gt;&lt;wsp:rsid wsp:val=&quot;00956D0D&quot;/&gt;&lt;wsp:rsid wsp:val=&quot;00957EF1&quot;/&gt;&lt;wsp:rsid wsp:val=&quot;009665D3&quot;/&gt;&lt;wsp:rsid wsp:val=&quot;009673DF&quot;/&gt;&lt;wsp:rsid wsp:val=&quot;00970553&quot;/&gt;&lt;wsp:rsid wsp:val=&quot;00970DB9&quot;/&gt;&lt;wsp:rsid wsp:val=&quot;00976185&quot;/&gt;&lt;wsp:rsid wsp:val=&quot;00987183&quot;/&gt;&lt;wsp:rsid wsp:val=&quot;009879AC&quot;/&gt;&lt;wsp:rsid wsp:val=&quot;00991A3D&quot;/&gt;&lt;wsp:rsid wsp:val=&quot;00991D3D&quot;/&gt;&lt;wsp:rsid wsp:val=&quot;00995D4E&quot;/&gt;&lt;wsp:rsid wsp:val=&quot;009A32C1&quot;/&gt;&lt;wsp:rsid wsp:val=&quot;009B4A02&quot;/&gt;&lt;wsp:rsid wsp:val=&quot;009B532C&quot;/&gt;&lt;wsp:rsid wsp:val=&quot;009B7107&quot;/&gt;&lt;wsp:rsid wsp:val=&quot;009B7F62&quot;/&gt;&lt;wsp:rsid wsp:val=&quot;009C3322&quot;/&gt;&lt;wsp:rsid wsp:val=&quot;009C5AEE&quot;/&gt;&lt;wsp:rsid wsp:val=&quot;009C630E&quot;/&gt;&lt;wsp:rsid wsp:val=&quot;009D5375&quot;/&gt;&lt;wsp:rsid wsp:val=&quot;009D7683&quot;/&gt;&lt;wsp:rsid wsp:val=&quot;009E40B3&quot;/&gt;&lt;wsp:rsid wsp:val=&quot;009E7572&quot;/&gt;&lt;wsp:rsid wsp:val=&quot;009E75BC&quot;/&gt;&lt;wsp:rsid wsp:val=&quot;009F123C&quot;/&gt;&lt;wsp:rsid wsp:val=&quot;009F22FC&quot;/&gt;&lt;wsp:rsid wsp:val=&quot;00A01EC0&quot;/&gt;&lt;wsp:rsid wsp:val=&quot;00A028A5&quot;/&gt;&lt;wsp:rsid wsp:val=&quot;00A058EF&quot;/&gt;&lt;wsp:rsid wsp:val=&quot;00A05FAA&quot;/&gt;&lt;wsp:rsid wsp:val=&quot;00A1101F&quot;/&gt;&lt;wsp:rsid wsp:val=&quot;00A12077&quot;/&gt;&lt;wsp:rsid wsp:val=&quot;00A224A9&quot;/&gt;&lt;wsp:rsid wsp:val=&quot;00A229D0&quot;/&gt;&lt;wsp:rsid wsp:val=&quot;00A27BA4&quot;/&gt;&lt;wsp:rsid wsp:val=&quot;00A33F2D&quot;/&gt;&lt;wsp:rsid wsp:val=&quot;00A33FC1&quot;/&gt;&lt;wsp:rsid wsp:val=&quot;00A37AD1&quot;/&gt;&lt;wsp:rsid wsp:val=&quot;00A40E8E&quot;/&gt;&lt;wsp:rsid wsp:val=&quot;00A463C4&quot;/&gt;&lt;wsp:rsid wsp:val=&quot;00A46DB5&quot;/&gt;&lt;wsp:rsid wsp:val=&quot;00A54022&quot;/&gt;&lt;wsp:rsid wsp:val=&quot;00A57CF1&quot;/&gt;&lt;wsp:rsid wsp:val=&quot;00A62484&quot;/&gt;&lt;wsp:rsid wsp:val=&quot;00A62D40&quot;/&gt;&lt;wsp:rsid wsp:val=&quot;00A66C04&quot;/&gt;&lt;wsp:rsid wsp:val=&quot;00A7023E&quot;/&gt;&lt;wsp:rsid wsp:val=&quot;00A706BB&quot;/&gt;&lt;wsp:rsid wsp:val=&quot;00A7597E&quot;/&gt;&lt;wsp:rsid wsp:val=&quot;00A75F68&quot;/&gt;&lt;wsp:rsid wsp:val=&quot;00A77358&quot;/&gt;&lt;wsp:rsid wsp:val=&quot;00A80EFE&quot;/&gt;&lt;wsp:rsid wsp:val=&quot;00A829DF&quot;/&gt;&lt;wsp:rsid wsp:val=&quot;00A9336D&quot;/&gt;&lt;wsp:rsid wsp:val=&quot;00A95319&quot;/&gt;&lt;wsp:rsid wsp:val=&quot;00A96FA6&quot;/&gt;&lt;wsp:rsid wsp:val=&quot;00A97B6D&quot;/&gt;&lt;wsp:rsid wsp:val=&quot;00AA0325&quot;/&gt;&lt;wsp:rsid wsp:val=&quot;00AA0B39&quot;/&gt;&lt;wsp:rsid wsp:val=&quot;00AA109C&quot;/&gt;&lt;wsp:rsid wsp:val=&quot;00AA68AE&quot;/&gt;&lt;wsp:rsid wsp:val=&quot;00AB09CF&quot;/&gt;&lt;wsp:rsid wsp:val=&quot;00AB32A7&quot;/&gt;&lt;wsp:rsid wsp:val=&quot;00AB3B45&quot;/&gt;&lt;wsp:rsid wsp:val=&quot;00AB3F6D&quot;/&gt;&lt;wsp:rsid wsp:val=&quot;00AC033C&quot;/&gt;&lt;wsp:rsid wsp:val=&quot;00AC1622&quot;/&gt;&lt;wsp:rsid wsp:val=&quot;00AC1EFF&quot;/&gt;&lt;wsp:rsid wsp:val=&quot;00AC35F7&quot;/&gt;&lt;wsp:rsid wsp:val=&quot;00AC3FF5&quot;/&gt;&lt;wsp:rsid wsp:val=&quot;00AC4330&quot;/&gt;&lt;wsp:rsid wsp:val=&quot;00AC60E7&quot;/&gt;&lt;wsp:rsid wsp:val=&quot;00AD2461&quot;/&gt;&lt;wsp:rsid wsp:val=&quot;00AD57B5&quot;/&gt;&lt;wsp:rsid wsp:val=&quot;00AD655D&quot;/&gt;&lt;wsp:rsid wsp:val=&quot;00AD6688&quot;/&gt;&lt;wsp:rsid wsp:val=&quot;00AD6A56&quot;/&gt;&lt;wsp:rsid wsp:val=&quot;00AD6B32&quot;/&gt;&lt;wsp:rsid wsp:val=&quot;00AD6C93&quot;/&gt;&lt;wsp:rsid wsp:val=&quot;00AD79FD&quot;/&gt;&lt;wsp:rsid wsp:val=&quot;00AE0417&quot;/&gt;&lt;wsp:rsid wsp:val=&quot;00AE164A&quot;/&gt;&lt;wsp:rsid wsp:val=&quot;00AE4B78&quot;/&gt;&lt;wsp:rsid wsp:val=&quot;00AE7E60&quot;/&gt;&lt;wsp:rsid wsp:val=&quot;00AF4025&quot;/&gt;&lt;wsp:rsid wsp:val=&quot;00AF4FB9&quot;/&gt;&lt;wsp:rsid wsp:val=&quot;00AF71B8&quot;/&gt;&lt;wsp:rsid wsp:val=&quot;00AF7449&quot;/&gt;&lt;wsp:rsid wsp:val=&quot;00AF7C18&quot;/&gt;&lt;wsp:rsid wsp:val=&quot;00B02ED0&quot;/&gt;&lt;wsp:rsid wsp:val=&quot;00B0537E&quot;/&gt;&lt;wsp:rsid wsp:val=&quot;00B0643C&quot;/&gt;&lt;wsp:rsid wsp:val=&quot;00B07DF3&quot;/&gt;&lt;wsp:rsid wsp:val=&quot;00B10FCB&quot;/&gt;&lt;wsp:rsid wsp:val=&quot;00B13D14&quot;/&gt;&lt;wsp:rsid wsp:val=&quot;00B15AF2&quot;/&gt;&lt;wsp:rsid wsp:val=&quot;00B16D7F&quot;/&gt;&lt;wsp:rsid wsp:val=&quot;00B23B93&quot;/&gt;&lt;wsp:rsid wsp:val=&quot;00B33FC7&quot;/&gt;&lt;wsp:rsid wsp:val=&quot;00B3455D&quot;/&gt;&lt;wsp:rsid wsp:val=&quot;00B358FE&quot;/&gt;&lt;wsp:rsid wsp:val=&quot;00B36583&quot;/&gt;&lt;wsp:rsid wsp:val=&quot;00B37CF1&quot;/&gt;&lt;wsp:rsid wsp:val=&quot;00B40A9A&quot;/&gt;&lt;wsp:rsid wsp:val=&quot;00B40DD2&quot;/&gt;&lt;wsp:rsid wsp:val=&quot;00B4137D&quot;/&gt;&lt;wsp:rsid wsp:val=&quot;00B425A7&quot;/&gt;&lt;wsp:rsid wsp:val=&quot;00B43B29&quot;/&gt;&lt;wsp:rsid wsp:val=&quot;00B43C47&quot;/&gt;&lt;wsp:rsid wsp:val=&quot;00B52465&quot;/&gt;&lt;wsp:rsid wsp:val=&quot;00B5283A&quot;/&gt;&lt;wsp:rsid wsp:val=&quot;00B54ED8&quot;/&gt;&lt;wsp:rsid wsp:val=&quot;00B55194&quot;/&gt;&lt;wsp:rsid wsp:val=&quot;00B55756&quot;/&gt;&lt;wsp:rsid wsp:val=&quot;00B55AE9&quot;/&gt;&lt;wsp:rsid wsp:val=&quot;00B62499&quot;/&gt;&lt;wsp:rsid wsp:val=&quot;00B6281B&quot;/&gt;&lt;wsp:rsid wsp:val=&quot;00B6473E&quot;/&gt;&lt;wsp:rsid wsp:val=&quot;00B64F51&quot;/&gt;&lt;wsp:rsid wsp:val=&quot;00B666FA&quot;/&gt;&lt;wsp:rsid wsp:val=&quot;00B66ED9&quot;/&gt;&lt;wsp:rsid wsp:val=&quot;00B67FF5&quot;/&gt;&lt;wsp:rsid wsp:val=&quot;00B7206C&quot;/&gt;&lt;wsp:rsid wsp:val=&quot;00B77760&quot;/&gt;&lt;wsp:rsid wsp:val=&quot;00B82F42&quot;/&gt;&lt;wsp:rsid wsp:val=&quot;00B84101&quot;/&gt;&lt;wsp:rsid wsp:val=&quot;00B87C6F&quot;/&gt;&lt;wsp:rsid wsp:val=&quot;00B933E7&quot;/&gt;&lt;wsp:rsid wsp:val=&quot;00BA1BF4&quot;/&gt;&lt;wsp:rsid wsp:val=&quot;00BA2259&quot;/&gt;&lt;wsp:rsid wsp:val=&quot;00BA5CF1&quot;/&gt;&lt;wsp:rsid wsp:val=&quot;00BA601B&quot;/&gt;&lt;wsp:rsid wsp:val=&quot;00BA7D3F&quot;/&gt;&lt;wsp:rsid wsp:val=&quot;00BB0594&quot;/&gt;&lt;wsp:rsid wsp:val=&quot;00BB3EF9&quot;/&gt;&lt;wsp:rsid wsp:val=&quot;00BB4AD9&quot;/&gt;&lt;wsp:rsid wsp:val=&quot;00BB4C84&quot;/&gt;&lt;wsp:rsid wsp:val=&quot;00BB536C&quot;/&gt;&lt;wsp:rsid wsp:val=&quot;00BB6701&quot;/&gt;&lt;wsp:rsid wsp:val=&quot;00BC5770&quot;/&gt;&lt;wsp:rsid wsp:val=&quot;00BC5D5A&quot;/&gt;&lt;wsp:rsid wsp:val=&quot;00BC77FB&quot;/&gt;&lt;wsp:rsid wsp:val=&quot;00BD29A2&quot;/&gt;&lt;wsp:rsid wsp:val=&quot;00BD56D4&quot;/&gt;&lt;wsp:rsid wsp:val=&quot;00BD6756&quot;/&gt;&lt;wsp:rsid wsp:val=&quot;00BE2149&quot;/&gt;&lt;wsp:rsid wsp:val=&quot;00BE42D2&quot;/&gt;&lt;wsp:rsid wsp:val=&quot;00BE49AE&quot;/&gt;&lt;wsp:rsid wsp:val=&quot;00BE6479&quot;/&gt;&lt;wsp:rsid wsp:val=&quot;00BE6520&quot;/&gt;&lt;wsp:rsid wsp:val=&quot;00BE752A&quot;/&gt;&lt;wsp:rsid wsp:val=&quot;00BF01B3&quot;/&gt;&lt;wsp:rsid wsp:val=&quot;00BF0592&quot;/&gt;&lt;wsp:rsid wsp:val=&quot;00BF1112&quot;/&gt;&lt;wsp:rsid wsp:val=&quot;00BF139C&quot;/&gt;&lt;wsp:rsid wsp:val=&quot;00BF1542&quot;/&gt;&lt;wsp:rsid wsp:val=&quot;00BF3808&quot;/&gt;&lt;wsp:rsid wsp:val=&quot;00BF5151&quot;/&gt;&lt;wsp:rsid wsp:val=&quot;00BF6F42&quot;/&gt;&lt;wsp:rsid wsp:val=&quot;00BF7A62&quot;/&gt;&lt;wsp:rsid wsp:val=&quot;00C02216&quot;/&gt;&lt;wsp:rsid wsp:val=&quot;00C02615&quot;/&gt;&lt;wsp:rsid wsp:val=&quot;00C04194&quot;/&gt;&lt;wsp:rsid wsp:val=&quot;00C04322&quot;/&gt;&lt;wsp:rsid wsp:val=&quot;00C12C0C&quot;/&gt;&lt;wsp:rsid wsp:val=&quot;00C167D7&quot;/&gt;&lt;wsp:rsid wsp:val=&quot;00C17783&quot;/&gt;&lt;wsp:rsid wsp:val=&quot;00C200EF&quot;/&gt;&lt;wsp:rsid wsp:val=&quot;00C217BA&quot;/&gt;&lt;wsp:rsid wsp:val=&quot;00C2317E&quot;/&gt;&lt;wsp:rsid wsp:val=&quot;00C25311&quot;/&gt;&lt;wsp:rsid wsp:val=&quot;00C264A5&quot;/&gt;&lt;wsp:rsid wsp:val=&quot;00C32A4F&quot;/&gt;&lt;wsp:rsid wsp:val=&quot;00C362DB&quot;/&gt;&lt;wsp:rsid wsp:val=&quot;00C379AC&quot;/&gt;&lt;wsp:rsid wsp:val=&quot;00C42537&quot;/&gt;&lt;wsp:rsid wsp:val=&quot;00C42C38&quot;/&gt;&lt;wsp:rsid wsp:val=&quot;00C445B8&quot;/&gt;&lt;wsp:rsid wsp:val=&quot;00C44E85&quot;/&gt;&lt;wsp:rsid wsp:val=&quot;00C45CFE&quot;/&gt;&lt;wsp:rsid wsp:val=&quot;00C50BAD&quot;/&gt;&lt;wsp:rsid wsp:val=&quot;00C5305D&quot;/&gt;&lt;wsp:rsid wsp:val=&quot;00C54634&quot;/&gt;&lt;wsp:rsid wsp:val=&quot;00C548D1&quot;/&gt;&lt;wsp:rsid wsp:val=&quot;00C54D57&quot;/&gt;&lt;wsp:rsid wsp:val=&quot;00C61793&quot;/&gt;&lt;wsp:rsid wsp:val=&quot;00C65BFC&quot;/&gt;&lt;wsp:rsid wsp:val=&quot;00C73F45&quot;/&gt;&lt;wsp:rsid wsp:val=&quot;00C854D6&quot;/&gt;&lt;wsp:rsid wsp:val=&quot;00C87FCF&quot;/&gt;&lt;wsp:rsid wsp:val=&quot;00C91B2A&quot;/&gt;&lt;wsp:rsid wsp:val=&quot;00C94789&quot;/&gt;&lt;wsp:rsid wsp:val=&quot;00C94BFF&quot;/&gt;&lt;wsp:rsid wsp:val=&quot;00C96237&quot;/&gt;&lt;wsp:rsid wsp:val=&quot;00CA4881&quot;/&gt;&lt;wsp:rsid wsp:val=&quot;00CA4945&quot;/&gt;&lt;wsp:rsid wsp:val=&quot;00CB0119&quot;/&gt;&lt;wsp:rsid wsp:val=&quot;00CB0F3A&quot;/&gt;&lt;wsp:rsid wsp:val=&quot;00CB4E09&quot;/&gt;&lt;wsp:rsid wsp:val=&quot;00CB7508&quot;/&gt;&lt;wsp:rsid wsp:val=&quot;00CC00C3&quot;/&gt;&lt;wsp:rsid wsp:val=&quot;00CC0800&quot;/&gt;&lt;wsp:rsid wsp:val=&quot;00CC2198&quot;/&gt;&lt;wsp:rsid wsp:val=&quot;00CC32CC&quot;/&gt;&lt;wsp:rsid wsp:val=&quot;00CD26F1&quot;/&gt;&lt;wsp:rsid wsp:val=&quot;00CD3FD3&quot;/&gt;&lt;wsp:rsid wsp:val=&quot;00CD47D6&quot;/&gt;&lt;wsp:rsid wsp:val=&quot;00CD693F&quot;/&gt;&lt;wsp:rsid wsp:val=&quot;00CD78A7&quot;/&gt;&lt;wsp:rsid wsp:val=&quot;00CD7C42&quot;/&gt;&lt;wsp:rsid wsp:val=&quot;00D02B60&quot;/&gt;&lt;wsp:rsid wsp:val=&quot;00D037FE&quot;/&gt;&lt;wsp:rsid wsp:val=&quot;00D03B1E&quot;/&gt;&lt;wsp:rsid wsp:val=&quot;00D0516C&quot;/&gt;&lt;wsp:rsid wsp:val=&quot;00D070E9&quot;/&gt;&lt;wsp:rsid wsp:val=&quot;00D0722E&quot;/&gt;&lt;wsp:rsid wsp:val=&quot;00D07883&quot;/&gt;&lt;wsp:rsid wsp:val=&quot;00D11058&quot;/&gt;&lt;wsp:rsid wsp:val=&quot;00D15223&quot;/&gt;&lt;wsp:rsid wsp:val=&quot;00D1570F&quot;/&gt;&lt;wsp:rsid wsp:val=&quot;00D17DC6&quot;/&gt;&lt;wsp:rsid wsp:val=&quot;00D23F4B&quot;/&gt;&lt;wsp:rsid wsp:val=&quot;00D27B39&quot;/&gt;&lt;wsp:rsid wsp:val=&quot;00D31D9E&quot;/&gt;&lt;wsp:rsid wsp:val=&quot;00D41D52&quot;/&gt;&lt;wsp:rsid wsp:val=&quot;00D469D8&quot;/&gt;&lt;wsp:rsid wsp:val=&quot;00D46F12&quot;/&gt;&lt;wsp:rsid wsp:val=&quot;00D47F91&quot;/&gt;&lt;wsp:rsid wsp:val=&quot;00D52D7C&quot;/&gt;&lt;wsp:rsid wsp:val=&quot;00D535AA&quot;/&gt;&lt;wsp:rsid wsp:val=&quot;00D63CA9&quot;/&gt;&lt;wsp:rsid wsp:val=&quot;00D672D9&quot;/&gt;&lt;wsp:rsid wsp:val=&quot;00D72A9E&quot;/&gt;&lt;wsp:rsid wsp:val=&quot;00D8030C&quot;/&gt;&lt;wsp:rsid wsp:val=&quot;00D814BE&quot;/&gt;&lt;wsp:rsid wsp:val=&quot;00D9380C&quot;/&gt;&lt;wsp:rsid wsp:val=&quot;00D93BD0&quot;/&gt;&lt;wsp:rsid wsp:val=&quot;00D94925&quot;/&gt;&lt;wsp:rsid wsp:val=&quot;00D95AD6&quot;/&gt;&lt;wsp:rsid wsp:val=&quot;00D9664D&quot;/&gt;&lt;wsp:rsid wsp:val=&quot;00D96C67&quot;/&gt;&lt;wsp:rsid wsp:val=&quot;00D9740D&quot;/&gt;&lt;wsp:rsid wsp:val=&quot;00DA4A90&quot;/&gt;&lt;wsp:rsid wsp:val=&quot;00DA4BF6&quot;/&gt;&lt;wsp:rsid wsp:val=&quot;00DB6EBB&quot;/&gt;&lt;wsp:rsid wsp:val=&quot;00DB7A0A&quot;/&gt;&lt;wsp:rsid wsp:val=&quot;00DC0EE2&quot;/&gt;&lt;wsp:rsid wsp:val=&quot;00DC75C9&quot;/&gt;&lt;wsp:rsid wsp:val=&quot;00DC78B6&quot;/&gt;&lt;wsp:rsid wsp:val=&quot;00DD1234&quot;/&gt;&lt;wsp:rsid wsp:val=&quot;00DD2D14&quot;/&gt;&lt;wsp:rsid wsp:val=&quot;00DD492C&quot;/&gt;&lt;wsp:rsid wsp:val=&quot;00DD4B80&quot;/&gt;&lt;wsp:rsid wsp:val=&quot;00DE5677&quot;/&gt;&lt;wsp:rsid wsp:val=&quot;00DF0154&quot;/&gt;&lt;wsp:rsid wsp:val=&quot;00DF0868&quot;/&gt;&lt;wsp:rsid wsp:val=&quot;00DF0C3E&quot;/&gt;&lt;wsp:rsid wsp:val=&quot;00DF3D4F&quot;/&gt;&lt;wsp:rsid wsp:val=&quot;00DF4C54&quot;/&gt;&lt;wsp:rsid wsp:val=&quot;00DF64E4&quot;/&gt;&lt;wsp:rsid wsp:val=&quot;00DF6D08&quot;/&gt;&lt;wsp:rsid wsp:val=&quot;00DF78D2&quot;/&gt;&lt;wsp:rsid wsp:val=&quot;00E0204B&quot;/&gt;&lt;wsp:rsid wsp:val=&quot;00E041F4&quot;/&gt;&lt;wsp:rsid wsp:val=&quot;00E113E1&quot;/&gt;&lt;wsp:rsid wsp:val=&quot;00E1297B&quot;/&gt;&lt;wsp:rsid wsp:val=&quot;00E12A19&quot;/&gt;&lt;wsp:rsid wsp:val=&quot;00E13002&quot;/&gt;&lt;wsp:rsid wsp:val=&quot;00E13FCC&quot;/&gt;&lt;wsp:rsid wsp:val=&quot;00E21674&quot;/&gt;&lt;wsp:rsid wsp:val=&quot;00E23C9C&quot;/&gt;&lt;wsp:rsid wsp:val=&quot;00E25A86&quot;/&gt;&lt;wsp:rsid wsp:val=&quot;00E269D3&quot;/&gt;&lt;wsp:rsid wsp:val=&quot;00E33ADD&quot;/&gt;&lt;wsp:rsid wsp:val=&quot;00E36BE0&quot;/&gt;&lt;wsp:rsid wsp:val=&quot;00E40B47&quot;/&gt;&lt;wsp:rsid wsp:val=&quot;00E422C7&quot;/&gt;&lt;wsp:rsid wsp:val=&quot;00E4280E&quot;/&gt;&lt;wsp:rsid wsp:val=&quot;00E42E98&quot;/&gt;&lt;wsp:rsid wsp:val=&quot;00E43EB4&quot;/&gt;&lt;wsp:rsid wsp:val=&quot;00E468CF&quot;/&gt;&lt;wsp:rsid wsp:val=&quot;00E5215C&quot;/&gt;&lt;wsp:rsid wsp:val=&quot;00E521D1&quot;/&gt;&lt;wsp:rsid wsp:val=&quot;00E52C8F&quot;/&gt;&lt;wsp:rsid wsp:val=&quot;00E54272&quot;/&gt;&lt;wsp:rsid wsp:val=&quot;00E661CD&quot;/&gt;&lt;wsp:rsid wsp:val=&quot;00E66426&quot;/&gt;&lt;wsp:rsid wsp:val=&quot;00E75EEA&quot;/&gt;&lt;wsp:rsid wsp:val=&quot;00E7689B&quot;/&gt;&lt;wsp:rsid wsp:val=&quot;00E76CED&quot;/&gt;&lt;wsp:rsid wsp:val=&quot;00E80A5E&quot;/&gt;&lt;wsp:rsid wsp:val=&quot;00E90F4B&quot;/&gt;&lt;wsp:rsid wsp:val=&quot;00E92456&quot;/&gt;&lt;wsp:rsid wsp:val=&quot;00E93ECF&quot;/&gt;&lt;wsp:rsid wsp:val=&quot;00E959FA&quot;/&gt;&lt;wsp:rsid wsp:val=&quot;00EA2D4B&quot;/&gt;&lt;wsp:rsid wsp:val=&quot;00EA3816&quot;/&gt;&lt;wsp:rsid wsp:val=&quot;00EA5531&quot;/&gt;&lt;wsp:rsid wsp:val=&quot;00EA5C3E&quot;/&gt;&lt;wsp:rsid wsp:val=&quot;00EB0273&quot;/&gt;&lt;wsp:rsid wsp:val=&quot;00EB519D&quot;/&gt;&lt;wsp:rsid wsp:val=&quot;00EB7FA0&quot;/&gt;&lt;wsp:rsid wsp:val=&quot;00EC1060&quot;/&gt;&lt;wsp:rsid wsp:val=&quot;00EC1767&quot;/&gt;&lt;wsp:rsid wsp:val=&quot;00EC2505&quot;/&gt;&lt;wsp:rsid wsp:val=&quot;00EC4496&quot;/&gt;&lt;wsp:rsid wsp:val=&quot;00ED2242&quot;/&gt;&lt;wsp:rsid wsp:val=&quot;00ED3643&quot;/&gt;&lt;wsp:rsid wsp:val=&quot;00ED63FE&quot;/&gt;&lt;wsp:rsid wsp:val=&quot;00ED6778&quot;/&gt;&lt;wsp:rsid wsp:val=&quot;00EE0C64&quot;/&gt;&lt;wsp:rsid wsp:val=&quot;00EE0E20&quot;/&gt;&lt;wsp:rsid wsp:val=&quot;00EE27A6&quot;/&gt;&lt;wsp:rsid wsp:val=&quot;00EF65DC&quot;/&gt;&lt;wsp:rsid wsp:val=&quot;00F008B7&quot;/&gt;&lt;wsp:rsid wsp:val=&quot;00F01302&quot;/&gt;&lt;wsp:rsid wsp:val=&quot;00F02E29&quot;/&gt;&lt;wsp:rsid wsp:val=&quot;00F03966&quot;/&gt;&lt;wsp:rsid wsp:val=&quot;00F04046&quot;/&gt;&lt;wsp:rsid wsp:val=&quot;00F0489D&quot;/&gt;&lt;wsp:rsid wsp:val=&quot;00F076DF&quot;/&gt;&lt;wsp:rsid wsp:val=&quot;00F1378A&quot;/&gt;&lt;wsp:rsid wsp:val=&quot;00F149A0&quot;/&gt;&lt;wsp:rsid wsp:val=&quot;00F206BD&quot;/&gt;&lt;wsp:rsid wsp:val=&quot;00F2110F&quot;/&gt;&lt;wsp:rsid wsp:val=&quot;00F22764&quot;/&gt;&lt;wsp:rsid wsp:val=&quot;00F25C70&quot;/&gt;&lt;wsp:rsid wsp:val=&quot;00F304DE&quot;/&gt;&lt;wsp:rsid wsp:val=&quot;00F32FFF&quot;/&gt;&lt;wsp:rsid wsp:val=&quot;00F34C5F&quot;/&gt;&lt;wsp:rsid wsp:val=&quot;00F375BD&quot;/&gt;&lt;wsp:rsid wsp:val=&quot;00F45FE7&quot;/&gt;&lt;wsp:rsid wsp:val=&quot;00F46BF8&quot;/&gt;&lt;wsp:rsid wsp:val=&quot;00F47040&quot;/&gt;&lt;wsp:rsid wsp:val=&quot;00F53371&quot;/&gt;&lt;wsp:rsid wsp:val=&quot;00F560A9&quot;/&gt;&lt;wsp:rsid wsp:val=&quot;00F60CAB&quot;/&gt;&lt;wsp:rsid wsp:val=&quot;00F6395B&quot;/&gt;&lt;wsp:rsid wsp:val=&quot;00F64750&quot;/&gt;&lt;wsp:rsid wsp:val=&quot;00F7191C&quot;/&gt;&lt;wsp:rsid wsp:val=&quot;00F7224C&quot;/&gt;&lt;wsp:rsid wsp:val=&quot;00F72983&quot;/&gt;&lt;wsp:rsid wsp:val=&quot;00F730E4&quot;/&gt;&lt;wsp:rsid wsp:val=&quot;00F735EB&quot;/&gt;&lt;wsp:rsid wsp:val=&quot;00F73700&quot;/&gt;&lt;wsp:rsid wsp:val=&quot;00F74AD2&quot;/&gt;&lt;wsp:rsid wsp:val=&quot;00F802F5&quot;/&gt;&lt;wsp:rsid wsp:val=&quot;00F810DD&quot;/&gt;&lt;wsp:rsid wsp:val=&quot;00F85195&quot;/&gt;&lt;wsp:rsid wsp:val=&quot;00F91D2A&quot;/&gt;&lt;wsp:rsid wsp:val=&quot;00F92827&quot;/&gt;&lt;wsp:rsid wsp:val=&quot;00F93BDA&quot;/&gt;&lt;wsp:rsid wsp:val=&quot;00F93DFC&quot;/&gt;&lt;wsp:rsid wsp:val=&quot;00FA1A68&quot;/&gt;&lt;wsp:rsid wsp:val=&quot;00FA3DB3&quot;/&gt;&lt;wsp:rsid wsp:val=&quot;00FA567A&quot;/&gt;&lt;wsp:rsid wsp:val=&quot;00FA72D7&quot;/&gt;&lt;wsp:rsid wsp:val=&quot;00FA757B&quot;/&gt;&lt;wsp:rsid wsp:val=&quot;00FB027B&quot;/&gt;&lt;wsp:rsid wsp:val=&quot;00FB1FF5&quot;/&gt;&lt;wsp:rsid wsp:val=&quot;00FB3735&quot;/&gt;&lt;wsp:rsid wsp:val=&quot;00FB4BD9&quot;/&gt;&lt;wsp:rsid wsp:val=&quot;00FB4EBD&quot;/&gt;&lt;wsp:rsid wsp:val=&quot;00FB526B&quot;/&gt;&lt;wsp:rsid wsp:val=&quot;00FB5D5C&quot;/&gt;&lt;wsp:rsid wsp:val=&quot;00FC0EDA&quot;/&gt;&lt;wsp:rsid wsp:val=&quot;00FC1CB3&quot;/&gt;&lt;wsp:rsid wsp:val=&quot;00FC520E&quot;/&gt;&lt;wsp:rsid wsp:val=&quot;00FC6279&quot;/&gt;&lt;wsp:rsid wsp:val=&quot;00FC7043&quot;/&gt;&lt;wsp:rsid wsp:val=&quot;00FD0182&quot;/&gt;&lt;wsp:rsid wsp:val=&quot;00FD4B99&quot;/&gt;&lt;wsp:rsid wsp:val=&quot;00FD72CC&quot;/&gt;&lt;wsp:rsid wsp:val=&quot;00FE1944&quot;/&gt;&lt;wsp:rsid wsp:val=&quot;00FE4975&quot;/&gt;&lt;wsp:rsid wsp:val=&quot;00FE4A04&quot;/&gt;&lt;wsp:rsid wsp:val=&quot;00FF1704&quot;/&gt;&lt;wsp:rsid wsp:val=&quot;00FF263B&quot;/&gt;&lt;wsp:rsid wsp:val=&quot;00FF3359&quot;/&gt;&lt;wsp:rsid wsp:val=&quot;00FF4CFC&quot;/&gt;&lt;/wsp:rsids&gt;&lt;/w:docPr&gt;&lt;w:body&gt;&lt;wx:sect&gt;&lt;w:p wsp:rsidR=&quot;00000000&quot; wsp:rsidRDefault=&quot;00AA109C&quot; wsp:rsidP=&quot;00AA109C&quot;&gt;&lt;m:oMathPara&gt;&lt;m:oMath&gt;&lt;m:sSub&gt;&lt;m:sSubPr&gt;&lt;m:ctrlPr&gt;&lt;aml:annotation aml:id=&quot;0&quot; w:type=&quot;Word.Insertion&quot; aml:author=&quot;Microsoft Office User&quot; aml:createdate=&quot;2017-05-22T21:56:00Z&quot;&gt;&lt;aml:content&gt;&lt;w:rPr&gt;&lt;w:rFonts w:ascii=&quot;Cambria Math&quot; w:fareast=&quot;SimSun&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f&lt;/m:t&gt;&lt;/m:r&gt;&lt;/aml:content&gt;&lt;/aml:annotation&gt;&lt;/m:e&gt;&lt;m:sub&gt;&lt;aml:annotation aml:id=&quot;2&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t&lt;/m:t&gt;&lt;/m:r&gt;&lt;/aml:content&gt;&lt;/aml:annotation&gt;&lt;/m:sub&gt;&lt;/m:sSub&gt;&lt;aml:annotation aml:id=&quot;3&quot; w:type=&quot;Word.Insertion&quot; aml:author=&quot;Microsoft Office User&quot; aml:createdate=&quot;2017-05-22T21:56:00Z&quot;&gt;&lt;aml:content&gt;&lt;m:r&gt;&lt;w:rPr&gt;&lt;w:rFonts w:ascii=&quot;Cambria Math&quot; w:fareast=&quot;SimSun&quot; w:h-ansi=&quot;Cambria Math&quot;/&gt;&lt;wx:font wx:val=&quot;Cambria Math&quot;/&gt;&lt;w:i/&gt;&lt;w:lang w:val=&quot;EN-US&quot;/&gt;&lt;/w:rPr&gt;&lt;m:t&gt;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 o:title="" chromakey="white"/>
          </v:shape>
        </w:pict>
      </w:r>
      <w:r>
        <w:t>.</w:t>
      </w:r>
    </w:p>
    <w:p w14:paraId="5AE7DCAF" w14:textId="77777777" w:rsidR="004F7752" w:rsidRDefault="004F7752" w:rsidP="00A46E47">
      <w:pPr>
        <w:pStyle w:val="head1"/>
        <w:spacing w:line="480" w:lineRule="auto"/>
      </w:pPr>
    </w:p>
    <w:p w14:paraId="57F602F8" w14:textId="77777777" w:rsidR="001D37C4" w:rsidRDefault="001D37C4">
      <w:pPr>
        <w:rPr>
          <w:rFonts w:eastAsiaTheme="majorEastAsia"/>
          <w:b/>
          <w:bCs/>
          <w:color w:val="000000"/>
          <w:sz w:val="28"/>
          <w:szCs w:val="28"/>
          <w:lang w:val="en-US"/>
        </w:rPr>
      </w:pPr>
      <w:r>
        <w:br w:type="page"/>
      </w:r>
    </w:p>
    <w:p w14:paraId="585BE998" w14:textId="3CBDC9DD" w:rsidR="005A719B" w:rsidRPr="00953770" w:rsidRDefault="005A719B" w:rsidP="00A46E47">
      <w:pPr>
        <w:pStyle w:val="head1"/>
        <w:spacing w:line="480" w:lineRule="auto"/>
      </w:pPr>
      <w:r>
        <w:t>5</w:t>
      </w:r>
      <w:r w:rsidRPr="00953770">
        <w:t xml:space="preserve"> Empirical Results</w:t>
      </w:r>
    </w:p>
    <w:p w14:paraId="518D35EF" w14:textId="0D29D8F5" w:rsidR="005A719B" w:rsidRPr="00564574" w:rsidRDefault="005A719B" w:rsidP="00A46E47">
      <w:pPr>
        <w:spacing w:line="480" w:lineRule="auto"/>
        <w:jc w:val="both"/>
        <w:rPr>
          <w:i/>
          <w:color w:val="000000" w:themeColor="text1"/>
          <w:lang w:val="en-US"/>
        </w:rPr>
      </w:pPr>
      <w:r>
        <w:rPr>
          <w:i/>
          <w:color w:val="000000" w:themeColor="text1"/>
          <w:lang w:val="en-US"/>
        </w:rPr>
        <w:t xml:space="preserve">5.1 </w:t>
      </w:r>
      <w:r w:rsidRPr="00564574">
        <w:rPr>
          <w:i/>
          <w:color w:val="000000" w:themeColor="text1"/>
          <w:lang w:val="en-US"/>
        </w:rPr>
        <w:t>Preliminary Data Analysis</w:t>
      </w:r>
    </w:p>
    <w:p w14:paraId="17F0F1C6" w14:textId="72CA3E01" w:rsidR="005A719B" w:rsidRPr="00B94D05" w:rsidRDefault="005A719B" w:rsidP="00A46E47">
      <w:pPr>
        <w:spacing w:line="480" w:lineRule="auto"/>
        <w:jc w:val="both"/>
        <w:rPr>
          <w:color w:val="000000" w:themeColor="text1"/>
          <w:lang w:val="en-US"/>
        </w:rPr>
      </w:pPr>
      <w:r w:rsidRPr="00953770">
        <w:rPr>
          <w:color w:val="000000" w:themeColor="text1"/>
          <w:lang w:val="en-US"/>
        </w:rPr>
        <w:t>Our empirical analyses involve</w:t>
      </w:r>
      <w:r>
        <w:rPr>
          <w:color w:val="000000" w:themeColor="text1"/>
          <w:lang w:val="en-US"/>
        </w:rPr>
        <w:t>d</w:t>
      </w:r>
      <w:r w:rsidRPr="00953770">
        <w:rPr>
          <w:color w:val="000000" w:themeColor="text1"/>
          <w:lang w:val="en-US"/>
        </w:rPr>
        <w:t xml:space="preserve"> the </w:t>
      </w:r>
      <w:r>
        <w:rPr>
          <w:color w:val="000000" w:themeColor="text1"/>
          <w:lang w:val="en-US"/>
        </w:rPr>
        <w:t xml:space="preserve">application </w:t>
      </w:r>
      <w:r w:rsidRPr="00953770">
        <w:rPr>
          <w:color w:val="000000" w:themeColor="text1"/>
          <w:lang w:val="en-US"/>
        </w:rPr>
        <w:t>of Hasbrouck</w:t>
      </w:r>
      <w:r>
        <w:rPr>
          <w:color w:val="000000" w:themeColor="text1"/>
          <w:lang w:val="en-US"/>
        </w:rPr>
        <w:t>’s</w:t>
      </w:r>
      <w:r w:rsidRPr="00953770">
        <w:rPr>
          <w:color w:val="000000" w:themeColor="text1"/>
          <w:lang w:val="en-US"/>
        </w:rPr>
        <w:t xml:space="preserve"> (1995) information share </w:t>
      </w:r>
      <w:r>
        <w:rPr>
          <w:color w:val="000000" w:themeColor="text1"/>
          <w:lang w:val="en-US"/>
        </w:rPr>
        <w:t xml:space="preserve">and </w:t>
      </w:r>
      <w:r w:rsidRPr="00953770">
        <w:rPr>
          <w:color w:val="000000" w:themeColor="text1"/>
          <w:lang w:val="en-US"/>
        </w:rPr>
        <w:t xml:space="preserve">Gonzalo </w:t>
      </w:r>
      <w:r>
        <w:rPr>
          <w:color w:val="000000" w:themeColor="text1"/>
          <w:lang w:val="en-US"/>
        </w:rPr>
        <w:t>and</w:t>
      </w:r>
      <w:r w:rsidRPr="00953770">
        <w:rPr>
          <w:color w:val="000000" w:themeColor="text1"/>
          <w:lang w:val="en-US"/>
        </w:rPr>
        <w:t xml:space="preserve"> Granger</w:t>
      </w:r>
      <w:r>
        <w:rPr>
          <w:color w:val="000000" w:themeColor="text1"/>
          <w:lang w:val="en-US"/>
        </w:rPr>
        <w:t>’s</w:t>
      </w:r>
      <w:r w:rsidRPr="00953770">
        <w:rPr>
          <w:color w:val="000000" w:themeColor="text1"/>
          <w:lang w:val="en-US"/>
        </w:rPr>
        <w:t xml:space="preserve"> (1995) common factor weights </w:t>
      </w:r>
      <w:r>
        <w:rPr>
          <w:color w:val="000000" w:themeColor="text1"/>
          <w:lang w:val="en-US"/>
        </w:rPr>
        <w:t>approache</w:t>
      </w:r>
      <w:r w:rsidRPr="00953770">
        <w:rPr>
          <w:color w:val="000000" w:themeColor="text1"/>
          <w:lang w:val="en-US"/>
        </w:rPr>
        <w:t xml:space="preserve">s. Since these methods are constructed on a VECM, which requires non-stationarity, or equivalently, a single unit root </w:t>
      </w:r>
      <w:r>
        <w:rPr>
          <w:color w:val="000000" w:themeColor="text1"/>
          <w:lang w:val="en-US"/>
        </w:rPr>
        <w:t xml:space="preserve"> </w:t>
      </w:r>
      <w:r w:rsidR="00A46E47">
        <w:rPr>
          <w:color w:val="000000" w:themeColor="text1"/>
          <w:lang w:val="en-US"/>
        </w:rPr>
        <w:t>I</w:t>
      </w:r>
      <w:r w:rsidRPr="00953770">
        <w:rPr>
          <w:color w:val="000000" w:themeColor="text1"/>
          <w:lang w:val="en-US"/>
        </w:rPr>
        <w:t xml:space="preserve">(1) of the price series. In order to </w:t>
      </w:r>
      <w:r>
        <w:rPr>
          <w:color w:val="000000" w:themeColor="text1"/>
          <w:lang w:val="en-US"/>
        </w:rPr>
        <w:t>determine the data’s</w:t>
      </w:r>
      <w:r w:rsidRPr="00953770">
        <w:rPr>
          <w:color w:val="000000" w:themeColor="text1"/>
          <w:lang w:val="en-US"/>
        </w:rPr>
        <w:t xml:space="preserve"> non-stationarity condition, we performed the Augmented Dickey-Fuller (ADF) unit root tests on all demeaned log price series under each of the three markets (see </w:t>
      </w:r>
      <w:r w:rsidR="009E40ED">
        <w:rPr>
          <w:color w:val="000000" w:themeColor="text1"/>
          <w:lang w:val="en-US"/>
        </w:rPr>
        <w:t>Table 3</w:t>
      </w:r>
      <w:r w:rsidRPr="00953770">
        <w:rPr>
          <w:color w:val="000000" w:themeColor="text1"/>
          <w:lang w:val="en-US"/>
        </w:rPr>
        <w:t xml:space="preserve">). The unit root tests were </w:t>
      </w:r>
      <w:r>
        <w:rPr>
          <w:color w:val="000000" w:themeColor="text1"/>
          <w:lang w:val="en-US"/>
        </w:rPr>
        <w:t>conducted</w:t>
      </w:r>
      <w:r w:rsidRPr="00953770">
        <w:rPr>
          <w:color w:val="000000" w:themeColor="text1"/>
          <w:lang w:val="en-US"/>
        </w:rPr>
        <w:t xml:space="preserve"> on levels and </w:t>
      </w:r>
      <w:r>
        <w:rPr>
          <w:color w:val="000000" w:themeColor="text1"/>
          <w:lang w:val="en-US"/>
        </w:rPr>
        <w:t xml:space="preserve">subsequently </w:t>
      </w:r>
      <w:r w:rsidRPr="00953770">
        <w:rPr>
          <w:color w:val="000000" w:themeColor="text1"/>
          <w:lang w:val="en-US"/>
        </w:rPr>
        <w:t xml:space="preserve">on </w:t>
      </w:r>
      <w:r>
        <w:rPr>
          <w:color w:val="000000" w:themeColor="text1"/>
          <w:lang w:val="en-US"/>
        </w:rPr>
        <w:t xml:space="preserve">the </w:t>
      </w:r>
      <w:r w:rsidRPr="00953770">
        <w:rPr>
          <w:color w:val="000000" w:themeColor="text1"/>
          <w:lang w:val="en-US"/>
        </w:rPr>
        <w:t xml:space="preserve">first differences </w:t>
      </w:r>
      <w:r>
        <w:rPr>
          <w:color w:val="000000" w:themeColor="text1"/>
          <w:lang w:val="en-US"/>
        </w:rPr>
        <w:t xml:space="preserve">in </w:t>
      </w:r>
      <w:r w:rsidRPr="00953770">
        <w:rPr>
          <w:color w:val="000000" w:themeColor="text1"/>
          <w:lang w:val="en-US"/>
        </w:rPr>
        <w:t xml:space="preserve">the </w:t>
      </w:r>
      <w:r>
        <w:rPr>
          <w:color w:val="000000" w:themeColor="text1"/>
          <w:lang w:val="en-US"/>
        </w:rPr>
        <w:t xml:space="preserve">respective </w:t>
      </w:r>
      <w:r w:rsidRPr="00953770">
        <w:rPr>
          <w:color w:val="000000" w:themeColor="text1"/>
          <w:lang w:val="en-US"/>
        </w:rPr>
        <w:t xml:space="preserve">series. </w:t>
      </w:r>
      <w:r w:rsidRPr="00953770">
        <w:rPr>
          <w:rFonts w:eastAsia="SimSun"/>
          <w:lang w:val="en-US"/>
        </w:rPr>
        <w:t>The null hypothesis that the series contain</w:t>
      </w:r>
      <w:r>
        <w:rPr>
          <w:rFonts w:eastAsia="SimSun"/>
          <w:lang w:val="en-US"/>
        </w:rPr>
        <w:t>s</w:t>
      </w:r>
      <w:r w:rsidRPr="00953770">
        <w:rPr>
          <w:rFonts w:eastAsia="SimSun"/>
          <w:lang w:val="en-US"/>
        </w:rPr>
        <w:t xml:space="preserve"> a unit root </w:t>
      </w:r>
      <w:r>
        <w:rPr>
          <w:rFonts w:eastAsia="SimSun"/>
          <w:lang w:val="en-US"/>
        </w:rPr>
        <w:t>can</w:t>
      </w:r>
      <w:r w:rsidRPr="00953770">
        <w:rPr>
          <w:rFonts w:eastAsia="SimSun"/>
          <w:lang w:val="en-US"/>
        </w:rPr>
        <w:t xml:space="preserve">not </w:t>
      </w:r>
      <w:r>
        <w:rPr>
          <w:rFonts w:eastAsia="SimSun"/>
          <w:lang w:val="en-US"/>
        </w:rPr>
        <w:t xml:space="preserve">be </w:t>
      </w:r>
      <w:r w:rsidRPr="00953770">
        <w:rPr>
          <w:rFonts w:eastAsia="SimSun"/>
          <w:lang w:val="en-US"/>
        </w:rPr>
        <w:t xml:space="preserve">rejected at 5% significance level, </w:t>
      </w:r>
      <w:r>
        <w:rPr>
          <w:rFonts w:eastAsia="SimSun"/>
          <w:lang w:val="en-US"/>
        </w:rPr>
        <w:t xml:space="preserve">suggesting </w:t>
      </w:r>
      <w:r w:rsidRPr="00953770">
        <w:rPr>
          <w:rFonts w:eastAsia="SimSun"/>
          <w:lang w:val="en-US"/>
        </w:rPr>
        <w:t>the exist</w:t>
      </w:r>
      <w:r>
        <w:rPr>
          <w:rFonts w:eastAsia="SimSun"/>
          <w:lang w:val="en-US"/>
        </w:rPr>
        <w:t>ence</w:t>
      </w:r>
      <w:r w:rsidRPr="00953770">
        <w:rPr>
          <w:rFonts w:eastAsia="SimSun"/>
          <w:lang w:val="en-US"/>
        </w:rPr>
        <w:t xml:space="preserve"> </w:t>
      </w:r>
      <w:r>
        <w:rPr>
          <w:rFonts w:eastAsia="SimSun"/>
          <w:lang w:val="en-US"/>
        </w:rPr>
        <w:t xml:space="preserve">of </w:t>
      </w:r>
      <w:r w:rsidRPr="00953770">
        <w:rPr>
          <w:rFonts w:eastAsia="SimSun"/>
          <w:lang w:val="en-US"/>
        </w:rPr>
        <w:t xml:space="preserve">at least one unit root in the demanded series. Since the first differences </w:t>
      </w:r>
      <w:r>
        <w:rPr>
          <w:rFonts w:eastAsia="SimSun"/>
          <w:lang w:val="en-US"/>
        </w:rPr>
        <w:t>corresponding</w:t>
      </w:r>
      <w:r w:rsidRPr="00953770">
        <w:rPr>
          <w:rFonts w:eastAsia="SimSun"/>
          <w:lang w:val="en-US"/>
        </w:rPr>
        <w:t xml:space="preserve"> </w:t>
      </w:r>
      <w:r>
        <w:rPr>
          <w:rFonts w:eastAsia="SimSun"/>
          <w:lang w:val="en-US"/>
        </w:rPr>
        <w:t xml:space="preserve">to </w:t>
      </w:r>
      <w:r w:rsidRPr="00953770">
        <w:rPr>
          <w:rFonts w:eastAsia="SimSun"/>
          <w:lang w:val="en-US"/>
        </w:rPr>
        <w:t xml:space="preserve">all price series </w:t>
      </w:r>
      <w:r>
        <w:rPr>
          <w:rFonts w:eastAsia="SimSun"/>
          <w:lang w:val="en-US"/>
        </w:rPr>
        <w:t xml:space="preserve">were </w:t>
      </w:r>
      <w:r w:rsidRPr="00953770">
        <w:rPr>
          <w:rFonts w:eastAsia="SimSun"/>
          <w:lang w:val="en-US"/>
        </w:rPr>
        <w:t xml:space="preserve">stationary, it </w:t>
      </w:r>
      <w:r>
        <w:rPr>
          <w:rFonts w:eastAsia="SimSun"/>
          <w:lang w:val="en-US"/>
        </w:rPr>
        <w:t xml:space="preserve">follows </w:t>
      </w:r>
      <w:r w:rsidRPr="00953770">
        <w:rPr>
          <w:rFonts w:eastAsia="SimSun"/>
          <w:lang w:val="en-US"/>
        </w:rPr>
        <w:t>that all demeaned price series are I(1) variables.</w:t>
      </w:r>
    </w:p>
    <w:p w14:paraId="5F78B017" w14:textId="77777777" w:rsidR="005A719B" w:rsidRPr="00953770" w:rsidRDefault="005A719B" w:rsidP="00CF02C1">
      <w:pPr>
        <w:spacing w:line="360" w:lineRule="auto"/>
        <w:rPr>
          <w:rFonts w:eastAsia="SimSun"/>
          <w:b/>
          <w:lang w:val="en-US"/>
        </w:rPr>
        <w:sectPr w:rsidR="005A719B" w:rsidRPr="00953770" w:rsidSect="00173B8F">
          <w:footerReference w:type="even" r:id="rId128"/>
          <w:footerReference w:type="default" r:id="rId129"/>
          <w:footerReference w:type="first" r:id="rId130"/>
          <w:endnotePr>
            <w:numFmt w:val="decimal"/>
          </w:endnotePr>
          <w:pgSz w:w="11906" w:h="16838" w:code="9"/>
          <w:pgMar w:top="1440" w:right="1440" w:bottom="1440" w:left="1440" w:header="709" w:footer="709" w:gutter="0"/>
          <w:pgNumType w:start="1"/>
          <w:cols w:space="708"/>
          <w:titlePg/>
          <w:docGrid w:type="lines" w:linePitch="422"/>
        </w:sectPr>
      </w:pPr>
    </w:p>
    <w:p w14:paraId="34085AB2" w14:textId="12244AC6" w:rsidR="005A719B" w:rsidRPr="00953770" w:rsidRDefault="009E40ED" w:rsidP="00966B26">
      <w:pPr>
        <w:pStyle w:val="Caption"/>
        <w:spacing w:line="360" w:lineRule="auto"/>
        <w:jc w:val="center"/>
        <w:rPr>
          <w:rFonts w:ascii="Times New Roman" w:eastAsia="SimSun" w:hAnsi="Times New Roman" w:cs="Times New Roman"/>
          <w:color w:val="000000" w:themeColor="text1"/>
          <w:sz w:val="24"/>
          <w:szCs w:val="24"/>
          <w:lang w:val="en-US"/>
        </w:rPr>
      </w:pPr>
      <w:bookmarkStart w:id="3" w:name="_Toc429924410"/>
      <w:r>
        <w:rPr>
          <w:rFonts w:ascii="Times New Roman" w:hAnsi="Times New Roman" w:cs="Times New Roman"/>
          <w:color w:val="000000" w:themeColor="text1"/>
          <w:sz w:val="24"/>
          <w:szCs w:val="24"/>
          <w:lang w:val="en-US"/>
        </w:rPr>
        <w:t>Table 3</w:t>
      </w:r>
      <w:r w:rsidR="005A719B" w:rsidRPr="00953770">
        <w:rPr>
          <w:rFonts w:ascii="Times New Roman" w:hAnsi="Times New Roman" w:cs="Times New Roman"/>
          <w:color w:val="000000" w:themeColor="text1"/>
          <w:sz w:val="24"/>
          <w:szCs w:val="24"/>
          <w:lang w:val="en-US"/>
        </w:rPr>
        <w:t xml:space="preserve"> </w:t>
      </w:r>
      <w:r w:rsidR="005A719B" w:rsidRPr="00953770">
        <w:rPr>
          <w:rFonts w:ascii="Times New Roman" w:eastAsia="SimSun" w:hAnsi="Times New Roman" w:cs="Times New Roman"/>
          <w:color w:val="000000" w:themeColor="text1"/>
          <w:sz w:val="24"/>
          <w:szCs w:val="24"/>
          <w:lang w:val="en-US"/>
        </w:rPr>
        <w:t>Descriptive Statistics</w:t>
      </w:r>
      <w:bookmarkEnd w:id="3"/>
      <w:r w:rsidR="005A719B" w:rsidRPr="00953770">
        <w:rPr>
          <w:rFonts w:ascii="Times New Roman" w:eastAsia="SimSun" w:hAnsi="Times New Roman" w:cs="Times New Roman"/>
          <w:color w:val="000000" w:themeColor="text1"/>
          <w:sz w:val="24"/>
          <w:szCs w:val="24"/>
          <w:lang w:val="en-US"/>
        </w:rPr>
        <w:t xml:space="preserve"> and ADF Results of </w:t>
      </w:r>
      <w:r w:rsidR="005A719B" w:rsidRPr="00953770">
        <w:rPr>
          <w:rFonts w:ascii="Times New Roman" w:hAnsi="Times New Roman" w:cs="Times New Roman"/>
          <w:color w:val="000000" w:themeColor="text1"/>
          <w:sz w:val="24"/>
          <w:szCs w:val="24"/>
          <w:lang w:val="en-US"/>
        </w:rPr>
        <w:t>Nine Demeaned Price Series</w:t>
      </w:r>
    </w:p>
    <w:p w14:paraId="75738C31" w14:textId="01AFB07C" w:rsidR="00AE4A34" w:rsidRPr="00966B26" w:rsidRDefault="009E40ED" w:rsidP="00966B26">
      <w:pPr>
        <w:spacing w:line="360" w:lineRule="auto"/>
        <w:jc w:val="both"/>
        <w:rPr>
          <w:rFonts w:eastAsia="SimSun"/>
          <w:i/>
          <w:sz w:val="16"/>
          <w:szCs w:val="16"/>
          <w:lang w:val="en-US"/>
        </w:rPr>
      </w:pPr>
      <w:r>
        <w:rPr>
          <w:i/>
          <w:sz w:val="16"/>
          <w:szCs w:val="16"/>
          <w:lang w:val="en-US"/>
        </w:rPr>
        <w:t>Table 3</w:t>
      </w:r>
      <w:r w:rsidR="00AE4A34" w:rsidRPr="00953770">
        <w:rPr>
          <w:i/>
          <w:sz w:val="16"/>
          <w:szCs w:val="16"/>
          <w:lang w:val="en-US"/>
        </w:rPr>
        <w:t xml:space="preserve"> examines nine demea</w:t>
      </w:r>
      <w:r w:rsidR="00AE4A34">
        <w:rPr>
          <w:i/>
          <w:sz w:val="16"/>
          <w:szCs w:val="16"/>
          <w:lang w:val="en-US"/>
        </w:rPr>
        <w:t xml:space="preserve">ned price series in logarithms during 2010 to 2013, and the data covers the period from </w:t>
      </w:r>
      <w:r w:rsidR="00AE4A34" w:rsidRPr="00953770">
        <w:rPr>
          <w:i/>
          <w:sz w:val="16"/>
          <w:szCs w:val="16"/>
          <w:lang w:val="en-US"/>
        </w:rPr>
        <w:t>January 2010 to December 2013</w:t>
      </w:r>
      <w:r w:rsidR="00AE4A34">
        <w:rPr>
          <w:i/>
          <w:sz w:val="16"/>
          <w:szCs w:val="16"/>
          <w:lang w:val="en-US"/>
        </w:rPr>
        <w:t>. Our</w:t>
      </w:r>
      <w:r w:rsidR="00AE4A34" w:rsidRPr="00953770">
        <w:rPr>
          <w:i/>
          <w:sz w:val="16"/>
          <w:szCs w:val="16"/>
          <w:lang w:val="en-US"/>
        </w:rPr>
        <w:t xml:space="preserve"> data sample contains intra-day five-minute transaction prices of </w:t>
      </w:r>
      <w:r w:rsidR="00AE4A34">
        <w:rPr>
          <w:i/>
          <w:sz w:val="16"/>
          <w:szCs w:val="16"/>
          <w:lang w:val="en-US"/>
        </w:rPr>
        <w:t xml:space="preserve">the </w:t>
      </w:r>
      <w:r w:rsidR="00AE4A34" w:rsidRPr="00953770">
        <w:rPr>
          <w:i/>
          <w:sz w:val="16"/>
          <w:szCs w:val="16"/>
          <w:lang w:val="en-US"/>
        </w:rPr>
        <w:t>spot index, index futures</w:t>
      </w:r>
      <w:r w:rsidR="00AE4A34">
        <w:rPr>
          <w:i/>
          <w:sz w:val="16"/>
          <w:szCs w:val="16"/>
          <w:lang w:val="en-US"/>
        </w:rPr>
        <w:t>,</w:t>
      </w:r>
      <w:r w:rsidR="00AE4A34" w:rsidRPr="00953770">
        <w:rPr>
          <w:i/>
          <w:sz w:val="16"/>
          <w:szCs w:val="16"/>
          <w:lang w:val="en-US"/>
        </w:rPr>
        <w:t xml:space="preserve"> and </w:t>
      </w:r>
      <w:r w:rsidR="00AE4A34">
        <w:rPr>
          <w:i/>
          <w:sz w:val="16"/>
          <w:szCs w:val="16"/>
          <w:lang w:val="en-US"/>
        </w:rPr>
        <w:t>ETFs</w:t>
      </w:r>
      <w:r w:rsidR="00AE4A34" w:rsidRPr="00953770">
        <w:rPr>
          <w:i/>
          <w:sz w:val="16"/>
          <w:szCs w:val="16"/>
          <w:lang w:val="en-US"/>
        </w:rPr>
        <w:t xml:space="preserve"> grouped under three major European market indices FTSE 100, CAC 40, and DAX 30. </w:t>
      </w:r>
      <w:r w:rsidR="00AE4A34" w:rsidRPr="002B271F">
        <w:rPr>
          <w:rFonts w:eastAsia="SimSun"/>
          <w:i/>
          <w:sz w:val="16"/>
          <w:szCs w:val="16"/>
          <w:lang w:val="en-US"/>
        </w:rPr>
        <w:t xml:space="preserve">The demeaned series are calculated </w:t>
      </w:r>
      <w:r w:rsidR="00AE4A34">
        <w:rPr>
          <w:rFonts w:eastAsia="SimSun"/>
          <w:i/>
          <w:sz w:val="16"/>
          <w:szCs w:val="16"/>
          <w:lang w:val="en-US"/>
        </w:rPr>
        <w:t>through the</w:t>
      </w:r>
      <w:r w:rsidR="00AE4A34" w:rsidRPr="002B271F">
        <w:rPr>
          <w:rFonts w:eastAsia="SimSun"/>
          <w:i/>
          <w:sz w:val="16"/>
          <w:szCs w:val="16"/>
          <w:lang w:val="en-US"/>
        </w:rPr>
        <w:t xml:space="preserve"> subtracti</w:t>
      </w:r>
      <w:r w:rsidR="00AE4A34">
        <w:rPr>
          <w:rFonts w:eastAsia="SimSun"/>
          <w:i/>
          <w:sz w:val="16"/>
          <w:szCs w:val="16"/>
          <w:lang w:val="en-US"/>
        </w:rPr>
        <w:t>on of</w:t>
      </w:r>
      <w:r w:rsidR="00AE4A34" w:rsidRPr="002B271F">
        <w:rPr>
          <w:rFonts w:eastAsia="SimSun"/>
          <w:i/>
          <w:sz w:val="16"/>
          <w:szCs w:val="16"/>
          <w:lang w:val="en-US"/>
        </w:rPr>
        <w:t xml:space="preserve"> the daily average from the log series. </w:t>
      </w:r>
    </w:p>
    <w:p w14:paraId="337F25D3" w14:textId="4C444953" w:rsidR="005A719B" w:rsidRPr="00966B26" w:rsidRDefault="005A719B" w:rsidP="00CF02C1">
      <w:pPr>
        <w:spacing w:line="480" w:lineRule="auto"/>
        <w:jc w:val="center"/>
        <w:rPr>
          <w:rFonts w:eastAsia="SimSun"/>
          <w:sz w:val="20"/>
          <w:szCs w:val="20"/>
          <w:lang w:val="en-US"/>
        </w:rPr>
      </w:pPr>
      <w:r w:rsidRPr="00966B26">
        <w:rPr>
          <w:rFonts w:eastAsia="SimSun"/>
          <w:sz w:val="20"/>
          <w:szCs w:val="20"/>
          <w:lang w:val="en-US"/>
        </w:rPr>
        <w:t>FTSE 100 Demeaned Log Prices</w:t>
      </w:r>
    </w:p>
    <w:tbl>
      <w:tblPr>
        <w:tblStyle w:val="TableGrid2"/>
        <w:tblW w:w="5000" w:type="pct"/>
        <w:tblLook w:val="04A0" w:firstRow="1" w:lastRow="0" w:firstColumn="1" w:lastColumn="0" w:noHBand="0" w:noVBand="1"/>
      </w:tblPr>
      <w:tblGrid>
        <w:gridCol w:w="1137"/>
        <w:gridCol w:w="1144"/>
        <w:gridCol w:w="1144"/>
        <w:gridCol w:w="1144"/>
        <w:gridCol w:w="1001"/>
        <w:gridCol w:w="1063"/>
        <w:gridCol w:w="1063"/>
        <w:gridCol w:w="1063"/>
        <w:gridCol w:w="1001"/>
        <w:gridCol w:w="1063"/>
        <w:gridCol w:w="1063"/>
        <w:gridCol w:w="1063"/>
        <w:gridCol w:w="999"/>
      </w:tblGrid>
      <w:tr w:rsidR="005A719B" w:rsidRPr="00953770" w14:paraId="3A978709" w14:textId="77777777" w:rsidTr="00046A8A">
        <w:tc>
          <w:tcPr>
            <w:tcW w:w="408" w:type="pct"/>
          </w:tcPr>
          <w:p w14:paraId="3B57F789" w14:textId="77777777" w:rsidR="005A719B" w:rsidRPr="00953770" w:rsidRDefault="005A719B" w:rsidP="00CF02C1">
            <w:pPr>
              <w:spacing w:line="360" w:lineRule="auto"/>
              <w:jc w:val="center"/>
              <w:rPr>
                <w:rFonts w:eastAsia="SimSun"/>
                <w:sz w:val="15"/>
                <w:szCs w:val="15"/>
                <w:lang w:val="en-US"/>
              </w:rPr>
            </w:pPr>
          </w:p>
        </w:tc>
        <w:tc>
          <w:tcPr>
            <w:tcW w:w="1589" w:type="pct"/>
            <w:gridSpan w:val="4"/>
          </w:tcPr>
          <w:p w14:paraId="38C02719"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FTSE 100 Spot Index</w:t>
            </w:r>
          </w:p>
        </w:tc>
        <w:tc>
          <w:tcPr>
            <w:tcW w:w="1501" w:type="pct"/>
            <w:gridSpan w:val="4"/>
          </w:tcPr>
          <w:p w14:paraId="3EA8CC3D" w14:textId="02B27C1F"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FTSE 100 Index Futures</w:t>
            </w:r>
          </w:p>
        </w:tc>
        <w:tc>
          <w:tcPr>
            <w:tcW w:w="1501" w:type="pct"/>
            <w:gridSpan w:val="4"/>
          </w:tcPr>
          <w:p w14:paraId="6CB0180C"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iShare FTSE 100 ETF</w:t>
            </w:r>
          </w:p>
        </w:tc>
      </w:tr>
      <w:tr w:rsidR="00046A8A" w:rsidRPr="00953770" w14:paraId="1C31E9BD" w14:textId="77777777" w:rsidTr="00046A8A">
        <w:tc>
          <w:tcPr>
            <w:tcW w:w="408" w:type="pct"/>
          </w:tcPr>
          <w:p w14:paraId="622435B7" w14:textId="77777777" w:rsidR="005A719B" w:rsidRPr="00953770" w:rsidRDefault="005A719B" w:rsidP="00CF02C1">
            <w:pPr>
              <w:spacing w:line="360" w:lineRule="auto"/>
              <w:jc w:val="center"/>
              <w:rPr>
                <w:rFonts w:eastAsia="SimSun"/>
                <w:sz w:val="15"/>
                <w:szCs w:val="15"/>
                <w:lang w:val="en-US"/>
              </w:rPr>
            </w:pPr>
          </w:p>
        </w:tc>
        <w:tc>
          <w:tcPr>
            <w:tcW w:w="410" w:type="pct"/>
          </w:tcPr>
          <w:p w14:paraId="222D9855"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2010</w:t>
            </w:r>
          </w:p>
        </w:tc>
        <w:tc>
          <w:tcPr>
            <w:tcW w:w="410" w:type="pct"/>
          </w:tcPr>
          <w:p w14:paraId="4A39A91B"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2011</w:t>
            </w:r>
          </w:p>
        </w:tc>
        <w:tc>
          <w:tcPr>
            <w:tcW w:w="410" w:type="pct"/>
          </w:tcPr>
          <w:p w14:paraId="21193B70"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2012</w:t>
            </w:r>
          </w:p>
        </w:tc>
        <w:tc>
          <w:tcPr>
            <w:tcW w:w="359" w:type="pct"/>
          </w:tcPr>
          <w:p w14:paraId="600A0E3A"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2013</w:t>
            </w:r>
          </w:p>
        </w:tc>
        <w:tc>
          <w:tcPr>
            <w:tcW w:w="381" w:type="pct"/>
          </w:tcPr>
          <w:p w14:paraId="7CD0BF67" w14:textId="7AC1116D"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2010</w:t>
            </w:r>
          </w:p>
        </w:tc>
        <w:tc>
          <w:tcPr>
            <w:tcW w:w="381" w:type="pct"/>
          </w:tcPr>
          <w:p w14:paraId="6F4BC7AE"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2011</w:t>
            </w:r>
          </w:p>
        </w:tc>
        <w:tc>
          <w:tcPr>
            <w:tcW w:w="381" w:type="pct"/>
          </w:tcPr>
          <w:p w14:paraId="49384264"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2012</w:t>
            </w:r>
          </w:p>
        </w:tc>
        <w:tc>
          <w:tcPr>
            <w:tcW w:w="359" w:type="pct"/>
          </w:tcPr>
          <w:p w14:paraId="0E57CAA0"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2013</w:t>
            </w:r>
          </w:p>
        </w:tc>
        <w:tc>
          <w:tcPr>
            <w:tcW w:w="381" w:type="pct"/>
          </w:tcPr>
          <w:p w14:paraId="59051CDD"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2010</w:t>
            </w:r>
          </w:p>
        </w:tc>
        <w:tc>
          <w:tcPr>
            <w:tcW w:w="381" w:type="pct"/>
          </w:tcPr>
          <w:p w14:paraId="343121BA"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2011</w:t>
            </w:r>
          </w:p>
        </w:tc>
        <w:tc>
          <w:tcPr>
            <w:tcW w:w="381" w:type="pct"/>
          </w:tcPr>
          <w:p w14:paraId="5BE7B56F"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2012</w:t>
            </w:r>
          </w:p>
        </w:tc>
        <w:tc>
          <w:tcPr>
            <w:tcW w:w="359" w:type="pct"/>
          </w:tcPr>
          <w:p w14:paraId="63284D7F" w14:textId="77777777" w:rsidR="005A719B" w:rsidRPr="00953770" w:rsidRDefault="005A719B" w:rsidP="0085710A">
            <w:pPr>
              <w:spacing w:line="360" w:lineRule="auto"/>
              <w:jc w:val="center"/>
              <w:rPr>
                <w:rFonts w:eastAsia="SimSun"/>
                <w:sz w:val="15"/>
                <w:szCs w:val="15"/>
                <w:lang w:val="en-US"/>
              </w:rPr>
            </w:pPr>
            <w:r w:rsidRPr="00953770">
              <w:rPr>
                <w:rFonts w:eastAsia="SimSun"/>
                <w:sz w:val="15"/>
                <w:szCs w:val="15"/>
                <w:lang w:val="en-US"/>
              </w:rPr>
              <w:t>2013</w:t>
            </w:r>
          </w:p>
        </w:tc>
      </w:tr>
      <w:tr w:rsidR="005A719B" w:rsidRPr="00953770" w14:paraId="1F0A0058" w14:textId="77777777" w:rsidTr="00046A8A">
        <w:tc>
          <w:tcPr>
            <w:tcW w:w="408" w:type="pct"/>
          </w:tcPr>
          <w:p w14:paraId="32AF5601" w14:textId="54470230"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ADF</w:t>
            </w:r>
          </w:p>
          <w:p w14:paraId="41E0C104" w14:textId="5C0D9D3D"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Log Price</w:t>
            </w:r>
          </w:p>
        </w:tc>
        <w:tc>
          <w:tcPr>
            <w:tcW w:w="410" w:type="pct"/>
          </w:tcPr>
          <w:p w14:paraId="12B237CB"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2.217499 </w:t>
            </w:r>
          </w:p>
          <w:p w14:paraId="6659899F" w14:textId="5A132636"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410" w:type="pct"/>
          </w:tcPr>
          <w:p w14:paraId="5DB66728"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2.352961 </w:t>
            </w:r>
          </w:p>
          <w:p w14:paraId="14018A6E" w14:textId="39A04146"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410" w:type="pct"/>
          </w:tcPr>
          <w:p w14:paraId="49E4FEC7"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3.399739 </w:t>
            </w:r>
          </w:p>
          <w:p w14:paraId="1A28667F" w14:textId="710EF9EC"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9" w:type="pct"/>
          </w:tcPr>
          <w:p w14:paraId="1AF0C305" w14:textId="00C7D083"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1.299864 (&gt;</w:t>
            </w:r>
            <w:r>
              <w:rPr>
                <w:rFonts w:eastAsia="SimSun"/>
                <w:color w:val="000000"/>
                <w:sz w:val="15"/>
                <w:szCs w:val="15"/>
                <w:lang w:val="en-US"/>
              </w:rPr>
              <w:t xml:space="preserve"> </w:t>
            </w:r>
            <w:r w:rsidRPr="00953770">
              <w:rPr>
                <w:rFonts w:eastAsia="SimSun"/>
                <w:color w:val="000000"/>
                <w:sz w:val="15"/>
                <w:szCs w:val="15"/>
                <w:lang w:val="en-US"/>
              </w:rPr>
              <w:t>0.10)</w:t>
            </w:r>
          </w:p>
        </w:tc>
        <w:tc>
          <w:tcPr>
            <w:tcW w:w="381" w:type="pct"/>
          </w:tcPr>
          <w:p w14:paraId="39AEDB18" w14:textId="4F0D4E03" w:rsidR="00B35B60" w:rsidRDefault="00B35B60" w:rsidP="00953770">
            <w:pPr>
              <w:spacing w:line="360" w:lineRule="auto"/>
              <w:rPr>
                <w:rFonts w:eastAsia="SimSun"/>
                <w:color w:val="000000"/>
                <w:sz w:val="15"/>
                <w:szCs w:val="15"/>
                <w:lang w:val="en-US"/>
              </w:rPr>
            </w:pPr>
            <w:r>
              <w:rPr>
                <w:rFonts w:eastAsia="SimSun"/>
                <w:color w:val="000000"/>
                <w:sz w:val="15"/>
                <w:szCs w:val="15"/>
                <w:lang w:val="en-US"/>
              </w:rPr>
              <w:t xml:space="preserve">   </w:t>
            </w:r>
            <w:r w:rsidR="005A719B">
              <w:rPr>
                <w:rFonts w:eastAsia="SimSun"/>
                <w:color w:val="000000"/>
                <w:sz w:val="15"/>
                <w:szCs w:val="15"/>
                <w:lang w:val="en-US"/>
              </w:rPr>
              <w:t>–</w:t>
            </w:r>
            <w:r w:rsidR="005A719B" w:rsidRPr="00953770">
              <w:rPr>
                <w:rFonts w:eastAsia="SimSun"/>
                <w:color w:val="000000"/>
                <w:sz w:val="15"/>
                <w:szCs w:val="15"/>
                <w:lang w:val="en-US"/>
              </w:rPr>
              <w:t xml:space="preserve">2.336921 </w:t>
            </w:r>
          </w:p>
          <w:p w14:paraId="21766917" w14:textId="4C769717" w:rsidR="005A719B" w:rsidRPr="00953770" w:rsidRDefault="00B35B60" w:rsidP="00953770">
            <w:pPr>
              <w:spacing w:line="360" w:lineRule="auto"/>
              <w:rPr>
                <w:rFonts w:eastAsia="SimSun"/>
                <w:sz w:val="15"/>
                <w:szCs w:val="15"/>
                <w:lang w:val="en-US"/>
              </w:rPr>
            </w:pPr>
            <w:r>
              <w:rPr>
                <w:rFonts w:eastAsia="SimSun"/>
                <w:color w:val="000000"/>
                <w:sz w:val="15"/>
                <w:szCs w:val="15"/>
                <w:lang w:val="en-US"/>
              </w:rPr>
              <w:t xml:space="preserve">     </w:t>
            </w:r>
            <w:r w:rsidR="005A719B" w:rsidRPr="00953770">
              <w:rPr>
                <w:rFonts w:eastAsia="SimSun"/>
                <w:color w:val="000000"/>
                <w:sz w:val="15"/>
                <w:szCs w:val="15"/>
                <w:lang w:val="en-US"/>
              </w:rPr>
              <w:t>(&gt;</w:t>
            </w:r>
            <w:r w:rsidR="005A719B">
              <w:rPr>
                <w:rFonts w:eastAsia="SimSun"/>
                <w:color w:val="000000"/>
                <w:sz w:val="15"/>
                <w:szCs w:val="15"/>
                <w:lang w:val="en-US"/>
              </w:rPr>
              <w:t xml:space="preserve"> </w:t>
            </w:r>
            <w:r w:rsidR="005A719B" w:rsidRPr="00953770">
              <w:rPr>
                <w:rFonts w:eastAsia="SimSun"/>
                <w:color w:val="000000"/>
                <w:sz w:val="15"/>
                <w:szCs w:val="15"/>
                <w:lang w:val="en-US"/>
              </w:rPr>
              <w:t>0.10)</w:t>
            </w:r>
          </w:p>
        </w:tc>
        <w:tc>
          <w:tcPr>
            <w:tcW w:w="381" w:type="pct"/>
          </w:tcPr>
          <w:p w14:paraId="7C8F2A90"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2.397318 </w:t>
            </w:r>
          </w:p>
          <w:p w14:paraId="56AA5BC4" w14:textId="1B60D505"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81" w:type="pct"/>
          </w:tcPr>
          <w:p w14:paraId="608F41D2" w14:textId="0B9315DD" w:rsidR="005A719B" w:rsidRPr="00953770" w:rsidRDefault="005A719B" w:rsidP="00CF02C1">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2.215798</w:t>
            </w:r>
          </w:p>
          <w:p w14:paraId="72DD0A66" w14:textId="7D73DB9F"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9" w:type="pct"/>
          </w:tcPr>
          <w:p w14:paraId="24E4E796" w14:textId="24BA7293" w:rsidR="005A719B" w:rsidRPr="0095377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1.278252 (&gt;</w:t>
            </w:r>
            <w:r>
              <w:rPr>
                <w:rFonts w:eastAsia="SimSun"/>
                <w:color w:val="000000"/>
                <w:sz w:val="15"/>
                <w:szCs w:val="15"/>
                <w:lang w:val="en-US"/>
              </w:rPr>
              <w:t xml:space="preserve"> </w:t>
            </w:r>
            <w:r w:rsidRPr="00953770">
              <w:rPr>
                <w:rFonts w:eastAsia="SimSun"/>
                <w:color w:val="000000"/>
                <w:sz w:val="15"/>
                <w:szCs w:val="15"/>
                <w:lang w:val="en-US"/>
              </w:rPr>
              <w:t>0.10)</w:t>
            </w:r>
          </w:p>
        </w:tc>
        <w:tc>
          <w:tcPr>
            <w:tcW w:w="381" w:type="pct"/>
          </w:tcPr>
          <w:p w14:paraId="6073EE3A"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2.279457 </w:t>
            </w:r>
          </w:p>
          <w:p w14:paraId="7C953B22" w14:textId="5A871B5C"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81" w:type="pct"/>
          </w:tcPr>
          <w:p w14:paraId="4BCBDFBA"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2.303084 </w:t>
            </w:r>
          </w:p>
          <w:p w14:paraId="040A78CC" w14:textId="6752C52D"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81" w:type="pct"/>
          </w:tcPr>
          <w:p w14:paraId="20C8DDE3" w14:textId="29F408E7" w:rsidR="005A719B" w:rsidRPr="00953770" w:rsidRDefault="005A719B" w:rsidP="00CF02C1">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2.316053</w:t>
            </w:r>
          </w:p>
          <w:p w14:paraId="54F514A5" w14:textId="1045B499"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9" w:type="pct"/>
          </w:tcPr>
          <w:p w14:paraId="5925ED35" w14:textId="12065A7A" w:rsidR="005A719B" w:rsidRPr="0095377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1.343524 (&gt;</w:t>
            </w:r>
            <w:r>
              <w:rPr>
                <w:rFonts w:eastAsia="SimSun"/>
                <w:color w:val="000000"/>
                <w:sz w:val="15"/>
                <w:szCs w:val="15"/>
                <w:lang w:val="en-US"/>
              </w:rPr>
              <w:t xml:space="preserve"> </w:t>
            </w:r>
            <w:r w:rsidRPr="00953770">
              <w:rPr>
                <w:rFonts w:eastAsia="SimSun"/>
                <w:color w:val="000000"/>
                <w:sz w:val="15"/>
                <w:szCs w:val="15"/>
                <w:lang w:val="en-US"/>
              </w:rPr>
              <w:t>0.10)</w:t>
            </w:r>
          </w:p>
        </w:tc>
      </w:tr>
      <w:tr w:rsidR="00046A8A" w:rsidRPr="00953770" w14:paraId="5ECA1608" w14:textId="77777777" w:rsidTr="00046A8A">
        <w:tc>
          <w:tcPr>
            <w:tcW w:w="408" w:type="pct"/>
          </w:tcPr>
          <w:p w14:paraId="41360DC2" w14:textId="432BCD99"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ADF</w:t>
            </w:r>
          </w:p>
          <w:p w14:paraId="5DBBEDA2" w14:textId="78DFE3A5" w:rsidR="005A719B" w:rsidRPr="00953770" w:rsidRDefault="00046A8A" w:rsidP="00CF02C1">
            <w:pPr>
              <w:spacing w:line="360" w:lineRule="auto"/>
              <w:jc w:val="center"/>
              <w:rPr>
                <w:rFonts w:eastAsia="SimSun"/>
                <w:sz w:val="15"/>
                <w:szCs w:val="15"/>
                <w:lang w:val="en-US"/>
              </w:rPr>
            </w:pPr>
            <w:r w:rsidRPr="00953770">
              <w:rPr>
                <w:rFonts w:eastAsia="SimSun"/>
                <w:sz w:val="15"/>
                <w:szCs w:val="15"/>
                <w:lang w:val="en-US"/>
              </w:rPr>
              <w:t>1</w:t>
            </w:r>
            <w:r w:rsidRPr="00046A8A">
              <w:rPr>
                <w:rFonts w:eastAsia="SimSun"/>
                <w:sz w:val="15"/>
                <w:szCs w:val="15"/>
                <w:vertAlign w:val="superscript"/>
                <w:lang w:val="en-US"/>
              </w:rPr>
              <w:t>st</w:t>
            </w:r>
            <w:r>
              <w:rPr>
                <w:rFonts w:eastAsia="SimSun"/>
                <w:sz w:val="15"/>
                <w:szCs w:val="15"/>
                <w:lang w:val="en-US"/>
              </w:rPr>
              <w:t xml:space="preserve"> </w:t>
            </w:r>
            <w:r w:rsidR="005A719B" w:rsidRPr="00953770">
              <w:rPr>
                <w:rFonts w:eastAsia="SimSun"/>
                <w:sz w:val="15"/>
                <w:szCs w:val="15"/>
                <w:lang w:val="en-US"/>
              </w:rPr>
              <w:t>Difference</w:t>
            </w:r>
          </w:p>
        </w:tc>
        <w:tc>
          <w:tcPr>
            <w:tcW w:w="410" w:type="pct"/>
          </w:tcPr>
          <w:p w14:paraId="2BADB9B0"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115.1299 </w:t>
            </w:r>
          </w:p>
          <w:p w14:paraId="0D984C80" w14:textId="42B96722"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10" w:type="pct"/>
          </w:tcPr>
          <w:p w14:paraId="53F4E8CE"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161.2480 </w:t>
            </w:r>
          </w:p>
          <w:p w14:paraId="26BB8C84" w14:textId="75940086"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10" w:type="pct"/>
          </w:tcPr>
          <w:p w14:paraId="6696C692"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161.6907 </w:t>
            </w:r>
          </w:p>
          <w:p w14:paraId="040A5868" w14:textId="414CC859"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9" w:type="pct"/>
          </w:tcPr>
          <w:p w14:paraId="1BEE46F4" w14:textId="1E043A92"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160.0915 (&lt;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2742E529"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163.4885 </w:t>
            </w:r>
          </w:p>
          <w:p w14:paraId="1F24C8D2" w14:textId="4C5E0C5E"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6CD8DA49"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164.8831 </w:t>
            </w:r>
          </w:p>
          <w:p w14:paraId="6138F362" w14:textId="563B0892"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31C4B22A"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165.2602 </w:t>
            </w:r>
          </w:p>
          <w:p w14:paraId="60DDE14C" w14:textId="61F3C90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9" w:type="pct"/>
          </w:tcPr>
          <w:p w14:paraId="3B1913A0" w14:textId="37B564B0" w:rsidR="005A719B" w:rsidRPr="0095377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162.9772 (&lt;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0C316EAB"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129.4342 </w:t>
            </w:r>
          </w:p>
          <w:p w14:paraId="4C12B3FF" w14:textId="5F6F4C38"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6D632AAF"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103.7695 </w:t>
            </w:r>
          </w:p>
          <w:p w14:paraId="0490136F" w14:textId="1069658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81" w:type="pct"/>
          </w:tcPr>
          <w:p w14:paraId="36689986" w14:textId="77777777" w:rsidR="00B35B6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121.5548 </w:t>
            </w:r>
          </w:p>
          <w:p w14:paraId="26463BFA" w14:textId="65D68D55"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9" w:type="pct"/>
          </w:tcPr>
          <w:p w14:paraId="6F77B791" w14:textId="7E80EAA4" w:rsidR="005A719B" w:rsidRPr="0095377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177.0365 (&lt;</w:t>
            </w:r>
            <w:r>
              <w:rPr>
                <w:rFonts w:eastAsia="SimSun"/>
                <w:color w:val="000000"/>
                <w:sz w:val="15"/>
                <w:szCs w:val="15"/>
                <w:lang w:val="en-US"/>
              </w:rPr>
              <w:t xml:space="preserve"> </w:t>
            </w:r>
            <w:r w:rsidRPr="00953770">
              <w:rPr>
                <w:rFonts w:eastAsia="SimSun"/>
                <w:color w:val="000000"/>
                <w:sz w:val="15"/>
                <w:szCs w:val="15"/>
                <w:lang w:val="en-US"/>
              </w:rPr>
              <w:t>0.0001)</w:t>
            </w:r>
          </w:p>
        </w:tc>
      </w:tr>
      <w:tr w:rsidR="005A719B" w:rsidRPr="00953770" w14:paraId="670092BB" w14:textId="77777777" w:rsidTr="00046A8A">
        <w:tc>
          <w:tcPr>
            <w:tcW w:w="408" w:type="pct"/>
          </w:tcPr>
          <w:p w14:paraId="09BC2187" w14:textId="77777777"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Mean</w:t>
            </w:r>
          </w:p>
        </w:tc>
        <w:tc>
          <w:tcPr>
            <w:tcW w:w="410" w:type="pct"/>
          </w:tcPr>
          <w:p w14:paraId="115EEBBF" w14:textId="32B687B2"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0.028642</w:t>
            </w:r>
          </w:p>
        </w:tc>
        <w:tc>
          <w:tcPr>
            <w:tcW w:w="410" w:type="pct"/>
          </w:tcPr>
          <w:p w14:paraId="0186BE9B"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0.008925</w:t>
            </w:r>
          </w:p>
        </w:tc>
        <w:tc>
          <w:tcPr>
            <w:tcW w:w="410" w:type="pct"/>
          </w:tcPr>
          <w:p w14:paraId="294AE6F9"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0.021266</w:t>
            </w:r>
          </w:p>
        </w:tc>
        <w:tc>
          <w:tcPr>
            <w:tcW w:w="359" w:type="pct"/>
          </w:tcPr>
          <w:p w14:paraId="398BADCF" w14:textId="77777777" w:rsidR="005A719B" w:rsidRPr="00953770" w:rsidRDefault="005A719B" w:rsidP="00CF02C1">
            <w:pPr>
              <w:spacing w:line="360" w:lineRule="auto"/>
              <w:jc w:val="center"/>
              <w:rPr>
                <w:rFonts w:eastAsia="SimSun"/>
                <w:color w:val="000000"/>
                <w:sz w:val="15"/>
                <w:szCs w:val="15"/>
                <w:lang w:val="en-US"/>
              </w:rPr>
            </w:pPr>
            <w:r w:rsidRPr="00953770">
              <w:rPr>
                <w:rFonts w:eastAsia="SimSun"/>
                <w:color w:val="000000"/>
                <w:sz w:val="15"/>
                <w:szCs w:val="15"/>
                <w:lang w:val="en-US"/>
              </w:rPr>
              <w:t>0.139425</w:t>
            </w:r>
          </w:p>
        </w:tc>
        <w:tc>
          <w:tcPr>
            <w:tcW w:w="381" w:type="pct"/>
          </w:tcPr>
          <w:p w14:paraId="3E97AAE4" w14:textId="1F8083B8"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0.029801</w:t>
            </w:r>
          </w:p>
        </w:tc>
        <w:tc>
          <w:tcPr>
            <w:tcW w:w="381" w:type="pct"/>
          </w:tcPr>
          <w:p w14:paraId="5B83AFF6"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0.007729</w:t>
            </w:r>
          </w:p>
        </w:tc>
        <w:tc>
          <w:tcPr>
            <w:tcW w:w="381" w:type="pct"/>
          </w:tcPr>
          <w:p w14:paraId="660266FA"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0.019548</w:t>
            </w:r>
          </w:p>
        </w:tc>
        <w:tc>
          <w:tcPr>
            <w:tcW w:w="359" w:type="pct"/>
          </w:tcPr>
          <w:p w14:paraId="05357345" w14:textId="77777777" w:rsidR="005A719B" w:rsidRPr="00953770" w:rsidRDefault="005A719B" w:rsidP="00CF02C1">
            <w:pPr>
              <w:tabs>
                <w:tab w:val="center" w:pos="388"/>
              </w:tabs>
              <w:spacing w:line="360" w:lineRule="auto"/>
              <w:jc w:val="center"/>
              <w:rPr>
                <w:rFonts w:eastAsia="SimSun"/>
                <w:color w:val="000000"/>
                <w:sz w:val="15"/>
                <w:szCs w:val="15"/>
                <w:lang w:val="en-US"/>
              </w:rPr>
            </w:pPr>
            <w:r w:rsidRPr="00953770">
              <w:rPr>
                <w:rFonts w:eastAsia="SimSun"/>
                <w:color w:val="000000"/>
                <w:sz w:val="15"/>
                <w:szCs w:val="15"/>
                <w:lang w:val="en-US"/>
              </w:rPr>
              <w:t>0.137915</w:t>
            </w:r>
          </w:p>
        </w:tc>
        <w:tc>
          <w:tcPr>
            <w:tcW w:w="381" w:type="pct"/>
          </w:tcPr>
          <w:p w14:paraId="6E93C780" w14:textId="2049EB55"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0.028839</w:t>
            </w:r>
          </w:p>
        </w:tc>
        <w:tc>
          <w:tcPr>
            <w:tcW w:w="381" w:type="pct"/>
          </w:tcPr>
          <w:p w14:paraId="36596480"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0.007080</w:t>
            </w:r>
          </w:p>
        </w:tc>
        <w:tc>
          <w:tcPr>
            <w:tcW w:w="381" w:type="pct"/>
          </w:tcPr>
          <w:p w14:paraId="1E7144AA"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0.019959</w:t>
            </w:r>
          </w:p>
        </w:tc>
        <w:tc>
          <w:tcPr>
            <w:tcW w:w="359" w:type="pct"/>
          </w:tcPr>
          <w:p w14:paraId="7A63F024" w14:textId="77777777" w:rsidR="005A719B" w:rsidRPr="00953770" w:rsidRDefault="005A719B" w:rsidP="00CF02C1">
            <w:pPr>
              <w:spacing w:line="360" w:lineRule="auto"/>
              <w:jc w:val="center"/>
              <w:rPr>
                <w:rFonts w:eastAsia="SimSun"/>
                <w:color w:val="000000"/>
                <w:sz w:val="15"/>
                <w:szCs w:val="15"/>
                <w:lang w:val="en-US"/>
              </w:rPr>
            </w:pPr>
            <w:r w:rsidRPr="00953770">
              <w:rPr>
                <w:rFonts w:eastAsia="SimSun"/>
                <w:color w:val="000000"/>
                <w:sz w:val="15"/>
                <w:szCs w:val="15"/>
                <w:lang w:val="en-US"/>
              </w:rPr>
              <w:t>0.136282</w:t>
            </w:r>
          </w:p>
        </w:tc>
      </w:tr>
      <w:tr w:rsidR="00046A8A" w:rsidRPr="00953770" w14:paraId="4F41976C" w14:textId="77777777" w:rsidTr="00046A8A">
        <w:tc>
          <w:tcPr>
            <w:tcW w:w="408" w:type="pct"/>
          </w:tcPr>
          <w:p w14:paraId="1C0A014D" w14:textId="77777777"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Variance</w:t>
            </w:r>
          </w:p>
        </w:tc>
        <w:tc>
          <w:tcPr>
            <w:tcW w:w="410" w:type="pct"/>
          </w:tcPr>
          <w:p w14:paraId="46E0B9FE" w14:textId="68C5CD8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0.049300</w:t>
            </w:r>
          </w:p>
        </w:tc>
        <w:tc>
          <w:tcPr>
            <w:tcW w:w="410" w:type="pct"/>
          </w:tcPr>
          <w:p w14:paraId="364C2901"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0.056769</w:t>
            </w:r>
          </w:p>
        </w:tc>
        <w:tc>
          <w:tcPr>
            <w:tcW w:w="410" w:type="pct"/>
          </w:tcPr>
          <w:p w14:paraId="22CDDC23" w14:textId="076AB094"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0.029572</w:t>
            </w:r>
          </w:p>
        </w:tc>
        <w:tc>
          <w:tcPr>
            <w:tcW w:w="359" w:type="pct"/>
          </w:tcPr>
          <w:p w14:paraId="4E82FD36" w14:textId="77777777" w:rsidR="005A719B" w:rsidRPr="00953770" w:rsidRDefault="005A719B" w:rsidP="00CF02C1">
            <w:pPr>
              <w:spacing w:line="360" w:lineRule="auto"/>
              <w:jc w:val="center"/>
              <w:rPr>
                <w:rFonts w:eastAsia="SimSun"/>
                <w:color w:val="000000"/>
                <w:sz w:val="15"/>
                <w:szCs w:val="15"/>
                <w:lang w:val="en-US"/>
              </w:rPr>
            </w:pPr>
            <w:r w:rsidRPr="00953770">
              <w:rPr>
                <w:rFonts w:eastAsia="SimSun"/>
                <w:color w:val="000000"/>
                <w:sz w:val="15"/>
                <w:szCs w:val="15"/>
                <w:lang w:val="en-US"/>
              </w:rPr>
              <w:t>0.028316</w:t>
            </w:r>
          </w:p>
        </w:tc>
        <w:tc>
          <w:tcPr>
            <w:tcW w:w="381" w:type="pct"/>
          </w:tcPr>
          <w:p w14:paraId="1238D9EF" w14:textId="2304CCE6" w:rsidR="005A719B" w:rsidRPr="00953770" w:rsidRDefault="005A719B" w:rsidP="0085710A">
            <w:pPr>
              <w:jc w:val="center"/>
              <w:rPr>
                <w:rFonts w:eastAsia="SimSun"/>
                <w:sz w:val="15"/>
                <w:szCs w:val="15"/>
                <w:lang w:val="en-US"/>
              </w:rPr>
            </w:pPr>
            <w:r w:rsidRPr="00953770">
              <w:rPr>
                <w:rFonts w:eastAsia="SimSun"/>
                <w:sz w:val="15"/>
                <w:szCs w:val="15"/>
                <w:lang w:val="en-US"/>
              </w:rPr>
              <w:t>0.049619</w:t>
            </w:r>
          </w:p>
        </w:tc>
        <w:tc>
          <w:tcPr>
            <w:tcW w:w="381" w:type="pct"/>
          </w:tcPr>
          <w:p w14:paraId="2A0D6D15" w14:textId="0A3550B3" w:rsidR="005A719B" w:rsidRPr="00953770" w:rsidRDefault="005A719B" w:rsidP="0085710A">
            <w:pPr>
              <w:jc w:val="center"/>
              <w:rPr>
                <w:rFonts w:eastAsia="SimSun"/>
                <w:sz w:val="15"/>
                <w:szCs w:val="15"/>
                <w:lang w:val="en-US"/>
              </w:rPr>
            </w:pPr>
            <w:r w:rsidRPr="00953770">
              <w:rPr>
                <w:rFonts w:eastAsia="SimSun"/>
                <w:sz w:val="15"/>
                <w:szCs w:val="15"/>
                <w:lang w:val="en-US"/>
              </w:rPr>
              <w:t>0.055716</w:t>
            </w:r>
          </w:p>
        </w:tc>
        <w:tc>
          <w:tcPr>
            <w:tcW w:w="381" w:type="pct"/>
          </w:tcPr>
          <w:p w14:paraId="601E8E80" w14:textId="3A659EE5" w:rsidR="005A719B" w:rsidRPr="00953770" w:rsidRDefault="005A719B" w:rsidP="0085710A">
            <w:pPr>
              <w:jc w:val="center"/>
              <w:rPr>
                <w:rFonts w:eastAsia="SimSun"/>
                <w:sz w:val="15"/>
                <w:szCs w:val="15"/>
                <w:lang w:val="en-US"/>
              </w:rPr>
            </w:pPr>
            <w:r w:rsidRPr="00953770">
              <w:rPr>
                <w:rFonts w:eastAsia="SimSun"/>
                <w:sz w:val="15"/>
                <w:szCs w:val="15"/>
                <w:lang w:val="en-US"/>
              </w:rPr>
              <w:t>0.030129</w:t>
            </w:r>
          </w:p>
        </w:tc>
        <w:tc>
          <w:tcPr>
            <w:tcW w:w="359" w:type="pct"/>
          </w:tcPr>
          <w:p w14:paraId="0F4DB678" w14:textId="678D960C" w:rsidR="005A719B" w:rsidRPr="00953770" w:rsidRDefault="005A719B" w:rsidP="0085710A">
            <w:pPr>
              <w:jc w:val="center"/>
              <w:rPr>
                <w:rFonts w:eastAsia="SimSun"/>
                <w:sz w:val="15"/>
                <w:szCs w:val="15"/>
                <w:lang w:val="en-US"/>
              </w:rPr>
            </w:pPr>
            <w:r w:rsidRPr="00953770">
              <w:rPr>
                <w:rFonts w:eastAsia="SimSun"/>
                <w:sz w:val="15"/>
                <w:szCs w:val="15"/>
                <w:lang w:val="en-US"/>
              </w:rPr>
              <w:t>0.029608</w:t>
            </w:r>
          </w:p>
        </w:tc>
        <w:tc>
          <w:tcPr>
            <w:tcW w:w="381" w:type="pct"/>
          </w:tcPr>
          <w:p w14:paraId="335DD7A3" w14:textId="3DC248EA" w:rsidR="005A719B" w:rsidRPr="00953770" w:rsidRDefault="005A719B" w:rsidP="0085710A">
            <w:pPr>
              <w:jc w:val="center"/>
              <w:rPr>
                <w:rFonts w:eastAsia="SimSun"/>
                <w:sz w:val="15"/>
                <w:szCs w:val="15"/>
                <w:lang w:val="en-US"/>
              </w:rPr>
            </w:pPr>
            <w:r w:rsidRPr="00953770">
              <w:rPr>
                <w:rFonts w:eastAsia="SimSun"/>
                <w:sz w:val="15"/>
                <w:szCs w:val="15"/>
                <w:lang w:val="en-US"/>
              </w:rPr>
              <w:t>0.047904</w:t>
            </w:r>
          </w:p>
        </w:tc>
        <w:tc>
          <w:tcPr>
            <w:tcW w:w="381" w:type="pct"/>
          </w:tcPr>
          <w:p w14:paraId="32264AFA" w14:textId="61740AD4" w:rsidR="005A719B" w:rsidRPr="00953770" w:rsidRDefault="005A719B" w:rsidP="0085710A">
            <w:pPr>
              <w:jc w:val="center"/>
              <w:rPr>
                <w:rFonts w:eastAsia="SimSun"/>
                <w:sz w:val="15"/>
                <w:szCs w:val="15"/>
                <w:lang w:val="en-US"/>
              </w:rPr>
            </w:pPr>
            <w:r w:rsidRPr="00953770">
              <w:rPr>
                <w:rFonts w:eastAsia="SimSun"/>
                <w:sz w:val="15"/>
                <w:szCs w:val="15"/>
                <w:lang w:val="en-US"/>
              </w:rPr>
              <w:t>0.056887</w:t>
            </w:r>
          </w:p>
        </w:tc>
        <w:tc>
          <w:tcPr>
            <w:tcW w:w="381" w:type="pct"/>
          </w:tcPr>
          <w:p w14:paraId="02172C98" w14:textId="3BD04E58" w:rsidR="005A719B" w:rsidRPr="00953770" w:rsidRDefault="005A719B" w:rsidP="0085710A">
            <w:pPr>
              <w:jc w:val="center"/>
              <w:rPr>
                <w:rFonts w:eastAsia="SimSun"/>
                <w:sz w:val="15"/>
                <w:szCs w:val="15"/>
                <w:lang w:val="en-US"/>
              </w:rPr>
            </w:pPr>
            <w:r w:rsidRPr="00953770">
              <w:rPr>
                <w:rFonts w:eastAsia="SimSun"/>
                <w:sz w:val="15"/>
                <w:szCs w:val="15"/>
                <w:lang w:val="en-US"/>
              </w:rPr>
              <w:t>0.028612</w:t>
            </w:r>
          </w:p>
        </w:tc>
        <w:tc>
          <w:tcPr>
            <w:tcW w:w="359" w:type="pct"/>
          </w:tcPr>
          <w:p w14:paraId="4E16798B" w14:textId="415A4BF4" w:rsidR="005A719B" w:rsidRPr="00953770" w:rsidRDefault="005A719B" w:rsidP="0085710A">
            <w:pPr>
              <w:jc w:val="center"/>
              <w:rPr>
                <w:rFonts w:eastAsia="SimSun"/>
                <w:sz w:val="15"/>
                <w:szCs w:val="15"/>
                <w:lang w:val="en-US"/>
              </w:rPr>
            </w:pPr>
            <w:r w:rsidRPr="00953770">
              <w:rPr>
                <w:rFonts w:eastAsia="SimSun"/>
                <w:sz w:val="15"/>
                <w:szCs w:val="15"/>
                <w:lang w:val="en-US"/>
              </w:rPr>
              <w:t>0.028867</w:t>
            </w:r>
          </w:p>
        </w:tc>
      </w:tr>
      <w:tr w:rsidR="005A719B" w:rsidRPr="00953770" w14:paraId="21DE9560" w14:textId="77777777" w:rsidTr="00046A8A">
        <w:trPr>
          <w:trHeight w:val="256"/>
        </w:trPr>
        <w:tc>
          <w:tcPr>
            <w:tcW w:w="408" w:type="pct"/>
          </w:tcPr>
          <w:p w14:paraId="225AF77B" w14:textId="77777777"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Skewness</w:t>
            </w:r>
          </w:p>
        </w:tc>
        <w:tc>
          <w:tcPr>
            <w:tcW w:w="410" w:type="pct"/>
          </w:tcPr>
          <w:p w14:paraId="16D4FD15" w14:textId="4ED5EC47"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0.216936</w:t>
            </w:r>
          </w:p>
        </w:tc>
        <w:tc>
          <w:tcPr>
            <w:tcW w:w="410" w:type="pct"/>
          </w:tcPr>
          <w:p w14:paraId="03FDC87A" w14:textId="7FD635CF"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0.592822</w:t>
            </w:r>
          </w:p>
        </w:tc>
        <w:tc>
          <w:tcPr>
            <w:tcW w:w="410" w:type="pct"/>
          </w:tcPr>
          <w:p w14:paraId="3A00AC7D" w14:textId="57DB341E" w:rsidR="005A719B" w:rsidRPr="00953770" w:rsidRDefault="005A719B" w:rsidP="00CF02C1">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0.972159</w:t>
            </w:r>
          </w:p>
        </w:tc>
        <w:tc>
          <w:tcPr>
            <w:tcW w:w="359" w:type="pct"/>
          </w:tcPr>
          <w:p w14:paraId="46E60BC8" w14:textId="0F6B4EB9" w:rsidR="005A719B" w:rsidRPr="00953770" w:rsidRDefault="005A719B" w:rsidP="00CF02C1">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0.388473</w:t>
            </w:r>
          </w:p>
        </w:tc>
        <w:tc>
          <w:tcPr>
            <w:tcW w:w="381" w:type="pct"/>
          </w:tcPr>
          <w:p w14:paraId="025EBF5E" w14:textId="22B7D14C"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0.228756</w:t>
            </w:r>
          </w:p>
        </w:tc>
        <w:tc>
          <w:tcPr>
            <w:tcW w:w="381" w:type="pct"/>
          </w:tcPr>
          <w:p w14:paraId="07E0261C" w14:textId="00E50C08"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0.606306</w:t>
            </w:r>
          </w:p>
        </w:tc>
        <w:tc>
          <w:tcPr>
            <w:tcW w:w="381" w:type="pct"/>
          </w:tcPr>
          <w:p w14:paraId="3D22B30D" w14:textId="6E0B43F4"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0.838144</w:t>
            </w:r>
          </w:p>
        </w:tc>
        <w:tc>
          <w:tcPr>
            <w:tcW w:w="359" w:type="pct"/>
          </w:tcPr>
          <w:p w14:paraId="773BD100" w14:textId="413AD88F"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0.400989</w:t>
            </w:r>
          </w:p>
        </w:tc>
        <w:tc>
          <w:tcPr>
            <w:tcW w:w="381" w:type="pct"/>
          </w:tcPr>
          <w:p w14:paraId="4CCDF55E" w14:textId="0992C124"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0.216052</w:t>
            </w:r>
          </w:p>
        </w:tc>
        <w:tc>
          <w:tcPr>
            <w:tcW w:w="381" w:type="pct"/>
          </w:tcPr>
          <w:p w14:paraId="144B0778" w14:textId="5E0837BA"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0.548843</w:t>
            </w:r>
          </w:p>
        </w:tc>
        <w:tc>
          <w:tcPr>
            <w:tcW w:w="381" w:type="pct"/>
          </w:tcPr>
          <w:p w14:paraId="1D6A44C9" w14:textId="7C4EB681"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1.026831</w:t>
            </w:r>
          </w:p>
        </w:tc>
        <w:tc>
          <w:tcPr>
            <w:tcW w:w="359" w:type="pct"/>
          </w:tcPr>
          <w:p w14:paraId="10DDA3B8" w14:textId="72BC6E31" w:rsidR="005A719B" w:rsidRPr="00953770" w:rsidRDefault="005A719B" w:rsidP="0085710A">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0.370460</w:t>
            </w:r>
          </w:p>
        </w:tc>
      </w:tr>
      <w:tr w:rsidR="00046A8A" w:rsidRPr="00953770" w14:paraId="70967CB0" w14:textId="77777777" w:rsidTr="00046A8A">
        <w:tc>
          <w:tcPr>
            <w:tcW w:w="408" w:type="pct"/>
          </w:tcPr>
          <w:p w14:paraId="73153AF2" w14:textId="77777777"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Kurtosis</w:t>
            </w:r>
          </w:p>
        </w:tc>
        <w:tc>
          <w:tcPr>
            <w:tcW w:w="410" w:type="pct"/>
          </w:tcPr>
          <w:p w14:paraId="1083432A" w14:textId="40209C25"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2.219396</w:t>
            </w:r>
          </w:p>
        </w:tc>
        <w:tc>
          <w:tcPr>
            <w:tcW w:w="410" w:type="pct"/>
          </w:tcPr>
          <w:p w14:paraId="16B44F71" w14:textId="77777777"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2.088862</w:t>
            </w:r>
          </w:p>
        </w:tc>
        <w:tc>
          <w:tcPr>
            <w:tcW w:w="410" w:type="pct"/>
          </w:tcPr>
          <w:p w14:paraId="1E5869D6" w14:textId="3E12FC60" w:rsidR="005A719B" w:rsidRPr="00953770" w:rsidRDefault="005A719B" w:rsidP="00CF02C1">
            <w:pPr>
              <w:spacing w:line="360" w:lineRule="auto"/>
              <w:jc w:val="center"/>
              <w:rPr>
                <w:rFonts w:eastAsia="SimSun"/>
                <w:sz w:val="15"/>
                <w:szCs w:val="15"/>
                <w:lang w:val="en-US"/>
              </w:rPr>
            </w:pPr>
            <w:r w:rsidRPr="00953770">
              <w:rPr>
                <w:rFonts w:eastAsia="SimSun"/>
                <w:color w:val="000000"/>
                <w:sz w:val="15"/>
                <w:szCs w:val="15"/>
                <w:lang w:val="en-US"/>
              </w:rPr>
              <w:t>3.485713</w:t>
            </w:r>
          </w:p>
        </w:tc>
        <w:tc>
          <w:tcPr>
            <w:tcW w:w="359" w:type="pct"/>
          </w:tcPr>
          <w:p w14:paraId="40E0EAAB" w14:textId="77777777" w:rsidR="005A719B" w:rsidRPr="00953770" w:rsidRDefault="005A719B" w:rsidP="00CF02C1">
            <w:pPr>
              <w:spacing w:line="360" w:lineRule="auto"/>
              <w:jc w:val="center"/>
              <w:rPr>
                <w:rFonts w:eastAsia="SimSun"/>
                <w:color w:val="000000"/>
                <w:sz w:val="15"/>
                <w:szCs w:val="15"/>
                <w:lang w:val="en-US"/>
              </w:rPr>
            </w:pPr>
            <w:r w:rsidRPr="00953770">
              <w:rPr>
                <w:rFonts w:eastAsia="SimSun"/>
                <w:color w:val="000000"/>
                <w:sz w:val="15"/>
                <w:szCs w:val="15"/>
                <w:lang w:val="en-US"/>
              </w:rPr>
              <w:t>2.600396</w:t>
            </w:r>
          </w:p>
        </w:tc>
        <w:tc>
          <w:tcPr>
            <w:tcW w:w="381" w:type="pct"/>
          </w:tcPr>
          <w:p w14:paraId="0F97773E" w14:textId="7968CCE8" w:rsidR="005A719B" w:rsidRPr="00953770" w:rsidRDefault="005A719B" w:rsidP="0085710A">
            <w:pPr>
              <w:jc w:val="center"/>
              <w:rPr>
                <w:rFonts w:eastAsia="SimSun"/>
                <w:sz w:val="15"/>
                <w:szCs w:val="15"/>
                <w:lang w:val="en-US"/>
              </w:rPr>
            </w:pPr>
            <w:r w:rsidRPr="00953770">
              <w:rPr>
                <w:rFonts w:eastAsia="SimSun"/>
                <w:sz w:val="15"/>
                <w:szCs w:val="15"/>
                <w:lang w:val="en-US"/>
              </w:rPr>
              <w:t>2.231447</w:t>
            </w:r>
          </w:p>
        </w:tc>
        <w:tc>
          <w:tcPr>
            <w:tcW w:w="381" w:type="pct"/>
          </w:tcPr>
          <w:p w14:paraId="40C64630" w14:textId="4489DEE9" w:rsidR="005A719B" w:rsidRPr="00953770" w:rsidRDefault="005A719B" w:rsidP="0085710A">
            <w:pPr>
              <w:jc w:val="center"/>
              <w:rPr>
                <w:rFonts w:eastAsia="SimSun"/>
                <w:sz w:val="15"/>
                <w:szCs w:val="15"/>
                <w:lang w:val="en-US"/>
              </w:rPr>
            </w:pPr>
            <w:r w:rsidRPr="00953770">
              <w:rPr>
                <w:rFonts w:eastAsia="SimSun"/>
                <w:sz w:val="15"/>
                <w:szCs w:val="15"/>
                <w:lang w:val="en-US"/>
              </w:rPr>
              <w:t>2.139559</w:t>
            </w:r>
          </w:p>
        </w:tc>
        <w:tc>
          <w:tcPr>
            <w:tcW w:w="381" w:type="pct"/>
          </w:tcPr>
          <w:p w14:paraId="117F6FEA" w14:textId="78396995" w:rsidR="005A719B" w:rsidRPr="00953770" w:rsidRDefault="005A719B" w:rsidP="0085710A">
            <w:pPr>
              <w:jc w:val="center"/>
              <w:rPr>
                <w:rFonts w:eastAsia="SimSun"/>
                <w:sz w:val="15"/>
                <w:szCs w:val="15"/>
                <w:lang w:val="en-US"/>
              </w:rPr>
            </w:pPr>
            <w:r w:rsidRPr="00953770">
              <w:rPr>
                <w:rFonts w:eastAsia="SimSun"/>
                <w:sz w:val="15"/>
                <w:szCs w:val="15"/>
                <w:lang w:val="en-US"/>
              </w:rPr>
              <w:t>3.132329</w:t>
            </w:r>
          </w:p>
        </w:tc>
        <w:tc>
          <w:tcPr>
            <w:tcW w:w="359" w:type="pct"/>
          </w:tcPr>
          <w:p w14:paraId="60F51AA1" w14:textId="4D946A45" w:rsidR="005A719B" w:rsidRPr="00953770" w:rsidRDefault="005A719B" w:rsidP="0085710A">
            <w:pPr>
              <w:jc w:val="center"/>
              <w:rPr>
                <w:rFonts w:eastAsia="SimSun"/>
                <w:sz w:val="15"/>
                <w:szCs w:val="15"/>
                <w:lang w:val="en-US"/>
              </w:rPr>
            </w:pPr>
            <w:r w:rsidRPr="00953770">
              <w:rPr>
                <w:rFonts w:eastAsia="SimSun"/>
                <w:sz w:val="15"/>
                <w:szCs w:val="15"/>
                <w:lang w:val="en-US"/>
              </w:rPr>
              <w:t>2.595813</w:t>
            </w:r>
          </w:p>
        </w:tc>
        <w:tc>
          <w:tcPr>
            <w:tcW w:w="381" w:type="pct"/>
          </w:tcPr>
          <w:p w14:paraId="360B7C4A" w14:textId="51BDBDB2" w:rsidR="005A719B" w:rsidRPr="00953770" w:rsidRDefault="005A719B" w:rsidP="0085710A">
            <w:pPr>
              <w:jc w:val="center"/>
              <w:rPr>
                <w:rFonts w:eastAsia="SimSun"/>
                <w:sz w:val="15"/>
                <w:szCs w:val="15"/>
                <w:lang w:val="en-US"/>
              </w:rPr>
            </w:pPr>
            <w:r w:rsidRPr="00953770">
              <w:rPr>
                <w:rFonts w:eastAsia="SimSun"/>
                <w:sz w:val="15"/>
                <w:szCs w:val="15"/>
                <w:lang w:val="en-US"/>
              </w:rPr>
              <w:t>2.227154</w:t>
            </w:r>
          </w:p>
        </w:tc>
        <w:tc>
          <w:tcPr>
            <w:tcW w:w="381" w:type="pct"/>
          </w:tcPr>
          <w:p w14:paraId="71ABE8A3" w14:textId="77232D54" w:rsidR="005A719B" w:rsidRPr="00953770" w:rsidRDefault="005A719B" w:rsidP="0085710A">
            <w:pPr>
              <w:jc w:val="center"/>
              <w:rPr>
                <w:rFonts w:eastAsia="SimSun"/>
                <w:sz w:val="15"/>
                <w:szCs w:val="15"/>
                <w:lang w:val="en-US"/>
              </w:rPr>
            </w:pPr>
            <w:r w:rsidRPr="00953770">
              <w:rPr>
                <w:rFonts w:eastAsia="SimSun"/>
                <w:sz w:val="15"/>
                <w:szCs w:val="15"/>
                <w:lang w:val="en-US"/>
              </w:rPr>
              <w:t>2.003962</w:t>
            </w:r>
          </w:p>
        </w:tc>
        <w:tc>
          <w:tcPr>
            <w:tcW w:w="381" w:type="pct"/>
          </w:tcPr>
          <w:p w14:paraId="6B08B989" w14:textId="1B8EDD4A" w:rsidR="005A719B" w:rsidRPr="00953770" w:rsidRDefault="005A719B" w:rsidP="0085710A">
            <w:pPr>
              <w:jc w:val="center"/>
              <w:rPr>
                <w:rFonts w:eastAsia="SimSun"/>
                <w:sz w:val="15"/>
                <w:szCs w:val="15"/>
                <w:lang w:val="en-US"/>
              </w:rPr>
            </w:pPr>
            <w:r w:rsidRPr="00953770">
              <w:rPr>
                <w:rFonts w:eastAsia="SimSun"/>
                <w:sz w:val="15"/>
                <w:szCs w:val="15"/>
                <w:lang w:val="en-US"/>
              </w:rPr>
              <w:t>3.578135</w:t>
            </w:r>
          </w:p>
        </w:tc>
        <w:tc>
          <w:tcPr>
            <w:tcW w:w="359" w:type="pct"/>
          </w:tcPr>
          <w:p w14:paraId="48C2B494" w14:textId="52CC1767" w:rsidR="005A719B" w:rsidRPr="00953770" w:rsidRDefault="005A719B" w:rsidP="0085710A">
            <w:pPr>
              <w:jc w:val="center"/>
              <w:rPr>
                <w:rFonts w:eastAsia="SimSun"/>
                <w:sz w:val="15"/>
                <w:szCs w:val="15"/>
                <w:lang w:val="en-US"/>
              </w:rPr>
            </w:pPr>
            <w:r w:rsidRPr="00953770">
              <w:rPr>
                <w:rFonts w:eastAsia="SimSun"/>
                <w:sz w:val="15"/>
                <w:szCs w:val="15"/>
                <w:lang w:val="en-US"/>
              </w:rPr>
              <w:t>2.637226</w:t>
            </w:r>
          </w:p>
        </w:tc>
      </w:tr>
    </w:tbl>
    <w:p w14:paraId="6E13701E" w14:textId="77777777" w:rsidR="005A719B" w:rsidRPr="00953770" w:rsidRDefault="005A719B" w:rsidP="00CF365B">
      <w:pPr>
        <w:jc w:val="center"/>
        <w:rPr>
          <w:rFonts w:eastAsia="SimSun"/>
          <w:b/>
          <w:lang w:val="en-US"/>
        </w:rPr>
      </w:pPr>
    </w:p>
    <w:p w14:paraId="1DBC7251" w14:textId="77777777" w:rsidR="005A719B" w:rsidRPr="00966B26" w:rsidRDefault="005A719B" w:rsidP="009C1314">
      <w:pPr>
        <w:jc w:val="center"/>
        <w:rPr>
          <w:rFonts w:eastAsia="SimSun"/>
          <w:sz w:val="20"/>
          <w:szCs w:val="20"/>
          <w:lang w:val="en-US"/>
        </w:rPr>
      </w:pPr>
      <w:r w:rsidRPr="00966B26">
        <w:rPr>
          <w:rFonts w:eastAsia="SimSun"/>
          <w:sz w:val="20"/>
          <w:szCs w:val="20"/>
          <w:lang w:val="en-US"/>
        </w:rPr>
        <w:t>CAC 40 Demeaned Log Prices</w:t>
      </w:r>
    </w:p>
    <w:p w14:paraId="2FDAEBF7" w14:textId="77777777" w:rsidR="005A719B" w:rsidRPr="00953770" w:rsidRDefault="005A719B" w:rsidP="00CF02C1">
      <w:pPr>
        <w:rPr>
          <w:rFonts w:eastAsia="SimSun"/>
          <w:b/>
          <w:lang w:val="en-US"/>
        </w:rPr>
      </w:pPr>
    </w:p>
    <w:tbl>
      <w:tblPr>
        <w:tblStyle w:val="TableGrid2"/>
        <w:tblW w:w="5000" w:type="pct"/>
        <w:tblLook w:val="04A0" w:firstRow="1" w:lastRow="0" w:firstColumn="1" w:lastColumn="0" w:noHBand="0" w:noVBand="1"/>
      </w:tblPr>
      <w:tblGrid>
        <w:gridCol w:w="1060"/>
        <w:gridCol w:w="1102"/>
        <w:gridCol w:w="1102"/>
        <w:gridCol w:w="1269"/>
        <w:gridCol w:w="993"/>
        <w:gridCol w:w="1135"/>
        <w:gridCol w:w="1135"/>
        <w:gridCol w:w="993"/>
        <w:gridCol w:w="1102"/>
        <w:gridCol w:w="1052"/>
        <w:gridCol w:w="1052"/>
        <w:gridCol w:w="996"/>
        <w:gridCol w:w="957"/>
      </w:tblGrid>
      <w:tr w:rsidR="005A719B" w:rsidRPr="00953770" w14:paraId="79382C34" w14:textId="77777777" w:rsidTr="00046A8A">
        <w:tc>
          <w:tcPr>
            <w:tcW w:w="380" w:type="pct"/>
          </w:tcPr>
          <w:p w14:paraId="4FBBC7CB" w14:textId="77777777" w:rsidR="005A719B" w:rsidRPr="00953770" w:rsidRDefault="005A719B" w:rsidP="00E5264C">
            <w:pPr>
              <w:spacing w:line="360" w:lineRule="auto"/>
              <w:jc w:val="center"/>
              <w:rPr>
                <w:rFonts w:eastAsia="SimSun"/>
                <w:sz w:val="15"/>
                <w:szCs w:val="15"/>
                <w:lang w:val="en-US"/>
              </w:rPr>
            </w:pPr>
          </w:p>
        </w:tc>
        <w:tc>
          <w:tcPr>
            <w:tcW w:w="1601" w:type="pct"/>
            <w:gridSpan w:val="4"/>
          </w:tcPr>
          <w:p w14:paraId="71EC9B99"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CAC 40 Spot Index</w:t>
            </w:r>
          </w:p>
        </w:tc>
        <w:tc>
          <w:tcPr>
            <w:tcW w:w="1565" w:type="pct"/>
            <w:gridSpan w:val="4"/>
          </w:tcPr>
          <w:p w14:paraId="1D1A2928" w14:textId="1450563E"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CAC 40 Index Futures</w:t>
            </w:r>
          </w:p>
        </w:tc>
        <w:tc>
          <w:tcPr>
            <w:tcW w:w="1454" w:type="pct"/>
            <w:gridSpan w:val="4"/>
          </w:tcPr>
          <w:p w14:paraId="0FA99EA7"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iShare CAC 40 ETF</w:t>
            </w:r>
          </w:p>
        </w:tc>
      </w:tr>
      <w:tr w:rsidR="005A719B" w:rsidRPr="00953770" w14:paraId="0710B43A" w14:textId="77777777" w:rsidTr="00046A8A">
        <w:tc>
          <w:tcPr>
            <w:tcW w:w="380" w:type="pct"/>
          </w:tcPr>
          <w:p w14:paraId="7B04C84A" w14:textId="77777777" w:rsidR="005A719B" w:rsidRPr="00953770" w:rsidRDefault="005A719B" w:rsidP="00E5264C">
            <w:pPr>
              <w:spacing w:line="360" w:lineRule="auto"/>
              <w:jc w:val="center"/>
              <w:rPr>
                <w:rFonts w:eastAsia="SimSun"/>
                <w:sz w:val="15"/>
                <w:szCs w:val="15"/>
                <w:lang w:val="en-US"/>
              </w:rPr>
            </w:pPr>
          </w:p>
        </w:tc>
        <w:tc>
          <w:tcPr>
            <w:tcW w:w="395" w:type="pct"/>
          </w:tcPr>
          <w:p w14:paraId="0184B367"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2010</w:t>
            </w:r>
          </w:p>
        </w:tc>
        <w:tc>
          <w:tcPr>
            <w:tcW w:w="395" w:type="pct"/>
          </w:tcPr>
          <w:p w14:paraId="5AE314EA"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2011</w:t>
            </w:r>
          </w:p>
        </w:tc>
        <w:tc>
          <w:tcPr>
            <w:tcW w:w="455" w:type="pct"/>
          </w:tcPr>
          <w:p w14:paraId="54A62C13"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2012</w:t>
            </w:r>
          </w:p>
        </w:tc>
        <w:tc>
          <w:tcPr>
            <w:tcW w:w="356" w:type="pct"/>
          </w:tcPr>
          <w:p w14:paraId="05F5BCC2"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2013</w:t>
            </w:r>
          </w:p>
        </w:tc>
        <w:tc>
          <w:tcPr>
            <w:tcW w:w="407" w:type="pct"/>
          </w:tcPr>
          <w:p w14:paraId="3F570883" w14:textId="7AAABB1B"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2010</w:t>
            </w:r>
          </w:p>
        </w:tc>
        <w:tc>
          <w:tcPr>
            <w:tcW w:w="407" w:type="pct"/>
          </w:tcPr>
          <w:p w14:paraId="08EE5F9C"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2011</w:t>
            </w:r>
          </w:p>
        </w:tc>
        <w:tc>
          <w:tcPr>
            <w:tcW w:w="356" w:type="pct"/>
          </w:tcPr>
          <w:p w14:paraId="3BD6AB3B"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2012</w:t>
            </w:r>
          </w:p>
        </w:tc>
        <w:tc>
          <w:tcPr>
            <w:tcW w:w="395" w:type="pct"/>
          </w:tcPr>
          <w:p w14:paraId="3573BBD1"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2013</w:t>
            </w:r>
          </w:p>
        </w:tc>
        <w:tc>
          <w:tcPr>
            <w:tcW w:w="377" w:type="pct"/>
          </w:tcPr>
          <w:p w14:paraId="33F92269"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2010</w:t>
            </w:r>
          </w:p>
        </w:tc>
        <w:tc>
          <w:tcPr>
            <w:tcW w:w="377" w:type="pct"/>
          </w:tcPr>
          <w:p w14:paraId="77A9D5AE"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2011</w:t>
            </w:r>
          </w:p>
        </w:tc>
        <w:tc>
          <w:tcPr>
            <w:tcW w:w="357" w:type="pct"/>
          </w:tcPr>
          <w:p w14:paraId="4977759D"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2012</w:t>
            </w:r>
          </w:p>
        </w:tc>
        <w:tc>
          <w:tcPr>
            <w:tcW w:w="343" w:type="pct"/>
          </w:tcPr>
          <w:p w14:paraId="06E7D630"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2013</w:t>
            </w:r>
          </w:p>
        </w:tc>
      </w:tr>
      <w:tr w:rsidR="005A719B" w:rsidRPr="00953770" w14:paraId="7567E4B5" w14:textId="77777777" w:rsidTr="00046A8A">
        <w:tc>
          <w:tcPr>
            <w:tcW w:w="380" w:type="pct"/>
          </w:tcPr>
          <w:p w14:paraId="0601CB40" w14:textId="77777777" w:rsidR="005A719B" w:rsidRPr="00953770" w:rsidRDefault="005A719B" w:rsidP="00913ABD">
            <w:pPr>
              <w:spacing w:line="360" w:lineRule="auto"/>
              <w:jc w:val="center"/>
              <w:rPr>
                <w:rFonts w:eastAsia="SimSun"/>
                <w:sz w:val="15"/>
                <w:szCs w:val="15"/>
                <w:lang w:val="en-US"/>
              </w:rPr>
            </w:pPr>
            <w:r w:rsidRPr="00953770">
              <w:rPr>
                <w:rFonts w:eastAsia="SimSun"/>
                <w:sz w:val="15"/>
                <w:szCs w:val="15"/>
                <w:lang w:val="en-US"/>
              </w:rPr>
              <w:t xml:space="preserve">ADF </w:t>
            </w:r>
          </w:p>
          <w:p w14:paraId="26DEBECF" w14:textId="0DDF072F" w:rsidR="005A719B" w:rsidRPr="00953770" w:rsidRDefault="005A719B" w:rsidP="00913ABD">
            <w:pPr>
              <w:spacing w:line="360" w:lineRule="auto"/>
              <w:jc w:val="center"/>
              <w:rPr>
                <w:rFonts w:eastAsia="SimSun"/>
                <w:sz w:val="15"/>
                <w:szCs w:val="15"/>
                <w:lang w:val="en-US"/>
              </w:rPr>
            </w:pPr>
            <w:r w:rsidRPr="00953770">
              <w:rPr>
                <w:rFonts w:eastAsia="SimSun"/>
                <w:sz w:val="15"/>
                <w:szCs w:val="15"/>
                <w:lang w:val="en-US"/>
              </w:rPr>
              <w:t>Log Price</w:t>
            </w:r>
          </w:p>
        </w:tc>
        <w:tc>
          <w:tcPr>
            <w:tcW w:w="395" w:type="pct"/>
          </w:tcPr>
          <w:p w14:paraId="702B330F"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2.909740 </w:t>
            </w:r>
          </w:p>
          <w:p w14:paraId="4A4AC558" w14:textId="4452C980"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0.01)</w:t>
            </w:r>
          </w:p>
        </w:tc>
        <w:tc>
          <w:tcPr>
            <w:tcW w:w="395" w:type="pct"/>
          </w:tcPr>
          <w:p w14:paraId="37090180"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1.079436 </w:t>
            </w:r>
          </w:p>
          <w:p w14:paraId="31819903" w14:textId="6F8B68B5"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455" w:type="pct"/>
          </w:tcPr>
          <w:p w14:paraId="523CE675"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2.115898 </w:t>
            </w:r>
          </w:p>
          <w:p w14:paraId="53D7CBF9" w14:textId="0561F657" w:rsidR="005A719B" w:rsidRPr="00953770" w:rsidRDefault="005A719B" w:rsidP="00E5264C">
            <w:pPr>
              <w:spacing w:line="360" w:lineRule="auto"/>
              <w:jc w:val="center"/>
              <w:rPr>
                <w:rFonts w:eastAsia="SimSun"/>
                <w:color w:val="000000"/>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6" w:type="pct"/>
          </w:tcPr>
          <w:p w14:paraId="18B8FF07" w14:textId="672271E3"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2.142514 (&gt;</w:t>
            </w:r>
            <w:r>
              <w:rPr>
                <w:rFonts w:eastAsia="SimSun"/>
                <w:color w:val="000000"/>
                <w:sz w:val="15"/>
                <w:szCs w:val="15"/>
                <w:lang w:val="en-US"/>
              </w:rPr>
              <w:t xml:space="preserve"> </w:t>
            </w:r>
            <w:r w:rsidRPr="00953770">
              <w:rPr>
                <w:rFonts w:eastAsia="SimSun"/>
                <w:color w:val="000000"/>
                <w:sz w:val="15"/>
                <w:szCs w:val="15"/>
                <w:lang w:val="en-US"/>
              </w:rPr>
              <w:t>0.10)</w:t>
            </w:r>
          </w:p>
        </w:tc>
        <w:tc>
          <w:tcPr>
            <w:tcW w:w="407" w:type="pct"/>
          </w:tcPr>
          <w:p w14:paraId="1A34274C"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3.166403 </w:t>
            </w:r>
          </w:p>
          <w:p w14:paraId="0C1C74C8" w14:textId="5DD45138"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0.01)</w:t>
            </w:r>
          </w:p>
        </w:tc>
        <w:tc>
          <w:tcPr>
            <w:tcW w:w="407" w:type="pct"/>
          </w:tcPr>
          <w:p w14:paraId="353CBD8B"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1.118723 </w:t>
            </w:r>
          </w:p>
          <w:p w14:paraId="3AB8C9D7" w14:textId="76403C0F"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6" w:type="pct"/>
          </w:tcPr>
          <w:p w14:paraId="5E2404E3" w14:textId="4A4321E8" w:rsidR="005A719B" w:rsidRPr="00953770" w:rsidRDefault="005A719B" w:rsidP="00E5264C">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2.036411</w:t>
            </w:r>
          </w:p>
          <w:p w14:paraId="26DC52C1" w14:textId="3D5D07EF"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95" w:type="pct"/>
          </w:tcPr>
          <w:p w14:paraId="194CFEFE"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2.126980 </w:t>
            </w:r>
          </w:p>
          <w:p w14:paraId="6D5F8B3B" w14:textId="39DF0D59" w:rsidR="005A719B" w:rsidRPr="00953770" w:rsidRDefault="005A719B" w:rsidP="00E5264C">
            <w:pPr>
              <w:spacing w:line="360" w:lineRule="auto"/>
              <w:jc w:val="center"/>
              <w:rPr>
                <w:rFonts w:eastAsia="SimSun"/>
                <w:color w:val="000000"/>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77" w:type="pct"/>
          </w:tcPr>
          <w:p w14:paraId="056D3D77" w14:textId="078B00F7"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3.521735* (&gt;</w:t>
            </w:r>
            <w:r>
              <w:rPr>
                <w:rFonts w:eastAsia="SimSun"/>
                <w:color w:val="000000"/>
                <w:sz w:val="15"/>
                <w:szCs w:val="15"/>
                <w:lang w:val="en-US"/>
              </w:rPr>
              <w:t xml:space="preserve"> </w:t>
            </w:r>
            <w:r w:rsidRPr="00953770">
              <w:rPr>
                <w:rFonts w:eastAsia="SimSun"/>
                <w:color w:val="000000"/>
                <w:sz w:val="15"/>
                <w:szCs w:val="15"/>
                <w:lang w:val="en-US"/>
              </w:rPr>
              <w:t>0.01)</w:t>
            </w:r>
          </w:p>
        </w:tc>
        <w:tc>
          <w:tcPr>
            <w:tcW w:w="377" w:type="pct"/>
          </w:tcPr>
          <w:p w14:paraId="3D0FD637"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1.003647 </w:t>
            </w:r>
          </w:p>
          <w:p w14:paraId="4ADBA86A" w14:textId="2399CF61"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7" w:type="pct"/>
          </w:tcPr>
          <w:p w14:paraId="67D8CE76" w14:textId="6AF800D3" w:rsidR="005A719B" w:rsidRPr="00953770" w:rsidRDefault="005A719B" w:rsidP="00E5264C">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2.543171</w:t>
            </w:r>
          </w:p>
          <w:p w14:paraId="03756A8D" w14:textId="30A29C44"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43" w:type="pct"/>
          </w:tcPr>
          <w:p w14:paraId="4A8542FE" w14:textId="474497F6" w:rsidR="005A719B" w:rsidRPr="0095377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2.291995 (&gt;</w:t>
            </w:r>
            <w:r>
              <w:rPr>
                <w:rFonts w:eastAsia="SimSun"/>
                <w:color w:val="000000"/>
                <w:sz w:val="15"/>
                <w:szCs w:val="15"/>
                <w:lang w:val="en-US"/>
              </w:rPr>
              <w:t xml:space="preserve"> </w:t>
            </w:r>
            <w:r w:rsidRPr="00953770">
              <w:rPr>
                <w:rFonts w:eastAsia="SimSun"/>
                <w:color w:val="000000"/>
                <w:sz w:val="15"/>
                <w:szCs w:val="15"/>
                <w:lang w:val="en-US"/>
              </w:rPr>
              <w:t>0.10)</w:t>
            </w:r>
          </w:p>
        </w:tc>
      </w:tr>
      <w:tr w:rsidR="005A719B" w:rsidRPr="00953770" w14:paraId="6494E0B1" w14:textId="77777777" w:rsidTr="00046A8A">
        <w:trPr>
          <w:trHeight w:val="542"/>
        </w:trPr>
        <w:tc>
          <w:tcPr>
            <w:tcW w:w="380" w:type="pct"/>
          </w:tcPr>
          <w:p w14:paraId="526E95B6" w14:textId="77777777" w:rsidR="005A719B" w:rsidRPr="00953770" w:rsidRDefault="005A719B" w:rsidP="00913ABD">
            <w:pPr>
              <w:spacing w:line="360" w:lineRule="auto"/>
              <w:jc w:val="center"/>
              <w:rPr>
                <w:rFonts w:eastAsia="SimSun"/>
                <w:sz w:val="15"/>
                <w:szCs w:val="15"/>
                <w:lang w:val="en-US"/>
              </w:rPr>
            </w:pPr>
            <w:r w:rsidRPr="00953770">
              <w:rPr>
                <w:rFonts w:eastAsia="SimSun"/>
                <w:sz w:val="15"/>
                <w:szCs w:val="15"/>
                <w:lang w:val="en-US"/>
              </w:rPr>
              <w:t xml:space="preserve">ADF </w:t>
            </w:r>
          </w:p>
          <w:p w14:paraId="2DBDFD2D" w14:textId="77AC7481" w:rsidR="005A719B" w:rsidRPr="00953770" w:rsidRDefault="005A719B" w:rsidP="00913ABD">
            <w:pPr>
              <w:spacing w:line="360" w:lineRule="auto"/>
              <w:jc w:val="center"/>
              <w:rPr>
                <w:rFonts w:eastAsia="SimSun"/>
                <w:sz w:val="15"/>
                <w:szCs w:val="15"/>
                <w:lang w:val="en-US"/>
              </w:rPr>
            </w:pPr>
            <w:r w:rsidRPr="00953770">
              <w:rPr>
                <w:rFonts w:eastAsia="SimSun"/>
                <w:sz w:val="15"/>
                <w:szCs w:val="15"/>
                <w:lang w:val="en-US"/>
              </w:rPr>
              <w:t>1</w:t>
            </w:r>
            <w:r w:rsidR="00046A8A" w:rsidRPr="00046A8A">
              <w:rPr>
                <w:rFonts w:eastAsia="SimSun"/>
                <w:sz w:val="15"/>
                <w:szCs w:val="15"/>
                <w:vertAlign w:val="superscript"/>
                <w:lang w:val="en-US"/>
              </w:rPr>
              <w:t>st</w:t>
            </w:r>
            <w:r w:rsidR="00046A8A">
              <w:rPr>
                <w:rFonts w:eastAsia="SimSun"/>
                <w:sz w:val="15"/>
                <w:szCs w:val="15"/>
                <w:lang w:val="en-US"/>
              </w:rPr>
              <w:t xml:space="preserve"> </w:t>
            </w:r>
            <w:r w:rsidRPr="00953770">
              <w:rPr>
                <w:rFonts w:eastAsia="SimSun"/>
                <w:sz w:val="15"/>
                <w:szCs w:val="15"/>
                <w:lang w:val="en-US"/>
              </w:rPr>
              <w:t>Difference</w:t>
            </w:r>
          </w:p>
        </w:tc>
        <w:tc>
          <w:tcPr>
            <w:tcW w:w="395" w:type="pct"/>
          </w:tcPr>
          <w:p w14:paraId="5EB57615"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116.6494 </w:t>
            </w:r>
          </w:p>
          <w:p w14:paraId="6CA65FEB" w14:textId="727FE628"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95" w:type="pct"/>
          </w:tcPr>
          <w:p w14:paraId="2FAD8744"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73.49569 </w:t>
            </w:r>
          </w:p>
          <w:p w14:paraId="45BA9988" w14:textId="2F2B0390"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55" w:type="pct"/>
          </w:tcPr>
          <w:p w14:paraId="20346635"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73.54314 </w:t>
            </w:r>
          </w:p>
          <w:p w14:paraId="22A0C442" w14:textId="1541D041"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6" w:type="pct"/>
          </w:tcPr>
          <w:p w14:paraId="0C95E741" w14:textId="5DA306BF"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72.28754 (&lt;</w:t>
            </w:r>
            <w:r>
              <w:rPr>
                <w:rFonts w:eastAsia="SimSun"/>
                <w:color w:val="000000"/>
                <w:sz w:val="15"/>
                <w:szCs w:val="15"/>
                <w:lang w:val="en-US"/>
              </w:rPr>
              <w:t xml:space="preserve"> </w:t>
            </w:r>
            <w:r w:rsidRPr="00953770">
              <w:rPr>
                <w:rFonts w:eastAsia="SimSun"/>
                <w:color w:val="000000"/>
                <w:sz w:val="15"/>
                <w:szCs w:val="15"/>
                <w:lang w:val="en-US"/>
              </w:rPr>
              <w:t>0.0001)</w:t>
            </w:r>
          </w:p>
        </w:tc>
        <w:tc>
          <w:tcPr>
            <w:tcW w:w="407" w:type="pct"/>
          </w:tcPr>
          <w:p w14:paraId="18DF0EA7"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164.3948 </w:t>
            </w:r>
          </w:p>
          <w:p w14:paraId="6DD562D5" w14:textId="4041E99F"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07" w:type="pct"/>
          </w:tcPr>
          <w:p w14:paraId="3BAC4125"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73.08876 </w:t>
            </w:r>
          </w:p>
          <w:p w14:paraId="2E3D6464" w14:textId="5A4BEDC0"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6" w:type="pct"/>
          </w:tcPr>
          <w:p w14:paraId="04411019" w14:textId="61896599"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165.2602 (&lt;</w:t>
            </w:r>
            <w:r>
              <w:rPr>
                <w:rFonts w:eastAsia="SimSun"/>
                <w:color w:val="000000"/>
                <w:sz w:val="15"/>
                <w:szCs w:val="15"/>
                <w:lang w:val="en-US"/>
              </w:rPr>
              <w:t xml:space="preserve"> </w:t>
            </w:r>
            <w:r w:rsidRPr="00953770">
              <w:rPr>
                <w:rFonts w:eastAsia="SimSun"/>
                <w:color w:val="000000"/>
                <w:sz w:val="15"/>
                <w:szCs w:val="15"/>
                <w:lang w:val="en-US"/>
              </w:rPr>
              <w:t>0.0001)</w:t>
            </w:r>
          </w:p>
        </w:tc>
        <w:tc>
          <w:tcPr>
            <w:tcW w:w="395" w:type="pct"/>
          </w:tcPr>
          <w:p w14:paraId="2DECB944"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72.26399 </w:t>
            </w:r>
          </w:p>
          <w:p w14:paraId="4F13324C" w14:textId="6D8C295C" w:rsidR="005A719B" w:rsidRPr="00953770" w:rsidRDefault="005A719B" w:rsidP="00E5264C">
            <w:pPr>
              <w:spacing w:line="360" w:lineRule="auto"/>
              <w:jc w:val="center"/>
              <w:rPr>
                <w:rFonts w:eastAsia="SimSun"/>
                <w:color w:val="000000"/>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77" w:type="pct"/>
          </w:tcPr>
          <w:p w14:paraId="351BAF73"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162.1051 </w:t>
            </w:r>
          </w:p>
          <w:p w14:paraId="2E7D75B0" w14:textId="0226A087"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77" w:type="pct"/>
          </w:tcPr>
          <w:p w14:paraId="1EE9150A" w14:textId="77777777" w:rsidR="00B35B6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74.49029 </w:t>
            </w:r>
          </w:p>
          <w:p w14:paraId="1E189FE1" w14:textId="6ED8EABD" w:rsidR="005A719B" w:rsidRPr="00953770" w:rsidRDefault="005A719B" w:rsidP="00E5264C">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7" w:type="pct"/>
          </w:tcPr>
          <w:p w14:paraId="31BA4465" w14:textId="1B67CA07"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73.95681 (&lt;</w:t>
            </w:r>
            <w:r>
              <w:rPr>
                <w:rFonts w:eastAsia="SimSun"/>
                <w:color w:val="000000"/>
                <w:sz w:val="15"/>
                <w:szCs w:val="15"/>
                <w:lang w:val="en-US"/>
              </w:rPr>
              <w:t xml:space="preserve"> </w:t>
            </w:r>
            <w:r w:rsidRPr="00953770">
              <w:rPr>
                <w:rFonts w:eastAsia="SimSun"/>
                <w:color w:val="000000"/>
                <w:sz w:val="15"/>
                <w:szCs w:val="15"/>
                <w:lang w:val="en-US"/>
              </w:rPr>
              <w:t>0.0001)</w:t>
            </w:r>
          </w:p>
        </w:tc>
        <w:tc>
          <w:tcPr>
            <w:tcW w:w="343" w:type="pct"/>
          </w:tcPr>
          <w:p w14:paraId="51DE9F5F" w14:textId="77BE2011" w:rsidR="005A719B" w:rsidRPr="0095377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73.43109 (&lt;</w:t>
            </w:r>
            <w:r>
              <w:rPr>
                <w:rFonts w:eastAsia="SimSun"/>
                <w:color w:val="000000"/>
                <w:sz w:val="15"/>
                <w:szCs w:val="15"/>
                <w:lang w:val="en-US"/>
              </w:rPr>
              <w:t xml:space="preserve"> </w:t>
            </w:r>
            <w:r w:rsidRPr="00953770">
              <w:rPr>
                <w:rFonts w:eastAsia="SimSun"/>
                <w:color w:val="000000"/>
                <w:sz w:val="15"/>
                <w:szCs w:val="15"/>
                <w:lang w:val="en-US"/>
              </w:rPr>
              <w:t>0.0001)</w:t>
            </w:r>
          </w:p>
        </w:tc>
      </w:tr>
      <w:tr w:rsidR="005A719B" w:rsidRPr="00953770" w14:paraId="5303FD67" w14:textId="77777777" w:rsidTr="00046A8A">
        <w:tc>
          <w:tcPr>
            <w:tcW w:w="380" w:type="pct"/>
          </w:tcPr>
          <w:p w14:paraId="3E7CD6B2"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Mean</w:t>
            </w:r>
          </w:p>
        </w:tc>
        <w:tc>
          <w:tcPr>
            <w:tcW w:w="395" w:type="pct"/>
          </w:tcPr>
          <w:p w14:paraId="56452FD2" w14:textId="53E12EDA"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0.046611</w:t>
            </w:r>
          </w:p>
        </w:tc>
        <w:tc>
          <w:tcPr>
            <w:tcW w:w="395" w:type="pct"/>
          </w:tcPr>
          <w:p w14:paraId="37487E3B" w14:textId="00CF32A6"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0.097420</w:t>
            </w:r>
          </w:p>
        </w:tc>
        <w:tc>
          <w:tcPr>
            <w:tcW w:w="455" w:type="pct"/>
          </w:tcPr>
          <w:p w14:paraId="731F6955" w14:textId="27D6A86D"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0.159990</w:t>
            </w:r>
          </w:p>
        </w:tc>
        <w:tc>
          <w:tcPr>
            <w:tcW w:w="356" w:type="pct"/>
          </w:tcPr>
          <w:p w14:paraId="1718E229" w14:textId="77777777" w:rsidR="005A719B" w:rsidRPr="00953770" w:rsidRDefault="005A719B" w:rsidP="00E5264C">
            <w:pPr>
              <w:spacing w:line="360" w:lineRule="auto"/>
              <w:jc w:val="center"/>
              <w:rPr>
                <w:rFonts w:eastAsia="SimSun"/>
                <w:color w:val="000000"/>
                <w:sz w:val="15"/>
                <w:szCs w:val="15"/>
                <w:lang w:val="en-US"/>
              </w:rPr>
            </w:pPr>
            <w:r w:rsidRPr="00953770">
              <w:rPr>
                <w:rFonts w:eastAsia="SimSun"/>
                <w:color w:val="000000"/>
                <w:sz w:val="15"/>
                <w:szCs w:val="15"/>
                <w:lang w:val="en-US"/>
              </w:rPr>
              <w:t>0.005556</w:t>
            </w:r>
          </w:p>
        </w:tc>
        <w:tc>
          <w:tcPr>
            <w:tcW w:w="407" w:type="pct"/>
          </w:tcPr>
          <w:p w14:paraId="30A8F12C" w14:textId="7108382F"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0.047535</w:t>
            </w:r>
          </w:p>
        </w:tc>
        <w:tc>
          <w:tcPr>
            <w:tcW w:w="407" w:type="pct"/>
          </w:tcPr>
          <w:p w14:paraId="5C38FA40" w14:textId="63605F91"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0.097758</w:t>
            </w:r>
          </w:p>
        </w:tc>
        <w:tc>
          <w:tcPr>
            <w:tcW w:w="356" w:type="pct"/>
          </w:tcPr>
          <w:p w14:paraId="10E55E37" w14:textId="033F22E8"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0.160291</w:t>
            </w:r>
          </w:p>
        </w:tc>
        <w:tc>
          <w:tcPr>
            <w:tcW w:w="395" w:type="pct"/>
          </w:tcPr>
          <w:p w14:paraId="4A5C2C36" w14:textId="77777777" w:rsidR="005A719B" w:rsidRPr="00953770" w:rsidRDefault="005A719B" w:rsidP="00E5264C">
            <w:pPr>
              <w:tabs>
                <w:tab w:val="center" w:pos="388"/>
              </w:tabs>
              <w:spacing w:line="360" w:lineRule="auto"/>
              <w:jc w:val="center"/>
              <w:rPr>
                <w:rFonts w:eastAsia="SimSun"/>
                <w:color w:val="000000"/>
                <w:sz w:val="15"/>
                <w:szCs w:val="15"/>
                <w:lang w:val="en-US"/>
              </w:rPr>
            </w:pPr>
            <w:r w:rsidRPr="00953770">
              <w:rPr>
                <w:rFonts w:eastAsia="SimSun"/>
                <w:color w:val="000000"/>
                <w:sz w:val="15"/>
                <w:szCs w:val="15"/>
                <w:lang w:val="en-US"/>
              </w:rPr>
              <w:t>0.005600</w:t>
            </w:r>
          </w:p>
        </w:tc>
        <w:tc>
          <w:tcPr>
            <w:tcW w:w="377" w:type="pct"/>
          </w:tcPr>
          <w:p w14:paraId="4D18F15A" w14:textId="282AE0F8"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0.042205</w:t>
            </w:r>
          </w:p>
        </w:tc>
        <w:tc>
          <w:tcPr>
            <w:tcW w:w="377" w:type="pct"/>
          </w:tcPr>
          <w:p w14:paraId="50EFEC73" w14:textId="100556E7"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0.100797</w:t>
            </w:r>
          </w:p>
        </w:tc>
        <w:tc>
          <w:tcPr>
            <w:tcW w:w="357" w:type="pct"/>
          </w:tcPr>
          <w:p w14:paraId="1F4EE10E" w14:textId="37E38701" w:rsidR="005A719B" w:rsidRPr="00953770" w:rsidRDefault="005A719B" w:rsidP="00E5264C">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0.165310</w:t>
            </w:r>
          </w:p>
        </w:tc>
        <w:tc>
          <w:tcPr>
            <w:tcW w:w="343" w:type="pct"/>
          </w:tcPr>
          <w:p w14:paraId="301C916E" w14:textId="2EBEF5D9" w:rsidR="005A719B" w:rsidRPr="00953770" w:rsidRDefault="005A719B" w:rsidP="00E5264C">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0.002359</w:t>
            </w:r>
          </w:p>
        </w:tc>
      </w:tr>
      <w:tr w:rsidR="005A719B" w:rsidRPr="00953770" w14:paraId="53C956AA" w14:textId="77777777" w:rsidTr="00046A8A">
        <w:tc>
          <w:tcPr>
            <w:tcW w:w="380" w:type="pct"/>
          </w:tcPr>
          <w:p w14:paraId="5B1D4D74"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Variance</w:t>
            </w:r>
          </w:p>
        </w:tc>
        <w:tc>
          <w:tcPr>
            <w:tcW w:w="395" w:type="pct"/>
          </w:tcPr>
          <w:p w14:paraId="0E3150B5" w14:textId="742A6E9A" w:rsidR="005A719B" w:rsidRPr="00953770" w:rsidRDefault="005A719B" w:rsidP="00E5264C">
            <w:pPr>
              <w:jc w:val="center"/>
              <w:rPr>
                <w:rFonts w:eastAsia="SimSun"/>
                <w:sz w:val="15"/>
                <w:szCs w:val="15"/>
                <w:lang w:val="en-US"/>
              </w:rPr>
            </w:pPr>
            <w:r w:rsidRPr="00953770">
              <w:rPr>
                <w:rFonts w:eastAsia="SimSun"/>
                <w:sz w:val="15"/>
                <w:szCs w:val="15"/>
                <w:lang w:val="en-US"/>
              </w:rPr>
              <w:t>0.046997</w:t>
            </w:r>
          </w:p>
        </w:tc>
        <w:tc>
          <w:tcPr>
            <w:tcW w:w="395" w:type="pct"/>
          </w:tcPr>
          <w:p w14:paraId="14F1E302" w14:textId="1AE20F05" w:rsidR="005A719B" w:rsidRPr="00953770" w:rsidRDefault="005A719B" w:rsidP="00E5264C">
            <w:pPr>
              <w:jc w:val="center"/>
              <w:rPr>
                <w:rFonts w:eastAsia="SimSun"/>
                <w:sz w:val="15"/>
                <w:szCs w:val="15"/>
                <w:lang w:val="en-US"/>
              </w:rPr>
            </w:pPr>
            <w:r w:rsidRPr="00953770">
              <w:rPr>
                <w:rFonts w:eastAsia="SimSun"/>
                <w:sz w:val="15"/>
                <w:szCs w:val="15"/>
                <w:lang w:val="en-US"/>
              </w:rPr>
              <w:t>0.126947</w:t>
            </w:r>
          </w:p>
        </w:tc>
        <w:tc>
          <w:tcPr>
            <w:tcW w:w="455" w:type="pct"/>
          </w:tcPr>
          <w:p w14:paraId="1E9E807F" w14:textId="6D66FD11" w:rsidR="005A719B" w:rsidRPr="00953770" w:rsidRDefault="005A719B" w:rsidP="00E5264C">
            <w:pPr>
              <w:jc w:val="center"/>
              <w:rPr>
                <w:rFonts w:eastAsia="SimSun"/>
                <w:sz w:val="15"/>
                <w:szCs w:val="15"/>
                <w:lang w:val="en-US"/>
              </w:rPr>
            </w:pPr>
            <w:r w:rsidRPr="00953770">
              <w:rPr>
                <w:rFonts w:eastAsia="SimSun"/>
                <w:sz w:val="15"/>
                <w:szCs w:val="15"/>
                <w:lang w:val="en-US"/>
              </w:rPr>
              <w:t>0.054233</w:t>
            </w:r>
          </w:p>
        </w:tc>
        <w:tc>
          <w:tcPr>
            <w:tcW w:w="356" w:type="pct"/>
          </w:tcPr>
          <w:p w14:paraId="41B44787" w14:textId="2307759B" w:rsidR="005A719B" w:rsidRPr="00953770" w:rsidRDefault="005A719B" w:rsidP="00E5264C">
            <w:pPr>
              <w:jc w:val="center"/>
              <w:rPr>
                <w:rFonts w:eastAsia="SimSun"/>
                <w:sz w:val="15"/>
                <w:szCs w:val="15"/>
                <w:lang w:val="en-US"/>
              </w:rPr>
            </w:pPr>
            <w:r w:rsidRPr="00953770">
              <w:rPr>
                <w:rFonts w:eastAsia="SimSun"/>
                <w:sz w:val="15"/>
                <w:szCs w:val="15"/>
                <w:lang w:val="en-US"/>
              </w:rPr>
              <w:t>0.053597</w:t>
            </w:r>
          </w:p>
        </w:tc>
        <w:tc>
          <w:tcPr>
            <w:tcW w:w="407" w:type="pct"/>
          </w:tcPr>
          <w:p w14:paraId="3C28D325" w14:textId="70377BAB" w:rsidR="005A719B" w:rsidRPr="00953770" w:rsidRDefault="005A719B" w:rsidP="00E5264C">
            <w:pPr>
              <w:jc w:val="center"/>
              <w:rPr>
                <w:rFonts w:eastAsia="SimSun"/>
                <w:sz w:val="15"/>
                <w:szCs w:val="15"/>
                <w:lang w:val="en-US"/>
              </w:rPr>
            </w:pPr>
            <w:r w:rsidRPr="00953770">
              <w:rPr>
                <w:rFonts w:eastAsia="SimSun"/>
                <w:sz w:val="15"/>
                <w:szCs w:val="15"/>
                <w:lang w:val="en-US"/>
              </w:rPr>
              <w:t>0.047051</w:t>
            </w:r>
          </w:p>
        </w:tc>
        <w:tc>
          <w:tcPr>
            <w:tcW w:w="407" w:type="pct"/>
          </w:tcPr>
          <w:p w14:paraId="053908C3" w14:textId="1B905073" w:rsidR="005A719B" w:rsidRPr="00953770" w:rsidRDefault="005A719B" w:rsidP="00E5264C">
            <w:pPr>
              <w:jc w:val="center"/>
              <w:rPr>
                <w:rFonts w:eastAsia="SimSun"/>
                <w:sz w:val="15"/>
                <w:szCs w:val="15"/>
                <w:lang w:val="en-US"/>
              </w:rPr>
            </w:pPr>
            <w:r w:rsidRPr="00953770">
              <w:rPr>
                <w:rFonts w:eastAsia="SimSun"/>
                <w:sz w:val="15"/>
                <w:szCs w:val="15"/>
                <w:lang w:val="en-US"/>
              </w:rPr>
              <w:t>0.125997</w:t>
            </w:r>
          </w:p>
        </w:tc>
        <w:tc>
          <w:tcPr>
            <w:tcW w:w="356" w:type="pct"/>
          </w:tcPr>
          <w:p w14:paraId="7811DDE7" w14:textId="0A6B130A" w:rsidR="005A719B" w:rsidRPr="00953770" w:rsidRDefault="005A719B" w:rsidP="00E5264C">
            <w:pPr>
              <w:jc w:val="center"/>
              <w:rPr>
                <w:rFonts w:eastAsia="SimSun"/>
                <w:sz w:val="15"/>
                <w:szCs w:val="15"/>
                <w:lang w:val="en-US"/>
              </w:rPr>
            </w:pPr>
            <w:r w:rsidRPr="00953770">
              <w:rPr>
                <w:rFonts w:eastAsia="SimSun"/>
                <w:sz w:val="15"/>
                <w:szCs w:val="15"/>
                <w:lang w:val="en-US"/>
              </w:rPr>
              <w:t>0.055441</w:t>
            </w:r>
          </w:p>
        </w:tc>
        <w:tc>
          <w:tcPr>
            <w:tcW w:w="395" w:type="pct"/>
          </w:tcPr>
          <w:p w14:paraId="607AE88B" w14:textId="48C61025" w:rsidR="005A719B" w:rsidRPr="00953770" w:rsidRDefault="005A719B" w:rsidP="00E5264C">
            <w:pPr>
              <w:jc w:val="center"/>
              <w:rPr>
                <w:rFonts w:eastAsia="SimSun"/>
                <w:sz w:val="15"/>
                <w:szCs w:val="15"/>
                <w:lang w:val="en-US"/>
              </w:rPr>
            </w:pPr>
            <w:r w:rsidRPr="00953770">
              <w:rPr>
                <w:rFonts w:eastAsia="SimSun"/>
                <w:sz w:val="15"/>
                <w:szCs w:val="15"/>
                <w:lang w:val="en-US"/>
              </w:rPr>
              <w:t>0.053789</w:t>
            </w:r>
          </w:p>
        </w:tc>
        <w:tc>
          <w:tcPr>
            <w:tcW w:w="377" w:type="pct"/>
          </w:tcPr>
          <w:p w14:paraId="6637FFA0" w14:textId="7166270B" w:rsidR="005A719B" w:rsidRPr="00953770" w:rsidRDefault="005A719B" w:rsidP="00E5264C">
            <w:pPr>
              <w:jc w:val="center"/>
              <w:rPr>
                <w:rFonts w:eastAsia="SimSun"/>
                <w:sz w:val="15"/>
                <w:szCs w:val="15"/>
                <w:lang w:val="en-US"/>
              </w:rPr>
            </w:pPr>
            <w:r w:rsidRPr="00953770">
              <w:rPr>
                <w:rFonts w:eastAsia="SimSun"/>
                <w:sz w:val="15"/>
                <w:szCs w:val="15"/>
                <w:lang w:val="en-US"/>
              </w:rPr>
              <w:t>0.038428</w:t>
            </w:r>
          </w:p>
        </w:tc>
        <w:tc>
          <w:tcPr>
            <w:tcW w:w="377" w:type="pct"/>
          </w:tcPr>
          <w:p w14:paraId="0D5682E2" w14:textId="76F4B566" w:rsidR="005A719B" w:rsidRPr="00953770" w:rsidRDefault="005A719B" w:rsidP="00E5264C">
            <w:pPr>
              <w:jc w:val="center"/>
              <w:rPr>
                <w:rFonts w:eastAsia="SimSun"/>
                <w:sz w:val="15"/>
                <w:szCs w:val="15"/>
                <w:lang w:val="en-US"/>
              </w:rPr>
            </w:pPr>
            <w:r w:rsidRPr="00953770">
              <w:rPr>
                <w:rFonts w:eastAsia="SimSun"/>
                <w:sz w:val="15"/>
                <w:szCs w:val="15"/>
                <w:lang w:val="en-US"/>
              </w:rPr>
              <w:t>0.131949</w:t>
            </w:r>
          </w:p>
        </w:tc>
        <w:tc>
          <w:tcPr>
            <w:tcW w:w="357" w:type="pct"/>
          </w:tcPr>
          <w:p w14:paraId="4AE7BED7" w14:textId="24DFF32E" w:rsidR="005A719B" w:rsidRPr="00953770" w:rsidRDefault="005A719B" w:rsidP="00E5264C">
            <w:pPr>
              <w:jc w:val="center"/>
              <w:rPr>
                <w:rFonts w:eastAsia="SimSun"/>
                <w:sz w:val="15"/>
                <w:szCs w:val="15"/>
                <w:lang w:val="en-US"/>
              </w:rPr>
            </w:pPr>
            <w:r w:rsidRPr="00953770">
              <w:rPr>
                <w:rFonts w:eastAsia="SimSun"/>
                <w:sz w:val="15"/>
                <w:szCs w:val="15"/>
                <w:lang w:val="en-US"/>
              </w:rPr>
              <w:t>0.047437</w:t>
            </w:r>
          </w:p>
        </w:tc>
        <w:tc>
          <w:tcPr>
            <w:tcW w:w="343" w:type="pct"/>
          </w:tcPr>
          <w:p w14:paraId="3791146C" w14:textId="3E80FF8E" w:rsidR="005A719B" w:rsidRPr="00953770" w:rsidRDefault="005A719B" w:rsidP="00E5264C">
            <w:pPr>
              <w:jc w:val="center"/>
              <w:rPr>
                <w:rFonts w:eastAsia="SimSun"/>
                <w:sz w:val="15"/>
                <w:szCs w:val="15"/>
                <w:lang w:val="en-US"/>
              </w:rPr>
            </w:pPr>
            <w:r w:rsidRPr="00953770">
              <w:rPr>
                <w:rFonts w:eastAsia="SimSun"/>
                <w:sz w:val="15"/>
                <w:szCs w:val="15"/>
                <w:lang w:val="en-US"/>
              </w:rPr>
              <w:t>0.051983</w:t>
            </w:r>
          </w:p>
        </w:tc>
      </w:tr>
      <w:tr w:rsidR="005A719B" w:rsidRPr="00953770" w14:paraId="222B7D3A" w14:textId="77777777" w:rsidTr="00046A8A">
        <w:trPr>
          <w:trHeight w:val="256"/>
        </w:trPr>
        <w:tc>
          <w:tcPr>
            <w:tcW w:w="380" w:type="pct"/>
          </w:tcPr>
          <w:p w14:paraId="6E0E9305"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Skewness</w:t>
            </w:r>
          </w:p>
        </w:tc>
        <w:tc>
          <w:tcPr>
            <w:tcW w:w="395" w:type="pct"/>
          </w:tcPr>
          <w:p w14:paraId="402B09CC" w14:textId="6EEA606B"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0.370360</w:t>
            </w:r>
          </w:p>
        </w:tc>
        <w:tc>
          <w:tcPr>
            <w:tcW w:w="395" w:type="pct"/>
          </w:tcPr>
          <w:p w14:paraId="4E23AF00" w14:textId="3081D9DD"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0.377781</w:t>
            </w:r>
          </w:p>
        </w:tc>
        <w:tc>
          <w:tcPr>
            <w:tcW w:w="455" w:type="pct"/>
          </w:tcPr>
          <w:p w14:paraId="49FD6F50" w14:textId="008FC9D5"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0.452395</w:t>
            </w:r>
          </w:p>
        </w:tc>
        <w:tc>
          <w:tcPr>
            <w:tcW w:w="356" w:type="pct"/>
          </w:tcPr>
          <w:p w14:paraId="1AA42183" w14:textId="75D8CE3D" w:rsidR="005A719B" w:rsidRPr="00953770" w:rsidRDefault="005A719B" w:rsidP="00E5264C">
            <w:pPr>
              <w:jc w:val="center"/>
              <w:rPr>
                <w:rFonts w:eastAsia="SimSun"/>
                <w:sz w:val="15"/>
                <w:szCs w:val="15"/>
                <w:lang w:val="en-US"/>
              </w:rPr>
            </w:pPr>
            <w:r w:rsidRPr="00953770">
              <w:rPr>
                <w:rFonts w:eastAsia="SimSun"/>
                <w:sz w:val="15"/>
                <w:szCs w:val="15"/>
                <w:lang w:val="en-US"/>
              </w:rPr>
              <w:t>0.111020</w:t>
            </w:r>
          </w:p>
        </w:tc>
        <w:tc>
          <w:tcPr>
            <w:tcW w:w="407" w:type="pct"/>
          </w:tcPr>
          <w:p w14:paraId="25A66314" w14:textId="273E9BFD"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0.390621</w:t>
            </w:r>
          </w:p>
        </w:tc>
        <w:tc>
          <w:tcPr>
            <w:tcW w:w="407" w:type="pct"/>
          </w:tcPr>
          <w:p w14:paraId="7B33AA7D" w14:textId="27F307D0"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0.376269</w:t>
            </w:r>
          </w:p>
        </w:tc>
        <w:tc>
          <w:tcPr>
            <w:tcW w:w="356" w:type="pct"/>
          </w:tcPr>
          <w:p w14:paraId="08206E68" w14:textId="317F7FCE"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0.462285</w:t>
            </w:r>
          </w:p>
        </w:tc>
        <w:tc>
          <w:tcPr>
            <w:tcW w:w="395" w:type="pct"/>
          </w:tcPr>
          <w:p w14:paraId="5F383BF5" w14:textId="196CEA55" w:rsidR="005A719B" w:rsidRPr="00953770" w:rsidRDefault="005A719B" w:rsidP="00E5264C">
            <w:pPr>
              <w:jc w:val="center"/>
              <w:rPr>
                <w:rFonts w:eastAsia="SimSun"/>
                <w:sz w:val="15"/>
                <w:szCs w:val="15"/>
                <w:lang w:val="en-US"/>
              </w:rPr>
            </w:pPr>
            <w:r w:rsidRPr="00953770">
              <w:rPr>
                <w:rFonts w:eastAsia="SimSun"/>
                <w:sz w:val="15"/>
                <w:szCs w:val="15"/>
                <w:lang w:val="en-US"/>
              </w:rPr>
              <w:t>0.119634</w:t>
            </w:r>
          </w:p>
        </w:tc>
        <w:tc>
          <w:tcPr>
            <w:tcW w:w="377" w:type="pct"/>
          </w:tcPr>
          <w:p w14:paraId="0B611E58" w14:textId="0356DDBD"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0.259819</w:t>
            </w:r>
          </w:p>
        </w:tc>
        <w:tc>
          <w:tcPr>
            <w:tcW w:w="377" w:type="pct"/>
          </w:tcPr>
          <w:p w14:paraId="27D5BE82" w14:textId="368559F7"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0.366647</w:t>
            </w:r>
          </w:p>
        </w:tc>
        <w:tc>
          <w:tcPr>
            <w:tcW w:w="357" w:type="pct"/>
          </w:tcPr>
          <w:p w14:paraId="4DFA3EF8" w14:textId="34D920B3"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0.257676</w:t>
            </w:r>
          </w:p>
        </w:tc>
        <w:tc>
          <w:tcPr>
            <w:tcW w:w="343" w:type="pct"/>
          </w:tcPr>
          <w:p w14:paraId="144E7D59" w14:textId="08C84B99" w:rsidR="005A719B" w:rsidRPr="00953770" w:rsidRDefault="005A719B" w:rsidP="00E5264C">
            <w:pPr>
              <w:jc w:val="center"/>
              <w:rPr>
                <w:rFonts w:eastAsia="SimSun"/>
                <w:sz w:val="15"/>
                <w:szCs w:val="15"/>
                <w:lang w:val="en-US"/>
              </w:rPr>
            </w:pPr>
            <w:r>
              <w:rPr>
                <w:rFonts w:eastAsia="SimSun"/>
                <w:sz w:val="15"/>
                <w:szCs w:val="15"/>
                <w:lang w:val="en-US"/>
              </w:rPr>
              <w:t>–</w:t>
            </w:r>
            <w:r w:rsidRPr="00953770">
              <w:rPr>
                <w:rFonts w:eastAsia="SimSun"/>
                <w:sz w:val="15"/>
                <w:szCs w:val="15"/>
                <w:lang w:val="en-US"/>
              </w:rPr>
              <w:t>0.020454</w:t>
            </w:r>
          </w:p>
        </w:tc>
      </w:tr>
      <w:tr w:rsidR="005A719B" w:rsidRPr="00953770" w14:paraId="115F0B44" w14:textId="77777777" w:rsidTr="00046A8A">
        <w:tc>
          <w:tcPr>
            <w:tcW w:w="380" w:type="pct"/>
          </w:tcPr>
          <w:p w14:paraId="796FCEE4" w14:textId="77777777" w:rsidR="005A719B" w:rsidRPr="00953770" w:rsidRDefault="005A719B" w:rsidP="00E5264C">
            <w:pPr>
              <w:spacing w:line="360" w:lineRule="auto"/>
              <w:jc w:val="center"/>
              <w:rPr>
                <w:rFonts w:eastAsia="SimSun"/>
                <w:sz w:val="15"/>
                <w:szCs w:val="15"/>
                <w:lang w:val="en-US"/>
              </w:rPr>
            </w:pPr>
            <w:r w:rsidRPr="00953770">
              <w:rPr>
                <w:rFonts w:eastAsia="SimSun"/>
                <w:sz w:val="15"/>
                <w:szCs w:val="15"/>
                <w:lang w:val="en-US"/>
              </w:rPr>
              <w:t>Kurtosis</w:t>
            </w:r>
          </w:p>
        </w:tc>
        <w:tc>
          <w:tcPr>
            <w:tcW w:w="395" w:type="pct"/>
          </w:tcPr>
          <w:p w14:paraId="51610334" w14:textId="02666F36" w:rsidR="005A719B" w:rsidRPr="00953770" w:rsidRDefault="005A719B" w:rsidP="00E5264C">
            <w:pPr>
              <w:jc w:val="center"/>
              <w:rPr>
                <w:rFonts w:eastAsia="SimSun"/>
                <w:sz w:val="15"/>
                <w:szCs w:val="15"/>
                <w:lang w:val="en-US"/>
              </w:rPr>
            </w:pPr>
            <w:r w:rsidRPr="00953770">
              <w:rPr>
                <w:rFonts w:eastAsia="SimSun"/>
                <w:sz w:val="15"/>
                <w:szCs w:val="15"/>
                <w:lang w:val="en-US"/>
              </w:rPr>
              <w:t>2.509653</w:t>
            </w:r>
          </w:p>
        </w:tc>
        <w:tc>
          <w:tcPr>
            <w:tcW w:w="395" w:type="pct"/>
          </w:tcPr>
          <w:p w14:paraId="11C4BDD5" w14:textId="2EC5242A" w:rsidR="005A719B" w:rsidRPr="00953770" w:rsidRDefault="005A719B" w:rsidP="00E5264C">
            <w:pPr>
              <w:jc w:val="center"/>
              <w:rPr>
                <w:rFonts w:eastAsia="SimSun"/>
                <w:sz w:val="15"/>
                <w:szCs w:val="15"/>
                <w:lang w:val="en-US"/>
              </w:rPr>
            </w:pPr>
            <w:r w:rsidRPr="00953770">
              <w:rPr>
                <w:rFonts w:eastAsia="SimSun"/>
                <w:sz w:val="15"/>
                <w:szCs w:val="15"/>
                <w:lang w:val="en-US"/>
              </w:rPr>
              <w:t>1.440377</w:t>
            </w:r>
          </w:p>
        </w:tc>
        <w:tc>
          <w:tcPr>
            <w:tcW w:w="455" w:type="pct"/>
          </w:tcPr>
          <w:p w14:paraId="43B342FC" w14:textId="5C0925EB" w:rsidR="005A719B" w:rsidRPr="00953770" w:rsidRDefault="005A719B" w:rsidP="00E5264C">
            <w:pPr>
              <w:jc w:val="center"/>
              <w:rPr>
                <w:rFonts w:eastAsia="SimSun"/>
                <w:sz w:val="15"/>
                <w:szCs w:val="15"/>
                <w:lang w:val="en-US"/>
              </w:rPr>
            </w:pPr>
            <w:r w:rsidRPr="00953770">
              <w:rPr>
                <w:rFonts w:eastAsia="SimSun"/>
                <w:sz w:val="15"/>
                <w:szCs w:val="15"/>
                <w:lang w:val="en-US"/>
              </w:rPr>
              <w:t>2.251355</w:t>
            </w:r>
          </w:p>
        </w:tc>
        <w:tc>
          <w:tcPr>
            <w:tcW w:w="356" w:type="pct"/>
          </w:tcPr>
          <w:p w14:paraId="4F1D96A3" w14:textId="66007DDD" w:rsidR="005A719B" w:rsidRPr="00953770" w:rsidRDefault="005A719B" w:rsidP="00E5264C">
            <w:pPr>
              <w:jc w:val="center"/>
              <w:rPr>
                <w:rFonts w:eastAsia="SimSun"/>
                <w:sz w:val="15"/>
                <w:szCs w:val="15"/>
                <w:lang w:val="en-US"/>
              </w:rPr>
            </w:pPr>
            <w:r w:rsidRPr="00953770">
              <w:rPr>
                <w:rFonts w:eastAsia="SimSun"/>
                <w:sz w:val="15"/>
                <w:szCs w:val="15"/>
                <w:lang w:val="en-US"/>
              </w:rPr>
              <w:t>1.694933</w:t>
            </w:r>
          </w:p>
        </w:tc>
        <w:tc>
          <w:tcPr>
            <w:tcW w:w="407" w:type="pct"/>
          </w:tcPr>
          <w:p w14:paraId="3D28C3EE" w14:textId="3BE96ACA" w:rsidR="005A719B" w:rsidRPr="00953770" w:rsidRDefault="005A719B" w:rsidP="00E5264C">
            <w:pPr>
              <w:jc w:val="center"/>
              <w:rPr>
                <w:rFonts w:eastAsia="SimSun"/>
                <w:sz w:val="15"/>
                <w:szCs w:val="15"/>
                <w:lang w:val="en-US"/>
              </w:rPr>
            </w:pPr>
            <w:r w:rsidRPr="00953770">
              <w:rPr>
                <w:rFonts w:eastAsia="SimSun"/>
                <w:sz w:val="15"/>
                <w:szCs w:val="15"/>
                <w:lang w:val="en-US"/>
              </w:rPr>
              <w:t>2.574789</w:t>
            </w:r>
          </w:p>
        </w:tc>
        <w:tc>
          <w:tcPr>
            <w:tcW w:w="407" w:type="pct"/>
          </w:tcPr>
          <w:p w14:paraId="5FF15DB2" w14:textId="04B2A99E" w:rsidR="005A719B" w:rsidRPr="00953770" w:rsidRDefault="005A719B" w:rsidP="00E5264C">
            <w:pPr>
              <w:jc w:val="center"/>
              <w:rPr>
                <w:rFonts w:eastAsia="SimSun"/>
                <w:sz w:val="15"/>
                <w:szCs w:val="15"/>
                <w:lang w:val="en-US"/>
              </w:rPr>
            </w:pPr>
            <w:r w:rsidRPr="00953770">
              <w:rPr>
                <w:rFonts w:eastAsia="SimSun"/>
                <w:sz w:val="15"/>
                <w:szCs w:val="15"/>
                <w:lang w:val="en-US"/>
              </w:rPr>
              <w:t>1.436259</w:t>
            </w:r>
          </w:p>
        </w:tc>
        <w:tc>
          <w:tcPr>
            <w:tcW w:w="356" w:type="pct"/>
          </w:tcPr>
          <w:p w14:paraId="49A46681" w14:textId="5521CAE5" w:rsidR="005A719B" w:rsidRPr="00953770" w:rsidRDefault="005A719B" w:rsidP="00E5264C">
            <w:pPr>
              <w:jc w:val="center"/>
              <w:rPr>
                <w:rFonts w:eastAsia="SimSun"/>
                <w:sz w:val="15"/>
                <w:szCs w:val="15"/>
                <w:lang w:val="en-US"/>
              </w:rPr>
            </w:pPr>
            <w:r w:rsidRPr="00953770">
              <w:rPr>
                <w:rFonts w:eastAsia="SimSun"/>
                <w:sz w:val="15"/>
                <w:szCs w:val="15"/>
                <w:lang w:val="en-US"/>
              </w:rPr>
              <w:t>2.221614</w:t>
            </w:r>
          </w:p>
        </w:tc>
        <w:tc>
          <w:tcPr>
            <w:tcW w:w="395" w:type="pct"/>
          </w:tcPr>
          <w:p w14:paraId="42FD51D5" w14:textId="0C718B63" w:rsidR="005A719B" w:rsidRPr="00953770" w:rsidRDefault="005A719B" w:rsidP="00E5264C">
            <w:pPr>
              <w:jc w:val="center"/>
              <w:rPr>
                <w:rFonts w:eastAsia="SimSun"/>
                <w:sz w:val="15"/>
                <w:szCs w:val="15"/>
                <w:lang w:val="en-US"/>
              </w:rPr>
            </w:pPr>
            <w:r w:rsidRPr="00953770">
              <w:rPr>
                <w:rFonts w:eastAsia="SimSun"/>
                <w:sz w:val="15"/>
                <w:szCs w:val="15"/>
                <w:lang w:val="en-US"/>
              </w:rPr>
              <w:t>1.681538</w:t>
            </w:r>
          </w:p>
        </w:tc>
        <w:tc>
          <w:tcPr>
            <w:tcW w:w="377" w:type="pct"/>
          </w:tcPr>
          <w:p w14:paraId="0B393299" w14:textId="7AFD006C" w:rsidR="005A719B" w:rsidRPr="00953770" w:rsidRDefault="005A719B" w:rsidP="00E5264C">
            <w:pPr>
              <w:jc w:val="center"/>
              <w:rPr>
                <w:rFonts w:eastAsia="SimSun"/>
                <w:sz w:val="15"/>
                <w:szCs w:val="15"/>
                <w:lang w:val="en-US"/>
              </w:rPr>
            </w:pPr>
            <w:r w:rsidRPr="00953770">
              <w:rPr>
                <w:rFonts w:eastAsia="SimSun"/>
                <w:sz w:val="15"/>
                <w:szCs w:val="15"/>
                <w:lang w:val="en-US"/>
              </w:rPr>
              <w:t>2.724299</w:t>
            </w:r>
          </w:p>
        </w:tc>
        <w:tc>
          <w:tcPr>
            <w:tcW w:w="377" w:type="pct"/>
          </w:tcPr>
          <w:p w14:paraId="2C56BF5F" w14:textId="5706168F" w:rsidR="005A719B" w:rsidRPr="00953770" w:rsidRDefault="005A719B" w:rsidP="00E5264C">
            <w:pPr>
              <w:jc w:val="center"/>
              <w:rPr>
                <w:rFonts w:eastAsia="SimSun"/>
                <w:sz w:val="15"/>
                <w:szCs w:val="15"/>
                <w:lang w:val="en-US"/>
              </w:rPr>
            </w:pPr>
            <w:r w:rsidRPr="00953770">
              <w:rPr>
                <w:rFonts w:eastAsia="SimSun"/>
                <w:sz w:val="15"/>
                <w:szCs w:val="15"/>
                <w:lang w:val="en-US"/>
              </w:rPr>
              <w:t>1.398148</w:t>
            </w:r>
          </w:p>
        </w:tc>
        <w:tc>
          <w:tcPr>
            <w:tcW w:w="357" w:type="pct"/>
          </w:tcPr>
          <w:p w14:paraId="16F8644C" w14:textId="1F9C585F" w:rsidR="005A719B" w:rsidRPr="00953770" w:rsidRDefault="005A719B" w:rsidP="00E5264C">
            <w:pPr>
              <w:jc w:val="center"/>
              <w:rPr>
                <w:rFonts w:eastAsia="SimSun"/>
                <w:sz w:val="15"/>
                <w:szCs w:val="15"/>
                <w:lang w:val="en-US"/>
              </w:rPr>
            </w:pPr>
            <w:r w:rsidRPr="00953770">
              <w:rPr>
                <w:rFonts w:eastAsia="SimSun"/>
                <w:sz w:val="15"/>
                <w:szCs w:val="15"/>
                <w:lang w:val="en-US"/>
              </w:rPr>
              <w:t>2.141125</w:t>
            </w:r>
          </w:p>
        </w:tc>
        <w:tc>
          <w:tcPr>
            <w:tcW w:w="343" w:type="pct"/>
          </w:tcPr>
          <w:p w14:paraId="522C87B5" w14:textId="4BF707FB" w:rsidR="005A719B" w:rsidRPr="00953770" w:rsidRDefault="005A719B" w:rsidP="00E5264C">
            <w:pPr>
              <w:jc w:val="center"/>
              <w:rPr>
                <w:rFonts w:eastAsia="SimSun"/>
                <w:sz w:val="15"/>
                <w:szCs w:val="15"/>
                <w:lang w:val="en-US"/>
              </w:rPr>
            </w:pPr>
            <w:r w:rsidRPr="00953770">
              <w:rPr>
                <w:rFonts w:eastAsia="SimSun"/>
                <w:sz w:val="15"/>
                <w:szCs w:val="15"/>
                <w:lang w:val="en-US"/>
              </w:rPr>
              <w:t>1.750645</w:t>
            </w:r>
          </w:p>
        </w:tc>
      </w:tr>
    </w:tbl>
    <w:p w14:paraId="5406E3A2" w14:textId="77777777" w:rsidR="00966B26" w:rsidRDefault="00966B26" w:rsidP="00743A31">
      <w:pPr>
        <w:pStyle w:val="Caption"/>
        <w:spacing w:line="480" w:lineRule="auto"/>
        <w:jc w:val="center"/>
        <w:rPr>
          <w:rFonts w:ascii="Times New Roman" w:hAnsi="Times New Roman" w:cs="Times New Roman"/>
          <w:color w:val="000000" w:themeColor="text1"/>
          <w:sz w:val="24"/>
          <w:szCs w:val="24"/>
          <w:lang w:val="en-US"/>
        </w:rPr>
      </w:pPr>
    </w:p>
    <w:p w14:paraId="063FE162" w14:textId="71EF9FC6" w:rsidR="005A719B" w:rsidRPr="00966B26" w:rsidRDefault="009E40ED" w:rsidP="00966B26">
      <w:pPr>
        <w:pStyle w:val="Caption"/>
        <w:spacing w:line="480" w:lineRule="auto"/>
        <w:jc w:val="center"/>
        <w:rPr>
          <w:rFonts w:ascii="Times New Roman" w:eastAsia="SimSu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Table 3</w:t>
      </w:r>
      <w:r w:rsidR="005A719B" w:rsidRPr="00953770">
        <w:rPr>
          <w:rFonts w:ascii="Times New Roman" w:hAnsi="Times New Roman" w:cs="Times New Roman"/>
          <w:color w:val="000000" w:themeColor="text1"/>
          <w:sz w:val="24"/>
          <w:szCs w:val="24"/>
          <w:lang w:val="en-US"/>
        </w:rPr>
        <w:t xml:space="preserve"> </w:t>
      </w:r>
      <w:r w:rsidR="005A719B" w:rsidRPr="00953770">
        <w:rPr>
          <w:rFonts w:ascii="Times New Roman" w:eastAsia="SimSun" w:hAnsi="Times New Roman" w:cs="Times New Roman"/>
          <w:color w:val="000000" w:themeColor="text1"/>
          <w:sz w:val="24"/>
          <w:szCs w:val="24"/>
          <w:lang w:val="en-US"/>
        </w:rPr>
        <w:t xml:space="preserve">Descriptive Statistics and ADF Results of </w:t>
      </w:r>
      <w:r w:rsidR="005A719B" w:rsidRPr="00953770">
        <w:rPr>
          <w:rFonts w:ascii="Times New Roman" w:hAnsi="Times New Roman" w:cs="Times New Roman"/>
          <w:color w:val="000000" w:themeColor="text1"/>
          <w:sz w:val="24"/>
          <w:szCs w:val="24"/>
          <w:lang w:val="en-US"/>
        </w:rPr>
        <w:t>Nine Demeaned Price Series (Continued)</w:t>
      </w:r>
    </w:p>
    <w:p w14:paraId="2CA5323C" w14:textId="77777777" w:rsidR="005A719B" w:rsidRPr="00966B26" w:rsidRDefault="005A719B" w:rsidP="005271A1">
      <w:pPr>
        <w:jc w:val="center"/>
        <w:rPr>
          <w:rFonts w:eastAsia="SimSun"/>
          <w:sz w:val="20"/>
          <w:szCs w:val="20"/>
          <w:lang w:val="en-US"/>
        </w:rPr>
      </w:pPr>
      <w:r w:rsidRPr="00966B26">
        <w:rPr>
          <w:rFonts w:eastAsia="SimSun"/>
          <w:sz w:val="20"/>
          <w:szCs w:val="20"/>
          <w:lang w:val="en-US"/>
        </w:rPr>
        <w:t>DAX 30 Demeaned Log Prices</w:t>
      </w:r>
    </w:p>
    <w:p w14:paraId="692D8D31" w14:textId="77777777" w:rsidR="005A719B" w:rsidRPr="00953770" w:rsidRDefault="005A719B" w:rsidP="00CF365B">
      <w:pPr>
        <w:jc w:val="center"/>
        <w:rPr>
          <w:rFonts w:eastAsia="SimSun"/>
          <w:b/>
          <w:lang w:val="en-US"/>
        </w:rPr>
      </w:pPr>
    </w:p>
    <w:tbl>
      <w:tblPr>
        <w:tblStyle w:val="TableGrid2"/>
        <w:tblW w:w="5000" w:type="pct"/>
        <w:tblLook w:val="04A0" w:firstRow="1" w:lastRow="0" w:firstColumn="1" w:lastColumn="0" w:noHBand="0" w:noVBand="1"/>
      </w:tblPr>
      <w:tblGrid>
        <w:gridCol w:w="1056"/>
        <w:gridCol w:w="1102"/>
        <w:gridCol w:w="1102"/>
        <w:gridCol w:w="1269"/>
        <w:gridCol w:w="993"/>
        <w:gridCol w:w="1133"/>
        <w:gridCol w:w="1133"/>
        <w:gridCol w:w="993"/>
        <w:gridCol w:w="1105"/>
        <w:gridCol w:w="1052"/>
        <w:gridCol w:w="1052"/>
        <w:gridCol w:w="996"/>
        <w:gridCol w:w="962"/>
      </w:tblGrid>
      <w:tr w:rsidR="005A719B" w:rsidRPr="00953770" w14:paraId="6E1735EA" w14:textId="77777777" w:rsidTr="00046A8A">
        <w:trPr>
          <w:trHeight w:val="144"/>
        </w:trPr>
        <w:tc>
          <w:tcPr>
            <w:tcW w:w="379" w:type="pct"/>
          </w:tcPr>
          <w:p w14:paraId="76AB16A1" w14:textId="77777777" w:rsidR="005A719B" w:rsidRPr="00953770" w:rsidRDefault="005A719B" w:rsidP="007F7E6E">
            <w:pPr>
              <w:spacing w:line="360" w:lineRule="auto"/>
              <w:jc w:val="center"/>
              <w:rPr>
                <w:rFonts w:eastAsia="SimSun"/>
                <w:sz w:val="15"/>
                <w:szCs w:val="15"/>
                <w:lang w:val="en-US"/>
              </w:rPr>
            </w:pPr>
          </w:p>
        </w:tc>
        <w:tc>
          <w:tcPr>
            <w:tcW w:w="1601" w:type="pct"/>
            <w:gridSpan w:val="4"/>
          </w:tcPr>
          <w:p w14:paraId="1C901866" w14:textId="77777777" w:rsidR="005A719B" w:rsidRPr="00953770" w:rsidRDefault="005A719B" w:rsidP="00CF02C1">
            <w:pPr>
              <w:spacing w:line="360" w:lineRule="auto"/>
              <w:jc w:val="center"/>
              <w:rPr>
                <w:rFonts w:eastAsia="SimSun"/>
                <w:sz w:val="15"/>
                <w:szCs w:val="15"/>
                <w:lang w:val="en-US"/>
              </w:rPr>
            </w:pPr>
            <w:r w:rsidRPr="00953770">
              <w:rPr>
                <w:rFonts w:eastAsia="SimSun"/>
                <w:sz w:val="15"/>
                <w:szCs w:val="15"/>
                <w:lang w:val="en-US"/>
              </w:rPr>
              <w:t>DAX 30 Spot Index</w:t>
            </w:r>
          </w:p>
        </w:tc>
        <w:tc>
          <w:tcPr>
            <w:tcW w:w="1564" w:type="pct"/>
            <w:gridSpan w:val="4"/>
          </w:tcPr>
          <w:p w14:paraId="5F04C8E9" w14:textId="4EF78F29"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DAX 30 Index Futures</w:t>
            </w:r>
          </w:p>
        </w:tc>
        <w:tc>
          <w:tcPr>
            <w:tcW w:w="1456" w:type="pct"/>
            <w:gridSpan w:val="4"/>
          </w:tcPr>
          <w:p w14:paraId="559C73E7"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iShare DAX 30 ETF</w:t>
            </w:r>
          </w:p>
        </w:tc>
      </w:tr>
      <w:tr w:rsidR="005A719B" w:rsidRPr="00953770" w14:paraId="54509903" w14:textId="77777777" w:rsidTr="00046A8A">
        <w:trPr>
          <w:trHeight w:val="144"/>
        </w:trPr>
        <w:tc>
          <w:tcPr>
            <w:tcW w:w="379" w:type="pct"/>
          </w:tcPr>
          <w:p w14:paraId="0B7C396A" w14:textId="77777777" w:rsidR="005A719B" w:rsidRPr="00953770" w:rsidRDefault="005A719B" w:rsidP="007F7E6E">
            <w:pPr>
              <w:spacing w:line="360" w:lineRule="auto"/>
              <w:jc w:val="center"/>
              <w:rPr>
                <w:rFonts w:eastAsia="SimSun"/>
                <w:sz w:val="15"/>
                <w:szCs w:val="15"/>
                <w:lang w:val="en-US"/>
              </w:rPr>
            </w:pPr>
          </w:p>
        </w:tc>
        <w:tc>
          <w:tcPr>
            <w:tcW w:w="395" w:type="pct"/>
          </w:tcPr>
          <w:p w14:paraId="37B33E19"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2010</w:t>
            </w:r>
          </w:p>
        </w:tc>
        <w:tc>
          <w:tcPr>
            <w:tcW w:w="395" w:type="pct"/>
          </w:tcPr>
          <w:p w14:paraId="72620D76"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2011</w:t>
            </w:r>
          </w:p>
        </w:tc>
        <w:tc>
          <w:tcPr>
            <w:tcW w:w="455" w:type="pct"/>
          </w:tcPr>
          <w:p w14:paraId="36AB538A"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2012</w:t>
            </w:r>
          </w:p>
        </w:tc>
        <w:tc>
          <w:tcPr>
            <w:tcW w:w="356" w:type="pct"/>
          </w:tcPr>
          <w:p w14:paraId="65B0AFB8"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2013</w:t>
            </w:r>
          </w:p>
        </w:tc>
        <w:tc>
          <w:tcPr>
            <w:tcW w:w="406" w:type="pct"/>
          </w:tcPr>
          <w:p w14:paraId="465216D6"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2010</w:t>
            </w:r>
          </w:p>
        </w:tc>
        <w:tc>
          <w:tcPr>
            <w:tcW w:w="406" w:type="pct"/>
          </w:tcPr>
          <w:p w14:paraId="5642E649"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2011</w:t>
            </w:r>
          </w:p>
        </w:tc>
        <w:tc>
          <w:tcPr>
            <w:tcW w:w="356" w:type="pct"/>
          </w:tcPr>
          <w:p w14:paraId="5F89507D"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2012</w:t>
            </w:r>
          </w:p>
        </w:tc>
        <w:tc>
          <w:tcPr>
            <w:tcW w:w="395" w:type="pct"/>
          </w:tcPr>
          <w:p w14:paraId="31E1C0AD"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2013</w:t>
            </w:r>
          </w:p>
        </w:tc>
        <w:tc>
          <w:tcPr>
            <w:tcW w:w="377" w:type="pct"/>
          </w:tcPr>
          <w:p w14:paraId="3CA96A97"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2010</w:t>
            </w:r>
          </w:p>
        </w:tc>
        <w:tc>
          <w:tcPr>
            <w:tcW w:w="377" w:type="pct"/>
          </w:tcPr>
          <w:p w14:paraId="4A6AF01B"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2011</w:t>
            </w:r>
          </w:p>
        </w:tc>
        <w:tc>
          <w:tcPr>
            <w:tcW w:w="357" w:type="pct"/>
          </w:tcPr>
          <w:p w14:paraId="038A2011"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2012</w:t>
            </w:r>
          </w:p>
        </w:tc>
        <w:tc>
          <w:tcPr>
            <w:tcW w:w="344" w:type="pct"/>
          </w:tcPr>
          <w:p w14:paraId="64FCE100"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2013</w:t>
            </w:r>
          </w:p>
        </w:tc>
      </w:tr>
      <w:tr w:rsidR="005A719B" w:rsidRPr="00953770" w14:paraId="1504CDBB" w14:textId="77777777" w:rsidTr="00046A8A">
        <w:trPr>
          <w:trHeight w:val="144"/>
        </w:trPr>
        <w:tc>
          <w:tcPr>
            <w:tcW w:w="379" w:type="pct"/>
          </w:tcPr>
          <w:p w14:paraId="1D95D4C7" w14:textId="7C1EC9BB"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ADF</w:t>
            </w:r>
          </w:p>
          <w:p w14:paraId="330AE407" w14:textId="18109F5A"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Log Price</w:t>
            </w:r>
          </w:p>
        </w:tc>
        <w:tc>
          <w:tcPr>
            <w:tcW w:w="395" w:type="pct"/>
          </w:tcPr>
          <w:p w14:paraId="2E561B3C"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1.683566 </w:t>
            </w:r>
          </w:p>
          <w:p w14:paraId="43DAB583" w14:textId="385F8955"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95" w:type="pct"/>
          </w:tcPr>
          <w:p w14:paraId="4424437B"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1.405687 </w:t>
            </w:r>
          </w:p>
          <w:p w14:paraId="38723BAE" w14:textId="3E3D8D51"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455" w:type="pct"/>
          </w:tcPr>
          <w:p w14:paraId="5A6328C7"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2.306721 </w:t>
            </w:r>
          </w:p>
          <w:p w14:paraId="11685AEE" w14:textId="292037A8" w:rsidR="005A719B" w:rsidRPr="00953770" w:rsidRDefault="005A719B" w:rsidP="007F7E6E">
            <w:pPr>
              <w:spacing w:line="360" w:lineRule="auto"/>
              <w:jc w:val="center"/>
              <w:rPr>
                <w:rFonts w:eastAsia="SimSun"/>
                <w:color w:val="000000"/>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6" w:type="pct"/>
          </w:tcPr>
          <w:p w14:paraId="6B751255" w14:textId="4CDA14BE"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1.299864 (&gt;</w:t>
            </w:r>
            <w:r>
              <w:rPr>
                <w:rFonts w:eastAsia="SimSun"/>
                <w:color w:val="000000"/>
                <w:sz w:val="15"/>
                <w:szCs w:val="15"/>
                <w:lang w:val="en-US"/>
              </w:rPr>
              <w:t xml:space="preserve"> </w:t>
            </w:r>
            <w:r w:rsidRPr="00953770">
              <w:rPr>
                <w:rFonts w:eastAsia="SimSun"/>
                <w:color w:val="000000"/>
                <w:sz w:val="15"/>
                <w:szCs w:val="15"/>
                <w:lang w:val="en-US"/>
              </w:rPr>
              <w:t>0.10)</w:t>
            </w:r>
          </w:p>
        </w:tc>
        <w:tc>
          <w:tcPr>
            <w:tcW w:w="406" w:type="pct"/>
          </w:tcPr>
          <w:p w14:paraId="5403E7F2"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1.655498 </w:t>
            </w:r>
          </w:p>
          <w:p w14:paraId="054D37BA" w14:textId="34E6066E"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406" w:type="pct"/>
          </w:tcPr>
          <w:p w14:paraId="779189CB"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1.356741 </w:t>
            </w:r>
          </w:p>
          <w:p w14:paraId="7E5F7CF5" w14:textId="256016CD"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6" w:type="pct"/>
          </w:tcPr>
          <w:p w14:paraId="3049D185" w14:textId="6658D220" w:rsidR="005A719B" w:rsidRPr="00953770" w:rsidRDefault="005A719B" w:rsidP="007F7E6E">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2.215798</w:t>
            </w:r>
          </w:p>
          <w:p w14:paraId="1AF7A160" w14:textId="7EA5D657"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95" w:type="pct"/>
          </w:tcPr>
          <w:p w14:paraId="49EB0624"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1.278252 </w:t>
            </w:r>
          </w:p>
          <w:p w14:paraId="28F6B359" w14:textId="5857704A" w:rsidR="005A719B" w:rsidRPr="00953770" w:rsidRDefault="005A719B" w:rsidP="007F7E6E">
            <w:pPr>
              <w:spacing w:line="360" w:lineRule="auto"/>
              <w:jc w:val="center"/>
              <w:rPr>
                <w:rFonts w:eastAsia="SimSun"/>
                <w:color w:val="000000"/>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77" w:type="pct"/>
          </w:tcPr>
          <w:p w14:paraId="51188583"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1.661114 </w:t>
            </w:r>
          </w:p>
          <w:p w14:paraId="1B4B1E26" w14:textId="34C6CE74"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77" w:type="pct"/>
          </w:tcPr>
          <w:p w14:paraId="7257793B"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1.336331 </w:t>
            </w:r>
          </w:p>
          <w:p w14:paraId="2BD04FDA" w14:textId="20D2C692"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57" w:type="pct"/>
          </w:tcPr>
          <w:p w14:paraId="719432F0" w14:textId="240F4FB6" w:rsidR="005A719B" w:rsidRPr="00953770" w:rsidRDefault="005A719B" w:rsidP="007F7E6E">
            <w:pPr>
              <w:tabs>
                <w:tab w:val="center" w:pos="459"/>
              </w:tabs>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2.316053</w:t>
            </w:r>
          </w:p>
          <w:p w14:paraId="5D730BBC" w14:textId="54E8BCD7"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(&gt;</w:t>
            </w:r>
            <w:r>
              <w:rPr>
                <w:rFonts w:eastAsia="SimSun"/>
                <w:color w:val="000000"/>
                <w:sz w:val="15"/>
                <w:szCs w:val="15"/>
                <w:lang w:val="en-US"/>
              </w:rPr>
              <w:t xml:space="preserve"> </w:t>
            </w:r>
            <w:r w:rsidRPr="00953770">
              <w:rPr>
                <w:rFonts w:eastAsia="SimSun"/>
                <w:color w:val="000000"/>
                <w:sz w:val="15"/>
                <w:szCs w:val="15"/>
                <w:lang w:val="en-US"/>
              </w:rPr>
              <w:t>0.10)</w:t>
            </w:r>
          </w:p>
        </w:tc>
        <w:tc>
          <w:tcPr>
            <w:tcW w:w="344" w:type="pct"/>
          </w:tcPr>
          <w:p w14:paraId="21961087" w14:textId="7A71B13C" w:rsidR="005A719B" w:rsidRPr="0095377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1.343524 (&gt;</w:t>
            </w:r>
            <w:r>
              <w:rPr>
                <w:rFonts w:eastAsia="SimSun"/>
                <w:color w:val="000000"/>
                <w:sz w:val="15"/>
                <w:szCs w:val="15"/>
                <w:lang w:val="en-US"/>
              </w:rPr>
              <w:t xml:space="preserve"> </w:t>
            </w:r>
            <w:r w:rsidRPr="00953770">
              <w:rPr>
                <w:rFonts w:eastAsia="SimSun"/>
                <w:color w:val="000000"/>
                <w:sz w:val="15"/>
                <w:szCs w:val="15"/>
                <w:lang w:val="en-US"/>
              </w:rPr>
              <w:t>0.10)</w:t>
            </w:r>
          </w:p>
        </w:tc>
      </w:tr>
      <w:tr w:rsidR="005A719B" w:rsidRPr="00953770" w14:paraId="3F150889" w14:textId="77777777" w:rsidTr="00046A8A">
        <w:trPr>
          <w:trHeight w:val="144"/>
        </w:trPr>
        <w:tc>
          <w:tcPr>
            <w:tcW w:w="379" w:type="pct"/>
          </w:tcPr>
          <w:p w14:paraId="65C97170" w14:textId="442E02BE"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ADF</w:t>
            </w:r>
          </w:p>
          <w:p w14:paraId="74554BBB" w14:textId="74F9EB6A" w:rsidR="005A719B" w:rsidRPr="00953770" w:rsidRDefault="00046A8A" w:rsidP="007F7E6E">
            <w:pPr>
              <w:spacing w:line="360" w:lineRule="auto"/>
              <w:jc w:val="center"/>
              <w:rPr>
                <w:rFonts w:eastAsia="SimSun"/>
                <w:sz w:val="15"/>
                <w:szCs w:val="15"/>
                <w:lang w:val="en-US"/>
              </w:rPr>
            </w:pPr>
            <w:r>
              <w:rPr>
                <w:rFonts w:eastAsia="SimSun"/>
                <w:sz w:val="15"/>
                <w:szCs w:val="15"/>
                <w:lang w:val="en-US"/>
              </w:rPr>
              <w:t>1</w:t>
            </w:r>
            <w:r w:rsidRPr="00046A8A">
              <w:rPr>
                <w:rFonts w:eastAsia="SimSun"/>
                <w:sz w:val="15"/>
                <w:szCs w:val="15"/>
                <w:vertAlign w:val="superscript"/>
                <w:lang w:val="en-US"/>
              </w:rPr>
              <w:t>st</w:t>
            </w:r>
            <w:r>
              <w:rPr>
                <w:rFonts w:eastAsia="SimSun"/>
                <w:sz w:val="15"/>
                <w:szCs w:val="15"/>
                <w:lang w:val="en-US"/>
              </w:rPr>
              <w:t xml:space="preserve"> </w:t>
            </w:r>
            <w:r w:rsidR="005A719B" w:rsidRPr="00953770">
              <w:rPr>
                <w:rFonts w:eastAsia="SimSun"/>
                <w:sz w:val="15"/>
                <w:szCs w:val="15"/>
                <w:lang w:val="en-US"/>
              </w:rPr>
              <w:t>Difference</w:t>
            </w:r>
          </w:p>
        </w:tc>
        <w:tc>
          <w:tcPr>
            <w:tcW w:w="395" w:type="pct"/>
          </w:tcPr>
          <w:p w14:paraId="2D7B9F3A"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117.6191 </w:t>
            </w:r>
          </w:p>
          <w:p w14:paraId="07474C1C" w14:textId="7A982D76"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95" w:type="pct"/>
          </w:tcPr>
          <w:p w14:paraId="3B150D51"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165.0181 </w:t>
            </w:r>
          </w:p>
          <w:p w14:paraId="553F755C" w14:textId="31ACA33C"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55" w:type="pct"/>
          </w:tcPr>
          <w:p w14:paraId="46FF0139"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163.6951 </w:t>
            </w:r>
          </w:p>
          <w:p w14:paraId="7E86242F" w14:textId="3FDECC09"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6" w:type="pct"/>
          </w:tcPr>
          <w:p w14:paraId="7B271023" w14:textId="0D8A678B"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161.9509 (&lt;</w:t>
            </w:r>
            <w:r>
              <w:rPr>
                <w:rFonts w:eastAsia="SimSun"/>
                <w:color w:val="000000"/>
                <w:sz w:val="15"/>
                <w:szCs w:val="15"/>
                <w:lang w:val="en-US"/>
              </w:rPr>
              <w:t xml:space="preserve"> </w:t>
            </w:r>
            <w:r w:rsidRPr="00953770">
              <w:rPr>
                <w:rFonts w:eastAsia="SimSun"/>
                <w:color w:val="000000"/>
                <w:sz w:val="15"/>
                <w:szCs w:val="15"/>
                <w:lang w:val="en-US"/>
              </w:rPr>
              <w:t>0.0001)</w:t>
            </w:r>
          </w:p>
        </w:tc>
        <w:tc>
          <w:tcPr>
            <w:tcW w:w="406" w:type="pct"/>
          </w:tcPr>
          <w:p w14:paraId="6146576D"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165.5775 </w:t>
            </w:r>
          </w:p>
          <w:p w14:paraId="24A312AA" w14:textId="6294C87D"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406" w:type="pct"/>
          </w:tcPr>
          <w:p w14:paraId="00DC3FBA"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166.1769 </w:t>
            </w:r>
          </w:p>
          <w:p w14:paraId="1F0FD8A7" w14:textId="1C856DA8"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56" w:type="pct"/>
          </w:tcPr>
          <w:p w14:paraId="3DF750CA" w14:textId="51F2F67A"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167.4666 (&lt;</w:t>
            </w:r>
            <w:r>
              <w:rPr>
                <w:rFonts w:eastAsia="SimSun"/>
                <w:color w:val="000000"/>
                <w:sz w:val="15"/>
                <w:szCs w:val="15"/>
                <w:lang w:val="en-US"/>
              </w:rPr>
              <w:t xml:space="preserve"> </w:t>
            </w:r>
            <w:r w:rsidRPr="00953770">
              <w:rPr>
                <w:rFonts w:eastAsia="SimSun"/>
                <w:color w:val="000000"/>
                <w:sz w:val="15"/>
                <w:szCs w:val="15"/>
                <w:lang w:val="en-US"/>
              </w:rPr>
              <w:t>0.0001)</w:t>
            </w:r>
          </w:p>
        </w:tc>
        <w:tc>
          <w:tcPr>
            <w:tcW w:w="395" w:type="pct"/>
          </w:tcPr>
          <w:p w14:paraId="546B14A9"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162.4208 </w:t>
            </w:r>
          </w:p>
          <w:p w14:paraId="53E33238" w14:textId="2B04895D" w:rsidR="005A719B" w:rsidRPr="00953770" w:rsidRDefault="005A719B" w:rsidP="007F7E6E">
            <w:pPr>
              <w:spacing w:line="360" w:lineRule="auto"/>
              <w:jc w:val="center"/>
              <w:rPr>
                <w:rFonts w:eastAsia="SimSun"/>
                <w:color w:val="000000"/>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77" w:type="pct"/>
          </w:tcPr>
          <w:p w14:paraId="153C0F50" w14:textId="77777777" w:rsidR="00B35B6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 xml:space="preserve">118.1974 </w:t>
            </w:r>
          </w:p>
          <w:p w14:paraId="4E0A6A35" w14:textId="3C243752"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(&lt;</w:t>
            </w:r>
            <w:r>
              <w:rPr>
                <w:rFonts w:eastAsia="SimSun"/>
                <w:color w:val="000000"/>
                <w:sz w:val="15"/>
                <w:szCs w:val="15"/>
                <w:lang w:val="en-US"/>
              </w:rPr>
              <w:t xml:space="preserve"> </w:t>
            </w:r>
            <w:r w:rsidRPr="00953770">
              <w:rPr>
                <w:rFonts w:eastAsia="SimSun"/>
                <w:color w:val="000000"/>
                <w:sz w:val="15"/>
                <w:szCs w:val="15"/>
                <w:lang w:val="en-US"/>
              </w:rPr>
              <w:t>0.0001)</w:t>
            </w:r>
          </w:p>
        </w:tc>
        <w:tc>
          <w:tcPr>
            <w:tcW w:w="377" w:type="pct"/>
          </w:tcPr>
          <w:p w14:paraId="45CC8A84" w14:textId="681672D3" w:rsidR="00B35B60" w:rsidRDefault="00B35B60" w:rsidP="00953770">
            <w:pPr>
              <w:spacing w:line="360" w:lineRule="auto"/>
              <w:rPr>
                <w:rFonts w:eastAsia="SimSun"/>
                <w:color w:val="000000"/>
                <w:sz w:val="15"/>
                <w:szCs w:val="15"/>
                <w:lang w:val="en-US"/>
              </w:rPr>
            </w:pPr>
            <w:r>
              <w:rPr>
                <w:rFonts w:eastAsia="SimSun"/>
                <w:color w:val="000000"/>
                <w:sz w:val="15"/>
                <w:szCs w:val="15"/>
                <w:lang w:val="en-US"/>
              </w:rPr>
              <w:t xml:space="preserve">   </w:t>
            </w:r>
            <w:r w:rsidR="005A719B">
              <w:rPr>
                <w:rFonts w:eastAsia="SimSun"/>
                <w:color w:val="000000"/>
                <w:sz w:val="15"/>
                <w:szCs w:val="15"/>
                <w:lang w:val="en-US"/>
              </w:rPr>
              <w:t>–</w:t>
            </w:r>
            <w:r w:rsidR="005A719B" w:rsidRPr="00953770">
              <w:rPr>
                <w:rFonts w:eastAsia="SimSun"/>
                <w:color w:val="000000"/>
                <w:sz w:val="15"/>
                <w:szCs w:val="15"/>
                <w:lang w:val="en-US"/>
              </w:rPr>
              <w:t xml:space="preserve">119.9210 </w:t>
            </w:r>
          </w:p>
          <w:p w14:paraId="00994142" w14:textId="403FF1C7" w:rsidR="005A719B" w:rsidRPr="00953770" w:rsidRDefault="00B35B60" w:rsidP="00953770">
            <w:pPr>
              <w:spacing w:line="360" w:lineRule="auto"/>
              <w:rPr>
                <w:rFonts w:eastAsia="SimSun"/>
                <w:sz w:val="15"/>
                <w:szCs w:val="15"/>
                <w:lang w:val="en-US"/>
              </w:rPr>
            </w:pPr>
            <w:r>
              <w:rPr>
                <w:rFonts w:eastAsia="SimSun"/>
                <w:color w:val="000000"/>
                <w:sz w:val="15"/>
                <w:szCs w:val="15"/>
                <w:lang w:val="en-US"/>
              </w:rPr>
              <w:t xml:space="preserve">   </w:t>
            </w:r>
            <w:r w:rsidR="005A719B" w:rsidRPr="00953770">
              <w:rPr>
                <w:rFonts w:eastAsia="SimSun"/>
                <w:color w:val="000000"/>
                <w:sz w:val="15"/>
                <w:szCs w:val="15"/>
                <w:lang w:val="en-US"/>
              </w:rPr>
              <w:t>(&lt;</w:t>
            </w:r>
            <w:r w:rsidR="005A719B">
              <w:rPr>
                <w:rFonts w:eastAsia="SimSun"/>
                <w:color w:val="000000"/>
                <w:sz w:val="15"/>
                <w:szCs w:val="15"/>
                <w:lang w:val="en-US"/>
              </w:rPr>
              <w:t xml:space="preserve"> </w:t>
            </w:r>
            <w:r w:rsidR="005A719B" w:rsidRPr="00953770">
              <w:rPr>
                <w:rFonts w:eastAsia="SimSun"/>
                <w:color w:val="000000"/>
                <w:sz w:val="15"/>
                <w:szCs w:val="15"/>
                <w:lang w:val="en-US"/>
              </w:rPr>
              <w:t>0.0001)</w:t>
            </w:r>
          </w:p>
        </w:tc>
        <w:tc>
          <w:tcPr>
            <w:tcW w:w="357" w:type="pct"/>
          </w:tcPr>
          <w:p w14:paraId="126937D4" w14:textId="2EA784A9"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167.0474 (&lt;</w:t>
            </w:r>
            <w:r>
              <w:rPr>
                <w:rFonts w:eastAsia="SimSun"/>
                <w:color w:val="000000"/>
                <w:sz w:val="15"/>
                <w:szCs w:val="15"/>
                <w:lang w:val="en-US"/>
              </w:rPr>
              <w:t xml:space="preserve"> </w:t>
            </w:r>
            <w:r w:rsidRPr="00953770">
              <w:rPr>
                <w:rFonts w:eastAsia="SimSun"/>
                <w:color w:val="000000"/>
                <w:sz w:val="15"/>
                <w:szCs w:val="15"/>
                <w:lang w:val="en-US"/>
              </w:rPr>
              <w:t>0.0001)</w:t>
            </w:r>
          </w:p>
        </w:tc>
        <w:tc>
          <w:tcPr>
            <w:tcW w:w="344" w:type="pct"/>
          </w:tcPr>
          <w:p w14:paraId="698F71FE" w14:textId="6B9911A5" w:rsidR="005A719B" w:rsidRPr="00953770" w:rsidRDefault="005A719B" w:rsidP="007F7E6E">
            <w:pPr>
              <w:spacing w:line="360" w:lineRule="auto"/>
              <w:jc w:val="center"/>
              <w:rPr>
                <w:rFonts w:eastAsia="SimSun"/>
                <w:color w:val="000000"/>
                <w:sz w:val="15"/>
                <w:szCs w:val="15"/>
                <w:lang w:val="en-US"/>
              </w:rPr>
            </w:pPr>
            <w:r>
              <w:rPr>
                <w:rFonts w:eastAsia="SimSun"/>
                <w:color w:val="000000"/>
                <w:sz w:val="15"/>
                <w:szCs w:val="15"/>
                <w:lang w:val="en-US"/>
              </w:rPr>
              <w:t>–</w:t>
            </w:r>
            <w:r w:rsidRPr="00953770">
              <w:rPr>
                <w:rFonts w:eastAsia="SimSun"/>
                <w:color w:val="000000"/>
                <w:sz w:val="15"/>
                <w:szCs w:val="15"/>
                <w:lang w:val="en-US"/>
              </w:rPr>
              <w:t>162.1924 (&lt;</w:t>
            </w:r>
            <w:r>
              <w:rPr>
                <w:rFonts w:eastAsia="SimSun"/>
                <w:color w:val="000000"/>
                <w:sz w:val="15"/>
                <w:szCs w:val="15"/>
                <w:lang w:val="en-US"/>
              </w:rPr>
              <w:t xml:space="preserve"> </w:t>
            </w:r>
            <w:r w:rsidRPr="00953770">
              <w:rPr>
                <w:rFonts w:eastAsia="SimSun"/>
                <w:color w:val="000000"/>
                <w:sz w:val="15"/>
                <w:szCs w:val="15"/>
                <w:lang w:val="en-US"/>
              </w:rPr>
              <w:t>0.0001)</w:t>
            </w:r>
          </w:p>
        </w:tc>
      </w:tr>
      <w:tr w:rsidR="005A719B" w:rsidRPr="00953770" w14:paraId="778488F8" w14:textId="77777777" w:rsidTr="00046A8A">
        <w:trPr>
          <w:trHeight w:val="144"/>
        </w:trPr>
        <w:tc>
          <w:tcPr>
            <w:tcW w:w="379" w:type="pct"/>
          </w:tcPr>
          <w:p w14:paraId="24F5371A"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Mean</w:t>
            </w:r>
          </w:p>
        </w:tc>
        <w:tc>
          <w:tcPr>
            <w:tcW w:w="395" w:type="pct"/>
          </w:tcPr>
          <w:p w14:paraId="6E4FB749" w14:textId="6A46E75E"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0.058285</w:t>
            </w:r>
          </w:p>
        </w:tc>
        <w:tc>
          <w:tcPr>
            <w:tcW w:w="395" w:type="pct"/>
          </w:tcPr>
          <w:p w14:paraId="0337595E" w14:textId="3D26E7E0"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0.001176</w:t>
            </w:r>
          </w:p>
        </w:tc>
        <w:tc>
          <w:tcPr>
            <w:tcW w:w="455" w:type="pct"/>
          </w:tcPr>
          <w:p w14:paraId="7D6C29B6" w14:textId="77777777"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0.041169</w:t>
            </w:r>
          </w:p>
        </w:tc>
        <w:tc>
          <w:tcPr>
            <w:tcW w:w="356" w:type="pct"/>
          </w:tcPr>
          <w:p w14:paraId="39891EA9" w14:textId="77777777" w:rsidR="005A719B" w:rsidRPr="00953770" w:rsidRDefault="005A719B" w:rsidP="007F7E6E">
            <w:pPr>
              <w:spacing w:line="360" w:lineRule="auto"/>
              <w:jc w:val="center"/>
              <w:rPr>
                <w:rFonts w:eastAsia="SimSun"/>
                <w:color w:val="000000"/>
                <w:sz w:val="15"/>
                <w:szCs w:val="15"/>
                <w:lang w:val="en-US"/>
              </w:rPr>
            </w:pPr>
            <w:r w:rsidRPr="00953770">
              <w:rPr>
                <w:rFonts w:eastAsia="SimSun"/>
                <w:color w:val="000000"/>
                <w:sz w:val="15"/>
                <w:szCs w:val="15"/>
                <w:lang w:val="en-US"/>
              </w:rPr>
              <w:t>0.232599</w:t>
            </w:r>
          </w:p>
        </w:tc>
        <w:tc>
          <w:tcPr>
            <w:tcW w:w="406" w:type="pct"/>
          </w:tcPr>
          <w:p w14:paraId="5C6A0765" w14:textId="189A5757"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0.059552</w:t>
            </w:r>
          </w:p>
        </w:tc>
        <w:tc>
          <w:tcPr>
            <w:tcW w:w="406" w:type="pct"/>
          </w:tcPr>
          <w:p w14:paraId="6AAA8AE6" w14:textId="74156BB6"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0.001866</w:t>
            </w:r>
          </w:p>
        </w:tc>
        <w:tc>
          <w:tcPr>
            <w:tcW w:w="356" w:type="pct"/>
          </w:tcPr>
          <w:p w14:paraId="2B9F9843" w14:textId="77777777"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0.039701</w:t>
            </w:r>
          </w:p>
        </w:tc>
        <w:tc>
          <w:tcPr>
            <w:tcW w:w="395" w:type="pct"/>
          </w:tcPr>
          <w:p w14:paraId="24A0FBBD" w14:textId="77777777" w:rsidR="005A719B" w:rsidRPr="00953770" w:rsidRDefault="005A719B" w:rsidP="007F7E6E">
            <w:pPr>
              <w:tabs>
                <w:tab w:val="center" w:pos="388"/>
              </w:tabs>
              <w:spacing w:line="360" w:lineRule="auto"/>
              <w:jc w:val="center"/>
              <w:rPr>
                <w:rFonts w:eastAsia="SimSun"/>
                <w:color w:val="000000"/>
                <w:sz w:val="15"/>
                <w:szCs w:val="15"/>
                <w:lang w:val="en-US"/>
              </w:rPr>
            </w:pPr>
            <w:r w:rsidRPr="00953770">
              <w:rPr>
                <w:rFonts w:eastAsia="SimSun"/>
                <w:color w:val="000000"/>
                <w:sz w:val="15"/>
                <w:szCs w:val="15"/>
                <w:lang w:val="en-US"/>
              </w:rPr>
              <w:t>0.231128</w:t>
            </w:r>
          </w:p>
        </w:tc>
        <w:tc>
          <w:tcPr>
            <w:tcW w:w="377" w:type="pct"/>
          </w:tcPr>
          <w:p w14:paraId="4EE63A61" w14:textId="74D20D6A"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0.058749</w:t>
            </w:r>
          </w:p>
        </w:tc>
        <w:tc>
          <w:tcPr>
            <w:tcW w:w="377" w:type="pct"/>
          </w:tcPr>
          <w:p w14:paraId="715A8855" w14:textId="395995B7" w:rsidR="005A719B" w:rsidRPr="00953770" w:rsidRDefault="005A719B" w:rsidP="007F7E6E">
            <w:pPr>
              <w:spacing w:line="360" w:lineRule="auto"/>
              <w:jc w:val="center"/>
              <w:rPr>
                <w:rFonts w:eastAsia="SimSun"/>
                <w:sz w:val="15"/>
                <w:szCs w:val="15"/>
                <w:lang w:val="en-US"/>
              </w:rPr>
            </w:pPr>
            <w:r>
              <w:rPr>
                <w:rFonts w:eastAsia="SimSun"/>
                <w:color w:val="000000"/>
                <w:sz w:val="15"/>
                <w:szCs w:val="15"/>
                <w:lang w:val="en-US"/>
              </w:rPr>
              <w:t>–</w:t>
            </w:r>
            <w:r w:rsidRPr="00953770">
              <w:rPr>
                <w:rFonts w:eastAsia="SimSun"/>
                <w:color w:val="000000"/>
                <w:sz w:val="15"/>
                <w:szCs w:val="15"/>
                <w:lang w:val="en-US"/>
              </w:rPr>
              <w:t>0.009846</w:t>
            </w:r>
          </w:p>
        </w:tc>
        <w:tc>
          <w:tcPr>
            <w:tcW w:w="357" w:type="pct"/>
          </w:tcPr>
          <w:p w14:paraId="392D10B4" w14:textId="77777777" w:rsidR="005A719B" w:rsidRPr="00953770" w:rsidRDefault="005A719B" w:rsidP="007F7E6E">
            <w:pPr>
              <w:spacing w:line="360" w:lineRule="auto"/>
              <w:jc w:val="center"/>
              <w:rPr>
                <w:rFonts w:eastAsia="SimSun"/>
                <w:sz w:val="15"/>
                <w:szCs w:val="15"/>
                <w:lang w:val="en-US"/>
              </w:rPr>
            </w:pPr>
            <w:r w:rsidRPr="00953770">
              <w:rPr>
                <w:rFonts w:eastAsia="SimSun"/>
                <w:color w:val="000000"/>
                <w:sz w:val="15"/>
                <w:szCs w:val="15"/>
                <w:lang w:val="en-US"/>
              </w:rPr>
              <w:t>0.021204</w:t>
            </w:r>
          </w:p>
        </w:tc>
        <w:tc>
          <w:tcPr>
            <w:tcW w:w="344" w:type="pct"/>
          </w:tcPr>
          <w:p w14:paraId="10E68B8E" w14:textId="77777777" w:rsidR="005A719B" w:rsidRPr="00953770" w:rsidRDefault="005A719B" w:rsidP="007F7E6E">
            <w:pPr>
              <w:spacing w:line="360" w:lineRule="auto"/>
              <w:jc w:val="center"/>
              <w:rPr>
                <w:rFonts w:eastAsia="SimSun"/>
                <w:color w:val="000000"/>
                <w:sz w:val="15"/>
                <w:szCs w:val="15"/>
                <w:lang w:val="en-US"/>
              </w:rPr>
            </w:pPr>
            <w:r w:rsidRPr="00953770">
              <w:rPr>
                <w:rFonts w:eastAsia="SimSun"/>
                <w:color w:val="000000"/>
                <w:sz w:val="15"/>
                <w:szCs w:val="15"/>
                <w:lang w:val="en-US"/>
              </w:rPr>
              <w:t>0.202050</w:t>
            </w:r>
          </w:p>
        </w:tc>
      </w:tr>
      <w:tr w:rsidR="005A719B" w:rsidRPr="00953770" w14:paraId="0C5D76C0" w14:textId="77777777" w:rsidTr="00046A8A">
        <w:trPr>
          <w:trHeight w:val="144"/>
        </w:trPr>
        <w:tc>
          <w:tcPr>
            <w:tcW w:w="379" w:type="pct"/>
          </w:tcPr>
          <w:p w14:paraId="32878FC0"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Variance</w:t>
            </w:r>
          </w:p>
        </w:tc>
        <w:tc>
          <w:tcPr>
            <w:tcW w:w="395" w:type="pct"/>
          </w:tcPr>
          <w:p w14:paraId="15A283C2"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0.061394</w:t>
            </w:r>
          </w:p>
        </w:tc>
        <w:tc>
          <w:tcPr>
            <w:tcW w:w="395" w:type="pct"/>
          </w:tcPr>
          <w:p w14:paraId="16A55623"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0.115620</w:t>
            </w:r>
          </w:p>
        </w:tc>
        <w:tc>
          <w:tcPr>
            <w:tcW w:w="455" w:type="pct"/>
          </w:tcPr>
          <w:p w14:paraId="5FE63A14"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0.063575</w:t>
            </w:r>
          </w:p>
        </w:tc>
        <w:tc>
          <w:tcPr>
            <w:tcW w:w="356" w:type="pct"/>
          </w:tcPr>
          <w:p w14:paraId="1E4F0867"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0.061413</w:t>
            </w:r>
          </w:p>
        </w:tc>
        <w:tc>
          <w:tcPr>
            <w:tcW w:w="406" w:type="pct"/>
          </w:tcPr>
          <w:p w14:paraId="590229EA"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0.061722</w:t>
            </w:r>
          </w:p>
        </w:tc>
        <w:tc>
          <w:tcPr>
            <w:tcW w:w="406" w:type="pct"/>
          </w:tcPr>
          <w:p w14:paraId="430ECF53"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0.115826</w:t>
            </w:r>
          </w:p>
        </w:tc>
        <w:tc>
          <w:tcPr>
            <w:tcW w:w="356" w:type="pct"/>
          </w:tcPr>
          <w:p w14:paraId="2A346A69"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0.063528</w:t>
            </w:r>
          </w:p>
        </w:tc>
        <w:tc>
          <w:tcPr>
            <w:tcW w:w="395" w:type="pct"/>
          </w:tcPr>
          <w:p w14:paraId="37E30E05"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0.061413</w:t>
            </w:r>
          </w:p>
        </w:tc>
        <w:tc>
          <w:tcPr>
            <w:tcW w:w="377" w:type="pct"/>
          </w:tcPr>
          <w:p w14:paraId="1C9DA16C"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0.059527</w:t>
            </w:r>
          </w:p>
        </w:tc>
        <w:tc>
          <w:tcPr>
            <w:tcW w:w="377" w:type="pct"/>
          </w:tcPr>
          <w:p w14:paraId="66466A46"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0.117571</w:t>
            </w:r>
          </w:p>
        </w:tc>
        <w:tc>
          <w:tcPr>
            <w:tcW w:w="357" w:type="pct"/>
          </w:tcPr>
          <w:p w14:paraId="3667E88E"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0.062321</w:t>
            </w:r>
          </w:p>
        </w:tc>
        <w:tc>
          <w:tcPr>
            <w:tcW w:w="344" w:type="pct"/>
          </w:tcPr>
          <w:p w14:paraId="4B51635B"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0.058345</w:t>
            </w:r>
          </w:p>
        </w:tc>
      </w:tr>
      <w:tr w:rsidR="005A719B" w:rsidRPr="00953770" w14:paraId="02EFFE0B" w14:textId="77777777" w:rsidTr="00046A8A">
        <w:trPr>
          <w:trHeight w:val="144"/>
        </w:trPr>
        <w:tc>
          <w:tcPr>
            <w:tcW w:w="379" w:type="pct"/>
          </w:tcPr>
          <w:p w14:paraId="78A14B4F"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Skewness</w:t>
            </w:r>
          </w:p>
        </w:tc>
        <w:tc>
          <w:tcPr>
            <w:tcW w:w="395" w:type="pct"/>
          </w:tcPr>
          <w:p w14:paraId="5ED3124E"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0.460441</w:t>
            </w:r>
          </w:p>
        </w:tc>
        <w:tc>
          <w:tcPr>
            <w:tcW w:w="395" w:type="pct"/>
          </w:tcPr>
          <w:p w14:paraId="627216DF" w14:textId="3CD17136"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0.505788</w:t>
            </w:r>
          </w:p>
        </w:tc>
        <w:tc>
          <w:tcPr>
            <w:tcW w:w="455" w:type="pct"/>
          </w:tcPr>
          <w:p w14:paraId="4DE44F5D" w14:textId="49F0F564"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0.221172</w:t>
            </w:r>
          </w:p>
        </w:tc>
        <w:tc>
          <w:tcPr>
            <w:tcW w:w="356" w:type="pct"/>
          </w:tcPr>
          <w:p w14:paraId="4AC58145"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0.411917</w:t>
            </w:r>
          </w:p>
        </w:tc>
        <w:tc>
          <w:tcPr>
            <w:tcW w:w="406" w:type="pct"/>
          </w:tcPr>
          <w:p w14:paraId="15FD0FC8"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0.449778</w:t>
            </w:r>
          </w:p>
        </w:tc>
        <w:tc>
          <w:tcPr>
            <w:tcW w:w="406" w:type="pct"/>
          </w:tcPr>
          <w:p w14:paraId="28532BB9" w14:textId="3C02CFD3"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0.500076</w:t>
            </w:r>
          </w:p>
        </w:tc>
        <w:tc>
          <w:tcPr>
            <w:tcW w:w="356" w:type="pct"/>
          </w:tcPr>
          <w:p w14:paraId="19C1174D" w14:textId="52EBAAF7"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0.223112</w:t>
            </w:r>
          </w:p>
        </w:tc>
        <w:tc>
          <w:tcPr>
            <w:tcW w:w="395" w:type="pct"/>
          </w:tcPr>
          <w:p w14:paraId="1FA79634"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0.409776</w:t>
            </w:r>
          </w:p>
        </w:tc>
        <w:tc>
          <w:tcPr>
            <w:tcW w:w="377" w:type="pct"/>
          </w:tcPr>
          <w:p w14:paraId="7B3A0953"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0.494365</w:t>
            </w:r>
          </w:p>
        </w:tc>
        <w:tc>
          <w:tcPr>
            <w:tcW w:w="377" w:type="pct"/>
          </w:tcPr>
          <w:p w14:paraId="7C84BD72" w14:textId="360AB35A"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0.507634</w:t>
            </w:r>
          </w:p>
        </w:tc>
        <w:tc>
          <w:tcPr>
            <w:tcW w:w="357" w:type="pct"/>
          </w:tcPr>
          <w:p w14:paraId="0B64A7D7" w14:textId="538F5391" w:rsidR="005A719B" w:rsidRPr="00953770" w:rsidRDefault="005A719B" w:rsidP="007F7E6E">
            <w:pPr>
              <w:jc w:val="center"/>
              <w:rPr>
                <w:rFonts w:eastAsia="SimSun"/>
                <w:sz w:val="15"/>
                <w:szCs w:val="15"/>
                <w:lang w:val="en-US"/>
              </w:rPr>
            </w:pPr>
            <w:r>
              <w:rPr>
                <w:rFonts w:eastAsia="SimSun"/>
                <w:sz w:val="15"/>
                <w:szCs w:val="15"/>
                <w:lang w:val="en-US"/>
              </w:rPr>
              <w:t>–</w:t>
            </w:r>
            <w:r w:rsidRPr="00953770">
              <w:rPr>
                <w:rFonts w:eastAsia="SimSun"/>
                <w:sz w:val="15"/>
                <w:szCs w:val="15"/>
                <w:lang w:val="en-US"/>
              </w:rPr>
              <w:t>0.310070</w:t>
            </w:r>
          </w:p>
        </w:tc>
        <w:tc>
          <w:tcPr>
            <w:tcW w:w="344" w:type="pct"/>
          </w:tcPr>
          <w:p w14:paraId="2F87AC76"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0.496534</w:t>
            </w:r>
          </w:p>
        </w:tc>
      </w:tr>
      <w:tr w:rsidR="005A719B" w:rsidRPr="00953770" w14:paraId="4C1558E8" w14:textId="77777777" w:rsidTr="00046A8A">
        <w:trPr>
          <w:trHeight w:val="144"/>
        </w:trPr>
        <w:tc>
          <w:tcPr>
            <w:tcW w:w="379" w:type="pct"/>
          </w:tcPr>
          <w:p w14:paraId="4BF190EF" w14:textId="77777777" w:rsidR="005A719B" w:rsidRPr="00953770" w:rsidRDefault="005A719B" w:rsidP="007F7E6E">
            <w:pPr>
              <w:spacing w:line="360" w:lineRule="auto"/>
              <w:jc w:val="center"/>
              <w:rPr>
                <w:rFonts w:eastAsia="SimSun"/>
                <w:sz w:val="15"/>
                <w:szCs w:val="15"/>
                <w:lang w:val="en-US"/>
              </w:rPr>
            </w:pPr>
            <w:r w:rsidRPr="00953770">
              <w:rPr>
                <w:rFonts w:eastAsia="SimSun"/>
                <w:sz w:val="15"/>
                <w:szCs w:val="15"/>
                <w:lang w:val="en-US"/>
              </w:rPr>
              <w:t>Kurtosis</w:t>
            </w:r>
          </w:p>
        </w:tc>
        <w:tc>
          <w:tcPr>
            <w:tcW w:w="395" w:type="pct"/>
          </w:tcPr>
          <w:p w14:paraId="0D520FB9"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2.767574</w:t>
            </w:r>
          </w:p>
        </w:tc>
        <w:tc>
          <w:tcPr>
            <w:tcW w:w="395" w:type="pct"/>
          </w:tcPr>
          <w:p w14:paraId="2031F018"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1.706595</w:t>
            </w:r>
          </w:p>
        </w:tc>
        <w:tc>
          <w:tcPr>
            <w:tcW w:w="455" w:type="pct"/>
          </w:tcPr>
          <w:p w14:paraId="36D491ED"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2.073963</w:t>
            </w:r>
          </w:p>
        </w:tc>
        <w:tc>
          <w:tcPr>
            <w:tcW w:w="356" w:type="pct"/>
          </w:tcPr>
          <w:p w14:paraId="13EEF656"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2.176698</w:t>
            </w:r>
          </w:p>
        </w:tc>
        <w:tc>
          <w:tcPr>
            <w:tcW w:w="406" w:type="pct"/>
          </w:tcPr>
          <w:p w14:paraId="516CEE6C"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2.761418</w:t>
            </w:r>
          </w:p>
        </w:tc>
        <w:tc>
          <w:tcPr>
            <w:tcW w:w="406" w:type="pct"/>
          </w:tcPr>
          <w:p w14:paraId="5B039361"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1.696088</w:t>
            </w:r>
          </w:p>
        </w:tc>
        <w:tc>
          <w:tcPr>
            <w:tcW w:w="356" w:type="pct"/>
          </w:tcPr>
          <w:p w14:paraId="3339CA87"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2.221614</w:t>
            </w:r>
          </w:p>
        </w:tc>
        <w:tc>
          <w:tcPr>
            <w:tcW w:w="395" w:type="pct"/>
          </w:tcPr>
          <w:p w14:paraId="4B1B7229"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2.180896</w:t>
            </w:r>
          </w:p>
        </w:tc>
        <w:tc>
          <w:tcPr>
            <w:tcW w:w="377" w:type="pct"/>
          </w:tcPr>
          <w:p w14:paraId="76F775EB"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2.776062</w:t>
            </w:r>
          </w:p>
        </w:tc>
        <w:tc>
          <w:tcPr>
            <w:tcW w:w="377" w:type="pct"/>
          </w:tcPr>
          <w:p w14:paraId="0E73AF36"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1.684973</w:t>
            </w:r>
          </w:p>
        </w:tc>
        <w:tc>
          <w:tcPr>
            <w:tcW w:w="357" w:type="pct"/>
          </w:tcPr>
          <w:p w14:paraId="07156165"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2.108852</w:t>
            </w:r>
          </w:p>
        </w:tc>
        <w:tc>
          <w:tcPr>
            <w:tcW w:w="344" w:type="pct"/>
          </w:tcPr>
          <w:p w14:paraId="5A460AB3" w14:textId="77777777" w:rsidR="005A719B" w:rsidRPr="00953770" w:rsidRDefault="005A719B" w:rsidP="007F7E6E">
            <w:pPr>
              <w:jc w:val="center"/>
              <w:rPr>
                <w:rFonts w:eastAsia="SimSun"/>
                <w:sz w:val="15"/>
                <w:szCs w:val="15"/>
                <w:lang w:val="en-US"/>
              </w:rPr>
            </w:pPr>
            <w:r w:rsidRPr="00953770">
              <w:rPr>
                <w:rFonts w:eastAsia="SimSun"/>
                <w:sz w:val="15"/>
                <w:szCs w:val="15"/>
                <w:lang w:val="en-US"/>
              </w:rPr>
              <w:t>2.261643</w:t>
            </w:r>
          </w:p>
        </w:tc>
      </w:tr>
    </w:tbl>
    <w:p w14:paraId="1B21311C" w14:textId="77777777" w:rsidR="005A719B" w:rsidRPr="00953770" w:rsidRDefault="005A719B" w:rsidP="00CF365B">
      <w:pPr>
        <w:jc w:val="both"/>
        <w:rPr>
          <w:rFonts w:ascii="Calibri" w:eastAsia="SimSun" w:hAnsi="Calibri"/>
          <w:b/>
          <w:lang w:val="en-US"/>
        </w:rPr>
      </w:pPr>
    </w:p>
    <w:p w14:paraId="2D59405C" w14:textId="3729246C" w:rsidR="00966B26" w:rsidRPr="00D875ED" w:rsidRDefault="004360C1" w:rsidP="00966B26">
      <w:pPr>
        <w:spacing w:line="360" w:lineRule="auto"/>
        <w:jc w:val="both"/>
        <w:rPr>
          <w:i/>
          <w:sz w:val="16"/>
          <w:szCs w:val="16"/>
        </w:rPr>
      </w:pPr>
      <w:r>
        <w:rPr>
          <w:i/>
          <w:sz w:val="16"/>
          <w:szCs w:val="16"/>
          <w:lang w:val="en-US"/>
        </w:rPr>
        <w:t>Notes: 1)</w:t>
      </w:r>
      <w:r w:rsidR="00966B26">
        <w:rPr>
          <w:i/>
          <w:sz w:val="16"/>
          <w:szCs w:val="16"/>
          <w:lang w:val="en-US"/>
        </w:rPr>
        <w:t xml:space="preserve"> We examine</w:t>
      </w:r>
      <w:r w:rsidR="00966B26" w:rsidRPr="00953770">
        <w:rPr>
          <w:i/>
          <w:sz w:val="16"/>
          <w:szCs w:val="16"/>
          <w:lang w:val="en-US"/>
        </w:rPr>
        <w:t xml:space="preserve"> nine demea</w:t>
      </w:r>
      <w:r w:rsidR="00966B26">
        <w:rPr>
          <w:i/>
          <w:sz w:val="16"/>
          <w:szCs w:val="16"/>
          <w:lang w:val="en-US"/>
        </w:rPr>
        <w:t>ned price series in logarithms, from 2010 to 2013. Our</w:t>
      </w:r>
      <w:r w:rsidR="00966B26" w:rsidRPr="00953770">
        <w:rPr>
          <w:i/>
          <w:sz w:val="16"/>
          <w:szCs w:val="16"/>
          <w:lang w:val="en-US"/>
        </w:rPr>
        <w:t xml:space="preserve"> data sample contains intra-day five-minute transaction prices of </w:t>
      </w:r>
      <w:r w:rsidR="00966B26">
        <w:rPr>
          <w:i/>
          <w:sz w:val="16"/>
          <w:szCs w:val="16"/>
          <w:lang w:val="en-US"/>
        </w:rPr>
        <w:t xml:space="preserve">the </w:t>
      </w:r>
      <w:r w:rsidR="00966B26" w:rsidRPr="00953770">
        <w:rPr>
          <w:i/>
          <w:sz w:val="16"/>
          <w:szCs w:val="16"/>
          <w:lang w:val="en-US"/>
        </w:rPr>
        <w:t>spot index, index futures</w:t>
      </w:r>
      <w:r w:rsidR="00966B26">
        <w:rPr>
          <w:i/>
          <w:sz w:val="16"/>
          <w:szCs w:val="16"/>
          <w:lang w:val="en-US"/>
        </w:rPr>
        <w:t>,</w:t>
      </w:r>
      <w:r w:rsidR="00966B26" w:rsidRPr="00953770">
        <w:rPr>
          <w:i/>
          <w:sz w:val="16"/>
          <w:szCs w:val="16"/>
          <w:lang w:val="en-US"/>
        </w:rPr>
        <w:t xml:space="preserve"> and </w:t>
      </w:r>
      <w:r w:rsidR="00966B26">
        <w:rPr>
          <w:i/>
          <w:sz w:val="16"/>
          <w:szCs w:val="16"/>
          <w:lang w:val="en-US"/>
        </w:rPr>
        <w:t>ETFs</w:t>
      </w:r>
      <w:r w:rsidR="00966B26" w:rsidRPr="00953770">
        <w:rPr>
          <w:i/>
          <w:sz w:val="16"/>
          <w:szCs w:val="16"/>
          <w:lang w:val="en-US"/>
        </w:rPr>
        <w:t xml:space="preserve"> grouped under three major European market indices FTSE 100, CAC 40, and DAX 30. </w:t>
      </w:r>
      <w:r w:rsidR="00966B26">
        <w:rPr>
          <w:i/>
          <w:sz w:val="16"/>
          <w:szCs w:val="16"/>
          <w:lang w:val="en-US"/>
        </w:rPr>
        <w:t xml:space="preserve">The data covers the period from </w:t>
      </w:r>
      <w:r w:rsidR="00966B26" w:rsidRPr="00953770">
        <w:rPr>
          <w:i/>
          <w:sz w:val="16"/>
          <w:szCs w:val="16"/>
          <w:lang w:val="en-US"/>
        </w:rPr>
        <w:t>January 2010 to December 2013</w:t>
      </w:r>
      <w:r>
        <w:rPr>
          <w:i/>
          <w:sz w:val="16"/>
          <w:szCs w:val="16"/>
          <w:lang w:val="en-US"/>
        </w:rPr>
        <w:t>. 2)</w:t>
      </w:r>
      <w:r w:rsidR="00966B26">
        <w:rPr>
          <w:i/>
          <w:sz w:val="16"/>
          <w:szCs w:val="16"/>
          <w:lang w:val="en-US"/>
        </w:rPr>
        <w:t xml:space="preserve"> </w:t>
      </w:r>
      <w:r w:rsidR="00966B26" w:rsidRPr="002B271F">
        <w:rPr>
          <w:rFonts w:eastAsia="SimSun"/>
          <w:i/>
          <w:sz w:val="16"/>
          <w:szCs w:val="16"/>
          <w:lang w:val="en-US"/>
        </w:rPr>
        <w:t xml:space="preserve">The demeaned series are calculated </w:t>
      </w:r>
      <w:r w:rsidR="00966B26">
        <w:rPr>
          <w:rFonts w:eastAsia="SimSun"/>
          <w:i/>
          <w:sz w:val="16"/>
          <w:szCs w:val="16"/>
          <w:lang w:val="en-US"/>
        </w:rPr>
        <w:t>through the</w:t>
      </w:r>
      <w:r w:rsidR="00966B26" w:rsidRPr="002B271F">
        <w:rPr>
          <w:rFonts w:eastAsia="SimSun"/>
          <w:i/>
          <w:sz w:val="16"/>
          <w:szCs w:val="16"/>
          <w:lang w:val="en-US"/>
        </w:rPr>
        <w:t xml:space="preserve"> subtracti</w:t>
      </w:r>
      <w:r w:rsidR="00966B26">
        <w:rPr>
          <w:rFonts w:eastAsia="SimSun"/>
          <w:i/>
          <w:sz w:val="16"/>
          <w:szCs w:val="16"/>
          <w:lang w:val="en-US"/>
        </w:rPr>
        <w:t>on of</w:t>
      </w:r>
      <w:r w:rsidR="00966B26" w:rsidRPr="002B271F">
        <w:rPr>
          <w:rFonts w:eastAsia="SimSun"/>
          <w:i/>
          <w:sz w:val="16"/>
          <w:szCs w:val="16"/>
          <w:lang w:val="en-US"/>
        </w:rPr>
        <w:t xml:space="preserve"> the daily average from the log series.</w:t>
      </w:r>
      <w:r w:rsidR="00966B26">
        <w:rPr>
          <w:i/>
          <w:sz w:val="16"/>
          <w:szCs w:val="16"/>
          <w:lang w:val="en-US"/>
        </w:rPr>
        <w:t xml:space="preserve"> 3. </w:t>
      </w:r>
      <w:r w:rsidR="00966B26" w:rsidRPr="00D875ED">
        <w:rPr>
          <w:i/>
          <w:sz w:val="16"/>
          <w:szCs w:val="16"/>
        </w:rPr>
        <w:t>Our empirical analyses involve the use of the permanent transitory decomposition method by Gonzalo and Granger (1995). The method is constructed on a vector error correction model (VECM), which requires non-stationarity of the price series. Thus, we performed the Augmented Dickey-Fuller (ADF) unit root tests on</w:t>
      </w:r>
      <w:r w:rsidR="00966B26">
        <w:rPr>
          <w:i/>
          <w:sz w:val="16"/>
          <w:szCs w:val="16"/>
        </w:rPr>
        <w:t xml:space="preserve"> all nine</w:t>
      </w:r>
      <w:r w:rsidR="00966B26" w:rsidRPr="00D875ED">
        <w:rPr>
          <w:i/>
          <w:sz w:val="16"/>
          <w:szCs w:val="16"/>
        </w:rPr>
        <w:t xml:space="preserve"> price series of equity indices, grouped under the </w:t>
      </w:r>
      <w:r w:rsidR="00966B26" w:rsidRPr="00953770">
        <w:rPr>
          <w:i/>
          <w:sz w:val="16"/>
          <w:szCs w:val="16"/>
          <w:lang w:val="en-US"/>
        </w:rPr>
        <w:t>three major European market indices</w:t>
      </w:r>
      <w:r w:rsidR="00966B26" w:rsidRPr="00D875ED">
        <w:rPr>
          <w:i/>
          <w:sz w:val="16"/>
          <w:szCs w:val="16"/>
        </w:rPr>
        <w:t xml:space="preserve">. The ADF unit root tests were carried out on levels and then on first differences of these time series. The results confirm that all series are integrated of order 1 across all classified </w:t>
      </w:r>
      <w:r w:rsidR="00966B26" w:rsidRPr="00253BC6">
        <w:rPr>
          <w:i/>
          <w:sz w:val="16"/>
          <w:szCs w:val="16"/>
        </w:rPr>
        <w:t>markets.</w:t>
      </w:r>
    </w:p>
    <w:p w14:paraId="516C05FE" w14:textId="77777777" w:rsidR="005A719B" w:rsidRPr="00953770" w:rsidRDefault="005A719B" w:rsidP="00966B26">
      <w:pPr>
        <w:spacing w:line="360" w:lineRule="auto"/>
        <w:jc w:val="both"/>
        <w:rPr>
          <w:rFonts w:ascii="Calibri" w:eastAsia="SimSun" w:hAnsi="Calibri"/>
          <w:b/>
          <w:lang w:val="en-US"/>
        </w:rPr>
      </w:pPr>
    </w:p>
    <w:p w14:paraId="382EB0A0" w14:textId="77777777" w:rsidR="005A719B" w:rsidRPr="00953770" w:rsidRDefault="005A719B" w:rsidP="00CF365B">
      <w:pPr>
        <w:jc w:val="both"/>
        <w:rPr>
          <w:rFonts w:ascii="Calibri" w:eastAsia="SimSun" w:hAnsi="Calibri"/>
          <w:b/>
          <w:lang w:val="en-US"/>
        </w:rPr>
      </w:pPr>
    </w:p>
    <w:p w14:paraId="723AAB4F" w14:textId="77777777" w:rsidR="005A719B" w:rsidRPr="00953770" w:rsidRDefault="005A719B" w:rsidP="00CF365B">
      <w:pPr>
        <w:jc w:val="both"/>
        <w:rPr>
          <w:rFonts w:ascii="Calibri" w:eastAsia="SimSun" w:hAnsi="Calibri"/>
          <w:b/>
          <w:lang w:val="en-US"/>
        </w:rPr>
      </w:pPr>
    </w:p>
    <w:p w14:paraId="3870AEDB" w14:textId="77777777" w:rsidR="005A719B" w:rsidRPr="00953770" w:rsidRDefault="005A719B" w:rsidP="00CF365B">
      <w:pPr>
        <w:jc w:val="both"/>
        <w:rPr>
          <w:rFonts w:ascii="Calibri" w:eastAsia="SimSun" w:hAnsi="Calibri"/>
          <w:b/>
          <w:lang w:val="en-US"/>
        </w:rPr>
        <w:sectPr w:rsidR="005A719B" w:rsidRPr="00953770" w:rsidSect="00CE41CC">
          <w:endnotePr>
            <w:numFmt w:val="decimal"/>
          </w:endnotePr>
          <w:pgSz w:w="16838" w:h="11906" w:orient="landscape" w:code="9"/>
          <w:pgMar w:top="1797" w:right="1440" w:bottom="1797" w:left="1440" w:header="709" w:footer="709" w:gutter="0"/>
          <w:cols w:space="708"/>
          <w:docGrid w:linePitch="360"/>
        </w:sectPr>
      </w:pPr>
    </w:p>
    <w:p w14:paraId="027EF00F" w14:textId="1974DA3D" w:rsidR="005A719B" w:rsidRPr="004F7752" w:rsidRDefault="005A719B" w:rsidP="004F7752">
      <w:pPr>
        <w:pStyle w:val="head4"/>
      </w:pPr>
      <w:r w:rsidRPr="004F7752">
        <w:t>5.2 Information Share Results</w:t>
      </w:r>
    </w:p>
    <w:p w14:paraId="5ACC1C54" w14:textId="16E76123" w:rsidR="005A719B" w:rsidRPr="00953770" w:rsidRDefault="005A719B" w:rsidP="004F7752">
      <w:pPr>
        <w:spacing w:line="480" w:lineRule="auto"/>
        <w:jc w:val="both"/>
        <w:rPr>
          <w:color w:val="000000" w:themeColor="text1"/>
          <w:lang w:val="en-US"/>
        </w:rPr>
      </w:pPr>
      <w:r w:rsidRPr="00953770">
        <w:rPr>
          <w:color w:val="000000" w:themeColor="text1"/>
          <w:lang w:val="en-US"/>
        </w:rPr>
        <w:t xml:space="preserve">Our </w:t>
      </w:r>
      <w:r>
        <w:rPr>
          <w:color w:val="000000" w:themeColor="text1"/>
          <w:lang w:val="en-US"/>
        </w:rPr>
        <w:t>estimation</w:t>
      </w:r>
      <w:r w:rsidRPr="00953770">
        <w:rPr>
          <w:color w:val="000000" w:themeColor="text1"/>
          <w:lang w:val="en-US"/>
        </w:rPr>
        <w:t xml:space="preserve">s of the Hasbrouck (1995) information share </w:t>
      </w:r>
      <w:r>
        <w:rPr>
          <w:color w:val="000000" w:themeColor="text1"/>
          <w:lang w:val="en-US"/>
        </w:rPr>
        <w:t xml:space="preserve">have been </w:t>
      </w:r>
      <w:r w:rsidRPr="00953770">
        <w:rPr>
          <w:color w:val="000000" w:themeColor="text1"/>
          <w:lang w:val="en-US"/>
        </w:rPr>
        <w:t xml:space="preserve">summarized in </w:t>
      </w:r>
      <w:r w:rsidR="009E40ED">
        <w:rPr>
          <w:color w:val="000000" w:themeColor="text1"/>
          <w:lang w:val="en-US"/>
        </w:rPr>
        <w:t>Table 4</w:t>
      </w:r>
      <w:r w:rsidRPr="00953770">
        <w:rPr>
          <w:color w:val="000000" w:themeColor="text1"/>
          <w:lang w:val="en-US"/>
        </w:rPr>
        <w:t xml:space="preserve">. </w:t>
      </w:r>
      <w:r>
        <w:rPr>
          <w:color w:val="000000" w:themeColor="text1"/>
          <w:lang w:val="en-US"/>
        </w:rPr>
        <w:t>U</w:t>
      </w:r>
      <w:r w:rsidRPr="00953770">
        <w:rPr>
          <w:color w:val="000000" w:themeColor="text1"/>
          <w:lang w:val="en-US"/>
        </w:rPr>
        <w:t>pper/lower bound</w:t>
      </w:r>
      <w:r>
        <w:rPr>
          <w:color w:val="000000" w:themeColor="text1"/>
          <w:lang w:val="en-US"/>
        </w:rPr>
        <w:t>s</w:t>
      </w:r>
      <w:r w:rsidRPr="00953770">
        <w:rPr>
          <w:color w:val="000000" w:themeColor="text1"/>
          <w:lang w:val="en-US"/>
        </w:rPr>
        <w:t xml:space="preserve"> </w:t>
      </w:r>
      <w:r>
        <w:rPr>
          <w:color w:val="000000" w:themeColor="text1"/>
          <w:lang w:val="en-US"/>
        </w:rPr>
        <w:t xml:space="preserve">were </w:t>
      </w:r>
      <w:r w:rsidRPr="00953770">
        <w:rPr>
          <w:color w:val="000000" w:themeColor="text1"/>
          <w:lang w:val="en-US"/>
        </w:rPr>
        <w:t xml:space="preserve">achieved by </w:t>
      </w:r>
      <w:r>
        <w:rPr>
          <w:color w:val="000000" w:themeColor="text1"/>
          <w:lang w:val="en-US"/>
        </w:rPr>
        <w:t xml:space="preserve">supplying </w:t>
      </w:r>
      <w:r w:rsidRPr="00953770">
        <w:rPr>
          <w:color w:val="000000" w:themeColor="text1"/>
          <w:lang w:val="en-US"/>
        </w:rPr>
        <w:t>a price variable in the first/last equation of VECM. Following Harris et al. (2002</w:t>
      </w:r>
      <w:r w:rsidR="006D5547">
        <w:rPr>
          <w:color w:val="000000" w:themeColor="text1"/>
          <w:lang w:val="en-US"/>
        </w:rPr>
        <w:t>a</w:t>
      </w:r>
      <w:r w:rsidRPr="00953770">
        <w:rPr>
          <w:color w:val="000000" w:themeColor="text1"/>
          <w:lang w:val="en-US"/>
        </w:rPr>
        <w:t>) and Baillie et al.</w:t>
      </w:r>
      <w:r>
        <w:rPr>
          <w:color w:val="000000" w:themeColor="text1"/>
          <w:lang w:val="en-US"/>
        </w:rPr>
        <w:t>’s</w:t>
      </w:r>
      <w:r w:rsidRPr="00953770">
        <w:rPr>
          <w:color w:val="000000" w:themeColor="text1"/>
          <w:lang w:val="en-US"/>
        </w:rPr>
        <w:t xml:space="preserve"> (2002)</w:t>
      </w:r>
      <w:r>
        <w:rPr>
          <w:color w:val="000000" w:themeColor="text1"/>
          <w:lang w:val="en-US"/>
        </w:rPr>
        <w:t xml:space="preserve"> methods</w:t>
      </w:r>
      <w:r w:rsidRPr="00953770">
        <w:rPr>
          <w:color w:val="000000" w:themeColor="text1"/>
          <w:lang w:val="en-US"/>
        </w:rPr>
        <w:t xml:space="preserve">, the mean of the upper and lower bounds </w:t>
      </w:r>
      <w:r>
        <w:rPr>
          <w:color w:val="000000" w:themeColor="text1"/>
          <w:lang w:val="en-US"/>
        </w:rPr>
        <w:t xml:space="preserve">has </w:t>
      </w:r>
      <w:r w:rsidRPr="00953770">
        <w:rPr>
          <w:color w:val="000000" w:themeColor="text1"/>
          <w:lang w:val="en-US"/>
        </w:rPr>
        <w:t xml:space="preserve">also </w:t>
      </w:r>
      <w:r>
        <w:rPr>
          <w:color w:val="000000" w:themeColor="text1"/>
          <w:lang w:val="en-US"/>
        </w:rPr>
        <w:t xml:space="preserve">been </w:t>
      </w:r>
      <w:r w:rsidRPr="00953770">
        <w:rPr>
          <w:color w:val="000000" w:themeColor="text1"/>
          <w:lang w:val="en-US"/>
        </w:rPr>
        <w:t xml:space="preserve">reported. The estimated upper and lower bounds </w:t>
      </w:r>
      <w:r>
        <w:rPr>
          <w:color w:val="000000" w:themeColor="text1"/>
          <w:lang w:val="en-US"/>
        </w:rPr>
        <w:t xml:space="preserve">show a great deviation from each other in </w:t>
      </w:r>
      <w:r w:rsidRPr="00953770">
        <w:rPr>
          <w:color w:val="000000" w:themeColor="text1"/>
          <w:lang w:val="en-US"/>
        </w:rPr>
        <w:t xml:space="preserve">most cases, </w:t>
      </w:r>
      <w:r>
        <w:rPr>
          <w:color w:val="000000" w:themeColor="text1"/>
          <w:lang w:val="en-US"/>
        </w:rPr>
        <w:t>render</w:t>
      </w:r>
      <w:r w:rsidRPr="00953770">
        <w:rPr>
          <w:color w:val="000000" w:themeColor="text1"/>
          <w:lang w:val="en-US"/>
        </w:rPr>
        <w:t xml:space="preserve">ing the identification of the information share rather </w:t>
      </w:r>
      <w:r w:rsidRPr="00DA5258">
        <w:rPr>
          <w:color w:val="000000" w:themeColor="text1"/>
          <w:lang w:val="en-US"/>
        </w:rPr>
        <w:t>difficult</w:t>
      </w:r>
      <w:r w:rsidR="00DA5258" w:rsidRPr="00DA5258">
        <w:rPr>
          <w:color w:val="000000" w:themeColor="text1"/>
          <w:lang w:val="en-US"/>
        </w:rPr>
        <w:t>.</w:t>
      </w:r>
      <w:r w:rsidR="008E063F" w:rsidRPr="00DA5258">
        <w:rPr>
          <w:color w:val="000000" w:themeColor="text1"/>
          <w:vertAlign w:val="superscript"/>
          <w:lang w:val="en-US"/>
        </w:rPr>
        <w:t>15</w:t>
      </w:r>
      <w:r w:rsidRPr="00953770">
        <w:rPr>
          <w:color w:val="000000" w:themeColor="text1"/>
          <w:lang w:val="en-US"/>
        </w:rPr>
        <w:t xml:space="preserve"> As </w:t>
      </w:r>
      <w:r>
        <w:rPr>
          <w:color w:val="000000" w:themeColor="text1"/>
          <w:lang w:val="en-US"/>
        </w:rPr>
        <w:t>observ</w:t>
      </w:r>
      <w:r w:rsidRPr="00953770">
        <w:rPr>
          <w:color w:val="000000" w:themeColor="text1"/>
          <w:lang w:val="en-US"/>
        </w:rPr>
        <w:t xml:space="preserve">ed by Hasbrouck (2003) and Baillie and Bollerslev (2002), wide upper and lower bounds </w:t>
      </w:r>
      <w:r>
        <w:rPr>
          <w:color w:val="000000" w:themeColor="text1"/>
          <w:lang w:val="en-US"/>
        </w:rPr>
        <w:t xml:space="preserve">were caused </w:t>
      </w:r>
      <w:r w:rsidRPr="00953770">
        <w:rPr>
          <w:color w:val="000000" w:themeColor="text1"/>
          <w:lang w:val="en-US"/>
        </w:rPr>
        <w:t xml:space="preserve">due to high </w:t>
      </w:r>
      <w:r>
        <w:rPr>
          <w:color w:val="000000" w:themeColor="text1"/>
          <w:lang w:val="en-US"/>
        </w:rPr>
        <w:t xml:space="preserve">values of </w:t>
      </w:r>
      <w:r w:rsidRPr="00953770">
        <w:rPr>
          <w:color w:val="000000" w:themeColor="text1"/>
          <w:lang w:val="en-US"/>
        </w:rPr>
        <w:t xml:space="preserve">correlation </w:t>
      </w:r>
      <w:r>
        <w:rPr>
          <w:color w:val="000000" w:themeColor="text1"/>
          <w:lang w:val="en-US"/>
        </w:rPr>
        <w:t xml:space="preserve">between </w:t>
      </w:r>
      <w:r w:rsidRPr="00953770">
        <w:rPr>
          <w:color w:val="000000" w:themeColor="text1"/>
          <w:lang w:val="en-US"/>
        </w:rPr>
        <w:t>innovations</w:t>
      </w:r>
      <w:r>
        <w:rPr>
          <w:color w:val="000000" w:themeColor="text1"/>
          <w:lang w:val="en-US"/>
        </w:rPr>
        <w:t>,</w:t>
      </w:r>
      <w:r w:rsidRPr="00953770">
        <w:rPr>
          <w:color w:val="000000" w:themeColor="text1"/>
          <w:lang w:val="en-US"/>
        </w:rPr>
        <w:t xml:space="preserve"> because the calculation of the upper bound (defined as the largest IS value) </w:t>
      </w:r>
      <w:r>
        <w:rPr>
          <w:color w:val="000000" w:themeColor="text1"/>
          <w:lang w:val="en-US"/>
        </w:rPr>
        <w:t xml:space="preserve">must </w:t>
      </w:r>
      <w:r w:rsidRPr="00953770">
        <w:rPr>
          <w:color w:val="000000" w:themeColor="text1"/>
          <w:lang w:val="en-US"/>
        </w:rPr>
        <w:t>include the correlation between innovations.</w:t>
      </w:r>
    </w:p>
    <w:p w14:paraId="5E8E813D" w14:textId="77777777" w:rsidR="005A719B" w:rsidRPr="00953770" w:rsidRDefault="005A719B" w:rsidP="00CF54F2">
      <w:pPr>
        <w:spacing w:line="480" w:lineRule="auto"/>
        <w:jc w:val="both"/>
        <w:rPr>
          <w:rFonts w:eastAsia="SimSun"/>
          <w:lang w:val="en-US"/>
        </w:rPr>
      </w:pPr>
    </w:p>
    <w:p w14:paraId="6C72A2B9" w14:textId="77777777" w:rsidR="005A719B" w:rsidRPr="00953770" w:rsidRDefault="005A719B" w:rsidP="00CF54F2">
      <w:pPr>
        <w:spacing w:line="480" w:lineRule="auto"/>
        <w:jc w:val="both"/>
        <w:rPr>
          <w:rFonts w:eastAsia="SimSun"/>
          <w:lang w:val="en-US"/>
        </w:rPr>
      </w:pPr>
    </w:p>
    <w:p w14:paraId="5714A3A9" w14:textId="77777777" w:rsidR="005A719B" w:rsidRPr="00953770" w:rsidRDefault="005A719B" w:rsidP="00CF54F2">
      <w:pPr>
        <w:spacing w:line="360" w:lineRule="auto"/>
        <w:rPr>
          <w:rFonts w:eastAsia="SimSun"/>
          <w:b/>
          <w:lang w:val="en-US"/>
        </w:rPr>
        <w:sectPr w:rsidR="005A719B" w:rsidRPr="00953770" w:rsidSect="007D2CAB">
          <w:footerReference w:type="even" r:id="rId131"/>
          <w:footerReference w:type="default" r:id="rId132"/>
          <w:endnotePr>
            <w:numFmt w:val="decimal"/>
          </w:endnotePr>
          <w:pgSz w:w="11906" w:h="16838" w:code="9"/>
          <w:pgMar w:top="1440" w:right="1440" w:bottom="1440" w:left="1440" w:header="709" w:footer="709" w:gutter="0"/>
          <w:cols w:space="708"/>
          <w:titlePg/>
          <w:docGrid w:type="lines" w:linePitch="422"/>
        </w:sectPr>
      </w:pPr>
    </w:p>
    <w:p w14:paraId="1BE3BCCC" w14:textId="77777777" w:rsidR="005A719B" w:rsidRPr="00953770" w:rsidRDefault="005A719B" w:rsidP="00BF122B">
      <w:pPr>
        <w:rPr>
          <w:lang w:val="en-US"/>
        </w:rPr>
      </w:pPr>
      <w:bookmarkStart w:id="4" w:name="_Toc429924412"/>
    </w:p>
    <w:p w14:paraId="31F6EB4A" w14:textId="77777777" w:rsidR="005A719B" w:rsidRPr="005F7722" w:rsidRDefault="005A719B" w:rsidP="004360C1">
      <w:pPr>
        <w:pStyle w:val="Caption"/>
        <w:spacing w:line="480" w:lineRule="auto"/>
        <w:rPr>
          <w:rFonts w:ascii="Times New Roman" w:hAnsi="Times New Roman" w:cs="Times New Roman"/>
          <w:color w:val="000000" w:themeColor="text1"/>
          <w:sz w:val="24"/>
          <w:szCs w:val="24"/>
        </w:rPr>
      </w:pPr>
    </w:p>
    <w:p w14:paraId="6649052A" w14:textId="489F1308" w:rsidR="005A719B" w:rsidRPr="00953770" w:rsidRDefault="009E40ED" w:rsidP="004360C1">
      <w:pPr>
        <w:pStyle w:val="Caption"/>
        <w:spacing w:line="360" w:lineRule="auto"/>
        <w:jc w:val="center"/>
        <w:rPr>
          <w:rFonts w:ascii="Times New Roman" w:eastAsia="SimSu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Table 4</w:t>
      </w:r>
      <w:r w:rsidR="005A719B" w:rsidRPr="00953770">
        <w:rPr>
          <w:rFonts w:ascii="Times New Roman" w:hAnsi="Times New Roman" w:cs="Times New Roman"/>
          <w:color w:val="000000" w:themeColor="text1"/>
          <w:sz w:val="24"/>
          <w:szCs w:val="24"/>
          <w:lang w:val="en-US"/>
        </w:rPr>
        <w:t xml:space="preserve"> </w:t>
      </w:r>
      <w:r w:rsidR="005A719B" w:rsidRPr="00953770">
        <w:rPr>
          <w:rFonts w:ascii="Times New Roman" w:eastAsia="SimSun" w:hAnsi="Times New Roman" w:cs="Times New Roman"/>
          <w:color w:val="000000" w:themeColor="text1"/>
          <w:sz w:val="24"/>
          <w:szCs w:val="24"/>
          <w:lang w:val="en-US"/>
        </w:rPr>
        <w:t>Information Share and Common Factor Weights Results</w:t>
      </w:r>
      <w:bookmarkEnd w:id="4"/>
    </w:p>
    <w:p w14:paraId="6335AEDC" w14:textId="28D04E5C" w:rsidR="005A719B" w:rsidRPr="00953770" w:rsidRDefault="009E40ED" w:rsidP="004360C1">
      <w:pPr>
        <w:spacing w:line="360" w:lineRule="auto"/>
        <w:jc w:val="both"/>
        <w:rPr>
          <w:rFonts w:eastAsia="SimSun"/>
          <w:i/>
          <w:sz w:val="16"/>
          <w:szCs w:val="16"/>
          <w:lang w:val="en-US"/>
        </w:rPr>
      </w:pPr>
      <w:r>
        <w:rPr>
          <w:i/>
          <w:color w:val="000000" w:themeColor="text1"/>
          <w:sz w:val="16"/>
          <w:szCs w:val="16"/>
          <w:lang w:val="en-US"/>
        </w:rPr>
        <w:t>Table 4</w:t>
      </w:r>
      <w:r w:rsidR="005A719B" w:rsidRPr="00953770">
        <w:rPr>
          <w:i/>
          <w:color w:val="000000" w:themeColor="text1"/>
          <w:sz w:val="16"/>
          <w:szCs w:val="16"/>
          <w:lang w:val="en-US"/>
        </w:rPr>
        <w:t xml:space="preserve"> first reports the calculations of Hasbrouck (1995) information share with error bounds. </w:t>
      </w:r>
      <w:r w:rsidR="005A719B">
        <w:rPr>
          <w:i/>
          <w:color w:val="000000" w:themeColor="text1"/>
          <w:sz w:val="16"/>
          <w:szCs w:val="16"/>
          <w:lang w:val="en-US"/>
        </w:rPr>
        <w:t>Subsequently, i</w:t>
      </w:r>
      <w:r w:rsidR="005A719B" w:rsidRPr="00953770">
        <w:rPr>
          <w:i/>
          <w:color w:val="000000" w:themeColor="text1"/>
          <w:sz w:val="16"/>
          <w:szCs w:val="16"/>
          <w:lang w:val="en-US"/>
        </w:rPr>
        <w:t xml:space="preserve">t presents the estimated </w:t>
      </w:r>
      <w:r w:rsidR="005A719B" w:rsidRPr="00953770">
        <w:rPr>
          <w:rFonts w:eastAsia="SimSun"/>
          <w:i/>
          <w:sz w:val="16"/>
          <w:szCs w:val="16"/>
          <w:lang w:val="en-US"/>
        </w:rPr>
        <w:t xml:space="preserve">Gonzalo-Granger common factor weights </w:t>
      </w:r>
      <w:r w:rsidR="005A719B" w:rsidRPr="00953770">
        <w:rPr>
          <w:i/>
          <w:color w:val="000000" w:themeColor="text1"/>
          <w:sz w:val="16"/>
          <w:szCs w:val="16"/>
          <w:lang w:val="en-US"/>
        </w:rPr>
        <w:t>of the 9 time-series grouped under FTSE, CAC</w:t>
      </w:r>
      <w:r w:rsidR="005A719B">
        <w:rPr>
          <w:i/>
          <w:color w:val="000000" w:themeColor="text1"/>
          <w:sz w:val="16"/>
          <w:szCs w:val="16"/>
          <w:lang w:val="en-US"/>
        </w:rPr>
        <w:t>,</w:t>
      </w:r>
      <w:r w:rsidR="005A719B" w:rsidRPr="00953770">
        <w:rPr>
          <w:i/>
          <w:color w:val="000000" w:themeColor="text1"/>
          <w:sz w:val="16"/>
          <w:szCs w:val="16"/>
          <w:lang w:val="en-US"/>
        </w:rPr>
        <w:t xml:space="preserve"> and DAX </w:t>
      </w:r>
      <w:r w:rsidR="005A719B">
        <w:rPr>
          <w:i/>
          <w:color w:val="000000" w:themeColor="text1"/>
          <w:sz w:val="16"/>
          <w:szCs w:val="16"/>
          <w:lang w:val="en-US"/>
        </w:rPr>
        <w:t xml:space="preserve">respectively, </w:t>
      </w:r>
      <w:r w:rsidR="005A719B" w:rsidRPr="00953770">
        <w:rPr>
          <w:i/>
          <w:color w:val="000000" w:themeColor="text1"/>
          <w:sz w:val="16"/>
          <w:szCs w:val="16"/>
          <w:lang w:val="en-US"/>
        </w:rPr>
        <w:t>summari</w:t>
      </w:r>
      <w:r w:rsidR="005A719B">
        <w:rPr>
          <w:i/>
          <w:color w:val="000000" w:themeColor="text1"/>
          <w:sz w:val="16"/>
          <w:szCs w:val="16"/>
          <w:lang w:val="en-US"/>
        </w:rPr>
        <w:t>z</w:t>
      </w:r>
      <w:r w:rsidR="005A719B" w:rsidRPr="00953770">
        <w:rPr>
          <w:i/>
          <w:color w:val="000000" w:themeColor="text1"/>
          <w:sz w:val="16"/>
          <w:szCs w:val="16"/>
          <w:lang w:val="en-US"/>
        </w:rPr>
        <w:t xml:space="preserve">ed in the column denoted by G-G. </w:t>
      </w:r>
      <w:r w:rsidR="005A719B" w:rsidRPr="00953770">
        <w:rPr>
          <w:rFonts w:eastAsia="SimSun"/>
          <w:i/>
          <w:sz w:val="16"/>
          <w:szCs w:val="16"/>
          <w:lang w:val="en-US"/>
        </w:rPr>
        <w:t xml:space="preserve">The selected lag length for the tested VECM </w:t>
      </w:r>
      <w:r w:rsidR="005A719B">
        <w:rPr>
          <w:rFonts w:eastAsia="SimSun"/>
          <w:i/>
          <w:sz w:val="16"/>
          <w:szCs w:val="16"/>
          <w:lang w:val="en-US"/>
        </w:rPr>
        <w:t xml:space="preserve">was </w:t>
      </w:r>
      <w:r w:rsidR="005A719B" w:rsidRPr="00953770">
        <w:rPr>
          <w:rFonts w:eastAsia="SimSun"/>
          <w:i/>
          <w:sz w:val="16"/>
          <w:szCs w:val="16"/>
          <w:lang w:val="en-US"/>
        </w:rPr>
        <w:t xml:space="preserve">determined by the Akaike Information Criterion. </w:t>
      </w:r>
    </w:p>
    <w:p w14:paraId="6294C436" w14:textId="77777777" w:rsidR="005A719B" w:rsidRPr="00953770" w:rsidRDefault="005A719B" w:rsidP="00764587">
      <w:pPr>
        <w:spacing w:line="360" w:lineRule="auto"/>
        <w:jc w:val="both"/>
        <w:rPr>
          <w:rFonts w:eastAsia="SimSun"/>
          <w:lang w:val="en-US"/>
        </w:rPr>
      </w:pPr>
    </w:p>
    <w:p w14:paraId="51DE1A59" w14:textId="26AA4136" w:rsidR="005A719B" w:rsidRPr="004360C1" w:rsidRDefault="004360C1" w:rsidP="004360C1">
      <w:pPr>
        <w:spacing w:line="480" w:lineRule="auto"/>
        <w:jc w:val="center"/>
        <w:rPr>
          <w:rFonts w:eastAsia="SimSun"/>
          <w:sz w:val="20"/>
          <w:szCs w:val="20"/>
          <w:lang w:val="en-US"/>
        </w:rPr>
      </w:pPr>
      <w:r w:rsidRPr="004360C1">
        <w:rPr>
          <w:rFonts w:eastAsia="SimSun"/>
          <w:sz w:val="20"/>
          <w:szCs w:val="20"/>
          <w:lang w:val="en-US"/>
        </w:rPr>
        <w:t>FTSE 100</w:t>
      </w:r>
    </w:p>
    <w:tbl>
      <w:tblPr>
        <w:tblW w:w="5000" w:type="pct"/>
        <w:tblLook w:val="04A0" w:firstRow="1" w:lastRow="0" w:firstColumn="1" w:lastColumn="0" w:noHBand="0" w:noVBand="1"/>
      </w:tblPr>
      <w:tblGrid>
        <w:gridCol w:w="774"/>
        <w:gridCol w:w="1086"/>
        <w:gridCol w:w="1086"/>
        <w:gridCol w:w="1211"/>
        <w:gridCol w:w="731"/>
        <w:gridCol w:w="1085"/>
        <w:gridCol w:w="1085"/>
        <w:gridCol w:w="1211"/>
        <w:gridCol w:w="773"/>
        <w:gridCol w:w="1085"/>
        <w:gridCol w:w="1085"/>
        <w:gridCol w:w="1211"/>
        <w:gridCol w:w="773"/>
        <w:gridCol w:w="756"/>
      </w:tblGrid>
      <w:tr w:rsidR="005A719B" w:rsidRPr="00953770" w14:paraId="73313617" w14:textId="77777777" w:rsidTr="00C97686">
        <w:trPr>
          <w:trHeight w:val="320"/>
        </w:trPr>
        <w:tc>
          <w:tcPr>
            <w:tcW w:w="277" w:type="pct"/>
            <w:tcBorders>
              <w:top w:val="single" w:sz="2" w:space="0" w:color="auto"/>
              <w:left w:val="single" w:sz="2" w:space="0" w:color="auto"/>
              <w:bottom w:val="single" w:sz="4" w:space="0" w:color="auto"/>
              <w:right w:val="single" w:sz="8" w:space="0" w:color="auto"/>
            </w:tcBorders>
            <w:shd w:val="clear" w:color="auto" w:fill="auto"/>
            <w:vAlign w:val="center"/>
            <w:hideMark/>
          </w:tcPr>
          <w:p w14:paraId="62E63C9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1474" w:type="pct"/>
            <w:gridSpan w:val="4"/>
            <w:tcBorders>
              <w:top w:val="single" w:sz="2" w:space="0" w:color="auto"/>
              <w:left w:val="nil"/>
              <w:bottom w:val="single" w:sz="4" w:space="0" w:color="auto"/>
              <w:right w:val="single" w:sz="8" w:space="0" w:color="000000"/>
            </w:tcBorders>
            <w:shd w:val="clear" w:color="auto" w:fill="auto"/>
            <w:vAlign w:val="center"/>
            <w:hideMark/>
          </w:tcPr>
          <w:p w14:paraId="35AF42A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FTSE 100 Spot Index</w:t>
            </w:r>
          </w:p>
        </w:tc>
        <w:tc>
          <w:tcPr>
            <w:tcW w:w="1489" w:type="pct"/>
            <w:gridSpan w:val="4"/>
            <w:tcBorders>
              <w:top w:val="single" w:sz="2" w:space="0" w:color="auto"/>
              <w:left w:val="nil"/>
              <w:bottom w:val="single" w:sz="4" w:space="0" w:color="auto"/>
              <w:right w:val="single" w:sz="8" w:space="0" w:color="000000"/>
            </w:tcBorders>
            <w:shd w:val="clear" w:color="auto" w:fill="auto"/>
            <w:vAlign w:val="center"/>
            <w:hideMark/>
          </w:tcPr>
          <w:p w14:paraId="1F9CB35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FTSE 100 Index Futures</w:t>
            </w:r>
          </w:p>
        </w:tc>
        <w:tc>
          <w:tcPr>
            <w:tcW w:w="1489" w:type="pct"/>
            <w:gridSpan w:val="4"/>
            <w:tcBorders>
              <w:top w:val="single" w:sz="2" w:space="0" w:color="auto"/>
              <w:left w:val="nil"/>
              <w:bottom w:val="single" w:sz="4" w:space="0" w:color="auto"/>
              <w:right w:val="single" w:sz="8" w:space="0" w:color="000000"/>
            </w:tcBorders>
            <w:shd w:val="clear" w:color="auto" w:fill="auto"/>
            <w:vAlign w:val="center"/>
            <w:hideMark/>
          </w:tcPr>
          <w:p w14:paraId="59982289" w14:textId="1094436B"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xml:space="preserve">iShare FTSE 100 </w:t>
            </w:r>
            <w:r>
              <w:rPr>
                <w:rFonts w:eastAsia="SimSun"/>
                <w:color w:val="000000"/>
                <w:sz w:val="20"/>
                <w:szCs w:val="20"/>
                <w:lang w:val="en-US"/>
              </w:rPr>
              <w:t>ETFs</w:t>
            </w:r>
          </w:p>
        </w:tc>
        <w:tc>
          <w:tcPr>
            <w:tcW w:w="272" w:type="pct"/>
            <w:tcBorders>
              <w:top w:val="single" w:sz="2" w:space="0" w:color="auto"/>
              <w:left w:val="nil"/>
              <w:bottom w:val="single" w:sz="4" w:space="0" w:color="auto"/>
              <w:right w:val="single" w:sz="2" w:space="0" w:color="auto"/>
            </w:tcBorders>
            <w:shd w:val="clear" w:color="auto" w:fill="auto"/>
            <w:vAlign w:val="center"/>
            <w:hideMark/>
          </w:tcPr>
          <w:p w14:paraId="3C71C22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r>
      <w:tr w:rsidR="005A719B" w:rsidRPr="00953770" w14:paraId="1594F261"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41F502D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F7B074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DD36E2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1335F17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62" w:type="pct"/>
            <w:tcBorders>
              <w:top w:val="single" w:sz="4" w:space="0" w:color="auto"/>
              <w:left w:val="nil"/>
              <w:bottom w:val="single" w:sz="4" w:space="0" w:color="auto"/>
              <w:right w:val="single" w:sz="8" w:space="0" w:color="auto"/>
            </w:tcBorders>
            <w:shd w:val="clear" w:color="auto" w:fill="auto"/>
            <w:vAlign w:val="center"/>
            <w:hideMark/>
          </w:tcPr>
          <w:p w14:paraId="177C27A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10A4D4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3441A5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76B3BBF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77" w:type="pct"/>
            <w:tcBorders>
              <w:top w:val="single" w:sz="4" w:space="0" w:color="auto"/>
              <w:left w:val="nil"/>
              <w:bottom w:val="single" w:sz="4" w:space="0" w:color="auto"/>
              <w:right w:val="single" w:sz="8" w:space="0" w:color="auto"/>
            </w:tcBorders>
            <w:shd w:val="clear" w:color="auto" w:fill="auto"/>
            <w:vAlign w:val="center"/>
            <w:hideMark/>
          </w:tcPr>
          <w:p w14:paraId="683E172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10BA7F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27374BF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0F69A35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77" w:type="pct"/>
            <w:tcBorders>
              <w:top w:val="single" w:sz="4" w:space="0" w:color="auto"/>
              <w:left w:val="nil"/>
              <w:bottom w:val="single" w:sz="4" w:space="0" w:color="auto"/>
              <w:right w:val="single" w:sz="8" w:space="0" w:color="auto"/>
            </w:tcBorders>
            <w:shd w:val="clear" w:color="auto" w:fill="auto"/>
            <w:vAlign w:val="center"/>
            <w:hideMark/>
          </w:tcPr>
          <w:p w14:paraId="62ABEFF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7921826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Lags</w:t>
            </w:r>
          </w:p>
        </w:tc>
      </w:tr>
      <w:tr w:rsidR="005A719B" w:rsidRPr="00953770" w14:paraId="2141E6E9"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0E232D0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2010</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7682814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0.53205</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07A6CC6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0.05486</w:t>
            </w:r>
          </w:p>
        </w:tc>
        <w:tc>
          <w:tcPr>
            <w:tcW w:w="434" w:type="pct"/>
            <w:tcBorders>
              <w:top w:val="single" w:sz="4" w:space="0" w:color="auto"/>
              <w:left w:val="nil"/>
              <w:bottom w:val="single" w:sz="4" w:space="0" w:color="auto"/>
              <w:right w:val="nil"/>
            </w:tcBorders>
            <w:shd w:val="clear" w:color="auto" w:fill="auto"/>
            <w:vAlign w:val="center"/>
            <w:hideMark/>
          </w:tcPr>
          <w:p w14:paraId="24FB464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0.293455</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6C415F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34%</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B8B8E7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0.91062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73E4DD4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0.39736</w:t>
            </w:r>
          </w:p>
        </w:tc>
        <w:tc>
          <w:tcPr>
            <w:tcW w:w="434" w:type="pct"/>
            <w:tcBorders>
              <w:top w:val="single" w:sz="4" w:space="0" w:color="auto"/>
              <w:left w:val="nil"/>
              <w:bottom w:val="single" w:sz="4" w:space="0" w:color="auto"/>
              <w:right w:val="nil"/>
            </w:tcBorders>
            <w:shd w:val="clear" w:color="auto" w:fill="auto"/>
            <w:vAlign w:val="center"/>
            <w:hideMark/>
          </w:tcPr>
          <w:p w14:paraId="2E0A685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0.65399</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0512F8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31%</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25989BF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0.21129</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AA52C3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0.08797</w:t>
            </w:r>
          </w:p>
        </w:tc>
        <w:tc>
          <w:tcPr>
            <w:tcW w:w="434" w:type="pct"/>
            <w:tcBorders>
              <w:top w:val="single" w:sz="4" w:space="0" w:color="auto"/>
              <w:left w:val="nil"/>
              <w:bottom w:val="single" w:sz="4" w:space="0" w:color="auto"/>
              <w:right w:val="nil"/>
            </w:tcBorders>
            <w:shd w:val="clear" w:color="auto" w:fill="auto"/>
            <w:vAlign w:val="center"/>
            <w:hideMark/>
          </w:tcPr>
          <w:p w14:paraId="5D9E757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0.14963</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30CA874"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35%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37A71E4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14</w:t>
            </w:r>
          </w:p>
        </w:tc>
      </w:tr>
      <w:tr w:rsidR="005A719B" w:rsidRPr="00953770" w14:paraId="3274AD83"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8442CF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2011</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A7D118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0.52504</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B15A11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0.01648</w:t>
            </w:r>
          </w:p>
        </w:tc>
        <w:tc>
          <w:tcPr>
            <w:tcW w:w="434" w:type="pct"/>
            <w:tcBorders>
              <w:top w:val="single" w:sz="4" w:space="0" w:color="auto"/>
              <w:left w:val="nil"/>
              <w:bottom w:val="single" w:sz="4" w:space="0" w:color="auto"/>
              <w:right w:val="nil"/>
            </w:tcBorders>
            <w:shd w:val="clear" w:color="auto" w:fill="auto"/>
            <w:vAlign w:val="center"/>
            <w:hideMark/>
          </w:tcPr>
          <w:p w14:paraId="67D1A24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0.27076</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04C77F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0A2C1E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0.97354</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EF4A07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0.45698</w:t>
            </w:r>
          </w:p>
        </w:tc>
        <w:tc>
          <w:tcPr>
            <w:tcW w:w="434" w:type="pct"/>
            <w:tcBorders>
              <w:top w:val="single" w:sz="4" w:space="0" w:color="auto"/>
              <w:left w:val="nil"/>
              <w:bottom w:val="single" w:sz="4" w:space="0" w:color="auto"/>
              <w:right w:val="nil"/>
            </w:tcBorders>
            <w:shd w:val="clear" w:color="auto" w:fill="auto"/>
            <w:vAlign w:val="center"/>
            <w:hideMark/>
          </w:tcPr>
          <w:p w14:paraId="49BDCDC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0.71526</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18B1FA3"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68%</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21495E5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0.23039</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6B6382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0.02535</w:t>
            </w:r>
          </w:p>
        </w:tc>
        <w:tc>
          <w:tcPr>
            <w:tcW w:w="434" w:type="pct"/>
            <w:tcBorders>
              <w:top w:val="single" w:sz="4" w:space="0" w:color="auto"/>
              <w:left w:val="nil"/>
              <w:bottom w:val="single" w:sz="4" w:space="0" w:color="auto"/>
              <w:right w:val="nil"/>
            </w:tcBorders>
            <w:shd w:val="clear" w:color="auto" w:fill="auto"/>
            <w:vAlign w:val="center"/>
            <w:hideMark/>
          </w:tcPr>
          <w:p w14:paraId="6795219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0.12787</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F3737A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645F2E0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13</w:t>
            </w:r>
          </w:p>
        </w:tc>
      </w:tr>
      <w:tr w:rsidR="005A719B" w:rsidRPr="00953770" w14:paraId="183EAE9F"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4131499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AE0046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0.60228</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F15131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0.00464</w:t>
            </w:r>
          </w:p>
        </w:tc>
        <w:tc>
          <w:tcPr>
            <w:tcW w:w="434" w:type="pct"/>
            <w:tcBorders>
              <w:top w:val="single" w:sz="4" w:space="0" w:color="auto"/>
              <w:left w:val="nil"/>
              <w:bottom w:val="single" w:sz="4" w:space="0" w:color="auto"/>
              <w:right w:val="nil"/>
            </w:tcBorders>
            <w:shd w:val="clear" w:color="auto" w:fill="auto"/>
            <w:vAlign w:val="center"/>
            <w:hideMark/>
          </w:tcPr>
          <w:p w14:paraId="068A645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0.30346</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638820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37%</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0E0016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0.99333</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CA2D09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0.3957</w:t>
            </w:r>
          </w:p>
        </w:tc>
        <w:tc>
          <w:tcPr>
            <w:tcW w:w="434" w:type="pct"/>
            <w:tcBorders>
              <w:top w:val="single" w:sz="4" w:space="0" w:color="auto"/>
              <w:left w:val="nil"/>
              <w:bottom w:val="single" w:sz="4" w:space="0" w:color="auto"/>
              <w:right w:val="nil"/>
            </w:tcBorders>
            <w:shd w:val="clear" w:color="auto" w:fill="auto"/>
            <w:vAlign w:val="center"/>
            <w:hideMark/>
          </w:tcPr>
          <w:p w14:paraId="3D291A9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0.694515</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CED84F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F13ED5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0.44166</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A84561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0.00656</w:t>
            </w:r>
          </w:p>
        </w:tc>
        <w:tc>
          <w:tcPr>
            <w:tcW w:w="434" w:type="pct"/>
            <w:tcBorders>
              <w:top w:val="single" w:sz="4" w:space="0" w:color="auto"/>
              <w:left w:val="nil"/>
              <w:bottom w:val="single" w:sz="4" w:space="0" w:color="auto"/>
              <w:right w:val="nil"/>
            </w:tcBorders>
            <w:shd w:val="clear" w:color="auto" w:fill="auto"/>
            <w:vAlign w:val="center"/>
            <w:hideMark/>
          </w:tcPr>
          <w:p w14:paraId="71E8124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0.22411</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F1186FA"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0E7421B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11</w:t>
            </w:r>
          </w:p>
        </w:tc>
      </w:tr>
      <w:tr w:rsidR="005A719B" w:rsidRPr="00953770" w14:paraId="3A9D8AEB" w14:textId="77777777" w:rsidTr="00C97686">
        <w:trPr>
          <w:trHeight w:val="320"/>
        </w:trPr>
        <w:tc>
          <w:tcPr>
            <w:tcW w:w="277" w:type="pct"/>
            <w:tcBorders>
              <w:top w:val="single" w:sz="4" w:space="0" w:color="auto"/>
              <w:left w:val="single" w:sz="2" w:space="0" w:color="auto"/>
              <w:bottom w:val="single" w:sz="2" w:space="0" w:color="auto"/>
              <w:right w:val="single" w:sz="8" w:space="0" w:color="auto"/>
            </w:tcBorders>
            <w:shd w:val="clear" w:color="auto" w:fill="auto"/>
            <w:vAlign w:val="center"/>
            <w:hideMark/>
          </w:tcPr>
          <w:p w14:paraId="37BDB94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2013</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047945B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0.77441</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3B733E9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0.00265</w:t>
            </w:r>
          </w:p>
        </w:tc>
        <w:tc>
          <w:tcPr>
            <w:tcW w:w="434" w:type="pct"/>
            <w:tcBorders>
              <w:top w:val="single" w:sz="4" w:space="0" w:color="auto"/>
              <w:left w:val="nil"/>
              <w:bottom w:val="single" w:sz="2" w:space="0" w:color="auto"/>
              <w:right w:val="nil"/>
            </w:tcBorders>
            <w:shd w:val="clear" w:color="auto" w:fill="auto"/>
            <w:vAlign w:val="center"/>
            <w:hideMark/>
          </w:tcPr>
          <w:p w14:paraId="4F33FB0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0.38853</w:t>
            </w:r>
          </w:p>
        </w:tc>
        <w:tc>
          <w:tcPr>
            <w:tcW w:w="262"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1832C1F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47%</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6E47186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0.93333</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38814B0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0.17659</w:t>
            </w:r>
          </w:p>
        </w:tc>
        <w:tc>
          <w:tcPr>
            <w:tcW w:w="434" w:type="pct"/>
            <w:tcBorders>
              <w:top w:val="single" w:sz="4" w:space="0" w:color="auto"/>
              <w:left w:val="nil"/>
              <w:bottom w:val="single" w:sz="2" w:space="0" w:color="auto"/>
              <w:right w:val="nil"/>
            </w:tcBorders>
            <w:shd w:val="clear" w:color="auto" w:fill="auto"/>
            <w:vAlign w:val="center"/>
            <w:hideMark/>
          </w:tcPr>
          <w:p w14:paraId="5327B97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0.55496</w:t>
            </w:r>
          </w:p>
        </w:tc>
        <w:tc>
          <w:tcPr>
            <w:tcW w:w="277"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3603AC8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4%</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45FD9E4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0.77737</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2DAD628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0.04466</w:t>
            </w:r>
          </w:p>
        </w:tc>
        <w:tc>
          <w:tcPr>
            <w:tcW w:w="434" w:type="pct"/>
            <w:tcBorders>
              <w:top w:val="single" w:sz="4" w:space="0" w:color="auto"/>
              <w:left w:val="nil"/>
              <w:bottom w:val="single" w:sz="2" w:space="0" w:color="auto"/>
              <w:right w:val="nil"/>
            </w:tcBorders>
            <w:shd w:val="clear" w:color="auto" w:fill="auto"/>
            <w:vAlign w:val="center"/>
            <w:hideMark/>
          </w:tcPr>
          <w:p w14:paraId="6FA9CE5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0.411015</w:t>
            </w:r>
          </w:p>
        </w:tc>
        <w:tc>
          <w:tcPr>
            <w:tcW w:w="277"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605E2F74"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49%</w:t>
            </w:r>
          </w:p>
        </w:tc>
        <w:tc>
          <w:tcPr>
            <w:tcW w:w="272" w:type="pct"/>
            <w:tcBorders>
              <w:top w:val="single" w:sz="4" w:space="0" w:color="auto"/>
              <w:left w:val="nil"/>
              <w:bottom w:val="single" w:sz="2" w:space="0" w:color="auto"/>
              <w:right w:val="single" w:sz="2" w:space="0" w:color="auto"/>
            </w:tcBorders>
            <w:shd w:val="clear" w:color="auto" w:fill="auto"/>
            <w:vAlign w:val="center"/>
            <w:hideMark/>
          </w:tcPr>
          <w:p w14:paraId="184F708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13</w:t>
            </w:r>
          </w:p>
        </w:tc>
      </w:tr>
    </w:tbl>
    <w:p w14:paraId="501B63D0" w14:textId="77777777" w:rsidR="005A719B" w:rsidRPr="00953770" w:rsidRDefault="005A719B" w:rsidP="004360C1">
      <w:pPr>
        <w:rPr>
          <w:rFonts w:eastAsia="SimSun"/>
          <w:lang w:val="en-US"/>
        </w:rPr>
      </w:pPr>
    </w:p>
    <w:p w14:paraId="0FB54372" w14:textId="4D502381" w:rsidR="005A719B" w:rsidRDefault="004360C1" w:rsidP="004360C1">
      <w:pPr>
        <w:jc w:val="center"/>
        <w:rPr>
          <w:rFonts w:eastAsia="SimSun"/>
          <w:sz w:val="20"/>
          <w:szCs w:val="20"/>
          <w:lang w:val="en-US"/>
        </w:rPr>
      </w:pPr>
      <w:r w:rsidRPr="004360C1">
        <w:rPr>
          <w:rFonts w:eastAsia="SimSun"/>
          <w:sz w:val="20"/>
          <w:szCs w:val="20"/>
          <w:lang w:val="en-US"/>
        </w:rPr>
        <w:t>CAC 40</w:t>
      </w:r>
    </w:p>
    <w:p w14:paraId="166EDB84" w14:textId="77777777" w:rsidR="004360C1" w:rsidRPr="004360C1" w:rsidRDefault="004360C1" w:rsidP="004360C1">
      <w:pPr>
        <w:jc w:val="center"/>
        <w:rPr>
          <w:rFonts w:eastAsia="SimSun"/>
          <w:sz w:val="20"/>
          <w:szCs w:val="20"/>
          <w:lang w:val="en-US"/>
        </w:rPr>
      </w:pPr>
    </w:p>
    <w:tbl>
      <w:tblPr>
        <w:tblW w:w="5000" w:type="pct"/>
        <w:tblLook w:val="04A0" w:firstRow="1" w:lastRow="0" w:firstColumn="1" w:lastColumn="0" w:noHBand="0" w:noVBand="1"/>
      </w:tblPr>
      <w:tblGrid>
        <w:gridCol w:w="774"/>
        <w:gridCol w:w="1086"/>
        <w:gridCol w:w="1086"/>
        <w:gridCol w:w="1211"/>
        <w:gridCol w:w="731"/>
        <w:gridCol w:w="1085"/>
        <w:gridCol w:w="1085"/>
        <w:gridCol w:w="1211"/>
        <w:gridCol w:w="773"/>
        <w:gridCol w:w="1085"/>
        <w:gridCol w:w="1085"/>
        <w:gridCol w:w="1211"/>
        <w:gridCol w:w="773"/>
        <w:gridCol w:w="756"/>
      </w:tblGrid>
      <w:tr w:rsidR="005A719B" w:rsidRPr="00953770" w14:paraId="4EE3B85B" w14:textId="77777777" w:rsidTr="00C97686">
        <w:trPr>
          <w:trHeight w:val="320"/>
        </w:trPr>
        <w:tc>
          <w:tcPr>
            <w:tcW w:w="277" w:type="pct"/>
            <w:tcBorders>
              <w:top w:val="single" w:sz="2" w:space="0" w:color="auto"/>
              <w:left w:val="single" w:sz="2" w:space="0" w:color="auto"/>
              <w:bottom w:val="single" w:sz="4" w:space="0" w:color="auto"/>
              <w:right w:val="single" w:sz="8" w:space="0" w:color="auto"/>
            </w:tcBorders>
            <w:shd w:val="clear" w:color="auto" w:fill="auto"/>
            <w:vAlign w:val="center"/>
            <w:hideMark/>
          </w:tcPr>
          <w:p w14:paraId="1155205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1474" w:type="pct"/>
            <w:gridSpan w:val="4"/>
            <w:tcBorders>
              <w:top w:val="single" w:sz="2" w:space="0" w:color="auto"/>
              <w:left w:val="nil"/>
              <w:bottom w:val="single" w:sz="4" w:space="0" w:color="auto"/>
              <w:right w:val="single" w:sz="8" w:space="0" w:color="000000"/>
            </w:tcBorders>
            <w:shd w:val="clear" w:color="auto" w:fill="auto"/>
            <w:vAlign w:val="center"/>
            <w:hideMark/>
          </w:tcPr>
          <w:p w14:paraId="09C6696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CAC 40 Spot Index</w:t>
            </w:r>
          </w:p>
        </w:tc>
        <w:tc>
          <w:tcPr>
            <w:tcW w:w="1489" w:type="pct"/>
            <w:gridSpan w:val="4"/>
            <w:tcBorders>
              <w:top w:val="single" w:sz="2" w:space="0" w:color="auto"/>
              <w:left w:val="nil"/>
              <w:bottom w:val="single" w:sz="4" w:space="0" w:color="auto"/>
              <w:right w:val="single" w:sz="8" w:space="0" w:color="000000"/>
            </w:tcBorders>
            <w:shd w:val="clear" w:color="auto" w:fill="auto"/>
            <w:vAlign w:val="center"/>
            <w:hideMark/>
          </w:tcPr>
          <w:p w14:paraId="1BC52B1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CAC 40 Index Futures</w:t>
            </w:r>
          </w:p>
        </w:tc>
        <w:tc>
          <w:tcPr>
            <w:tcW w:w="1489" w:type="pct"/>
            <w:gridSpan w:val="4"/>
            <w:tcBorders>
              <w:top w:val="single" w:sz="2" w:space="0" w:color="auto"/>
              <w:left w:val="nil"/>
              <w:bottom w:val="single" w:sz="4" w:space="0" w:color="auto"/>
              <w:right w:val="single" w:sz="8" w:space="0" w:color="000000"/>
            </w:tcBorders>
            <w:shd w:val="clear" w:color="auto" w:fill="auto"/>
            <w:vAlign w:val="center"/>
            <w:hideMark/>
          </w:tcPr>
          <w:p w14:paraId="7612F96E" w14:textId="2F4C4F44"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xml:space="preserve">Lyxor CAC 40 </w:t>
            </w:r>
            <w:r>
              <w:rPr>
                <w:rFonts w:eastAsia="SimSun"/>
                <w:color w:val="000000"/>
                <w:sz w:val="20"/>
                <w:szCs w:val="20"/>
                <w:lang w:val="en-US"/>
              </w:rPr>
              <w:t>ETFs</w:t>
            </w:r>
          </w:p>
        </w:tc>
        <w:tc>
          <w:tcPr>
            <w:tcW w:w="272" w:type="pct"/>
            <w:tcBorders>
              <w:top w:val="single" w:sz="2" w:space="0" w:color="auto"/>
              <w:left w:val="nil"/>
              <w:bottom w:val="single" w:sz="4" w:space="0" w:color="auto"/>
              <w:right w:val="single" w:sz="2" w:space="0" w:color="auto"/>
            </w:tcBorders>
            <w:shd w:val="clear" w:color="auto" w:fill="auto"/>
            <w:vAlign w:val="center"/>
            <w:hideMark/>
          </w:tcPr>
          <w:p w14:paraId="50F7D64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r>
      <w:tr w:rsidR="005A719B" w:rsidRPr="00953770" w14:paraId="167D1885"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1246A1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D0748A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B7A128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75253D7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62" w:type="pct"/>
            <w:tcBorders>
              <w:top w:val="single" w:sz="4" w:space="0" w:color="auto"/>
              <w:left w:val="nil"/>
              <w:bottom w:val="single" w:sz="4" w:space="0" w:color="auto"/>
              <w:right w:val="single" w:sz="8" w:space="0" w:color="auto"/>
            </w:tcBorders>
            <w:shd w:val="clear" w:color="auto" w:fill="auto"/>
            <w:vAlign w:val="center"/>
            <w:hideMark/>
          </w:tcPr>
          <w:p w14:paraId="30B43DE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0DB76C9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0CE5E2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17FF1B4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77" w:type="pct"/>
            <w:tcBorders>
              <w:top w:val="single" w:sz="4" w:space="0" w:color="auto"/>
              <w:left w:val="nil"/>
              <w:bottom w:val="single" w:sz="4" w:space="0" w:color="auto"/>
              <w:right w:val="single" w:sz="8" w:space="0" w:color="auto"/>
            </w:tcBorders>
            <w:shd w:val="clear" w:color="auto" w:fill="auto"/>
            <w:vAlign w:val="center"/>
            <w:hideMark/>
          </w:tcPr>
          <w:p w14:paraId="30C6E24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8E3124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A4059B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434" w:type="pct"/>
            <w:tcBorders>
              <w:top w:val="single" w:sz="4" w:space="0" w:color="auto"/>
              <w:left w:val="nil"/>
              <w:bottom w:val="single" w:sz="4" w:space="0" w:color="auto"/>
              <w:right w:val="single" w:sz="8" w:space="0" w:color="auto"/>
            </w:tcBorders>
            <w:shd w:val="clear" w:color="auto" w:fill="auto"/>
            <w:vAlign w:val="center"/>
            <w:hideMark/>
          </w:tcPr>
          <w:p w14:paraId="31BEEFB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277" w:type="pct"/>
            <w:tcBorders>
              <w:top w:val="single" w:sz="4" w:space="0" w:color="auto"/>
              <w:left w:val="nil"/>
              <w:bottom w:val="single" w:sz="4" w:space="0" w:color="auto"/>
              <w:right w:val="single" w:sz="8" w:space="0" w:color="auto"/>
            </w:tcBorders>
            <w:shd w:val="clear" w:color="auto" w:fill="auto"/>
            <w:vAlign w:val="center"/>
            <w:hideMark/>
          </w:tcPr>
          <w:p w14:paraId="04FE18D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30BCB2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Lags</w:t>
            </w:r>
          </w:p>
        </w:tc>
      </w:tr>
      <w:tr w:rsidR="005A719B" w:rsidRPr="00953770" w14:paraId="546BBF74"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5822642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2010</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A68409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0.22024</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C82012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0.08443</w:t>
            </w:r>
          </w:p>
        </w:tc>
        <w:tc>
          <w:tcPr>
            <w:tcW w:w="434" w:type="pct"/>
            <w:tcBorders>
              <w:top w:val="single" w:sz="4" w:space="0" w:color="auto"/>
              <w:left w:val="nil"/>
              <w:bottom w:val="single" w:sz="4" w:space="0" w:color="auto"/>
              <w:right w:val="nil"/>
            </w:tcBorders>
            <w:shd w:val="clear" w:color="auto" w:fill="auto"/>
            <w:vAlign w:val="center"/>
            <w:hideMark/>
          </w:tcPr>
          <w:p w14:paraId="3273D08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0.152335</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014635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35%</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9343B0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0.81415</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73C9526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0.68111</w:t>
            </w:r>
          </w:p>
        </w:tc>
        <w:tc>
          <w:tcPr>
            <w:tcW w:w="434" w:type="pct"/>
            <w:tcBorders>
              <w:top w:val="single" w:sz="4" w:space="0" w:color="auto"/>
              <w:left w:val="nil"/>
              <w:bottom w:val="single" w:sz="4" w:space="0" w:color="auto"/>
              <w:right w:val="nil"/>
            </w:tcBorders>
            <w:shd w:val="clear" w:color="auto" w:fill="auto"/>
            <w:vAlign w:val="center"/>
            <w:hideMark/>
          </w:tcPr>
          <w:p w14:paraId="0D6A677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0.74763</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60F655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7AFAE2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0.30542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09B89EB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0.18584</w:t>
            </w:r>
          </w:p>
        </w:tc>
        <w:tc>
          <w:tcPr>
            <w:tcW w:w="434" w:type="pct"/>
            <w:tcBorders>
              <w:top w:val="single" w:sz="4" w:space="0" w:color="auto"/>
              <w:left w:val="nil"/>
              <w:bottom w:val="single" w:sz="4" w:space="0" w:color="auto"/>
              <w:right w:val="nil"/>
            </w:tcBorders>
            <w:shd w:val="clear" w:color="auto" w:fill="auto"/>
            <w:vAlign w:val="center"/>
            <w:hideMark/>
          </w:tcPr>
          <w:p w14:paraId="0AAE24E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0.24563</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5C9A760"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3426ED5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8</w:t>
            </w:r>
          </w:p>
        </w:tc>
      </w:tr>
      <w:tr w:rsidR="005A719B" w:rsidRPr="00953770" w14:paraId="7FF0BB90"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449C9C5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2011</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7273962"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0.11768</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6D134C6"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0.10094</w:t>
            </w:r>
          </w:p>
        </w:tc>
        <w:tc>
          <w:tcPr>
            <w:tcW w:w="434" w:type="pct"/>
            <w:tcBorders>
              <w:top w:val="single" w:sz="4" w:space="0" w:color="auto"/>
              <w:left w:val="nil"/>
              <w:bottom w:val="single" w:sz="4" w:space="0" w:color="auto"/>
              <w:right w:val="nil"/>
            </w:tcBorders>
            <w:shd w:val="clear" w:color="auto" w:fill="auto"/>
            <w:vAlign w:val="center"/>
            <w:hideMark/>
          </w:tcPr>
          <w:p w14:paraId="62E27767"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0.10931</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50BA4B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26%</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ABA51A6" w14:textId="77777777" w:rsidR="005A719B" w:rsidRPr="00953770" w:rsidRDefault="005A719B">
            <w:pPr>
              <w:jc w:val="center"/>
              <w:rPr>
                <w:rFonts w:eastAsia="Times New Roman"/>
                <w:b/>
                <w:bCs/>
                <w:color w:val="000000"/>
                <w:sz w:val="20"/>
                <w:szCs w:val="20"/>
                <w:u w:val="single"/>
                <w:lang w:val="en-US"/>
              </w:rPr>
            </w:pPr>
            <w:r w:rsidRPr="00953770">
              <w:rPr>
                <w:rFonts w:eastAsia="SimSun"/>
                <w:b/>
                <w:bCs/>
                <w:color w:val="000000"/>
                <w:sz w:val="20"/>
                <w:szCs w:val="20"/>
                <w:u w:val="single"/>
                <w:lang w:val="en-US"/>
              </w:rPr>
              <w:t>0.8233</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8DB3959" w14:textId="77777777" w:rsidR="005A719B" w:rsidRPr="00953770" w:rsidRDefault="005A719B">
            <w:pPr>
              <w:jc w:val="center"/>
              <w:rPr>
                <w:rFonts w:eastAsia="Times New Roman"/>
                <w:b/>
                <w:bCs/>
                <w:color w:val="000000"/>
                <w:sz w:val="20"/>
                <w:szCs w:val="20"/>
                <w:u w:val="single"/>
                <w:lang w:val="en-US"/>
              </w:rPr>
            </w:pPr>
            <w:r w:rsidRPr="00953770">
              <w:rPr>
                <w:rFonts w:eastAsia="SimSun"/>
                <w:b/>
                <w:bCs/>
                <w:color w:val="000000"/>
                <w:sz w:val="20"/>
                <w:szCs w:val="20"/>
                <w:u w:val="single"/>
                <w:lang w:val="en-US"/>
              </w:rPr>
              <w:t>0.8125</w:t>
            </w:r>
          </w:p>
        </w:tc>
        <w:tc>
          <w:tcPr>
            <w:tcW w:w="434" w:type="pct"/>
            <w:tcBorders>
              <w:top w:val="single" w:sz="4" w:space="0" w:color="auto"/>
              <w:left w:val="nil"/>
              <w:bottom w:val="single" w:sz="4" w:space="0" w:color="auto"/>
              <w:right w:val="nil"/>
            </w:tcBorders>
            <w:shd w:val="clear" w:color="auto" w:fill="auto"/>
            <w:vAlign w:val="center"/>
            <w:hideMark/>
          </w:tcPr>
          <w:p w14:paraId="3D3408B0" w14:textId="77777777" w:rsidR="005A719B" w:rsidRPr="00953770" w:rsidRDefault="005A719B">
            <w:pPr>
              <w:jc w:val="center"/>
              <w:rPr>
                <w:rFonts w:eastAsia="Times New Roman"/>
                <w:b/>
                <w:bCs/>
                <w:color w:val="000000"/>
                <w:sz w:val="20"/>
                <w:szCs w:val="20"/>
                <w:u w:val="single"/>
                <w:lang w:val="en-US"/>
              </w:rPr>
            </w:pPr>
            <w:r w:rsidRPr="00953770">
              <w:rPr>
                <w:rFonts w:eastAsia="SimSun"/>
                <w:b/>
                <w:bCs/>
                <w:color w:val="000000"/>
                <w:sz w:val="20"/>
                <w:szCs w:val="20"/>
                <w:u w:val="single"/>
                <w:lang w:val="en-US"/>
              </w:rPr>
              <w:t>0.8179</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03E1D5C"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39%</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39F90899"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0.17997</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21CB9593"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0.1731</w:t>
            </w:r>
          </w:p>
        </w:tc>
        <w:tc>
          <w:tcPr>
            <w:tcW w:w="434" w:type="pct"/>
            <w:tcBorders>
              <w:top w:val="single" w:sz="4" w:space="0" w:color="auto"/>
              <w:left w:val="nil"/>
              <w:bottom w:val="single" w:sz="4" w:space="0" w:color="auto"/>
              <w:right w:val="nil"/>
            </w:tcBorders>
            <w:shd w:val="clear" w:color="auto" w:fill="auto"/>
            <w:vAlign w:val="center"/>
            <w:hideMark/>
          </w:tcPr>
          <w:p w14:paraId="1A35E087"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0.176535</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FF3506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545FF2C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13</w:t>
            </w:r>
          </w:p>
        </w:tc>
      </w:tr>
      <w:tr w:rsidR="005A719B" w:rsidRPr="00953770" w14:paraId="16C33E65" w14:textId="77777777" w:rsidTr="00C97686">
        <w:trPr>
          <w:trHeight w:val="320"/>
        </w:trPr>
        <w:tc>
          <w:tcPr>
            <w:tcW w:w="27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5158814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B63F49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0.28051</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54AABAA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0.00103</w:t>
            </w:r>
          </w:p>
        </w:tc>
        <w:tc>
          <w:tcPr>
            <w:tcW w:w="434" w:type="pct"/>
            <w:tcBorders>
              <w:top w:val="single" w:sz="4" w:space="0" w:color="auto"/>
              <w:left w:val="nil"/>
              <w:bottom w:val="single" w:sz="4" w:space="0" w:color="auto"/>
              <w:right w:val="nil"/>
            </w:tcBorders>
            <w:shd w:val="clear" w:color="auto" w:fill="auto"/>
            <w:vAlign w:val="center"/>
            <w:hideMark/>
          </w:tcPr>
          <w:p w14:paraId="34C7F0F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0.14077</w:t>
            </w:r>
          </w:p>
        </w:tc>
        <w:tc>
          <w:tcPr>
            <w:tcW w:w="26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574DC9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22%</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1F3FA66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0.99391</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67DEDE7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0.7181</w:t>
            </w:r>
          </w:p>
        </w:tc>
        <w:tc>
          <w:tcPr>
            <w:tcW w:w="434" w:type="pct"/>
            <w:tcBorders>
              <w:top w:val="single" w:sz="4" w:space="0" w:color="auto"/>
              <w:left w:val="nil"/>
              <w:bottom w:val="single" w:sz="4" w:space="0" w:color="auto"/>
              <w:right w:val="nil"/>
            </w:tcBorders>
            <w:shd w:val="clear" w:color="auto" w:fill="auto"/>
            <w:vAlign w:val="center"/>
            <w:hideMark/>
          </w:tcPr>
          <w:p w14:paraId="6C0A0F9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0.856005</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9040351"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48%</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0A002BF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0.14164</w:t>
            </w:r>
          </w:p>
        </w:tc>
        <w:tc>
          <w:tcPr>
            <w:tcW w:w="389" w:type="pct"/>
            <w:tcBorders>
              <w:top w:val="single" w:sz="4" w:space="0" w:color="auto"/>
              <w:left w:val="nil"/>
              <w:bottom w:val="single" w:sz="4" w:space="0" w:color="auto"/>
              <w:right w:val="single" w:sz="8" w:space="0" w:color="auto"/>
            </w:tcBorders>
            <w:shd w:val="clear" w:color="auto" w:fill="auto"/>
            <w:vAlign w:val="center"/>
            <w:hideMark/>
          </w:tcPr>
          <w:p w14:paraId="43A29D8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0.00576</w:t>
            </w:r>
          </w:p>
        </w:tc>
        <w:tc>
          <w:tcPr>
            <w:tcW w:w="434" w:type="pct"/>
            <w:tcBorders>
              <w:top w:val="single" w:sz="4" w:space="0" w:color="auto"/>
              <w:left w:val="nil"/>
              <w:bottom w:val="single" w:sz="4" w:space="0" w:color="auto"/>
              <w:right w:val="nil"/>
            </w:tcBorders>
            <w:shd w:val="clear" w:color="auto" w:fill="auto"/>
            <w:vAlign w:val="center"/>
            <w:hideMark/>
          </w:tcPr>
          <w:p w14:paraId="50815FB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0.0737</w:t>
            </w:r>
          </w:p>
        </w:tc>
        <w:tc>
          <w:tcPr>
            <w:tcW w:w="27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E41C10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0B960ED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7</w:t>
            </w:r>
          </w:p>
        </w:tc>
      </w:tr>
      <w:tr w:rsidR="005A719B" w:rsidRPr="00953770" w14:paraId="49E8FE77" w14:textId="77777777" w:rsidTr="00C97686">
        <w:trPr>
          <w:trHeight w:val="320"/>
        </w:trPr>
        <w:tc>
          <w:tcPr>
            <w:tcW w:w="277" w:type="pct"/>
            <w:tcBorders>
              <w:top w:val="single" w:sz="4" w:space="0" w:color="auto"/>
              <w:left w:val="single" w:sz="2" w:space="0" w:color="auto"/>
              <w:bottom w:val="single" w:sz="2" w:space="0" w:color="auto"/>
              <w:right w:val="single" w:sz="8" w:space="0" w:color="auto"/>
            </w:tcBorders>
            <w:shd w:val="clear" w:color="auto" w:fill="auto"/>
            <w:vAlign w:val="center"/>
            <w:hideMark/>
          </w:tcPr>
          <w:p w14:paraId="5B3D73B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2013</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5F8C46A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0.42931</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23808B4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0.00101</w:t>
            </w:r>
          </w:p>
        </w:tc>
        <w:tc>
          <w:tcPr>
            <w:tcW w:w="434" w:type="pct"/>
            <w:tcBorders>
              <w:top w:val="single" w:sz="4" w:space="0" w:color="auto"/>
              <w:left w:val="nil"/>
              <w:bottom w:val="single" w:sz="2" w:space="0" w:color="auto"/>
              <w:right w:val="nil"/>
            </w:tcBorders>
            <w:shd w:val="clear" w:color="auto" w:fill="auto"/>
            <w:vAlign w:val="center"/>
            <w:hideMark/>
          </w:tcPr>
          <w:p w14:paraId="156D001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0.21516</w:t>
            </w:r>
          </w:p>
        </w:tc>
        <w:tc>
          <w:tcPr>
            <w:tcW w:w="262"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11AA04A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4281ED7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0.98281</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0D7EA8F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0.56021</w:t>
            </w:r>
          </w:p>
        </w:tc>
        <w:tc>
          <w:tcPr>
            <w:tcW w:w="434" w:type="pct"/>
            <w:tcBorders>
              <w:top w:val="single" w:sz="4" w:space="0" w:color="auto"/>
              <w:left w:val="nil"/>
              <w:bottom w:val="single" w:sz="2" w:space="0" w:color="auto"/>
              <w:right w:val="nil"/>
            </w:tcBorders>
            <w:shd w:val="clear" w:color="auto" w:fill="auto"/>
            <w:vAlign w:val="center"/>
            <w:hideMark/>
          </w:tcPr>
          <w:p w14:paraId="4F241BC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0.77151</w:t>
            </w:r>
          </w:p>
        </w:tc>
        <w:tc>
          <w:tcPr>
            <w:tcW w:w="277"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374ADFFC"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63%</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4E7FAAF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0.27499</w:t>
            </w:r>
          </w:p>
        </w:tc>
        <w:tc>
          <w:tcPr>
            <w:tcW w:w="389" w:type="pct"/>
            <w:tcBorders>
              <w:top w:val="single" w:sz="4" w:space="0" w:color="auto"/>
              <w:left w:val="nil"/>
              <w:bottom w:val="single" w:sz="2" w:space="0" w:color="auto"/>
              <w:right w:val="single" w:sz="8" w:space="0" w:color="auto"/>
            </w:tcBorders>
            <w:shd w:val="clear" w:color="auto" w:fill="auto"/>
            <w:vAlign w:val="center"/>
            <w:hideMark/>
          </w:tcPr>
          <w:p w14:paraId="12CE156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0.01008</w:t>
            </w:r>
          </w:p>
        </w:tc>
        <w:tc>
          <w:tcPr>
            <w:tcW w:w="434" w:type="pct"/>
            <w:tcBorders>
              <w:top w:val="single" w:sz="4" w:space="0" w:color="auto"/>
              <w:left w:val="nil"/>
              <w:bottom w:val="single" w:sz="2" w:space="0" w:color="auto"/>
              <w:right w:val="nil"/>
            </w:tcBorders>
            <w:shd w:val="clear" w:color="auto" w:fill="auto"/>
            <w:vAlign w:val="center"/>
            <w:hideMark/>
          </w:tcPr>
          <w:p w14:paraId="0717E43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0.142535</w:t>
            </w:r>
          </w:p>
        </w:tc>
        <w:tc>
          <w:tcPr>
            <w:tcW w:w="277" w:type="pct"/>
            <w:tcBorders>
              <w:top w:val="single" w:sz="4" w:space="0" w:color="auto"/>
              <w:left w:val="single" w:sz="8" w:space="0" w:color="auto"/>
              <w:bottom w:val="single" w:sz="2" w:space="0" w:color="auto"/>
              <w:right w:val="single" w:sz="8" w:space="0" w:color="auto"/>
            </w:tcBorders>
            <w:shd w:val="clear" w:color="auto" w:fill="auto"/>
            <w:vAlign w:val="center"/>
            <w:hideMark/>
          </w:tcPr>
          <w:p w14:paraId="3A99E22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17%</w:t>
            </w:r>
          </w:p>
        </w:tc>
        <w:tc>
          <w:tcPr>
            <w:tcW w:w="272" w:type="pct"/>
            <w:tcBorders>
              <w:top w:val="single" w:sz="4" w:space="0" w:color="auto"/>
              <w:left w:val="nil"/>
              <w:bottom w:val="single" w:sz="2" w:space="0" w:color="auto"/>
              <w:right w:val="single" w:sz="2" w:space="0" w:color="auto"/>
            </w:tcBorders>
            <w:shd w:val="clear" w:color="auto" w:fill="auto"/>
            <w:vAlign w:val="center"/>
            <w:hideMark/>
          </w:tcPr>
          <w:p w14:paraId="3C84B38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11</w:t>
            </w:r>
          </w:p>
        </w:tc>
      </w:tr>
    </w:tbl>
    <w:p w14:paraId="32EBE94F" w14:textId="77777777" w:rsidR="005A719B" w:rsidRDefault="005A719B" w:rsidP="00E775A6">
      <w:pPr>
        <w:spacing w:line="360" w:lineRule="auto"/>
        <w:rPr>
          <w:rFonts w:eastAsia="SimSun"/>
          <w:lang w:val="en-US"/>
        </w:rPr>
      </w:pPr>
    </w:p>
    <w:p w14:paraId="6C947A26" w14:textId="77777777" w:rsidR="004360C1" w:rsidRDefault="004360C1" w:rsidP="004360C1">
      <w:pPr>
        <w:pStyle w:val="Caption"/>
        <w:spacing w:line="360" w:lineRule="auto"/>
        <w:jc w:val="center"/>
        <w:rPr>
          <w:rFonts w:ascii="Times New Roman" w:hAnsi="Times New Roman" w:cs="Times New Roman"/>
          <w:color w:val="000000" w:themeColor="text1"/>
          <w:sz w:val="24"/>
          <w:szCs w:val="24"/>
          <w:lang w:val="en-US"/>
        </w:rPr>
      </w:pPr>
    </w:p>
    <w:p w14:paraId="22608A13" w14:textId="6EB4B589" w:rsidR="004360C1" w:rsidRPr="004360C1" w:rsidRDefault="009E40ED" w:rsidP="004360C1">
      <w:pPr>
        <w:pStyle w:val="Caption"/>
        <w:spacing w:line="360" w:lineRule="auto"/>
        <w:jc w:val="center"/>
        <w:rPr>
          <w:rFonts w:ascii="Times New Roman" w:eastAsia="SimSu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Table 4</w:t>
      </w:r>
      <w:r w:rsidR="004360C1" w:rsidRPr="00953770">
        <w:rPr>
          <w:rFonts w:ascii="Times New Roman" w:hAnsi="Times New Roman" w:cs="Times New Roman"/>
          <w:color w:val="000000" w:themeColor="text1"/>
          <w:sz w:val="24"/>
          <w:szCs w:val="24"/>
          <w:lang w:val="en-US"/>
        </w:rPr>
        <w:t xml:space="preserve"> </w:t>
      </w:r>
      <w:r w:rsidR="004360C1" w:rsidRPr="00953770">
        <w:rPr>
          <w:rFonts w:ascii="Times New Roman" w:eastAsia="SimSun" w:hAnsi="Times New Roman" w:cs="Times New Roman"/>
          <w:color w:val="000000" w:themeColor="text1"/>
          <w:sz w:val="24"/>
          <w:szCs w:val="24"/>
          <w:lang w:val="en-US"/>
        </w:rPr>
        <w:t>Information Share and Common Factor Weights Results</w:t>
      </w:r>
      <w:r w:rsidR="004360C1">
        <w:rPr>
          <w:rFonts w:ascii="Times New Roman" w:eastAsia="SimSun" w:hAnsi="Times New Roman" w:cs="Times New Roman"/>
          <w:color w:val="000000" w:themeColor="text1"/>
          <w:sz w:val="24"/>
          <w:szCs w:val="24"/>
          <w:lang w:val="en-US"/>
        </w:rPr>
        <w:t xml:space="preserve"> (Continued)</w:t>
      </w:r>
    </w:p>
    <w:p w14:paraId="2AE62F82" w14:textId="6C9DBC8A" w:rsidR="005A719B" w:rsidRPr="004360C1" w:rsidRDefault="005A719B" w:rsidP="004360C1">
      <w:pPr>
        <w:spacing w:line="360" w:lineRule="auto"/>
        <w:jc w:val="center"/>
        <w:rPr>
          <w:rFonts w:eastAsia="SimSun"/>
          <w:sz w:val="20"/>
          <w:szCs w:val="20"/>
          <w:lang w:val="en-US"/>
        </w:rPr>
      </w:pPr>
      <w:r w:rsidRPr="004360C1">
        <w:rPr>
          <w:rFonts w:eastAsia="SimSun"/>
          <w:sz w:val="20"/>
          <w:szCs w:val="20"/>
          <w:lang w:val="en-US"/>
        </w:rPr>
        <w:t>DAX 30</w:t>
      </w:r>
    </w:p>
    <w:tbl>
      <w:tblPr>
        <w:tblW w:w="5000" w:type="pct"/>
        <w:jc w:val="center"/>
        <w:tblLook w:val="04A0" w:firstRow="1" w:lastRow="0" w:firstColumn="1" w:lastColumn="0" w:noHBand="0" w:noVBand="1"/>
      </w:tblPr>
      <w:tblGrid>
        <w:gridCol w:w="997"/>
        <w:gridCol w:w="997"/>
        <w:gridCol w:w="996"/>
        <w:gridCol w:w="996"/>
        <w:gridCol w:w="999"/>
        <w:gridCol w:w="996"/>
        <w:gridCol w:w="996"/>
        <w:gridCol w:w="996"/>
        <w:gridCol w:w="999"/>
        <w:gridCol w:w="996"/>
        <w:gridCol w:w="996"/>
        <w:gridCol w:w="996"/>
        <w:gridCol w:w="999"/>
        <w:gridCol w:w="993"/>
      </w:tblGrid>
      <w:tr w:rsidR="005A719B" w:rsidRPr="00953770" w14:paraId="748366AB" w14:textId="77777777" w:rsidTr="00D01928">
        <w:trPr>
          <w:trHeight w:val="320"/>
          <w:jc w:val="center"/>
        </w:trPr>
        <w:tc>
          <w:tcPr>
            <w:tcW w:w="357" w:type="pct"/>
            <w:tcBorders>
              <w:top w:val="single" w:sz="2" w:space="0" w:color="auto"/>
              <w:left w:val="single" w:sz="2" w:space="0" w:color="auto"/>
              <w:bottom w:val="single" w:sz="4" w:space="0" w:color="auto"/>
              <w:right w:val="single" w:sz="8" w:space="0" w:color="auto"/>
            </w:tcBorders>
            <w:shd w:val="clear" w:color="auto" w:fill="auto"/>
            <w:vAlign w:val="center"/>
            <w:hideMark/>
          </w:tcPr>
          <w:p w14:paraId="7D052AC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1429" w:type="pct"/>
            <w:gridSpan w:val="4"/>
            <w:tcBorders>
              <w:top w:val="single" w:sz="2" w:space="0" w:color="auto"/>
              <w:left w:val="nil"/>
              <w:bottom w:val="single" w:sz="4" w:space="0" w:color="auto"/>
              <w:right w:val="single" w:sz="8" w:space="0" w:color="000000"/>
            </w:tcBorders>
            <w:shd w:val="clear" w:color="auto" w:fill="auto"/>
            <w:vAlign w:val="center"/>
            <w:hideMark/>
          </w:tcPr>
          <w:p w14:paraId="4A46B8E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DAX 30 Spot Index</w:t>
            </w:r>
          </w:p>
        </w:tc>
        <w:tc>
          <w:tcPr>
            <w:tcW w:w="1429" w:type="pct"/>
            <w:gridSpan w:val="4"/>
            <w:tcBorders>
              <w:top w:val="single" w:sz="2" w:space="0" w:color="auto"/>
              <w:left w:val="nil"/>
              <w:bottom w:val="single" w:sz="4" w:space="0" w:color="auto"/>
              <w:right w:val="single" w:sz="8" w:space="0" w:color="000000"/>
            </w:tcBorders>
            <w:shd w:val="clear" w:color="auto" w:fill="auto"/>
            <w:vAlign w:val="center"/>
            <w:hideMark/>
          </w:tcPr>
          <w:p w14:paraId="16317BE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DAX 30 Index Futures</w:t>
            </w:r>
          </w:p>
        </w:tc>
        <w:tc>
          <w:tcPr>
            <w:tcW w:w="1429" w:type="pct"/>
            <w:gridSpan w:val="4"/>
            <w:tcBorders>
              <w:top w:val="single" w:sz="2" w:space="0" w:color="auto"/>
              <w:left w:val="nil"/>
              <w:bottom w:val="single" w:sz="4" w:space="0" w:color="auto"/>
              <w:right w:val="single" w:sz="8" w:space="0" w:color="000000"/>
            </w:tcBorders>
            <w:shd w:val="clear" w:color="auto" w:fill="auto"/>
            <w:vAlign w:val="center"/>
            <w:hideMark/>
          </w:tcPr>
          <w:p w14:paraId="036BD113" w14:textId="43A483EF"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xml:space="preserve">iShare DAX 30 </w:t>
            </w:r>
            <w:r>
              <w:rPr>
                <w:rFonts w:eastAsia="SimSun"/>
                <w:color w:val="000000"/>
                <w:sz w:val="20"/>
                <w:szCs w:val="20"/>
                <w:lang w:val="en-US"/>
              </w:rPr>
              <w:t>ETFs</w:t>
            </w:r>
          </w:p>
        </w:tc>
        <w:tc>
          <w:tcPr>
            <w:tcW w:w="356" w:type="pct"/>
            <w:tcBorders>
              <w:top w:val="single" w:sz="2" w:space="0" w:color="auto"/>
              <w:left w:val="nil"/>
              <w:bottom w:val="single" w:sz="4" w:space="0" w:color="auto"/>
              <w:right w:val="single" w:sz="2" w:space="0" w:color="auto"/>
            </w:tcBorders>
            <w:shd w:val="clear" w:color="auto" w:fill="auto"/>
            <w:vAlign w:val="center"/>
            <w:hideMark/>
          </w:tcPr>
          <w:p w14:paraId="5A406C3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r>
      <w:tr w:rsidR="005A719B" w:rsidRPr="00953770" w14:paraId="76459E85" w14:textId="77777777" w:rsidTr="00D01928">
        <w:trPr>
          <w:trHeight w:val="320"/>
          <w:jc w:val="center"/>
        </w:trPr>
        <w:tc>
          <w:tcPr>
            <w:tcW w:w="35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006AA4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 </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4ABF3EE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25DC3CE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0D18DA0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358" w:type="pct"/>
            <w:tcBorders>
              <w:top w:val="single" w:sz="4" w:space="0" w:color="auto"/>
              <w:left w:val="nil"/>
              <w:bottom w:val="single" w:sz="4" w:space="0" w:color="auto"/>
              <w:right w:val="single" w:sz="8" w:space="0" w:color="auto"/>
            </w:tcBorders>
            <w:shd w:val="clear" w:color="auto" w:fill="auto"/>
            <w:vAlign w:val="center"/>
            <w:hideMark/>
          </w:tcPr>
          <w:p w14:paraId="0D7151A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4F55567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7E3104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CF4A06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358" w:type="pct"/>
            <w:tcBorders>
              <w:top w:val="single" w:sz="4" w:space="0" w:color="auto"/>
              <w:left w:val="nil"/>
              <w:bottom w:val="single" w:sz="4" w:space="0" w:color="auto"/>
              <w:right w:val="single" w:sz="8" w:space="0" w:color="auto"/>
            </w:tcBorders>
            <w:shd w:val="clear" w:color="auto" w:fill="auto"/>
            <w:vAlign w:val="center"/>
            <w:hideMark/>
          </w:tcPr>
          <w:p w14:paraId="4FBB629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62C32C5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Upper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4885FB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Lower</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2ECBE69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Mean</w:t>
            </w:r>
          </w:p>
        </w:tc>
        <w:tc>
          <w:tcPr>
            <w:tcW w:w="358" w:type="pct"/>
            <w:tcBorders>
              <w:top w:val="single" w:sz="4" w:space="0" w:color="auto"/>
              <w:left w:val="nil"/>
              <w:bottom w:val="single" w:sz="4" w:space="0" w:color="auto"/>
              <w:right w:val="single" w:sz="8" w:space="0" w:color="auto"/>
            </w:tcBorders>
            <w:shd w:val="clear" w:color="auto" w:fill="auto"/>
            <w:vAlign w:val="center"/>
            <w:hideMark/>
          </w:tcPr>
          <w:p w14:paraId="5F59E7E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G-G</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7215EF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Lags</w:t>
            </w:r>
          </w:p>
        </w:tc>
      </w:tr>
      <w:tr w:rsidR="005A719B" w:rsidRPr="00953770" w14:paraId="6724E8A3" w14:textId="77777777" w:rsidTr="00D01928">
        <w:trPr>
          <w:trHeight w:val="320"/>
          <w:jc w:val="center"/>
        </w:trPr>
        <w:tc>
          <w:tcPr>
            <w:tcW w:w="35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67DF3E4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2010</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A648A8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0.34094</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E24008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0.00173</w:t>
            </w:r>
          </w:p>
        </w:tc>
        <w:tc>
          <w:tcPr>
            <w:tcW w:w="357" w:type="pct"/>
            <w:tcBorders>
              <w:top w:val="single" w:sz="4" w:space="0" w:color="auto"/>
              <w:left w:val="nil"/>
              <w:bottom w:val="single" w:sz="4" w:space="0" w:color="auto"/>
              <w:right w:val="nil"/>
            </w:tcBorders>
            <w:shd w:val="clear" w:color="auto" w:fill="auto"/>
            <w:vAlign w:val="center"/>
            <w:hideMark/>
          </w:tcPr>
          <w:p w14:paraId="463491E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0.171335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69CE55E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34%</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2BC2A35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0.99949</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64FFFB7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0.65854</w:t>
            </w:r>
          </w:p>
        </w:tc>
        <w:tc>
          <w:tcPr>
            <w:tcW w:w="357" w:type="pct"/>
            <w:tcBorders>
              <w:top w:val="single" w:sz="4" w:space="0" w:color="auto"/>
              <w:left w:val="nil"/>
              <w:bottom w:val="single" w:sz="4" w:space="0" w:color="auto"/>
              <w:right w:val="nil"/>
            </w:tcBorders>
            <w:shd w:val="clear" w:color="auto" w:fill="auto"/>
            <w:vAlign w:val="center"/>
            <w:hideMark/>
          </w:tcPr>
          <w:p w14:paraId="4B5F0867"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0.829015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7D2412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29%</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819E73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0.27453</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4C8A48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0.00006</w:t>
            </w:r>
          </w:p>
        </w:tc>
        <w:tc>
          <w:tcPr>
            <w:tcW w:w="357" w:type="pct"/>
            <w:tcBorders>
              <w:top w:val="single" w:sz="4" w:space="0" w:color="auto"/>
              <w:left w:val="nil"/>
              <w:bottom w:val="single" w:sz="4" w:space="0" w:color="auto"/>
              <w:right w:val="nil"/>
            </w:tcBorders>
            <w:shd w:val="clear" w:color="auto" w:fill="auto"/>
            <w:vAlign w:val="center"/>
            <w:hideMark/>
          </w:tcPr>
          <w:p w14:paraId="705C2CF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0.137295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B354DAE"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37%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66F1D92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15</w:t>
            </w:r>
          </w:p>
        </w:tc>
      </w:tr>
      <w:tr w:rsidR="005A719B" w:rsidRPr="00953770" w14:paraId="4BEA38C5" w14:textId="77777777" w:rsidTr="00D01928">
        <w:trPr>
          <w:trHeight w:val="320"/>
          <w:jc w:val="center"/>
        </w:trPr>
        <w:tc>
          <w:tcPr>
            <w:tcW w:w="35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0DFDA0E4"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2011</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5611FEF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0.14539</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0B6FA6D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0.05868</w:t>
            </w:r>
          </w:p>
        </w:tc>
        <w:tc>
          <w:tcPr>
            <w:tcW w:w="357" w:type="pct"/>
            <w:tcBorders>
              <w:top w:val="single" w:sz="4" w:space="0" w:color="auto"/>
              <w:left w:val="nil"/>
              <w:bottom w:val="single" w:sz="4" w:space="0" w:color="auto"/>
              <w:right w:val="nil"/>
            </w:tcBorders>
            <w:shd w:val="clear" w:color="auto" w:fill="auto"/>
            <w:vAlign w:val="center"/>
            <w:hideMark/>
          </w:tcPr>
          <w:p w14:paraId="5560872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0.102035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32CF4F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33%</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EBDE0B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0.93716</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562055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0.83418</w:t>
            </w:r>
          </w:p>
        </w:tc>
        <w:tc>
          <w:tcPr>
            <w:tcW w:w="357" w:type="pct"/>
            <w:tcBorders>
              <w:top w:val="single" w:sz="4" w:space="0" w:color="auto"/>
              <w:left w:val="nil"/>
              <w:bottom w:val="single" w:sz="4" w:space="0" w:color="auto"/>
              <w:right w:val="nil"/>
            </w:tcBorders>
            <w:shd w:val="clear" w:color="auto" w:fill="auto"/>
            <w:vAlign w:val="center"/>
            <w:hideMark/>
          </w:tcPr>
          <w:p w14:paraId="4C74FF4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0.88567</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F71304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32%</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455576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0.16279</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0906D4D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0.05843</w:t>
            </w:r>
          </w:p>
        </w:tc>
        <w:tc>
          <w:tcPr>
            <w:tcW w:w="357" w:type="pct"/>
            <w:tcBorders>
              <w:top w:val="single" w:sz="4" w:space="0" w:color="auto"/>
              <w:left w:val="nil"/>
              <w:bottom w:val="single" w:sz="4" w:space="0" w:color="auto"/>
              <w:right w:val="nil"/>
            </w:tcBorders>
            <w:shd w:val="clear" w:color="auto" w:fill="auto"/>
            <w:vAlign w:val="center"/>
            <w:hideMark/>
          </w:tcPr>
          <w:p w14:paraId="661F645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0.11061</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D5A2916"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35%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66E7210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17</w:t>
            </w:r>
          </w:p>
        </w:tc>
      </w:tr>
      <w:tr w:rsidR="005A719B" w:rsidRPr="00953770" w14:paraId="54725D52" w14:textId="77777777" w:rsidTr="00D01928">
        <w:trPr>
          <w:trHeight w:val="320"/>
          <w:jc w:val="center"/>
        </w:trPr>
        <w:tc>
          <w:tcPr>
            <w:tcW w:w="35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390BEBF"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2012</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2F295C8"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0.2992</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F68DED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0.05695</w:t>
            </w:r>
          </w:p>
        </w:tc>
        <w:tc>
          <w:tcPr>
            <w:tcW w:w="357" w:type="pct"/>
            <w:tcBorders>
              <w:top w:val="single" w:sz="4" w:space="0" w:color="auto"/>
              <w:left w:val="nil"/>
              <w:bottom w:val="single" w:sz="4" w:space="0" w:color="auto"/>
              <w:right w:val="nil"/>
            </w:tcBorders>
            <w:shd w:val="clear" w:color="auto" w:fill="auto"/>
            <w:vAlign w:val="center"/>
            <w:hideMark/>
          </w:tcPr>
          <w:p w14:paraId="7538C48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0.178075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DD754E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45%</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68E17CEE"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0.9316</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2D82B43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0.61482</w:t>
            </w:r>
          </w:p>
        </w:tc>
        <w:tc>
          <w:tcPr>
            <w:tcW w:w="357" w:type="pct"/>
            <w:tcBorders>
              <w:top w:val="single" w:sz="4" w:space="0" w:color="auto"/>
              <w:left w:val="nil"/>
              <w:bottom w:val="single" w:sz="4" w:space="0" w:color="auto"/>
              <w:right w:val="nil"/>
            </w:tcBorders>
            <w:shd w:val="clear" w:color="auto" w:fill="auto"/>
            <w:vAlign w:val="center"/>
            <w:hideMark/>
          </w:tcPr>
          <w:p w14:paraId="0A478DB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0.77321</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613D3F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9%</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71B7463A"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0.38305</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F0E126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0.06791</w:t>
            </w:r>
          </w:p>
        </w:tc>
        <w:tc>
          <w:tcPr>
            <w:tcW w:w="357" w:type="pct"/>
            <w:tcBorders>
              <w:top w:val="single" w:sz="4" w:space="0" w:color="auto"/>
              <w:left w:val="nil"/>
              <w:bottom w:val="single" w:sz="4" w:space="0" w:color="auto"/>
              <w:right w:val="nil"/>
            </w:tcBorders>
            <w:shd w:val="clear" w:color="auto" w:fill="auto"/>
            <w:vAlign w:val="center"/>
            <w:hideMark/>
          </w:tcPr>
          <w:p w14:paraId="79E4286B"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0.22548</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0EF8383"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46%</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3F950F2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13</w:t>
            </w:r>
          </w:p>
        </w:tc>
      </w:tr>
      <w:tr w:rsidR="005A719B" w:rsidRPr="00953770" w14:paraId="1E231733" w14:textId="77777777" w:rsidTr="00D01928">
        <w:trPr>
          <w:trHeight w:val="320"/>
          <w:jc w:val="center"/>
        </w:trPr>
        <w:tc>
          <w:tcPr>
            <w:tcW w:w="35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4273080D"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2013</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5208BED3"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0.55181</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348D984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0.01802</w:t>
            </w:r>
          </w:p>
        </w:tc>
        <w:tc>
          <w:tcPr>
            <w:tcW w:w="357" w:type="pct"/>
            <w:tcBorders>
              <w:top w:val="single" w:sz="4" w:space="0" w:color="auto"/>
              <w:left w:val="nil"/>
              <w:bottom w:val="single" w:sz="4" w:space="0" w:color="auto"/>
              <w:right w:val="nil"/>
            </w:tcBorders>
            <w:shd w:val="clear" w:color="auto" w:fill="auto"/>
            <w:vAlign w:val="center"/>
            <w:hideMark/>
          </w:tcPr>
          <w:p w14:paraId="37174CF5"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0.284915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3F02E32"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41%</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0028E9D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0.98124</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3C9EAC80"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0.43406</w:t>
            </w:r>
          </w:p>
        </w:tc>
        <w:tc>
          <w:tcPr>
            <w:tcW w:w="357" w:type="pct"/>
            <w:tcBorders>
              <w:top w:val="single" w:sz="4" w:space="0" w:color="auto"/>
              <w:left w:val="nil"/>
              <w:bottom w:val="single" w:sz="4" w:space="0" w:color="auto"/>
              <w:right w:val="nil"/>
            </w:tcBorders>
            <w:shd w:val="clear" w:color="auto" w:fill="auto"/>
            <w:vAlign w:val="center"/>
            <w:hideMark/>
          </w:tcPr>
          <w:p w14:paraId="2E4C7F79"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0.70765</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7C30612"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18%</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1FCCB476"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0.40757</w:t>
            </w:r>
          </w:p>
        </w:tc>
        <w:tc>
          <w:tcPr>
            <w:tcW w:w="357" w:type="pct"/>
            <w:tcBorders>
              <w:top w:val="single" w:sz="4" w:space="0" w:color="auto"/>
              <w:left w:val="nil"/>
              <w:bottom w:val="single" w:sz="4" w:space="0" w:color="auto"/>
              <w:right w:val="single" w:sz="8" w:space="0" w:color="auto"/>
            </w:tcBorders>
            <w:shd w:val="clear" w:color="auto" w:fill="auto"/>
            <w:vAlign w:val="center"/>
            <w:hideMark/>
          </w:tcPr>
          <w:p w14:paraId="0B33D721"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0.01661</w:t>
            </w:r>
          </w:p>
        </w:tc>
        <w:tc>
          <w:tcPr>
            <w:tcW w:w="357" w:type="pct"/>
            <w:tcBorders>
              <w:top w:val="single" w:sz="4" w:space="0" w:color="auto"/>
              <w:left w:val="nil"/>
              <w:bottom w:val="single" w:sz="4" w:space="0" w:color="auto"/>
              <w:right w:val="nil"/>
            </w:tcBorders>
            <w:shd w:val="clear" w:color="auto" w:fill="auto"/>
            <w:vAlign w:val="center"/>
            <w:hideMark/>
          </w:tcPr>
          <w:p w14:paraId="5ED0D2A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0.21209</w:t>
            </w:r>
          </w:p>
        </w:tc>
        <w:tc>
          <w:tcPr>
            <w:tcW w:w="35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0C2EE77B" w14:textId="77777777" w:rsidR="005A719B" w:rsidRPr="00953770" w:rsidRDefault="005A719B">
            <w:pPr>
              <w:jc w:val="center"/>
              <w:rPr>
                <w:rFonts w:eastAsia="Times New Roman"/>
                <w:b/>
                <w:bCs/>
                <w:color w:val="000000"/>
                <w:sz w:val="20"/>
                <w:szCs w:val="20"/>
                <w:lang w:val="en-US"/>
              </w:rPr>
            </w:pPr>
            <w:r w:rsidRPr="00953770">
              <w:rPr>
                <w:rFonts w:eastAsia="SimSun"/>
                <w:b/>
                <w:bCs/>
                <w:color w:val="000000"/>
                <w:sz w:val="20"/>
                <w:szCs w:val="20"/>
                <w:lang w:val="en-US"/>
              </w:rPr>
              <w:t>41%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7E7308BC" w14:textId="77777777" w:rsidR="005A719B" w:rsidRPr="00953770" w:rsidRDefault="005A719B">
            <w:pPr>
              <w:jc w:val="center"/>
              <w:rPr>
                <w:rFonts w:eastAsia="Times New Roman"/>
                <w:color w:val="000000"/>
                <w:sz w:val="20"/>
                <w:szCs w:val="20"/>
                <w:lang w:val="en-US"/>
              </w:rPr>
            </w:pPr>
            <w:r w:rsidRPr="00953770">
              <w:rPr>
                <w:rFonts w:eastAsia="SimSun"/>
                <w:color w:val="000000"/>
                <w:sz w:val="20"/>
                <w:szCs w:val="20"/>
                <w:lang w:val="en-US"/>
              </w:rPr>
              <w:t>13</w:t>
            </w:r>
          </w:p>
        </w:tc>
      </w:tr>
    </w:tbl>
    <w:p w14:paraId="63133FF4" w14:textId="77777777" w:rsidR="004360C1" w:rsidRDefault="004360C1" w:rsidP="004360C1">
      <w:pPr>
        <w:spacing w:line="360" w:lineRule="auto"/>
        <w:jc w:val="both"/>
        <w:rPr>
          <w:i/>
          <w:color w:val="000000" w:themeColor="text1"/>
          <w:sz w:val="16"/>
          <w:szCs w:val="16"/>
          <w:lang w:val="en-US"/>
        </w:rPr>
      </w:pPr>
    </w:p>
    <w:p w14:paraId="171EF33A" w14:textId="77777777" w:rsidR="004360C1" w:rsidRPr="00953770" w:rsidRDefault="004360C1" w:rsidP="004360C1">
      <w:pPr>
        <w:spacing w:line="360" w:lineRule="auto"/>
        <w:jc w:val="both"/>
        <w:rPr>
          <w:i/>
          <w:color w:val="000000" w:themeColor="text1"/>
          <w:sz w:val="16"/>
          <w:szCs w:val="16"/>
          <w:lang w:val="en-US"/>
        </w:rPr>
      </w:pPr>
      <w:r>
        <w:rPr>
          <w:i/>
          <w:color w:val="000000" w:themeColor="text1"/>
          <w:sz w:val="16"/>
          <w:szCs w:val="16"/>
          <w:lang w:val="en-US"/>
        </w:rPr>
        <w:t xml:space="preserve">Notes: 1) </w:t>
      </w:r>
      <w:r w:rsidRPr="00953770">
        <w:rPr>
          <w:i/>
          <w:color w:val="000000" w:themeColor="text1"/>
          <w:sz w:val="16"/>
          <w:szCs w:val="16"/>
          <w:lang w:val="en-US"/>
        </w:rPr>
        <w:t xml:space="preserve">The estimated upper and lower bounds are </w:t>
      </w:r>
      <w:r>
        <w:rPr>
          <w:i/>
          <w:color w:val="000000" w:themeColor="text1"/>
          <w:sz w:val="16"/>
          <w:szCs w:val="16"/>
          <w:lang w:val="en-US"/>
        </w:rPr>
        <w:t xml:space="preserve">widely separated in </w:t>
      </w:r>
      <w:r w:rsidRPr="00953770">
        <w:rPr>
          <w:i/>
          <w:color w:val="000000" w:themeColor="text1"/>
          <w:sz w:val="16"/>
          <w:szCs w:val="16"/>
          <w:lang w:val="en-US"/>
        </w:rPr>
        <w:t xml:space="preserve">most cases, implying high correlations among any pair of the three price series under each index market. </w:t>
      </w:r>
      <w:r w:rsidRPr="00953770">
        <w:rPr>
          <w:rFonts w:eastAsia="SimSun"/>
          <w:i/>
          <w:sz w:val="16"/>
          <w:szCs w:val="16"/>
          <w:lang w:val="en-US"/>
        </w:rPr>
        <w:t xml:space="preserve">For the CAC 40 index markets in the year 2011, however, the upper and lower bounds for the information share are close enough to generate meaningful results. CAC 40 index futures take the lead in price discovery, with Lyxor CAC 40 </w:t>
      </w:r>
      <w:r>
        <w:rPr>
          <w:rFonts w:eastAsia="SimSun"/>
          <w:i/>
          <w:sz w:val="16"/>
          <w:szCs w:val="16"/>
          <w:lang w:val="en-US"/>
        </w:rPr>
        <w:t>ETFs</w:t>
      </w:r>
      <w:r w:rsidRPr="00953770">
        <w:rPr>
          <w:rFonts w:eastAsia="SimSun"/>
          <w:i/>
          <w:sz w:val="16"/>
          <w:szCs w:val="16"/>
          <w:lang w:val="en-US"/>
        </w:rPr>
        <w:t xml:space="preserve"> being the second resort for information in 2011. This has been validated through the estimated common factor contributions of spot, futures</w:t>
      </w:r>
      <w:r>
        <w:rPr>
          <w:rFonts w:eastAsia="SimSun"/>
          <w:i/>
          <w:sz w:val="16"/>
          <w:szCs w:val="16"/>
          <w:lang w:val="en-US"/>
        </w:rPr>
        <w:t>,</w:t>
      </w:r>
      <w:r w:rsidRPr="00953770">
        <w:rPr>
          <w:rFonts w:eastAsia="SimSun"/>
          <w:i/>
          <w:sz w:val="16"/>
          <w:szCs w:val="16"/>
          <w:lang w:val="en-US"/>
        </w:rPr>
        <w:t xml:space="preserve"> and </w:t>
      </w:r>
      <w:r>
        <w:rPr>
          <w:rFonts w:eastAsia="SimSun"/>
          <w:i/>
          <w:sz w:val="16"/>
          <w:szCs w:val="16"/>
          <w:lang w:val="en-US"/>
        </w:rPr>
        <w:t>ETFs</w:t>
      </w:r>
      <w:r w:rsidRPr="00953770">
        <w:rPr>
          <w:rFonts w:eastAsia="SimSun"/>
          <w:i/>
          <w:sz w:val="16"/>
          <w:szCs w:val="16"/>
          <w:lang w:val="en-US"/>
        </w:rPr>
        <w:t xml:space="preserve"> in the CAC group in 2011. </w:t>
      </w:r>
    </w:p>
    <w:p w14:paraId="1965AF72" w14:textId="77777777" w:rsidR="004360C1" w:rsidRPr="00953770" w:rsidRDefault="004360C1" w:rsidP="004360C1">
      <w:pPr>
        <w:spacing w:line="360" w:lineRule="auto"/>
        <w:jc w:val="both"/>
        <w:rPr>
          <w:i/>
          <w:color w:val="000000" w:themeColor="text1"/>
          <w:sz w:val="16"/>
          <w:szCs w:val="16"/>
          <w:lang w:val="en-US"/>
        </w:rPr>
      </w:pPr>
    </w:p>
    <w:p w14:paraId="75563E78" w14:textId="6D0864CE" w:rsidR="005A719B" w:rsidRPr="00953770" w:rsidRDefault="004360C1" w:rsidP="004360C1">
      <w:pPr>
        <w:spacing w:line="360" w:lineRule="auto"/>
        <w:jc w:val="both"/>
        <w:rPr>
          <w:lang w:val="en-US"/>
        </w:rPr>
        <w:sectPr w:rsidR="005A719B" w:rsidRPr="00953770" w:rsidSect="00CE41CC">
          <w:endnotePr>
            <w:numFmt w:val="decimal"/>
          </w:endnotePr>
          <w:pgSz w:w="16838" w:h="11906" w:orient="landscape" w:code="9"/>
          <w:pgMar w:top="1797" w:right="1440" w:bottom="1797" w:left="1440" w:header="709" w:footer="709" w:gutter="0"/>
          <w:cols w:space="708"/>
          <w:docGrid w:linePitch="360"/>
        </w:sectPr>
      </w:pPr>
      <w:r>
        <w:rPr>
          <w:i/>
          <w:color w:val="000000" w:themeColor="text1"/>
          <w:sz w:val="16"/>
          <w:szCs w:val="16"/>
          <w:lang w:val="en-US"/>
        </w:rPr>
        <w:t xml:space="preserve">2) </w:t>
      </w:r>
      <w:r w:rsidRPr="00953770">
        <w:rPr>
          <w:i/>
          <w:color w:val="000000" w:themeColor="text1"/>
          <w:sz w:val="16"/>
          <w:szCs w:val="16"/>
          <w:lang w:val="en-US"/>
        </w:rPr>
        <w:t xml:space="preserve">From the common factor weights </w:t>
      </w:r>
      <w:r>
        <w:rPr>
          <w:i/>
          <w:color w:val="000000" w:themeColor="text1"/>
          <w:sz w:val="16"/>
          <w:szCs w:val="16"/>
          <w:lang w:val="en-US"/>
        </w:rPr>
        <w:t>analysis</w:t>
      </w:r>
      <w:r w:rsidRPr="00953770">
        <w:rPr>
          <w:i/>
          <w:color w:val="000000" w:themeColor="text1"/>
          <w:sz w:val="16"/>
          <w:szCs w:val="16"/>
          <w:lang w:val="en-US"/>
        </w:rPr>
        <w:t xml:space="preserve">, we can </w:t>
      </w:r>
      <w:r>
        <w:rPr>
          <w:i/>
          <w:color w:val="000000" w:themeColor="text1"/>
          <w:sz w:val="16"/>
          <w:szCs w:val="16"/>
          <w:lang w:val="en-US"/>
        </w:rPr>
        <w:t>observe that 1.</w:t>
      </w:r>
      <w:r w:rsidRPr="00953770">
        <w:rPr>
          <w:i/>
          <w:color w:val="000000" w:themeColor="text1"/>
          <w:sz w:val="16"/>
          <w:szCs w:val="16"/>
          <w:lang w:val="en-US"/>
        </w:rPr>
        <w:t xml:space="preserve"> </w:t>
      </w:r>
      <w:r>
        <w:rPr>
          <w:i/>
          <w:color w:val="000000" w:themeColor="text1"/>
          <w:sz w:val="16"/>
          <w:szCs w:val="16"/>
          <w:lang w:val="en-US"/>
        </w:rPr>
        <w:t>i</w:t>
      </w:r>
      <w:r w:rsidRPr="00953770">
        <w:rPr>
          <w:i/>
          <w:color w:val="000000" w:themeColor="text1"/>
          <w:sz w:val="16"/>
          <w:szCs w:val="16"/>
          <w:lang w:val="en-US"/>
        </w:rPr>
        <w:t xml:space="preserve">n general, </w:t>
      </w:r>
      <w:r>
        <w:rPr>
          <w:i/>
          <w:color w:val="000000" w:themeColor="text1"/>
          <w:sz w:val="16"/>
          <w:szCs w:val="16"/>
          <w:lang w:val="en-US"/>
        </w:rPr>
        <w:t>ETFs</w:t>
      </w:r>
      <w:r w:rsidRPr="00953770">
        <w:rPr>
          <w:i/>
          <w:color w:val="000000" w:themeColor="text1"/>
          <w:sz w:val="16"/>
          <w:szCs w:val="16"/>
          <w:lang w:val="en-US"/>
        </w:rPr>
        <w:t xml:space="preserve"> lead price discovery in the FTSE and DAX groups, followed by spot and futures. The futures markets </w:t>
      </w:r>
      <w:r>
        <w:rPr>
          <w:i/>
          <w:color w:val="000000" w:themeColor="text1"/>
          <w:sz w:val="16"/>
          <w:szCs w:val="16"/>
          <w:lang w:val="en-US"/>
        </w:rPr>
        <w:t xml:space="preserve">exercised </w:t>
      </w:r>
      <w:r w:rsidRPr="00953770">
        <w:rPr>
          <w:i/>
          <w:color w:val="000000" w:themeColor="text1"/>
          <w:sz w:val="16"/>
          <w:szCs w:val="16"/>
          <w:lang w:val="en-US"/>
        </w:rPr>
        <w:t xml:space="preserve">an </w:t>
      </w:r>
      <w:r>
        <w:rPr>
          <w:i/>
          <w:color w:val="000000" w:themeColor="text1"/>
          <w:sz w:val="16"/>
          <w:szCs w:val="16"/>
          <w:lang w:val="en-US"/>
        </w:rPr>
        <w:t xml:space="preserve">important </w:t>
      </w:r>
      <w:r w:rsidRPr="00953770">
        <w:rPr>
          <w:i/>
          <w:color w:val="000000" w:themeColor="text1"/>
          <w:sz w:val="16"/>
          <w:szCs w:val="16"/>
          <w:lang w:val="en-US"/>
        </w:rPr>
        <w:t xml:space="preserve">role in price </w:t>
      </w:r>
      <w:r w:rsidRPr="00F05CCF">
        <w:rPr>
          <w:i/>
          <w:color w:val="000000" w:themeColor="text1"/>
          <w:sz w:val="16"/>
          <w:szCs w:val="16"/>
          <w:lang w:val="en-US"/>
        </w:rPr>
        <w:t xml:space="preserve">leading </w:t>
      </w:r>
      <w:r w:rsidRPr="00953770">
        <w:rPr>
          <w:i/>
          <w:color w:val="000000" w:themeColor="text1"/>
          <w:sz w:val="16"/>
          <w:szCs w:val="16"/>
          <w:lang w:val="en-US"/>
        </w:rPr>
        <w:t>discovery only in 201</w:t>
      </w:r>
      <w:r>
        <w:rPr>
          <w:i/>
          <w:color w:val="000000" w:themeColor="text1"/>
          <w:sz w:val="16"/>
          <w:szCs w:val="16"/>
          <w:lang w:val="en-US"/>
        </w:rPr>
        <w:t>1 in the FTSE group, forming an exception</w:t>
      </w:r>
      <w:r w:rsidRPr="00953770">
        <w:rPr>
          <w:i/>
          <w:color w:val="000000" w:themeColor="text1"/>
          <w:sz w:val="16"/>
          <w:szCs w:val="16"/>
          <w:lang w:val="en-US"/>
        </w:rPr>
        <w:t xml:space="preserve">. </w:t>
      </w:r>
      <w:r>
        <w:rPr>
          <w:i/>
          <w:color w:val="000000" w:themeColor="text1"/>
          <w:sz w:val="16"/>
          <w:szCs w:val="16"/>
          <w:lang w:val="en-US"/>
        </w:rPr>
        <w:t xml:space="preserve">2. </w:t>
      </w:r>
      <w:r w:rsidRPr="00953770">
        <w:rPr>
          <w:i/>
          <w:color w:val="000000" w:themeColor="text1"/>
          <w:sz w:val="16"/>
          <w:szCs w:val="16"/>
          <w:lang w:val="en-US"/>
        </w:rPr>
        <w:t>Futures contracts play</w:t>
      </w:r>
      <w:r>
        <w:rPr>
          <w:i/>
          <w:color w:val="000000" w:themeColor="text1"/>
          <w:sz w:val="16"/>
          <w:szCs w:val="16"/>
          <w:lang w:val="en-US"/>
        </w:rPr>
        <w:t>ed</w:t>
      </w:r>
      <w:r w:rsidRPr="00953770">
        <w:rPr>
          <w:i/>
          <w:color w:val="000000" w:themeColor="text1"/>
          <w:sz w:val="16"/>
          <w:szCs w:val="16"/>
          <w:lang w:val="en-US"/>
        </w:rPr>
        <w:t xml:space="preserve"> a significant role in price discovery in CAC group, with one exception, that is, in 2010, </w:t>
      </w:r>
      <w:r w:rsidRPr="00953770">
        <w:rPr>
          <w:rFonts w:eastAsia="SimSun"/>
          <w:i/>
          <w:color w:val="000000"/>
          <w:sz w:val="16"/>
          <w:szCs w:val="16"/>
          <w:lang w:val="en-US"/>
        </w:rPr>
        <w:t xml:space="preserve">Lyxor CAC 40 </w:t>
      </w:r>
      <w:r>
        <w:rPr>
          <w:rFonts w:eastAsia="SimSun"/>
          <w:i/>
          <w:color w:val="000000"/>
          <w:sz w:val="16"/>
          <w:szCs w:val="16"/>
          <w:lang w:val="en-US"/>
        </w:rPr>
        <w:t>ETFs</w:t>
      </w:r>
      <w:r w:rsidRPr="00953770">
        <w:rPr>
          <w:i/>
          <w:color w:val="000000" w:themeColor="text1"/>
          <w:sz w:val="16"/>
          <w:szCs w:val="16"/>
          <w:lang w:val="en-US"/>
        </w:rPr>
        <w:t xml:space="preserve"> led the market ahead of spot and futures.  </w:t>
      </w:r>
    </w:p>
    <w:p w14:paraId="6ADB8C2D" w14:textId="22C84D1A" w:rsidR="005A719B" w:rsidRPr="00953770" w:rsidRDefault="005A719B" w:rsidP="00300D36">
      <w:pPr>
        <w:spacing w:line="480" w:lineRule="auto"/>
        <w:jc w:val="both"/>
        <w:rPr>
          <w:rFonts w:eastAsia="SimSun"/>
          <w:lang w:val="en-US"/>
        </w:rPr>
      </w:pPr>
      <w:r>
        <w:rPr>
          <w:rFonts w:eastAsia="SimSun"/>
          <w:lang w:val="en-US"/>
        </w:rPr>
        <w:t>However, i</w:t>
      </w:r>
      <w:r w:rsidRPr="00953770">
        <w:rPr>
          <w:rFonts w:eastAsia="SimSun"/>
          <w:lang w:val="en-US"/>
        </w:rPr>
        <w:t xml:space="preserve">t is </w:t>
      </w:r>
      <w:r>
        <w:rPr>
          <w:rFonts w:eastAsia="SimSun"/>
          <w:lang w:val="en-US"/>
        </w:rPr>
        <w:t xml:space="preserve">also </w:t>
      </w:r>
      <w:r w:rsidRPr="00953770">
        <w:rPr>
          <w:rFonts w:eastAsia="SimSun"/>
          <w:lang w:val="en-US"/>
        </w:rPr>
        <w:t xml:space="preserve">worth noticing that for the CAC 40 index markets in the year 2011, the upper and lower bounds for the information share </w:t>
      </w:r>
      <w:r>
        <w:rPr>
          <w:rFonts w:eastAsia="SimSun"/>
          <w:lang w:val="en-US"/>
        </w:rPr>
        <w:t xml:space="preserve">were </w:t>
      </w:r>
      <w:r w:rsidRPr="00953770">
        <w:rPr>
          <w:rFonts w:eastAsia="SimSun"/>
          <w:lang w:val="en-US"/>
        </w:rPr>
        <w:t xml:space="preserve">close enough to </w:t>
      </w:r>
      <w:r>
        <w:rPr>
          <w:rFonts w:eastAsia="SimSun"/>
          <w:lang w:val="en-US"/>
        </w:rPr>
        <w:t xml:space="preserve">yield consequential </w:t>
      </w:r>
      <w:r w:rsidRPr="00953770">
        <w:rPr>
          <w:rFonts w:eastAsia="SimSun"/>
          <w:lang w:val="en-US"/>
        </w:rPr>
        <w:t xml:space="preserve">results. </w:t>
      </w:r>
      <w:r>
        <w:rPr>
          <w:rFonts w:eastAsia="SimSun"/>
          <w:lang w:val="en-US"/>
        </w:rPr>
        <w:t>In this case</w:t>
      </w:r>
      <w:r w:rsidRPr="00953770">
        <w:rPr>
          <w:rFonts w:eastAsia="SimSun"/>
          <w:lang w:val="en-US"/>
        </w:rPr>
        <w:t xml:space="preserve">, the upper and lower bounds </w:t>
      </w:r>
      <w:r>
        <w:rPr>
          <w:rFonts w:eastAsia="SimSun"/>
          <w:lang w:val="en-US"/>
        </w:rPr>
        <w:t xml:space="preserve">were </w:t>
      </w:r>
      <w:r w:rsidRPr="00953770">
        <w:rPr>
          <w:rFonts w:eastAsia="SimSun"/>
          <w:lang w:val="en-US"/>
        </w:rPr>
        <w:t>0.118 and 0.101 for the spot index</w:t>
      </w:r>
      <w:r>
        <w:rPr>
          <w:rFonts w:eastAsia="SimSun"/>
          <w:lang w:val="en-US"/>
        </w:rPr>
        <w:t>,</w:t>
      </w:r>
      <w:r w:rsidRPr="00953770">
        <w:rPr>
          <w:rFonts w:eastAsia="SimSun"/>
          <w:lang w:val="en-US"/>
        </w:rPr>
        <w:t xml:space="preserve"> 0.823 and 0.813 for the futures</w:t>
      </w:r>
      <w:r>
        <w:rPr>
          <w:rFonts w:eastAsia="SimSun"/>
          <w:lang w:val="en-US"/>
        </w:rPr>
        <w:t>,</w:t>
      </w:r>
      <w:r w:rsidRPr="00953770">
        <w:rPr>
          <w:rFonts w:eastAsia="SimSun"/>
          <w:lang w:val="en-US"/>
        </w:rPr>
        <w:t xml:space="preserve"> 0.180 and 0.173 for the </w:t>
      </w:r>
      <w:r>
        <w:rPr>
          <w:rFonts w:eastAsia="SimSun"/>
          <w:lang w:val="en-US"/>
        </w:rPr>
        <w:t>ETFs respectively</w:t>
      </w:r>
      <w:r w:rsidRPr="00953770">
        <w:rPr>
          <w:rFonts w:eastAsia="SimSun"/>
          <w:lang w:val="en-US"/>
        </w:rPr>
        <w:t xml:space="preserve">. This result indicates that, first, the residual correlations among any pair of the three price variables under </w:t>
      </w:r>
      <w:r>
        <w:rPr>
          <w:rFonts w:eastAsia="SimSun"/>
          <w:lang w:val="en-US"/>
        </w:rPr>
        <w:t xml:space="preserve">the </w:t>
      </w:r>
      <w:r w:rsidRPr="00953770">
        <w:rPr>
          <w:rFonts w:eastAsia="SimSun"/>
          <w:lang w:val="en-US"/>
        </w:rPr>
        <w:t xml:space="preserve">CAC index market for 2011 </w:t>
      </w:r>
      <w:r>
        <w:rPr>
          <w:rFonts w:eastAsia="SimSun"/>
          <w:lang w:val="en-US"/>
        </w:rPr>
        <w:t xml:space="preserve">was </w:t>
      </w:r>
      <w:r w:rsidRPr="00953770">
        <w:rPr>
          <w:rFonts w:eastAsia="SimSun"/>
          <w:lang w:val="en-US"/>
        </w:rPr>
        <w:t xml:space="preserve">probably not high. Second, </w:t>
      </w:r>
      <w:r>
        <w:rPr>
          <w:rFonts w:eastAsia="SimSun"/>
          <w:lang w:val="en-US"/>
        </w:rPr>
        <w:t xml:space="preserve">the </w:t>
      </w:r>
      <w:r w:rsidRPr="00953770">
        <w:rPr>
          <w:rFonts w:eastAsia="SimSun"/>
          <w:lang w:val="en-US"/>
        </w:rPr>
        <w:t xml:space="preserve">index futures </w:t>
      </w:r>
      <w:r>
        <w:rPr>
          <w:rFonts w:eastAsia="SimSun"/>
          <w:lang w:val="en-US"/>
        </w:rPr>
        <w:t>took</w:t>
      </w:r>
      <w:r w:rsidRPr="00953770">
        <w:rPr>
          <w:rFonts w:eastAsia="SimSun"/>
          <w:lang w:val="en-US"/>
        </w:rPr>
        <w:t xml:space="preserve"> the lead in price discovery, with Lyxor CAC 40 </w:t>
      </w:r>
      <w:r>
        <w:rPr>
          <w:rFonts w:eastAsia="SimSun"/>
          <w:lang w:val="en-US"/>
        </w:rPr>
        <w:t>ETFs</w:t>
      </w:r>
      <w:r w:rsidRPr="00953770">
        <w:rPr>
          <w:rFonts w:eastAsia="SimSun"/>
          <w:lang w:val="en-US"/>
        </w:rPr>
        <w:t xml:space="preserve"> being the second</w:t>
      </w:r>
      <w:r>
        <w:rPr>
          <w:rFonts w:eastAsia="SimSun"/>
          <w:lang w:val="en-US"/>
        </w:rPr>
        <w:t xml:space="preserve"> defining element in the process</w:t>
      </w:r>
      <w:r w:rsidRPr="00953770">
        <w:rPr>
          <w:rFonts w:eastAsia="SimSun"/>
          <w:lang w:val="en-US"/>
        </w:rPr>
        <w:t>. The common factor weight</w:t>
      </w:r>
      <w:r>
        <w:rPr>
          <w:rFonts w:eastAsia="SimSun"/>
          <w:lang w:val="en-US"/>
        </w:rPr>
        <w:t>s analysis</w:t>
      </w:r>
      <w:r w:rsidRPr="00953770">
        <w:rPr>
          <w:rFonts w:eastAsia="SimSun"/>
          <w:lang w:val="en-US"/>
        </w:rPr>
        <w:t xml:space="preserve"> results provided additional validation to</w:t>
      </w:r>
      <w:r w:rsidR="005F325C">
        <w:rPr>
          <w:rFonts w:eastAsia="SimSun"/>
          <w:lang w:val="en-US"/>
        </w:rPr>
        <w:t xml:space="preserve"> this result for 2011 (see Section 5.3</w:t>
      </w:r>
      <w:r w:rsidRPr="00953770">
        <w:rPr>
          <w:rFonts w:eastAsia="SimSun"/>
          <w:lang w:val="en-US"/>
        </w:rPr>
        <w:t>).</w:t>
      </w:r>
    </w:p>
    <w:p w14:paraId="039D7E3B" w14:textId="77777777" w:rsidR="005A719B" w:rsidRPr="00953770" w:rsidRDefault="005A719B" w:rsidP="00300D36">
      <w:pPr>
        <w:spacing w:line="480" w:lineRule="auto"/>
        <w:jc w:val="both"/>
        <w:rPr>
          <w:rFonts w:eastAsia="SimSun"/>
          <w:lang w:val="en-US"/>
        </w:rPr>
      </w:pPr>
    </w:p>
    <w:p w14:paraId="4C0055DB" w14:textId="32E52895" w:rsidR="005A719B" w:rsidRPr="00953770" w:rsidRDefault="005A719B" w:rsidP="00300D36">
      <w:pPr>
        <w:spacing w:line="480" w:lineRule="auto"/>
        <w:jc w:val="both"/>
        <w:rPr>
          <w:rFonts w:eastAsia="SimSun"/>
          <w:i/>
          <w:lang w:val="en-US"/>
        </w:rPr>
      </w:pPr>
      <w:r>
        <w:rPr>
          <w:rFonts w:eastAsia="SimSun"/>
          <w:i/>
          <w:lang w:val="en-US"/>
        </w:rPr>
        <w:t xml:space="preserve">5.3 </w:t>
      </w:r>
      <w:r w:rsidRPr="00953770">
        <w:rPr>
          <w:rFonts w:eastAsia="SimSun"/>
          <w:i/>
          <w:lang w:val="en-US"/>
        </w:rPr>
        <w:t>Common Factor Weights Results</w:t>
      </w:r>
    </w:p>
    <w:p w14:paraId="16CE659A" w14:textId="6A85E358" w:rsidR="005A719B" w:rsidRPr="00953770" w:rsidRDefault="005A719B" w:rsidP="00300D36">
      <w:pPr>
        <w:spacing w:line="480" w:lineRule="auto"/>
        <w:jc w:val="both"/>
        <w:rPr>
          <w:rFonts w:eastAsia="SimSun"/>
          <w:i/>
          <w:lang w:val="en-US"/>
        </w:rPr>
      </w:pPr>
      <w:r w:rsidRPr="00953770">
        <w:rPr>
          <w:rFonts w:eastAsia="SimSun"/>
          <w:lang w:val="en-US"/>
        </w:rPr>
        <w:t>To</w:t>
      </w:r>
      <w:r>
        <w:rPr>
          <w:rFonts w:eastAsia="SimSun"/>
          <w:lang w:val="en-US"/>
        </w:rPr>
        <w:t xml:space="preserve"> commence</w:t>
      </w:r>
      <w:r w:rsidRPr="00953770">
        <w:rPr>
          <w:rFonts w:eastAsia="SimSun"/>
          <w:lang w:val="en-US"/>
        </w:rPr>
        <w:t xml:space="preserve"> our analysis, we first perform</w:t>
      </w:r>
      <w:r>
        <w:rPr>
          <w:rFonts w:eastAsia="SimSun"/>
          <w:lang w:val="en-US"/>
        </w:rPr>
        <w:t>ed</w:t>
      </w:r>
      <w:r w:rsidRPr="00953770">
        <w:rPr>
          <w:rFonts w:eastAsia="SimSun"/>
          <w:lang w:val="en-US"/>
        </w:rPr>
        <w:t xml:space="preserve"> </w:t>
      </w:r>
      <w:r w:rsidRPr="00953770">
        <w:rPr>
          <w:color w:val="000000" w:themeColor="text1"/>
          <w:lang w:val="en-US"/>
        </w:rPr>
        <w:t>Johansen &amp; Juselius</w:t>
      </w:r>
      <w:r>
        <w:rPr>
          <w:color w:val="000000" w:themeColor="text1"/>
          <w:lang w:val="en-US"/>
        </w:rPr>
        <w:t>’s</w:t>
      </w:r>
      <w:r w:rsidRPr="00953770">
        <w:rPr>
          <w:color w:val="000000" w:themeColor="text1"/>
          <w:lang w:val="en-US"/>
        </w:rPr>
        <w:t xml:space="preserve"> (1990) trace test </w:t>
      </w:r>
      <w:r w:rsidRPr="00953770">
        <w:rPr>
          <w:rFonts w:eastAsia="SimSun"/>
          <w:lang w:val="en-US"/>
        </w:rPr>
        <w:t>for the index derivative markets under FTSE, CAC</w:t>
      </w:r>
      <w:r>
        <w:rPr>
          <w:rFonts w:eastAsia="SimSun"/>
          <w:lang w:val="en-US"/>
        </w:rPr>
        <w:t>,</w:t>
      </w:r>
      <w:r w:rsidRPr="00953770">
        <w:rPr>
          <w:rFonts w:eastAsia="SimSun"/>
          <w:lang w:val="en-US"/>
        </w:rPr>
        <w:t xml:space="preserve"> and DAX </w:t>
      </w:r>
      <w:r>
        <w:rPr>
          <w:rFonts w:eastAsia="SimSun"/>
          <w:lang w:val="en-US"/>
        </w:rPr>
        <w:t xml:space="preserve">for the period </w:t>
      </w:r>
      <w:r w:rsidRPr="00953770">
        <w:rPr>
          <w:rFonts w:eastAsia="SimSun"/>
          <w:lang w:val="en-US"/>
        </w:rPr>
        <w:t xml:space="preserve">2010 to 2013 (see </w:t>
      </w:r>
      <w:r w:rsidR="00D704C0">
        <w:rPr>
          <w:rFonts w:eastAsia="SimSun"/>
          <w:lang w:val="en-US"/>
        </w:rPr>
        <w:t>Table 5</w:t>
      </w:r>
      <w:r w:rsidRPr="00953770">
        <w:rPr>
          <w:rFonts w:eastAsia="SimSun"/>
          <w:lang w:val="en-US"/>
        </w:rPr>
        <w:t xml:space="preserve">). </w:t>
      </w:r>
      <w:r>
        <w:rPr>
          <w:rFonts w:eastAsia="SimSun"/>
          <w:lang w:val="en-US"/>
        </w:rPr>
        <w:t xml:space="preserve">Evidently, </w:t>
      </w:r>
      <w:r w:rsidRPr="00814D5B">
        <w:rPr>
          <w:rFonts w:eastAsia="SimSun"/>
        </w:rPr>
        <w:t xml:space="preserve">as </w:t>
      </w:r>
      <w:r w:rsidRPr="00953770">
        <w:rPr>
          <w:rFonts w:eastAsia="SimSun"/>
          <w:lang w:val="en-US"/>
        </w:rPr>
        <w:t xml:space="preserve">the prices for the futures contracts, </w:t>
      </w:r>
      <w:r>
        <w:rPr>
          <w:rFonts w:eastAsia="SimSun"/>
          <w:lang w:val="en-US"/>
        </w:rPr>
        <w:t>ETFs,</w:t>
      </w:r>
      <w:r w:rsidRPr="00953770">
        <w:rPr>
          <w:rFonts w:eastAsia="SimSun"/>
          <w:lang w:val="en-US"/>
        </w:rPr>
        <w:t xml:space="preserve"> and index values for the same index market </w:t>
      </w:r>
      <w:r>
        <w:rPr>
          <w:rFonts w:eastAsia="SimSun"/>
          <w:lang w:val="en-US"/>
        </w:rPr>
        <w:t>we</w:t>
      </w:r>
      <w:r w:rsidRPr="00953770">
        <w:rPr>
          <w:rFonts w:eastAsia="SimSun"/>
          <w:lang w:val="en-US"/>
        </w:rPr>
        <w:t xml:space="preserve">re based on the same set of underlying assets, these prices should contain one </w:t>
      </w:r>
      <w:r w:rsidRPr="004C2C41">
        <w:rPr>
          <w:rFonts w:eastAsia="SimSun"/>
          <w:lang w:val="en-US"/>
        </w:rPr>
        <w:t>common</w:t>
      </w:r>
      <w:r w:rsidRPr="00953770">
        <w:rPr>
          <w:rFonts w:eastAsia="SimSun"/>
          <w:lang w:val="en-US"/>
        </w:rPr>
        <w:t xml:space="preserve"> informational factor, </w:t>
      </w:r>
      <w:r>
        <w:rPr>
          <w:rFonts w:eastAsia="SimSun"/>
          <w:lang w:val="en-US"/>
        </w:rPr>
        <w:t xml:space="preserve">in </w:t>
      </w:r>
      <w:r w:rsidRPr="00953770">
        <w:rPr>
          <w:rFonts w:eastAsia="SimSun"/>
          <w:lang w:val="en-US"/>
        </w:rPr>
        <w:t xml:space="preserve">spite </w:t>
      </w:r>
      <w:r>
        <w:rPr>
          <w:rFonts w:eastAsia="SimSun"/>
          <w:lang w:val="en-US"/>
        </w:rPr>
        <w:t xml:space="preserve">of </w:t>
      </w:r>
      <w:r w:rsidRPr="00953770">
        <w:rPr>
          <w:rFonts w:eastAsia="SimSun"/>
          <w:lang w:val="en-US"/>
        </w:rPr>
        <w:t xml:space="preserve">the diverse informational roles played by </w:t>
      </w:r>
      <w:r>
        <w:rPr>
          <w:rFonts w:eastAsia="SimSun"/>
          <w:lang w:val="en-US"/>
        </w:rPr>
        <w:t xml:space="preserve">these </w:t>
      </w:r>
      <w:r w:rsidRPr="00953770">
        <w:rPr>
          <w:rFonts w:eastAsia="SimSun"/>
          <w:lang w:val="en-US"/>
        </w:rPr>
        <w:t xml:space="preserve">individual instruments. To examine whether the price series of futures, </w:t>
      </w:r>
      <w:r>
        <w:rPr>
          <w:rFonts w:eastAsia="SimSun"/>
          <w:lang w:val="en-US"/>
        </w:rPr>
        <w:t>ETFs,</w:t>
      </w:r>
      <w:r w:rsidRPr="00953770">
        <w:rPr>
          <w:rFonts w:eastAsia="SimSun"/>
          <w:lang w:val="en-US"/>
        </w:rPr>
        <w:t xml:space="preserve"> and spot index share</w:t>
      </w:r>
      <w:r>
        <w:rPr>
          <w:rFonts w:eastAsia="SimSun"/>
          <w:lang w:val="en-US"/>
        </w:rPr>
        <w:t>d</w:t>
      </w:r>
      <w:r w:rsidRPr="00953770">
        <w:rPr>
          <w:rFonts w:eastAsia="SimSun"/>
          <w:lang w:val="en-US"/>
        </w:rPr>
        <w:t xml:space="preserve"> </w:t>
      </w:r>
      <w:r>
        <w:rPr>
          <w:rFonts w:eastAsia="SimSun"/>
          <w:lang w:val="en-US"/>
        </w:rPr>
        <w:t xml:space="preserve">a </w:t>
      </w:r>
      <w:r w:rsidRPr="00953770">
        <w:rPr>
          <w:rFonts w:eastAsia="SimSun"/>
          <w:lang w:val="en-US"/>
        </w:rPr>
        <w:t>common factor (i.e.</w:t>
      </w:r>
      <w:r>
        <w:rPr>
          <w:rFonts w:eastAsia="SimSun"/>
          <w:lang w:val="en-US"/>
        </w:rPr>
        <w:t>, was</w:t>
      </w:r>
      <w:r w:rsidRPr="00953770">
        <w:rPr>
          <w:rFonts w:eastAsia="SimSun"/>
          <w:lang w:val="en-US"/>
        </w:rPr>
        <w:t xml:space="preserve"> cointegrated)</w:t>
      </w:r>
      <w:r>
        <w:rPr>
          <w:rFonts w:eastAsia="SimSun"/>
          <w:lang w:val="en-US"/>
        </w:rPr>
        <w:t>,</w:t>
      </w:r>
      <w:r w:rsidRPr="00953770">
        <w:rPr>
          <w:rFonts w:eastAsia="SimSun"/>
          <w:lang w:val="en-US"/>
        </w:rPr>
        <w:t xml:space="preserve"> we perform</w:t>
      </w:r>
      <w:r>
        <w:rPr>
          <w:rFonts w:eastAsia="SimSun"/>
          <w:lang w:val="en-US"/>
        </w:rPr>
        <w:t>ed</w:t>
      </w:r>
      <w:r w:rsidRPr="00953770">
        <w:rPr>
          <w:rFonts w:eastAsia="SimSun"/>
          <w:lang w:val="en-US"/>
        </w:rPr>
        <w:t xml:space="preserve"> </w:t>
      </w:r>
      <w:r w:rsidRPr="00953770">
        <w:rPr>
          <w:color w:val="000000" w:themeColor="text1"/>
          <w:lang w:val="en-US"/>
        </w:rPr>
        <w:t>Johansen &amp; Juselius</w:t>
      </w:r>
      <w:r>
        <w:rPr>
          <w:color w:val="000000" w:themeColor="text1"/>
          <w:lang w:val="en-US"/>
        </w:rPr>
        <w:t>’s</w:t>
      </w:r>
      <w:r w:rsidRPr="00953770">
        <w:rPr>
          <w:color w:val="000000" w:themeColor="text1"/>
          <w:lang w:val="en-US"/>
        </w:rPr>
        <w:t xml:space="preserve"> (1990) trace test with the null hypothesis such that there exists at most </w:t>
      </w:r>
      <w:r w:rsidRPr="00953770">
        <w:rPr>
          <w:i/>
          <w:color w:val="000000" w:themeColor="text1"/>
          <w:lang w:val="en-US"/>
        </w:rPr>
        <w:t>r</w:t>
      </w:r>
      <w:r w:rsidRPr="00953770">
        <w:rPr>
          <w:color w:val="000000" w:themeColor="text1"/>
          <w:lang w:val="en-US"/>
        </w:rPr>
        <w:t xml:space="preserve"> cointegrating vectors among them</w:t>
      </w:r>
      <w:r w:rsidRPr="00953770">
        <w:rPr>
          <w:rFonts w:eastAsia="SimSun"/>
          <w:lang w:val="en-US"/>
        </w:rPr>
        <w:t xml:space="preserve">. </w:t>
      </w:r>
      <w:r>
        <w:rPr>
          <w:rFonts w:eastAsia="SimSun"/>
          <w:lang w:val="en-US"/>
        </w:rPr>
        <w:t>Based on the results presented in</w:t>
      </w:r>
      <w:r w:rsidR="0072343D">
        <w:rPr>
          <w:rFonts w:eastAsia="SimSun"/>
          <w:lang w:val="en-US"/>
        </w:rPr>
        <w:t xml:space="preserve"> </w:t>
      </w:r>
      <w:r w:rsidR="00D704C0">
        <w:rPr>
          <w:rFonts w:eastAsia="SimSun"/>
          <w:lang w:val="en-US"/>
        </w:rPr>
        <w:t>Table 5</w:t>
      </w:r>
      <w:r w:rsidRPr="00953770">
        <w:rPr>
          <w:rFonts w:eastAsia="SimSun"/>
          <w:lang w:val="en-US"/>
        </w:rPr>
        <w:t xml:space="preserve">, the null hypothesis that </w:t>
      </w:r>
      <w:r w:rsidRPr="00814D5B">
        <w:rPr>
          <w:rFonts w:eastAsia="SimSun"/>
        </w:rPr>
        <w:t xml:space="preserve">there are </w:t>
      </w:r>
      <w:r w:rsidRPr="00953770">
        <w:rPr>
          <w:rFonts w:eastAsia="SimSun"/>
          <w:lang w:val="en-US"/>
        </w:rPr>
        <w:t xml:space="preserve">most 1 cointegrating vector </w:t>
      </w:r>
      <w:r>
        <w:rPr>
          <w:rFonts w:eastAsia="SimSun"/>
          <w:lang w:val="en-US"/>
        </w:rPr>
        <w:t xml:space="preserve">was </w:t>
      </w:r>
      <w:r w:rsidRPr="00953770">
        <w:rPr>
          <w:rFonts w:eastAsia="SimSun"/>
          <w:lang w:val="en-US"/>
        </w:rPr>
        <w:t xml:space="preserve">rejected for cases </w:t>
      </w:r>
      <w:r>
        <w:rPr>
          <w:rFonts w:eastAsia="SimSun"/>
          <w:lang w:val="en-US"/>
        </w:rPr>
        <w:t>from</w:t>
      </w:r>
      <w:r w:rsidRPr="00953770">
        <w:rPr>
          <w:rFonts w:eastAsia="SimSun"/>
          <w:lang w:val="en-US"/>
        </w:rPr>
        <w:t xml:space="preserve"> all sample periods, as the test statistics </w:t>
      </w:r>
      <m:oMath>
        <m:sSub>
          <m:sSubPr>
            <m:ctrlPr>
              <w:rPr>
                <w:rFonts w:ascii="Cambria Math" w:eastAsia="SimSun" w:hAnsi="Cambria Math"/>
                <w:i/>
                <w:lang w:val="en-US"/>
              </w:rPr>
            </m:ctrlPr>
          </m:sSubPr>
          <m:e>
            <m:r>
              <w:rPr>
                <w:rFonts w:ascii="Cambria Math" w:eastAsia="SimSun" w:hAnsi="Cambria Math"/>
                <w:lang w:val="en-US"/>
              </w:rPr>
              <m:t>λ</m:t>
            </m:r>
          </m:e>
          <m:sub>
            <m:r>
              <w:rPr>
                <w:rFonts w:ascii="Cambria Math" w:eastAsia="SimSun" w:hAnsi="Cambria Math"/>
                <w:lang w:val="en-US"/>
              </w:rPr>
              <m:t>trace</m:t>
            </m:r>
          </m:sub>
        </m:sSub>
      </m:oMath>
      <w:r w:rsidRPr="00953770">
        <w:rPr>
          <w:rFonts w:eastAsia="SimSun"/>
          <w:lang w:val="en-US"/>
        </w:rPr>
        <w:t xml:space="preserve"> </w:t>
      </w:r>
      <w:r>
        <w:rPr>
          <w:rFonts w:eastAsia="SimSun"/>
          <w:lang w:val="en-US"/>
        </w:rPr>
        <w:t>we</w:t>
      </w:r>
      <w:r w:rsidRPr="00953770">
        <w:rPr>
          <w:rFonts w:eastAsia="SimSun"/>
          <w:lang w:val="en-US"/>
        </w:rPr>
        <w:t xml:space="preserve">re all </w:t>
      </w:r>
      <w:r>
        <w:rPr>
          <w:rFonts w:eastAsia="SimSun"/>
          <w:lang w:val="en-US"/>
        </w:rPr>
        <w:t xml:space="preserve">found to be </w:t>
      </w:r>
      <w:r w:rsidRPr="00953770">
        <w:rPr>
          <w:rFonts w:eastAsia="SimSun"/>
          <w:lang w:val="en-US"/>
        </w:rPr>
        <w:t>significantly greater than the 5% critical value. In conjunction with an additional test result of the null of at most 2 cointegrating vectors (</w:t>
      </w:r>
      <w:r>
        <w:rPr>
          <w:rFonts w:eastAsia="SimSun"/>
          <w:lang w:val="en-US"/>
        </w:rPr>
        <w:t>in this case</w:t>
      </w:r>
      <w:r w:rsidRPr="00953770">
        <w:rPr>
          <w:rFonts w:eastAsia="SimSun"/>
          <w:lang w:val="en-US"/>
        </w:rPr>
        <w:t xml:space="preserve">, the null </w:t>
      </w:r>
      <w:r>
        <w:rPr>
          <w:rFonts w:eastAsia="SimSun"/>
          <w:lang w:val="en-US"/>
        </w:rPr>
        <w:t xml:space="preserve">was </w:t>
      </w:r>
      <w:r w:rsidRPr="00953770">
        <w:rPr>
          <w:rFonts w:eastAsia="SimSun"/>
          <w:lang w:val="en-US"/>
        </w:rPr>
        <w:t xml:space="preserve">not rejected for cases across all years as </w:t>
      </w:r>
      <m:oMath>
        <m:sSub>
          <m:sSubPr>
            <m:ctrlPr>
              <w:rPr>
                <w:rFonts w:ascii="Cambria Math" w:eastAsia="SimSun" w:hAnsi="Cambria Math"/>
                <w:i/>
                <w:lang w:val="en-US"/>
              </w:rPr>
            </m:ctrlPr>
          </m:sSubPr>
          <m:e>
            <m:r>
              <w:rPr>
                <w:rFonts w:ascii="Cambria Math" w:eastAsia="SimSun" w:hAnsi="Cambria Math"/>
                <w:lang w:val="en-US"/>
              </w:rPr>
              <m:t>λ</m:t>
            </m:r>
          </m:e>
          <m:sub>
            <m:r>
              <w:rPr>
                <w:rFonts w:ascii="Cambria Math" w:eastAsia="SimSun" w:hAnsi="Cambria Math"/>
                <w:lang w:val="en-US"/>
              </w:rPr>
              <m:t>trace</m:t>
            </m:r>
          </m:sub>
        </m:sSub>
      </m:oMath>
      <w:r w:rsidRPr="00953770">
        <w:rPr>
          <w:rFonts w:eastAsia="SimSun"/>
          <w:lang w:val="en-US"/>
        </w:rPr>
        <w:t xml:space="preserve"> </w:t>
      </w:r>
      <w:r>
        <w:rPr>
          <w:rFonts w:eastAsia="SimSun"/>
          <w:lang w:val="en-US"/>
        </w:rPr>
        <w:t xml:space="preserve">was </w:t>
      </w:r>
      <w:r w:rsidRPr="00953770">
        <w:rPr>
          <w:rFonts w:eastAsia="SimSun"/>
          <w:lang w:val="en-US"/>
        </w:rPr>
        <w:t>below the 5% critical value), we conclude</w:t>
      </w:r>
      <w:r>
        <w:rPr>
          <w:rFonts w:eastAsia="SimSun"/>
          <w:lang w:val="en-US"/>
        </w:rPr>
        <w:t>d</w:t>
      </w:r>
      <w:r w:rsidRPr="00953770">
        <w:rPr>
          <w:rFonts w:eastAsia="SimSun"/>
          <w:lang w:val="en-US"/>
        </w:rPr>
        <w:t xml:space="preserve"> that that the three demeaned log price series of spot index, index futures</w:t>
      </w:r>
      <w:r>
        <w:rPr>
          <w:rFonts w:eastAsia="SimSun"/>
          <w:lang w:val="en-US"/>
        </w:rPr>
        <w:t>,</w:t>
      </w:r>
      <w:r w:rsidRPr="00953770">
        <w:rPr>
          <w:rFonts w:eastAsia="SimSun"/>
          <w:lang w:val="en-US"/>
        </w:rPr>
        <w:t xml:space="preserve"> and index tracking </w:t>
      </w:r>
      <w:r>
        <w:rPr>
          <w:rFonts w:eastAsia="SimSun"/>
          <w:lang w:val="en-US"/>
        </w:rPr>
        <w:t>ETFs</w:t>
      </w:r>
      <w:r w:rsidRPr="00953770">
        <w:rPr>
          <w:rFonts w:eastAsia="SimSun"/>
          <w:lang w:val="en-US"/>
        </w:rPr>
        <w:t xml:space="preserve"> </w:t>
      </w:r>
      <w:r>
        <w:rPr>
          <w:rFonts w:eastAsia="SimSun"/>
          <w:lang w:val="en-US"/>
        </w:rPr>
        <w:t xml:space="preserve">were </w:t>
      </w:r>
      <w:r w:rsidRPr="00953770">
        <w:rPr>
          <w:rFonts w:eastAsia="SimSun"/>
          <w:lang w:val="en-US"/>
        </w:rPr>
        <w:t>all cointegrated in each of the three index markets FTSE, CAC</w:t>
      </w:r>
      <w:r>
        <w:rPr>
          <w:rFonts w:eastAsia="SimSun"/>
          <w:lang w:val="en-US"/>
        </w:rPr>
        <w:t>,</w:t>
      </w:r>
      <w:r w:rsidRPr="00953770">
        <w:rPr>
          <w:rFonts w:eastAsia="SimSun"/>
          <w:lang w:val="en-US"/>
        </w:rPr>
        <w:t xml:space="preserve"> and DAX across all sample years. In particular, we </w:t>
      </w:r>
      <w:r>
        <w:rPr>
          <w:rFonts w:eastAsia="SimSun"/>
          <w:lang w:val="en-US"/>
        </w:rPr>
        <w:t>learned</w:t>
      </w:r>
      <w:r w:rsidRPr="00953770">
        <w:rPr>
          <w:rFonts w:eastAsia="SimSun"/>
          <w:lang w:val="en-US"/>
        </w:rPr>
        <w:t xml:space="preserve"> that the three series are cointegrated with two cointegrating vectors, </w:t>
      </w:r>
      <w:r>
        <w:rPr>
          <w:rFonts w:eastAsia="SimSun"/>
          <w:lang w:val="en-US"/>
        </w:rPr>
        <w:t xml:space="preserve">which implies </w:t>
      </w:r>
      <w:r w:rsidRPr="00953770">
        <w:rPr>
          <w:rFonts w:eastAsia="SimSun"/>
          <w:lang w:val="en-US"/>
        </w:rPr>
        <w:t>that they share one common stochastic trend.</w:t>
      </w:r>
    </w:p>
    <w:p w14:paraId="071C858A" w14:textId="77777777" w:rsidR="005A719B" w:rsidRPr="00953770" w:rsidRDefault="005A719B" w:rsidP="00D75F91">
      <w:pPr>
        <w:rPr>
          <w:lang w:val="en-US"/>
        </w:rPr>
      </w:pPr>
    </w:p>
    <w:p w14:paraId="78B03C20" w14:textId="77777777" w:rsidR="005A719B" w:rsidRPr="00953770" w:rsidRDefault="005A719B" w:rsidP="00BB1605">
      <w:pPr>
        <w:rPr>
          <w:lang w:val="en-US"/>
        </w:rPr>
        <w:sectPr w:rsidR="005A719B" w:rsidRPr="00953770" w:rsidSect="007D2CAB">
          <w:endnotePr>
            <w:numFmt w:val="decimal"/>
          </w:endnotePr>
          <w:pgSz w:w="11900" w:h="16840" w:code="9"/>
          <w:pgMar w:top="1440" w:right="1440" w:bottom="1440" w:left="1440" w:header="709" w:footer="709" w:gutter="0"/>
          <w:cols w:space="708"/>
          <w:docGrid w:linePitch="360"/>
        </w:sectPr>
      </w:pPr>
      <w:r w:rsidRPr="00953770">
        <w:rPr>
          <w:lang w:val="en-US"/>
        </w:rPr>
        <w:br w:type="page"/>
      </w:r>
    </w:p>
    <w:p w14:paraId="6C3C19DB" w14:textId="44046C01" w:rsidR="005A719B" w:rsidRPr="00953770" w:rsidRDefault="005A719B" w:rsidP="00BB1605">
      <w:pPr>
        <w:rPr>
          <w:lang w:val="en-US"/>
        </w:rPr>
      </w:pPr>
    </w:p>
    <w:tbl>
      <w:tblPr>
        <w:tblStyle w:val="TableGrid2"/>
        <w:tblW w:w="0" w:type="auto"/>
        <w:jc w:val="center"/>
        <w:tblLook w:val="04A0" w:firstRow="1" w:lastRow="0" w:firstColumn="1" w:lastColumn="0" w:noHBand="0" w:noVBand="1"/>
      </w:tblPr>
      <w:tblGrid>
        <w:gridCol w:w="2471"/>
        <w:gridCol w:w="1366"/>
        <w:gridCol w:w="1507"/>
        <w:gridCol w:w="1365"/>
        <w:gridCol w:w="1507"/>
        <w:gridCol w:w="1365"/>
        <w:gridCol w:w="1507"/>
        <w:gridCol w:w="1365"/>
        <w:gridCol w:w="1507"/>
      </w:tblGrid>
      <w:tr w:rsidR="005A719B" w:rsidRPr="00953770" w14:paraId="60DFF804" w14:textId="77777777" w:rsidTr="00E775A6">
        <w:trPr>
          <w:trHeight w:val="432"/>
          <w:jc w:val="center"/>
        </w:trPr>
        <w:tc>
          <w:tcPr>
            <w:tcW w:w="0" w:type="auto"/>
            <w:gridSpan w:val="9"/>
            <w:tcBorders>
              <w:top w:val="nil"/>
              <w:left w:val="nil"/>
              <w:right w:val="nil"/>
            </w:tcBorders>
            <w:vAlign w:val="center"/>
          </w:tcPr>
          <w:p w14:paraId="07568B5B" w14:textId="2F2537E4" w:rsidR="005A719B" w:rsidRPr="00953770" w:rsidRDefault="00D704C0" w:rsidP="00323638">
            <w:pPr>
              <w:spacing w:line="276" w:lineRule="auto"/>
              <w:jc w:val="center"/>
              <w:rPr>
                <w:b/>
                <w:color w:val="000000" w:themeColor="text1"/>
                <w:sz w:val="24"/>
                <w:szCs w:val="24"/>
                <w:lang w:val="en-US"/>
              </w:rPr>
            </w:pPr>
            <w:r>
              <w:rPr>
                <w:b/>
                <w:color w:val="000000" w:themeColor="text1"/>
                <w:sz w:val="24"/>
                <w:szCs w:val="24"/>
                <w:lang w:val="en-US"/>
              </w:rPr>
              <w:t>Table 5</w:t>
            </w:r>
            <w:r w:rsidR="005A719B" w:rsidRPr="00953770">
              <w:rPr>
                <w:b/>
                <w:color w:val="000000" w:themeColor="text1"/>
                <w:sz w:val="24"/>
                <w:szCs w:val="24"/>
                <w:lang w:val="en-US"/>
              </w:rPr>
              <w:t xml:space="preserve"> Johansen and Juselius (1990) Trace Test</w:t>
            </w:r>
          </w:p>
          <w:p w14:paraId="1E2CE92B" w14:textId="77777777" w:rsidR="005A719B" w:rsidRPr="00953770" w:rsidRDefault="005A719B" w:rsidP="009633AF">
            <w:pPr>
              <w:spacing w:line="276" w:lineRule="auto"/>
              <w:rPr>
                <w:color w:val="000000" w:themeColor="text1"/>
                <w:sz w:val="16"/>
                <w:szCs w:val="16"/>
                <w:lang w:val="en-US"/>
              </w:rPr>
            </w:pPr>
          </w:p>
          <w:p w14:paraId="2342BB2F" w14:textId="7AC60A63" w:rsidR="005A719B" w:rsidRPr="00623603" w:rsidRDefault="00D704C0" w:rsidP="00623603">
            <w:pPr>
              <w:spacing w:line="480" w:lineRule="auto"/>
              <w:jc w:val="center"/>
              <w:rPr>
                <w:i/>
                <w:color w:val="000000" w:themeColor="text1"/>
                <w:sz w:val="16"/>
                <w:szCs w:val="16"/>
                <w:lang w:val="en-US"/>
              </w:rPr>
            </w:pPr>
            <w:r>
              <w:rPr>
                <w:i/>
                <w:color w:val="000000" w:themeColor="text1"/>
                <w:sz w:val="16"/>
                <w:szCs w:val="16"/>
                <w:lang w:val="en-US"/>
              </w:rPr>
              <w:t>Table 5</w:t>
            </w:r>
            <w:r w:rsidR="00623603" w:rsidRPr="00953770">
              <w:rPr>
                <w:i/>
                <w:color w:val="000000" w:themeColor="text1"/>
                <w:sz w:val="16"/>
                <w:szCs w:val="16"/>
                <w:lang w:val="en-US"/>
              </w:rPr>
              <w:t xml:space="preserve"> </w:t>
            </w:r>
            <w:r w:rsidR="00623603">
              <w:rPr>
                <w:i/>
                <w:color w:val="000000" w:themeColor="text1"/>
                <w:sz w:val="16"/>
                <w:szCs w:val="16"/>
                <w:lang w:val="en-US"/>
              </w:rPr>
              <w:t>present</w:t>
            </w:r>
            <w:r w:rsidR="00623603" w:rsidRPr="00953770">
              <w:rPr>
                <w:i/>
                <w:color w:val="000000" w:themeColor="text1"/>
                <w:sz w:val="16"/>
                <w:szCs w:val="16"/>
                <w:lang w:val="en-US"/>
              </w:rPr>
              <w:t>s Johansen &amp; Juselius</w:t>
            </w:r>
            <w:r w:rsidR="00623603">
              <w:rPr>
                <w:i/>
                <w:color w:val="000000" w:themeColor="text1"/>
                <w:sz w:val="16"/>
                <w:szCs w:val="16"/>
                <w:lang w:val="en-US"/>
              </w:rPr>
              <w:t>’s</w:t>
            </w:r>
            <w:r w:rsidR="00623603" w:rsidRPr="00953770">
              <w:rPr>
                <w:i/>
                <w:color w:val="000000" w:themeColor="text1"/>
                <w:sz w:val="16"/>
                <w:szCs w:val="16"/>
                <w:lang w:val="en-US"/>
              </w:rPr>
              <w:t xml:space="preserve"> (1990) trace test result to determine the cointegrating rank of the long-run </w:t>
            </w:r>
            <w:r w:rsidR="00623603" w:rsidRPr="00953770">
              <w:rPr>
                <w:rFonts w:eastAsia="SimSun"/>
                <w:i/>
                <w:color w:val="000000" w:themeColor="text1"/>
                <w:sz w:val="16"/>
                <w:szCs w:val="16"/>
                <w:lang w:val="en-US"/>
              </w:rPr>
              <w:t xml:space="preserve">π </w:t>
            </w:r>
            <w:r w:rsidR="00623603" w:rsidRPr="00953770">
              <w:rPr>
                <w:i/>
                <w:color w:val="000000" w:themeColor="text1"/>
                <w:sz w:val="16"/>
                <w:szCs w:val="16"/>
                <w:lang w:val="en-US"/>
              </w:rPr>
              <w:t>matrix. The results suggest that the demeaned log prices of equity indices, futures</w:t>
            </w:r>
            <w:r w:rsidR="00623603">
              <w:rPr>
                <w:i/>
                <w:color w:val="000000" w:themeColor="text1"/>
                <w:sz w:val="16"/>
                <w:szCs w:val="16"/>
                <w:lang w:val="en-US"/>
              </w:rPr>
              <w:t xml:space="preserve">, </w:t>
            </w:r>
            <w:r w:rsidR="00623603" w:rsidRPr="00953770">
              <w:rPr>
                <w:i/>
                <w:color w:val="000000" w:themeColor="text1"/>
                <w:sz w:val="16"/>
                <w:szCs w:val="16"/>
                <w:lang w:val="en-US"/>
              </w:rPr>
              <w:t xml:space="preserve">and </w:t>
            </w:r>
            <w:r w:rsidR="00623603">
              <w:rPr>
                <w:i/>
                <w:color w:val="000000" w:themeColor="text1"/>
                <w:sz w:val="16"/>
                <w:szCs w:val="16"/>
                <w:lang w:val="en-US"/>
              </w:rPr>
              <w:t>ETFs</w:t>
            </w:r>
            <w:r w:rsidR="00623603" w:rsidRPr="00953770">
              <w:rPr>
                <w:i/>
                <w:color w:val="000000" w:themeColor="text1"/>
                <w:sz w:val="16"/>
                <w:szCs w:val="16"/>
                <w:lang w:val="en-US"/>
              </w:rPr>
              <w:t xml:space="preserve"> of each of the FTSE, CAC, and DAX index markets are all cointegrated over all sample periods.</w:t>
            </w:r>
          </w:p>
          <w:p w14:paraId="50BC3F94" w14:textId="77777777" w:rsidR="005A719B" w:rsidRPr="00623603" w:rsidRDefault="005A719B" w:rsidP="00242F46">
            <w:pPr>
              <w:spacing w:line="480" w:lineRule="auto"/>
              <w:jc w:val="center"/>
              <w:rPr>
                <w:rFonts w:eastAsia="SimSun"/>
                <w:sz w:val="20"/>
                <w:szCs w:val="20"/>
                <w:lang w:val="en-US"/>
              </w:rPr>
            </w:pPr>
            <w:r w:rsidRPr="00623603">
              <w:rPr>
                <w:rFonts w:eastAsia="SimSun"/>
                <w:sz w:val="20"/>
                <w:szCs w:val="20"/>
                <w:lang w:val="en-US"/>
              </w:rPr>
              <w:t>FTSE 100</w:t>
            </w:r>
          </w:p>
        </w:tc>
      </w:tr>
      <w:tr w:rsidR="005A719B" w:rsidRPr="00953770" w14:paraId="06583D09" w14:textId="77777777" w:rsidTr="00743A31">
        <w:trPr>
          <w:trHeight w:val="432"/>
          <w:jc w:val="center"/>
        </w:trPr>
        <w:tc>
          <w:tcPr>
            <w:tcW w:w="0" w:type="auto"/>
            <w:vAlign w:val="center"/>
          </w:tcPr>
          <w:p w14:paraId="0B3A96D6" w14:textId="77777777" w:rsidR="005A719B" w:rsidRPr="00953770" w:rsidRDefault="005A719B" w:rsidP="00242F46">
            <w:pPr>
              <w:jc w:val="center"/>
              <w:rPr>
                <w:rFonts w:eastAsia="SimSun"/>
                <w:sz w:val="20"/>
                <w:szCs w:val="20"/>
                <w:lang w:val="en-US"/>
              </w:rPr>
            </w:pPr>
          </w:p>
        </w:tc>
        <w:tc>
          <w:tcPr>
            <w:tcW w:w="0" w:type="auto"/>
            <w:gridSpan w:val="2"/>
            <w:vAlign w:val="center"/>
          </w:tcPr>
          <w:p w14:paraId="61B93A0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2010</w:t>
            </w:r>
          </w:p>
        </w:tc>
        <w:tc>
          <w:tcPr>
            <w:tcW w:w="0" w:type="auto"/>
            <w:gridSpan w:val="2"/>
            <w:vAlign w:val="center"/>
          </w:tcPr>
          <w:p w14:paraId="19F2FCED"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2011</w:t>
            </w:r>
          </w:p>
        </w:tc>
        <w:tc>
          <w:tcPr>
            <w:tcW w:w="0" w:type="auto"/>
            <w:gridSpan w:val="2"/>
            <w:vAlign w:val="center"/>
          </w:tcPr>
          <w:p w14:paraId="19DDCB4B"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2012</w:t>
            </w:r>
          </w:p>
        </w:tc>
        <w:tc>
          <w:tcPr>
            <w:tcW w:w="0" w:type="auto"/>
            <w:gridSpan w:val="2"/>
            <w:vAlign w:val="center"/>
          </w:tcPr>
          <w:p w14:paraId="6CCCC2C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2013</w:t>
            </w:r>
          </w:p>
        </w:tc>
      </w:tr>
      <w:tr w:rsidR="005A719B" w:rsidRPr="00953770" w14:paraId="2B2643D8" w14:textId="77777777" w:rsidTr="00743A31">
        <w:trPr>
          <w:trHeight w:val="432"/>
          <w:jc w:val="center"/>
        </w:trPr>
        <w:tc>
          <w:tcPr>
            <w:tcW w:w="0" w:type="auto"/>
            <w:vAlign w:val="center"/>
          </w:tcPr>
          <w:p w14:paraId="022A2A5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Hypothesized No. of CV(s)</w:t>
            </w:r>
          </w:p>
        </w:tc>
        <w:tc>
          <w:tcPr>
            <w:tcW w:w="0" w:type="auto"/>
            <w:vAlign w:val="center"/>
          </w:tcPr>
          <w:p w14:paraId="26A7C5B8"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0D58E37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261AF88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73BCA0D7"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26733D7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2E0A8EBF"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661300EA" w14:textId="77777777" w:rsidR="005A719B" w:rsidRPr="00953770" w:rsidRDefault="00876BB8" w:rsidP="00242F46">
            <w:pPr>
              <w:jc w:val="center"/>
              <w:rPr>
                <w:rFonts w:eastAsia="SimSun"/>
                <w:sz w:val="20"/>
                <w:szCs w:val="20"/>
                <w:lang w:val="en-US"/>
              </w:rPr>
            </w:pPr>
            <m:oMathPara>
              <m:oMathParaPr>
                <m:jc m:val="center"/>
              </m:oMathParaPr>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0216EE73"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44C6524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07500103"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23437A9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6EC232DD"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r>
      <w:tr w:rsidR="005A719B" w:rsidRPr="00953770" w14:paraId="70C9EB33" w14:textId="77777777" w:rsidTr="00743A31">
        <w:trPr>
          <w:trHeight w:val="432"/>
          <w:jc w:val="center"/>
        </w:trPr>
        <w:tc>
          <w:tcPr>
            <w:tcW w:w="0" w:type="auto"/>
            <w:vAlign w:val="center"/>
          </w:tcPr>
          <w:p w14:paraId="76057D2C" w14:textId="7D18F5D1"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0</w:t>
            </w:r>
          </w:p>
        </w:tc>
        <w:tc>
          <w:tcPr>
            <w:tcW w:w="0" w:type="auto"/>
            <w:vAlign w:val="center"/>
          </w:tcPr>
          <w:p w14:paraId="4B9FFAAB" w14:textId="66BC6AFC" w:rsidR="005A719B" w:rsidRPr="00953770" w:rsidRDefault="005A719B" w:rsidP="00242F46">
            <w:pPr>
              <w:jc w:val="center"/>
              <w:rPr>
                <w:rFonts w:eastAsia="SimSun"/>
                <w:sz w:val="20"/>
                <w:szCs w:val="20"/>
                <w:lang w:val="en-US"/>
              </w:rPr>
            </w:pPr>
            <w:r w:rsidRPr="00953770">
              <w:rPr>
                <w:rFonts w:eastAsia="SimSun"/>
                <w:sz w:val="20"/>
                <w:szCs w:val="20"/>
                <w:lang w:val="en-US"/>
              </w:rPr>
              <w:t>356.4063</w:t>
            </w:r>
            <w:r w:rsidR="00623603">
              <w:rPr>
                <w:rFonts w:eastAsia="SimSun"/>
                <w:sz w:val="20"/>
                <w:szCs w:val="20"/>
                <w:lang w:val="en-US"/>
              </w:rPr>
              <w:t>*</w:t>
            </w:r>
          </w:p>
        </w:tc>
        <w:tc>
          <w:tcPr>
            <w:tcW w:w="0" w:type="auto"/>
            <w:vAlign w:val="center"/>
          </w:tcPr>
          <w:p w14:paraId="53604B5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3037EF13" w14:textId="5E2B3A87" w:rsidR="005A719B" w:rsidRPr="00953770" w:rsidRDefault="005A719B" w:rsidP="00242F46">
            <w:pPr>
              <w:jc w:val="center"/>
              <w:rPr>
                <w:rFonts w:eastAsia="SimSun"/>
                <w:sz w:val="20"/>
                <w:szCs w:val="20"/>
                <w:lang w:val="en-US"/>
              </w:rPr>
            </w:pPr>
            <w:r w:rsidRPr="00953770">
              <w:rPr>
                <w:rFonts w:eastAsia="SimSun"/>
                <w:sz w:val="20"/>
                <w:szCs w:val="20"/>
                <w:lang w:val="en-US"/>
              </w:rPr>
              <w:t>425.4435</w:t>
            </w:r>
            <w:r w:rsidR="00623603">
              <w:rPr>
                <w:rFonts w:eastAsia="SimSun"/>
                <w:sz w:val="20"/>
                <w:szCs w:val="20"/>
                <w:lang w:val="en-US"/>
              </w:rPr>
              <w:t>*</w:t>
            </w:r>
          </w:p>
        </w:tc>
        <w:tc>
          <w:tcPr>
            <w:tcW w:w="0" w:type="auto"/>
            <w:vAlign w:val="center"/>
          </w:tcPr>
          <w:p w14:paraId="6CDB7FE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3BC665C9" w14:textId="47AE125A" w:rsidR="005A719B" w:rsidRPr="00953770" w:rsidRDefault="005A719B" w:rsidP="00242F46">
            <w:pPr>
              <w:jc w:val="center"/>
              <w:rPr>
                <w:rFonts w:eastAsia="SimSun"/>
                <w:sz w:val="20"/>
                <w:szCs w:val="20"/>
                <w:lang w:val="en-US"/>
              </w:rPr>
            </w:pPr>
            <w:r w:rsidRPr="00953770">
              <w:rPr>
                <w:rFonts w:eastAsia="SimSun"/>
                <w:sz w:val="20"/>
                <w:szCs w:val="20"/>
                <w:lang w:val="en-US"/>
              </w:rPr>
              <w:t>565.0639</w:t>
            </w:r>
            <w:r w:rsidR="00E37D63">
              <w:rPr>
                <w:rFonts w:eastAsia="SimSun"/>
                <w:sz w:val="20"/>
                <w:szCs w:val="20"/>
                <w:lang w:val="en-US"/>
              </w:rPr>
              <w:t>*</w:t>
            </w:r>
          </w:p>
        </w:tc>
        <w:tc>
          <w:tcPr>
            <w:tcW w:w="0" w:type="auto"/>
            <w:vAlign w:val="center"/>
          </w:tcPr>
          <w:p w14:paraId="453B919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194CD87F" w14:textId="1546FF1D" w:rsidR="005A719B" w:rsidRPr="00953770" w:rsidRDefault="005A719B" w:rsidP="00242F46">
            <w:pPr>
              <w:jc w:val="center"/>
              <w:rPr>
                <w:rFonts w:eastAsia="SimSun"/>
                <w:sz w:val="20"/>
                <w:szCs w:val="20"/>
                <w:lang w:val="en-US"/>
              </w:rPr>
            </w:pPr>
            <w:r w:rsidRPr="00953770">
              <w:rPr>
                <w:rFonts w:eastAsia="SimSun"/>
                <w:sz w:val="20"/>
                <w:szCs w:val="20"/>
                <w:lang w:val="en-US"/>
              </w:rPr>
              <w:t>202.6593</w:t>
            </w:r>
            <w:r w:rsidR="00E37D63">
              <w:rPr>
                <w:rFonts w:eastAsia="SimSun"/>
                <w:sz w:val="20"/>
                <w:szCs w:val="20"/>
                <w:lang w:val="en-US"/>
              </w:rPr>
              <w:t>*</w:t>
            </w:r>
          </w:p>
        </w:tc>
        <w:tc>
          <w:tcPr>
            <w:tcW w:w="0" w:type="auto"/>
            <w:vAlign w:val="center"/>
          </w:tcPr>
          <w:p w14:paraId="341A5209"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r>
      <w:tr w:rsidR="005A719B" w:rsidRPr="00953770" w14:paraId="1CF3FD1D" w14:textId="77777777" w:rsidTr="0035419E">
        <w:trPr>
          <w:trHeight w:val="432"/>
          <w:jc w:val="center"/>
        </w:trPr>
        <w:tc>
          <w:tcPr>
            <w:tcW w:w="0" w:type="auto"/>
            <w:tcBorders>
              <w:bottom w:val="single" w:sz="4" w:space="0" w:color="auto"/>
            </w:tcBorders>
            <w:vAlign w:val="center"/>
          </w:tcPr>
          <w:p w14:paraId="0D50EBC2" w14:textId="204F2899" w:rsidR="005A719B" w:rsidRPr="00953770" w:rsidRDefault="005A719B" w:rsidP="00242F46">
            <w:pPr>
              <w:jc w:val="center"/>
              <w:rPr>
                <w:rFonts w:eastAsia="SimSun"/>
                <w:sz w:val="20"/>
                <w:szCs w:val="20"/>
                <w:lang w:val="en-US"/>
              </w:rPr>
            </w:pPr>
            <w:r w:rsidRPr="00953770">
              <w:rPr>
                <w:rFonts w:eastAsia="SimSun"/>
                <w:sz w:val="20"/>
                <w:szCs w:val="20"/>
                <w:lang w:val="en-US"/>
              </w:rPr>
              <w:t>r</w:t>
            </w:r>
            <w:r>
              <w:rPr>
                <w:rFonts w:eastAsia="SimSun"/>
                <w:sz w:val="20"/>
                <w:szCs w:val="20"/>
                <w:lang w:val="en-US"/>
              </w:rPr>
              <w:t xml:space="preserve">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1</w:t>
            </w:r>
          </w:p>
        </w:tc>
        <w:tc>
          <w:tcPr>
            <w:tcW w:w="0" w:type="auto"/>
            <w:tcBorders>
              <w:bottom w:val="single" w:sz="4" w:space="0" w:color="auto"/>
            </w:tcBorders>
            <w:vAlign w:val="center"/>
          </w:tcPr>
          <w:p w14:paraId="74711810" w14:textId="65613B42" w:rsidR="005A719B" w:rsidRPr="00953770" w:rsidRDefault="005A719B" w:rsidP="00242F46">
            <w:pPr>
              <w:jc w:val="center"/>
              <w:rPr>
                <w:rFonts w:eastAsia="SimSun"/>
                <w:sz w:val="20"/>
                <w:szCs w:val="20"/>
                <w:lang w:val="en-US"/>
              </w:rPr>
            </w:pPr>
            <w:r w:rsidRPr="00953770">
              <w:rPr>
                <w:rFonts w:eastAsia="SimSun"/>
                <w:sz w:val="20"/>
                <w:szCs w:val="20"/>
                <w:lang w:val="en-US"/>
              </w:rPr>
              <w:t>30.50086</w:t>
            </w:r>
            <w:r w:rsidR="00623603">
              <w:rPr>
                <w:rFonts w:eastAsia="SimSun"/>
                <w:sz w:val="20"/>
                <w:szCs w:val="20"/>
                <w:lang w:val="en-US"/>
              </w:rPr>
              <w:t>*</w:t>
            </w:r>
          </w:p>
        </w:tc>
        <w:tc>
          <w:tcPr>
            <w:tcW w:w="0" w:type="auto"/>
            <w:tcBorders>
              <w:bottom w:val="single" w:sz="4" w:space="0" w:color="auto"/>
            </w:tcBorders>
            <w:vAlign w:val="center"/>
          </w:tcPr>
          <w:p w14:paraId="31B50C8F"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09AF8F69" w14:textId="3B7127EE" w:rsidR="005A719B" w:rsidRPr="00953770" w:rsidRDefault="005A719B" w:rsidP="00242F46">
            <w:pPr>
              <w:jc w:val="center"/>
              <w:rPr>
                <w:rFonts w:eastAsia="SimSun"/>
                <w:sz w:val="20"/>
                <w:szCs w:val="20"/>
                <w:lang w:val="en-US"/>
              </w:rPr>
            </w:pPr>
            <w:r w:rsidRPr="00953770">
              <w:rPr>
                <w:rFonts w:eastAsia="SimSun"/>
                <w:sz w:val="20"/>
                <w:szCs w:val="20"/>
                <w:lang w:val="en-US"/>
              </w:rPr>
              <w:t>30.00253</w:t>
            </w:r>
            <w:r w:rsidR="00623603">
              <w:rPr>
                <w:rFonts w:eastAsia="SimSun"/>
                <w:sz w:val="20"/>
                <w:szCs w:val="20"/>
                <w:lang w:val="en-US"/>
              </w:rPr>
              <w:t>*</w:t>
            </w:r>
          </w:p>
        </w:tc>
        <w:tc>
          <w:tcPr>
            <w:tcW w:w="0" w:type="auto"/>
            <w:tcBorders>
              <w:bottom w:val="single" w:sz="4" w:space="0" w:color="auto"/>
            </w:tcBorders>
            <w:vAlign w:val="center"/>
          </w:tcPr>
          <w:p w14:paraId="2F1D713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178DC638" w14:textId="7C02DF8C" w:rsidR="005A719B" w:rsidRPr="00953770" w:rsidRDefault="005A719B" w:rsidP="00242F46">
            <w:pPr>
              <w:jc w:val="center"/>
              <w:rPr>
                <w:rFonts w:eastAsia="SimSun"/>
                <w:sz w:val="20"/>
                <w:szCs w:val="20"/>
                <w:lang w:val="en-US"/>
              </w:rPr>
            </w:pPr>
            <w:r w:rsidRPr="00953770">
              <w:rPr>
                <w:rFonts w:eastAsia="SimSun"/>
                <w:sz w:val="20"/>
                <w:szCs w:val="20"/>
                <w:lang w:val="en-US"/>
              </w:rPr>
              <w:t>68.14124</w:t>
            </w:r>
            <w:r w:rsidR="00E37D63">
              <w:rPr>
                <w:rFonts w:eastAsia="SimSun"/>
                <w:sz w:val="20"/>
                <w:szCs w:val="20"/>
                <w:lang w:val="en-US"/>
              </w:rPr>
              <w:t>*</w:t>
            </w:r>
          </w:p>
        </w:tc>
        <w:tc>
          <w:tcPr>
            <w:tcW w:w="0" w:type="auto"/>
            <w:tcBorders>
              <w:bottom w:val="single" w:sz="4" w:space="0" w:color="auto"/>
            </w:tcBorders>
            <w:vAlign w:val="center"/>
          </w:tcPr>
          <w:p w14:paraId="34FA076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76FA783E" w14:textId="5FB5BBBF" w:rsidR="005A719B" w:rsidRPr="00953770" w:rsidRDefault="005A719B" w:rsidP="00242F46">
            <w:pPr>
              <w:jc w:val="center"/>
              <w:rPr>
                <w:rFonts w:eastAsia="SimSun"/>
                <w:sz w:val="20"/>
                <w:szCs w:val="20"/>
                <w:lang w:val="en-US"/>
              </w:rPr>
            </w:pPr>
            <w:r w:rsidRPr="00953770">
              <w:rPr>
                <w:rFonts w:eastAsia="SimSun"/>
                <w:sz w:val="20"/>
                <w:szCs w:val="20"/>
                <w:lang w:val="en-US"/>
              </w:rPr>
              <w:t>42.73061</w:t>
            </w:r>
            <w:r w:rsidR="00E37D63">
              <w:rPr>
                <w:rFonts w:eastAsia="SimSun"/>
                <w:sz w:val="20"/>
                <w:szCs w:val="20"/>
                <w:lang w:val="en-US"/>
              </w:rPr>
              <w:t>*</w:t>
            </w:r>
          </w:p>
        </w:tc>
        <w:tc>
          <w:tcPr>
            <w:tcW w:w="0" w:type="auto"/>
            <w:tcBorders>
              <w:bottom w:val="single" w:sz="4" w:space="0" w:color="auto"/>
            </w:tcBorders>
            <w:vAlign w:val="center"/>
          </w:tcPr>
          <w:p w14:paraId="01E3D87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r>
      <w:tr w:rsidR="005A719B" w:rsidRPr="00953770" w14:paraId="166ECD87" w14:textId="77777777" w:rsidTr="0035419E">
        <w:trPr>
          <w:trHeight w:val="432"/>
          <w:jc w:val="center"/>
        </w:trPr>
        <w:tc>
          <w:tcPr>
            <w:tcW w:w="0" w:type="auto"/>
            <w:tcBorders>
              <w:bottom w:val="single" w:sz="4" w:space="0" w:color="auto"/>
            </w:tcBorders>
            <w:vAlign w:val="center"/>
          </w:tcPr>
          <w:p w14:paraId="5741F7A2" w14:textId="419B58BF"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2</w:t>
            </w:r>
          </w:p>
        </w:tc>
        <w:tc>
          <w:tcPr>
            <w:tcW w:w="0" w:type="auto"/>
            <w:tcBorders>
              <w:bottom w:val="single" w:sz="4" w:space="0" w:color="auto"/>
            </w:tcBorders>
            <w:vAlign w:val="center"/>
          </w:tcPr>
          <w:p w14:paraId="18C5F83E"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10.41709</w:t>
            </w:r>
          </w:p>
        </w:tc>
        <w:tc>
          <w:tcPr>
            <w:tcW w:w="0" w:type="auto"/>
            <w:tcBorders>
              <w:bottom w:val="single" w:sz="4" w:space="0" w:color="auto"/>
            </w:tcBorders>
            <w:vAlign w:val="center"/>
          </w:tcPr>
          <w:p w14:paraId="7DD115B2"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593A503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8.882032</w:t>
            </w:r>
          </w:p>
        </w:tc>
        <w:tc>
          <w:tcPr>
            <w:tcW w:w="0" w:type="auto"/>
            <w:tcBorders>
              <w:bottom w:val="single" w:sz="4" w:space="0" w:color="auto"/>
            </w:tcBorders>
            <w:vAlign w:val="center"/>
          </w:tcPr>
          <w:p w14:paraId="2D232B76"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39472888"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12.47922</w:t>
            </w:r>
          </w:p>
        </w:tc>
        <w:tc>
          <w:tcPr>
            <w:tcW w:w="0" w:type="auto"/>
            <w:tcBorders>
              <w:bottom w:val="single" w:sz="4" w:space="0" w:color="auto"/>
            </w:tcBorders>
            <w:vAlign w:val="center"/>
          </w:tcPr>
          <w:p w14:paraId="79EABB0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3D14E7C9"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12.05022</w:t>
            </w:r>
          </w:p>
        </w:tc>
        <w:tc>
          <w:tcPr>
            <w:tcW w:w="0" w:type="auto"/>
            <w:tcBorders>
              <w:bottom w:val="single" w:sz="4" w:space="0" w:color="auto"/>
            </w:tcBorders>
            <w:vAlign w:val="center"/>
          </w:tcPr>
          <w:p w14:paraId="660CDC5D"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r>
      <w:tr w:rsidR="005A719B" w:rsidRPr="00953770" w14:paraId="42365508" w14:textId="77777777" w:rsidTr="0035419E">
        <w:trPr>
          <w:trHeight w:val="432"/>
          <w:jc w:val="center"/>
        </w:trPr>
        <w:tc>
          <w:tcPr>
            <w:tcW w:w="0" w:type="auto"/>
            <w:gridSpan w:val="9"/>
            <w:tcBorders>
              <w:top w:val="nil"/>
              <w:left w:val="nil"/>
              <w:bottom w:val="nil"/>
              <w:right w:val="nil"/>
            </w:tcBorders>
            <w:vAlign w:val="center"/>
          </w:tcPr>
          <w:p w14:paraId="3C3150F6" w14:textId="77777777" w:rsidR="005A719B" w:rsidRPr="00953770" w:rsidRDefault="005A719B" w:rsidP="00242F46">
            <w:pPr>
              <w:jc w:val="center"/>
              <w:rPr>
                <w:rFonts w:eastAsia="SimSun"/>
                <w:sz w:val="24"/>
                <w:szCs w:val="24"/>
                <w:lang w:val="en-US"/>
              </w:rPr>
            </w:pPr>
          </w:p>
          <w:p w14:paraId="3AF63A9F" w14:textId="77777777" w:rsidR="005A719B" w:rsidRPr="00E37D63" w:rsidRDefault="005A719B" w:rsidP="00242F46">
            <w:pPr>
              <w:jc w:val="center"/>
              <w:rPr>
                <w:rFonts w:eastAsia="SimSun"/>
                <w:sz w:val="20"/>
                <w:szCs w:val="20"/>
                <w:lang w:val="en-US"/>
              </w:rPr>
            </w:pPr>
            <w:r w:rsidRPr="00E37D63">
              <w:rPr>
                <w:rFonts w:eastAsia="SimSun"/>
                <w:sz w:val="20"/>
                <w:szCs w:val="20"/>
                <w:lang w:val="en-US"/>
              </w:rPr>
              <w:t>CAC 40</w:t>
            </w:r>
          </w:p>
          <w:p w14:paraId="1333B869" w14:textId="77777777" w:rsidR="005A719B" w:rsidRPr="00953770" w:rsidRDefault="005A719B" w:rsidP="00242F46">
            <w:pPr>
              <w:jc w:val="center"/>
              <w:rPr>
                <w:rFonts w:eastAsia="SimSun"/>
                <w:b/>
                <w:sz w:val="20"/>
                <w:szCs w:val="20"/>
                <w:lang w:val="en-US"/>
              </w:rPr>
            </w:pPr>
          </w:p>
        </w:tc>
      </w:tr>
      <w:tr w:rsidR="005A719B" w:rsidRPr="00953770" w14:paraId="366E926C" w14:textId="77777777" w:rsidTr="0035419E">
        <w:trPr>
          <w:trHeight w:val="432"/>
          <w:jc w:val="center"/>
        </w:trPr>
        <w:tc>
          <w:tcPr>
            <w:tcW w:w="0" w:type="auto"/>
            <w:tcBorders>
              <w:top w:val="single" w:sz="4" w:space="0" w:color="auto"/>
            </w:tcBorders>
            <w:vAlign w:val="center"/>
          </w:tcPr>
          <w:p w14:paraId="3968F949" w14:textId="77777777" w:rsidR="005A719B" w:rsidRPr="00953770" w:rsidRDefault="005A719B" w:rsidP="00242F46">
            <w:pPr>
              <w:jc w:val="center"/>
              <w:rPr>
                <w:rFonts w:eastAsia="SimSun"/>
                <w:sz w:val="20"/>
                <w:szCs w:val="20"/>
                <w:lang w:val="en-US"/>
              </w:rPr>
            </w:pPr>
          </w:p>
        </w:tc>
        <w:tc>
          <w:tcPr>
            <w:tcW w:w="0" w:type="auto"/>
            <w:gridSpan w:val="2"/>
            <w:tcBorders>
              <w:top w:val="single" w:sz="4" w:space="0" w:color="auto"/>
            </w:tcBorders>
            <w:vAlign w:val="center"/>
          </w:tcPr>
          <w:p w14:paraId="0B30362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2010</w:t>
            </w:r>
          </w:p>
        </w:tc>
        <w:tc>
          <w:tcPr>
            <w:tcW w:w="0" w:type="auto"/>
            <w:gridSpan w:val="2"/>
            <w:tcBorders>
              <w:top w:val="single" w:sz="4" w:space="0" w:color="auto"/>
            </w:tcBorders>
            <w:vAlign w:val="center"/>
          </w:tcPr>
          <w:p w14:paraId="5399EE0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2011</w:t>
            </w:r>
          </w:p>
        </w:tc>
        <w:tc>
          <w:tcPr>
            <w:tcW w:w="0" w:type="auto"/>
            <w:gridSpan w:val="2"/>
            <w:tcBorders>
              <w:top w:val="single" w:sz="4" w:space="0" w:color="auto"/>
            </w:tcBorders>
            <w:vAlign w:val="center"/>
          </w:tcPr>
          <w:p w14:paraId="534C578E"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2012</w:t>
            </w:r>
          </w:p>
        </w:tc>
        <w:tc>
          <w:tcPr>
            <w:tcW w:w="0" w:type="auto"/>
            <w:gridSpan w:val="2"/>
            <w:tcBorders>
              <w:top w:val="single" w:sz="4" w:space="0" w:color="auto"/>
            </w:tcBorders>
            <w:vAlign w:val="center"/>
          </w:tcPr>
          <w:p w14:paraId="32C7CF7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2013</w:t>
            </w:r>
          </w:p>
        </w:tc>
      </w:tr>
      <w:tr w:rsidR="005A719B" w:rsidRPr="00953770" w14:paraId="3DE0F314" w14:textId="77777777" w:rsidTr="00743A31">
        <w:trPr>
          <w:trHeight w:val="432"/>
          <w:jc w:val="center"/>
        </w:trPr>
        <w:tc>
          <w:tcPr>
            <w:tcW w:w="0" w:type="auto"/>
            <w:vAlign w:val="center"/>
          </w:tcPr>
          <w:p w14:paraId="4AF407AF"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Hypothesized No. of CV(s)</w:t>
            </w:r>
          </w:p>
        </w:tc>
        <w:tc>
          <w:tcPr>
            <w:tcW w:w="0" w:type="auto"/>
            <w:vAlign w:val="center"/>
          </w:tcPr>
          <w:p w14:paraId="0ED7A53C"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01EAAE6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2331D42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49A4A620"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4C85EED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4927B5E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137AEB17" w14:textId="77777777" w:rsidR="005A719B" w:rsidRPr="00953770" w:rsidRDefault="00876BB8" w:rsidP="00242F46">
            <w:pPr>
              <w:jc w:val="center"/>
              <w:rPr>
                <w:rFonts w:eastAsia="SimSun"/>
                <w:sz w:val="20"/>
                <w:szCs w:val="20"/>
                <w:lang w:val="en-US"/>
              </w:rPr>
            </w:pPr>
            <m:oMathPara>
              <m:oMathParaPr>
                <m:jc m:val="center"/>
              </m:oMathParaPr>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6D99885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3610CAF9"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3D478A0C"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7C87D528"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020967D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r>
      <w:tr w:rsidR="005A719B" w:rsidRPr="00953770" w14:paraId="5A07829E" w14:textId="77777777" w:rsidTr="00743A31">
        <w:trPr>
          <w:trHeight w:val="432"/>
          <w:jc w:val="center"/>
        </w:trPr>
        <w:tc>
          <w:tcPr>
            <w:tcW w:w="0" w:type="auto"/>
            <w:vAlign w:val="center"/>
          </w:tcPr>
          <w:p w14:paraId="79DA0F8B" w14:textId="7FA8811B" w:rsidR="005A719B" w:rsidRPr="00953770" w:rsidRDefault="005A719B" w:rsidP="00953770">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0</w:t>
            </w:r>
          </w:p>
        </w:tc>
        <w:tc>
          <w:tcPr>
            <w:tcW w:w="0" w:type="auto"/>
            <w:vAlign w:val="center"/>
          </w:tcPr>
          <w:p w14:paraId="3D935111" w14:textId="59F081C6" w:rsidR="005A719B" w:rsidRPr="00953770" w:rsidRDefault="005A719B" w:rsidP="00242F46">
            <w:pPr>
              <w:jc w:val="center"/>
              <w:rPr>
                <w:rFonts w:eastAsia="SimSun"/>
                <w:sz w:val="20"/>
                <w:szCs w:val="20"/>
                <w:lang w:val="en-US"/>
              </w:rPr>
            </w:pPr>
            <w:r w:rsidRPr="00953770">
              <w:rPr>
                <w:rFonts w:eastAsia="SimSun"/>
                <w:sz w:val="20"/>
                <w:szCs w:val="20"/>
                <w:lang w:val="en-US"/>
              </w:rPr>
              <w:t>604.4711</w:t>
            </w:r>
            <w:r w:rsidR="00E37D63">
              <w:rPr>
                <w:rFonts w:eastAsia="SimSun"/>
                <w:sz w:val="20"/>
                <w:szCs w:val="20"/>
                <w:lang w:val="en-US"/>
              </w:rPr>
              <w:t>*</w:t>
            </w:r>
          </w:p>
        </w:tc>
        <w:tc>
          <w:tcPr>
            <w:tcW w:w="0" w:type="auto"/>
            <w:vAlign w:val="center"/>
          </w:tcPr>
          <w:p w14:paraId="5799BF88"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4055B3C0" w14:textId="399A4121" w:rsidR="005A719B" w:rsidRPr="00953770" w:rsidRDefault="005A719B" w:rsidP="00242F46">
            <w:pPr>
              <w:jc w:val="center"/>
              <w:rPr>
                <w:rFonts w:eastAsia="SimSun"/>
                <w:sz w:val="20"/>
                <w:szCs w:val="20"/>
                <w:lang w:val="en-US"/>
              </w:rPr>
            </w:pPr>
            <w:r w:rsidRPr="00953770">
              <w:rPr>
                <w:rFonts w:eastAsia="SimSun"/>
                <w:sz w:val="20"/>
                <w:szCs w:val="20"/>
                <w:lang w:val="en-US"/>
              </w:rPr>
              <w:t>639.9740</w:t>
            </w:r>
            <w:r w:rsidR="00E37D63">
              <w:rPr>
                <w:rFonts w:eastAsia="SimSun"/>
                <w:sz w:val="20"/>
                <w:szCs w:val="20"/>
                <w:lang w:val="en-US"/>
              </w:rPr>
              <w:t>*</w:t>
            </w:r>
          </w:p>
        </w:tc>
        <w:tc>
          <w:tcPr>
            <w:tcW w:w="0" w:type="auto"/>
            <w:vAlign w:val="center"/>
          </w:tcPr>
          <w:p w14:paraId="32DDA37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7BD405F5" w14:textId="300D5C9F" w:rsidR="005A719B" w:rsidRPr="00953770" w:rsidRDefault="005A719B" w:rsidP="00242F46">
            <w:pPr>
              <w:jc w:val="center"/>
              <w:rPr>
                <w:rFonts w:eastAsia="SimSun"/>
                <w:sz w:val="20"/>
                <w:szCs w:val="20"/>
                <w:lang w:val="en-US"/>
              </w:rPr>
            </w:pPr>
            <w:r w:rsidRPr="00953770">
              <w:rPr>
                <w:rFonts w:eastAsia="SimSun"/>
                <w:sz w:val="20"/>
                <w:szCs w:val="20"/>
                <w:lang w:val="en-US"/>
              </w:rPr>
              <w:t>663.9006</w:t>
            </w:r>
            <w:r w:rsidR="00E37D63">
              <w:rPr>
                <w:rFonts w:eastAsia="SimSun"/>
                <w:sz w:val="20"/>
                <w:szCs w:val="20"/>
                <w:lang w:val="en-US"/>
              </w:rPr>
              <w:t>*</w:t>
            </w:r>
          </w:p>
        </w:tc>
        <w:tc>
          <w:tcPr>
            <w:tcW w:w="0" w:type="auto"/>
            <w:vAlign w:val="center"/>
          </w:tcPr>
          <w:p w14:paraId="0FF5750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56974C1B" w14:textId="2060AABB" w:rsidR="005A719B" w:rsidRPr="00953770" w:rsidRDefault="005A719B" w:rsidP="00242F46">
            <w:pPr>
              <w:jc w:val="center"/>
              <w:rPr>
                <w:rFonts w:eastAsia="SimSun"/>
                <w:sz w:val="20"/>
                <w:szCs w:val="20"/>
                <w:lang w:val="en-US"/>
              </w:rPr>
            </w:pPr>
            <w:r w:rsidRPr="00953770">
              <w:rPr>
                <w:rFonts w:eastAsia="SimSun"/>
                <w:sz w:val="20"/>
                <w:szCs w:val="20"/>
                <w:lang w:val="en-US"/>
              </w:rPr>
              <w:t>588.7930</w:t>
            </w:r>
            <w:r w:rsidR="00E37D63">
              <w:rPr>
                <w:rFonts w:eastAsia="SimSun"/>
                <w:sz w:val="20"/>
                <w:szCs w:val="20"/>
                <w:lang w:val="en-US"/>
              </w:rPr>
              <w:t>*</w:t>
            </w:r>
          </w:p>
        </w:tc>
        <w:tc>
          <w:tcPr>
            <w:tcW w:w="0" w:type="auto"/>
            <w:vAlign w:val="center"/>
          </w:tcPr>
          <w:p w14:paraId="054F9B5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r>
      <w:tr w:rsidR="005A719B" w:rsidRPr="00953770" w14:paraId="4B444045" w14:textId="77777777" w:rsidTr="00233044">
        <w:trPr>
          <w:trHeight w:val="432"/>
          <w:jc w:val="center"/>
        </w:trPr>
        <w:tc>
          <w:tcPr>
            <w:tcW w:w="0" w:type="auto"/>
            <w:tcBorders>
              <w:bottom w:val="single" w:sz="4" w:space="0" w:color="auto"/>
            </w:tcBorders>
            <w:vAlign w:val="center"/>
          </w:tcPr>
          <w:p w14:paraId="6D2AC6B4" w14:textId="7E6DF452"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1</w:t>
            </w:r>
          </w:p>
        </w:tc>
        <w:tc>
          <w:tcPr>
            <w:tcW w:w="0" w:type="auto"/>
            <w:tcBorders>
              <w:bottom w:val="single" w:sz="4" w:space="0" w:color="auto"/>
            </w:tcBorders>
            <w:vAlign w:val="center"/>
          </w:tcPr>
          <w:p w14:paraId="1D15E965" w14:textId="7AAF7EA4" w:rsidR="005A719B" w:rsidRPr="00953770" w:rsidRDefault="005A719B" w:rsidP="00242F46">
            <w:pPr>
              <w:jc w:val="center"/>
              <w:rPr>
                <w:rFonts w:eastAsia="SimSun"/>
                <w:sz w:val="20"/>
                <w:szCs w:val="20"/>
                <w:lang w:val="en-US"/>
              </w:rPr>
            </w:pPr>
            <w:r w:rsidRPr="00953770">
              <w:rPr>
                <w:rFonts w:eastAsia="SimSun"/>
                <w:sz w:val="20"/>
                <w:szCs w:val="20"/>
                <w:lang w:val="en-US"/>
              </w:rPr>
              <w:t>26.37691</w:t>
            </w:r>
            <w:r w:rsidR="00E37D63">
              <w:rPr>
                <w:rFonts w:eastAsia="SimSun"/>
                <w:sz w:val="20"/>
                <w:szCs w:val="20"/>
                <w:lang w:val="en-US"/>
              </w:rPr>
              <w:t>*</w:t>
            </w:r>
          </w:p>
        </w:tc>
        <w:tc>
          <w:tcPr>
            <w:tcW w:w="0" w:type="auto"/>
            <w:tcBorders>
              <w:bottom w:val="single" w:sz="4" w:space="0" w:color="auto"/>
            </w:tcBorders>
            <w:vAlign w:val="center"/>
          </w:tcPr>
          <w:p w14:paraId="6CA780D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71076876" w14:textId="6DC16A06" w:rsidR="005A719B" w:rsidRPr="00953770" w:rsidRDefault="005A719B" w:rsidP="00242F46">
            <w:pPr>
              <w:jc w:val="center"/>
              <w:rPr>
                <w:rFonts w:eastAsia="SimSun"/>
                <w:sz w:val="20"/>
                <w:szCs w:val="20"/>
                <w:lang w:val="en-US"/>
              </w:rPr>
            </w:pPr>
            <w:r w:rsidRPr="00953770">
              <w:rPr>
                <w:rFonts w:eastAsia="SimSun"/>
                <w:sz w:val="20"/>
                <w:szCs w:val="20"/>
                <w:lang w:val="en-US"/>
              </w:rPr>
              <w:t>26.43141</w:t>
            </w:r>
            <w:r w:rsidR="00E37D63">
              <w:rPr>
                <w:rFonts w:eastAsia="SimSun"/>
                <w:sz w:val="20"/>
                <w:szCs w:val="20"/>
                <w:lang w:val="en-US"/>
              </w:rPr>
              <w:t>*</w:t>
            </w:r>
          </w:p>
        </w:tc>
        <w:tc>
          <w:tcPr>
            <w:tcW w:w="0" w:type="auto"/>
            <w:tcBorders>
              <w:bottom w:val="single" w:sz="4" w:space="0" w:color="auto"/>
            </w:tcBorders>
            <w:vAlign w:val="center"/>
          </w:tcPr>
          <w:p w14:paraId="443F707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50CACAAA" w14:textId="0BA6FDBB" w:rsidR="005A719B" w:rsidRPr="00953770" w:rsidRDefault="005A719B" w:rsidP="00242F46">
            <w:pPr>
              <w:jc w:val="center"/>
              <w:rPr>
                <w:rFonts w:eastAsia="SimSun"/>
                <w:sz w:val="20"/>
                <w:szCs w:val="20"/>
                <w:lang w:val="en-US"/>
              </w:rPr>
            </w:pPr>
            <w:r w:rsidRPr="00953770">
              <w:rPr>
                <w:rFonts w:eastAsia="SimSun"/>
                <w:sz w:val="20"/>
                <w:szCs w:val="20"/>
                <w:lang w:val="en-US"/>
              </w:rPr>
              <w:t>27.80642</w:t>
            </w:r>
            <w:r w:rsidR="00E37D63">
              <w:rPr>
                <w:rFonts w:eastAsia="SimSun"/>
                <w:sz w:val="20"/>
                <w:szCs w:val="20"/>
                <w:lang w:val="en-US"/>
              </w:rPr>
              <w:t>*</w:t>
            </w:r>
          </w:p>
        </w:tc>
        <w:tc>
          <w:tcPr>
            <w:tcW w:w="0" w:type="auto"/>
            <w:tcBorders>
              <w:bottom w:val="single" w:sz="4" w:space="0" w:color="auto"/>
            </w:tcBorders>
            <w:vAlign w:val="center"/>
          </w:tcPr>
          <w:p w14:paraId="0ECDCD8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tcBorders>
              <w:bottom w:val="single" w:sz="4" w:space="0" w:color="auto"/>
            </w:tcBorders>
            <w:vAlign w:val="center"/>
          </w:tcPr>
          <w:p w14:paraId="08517701" w14:textId="37827976" w:rsidR="005A719B" w:rsidRPr="00953770" w:rsidRDefault="005A719B" w:rsidP="00242F46">
            <w:pPr>
              <w:jc w:val="center"/>
              <w:rPr>
                <w:rFonts w:eastAsia="SimSun"/>
                <w:sz w:val="20"/>
                <w:szCs w:val="20"/>
                <w:lang w:val="en-US"/>
              </w:rPr>
            </w:pPr>
            <w:r w:rsidRPr="00953770">
              <w:rPr>
                <w:rFonts w:eastAsia="SimSun"/>
                <w:sz w:val="20"/>
                <w:szCs w:val="20"/>
                <w:lang w:val="en-US"/>
              </w:rPr>
              <w:t>28.52341</w:t>
            </w:r>
            <w:r w:rsidR="00E37D63">
              <w:rPr>
                <w:rFonts w:eastAsia="SimSun"/>
                <w:sz w:val="20"/>
                <w:szCs w:val="20"/>
                <w:lang w:val="en-US"/>
              </w:rPr>
              <w:t>*</w:t>
            </w:r>
          </w:p>
        </w:tc>
        <w:tc>
          <w:tcPr>
            <w:tcW w:w="0" w:type="auto"/>
            <w:tcBorders>
              <w:bottom w:val="single" w:sz="4" w:space="0" w:color="auto"/>
            </w:tcBorders>
            <w:vAlign w:val="center"/>
          </w:tcPr>
          <w:p w14:paraId="384F0A2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r>
      <w:tr w:rsidR="005A719B" w:rsidRPr="00953770" w14:paraId="57E12F34" w14:textId="77777777" w:rsidTr="00233044">
        <w:trPr>
          <w:trHeight w:val="432"/>
          <w:jc w:val="center"/>
        </w:trPr>
        <w:tc>
          <w:tcPr>
            <w:tcW w:w="0" w:type="auto"/>
            <w:tcBorders>
              <w:bottom w:val="single" w:sz="4" w:space="0" w:color="auto"/>
            </w:tcBorders>
            <w:vAlign w:val="center"/>
          </w:tcPr>
          <w:p w14:paraId="14627E52" w14:textId="5B42F662"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2</w:t>
            </w:r>
          </w:p>
        </w:tc>
        <w:tc>
          <w:tcPr>
            <w:tcW w:w="0" w:type="auto"/>
            <w:tcBorders>
              <w:bottom w:val="single" w:sz="4" w:space="0" w:color="auto"/>
            </w:tcBorders>
            <w:vAlign w:val="center"/>
          </w:tcPr>
          <w:p w14:paraId="2194CECE"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5.370142</w:t>
            </w:r>
          </w:p>
        </w:tc>
        <w:tc>
          <w:tcPr>
            <w:tcW w:w="0" w:type="auto"/>
            <w:tcBorders>
              <w:bottom w:val="single" w:sz="4" w:space="0" w:color="auto"/>
            </w:tcBorders>
            <w:vAlign w:val="center"/>
          </w:tcPr>
          <w:p w14:paraId="64CE857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61E2C46D"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6.356120</w:t>
            </w:r>
          </w:p>
        </w:tc>
        <w:tc>
          <w:tcPr>
            <w:tcW w:w="0" w:type="auto"/>
            <w:tcBorders>
              <w:bottom w:val="single" w:sz="4" w:space="0" w:color="auto"/>
            </w:tcBorders>
            <w:vAlign w:val="center"/>
          </w:tcPr>
          <w:p w14:paraId="53966B2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4C99A40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4.438433</w:t>
            </w:r>
          </w:p>
        </w:tc>
        <w:tc>
          <w:tcPr>
            <w:tcW w:w="0" w:type="auto"/>
            <w:tcBorders>
              <w:bottom w:val="single" w:sz="4" w:space="0" w:color="auto"/>
            </w:tcBorders>
            <w:vAlign w:val="center"/>
          </w:tcPr>
          <w:p w14:paraId="3D36EA8D"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tcBorders>
              <w:bottom w:val="single" w:sz="4" w:space="0" w:color="auto"/>
            </w:tcBorders>
            <w:vAlign w:val="center"/>
          </w:tcPr>
          <w:p w14:paraId="7ED0F1AB"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9.717103</w:t>
            </w:r>
          </w:p>
        </w:tc>
        <w:tc>
          <w:tcPr>
            <w:tcW w:w="0" w:type="auto"/>
            <w:tcBorders>
              <w:bottom w:val="single" w:sz="4" w:space="0" w:color="auto"/>
            </w:tcBorders>
            <w:vAlign w:val="center"/>
          </w:tcPr>
          <w:p w14:paraId="30D4342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r>
      <w:tr w:rsidR="005A719B" w:rsidRPr="00953770" w14:paraId="0E1B35F1" w14:textId="77777777" w:rsidTr="00233044">
        <w:trPr>
          <w:trHeight w:val="432"/>
          <w:jc w:val="center"/>
        </w:trPr>
        <w:tc>
          <w:tcPr>
            <w:tcW w:w="0" w:type="auto"/>
            <w:gridSpan w:val="9"/>
            <w:tcBorders>
              <w:top w:val="nil"/>
              <w:left w:val="nil"/>
              <w:bottom w:val="nil"/>
              <w:right w:val="nil"/>
            </w:tcBorders>
            <w:vAlign w:val="center"/>
          </w:tcPr>
          <w:p w14:paraId="74DCCDD5" w14:textId="77777777" w:rsidR="005A719B" w:rsidRPr="00953770" w:rsidRDefault="005A719B" w:rsidP="00242F46">
            <w:pPr>
              <w:jc w:val="center"/>
              <w:rPr>
                <w:rFonts w:eastAsia="SimSun"/>
                <w:b/>
                <w:sz w:val="20"/>
                <w:szCs w:val="20"/>
                <w:lang w:val="en-US"/>
              </w:rPr>
            </w:pPr>
          </w:p>
          <w:p w14:paraId="4AFBCC00" w14:textId="77777777" w:rsidR="005A719B" w:rsidRDefault="005A719B" w:rsidP="00242F46">
            <w:pPr>
              <w:jc w:val="center"/>
              <w:rPr>
                <w:rFonts w:eastAsia="SimSun"/>
                <w:sz w:val="24"/>
                <w:szCs w:val="24"/>
                <w:lang w:val="en-US"/>
              </w:rPr>
            </w:pPr>
          </w:p>
          <w:p w14:paraId="0B2A4025" w14:textId="77777777" w:rsidR="00233044" w:rsidRDefault="00233044" w:rsidP="00242F46">
            <w:pPr>
              <w:jc w:val="center"/>
              <w:rPr>
                <w:rFonts w:eastAsia="SimSun"/>
                <w:sz w:val="24"/>
                <w:szCs w:val="24"/>
                <w:lang w:val="en-US"/>
              </w:rPr>
            </w:pPr>
          </w:p>
          <w:p w14:paraId="5259CD2C" w14:textId="77777777" w:rsidR="00233044" w:rsidRDefault="00233044" w:rsidP="00242F46">
            <w:pPr>
              <w:jc w:val="center"/>
              <w:rPr>
                <w:rFonts w:eastAsia="SimSun"/>
                <w:sz w:val="24"/>
                <w:szCs w:val="24"/>
                <w:lang w:val="en-US"/>
              </w:rPr>
            </w:pPr>
          </w:p>
          <w:p w14:paraId="3BA1150A" w14:textId="2669803B" w:rsidR="00233044" w:rsidRPr="00233044" w:rsidRDefault="00D704C0" w:rsidP="00233044">
            <w:pPr>
              <w:spacing w:line="276" w:lineRule="auto"/>
              <w:jc w:val="center"/>
              <w:rPr>
                <w:b/>
                <w:color w:val="000000" w:themeColor="text1"/>
                <w:sz w:val="24"/>
                <w:szCs w:val="24"/>
                <w:lang w:val="en-US"/>
              </w:rPr>
            </w:pPr>
            <w:r>
              <w:rPr>
                <w:b/>
                <w:color w:val="000000" w:themeColor="text1"/>
                <w:sz w:val="24"/>
                <w:szCs w:val="24"/>
                <w:lang w:val="en-US"/>
              </w:rPr>
              <w:t>Table 5</w:t>
            </w:r>
            <w:r w:rsidR="00233044" w:rsidRPr="00953770">
              <w:rPr>
                <w:b/>
                <w:color w:val="000000" w:themeColor="text1"/>
                <w:sz w:val="24"/>
                <w:szCs w:val="24"/>
                <w:lang w:val="en-US"/>
              </w:rPr>
              <w:t xml:space="preserve"> Johansen and Juselius (1990) Trace Test (Continued)</w:t>
            </w:r>
          </w:p>
          <w:p w14:paraId="2721CD25" w14:textId="77777777" w:rsidR="00233044" w:rsidRDefault="00233044" w:rsidP="00233044">
            <w:pPr>
              <w:rPr>
                <w:rFonts w:eastAsia="SimSun"/>
                <w:sz w:val="20"/>
                <w:szCs w:val="20"/>
                <w:lang w:val="en-US"/>
              </w:rPr>
            </w:pPr>
          </w:p>
          <w:p w14:paraId="56C7C51A" w14:textId="77777777" w:rsidR="00233044" w:rsidRDefault="00233044" w:rsidP="00242F46">
            <w:pPr>
              <w:jc w:val="center"/>
              <w:rPr>
                <w:rFonts w:eastAsia="SimSun"/>
                <w:sz w:val="20"/>
                <w:szCs w:val="20"/>
                <w:lang w:val="en-US"/>
              </w:rPr>
            </w:pPr>
          </w:p>
          <w:p w14:paraId="55D14C74" w14:textId="77777777" w:rsidR="005A719B" w:rsidRPr="00E37D63" w:rsidRDefault="005A719B" w:rsidP="00242F46">
            <w:pPr>
              <w:jc w:val="center"/>
              <w:rPr>
                <w:rFonts w:eastAsia="SimSun"/>
                <w:sz w:val="20"/>
                <w:szCs w:val="20"/>
                <w:lang w:val="en-US"/>
              </w:rPr>
            </w:pPr>
            <w:r w:rsidRPr="00E37D63">
              <w:rPr>
                <w:rFonts w:eastAsia="SimSun"/>
                <w:sz w:val="20"/>
                <w:szCs w:val="20"/>
                <w:lang w:val="en-US"/>
              </w:rPr>
              <w:t>DAX 30</w:t>
            </w:r>
          </w:p>
          <w:p w14:paraId="596EE384" w14:textId="77777777" w:rsidR="005A719B" w:rsidRPr="00953770" w:rsidRDefault="005A719B" w:rsidP="00242F46">
            <w:pPr>
              <w:jc w:val="center"/>
              <w:rPr>
                <w:rFonts w:eastAsia="SimSun"/>
                <w:b/>
                <w:sz w:val="20"/>
                <w:szCs w:val="20"/>
                <w:lang w:val="en-US"/>
              </w:rPr>
            </w:pPr>
          </w:p>
        </w:tc>
      </w:tr>
      <w:tr w:rsidR="005A719B" w:rsidRPr="00953770" w14:paraId="2AE2CA0C" w14:textId="77777777" w:rsidTr="00233044">
        <w:trPr>
          <w:trHeight w:val="432"/>
          <w:jc w:val="center"/>
        </w:trPr>
        <w:tc>
          <w:tcPr>
            <w:tcW w:w="0" w:type="auto"/>
            <w:tcBorders>
              <w:top w:val="single" w:sz="4" w:space="0" w:color="auto"/>
            </w:tcBorders>
            <w:vAlign w:val="center"/>
          </w:tcPr>
          <w:p w14:paraId="44F1231C" w14:textId="77777777" w:rsidR="005A719B" w:rsidRPr="00953770" w:rsidRDefault="005A719B" w:rsidP="00242F46">
            <w:pPr>
              <w:jc w:val="center"/>
              <w:rPr>
                <w:rFonts w:eastAsia="SimSun"/>
                <w:sz w:val="20"/>
                <w:szCs w:val="20"/>
                <w:lang w:val="en-US"/>
              </w:rPr>
            </w:pPr>
          </w:p>
        </w:tc>
        <w:tc>
          <w:tcPr>
            <w:tcW w:w="0" w:type="auto"/>
            <w:gridSpan w:val="2"/>
            <w:tcBorders>
              <w:top w:val="single" w:sz="4" w:space="0" w:color="auto"/>
            </w:tcBorders>
            <w:vAlign w:val="center"/>
          </w:tcPr>
          <w:p w14:paraId="71DCCAB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2010</w:t>
            </w:r>
          </w:p>
        </w:tc>
        <w:tc>
          <w:tcPr>
            <w:tcW w:w="0" w:type="auto"/>
            <w:gridSpan w:val="2"/>
            <w:tcBorders>
              <w:top w:val="single" w:sz="4" w:space="0" w:color="auto"/>
            </w:tcBorders>
            <w:vAlign w:val="center"/>
          </w:tcPr>
          <w:p w14:paraId="3E5A2E7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2011</w:t>
            </w:r>
          </w:p>
        </w:tc>
        <w:tc>
          <w:tcPr>
            <w:tcW w:w="0" w:type="auto"/>
            <w:gridSpan w:val="2"/>
            <w:tcBorders>
              <w:top w:val="single" w:sz="4" w:space="0" w:color="auto"/>
            </w:tcBorders>
            <w:vAlign w:val="center"/>
          </w:tcPr>
          <w:p w14:paraId="24B47C0B"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2012</w:t>
            </w:r>
          </w:p>
        </w:tc>
        <w:tc>
          <w:tcPr>
            <w:tcW w:w="0" w:type="auto"/>
            <w:gridSpan w:val="2"/>
            <w:tcBorders>
              <w:top w:val="single" w:sz="4" w:space="0" w:color="auto"/>
            </w:tcBorders>
            <w:vAlign w:val="center"/>
          </w:tcPr>
          <w:p w14:paraId="3B07876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2013</w:t>
            </w:r>
          </w:p>
        </w:tc>
      </w:tr>
      <w:tr w:rsidR="005A719B" w:rsidRPr="00953770" w14:paraId="653A8D7B" w14:textId="77777777" w:rsidTr="00743A31">
        <w:trPr>
          <w:trHeight w:val="432"/>
          <w:jc w:val="center"/>
        </w:trPr>
        <w:tc>
          <w:tcPr>
            <w:tcW w:w="0" w:type="auto"/>
            <w:vAlign w:val="center"/>
          </w:tcPr>
          <w:p w14:paraId="596DEE59"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Hypothesized No. of CV(s)</w:t>
            </w:r>
          </w:p>
        </w:tc>
        <w:tc>
          <w:tcPr>
            <w:tcW w:w="0" w:type="auto"/>
            <w:vAlign w:val="center"/>
          </w:tcPr>
          <w:p w14:paraId="695DAAD0"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496EEFA3"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3FEC26A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61934708"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6A18D57F"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55C34FF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40DE8C1E" w14:textId="77777777" w:rsidR="005A719B" w:rsidRPr="00953770" w:rsidRDefault="00876BB8" w:rsidP="00242F46">
            <w:pPr>
              <w:jc w:val="center"/>
              <w:rPr>
                <w:rFonts w:eastAsia="SimSun"/>
                <w:sz w:val="20"/>
                <w:szCs w:val="20"/>
                <w:lang w:val="en-US"/>
              </w:rPr>
            </w:pPr>
            <m:oMathPara>
              <m:oMathParaPr>
                <m:jc m:val="center"/>
              </m:oMathParaPr>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34B2444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35F10D9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c>
          <w:tcPr>
            <w:tcW w:w="0" w:type="auto"/>
            <w:vAlign w:val="center"/>
          </w:tcPr>
          <w:p w14:paraId="7BA21DA2" w14:textId="77777777" w:rsidR="005A719B" w:rsidRPr="00953770" w:rsidRDefault="00876BB8" w:rsidP="00242F46">
            <w:pPr>
              <w:jc w:val="center"/>
              <w:rPr>
                <w:rFonts w:eastAsia="SimSun"/>
                <w:sz w:val="20"/>
                <w:szCs w:val="20"/>
                <w:lang w:val="en-US"/>
              </w:rPr>
            </w:pPr>
            <m:oMathPara>
              <m:oMath>
                <m:sSub>
                  <m:sSubPr>
                    <m:ctrlPr>
                      <w:rPr>
                        <w:rFonts w:ascii="Cambria Math" w:eastAsia="SimSun" w:hAnsi="Cambria Math"/>
                        <w:i/>
                        <w:sz w:val="20"/>
                        <w:szCs w:val="20"/>
                        <w:lang w:val="en-US"/>
                      </w:rPr>
                    </m:ctrlPr>
                  </m:sSubPr>
                  <m:e>
                    <m:r>
                      <w:rPr>
                        <w:rFonts w:ascii="Cambria Math" w:eastAsia="SimSun" w:hAnsi="Cambria Math"/>
                        <w:sz w:val="20"/>
                        <w:szCs w:val="20"/>
                        <w:lang w:val="en-US"/>
                      </w:rPr>
                      <m:t>λ</m:t>
                    </m:r>
                  </m:e>
                  <m:sub>
                    <m:r>
                      <w:rPr>
                        <w:rFonts w:ascii="Cambria Math" w:eastAsia="SimSun" w:hAnsi="Cambria Math"/>
                        <w:sz w:val="20"/>
                        <w:szCs w:val="20"/>
                        <w:lang w:val="en-US"/>
                      </w:rPr>
                      <m:t>trace</m:t>
                    </m:r>
                  </m:sub>
                </m:sSub>
              </m:oMath>
            </m:oMathPara>
          </w:p>
        </w:tc>
        <w:tc>
          <w:tcPr>
            <w:tcW w:w="0" w:type="auto"/>
            <w:vAlign w:val="center"/>
          </w:tcPr>
          <w:p w14:paraId="1557C54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 xml:space="preserve">Critical Value </w:t>
            </w:r>
          </w:p>
          <w:p w14:paraId="63378D7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at 5%</w:t>
            </w:r>
          </w:p>
        </w:tc>
      </w:tr>
      <w:tr w:rsidR="005A719B" w:rsidRPr="00953770" w14:paraId="25E88B14" w14:textId="77777777" w:rsidTr="00743A31">
        <w:trPr>
          <w:trHeight w:val="432"/>
          <w:jc w:val="center"/>
        </w:trPr>
        <w:tc>
          <w:tcPr>
            <w:tcW w:w="0" w:type="auto"/>
            <w:vAlign w:val="center"/>
          </w:tcPr>
          <w:p w14:paraId="12528892" w14:textId="32F2EC89"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0</w:t>
            </w:r>
          </w:p>
        </w:tc>
        <w:tc>
          <w:tcPr>
            <w:tcW w:w="0" w:type="auto"/>
            <w:vAlign w:val="center"/>
          </w:tcPr>
          <w:p w14:paraId="034DF733" w14:textId="43C485A5" w:rsidR="005A719B" w:rsidRPr="00953770" w:rsidRDefault="005A719B" w:rsidP="00242F46">
            <w:pPr>
              <w:jc w:val="center"/>
              <w:rPr>
                <w:rFonts w:eastAsia="SimSun"/>
                <w:sz w:val="20"/>
                <w:szCs w:val="20"/>
                <w:lang w:val="en-US"/>
              </w:rPr>
            </w:pPr>
            <w:r w:rsidRPr="00953770">
              <w:rPr>
                <w:rFonts w:eastAsia="SimSun"/>
                <w:sz w:val="20"/>
                <w:szCs w:val="20"/>
                <w:lang w:val="en-US"/>
              </w:rPr>
              <w:t>1015.703</w:t>
            </w:r>
            <w:r w:rsidR="00E37D63">
              <w:rPr>
                <w:rFonts w:eastAsia="SimSun"/>
                <w:sz w:val="20"/>
                <w:szCs w:val="20"/>
                <w:lang w:val="en-US"/>
              </w:rPr>
              <w:t>*</w:t>
            </w:r>
          </w:p>
        </w:tc>
        <w:tc>
          <w:tcPr>
            <w:tcW w:w="0" w:type="auto"/>
            <w:vAlign w:val="center"/>
          </w:tcPr>
          <w:p w14:paraId="61110ECE"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6671E647" w14:textId="11A22406" w:rsidR="005A719B" w:rsidRPr="00953770" w:rsidRDefault="005A719B" w:rsidP="00242F46">
            <w:pPr>
              <w:jc w:val="center"/>
              <w:rPr>
                <w:rFonts w:eastAsia="SimSun"/>
                <w:sz w:val="20"/>
                <w:szCs w:val="20"/>
                <w:lang w:val="en-US"/>
              </w:rPr>
            </w:pPr>
            <w:r w:rsidRPr="00953770">
              <w:rPr>
                <w:rFonts w:eastAsia="SimSun"/>
                <w:sz w:val="20"/>
                <w:szCs w:val="20"/>
                <w:lang w:val="en-US"/>
              </w:rPr>
              <w:t>1114.390</w:t>
            </w:r>
            <w:r w:rsidR="00E37D63">
              <w:rPr>
                <w:rFonts w:eastAsia="SimSun"/>
                <w:sz w:val="20"/>
                <w:szCs w:val="20"/>
                <w:lang w:val="en-US"/>
              </w:rPr>
              <w:t>*</w:t>
            </w:r>
          </w:p>
        </w:tc>
        <w:tc>
          <w:tcPr>
            <w:tcW w:w="0" w:type="auto"/>
            <w:vAlign w:val="center"/>
          </w:tcPr>
          <w:p w14:paraId="3A9C22C9"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12EF4F91" w14:textId="5B0B2A95" w:rsidR="005A719B" w:rsidRPr="00953770" w:rsidRDefault="005A719B" w:rsidP="00242F46">
            <w:pPr>
              <w:jc w:val="center"/>
              <w:rPr>
                <w:rFonts w:eastAsia="SimSun"/>
                <w:sz w:val="20"/>
                <w:szCs w:val="20"/>
                <w:lang w:val="en-US"/>
              </w:rPr>
            </w:pPr>
            <w:r w:rsidRPr="00953770">
              <w:rPr>
                <w:rFonts w:eastAsia="SimSun"/>
                <w:sz w:val="20"/>
                <w:szCs w:val="20"/>
                <w:lang w:val="en-US"/>
              </w:rPr>
              <w:t>981.5404</w:t>
            </w:r>
            <w:r w:rsidR="00E37D63">
              <w:rPr>
                <w:rFonts w:eastAsia="SimSun"/>
                <w:sz w:val="20"/>
                <w:szCs w:val="20"/>
                <w:lang w:val="en-US"/>
              </w:rPr>
              <w:t>*</w:t>
            </w:r>
          </w:p>
        </w:tc>
        <w:tc>
          <w:tcPr>
            <w:tcW w:w="0" w:type="auto"/>
            <w:vAlign w:val="center"/>
          </w:tcPr>
          <w:p w14:paraId="01CC194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c>
          <w:tcPr>
            <w:tcW w:w="0" w:type="auto"/>
            <w:vAlign w:val="center"/>
          </w:tcPr>
          <w:p w14:paraId="0DF2D46C" w14:textId="434A2247" w:rsidR="005A719B" w:rsidRPr="00953770" w:rsidRDefault="005A719B" w:rsidP="00242F46">
            <w:pPr>
              <w:jc w:val="center"/>
              <w:rPr>
                <w:rFonts w:eastAsia="SimSun"/>
                <w:sz w:val="20"/>
                <w:szCs w:val="20"/>
                <w:lang w:val="en-US"/>
              </w:rPr>
            </w:pPr>
            <w:r w:rsidRPr="00953770">
              <w:rPr>
                <w:rFonts w:eastAsia="SimSun"/>
                <w:sz w:val="20"/>
                <w:szCs w:val="20"/>
                <w:lang w:val="en-US"/>
              </w:rPr>
              <w:t>851.8932</w:t>
            </w:r>
            <w:r w:rsidR="00E37D63">
              <w:rPr>
                <w:rFonts w:eastAsia="SimSun"/>
                <w:sz w:val="20"/>
                <w:szCs w:val="20"/>
                <w:lang w:val="en-US"/>
              </w:rPr>
              <w:t>*</w:t>
            </w:r>
          </w:p>
        </w:tc>
        <w:tc>
          <w:tcPr>
            <w:tcW w:w="0" w:type="auto"/>
            <w:vAlign w:val="center"/>
          </w:tcPr>
          <w:p w14:paraId="37CBF0FA"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42.91525</w:t>
            </w:r>
          </w:p>
        </w:tc>
      </w:tr>
      <w:tr w:rsidR="005A719B" w:rsidRPr="00953770" w14:paraId="6175A96F" w14:textId="77777777" w:rsidTr="00743A31">
        <w:trPr>
          <w:trHeight w:val="432"/>
          <w:jc w:val="center"/>
        </w:trPr>
        <w:tc>
          <w:tcPr>
            <w:tcW w:w="0" w:type="auto"/>
            <w:vAlign w:val="center"/>
          </w:tcPr>
          <w:p w14:paraId="652C3317" w14:textId="2C6922EE"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1</w:t>
            </w:r>
          </w:p>
        </w:tc>
        <w:tc>
          <w:tcPr>
            <w:tcW w:w="0" w:type="auto"/>
            <w:vAlign w:val="center"/>
          </w:tcPr>
          <w:p w14:paraId="6BB0D55D" w14:textId="6547E17B" w:rsidR="005A719B" w:rsidRPr="00953770" w:rsidRDefault="005A719B" w:rsidP="00242F46">
            <w:pPr>
              <w:jc w:val="center"/>
              <w:rPr>
                <w:rFonts w:eastAsia="SimSun"/>
                <w:sz w:val="20"/>
                <w:szCs w:val="20"/>
                <w:lang w:val="en-US"/>
              </w:rPr>
            </w:pPr>
            <w:r w:rsidRPr="00953770">
              <w:rPr>
                <w:rFonts w:eastAsia="SimSun"/>
                <w:sz w:val="20"/>
                <w:szCs w:val="20"/>
                <w:lang w:val="en-US"/>
              </w:rPr>
              <w:t>46.39684</w:t>
            </w:r>
            <w:r w:rsidR="00E37D63">
              <w:rPr>
                <w:rFonts w:eastAsia="SimSun"/>
                <w:sz w:val="20"/>
                <w:szCs w:val="20"/>
                <w:lang w:val="en-US"/>
              </w:rPr>
              <w:t>*</w:t>
            </w:r>
          </w:p>
        </w:tc>
        <w:tc>
          <w:tcPr>
            <w:tcW w:w="0" w:type="auto"/>
            <w:vAlign w:val="center"/>
          </w:tcPr>
          <w:p w14:paraId="79F6531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vAlign w:val="center"/>
          </w:tcPr>
          <w:p w14:paraId="79DE4808" w14:textId="144CA2B8" w:rsidR="005A719B" w:rsidRPr="00953770" w:rsidRDefault="005A719B" w:rsidP="00242F46">
            <w:pPr>
              <w:jc w:val="center"/>
              <w:rPr>
                <w:rFonts w:eastAsia="SimSun"/>
                <w:sz w:val="20"/>
                <w:szCs w:val="20"/>
                <w:lang w:val="en-US"/>
              </w:rPr>
            </w:pPr>
            <w:r w:rsidRPr="00953770">
              <w:rPr>
                <w:rFonts w:eastAsia="SimSun"/>
                <w:sz w:val="20"/>
                <w:szCs w:val="20"/>
                <w:lang w:val="en-US"/>
              </w:rPr>
              <w:t>45.51405</w:t>
            </w:r>
            <w:r w:rsidR="00E37D63">
              <w:rPr>
                <w:rFonts w:eastAsia="SimSun"/>
                <w:sz w:val="20"/>
                <w:szCs w:val="20"/>
                <w:lang w:val="en-US"/>
              </w:rPr>
              <w:t>*</w:t>
            </w:r>
          </w:p>
        </w:tc>
        <w:tc>
          <w:tcPr>
            <w:tcW w:w="0" w:type="auto"/>
            <w:vAlign w:val="center"/>
          </w:tcPr>
          <w:p w14:paraId="5F7E6167"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vAlign w:val="center"/>
          </w:tcPr>
          <w:p w14:paraId="0E6B880F" w14:textId="566D89BE" w:rsidR="005A719B" w:rsidRPr="00953770" w:rsidRDefault="005A719B" w:rsidP="00242F46">
            <w:pPr>
              <w:jc w:val="center"/>
              <w:rPr>
                <w:rFonts w:eastAsia="SimSun"/>
                <w:sz w:val="20"/>
                <w:szCs w:val="20"/>
                <w:lang w:val="en-US"/>
              </w:rPr>
            </w:pPr>
            <w:r w:rsidRPr="00953770">
              <w:rPr>
                <w:rFonts w:eastAsia="SimSun"/>
                <w:sz w:val="20"/>
                <w:szCs w:val="20"/>
                <w:lang w:val="en-US"/>
              </w:rPr>
              <w:t>40.12582</w:t>
            </w:r>
            <w:r w:rsidR="00E37D63">
              <w:rPr>
                <w:rFonts w:eastAsia="SimSun"/>
                <w:sz w:val="20"/>
                <w:szCs w:val="20"/>
                <w:lang w:val="en-US"/>
              </w:rPr>
              <w:t>*</w:t>
            </w:r>
          </w:p>
        </w:tc>
        <w:tc>
          <w:tcPr>
            <w:tcW w:w="0" w:type="auto"/>
            <w:vAlign w:val="center"/>
          </w:tcPr>
          <w:p w14:paraId="4E4F608B"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c>
          <w:tcPr>
            <w:tcW w:w="0" w:type="auto"/>
            <w:vAlign w:val="center"/>
          </w:tcPr>
          <w:p w14:paraId="56379E12" w14:textId="0E11D8FC" w:rsidR="005A719B" w:rsidRPr="00953770" w:rsidRDefault="005A719B" w:rsidP="00242F46">
            <w:pPr>
              <w:jc w:val="center"/>
              <w:rPr>
                <w:rFonts w:eastAsia="SimSun"/>
                <w:sz w:val="20"/>
                <w:szCs w:val="20"/>
                <w:lang w:val="en-US"/>
              </w:rPr>
            </w:pPr>
            <w:r w:rsidRPr="00953770">
              <w:rPr>
                <w:rFonts w:eastAsia="SimSun"/>
                <w:sz w:val="20"/>
                <w:szCs w:val="20"/>
                <w:lang w:val="en-US"/>
              </w:rPr>
              <w:t>30.75531</w:t>
            </w:r>
            <w:r w:rsidR="00E37D63">
              <w:rPr>
                <w:rFonts w:eastAsia="SimSun"/>
                <w:sz w:val="20"/>
                <w:szCs w:val="20"/>
                <w:lang w:val="en-US"/>
              </w:rPr>
              <w:t>*</w:t>
            </w:r>
          </w:p>
        </w:tc>
        <w:tc>
          <w:tcPr>
            <w:tcW w:w="0" w:type="auto"/>
            <w:vAlign w:val="center"/>
          </w:tcPr>
          <w:p w14:paraId="2EB7EFC2"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25.87211</w:t>
            </w:r>
          </w:p>
        </w:tc>
      </w:tr>
      <w:tr w:rsidR="005A719B" w:rsidRPr="00953770" w14:paraId="1C653715" w14:textId="77777777" w:rsidTr="00743A31">
        <w:trPr>
          <w:trHeight w:val="432"/>
          <w:jc w:val="center"/>
        </w:trPr>
        <w:tc>
          <w:tcPr>
            <w:tcW w:w="0" w:type="auto"/>
            <w:vAlign w:val="center"/>
          </w:tcPr>
          <w:p w14:paraId="79F1FDDC" w14:textId="586DD229" w:rsidR="005A719B" w:rsidRPr="00953770" w:rsidRDefault="005A719B" w:rsidP="00242F46">
            <w:pPr>
              <w:jc w:val="center"/>
              <w:rPr>
                <w:rFonts w:eastAsia="SimSun"/>
                <w:sz w:val="20"/>
                <w:szCs w:val="20"/>
                <w:lang w:val="en-US"/>
              </w:rPr>
            </w:pPr>
            <w:r>
              <w:rPr>
                <w:rFonts w:eastAsia="SimSun"/>
                <w:sz w:val="20"/>
                <w:szCs w:val="20"/>
                <w:lang w:val="en-US"/>
              </w:rPr>
              <w:t xml:space="preserve">r </w:t>
            </w:r>
            <w:r w:rsidRPr="00953770">
              <w:rPr>
                <w:rFonts w:eastAsia="SimSun"/>
                <w:sz w:val="20"/>
                <w:szCs w:val="20"/>
                <w:lang w:val="en-US"/>
              </w:rPr>
              <w:t>=</w:t>
            </w:r>
            <w:r>
              <w:rPr>
                <w:rFonts w:eastAsia="SimSun"/>
                <w:sz w:val="20"/>
                <w:szCs w:val="20"/>
                <w:lang w:val="en-US"/>
              </w:rPr>
              <w:t xml:space="preserve"> </w:t>
            </w:r>
            <w:r w:rsidRPr="00953770">
              <w:rPr>
                <w:rFonts w:eastAsia="SimSun"/>
                <w:sz w:val="20"/>
                <w:szCs w:val="20"/>
                <w:lang w:val="en-US"/>
              </w:rPr>
              <w:t>2</w:t>
            </w:r>
          </w:p>
        </w:tc>
        <w:tc>
          <w:tcPr>
            <w:tcW w:w="0" w:type="auto"/>
            <w:vAlign w:val="center"/>
          </w:tcPr>
          <w:p w14:paraId="53A4C866"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9.615335</w:t>
            </w:r>
          </w:p>
        </w:tc>
        <w:tc>
          <w:tcPr>
            <w:tcW w:w="0" w:type="auto"/>
            <w:vAlign w:val="center"/>
          </w:tcPr>
          <w:p w14:paraId="73A8C50C"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vAlign w:val="center"/>
          </w:tcPr>
          <w:p w14:paraId="2C9C4EF4"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5.649982</w:t>
            </w:r>
          </w:p>
        </w:tc>
        <w:tc>
          <w:tcPr>
            <w:tcW w:w="0" w:type="auto"/>
            <w:vAlign w:val="center"/>
          </w:tcPr>
          <w:p w14:paraId="038DA835"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vAlign w:val="center"/>
          </w:tcPr>
          <w:p w14:paraId="6C7AAA4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3.859387</w:t>
            </w:r>
          </w:p>
        </w:tc>
        <w:tc>
          <w:tcPr>
            <w:tcW w:w="0" w:type="auto"/>
            <w:vAlign w:val="center"/>
          </w:tcPr>
          <w:p w14:paraId="38E277E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c>
          <w:tcPr>
            <w:tcW w:w="0" w:type="auto"/>
            <w:vAlign w:val="center"/>
          </w:tcPr>
          <w:p w14:paraId="631D9461"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8.338801</w:t>
            </w:r>
          </w:p>
        </w:tc>
        <w:tc>
          <w:tcPr>
            <w:tcW w:w="0" w:type="auto"/>
            <w:vAlign w:val="center"/>
          </w:tcPr>
          <w:p w14:paraId="00D23C70" w14:textId="77777777" w:rsidR="005A719B" w:rsidRPr="00953770" w:rsidRDefault="005A719B" w:rsidP="00242F46">
            <w:pPr>
              <w:jc w:val="center"/>
              <w:rPr>
                <w:rFonts w:eastAsia="SimSun"/>
                <w:sz w:val="20"/>
                <w:szCs w:val="20"/>
                <w:lang w:val="en-US"/>
              </w:rPr>
            </w:pPr>
            <w:r w:rsidRPr="00953770">
              <w:rPr>
                <w:rFonts w:eastAsia="SimSun"/>
                <w:sz w:val="20"/>
                <w:szCs w:val="20"/>
                <w:lang w:val="en-US"/>
              </w:rPr>
              <w:t>12.51798</w:t>
            </w:r>
          </w:p>
        </w:tc>
      </w:tr>
    </w:tbl>
    <w:p w14:paraId="745D3F35" w14:textId="77777777" w:rsidR="00233044" w:rsidRDefault="00233044" w:rsidP="00233044">
      <w:pPr>
        <w:spacing w:line="360" w:lineRule="auto"/>
        <w:rPr>
          <w:i/>
          <w:color w:val="000000" w:themeColor="text1"/>
          <w:sz w:val="16"/>
          <w:szCs w:val="16"/>
          <w:lang w:val="en-US"/>
        </w:rPr>
      </w:pPr>
    </w:p>
    <w:p w14:paraId="7AED1576" w14:textId="77777777" w:rsidR="00233044" w:rsidRPr="00D75709" w:rsidRDefault="00233044" w:rsidP="00233044">
      <w:pPr>
        <w:spacing w:line="360" w:lineRule="auto"/>
        <w:rPr>
          <w:rFonts w:eastAsia="SimSun"/>
          <w:i/>
          <w:color w:val="000000" w:themeColor="text1"/>
          <w:sz w:val="16"/>
          <w:szCs w:val="16"/>
          <w:lang w:val="en-US"/>
        </w:rPr>
      </w:pPr>
      <w:r>
        <w:rPr>
          <w:i/>
          <w:color w:val="000000" w:themeColor="text1"/>
          <w:sz w:val="16"/>
          <w:szCs w:val="16"/>
          <w:lang w:val="en-US"/>
        </w:rPr>
        <w:t xml:space="preserve">Notes: </w:t>
      </w:r>
      <w:r>
        <w:rPr>
          <w:i/>
          <w:sz w:val="16"/>
          <w:szCs w:val="16"/>
        </w:rPr>
        <w:t>1)</w:t>
      </w:r>
      <w:r w:rsidRPr="00D875ED">
        <w:rPr>
          <w:i/>
          <w:sz w:val="16"/>
          <w:szCs w:val="16"/>
        </w:rPr>
        <w:t xml:space="preserve"> Statistical significance at the 95% level or greater is signified by *.</w:t>
      </w:r>
      <w:r>
        <w:rPr>
          <w:i/>
          <w:sz w:val="16"/>
          <w:szCs w:val="16"/>
        </w:rPr>
        <w:t xml:space="preserve"> 2)</w:t>
      </w:r>
      <w:r w:rsidRPr="00D875ED">
        <w:rPr>
          <w:i/>
          <w:sz w:val="16"/>
          <w:szCs w:val="16"/>
        </w:rPr>
        <w:t xml:space="preserve"> We perform the Johansen and Juselius (1990) Trace Test to assess the co-integrating rank of the long-run </w:t>
      </w:r>
      <w:r w:rsidRPr="00D875ED">
        <w:rPr>
          <w:b/>
          <w:i/>
          <w:sz w:val="16"/>
          <w:szCs w:val="16"/>
        </w:rPr>
        <w:t>π</w:t>
      </w:r>
      <w:r w:rsidRPr="00D875ED" w:rsidDel="007B2AD0">
        <w:rPr>
          <w:i/>
          <w:sz w:val="16"/>
          <w:szCs w:val="16"/>
        </w:rPr>
        <w:t xml:space="preserve"> </w:t>
      </w:r>
      <w:r w:rsidRPr="00D875ED">
        <w:rPr>
          <w:i/>
          <w:sz w:val="16"/>
          <w:szCs w:val="16"/>
        </w:rPr>
        <w:t xml:space="preserve">matrix. </w:t>
      </w:r>
      <w:r>
        <w:rPr>
          <w:i/>
          <w:sz w:val="16"/>
          <w:szCs w:val="16"/>
        </w:rPr>
        <w:t>The results suggest that, i</w:t>
      </w:r>
      <w:r w:rsidRPr="00953770">
        <w:rPr>
          <w:i/>
          <w:color w:val="000000" w:themeColor="text1"/>
          <w:sz w:val="16"/>
          <w:szCs w:val="16"/>
          <w:lang w:val="en-US"/>
        </w:rPr>
        <w:t xml:space="preserve">n each separate market, there exists </w:t>
      </w:r>
      <w:r w:rsidRPr="00F05CCF">
        <w:rPr>
          <w:i/>
          <w:color w:val="000000" w:themeColor="text1"/>
          <w:sz w:val="16"/>
          <w:szCs w:val="16"/>
          <w:lang w:val="en-US"/>
        </w:rPr>
        <w:t>at least</w:t>
      </w:r>
      <w:r w:rsidRPr="00953770">
        <w:rPr>
          <w:i/>
          <w:color w:val="000000" w:themeColor="text1"/>
          <w:sz w:val="16"/>
          <w:szCs w:val="16"/>
          <w:lang w:val="en-US"/>
        </w:rPr>
        <w:t xml:space="preserve"> one</w:t>
      </w:r>
      <w:r>
        <w:rPr>
          <w:i/>
          <w:color w:val="000000" w:themeColor="text1"/>
          <w:sz w:val="16"/>
          <w:szCs w:val="16"/>
          <w:lang w:val="en-US"/>
        </w:rPr>
        <w:t xml:space="preserve"> common stochastic trend among i</w:t>
      </w:r>
      <w:r w:rsidRPr="00953770">
        <w:rPr>
          <w:i/>
          <w:color w:val="000000" w:themeColor="text1"/>
          <w:sz w:val="16"/>
          <w:szCs w:val="16"/>
          <w:lang w:val="en-US"/>
        </w:rPr>
        <w:t>) spot index, index futures</w:t>
      </w:r>
      <w:r>
        <w:rPr>
          <w:i/>
          <w:color w:val="000000" w:themeColor="text1"/>
          <w:sz w:val="16"/>
          <w:szCs w:val="16"/>
          <w:lang w:val="en-US"/>
        </w:rPr>
        <w:t>,</w:t>
      </w:r>
      <w:r w:rsidRPr="00953770">
        <w:rPr>
          <w:i/>
          <w:color w:val="000000" w:themeColor="text1"/>
          <w:sz w:val="16"/>
          <w:szCs w:val="16"/>
          <w:lang w:val="en-US"/>
        </w:rPr>
        <w:t xml:space="preserve"> and iShare </w:t>
      </w:r>
      <w:r>
        <w:rPr>
          <w:i/>
          <w:color w:val="000000" w:themeColor="text1"/>
          <w:sz w:val="16"/>
          <w:szCs w:val="16"/>
          <w:lang w:val="en-US"/>
        </w:rPr>
        <w:t>ETFs</w:t>
      </w:r>
      <w:r w:rsidRPr="00953770">
        <w:rPr>
          <w:i/>
          <w:color w:val="000000" w:themeColor="text1"/>
          <w:sz w:val="16"/>
          <w:szCs w:val="16"/>
          <w:lang w:val="en-US"/>
        </w:rPr>
        <w:t xml:space="preserve"> of FTSE</w:t>
      </w:r>
      <w:r>
        <w:rPr>
          <w:i/>
          <w:color w:val="000000" w:themeColor="text1"/>
          <w:sz w:val="16"/>
          <w:szCs w:val="16"/>
          <w:lang w:val="en-US"/>
        </w:rPr>
        <w:t>, ii</w:t>
      </w:r>
      <w:r w:rsidRPr="00953770">
        <w:rPr>
          <w:i/>
          <w:color w:val="000000" w:themeColor="text1"/>
          <w:sz w:val="16"/>
          <w:szCs w:val="16"/>
          <w:lang w:val="en-US"/>
        </w:rPr>
        <w:t>) spot index, index futures</w:t>
      </w:r>
      <w:r>
        <w:rPr>
          <w:i/>
          <w:color w:val="000000" w:themeColor="text1"/>
          <w:sz w:val="16"/>
          <w:szCs w:val="16"/>
          <w:lang w:val="en-US"/>
        </w:rPr>
        <w:t>,</w:t>
      </w:r>
      <w:r w:rsidRPr="00953770">
        <w:rPr>
          <w:i/>
          <w:color w:val="000000" w:themeColor="text1"/>
          <w:sz w:val="16"/>
          <w:szCs w:val="16"/>
          <w:lang w:val="en-US"/>
        </w:rPr>
        <w:t xml:space="preserve"> and Lyxor </w:t>
      </w:r>
      <w:r>
        <w:rPr>
          <w:i/>
          <w:color w:val="000000" w:themeColor="text1"/>
          <w:sz w:val="16"/>
          <w:szCs w:val="16"/>
          <w:lang w:val="en-US"/>
        </w:rPr>
        <w:t>ETFs</w:t>
      </w:r>
      <w:r w:rsidRPr="00953770">
        <w:rPr>
          <w:i/>
          <w:color w:val="000000" w:themeColor="text1"/>
          <w:sz w:val="16"/>
          <w:szCs w:val="16"/>
          <w:lang w:val="en-US"/>
        </w:rPr>
        <w:t xml:space="preserve"> of CAC</w:t>
      </w:r>
      <w:r>
        <w:rPr>
          <w:i/>
          <w:color w:val="000000" w:themeColor="text1"/>
          <w:sz w:val="16"/>
          <w:szCs w:val="16"/>
          <w:lang w:val="en-US"/>
        </w:rPr>
        <w:t>, and iii</w:t>
      </w:r>
      <w:r w:rsidRPr="00953770">
        <w:rPr>
          <w:i/>
          <w:color w:val="000000" w:themeColor="text1"/>
          <w:sz w:val="16"/>
          <w:szCs w:val="16"/>
          <w:lang w:val="en-US"/>
        </w:rPr>
        <w:t>) spot index, index futures</w:t>
      </w:r>
      <w:r>
        <w:rPr>
          <w:i/>
          <w:color w:val="000000" w:themeColor="text1"/>
          <w:sz w:val="16"/>
          <w:szCs w:val="16"/>
          <w:lang w:val="en-US"/>
        </w:rPr>
        <w:t>,</w:t>
      </w:r>
      <w:r w:rsidRPr="00953770">
        <w:rPr>
          <w:i/>
          <w:color w:val="000000" w:themeColor="text1"/>
          <w:sz w:val="16"/>
          <w:szCs w:val="16"/>
          <w:lang w:val="en-US"/>
        </w:rPr>
        <w:t xml:space="preserve"> and iShare </w:t>
      </w:r>
      <w:r>
        <w:rPr>
          <w:i/>
          <w:color w:val="000000" w:themeColor="text1"/>
          <w:sz w:val="16"/>
          <w:szCs w:val="16"/>
          <w:lang w:val="en-US"/>
        </w:rPr>
        <w:t>ETFs</w:t>
      </w:r>
      <w:r w:rsidRPr="00953770">
        <w:rPr>
          <w:i/>
          <w:color w:val="000000" w:themeColor="text1"/>
          <w:sz w:val="16"/>
          <w:szCs w:val="16"/>
          <w:lang w:val="en-US"/>
        </w:rPr>
        <w:t xml:space="preserve"> of DAX.</w:t>
      </w:r>
    </w:p>
    <w:p w14:paraId="235B779D" w14:textId="6C3BA246" w:rsidR="005A719B" w:rsidRPr="00953770" w:rsidRDefault="005A719B" w:rsidP="00D75F91">
      <w:pPr>
        <w:tabs>
          <w:tab w:val="left" w:pos="5623"/>
        </w:tabs>
        <w:rPr>
          <w:rFonts w:eastAsia="SimSun"/>
          <w:lang w:val="en-US"/>
        </w:rPr>
        <w:sectPr w:rsidR="005A719B" w:rsidRPr="00953770" w:rsidSect="00BB1605">
          <w:endnotePr>
            <w:numFmt w:val="decimal"/>
          </w:endnotePr>
          <w:pgSz w:w="16840" w:h="11900" w:orient="landscape" w:code="9"/>
          <w:pgMar w:top="1797" w:right="1440" w:bottom="1797" w:left="1440" w:header="709" w:footer="709" w:gutter="0"/>
          <w:cols w:space="708"/>
          <w:docGrid w:linePitch="360"/>
        </w:sectPr>
      </w:pPr>
    </w:p>
    <w:p w14:paraId="28E8060E" w14:textId="4F7A7AF6" w:rsidR="005A719B" w:rsidRPr="00953770" w:rsidRDefault="009E40ED" w:rsidP="00D75F91">
      <w:pPr>
        <w:spacing w:line="480" w:lineRule="auto"/>
        <w:jc w:val="both"/>
        <w:rPr>
          <w:color w:val="000000" w:themeColor="text1"/>
          <w:lang w:val="en-US"/>
        </w:rPr>
      </w:pPr>
      <w:r>
        <w:rPr>
          <w:color w:val="000000" w:themeColor="text1"/>
          <w:lang w:val="en-US"/>
        </w:rPr>
        <w:t>Table 4</w:t>
      </w:r>
      <w:r w:rsidR="005A719B" w:rsidRPr="00953770">
        <w:rPr>
          <w:color w:val="000000" w:themeColor="text1"/>
          <w:lang w:val="en-US"/>
        </w:rPr>
        <w:t xml:space="preserve"> presents a summary of the estimated </w:t>
      </w:r>
      <w:r w:rsidR="005A719B" w:rsidRPr="00953770">
        <w:rPr>
          <w:rFonts w:eastAsia="SimSun"/>
          <w:lang w:val="en-US"/>
        </w:rPr>
        <w:t xml:space="preserve">Gonzalo and Granger (1995) </w:t>
      </w:r>
      <w:r w:rsidR="005A719B" w:rsidRPr="00953770">
        <w:rPr>
          <w:color w:val="000000" w:themeColor="text1"/>
          <w:lang w:val="en-US"/>
        </w:rPr>
        <w:t>common factor decompositions of the 9 time series for the FTSE, CAC</w:t>
      </w:r>
      <w:r w:rsidR="005A719B">
        <w:rPr>
          <w:color w:val="000000" w:themeColor="text1"/>
          <w:lang w:val="en-US"/>
        </w:rPr>
        <w:t>,</w:t>
      </w:r>
      <w:r w:rsidR="005A719B" w:rsidRPr="00953770">
        <w:rPr>
          <w:color w:val="000000" w:themeColor="text1"/>
          <w:lang w:val="en-US"/>
        </w:rPr>
        <w:t xml:space="preserve"> and DAX groups. </w:t>
      </w:r>
      <w:r w:rsidR="005A719B" w:rsidRPr="00953770">
        <w:rPr>
          <w:rFonts w:eastAsia="SimSun"/>
          <w:lang w:val="en-US"/>
        </w:rPr>
        <w:t xml:space="preserve">For the FTSE data set, the iShare FTSE 100 </w:t>
      </w:r>
      <w:r w:rsidR="005A719B">
        <w:rPr>
          <w:rFonts w:eastAsia="SimSun"/>
          <w:lang w:val="en-US"/>
        </w:rPr>
        <w:t>ETFs</w:t>
      </w:r>
      <w:r w:rsidR="005A719B" w:rsidRPr="00953770">
        <w:rPr>
          <w:rFonts w:eastAsia="SimSun"/>
          <w:lang w:val="en-US"/>
        </w:rPr>
        <w:t xml:space="preserve"> </w:t>
      </w:r>
      <w:r w:rsidR="005A719B">
        <w:rPr>
          <w:rFonts w:eastAsia="SimSun"/>
          <w:lang w:val="en-US"/>
        </w:rPr>
        <w:t>was</w:t>
      </w:r>
      <w:r w:rsidR="005A719B" w:rsidRPr="00953770">
        <w:rPr>
          <w:rFonts w:eastAsia="SimSun"/>
          <w:lang w:val="en-US"/>
        </w:rPr>
        <w:t xml:space="preserve"> in </w:t>
      </w:r>
      <w:r w:rsidR="005A719B">
        <w:rPr>
          <w:rFonts w:eastAsia="SimSun"/>
          <w:lang w:val="en-US"/>
        </w:rPr>
        <w:t>a</w:t>
      </w:r>
      <w:r w:rsidR="005A719B" w:rsidRPr="00953770">
        <w:rPr>
          <w:rFonts w:eastAsia="SimSun"/>
          <w:lang w:val="en-US"/>
        </w:rPr>
        <w:t xml:space="preserve"> dominant position in</w:t>
      </w:r>
      <w:r w:rsidR="005A719B">
        <w:rPr>
          <w:rFonts w:eastAsia="SimSun"/>
          <w:lang w:val="en-US"/>
        </w:rPr>
        <w:t xml:space="preserve"> the</w:t>
      </w:r>
      <w:r w:rsidR="005A719B" w:rsidRPr="00953770">
        <w:rPr>
          <w:rFonts w:eastAsia="SimSun"/>
          <w:lang w:val="en-US"/>
        </w:rPr>
        <w:t xml:space="preserve"> price discovery</w:t>
      </w:r>
      <w:r w:rsidR="005A719B">
        <w:rPr>
          <w:rFonts w:eastAsia="SimSun"/>
          <w:lang w:val="en-US"/>
        </w:rPr>
        <w:t xml:space="preserve"> process</w:t>
      </w:r>
      <w:r w:rsidR="005A719B" w:rsidRPr="00953770">
        <w:rPr>
          <w:rFonts w:eastAsia="SimSun"/>
          <w:lang w:val="en-US"/>
        </w:rPr>
        <w:t xml:space="preserve">, as it generated the highest contributions to the common factor </w:t>
      </w:r>
      <w:r w:rsidR="005A719B">
        <w:rPr>
          <w:rFonts w:eastAsia="SimSun"/>
          <w:lang w:val="en-US"/>
        </w:rPr>
        <w:t xml:space="preserve">in </w:t>
      </w:r>
      <w:r w:rsidR="005A719B" w:rsidRPr="00953770">
        <w:rPr>
          <w:rFonts w:eastAsia="SimSun"/>
          <w:lang w:val="en-US"/>
        </w:rPr>
        <w:t>the majority of sample periods in 2010, 2012</w:t>
      </w:r>
      <w:r w:rsidR="005A719B">
        <w:rPr>
          <w:rFonts w:eastAsia="SimSun"/>
          <w:lang w:val="en-US"/>
        </w:rPr>
        <w:t>,</w:t>
      </w:r>
      <w:r w:rsidR="005A719B" w:rsidRPr="00953770">
        <w:rPr>
          <w:rFonts w:eastAsia="SimSun"/>
          <w:lang w:val="en-US"/>
        </w:rPr>
        <w:t xml:space="preserve"> and 2013. </w:t>
      </w:r>
      <w:r w:rsidR="005A719B">
        <w:rPr>
          <w:rFonts w:eastAsia="SimSun"/>
          <w:lang w:val="en-US"/>
        </w:rPr>
        <w:t>Conversely</w:t>
      </w:r>
      <w:r w:rsidR="005A719B" w:rsidRPr="00953770">
        <w:rPr>
          <w:rFonts w:eastAsia="SimSun"/>
          <w:lang w:val="en-US"/>
        </w:rPr>
        <w:t>, the estimated common factor weights of the spot index market closely replicate</w:t>
      </w:r>
      <w:r w:rsidR="005A719B">
        <w:rPr>
          <w:rFonts w:eastAsia="SimSun"/>
          <w:lang w:val="en-US"/>
        </w:rPr>
        <w:t>d</w:t>
      </w:r>
      <w:r w:rsidR="005A719B" w:rsidRPr="00953770">
        <w:rPr>
          <w:rFonts w:eastAsia="SimSun"/>
          <w:lang w:val="en-US"/>
        </w:rPr>
        <w:t xml:space="preserve"> those of the </w:t>
      </w:r>
      <w:r w:rsidR="005A719B">
        <w:rPr>
          <w:rFonts w:eastAsia="SimSun"/>
          <w:lang w:val="en-US"/>
        </w:rPr>
        <w:t>ETFs</w:t>
      </w:r>
      <w:r w:rsidR="005A719B" w:rsidRPr="00953770">
        <w:rPr>
          <w:rFonts w:eastAsia="SimSun"/>
          <w:lang w:val="en-US"/>
        </w:rPr>
        <w:t xml:space="preserve"> market in these years, while the futures market </w:t>
      </w:r>
      <w:r w:rsidR="005A719B">
        <w:rPr>
          <w:rFonts w:eastAsia="SimSun"/>
          <w:lang w:val="en-US"/>
        </w:rPr>
        <w:t xml:space="preserve">made </w:t>
      </w:r>
      <w:r w:rsidR="005A719B" w:rsidRPr="00953770">
        <w:rPr>
          <w:rFonts w:eastAsia="SimSun"/>
          <w:lang w:val="en-US"/>
        </w:rPr>
        <w:t xml:space="preserve">the least contribution to the common factor. It is interesting to note that, however, </w:t>
      </w:r>
      <w:r w:rsidR="005A719B" w:rsidRPr="00953770">
        <w:rPr>
          <w:color w:val="000000" w:themeColor="text1"/>
          <w:lang w:val="en-US"/>
        </w:rPr>
        <w:t xml:space="preserve">in 2011, the FTSE futures market </w:t>
      </w:r>
      <w:r w:rsidR="005A719B">
        <w:rPr>
          <w:color w:val="000000" w:themeColor="text1"/>
          <w:lang w:val="en-US"/>
        </w:rPr>
        <w:t xml:space="preserve">took </w:t>
      </w:r>
      <w:r w:rsidR="005A719B" w:rsidRPr="00953770">
        <w:rPr>
          <w:color w:val="000000" w:themeColor="text1"/>
          <w:lang w:val="en-US"/>
        </w:rPr>
        <w:t xml:space="preserve">the lead, as the estimated contribution of such a market to </w:t>
      </w:r>
      <w:r w:rsidR="005A719B">
        <w:rPr>
          <w:color w:val="000000" w:themeColor="text1"/>
          <w:lang w:val="en-US"/>
        </w:rPr>
        <w:t xml:space="preserve">the </w:t>
      </w:r>
      <w:r w:rsidR="005A719B" w:rsidRPr="00953770">
        <w:rPr>
          <w:color w:val="000000" w:themeColor="text1"/>
          <w:lang w:val="en-US"/>
        </w:rPr>
        <w:t xml:space="preserve">overall price discovery </w:t>
      </w:r>
      <w:r w:rsidR="005A719B">
        <w:rPr>
          <w:color w:val="000000" w:themeColor="text1"/>
          <w:lang w:val="en-US"/>
        </w:rPr>
        <w:t xml:space="preserve">process was </w:t>
      </w:r>
      <w:r w:rsidR="005A719B" w:rsidRPr="00953770">
        <w:rPr>
          <w:color w:val="000000" w:themeColor="text1"/>
          <w:lang w:val="en-US"/>
        </w:rPr>
        <w:t>as high as 68%, followed by the spot</w:t>
      </w:r>
      <w:r w:rsidR="005A719B">
        <w:rPr>
          <w:color w:val="000000" w:themeColor="text1"/>
          <w:lang w:val="en-US"/>
        </w:rPr>
        <w:t>,</w:t>
      </w:r>
      <w:r w:rsidR="005A719B" w:rsidRPr="00953770">
        <w:rPr>
          <w:color w:val="000000" w:themeColor="text1"/>
          <w:lang w:val="en-US"/>
        </w:rPr>
        <w:t xml:space="preserve"> with the </w:t>
      </w:r>
      <w:r w:rsidR="005A719B">
        <w:rPr>
          <w:color w:val="000000" w:themeColor="text1"/>
          <w:lang w:val="en-US"/>
        </w:rPr>
        <w:t>ETFs</w:t>
      </w:r>
      <w:r w:rsidR="005A719B" w:rsidRPr="00953770">
        <w:rPr>
          <w:color w:val="000000" w:themeColor="text1"/>
          <w:lang w:val="en-US"/>
        </w:rPr>
        <w:t xml:space="preserve"> market contributing </w:t>
      </w:r>
      <w:r w:rsidR="005A719B">
        <w:rPr>
          <w:color w:val="000000" w:themeColor="text1"/>
          <w:lang w:val="en-US"/>
        </w:rPr>
        <w:t xml:space="preserve">the </w:t>
      </w:r>
      <w:r w:rsidR="005A719B" w:rsidRPr="00953770">
        <w:rPr>
          <w:color w:val="000000" w:themeColor="text1"/>
          <w:lang w:val="en-US"/>
        </w:rPr>
        <w:t xml:space="preserve">least for that year. </w:t>
      </w:r>
    </w:p>
    <w:p w14:paraId="683D0B58" w14:textId="77777777" w:rsidR="005A719B" w:rsidRPr="00953770" w:rsidRDefault="005A719B" w:rsidP="00D75F91">
      <w:pPr>
        <w:spacing w:line="360" w:lineRule="auto"/>
        <w:rPr>
          <w:rFonts w:eastAsia="SimSun"/>
          <w:lang w:val="en-US"/>
        </w:rPr>
      </w:pPr>
    </w:p>
    <w:p w14:paraId="08E91B05" w14:textId="1F79A7E9" w:rsidR="005A719B" w:rsidRPr="00953770" w:rsidRDefault="005A719B" w:rsidP="00D75F91">
      <w:pPr>
        <w:spacing w:line="480" w:lineRule="auto"/>
        <w:jc w:val="both"/>
        <w:rPr>
          <w:color w:val="000000" w:themeColor="text1"/>
          <w:lang w:val="en-US"/>
        </w:rPr>
      </w:pPr>
      <w:r w:rsidRPr="00953770">
        <w:rPr>
          <w:rFonts w:eastAsia="SimSun"/>
          <w:lang w:val="en-US"/>
        </w:rPr>
        <w:t xml:space="preserve">For the German market, the iShare DAX 30 </w:t>
      </w:r>
      <w:r>
        <w:rPr>
          <w:rFonts w:eastAsia="SimSun"/>
          <w:lang w:val="en-US"/>
        </w:rPr>
        <w:t>ETFs</w:t>
      </w:r>
      <w:r w:rsidRPr="00953770">
        <w:rPr>
          <w:rFonts w:eastAsia="SimSun"/>
          <w:lang w:val="en-US"/>
        </w:rPr>
        <w:t xml:space="preserve"> </w:t>
      </w:r>
      <w:r>
        <w:rPr>
          <w:rFonts w:eastAsia="SimSun"/>
          <w:lang w:val="en-US"/>
        </w:rPr>
        <w:t>assumed</w:t>
      </w:r>
      <w:r w:rsidRPr="00953770">
        <w:rPr>
          <w:rFonts w:eastAsia="SimSun"/>
          <w:lang w:val="en-US"/>
        </w:rPr>
        <w:t xml:space="preserve"> absolute dominan</w:t>
      </w:r>
      <w:r>
        <w:rPr>
          <w:rFonts w:eastAsia="SimSun"/>
          <w:lang w:val="en-US"/>
        </w:rPr>
        <w:t>ce</w:t>
      </w:r>
      <w:r w:rsidRPr="00953770">
        <w:rPr>
          <w:rFonts w:eastAsia="SimSun"/>
          <w:lang w:val="en-US"/>
        </w:rPr>
        <w:t xml:space="preserve"> in </w:t>
      </w:r>
      <w:r>
        <w:rPr>
          <w:rFonts w:eastAsia="SimSun"/>
          <w:lang w:val="en-US"/>
        </w:rPr>
        <w:t xml:space="preserve">the </w:t>
      </w:r>
      <w:r w:rsidRPr="00953770">
        <w:rPr>
          <w:rFonts w:eastAsia="SimSun"/>
          <w:lang w:val="en-US"/>
        </w:rPr>
        <w:t>price discovery</w:t>
      </w:r>
      <w:r>
        <w:rPr>
          <w:rFonts w:eastAsia="SimSun"/>
          <w:lang w:val="en-US"/>
        </w:rPr>
        <w:t xml:space="preserve"> process</w:t>
      </w:r>
      <w:r w:rsidRPr="00953770">
        <w:rPr>
          <w:rFonts w:eastAsia="SimSun"/>
          <w:lang w:val="en-US"/>
        </w:rPr>
        <w:t xml:space="preserve">, as the estimated common factor weights consistently </w:t>
      </w:r>
      <w:r w:rsidRPr="00F05CCF">
        <w:rPr>
          <w:rFonts w:eastAsia="SimSun"/>
          <w:lang w:val="en-US"/>
        </w:rPr>
        <w:t>remain</w:t>
      </w:r>
      <w:r>
        <w:rPr>
          <w:rFonts w:eastAsia="SimSun"/>
          <w:lang w:val="en-US"/>
        </w:rPr>
        <w:t>ed</w:t>
      </w:r>
      <w:r w:rsidRPr="00F05CCF">
        <w:rPr>
          <w:rFonts w:eastAsia="SimSun"/>
          <w:lang w:val="en-US"/>
        </w:rPr>
        <w:t xml:space="preserve"> </w:t>
      </w:r>
      <w:r w:rsidRPr="00953770">
        <w:rPr>
          <w:rFonts w:eastAsia="SimSun"/>
          <w:lang w:val="en-US"/>
        </w:rPr>
        <w:t xml:space="preserve">the highest throughout the sample periods. It appears that the spot index market </w:t>
      </w:r>
      <w:r>
        <w:rPr>
          <w:rFonts w:eastAsia="SimSun"/>
          <w:lang w:val="en-US"/>
        </w:rPr>
        <w:t xml:space="preserve">was </w:t>
      </w:r>
      <w:r w:rsidRPr="00953770">
        <w:rPr>
          <w:rFonts w:eastAsia="SimSun"/>
          <w:lang w:val="en-US"/>
        </w:rPr>
        <w:t xml:space="preserve">the second largest contributor to </w:t>
      </w:r>
      <w:r>
        <w:rPr>
          <w:rFonts w:eastAsia="SimSun"/>
          <w:lang w:val="en-US"/>
        </w:rPr>
        <w:t xml:space="preserve">the </w:t>
      </w:r>
      <w:r w:rsidRPr="00953770">
        <w:rPr>
          <w:rFonts w:eastAsia="SimSun"/>
          <w:lang w:val="en-US"/>
        </w:rPr>
        <w:t>price discovery</w:t>
      </w:r>
      <w:r>
        <w:rPr>
          <w:rFonts w:eastAsia="SimSun"/>
          <w:lang w:val="en-US"/>
        </w:rPr>
        <w:t xml:space="preserve"> process</w:t>
      </w:r>
      <w:r w:rsidRPr="00953770">
        <w:rPr>
          <w:rFonts w:eastAsia="SimSun"/>
          <w:lang w:val="en-US"/>
        </w:rPr>
        <w:t>, as the common factor weights closely follow</w:t>
      </w:r>
      <w:r>
        <w:rPr>
          <w:rFonts w:eastAsia="SimSun"/>
          <w:lang w:val="en-US"/>
        </w:rPr>
        <w:t>ed</w:t>
      </w:r>
      <w:r w:rsidRPr="00953770">
        <w:rPr>
          <w:rFonts w:eastAsia="SimSun"/>
          <w:lang w:val="en-US"/>
        </w:rPr>
        <w:t xml:space="preserve"> those of the index tracking </w:t>
      </w:r>
      <w:r>
        <w:rPr>
          <w:rFonts w:eastAsia="SimSun"/>
          <w:lang w:val="en-US"/>
        </w:rPr>
        <w:t>ETFs</w:t>
      </w:r>
      <w:r w:rsidRPr="00953770">
        <w:rPr>
          <w:rFonts w:eastAsia="SimSun"/>
          <w:lang w:val="en-US"/>
        </w:rPr>
        <w:t xml:space="preserve"> market. The DAX index futures market </w:t>
      </w:r>
      <w:r>
        <w:rPr>
          <w:rFonts w:eastAsia="SimSun"/>
          <w:lang w:val="en-US"/>
        </w:rPr>
        <w:t xml:space="preserve">did </w:t>
      </w:r>
      <w:r w:rsidRPr="00953770">
        <w:rPr>
          <w:rFonts w:eastAsia="SimSun"/>
          <w:lang w:val="en-US"/>
        </w:rPr>
        <w:t>not play a leading informational role in the overall market</w:t>
      </w:r>
      <w:r>
        <w:rPr>
          <w:rFonts w:eastAsia="SimSun"/>
          <w:lang w:val="en-US"/>
        </w:rPr>
        <w:t>,</w:t>
      </w:r>
      <w:r w:rsidRPr="00953770">
        <w:rPr>
          <w:rFonts w:eastAsia="SimSun"/>
          <w:lang w:val="en-US"/>
        </w:rPr>
        <w:t xml:space="preserve"> because the common factor weights for the futures </w:t>
      </w:r>
      <w:r>
        <w:rPr>
          <w:rFonts w:eastAsia="SimSun"/>
          <w:lang w:val="en-US"/>
        </w:rPr>
        <w:t xml:space="preserve">were the </w:t>
      </w:r>
      <w:r w:rsidRPr="00953770">
        <w:rPr>
          <w:rFonts w:eastAsia="SimSun"/>
          <w:lang w:val="en-US"/>
        </w:rPr>
        <w:t xml:space="preserve">smallest </w:t>
      </w:r>
      <w:r>
        <w:rPr>
          <w:rFonts w:eastAsia="SimSun"/>
          <w:lang w:val="en-US"/>
        </w:rPr>
        <w:t xml:space="preserve">in </w:t>
      </w:r>
      <w:r w:rsidRPr="00953770">
        <w:rPr>
          <w:rFonts w:eastAsia="SimSun"/>
          <w:lang w:val="en-US"/>
        </w:rPr>
        <w:t xml:space="preserve">the three markets. </w:t>
      </w:r>
    </w:p>
    <w:p w14:paraId="71BE3F71" w14:textId="77777777" w:rsidR="005A719B" w:rsidRPr="00953770" w:rsidRDefault="005A719B" w:rsidP="00D75F91">
      <w:pPr>
        <w:spacing w:line="480" w:lineRule="auto"/>
        <w:jc w:val="both"/>
        <w:rPr>
          <w:rFonts w:eastAsia="SimSun"/>
          <w:lang w:val="en-US"/>
        </w:rPr>
      </w:pPr>
    </w:p>
    <w:p w14:paraId="0A46475E" w14:textId="2F9D9989" w:rsidR="005A719B" w:rsidRPr="00953770" w:rsidRDefault="005A719B" w:rsidP="004265C6">
      <w:pPr>
        <w:spacing w:line="480" w:lineRule="auto"/>
        <w:jc w:val="both"/>
        <w:rPr>
          <w:iCs/>
          <w:color w:val="000000" w:themeColor="text1"/>
          <w:lang w:val="en-US"/>
        </w:rPr>
      </w:pPr>
      <w:r>
        <w:rPr>
          <w:iCs/>
          <w:color w:val="000000" w:themeColor="text1"/>
          <w:lang w:val="en-US"/>
        </w:rPr>
        <w:t>With r</w:t>
      </w:r>
      <w:r w:rsidRPr="00953770">
        <w:rPr>
          <w:iCs/>
          <w:color w:val="000000" w:themeColor="text1"/>
          <w:lang w:val="en-US"/>
        </w:rPr>
        <w:t>egard</w:t>
      </w:r>
      <w:r>
        <w:rPr>
          <w:iCs/>
          <w:color w:val="000000" w:themeColor="text1"/>
          <w:lang w:val="en-US"/>
        </w:rPr>
        <w:t xml:space="preserve"> to</w:t>
      </w:r>
      <w:r w:rsidRPr="00953770">
        <w:rPr>
          <w:iCs/>
          <w:color w:val="000000" w:themeColor="text1"/>
          <w:lang w:val="en-US"/>
        </w:rPr>
        <w:t xml:space="preserve"> these findings, we </w:t>
      </w:r>
      <w:r>
        <w:rPr>
          <w:iCs/>
          <w:color w:val="000000" w:themeColor="text1"/>
          <w:lang w:val="en-US"/>
        </w:rPr>
        <w:t xml:space="preserve">discovered </w:t>
      </w:r>
      <w:r w:rsidRPr="00953770">
        <w:rPr>
          <w:iCs/>
          <w:color w:val="000000" w:themeColor="text1"/>
          <w:lang w:val="en-US"/>
        </w:rPr>
        <w:t>that over time</w:t>
      </w:r>
      <w:r>
        <w:rPr>
          <w:iCs/>
          <w:color w:val="000000" w:themeColor="text1"/>
          <w:lang w:val="en-US"/>
        </w:rPr>
        <w:t>,</w:t>
      </w:r>
      <w:r w:rsidRPr="00953770">
        <w:rPr>
          <w:iCs/>
          <w:color w:val="000000" w:themeColor="text1"/>
          <w:lang w:val="en-US"/>
        </w:rPr>
        <w:t xml:space="preserve"> </w:t>
      </w:r>
      <w:r>
        <w:rPr>
          <w:iCs/>
          <w:color w:val="000000" w:themeColor="text1"/>
          <w:lang w:val="en-US"/>
        </w:rPr>
        <w:t>ETFs</w:t>
      </w:r>
      <w:r w:rsidRPr="00953770">
        <w:rPr>
          <w:iCs/>
          <w:color w:val="000000" w:themeColor="text1"/>
          <w:lang w:val="en-US"/>
        </w:rPr>
        <w:t xml:space="preserve"> have become the dominant vehicle for price discovery in relation to the two main European stock market indices, one in Britain</w:t>
      </w:r>
      <w:r>
        <w:rPr>
          <w:iCs/>
          <w:color w:val="000000" w:themeColor="text1"/>
          <w:lang w:val="en-US"/>
        </w:rPr>
        <w:t xml:space="preserve"> </w:t>
      </w:r>
      <w:r w:rsidRPr="00953770">
        <w:rPr>
          <w:iCs/>
          <w:color w:val="000000" w:themeColor="text1"/>
          <w:lang w:val="en-US"/>
        </w:rPr>
        <w:t xml:space="preserve">and the other in Germany. </w:t>
      </w:r>
      <w:r>
        <w:rPr>
          <w:iCs/>
          <w:color w:val="000000" w:themeColor="text1"/>
          <w:lang w:val="en-US"/>
        </w:rPr>
        <w:t>As stated earlier, t</w:t>
      </w:r>
      <w:r w:rsidRPr="00953770">
        <w:rPr>
          <w:iCs/>
          <w:color w:val="000000" w:themeColor="text1"/>
          <w:lang w:val="en-US"/>
        </w:rPr>
        <w:t xml:space="preserve">his </w:t>
      </w:r>
      <w:r>
        <w:rPr>
          <w:iCs/>
          <w:lang w:val="en-US"/>
        </w:rPr>
        <w:t xml:space="preserve">offers further contradictory </w:t>
      </w:r>
      <w:r w:rsidRPr="00953770">
        <w:rPr>
          <w:iCs/>
          <w:lang w:val="en-US"/>
        </w:rPr>
        <w:t>findings to Hasbrouck (2003)</w:t>
      </w:r>
      <w:r w:rsidRPr="00953770">
        <w:rPr>
          <w:iCs/>
          <w:color w:val="222222"/>
          <w:shd w:val="clear" w:color="auto" w:fill="FFFFFF"/>
          <w:lang w:val="en-US"/>
        </w:rPr>
        <w:t xml:space="preserve">, </w:t>
      </w:r>
      <w:r w:rsidRPr="00953770">
        <w:rPr>
          <w:iCs/>
          <w:lang w:val="en-US"/>
        </w:rPr>
        <w:t>Schlusche (2009)</w:t>
      </w:r>
      <w:r>
        <w:rPr>
          <w:iCs/>
          <w:lang w:val="en-US"/>
        </w:rPr>
        <w:t>,</w:t>
      </w:r>
      <w:r w:rsidRPr="00953770">
        <w:rPr>
          <w:iCs/>
          <w:lang w:val="en-US"/>
        </w:rPr>
        <w:t xml:space="preserve"> </w:t>
      </w:r>
      <w:r>
        <w:rPr>
          <w:iCs/>
          <w:lang w:val="en-US"/>
        </w:rPr>
        <w:t>and</w:t>
      </w:r>
      <w:r w:rsidRPr="00953770">
        <w:rPr>
          <w:lang w:val="en-US"/>
        </w:rPr>
        <w:t xml:space="preserve"> </w:t>
      </w:r>
      <w:r w:rsidRPr="00953770">
        <w:rPr>
          <w:iCs/>
          <w:lang w:val="en-US"/>
        </w:rPr>
        <w:t>Theissen</w:t>
      </w:r>
      <w:r>
        <w:rPr>
          <w:iCs/>
          <w:lang w:val="en-US"/>
        </w:rPr>
        <w:t>’s</w:t>
      </w:r>
      <w:r w:rsidRPr="00953770">
        <w:rPr>
          <w:iCs/>
          <w:lang w:val="en-US"/>
        </w:rPr>
        <w:t xml:space="preserve"> (2012) </w:t>
      </w:r>
      <w:r>
        <w:rPr>
          <w:iCs/>
          <w:lang w:val="en-US"/>
        </w:rPr>
        <w:t xml:space="preserve">works, </w:t>
      </w:r>
      <w:r w:rsidRPr="00953770">
        <w:rPr>
          <w:iCs/>
          <w:lang w:val="en-US"/>
        </w:rPr>
        <w:t xml:space="preserve">while </w:t>
      </w:r>
      <w:r>
        <w:rPr>
          <w:iCs/>
          <w:lang w:val="en-US"/>
        </w:rPr>
        <w:t xml:space="preserve">they are </w:t>
      </w:r>
      <w:r w:rsidRPr="00953770">
        <w:rPr>
          <w:iCs/>
          <w:lang w:val="en-US"/>
        </w:rPr>
        <w:t xml:space="preserve">similar to the conclusions </w:t>
      </w:r>
      <w:r>
        <w:rPr>
          <w:iCs/>
          <w:color w:val="000000" w:themeColor="text1"/>
          <w:lang w:val="en-US"/>
        </w:rPr>
        <w:t xml:space="preserve">drawn by </w:t>
      </w:r>
      <w:r w:rsidRPr="00953770">
        <w:rPr>
          <w:iCs/>
          <w:color w:val="000000" w:themeColor="text1"/>
          <w:lang w:val="en-US"/>
        </w:rPr>
        <w:t xml:space="preserve">Ivanov et al. (2013) and Chou </w:t>
      </w:r>
      <w:r>
        <w:rPr>
          <w:iCs/>
          <w:color w:val="000000" w:themeColor="text1"/>
          <w:lang w:val="en-US"/>
        </w:rPr>
        <w:t xml:space="preserve">and </w:t>
      </w:r>
      <w:r w:rsidRPr="00953770">
        <w:rPr>
          <w:iCs/>
          <w:color w:val="000000" w:themeColor="text1"/>
          <w:lang w:val="en-US"/>
        </w:rPr>
        <w:t xml:space="preserve">Chung (2006). However, our study is </w:t>
      </w:r>
      <w:r>
        <w:rPr>
          <w:iCs/>
          <w:color w:val="000000" w:themeColor="text1"/>
          <w:lang w:val="en-US"/>
        </w:rPr>
        <w:t xml:space="preserve">far </w:t>
      </w:r>
      <w:r w:rsidRPr="00953770">
        <w:rPr>
          <w:iCs/>
          <w:color w:val="000000" w:themeColor="text1"/>
          <w:lang w:val="en-US"/>
        </w:rPr>
        <w:t>more comprehensive than Ivanov et al.</w:t>
      </w:r>
      <w:r>
        <w:rPr>
          <w:iCs/>
          <w:color w:val="000000" w:themeColor="text1"/>
          <w:lang w:val="en-US"/>
        </w:rPr>
        <w:t>’s</w:t>
      </w:r>
      <w:r w:rsidRPr="00953770">
        <w:rPr>
          <w:iCs/>
          <w:color w:val="000000" w:themeColor="text1"/>
          <w:lang w:val="en-US"/>
        </w:rPr>
        <w:t xml:space="preserve"> (2013) and Chou </w:t>
      </w:r>
      <w:r>
        <w:rPr>
          <w:iCs/>
          <w:color w:val="000000" w:themeColor="text1"/>
          <w:lang w:val="en-US"/>
        </w:rPr>
        <w:t xml:space="preserve">and </w:t>
      </w:r>
      <w:r w:rsidRPr="00953770">
        <w:rPr>
          <w:iCs/>
          <w:color w:val="000000" w:themeColor="text1"/>
          <w:lang w:val="en-US"/>
        </w:rPr>
        <w:t xml:space="preserve">Chung (2006). </w:t>
      </w:r>
    </w:p>
    <w:p w14:paraId="5CA19506" w14:textId="5E8518BB" w:rsidR="005A719B" w:rsidRPr="00953770" w:rsidRDefault="005A719B" w:rsidP="004265C6">
      <w:pPr>
        <w:spacing w:line="480" w:lineRule="auto"/>
        <w:jc w:val="both"/>
        <w:rPr>
          <w:iCs/>
          <w:color w:val="000000" w:themeColor="text1"/>
          <w:lang w:val="en-US"/>
        </w:rPr>
      </w:pPr>
    </w:p>
    <w:p w14:paraId="40F71CB6" w14:textId="77777777" w:rsidR="005A719B" w:rsidRPr="00953770" w:rsidRDefault="005A719B" w:rsidP="004265C6">
      <w:pPr>
        <w:spacing w:line="480" w:lineRule="auto"/>
        <w:jc w:val="both"/>
        <w:rPr>
          <w:iCs/>
          <w:color w:val="000000" w:themeColor="text1"/>
          <w:lang w:val="en-US"/>
        </w:rPr>
      </w:pPr>
    </w:p>
    <w:p w14:paraId="1EC1203E" w14:textId="545EC039" w:rsidR="005A719B" w:rsidRPr="00953770" w:rsidRDefault="005A719B" w:rsidP="00974F25">
      <w:pPr>
        <w:spacing w:line="480" w:lineRule="auto"/>
        <w:jc w:val="both"/>
        <w:rPr>
          <w:iCs/>
          <w:color w:val="000000" w:themeColor="text1"/>
          <w:lang w:val="en-US"/>
        </w:rPr>
      </w:pPr>
      <w:r w:rsidRPr="00953770">
        <w:rPr>
          <w:iCs/>
          <w:color w:val="000000" w:themeColor="text1"/>
          <w:lang w:val="en-US"/>
        </w:rPr>
        <w:t>Ivanov et al. (2013) u</w:t>
      </w:r>
      <w:r>
        <w:rPr>
          <w:iCs/>
          <w:color w:val="000000" w:themeColor="text1"/>
          <w:lang w:val="en-US"/>
        </w:rPr>
        <w:t>tiliz</w:t>
      </w:r>
      <w:r w:rsidRPr="00953770">
        <w:rPr>
          <w:iCs/>
          <w:color w:val="000000" w:themeColor="text1"/>
          <w:lang w:val="en-US"/>
        </w:rPr>
        <w:t>ed the Hasbrouck (1995) information share and Gonzalo and Granger (1995) common factor weights approach to study indices, index futures</w:t>
      </w:r>
      <w:r>
        <w:rPr>
          <w:iCs/>
          <w:color w:val="000000" w:themeColor="text1"/>
          <w:lang w:val="en-US"/>
        </w:rPr>
        <w:t>,</w:t>
      </w:r>
      <w:r w:rsidRPr="00953770">
        <w:rPr>
          <w:iCs/>
          <w:color w:val="000000" w:themeColor="text1"/>
          <w:lang w:val="en-US"/>
        </w:rPr>
        <w:t xml:space="preserve"> and index </w:t>
      </w:r>
      <w:r>
        <w:rPr>
          <w:iCs/>
          <w:color w:val="000000" w:themeColor="text1"/>
          <w:lang w:val="en-US"/>
        </w:rPr>
        <w:t>ETFs</w:t>
      </w:r>
      <w:r w:rsidRPr="00953770">
        <w:rPr>
          <w:iCs/>
          <w:color w:val="000000" w:themeColor="text1"/>
          <w:lang w:val="en-US"/>
        </w:rPr>
        <w:t xml:space="preserve"> across DJIA, S&amp;P 500, S&amp;P 400, NASDAQ</w:t>
      </w:r>
      <w:r>
        <w:rPr>
          <w:iCs/>
          <w:color w:val="000000" w:themeColor="text1"/>
          <w:lang w:val="en-US"/>
        </w:rPr>
        <w:t>-</w:t>
      </w:r>
      <w:r w:rsidRPr="00953770">
        <w:rPr>
          <w:iCs/>
          <w:color w:val="000000" w:themeColor="text1"/>
          <w:lang w:val="en-US"/>
        </w:rPr>
        <w:t>100</w:t>
      </w:r>
      <w:r>
        <w:rPr>
          <w:iCs/>
          <w:color w:val="000000" w:themeColor="text1"/>
          <w:lang w:val="en-US"/>
        </w:rPr>
        <w:t>,</w:t>
      </w:r>
      <w:r w:rsidRPr="00953770">
        <w:rPr>
          <w:iCs/>
          <w:color w:val="000000" w:themeColor="text1"/>
          <w:lang w:val="en-US"/>
        </w:rPr>
        <w:t xml:space="preserve"> and Russell 2000 </w:t>
      </w:r>
      <w:r>
        <w:rPr>
          <w:iCs/>
          <w:color w:val="000000" w:themeColor="text1"/>
          <w:lang w:val="en-US"/>
        </w:rPr>
        <w:t>in the period stretching from</w:t>
      </w:r>
      <w:r w:rsidRPr="00953770">
        <w:rPr>
          <w:iCs/>
          <w:color w:val="000000" w:themeColor="text1"/>
          <w:lang w:val="en-US"/>
        </w:rPr>
        <w:t xml:space="preserve"> January 2000 to December 2012</w:t>
      </w:r>
      <w:r>
        <w:rPr>
          <w:iCs/>
          <w:color w:val="000000" w:themeColor="text1"/>
          <w:lang w:val="en-US"/>
        </w:rPr>
        <w:t>,</w:t>
      </w:r>
      <w:r w:rsidRPr="00953770">
        <w:rPr>
          <w:iCs/>
          <w:color w:val="000000" w:themeColor="text1"/>
          <w:lang w:val="en-US"/>
        </w:rPr>
        <w:t xml:space="preserve"> but </w:t>
      </w:r>
      <w:r>
        <w:rPr>
          <w:iCs/>
          <w:color w:val="000000" w:themeColor="text1"/>
          <w:lang w:val="en-US"/>
        </w:rPr>
        <w:t xml:space="preserve">only </w:t>
      </w:r>
      <w:r w:rsidRPr="00953770">
        <w:rPr>
          <w:iCs/>
          <w:color w:val="000000" w:themeColor="text1"/>
          <w:lang w:val="en-US"/>
        </w:rPr>
        <w:t xml:space="preserve">at the daily level. Chou and Chung (2006) conducted the analysis over a </w:t>
      </w:r>
      <w:r>
        <w:rPr>
          <w:iCs/>
          <w:color w:val="000000" w:themeColor="text1"/>
          <w:lang w:val="en-US"/>
        </w:rPr>
        <w:t xml:space="preserve">considerably </w:t>
      </w:r>
      <w:r w:rsidRPr="00953770">
        <w:rPr>
          <w:iCs/>
          <w:color w:val="000000" w:themeColor="text1"/>
          <w:lang w:val="en-US"/>
        </w:rPr>
        <w:t xml:space="preserve">shorter period of intraday data </w:t>
      </w:r>
      <w:r>
        <w:rPr>
          <w:iCs/>
          <w:color w:val="000000" w:themeColor="text1"/>
          <w:lang w:val="en-US"/>
        </w:rPr>
        <w:t xml:space="preserve">extending </w:t>
      </w:r>
      <w:r w:rsidRPr="00953770">
        <w:rPr>
          <w:iCs/>
          <w:color w:val="000000" w:themeColor="text1"/>
          <w:lang w:val="en-US"/>
        </w:rPr>
        <w:t xml:space="preserve">from October 2000 to April 2001 and found that </w:t>
      </w:r>
      <w:r>
        <w:rPr>
          <w:iCs/>
          <w:color w:val="000000" w:themeColor="text1"/>
          <w:lang w:val="en-US"/>
        </w:rPr>
        <w:t>ETFs</w:t>
      </w:r>
      <w:r w:rsidRPr="00953770">
        <w:rPr>
          <w:iCs/>
          <w:color w:val="000000" w:themeColor="text1"/>
          <w:lang w:val="en-US"/>
        </w:rPr>
        <w:t xml:space="preserve"> led </w:t>
      </w:r>
      <w:r>
        <w:rPr>
          <w:iCs/>
          <w:color w:val="000000" w:themeColor="text1"/>
          <w:lang w:val="en-US"/>
        </w:rPr>
        <w:t xml:space="preserve">the </w:t>
      </w:r>
      <w:r w:rsidRPr="00953770">
        <w:rPr>
          <w:iCs/>
          <w:color w:val="000000" w:themeColor="text1"/>
          <w:lang w:val="en-US"/>
        </w:rPr>
        <w:t xml:space="preserve">price discovery only after </w:t>
      </w:r>
      <w:r>
        <w:rPr>
          <w:iCs/>
          <w:color w:val="000000" w:themeColor="text1"/>
          <w:lang w:val="en-US"/>
        </w:rPr>
        <w:t>ETFs</w:t>
      </w:r>
      <w:r w:rsidRPr="00953770">
        <w:rPr>
          <w:iCs/>
          <w:color w:val="000000" w:themeColor="text1"/>
          <w:lang w:val="en-US"/>
        </w:rPr>
        <w:t xml:space="preserve"> </w:t>
      </w:r>
      <w:r>
        <w:rPr>
          <w:iCs/>
          <w:color w:val="000000" w:themeColor="text1"/>
          <w:lang w:val="en-US"/>
        </w:rPr>
        <w:t xml:space="preserve">they were </w:t>
      </w:r>
      <w:r w:rsidRPr="00953770">
        <w:rPr>
          <w:iCs/>
          <w:color w:val="000000" w:themeColor="text1"/>
          <w:lang w:val="en-US"/>
        </w:rPr>
        <w:t xml:space="preserve">quoted using </w:t>
      </w:r>
      <w:r>
        <w:rPr>
          <w:iCs/>
          <w:color w:val="000000" w:themeColor="text1"/>
          <w:lang w:val="en-US"/>
        </w:rPr>
        <w:t xml:space="preserve">the </w:t>
      </w:r>
      <w:r w:rsidRPr="00953770">
        <w:rPr>
          <w:iCs/>
          <w:color w:val="000000" w:themeColor="text1"/>
          <w:lang w:val="en-US"/>
        </w:rPr>
        <w:t xml:space="preserve">decimal instead of the fraction method. </w:t>
      </w:r>
      <w:r>
        <w:rPr>
          <w:iCs/>
          <w:color w:val="000000" w:themeColor="text1"/>
          <w:lang w:val="en-US"/>
        </w:rPr>
        <w:t>However, o</w:t>
      </w:r>
      <w:r w:rsidRPr="00953770">
        <w:rPr>
          <w:iCs/>
          <w:color w:val="000000" w:themeColor="text1"/>
          <w:lang w:val="en-US"/>
        </w:rPr>
        <w:t>ur</w:t>
      </w:r>
      <w:r w:rsidRPr="00953770">
        <w:rPr>
          <w:iCs/>
          <w:lang w:val="en-US"/>
        </w:rPr>
        <w:t xml:space="preserve"> study</w:t>
      </w:r>
      <w:r w:rsidRPr="00953770" w:rsidDel="006940B1">
        <w:rPr>
          <w:iCs/>
          <w:lang w:val="en-US"/>
        </w:rPr>
        <w:t xml:space="preserve"> </w:t>
      </w:r>
      <w:r w:rsidRPr="00953770">
        <w:rPr>
          <w:iCs/>
          <w:lang w:val="en-US"/>
        </w:rPr>
        <w:t xml:space="preserve">covers four years of data </w:t>
      </w:r>
      <w:r>
        <w:rPr>
          <w:iCs/>
          <w:lang w:val="en-US"/>
        </w:rPr>
        <w:t xml:space="preserve">from </w:t>
      </w:r>
      <w:r w:rsidRPr="00953770">
        <w:rPr>
          <w:iCs/>
          <w:lang w:val="en-US"/>
        </w:rPr>
        <w:t xml:space="preserve">5-minute intervals </w:t>
      </w:r>
      <w:r>
        <w:rPr>
          <w:iCs/>
          <w:lang w:val="en-US"/>
        </w:rPr>
        <w:t xml:space="preserve">that includes </w:t>
      </w:r>
      <w:r w:rsidRPr="00953770">
        <w:rPr>
          <w:iCs/>
          <w:lang w:val="en-US"/>
        </w:rPr>
        <w:t xml:space="preserve">three types of instruments across multiple markets, and thus, we </w:t>
      </w:r>
      <w:r>
        <w:rPr>
          <w:iCs/>
          <w:lang w:val="en-US"/>
        </w:rPr>
        <w:t xml:space="preserve">were </w:t>
      </w:r>
      <w:r w:rsidRPr="00953770">
        <w:rPr>
          <w:iCs/>
          <w:lang w:val="en-US"/>
        </w:rPr>
        <w:t xml:space="preserve">able to confirm the </w:t>
      </w:r>
      <w:r>
        <w:rPr>
          <w:iCs/>
          <w:lang w:val="en-US"/>
        </w:rPr>
        <w:t xml:space="preserve">increased </w:t>
      </w:r>
      <w:r w:rsidRPr="00953770">
        <w:rPr>
          <w:iCs/>
          <w:lang w:val="en-US"/>
        </w:rPr>
        <w:t xml:space="preserve">role </w:t>
      </w:r>
      <w:r>
        <w:rPr>
          <w:iCs/>
          <w:lang w:val="en-US"/>
        </w:rPr>
        <w:t>of ETFs</w:t>
      </w:r>
      <w:r w:rsidRPr="00953770">
        <w:rPr>
          <w:iCs/>
          <w:lang w:val="en-US"/>
        </w:rPr>
        <w:t xml:space="preserve"> in the price discovery process in a more robust </w:t>
      </w:r>
      <w:r>
        <w:rPr>
          <w:iCs/>
          <w:lang w:val="en-US"/>
        </w:rPr>
        <w:t xml:space="preserve">manner </w:t>
      </w:r>
      <w:r w:rsidRPr="00953770">
        <w:rPr>
          <w:iCs/>
          <w:lang w:val="en-US"/>
        </w:rPr>
        <w:t>and</w:t>
      </w:r>
      <w:r>
        <w:rPr>
          <w:iCs/>
          <w:lang w:val="en-US"/>
        </w:rPr>
        <w:t xml:space="preserve"> contribute </w:t>
      </w:r>
      <w:r w:rsidRPr="00953770">
        <w:rPr>
          <w:iCs/>
          <w:lang w:val="en-US"/>
        </w:rPr>
        <w:t xml:space="preserve">to the wider policy debate </w:t>
      </w:r>
      <w:r>
        <w:rPr>
          <w:iCs/>
          <w:lang w:val="en-US"/>
        </w:rPr>
        <w:t xml:space="preserve">regarding </w:t>
      </w:r>
      <w:r w:rsidRPr="00953770">
        <w:rPr>
          <w:iCs/>
          <w:lang w:val="en-US"/>
        </w:rPr>
        <w:t xml:space="preserve">the role of </w:t>
      </w:r>
      <w:r>
        <w:rPr>
          <w:iCs/>
          <w:lang w:val="en-US"/>
        </w:rPr>
        <w:t>ETFs</w:t>
      </w:r>
      <w:r w:rsidRPr="00953770">
        <w:rPr>
          <w:iCs/>
          <w:lang w:val="en-US"/>
        </w:rPr>
        <w:t xml:space="preserve"> in stock markets.</w:t>
      </w:r>
    </w:p>
    <w:p w14:paraId="6DEA1DA1" w14:textId="77777777" w:rsidR="005A719B" w:rsidRPr="00953770" w:rsidRDefault="005A719B" w:rsidP="00D75F91">
      <w:pPr>
        <w:spacing w:line="480" w:lineRule="auto"/>
        <w:jc w:val="both"/>
        <w:rPr>
          <w:rFonts w:eastAsia="SimSun"/>
          <w:lang w:val="en-US"/>
        </w:rPr>
      </w:pPr>
    </w:p>
    <w:p w14:paraId="2A94CDD5" w14:textId="02A089BB" w:rsidR="005A719B" w:rsidRPr="00953770" w:rsidRDefault="005A719B" w:rsidP="00D75F91">
      <w:pPr>
        <w:spacing w:line="480" w:lineRule="auto"/>
        <w:jc w:val="both"/>
        <w:rPr>
          <w:rFonts w:eastAsia="SimSun"/>
          <w:lang w:val="en-US"/>
        </w:rPr>
      </w:pPr>
      <w:r w:rsidRPr="00953770">
        <w:rPr>
          <w:rFonts w:eastAsia="SimSun"/>
          <w:lang w:val="en-US"/>
        </w:rPr>
        <w:t xml:space="preserve">For French markets, the index market Lyxor CAC 40 </w:t>
      </w:r>
      <w:r>
        <w:rPr>
          <w:rFonts w:eastAsia="SimSun"/>
          <w:lang w:val="en-US"/>
        </w:rPr>
        <w:t>ETFs</w:t>
      </w:r>
      <w:r w:rsidRPr="00953770">
        <w:rPr>
          <w:rFonts w:eastAsia="SimSun"/>
          <w:lang w:val="en-US"/>
        </w:rPr>
        <w:t xml:space="preserve"> played a </w:t>
      </w:r>
      <w:r>
        <w:rPr>
          <w:rFonts w:eastAsia="SimSun"/>
          <w:lang w:val="en-US"/>
        </w:rPr>
        <w:t xml:space="preserve">significant role as a source of </w:t>
      </w:r>
      <w:r w:rsidRPr="00953770">
        <w:rPr>
          <w:rFonts w:eastAsia="SimSun"/>
          <w:lang w:val="en-US"/>
        </w:rPr>
        <w:t>information transmi</w:t>
      </w:r>
      <w:r>
        <w:rPr>
          <w:rFonts w:eastAsia="SimSun"/>
          <w:lang w:val="en-US"/>
        </w:rPr>
        <w:t>ssion</w:t>
      </w:r>
      <w:r w:rsidRPr="00953770">
        <w:rPr>
          <w:rFonts w:eastAsia="SimSun"/>
          <w:lang w:val="en-US"/>
        </w:rPr>
        <w:t xml:space="preserve"> in 2010 </w:t>
      </w:r>
      <w:r>
        <w:rPr>
          <w:rFonts w:eastAsia="SimSun"/>
          <w:lang w:val="en-US"/>
        </w:rPr>
        <w:t xml:space="preserve">and was </w:t>
      </w:r>
      <w:r w:rsidRPr="00953770">
        <w:rPr>
          <w:rFonts w:eastAsia="SimSun"/>
          <w:lang w:val="en-US"/>
        </w:rPr>
        <w:t xml:space="preserve">followed </w:t>
      </w:r>
      <w:r>
        <w:rPr>
          <w:rFonts w:eastAsia="SimSun"/>
          <w:lang w:val="en-US"/>
        </w:rPr>
        <w:t xml:space="preserve">in this regard </w:t>
      </w:r>
      <w:r w:rsidRPr="00953770">
        <w:rPr>
          <w:rFonts w:eastAsia="SimSun"/>
          <w:lang w:val="en-US"/>
        </w:rPr>
        <w:t xml:space="preserve">by the spot and index futures markets. For </w:t>
      </w:r>
      <w:r>
        <w:rPr>
          <w:rFonts w:eastAsia="SimSun"/>
          <w:lang w:val="en-US"/>
        </w:rPr>
        <w:t xml:space="preserve">the </w:t>
      </w:r>
      <w:r w:rsidRPr="00953770">
        <w:rPr>
          <w:rFonts w:eastAsia="SimSun"/>
          <w:lang w:val="en-US"/>
        </w:rPr>
        <w:t xml:space="preserve">majority of the sample periods </w:t>
      </w:r>
      <w:r>
        <w:rPr>
          <w:rFonts w:eastAsia="SimSun"/>
          <w:lang w:val="en-US"/>
        </w:rPr>
        <w:t xml:space="preserve">studied </w:t>
      </w:r>
      <w:r w:rsidRPr="00DE3A5F">
        <w:rPr>
          <w:rFonts w:eastAsia="SimSun"/>
        </w:rPr>
        <w:t xml:space="preserve">in </w:t>
      </w:r>
      <w:r w:rsidRPr="00953770">
        <w:rPr>
          <w:rFonts w:eastAsia="SimSun"/>
          <w:lang w:val="en-US"/>
        </w:rPr>
        <w:t>2011, 2012</w:t>
      </w:r>
      <w:r>
        <w:rPr>
          <w:rFonts w:eastAsia="SimSun"/>
          <w:lang w:val="en-US"/>
        </w:rPr>
        <w:t>,</w:t>
      </w:r>
      <w:r w:rsidRPr="00953770">
        <w:rPr>
          <w:rFonts w:eastAsia="SimSun"/>
          <w:lang w:val="en-US"/>
        </w:rPr>
        <w:t xml:space="preserve"> and 2013, however, we </w:t>
      </w:r>
      <w:r>
        <w:rPr>
          <w:rFonts w:eastAsia="SimSun"/>
          <w:lang w:val="en-US"/>
        </w:rPr>
        <w:t>discovered</w:t>
      </w:r>
      <w:r w:rsidRPr="00953770">
        <w:rPr>
          <w:rFonts w:eastAsia="SimSun"/>
          <w:lang w:val="en-US"/>
        </w:rPr>
        <w:t xml:space="preserve"> compelling evidence that the CAC 40 index futures market </w:t>
      </w:r>
      <w:r>
        <w:rPr>
          <w:rFonts w:eastAsia="SimSun"/>
          <w:lang w:val="en-US"/>
        </w:rPr>
        <w:t>headed</w:t>
      </w:r>
      <w:r w:rsidRPr="00953770">
        <w:rPr>
          <w:rFonts w:eastAsia="SimSun"/>
          <w:lang w:val="en-US"/>
        </w:rPr>
        <w:t xml:space="preserve"> </w:t>
      </w:r>
      <w:r>
        <w:rPr>
          <w:rFonts w:eastAsia="SimSun"/>
          <w:lang w:val="en-US"/>
        </w:rPr>
        <w:t xml:space="preserve">the </w:t>
      </w:r>
      <w:r w:rsidRPr="00953770">
        <w:rPr>
          <w:rFonts w:eastAsia="SimSun"/>
          <w:lang w:val="en-US"/>
        </w:rPr>
        <w:t>price discovery</w:t>
      </w:r>
      <w:r>
        <w:rPr>
          <w:rFonts w:eastAsia="SimSun"/>
          <w:lang w:val="en-US"/>
        </w:rPr>
        <w:t xml:space="preserve"> process</w:t>
      </w:r>
      <w:r w:rsidRPr="00953770">
        <w:rPr>
          <w:rFonts w:eastAsia="SimSun"/>
          <w:lang w:val="en-US"/>
        </w:rPr>
        <w:t xml:space="preserve">. </w:t>
      </w:r>
      <w:r>
        <w:rPr>
          <w:rFonts w:eastAsia="SimSun"/>
          <w:lang w:val="en-US"/>
        </w:rPr>
        <w:t xml:space="preserve">This </w:t>
      </w:r>
      <w:r w:rsidRPr="00953770">
        <w:rPr>
          <w:rFonts w:eastAsia="SimSun"/>
          <w:lang w:val="en-US"/>
        </w:rPr>
        <w:t>result is compatible with Deville et al.</w:t>
      </w:r>
      <w:r>
        <w:rPr>
          <w:rFonts w:eastAsia="SimSun"/>
          <w:lang w:val="en-US"/>
        </w:rPr>
        <w:t>’s (2014</w:t>
      </w:r>
      <w:r w:rsidRPr="00953770">
        <w:rPr>
          <w:rFonts w:eastAsia="SimSun"/>
          <w:lang w:val="en-US"/>
        </w:rPr>
        <w:t xml:space="preserve">), who </w:t>
      </w:r>
      <w:r>
        <w:rPr>
          <w:rFonts w:eastAsia="SimSun"/>
          <w:lang w:val="en-US"/>
        </w:rPr>
        <w:t xml:space="preserve">observed </w:t>
      </w:r>
      <w:r w:rsidRPr="00953770">
        <w:rPr>
          <w:rFonts w:eastAsia="SimSun"/>
          <w:lang w:val="en-US"/>
        </w:rPr>
        <w:t xml:space="preserve">that the Lyxor CAC 40 </w:t>
      </w:r>
      <w:r>
        <w:rPr>
          <w:rFonts w:eastAsia="SimSun"/>
          <w:lang w:val="en-US"/>
        </w:rPr>
        <w:t>ETFs</w:t>
      </w:r>
      <w:r w:rsidRPr="00953770">
        <w:rPr>
          <w:rFonts w:eastAsia="SimSun"/>
          <w:lang w:val="en-US"/>
        </w:rPr>
        <w:t xml:space="preserve"> </w:t>
      </w:r>
      <w:r>
        <w:rPr>
          <w:rFonts w:eastAsia="SimSun"/>
          <w:lang w:val="en-US"/>
        </w:rPr>
        <w:t xml:space="preserve">are </w:t>
      </w:r>
      <w:r w:rsidRPr="00953770">
        <w:rPr>
          <w:rFonts w:eastAsia="SimSun"/>
          <w:lang w:val="en-US"/>
        </w:rPr>
        <w:t xml:space="preserve">less attractive to arbitrageurs </w:t>
      </w:r>
      <w:r>
        <w:rPr>
          <w:rFonts w:eastAsia="SimSun"/>
          <w:lang w:val="en-US"/>
        </w:rPr>
        <w:t xml:space="preserve">in </w:t>
      </w:r>
      <w:r w:rsidRPr="00953770">
        <w:rPr>
          <w:rFonts w:eastAsia="SimSun"/>
          <w:lang w:val="en-US"/>
        </w:rPr>
        <w:t>compar</w:t>
      </w:r>
      <w:r>
        <w:rPr>
          <w:rFonts w:eastAsia="SimSun"/>
          <w:lang w:val="en-US"/>
        </w:rPr>
        <w:t>ison</w:t>
      </w:r>
      <w:r w:rsidRPr="00953770">
        <w:rPr>
          <w:rFonts w:eastAsia="SimSun"/>
          <w:lang w:val="en-US"/>
        </w:rPr>
        <w:t xml:space="preserve"> to the CAC 40 index futures, as Lyxor CAC 40 </w:t>
      </w:r>
      <w:r>
        <w:rPr>
          <w:rFonts w:eastAsia="SimSun"/>
          <w:lang w:val="en-US"/>
        </w:rPr>
        <w:t>ETFs</w:t>
      </w:r>
      <w:r w:rsidRPr="00953770">
        <w:rPr>
          <w:rFonts w:eastAsia="SimSun"/>
          <w:lang w:val="en-US"/>
        </w:rPr>
        <w:t xml:space="preserve"> were traded at </w:t>
      </w:r>
      <w:r>
        <w:rPr>
          <w:rFonts w:eastAsia="SimSun"/>
          <w:lang w:val="en-US"/>
        </w:rPr>
        <w:t xml:space="preserve">a </w:t>
      </w:r>
      <w:r w:rsidRPr="00953770">
        <w:rPr>
          <w:rFonts w:eastAsia="SimSun"/>
          <w:lang w:val="en-US"/>
        </w:rPr>
        <w:t xml:space="preserve">relatively </w:t>
      </w:r>
      <w:r>
        <w:rPr>
          <w:rFonts w:eastAsia="SimSun"/>
          <w:lang w:val="en-US"/>
        </w:rPr>
        <w:t xml:space="preserve">lesser </w:t>
      </w:r>
      <w:r w:rsidRPr="00953770">
        <w:rPr>
          <w:rFonts w:eastAsia="SimSun"/>
          <w:lang w:val="en-US"/>
        </w:rPr>
        <w:t>frequency</w:t>
      </w:r>
      <w:r>
        <w:rPr>
          <w:rFonts w:eastAsia="SimSun"/>
          <w:lang w:val="en-US"/>
        </w:rPr>
        <w:t>,</w:t>
      </w:r>
      <w:r w:rsidRPr="00953770">
        <w:rPr>
          <w:rFonts w:eastAsia="SimSun"/>
          <w:lang w:val="en-US"/>
        </w:rPr>
        <w:t xml:space="preserve"> and arbitrageurs who look for </w:t>
      </w:r>
      <w:r>
        <w:rPr>
          <w:rFonts w:eastAsia="SimSun"/>
          <w:lang w:val="en-US"/>
        </w:rPr>
        <w:t xml:space="preserve">opportunities offering </w:t>
      </w:r>
      <w:r w:rsidRPr="00953770">
        <w:rPr>
          <w:rFonts w:eastAsia="SimSun"/>
          <w:lang w:val="en-US"/>
        </w:rPr>
        <w:t xml:space="preserve">short-term profitability may prefer futures and stocks over the </w:t>
      </w:r>
      <w:r>
        <w:rPr>
          <w:rFonts w:eastAsia="SimSun"/>
          <w:lang w:val="en-US"/>
        </w:rPr>
        <w:t>ETFs</w:t>
      </w:r>
      <w:r w:rsidRPr="00953770">
        <w:rPr>
          <w:rFonts w:eastAsia="SimSun"/>
          <w:lang w:val="en-US"/>
        </w:rPr>
        <w:t xml:space="preserve">. As arbitrage </w:t>
      </w:r>
      <w:r>
        <w:rPr>
          <w:rFonts w:eastAsia="SimSun"/>
          <w:lang w:val="en-US"/>
        </w:rPr>
        <w:t xml:space="preserve">seems to be </w:t>
      </w:r>
      <w:r w:rsidRPr="00953770">
        <w:rPr>
          <w:rFonts w:eastAsia="SimSun"/>
          <w:lang w:val="en-US"/>
        </w:rPr>
        <w:t>the driv</w:t>
      </w:r>
      <w:r>
        <w:rPr>
          <w:rFonts w:eastAsia="SimSun"/>
          <w:lang w:val="en-US"/>
        </w:rPr>
        <w:t>ing</w:t>
      </w:r>
      <w:r w:rsidRPr="00953770">
        <w:rPr>
          <w:rFonts w:eastAsia="SimSun"/>
          <w:lang w:val="en-US"/>
        </w:rPr>
        <w:t xml:space="preserve"> factor </w:t>
      </w:r>
      <w:r>
        <w:rPr>
          <w:rFonts w:eastAsia="SimSun"/>
          <w:lang w:val="en-US"/>
        </w:rPr>
        <w:t xml:space="preserve">in </w:t>
      </w:r>
      <w:r w:rsidRPr="00953770">
        <w:rPr>
          <w:rFonts w:eastAsia="SimSun"/>
          <w:lang w:val="en-US"/>
        </w:rPr>
        <w:t xml:space="preserve">price leadership in the spot-future markets (Theissen, 2012), this might be reason that the CAC 40 index futures is leading the price discovery over the CAC 40 </w:t>
      </w:r>
      <w:r>
        <w:rPr>
          <w:rFonts w:eastAsia="SimSun"/>
          <w:lang w:val="en-US"/>
        </w:rPr>
        <w:t>ETFs</w:t>
      </w:r>
      <w:r w:rsidRPr="00953770">
        <w:rPr>
          <w:rFonts w:eastAsia="SimSun"/>
          <w:lang w:val="en-US"/>
        </w:rPr>
        <w:t>.</w:t>
      </w:r>
    </w:p>
    <w:p w14:paraId="35E1704F" w14:textId="1A8018D3" w:rsidR="00867831" w:rsidRPr="00953770" w:rsidRDefault="005A719B" w:rsidP="008373E5">
      <w:pPr>
        <w:pStyle w:val="head1"/>
      </w:pPr>
      <w:r>
        <w:t>6</w:t>
      </w:r>
      <w:r w:rsidRPr="00953770">
        <w:t xml:space="preserve"> Conclusion</w:t>
      </w:r>
    </w:p>
    <w:p w14:paraId="3DFA79FE" w14:textId="51ED040A" w:rsidR="005A719B" w:rsidRPr="00C21687" w:rsidRDefault="005A719B" w:rsidP="00867831">
      <w:pPr>
        <w:spacing w:line="480" w:lineRule="auto"/>
        <w:jc w:val="both"/>
        <w:rPr>
          <w:rFonts w:eastAsia="SimSun"/>
        </w:rPr>
      </w:pPr>
      <w:r w:rsidRPr="00953770">
        <w:rPr>
          <w:rFonts w:eastAsia="SimSun"/>
          <w:lang w:val="en-US"/>
        </w:rPr>
        <w:t xml:space="preserve">The purpose of this study </w:t>
      </w:r>
      <w:r>
        <w:rPr>
          <w:rFonts w:eastAsia="SimSun"/>
          <w:lang w:val="en-US"/>
        </w:rPr>
        <w:t>was</w:t>
      </w:r>
      <w:r w:rsidRPr="00953770">
        <w:rPr>
          <w:rFonts w:eastAsia="SimSun"/>
          <w:lang w:val="en-US"/>
        </w:rPr>
        <w:t xml:space="preserve"> to </w:t>
      </w:r>
      <w:r>
        <w:rPr>
          <w:rFonts w:eastAsia="SimSun"/>
          <w:lang w:val="en-US"/>
        </w:rPr>
        <w:t>attempt</w:t>
      </w:r>
      <w:r w:rsidRPr="00953770">
        <w:rPr>
          <w:rFonts w:eastAsia="SimSun"/>
          <w:lang w:val="en-US"/>
        </w:rPr>
        <w:t xml:space="preserve"> to understand </w:t>
      </w:r>
      <w:r>
        <w:rPr>
          <w:rFonts w:eastAsia="SimSun"/>
          <w:lang w:val="en-US"/>
        </w:rPr>
        <w:t xml:space="preserve">the way in which </w:t>
      </w:r>
      <w:r w:rsidRPr="00953770">
        <w:rPr>
          <w:rFonts w:eastAsia="SimSun"/>
          <w:lang w:val="en-US"/>
        </w:rPr>
        <w:t>information is transmitted among index derivative markets and the relative importance of each market’s contribution to the price discovery process. We focused on three major index derivative mark</w:t>
      </w:r>
      <w:r w:rsidRPr="002C4F37">
        <w:rPr>
          <w:rFonts w:eastAsia="SimSun"/>
        </w:rPr>
        <w:t xml:space="preserve">ets of </w:t>
      </w:r>
      <w:r w:rsidRPr="00953770">
        <w:rPr>
          <w:rFonts w:eastAsia="SimSun"/>
          <w:lang w:val="en-US"/>
        </w:rPr>
        <w:t>spot index, index futures</w:t>
      </w:r>
      <w:r>
        <w:rPr>
          <w:rFonts w:eastAsia="SimSun"/>
          <w:lang w:val="en-US"/>
        </w:rPr>
        <w:t>,</w:t>
      </w:r>
      <w:r w:rsidRPr="00953770">
        <w:rPr>
          <w:rFonts w:eastAsia="SimSun"/>
          <w:lang w:val="en-US"/>
        </w:rPr>
        <w:t xml:space="preserve"> and </w:t>
      </w:r>
      <w:r>
        <w:rPr>
          <w:rFonts w:eastAsia="SimSun"/>
          <w:lang w:val="en-US"/>
        </w:rPr>
        <w:t xml:space="preserve">the </w:t>
      </w:r>
      <w:r w:rsidRPr="00953770">
        <w:rPr>
          <w:rFonts w:eastAsia="SimSun"/>
          <w:lang w:val="en-US"/>
        </w:rPr>
        <w:t>index</w:t>
      </w:r>
      <w:r>
        <w:rPr>
          <w:rFonts w:eastAsia="SimSun"/>
          <w:lang w:val="en-US"/>
        </w:rPr>
        <w:t xml:space="preserve"> </w:t>
      </w:r>
      <w:r w:rsidRPr="00953770">
        <w:rPr>
          <w:rFonts w:eastAsia="SimSun"/>
          <w:lang w:val="en-US"/>
        </w:rPr>
        <w:t xml:space="preserve">tracking </w:t>
      </w:r>
      <w:r>
        <w:rPr>
          <w:rFonts w:eastAsia="SimSun"/>
          <w:lang w:val="en-US"/>
        </w:rPr>
        <w:t>ETFs</w:t>
      </w:r>
      <w:r w:rsidRPr="00953770">
        <w:rPr>
          <w:rFonts w:eastAsia="SimSun"/>
          <w:lang w:val="en-US"/>
        </w:rPr>
        <w:t xml:space="preserve"> in three major European countries</w:t>
      </w:r>
      <w:r>
        <w:rPr>
          <w:rFonts w:eastAsia="SimSun"/>
          <w:lang w:val="en-US"/>
        </w:rPr>
        <w:t>,</w:t>
      </w:r>
      <w:r w:rsidRPr="00953770">
        <w:rPr>
          <w:rFonts w:eastAsia="SimSun"/>
          <w:lang w:val="en-US"/>
        </w:rPr>
        <w:t xml:space="preserve"> Britain, France</w:t>
      </w:r>
      <w:r>
        <w:rPr>
          <w:rFonts w:eastAsia="SimSun"/>
          <w:lang w:val="en-US"/>
        </w:rPr>
        <w:t>,</w:t>
      </w:r>
      <w:r w:rsidRPr="00953770">
        <w:rPr>
          <w:rFonts w:eastAsia="SimSun"/>
          <w:lang w:val="en-US"/>
        </w:rPr>
        <w:t xml:space="preserve"> and Germany. The relevant index markets u</w:t>
      </w:r>
      <w:r>
        <w:rPr>
          <w:rFonts w:eastAsia="SimSun"/>
          <w:lang w:val="en-US"/>
        </w:rPr>
        <w:t>tiliz</w:t>
      </w:r>
      <w:r w:rsidRPr="00953770">
        <w:rPr>
          <w:rFonts w:eastAsia="SimSun"/>
          <w:lang w:val="en-US"/>
        </w:rPr>
        <w:t>ed in our analysis include</w:t>
      </w:r>
      <w:r>
        <w:rPr>
          <w:rFonts w:eastAsia="SimSun"/>
          <w:lang w:val="en-US"/>
        </w:rPr>
        <w:t>d</w:t>
      </w:r>
      <w:r w:rsidRPr="00953770">
        <w:rPr>
          <w:rFonts w:eastAsia="SimSun"/>
          <w:lang w:val="en-US"/>
        </w:rPr>
        <w:t xml:space="preserve"> FTSE 100, CAC 40</w:t>
      </w:r>
      <w:r>
        <w:rPr>
          <w:rFonts w:eastAsia="SimSun"/>
          <w:lang w:val="en-US"/>
        </w:rPr>
        <w:t>,</w:t>
      </w:r>
      <w:r w:rsidRPr="00953770">
        <w:rPr>
          <w:rFonts w:eastAsia="SimSun"/>
          <w:lang w:val="en-US"/>
        </w:rPr>
        <w:t xml:space="preserve"> and DAX 30</w:t>
      </w:r>
      <w:r>
        <w:rPr>
          <w:rFonts w:eastAsia="SimSun"/>
          <w:lang w:val="en-US"/>
        </w:rPr>
        <w:t>;</w:t>
      </w:r>
      <w:r w:rsidRPr="00953770">
        <w:rPr>
          <w:rFonts w:eastAsia="SimSun"/>
          <w:lang w:val="en-US"/>
        </w:rPr>
        <w:t xml:space="preserve"> these </w:t>
      </w:r>
      <w:r>
        <w:rPr>
          <w:rFonts w:eastAsia="SimSun"/>
          <w:lang w:val="en-US"/>
        </w:rPr>
        <w:t xml:space="preserve">form </w:t>
      </w:r>
      <w:r w:rsidRPr="00953770">
        <w:rPr>
          <w:rFonts w:eastAsia="SimSun"/>
          <w:lang w:val="en-US"/>
        </w:rPr>
        <w:t>the destination market</w:t>
      </w:r>
      <w:r>
        <w:rPr>
          <w:rFonts w:eastAsia="SimSun"/>
          <w:lang w:val="en-US"/>
        </w:rPr>
        <w:t>s</w:t>
      </w:r>
      <w:r w:rsidRPr="00953770">
        <w:rPr>
          <w:rFonts w:eastAsia="SimSun"/>
          <w:lang w:val="en-US"/>
        </w:rPr>
        <w:t xml:space="preserve"> </w:t>
      </w:r>
      <w:r>
        <w:rPr>
          <w:rFonts w:eastAsia="SimSun"/>
          <w:lang w:val="en-US"/>
        </w:rPr>
        <w:t>to which</w:t>
      </w:r>
      <w:r w:rsidRPr="00953770">
        <w:rPr>
          <w:rFonts w:eastAsia="SimSun"/>
          <w:lang w:val="en-US"/>
        </w:rPr>
        <w:t xml:space="preserve"> the information is transmitted </w:t>
      </w:r>
      <w:r>
        <w:rPr>
          <w:rFonts w:eastAsia="SimSun"/>
          <w:lang w:val="en-US"/>
        </w:rPr>
        <w:t xml:space="preserve">by </w:t>
      </w:r>
      <w:r w:rsidRPr="00953770">
        <w:rPr>
          <w:rFonts w:eastAsia="SimSun"/>
          <w:lang w:val="en-US"/>
        </w:rPr>
        <w:t xml:space="preserve">the index derivative markets. </w:t>
      </w:r>
    </w:p>
    <w:p w14:paraId="4D26EBB3" w14:textId="77777777" w:rsidR="005A719B" w:rsidRPr="00953770" w:rsidRDefault="005A719B" w:rsidP="00D75F91">
      <w:pPr>
        <w:spacing w:line="480" w:lineRule="auto"/>
        <w:jc w:val="both"/>
        <w:rPr>
          <w:rFonts w:eastAsia="SimSun"/>
          <w:lang w:val="en-US"/>
        </w:rPr>
      </w:pPr>
    </w:p>
    <w:p w14:paraId="692D177A" w14:textId="622FDE2D" w:rsidR="005A719B" w:rsidRPr="00953770" w:rsidRDefault="005A719B" w:rsidP="00D75F91">
      <w:pPr>
        <w:spacing w:line="480" w:lineRule="auto"/>
        <w:jc w:val="both"/>
        <w:rPr>
          <w:color w:val="000000" w:themeColor="text1"/>
          <w:lang w:val="en-US"/>
        </w:rPr>
      </w:pPr>
      <w:r w:rsidRPr="00953770">
        <w:rPr>
          <w:rFonts w:eastAsia="SimSun"/>
          <w:lang w:val="en-US"/>
        </w:rPr>
        <w:t xml:space="preserve">Our empirical analysis involved intraday transaction prices data at a 5-minute frequency over a four-year period. </w:t>
      </w:r>
      <w:r w:rsidRPr="00953770">
        <w:rPr>
          <w:color w:val="000000" w:themeColor="text1"/>
          <w:lang w:val="en-US"/>
        </w:rPr>
        <w:t xml:space="preserve">The </w:t>
      </w:r>
      <w:r w:rsidRPr="00953770">
        <w:rPr>
          <w:rFonts w:eastAsia="SimSun"/>
          <w:lang w:val="en-US"/>
        </w:rPr>
        <w:t>Gonzalo and Granger (1995) common</w:t>
      </w:r>
      <w:r w:rsidRPr="00953770">
        <w:rPr>
          <w:color w:val="000000" w:themeColor="text1"/>
          <w:lang w:val="en-US"/>
        </w:rPr>
        <w:t xml:space="preserve"> factor weights results suggest</w:t>
      </w:r>
      <w:r>
        <w:rPr>
          <w:color w:val="000000" w:themeColor="text1"/>
          <w:lang w:val="en-US"/>
        </w:rPr>
        <w:t>ed</w:t>
      </w:r>
      <w:r w:rsidRPr="00953770">
        <w:rPr>
          <w:color w:val="000000" w:themeColor="text1"/>
          <w:lang w:val="en-US"/>
        </w:rPr>
        <w:t xml:space="preserve"> that 1) index tracking </w:t>
      </w:r>
      <w:r>
        <w:rPr>
          <w:color w:val="000000" w:themeColor="text1"/>
          <w:lang w:val="en-US"/>
        </w:rPr>
        <w:t>ETFs</w:t>
      </w:r>
      <w:r w:rsidRPr="00953770">
        <w:rPr>
          <w:color w:val="000000" w:themeColor="text1"/>
          <w:lang w:val="en-US"/>
        </w:rPr>
        <w:t xml:space="preserve"> lead </w:t>
      </w:r>
      <w:r>
        <w:rPr>
          <w:color w:val="000000" w:themeColor="text1"/>
          <w:lang w:val="en-US"/>
        </w:rPr>
        <w:t xml:space="preserve">the </w:t>
      </w:r>
      <w:r w:rsidRPr="00953770">
        <w:rPr>
          <w:color w:val="000000" w:themeColor="text1"/>
          <w:lang w:val="en-US"/>
        </w:rPr>
        <w:t>price discovery</w:t>
      </w:r>
      <w:r>
        <w:rPr>
          <w:color w:val="000000" w:themeColor="text1"/>
          <w:lang w:val="en-US"/>
        </w:rPr>
        <w:t xml:space="preserve"> process</w:t>
      </w:r>
      <w:r w:rsidRPr="00953770">
        <w:rPr>
          <w:color w:val="000000" w:themeColor="text1"/>
          <w:lang w:val="en-US"/>
        </w:rPr>
        <w:t xml:space="preserve">, followed by spot and futures in the FTSE and DAX groups; 2) index tracking </w:t>
      </w:r>
      <w:r>
        <w:rPr>
          <w:rFonts w:eastAsia="SimSun"/>
          <w:color w:val="000000"/>
          <w:lang w:val="en-US"/>
        </w:rPr>
        <w:t>ETFs</w:t>
      </w:r>
      <w:r w:rsidRPr="00953770">
        <w:rPr>
          <w:color w:val="000000" w:themeColor="text1"/>
          <w:lang w:val="en-US"/>
        </w:rPr>
        <w:t xml:space="preserve"> led price discovery ahead of spot and futures in 2010</w:t>
      </w:r>
      <w:r>
        <w:rPr>
          <w:color w:val="000000" w:themeColor="text1"/>
          <w:lang w:val="en-US"/>
        </w:rPr>
        <w:t xml:space="preserve"> only,</w:t>
      </w:r>
      <w:r w:rsidRPr="00953770">
        <w:rPr>
          <w:color w:val="000000" w:themeColor="text1"/>
          <w:lang w:val="en-US"/>
        </w:rPr>
        <w:t xml:space="preserve"> in the CAC group; 3) index futures contracts play</w:t>
      </w:r>
      <w:r>
        <w:rPr>
          <w:color w:val="000000" w:themeColor="text1"/>
          <w:lang w:val="en-US"/>
        </w:rPr>
        <w:t>ed</w:t>
      </w:r>
      <w:r w:rsidRPr="00953770">
        <w:rPr>
          <w:color w:val="000000" w:themeColor="text1"/>
          <w:lang w:val="en-US"/>
        </w:rPr>
        <w:t xml:space="preserve"> a significant leading role in </w:t>
      </w:r>
      <w:r>
        <w:rPr>
          <w:color w:val="000000" w:themeColor="text1"/>
          <w:lang w:val="en-US"/>
        </w:rPr>
        <w:t xml:space="preserve">the </w:t>
      </w:r>
      <w:r w:rsidRPr="00953770">
        <w:rPr>
          <w:color w:val="000000" w:themeColor="text1"/>
          <w:lang w:val="en-US"/>
        </w:rPr>
        <w:t xml:space="preserve">price discovery </w:t>
      </w:r>
      <w:r>
        <w:rPr>
          <w:color w:val="000000" w:themeColor="text1"/>
          <w:lang w:val="en-US"/>
        </w:rPr>
        <w:t xml:space="preserve">process </w:t>
      </w:r>
      <w:r w:rsidRPr="00953770">
        <w:rPr>
          <w:color w:val="000000" w:themeColor="text1"/>
          <w:lang w:val="en-US"/>
        </w:rPr>
        <w:t xml:space="preserve">in CAC group, primarily due to the lower trading frequency of </w:t>
      </w:r>
      <w:r>
        <w:rPr>
          <w:color w:val="000000" w:themeColor="text1"/>
          <w:lang w:val="en-US"/>
        </w:rPr>
        <w:t>ETFs,</w:t>
      </w:r>
      <w:r w:rsidRPr="00953770">
        <w:rPr>
          <w:color w:val="000000" w:themeColor="text1"/>
          <w:lang w:val="en-US"/>
        </w:rPr>
        <w:t xml:space="preserve"> </w:t>
      </w:r>
      <w:r>
        <w:rPr>
          <w:color w:val="000000" w:themeColor="text1"/>
          <w:lang w:val="en-US"/>
        </w:rPr>
        <w:t xml:space="preserve">according to </w:t>
      </w:r>
      <w:r w:rsidRPr="00953770">
        <w:rPr>
          <w:rFonts w:eastAsia="SimSun"/>
          <w:lang w:val="en-US"/>
        </w:rPr>
        <w:t>Deville et al.</w:t>
      </w:r>
      <w:r>
        <w:rPr>
          <w:rFonts w:eastAsia="SimSun"/>
          <w:lang w:val="en-US"/>
        </w:rPr>
        <w:t>’s (2014</w:t>
      </w:r>
      <w:r w:rsidRPr="00953770">
        <w:rPr>
          <w:rFonts w:eastAsia="SimSun"/>
          <w:lang w:val="en-US"/>
        </w:rPr>
        <w:t>)</w:t>
      </w:r>
      <w:r>
        <w:rPr>
          <w:rFonts w:eastAsia="SimSun"/>
          <w:lang w:val="en-US"/>
        </w:rPr>
        <w:t xml:space="preserve"> observation. </w:t>
      </w:r>
      <w:r w:rsidRPr="00953770">
        <w:rPr>
          <w:color w:val="000000" w:themeColor="text1"/>
          <w:lang w:val="en-US"/>
        </w:rPr>
        <w:t xml:space="preserve"> </w:t>
      </w:r>
    </w:p>
    <w:p w14:paraId="01EAA147" w14:textId="77777777" w:rsidR="005A719B" w:rsidRPr="00953770" w:rsidRDefault="005A719B" w:rsidP="00D75F91">
      <w:pPr>
        <w:spacing w:line="480" w:lineRule="auto"/>
        <w:jc w:val="both"/>
        <w:rPr>
          <w:rFonts w:eastAsia="SimSun"/>
          <w:lang w:val="en-US"/>
        </w:rPr>
      </w:pPr>
    </w:p>
    <w:p w14:paraId="2139E13C" w14:textId="4B560B45" w:rsidR="005A719B" w:rsidRPr="00953770" w:rsidRDefault="005A719B" w:rsidP="00D75F91">
      <w:pPr>
        <w:spacing w:line="480" w:lineRule="auto"/>
        <w:jc w:val="both"/>
        <w:rPr>
          <w:color w:val="000000" w:themeColor="text1"/>
          <w:lang w:val="en-US"/>
        </w:rPr>
      </w:pPr>
      <w:r w:rsidRPr="00953770">
        <w:rPr>
          <w:color w:val="000000" w:themeColor="text1"/>
          <w:lang w:val="en-US"/>
        </w:rPr>
        <w:t xml:space="preserve">In addition to </w:t>
      </w:r>
      <w:r w:rsidRPr="00953770">
        <w:rPr>
          <w:rFonts w:eastAsia="SimSun"/>
          <w:lang w:val="en-US"/>
        </w:rPr>
        <w:t>Gonzalo and Granger</w:t>
      </w:r>
      <w:r>
        <w:rPr>
          <w:rFonts w:eastAsia="SimSun"/>
          <w:lang w:val="en-US"/>
        </w:rPr>
        <w:t>’s</w:t>
      </w:r>
      <w:r w:rsidRPr="00953770">
        <w:rPr>
          <w:rFonts w:eastAsia="SimSun"/>
          <w:lang w:val="en-US"/>
        </w:rPr>
        <w:t xml:space="preserve"> (1995) common</w:t>
      </w:r>
      <w:r w:rsidRPr="00953770">
        <w:rPr>
          <w:color w:val="000000" w:themeColor="text1"/>
          <w:lang w:val="en-US"/>
        </w:rPr>
        <w:t xml:space="preserve"> factor weights method, we computed </w:t>
      </w:r>
      <w:r>
        <w:rPr>
          <w:color w:val="000000" w:themeColor="text1"/>
          <w:lang w:val="en-US"/>
        </w:rPr>
        <w:t xml:space="preserve">the </w:t>
      </w:r>
      <w:r w:rsidRPr="00953770">
        <w:rPr>
          <w:color w:val="000000" w:themeColor="text1"/>
          <w:lang w:val="en-US"/>
        </w:rPr>
        <w:t xml:space="preserve">Hasbrouck (1995) information share with error bounds. However, the estimated upper and lower bounds </w:t>
      </w:r>
      <w:r>
        <w:rPr>
          <w:color w:val="000000" w:themeColor="text1"/>
          <w:lang w:val="en-US"/>
        </w:rPr>
        <w:t>wer</w:t>
      </w:r>
      <w:r w:rsidRPr="00953770">
        <w:rPr>
          <w:color w:val="000000" w:themeColor="text1"/>
          <w:lang w:val="en-US"/>
        </w:rPr>
        <w:t xml:space="preserve">e </w:t>
      </w:r>
      <w:r>
        <w:rPr>
          <w:color w:val="000000" w:themeColor="text1"/>
          <w:lang w:val="en-US"/>
        </w:rPr>
        <w:t xml:space="preserve">found to be </w:t>
      </w:r>
      <w:r w:rsidRPr="00953770">
        <w:rPr>
          <w:color w:val="000000" w:themeColor="text1"/>
          <w:lang w:val="en-US"/>
        </w:rPr>
        <w:t xml:space="preserve">far apart </w:t>
      </w:r>
      <w:r>
        <w:rPr>
          <w:color w:val="000000" w:themeColor="text1"/>
          <w:lang w:val="en-US"/>
        </w:rPr>
        <w:t xml:space="preserve">in </w:t>
      </w:r>
      <w:r w:rsidRPr="00953770">
        <w:rPr>
          <w:color w:val="000000" w:themeColor="text1"/>
          <w:lang w:val="en-US"/>
        </w:rPr>
        <w:t>most cases, with</w:t>
      </w:r>
      <w:r>
        <w:rPr>
          <w:color w:val="000000" w:themeColor="text1"/>
          <w:lang w:val="en-US"/>
        </w:rPr>
        <w:t xml:space="preserve"> the </w:t>
      </w:r>
      <w:r w:rsidRPr="00953770">
        <w:rPr>
          <w:rFonts w:eastAsia="SimSun"/>
          <w:lang w:val="en-US"/>
        </w:rPr>
        <w:t xml:space="preserve">CAC 40 index markets in 2011 </w:t>
      </w:r>
      <w:r>
        <w:rPr>
          <w:rFonts w:eastAsia="SimSun"/>
          <w:lang w:val="en-US"/>
        </w:rPr>
        <w:t xml:space="preserve">forming the only </w:t>
      </w:r>
      <w:r w:rsidRPr="00F05CCF">
        <w:rPr>
          <w:color w:val="000000" w:themeColor="text1"/>
          <w:lang w:val="en-US"/>
        </w:rPr>
        <w:t>exception</w:t>
      </w:r>
      <w:r>
        <w:rPr>
          <w:color w:val="000000" w:themeColor="text1"/>
          <w:lang w:val="en-US"/>
        </w:rPr>
        <w:t>;</w:t>
      </w:r>
      <w:r w:rsidRPr="00953770" w:rsidDel="005B7DCC">
        <w:rPr>
          <w:rFonts w:eastAsia="SimSun"/>
          <w:lang w:val="en-US"/>
        </w:rPr>
        <w:t xml:space="preserve"> </w:t>
      </w:r>
      <w:r>
        <w:rPr>
          <w:rFonts w:eastAsia="SimSun"/>
          <w:lang w:val="en-US"/>
        </w:rPr>
        <w:t xml:space="preserve">for this market, </w:t>
      </w:r>
      <w:r w:rsidRPr="00953770">
        <w:rPr>
          <w:rFonts w:eastAsia="SimSun"/>
          <w:lang w:val="en-US"/>
        </w:rPr>
        <w:t xml:space="preserve">the two bounds for the information share </w:t>
      </w:r>
      <w:r>
        <w:rPr>
          <w:rFonts w:eastAsia="SimSun"/>
          <w:lang w:val="en-US"/>
        </w:rPr>
        <w:t>we</w:t>
      </w:r>
      <w:r w:rsidRPr="00953770">
        <w:rPr>
          <w:rFonts w:eastAsia="SimSun"/>
          <w:lang w:val="en-US"/>
        </w:rPr>
        <w:t xml:space="preserve">re close enough to </w:t>
      </w:r>
      <w:r>
        <w:rPr>
          <w:rFonts w:eastAsia="SimSun"/>
          <w:lang w:val="en-US"/>
        </w:rPr>
        <w:t xml:space="preserve">invalidate </w:t>
      </w:r>
      <w:r w:rsidRPr="00953770">
        <w:rPr>
          <w:rFonts w:eastAsia="SimSun"/>
          <w:lang w:val="en-US"/>
        </w:rPr>
        <w:t xml:space="preserve">meaningful results. We </w:t>
      </w:r>
      <w:r>
        <w:rPr>
          <w:rFonts w:eastAsia="SimSun"/>
          <w:lang w:val="en-US"/>
        </w:rPr>
        <w:t xml:space="preserve">observed that </w:t>
      </w:r>
      <w:r w:rsidRPr="00953770">
        <w:rPr>
          <w:rFonts w:eastAsia="SimSun"/>
          <w:lang w:val="en-US"/>
        </w:rPr>
        <w:t xml:space="preserve">CAC 40 index futures take the lead in price discovery, with Lyxor CAC 40 </w:t>
      </w:r>
      <w:r>
        <w:rPr>
          <w:rFonts w:eastAsia="SimSun"/>
          <w:lang w:val="en-US"/>
        </w:rPr>
        <w:t>ETFs</w:t>
      </w:r>
      <w:r w:rsidRPr="00953770">
        <w:rPr>
          <w:rFonts w:eastAsia="SimSun"/>
          <w:lang w:val="en-US"/>
        </w:rPr>
        <w:t xml:space="preserve"> </w:t>
      </w:r>
      <w:r>
        <w:rPr>
          <w:rFonts w:eastAsia="SimSun"/>
          <w:lang w:val="en-US"/>
        </w:rPr>
        <w:t>forming</w:t>
      </w:r>
      <w:r w:rsidRPr="00953770">
        <w:rPr>
          <w:rFonts w:eastAsia="SimSun"/>
          <w:lang w:val="en-US"/>
        </w:rPr>
        <w:t xml:space="preserve"> the second </w:t>
      </w:r>
      <w:r>
        <w:rPr>
          <w:rFonts w:eastAsia="SimSun"/>
          <w:lang w:val="en-US"/>
        </w:rPr>
        <w:t xml:space="preserve">alternative </w:t>
      </w:r>
      <w:r w:rsidRPr="00953770">
        <w:rPr>
          <w:rFonts w:eastAsia="SimSun"/>
          <w:lang w:val="en-US"/>
        </w:rPr>
        <w:t xml:space="preserve">for information in that year.  </w:t>
      </w:r>
    </w:p>
    <w:p w14:paraId="3DD1810A" w14:textId="77777777" w:rsidR="005A719B" w:rsidRPr="00953770" w:rsidRDefault="005A719B" w:rsidP="004E361C">
      <w:pPr>
        <w:spacing w:line="480" w:lineRule="auto"/>
        <w:jc w:val="both"/>
        <w:rPr>
          <w:lang w:val="en-US"/>
        </w:rPr>
      </w:pPr>
    </w:p>
    <w:p w14:paraId="060A4105" w14:textId="6DF3A3EE" w:rsidR="005A719B" w:rsidRDefault="003D4349" w:rsidP="004F7752">
      <w:pPr>
        <w:pStyle w:val="head4"/>
      </w:pPr>
      <w:r w:rsidRPr="00867831">
        <w:t xml:space="preserve">6.1  </w:t>
      </w:r>
      <w:r w:rsidR="005A719B" w:rsidRPr="00867831">
        <w:t xml:space="preserve">Regulatory Implications </w:t>
      </w:r>
    </w:p>
    <w:p w14:paraId="2A4CEFCE" w14:textId="2F965D68" w:rsidR="005A719B" w:rsidRPr="00953770" w:rsidRDefault="005A719B" w:rsidP="0093062D">
      <w:pPr>
        <w:spacing w:line="480" w:lineRule="auto"/>
        <w:jc w:val="both"/>
        <w:rPr>
          <w:lang w:val="en-US"/>
        </w:rPr>
      </w:pPr>
      <w:r w:rsidRPr="00953770">
        <w:rPr>
          <w:lang w:val="en-US"/>
        </w:rPr>
        <w:t xml:space="preserve">1. Although our data </w:t>
      </w:r>
      <w:r w:rsidRPr="005B7DCC">
        <w:t>suggest</w:t>
      </w:r>
      <w:r>
        <w:t>s</w:t>
      </w:r>
      <w:r w:rsidRPr="005B7DCC">
        <w:t xml:space="preserve"> </w:t>
      </w:r>
      <w:r w:rsidRPr="00953770">
        <w:rPr>
          <w:lang w:val="en-US"/>
        </w:rPr>
        <w:t xml:space="preserve">compelling evidence for </w:t>
      </w:r>
      <w:r>
        <w:rPr>
          <w:lang w:val="en-US"/>
        </w:rPr>
        <w:t>ETFs</w:t>
      </w:r>
      <w:r w:rsidRPr="00953770">
        <w:rPr>
          <w:lang w:val="en-US"/>
        </w:rPr>
        <w:t xml:space="preserve"> </w:t>
      </w:r>
      <w:r>
        <w:rPr>
          <w:lang w:val="en-US"/>
        </w:rPr>
        <w:t xml:space="preserve">forming the </w:t>
      </w:r>
      <w:r w:rsidRPr="00953770">
        <w:rPr>
          <w:lang w:val="en-US"/>
        </w:rPr>
        <w:t xml:space="preserve">lead </w:t>
      </w:r>
      <w:r>
        <w:rPr>
          <w:lang w:val="en-US"/>
        </w:rPr>
        <w:t xml:space="preserve">in </w:t>
      </w:r>
      <w:r w:rsidRPr="00953770">
        <w:rPr>
          <w:lang w:val="en-US"/>
        </w:rPr>
        <w:t xml:space="preserve">price information in the FTSE 100 index market, whether </w:t>
      </w:r>
      <w:r>
        <w:rPr>
          <w:lang w:val="en-US"/>
        </w:rPr>
        <w:t xml:space="preserve">sustained </w:t>
      </w:r>
      <w:r w:rsidRPr="00953770">
        <w:rPr>
          <w:lang w:val="en-US"/>
        </w:rPr>
        <w:t xml:space="preserve">(long-term) success </w:t>
      </w:r>
      <w:r>
        <w:rPr>
          <w:lang w:val="en-US"/>
        </w:rPr>
        <w:t xml:space="preserve">can be witnessed </w:t>
      </w:r>
      <w:r w:rsidRPr="00953770">
        <w:rPr>
          <w:lang w:val="en-US"/>
        </w:rPr>
        <w:t xml:space="preserve">in </w:t>
      </w:r>
      <w:r>
        <w:rPr>
          <w:lang w:val="en-US"/>
        </w:rPr>
        <w:t>the application of ETFs</w:t>
      </w:r>
      <w:r w:rsidRPr="00953770">
        <w:rPr>
          <w:lang w:val="en-US"/>
        </w:rPr>
        <w:t xml:space="preserve"> </w:t>
      </w:r>
      <w:r>
        <w:rPr>
          <w:lang w:val="en-US"/>
        </w:rPr>
        <w:t xml:space="preserve">in this position </w:t>
      </w:r>
      <w:r w:rsidRPr="00953770">
        <w:rPr>
          <w:lang w:val="en-US"/>
        </w:rPr>
        <w:t>is a question</w:t>
      </w:r>
      <w:r>
        <w:rPr>
          <w:lang w:val="en-US"/>
        </w:rPr>
        <w:t xml:space="preserve"> that remains to be answered</w:t>
      </w:r>
      <w:r w:rsidRPr="00953770">
        <w:rPr>
          <w:lang w:val="en-US"/>
        </w:rPr>
        <w:t xml:space="preserve">. </w:t>
      </w:r>
      <w:r>
        <w:rPr>
          <w:lang w:val="en-US"/>
        </w:rPr>
        <w:t>The c</w:t>
      </w:r>
      <w:r w:rsidRPr="00953770">
        <w:rPr>
          <w:lang w:val="en-US"/>
        </w:rPr>
        <w:t>urrent</w:t>
      </w:r>
      <w:r>
        <w:rPr>
          <w:lang w:val="en-US"/>
        </w:rPr>
        <w:t xml:space="preserve"> scenario is weighed down by</w:t>
      </w:r>
      <w:r w:rsidRPr="00953770">
        <w:rPr>
          <w:lang w:val="en-US"/>
        </w:rPr>
        <w:t xml:space="preserve"> many uncertainties </w:t>
      </w:r>
      <w:r>
        <w:rPr>
          <w:lang w:val="en-US"/>
        </w:rPr>
        <w:t xml:space="preserve">due to </w:t>
      </w:r>
      <w:r w:rsidRPr="00953770">
        <w:rPr>
          <w:lang w:val="en-US"/>
        </w:rPr>
        <w:t xml:space="preserve">Brexit, especially </w:t>
      </w:r>
      <w:r>
        <w:rPr>
          <w:lang w:val="en-US"/>
        </w:rPr>
        <w:t xml:space="preserve">with regard to </w:t>
      </w:r>
      <w:r w:rsidRPr="000C75E7">
        <w:t xml:space="preserve">whether </w:t>
      </w:r>
      <w:r>
        <w:t xml:space="preserve">or not </w:t>
      </w:r>
      <w:r w:rsidRPr="00953770">
        <w:rPr>
          <w:lang w:val="en-US"/>
        </w:rPr>
        <w:t xml:space="preserve">and when a regulatory framework will be provided </w:t>
      </w:r>
      <w:r>
        <w:rPr>
          <w:lang w:val="en-US"/>
        </w:rPr>
        <w:t xml:space="preserve">that will </w:t>
      </w:r>
      <w:r w:rsidRPr="00953770">
        <w:rPr>
          <w:lang w:val="en-US"/>
        </w:rPr>
        <w:t xml:space="preserve">allow </w:t>
      </w:r>
      <w:r>
        <w:rPr>
          <w:lang w:val="en-US"/>
        </w:rPr>
        <w:t xml:space="preserve">the </w:t>
      </w:r>
      <w:r w:rsidRPr="00953770">
        <w:rPr>
          <w:lang w:val="en-US"/>
        </w:rPr>
        <w:t xml:space="preserve">UK access to the European market. These are challenges </w:t>
      </w:r>
      <w:r>
        <w:rPr>
          <w:lang w:val="en-US"/>
        </w:rPr>
        <w:t xml:space="preserve">in terms of accessibility faced by </w:t>
      </w:r>
      <w:r w:rsidRPr="00953770">
        <w:rPr>
          <w:lang w:val="en-US"/>
        </w:rPr>
        <w:t xml:space="preserve">the </w:t>
      </w:r>
      <w:r>
        <w:rPr>
          <w:lang w:val="en-US"/>
        </w:rPr>
        <w:t xml:space="preserve">UK-based </w:t>
      </w:r>
      <w:r w:rsidRPr="00953770">
        <w:rPr>
          <w:lang w:val="en-US"/>
        </w:rPr>
        <w:t xml:space="preserve">providers. </w:t>
      </w:r>
      <w:r>
        <w:rPr>
          <w:lang w:val="en-US"/>
        </w:rPr>
        <w:t>For</w:t>
      </w:r>
      <w:r w:rsidRPr="00953770">
        <w:rPr>
          <w:lang w:val="en-US"/>
        </w:rPr>
        <w:t xml:space="preserve"> continuing success in </w:t>
      </w:r>
      <w:r>
        <w:rPr>
          <w:lang w:val="en-US"/>
        </w:rPr>
        <w:t>ETFs</w:t>
      </w:r>
      <w:r w:rsidRPr="00953770">
        <w:rPr>
          <w:lang w:val="en-US"/>
        </w:rPr>
        <w:t xml:space="preserve">, therefore, </w:t>
      </w:r>
      <w:r>
        <w:rPr>
          <w:lang w:val="en-US"/>
        </w:rPr>
        <w:t xml:space="preserve">it is crucial </w:t>
      </w:r>
      <w:r w:rsidRPr="00953770">
        <w:rPr>
          <w:lang w:val="en-US"/>
        </w:rPr>
        <w:t xml:space="preserve">for Britain and the European Union to adapt to a changing financial market. </w:t>
      </w:r>
    </w:p>
    <w:p w14:paraId="7AB6BF10" w14:textId="77777777" w:rsidR="005A719B" w:rsidRPr="00953770" w:rsidRDefault="005A719B" w:rsidP="000A72FA">
      <w:pPr>
        <w:spacing w:line="480" w:lineRule="auto"/>
        <w:jc w:val="both"/>
        <w:rPr>
          <w:lang w:val="en-US"/>
        </w:rPr>
      </w:pPr>
    </w:p>
    <w:p w14:paraId="1A6D283F" w14:textId="57292DF0" w:rsidR="005A719B" w:rsidRPr="00DA5258" w:rsidRDefault="005A719B" w:rsidP="00D52F01">
      <w:pPr>
        <w:spacing w:line="480" w:lineRule="auto"/>
        <w:jc w:val="both"/>
        <w:rPr>
          <w:lang w:val="en-US"/>
        </w:rPr>
      </w:pPr>
      <w:r w:rsidRPr="00953770">
        <w:rPr>
          <w:lang w:val="en-US"/>
        </w:rPr>
        <w:t xml:space="preserve">2. Empirical evidence </w:t>
      </w:r>
      <w:r>
        <w:rPr>
          <w:lang w:val="en-US"/>
        </w:rPr>
        <w:t>reveal</w:t>
      </w:r>
      <w:r w:rsidRPr="00953770">
        <w:rPr>
          <w:lang w:val="en-US"/>
        </w:rPr>
        <w:t xml:space="preserve">s </w:t>
      </w:r>
      <w:r>
        <w:rPr>
          <w:lang w:val="en-US"/>
        </w:rPr>
        <w:t>that ETFs</w:t>
      </w:r>
      <w:r w:rsidRPr="00953770">
        <w:rPr>
          <w:lang w:val="en-US"/>
        </w:rPr>
        <w:t xml:space="preserve"> attract </w:t>
      </w:r>
      <w:r>
        <w:rPr>
          <w:lang w:val="en-US"/>
        </w:rPr>
        <w:t xml:space="preserve">a greater number of </w:t>
      </w:r>
      <w:r w:rsidRPr="00953770">
        <w:rPr>
          <w:lang w:val="en-US"/>
        </w:rPr>
        <w:t xml:space="preserve">short-term investors </w:t>
      </w:r>
      <w:r>
        <w:rPr>
          <w:lang w:val="en-US"/>
        </w:rPr>
        <w:t xml:space="preserve">rather </w:t>
      </w:r>
      <w:r w:rsidRPr="00953770">
        <w:rPr>
          <w:lang w:val="en-US"/>
        </w:rPr>
        <w:t xml:space="preserve">than long-term ones. Consequently, the </w:t>
      </w:r>
      <w:r>
        <w:rPr>
          <w:lang w:val="en-US"/>
        </w:rPr>
        <w:t>additional</w:t>
      </w:r>
      <w:r w:rsidRPr="00953770">
        <w:rPr>
          <w:lang w:val="en-US"/>
        </w:rPr>
        <w:t xml:space="preserve"> liquidity </w:t>
      </w:r>
      <w:r>
        <w:rPr>
          <w:lang w:val="en-US"/>
        </w:rPr>
        <w:t xml:space="preserve">perceived to be derived </w:t>
      </w:r>
      <w:r w:rsidRPr="00953770">
        <w:rPr>
          <w:lang w:val="en-US"/>
        </w:rPr>
        <w:t xml:space="preserve">from </w:t>
      </w:r>
      <w:r>
        <w:rPr>
          <w:lang w:val="en-US"/>
        </w:rPr>
        <w:t>ETFs</w:t>
      </w:r>
      <w:r w:rsidRPr="00953770">
        <w:rPr>
          <w:lang w:val="en-US"/>
        </w:rPr>
        <w:t xml:space="preserve"> due to short-term trading when the market is </w:t>
      </w:r>
      <w:r>
        <w:rPr>
          <w:lang w:val="en-US"/>
        </w:rPr>
        <w:t xml:space="preserve">in a state of </w:t>
      </w:r>
      <w:r w:rsidRPr="00953770">
        <w:rPr>
          <w:lang w:val="en-US"/>
        </w:rPr>
        <w:t>boom may be illusory</w:t>
      </w:r>
      <w:r>
        <w:rPr>
          <w:lang w:val="en-US"/>
        </w:rPr>
        <w:t>,</w:t>
      </w:r>
      <w:r w:rsidRPr="00953770">
        <w:rPr>
          <w:lang w:val="en-US"/>
        </w:rPr>
        <w:t xml:space="preserve"> if the financial market is </w:t>
      </w:r>
      <w:r>
        <w:rPr>
          <w:lang w:val="en-US"/>
        </w:rPr>
        <w:t xml:space="preserve">in </w:t>
      </w:r>
      <w:r w:rsidRPr="00953770">
        <w:rPr>
          <w:lang w:val="en-US"/>
        </w:rPr>
        <w:t>depress</w:t>
      </w:r>
      <w:r>
        <w:rPr>
          <w:lang w:val="en-US"/>
        </w:rPr>
        <w:t>ion</w:t>
      </w:r>
      <w:r w:rsidRPr="00953770">
        <w:rPr>
          <w:lang w:val="en-US"/>
        </w:rPr>
        <w:t xml:space="preserve">, as the short-term traders will </w:t>
      </w:r>
      <w:r>
        <w:rPr>
          <w:lang w:val="en-US"/>
        </w:rPr>
        <w:t xml:space="preserve">exit </w:t>
      </w:r>
      <w:r w:rsidRPr="00953770">
        <w:rPr>
          <w:lang w:val="en-US"/>
        </w:rPr>
        <w:t xml:space="preserve">the market. </w:t>
      </w:r>
      <w:r>
        <w:rPr>
          <w:lang w:val="en-US"/>
        </w:rPr>
        <w:t>Considered i</w:t>
      </w:r>
      <w:r w:rsidRPr="00953770">
        <w:rPr>
          <w:lang w:val="en-US"/>
        </w:rPr>
        <w:t xml:space="preserve">n this respect, </w:t>
      </w:r>
      <w:r>
        <w:rPr>
          <w:lang w:val="en-US"/>
        </w:rPr>
        <w:t>ETFs</w:t>
      </w:r>
      <w:r w:rsidRPr="00953770">
        <w:rPr>
          <w:lang w:val="en-US"/>
        </w:rPr>
        <w:t xml:space="preserve"> </w:t>
      </w:r>
      <w:r>
        <w:rPr>
          <w:lang w:val="en-US"/>
        </w:rPr>
        <w:t xml:space="preserve">appear to be </w:t>
      </w:r>
      <w:r w:rsidRPr="00953770">
        <w:rPr>
          <w:lang w:val="en-US"/>
        </w:rPr>
        <w:t>double-edged sword</w:t>
      </w:r>
      <w:r>
        <w:rPr>
          <w:lang w:val="en-US"/>
        </w:rPr>
        <w:t>s:</w:t>
      </w:r>
      <w:r w:rsidRPr="00953770">
        <w:rPr>
          <w:lang w:val="en-US"/>
        </w:rPr>
        <w:t xml:space="preserve"> they can increase the </w:t>
      </w:r>
      <w:r>
        <w:rPr>
          <w:lang w:val="en-US"/>
        </w:rPr>
        <w:t xml:space="preserve">price </w:t>
      </w:r>
      <w:r w:rsidRPr="00953770">
        <w:rPr>
          <w:lang w:val="en-US"/>
        </w:rPr>
        <w:t xml:space="preserve">volatility of the stocks they own, </w:t>
      </w:r>
      <w:r>
        <w:rPr>
          <w:lang w:val="en-US"/>
        </w:rPr>
        <w:t xml:space="preserve">while </w:t>
      </w:r>
      <w:r w:rsidRPr="00953770">
        <w:rPr>
          <w:lang w:val="en-US"/>
        </w:rPr>
        <w:t>exacerbat</w:t>
      </w:r>
      <w:r>
        <w:rPr>
          <w:lang w:val="en-US"/>
        </w:rPr>
        <w:t>ing</w:t>
      </w:r>
      <w:r w:rsidRPr="00953770">
        <w:rPr>
          <w:lang w:val="en-US"/>
        </w:rPr>
        <w:t xml:space="preserve"> the volatility of the financial market (due to</w:t>
      </w:r>
      <w:r>
        <w:rPr>
          <w:lang w:val="en-US"/>
        </w:rPr>
        <w:t xml:space="preserve"> the behavior of</w:t>
      </w:r>
      <w:r w:rsidRPr="00953770">
        <w:rPr>
          <w:lang w:val="en-US"/>
        </w:rPr>
        <w:t xml:space="preserve"> short-term </w:t>
      </w:r>
      <w:r w:rsidRPr="00DA5258">
        <w:rPr>
          <w:lang w:val="en-US"/>
        </w:rPr>
        <w:t>traders)</w:t>
      </w:r>
      <w:r w:rsidR="00DA5258" w:rsidRPr="00DA5258">
        <w:rPr>
          <w:lang w:val="en-US"/>
        </w:rPr>
        <w:t>.</w:t>
      </w:r>
      <w:r w:rsidR="00EF7CE1" w:rsidRPr="00DA5258">
        <w:rPr>
          <w:vertAlign w:val="superscript"/>
          <w:lang w:val="en-US"/>
        </w:rPr>
        <w:t>16</w:t>
      </w:r>
      <w:r w:rsidRPr="00DA5258">
        <w:rPr>
          <w:lang w:val="en-US"/>
        </w:rPr>
        <w:t xml:space="preserve"> This calls for Financial Conduct Authority (FCA) and Prudential Regulation Authority (PRA) in UK and the Federal Financial Supervisory Authority (BaFin) in Germany to consider curtailing the growth of ETFs or to ensure the trading remains organized. Financial advisers in these countries may work at a fiduciary standard as a result of regulatory reforms, so that they are compelled to invest clients’ money as carefully as if it was their own. </w:t>
      </w:r>
    </w:p>
    <w:p w14:paraId="4D19E9A3" w14:textId="41E619CC" w:rsidR="005A719B" w:rsidRPr="00DA5258" w:rsidRDefault="005A719B" w:rsidP="00024D2A">
      <w:pPr>
        <w:spacing w:line="480" w:lineRule="auto"/>
        <w:jc w:val="both"/>
        <w:rPr>
          <w:lang w:val="en-US"/>
        </w:rPr>
      </w:pPr>
    </w:p>
    <w:p w14:paraId="31249823" w14:textId="5CD0161A" w:rsidR="00857116" w:rsidRPr="00953770" w:rsidRDefault="005A719B" w:rsidP="00857116">
      <w:pPr>
        <w:spacing w:line="480" w:lineRule="auto"/>
        <w:jc w:val="both"/>
        <w:rPr>
          <w:lang w:val="en-US"/>
        </w:rPr>
      </w:pPr>
      <w:r w:rsidRPr="00DA5258">
        <w:rPr>
          <w:lang w:val="en-US"/>
        </w:rPr>
        <w:t xml:space="preserve">3. The </w:t>
      </w:r>
      <w:r w:rsidRPr="00DA5258">
        <w:t xml:space="preserve">boom in </w:t>
      </w:r>
      <w:r w:rsidRPr="00DA5258">
        <w:rPr>
          <w:lang w:val="en-US"/>
        </w:rPr>
        <w:t xml:space="preserve">the European ETF industry is driven by the </w:t>
      </w:r>
      <w:r w:rsidRPr="00DA5258">
        <w:t>post</w:t>
      </w:r>
      <w:r w:rsidRPr="00DA5258">
        <w:rPr>
          <w:lang w:val="en-US"/>
        </w:rPr>
        <w:t>-credit crisis, which has quantitatively eased the bull’s run in the financial markets</w:t>
      </w:r>
      <w:r w:rsidR="00DA5258" w:rsidRPr="00DA5258">
        <w:rPr>
          <w:lang w:val="en-US"/>
        </w:rPr>
        <w:t>.</w:t>
      </w:r>
      <w:r w:rsidR="00EF7CE1" w:rsidRPr="00DA5258">
        <w:rPr>
          <w:vertAlign w:val="superscript"/>
          <w:lang w:val="en-US"/>
        </w:rPr>
        <w:t>17</w:t>
      </w:r>
      <w:r w:rsidRPr="00953770">
        <w:rPr>
          <w:lang w:val="en-US"/>
        </w:rPr>
        <w:t xml:space="preserve"> </w:t>
      </w:r>
      <w:r w:rsidR="00857116" w:rsidRPr="00953770">
        <w:rPr>
          <w:lang w:val="en-US"/>
        </w:rPr>
        <w:t xml:space="preserve">Regulators </w:t>
      </w:r>
      <w:r w:rsidR="00AF4F63" w:rsidRPr="00953770">
        <w:rPr>
          <w:lang w:val="en-US"/>
        </w:rPr>
        <w:t xml:space="preserve">must </w:t>
      </w:r>
      <w:r w:rsidR="00C40926">
        <w:rPr>
          <w:lang w:val="en-US"/>
        </w:rPr>
        <w:t>attempt</w:t>
      </w:r>
      <w:r w:rsidR="00C40926" w:rsidRPr="00953770">
        <w:rPr>
          <w:lang w:val="en-US"/>
        </w:rPr>
        <w:t xml:space="preserve"> </w:t>
      </w:r>
      <w:r w:rsidR="00857116" w:rsidRPr="00953770">
        <w:rPr>
          <w:lang w:val="en-US"/>
        </w:rPr>
        <w:t xml:space="preserve">to improve </w:t>
      </w:r>
      <w:r w:rsidR="00C40926">
        <w:rPr>
          <w:lang w:val="en-US"/>
        </w:rPr>
        <w:t xml:space="preserve">their </w:t>
      </w:r>
      <w:r w:rsidR="00C40926" w:rsidRPr="00F05CCF">
        <w:rPr>
          <w:lang w:val="en-US"/>
        </w:rPr>
        <w:t>market</w:t>
      </w:r>
      <w:r w:rsidR="00C40926">
        <w:rPr>
          <w:lang w:val="en-US"/>
        </w:rPr>
        <w:t xml:space="preserve"> </w:t>
      </w:r>
      <w:r w:rsidR="00857116" w:rsidRPr="00953770">
        <w:rPr>
          <w:lang w:val="en-US"/>
        </w:rPr>
        <w:t xml:space="preserve">oversight following the financial crisis and that </w:t>
      </w:r>
      <w:r w:rsidR="00C40926">
        <w:rPr>
          <w:lang w:val="en-US"/>
        </w:rPr>
        <w:t xml:space="preserve">would </w:t>
      </w:r>
      <w:r w:rsidR="00857116" w:rsidRPr="00953770">
        <w:rPr>
          <w:lang w:val="en-US"/>
        </w:rPr>
        <w:t xml:space="preserve">involve </w:t>
      </w:r>
      <w:r w:rsidR="00C40926">
        <w:rPr>
          <w:lang w:val="en-US"/>
        </w:rPr>
        <w:t xml:space="preserve">rendering the </w:t>
      </w:r>
      <w:r w:rsidR="00857116" w:rsidRPr="00953770">
        <w:rPr>
          <w:lang w:val="en-US"/>
        </w:rPr>
        <w:t xml:space="preserve">trading </w:t>
      </w:r>
      <w:r w:rsidR="00C40926">
        <w:rPr>
          <w:lang w:val="en-US"/>
        </w:rPr>
        <w:t xml:space="preserve">process </w:t>
      </w:r>
      <w:r w:rsidR="00857116" w:rsidRPr="00953770">
        <w:rPr>
          <w:lang w:val="en-US"/>
        </w:rPr>
        <w:t>more transparent. </w:t>
      </w:r>
      <w:r w:rsidR="00C40926">
        <w:rPr>
          <w:lang w:val="en-US"/>
        </w:rPr>
        <w:t>Enhancing</w:t>
      </w:r>
      <w:r w:rsidR="00857116" w:rsidRPr="00953770">
        <w:rPr>
          <w:lang w:val="en-US"/>
        </w:rPr>
        <w:t xml:space="preserve"> the efficiency of ETF trading can </w:t>
      </w:r>
      <w:r w:rsidR="00C40926">
        <w:rPr>
          <w:lang w:val="en-US"/>
        </w:rPr>
        <w:t xml:space="preserve">offer </w:t>
      </w:r>
      <w:r w:rsidR="00857116" w:rsidRPr="00953770">
        <w:rPr>
          <w:lang w:val="en-US"/>
        </w:rPr>
        <w:t>real benefits to investors. In a low</w:t>
      </w:r>
      <w:r w:rsidR="00C40926">
        <w:rPr>
          <w:lang w:val="en-US"/>
        </w:rPr>
        <w:t>-</w:t>
      </w:r>
      <w:r w:rsidR="00857116" w:rsidRPr="00953770">
        <w:rPr>
          <w:lang w:val="en-US"/>
        </w:rPr>
        <w:t>interest rate environment, once clients understand that they can save one or two basi</w:t>
      </w:r>
      <w:r w:rsidR="00C40926">
        <w:rPr>
          <w:lang w:val="en-US"/>
        </w:rPr>
        <w:t>c</w:t>
      </w:r>
      <w:r w:rsidR="00857116" w:rsidRPr="00953770">
        <w:rPr>
          <w:lang w:val="en-US"/>
        </w:rPr>
        <w:t xml:space="preserve"> points through more efficient </w:t>
      </w:r>
      <w:r w:rsidR="00EC44F6" w:rsidRPr="00953770">
        <w:rPr>
          <w:lang w:val="en-US"/>
        </w:rPr>
        <w:t>ETF</w:t>
      </w:r>
      <w:r w:rsidR="00857116" w:rsidRPr="00953770">
        <w:rPr>
          <w:lang w:val="en-US"/>
        </w:rPr>
        <w:t xml:space="preserve"> trading, they </w:t>
      </w:r>
      <w:r w:rsidR="00C40926">
        <w:rPr>
          <w:lang w:val="en-US"/>
        </w:rPr>
        <w:t xml:space="preserve">will </w:t>
      </w:r>
      <w:r w:rsidR="00857116" w:rsidRPr="00953770">
        <w:rPr>
          <w:lang w:val="en-US"/>
        </w:rPr>
        <w:t>also reali</w:t>
      </w:r>
      <w:r w:rsidR="00C40926">
        <w:rPr>
          <w:lang w:val="en-US"/>
        </w:rPr>
        <w:t>z</w:t>
      </w:r>
      <w:r w:rsidR="00857116" w:rsidRPr="00953770">
        <w:rPr>
          <w:lang w:val="en-US"/>
        </w:rPr>
        <w:t xml:space="preserve">e that it is possible to </w:t>
      </w:r>
      <w:r w:rsidR="00C40926" w:rsidRPr="00F05CCF">
        <w:rPr>
          <w:lang w:val="en-US"/>
        </w:rPr>
        <w:t xml:space="preserve">instantaneously </w:t>
      </w:r>
      <w:r w:rsidR="00857116" w:rsidRPr="00953770">
        <w:rPr>
          <w:lang w:val="en-US"/>
        </w:rPr>
        <w:t>enhance the prospective long-term returns on their investment</w:t>
      </w:r>
      <w:r w:rsidR="00C40926">
        <w:rPr>
          <w:lang w:val="en-US"/>
        </w:rPr>
        <w:t>s</w:t>
      </w:r>
      <w:r w:rsidR="00857116" w:rsidRPr="00953770">
        <w:rPr>
          <w:lang w:val="en-US"/>
        </w:rPr>
        <w:t xml:space="preserve">. </w:t>
      </w:r>
    </w:p>
    <w:p w14:paraId="087D7798" w14:textId="1D93725A" w:rsidR="005F7722" w:rsidRDefault="007D2CAB" w:rsidP="005F7722">
      <w:pPr>
        <w:pStyle w:val="Heading1"/>
        <w:rPr>
          <w:rFonts w:ascii="Times New Roman" w:hAnsi="Times New Roman" w:cs="Times New Roman"/>
          <w:color w:val="000000" w:themeColor="text1"/>
          <w:sz w:val="32"/>
          <w:szCs w:val="32"/>
          <w:shd w:val="clear" w:color="auto" w:fill="FFFFFF"/>
          <w:lang w:val="en-US"/>
        </w:rPr>
      </w:pPr>
      <w:r>
        <w:rPr>
          <w:rFonts w:ascii="Times New Roman" w:hAnsi="Times New Roman" w:cs="Times New Roman"/>
          <w:color w:val="000000" w:themeColor="text1"/>
          <w:sz w:val="32"/>
          <w:szCs w:val="32"/>
          <w:shd w:val="clear" w:color="auto" w:fill="FFFFFF"/>
          <w:lang w:val="en-US"/>
        </w:rPr>
        <w:t>Notes</w:t>
      </w:r>
    </w:p>
    <w:p w14:paraId="23748FDE" w14:textId="77777777" w:rsidR="00705993" w:rsidRDefault="00705993" w:rsidP="00705993">
      <w:pPr>
        <w:rPr>
          <w:lang w:val="en-US"/>
        </w:rPr>
      </w:pPr>
    </w:p>
    <w:p w14:paraId="3D891665" w14:textId="05721274" w:rsidR="00EF741F" w:rsidRDefault="00EF741F" w:rsidP="00734EF6">
      <w:pPr>
        <w:pStyle w:val="EndnoteText"/>
        <w:spacing w:line="480" w:lineRule="auto"/>
        <w:ind w:left="720" w:hanging="720"/>
        <w:jc w:val="left"/>
        <w:rPr>
          <w:rFonts w:ascii="Times New Roman" w:hAnsi="Times New Roman" w:cs="Times New Roman"/>
          <w:sz w:val="24"/>
          <w:szCs w:val="24"/>
        </w:rPr>
      </w:pPr>
      <w:r w:rsidRPr="00734EF6">
        <w:rPr>
          <w:rStyle w:val="EndnoteReference"/>
          <w:rFonts w:ascii="Times New Roman" w:hAnsi="Times New Roman"/>
          <w:sz w:val="24"/>
          <w:szCs w:val="24"/>
          <w:vertAlign w:val="baseline"/>
        </w:rPr>
        <w:footnoteRef/>
      </w:r>
      <w:r w:rsidR="00734EF6">
        <w:rPr>
          <w:rFonts w:ascii="Times New Roman" w:hAnsi="Times New Roman" w:cs="Times New Roman"/>
          <w:sz w:val="24"/>
          <w:szCs w:val="24"/>
        </w:rPr>
        <w:t xml:space="preserve">. </w:t>
      </w:r>
      <w:r w:rsidR="00734EF6">
        <w:rPr>
          <w:rFonts w:ascii="Times New Roman" w:hAnsi="Times New Roman" w:cs="Times New Roman"/>
          <w:sz w:val="24"/>
          <w:szCs w:val="24"/>
        </w:rPr>
        <w:tab/>
      </w:r>
      <w:r w:rsidR="00734EF6" w:rsidRPr="00734EF6">
        <w:rPr>
          <w:rFonts w:ascii="Times New Roman" w:hAnsi="Times New Roman" w:cs="Times New Roman"/>
          <w:sz w:val="24"/>
          <w:szCs w:val="24"/>
        </w:rPr>
        <w:t>https://www.zacks.com/stock/news/71077/japan-etfs-one-year-after-the-fukushima-</w:t>
      </w:r>
      <w:r w:rsidRPr="00EF741F">
        <w:rPr>
          <w:rFonts w:ascii="Times New Roman" w:hAnsi="Times New Roman" w:cs="Times New Roman"/>
          <w:sz w:val="24"/>
          <w:szCs w:val="24"/>
        </w:rPr>
        <w:t>disaster; https://www.nasdaq.com/article/japan-etfs-one-year-after-the-fukushima-disaster-etf-news-and-commentary-cm126489</w:t>
      </w:r>
    </w:p>
    <w:p w14:paraId="5BB0F6F7" w14:textId="5B259F78" w:rsidR="00EF741F" w:rsidRDefault="00856E02" w:rsidP="00EF741F">
      <w:pPr>
        <w:pStyle w:val="EndnoteText"/>
        <w:spacing w:line="480" w:lineRule="auto"/>
        <w:rPr>
          <w:rFonts w:ascii="Times New Roman" w:hAnsi="Times New Roman" w:cs="Times New Roman"/>
          <w:sz w:val="24"/>
          <w:szCs w:val="24"/>
        </w:rPr>
      </w:pPr>
      <w:r w:rsidRPr="00734EF6">
        <w:rPr>
          <w:rStyle w:val="EndnoteReference"/>
          <w:rFonts w:ascii="Times New Roman" w:hAnsi="Times New Roman" w:cs="Times New Roman"/>
          <w:sz w:val="24"/>
          <w:szCs w:val="24"/>
          <w:vertAlign w:val="baseline"/>
        </w:rPr>
        <w:t>2</w:t>
      </w:r>
      <w:r w:rsidR="00734EF6">
        <w:rPr>
          <w:rFonts w:ascii="Times New Roman" w:hAnsi="Times New Roman" w:cs="Times New Roman"/>
          <w:sz w:val="24"/>
          <w:szCs w:val="24"/>
        </w:rPr>
        <w:t>.</w:t>
      </w:r>
      <w:r w:rsidR="00EF741F" w:rsidRPr="00734EF6">
        <w:rPr>
          <w:rFonts w:ascii="Times New Roman" w:hAnsi="Times New Roman" w:cs="Times New Roman"/>
          <w:sz w:val="24"/>
          <w:szCs w:val="24"/>
        </w:rPr>
        <w:t xml:space="preserve"> </w:t>
      </w:r>
      <w:r w:rsidR="00734EF6">
        <w:rPr>
          <w:rFonts w:ascii="Times New Roman" w:hAnsi="Times New Roman" w:cs="Times New Roman"/>
          <w:sz w:val="24"/>
          <w:szCs w:val="24"/>
        </w:rPr>
        <w:tab/>
      </w:r>
      <w:r w:rsidR="00EF741F" w:rsidRPr="00EF741F">
        <w:rPr>
          <w:rFonts w:ascii="Times New Roman" w:hAnsi="Times New Roman" w:cs="Times New Roman"/>
          <w:sz w:val="24"/>
          <w:szCs w:val="24"/>
        </w:rPr>
        <w:t>https://www.ft.com/content/9bca103a-dd9d-11e6-86ac-f253db7791c6</w:t>
      </w:r>
    </w:p>
    <w:p w14:paraId="2EFF40E4" w14:textId="0F493DEE" w:rsidR="00EF741F" w:rsidRPr="00734EF6" w:rsidRDefault="00856E02" w:rsidP="00734EF6">
      <w:pPr>
        <w:pStyle w:val="EndnoteText"/>
        <w:spacing w:line="480" w:lineRule="auto"/>
        <w:ind w:left="720" w:hanging="720"/>
        <w:rPr>
          <w:rFonts w:ascii="Times New Roman" w:hAnsi="Times New Roman" w:cs="Times New Roman"/>
          <w:sz w:val="24"/>
          <w:szCs w:val="24"/>
          <w:lang w:val="en-GB"/>
        </w:rPr>
      </w:pPr>
      <w:r w:rsidRPr="00734EF6">
        <w:rPr>
          <w:rStyle w:val="EndnoteReference"/>
          <w:rFonts w:ascii="Times New Roman" w:hAnsi="Times New Roman" w:cs="Times New Roman"/>
          <w:sz w:val="24"/>
          <w:szCs w:val="24"/>
          <w:vertAlign w:val="baseline"/>
        </w:rPr>
        <w:t>3</w:t>
      </w:r>
      <w:r w:rsidR="00734EF6">
        <w:rPr>
          <w:rFonts w:ascii="Times New Roman" w:hAnsi="Times New Roman" w:cs="Times New Roman"/>
          <w:sz w:val="24"/>
          <w:szCs w:val="24"/>
        </w:rPr>
        <w:t>.</w:t>
      </w:r>
      <w:r w:rsidR="00EF741F" w:rsidRPr="00734EF6">
        <w:rPr>
          <w:rFonts w:ascii="Times New Roman" w:hAnsi="Times New Roman" w:cs="Times New Roman"/>
          <w:sz w:val="24"/>
          <w:szCs w:val="24"/>
        </w:rPr>
        <w:t xml:space="preserve"> </w:t>
      </w:r>
      <w:r w:rsidR="00734EF6">
        <w:rPr>
          <w:rFonts w:ascii="Times New Roman" w:hAnsi="Times New Roman" w:cs="Times New Roman"/>
          <w:sz w:val="24"/>
          <w:szCs w:val="24"/>
        </w:rPr>
        <w:tab/>
      </w:r>
      <w:r w:rsidR="00734EF6" w:rsidRPr="00734EF6">
        <w:rPr>
          <w:rFonts w:ascii="Times New Roman" w:hAnsi="Times New Roman" w:cs="Times New Roman"/>
          <w:sz w:val="24"/>
          <w:szCs w:val="24"/>
        </w:rPr>
        <w:t>http://www.investmenteurope.net/opinion/european-etf-industry-marks-time-high-</w:t>
      </w:r>
      <w:r w:rsidR="00EF741F" w:rsidRPr="00EF741F">
        <w:rPr>
          <w:rFonts w:ascii="Times New Roman" w:hAnsi="Times New Roman" w:cs="Times New Roman"/>
          <w:sz w:val="24"/>
          <w:szCs w:val="24"/>
        </w:rPr>
        <w:t>2017/</w:t>
      </w:r>
    </w:p>
    <w:p w14:paraId="11693888" w14:textId="33B737C6" w:rsidR="00EF741F" w:rsidRPr="00A65AA5" w:rsidRDefault="00EF741F" w:rsidP="00A65AA5">
      <w:pPr>
        <w:pStyle w:val="EndnoteText"/>
        <w:spacing w:line="480" w:lineRule="auto"/>
        <w:ind w:left="720" w:hanging="720"/>
        <w:jc w:val="left"/>
        <w:rPr>
          <w:rFonts w:ascii="Times New Roman" w:hAnsi="Times New Roman" w:cs="Times New Roman"/>
          <w:color w:val="000000" w:themeColor="text1"/>
          <w:sz w:val="24"/>
          <w:szCs w:val="24"/>
        </w:rPr>
      </w:pPr>
      <w:r w:rsidRPr="00734EF6">
        <w:rPr>
          <w:rStyle w:val="EndnoteReference"/>
          <w:rFonts w:ascii="Times New Roman" w:hAnsi="Times New Roman" w:cs="Times New Roman"/>
          <w:color w:val="000000" w:themeColor="text1"/>
          <w:sz w:val="24"/>
          <w:szCs w:val="24"/>
          <w:vertAlign w:val="baseline"/>
        </w:rPr>
        <w:t>4</w:t>
      </w:r>
      <w:r w:rsidR="00734EF6">
        <w:rPr>
          <w:rFonts w:ascii="Times New Roman" w:hAnsi="Times New Roman" w:cs="Times New Roman"/>
          <w:color w:val="000000" w:themeColor="text1"/>
          <w:sz w:val="24"/>
          <w:szCs w:val="24"/>
        </w:rPr>
        <w:t>.</w:t>
      </w:r>
      <w:r w:rsidRPr="00734EF6">
        <w:rPr>
          <w:rFonts w:ascii="Times New Roman" w:hAnsi="Times New Roman" w:cs="Times New Roman"/>
          <w:color w:val="000000" w:themeColor="text1"/>
          <w:sz w:val="24"/>
          <w:szCs w:val="24"/>
        </w:rPr>
        <w:t xml:space="preserve"> </w:t>
      </w:r>
      <w:r w:rsidR="00734EF6">
        <w:rPr>
          <w:rFonts w:ascii="Times New Roman" w:hAnsi="Times New Roman" w:cs="Times New Roman"/>
          <w:color w:val="000000" w:themeColor="text1"/>
          <w:sz w:val="24"/>
          <w:szCs w:val="24"/>
        </w:rPr>
        <w:tab/>
      </w:r>
      <w:r w:rsidRPr="00EF741F">
        <w:rPr>
          <w:rFonts w:ascii="Times New Roman" w:hAnsi="Times New Roman" w:cs="Times New Roman"/>
          <w:color w:val="000000" w:themeColor="text1"/>
          <w:sz w:val="24"/>
          <w:szCs w:val="24"/>
        </w:rPr>
        <w:t>In fact, the assets owned by the European ETF industry has been increasing for six consecutive years: the average annual growth rate of ETFs in Europe is 20.4% (https://www2.deloitte.com/content/dam/Deloitte/lu/Documents/financial-services/performancemagazine/articles/lu_growth-etf-in-europe-012017.pdf) and such increase in 2017 constituted a new unsurpassed hike (http://www.investmenteurope.net/opinion/european-etf-industry-marks-time-high-2017/).</w:t>
      </w:r>
    </w:p>
    <w:p w14:paraId="0CAA7ABF" w14:textId="457FEC87" w:rsidR="00EF741F" w:rsidRPr="00734EF6" w:rsidRDefault="00EF741F" w:rsidP="00734EF6">
      <w:pPr>
        <w:spacing w:line="480" w:lineRule="auto"/>
        <w:rPr>
          <w:color w:val="000000" w:themeColor="text1"/>
        </w:rPr>
      </w:pPr>
      <w:r w:rsidRPr="00734EF6">
        <w:rPr>
          <w:rStyle w:val="EndnoteReference"/>
          <w:vertAlign w:val="baseline"/>
        </w:rPr>
        <w:t>5</w:t>
      </w:r>
      <w:r w:rsidR="00734EF6">
        <w:rPr>
          <w:color w:val="000000" w:themeColor="text1"/>
        </w:rPr>
        <w:t>.</w:t>
      </w:r>
      <w:r w:rsidRPr="00734EF6">
        <w:rPr>
          <w:color w:val="000000" w:themeColor="text1"/>
        </w:rPr>
        <w:t xml:space="preserve"> </w:t>
      </w:r>
      <w:r w:rsidR="00734EF6">
        <w:rPr>
          <w:color w:val="000000" w:themeColor="text1"/>
        </w:rPr>
        <w:tab/>
      </w:r>
      <w:r w:rsidRPr="00EF741F">
        <w:rPr>
          <w:color w:val="000000" w:themeColor="text1"/>
        </w:rPr>
        <w:t>https://www.ft.com/content/9bca103a-dd9d-11e6-86ac-f253db7791c6</w:t>
      </w:r>
    </w:p>
    <w:p w14:paraId="1E6C1245" w14:textId="3A817651" w:rsidR="00EF741F" w:rsidRPr="00734EF6" w:rsidRDefault="00EF741F" w:rsidP="00734EF6">
      <w:pPr>
        <w:widowControl w:val="0"/>
        <w:spacing w:line="480" w:lineRule="auto"/>
        <w:ind w:left="720" w:hanging="720"/>
        <w:jc w:val="both"/>
        <w:rPr>
          <w:rFonts w:eastAsia="SimSun"/>
          <w:kern w:val="2"/>
          <w:lang w:val="en-US"/>
        </w:rPr>
      </w:pPr>
      <w:r w:rsidRPr="00734EF6">
        <w:rPr>
          <w:rStyle w:val="EndnoteReference"/>
          <w:vertAlign w:val="baseline"/>
        </w:rPr>
        <w:t>6</w:t>
      </w:r>
      <w:r w:rsidR="00734EF6">
        <w:t>.</w:t>
      </w:r>
      <w:r w:rsidRPr="00EF741F">
        <w:t xml:space="preserve"> </w:t>
      </w:r>
      <w:r w:rsidR="00734EF6">
        <w:tab/>
      </w:r>
      <w:r w:rsidRPr="00EF741F">
        <w:rPr>
          <w:rFonts w:eastAsia="SimSun"/>
          <w:lang w:val="en-US"/>
        </w:rPr>
        <w:t xml:space="preserve">Most studies pertaining to the price discovery process for the futures and spot markets indicate that the futures take the lead, with only a few studies reporting a weak effect of spot market as the leader in futures markets, such as those of </w:t>
      </w:r>
      <w:r w:rsidRPr="00EF741F">
        <w:rPr>
          <w:rFonts w:eastAsia="SimSun"/>
        </w:rPr>
        <w:t>Choi and Subrahmanyam (1994), Fleming et al. (1996), and Chu et al. (1999).</w:t>
      </w:r>
    </w:p>
    <w:p w14:paraId="0333B3DA" w14:textId="6A514418" w:rsidR="00EF741F" w:rsidRDefault="00EF741F" w:rsidP="00EF741F">
      <w:pPr>
        <w:pStyle w:val="EndnoteText"/>
        <w:spacing w:line="480" w:lineRule="auto"/>
        <w:rPr>
          <w:rFonts w:ascii="Times New Roman" w:hAnsi="Times New Roman" w:cs="Times New Roman"/>
          <w:sz w:val="24"/>
          <w:szCs w:val="24"/>
        </w:rPr>
      </w:pPr>
      <w:r w:rsidRPr="00734EF6">
        <w:rPr>
          <w:rStyle w:val="EndnoteReference"/>
          <w:rFonts w:ascii="Times New Roman" w:hAnsi="Times New Roman" w:cs="Times New Roman"/>
          <w:sz w:val="24"/>
          <w:szCs w:val="24"/>
          <w:vertAlign w:val="baseline"/>
        </w:rPr>
        <w:t>7</w:t>
      </w:r>
      <w:r w:rsidR="00734EF6">
        <w:rPr>
          <w:rFonts w:ascii="Times New Roman" w:hAnsi="Times New Roman" w:cs="Times New Roman"/>
          <w:sz w:val="24"/>
          <w:szCs w:val="24"/>
        </w:rPr>
        <w:t>.</w:t>
      </w:r>
      <w:r w:rsidRPr="00734EF6">
        <w:rPr>
          <w:rFonts w:ascii="Times New Roman" w:hAnsi="Times New Roman" w:cs="Times New Roman"/>
          <w:sz w:val="24"/>
          <w:szCs w:val="24"/>
        </w:rPr>
        <w:t xml:space="preserve"> </w:t>
      </w:r>
      <w:r w:rsidR="00734EF6">
        <w:rPr>
          <w:rFonts w:ascii="Times New Roman" w:hAnsi="Times New Roman" w:cs="Times New Roman"/>
          <w:sz w:val="24"/>
          <w:szCs w:val="24"/>
        </w:rPr>
        <w:tab/>
      </w:r>
      <w:r w:rsidRPr="00EF741F">
        <w:rPr>
          <w:rFonts w:ascii="Times New Roman" w:hAnsi="Times New Roman" w:cs="Times New Roman"/>
          <w:sz w:val="24"/>
          <w:szCs w:val="24"/>
        </w:rPr>
        <w:t xml:space="preserve">See examples at https://www.ici.org/pdf/2017_factbook.pdf. </w:t>
      </w:r>
    </w:p>
    <w:p w14:paraId="458A564C" w14:textId="08924EE9" w:rsidR="00EF741F" w:rsidRPr="00EF741F" w:rsidRDefault="00EF741F" w:rsidP="00734EF6">
      <w:pPr>
        <w:pStyle w:val="EndnoteText"/>
        <w:spacing w:line="480" w:lineRule="auto"/>
        <w:ind w:left="720" w:hanging="720"/>
        <w:rPr>
          <w:rFonts w:ascii="Times New Roman" w:hAnsi="Times New Roman" w:cs="Times New Roman"/>
          <w:sz w:val="24"/>
          <w:szCs w:val="24"/>
        </w:rPr>
      </w:pPr>
      <w:r w:rsidRPr="00734EF6">
        <w:rPr>
          <w:rStyle w:val="EndnoteReference"/>
          <w:rFonts w:ascii="Times New Roman" w:hAnsi="Times New Roman" w:cs="Times New Roman"/>
          <w:sz w:val="24"/>
          <w:szCs w:val="24"/>
          <w:vertAlign w:val="baseline"/>
        </w:rPr>
        <w:t>8</w:t>
      </w:r>
      <w:r w:rsidR="00734EF6">
        <w:rPr>
          <w:rFonts w:ascii="Times New Roman" w:hAnsi="Times New Roman" w:cs="Times New Roman"/>
          <w:sz w:val="24"/>
          <w:szCs w:val="24"/>
        </w:rPr>
        <w:t>.</w:t>
      </w:r>
      <w:r w:rsidRPr="00EF741F">
        <w:rPr>
          <w:rFonts w:ascii="Times New Roman" w:hAnsi="Times New Roman" w:cs="Times New Roman"/>
          <w:sz w:val="24"/>
          <w:szCs w:val="24"/>
        </w:rPr>
        <w:t xml:space="preserve"> </w:t>
      </w:r>
      <w:r w:rsidR="00734EF6">
        <w:rPr>
          <w:rFonts w:ascii="Times New Roman" w:hAnsi="Times New Roman" w:cs="Times New Roman"/>
          <w:sz w:val="24"/>
          <w:szCs w:val="24"/>
        </w:rPr>
        <w:tab/>
      </w:r>
      <w:r w:rsidRPr="00EF741F">
        <w:rPr>
          <w:rFonts w:ascii="Times New Roman" w:hAnsi="Times New Roman" w:cs="Times New Roman"/>
          <w:color w:val="000000"/>
          <w:sz w:val="24"/>
          <w:szCs w:val="24"/>
        </w:rPr>
        <w:t>It is also worth noting that the creation or redemption of ETF shares transpires post trading hours and is announced at the end of a trading day, while the buying and selling of stocks and ETF shares takes place during trading hours. Consequently, it could influence the price movement of underlying stocks on the subsequent trading day; this is possibly the reason due to which the price volatility of ETFs got redirected to their underlying stocks and ETFs became the leader of stocks in price discovery (</w:t>
      </w:r>
      <w:r w:rsidR="009144B5" w:rsidRPr="00EF741F">
        <w:rPr>
          <w:rFonts w:ascii="Times New Roman" w:hAnsi="Times New Roman" w:cs="Times New Roman"/>
          <w:color w:val="000000"/>
          <w:sz w:val="24"/>
          <w:szCs w:val="24"/>
        </w:rPr>
        <w:t>see Krause</w:t>
      </w:r>
      <w:r w:rsidRPr="00EF741F">
        <w:rPr>
          <w:rFonts w:ascii="Times New Roman" w:hAnsi="Times New Roman" w:cs="Times New Roman"/>
          <w:color w:val="000000"/>
          <w:sz w:val="24"/>
          <w:szCs w:val="24"/>
        </w:rPr>
        <w:t xml:space="preserve"> et al., 2014).</w:t>
      </w:r>
    </w:p>
    <w:p w14:paraId="6F1BD335" w14:textId="730D9119" w:rsidR="00EF741F" w:rsidRPr="00EF741F" w:rsidRDefault="00EF741F" w:rsidP="00EF741F">
      <w:pPr>
        <w:pStyle w:val="EndnoteText"/>
        <w:spacing w:line="480" w:lineRule="auto"/>
        <w:rPr>
          <w:rFonts w:ascii="Times New Roman" w:hAnsi="Times New Roman" w:cs="Times New Roman"/>
          <w:sz w:val="24"/>
          <w:szCs w:val="24"/>
        </w:rPr>
      </w:pPr>
      <w:r w:rsidRPr="00734EF6">
        <w:rPr>
          <w:rStyle w:val="EndnoteReference"/>
          <w:rFonts w:ascii="Times New Roman" w:hAnsi="Times New Roman" w:cs="Times New Roman"/>
          <w:sz w:val="24"/>
          <w:szCs w:val="24"/>
          <w:vertAlign w:val="baseline"/>
        </w:rPr>
        <w:t>9</w:t>
      </w:r>
      <w:r w:rsidR="00734EF6">
        <w:rPr>
          <w:rFonts w:ascii="Times New Roman" w:eastAsia="SimSun" w:hAnsi="Times New Roman" w:cs="Times New Roman"/>
          <w:sz w:val="24"/>
          <w:szCs w:val="24"/>
        </w:rPr>
        <w:t>.</w:t>
      </w:r>
      <w:r w:rsidRPr="00734EF6">
        <w:rPr>
          <w:rFonts w:ascii="Times New Roman" w:eastAsia="SimSun" w:hAnsi="Times New Roman" w:cs="Times New Roman"/>
          <w:sz w:val="24"/>
          <w:szCs w:val="24"/>
        </w:rPr>
        <w:t xml:space="preserve"> </w:t>
      </w:r>
      <w:r w:rsidR="00734EF6">
        <w:rPr>
          <w:rFonts w:ascii="Times New Roman" w:eastAsia="SimSun" w:hAnsi="Times New Roman" w:cs="Times New Roman"/>
          <w:sz w:val="24"/>
          <w:szCs w:val="24"/>
        </w:rPr>
        <w:tab/>
      </w:r>
      <w:r w:rsidRPr="00EF741F">
        <w:rPr>
          <w:rFonts w:ascii="Times New Roman" w:eastAsia="SimSun" w:hAnsi="Times New Roman" w:cs="Times New Roman"/>
          <w:sz w:val="24"/>
          <w:szCs w:val="24"/>
        </w:rPr>
        <w:t>Decimalization reduces the trading costs of ETFs.</w:t>
      </w:r>
    </w:p>
    <w:p w14:paraId="71876A17" w14:textId="74BF63C0" w:rsidR="00EF741F" w:rsidRPr="00A65AA5" w:rsidRDefault="00EF741F" w:rsidP="00A65AA5">
      <w:pPr>
        <w:pStyle w:val="EndnoteText"/>
        <w:spacing w:line="480" w:lineRule="auto"/>
        <w:ind w:left="720" w:hanging="720"/>
        <w:rPr>
          <w:rFonts w:ascii="Times New Roman" w:hAnsi="Times New Roman" w:cs="Times New Roman"/>
          <w:sz w:val="24"/>
          <w:szCs w:val="24"/>
        </w:rPr>
      </w:pPr>
      <w:r w:rsidRPr="00A65AA5">
        <w:rPr>
          <w:rStyle w:val="EndnoteReference"/>
          <w:rFonts w:ascii="Times New Roman" w:hAnsi="Times New Roman" w:cs="Times New Roman"/>
          <w:sz w:val="24"/>
          <w:szCs w:val="24"/>
          <w:vertAlign w:val="baseline"/>
        </w:rPr>
        <w:t>10</w:t>
      </w:r>
      <w:r w:rsidR="00A65AA5">
        <w:rPr>
          <w:rFonts w:ascii="Times New Roman" w:eastAsia="SimSun" w:hAnsi="Times New Roman" w:cs="Times New Roman"/>
          <w:sz w:val="24"/>
          <w:szCs w:val="24"/>
        </w:rPr>
        <w:t xml:space="preserve">. </w:t>
      </w:r>
      <w:r w:rsidR="00A65AA5">
        <w:rPr>
          <w:rFonts w:ascii="Times New Roman" w:eastAsia="SimSun" w:hAnsi="Times New Roman" w:cs="Times New Roman"/>
          <w:sz w:val="24"/>
          <w:szCs w:val="24"/>
        </w:rPr>
        <w:tab/>
      </w:r>
      <w:r w:rsidRPr="00EF741F">
        <w:rPr>
          <w:rFonts w:ascii="Times New Roman" w:eastAsia="SimSun" w:hAnsi="Times New Roman" w:cs="Times New Roman"/>
          <w:sz w:val="24"/>
          <w:szCs w:val="24"/>
        </w:rPr>
        <w:t>Deville et al. (2014) studied the impact of CAC 40 ETFs on spot and futures pricing and liquidity.</w:t>
      </w:r>
    </w:p>
    <w:p w14:paraId="0D602B84" w14:textId="6D9AEAC1" w:rsidR="00EF741F" w:rsidRPr="00A65AA5" w:rsidRDefault="00EF741F" w:rsidP="00A65AA5">
      <w:pPr>
        <w:spacing w:line="480" w:lineRule="auto"/>
        <w:ind w:left="720" w:hanging="720"/>
        <w:jc w:val="both"/>
        <w:rPr>
          <w:iCs/>
          <w:color w:val="000000" w:themeColor="text1"/>
          <w:lang w:val="en-US"/>
        </w:rPr>
      </w:pPr>
      <w:r w:rsidRPr="00A65AA5">
        <w:rPr>
          <w:rStyle w:val="EndnoteReference"/>
          <w:vertAlign w:val="baseline"/>
        </w:rPr>
        <w:t>11</w:t>
      </w:r>
      <w:r w:rsidR="00A65AA5">
        <w:t>.</w:t>
      </w:r>
      <w:r w:rsidRPr="00EF741F">
        <w:t xml:space="preserve"> </w:t>
      </w:r>
      <w:r w:rsidR="00A65AA5">
        <w:tab/>
      </w:r>
      <w:r w:rsidRPr="00EF741F">
        <w:rPr>
          <w:iCs/>
          <w:color w:val="000000" w:themeColor="text1"/>
          <w:lang w:val="en-US"/>
        </w:rPr>
        <w:t xml:space="preserve">Our dataset only comprises the last trading day of 2013 and it would be useful if we can extend it to the most recent period. However, we are constrained by data availability from the data vendor. We notice </w:t>
      </w:r>
      <w:r w:rsidRPr="00EF741F">
        <w:rPr>
          <w:color w:val="000000" w:themeColor="text1"/>
          <w:lang w:val="en-US"/>
        </w:rPr>
        <w:t>most recent literature on this topic such as Ivanov (2013) and Ivanov et al. (2013) are also only able to cover a few months of data in 2009.</w:t>
      </w:r>
      <w:r w:rsidRPr="00EF741F">
        <w:rPr>
          <w:rFonts w:eastAsiaTheme="minorHAnsi"/>
          <w:iCs/>
          <w:color w:val="000000" w:themeColor="text1"/>
          <w:lang w:val="en-US" w:eastAsia="en-US"/>
        </w:rPr>
        <w:t xml:space="preserve"> </w:t>
      </w:r>
      <w:r w:rsidRPr="00EF741F">
        <w:rPr>
          <w:iCs/>
          <w:color w:val="000000" w:themeColor="text1"/>
          <w:lang w:val="en-US"/>
        </w:rPr>
        <w:t xml:space="preserve">In contrast, our study has contained four years of data at 5-minute intervals for nine series, covering three types of instruments across three markets. </w:t>
      </w:r>
    </w:p>
    <w:p w14:paraId="5DC8BB7E" w14:textId="53AB4C4C" w:rsidR="00EF741F" w:rsidRPr="00EF741F" w:rsidRDefault="00EF741F" w:rsidP="00A65AA5">
      <w:pPr>
        <w:pStyle w:val="EndnoteText"/>
        <w:spacing w:line="480" w:lineRule="auto"/>
        <w:ind w:left="720" w:hanging="720"/>
        <w:jc w:val="left"/>
        <w:rPr>
          <w:rFonts w:ascii="Times New Roman" w:hAnsi="Times New Roman" w:cs="Times New Roman"/>
          <w:sz w:val="24"/>
          <w:szCs w:val="24"/>
          <w:lang w:val="en-GB"/>
        </w:rPr>
      </w:pPr>
      <w:r w:rsidRPr="00A65AA5">
        <w:rPr>
          <w:rStyle w:val="EndnoteReference"/>
          <w:rFonts w:ascii="Times New Roman" w:hAnsi="Times New Roman" w:cs="Times New Roman"/>
          <w:sz w:val="24"/>
          <w:szCs w:val="24"/>
          <w:vertAlign w:val="baseline"/>
        </w:rPr>
        <w:t>12</w:t>
      </w:r>
      <w:r w:rsidR="00A65AA5">
        <w:rPr>
          <w:rFonts w:ascii="Times New Roman" w:hAnsi="Times New Roman" w:cs="Times New Roman"/>
          <w:sz w:val="24"/>
          <w:szCs w:val="24"/>
          <w:lang w:val="en-GB"/>
        </w:rPr>
        <w:t>.</w:t>
      </w:r>
      <w:r w:rsidRPr="00A65AA5">
        <w:rPr>
          <w:rFonts w:ascii="Times New Roman" w:hAnsi="Times New Roman" w:cs="Times New Roman"/>
          <w:sz w:val="24"/>
          <w:szCs w:val="24"/>
          <w:lang w:val="en-GB"/>
        </w:rPr>
        <w:t xml:space="preserve"> </w:t>
      </w:r>
      <w:r w:rsidR="00A65AA5">
        <w:rPr>
          <w:rFonts w:ascii="Times New Roman" w:hAnsi="Times New Roman" w:cs="Times New Roman"/>
          <w:sz w:val="24"/>
          <w:szCs w:val="24"/>
          <w:lang w:val="en-GB"/>
        </w:rPr>
        <w:tab/>
      </w:r>
      <w:r w:rsidRPr="00EF741F">
        <w:rPr>
          <w:rFonts w:ascii="Times New Roman" w:hAnsi="Times New Roman" w:cs="Times New Roman"/>
          <w:sz w:val="24"/>
          <w:szCs w:val="24"/>
          <w:lang w:val="en-GB"/>
        </w:rPr>
        <w:t>The reason for the inclusion of iShare and Lyxor ETFs is that these come under the top five largest providers of ETFs, and taken together, they representing 76.1% of the market share. The five largest providers of ETF include iShares, db xdb ETC, Lyxor AM, UBS ETFS, and Amundi ETF. (https://www2.deloitte.com/content/dam/Deloitte/lu/Documents/financial-services/performancemagazine/articles/lu_growth-etf-in-europe-012017.pdf)</w:t>
      </w:r>
    </w:p>
    <w:p w14:paraId="0841B63E" w14:textId="33FB885E" w:rsidR="00EF741F" w:rsidRPr="00EF741F" w:rsidRDefault="00EF741F" w:rsidP="00A65AA5">
      <w:pPr>
        <w:pStyle w:val="p2"/>
        <w:spacing w:line="480" w:lineRule="auto"/>
        <w:ind w:left="720" w:hanging="720"/>
        <w:jc w:val="both"/>
        <w:rPr>
          <w:rFonts w:ascii="Times New Roman" w:hAnsi="Times New Roman"/>
          <w:sz w:val="24"/>
          <w:szCs w:val="24"/>
        </w:rPr>
      </w:pPr>
      <w:r w:rsidRPr="00A65AA5">
        <w:rPr>
          <w:rStyle w:val="EndnoteReference"/>
          <w:rFonts w:ascii="Times New Roman" w:hAnsi="Times New Roman"/>
          <w:sz w:val="24"/>
          <w:szCs w:val="24"/>
          <w:vertAlign w:val="baseline"/>
        </w:rPr>
        <w:t>13</w:t>
      </w:r>
      <w:r w:rsidR="00A65AA5">
        <w:rPr>
          <w:rFonts w:ascii="Times New Roman" w:hAnsi="Times New Roman"/>
          <w:sz w:val="24"/>
          <w:szCs w:val="24"/>
        </w:rPr>
        <w:t>.</w:t>
      </w:r>
      <w:r w:rsidRPr="00EF741F">
        <w:rPr>
          <w:rFonts w:ascii="Times New Roman" w:hAnsi="Times New Roman"/>
          <w:sz w:val="24"/>
          <w:szCs w:val="24"/>
        </w:rPr>
        <w:t xml:space="preserve"> </w:t>
      </w:r>
      <w:r w:rsidR="00A65AA5">
        <w:rPr>
          <w:rFonts w:ascii="Times New Roman" w:hAnsi="Times New Roman"/>
          <w:sz w:val="24"/>
          <w:szCs w:val="24"/>
        </w:rPr>
        <w:tab/>
      </w:r>
      <w:r w:rsidRPr="00EF741F">
        <w:rPr>
          <w:rFonts w:ascii="Times New Roman" w:hAnsi="Times New Roman"/>
          <w:kern w:val="2"/>
          <w:sz w:val="24"/>
          <w:szCs w:val="24"/>
          <w:lang w:val="en-US"/>
        </w:rPr>
        <w:t xml:space="preserve">The empirical applications of the common factor weight method can be found in </w:t>
      </w:r>
      <w:r w:rsidRPr="00DA34A1">
        <w:rPr>
          <w:rFonts w:ascii="Times New Roman" w:hAnsi="Times New Roman"/>
          <w:kern w:val="2"/>
          <w:sz w:val="24"/>
          <w:szCs w:val="24"/>
          <w:lang w:val="en-US"/>
        </w:rPr>
        <w:t xml:space="preserve">Booth et al. (1999), Chu et al. (1999), </w:t>
      </w:r>
      <w:r w:rsidRPr="009E73B5">
        <w:rPr>
          <w:rFonts w:ascii="Times New Roman" w:hAnsi="Times New Roman"/>
          <w:kern w:val="2"/>
          <w:sz w:val="24"/>
          <w:szCs w:val="24"/>
          <w:lang w:val="en-US"/>
        </w:rPr>
        <w:t xml:space="preserve">and </w:t>
      </w:r>
      <w:r w:rsidR="006C598B" w:rsidRPr="009E73B5">
        <w:rPr>
          <w:rFonts w:ascii="Times New Roman" w:hAnsi="Times New Roman"/>
          <w:kern w:val="2"/>
          <w:sz w:val="24"/>
          <w:szCs w:val="24"/>
          <w:lang w:val="en-US"/>
        </w:rPr>
        <w:t>Harris et al. (2002b</w:t>
      </w:r>
      <w:r w:rsidRPr="009E73B5">
        <w:rPr>
          <w:rFonts w:ascii="Times New Roman" w:hAnsi="Times New Roman"/>
          <w:kern w:val="2"/>
          <w:sz w:val="24"/>
          <w:szCs w:val="24"/>
          <w:lang w:val="en-US"/>
        </w:rPr>
        <w:t>).</w:t>
      </w:r>
    </w:p>
    <w:p w14:paraId="7CF391D8" w14:textId="1538F00A" w:rsidR="00EF741F" w:rsidRPr="00A65AA5" w:rsidRDefault="00EF741F" w:rsidP="00A65AA5">
      <w:pPr>
        <w:autoSpaceDE w:val="0"/>
        <w:autoSpaceDN w:val="0"/>
        <w:adjustRightInd w:val="0"/>
        <w:spacing w:after="240" w:line="480" w:lineRule="auto"/>
        <w:ind w:left="720" w:hanging="720"/>
        <w:contextualSpacing/>
        <w:jc w:val="both"/>
        <w:rPr>
          <w:rFonts w:ascii="Times" w:hAnsi="Times"/>
          <w:kern w:val="2"/>
          <w:lang w:val="en-US"/>
        </w:rPr>
      </w:pPr>
      <w:r w:rsidRPr="00A65AA5">
        <w:rPr>
          <w:rStyle w:val="EndnoteReference"/>
          <w:vertAlign w:val="baseline"/>
        </w:rPr>
        <w:t>14</w:t>
      </w:r>
      <w:r w:rsidR="00A65AA5">
        <w:t>.</w:t>
      </w:r>
      <w:r w:rsidR="00A65AA5">
        <w:tab/>
      </w:r>
      <w:r w:rsidRPr="00EF741F">
        <w:t xml:space="preserve"> </w:t>
      </w:r>
      <w:r w:rsidRPr="00EF741F">
        <w:rPr>
          <w:lang w:val="en-US"/>
        </w:rPr>
        <w:fldChar w:fldCharType="begin"/>
      </w:r>
      <w:r w:rsidRPr="00EF741F">
        <w:rPr>
          <w:lang w:val="en-US"/>
        </w:rPr>
        <w:instrText xml:space="preserve"> QUOTE </w:instrText>
      </w:r>
      <w:r w:rsidR="001C0554">
        <w:rPr>
          <w:noProof/>
          <w:position w:val="-8"/>
        </w:rPr>
        <w:pict w14:anchorId="6DEF1643">
          <v:shape id="_x0000_i1141" type="#_x0000_t75" alt="" style="width:163pt;height:17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23C8&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0C23C8&quot; wsp:rsidP=&quot;000C23C8&quot;&gt;&lt;m:oMathPara&gt;&lt;m:oMath&gt;&lt;m:sSub&gt;&lt;m:sSubPr&gt;&lt;m:ctrlPr&gt;&lt;aml:annotation aml:id=&quot;0&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S&lt;/m:t&gt;&lt;/m:r&gt;&lt;/aml:content&gt;&lt;/aml:annotation&gt;&lt;/m:e&gt;&lt;m:sub&gt;&lt;aml:annotation aml:id=&quot;2&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ij&lt;/m:t&gt;&lt;/m:r&gt;&lt;/aml:content&gt;&lt;/aml:annotation&gt;&lt;/m:sub&gt;&lt;/m:sSub&gt;&lt;aml:annotation aml:id=&quot;3&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lt;/m:t&gt;&lt;/m:r&gt;&lt;/aml:content&gt;&lt;/aml:annotation&gt;&lt;m:sSup&gt;&lt;m:sSupPr&gt;&lt;m:ctrlPr&gt;&lt;aml:annotation aml:id=&quot;4&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pPr&gt;&lt;m:e&gt;&lt;aml:annotation aml:id=&quot;5&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lt;/m:t&gt;&lt;/m:r&gt;&lt;/aml:content&gt;&lt;/aml:annotation&gt;&lt;/m:e&gt;&lt;m:sup&gt;&lt;aml:annotation aml:id=&quot;6&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1&lt;/m:t&gt;&lt;/m:r&gt;&lt;/aml:content&gt;&lt;/aml:annotation&gt;&lt;/m:sup&gt;&lt;/m:sSup&gt;&lt;m:nary&gt;&lt;m:naryPr&gt;&lt;m:chr m:val=&quot;‚àë&quot;/&gt;&lt;m:limLoc m:val=&quot;undOvr&quot;/&gt;&lt;m:ctrlPr&gt;&lt;aml:annotation aml:id=&quot;7&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naryPr&gt;&lt;m:sub&gt;&lt;aml:annotation aml:id=&quot;8&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1&lt;/m:t&gt;&lt;/m:r&gt;&lt;/aml:content&gt;&lt;/aml:annotation&gt;&lt;/m:sub&gt;&lt;m:sup&gt;&lt;aml:annotation aml:id=&quot;9&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lt;/m:t&gt;&lt;/m:r&gt;&lt;/aml:content&gt;&lt;/aml:annotation&gt;&lt;/m:sup&gt;&lt;m:e&gt;&lt;m:sSub&gt;&lt;m:sSubPr&gt;&lt;m:ctrlPr&gt;&lt;aml:annotation aml:id=&quot;10&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Pr&gt;&lt;m:e&gt;&lt;aml:annotation aml:id=&quot;11&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R&lt;/m:t&gt;&lt;/m:r&gt;&lt;/aml:content&gt;&lt;/aml:annotation&gt;&lt;/m:e&gt;&lt;m:sub&gt;&lt;aml:annotation aml:id=&quot;12&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it&lt;/m:t&gt;&lt;/m:r&gt;&lt;/aml:content&gt;&lt;/aml:annotation&gt;&lt;/m:sub&gt;&lt;/m:sSub&gt;&lt;m:sSubSup&gt;&lt;m:sSubSupPr&gt;&lt;m:ctrlPr&gt;&lt;aml:annotation aml:id=&quot;13&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SupPr&gt;&lt;m:e&gt;&lt;aml:annotation aml:id=&quot;14&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R&lt;/m:t&gt;&lt;/m:r&gt;&lt;/aml:content&gt;&lt;/aml:annotation&gt;&lt;/m:e&gt;&lt;m:sub&gt;&lt;aml:annotation aml:id=&quot;15&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jt&lt;/m:t&gt;&lt;/m:r&gt;&lt;/aml:content&gt;&lt;/aml:annotation&gt;&lt;/m:sub&gt;&lt;m:sup&gt;&lt;aml:annotation aml:id=&quot;16&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lt;/m:t&gt;&lt;/m:r&gt;&lt;/aml:content&gt;&lt;/aml:annotation&gt;&lt;/m:sup&gt;&lt;/m:sSubSup&gt;&lt;/m:e&gt;&lt;/m:nary&gt;&lt;aml:annotation aml:id=&quot;17&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  i, j=0,1.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EF741F">
        <w:rPr>
          <w:lang w:val="en-US"/>
        </w:rPr>
        <w:instrText xml:space="preserve"> </w:instrText>
      </w:r>
      <w:r w:rsidRPr="00EF741F">
        <w:rPr>
          <w:lang w:val="en-US"/>
        </w:rPr>
        <w:fldChar w:fldCharType="separate"/>
      </w:r>
      <w:r w:rsidR="001C0554">
        <w:rPr>
          <w:noProof/>
          <w:position w:val="-8"/>
        </w:rPr>
        <w:pict w14:anchorId="6FB1C378">
          <v:shape id="_x0000_i1142" type="#_x0000_t75" alt="" style="width:163pt;height:17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23C8&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0C23C8&quot; wsp:rsidP=&quot;000C23C8&quot;&gt;&lt;m:oMathPara&gt;&lt;m:oMath&gt;&lt;m:sSub&gt;&lt;m:sSubPr&gt;&lt;m:ctrlPr&gt;&lt;aml:annotation aml:id=&quot;0&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Pr&gt;&lt;m:e&gt;&lt;aml:annotation aml:id=&quot;1&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S&lt;/m:t&gt;&lt;/m:r&gt;&lt;/aml:content&gt;&lt;/aml:annotation&gt;&lt;/m:e&gt;&lt;m:sub&gt;&lt;aml:annotation aml:id=&quot;2&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ij&lt;/m:t&gt;&lt;/m:r&gt;&lt;/aml:content&gt;&lt;/aml:annotation&gt;&lt;/m:sub&gt;&lt;/m:sSub&gt;&lt;aml:annotation aml:id=&quot;3&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lt;/m:t&gt;&lt;/m:r&gt;&lt;/aml:content&gt;&lt;/aml:annotation&gt;&lt;m:sSup&gt;&lt;m:sSupPr&gt;&lt;m:ctrlPr&gt;&lt;aml:annotation aml:id=&quot;4&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pPr&gt;&lt;m:e&gt;&lt;aml:annotation aml:id=&quot;5&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lt;/m:t&gt;&lt;/m:r&gt;&lt;/aml:content&gt;&lt;/aml:annotation&gt;&lt;/m:e&gt;&lt;m:sup&gt;&lt;aml:annotation aml:id=&quot;6&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1&lt;/m:t&gt;&lt;/m:r&gt;&lt;/aml:content&gt;&lt;/aml:annotation&gt;&lt;/m:sup&gt;&lt;/m:sSup&gt;&lt;m:nary&gt;&lt;m:naryPr&gt;&lt;m:chr m:val=&quot;‚àë&quot;/&gt;&lt;m:limLoc m:val=&quot;undOvr&quot;/&gt;&lt;m:ctrlPr&gt;&lt;aml:annotation aml:id=&quot;7&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naryPr&gt;&lt;m:sub&gt;&lt;aml:annotation aml:id=&quot;8&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1&lt;/m:t&gt;&lt;/m:r&gt;&lt;/aml:content&gt;&lt;/aml:annotation&gt;&lt;/m:sub&gt;&lt;m:sup&gt;&lt;aml:annotation aml:id=&quot;9&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T&lt;/m:t&gt;&lt;/m:r&gt;&lt;/aml:content&gt;&lt;/aml:annotation&gt;&lt;/m:sup&gt;&lt;m:e&gt;&lt;m:sSub&gt;&lt;m:sSubPr&gt;&lt;m:ctrlPr&gt;&lt;aml:annotation aml:id=&quot;10&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Pr&gt;&lt;m:e&gt;&lt;aml:annotation aml:id=&quot;11&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R&lt;/m:t&gt;&lt;/m:r&gt;&lt;/aml:content&gt;&lt;/aml:annotation&gt;&lt;/m:e&gt;&lt;m:sub&gt;&lt;aml:annotation aml:id=&quot;12&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it&lt;/m:t&gt;&lt;/m:r&gt;&lt;/aml:content&gt;&lt;/aml:annotation&gt;&lt;/m:sub&gt;&lt;/m:sSub&gt;&lt;m:sSubSup&gt;&lt;m:sSubSupPr&gt;&lt;m:ctrlPr&gt;&lt;aml:annotation aml:id=&quot;13&quot; w:type=&quot;Word.Insertion&quot; aml:author=&quot;Microsoft Office User&quot; aml:createdate=&quot;2017-05-26T11:51:00Z&quot;&gt;&lt;aml:content&gt;&lt;w:rPr&gt;&lt;w:rFonts w:ascii=&quot;Cambria Math&quot; w:h-ansi=&quot;Cambria Math&quot;/&gt;&lt;wx:font wx:val=&quot;Cambria Math&quot;/&gt;&lt;w:i/&gt;&lt;w:kern w:val=&quot;2&quot;/&gt;&lt;w:lang w:val=&quot;EN-US&quot;/&gt;&lt;/w:rPr&gt;&lt;/aml:content&gt;&lt;/aml:annotation&gt;&lt;/m:ctrlPr&gt;&lt;/m:sSubSupPr&gt;&lt;m:e&gt;&lt;aml:annotation aml:id=&quot;14&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R&lt;/m:t&gt;&lt;/m:r&gt;&lt;/aml:content&gt;&lt;/aml:annotation&gt;&lt;/m:e&gt;&lt;m:sub&gt;&lt;aml:annotation aml:id=&quot;15&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jt&lt;/m:t&gt;&lt;/m:r&gt;&lt;/aml:content&gt;&lt;/aml:annotation&gt;&lt;/m:sub&gt;&lt;m:sup&gt;&lt;aml:annotation aml:id=&quot;16&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lt;/m:t&gt;&lt;/m:r&gt;&lt;/aml:content&gt;&lt;/aml:annotation&gt;&lt;/m:sup&gt;&lt;/m:sSubSup&gt;&lt;/m:e&gt;&lt;/m:nary&gt;&lt;aml:annotation aml:id=&quot;17&quot; w:type=&quot;Word.Insertion&quot; aml:author=&quot;Microsoft Office User&quot; aml:createdate=&quot;2017-05-26T11:51:00Z&quot;&gt;&lt;aml:content&gt;&lt;m:r&gt;&lt;w:rPr&gt;&lt;w:rFonts w:ascii=&quot;Cambria Math&quot; w:h-ansi=&quot;Cambria Math&quot;/&gt;&lt;wx:font wx:val=&quot;Cambria Math&quot;/&gt;&lt;w:i/&gt;&lt;w:kern w:val=&quot;2&quot;/&gt;&lt;w:lang w:val=&quot;EN-US&quot;/&gt;&lt;/w:rPr&gt;&lt;m:t&gt;,  i, j=0,1.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EF741F">
        <w:rPr>
          <w:lang w:val="en-US"/>
        </w:rPr>
        <w:fldChar w:fldCharType="end"/>
      </w:r>
      <w:r w:rsidRPr="00EF741F">
        <w:rPr>
          <w:lang w:val="en-US"/>
        </w:rPr>
        <w:t xml:space="preserve"> It captures the residuals</w:t>
      </w:r>
      <w:r w:rsidRPr="00BA46DD">
        <w:rPr>
          <w:rFonts w:ascii="Times" w:hAnsi="Times"/>
          <w:lang w:val="en-US"/>
        </w:rPr>
        <w:t xml:space="preserve"> R from regressing </w:t>
      </w:r>
      <w:r w:rsidRPr="00673A9F">
        <w:rPr>
          <w:rFonts w:ascii="Times" w:hAnsi="Times"/>
          <w:lang w:val="en-US"/>
        </w:rPr>
        <w:fldChar w:fldCharType="begin"/>
      </w:r>
      <w:r w:rsidRPr="00673A9F">
        <w:rPr>
          <w:rFonts w:ascii="Times" w:hAnsi="Times"/>
          <w:lang w:val="en-US"/>
        </w:rPr>
        <w:instrText xml:space="preserve"> QUOTE </w:instrText>
      </w:r>
      <w:r w:rsidR="001C0554">
        <w:rPr>
          <w:noProof/>
          <w:position w:val="-6"/>
        </w:rPr>
        <w:pict w14:anchorId="6FE8415F">
          <v:shape id="_x0000_i1143" type="#_x0000_t75" alt="" style="width:19.5pt;height:14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1CCC&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411CCC&quot; wsp:rsidP=&quot;00411CCC&quot;&gt;&lt;aml:annotation aml:id=&quot;0&quot; w:type=&quot;Word.Insertion&quot; aml:author=&quot;Microsoft Office User&quot; aml:createdate=&quot;2017-05-26T11:51:00Z&quot;&gt;&lt;aml:content&gt;&lt;m:oMathPara&gt;&lt;m:oMath&gt;&lt;m:r&gt;&lt;w:rPr&gt;&lt;w:rFonts w:ascii=&quot;Cambria Math&quot; w:h-ansi=&quot;Cambria Math&quot;/&gt;&lt;wx:font wx:val=&quot;Cambria Math&quot;/&gt;&lt;w:i/&gt;&lt;w:lang w:val=&quot;EN-US&quot;/&gt;&lt;/w:rPr&gt;&lt;m:t&gt;‚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lt;/m:t&gt;&lt;/m:r&gt;&lt;/m:sub&gt;&lt;/m:sSub&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673A9F">
        <w:rPr>
          <w:rFonts w:ascii="Times" w:hAnsi="Times"/>
          <w:lang w:val="en-US"/>
        </w:rPr>
        <w:instrText xml:space="preserve"> </w:instrText>
      </w:r>
      <w:r w:rsidRPr="00673A9F">
        <w:rPr>
          <w:rFonts w:ascii="Times" w:hAnsi="Times"/>
          <w:lang w:val="en-US"/>
        </w:rPr>
        <w:fldChar w:fldCharType="separate"/>
      </w:r>
      <w:r w:rsidR="001C0554">
        <w:rPr>
          <w:noProof/>
          <w:position w:val="-6"/>
        </w:rPr>
        <w:pict w14:anchorId="39DE860B">
          <v:shape id="_x0000_i1144" type="#_x0000_t75" alt="" style="width:19.5pt;height:14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1CCC&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411CCC&quot; wsp:rsidP=&quot;00411CCC&quot;&gt;&lt;aml:annotation aml:id=&quot;0&quot; w:type=&quot;Word.Insertion&quot; aml:author=&quot;Microsoft Office User&quot; aml:createdate=&quot;2017-05-26T11:51:00Z&quot;&gt;&lt;aml:content&gt;&lt;m:oMathPara&gt;&lt;m:oMath&gt;&lt;m:r&gt;&lt;w:rPr&gt;&lt;w:rFonts w:ascii=&quot;Cambria Math&quot; w:h-ansi=&quot;Cambria Math&quot;/&gt;&lt;wx:font wx:val=&quot;Cambria Math&quot;/&gt;&lt;w:i/&gt;&lt;w:lang w:val=&quot;EN-US&quot;/&gt;&lt;/w:rPr&gt;&lt;m:t&gt;‚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lt;/m:t&gt;&lt;/m:r&gt;&lt;/m:sub&gt;&lt;/m:sSub&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673A9F">
        <w:rPr>
          <w:rFonts w:ascii="Times" w:hAnsi="Times"/>
          <w:lang w:val="en-US"/>
        </w:rPr>
        <w:fldChar w:fldCharType="end"/>
      </w:r>
      <w:r w:rsidRPr="00BA46DD">
        <w:rPr>
          <w:rFonts w:ascii="Times" w:hAnsi="Times"/>
          <w:lang w:val="en-US"/>
        </w:rPr>
        <w:t xml:space="preserve"> and </w:t>
      </w:r>
      <w:r w:rsidRPr="00673A9F">
        <w:rPr>
          <w:rFonts w:ascii="Times" w:hAnsi="Times"/>
          <w:lang w:val="en-US"/>
        </w:rPr>
        <w:fldChar w:fldCharType="begin"/>
      </w:r>
      <w:r w:rsidRPr="00673A9F">
        <w:rPr>
          <w:rFonts w:ascii="Times" w:hAnsi="Times"/>
          <w:lang w:val="en-US"/>
        </w:rPr>
        <w:instrText xml:space="preserve"> QUOTE </w:instrText>
      </w:r>
      <w:r w:rsidR="001C0554">
        <w:rPr>
          <w:noProof/>
          <w:position w:val="-6"/>
        </w:rPr>
        <w:pict w14:anchorId="310FB979">
          <v:shape id="_x0000_i1145" type="#_x0000_t75" alt="" style="width:19.5pt;height:14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5C3C&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AA5C3C&quot; wsp:rsidP=&quot;00AA5C3C&quot;&gt;&lt;m:oMathPara&gt;&lt;m:oMath&gt;&lt;m:sSub&gt;&lt;m:sSubPr&gt;&lt;m:ctrlPr&gt;&lt;aml:annotation aml:id=&quot;0&quot; w:type=&quot;Word.Insertion&quot; aml:author=&quot;Microsoft Office User&quot; aml:createdate=&quot;2017-05-26T11:51:00Z&quot;&gt;&lt;aml:content&gt;&lt;w:rPr&gt;&lt;w:rFonts w:ascii=&quot;Cambria Math&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6T11:51:00Z&quot;&gt;&lt;aml:content&gt;&lt;m:r&gt;&lt;w:rPr&gt;&lt;w:rFonts w:ascii=&quot;Cambria Math&quot; w:h-ansi=&quot;Cambria Math&quot;/&gt;&lt;wx:font wx:val=&quot;Cambria Math&quot;/&gt;&lt;w:i/&gt;&lt;w:lang w:val=&quot;EN-US&quot;/&gt;&lt;/w:rPr&gt;&lt;m:t&gt;P&lt;/m:t&gt;&lt;/m:r&gt;&lt;/aml:content&gt;&lt;/aml:annotation&gt;&lt;/m:e&gt;&lt;m:sub&gt;&lt;aml:annotation aml:id=&quot;2&quot; w:type=&quot;Word.Insertion&quot; aml:author=&quot;Microsoft Office User&quot; aml:createdate=&quot;2017-05-26T11:51:00Z&quot;&gt;&lt;aml:content&gt;&lt;m:r&gt;&lt;w:rPr&gt;&lt;w:rFonts w:ascii=&quot;Cambria Math&quot; w:h-ansi=&quot;Cambria Math&quot;/&gt;&lt;wx:font wx:val=&quot;Cambria Math&quot;/&gt;&lt;w:i/&gt;&lt;w:lang w:val=&quot;EN-US&quot;/&gt;&lt;/w:rPr&gt;&lt;m:t&gt;t-1&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673A9F">
        <w:rPr>
          <w:rFonts w:ascii="Times" w:hAnsi="Times"/>
          <w:lang w:val="en-US"/>
        </w:rPr>
        <w:instrText xml:space="preserve"> </w:instrText>
      </w:r>
      <w:r w:rsidRPr="00673A9F">
        <w:rPr>
          <w:rFonts w:ascii="Times" w:hAnsi="Times"/>
          <w:lang w:val="en-US"/>
        </w:rPr>
        <w:fldChar w:fldCharType="separate"/>
      </w:r>
      <w:r w:rsidR="001C0554">
        <w:rPr>
          <w:noProof/>
          <w:position w:val="-6"/>
        </w:rPr>
        <w:pict w14:anchorId="080679C8">
          <v:shape id="_x0000_i1146" type="#_x0000_t75" alt="" style="width:19.5pt;height:14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5C3C&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AA5C3C&quot; wsp:rsidP=&quot;00AA5C3C&quot;&gt;&lt;m:oMathPara&gt;&lt;m:oMath&gt;&lt;m:sSub&gt;&lt;m:sSubPr&gt;&lt;m:ctrlPr&gt;&lt;aml:annotation aml:id=&quot;0&quot; w:type=&quot;Word.Insertion&quot; aml:author=&quot;Microsoft Office User&quot; aml:createdate=&quot;2017-05-26T11:51:00Z&quot;&gt;&lt;aml:content&gt;&lt;w:rPr&gt;&lt;w:rFonts w:ascii=&quot;Cambria Math&quot; w:h-ansi=&quot;Cambria Math&quot;/&gt;&lt;wx:font wx:val=&quot;Cambria Math&quot;/&gt;&lt;w:i/&gt;&lt;w:lang w:val=&quot;EN-US&quot;/&gt;&lt;/w:rPr&gt;&lt;/aml:content&gt;&lt;/aml:annotation&gt;&lt;/m:ctrlPr&gt;&lt;/m:sSubPr&gt;&lt;m:e&gt;&lt;aml:annotation aml:id=&quot;1&quot; w:type=&quot;Word.Insertion&quot; aml:author=&quot;Microsoft Office User&quot; aml:createdate=&quot;2017-05-26T11:51:00Z&quot;&gt;&lt;aml:content&gt;&lt;m:r&gt;&lt;w:rPr&gt;&lt;w:rFonts w:ascii=&quot;Cambria Math&quot; w:h-ansi=&quot;Cambria Math&quot;/&gt;&lt;wx:font wx:val=&quot;Cambria Math&quot;/&gt;&lt;w:i/&gt;&lt;w:lang w:val=&quot;EN-US&quot;/&gt;&lt;/w:rPr&gt;&lt;m:t&gt;P&lt;/m:t&gt;&lt;/m:r&gt;&lt;/aml:content&gt;&lt;/aml:annotation&gt;&lt;/m:e&gt;&lt;m:sub&gt;&lt;aml:annotation aml:id=&quot;2&quot; w:type=&quot;Word.Insertion&quot; aml:author=&quot;Microsoft Office User&quot; aml:createdate=&quot;2017-05-26T11:51:00Z&quot;&gt;&lt;aml:content&gt;&lt;m:r&gt;&lt;w:rPr&gt;&lt;w:rFonts w:ascii=&quot;Cambria Math&quot; w:h-ansi=&quot;Cambria Math&quot;/&gt;&lt;wx:font wx:val=&quot;Cambria Math&quot;/&gt;&lt;w:i/&gt;&lt;w:lang w:val=&quot;EN-US&quot;/&gt;&lt;/w:rPr&gt;&lt;m:t&gt;t-1&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 o:title="" chromakey="white"/>
          </v:shape>
        </w:pict>
      </w:r>
      <w:r w:rsidRPr="00673A9F">
        <w:rPr>
          <w:rFonts w:ascii="Times" w:hAnsi="Times"/>
          <w:lang w:val="en-US"/>
        </w:rPr>
        <w:fldChar w:fldCharType="end"/>
      </w:r>
      <w:r w:rsidRPr="00BA46DD">
        <w:rPr>
          <w:rFonts w:ascii="Times" w:hAnsi="Times"/>
          <w:lang w:val="en-US"/>
        </w:rPr>
        <w:t xml:space="preserve"> on (</w:t>
      </w:r>
      <w:r w:rsidRPr="00673A9F">
        <w:rPr>
          <w:rFonts w:ascii="Times" w:hAnsi="Times"/>
          <w:lang w:val="en-US"/>
        </w:rPr>
        <w:fldChar w:fldCharType="begin"/>
      </w:r>
      <w:r w:rsidRPr="00673A9F">
        <w:rPr>
          <w:rFonts w:ascii="Times" w:hAnsi="Times"/>
          <w:lang w:val="en-US"/>
        </w:rPr>
        <w:instrText xml:space="preserve"> QUOTE </w:instrText>
      </w:r>
      <w:r w:rsidR="001C0554">
        <w:rPr>
          <w:noProof/>
          <w:position w:val="-8"/>
        </w:rPr>
        <w:pict w14:anchorId="0490B603">
          <v:shape id="_x0000_i1147" type="#_x0000_t75" alt="" style="width:90pt;height:15.5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6B52&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D26B52&quot; wsp:rsidP=&quot;00D26B52&quot;&gt;&lt;aml:annotation aml:id=&quot;0&quot; w:type=&quot;Word.Insertion&quot; aml:author=&quot;Microsoft Office User&quot; aml:createdate=&quot;2017-05-26T11:51:00Z&quot;&gt;&lt;aml:content&gt;&lt;m:oMathPara&gt;&lt;m:oMath&gt;&lt;m:r&gt;&lt;w:rPr&gt;&lt;w:rFonts w:ascii=&quot;Cambria Math&quot; w:h-ansi=&quot;Cambria Math&quot;/&gt;&lt;wx:font wx:val=&quot;Cambria Math&quot;/&gt;&lt;w:i/&gt;&lt;w:lang w:val=&quot;EN-US&quot;/&gt;&lt;/w:rPr&gt;&lt;m:t&gt;‚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1, &lt;/m:t&gt;&lt;/m:r&gt;&lt;/m:sub&gt;&lt;/m:sSub&gt;&lt;m:r&gt;&lt;w:rPr&gt;&lt;w:rFonts w:ascii=&quot;Cambria Math&quot; w:h-ansi=&quot;Cambria Math&quot;/&gt;&lt;wx:font wx:val=&quot;Cambria Math&quot;/&gt;&lt;w:i/&gt;&lt;w:lang w:val=&quot;EN-US&quot;/&gt;&lt;/w:rPr&gt;&lt;m:t&gt;‚Ä¶, ‚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q+1 &lt;/m:t&gt;&lt;/m:r&gt;&lt;/m:sub&gt;&lt;/m:sSub&gt;&lt;m:r&gt;&lt;w:rPr&gt;&lt;w:rFonts w:ascii=&quot;Cambria Math&quot; w:h-ansi=&quot;Cambria Math&quot;/&gt;&lt;wx:font wx:val=&quot;Cambria Math&quot;/&gt;&lt;w:i/&gt;&lt;w:lang w:val=&quot;EN-US&quot;/&gt;&lt;/w:rPr&gt;&lt;m:t&gt;)&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6" o:title="" chromakey="white"/>
          </v:shape>
        </w:pict>
      </w:r>
      <w:r w:rsidRPr="00673A9F">
        <w:rPr>
          <w:rFonts w:ascii="Times" w:hAnsi="Times"/>
          <w:lang w:val="en-US"/>
        </w:rPr>
        <w:instrText xml:space="preserve"> </w:instrText>
      </w:r>
      <w:r w:rsidRPr="00673A9F">
        <w:rPr>
          <w:rFonts w:ascii="Times" w:hAnsi="Times"/>
          <w:lang w:val="en-US"/>
        </w:rPr>
        <w:fldChar w:fldCharType="separate"/>
      </w:r>
      <w:r w:rsidR="001C0554">
        <w:rPr>
          <w:noProof/>
          <w:position w:val="-8"/>
        </w:rPr>
        <w:pict w14:anchorId="74525D53">
          <v:shape id="_x0000_i1148" type="#_x0000_t75" alt="" style="width:90pt;height:15.5pt;mso-width-percent:0;mso-height-percent:0;mso-width-percent:0;mso-height-percent:0" equationxml="&lt;?xml version=&quot;1.0&quot; encoding=&quot;UTF-8&quot; standalone=&quot;yes&quot;?&gt;&#10;&#10;&#10;&#10;&#10;&#10;&#10;&#10;&#10;&#10;&#10;&#10;&#10;&#10;&#10;&#10;&#10;&#10;&#10;&#10;&#10;&#10;&lt;?mso-application progid=&quot;Word.Document&quot;?&gt;&#10;&#10;&#10;&#10;&#10;&#10;&#10;&#10;&#10;&#10;&#10;&#10;&#10;&#10;&#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6&quot;/&gt;&lt;w:doNotEmbedSystemFonts/&gt;&lt;w:hideGrammaticalErrors/&gt;&lt;w:defaultTabStop w:val=&quot;720&quot;/&gt;&lt;w:punctuationKerning/&gt;&lt;w:characterSpacingControl w:val=&quot;DontCompress&quot;/&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6A47D8&quot;/&gt;&lt;wsp:rsid wsp:val=&quot;00000787&quot;/&gt;&lt;wsp:rsid wsp:val=&quot;00000CDA&quot;/&gt;&lt;wsp:rsid wsp:val=&quot;00001C2F&quot;/&gt;&lt;wsp:rsid wsp:val=&quot;00001F63&quot;/&gt;&lt;wsp:rsid wsp:val=&quot;00002A9E&quot;/&gt;&lt;wsp:rsid wsp:val=&quot;00003B29&quot;/&gt;&lt;wsp:rsid wsp:val=&quot;00003CBE&quot;/&gt;&lt;wsp:rsid wsp:val=&quot;000049BA&quot;/&gt;&lt;wsp:rsid wsp:val=&quot;00005532&quot;/&gt;&lt;wsp:rsid wsp:val=&quot;00005601&quot;/&gt;&lt;wsp:rsid wsp:val=&quot;000059D2&quot;/&gt;&lt;wsp:rsid wsp:val=&quot;000063D6&quot;/&gt;&lt;wsp:rsid wsp:val=&quot;0000722E&quot;/&gt;&lt;wsp:rsid wsp:val=&quot;00007559&quot;/&gt;&lt;wsp:rsid wsp:val=&quot;0000758F&quot;/&gt;&lt;wsp:rsid wsp:val=&quot;00007D0C&quot;/&gt;&lt;wsp:rsid wsp:val=&quot;000104AE&quot;/&gt;&lt;wsp:rsid wsp:val=&quot;00010A61&quot;/&gt;&lt;wsp:rsid wsp:val=&quot;00010FF8&quot;/&gt;&lt;wsp:rsid wsp:val=&quot;00011FD4&quot;/&gt;&lt;wsp:rsid wsp:val=&quot;00012125&quot;/&gt;&lt;wsp:rsid wsp:val=&quot;00012B53&quot;/&gt;&lt;wsp:rsid wsp:val=&quot;0001744C&quot;/&gt;&lt;wsp:rsid wsp:val=&quot;00017794&quot;/&gt;&lt;wsp:rsid wsp:val=&quot;00017860&quot;/&gt;&lt;wsp:rsid wsp:val=&quot;00020E06&quot;/&gt;&lt;wsp:rsid wsp:val=&quot;00021514&quot;/&gt;&lt;wsp:rsid wsp:val=&quot;00022366&quot;/&gt;&lt;wsp:rsid wsp:val=&quot;00022840&quot;/&gt;&lt;wsp:rsid wsp:val=&quot;00023B1B&quot;/&gt;&lt;wsp:rsid wsp:val=&quot;000240D9&quot;/&gt;&lt;wsp:rsid wsp:val=&quot;00024A23&quot;/&gt;&lt;wsp:rsid wsp:val=&quot;00026B3A&quot;/&gt;&lt;wsp:rsid wsp:val=&quot;00026FD5&quot;/&gt;&lt;wsp:rsid wsp:val=&quot;00027B07&quot;/&gt;&lt;wsp:rsid wsp:val=&quot;00027C26&quot;/&gt;&lt;wsp:rsid wsp:val=&quot;00027E19&quot;/&gt;&lt;wsp:rsid wsp:val=&quot;000316D1&quot;/&gt;&lt;wsp:rsid wsp:val=&quot;000322B0&quot;/&gt;&lt;wsp:rsid wsp:val=&quot;00032B79&quot;/&gt;&lt;wsp:rsid wsp:val=&quot;0003398C&quot;/&gt;&lt;wsp:rsid wsp:val=&quot;000342F3&quot;/&gt;&lt;wsp:rsid wsp:val=&quot;00034E0C&quot;/&gt;&lt;wsp:rsid wsp:val=&quot;0004144F&quot;/&gt;&lt;wsp:rsid wsp:val=&quot;00041828&quot;/&gt;&lt;wsp:rsid wsp:val=&quot;00042B5D&quot;/&gt;&lt;wsp:rsid wsp:val=&quot;00043C72&quot;/&gt;&lt;wsp:rsid wsp:val=&quot;00044008&quot;/&gt;&lt;wsp:rsid wsp:val=&quot;00044CBF&quot;/&gt;&lt;wsp:rsid wsp:val=&quot;00045825&quot;/&gt;&lt;wsp:rsid wsp:val=&quot;00045883&quot;/&gt;&lt;wsp:rsid wsp:val=&quot;00045D9D&quot;/&gt;&lt;wsp:rsid wsp:val=&quot;00045DEE&quot;/&gt;&lt;wsp:rsid wsp:val=&quot;00047A97&quot;/&gt;&lt;wsp:rsid wsp:val=&quot;00047BCA&quot;/&gt;&lt;wsp:rsid wsp:val=&quot;000515F6&quot;/&gt;&lt;wsp:rsid wsp:val=&quot;00051CE7&quot;/&gt;&lt;wsp:rsid wsp:val=&quot;00052141&quot;/&gt;&lt;wsp:rsid wsp:val=&quot;00053344&quot;/&gt;&lt;wsp:rsid wsp:val=&quot;00054840&quot;/&gt;&lt;wsp:rsid wsp:val=&quot;00056172&quot;/&gt;&lt;wsp:rsid wsp:val=&quot;00056783&quot;/&gt;&lt;wsp:rsid wsp:val=&quot;00056FD6&quot;/&gt;&lt;wsp:rsid wsp:val=&quot;000576C4&quot;/&gt;&lt;wsp:rsid wsp:val=&quot;00057995&quot;/&gt;&lt;wsp:rsid wsp:val=&quot;00060CA4&quot;/&gt;&lt;wsp:rsid wsp:val=&quot;00061B93&quot;/&gt;&lt;wsp:rsid wsp:val=&quot;00062147&quot;/&gt;&lt;wsp:rsid wsp:val=&quot;00062899&quot;/&gt;&lt;wsp:rsid wsp:val=&quot;000631F6&quot;/&gt;&lt;wsp:rsid wsp:val=&quot;000634D9&quot;/&gt;&lt;wsp:rsid wsp:val=&quot;000635C5&quot;/&gt;&lt;wsp:rsid wsp:val=&quot;000641C6&quot;/&gt;&lt;wsp:rsid wsp:val=&quot;000643E7&quot;/&gt;&lt;wsp:rsid wsp:val=&quot;00065DEF&quot;/&gt;&lt;wsp:rsid wsp:val=&quot;00067F38&quot;/&gt;&lt;wsp:rsid wsp:val=&quot;00070034&quot;/&gt;&lt;wsp:rsid wsp:val=&quot;00070266&quot;/&gt;&lt;wsp:rsid wsp:val=&quot;00071B43&quot;/&gt;&lt;wsp:rsid wsp:val=&quot;0007250D&quot;/&gt;&lt;wsp:rsid wsp:val=&quot;00072722&quot;/&gt;&lt;wsp:rsid wsp:val=&quot;00072E18&quot;/&gt;&lt;wsp:rsid wsp:val=&quot;0007430E&quot;/&gt;&lt;wsp:rsid wsp:val=&quot;000768BF&quot;/&gt;&lt;wsp:rsid wsp:val=&quot;00076B17&quot;/&gt;&lt;wsp:rsid wsp:val=&quot;000777E5&quot;/&gt;&lt;wsp:rsid wsp:val=&quot;00077860&quot;/&gt;&lt;wsp:rsid wsp:val=&quot;00077B4F&quot;/&gt;&lt;wsp:rsid wsp:val=&quot;0008077D&quot;/&gt;&lt;wsp:rsid wsp:val=&quot;00080868&quot;/&gt;&lt;wsp:rsid wsp:val=&quot;00082062&quot;/&gt;&lt;wsp:rsid wsp:val=&quot;0008210E&quot;/&gt;&lt;wsp:rsid wsp:val=&quot;00082538&quot;/&gt;&lt;wsp:rsid wsp:val=&quot;00082CC4&quot;/&gt;&lt;wsp:rsid wsp:val=&quot;00083206&quot;/&gt;&lt;wsp:rsid wsp:val=&quot;00083402&quot;/&gt;&lt;wsp:rsid wsp:val=&quot;00083D4F&quot;/&gt;&lt;wsp:rsid wsp:val=&quot;00084051&quot;/&gt;&lt;wsp:rsid wsp:val=&quot;00084104&quot;/&gt;&lt;wsp:rsid wsp:val=&quot;000841F9&quot;/&gt;&lt;wsp:rsid wsp:val=&quot;00084299&quot;/&gt;&lt;wsp:rsid wsp:val=&quot;0008452C&quot;/&gt;&lt;wsp:rsid wsp:val=&quot;00085B77&quot;/&gt;&lt;wsp:rsid wsp:val=&quot;00085D64&quot;/&gt;&lt;wsp:rsid wsp:val=&quot;0008606D&quot;/&gt;&lt;wsp:rsid wsp:val=&quot;00090499&quot;/&gt;&lt;wsp:rsid wsp:val=&quot;00090F53&quot;/&gt;&lt;wsp:rsid wsp:val=&quot;000912C2&quot;/&gt;&lt;wsp:rsid wsp:val=&quot;00091C0E&quot;/&gt;&lt;wsp:rsid wsp:val=&quot;00091FF8&quot;/&gt;&lt;wsp:rsid wsp:val=&quot;00092E2A&quot;/&gt;&lt;wsp:rsid wsp:val=&quot;00093B86&quot;/&gt;&lt;wsp:rsid wsp:val=&quot;00093E1F&quot;/&gt;&lt;wsp:rsid wsp:val=&quot;000945B1&quot;/&gt;&lt;wsp:rsid wsp:val=&quot;00094C64&quot;/&gt;&lt;wsp:rsid wsp:val=&quot;000958A4&quot;/&gt;&lt;wsp:rsid wsp:val=&quot;000959EA&quot;/&gt;&lt;wsp:rsid wsp:val=&quot;000A0144&quot;/&gt;&lt;wsp:rsid wsp:val=&quot;000A0783&quot;/&gt;&lt;wsp:rsid wsp:val=&quot;000A1029&quot;/&gt;&lt;wsp:rsid wsp:val=&quot;000A102E&quot;/&gt;&lt;wsp:rsid wsp:val=&quot;000A185B&quot;/&gt;&lt;wsp:rsid wsp:val=&quot;000A2310&quot;/&gt;&lt;wsp:rsid wsp:val=&quot;000A2A54&quot;/&gt;&lt;wsp:rsid wsp:val=&quot;000A2AEB&quot;/&gt;&lt;wsp:rsid wsp:val=&quot;000A2B87&quot;/&gt;&lt;wsp:rsid wsp:val=&quot;000A2CC5&quot;/&gt;&lt;wsp:rsid wsp:val=&quot;000A3E74&quot;/&gt;&lt;wsp:rsid wsp:val=&quot;000A40FF&quot;/&gt;&lt;wsp:rsid wsp:val=&quot;000A44BD&quot;/&gt;&lt;wsp:rsid wsp:val=&quot;000A55A5&quot;/&gt;&lt;wsp:rsid wsp:val=&quot;000A737B&quot;/&gt;&lt;wsp:rsid wsp:val=&quot;000A7B42&quot;/&gt;&lt;wsp:rsid wsp:val=&quot;000B00B7&quot;/&gt;&lt;wsp:rsid wsp:val=&quot;000B05A5&quot;/&gt;&lt;wsp:rsid wsp:val=&quot;000B072B&quot;/&gt;&lt;wsp:rsid wsp:val=&quot;000B11F7&quot;/&gt;&lt;wsp:rsid wsp:val=&quot;000B17C9&quot;/&gt;&lt;wsp:rsid wsp:val=&quot;000B18A1&quot;/&gt;&lt;wsp:rsid wsp:val=&quot;000B1928&quot;/&gt;&lt;wsp:rsid wsp:val=&quot;000B23EB&quot;/&gt;&lt;wsp:rsid wsp:val=&quot;000B3695&quot;/&gt;&lt;wsp:rsid wsp:val=&quot;000B37C0&quot;/&gt;&lt;wsp:rsid wsp:val=&quot;000B3DF8&quot;/&gt;&lt;wsp:rsid wsp:val=&quot;000B5947&quot;/&gt;&lt;wsp:rsid wsp:val=&quot;000B625F&quot;/&gt;&lt;wsp:rsid wsp:val=&quot;000B6E1C&quot;/&gt;&lt;wsp:rsid wsp:val=&quot;000B7E2E&quot;/&gt;&lt;wsp:rsid wsp:val=&quot;000B7E34&quot;/&gt;&lt;wsp:rsid wsp:val=&quot;000C08C0&quot;/&gt;&lt;wsp:rsid wsp:val=&quot;000C1EB2&quot;/&gt;&lt;wsp:rsid wsp:val=&quot;000C1FFF&quot;/&gt;&lt;wsp:rsid wsp:val=&quot;000C39C1&quot;/&gt;&lt;wsp:rsid wsp:val=&quot;000C3FC2&quot;/&gt;&lt;wsp:rsid wsp:val=&quot;000C434F&quot;/&gt;&lt;wsp:rsid wsp:val=&quot;000C5882&quot;/&gt;&lt;wsp:rsid wsp:val=&quot;000C5887&quot;/&gt;&lt;wsp:rsid wsp:val=&quot;000C59B1&quot;/&gt;&lt;wsp:rsid wsp:val=&quot;000C5CBA&quot;/&gt;&lt;wsp:rsid wsp:val=&quot;000C6651&quot;/&gt;&lt;wsp:rsid wsp:val=&quot;000C6FAB&quot;/&gt;&lt;wsp:rsid wsp:val=&quot;000C704E&quot;/&gt;&lt;wsp:rsid wsp:val=&quot;000C7BBB&quot;/&gt;&lt;wsp:rsid wsp:val=&quot;000D0BFD&quot;/&gt;&lt;wsp:rsid wsp:val=&quot;000D0E76&quot;/&gt;&lt;wsp:rsid wsp:val=&quot;000D1274&quot;/&gt;&lt;wsp:rsid wsp:val=&quot;000D1561&quot;/&gt;&lt;wsp:rsid wsp:val=&quot;000D15B5&quot;/&gt;&lt;wsp:rsid wsp:val=&quot;000D1724&quot;/&gt;&lt;wsp:rsid wsp:val=&quot;000D23C9&quot;/&gt;&lt;wsp:rsid wsp:val=&quot;000D3F33&quot;/&gt;&lt;wsp:rsid wsp:val=&quot;000D4280&quot;/&gt;&lt;wsp:rsid wsp:val=&quot;000D444B&quot;/&gt;&lt;wsp:rsid wsp:val=&quot;000D482B&quot;/&gt;&lt;wsp:rsid wsp:val=&quot;000D53FB&quot;/&gt;&lt;wsp:rsid wsp:val=&quot;000D58BC&quot;/&gt;&lt;wsp:rsid wsp:val=&quot;000D5A6C&quot;/&gt;&lt;wsp:rsid wsp:val=&quot;000D710C&quot;/&gt;&lt;wsp:rsid wsp:val=&quot;000D7200&quot;/&gt;&lt;wsp:rsid wsp:val=&quot;000D7FB4&quot;/&gt;&lt;wsp:rsid wsp:val=&quot;000E051F&quot;/&gt;&lt;wsp:rsid wsp:val=&quot;000E0E55&quot;/&gt;&lt;wsp:rsid wsp:val=&quot;000E13D9&quot;/&gt;&lt;wsp:rsid wsp:val=&quot;000E1492&quot;/&gt;&lt;wsp:rsid wsp:val=&quot;000E224A&quot;/&gt;&lt;wsp:rsid wsp:val=&quot;000E3582&quot;/&gt;&lt;wsp:rsid wsp:val=&quot;000E3CCB&quot;/&gt;&lt;wsp:rsid wsp:val=&quot;000E4519&quot;/&gt;&lt;wsp:rsid wsp:val=&quot;000E48CC&quot;/&gt;&lt;wsp:rsid wsp:val=&quot;000E4C8C&quot;/&gt;&lt;wsp:rsid wsp:val=&quot;000E56A5&quot;/&gt;&lt;wsp:rsid wsp:val=&quot;000E56AC&quot;/&gt;&lt;wsp:rsid wsp:val=&quot;000E5EA1&quot;/&gt;&lt;wsp:rsid wsp:val=&quot;000E5F6E&quot;/&gt;&lt;wsp:rsid wsp:val=&quot;000E7290&quot;/&gt;&lt;wsp:rsid wsp:val=&quot;000E7FFE&quot;/&gt;&lt;wsp:rsid wsp:val=&quot;000F01CB&quot;/&gt;&lt;wsp:rsid wsp:val=&quot;000F01D1&quot;/&gt;&lt;wsp:rsid wsp:val=&quot;000F14DD&quot;/&gt;&lt;wsp:rsid wsp:val=&quot;000F2395&quot;/&gt;&lt;wsp:rsid wsp:val=&quot;000F28F7&quot;/&gt;&lt;wsp:rsid wsp:val=&quot;000F444D&quot;/&gt;&lt;wsp:rsid wsp:val=&quot;000F4B33&quot;/&gt;&lt;wsp:rsid wsp:val=&quot;000F619F&quot;/&gt;&lt;wsp:rsid wsp:val=&quot;000F63B8&quot;/&gt;&lt;wsp:rsid wsp:val=&quot;000F68C8&quot;/&gt;&lt;wsp:rsid wsp:val=&quot;000F7A63&quot;/&gt;&lt;wsp:rsid wsp:val=&quot;00100D63&quot;/&gt;&lt;wsp:rsid wsp:val=&quot;00101522&quot;/&gt;&lt;wsp:rsid wsp:val=&quot;00104743&quot;/&gt;&lt;wsp:rsid wsp:val=&quot;00104E24&quot;/&gt;&lt;wsp:rsid wsp:val=&quot;0010540F&quot;/&gt;&lt;wsp:rsid wsp:val=&quot;00105524&quot;/&gt;&lt;wsp:rsid wsp:val=&quot;00105AC5&quot;/&gt;&lt;wsp:rsid wsp:val=&quot;00110C91&quot;/&gt;&lt;wsp:rsid wsp:val=&quot;001127F5&quot;/&gt;&lt;wsp:rsid wsp:val=&quot;00112B60&quot;/&gt;&lt;wsp:rsid wsp:val=&quot;00113B25&quot;/&gt;&lt;wsp:rsid wsp:val=&quot;00113E23&quot;/&gt;&lt;wsp:rsid wsp:val=&quot;00114793&quot;/&gt;&lt;wsp:rsid wsp:val=&quot;00114AD3&quot;/&gt;&lt;wsp:rsid wsp:val=&quot;00114F49&quot;/&gt;&lt;wsp:rsid wsp:val=&quot;001152A3&quot;/&gt;&lt;wsp:rsid wsp:val=&quot;001157E3&quot;/&gt;&lt;wsp:rsid wsp:val=&quot;00117564&quot;/&gt;&lt;wsp:rsid wsp:val=&quot;0011778E&quot;/&gt;&lt;wsp:rsid wsp:val=&quot;00120586&quot;/&gt;&lt;wsp:rsid wsp:val=&quot;00121B8C&quot;/&gt;&lt;wsp:rsid wsp:val=&quot;00121BC9&quot;/&gt;&lt;wsp:rsid wsp:val=&quot;00122D26&quot;/&gt;&lt;wsp:rsid wsp:val=&quot;001233AC&quot;/&gt;&lt;wsp:rsid wsp:val=&quot;00125471&quot;/&gt;&lt;wsp:rsid wsp:val=&quot;00125FDA&quot;/&gt;&lt;wsp:rsid wsp:val=&quot;0012624D&quot;/&gt;&lt;wsp:rsid wsp:val=&quot;00126BF4&quot;/&gt;&lt;wsp:rsid wsp:val=&quot;00126F63&quot;/&gt;&lt;wsp:rsid wsp:val=&quot;0012778A&quot;/&gt;&lt;wsp:rsid wsp:val=&quot;001279FC&quot;/&gt;&lt;wsp:rsid wsp:val=&quot;00131A3F&quot;/&gt;&lt;wsp:rsid wsp:val=&quot;00131BDF&quot;/&gt;&lt;wsp:rsid wsp:val=&quot;00133D6D&quot;/&gt;&lt;wsp:rsid wsp:val=&quot;00134D17&quot;/&gt;&lt;wsp:rsid wsp:val=&quot;00136161&quot;/&gt;&lt;wsp:rsid wsp:val=&quot;00137428&quot;/&gt;&lt;wsp:rsid wsp:val=&quot;00137ACF&quot;/&gt;&lt;wsp:rsid wsp:val=&quot;00137BC5&quot;/&gt;&lt;wsp:rsid wsp:val=&quot;001407E8&quot;/&gt;&lt;wsp:rsid wsp:val=&quot;00140C72&quot;/&gt;&lt;wsp:rsid wsp:val=&quot;00141BBF&quot;/&gt;&lt;wsp:rsid wsp:val=&quot;0014274D&quot;/&gt;&lt;wsp:rsid wsp:val=&quot;00143513&quot;/&gt;&lt;wsp:rsid wsp:val=&quot;00143EF2&quot;/&gt;&lt;wsp:rsid wsp:val=&quot;0014553E&quot;/&gt;&lt;wsp:rsid wsp:val=&quot;00145DD0&quot;/&gt;&lt;wsp:rsid wsp:val=&quot;00150FF9&quot;/&gt;&lt;wsp:rsid wsp:val=&quot;00151E64&quot;/&gt;&lt;wsp:rsid wsp:val=&quot;001520AE&quot;/&gt;&lt;wsp:rsid wsp:val=&quot;00153215&quot;/&gt;&lt;wsp:rsid wsp:val=&quot;00155F46&quot;/&gt;&lt;wsp:rsid wsp:val=&quot;001562C1&quot;/&gt;&lt;wsp:rsid wsp:val=&quot;001569EF&quot;/&gt;&lt;wsp:rsid wsp:val=&quot;00156C3F&quot;/&gt;&lt;wsp:rsid wsp:val=&quot;001573F7&quot;/&gt;&lt;wsp:rsid wsp:val=&quot;001573FC&quot;/&gt;&lt;wsp:rsid wsp:val=&quot;00157F2A&quot;/&gt;&lt;wsp:rsid wsp:val=&quot;00160B59&quot;/&gt;&lt;wsp:rsid wsp:val=&quot;00160C9A&quot;/&gt;&lt;wsp:rsid wsp:val=&quot;001615DB&quot;/&gt;&lt;wsp:rsid wsp:val=&quot;00161AD1&quot;/&gt;&lt;wsp:rsid wsp:val=&quot;00161CAA&quot;/&gt;&lt;wsp:rsid wsp:val=&quot;001623B3&quot;/&gt;&lt;wsp:rsid wsp:val=&quot;001627A7&quot;/&gt;&lt;wsp:rsid wsp:val=&quot;00162DD8&quot;/&gt;&lt;wsp:rsid wsp:val=&quot;00162DF4&quot;/&gt;&lt;wsp:rsid wsp:val=&quot;00162ECF&quot;/&gt;&lt;wsp:rsid wsp:val=&quot;0016311C&quot;/&gt;&lt;wsp:rsid wsp:val=&quot;00163357&quot;/&gt;&lt;wsp:rsid wsp:val=&quot;0016383D&quot;/&gt;&lt;wsp:rsid wsp:val=&quot;0016392F&quot;/&gt;&lt;wsp:rsid wsp:val=&quot;00164A3C&quot;/&gt;&lt;wsp:rsid wsp:val=&quot;00164A7B&quot;/&gt;&lt;wsp:rsid wsp:val=&quot;00164D87&quot;/&gt;&lt;wsp:rsid wsp:val=&quot;00164E3A&quot;/&gt;&lt;wsp:rsid wsp:val=&quot;0016545E&quot;/&gt;&lt;wsp:rsid wsp:val=&quot;00165CC0&quot;/&gt;&lt;wsp:rsid wsp:val=&quot;001662B0&quot;/&gt;&lt;wsp:rsid wsp:val=&quot;00166E4C&quot;/&gt;&lt;wsp:rsid wsp:val=&quot;001678EB&quot;/&gt;&lt;wsp:rsid wsp:val=&quot;00167C10&quot;/&gt;&lt;wsp:rsid wsp:val=&quot;00170145&quot;/&gt;&lt;wsp:rsid wsp:val=&quot;00171E4C&quot;/&gt;&lt;wsp:rsid wsp:val=&quot;00171F7C&quot;/&gt;&lt;wsp:rsid wsp:val=&quot;00171FF0&quot;/&gt;&lt;wsp:rsid wsp:val=&quot;0017222D&quot;/&gt;&lt;wsp:rsid wsp:val=&quot;00172BAD&quot;/&gt;&lt;wsp:rsid wsp:val=&quot;00172C19&quot;/&gt;&lt;wsp:rsid wsp:val=&quot;00172D63&quot;/&gt;&lt;wsp:rsid wsp:val=&quot;00173281&quot;/&gt;&lt;wsp:rsid wsp:val=&quot;001752DA&quot;/&gt;&lt;wsp:rsid wsp:val=&quot;00176C42&quot;/&gt;&lt;wsp:rsid wsp:val=&quot;001777F8&quot;/&gt;&lt;wsp:rsid wsp:val=&quot;00181538&quot;/&gt;&lt;wsp:rsid wsp:val=&quot;001818F4&quot;/&gt;&lt;wsp:rsid wsp:val=&quot;0018278C&quot;/&gt;&lt;wsp:rsid wsp:val=&quot;00184165&quot;/&gt;&lt;wsp:rsid wsp:val=&quot;00184393&quot;/&gt;&lt;wsp:rsid wsp:val=&quot;001848F2&quot;/&gt;&lt;wsp:rsid wsp:val=&quot;001849BE&quot;/&gt;&lt;wsp:rsid wsp:val=&quot;00185132&quot;/&gt;&lt;wsp:rsid wsp:val=&quot;00185F08&quot;/&gt;&lt;wsp:rsid wsp:val=&quot;00185FA1&quot;/&gt;&lt;wsp:rsid wsp:val=&quot;00185FD5&quot;/&gt;&lt;wsp:rsid wsp:val=&quot;001908BB&quot;/&gt;&lt;wsp:rsid wsp:val=&quot;001909DA&quot;/&gt;&lt;wsp:rsid wsp:val=&quot;001917FE&quot;/&gt;&lt;wsp:rsid wsp:val=&quot;00192487&quot;/&gt;&lt;wsp:rsid wsp:val=&quot;0019397B&quot;/&gt;&lt;wsp:rsid wsp:val=&quot;00193F43&quot;/&gt;&lt;wsp:rsid wsp:val=&quot;001945E9&quot;/&gt;&lt;wsp:rsid wsp:val=&quot;001962C4&quot;/&gt;&lt;wsp:rsid wsp:val=&quot;001966D3&quot;/&gt;&lt;wsp:rsid wsp:val=&quot;00196A9B&quot;/&gt;&lt;wsp:rsid wsp:val=&quot;00196F8E&quot;/&gt;&lt;wsp:rsid wsp:val=&quot;001A0164&quot;/&gt;&lt;wsp:rsid wsp:val=&quot;001A01C9&quot;/&gt;&lt;wsp:rsid wsp:val=&quot;001A04F0&quot;/&gt;&lt;wsp:rsid wsp:val=&quot;001A0B71&quot;/&gt;&lt;wsp:rsid wsp:val=&quot;001A0BD4&quot;/&gt;&lt;wsp:rsid wsp:val=&quot;001A0EFB&quot;/&gt;&lt;wsp:rsid wsp:val=&quot;001A12EE&quot;/&gt;&lt;wsp:rsid wsp:val=&quot;001A1B5E&quot;/&gt;&lt;wsp:rsid wsp:val=&quot;001A64CD&quot;/&gt;&lt;wsp:rsid wsp:val=&quot;001A698F&quot;/&gt;&lt;wsp:rsid wsp:val=&quot;001A78B6&quot;/&gt;&lt;wsp:rsid wsp:val=&quot;001A7F6D&quot;/&gt;&lt;wsp:rsid wsp:val=&quot;001B0DDD&quot;/&gt;&lt;wsp:rsid wsp:val=&quot;001B0DFA&quot;/&gt;&lt;wsp:rsid wsp:val=&quot;001B10A4&quot;/&gt;&lt;wsp:rsid wsp:val=&quot;001B1A38&quot;/&gt;&lt;wsp:rsid wsp:val=&quot;001B1ACB&quot;/&gt;&lt;wsp:rsid wsp:val=&quot;001B1AE0&quot;/&gt;&lt;wsp:rsid wsp:val=&quot;001B3726&quot;/&gt;&lt;wsp:rsid wsp:val=&quot;001B37A0&quot;/&gt;&lt;wsp:rsid wsp:val=&quot;001B4E49&quot;/&gt;&lt;wsp:rsid wsp:val=&quot;001B650F&quot;/&gt;&lt;wsp:rsid wsp:val=&quot;001C1540&quot;/&gt;&lt;wsp:rsid wsp:val=&quot;001C1E9D&quot;/&gt;&lt;wsp:rsid wsp:val=&quot;001C27E2&quot;/&gt;&lt;wsp:rsid wsp:val=&quot;001C3AEE&quot;/&gt;&lt;wsp:rsid wsp:val=&quot;001C3F3A&quot;/&gt;&lt;wsp:rsid wsp:val=&quot;001C411E&quot;/&gt;&lt;wsp:rsid wsp:val=&quot;001C4441&quot;/&gt;&lt;wsp:rsid wsp:val=&quot;001C662B&quot;/&gt;&lt;wsp:rsid wsp:val=&quot;001C6903&quot;/&gt;&lt;wsp:rsid wsp:val=&quot;001C7A74&quot;/&gt;&lt;wsp:rsid wsp:val=&quot;001C7E58&quot;/&gt;&lt;wsp:rsid wsp:val=&quot;001D1804&quot;/&gt;&lt;wsp:rsid wsp:val=&quot;001D58C8&quot;/&gt;&lt;wsp:rsid wsp:val=&quot;001D6CF1&quot;/&gt;&lt;wsp:rsid wsp:val=&quot;001D7AF4&quot;/&gt;&lt;wsp:rsid wsp:val=&quot;001E0DFB&quot;/&gt;&lt;wsp:rsid wsp:val=&quot;001E1FC1&quot;/&gt;&lt;wsp:rsid wsp:val=&quot;001E1FCF&quot;/&gt;&lt;wsp:rsid wsp:val=&quot;001E2442&quot;/&gt;&lt;wsp:rsid wsp:val=&quot;001E30BD&quot;/&gt;&lt;wsp:rsid wsp:val=&quot;001E3184&quot;/&gt;&lt;wsp:rsid wsp:val=&quot;001E4957&quot;/&gt;&lt;wsp:rsid wsp:val=&quot;001E4C65&quot;/&gt;&lt;wsp:rsid wsp:val=&quot;001E6161&quot;/&gt;&lt;wsp:rsid wsp:val=&quot;001E6EF4&quot;/&gt;&lt;wsp:rsid wsp:val=&quot;001E73C6&quot;/&gt;&lt;wsp:rsid wsp:val=&quot;001E77CE&quot;/&gt;&lt;wsp:rsid wsp:val=&quot;001F0C19&quot;/&gt;&lt;wsp:rsid wsp:val=&quot;001F133D&quot;/&gt;&lt;wsp:rsid wsp:val=&quot;001F137F&quot;/&gt;&lt;wsp:rsid wsp:val=&quot;001F3979&quot;/&gt;&lt;wsp:rsid wsp:val=&quot;001F4673&quot;/&gt;&lt;wsp:rsid wsp:val=&quot;001F50DB&quot;/&gt;&lt;wsp:rsid wsp:val=&quot;001F6303&quot;/&gt;&lt;wsp:rsid wsp:val=&quot;001F6660&quot;/&gt;&lt;wsp:rsid wsp:val=&quot;001F6F66&quot;/&gt;&lt;wsp:rsid wsp:val=&quot;001F7D09&quot;/&gt;&lt;wsp:rsid wsp:val=&quot;0020056C&quot;/&gt;&lt;wsp:rsid wsp:val=&quot;002008B9&quot;/&gt;&lt;wsp:rsid wsp:val=&quot;00200C9C&quot;/&gt;&lt;wsp:rsid wsp:val=&quot;00201137&quot;/&gt;&lt;wsp:rsid wsp:val=&quot;00201149&quot;/&gt;&lt;wsp:rsid wsp:val=&quot;002012D6&quot;/&gt;&lt;wsp:rsid wsp:val=&quot;00201C4E&quot;/&gt;&lt;wsp:rsid wsp:val=&quot;00201D4E&quot;/&gt;&lt;wsp:rsid wsp:val=&quot;00202DAF&quot;/&gt;&lt;wsp:rsid wsp:val=&quot;002056A2&quot;/&gt;&lt;wsp:rsid wsp:val=&quot;00206481&quot;/&gt;&lt;wsp:rsid wsp:val=&quot;00206672&quot;/&gt;&lt;wsp:rsid wsp:val=&quot;00206AB8&quot;/&gt;&lt;wsp:rsid wsp:val=&quot;00207D0F&quot;/&gt;&lt;wsp:rsid wsp:val=&quot;002106CC&quot;/&gt;&lt;wsp:rsid wsp:val=&quot;00210DC3&quot;/&gt;&lt;wsp:rsid wsp:val=&quot;00211192&quot;/&gt;&lt;wsp:rsid wsp:val=&quot;00212384&quot;/&gt;&lt;wsp:rsid wsp:val=&quot;002124FA&quot;/&gt;&lt;wsp:rsid wsp:val=&quot;00212BCC&quot;/&gt;&lt;wsp:rsid wsp:val=&quot;00212C63&quot;/&gt;&lt;wsp:rsid wsp:val=&quot;00212CDC&quot;/&gt;&lt;wsp:rsid wsp:val=&quot;002131B4&quot;/&gt;&lt;wsp:rsid wsp:val=&quot;00213F26&quot;/&gt;&lt;wsp:rsid wsp:val=&quot;002167B3&quot;/&gt;&lt;wsp:rsid wsp:val=&quot;00216BCA&quot;/&gt;&lt;wsp:rsid wsp:val=&quot;00217071&quot;/&gt;&lt;wsp:rsid wsp:val=&quot;002173F9&quot;/&gt;&lt;wsp:rsid wsp:val=&quot;0021749F&quot;/&gt;&lt;wsp:rsid wsp:val=&quot;00217756&quot;/&gt;&lt;wsp:rsid wsp:val=&quot;002202A1&quot;/&gt;&lt;wsp:rsid wsp:val=&quot;0022037B&quot;/&gt;&lt;wsp:rsid wsp:val=&quot;0022040D&quot;/&gt;&lt;wsp:rsid wsp:val=&quot;00220522&quot;/&gt;&lt;wsp:rsid wsp:val=&quot;00222925&quot;/&gt;&lt;wsp:rsid wsp:val=&quot;002230FF&quot;/&gt;&lt;wsp:rsid wsp:val=&quot;002231C0&quot;/&gt;&lt;wsp:rsid wsp:val=&quot;00223A05&quot;/&gt;&lt;wsp:rsid wsp:val=&quot;002241A6&quot;/&gt;&lt;wsp:rsid wsp:val=&quot;00224BBC&quot;/&gt;&lt;wsp:rsid wsp:val=&quot;00224E9A&quot;/&gt;&lt;wsp:rsid wsp:val=&quot;00224EA0&quot;/&gt;&lt;wsp:rsid wsp:val=&quot;0022612E&quot;/&gt;&lt;wsp:rsid wsp:val=&quot;0022641B&quot;/&gt;&lt;wsp:rsid wsp:val=&quot;00227229&quot;/&gt;&lt;wsp:rsid wsp:val=&quot;0023016F&quot;/&gt;&lt;wsp:rsid wsp:val=&quot;00230C58&quot;/&gt;&lt;wsp:rsid wsp:val=&quot;0023183C&quot;/&gt;&lt;wsp:rsid wsp:val=&quot;0023222B&quot;/&gt;&lt;wsp:rsid wsp:val=&quot;00232568&quot;/&gt;&lt;wsp:rsid wsp:val=&quot;002330CC&quot;/&gt;&lt;wsp:rsid wsp:val=&quot;00233F5A&quot;/&gt;&lt;wsp:rsid wsp:val=&quot;00235B2D&quot;/&gt;&lt;wsp:rsid wsp:val=&quot;00236DA6&quot;/&gt;&lt;wsp:rsid wsp:val=&quot;00240FFD&quot;/&gt;&lt;wsp:rsid wsp:val=&quot;00241CB0&quot;/&gt;&lt;wsp:rsid wsp:val=&quot;00241D1B&quot;/&gt;&lt;wsp:rsid wsp:val=&quot;0024217F&quot;/&gt;&lt;wsp:rsid wsp:val=&quot;00242BBE&quot;/&gt;&lt;wsp:rsid wsp:val=&quot;00242CD0&quot;/&gt;&lt;wsp:rsid wsp:val=&quot;002435C8&quot;/&gt;&lt;wsp:rsid wsp:val=&quot;002468A0&quot;/&gt;&lt;wsp:rsid wsp:val=&quot;00247B64&quot;/&gt;&lt;wsp:rsid wsp:val=&quot;0025082A&quot;/&gt;&lt;wsp:rsid wsp:val=&quot;002508DE&quot;/&gt;&lt;wsp:rsid wsp:val=&quot;00250E1A&quot;/&gt;&lt;wsp:rsid wsp:val=&quot;002511BE&quot;/&gt;&lt;wsp:rsid wsp:val=&quot;00251ED6&quot;/&gt;&lt;wsp:rsid wsp:val=&quot;0025264A&quot;/&gt;&lt;wsp:rsid wsp:val=&quot;00252C5C&quot;/&gt;&lt;wsp:rsid wsp:val=&quot;00253099&quot;/&gt;&lt;wsp:rsid wsp:val=&quot;00254B44&quot;/&gt;&lt;wsp:rsid wsp:val=&quot;00254F80&quot;/&gt;&lt;wsp:rsid wsp:val=&quot;00255658&quot;/&gt;&lt;wsp:rsid wsp:val=&quot;00255FCF&quot;/&gt;&lt;wsp:rsid wsp:val=&quot;00256B8E&quot;/&gt;&lt;wsp:rsid wsp:val=&quot;00256D4B&quot;/&gt;&lt;wsp:rsid wsp:val=&quot;00256DFA&quot;/&gt;&lt;wsp:rsid wsp:val=&quot;00257124&quot;/&gt;&lt;wsp:rsid wsp:val=&quot;002578F9&quot;/&gt;&lt;wsp:rsid wsp:val=&quot;00257BB2&quot;/&gt;&lt;wsp:rsid wsp:val=&quot;002603A3&quot;/&gt;&lt;wsp:rsid wsp:val=&quot;002607CA&quot;/&gt;&lt;wsp:rsid wsp:val=&quot;00260FD0&quot;/&gt;&lt;wsp:rsid wsp:val=&quot;0026112D&quot;/&gt;&lt;wsp:rsid wsp:val=&quot;00262239&quot;/&gt;&lt;wsp:rsid wsp:val=&quot;00262A23&quot;/&gt;&lt;wsp:rsid wsp:val=&quot;0026344D&quot;/&gt;&lt;wsp:rsid wsp:val=&quot;0026345F&quot;/&gt;&lt;wsp:rsid wsp:val=&quot;00264417&quot;/&gt;&lt;wsp:rsid wsp:val=&quot;00265E02&quot;/&gt;&lt;wsp:rsid wsp:val=&quot;002664C1&quot;/&gt;&lt;wsp:rsid wsp:val=&quot;0026773D&quot;/&gt;&lt;wsp:rsid wsp:val=&quot;002701D1&quot;/&gt;&lt;wsp:rsid wsp:val=&quot;002709EA&quot;/&gt;&lt;wsp:rsid wsp:val=&quot;00272543&quot;/&gt;&lt;wsp:rsid wsp:val=&quot;00272B9D&quot;/&gt;&lt;wsp:rsid wsp:val=&quot;0027375E&quot;/&gt;&lt;wsp:rsid wsp:val=&quot;00273DFB&quot;/&gt;&lt;wsp:rsid wsp:val=&quot;0027454A&quot;/&gt;&lt;wsp:rsid wsp:val=&quot;00274A67&quot;/&gt;&lt;wsp:rsid wsp:val=&quot;00274C78&quot;/&gt;&lt;wsp:rsid wsp:val=&quot;002754EE&quot;/&gt;&lt;wsp:rsid wsp:val=&quot;00275DC0&quot;/&gt;&lt;wsp:rsid wsp:val=&quot;00277408&quot;/&gt;&lt;wsp:rsid wsp:val=&quot;002778BD&quot;/&gt;&lt;wsp:rsid wsp:val=&quot;002778FC&quot;/&gt;&lt;wsp:rsid wsp:val=&quot;00277E90&quot;/&gt;&lt;wsp:rsid wsp:val=&quot;00280A72&quot;/&gt;&lt;wsp:rsid wsp:val=&quot;00280E3A&quot;/&gt;&lt;wsp:rsid wsp:val=&quot;002812CF&quot;/&gt;&lt;wsp:rsid wsp:val=&quot;0028186E&quot;/&gt;&lt;wsp:rsid wsp:val=&quot;00284F40&quot;/&gt;&lt;wsp:rsid wsp:val=&quot;00285294&quot;/&gt;&lt;wsp:rsid wsp:val=&quot;00285421&quot;/&gt;&lt;wsp:rsid wsp:val=&quot;002855DD&quot;/&gt;&lt;wsp:rsid wsp:val=&quot;002869D9&quot;/&gt;&lt;wsp:rsid wsp:val=&quot;002870CA&quot;/&gt;&lt;wsp:rsid wsp:val=&quot;002872F2&quot;/&gt;&lt;wsp:rsid wsp:val=&quot;00287AD4&quot;/&gt;&lt;wsp:rsid wsp:val=&quot;00290418&quot;/&gt;&lt;wsp:rsid wsp:val=&quot;0029086B&quot;/&gt;&lt;wsp:rsid wsp:val=&quot;00290D49&quot;/&gt;&lt;wsp:rsid wsp:val=&quot;00291465&quot;/&gt;&lt;wsp:rsid wsp:val=&quot;00291677&quot;/&gt;&lt;wsp:rsid wsp:val=&quot;00291759&quot;/&gt;&lt;wsp:rsid wsp:val=&quot;0029273E&quot;/&gt;&lt;wsp:rsid wsp:val=&quot;00295C8C&quot;/&gt;&lt;wsp:rsid wsp:val=&quot;002973FB&quot;/&gt;&lt;wsp:rsid wsp:val=&quot;002A05C1&quot;/&gt;&lt;wsp:rsid wsp:val=&quot;002A0644&quot;/&gt;&lt;wsp:rsid wsp:val=&quot;002A079D&quot;/&gt;&lt;wsp:rsid wsp:val=&quot;002A122F&quot;/&gt;&lt;wsp:rsid wsp:val=&quot;002A12E8&quot;/&gt;&lt;wsp:rsid wsp:val=&quot;002A246F&quot;/&gt;&lt;wsp:rsid wsp:val=&quot;002A3174&quot;/&gt;&lt;wsp:rsid wsp:val=&quot;002A36DD&quot;/&gt;&lt;wsp:rsid wsp:val=&quot;002A390F&quot;/&gt;&lt;wsp:rsid wsp:val=&quot;002A3E51&quot;/&gt;&lt;wsp:rsid wsp:val=&quot;002A5021&quot;/&gt;&lt;wsp:rsid wsp:val=&quot;002A579A&quot;/&gt;&lt;wsp:rsid wsp:val=&quot;002B0E4B&quot;/&gt;&lt;wsp:rsid wsp:val=&quot;002B2022&quot;/&gt;&lt;wsp:rsid wsp:val=&quot;002B2E80&quot;/&gt;&lt;wsp:rsid wsp:val=&quot;002B377F&quot;/&gt;&lt;wsp:rsid wsp:val=&quot;002B3AE0&quot;/&gt;&lt;wsp:rsid wsp:val=&quot;002B4607&quot;/&gt;&lt;wsp:rsid wsp:val=&quot;002B57C6&quot;/&gt;&lt;wsp:rsid wsp:val=&quot;002B5ABE&quot;/&gt;&lt;wsp:rsid wsp:val=&quot;002B6B00&quot;/&gt;&lt;wsp:rsid wsp:val=&quot;002B79BF&quot;/&gt;&lt;wsp:rsid wsp:val=&quot;002B79CE&quot;/&gt;&lt;wsp:rsid wsp:val=&quot;002B7D92&quot;/&gt;&lt;wsp:rsid wsp:val=&quot;002B7F90&quot;/&gt;&lt;wsp:rsid wsp:val=&quot;002C21F9&quot;/&gt;&lt;wsp:rsid wsp:val=&quot;002C2905&quot;/&gt;&lt;wsp:rsid wsp:val=&quot;002C2A14&quot;/&gt;&lt;wsp:rsid wsp:val=&quot;002C2E61&quot;/&gt;&lt;wsp:rsid wsp:val=&quot;002C2E84&quot;/&gt;&lt;wsp:rsid wsp:val=&quot;002C5F02&quot;/&gt;&lt;wsp:rsid wsp:val=&quot;002C70B4&quot;/&gt;&lt;wsp:rsid wsp:val=&quot;002D4963&quot;/&gt;&lt;wsp:rsid wsp:val=&quot;002D4DE5&quot;/&gt;&lt;wsp:rsid wsp:val=&quot;002D61BC&quot;/&gt;&lt;wsp:rsid wsp:val=&quot;002D684A&quot;/&gt;&lt;wsp:rsid wsp:val=&quot;002D6961&quot;/&gt;&lt;wsp:rsid wsp:val=&quot;002D6BE2&quot;/&gt;&lt;wsp:rsid wsp:val=&quot;002D702F&quot;/&gt;&lt;wsp:rsid wsp:val=&quot;002D751A&quot;/&gt;&lt;wsp:rsid wsp:val=&quot;002E0F5F&quot;/&gt;&lt;wsp:rsid wsp:val=&quot;002E1C2E&quot;/&gt;&lt;wsp:rsid wsp:val=&quot;002E3B75&quot;/&gt;&lt;wsp:rsid wsp:val=&quot;002E6115&quot;/&gt;&lt;wsp:rsid wsp:val=&quot;002E6396&quot;/&gt;&lt;wsp:rsid wsp:val=&quot;002E7ABA&quot;/&gt;&lt;wsp:rsid wsp:val=&quot;002E7E04&quot;/&gt;&lt;wsp:rsid wsp:val=&quot;002F0789&quot;/&gt;&lt;wsp:rsid wsp:val=&quot;002F2004&quot;/&gt;&lt;wsp:rsid wsp:val=&quot;002F2D7A&quot;/&gt;&lt;wsp:rsid wsp:val=&quot;002F2F01&quot;/&gt;&lt;wsp:rsid wsp:val=&quot;002F32C9&quot;/&gt;&lt;wsp:rsid wsp:val=&quot;002F34D5&quot;/&gt;&lt;wsp:rsid wsp:val=&quot;002F38B0&quot;/&gt;&lt;wsp:rsid wsp:val=&quot;002F3D99&quot;/&gt;&lt;wsp:rsid wsp:val=&quot;002F3DBA&quot;/&gt;&lt;wsp:rsid wsp:val=&quot;002F4261&quot;/&gt;&lt;wsp:rsid wsp:val=&quot;002F4C97&quot;/&gt;&lt;wsp:rsid wsp:val=&quot;002F5600&quot;/&gt;&lt;wsp:rsid wsp:val=&quot;002F6D20&quot;/&gt;&lt;wsp:rsid wsp:val=&quot;002F6D8A&quot;/&gt;&lt;wsp:rsid wsp:val=&quot;002F6E82&quot;/&gt;&lt;wsp:rsid wsp:val=&quot;0030137D&quot;/&gt;&lt;wsp:rsid wsp:val=&quot;003014D6&quot;/&gt;&lt;wsp:rsid wsp:val=&quot;003019F7&quot;/&gt;&lt;wsp:rsid wsp:val=&quot;003047DF&quot;/&gt;&lt;wsp:rsid wsp:val=&quot;00304D03&quot;/&gt;&lt;wsp:rsid wsp:val=&quot;00304DBE&quot;/&gt;&lt;wsp:rsid wsp:val=&quot;00305983&quot;/&gt;&lt;wsp:rsid wsp:val=&quot;00306EE1&quot;/&gt;&lt;wsp:rsid wsp:val=&quot;00307C1D&quot;/&gt;&lt;wsp:rsid wsp:val=&quot;00307CB5&quot;/&gt;&lt;wsp:rsid wsp:val=&quot;0031026B&quot;/&gt;&lt;wsp:rsid wsp:val=&quot;003109C0&quot;/&gt;&lt;wsp:rsid wsp:val=&quot;00311091&quot;/&gt;&lt;wsp:rsid wsp:val=&quot;00312675&quot;/&gt;&lt;wsp:rsid wsp:val=&quot;00312D43&quot;/&gt;&lt;wsp:rsid wsp:val=&quot;00312F67&quot;/&gt;&lt;wsp:rsid wsp:val=&quot;00313DCF&quot;/&gt;&lt;wsp:rsid wsp:val=&quot;00313F22&quot;/&gt;&lt;wsp:rsid wsp:val=&quot;00314F40&quot;/&gt;&lt;wsp:rsid wsp:val=&quot;00315262&quot;/&gt;&lt;wsp:rsid wsp:val=&quot;00315798&quot;/&gt;&lt;wsp:rsid wsp:val=&quot;003159A4&quot;/&gt;&lt;wsp:rsid wsp:val=&quot;00315BD1&quot;/&gt;&lt;wsp:rsid wsp:val=&quot;00316B0E&quot;/&gt;&lt;wsp:rsid wsp:val=&quot;0032026E&quot;/&gt;&lt;wsp:rsid wsp:val=&quot;003208CF&quot;/&gt;&lt;wsp:rsid wsp:val=&quot;00320D19&quot;/&gt;&lt;wsp:rsid wsp:val=&quot;00322517&quot;/&gt;&lt;wsp:rsid wsp:val=&quot;0032383B&quot;/&gt;&lt;wsp:rsid wsp:val=&quot;003241BB&quot;/&gt;&lt;wsp:rsid wsp:val=&quot;00325CDB&quot;/&gt;&lt;wsp:rsid wsp:val=&quot;00325F93&quot;/&gt;&lt;wsp:rsid wsp:val=&quot;00326691&quot;/&gt;&lt;wsp:rsid wsp:val=&quot;003267DA&quot;/&gt;&lt;wsp:rsid wsp:val=&quot;00326C03&quot;/&gt;&lt;wsp:rsid wsp:val=&quot;00326FDA&quot;/&gt;&lt;wsp:rsid wsp:val=&quot;00327030&quot;/&gt;&lt;wsp:rsid wsp:val=&quot;003274DE&quot;/&gt;&lt;wsp:rsid wsp:val=&quot;00327880&quot;/&gt;&lt;wsp:rsid wsp:val=&quot;00327BC4&quot;/&gt;&lt;wsp:rsid wsp:val=&quot;00327DE9&quot;/&gt;&lt;wsp:rsid wsp:val=&quot;003304E0&quot;/&gt;&lt;wsp:rsid wsp:val=&quot;00331636&quot;/&gt;&lt;wsp:rsid wsp:val=&quot;00331C0B&quot;/&gt;&lt;wsp:rsid wsp:val=&quot;0033349D&quot;/&gt;&lt;wsp:rsid wsp:val=&quot;003336D4&quot;/&gt;&lt;wsp:rsid wsp:val=&quot;00333714&quot;/&gt;&lt;wsp:rsid wsp:val=&quot;00333B7D&quot;/&gt;&lt;wsp:rsid wsp:val=&quot;00334509&quot;/&gt;&lt;wsp:rsid wsp:val=&quot;0033518B&quot;/&gt;&lt;wsp:rsid wsp:val=&quot;003351B9&quot;/&gt;&lt;wsp:rsid wsp:val=&quot;00336FBD&quot;/&gt;&lt;wsp:rsid wsp:val=&quot;00337F6C&quot;/&gt;&lt;wsp:rsid wsp:val=&quot;00340E39&quot;/&gt;&lt;wsp:rsid wsp:val=&quot;00341294&quot;/&gt;&lt;wsp:rsid wsp:val=&quot;00342E19&quot;/&gt;&lt;wsp:rsid wsp:val=&quot;00343FF0&quot;/&gt;&lt;wsp:rsid wsp:val=&quot;00345AC2&quot;/&gt;&lt;wsp:rsid wsp:val=&quot;00345EDC&quot;/&gt;&lt;wsp:rsid wsp:val=&quot;00346167&quot;/&gt;&lt;wsp:rsid wsp:val=&quot;00347CA7&quot;/&gt;&lt;wsp:rsid wsp:val=&quot;00350AFF&quot;/&gt;&lt;wsp:rsid wsp:val=&quot;00351CCC&quot;/&gt;&lt;wsp:rsid wsp:val=&quot;0035233B&quot;/&gt;&lt;wsp:rsid wsp:val=&quot;00354617&quot;/&gt;&lt;wsp:rsid wsp:val=&quot;00354DB6&quot;/&gt;&lt;wsp:rsid wsp:val=&quot;00355EF6&quot;/&gt;&lt;wsp:rsid wsp:val=&quot;00356DF1&quot;/&gt;&lt;wsp:rsid wsp:val=&quot;00356E2F&quot;/&gt;&lt;wsp:rsid wsp:val=&quot;00357BC4&quot;/&gt;&lt;wsp:rsid wsp:val=&quot;00360054&quot;/&gt;&lt;wsp:rsid wsp:val=&quot;00360EA6&quot;/&gt;&lt;wsp:rsid wsp:val=&quot;00361190&quot;/&gt;&lt;wsp:rsid wsp:val=&quot;00361485&quot;/&gt;&lt;wsp:rsid wsp:val=&quot;00361AA8&quot;/&gt;&lt;wsp:rsid wsp:val=&quot;00361BAB&quot;/&gt;&lt;wsp:rsid wsp:val=&quot;0036215C&quot;/&gt;&lt;wsp:rsid wsp:val=&quot;003655DA&quot;/&gt;&lt;wsp:rsid wsp:val=&quot;00365B28&quot;/&gt;&lt;wsp:rsid wsp:val=&quot;00365BDD&quot;/&gt;&lt;wsp:rsid wsp:val=&quot;00365F6E&quot;/&gt;&lt;wsp:rsid wsp:val=&quot;00367589&quot;/&gt;&lt;wsp:rsid wsp:val=&quot;00367954&quot;/&gt;&lt;wsp:rsid wsp:val=&quot;003704C4&quot;/&gt;&lt;wsp:rsid wsp:val=&quot;00370CC1&quot;/&gt;&lt;wsp:rsid wsp:val=&quot;00372A24&quot;/&gt;&lt;wsp:rsid wsp:val=&quot;00372C53&quot;/&gt;&lt;wsp:rsid wsp:val=&quot;003737C9&quot;/&gt;&lt;wsp:rsid wsp:val=&quot;003741DB&quot;/&gt;&lt;wsp:rsid wsp:val=&quot;003749E1&quot;/&gt;&lt;wsp:rsid wsp:val=&quot;00374FE5&quot;/&gt;&lt;wsp:rsid wsp:val=&quot;003753DF&quot;/&gt;&lt;wsp:rsid wsp:val=&quot;003770DF&quot;/&gt;&lt;wsp:rsid wsp:val=&quot;00377DC6&quot;/&gt;&lt;wsp:rsid wsp:val=&quot;00381BB9&quot;/&gt;&lt;wsp:rsid wsp:val=&quot;0038341F&quot;/&gt;&lt;wsp:rsid wsp:val=&quot;00385576&quot;/&gt;&lt;wsp:rsid wsp:val=&quot;00385EA8&quot;/&gt;&lt;wsp:rsid wsp:val=&quot;003865B9&quot;/&gt;&lt;wsp:rsid wsp:val=&quot;00386AF5&quot;/&gt;&lt;wsp:rsid wsp:val=&quot;00386B74&quot;/&gt;&lt;wsp:rsid wsp:val=&quot;0039136C&quot;/&gt;&lt;wsp:rsid wsp:val=&quot;003917F7&quot;/&gt;&lt;wsp:rsid wsp:val=&quot;003919E9&quot;/&gt;&lt;wsp:rsid wsp:val=&quot;00391BD2&quot;/&gt;&lt;wsp:rsid wsp:val=&quot;00392B52&quot;/&gt;&lt;wsp:rsid wsp:val=&quot;00392BB6&quot;/&gt;&lt;wsp:rsid wsp:val=&quot;00392EE2&quot;/&gt;&lt;wsp:rsid wsp:val=&quot;0039387C&quot;/&gt;&lt;wsp:rsid wsp:val=&quot;00393A2E&quot;/&gt;&lt;wsp:rsid wsp:val=&quot;003941A9&quot;/&gt;&lt;wsp:rsid wsp:val=&quot;0039543F&quot;/&gt;&lt;wsp:rsid wsp:val=&quot;00395BEE&quot;/&gt;&lt;wsp:rsid wsp:val=&quot;00395C11&quot;/&gt;&lt;wsp:rsid wsp:val=&quot;00396752&quot;/&gt;&lt;wsp:rsid wsp:val=&quot;003972B1&quot;/&gt;&lt;wsp:rsid wsp:val=&quot;003977A1&quot;/&gt;&lt;wsp:rsid wsp:val=&quot;00397951&quot;/&gt;&lt;wsp:rsid wsp:val=&quot;003A1097&quot;/&gt;&lt;wsp:rsid wsp:val=&quot;003A17C5&quot;/&gt;&lt;wsp:rsid wsp:val=&quot;003A1B22&quot;/&gt;&lt;wsp:rsid wsp:val=&quot;003A3CB7&quot;/&gt;&lt;wsp:rsid wsp:val=&quot;003A5C0D&quot;/&gt;&lt;wsp:rsid wsp:val=&quot;003A5DCA&quot;/&gt;&lt;wsp:rsid wsp:val=&quot;003A62F1&quot;/&gt;&lt;wsp:rsid wsp:val=&quot;003A6690&quot;/&gt;&lt;wsp:rsid wsp:val=&quot;003A7284&quot;/&gt;&lt;wsp:rsid wsp:val=&quot;003A797A&quot;/&gt;&lt;wsp:rsid wsp:val=&quot;003A7DE4&quot;/&gt;&lt;wsp:rsid wsp:val=&quot;003B2B81&quot;/&gt;&lt;wsp:rsid wsp:val=&quot;003B3652&quot;/&gt;&lt;wsp:rsid wsp:val=&quot;003B4572&quot;/&gt;&lt;wsp:rsid wsp:val=&quot;003B48E6&quot;/&gt;&lt;wsp:rsid wsp:val=&quot;003B51FE&quot;/&gt;&lt;wsp:rsid wsp:val=&quot;003B5913&quot;/&gt;&lt;wsp:rsid wsp:val=&quot;003B5BFE&quot;/&gt;&lt;wsp:rsid wsp:val=&quot;003B66CF&quot;/&gt;&lt;wsp:rsid wsp:val=&quot;003B67BB&quot;/&gt;&lt;wsp:rsid wsp:val=&quot;003B6AA3&quot;/&gt;&lt;wsp:rsid wsp:val=&quot;003B76DA&quot;/&gt;&lt;wsp:rsid wsp:val=&quot;003C11EF&quot;/&gt;&lt;wsp:rsid wsp:val=&quot;003C1AEB&quot;/&gt;&lt;wsp:rsid wsp:val=&quot;003C250D&quot;/&gt;&lt;wsp:rsid wsp:val=&quot;003C34A3&quot;/&gt;&lt;wsp:rsid wsp:val=&quot;003C477C&quot;/&gt;&lt;wsp:rsid wsp:val=&quot;003C4958&quot;/&gt;&lt;wsp:rsid wsp:val=&quot;003C4D7F&quot;/&gt;&lt;wsp:rsid wsp:val=&quot;003C52D0&quot;/&gt;&lt;wsp:rsid wsp:val=&quot;003C5821&quot;/&gt;&lt;wsp:rsid wsp:val=&quot;003C5E9E&quot;/&gt;&lt;wsp:rsid wsp:val=&quot;003C6B87&quot;/&gt;&lt;wsp:rsid wsp:val=&quot;003C70E9&quot;/&gt;&lt;wsp:rsid wsp:val=&quot;003C73E6&quot;/&gt;&lt;wsp:rsid wsp:val=&quot;003C7B06&quot;/&gt;&lt;wsp:rsid wsp:val=&quot;003D0EB9&quot;/&gt;&lt;wsp:rsid wsp:val=&quot;003D1365&quot;/&gt;&lt;wsp:rsid wsp:val=&quot;003D2C70&quot;/&gt;&lt;wsp:rsid wsp:val=&quot;003D2EAE&quot;/&gt;&lt;wsp:rsid wsp:val=&quot;003D31AB&quot;/&gt;&lt;wsp:rsid wsp:val=&quot;003D3FFA&quot;/&gt;&lt;wsp:rsid wsp:val=&quot;003D47A0&quot;/&gt;&lt;wsp:rsid wsp:val=&quot;003D4AE4&quot;/&gt;&lt;wsp:rsid wsp:val=&quot;003D5855&quot;/&gt;&lt;wsp:rsid wsp:val=&quot;003D5A14&quot;/&gt;&lt;wsp:rsid wsp:val=&quot;003D6150&quot;/&gt;&lt;wsp:rsid wsp:val=&quot;003D6611&quot;/&gt;&lt;wsp:rsid wsp:val=&quot;003E0DCD&quot;/&gt;&lt;wsp:rsid wsp:val=&quot;003E1044&quot;/&gt;&lt;wsp:rsid wsp:val=&quot;003E11DE&quot;/&gt;&lt;wsp:rsid wsp:val=&quot;003E1855&quot;/&gt;&lt;wsp:rsid wsp:val=&quot;003E1DAB&quot;/&gt;&lt;wsp:rsid wsp:val=&quot;003E1E78&quot;/&gt;&lt;wsp:rsid wsp:val=&quot;003E271A&quot;/&gt;&lt;wsp:rsid wsp:val=&quot;003E43CC&quot;/&gt;&lt;wsp:rsid wsp:val=&quot;003E4A3C&quot;/&gt;&lt;wsp:rsid wsp:val=&quot;003E571E&quot;/&gt;&lt;wsp:rsid wsp:val=&quot;003E5942&quot;/&gt;&lt;wsp:rsid wsp:val=&quot;003E7183&quot;/&gt;&lt;wsp:rsid wsp:val=&quot;003E73D1&quot;/&gt;&lt;wsp:rsid wsp:val=&quot;003E7626&quot;/&gt;&lt;wsp:rsid wsp:val=&quot;003E7855&quot;/&gt;&lt;wsp:rsid wsp:val=&quot;003F07A1&quot;/&gt;&lt;wsp:rsid wsp:val=&quot;003F0988&quot;/&gt;&lt;wsp:rsid wsp:val=&quot;003F0B98&quot;/&gt;&lt;wsp:rsid wsp:val=&quot;003F3008&quot;/&gt;&lt;wsp:rsid wsp:val=&quot;003F3946&quot;/&gt;&lt;wsp:rsid wsp:val=&quot;003F3B54&quot;/&gt;&lt;wsp:rsid wsp:val=&quot;003F3BFA&quot;/&gt;&lt;wsp:rsid wsp:val=&quot;003F4123&quot;/&gt;&lt;wsp:rsid wsp:val=&quot;003F4D1C&quot;/&gt;&lt;wsp:rsid wsp:val=&quot;003F5D26&quot;/&gt;&lt;wsp:rsid wsp:val=&quot;003F5DD0&quot;/&gt;&lt;wsp:rsid wsp:val=&quot;003F681D&quot;/&gt;&lt;wsp:rsid wsp:val=&quot;003F7002&quot;/&gt;&lt;wsp:rsid wsp:val=&quot;003F7950&quot;/&gt;&lt;wsp:rsid wsp:val=&quot;003F7B86&quot;/&gt;&lt;wsp:rsid wsp:val=&quot;004002AE&quot;/&gt;&lt;wsp:rsid wsp:val=&quot;00400E3A&quot;/&gt;&lt;wsp:rsid wsp:val=&quot;00401820&quot;/&gt;&lt;wsp:rsid wsp:val=&quot;00401CDE&quot;/&gt;&lt;wsp:rsid wsp:val=&quot;00401D52&quot;/&gt;&lt;wsp:rsid wsp:val=&quot;00402215&quot;/&gt;&lt;wsp:rsid wsp:val=&quot;0040324C&quot;/&gt;&lt;wsp:rsid wsp:val=&quot;00403B32&quot;/&gt;&lt;wsp:rsid wsp:val=&quot;00403CA5&quot;/&gt;&lt;wsp:rsid wsp:val=&quot;00404C25&quot;/&gt;&lt;wsp:rsid wsp:val=&quot;00405807&quot;/&gt;&lt;wsp:rsid wsp:val=&quot;004063FE&quot;/&gt;&lt;wsp:rsid wsp:val=&quot;004072D8&quot;/&gt;&lt;wsp:rsid wsp:val=&quot;00407638&quot;/&gt;&lt;wsp:rsid wsp:val=&quot;00410F8A&quot;/&gt;&lt;wsp:rsid wsp:val=&quot;004117C6&quot;/&gt;&lt;wsp:rsid wsp:val=&quot;00413273&quot;/&gt;&lt;wsp:rsid wsp:val=&quot;004140D0&quot;/&gt;&lt;wsp:rsid wsp:val=&quot;00414F25&quot;/&gt;&lt;wsp:rsid wsp:val=&quot;004155D1&quot;/&gt;&lt;wsp:rsid wsp:val=&quot;00416483&quot;/&gt;&lt;wsp:rsid wsp:val=&quot;0041727F&quot;/&gt;&lt;wsp:rsid wsp:val=&quot;00417708&quot;/&gt;&lt;wsp:rsid wsp:val=&quot;004204AA&quot;/&gt;&lt;wsp:rsid wsp:val=&quot;00420C20&quot;/&gt;&lt;wsp:rsid wsp:val=&quot;00421070&quot;/&gt;&lt;wsp:rsid wsp:val=&quot;00422771&quot;/&gt;&lt;wsp:rsid wsp:val=&quot;00422F9D&quot;/&gt;&lt;wsp:rsid wsp:val=&quot;004241E3&quot;/&gt;&lt;wsp:rsid wsp:val=&quot;00424962&quot;/&gt;&lt;wsp:rsid wsp:val=&quot;0042506D&quot;/&gt;&lt;wsp:rsid wsp:val=&quot;00425DE7&quot;/&gt;&lt;wsp:rsid wsp:val=&quot;00425F8A&quot;/&gt;&lt;wsp:rsid wsp:val=&quot;0042614C&quot;/&gt;&lt;wsp:rsid wsp:val=&quot;004302B1&quot;/&gt;&lt;wsp:rsid wsp:val=&quot;0043079E&quot;/&gt;&lt;wsp:rsid wsp:val=&quot;00430B25&quot;/&gt;&lt;wsp:rsid wsp:val=&quot;0043130D&quot;/&gt;&lt;wsp:rsid wsp:val=&quot;004325FF&quot;/&gt;&lt;wsp:rsid wsp:val=&quot;00432FD8&quot;/&gt;&lt;wsp:rsid wsp:val=&quot;00433631&quot;/&gt;&lt;wsp:rsid wsp:val=&quot;004367CE&quot;/&gt;&lt;wsp:rsid wsp:val=&quot;00436D3D&quot;/&gt;&lt;wsp:rsid wsp:val=&quot;00437026&quot;/&gt;&lt;wsp:rsid wsp:val=&quot;00437106&quot;/&gt;&lt;wsp:rsid wsp:val=&quot;004376F3&quot;/&gt;&lt;wsp:rsid wsp:val=&quot;004378BC&quot;/&gt;&lt;wsp:rsid wsp:val=&quot;004416A2&quot;/&gt;&lt;wsp:rsid wsp:val=&quot;00442513&quot;/&gt;&lt;wsp:rsid wsp:val=&quot;00443A3C&quot;/&gt;&lt;wsp:rsid wsp:val=&quot;004453A8&quot;/&gt;&lt;wsp:rsid wsp:val=&quot;00447AE8&quot;/&gt;&lt;wsp:rsid wsp:val=&quot;00450E8E&quot;/&gt;&lt;wsp:rsid wsp:val=&quot;004516E8&quot;/&gt;&lt;wsp:rsid wsp:val=&quot;00452047&quot;/&gt;&lt;wsp:rsid wsp:val=&quot;00452B42&quot;/&gt;&lt;wsp:rsid wsp:val=&quot;0045456C&quot;/&gt;&lt;wsp:rsid wsp:val=&quot;004553A2&quot;/&gt;&lt;wsp:rsid wsp:val=&quot;00455557&quot;/&gt;&lt;wsp:rsid wsp:val=&quot;004555F6&quot;/&gt;&lt;wsp:rsid wsp:val=&quot;00455BBA&quot;/&gt;&lt;wsp:rsid wsp:val=&quot;00457A28&quot;/&gt;&lt;wsp:rsid wsp:val=&quot;00462C27&quot;/&gt;&lt;wsp:rsid wsp:val=&quot;00462E4F&quot;/&gt;&lt;wsp:rsid wsp:val=&quot;0046387E&quot;/&gt;&lt;wsp:rsid wsp:val=&quot;00464364&quot;/&gt;&lt;wsp:rsid wsp:val=&quot;004647C6&quot;/&gt;&lt;wsp:rsid wsp:val=&quot;00464ABF&quot;/&gt;&lt;wsp:rsid wsp:val=&quot;00464F58&quot;/&gt;&lt;wsp:rsid wsp:val=&quot;004652B5&quot;/&gt;&lt;wsp:rsid wsp:val=&quot;00465B69&quot;/&gt;&lt;wsp:rsid wsp:val=&quot;00465FF8&quot;/&gt;&lt;wsp:rsid wsp:val=&quot;00466607&quot;/&gt;&lt;wsp:rsid wsp:val=&quot;0046751C&quot;/&gt;&lt;wsp:rsid wsp:val=&quot;004703F9&quot;/&gt;&lt;wsp:rsid wsp:val=&quot;004715BA&quot;/&gt;&lt;wsp:rsid wsp:val=&quot;004716D4&quot;/&gt;&lt;wsp:rsid wsp:val=&quot;004722F8&quot;/&gt;&lt;wsp:rsid wsp:val=&quot;0047249B&quot;/&gt;&lt;wsp:rsid wsp:val=&quot;004749DD&quot;/&gt;&lt;wsp:rsid wsp:val=&quot;00475FA6&quot;/&gt;&lt;wsp:rsid wsp:val=&quot;0047607B&quot;/&gt;&lt;wsp:rsid wsp:val=&quot;004769E6&quot;/&gt;&lt;wsp:rsid wsp:val=&quot;00476EFD&quot;/&gt;&lt;wsp:rsid wsp:val=&quot;004773D1&quot;/&gt;&lt;wsp:rsid wsp:val=&quot;00477C76&quot;/&gt;&lt;wsp:rsid wsp:val=&quot;00481206&quot;/&gt;&lt;wsp:rsid wsp:val=&quot;0048145B&quot;/&gt;&lt;wsp:rsid wsp:val=&quot;00481C76&quot;/&gt;&lt;wsp:rsid wsp:val=&quot;00481DD6&quot;/&gt;&lt;wsp:rsid wsp:val=&quot;0048316B&quot;/&gt;&lt;wsp:rsid wsp:val=&quot;00484ED3&quot;/&gt;&lt;wsp:rsid wsp:val=&quot;0048559D&quot;/&gt;&lt;wsp:rsid wsp:val=&quot;00485A0F&quot;/&gt;&lt;wsp:rsid wsp:val=&quot;004865C5&quot;/&gt;&lt;wsp:rsid wsp:val=&quot;0049140D&quot;/&gt;&lt;wsp:rsid wsp:val=&quot;00491E53&quot;/&gt;&lt;wsp:rsid wsp:val=&quot;00494D4C&quot;/&gt;&lt;wsp:rsid wsp:val=&quot;00496164&quot;/&gt;&lt;wsp:rsid wsp:val=&quot;00496DD0&quot;/&gt;&lt;wsp:rsid wsp:val=&quot;004A007B&quot;/&gt;&lt;wsp:rsid wsp:val=&quot;004A0E83&quot;/&gt;&lt;wsp:rsid wsp:val=&quot;004A1106&quot;/&gt;&lt;wsp:rsid wsp:val=&quot;004A56DA&quot;/&gt;&lt;wsp:rsid wsp:val=&quot;004A59EA&quot;/&gt;&lt;wsp:rsid wsp:val=&quot;004B06B7&quot;/&gt;&lt;wsp:rsid wsp:val=&quot;004B0B40&quot;/&gt;&lt;wsp:rsid wsp:val=&quot;004B0C6A&quot;/&gt;&lt;wsp:rsid wsp:val=&quot;004B1602&quot;/&gt;&lt;wsp:rsid wsp:val=&quot;004B1812&quot;/&gt;&lt;wsp:rsid wsp:val=&quot;004B1F5E&quot;/&gt;&lt;wsp:rsid wsp:val=&quot;004B21EC&quot;/&gt;&lt;wsp:rsid wsp:val=&quot;004B2210&quot;/&gt;&lt;wsp:rsid wsp:val=&quot;004B49CC&quot;/&gt;&lt;wsp:rsid wsp:val=&quot;004B5042&quot;/&gt;&lt;wsp:rsid wsp:val=&quot;004B5404&quot;/&gt;&lt;wsp:rsid wsp:val=&quot;004B615C&quot;/&gt;&lt;wsp:rsid wsp:val=&quot;004B6B98&quot;/&gt;&lt;wsp:rsid wsp:val=&quot;004B7743&quot;/&gt;&lt;wsp:rsid wsp:val=&quot;004C1A0D&quot;/&gt;&lt;wsp:rsid wsp:val=&quot;004C3304&quot;/&gt;&lt;wsp:rsid wsp:val=&quot;004C45C8&quot;/&gt;&lt;wsp:rsid wsp:val=&quot;004C49B4&quot;/&gt;&lt;wsp:rsid wsp:val=&quot;004C56E5&quot;/&gt;&lt;wsp:rsid wsp:val=&quot;004D0F9A&quot;/&gt;&lt;wsp:rsid wsp:val=&quot;004D1589&quot;/&gt;&lt;wsp:rsid wsp:val=&quot;004D16A1&quot;/&gt;&lt;wsp:rsid wsp:val=&quot;004D1B62&quot;/&gt;&lt;wsp:rsid wsp:val=&quot;004D239F&quot;/&gt;&lt;wsp:rsid wsp:val=&quot;004D484A&quot;/&gt;&lt;wsp:rsid wsp:val=&quot;004D4B70&quot;/&gt;&lt;wsp:rsid wsp:val=&quot;004D6A74&quot;/&gt;&lt;wsp:rsid wsp:val=&quot;004D6C70&quot;/&gt;&lt;wsp:rsid wsp:val=&quot;004D7202&quot;/&gt;&lt;wsp:rsid wsp:val=&quot;004D7726&quot;/&gt;&lt;wsp:rsid wsp:val=&quot;004D7945&quot;/&gt;&lt;wsp:rsid wsp:val=&quot;004D7B68&quot;/&gt;&lt;wsp:rsid wsp:val=&quot;004D7BF8&quot;/&gt;&lt;wsp:rsid wsp:val=&quot;004E0029&quot;/&gt;&lt;wsp:rsid wsp:val=&quot;004E1319&quot;/&gt;&lt;wsp:rsid wsp:val=&quot;004E281B&quot;/&gt;&lt;wsp:rsid wsp:val=&quot;004E3869&quot;/&gt;&lt;wsp:rsid wsp:val=&quot;004E3C0B&quot;/&gt;&lt;wsp:rsid wsp:val=&quot;004E3FC9&quot;/&gt;&lt;wsp:rsid wsp:val=&quot;004E4821&quot;/&gt;&lt;wsp:rsid wsp:val=&quot;004E4F16&quot;/&gt;&lt;wsp:rsid wsp:val=&quot;004E632E&quot;/&gt;&lt;wsp:rsid wsp:val=&quot;004E64DF&quot;/&gt;&lt;wsp:rsid wsp:val=&quot;004E6DAC&quot;/&gt;&lt;wsp:rsid wsp:val=&quot;004E7FB2&quot;/&gt;&lt;wsp:rsid wsp:val=&quot;004F12D8&quot;/&gt;&lt;wsp:rsid wsp:val=&quot;004F1E1A&quot;/&gt;&lt;wsp:rsid wsp:val=&quot;004F2383&quot;/&gt;&lt;wsp:rsid wsp:val=&quot;004F2445&quot;/&gt;&lt;wsp:rsid wsp:val=&quot;004F2749&quot;/&gt;&lt;wsp:rsid wsp:val=&quot;004F3056&quot;/&gt;&lt;wsp:rsid wsp:val=&quot;004F3C08&quot;/&gt;&lt;wsp:rsid wsp:val=&quot;004F3F0C&quot;/&gt;&lt;wsp:rsid wsp:val=&quot;004F4537&quot;/&gt;&lt;wsp:rsid wsp:val=&quot;004F4CF9&quot;/&gt;&lt;wsp:rsid wsp:val=&quot;004F51D2&quot;/&gt;&lt;wsp:rsid wsp:val=&quot;004F58C8&quot;/&gt;&lt;wsp:rsid wsp:val=&quot;004F5C4A&quot;/&gt;&lt;wsp:rsid wsp:val=&quot;004F62D2&quot;/&gt;&lt;wsp:rsid wsp:val=&quot;00503637&quot;/&gt;&lt;wsp:rsid wsp:val=&quot;00504FCD&quot;/&gt;&lt;wsp:rsid wsp:val=&quot;0050643C&quot;/&gt;&lt;wsp:rsid wsp:val=&quot;005102E0&quot;/&gt;&lt;wsp:rsid wsp:val=&quot;005106B5&quot;/&gt;&lt;wsp:rsid wsp:val=&quot;00510909&quot;/&gt;&lt;wsp:rsid wsp:val=&quot;00510B8C&quot;/&gt;&lt;wsp:rsid wsp:val=&quot;00510C92&quot;/&gt;&lt;wsp:rsid wsp:val=&quot;00510EEF&quot;/&gt;&lt;wsp:rsid wsp:val=&quot;00511750&quot;/&gt;&lt;wsp:rsid wsp:val=&quot;005121E6&quot;/&gt;&lt;wsp:rsid wsp:val=&quot;00512F3C&quot;/&gt;&lt;wsp:rsid wsp:val=&quot;0051361F&quot;/&gt;&lt;wsp:rsid wsp:val=&quot;00513C3E&quot;/&gt;&lt;wsp:rsid wsp:val=&quot;00513DDD&quot;/&gt;&lt;wsp:rsid wsp:val=&quot;00513FAD&quot;/&gt;&lt;wsp:rsid wsp:val=&quot;0051491C&quot;/&gt;&lt;wsp:rsid wsp:val=&quot;00514F39&quot;/&gt;&lt;wsp:rsid wsp:val=&quot;005158A5&quot;/&gt;&lt;wsp:rsid wsp:val=&quot;00515E4A&quot;/&gt;&lt;wsp:rsid wsp:val=&quot;005172C0&quot;/&gt;&lt;wsp:rsid wsp:val=&quot;0052020E&quot;/&gt;&lt;wsp:rsid wsp:val=&quot;005204F9&quot;/&gt;&lt;wsp:rsid wsp:val=&quot;005208E5&quot;/&gt;&lt;wsp:rsid wsp:val=&quot;0052241F&quot;/&gt;&lt;wsp:rsid wsp:val=&quot;00522B37&quot;/&gt;&lt;wsp:rsid wsp:val=&quot;005230B0&quot;/&gt;&lt;wsp:rsid wsp:val=&quot;005239A0&quot;/&gt;&lt;wsp:rsid wsp:val=&quot;00523B5C&quot;/&gt;&lt;wsp:rsid wsp:val=&quot;00525CC1&quot;/&gt;&lt;wsp:rsid wsp:val=&quot;00527220&quot;/&gt;&lt;wsp:rsid wsp:val=&quot;005278B1&quot;/&gt;&lt;wsp:rsid wsp:val=&quot;0053177B&quot;/&gt;&lt;wsp:rsid wsp:val=&quot;005324A3&quot;/&gt;&lt;wsp:rsid wsp:val=&quot;00532754&quot;/&gt;&lt;wsp:rsid wsp:val=&quot;00533CC3&quot;/&gt;&lt;wsp:rsid wsp:val=&quot;005346C7&quot;/&gt;&lt;wsp:rsid wsp:val=&quot;00534F42&quot;/&gt;&lt;wsp:rsid wsp:val=&quot;00535098&quot;/&gt;&lt;wsp:rsid wsp:val=&quot;00535EF1&quot;/&gt;&lt;wsp:rsid wsp:val=&quot;00537954&quot;/&gt;&lt;wsp:rsid wsp:val=&quot;0054212D&quot;/&gt;&lt;wsp:rsid wsp:val=&quot;00542D13&quot;/&gt;&lt;wsp:rsid wsp:val=&quot;00543679&quot;/&gt;&lt;wsp:rsid wsp:val=&quot;005437E2&quot;/&gt;&lt;wsp:rsid wsp:val=&quot;00543B4B&quot;/&gt;&lt;wsp:rsid wsp:val=&quot;00546BF4&quot;/&gt;&lt;wsp:rsid wsp:val=&quot;00547682&quot;/&gt;&lt;wsp:rsid wsp:val=&quot;005479A6&quot;/&gt;&lt;wsp:rsid wsp:val=&quot;00547F78&quot;/&gt;&lt;wsp:rsid wsp:val=&quot;00550072&quot;/&gt;&lt;wsp:rsid wsp:val=&quot;00550962&quot;/&gt;&lt;wsp:rsid wsp:val=&quot;00550DBA&quot;/&gt;&lt;wsp:rsid wsp:val=&quot;0055100F&quot;/&gt;&lt;wsp:rsid wsp:val=&quot;005511D0&quot;/&gt;&lt;wsp:rsid wsp:val=&quot;0055124F&quot;/&gt;&lt;wsp:rsid wsp:val=&quot;00553506&quot;/&gt;&lt;wsp:rsid wsp:val=&quot;00553944&quot;/&gt;&lt;wsp:rsid wsp:val=&quot;00555325&quot;/&gt;&lt;wsp:rsid wsp:val=&quot;00555610&quot;/&gt;&lt;wsp:rsid wsp:val=&quot;0055592E&quot;/&gt;&lt;wsp:rsid wsp:val=&quot;00556D0A&quot;/&gt;&lt;wsp:rsid wsp:val=&quot;0056017F&quot;/&gt;&lt;wsp:rsid wsp:val=&quot;00562CD2&quot;/&gt;&lt;wsp:rsid wsp:val=&quot;00563851&quot;/&gt;&lt;wsp:rsid wsp:val=&quot;005641C1&quot;/&gt;&lt;wsp:rsid wsp:val=&quot;00565585&quot;/&gt;&lt;wsp:rsid wsp:val=&quot;00565DEB&quot;/&gt;&lt;wsp:rsid wsp:val=&quot;00566317&quot;/&gt;&lt;wsp:rsid wsp:val=&quot;00566343&quot;/&gt;&lt;wsp:rsid wsp:val=&quot;0056672B&quot;/&gt;&lt;wsp:rsid wsp:val=&quot;005679E3&quot;/&gt;&lt;wsp:rsid wsp:val=&quot;005707B6&quot;/&gt;&lt;wsp:rsid wsp:val=&quot;00574113&quot;/&gt;&lt;wsp:rsid wsp:val=&quot;00574558&quot;/&gt;&lt;wsp:rsid wsp:val=&quot;00574C35&quot;/&gt;&lt;wsp:rsid wsp:val=&quot;00575EE1&quot;/&gt;&lt;wsp:rsid wsp:val=&quot;005763A2&quot;/&gt;&lt;wsp:rsid wsp:val=&quot;0057661C&quot;/&gt;&lt;wsp:rsid wsp:val=&quot;00577A9E&quot;/&gt;&lt;wsp:rsid wsp:val=&quot;005801F6&quot;/&gt;&lt;wsp:rsid wsp:val=&quot;00580E18&quot;/&gt;&lt;wsp:rsid wsp:val=&quot;00581BA1&quot;/&gt;&lt;wsp:rsid wsp:val=&quot;00582060&quot;/&gt;&lt;wsp:rsid wsp:val=&quot;005822CB&quot;/&gt;&lt;wsp:rsid wsp:val=&quot;00582733&quot;/&gt;&lt;wsp:rsid wsp:val=&quot;00582B85&quot;/&gt;&lt;wsp:rsid wsp:val=&quot;00582EB6&quot;/&gt;&lt;wsp:rsid wsp:val=&quot;00583A69&quot;/&gt;&lt;wsp:rsid wsp:val=&quot;00583F75&quot;/&gt;&lt;wsp:rsid wsp:val=&quot;005841F2&quot;/&gt;&lt;wsp:rsid wsp:val=&quot;00584359&quot;/&gt;&lt;wsp:rsid wsp:val=&quot;005843AC&quot;/&gt;&lt;wsp:rsid wsp:val=&quot;00584705&quot;/&gt;&lt;wsp:rsid wsp:val=&quot;00584CB6&quot;/&gt;&lt;wsp:rsid wsp:val=&quot;005862DB&quot;/&gt;&lt;wsp:rsid wsp:val=&quot;00587311&quot;/&gt;&lt;wsp:rsid wsp:val=&quot;005878DD&quot;/&gt;&lt;wsp:rsid wsp:val=&quot;00587A3A&quot;/&gt;&lt;wsp:rsid wsp:val=&quot;00590768&quot;/&gt;&lt;wsp:rsid wsp:val=&quot;00590A14&quot;/&gt;&lt;wsp:rsid wsp:val=&quot;00590F04&quot;/&gt;&lt;wsp:rsid wsp:val=&quot;00591F1E&quot;/&gt;&lt;wsp:rsid wsp:val=&quot;00592C2F&quot;/&gt;&lt;wsp:rsid wsp:val=&quot;00593B21&quot;/&gt;&lt;wsp:rsid wsp:val=&quot;00593E54&quot;/&gt;&lt;wsp:rsid wsp:val=&quot;00594592&quot;/&gt;&lt;wsp:rsid wsp:val=&quot;00594966&quot;/&gt;&lt;wsp:rsid wsp:val=&quot;005964F9&quot;/&gt;&lt;wsp:rsid wsp:val=&quot;00596F53&quot;/&gt;&lt;wsp:rsid wsp:val=&quot;005975AD&quot;/&gt;&lt;wsp:rsid wsp:val=&quot;005A1DB8&quot;/&gt;&lt;wsp:rsid wsp:val=&quot;005A40CF&quot;/&gt;&lt;wsp:rsid wsp:val=&quot;005A4332&quot;/&gt;&lt;wsp:rsid wsp:val=&quot;005A48A1&quot;/&gt;&lt;wsp:rsid wsp:val=&quot;005A5897&quot;/&gt;&lt;wsp:rsid wsp:val=&quot;005A5D6C&quot;/&gt;&lt;wsp:rsid wsp:val=&quot;005A64B6&quot;/&gt;&lt;wsp:rsid wsp:val=&quot;005A7AB7&quot;/&gt;&lt;wsp:rsid wsp:val=&quot;005B0814&quot;/&gt;&lt;wsp:rsid wsp:val=&quot;005B0890&quot;/&gt;&lt;wsp:rsid wsp:val=&quot;005B0E48&quot;/&gt;&lt;wsp:rsid wsp:val=&quot;005B18D1&quot;/&gt;&lt;wsp:rsid wsp:val=&quot;005B1AFF&quot;/&gt;&lt;wsp:rsid wsp:val=&quot;005B1C57&quot;/&gt;&lt;wsp:rsid wsp:val=&quot;005B2D46&quot;/&gt;&lt;wsp:rsid wsp:val=&quot;005B4192&quot;/&gt;&lt;wsp:rsid wsp:val=&quot;005B459D&quot;/&gt;&lt;wsp:rsid wsp:val=&quot;005B58FD&quot;/&gt;&lt;wsp:rsid wsp:val=&quot;005B5BEA&quot;/&gt;&lt;wsp:rsid wsp:val=&quot;005B6E61&quot;/&gt;&lt;wsp:rsid wsp:val=&quot;005B7338&quot;/&gt;&lt;wsp:rsid wsp:val=&quot;005B7800&quot;/&gt;&lt;wsp:rsid wsp:val=&quot;005B78EB&quot;/&gt;&lt;wsp:rsid wsp:val=&quot;005C02B4&quot;/&gt;&lt;wsp:rsid wsp:val=&quot;005C1439&quot;/&gt;&lt;wsp:rsid wsp:val=&quot;005C1DD6&quot;/&gt;&lt;wsp:rsid wsp:val=&quot;005C3962&quot;/&gt;&lt;wsp:rsid wsp:val=&quot;005C3EE5&quot;/&gt;&lt;wsp:rsid wsp:val=&quot;005C4116&quot;/&gt;&lt;wsp:rsid wsp:val=&quot;005C5C02&quot;/&gt;&lt;wsp:rsid wsp:val=&quot;005C61AD&quot;/&gt;&lt;wsp:rsid wsp:val=&quot;005D06C0&quot;/&gt;&lt;wsp:rsid wsp:val=&quot;005D2A07&quot;/&gt;&lt;wsp:rsid wsp:val=&quot;005D4B05&quot;/&gt;&lt;wsp:rsid wsp:val=&quot;005D5BEA&quot;/&gt;&lt;wsp:rsid wsp:val=&quot;005D5F6E&quot;/&gt;&lt;wsp:rsid wsp:val=&quot;005D62F9&quot;/&gt;&lt;wsp:rsid wsp:val=&quot;005E13F7&quot;/&gt;&lt;wsp:rsid wsp:val=&quot;005E2B40&quot;/&gt;&lt;wsp:rsid wsp:val=&quot;005E3571&quot;/&gt;&lt;wsp:rsid wsp:val=&quot;005E3CC9&quot;/&gt;&lt;wsp:rsid wsp:val=&quot;005E4AB4&quot;/&gt;&lt;wsp:rsid wsp:val=&quot;005E5522&quot;/&gt;&lt;wsp:rsid wsp:val=&quot;005E585A&quot;/&gt;&lt;wsp:rsid wsp:val=&quot;005E63FE&quot;/&gt;&lt;wsp:rsid wsp:val=&quot;005E691E&quot;/&gt;&lt;wsp:rsid wsp:val=&quot;005E72BA&quot;/&gt;&lt;wsp:rsid wsp:val=&quot;005F1670&quot;/&gt;&lt;wsp:rsid wsp:val=&quot;005F1ED8&quot;/&gt;&lt;wsp:rsid wsp:val=&quot;005F2EE1&quot;/&gt;&lt;wsp:rsid wsp:val=&quot;005F30C6&quot;/&gt;&lt;wsp:rsid wsp:val=&quot;005F3DE0&quot;/&gt;&lt;wsp:rsid wsp:val=&quot;005F48EA&quot;/&gt;&lt;wsp:rsid wsp:val=&quot;005F61DA&quot;/&gt;&lt;wsp:rsid wsp:val=&quot;005F7207&quot;/&gt;&lt;wsp:rsid wsp:val=&quot;005F7757&quot;/&gt;&lt;wsp:rsid wsp:val=&quot;005F7C95&quot;/&gt;&lt;wsp:rsid wsp:val=&quot;00600357&quot;/&gt;&lt;wsp:rsid wsp:val=&quot;00600401&quot;/&gt;&lt;wsp:rsid wsp:val=&quot;00603AC3&quot;/&gt;&lt;wsp:rsid wsp:val=&quot;00603C75&quot;/&gt;&lt;wsp:rsid wsp:val=&quot;00603C8C&quot;/&gt;&lt;wsp:rsid wsp:val=&quot;00604BDE&quot;/&gt;&lt;wsp:rsid wsp:val=&quot;0060633A&quot;/&gt;&lt;wsp:rsid wsp:val=&quot;006063E1&quot;/&gt;&lt;wsp:rsid wsp:val=&quot;0060654D&quot;/&gt;&lt;wsp:rsid wsp:val=&quot;006065DB&quot;/&gt;&lt;wsp:rsid wsp:val=&quot;0060692D&quot;/&gt;&lt;wsp:rsid wsp:val=&quot;00606B04&quot;/&gt;&lt;wsp:rsid wsp:val=&quot;00607484&quot;/&gt;&lt;wsp:rsid wsp:val=&quot;00610752&quot;/&gt;&lt;wsp:rsid wsp:val=&quot;00610900&quot;/&gt;&lt;wsp:rsid wsp:val=&quot;00611CE5&quot;/&gt;&lt;wsp:rsid wsp:val=&quot;006122D4&quot;/&gt;&lt;wsp:rsid wsp:val=&quot;006126ED&quot;/&gt;&lt;wsp:rsid wsp:val=&quot;00613AA8&quot;/&gt;&lt;wsp:rsid wsp:val=&quot;00614604&quot;/&gt;&lt;wsp:rsid wsp:val=&quot;00615075&quot;/&gt;&lt;wsp:rsid wsp:val=&quot;00615772&quot;/&gt;&lt;wsp:rsid wsp:val=&quot;00616292&quot;/&gt;&lt;wsp:rsid wsp:val=&quot;00616595&quot;/&gt;&lt;wsp:rsid wsp:val=&quot;0061753F&quot;/&gt;&lt;wsp:rsid wsp:val=&quot;006177C6&quot;/&gt;&lt;wsp:rsid wsp:val=&quot;00617CA1&quot;/&gt;&lt;wsp:rsid wsp:val=&quot;00620C61&quot;/&gt;&lt;wsp:rsid wsp:val=&quot;00621589&quot;/&gt;&lt;wsp:rsid wsp:val=&quot;00621AA5&quot;/&gt;&lt;wsp:rsid wsp:val=&quot;00621F8B&quot;/&gt;&lt;wsp:rsid wsp:val=&quot;006228CC&quot;/&gt;&lt;wsp:rsid wsp:val=&quot;00622FB3&quot;/&gt;&lt;wsp:rsid wsp:val=&quot;006251FF&quot;/&gt;&lt;wsp:rsid wsp:val=&quot;006269D5&quot;/&gt;&lt;wsp:rsid wsp:val=&quot;006301BA&quot;/&gt;&lt;wsp:rsid wsp:val=&quot;00630386&quot;/&gt;&lt;wsp:rsid wsp:val=&quot;00630692&quot;/&gt;&lt;wsp:rsid wsp:val=&quot;006317BD&quot;/&gt;&lt;wsp:rsid wsp:val=&quot;006321F6&quot;/&gt;&lt;wsp:rsid wsp:val=&quot;006325D3&quot;/&gt;&lt;wsp:rsid wsp:val=&quot;0063329D&quot;/&gt;&lt;wsp:rsid wsp:val=&quot;0063595F&quot;/&gt;&lt;wsp:rsid wsp:val=&quot;00640015&quot;/&gt;&lt;wsp:rsid wsp:val=&quot;006400E6&quot;/&gt;&lt;wsp:rsid wsp:val=&quot;006404CE&quot;/&gt;&lt;wsp:rsid wsp:val=&quot;00641034&quot;/&gt;&lt;wsp:rsid wsp:val=&quot;00644C91&quot;/&gt;&lt;wsp:rsid wsp:val=&quot;0064519D&quot;/&gt;&lt;wsp:rsid wsp:val=&quot;006453EF&quot;/&gt;&lt;wsp:rsid wsp:val=&quot;0064594A&quot;/&gt;&lt;wsp:rsid wsp:val=&quot;006459F9&quot;/&gt;&lt;wsp:rsid wsp:val=&quot;0064649F&quot;/&gt;&lt;wsp:rsid wsp:val=&quot;006466A7&quot;/&gt;&lt;wsp:rsid wsp:val=&quot;00647F02&quot;/&gt;&lt;wsp:rsid wsp:val=&quot;00647FF5&quot;/&gt;&lt;wsp:rsid wsp:val=&quot;00650B6F&quot;/&gt;&lt;wsp:rsid wsp:val=&quot;00651035&quot;/&gt;&lt;wsp:rsid wsp:val=&quot;00652C4D&quot;/&gt;&lt;wsp:rsid wsp:val=&quot;00652FB7&quot;/&gt;&lt;wsp:rsid wsp:val=&quot;00653AC5&quot;/&gt;&lt;wsp:rsid wsp:val=&quot;00653B44&quot;/&gt;&lt;wsp:rsid wsp:val=&quot;00653C44&quot;/&gt;&lt;wsp:rsid wsp:val=&quot;00655112&quot;/&gt;&lt;wsp:rsid wsp:val=&quot;0065555D&quot;/&gt;&lt;wsp:rsid wsp:val=&quot;00655CD8&quot;/&gt;&lt;wsp:rsid wsp:val=&quot;0065638C&quot;/&gt;&lt;wsp:rsid wsp:val=&quot;006578EA&quot;/&gt;&lt;wsp:rsid wsp:val=&quot;00661080&quot;/&gt;&lt;wsp:rsid wsp:val=&quot;006614E4&quot;/&gt;&lt;wsp:rsid wsp:val=&quot;00661AAC&quot;/&gt;&lt;wsp:rsid wsp:val=&quot;00661B12&quot;/&gt;&lt;wsp:rsid wsp:val=&quot;006631EE&quot;/&gt;&lt;wsp:rsid wsp:val=&quot;00663B51&quot;/&gt;&lt;wsp:rsid wsp:val=&quot;00663D09&quot;/&gt;&lt;wsp:rsid wsp:val=&quot;00665848&quot;/&gt;&lt;wsp:rsid wsp:val=&quot;00667A4A&quot;/&gt;&lt;wsp:rsid wsp:val=&quot;00671981&quot;/&gt;&lt;wsp:rsid wsp:val=&quot;00671EA8&quot;/&gt;&lt;wsp:rsid wsp:val=&quot;0067217C&quot;/&gt;&lt;wsp:rsid wsp:val=&quot;00672778&quot;/&gt;&lt;wsp:rsid wsp:val=&quot;006736F2&quot;/&gt;&lt;wsp:rsid wsp:val=&quot;00673A9F&quot;/&gt;&lt;wsp:rsid wsp:val=&quot;00673B36&quot;/&gt;&lt;wsp:rsid wsp:val=&quot;0067544F&quot;/&gt;&lt;wsp:rsid wsp:val=&quot;00675501&quot;/&gt;&lt;wsp:rsid wsp:val=&quot;00675EC6&quot;/&gt;&lt;wsp:rsid wsp:val=&quot;00675FCE&quot;/&gt;&lt;wsp:rsid wsp:val=&quot;0067710A&quot;/&gt;&lt;wsp:rsid wsp:val=&quot;0068025B&quot;/&gt;&lt;wsp:rsid wsp:val=&quot;0068167C&quot;/&gt;&lt;wsp:rsid wsp:val=&quot;00682912&quot;/&gt;&lt;wsp:rsid wsp:val=&quot;00683171&quot;/&gt;&lt;wsp:rsid wsp:val=&quot;006831F2&quot;/&gt;&lt;wsp:rsid wsp:val=&quot;006847EF&quot;/&gt;&lt;wsp:rsid wsp:val=&quot;00684C06&quot;/&gt;&lt;wsp:rsid wsp:val=&quot;00685B6F&quot;/&gt;&lt;wsp:rsid wsp:val=&quot;00685C0F&quot;/&gt;&lt;wsp:rsid wsp:val=&quot;0068656A&quot;/&gt;&lt;wsp:rsid wsp:val=&quot;00686584&quot;/&gt;&lt;wsp:rsid wsp:val=&quot;006874B5&quot;/&gt;&lt;wsp:rsid wsp:val=&quot;00687DE5&quot;/&gt;&lt;wsp:rsid wsp:val=&quot;00690495&quot;/&gt;&lt;wsp:rsid wsp:val=&quot;00690976&quot;/&gt;&lt;wsp:rsid wsp:val=&quot;00690D0D&quot;/&gt;&lt;wsp:rsid wsp:val=&quot;00691997&quot;/&gt;&lt;wsp:rsid wsp:val=&quot;00691A2C&quot;/&gt;&lt;wsp:rsid wsp:val=&quot;00691BEA&quot;/&gt;&lt;wsp:rsid wsp:val=&quot;00692049&quot;/&gt;&lt;wsp:rsid wsp:val=&quot;00692346&quot;/&gt;&lt;wsp:rsid wsp:val=&quot;006933B0&quot;/&gt;&lt;wsp:rsid wsp:val=&quot;00693629&quot;/&gt;&lt;wsp:rsid wsp:val=&quot;006941D3&quot;/&gt;&lt;wsp:rsid wsp:val=&quot;0069434C&quot;/&gt;&lt;wsp:rsid wsp:val=&quot;006945D9&quot;/&gt;&lt;wsp:rsid wsp:val=&quot;0069499A&quot;/&gt;&lt;wsp:rsid wsp:val=&quot;00694E7A&quot;/&gt;&lt;wsp:rsid wsp:val=&quot;00694F9B&quot;/&gt;&lt;wsp:rsid wsp:val=&quot;00696766&quot;/&gt;&lt;wsp:rsid wsp:val=&quot;00697427&quot;/&gt;&lt;wsp:rsid wsp:val=&quot;006976D2&quot;/&gt;&lt;wsp:rsid wsp:val=&quot;00697B3C&quot;/&gt;&lt;wsp:rsid wsp:val=&quot;00697C97&quot;/&gt;&lt;wsp:rsid wsp:val=&quot;006A0977&quot;/&gt;&lt;wsp:rsid wsp:val=&quot;006A15CD&quot;/&gt;&lt;wsp:rsid wsp:val=&quot;006A194B&quot;/&gt;&lt;wsp:rsid wsp:val=&quot;006A1BF7&quot;/&gt;&lt;wsp:rsid wsp:val=&quot;006A1C8B&quot;/&gt;&lt;wsp:rsid wsp:val=&quot;006A2310&quot;/&gt;&lt;wsp:rsid wsp:val=&quot;006A2764&quot;/&gt;&lt;wsp:rsid wsp:val=&quot;006A2DF7&quot;/&gt;&lt;wsp:rsid wsp:val=&quot;006A47D8&quot;/&gt;&lt;wsp:rsid wsp:val=&quot;006A67B6&quot;/&gt;&lt;wsp:rsid wsp:val=&quot;006A6904&quot;/&gt;&lt;wsp:rsid wsp:val=&quot;006A6FC1&quot;/&gt;&lt;wsp:rsid wsp:val=&quot;006A704F&quot;/&gt;&lt;wsp:rsid wsp:val=&quot;006A7359&quot;/&gt;&lt;wsp:rsid wsp:val=&quot;006A76C9&quot;/&gt;&lt;wsp:rsid wsp:val=&quot;006B05E4&quot;/&gt;&lt;wsp:rsid wsp:val=&quot;006B13DA&quot;/&gt;&lt;wsp:rsid wsp:val=&quot;006B1AFB&quot;/&gt;&lt;wsp:rsid wsp:val=&quot;006B1BB0&quot;/&gt;&lt;wsp:rsid wsp:val=&quot;006B1BE5&quot;/&gt;&lt;wsp:rsid wsp:val=&quot;006B4179&quot;/&gt;&lt;wsp:rsid wsp:val=&quot;006B4BF1&quot;/&gt;&lt;wsp:rsid wsp:val=&quot;006B6443&quot;/&gt;&lt;wsp:rsid wsp:val=&quot;006B6CEE&quot;/&gt;&lt;wsp:rsid wsp:val=&quot;006B73DB&quot;/&gt;&lt;wsp:rsid wsp:val=&quot;006B780F&quot;/&gt;&lt;wsp:rsid wsp:val=&quot;006B7CA6&quot;/&gt;&lt;wsp:rsid wsp:val=&quot;006C232D&quot;/&gt;&lt;wsp:rsid wsp:val=&quot;006C2C8E&quot;/&gt;&lt;wsp:rsid wsp:val=&quot;006C3817&quot;/&gt;&lt;wsp:rsid wsp:val=&quot;006C3E19&quot;/&gt;&lt;wsp:rsid wsp:val=&quot;006C5D0D&quot;/&gt;&lt;wsp:rsid wsp:val=&quot;006C607D&quot;/&gt;&lt;wsp:rsid wsp:val=&quot;006C6E44&quot;/&gt;&lt;wsp:rsid wsp:val=&quot;006D07F9&quot;/&gt;&lt;wsp:rsid wsp:val=&quot;006D145E&quot;/&gt;&lt;wsp:rsid wsp:val=&quot;006D1896&quot;/&gt;&lt;wsp:rsid wsp:val=&quot;006D2423&quot;/&gt;&lt;wsp:rsid wsp:val=&quot;006D448D&quot;/&gt;&lt;wsp:rsid wsp:val=&quot;006D518B&quot;/&gt;&lt;wsp:rsid wsp:val=&quot;006D5733&quot;/&gt;&lt;wsp:rsid wsp:val=&quot;006D5EC4&quot;/&gt;&lt;wsp:rsid wsp:val=&quot;006D7AEC&quot;/&gt;&lt;wsp:rsid wsp:val=&quot;006E11CA&quot;/&gt;&lt;wsp:rsid wsp:val=&quot;006E136C&quot;/&gt;&lt;wsp:rsid wsp:val=&quot;006E1D52&quot;/&gt;&lt;wsp:rsid wsp:val=&quot;006E33FC&quot;/&gt;&lt;wsp:rsid wsp:val=&quot;006E42AE&quot;/&gt;&lt;wsp:rsid wsp:val=&quot;006E6637&quot;/&gt;&lt;wsp:rsid wsp:val=&quot;006E67C1&quot;/&gt;&lt;wsp:rsid wsp:val=&quot;006E7853&quot;/&gt;&lt;wsp:rsid wsp:val=&quot;006E7D2C&quot;/&gt;&lt;wsp:rsid wsp:val=&quot;006F0747&quot;/&gt;&lt;wsp:rsid wsp:val=&quot;006F0C3C&quot;/&gt;&lt;wsp:rsid wsp:val=&quot;006F1773&quot;/&gt;&lt;wsp:rsid wsp:val=&quot;006F34CD&quot;/&gt;&lt;wsp:rsid wsp:val=&quot;006F4136&quot;/&gt;&lt;wsp:rsid wsp:val=&quot;006F5B6E&quot;/&gt;&lt;wsp:rsid wsp:val=&quot;006F647A&quot;/&gt;&lt;wsp:rsid wsp:val=&quot;006F6D54&quot;/&gt;&lt;wsp:rsid wsp:val=&quot;0070028C&quot;/&gt;&lt;wsp:rsid wsp:val=&quot;00700AF6&quot;/&gt;&lt;wsp:rsid wsp:val=&quot;00702D6A&quot;/&gt;&lt;wsp:rsid wsp:val=&quot;00702E62&quot;/&gt;&lt;wsp:rsid wsp:val=&quot;007040B9&quot;/&gt;&lt;wsp:rsid wsp:val=&quot;00704DEC&quot;/&gt;&lt;wsp:rsid wsp:val=&quot;007070D6&quot;/&gt;&lt;wsp:rsid wsp:val=&quot;007077E8&quot;/&gt;&lt;wsp:rsid wsp:val=&quot;00707BE5&quot;/&gt;&lt;wsp:rsid wsp:val=&quot;007103B6&quot;/&gt;&lt;wsp:rsid wsp:val=&quot;00710836&quot;/&gt;&lt;wsp:rsid wsp:val=&quot;007111A1&quot;/&gt;&lt;wsp:rsid wsp:val=&quot;007111B9&quot;/&gt;&lt;wsp:rsid wsp:val=&quot;00711775&quot;/&gt;&lt;wsp:rsid wsp:val=&quot;007121BD&quot;/&gt;&lt;wsp:rsid wsp:val=&quot;00712C49&quot;/&gt;&lt;wsp:rsid wsp:val=&quot;00713278&quot;/&gt;&lt;wsp:rsid wsp:val=&quot;00713E9C&quot;/&gt;&lt;wsp:rsid wsp:val=&quot;00713F5B&quot;/&gt;&lt;wsp:rsid wsp:val=&quot;00714243&quot;/&gt;&lt;wsp:rsid wsp:val=&quot;00715162&quot;/&gt;&lt;wsp:rsid wsp:val=&quot;0071596E&quot;/&gt;&lt;wsp:rsid wsp:val=&quot;00715EDE&quot;/&gt;&lt;wsp:rsid wsp:val=&quot;00717EA5&quot;/&gt;&lt;wsp:rsid wsp:val=&quot;00720FAC&quot;/&gt;&lt;wsp:rsid wsp:val=&quot;007210B2&quot;/&gt;&lt;wsp:rsid wsp:val=&quot;007216E2&quot;/&gt;&lt;wsp:rsid wsp:val=&quot;00721940&quot;/&gt;&lt;wsp:rsid wsp:val=&quot;00721EDB&quot;/&gt;&lt;wsp:rsid wsp:val=&quot;007225A3&quot;/&gt;&lt;wsp:rsid wsp:val=&quot;00722ADC&quot;/&gt;&lt;wsp:rsid wsp:val=&quot;007237A2&quot;/&gt;&lt;wsp:rsid wsp:val=&quot;007239C6&quot;/&gt;&lt;wsp:rsid wsp:val=&quot;0072402E&quot;/&gt;&lt;wsp:rsid wsp:val=&quot;007240BF&quot;/&gt;&lt;wsp:rsid wsp:val=&quot;00725328&quot;/&gt;&lt;wsp:rsid wsp:val=&quot;007259A5&quot;/&gt;&lt;wsp:rsid wsp:val=&quot;00725F49&quot;/&gt;&lt;wsp:rsid wsp:val=&quot;00727712&quot;/&gt;&lt;wsp:rsid wsp:val=&quot;00727DCD&quot;/&gt;&lt;wsp:rsid wsp:val=&quot;00727E13&quot;/&gt;&lt;wsp:rsid wsp:val=&quot;00730879&quot;/&gt;&lt;wsp:rsid wsp:val=&quot;00731127&quot;/&gt;&lt;wsp:rsid wsp:val=&quot;00731744&quot;/&gt;&lt;wsp:rsid wsp:val=&quot;007317A7&quot;/&gt;&lt;wsp:rsid wsp:val=&quot;00731AE9&quot;/&gt;&lt;wsp:rsid wsp:val=&quot;0073207F&quot;/&gt;&lt;wsp:rsid wsp:val=&quot;007333F0&quot;/&gt;&lt;wsp:rsid wsp:val=&quot;00733B03&quot;/&gt;&lt;wsp:rsid wsp:val=&quot;0073422E&quot;/&gt;&lt;wsp:rsid wsp:val=&quot;007349EF&quot;/&gt;&lt;wsp:rsid wsp:val=&quot;007362FE&quot;/&gt;&lt;wsp:rsid wsp:val=&quot;00736C09&quot;/&gt;&lt;wsp:rsid wsp:val=&quot;007370B4&quot;/&gt;&lt;wsp:rsid wsp:val=&quot;007371A8&quot;/&gt;&lt;wsp:rsid wsp:val=&quot;0073755E&quot;/&gt;&lt;wsp:rsid wsp:val=&quot;007403AB&quot;/&gt;&lt;wsp:rsid wsp:val=&quot;007417AC&quot;/&gt;&lt;wsp:rsid wsp:val=&quot;00742498&quot;/&gt;&lt;wsp:rsid wsp:val=&quot;00742CE6&quot;/&gt;&lt;wsp:rsid wsp:val=&quot;00743591&quot;/&gt;&lt;wsp:rsid wsp:val=&quot;007447CF&quot;/&gt;&lt;wsp:rsid wsp:val=&quot;007449C9&quot;/&gt;&lt;wsp:rsid wsp:val=&quot;00744A19&quot;/&gt;&lt;wsp:rsid wsp:val=&quot;00745885&quot;/&gt;&lt;wsp:rsid wsp:val=&quot;00745948&quot;/&gt;&lt;wsp:rsid wsp:val=&quot;00745CF7&quot;/&gt;&lt;wsp:rsid wsp:val=&quot;00746F75&quot;/&gt;&lt;wsp:rsid wsp:val=&quot;0074763E&quot;/&gt;&lt;wsp:rsid wsp:val=&quot;00747781&quot;/&gt;&lt;wsp:rsid wsp:val=&quot;00747C18&quot;/&gt;&lt;wsp:rsid wsp:val=&quot;007504F0&quot;/&gt;&lt;wsp:rsid wsp:val=&quot;0075342E&quot;/&gt;&lt;wsp:rsid wsp:val=&quot;00753494&quot;/&gt;&lt;wsp:rsid wsp:val=&quot;007534F5&quot;/&gt;&lt;wsp:rsid wsp:val=&quot;00754DBB&quot;/&gt;&lt;wsp:rsid wsp:val=&quot;00756FEC&quot;/&gt;&lt;wsp:rsid wsp:val=&quot;00757433&quot;/&gt;&lt;wsp:rsid wsp:val=&quot;00757B76&quot;/&gt;&lt;wsp:rsid wsp:val=&quot;00761096&quot;/&gt;&lt;wsp:rsid wsp:val=&quot;00762677&quot;/&gt;&lt;wsp:rsid wsp:val=&quot;00762ACE&quot;/&gt;&lt;wsp:rsid wsp:val=&quot;00762CFA&quot;/&gt;&lt;wsp:rsid wsp:val=&quot;00762E0C&quot;/&gt;&lt;wsp:rsid wsp:val=&quot;00764A2B&quot;/&gt;&lt;wsp:rsid wsp:val=&quot;0076543E&quot;/&gt;&lt;wsp:rsid wsp:val=&quot;0076650B&quot;/&gt;&lt;wsp:rsid wsp:val=&quot;00767048&quot;/&gt;&lt;wsp:rsid wsp:val=&quot;00767B48&quot;/&gt;&lt;wsp:rsid wsp:val=&quot;0077286C&quot;/&gt;&lt;wsp:rsid wsp:val=&quot;00772A71&quot;/&gt;&lt;wsp:rsid wsp:val=&quot;007736CC&quot;/&gt;&lt;wsp:rsid wsp:val=&quot;00774A32&quot;/&gt;&lt;wsp:rsid wsp:val=&quot;007763A9&quot;/&gt;&lt;wsp:rsid wsp:val=&quot;007767B1&quot;/&gt;&lt;wsp:rsid wsp:val=&quot;00776862&quot;/&gt;&lt;wsp:rsid wsp:val=&quot;00781C58&quot;/&gt;&lt;wsp:rsid wsp:val=&quot;0078201E&quot;/&gt;&lt;wsp:rsid wsp:val=&quot;00783287&quot;/&gt;&lt;wsp:rsid wsp:val=&quot;0078562D&quot;/&gt;&lt;wsp:rsid wsp:val=&quot;007869AB&quot;/&gt;&lt;wsp:rsid wsp:val=&quot;00787AA0&quot;/&gt;&lt;wsp:rsid wsp:val=&quot;007903FA&quot;/&gt;&lt;wsp:rsid wsp:val=&quot;00790826&quot;/&gt;&lt;wsp:rsid wsp:val=&quot;00791158&quot;/&gt;&lt;wsp:rsid wsp:val=&quot;00791876&quot;/&gt;&lt;wsp:rsid wsp:val=&quot;00791DF4&quot;/&gt;&lt;wsp:rsid wsp:val=&quot;00791F26&quot;/&gt;&lt;wsp:rsid wsp:val=&quot;007922BF&quot;/&gt;&lt;wsp:rsid wsp:val=&quot;00792C82&quot;/&gt;&lt;wsp:rsid wsp:val=&quot;00792D76&quot;/&gt;&lt;wsp:rsid wsp:val=&quot;00793368&quot;/&gt;&lt;wsp:rsid wsp:val=&quot;007935D0&quot;/&gt;&lt;wsp:rsid wsp:val=&quot;007940C6&quot;/&gt;&lt;wsp:rsid wsp:val=&quot;00795042&quot;/&gt;&lt;wsp:rsid wsp:val=&quot;00795389&quot;/&gt;&lt;wsp:rsid wsp:val=&quot;00795512&quot;/&gt;&lt;wsp:rsid wsp:val=&quot;00795DB6&quot;/&gt;&lt;wsp:rsid wsp:val=&quot;00796037&quot;/&gt;&lt;wsp:rsid wsp:val=&quot;00796B41&quot;/&gt;&lt;wsp:rsid wsp:val=&quot;00796C90&quot;/&gt;&lt;wsp:rsid wsp:val=&quot;007A030A&quot;/&gt;&lt;wsp:rsid wsp:val=&quot;007A071D&quot;/&gt;&lt;wsp:rsid wsp:val=&quot;007A0979&quot;/&gt;&lt;wsp:rsid wsp:val=&quot;007A2079&quot;/&gt;&lt;wsp:rsid wsp:val=&quot;007A268B&quot;/&gt;&lt;wsp:rsid wsp:val=&quot;007A2E0B&quot;/&gt;&lt;wsp:rsid wsp:val=&quot;007A358F&quot;/&gt;&lt;wsp:rsid wsp:val=&quot;007A4AFE&quot;/&gt;&lt;wsp:rsid wsp:val=&quot;007A543A&quot;/&gt;&lt;wsp:rsid wsp:val=&quot;007A5496&quot;/&gt;&lt;wsp:rsid wsp:val=&quot;007A5869&quot;/&gt;&lt;wsp:rsid wsp:val=&quot;007A5B11&quot;/&gt;&lt;wsp:rsid wsp:val=&quot;007A5B68&quot;/&gt;&lt;wsp:rsid wsp:val=&quot;007A63D4&quot;/&gt;&lt;wsp:rsid wsp:val=&quot;007A7229&quot;/&gt;&lt;wsp:rsid wsp:val=&quot;007A7743&quot;/&gt;&lt;wsp:rsid wsp:val=&quot;007A7E8E&quot;/&gt;&lt;wsp:rsid wsp:val=&quot;007B12FC&quot;/&gt;&lt;wsp:rsid wsp:val=&quot;007B23E3&quot;/&gt;&lt;wsp:rsid wsp:val=&quot;007B28C5&quot;/&gt;&lt;wsp:rsid wsp:val=&quot;007B2AD0&quot;/&gt;&lt;wsp:rsid wsp:val=&quot;007B2F08&quot;/&gt;&lt;wsp:rsid wsp:val=&quot;007B3986&quot;/&gt;&lt;wsp:rsid wsp:val=&quot;007B3F1A&quot;/&gt;&lt;wsp:rsid wsp:val=&quot;007B5AAC&quot;/&gt;&lt;wsp:rsid wsp:val=&quot;007B5AE6&quot;/&gt;&lt;wsp:rsid wsp:val=&quot;007B6C42&quot;/&gt;&lt;wsp:rsid wsp:val=&quot;007B6FD3&quot;/&gt;&lt;wsp:rsid wsp:val=&quot;007B737A&quot;/&gt;&lt;wsp:rsid wsp:val=&quot;007C0C39&quot;/&gt;&lt;wsp:rsid wsp:val=&quot;007C0D54&quot;/&gt;&lt;wsp:rsid wsp:val=&quot;007C25B1&quot;/&gt;&lt;wsp:rsid wsp:val=&quot;007C27C7&quot;/&gt;&lt;wsp:rsid wsp:val=&quot;007C2A04&quot;/&gt;&lt;wsp:rsid wsp:val=&quot;007C353E&quot;/&gt;&lt;wsp:rsid wsp:val=&quot;007C5810&quot;/&gt;&lt;wsp:rsid wsp:val=&quot;007C61FB&quot;/&gt;&lt;wsp:rsid wsp:val=&quot;007C65A6&quot;/&gt;&lt;wsp:rsid wsp:val=&quot;007C75B0&quot;/&gt;&lt;wsp:rsid wsp:val=&quot;007C76BD&quot;/&gt;&lt;wsp:rsid wsp:val=&quot;007D04A7&quot;/&gt;&lt;wsp:rsid wsp:val=&quot;007D19F5&quot;/&gt;&lt;wsp:rsid wsp:val=&quot;007D2673&quot;/&gt;&lt;wsp:rsid wsp:val=&quot;007D2985&quot;/&gt;&lt;wsp:rsid wsp:val=&quot;007D2FF8&quot;/&gt;&lt;wsp:rsid wsp:val=&quot;007D3620&quot;/&gt;&lt;wsp:rsid wsp:val=&quot;007D37FC&quot;/&gt;&lt;wsp:rsid wsp:val=&quot;007D394D&quot;/&gt;&lt;wsp:rsid wsp:val=&quot;007D3ECA&quot;/&gt;&lt;wsp:rsid wsp:val=&quot;007D42AC&quot;/&gt;&lt;wsp:rsid wsp:val=&quot;007D4448&quot;/&gt;&lt;wsp:rsid wsp:val=&quot;007D5068&quot;/&gt;&lt;wsp:rsid wsp:val=&quot;007D5260&quot;/&gt;&lt;wsp:rsid wsp:val=&quot;007D5F01&quot;/&gt;&lt;wsp:rsid wsp:val=&quot;007D6D5D&quot;/&gt;&lt;wsp:rsid wsp:val=&quot;007D7F05&quot;/&gt;&lt;wsp:rsid wsp:val=&quot;007E0449&quot;/&gt;&lt;wsp:rsid wsp:val=&quot;007E29B8&quot;/&gt;&lt;wsp:rsid wsp:val=&quot;007E3780&quot;/&gt;&lt;wsp:rsid wsp:val=&quot;007E3855&quot;/&gt;&lt;wsp:rsid wsp:val=&quot;007E5C52&quot;/&gt;&lt;wsp:rsid wsp:val=&quot;007E603A&quot;/&gt;&lt;wsp:rsid wsp:val=&quot;007E71A5&quot;/&gt;&lt;wsp:rsid wsp:val=&quot;007E7227&quot;/&gt;&lt;wsp:rsid wsp:val=&quot;007E785E&quot;/&gt;&lt;wsp:rsid wsp:val=&quot;007F0681&quot;/&gt;&lt;wsp:rsid wsp:val=&quot;007F0D6F&quot;/&gt;&lt;wsp:rsid wsp:val=&quot;007F328B&quot;/&gt;&lt;wsp:rsid wsp:val=&quot;007F33CA&quot;/&gt;&lt;wsp:rsid wsp:val=&quot;007F4507&quot;/&gt;&lt;wsp:rsid wsp:val=&quot;007F47E0&quot;/&gt;&lt;wsp:rsid wsp:val=&quot;007F4818&quot;/&gt;&lt;wsp:rsid wsp:val=&quot;007F56A6&quot;/&gt;&lt;wsp:rsid wsp:val=&quot;008003C7&quot;/&gt;&lt;wsp:rsid wsp:val=&quot;008005A0&quot;/&gt;&lt;wsp:rsid wsp:val=&quot;00800A44&quot;/&gt;&lt;wsp:rsid wsp:val=&quot;0080116B&quot;/&gt;&lt;wsp:rsid wsp:val=&quot;0080398B&quot;/&gt;&lt;wsp:rsid wsp:val=&quot;00803C2A&quot;/&gt;&lt;wsp:rsid wsp:val=&quot;00804126&quot;/&gt;&lt;wsp:rsid wsp:val=&quot;008042A9&quot;/&gt;&lt;wsp:rsid wsp:val=&quot;00805B08&quot;/&gt;&lt;wsp:rsid wsp:val=&quot;00805DDE&quot;/&gt;&lt;wsp:rsid wsp:val=&quot;00806DCF&quot;/&gt;&lt;wsp:rsid wsp:val=&quot;0080703E&quot;/&gt;&lt;wsp:rsid wsp:val=&quot;0080777F&quot;/&gt;&lt;wsp:rsid wsp:val=&quot;00807F1D&quot;/&gt;&lt;wsp:rsid wsp:val=&quot;008103F3&quot;/&gt;&lt;wsp:rsid wsp:val=&quot;00812B1B&quot;/&gt;&lt;wsp:rsid wsp:val=&quot;00812C18&quot;/&gt;&lt;wsp:rsid wsp:val=&quot;0081353A&quot;/&gt;&lt;wsp:rsid wsp:val=&quot;00813AC8&quot;/&gt;&lt;wsp:rsid wsp:val=&quot;00813F69&quot;/&gt;&lt;wsp:rsid wsp:val=&quot;00814695&quot;/&gt;&lt;wsp:rsid wsp:val=&quot;00814C0B&quot;/&gt;&lt;wsp:rsid wsp:val=&quot;0081522B&quot;/&gt;&lt;wsp:rsid wsp:val=&quot;008154C8&quot;/&gt;&lt;wsp:rsid wsp:val=&quot;008163D5&quot;/&gt;&lt;wsp:rsid wsp:val=&quot;0081682D&quot;/&gt;&lt;wsp:rsid wsp:val=&quot;00820640&quot;/&gt;&lt;wsp:rsid wsp:val=&quot;00820B46&quot;/&gt;&lt;wsp:rsid wsp:val=&quot;00820B77&quot;/&gt;&lt;wsp:rsid wsp:val=&quot;00820D02&quot;/&gt;&lt;wsp:rsid wsp:val=&quot;00821680&quot;/&gt;&lt;wsp:rsid wsp:val=&quot;0082249D&quot;/&gt;&lt;wsp:rsid wsp:val=&quot;00823DE2&quot;/&gt;&lt;wsp:rsid wsp:val=&quot;00823F1E&quot;/&gt;&lt;wsp:rsid wsp:val=&quot;0082567B&quot;/&gt;&lt;wsp:rsid wsp:val=&quot;008258D8&quot;/&gt;&lt;wsp:rsid wsp:val=&quot;00827494&quot;/&gt;&lt;wsp:rsid wsp:val=&quot;00827683&quot;/&gt;&lt;wsp:rsid wsp:val=&quot;00831433&quot;/&gt;&lt;wsp:rsid wsp:val=&quot;00831A08&quot;/&gt;&lt;wsp:rsid wsp:val=&quot;00831DDF&quot;/&gt;&lt;wsp:rsid wsp:val=&quot;0083209A&quot;/&gt;&lt;wsp:rsid wsp:val=&quot;00832BCB&quot;/&gt;&lt;wsp:rsid wsp:val=&quot;00833598&quot;/&gt;&lt;wsp:rsid wsp:val=&quot;008336E2&quot;/&gt;&lt;wsp:rsid wsp:val=&quot;00834868&quot;/&gt;&lt;wsp:rsid wsp:val=&quot;00835F8A&quot;/&gt;&lt;wsp:rsid wsp:val=&quot;00836188&quot;/&gt;&lt;wsp:rsid wsp:val=&quot;00836280&quot;/&gt;&lt;wsp:rsid wsp:val=&quot;008364FE&quot;/&gt;&lt;wsp:rsid wsp:val=&quot;008369F9&quot;/&gt;&lt;wsp:rsid wsp:val=&quot;00836EF4&quot;/&gt;&lt;wsp:rsid wsp:val=&quot;0084006E&quot;/&gt;&lt;wsp:rsid wsp:val=&quot;008402BE&quot;/&gt;&lt;wsp:rsid wsp:val=&quot;008415D2&quot;/&gt;&lt;wsp:rsid wsp:val=&quot;00841FAE&quot;/&gt;&lt;wsp:rsid wsp:val=&quot;008427DB&quot;/&gt;&lt;wsp:rsid wsp:val=&quot;008434EF&quot;/&gt;&lt;wsp:rsid wsp:val=&quot;008437E8&quot;/&gt;&lt;wsp:rsid wsp:val=&quot;0084412A&quot;/&gt;&lt;wsp:rsid wsp:val=&quot;00844368&quot;/&gt;&lt;wsp:rsid wsp:val=&quot;00844787&quot;/&gt;&lt;wsp:rsid wsp:val=&quot;00845BF2&quot;/&gt;&lt;wsp:rsid wsp:val=&quot;008466CA&quot;/&gt;&lt;wsp:rsid wsp:val=&quot;00846B2F&quot;/&gt;&lt;wsp:rsid wsp:val=&quot;00846B79&quot;/&gt;&lt;wsp:rsid wsp:val=&quot;00846CEC&quot;/&gt;&lt;wsp:rsid wsp:val=&quot;00847058&quot;/&gt;&lt;wsp:rsid wsp:val=&quot;008473AC&quot;/&gt;&lt;wsp:rsid wsp:val=&quot;008475C2&quot;/&gt;&lt;wsp:rsid wsp:val=&quot;00850DA7&quot;/&gt;&lt;wsp:rsid wsp:val=&quot;00850DBA&quot;/&gt;&lt;wsp:rsid wsp:val=&quot;008511CF&quot;/&gt;&lt;wsp:rsid wsp:val=&quot;00853903&quot;/&gt;&lt;wsp:rsid wsp:val=&quot;00854313&quot;/&gt;&lt;wsp:rsid wsp:val=&quot;0085435C&quot;/&gt;&lt;wsp:rsid wsp:val=&quot;008563E3&quot;/&gt;&lt;wsp:rsid wsp:val=&quot;00857208&quot;/&gt;&lt;wsp:rsid wsp:val=&quot;00857595&quot;/&gt;&lt;wsp:rsid wsp:val=&quot;0085785A&quot;/&gt;&lt;wsp:rsid wsp:val=&quot;00857A0F&quot;/&gt;&lt;wsp:rsid wsp:val=&quot;00860187&quot;/&gt;&lt;wsp:rsid wsp:val=&quot;00861154&quot;/&gt;&lt;wsp:rsid wsp:val=&quot;008616CE&quot;/&gt;&lt;wsp:rsid wsp:val=&quot;008631DE&quot;/&gt;&lt;wsp:rsid wsp:val=&quot;008638E8&quot;/&gt;&lt;wsp:rsid wsp:val=&quot;00864432&quot;/&gt;&lt;wsp:rsid wsp:val=&quot;00864597&quot;/&gt;&lt;wsp:rsid wsp:val=&quot;008657F4&quot;/&gt;&lt;wsp:rsid wsp:val=&quot;00866006&quot;/&gt;&lt;wsp:rsid wsp:val=&quot;00866161&quot;/&gt;&lt;wsp:rsid wsp:val=&quot;0086642A&quot;/&gt;&lt;wsp:rsid wsp:val=&quot;00866948&quot;/&gt;&lt;wsp:rsid wsp:val=&quot;00866CC5&quot;/&gt;&lt;wsp:rsid wsp:val=&quot;008673BF&quot;/&gt;&lt;wsp:rsid wsp:val=&quot;0086741C&quot;/&gt;&lt;wsp:rsid wsp:val=&quot;008678D9&quot;/&gt;&lt;wsp:rsid wsp:val=&quot;008702AA&quot;/&gt;&lt;wsp:rsid wsp:val=&quot;00870475&quot;/&gt;&lt;wsp:rsid wsp:val=&quot;0087213B&quot;/&gt;&lt;wsp:rsid wsp:val=&quot;00873CDF&quot;/&gt;&lt;wsp:rsid wsp:val=&quot;00874482&quot;/&gt;&lt;wsp:rsid wsp:val=&quot;0087487C&quot;/&gt;&lt;wsp:rsid wsp:val=&quot;00874BED&quot;/&gt;&lt;wsp:rsid wsp:val=&quot;00874E5E&quot;/&gt;&lt;wsp:rsid wsp:val=&quot;00875D0B&quot;/&gt;&lt;wsp:rsid wsp:val=&quot;00876BD5&quot;/&gt;&lt;wsp:rsid wsp:val=&quot;00877667&quot;/&gt;&lt;wsp:rsid wsp:val=&quot;00877870&quot;/&gt;&lt;wsp:rsid wsp:val=&quot;00877DC5&quot;/&gt;&lt;wsp:rsid wsp:val=&quot;008804A6&quot;/&gt;&lt;wsp:rsid wsp:val=&quot;008804C5&quot;/&gt;&lt;wsp:rsid wsp:val=&quot;00880525&quot;/&gt;&lt;wsp:rsid wsp:val=&quot;00880A0F&quot;/&gt;&lt;wsp:rsid wsp:val=&quot;008824AF&quot;/&gt;&lt;wsp:rsid wsp:val=&quot;0088251F&quot;/&gt;&lt;wsp:rsid wsp:val=&quot;00882532&quot;/&gt;&lt;wsp:rsid wsp:val=&quot;008826FE&quot;/&gt;&lt;wsp:rsid wsp:val=&quot;00882DA2&quot;/&gt;&lt;wsp:rsid wsp:val=&quot;00884B1E&quot;/&gt;&lt;wsp:rsid wsp:val=&quot;00885051&quot;/&gt;&lt;wsp:rsid wsp:val=&quot;008855AE&quot;/&gt;&lt;wsp:rsid wsp:val=&quot;00885664&quot;/&gt;&lt;wsp:rsid wsp:val=&quot;00885B6E&quot;/&gt;&lt;wsp:rsid wsp:val=&quot;00886526&quot;/&gt;&lt;wsp:rsid wsp:val=&quot;00886972&quot;/&gt;&lt;wsp:rsid wsp:val=&quot;008874B5&quot;/&gt;&lt;wsp:rsid wsp:val=&quot;0089129D&quot;/&gt;&lt;wsp:rsid wsp:val=&quot;00891DC9&quot;/&gt;&lt;wsp:rsid wsp:val=&quot;008937A1&quot;/&gt;&lt;wsp:rsid wsp:val=&quot;00893A0A&quot;/&gt;&lt;wsp:rsid wsp:val=&quot;00894442&quot;/&gt;&lt;wsp:rsid wsp:val=&quot;00894FE8&quot;/&gt;&lt;wsp:rsid wsp:val=&quot;00894FF0&quot;/&gt;&lt;wsp:rsid wsp:val=&quot;00895167&quot;/&gt;&lt;wsp:rsid wsp:val=&quot;00896227&quot;/&gt;&lt;wsp:rsid wsp:val=&quot;00896E6A&quot;/&gt;&lt;wsp:rsid wsp:val=&quot;008A0CE7&quot;/&gt;&lt;wsp:rsid wsp:val=&quot;008A1718&quot;/&gt;&lt;wsp:rsid wsp:val=&quot;008A254E&quot;/&gt;&lt;wsp:rsid wsp:val=&quot;008A2D99&quot;/&gt;&lt;wsp:rsid wsp:val=&quot;008A493B&quot;/&gt;&lt;wsp:rsid wsp:val=&quot;008A4B2E&quot;/&gt;&lt;wsp:rsid wsp:val=&quot;008A6504&quot;/&gt;&lt;wsp:rsid wsp:val=&quot;008A6EC2&quot;/&gt;&lt;wsp:rsid wsp:val=&quot;008A77CD&quot;/&gt;&lt;wsp:rsid wsp:val=&quot;008B00D0&quot;/&gt;&lt;wsp:rsid wsp:val=&quot;008B0924&quot;/&gt;&lt;wsp:rsid wsp:val=&quot;008B5F90&quot;/&gt;&lt;wsp:rsid wsp:val=&quot;008B604E&quot;/&gt;&lt;wsp:rsid wsp:val=&quot;008B64EB&quot;/&gt;&lt;wsp:rsid wsp:val=&quot;008B6505&quot;/&gt;&lt;wsp:rsid wsp:val=&quot;008B680B&quot;/&gt;&lt;wsp:rsid wsp:val=&quot;008B6896&quot;/&gt;&lt;wsp:rsid wsp:val=&quot;008C079B&quot;/&gt;&lt;wsp:rsid wsp:val=&quot;008C12AD&quot;/&gt;&lt;wsp:rsid wsp:val=&quot;008C13B5&quot;/&gt;&lt;wsp:rsid wsp:val=&quot;008C1B56&quot;/&gt;&lt;wsp:rsid wsp:val=&quot;008C1DA6&quot;/&gt;&lt;wsp:rsid wsp:val=&quot;008C1DCF&quot;/&gt;&lt;wsp:rsid wsp:val=&quot;008C291B&quot;/&gt;&lt;wsp:rsid wsp:val=&quot;008C32DB&quot;/&gt;&lt;wsp:rsid wsp:val=&quot;008C710E&quot;/&gt;&lt;wsp:rsid wsp:val=&quot;008D0052&quot;/&gt;&lt;wsp:rsid wsp:val=&quot;008D04BD&quot;/&gt;&lt;wsp:rsid wsp:val=&quot;008D150E&quot;/&gt;&lt;wsp:rsid wsp:val=&quot;008D172A&quot;/&gt;&lt;wsp:rsid wsp:val=&quot;008D17BD&quot;/&gt;&lt;wsp:rsid wsp:val=&quot;008D2D7A&quot;/&gt;&lt;wsp:rsid wsp:val=&quot;008D3D4D&quot;/&gt;&lt;wsp:rsid wsp:val=&quot;008D4CF2&quot;/&gt;&lt;wsp:rsid wsp:val=&quot;008D6163&quot;/&gt;&lt;wsp:rsid wsp:val=&quot;008D61CD&quot;/&gt;&lt;wsp:rsid wsp:val=&quot;008D64D4&quot;/&gt;&lt;wsp:rsid wsp:val=&quot;008D78AB&quot;/&gt;&lt;wsp:rsid wsp:val=&quot;008D7981&quot;/&gt;&lt;wsp:rsid wsp:val=&quot;008E0084&quot;/&gt;&lt;wsp:rsid wsp:val=&quot;008E148D&quot;/&gt;&lt;wsp:rsid wsp:val=&quot;008E2364&quot;/&gt;&lt;wsp:rsid wsp:val=&quot;008E2DC3&quot;/&gt;&lt;wsp:rsid wsp:val=&quot;008E2E52&quot;/&gt;&lt;wsp:rsid wsp:val=&quot;008E490B&quot;/&gt;&lt;wsp:rsid wsp:val=&quot;008E5A2C&quot;/&gt;&lt;wsp:rsid wsp:val=&quot;008E5E63&quot;/&gt;&lt;wsp:rsid wsp:val=&quot;008E71F2&quot;/&gt;&lt;wsp:rsid wsp:val=&quot;008E74DA&quot;/&gt;&lt;wsp:rsid wsp:val=&quot;008F0363&quot;/&gt;&lt;wsp:rsid wsp:val=&quot;008F0FD4&quot;/&gt;&lt;wsp:rsid wsp:val=&quot;008F1FB8&quot;/&gt;&lt;wsp:rsid wsp:val=&quot;008F290C&quot;/&gt;&lt;wsp:rsid wsp:val=&quot;008F3237&quot;/&gt;&lt;wsp:rsid wsp:val=&quot;008F4061&quot;/&gt;&lt;wsp:rsid wsp:val=&quot;008F47F6&quot;/&gt;&lt;wsp:rsid wsp:val=&quot;008F53D2&quot;/&gt;&lt;wsp:rsid wsp:val=&quot;008F563A&quot;/&gt;&lt;wsp:rsid wsp:val=&quot;008F6B08&quot;/&gt;&lt;wsp:rsid wsp:val=&quot;00900051&quot;/&gt;&lt;wsp:rsid wsp:val=&quot;00900358&quot;/&gt;&lt;wsp:rsid wsp:val=&quot;009037EF&quot;/&gt;&lt;wsp:rsid wsp:val=&quot;00903B2E&quot;/&gt;&lt;wsp:rsid wsp:val=&quot;00903F00&quot;/&gt;&lt;wsp:rsid wsp:val=&quot;009043CA&quot;/&gt;&lt;wsp:rsid wsp:val=&quot;009046D3&quot;/&gt;&lt;wsp:rsid wsp:val=&quot;009054A0&quot;/&gt;&lt;wsp:rsid wsp:val=&quot;0090568F&quot;/&gt;&lt;wsp:rsid wsp:val=&quot;00906AC5&quot;/&gt;&lt;wsp:rsid wsp:val=&quot;00907724&quot;/&gt;&lt;wsp:rsid wsp:val=&quot;00907D7E&quot;/&gt;&lt;wsp:rsid wsp:val=&quot;009105F7&quot;/&gt;&lt;wsp:rsid wsp:val=&quot;00910955&quot;/&gt;&lt;wsp:rsid wsp:val=&quot;009127D1&quot;/&gt;&lt;wsp:rsid wsp:val=&quot;00913408&quot;/&gt;&lt;wsp:rsid wsp:val=&quot;00913632&quot;/&gt;&lt;wsp:rsid wsp:val=&quot;0091419F&quot;/&gt;&lt;wsp:rsid wsp:val=&quot;00914449&quot;/&gt;&lt;wsp:rsid wsp:val=&quot;009145C8&quot;/&gt;&lt;wsp:rsid wsp:val=&quot;009149DE&quot;/&gt;&lt;wsp:rsid wsp:val=&quot;00915FAC&quot;/&gt;&lt;wsp:rsid wsp:val=&quot;00916FDF&quot;/&gt;&lt;wsp:rsid wsp:val=&quot;009204DD&quot;/&gt;&lt;wsp:rsid wsp:val=&quot;00920BA4&quot;/&gt;&lt;wsp:rsid wsp:val=&quot;009218FD&quot;/&gt;&lt;wsp:rsid wsp:val=&quot;00921A74&quot;/&gt;&lt;wsp:rsid wsp:val=&quot;00921BC1&quot;/&gt;&lt;wsp:rsid wsp:val=&quot;00923873&quot;/&gt;&lt;wsp:rsid wsp:val=&quot;00924878&quot;/&gt;&lt;wsp:rsid wsp:val=&quot;00924E90&quot;/&gt;&lt;wsp:rsid wsp:val=&quot;00925219&quot;/&gt;&lt;wsp:rsid wsp:val=&quot;009252F4&quot;/&gt;&lt;wsp:rsid wsp:val=&quot;009255B0&quot;/&gt;&lt;wsp:rsid wsp:val=&quot;0092588A&quot;/&gt;&lt;wsp:rsid wsp:val=&quot;009258C3&quot;/&gt;&lt;wsp:rsid wsp:val=&quot;00925E59&quot;/&gt;&lt;wsp:rsid wsp:val=&quot;009260B2&quot;/&gt;&lt;wsp:rsid wsp:val=&quot;00926954&quot;/&gt;&lt;wsp:rsid wsp:val=&quot;00926FC6&quot;/&gt;&lt;wsp:rsid wsp:val=&quot;00930600&quot;/&gt;&lt;wsp:rsid wsp:val=&quot;0093103E&quot;/&gt;&lt;wsp:rsid wsp:val=&quot;009317AD&quot;/&gt;&lt;wsp:rsid wsp:val=&quot;0093377A&quot;/&gt;&lt;wsp:rsid wsp:val=&quot;00933997&quot;/&gt;&lt;wsp:rsid wsp:val=&quot;00933F79&quot;/&gt;&lt;wsp:rsid wsp:val=&quot;0093418B&quot;/&gt;&lt;wsp:rsid wsp:val=&quot;0093438A&quot;/&gt;&lt;wsp:rsid wsp:val=&quot;00934B97&quot;/&gt;&lt;wsp:rsid wsp:val=&quot;00934DC9&quot;/&gt;&lt;wsp:rsid wsp:val=&quot;00935430&quot;/&gt;&lt;wsp:rsid wsp:val=&quot;00936DF6&quot;/&gt;&lt;wsp:rsid wsp:val=&quot;00937256&quot;/&gt;&lt;wsp:rsid wsp:val=&quot;009372B2&quot;/&gt;&lt;wsp:rsid wsp:val=&quot;00937E04&quot;/&gt;&lt;wsp:rsid wsp:val=&quot;00940418&quot;/&gt;&lt;wsp:rsid wsp:val=&quot;009407F3&quot;/&gt;&lt;wsp:rsid wsp:val=&quot;00940EFD&quot;/&gt;&lt;wsp:rsid wsp:val=&quot;00940F81&quot;/&gt;&lt;wsp:rsid wsp:val=&quot;00941789&quot;/&gt;&lt;wsp:rsid wsp:val=&quot;00941974&quot;/&gt;&lt;wsp:rsid wsp:val=&quot;00943402&quot;/&gt;&lt;wsp:rsid wsp:val=&quot;0094402D&quot;/&gt;&lt;wsp:rsid wsp:val=&quot;00944760&quot;/&gt;&lt;wsp:rsid wsp:val=&quot;00945A4B&quot;/&gt;&lt;wsp:rsid wsp:val=&quot;009470F8&quot;/&gt;&lt;wsp:rsid wsp:val=&quot;00947133&quot;/&gt;&lt;wsp:rsid wsp:val=&quot;00947166&quot;/&gt;&lt;wsp:rsid wsp:val=&quot;0094743D&quot;/&gt;&lt;wsp:rsid wsp:val=&quot;00947A19&quot;/&gt;&lt;wsp:rsid wsp:val=&quot;00947D3C&quot;/&gt;&lt;wsp:rsid wsp:val=&quot;00950297&quot;/&gt;&lt;wsp:rsid wsp:val=&quot;00950CC8&quot;/&gt;&lt;wsp:rsid wsp:val=&quot;0095139A&quot;/&gt;&lt;wsp:rsid wsp:val=&quot;0095285F&quot;/&gt;&lt;wsp:rsid wsp:val=&quot;00953669&quot;/&gt;&lt;wsp:rsid wsp:val=&quot;009541C6&quot;/&gt;&lt;wsp:rsid wsp:val=&quot;00955235&quot;/&gt;&lt;wsp:rsid wsp:val=&quot;00955278&quot;/&gt;&lt;wsp:rsid wsp:val=&quot;00955310&quot;/&gt;&lt;wsp:rsid wsp:val=&quot;00955BC1&quot;/&gt;&lt;wsp:rsid wsp:val=&quot;00955E20&quot;/&gt;&lt;wsp:rsid wsp:val=&quot;00956983&quot;/&gt;&lt;wsp:rsid wsp:val=&quot;00956D0D&quot;/&gt;&lt;wsp:rsid wsp:val=&quot;00957203&quot;/&gt;&lt;wsp:rsid wsp:val=&quot;00957EF1&quot;/&gt;&lt;wsp:rsid wsp:val=&quot;009609E0&quot;/&gt;&lt;wsp:rsid wsp:val=&quot;00960E91&quot;/&gt;&lt;wsp:rsid wsp:val=&quot;00963FE8&quot;/&gt;&lt;wsp:rsid wsp:val=&quot;0096451A&quot;/&gt;&lt;wsp:rsid wsp:val=&quot;00964695&quot;/&gt;&lt;wsp:rsid wsp:val=&quot;00964764&quot;/&gt;&lt;wsp:rsid wsp:val=&quot;009651CB&quot;/&gt;&lt;wsp:rsid wsp:val=&quot;009665D3&quot;/&gt;&lt;wsp:rsid wsp:val=&quot;00966BF4&quot;/&gt;&lt;wsp:rsid wsp:val=&quot;009673DF&quot;/&gt;&lt;wsp:rsid wsp:val=&quot;009700E3&quot;/&gt;&lt;wsp:rsid wsp:val=&quot;00970553&quot;/&gt;&lt;wsp:rsid wsp:val=&quot;00970DB9&quot;/&gt;&lt;wsp:rsid wsp:val=&quot;00973C98&quot;/&gt;&lt;wsp:rsid wsp:val=&quot;00974EB5&quot;/&gt;&lt;wsp:rsid wsp:val=&quot;00976185&quot;/&gt;&lt;wsp:rsid wsp:val=&quot;0098247E&quot;/&gt;&lt;wsp:rsid wsp:val=&quot;00982588&quot;/&gt;&lt;wsp:rsid wsp:val=&quot;00982A71&quot;/&gt;&lt;wsp:rsid wsp:val=&quot;009846F3&quot;/&gt;&lt;wsp:rsid wsp:val=&quot;00984842&quot;/&gt;&lt;wsp:rsid wsp:val=&quot;00984C7E&quot;/&gt;&lt;wsp:rsid wsp:val=&quot;00984E57&quot;/&gt;&lt;wsp:rsid wsp:val=&quot;009851C6&quot;/&gt;&lt;wsp:rsid wsp:val=&quot;00986553&quot;/&gt;&lt;wsp:rsid wsp:val=&quot;00986660&quot;/&gt;&lt;wsp:rsid wsp:val=&quot;00986AC3&quot;/&gt;&lt;wsp:rsid wsp:val=&quot;00986BA8&quot;/&gt;&lt;wsp:rsid wsp:val=&quot;00987183&quot;/&gt;&lt;wsp:rsid wsp:val=&quot;009879AC&quot;/&gt;&lt;wsp:rsid wsp:val=&quot;00987E0B&quot;/&gt;&lt;wsp:rsid wsp:val=&quot;00990748&quot;/&gt;&lt;wsp:rsid wsp:val=&quot;00990FC8&quot;/&gt;&lt;wsp:rsid wsp:val=&quot;0099179B&quot;/&gt;&lt;wsp:rsid wsp:val=&quot;00991A0A&quot;/&gt;&lt;wsp:rsid wsp:val=&quot;00991A3D&quot;/&gt;&lt;wsp:rsid wsp:val=&quot;00991D3D&quot;/&gt;&lt;wsp:rsid wsp:val=&quot;009923ED&quot;/&gt;&lt;wsp:rsid wsp:val=&quot;00995424&quot;/&gt;&lt;wsp:rsid wsp:val=&quot;0099571E&quot;/&gt;&lt;wsp:rsid wsp:val=&quot;00995B3A&quot;/&gt;&lt;wsp:rsid wsp:val=&quot;00995D4E&quot;/&gt;&lt;wsp:rsid wsp:val=&quot;00995EAE&quot;/&gt;&lt;wsp:rsid wsp:val=&quot;00997656&quot;/&gt;&lt;wsp:rsid wsp:val=&quot;00997859&quot;/&gt;&lt;wsp:rsid wsp:val=&quot;00997977&quot;/&gt;&lt;wsp:rsid wsp:val=&quot;009A05BB&quot;/&gt;&lt;wsp:rsid wsp:val=&quot;009A0C41&quot;/&gt;&lt;wsp:rsid wsp:val=&quot;009A223D&quot;/&gt;&lt;wsp:rsid wsp:val=&quot;009A32C1&quot;/&gt;&lt;wsp:rsid wsp:val=&quot;009A3FAB&quot;/&gt;&lt;wsp:rsid wsp:val=&quot;009A4A83&quot;/&gt;&lt;wsp:rsid wsp:val=&quot;009A4C5D&quot;/&gt;&lt;wsp:rsid wsp:val=&quot;009A506F&quot;/&gt;&lt;wsp:rsid wsp:val=&quot;009A5AC5&quot;/&gt;&lt;wsp:rsid wsp:val=&quot;009A6592&quot;/&gt;&lt;wsp:rsid wsp:val=&quot;009B208C&quot;/&gt;&lt;wsp:rsid wsp:val=&quot;009B2AD5&quot;/&gt;&lt;wsp:rsid wsp:val=&quot;009B3224&quot;/&gt;&lt;wsp:rsid wsp:val=&quot;009B32F9&quot;/&gt;&lt;wsp:rsid wsp:val=&quot;009B4A02&quot;/&gt;&lt;wsp:rsid wsp:val=&quot;009B52AD&quot;/&gt;&lt;wsp:rsid wsp:val=&quot;009B532C&quot;/&gt;&lt;wsp:rsid wsp:val=&quot;009B5FB6&quot;/&gt;&lt;wsp:rsid wsp:val=&quot;009B68C0&quot;/&gt;&lt;wsp:rsid wsp:val=&quot;009B7107&quot;/&gt;&lt;wsp:rsid wsp:val=&quot;009B7F62&quot;/&gt;&lt;wsp:rsid wsp:val=&quot;009C0ABD&quot;/&gt;&lt;wsp:rsid wsp:val=&quot;009C2507&quot;/&gt;&lt;wsp:rsid wsp:val=&quot;009C3322&quot;/&gt;&lt;wsp:rsid wsp:val=&quot;009C3B19&quot;/&gt;&lt;wsp:rsid wsp:val=&quot;009C3B5A&quot;/&gt;&lt;wsp:rsid wsp:val=&quot;009C40DE&quot;/&gt;&lt;wsp:rsid wsp:val=&quot;009C5AEE&quot;/&gt;&lt;wsp:rsid wsp:val=&quot;009C5CF6&quot;/&gt;&lt;wsp:rsid wsp:val=&quot;009C5F09&quot;/&gt;&lt;wsp:rsid wsp:val=&quot;009C630E&quot;/&gt;&lt;wsp:rsid wsp:val=&quot;009D5375&quot;/&gt;&lt;wsp:rsid wsp:val=&quot;009D7683&quot;/&gt;&lt;wsp:rsid wsp:val=&quot;009D7C4A&quot;/&gt;&lt;wsp:rsid wsp:val=&quot;009E1C6A&quot;/&gt;&lt;wsp:rsid wsp:val=&quot;009E3EB4&quot;/&gt;&lt;wsp:rsid wsp:val=&quot;009E40B3&quot;/&gt;&lt;wsp:rsid wsp:val=&quot;009E480E&quot;/&gt;&lt;wsp:rsid wsp:val=&quot;009E4D86&quot;/&gt;&lt;wsp:rsid wsp:val=&quot;009E70EC&quot;/&gt;&lt;wsp:rsid wsp:val=&quot;009E7572&quot;/&gt;&lt;wsp:rsid wsp:val=&quot;009E75BC&quot;/&gt;&lt;wsp:rsid wsp:val=&quot;009E7C08&quot;/&gt;&lt;wsp:rsid wsp:val=&quot;009F123C&quot;/&gt;&lt;wsp:rsid wsp:val=&quot;009F147D&quot;/&gt;&lt;wsp:rsid wsp:val=&quot;009F22FC&quot;/&gt;&lt;wsp:rsid wsp:val=&quot;009F30C2&quot;/&gt;&lt;wsp:rsid wsp:val=&quot;009F3DDA&quot;/&gt;&lt;wsp:rsid wsp:val=&quot;009F49F6&quot;/&gt;&lt;wsp:rsid wsp:val=&quot;009F7ABD&quot;/&gt;&lt;wsp:rsid wsp:val=&quot;00A00787&quot;/&gt;&lt;wsp:rsid wsp:val=&quot;00A01EBA&quot;/&gt;&lt;wsp:rsid wsp:val=&quot;00A01EC0&quot;/&gt;&lt;wsp:rsid wsp:val=&quot;00A028A5&quot;/&gt;&lt;wsp:rsid wsp:val=&quot;00A03362&quot;/&gt;&lt;wsp:rsid wsp:val=&quot;00A033A6&quot;/&gt;&lt;wsp:rsid wsp:val=&quot;00A0416E&quot;/&gt;&lt;wsp:rsid wsp:val=&quot;00A046E2&quot;/&gt;&lt;wsp:rsid wsp:val=&quot;00A04FB0&quot;/&gt;&lt;wsp:rsid wsp:val=&quot;00A058EF&quot;/&gt;&lt;wsp:rsid wsp:val=&quot;00A05FAA&quot;/&gt;&lt;wsp:rsid wsp:val=&quot;00A07577&quot;/&gt;&lt;wsp:rsid wsp:val=&quot;00A103D6&quot;/&gt;&lt;wsp:rsid wsp:val=&quot;00A10FE5&quot;/&gt;&lt;wsp:rsid wsp:val=&quot;00A1101F&quot;/&gt;&lt;wsp:rsid wsp:val=&quot;00A11913&quot;/&gt;&lt;wsp:rsid wsp:val=&quot;00A12077&quot;/&gt;&lt;wsp:rsid wsp:val=&quot;00A128D1&quot;/&gt;&lt;wsp:rsid wsp:val=&quot;00A13BB0&quot;/&gt;&lt;wsp:rsid wsp:val=&quot;00A143F6&quot;/&gt;&lt;wsp:rsid wsp:val=&quot;00A14558&quot;/&gt;&lt;wsp:rsid wsp:val=&quot;00A14965&quot;/&gt;&lt;wsp:rsid wsp:val=&quot;00A16506&quot;/&gt;&lt;wsp:rsid wsp:val=&quot;00A16A4E&quot;/&gt;&lt;wsp:rsid wsp:val=&quot;00A16ABC&quot;/&gt;&lt;wsp:rsid wsp:val=&quot;00A16F75&quot;/&gt;&lt;wsp:rsid wsp:val=&quot;00A17A98&quot;/&gt;&lt;wsp:rsid wsp:val=&quot;00A17C59&quot;/&gt;&lt;wsp:rsid wsp:val=&quot;00A20D78&quot;/&gt;&lt;wsp:rsid wsp:val=&quot;00A224A9&quot;/&gt;&lt;wsp:rsid wsp:val=&quot;00A229D0&quot;/&gt;&lt;wsp:rsid wsp:val=&quot;00A241A5&quot;/&gt;&lt;wsp:rsid wsp:val=&quot;00A247E3&quot;/&gt;&lt;wsp:rsid wsp:val=&quot;00A25D3E&quot;/&gt;&lt;wsp:rsid wsp:val=&quot;00A25F73&quot;/&gt;&lt;wsp:rsid wsp:val=&quot;00A27A87&quot;/&gt;&lt;wsp:rsid wsp:val=&quot;00A27BA4&quot;/&gt;&lt;wsp:rsid wsp:val=&quot;00A27D8F&quot;/&gt;&lt;wsp:rsid wsp:val=&quot;00A3012C&quot;/&gt;&lt;wsp:rsid wsp:val=&quot;00A301B3&quot;/&gt;&lt;wsp:rsid wsp:val=&quot;00A335F8&quot;/&gt;&lt;wsp:rsid wsp:val=&quot;00A33F2D&quot;/&gt;&lt;wsp:rsid wsp:val=&quot;00A33FC1&quot;/&gt;&lt;wsp:rsid wsp:val=&quot;00A341AF&quot;/&gt;&lt;wsp:rsid wsp:val=&quot;00A35218&quot;/&gt;&lt;wsp:rsid wsp:val=&quot;00A3684F&quot;/&gt;&lt;wsp:rsid wsp:val=&quot;00A3705A&quot;/&gt;&lt;wsp:rsid wsp:val=&quot;00A373D0&quot;/&gt;&lt;wsp:rsid wsp:val=&quot;00A37AD1&quot;/&gt;&lt;wsp:rsid wsp:val=&quot;00A40179&quot;/&gt;&lt;wsp:rsid wsp:val=&quot;00A40E8E&quot;/&gt;&lt;wsp:rsid wsp:val=&quot;00A4148B&quot;/&gt;&lt;wsp:rsid wsp:val=&quot;00A428F9&quot;/&gt;&lt;wsp:rsid wsp:val=&quot;00A42A35&quot;/&gt;&lt;wsp:rsid wsp:val=&quot;00A463C4&quot;/&gt;&lt;wsp:rsid wsp:val=&quot;00A46DB5&quot;/&gt;&lt;wsp:rsid wsp:val=&quot;00A50662&quot;/&gt;&lt;wsp:rsid wsp:val=&quot;00A51218&quot;/&gt;&lt;wsp:rsid wsp:val=&quot;00A516AA&quot;/&gt;&lt;wsp:rsid wsp:val=&quot;00A51CEF&quot;/&gt;&lt;wsp:rsid wsp:val=&quot;00A522B1&quot;/&gt;&lt;wsp:rsid wsp:val=&quot;00A54022&quot;/&gt;&lt;wsp:rsid wsp:val=&quot;00A54FC7&quot;/&gt;&lt;wsp:rsid wsp:val=&quot;00A57CF1&quot;/&gt;&lt;wsp:rsid wsp:val=&quot;00A608F4&quot;/&gt;&lt;wsp:rsid wsp:val=&quot;00A613DD&quot;/&gt;&lt;wsp:rsid wsp:val=&quot;00A62484&quot;/&gt;&lt;wsp:rsid wsp:val=&quot;00A624C5&quot;/&gt;&lt;wsp:rsid wsp:val=&quot;00A628C6&quot;/&gt;&lt;wsp:rsid wsp:val=&quot;00A62D40&quot;/&gt;&lt;wsp:rsid wsp:val=&quot;00A63C08&quot;/&gt;&lt;wsp:rsid wsp:val=&quot;00A643FB&quot;/&gt;&lt;wsp:rsid wsp:val=&quot;00A64CFD&quot;/&gt;&lt;wsp:rsid wsp:val=&quot;00A6502C&quot;/&gt;&lt;wsp:rsid wsp:val=&quot;00A65200&quot;/&gt;&lt;wsp:rsid wsp:val=&quot;00A6608C&quot;/&gt;&lt;wsp:rsid wsp:val=&quot;00A66C04&quot;/&gt;&lt;wsp:rsid wsp:val=&quot;00A66DC2&quot;/&gt;&lt;wsp:rsid wsp:val=&quot;00A67359&quot;/&gt;&lt;wsp:rsid wsp:val=&quot;00A675EC&quot;/&gt;&lt;wsp:rsid wsp:val=&quot;00A67F79&quot;/&gt;&lt;wsp:rsid wsp:val=&quot;00A7023E&quot;/&gt;&lt;wsp:rsid wsp:val=&quot;00A706BB&quot;/&gt;&lt;wsp:rsid wsp:val=&quot;00A710E7&quot;/&gt;&lt;wsp:rsid wsp:val=&quot;00A7210B&quot;/&gt;&lt;wsp:rsid wsp:val=&quot;00A7285C&quot;/&gt;&lt;wsp:rsid wsp:val=&quot;00A72E4A&quot;/&gt;&lt;wsp:rsid wsp:val=&quot;00A74DDD&quot;/&gt;&lt;wsp:rsid wsp:val=&quot;00A74DE2&quot;/&gt;&lt;wsp:rsid wsp:val=&quot;00A7597E&quot;/&gt;&lt;wsp:rsid wsp:val=&quot;00A75C4C&quot;/&gt;&lt;wsp:rsid wsp:val=&quot;00A75F68&quot;/&gt;&lt;wsp:rsid wsp:val=&quot;00A76CEC&quot;/&gt;&lt;wsp:rsid wsp:val=&quot;00A77358&quot;/&gt;&lt;wsp:rsid wsp:val=&quot;00A80EFE&quot;/&gt;&lt;wsp:rsid wsp:val=&quot;00A829DF&quot;/&gt;&lt;wsp:rsid wsp:val=&quot;00A82E62&quot;/&gt;&lt;wsp:rsid wsp:val=&quot;00A832A5&quot;/&gt;&lt;wsp:rsid wsp:val=&quot;00A83CC3&quot;/&gt;&lt;wsp:rsid wsp:val=&quot;00A844B1&quot;/&gt;&lt;wsp:rsid wsp:val=&quot;00A9170E&quot;/&gt;&lt;wsp:rsid wsp:val=&quot;00A91C76&quot;/&gt;&lt;wsp:rsid wsp:val=&quot;00A927FE&quot;/&gt;&lt;wsp:rsid wsp:val=&quot;00A9336D&quot;/&gt;&lt;wsp:rsid wsp:val=&quot;00A93CCC&quot;/&gt;&lt;wsp:rsid wsp:val=&quot;00A93D68&quot;/&gt;&lt;wsp:rsid wsp:val=&quot;00A94132&quot;/&gt;&lt;wsp:rsid wsp:val=&quot;00A94EDD&quot;/&gt;&lt;wsp:rsid wsp:val=&quot;00A95319&quot;/&gt;&lt;wsp:rsid wsp:val=&quot;00A95D02&quot;/&gt;&lt;wsp:rsid wsp:val=&quot;00A95DA2&quot;/&gt;&lt;wsp:rsid wsp:val=&quot;00A96FA6&quot;/&gt;&lt;wsp:rsid wsp:val=&quot;00A9766E&quot;/&gt;&lt;wsp:rsid wsp:val=&quot;00A976AD&quot;/&gt;&lt;wsp:rsid wsp:val=&quot;00A97B6D&quot;/&gt;&lt;wsp:rsid wsp:val=&quot;00A97DEC&quot;/&gt;&lt;wsp:rsid wsp:val=&quot;00AA0325&quot;/&gt;&lt;wsp:rsid wsp:val=&quot;00AA0B39&quot;/&gt;&lt;wsp:rsid wsp:val=&quot;00AA235C&quot;/&gt;&lt;wsp:rsid wsp:val=&quot;00AA2B1C&quot;/&gt;&lt;wsp:rsid wsp:val=&quot;00AA313C&quot;/&gt;&lt;wsp:rsid wsp:val=&quot;00AA3435&quot;/&gt;&lt;wsp:rsid wsp:val=&quot;00AA35E1&quot;/&gt;&lt;wsp:rsid wsp:val=&quot;00AA3A9E&quot;/&gt;&lt;wsp:rsid wsp:val=&quot;00AA5856&quot;/&gt;&lt;wsp:rsid wsp:val=&quot;00AA66DD&quot;/&gt;&lt;wsp:rsid wsp:val=&quot;00AA68AE&quot;/&gt;&lt;wsp:rsid wsp:val=&quot;00AA6948&quot;/&gt;&lt;wsp:rsid wsp:val=&quot;00AA6F11&quot;/&gt;&lt;wsp:rsid wsp:val=&quot;00AA7726&quot;/&gt;&lt;wsp:rsid wsp:val=&quot;00AA78D3&quot;/&gt;&lt;wsp:rsid wsp:val=&quot;00AA7B30&quot;/&gt;&lt;wsp:rsid wsp:val=&quot;00AA7EE9&quot;/&gt;&lt;wsp:rsid wsp:val=&quot;00AB09CF&quot;/&gt;&lt;wsp:rsid wsp:val=&quot;00AB0E0E&quot;/&gt;&lt;wsp:rsid wsp:val=&quot;00AB1F0B&quot;/&gt;&lt;wsp:rsid wsp:val=&quot;00AB27E7&quot;/&gt;&lt;wsp:rsid wsp:val=&quot;00AB32A7&quot;/&gt;&lt;wsp:rsid wsp:val=&quot;00AB32ED&quot;/&gt;&lt;wsp:rsid wsp:val=&quot;00AB3504&quot;/&gt;&lt;wsp:rsid wsp:val=&quot;00AB3B45&quot;/&gt;&lt;wsp:rsid wsp:val=&quot;00AB3F6D&quot;/&gt;&lt;wsp:rsid wsp:val=&quot;00AB4B90&quot;/&gt;&lt;wsp:rsid wsp:val=&quot;00AB5975&quot;/&gt;&lt;wsp:rsid wsp:val=&quot;00AB71C9&quot;/&gt;&lt;wsp:rsid wsp:val=&quot;00AC033C&quot;/&gt;&lt;wsp:rsid wsp:val=&quot;00AC0AA1&quot;/&gt;&lt;wsp:rsid wsp:val=&quot;00AC1622&quot;/&gt;&lt;wsp:rsid wsp:val=&quot;00AC1EFF&quot;/&gt;&lt;wsp:rsid wsp:val=&quot;00AC30B9&quot;/&gt;&lt;wsp:rsid wsp:val=&quot;00AC35F7&quot;/&gt;&lt;wsp:rsid wsp:val=&quot;00AC3FF5&quot;/&gt;&lt;wsp:rsid wsp:val=&quot;00AC4330&quot;/&gt;&lt;wsp:rsid wsp:val=&quot;00AC5FA1&quot;/&gt;&lt;wsp:rsid wsp:val=&quot;00AC60E7&quot;/&gt;&lt;wsp:rsid wsp:val=&quot;00AC6294&quot;/&gt;&lt;wsp:rsid wsp:val=&quot;00AC64EF&quot;/&gt;&lt;wsp:rsid wsp:val=&quot;00AC72A1&quot;/&gt;&lt;wsp:rsid wsp:val=&quot;00AD2391&quot;/&gt;&lt;wsp:rsid wsp:val=&quot;00AD2461&quot;/&gt;&lt;wsp:rsid wsp:val=&quot;00AD2D1E&quot;/&gt;&lt;wsp:rsid wsp:val=&quot;00AD4322&quot;/&gt;&lt;wsp:rsid wsp:val=&quot;00AD526A&quot;/&gt;&lt;wsp:rsid wsp:val=&quot;00AD53E6&quot;/&gt;&lt;wsp:rsid wsp:val=&quot;00AD57B5&quot;/&gt;&lt;wsp:rsid wsp:val=&quot;00AD63C8&quot;/&gt;&lt;wsp:rsid wsp:val=&quot;00AD655D&quot;/&gt;&lt;wsp:rsid wsp:val=&quot;00AD6688&quot;/&gt;&lt;wsp:rsid wsp:val=&quot;00AD6A56&quot;/&gt;&lt;wsp:rsid wsp:val=&quot;00AD6B32&quot;/&gt;&lt;wsp:rsid wsp:val=&quot;00AD6C93&quot;/&gt;&lt;wsp:rsid wsp:val=&quot;00AD77ED&quot;/&gt;&lt;wsp:rsid wsp:val=&quot;00AD79FD&quot;/&gt;&lt;wsp:rsid wsp:val=&quot;00AD7BE0&quot;/&gt;&lt;wsp:rsid wsp:val=&quot;00AE0417&quot;/&gt;&lt;wsp:rsid wsp:val=&quot;00AE04D7&quot;/&gt;&lt;wsp:rsid wsp:val=&quot;00AE0C98&quot;/&gt;&lt;wsp:rsid wsp:val=&quot;00AE164A&quot;/&gt;&lt;wsp:rsid wsp:val=&quot;00AE231C&quot;/&gt;&lt;wsp:rsid wsp:val=&quot;00AE4B78&quot;/&gt;&lt;wsp:rsid wsp:val=&quot;00AE55E6&quot;/&gt;&lt;wsp:rsid wsp:val=&quot;00AE5724&quot;/&gt;&lt;wsp:rsid wsp:val=&quot;00AE6A7D&quot;/&gt;&lt;wsp:rsid wsp:val=&quot;00AE7D40&quot;/&gt;&lt;wsp:rsid wsp:val=&quot;00AE7E60&quot;/&gt;&lt;wsp:rsid wsp:val=&quot;00AF0598&quot;/&gt;&lt;wsp:rsid wsp:val=&quot;00AF05E4&quot;/&gt;&lt;wsp:rsid wsp:val=&quot;00AF117F&quot;/&gt;&lt;wsp:rsid wsp:val=&quot;00AF39FD&quot;/&gt;&lt;wsp:rsid wsp:val=&quot;00AF3B09&quot;/&gt;&lt;wsp:rsid wsp:val=&quot;00AF4025&quot;/&gt;&lt;wsp:rsid wsp:val=&quot;00AF4308&quot;/&gt;&lt;wsp:rsid wsp:val=&quot;00AF4D46&quot;/&gt;&lt;wsp:rsid wsp:val=&quot;00AF4FB9&quot;/&gt;&lt;wsp:rsid wsp:val=&quot;00AF5060&quot;/&gt;&lt;wsp:rsid wsp:val=&quot;00AF6A67&quot;/&gt;&lt;wsp:rsid wsp:val=&quot;00AF6D08&quot;/&gt;&lt;wsp:rsid wsp:val=&quot;00AF71B8&quot;/&gt;&lt;wsp:rsid wsp:val=&quot;00AF7449&quot;/&gt;&lt;wsp:rsid wsp:val=&quot;00AF7C18&quot;/&gt;&lt;wsp:rsid wsp:val=&quot;00B001A2&quot;/&gt;&lt;wsp:rsid wsp:val=&quot;00B02C39&quot;/&gt;&lt;wsp:rsid wsp:val=&quot;00B02ED0&quot;/&gt;&lt;wsp:rsid wsp:val=&quot;00B02EEE&quot;/&gt;&lt;wsp:rsid wsp:val=&quot;00B032C0&quot;/&gt;&lt;wsp:rsid wsp:val=&quot;00B0404A&quot;/&gt;&lt;wsp:rsid wsp:val=&quot;00B04EAA&quot;/&gt;&lt;wsp:rsid wsp:val=&quot;00B0537E&quot;/&gt;&lt;wsp:rsid wsp:val=&quot;00B0643C&quot;/&gt;&lt;wsp:rsid wsp:val=&quot;00B06EBD&quot;/&gt;&lt;wsp:rsid wsp:val=&quot;00B07301&quot;/&gt;&lt;wsp:rsid wsp:val=&quot;00B07DF3&quot;/&gt;&lt;wsp:rsid wsp:val=&quot;00B10E20&quot;/&gt;&lt;wsp:rsid wsp:val=&quot;00B10FCB&quot;/&gt;&lt;wsp:rsid wsp:val=&quot;00B12F8D&quot;/&gt;&lt;wsp:rsid wsp:val=&quot;00B13821&quot;/&gt;&lt;wsp:rsid wsp:val=&quot;00B13D14&quot;/&gt;&lt;wsp:rsid wsp:val=&quot;00B143E3&quot;/&gt;&lt;wsp:rsid wsp:val=&quot;00B156C0&quot;/&gt;&lt;wsp:rsid wsp:val=&quot;00B15AF2&quot;/&gt;&lt;wsp:rsid wsp:val=&quot;00B16D7F&quot;/&gt;&lt;wsp:rsid wsp:val=&quot;00B20FEA&quot;/&gt;&lt;wsp:rsid wsp:val=&quot;00B216EB&quot;/&gt;&lt;wsp:rsid wsp:val=&quot;00B21E78&quot;/&gt;&lt;wsp:rsid wsp:val=&quot;00B226D9&quot;/&gt;&lt;wsp:rsid wsp:val=&quot;00B228C8&quot;/&gt;&lt;wsp:rsid wsp:val=&quot;00B238C8&quot;/&gt;&lt;wsp:rsid wsp:val=&quot;00B23B93&quot;/&gt;&lt;wsp:rsid wsp:val=&quot;00B24CA8&quot;/&gt;&lt;wsp:rsid wsp:val=&quot;00B27040&quot;/&gt;&lt;wsp:rsid wsp:val=&quot;00B274E7&quot;/&gt;&lt;wsp:rsid wsp:val=&quot;00B300A1&quot;/&gt;&lt;wsp:rsid wsp:val=&quot;00B30656&quot;/&gt;&lt;wsp:rsid wsp:val=&quot;00B30A45&quot;/&gt;&lt;wsp:rsid wsp:val=&quot;00B31015&quot;/&gt;&lt;wsp:rsid wsp:val=&quot;00B3162C&quot;/&gt;&lt;wsp:rsid wsp:val=&quot;00B31788&quot;/&gt;&lt;wsp:rsid wsp:val=&quot;00B33FB2&quot;/&gt;&lt;wsp:rsid wsp:val=&quot;00B33FC7&quot;/&gt;&lt;wsp:rsid wsp:val=&quot;00B340B6&quot;/&gt;&lt;wsp:rsid wsp:val=&quot;00B3455D&quot;/&gt;&lt;wsp:rsid wsp:val=&quot;00B35497&quot;/&gt;&lt;wsp:rsid wsp:val=&quot;00B358FE&quot;/&gt;&lt;wsp:rsid wsp:val=&quot;00B36583&quot;/&gt;&lt;wsp:rsid wsp:val=&quot;00B37908&quot;/&gt;&lt;wsp:rsid wsp:val=&quot;00B37B3D&quot;/&gt;&lt;wsp:rsid wsp:val=&quot;00B37CF1&quot;/&gt;&lt;wsp:rsid wsp:val=&quot;00B403DA&quot;/&gt;&lt;wsp:rsid wsp:val=&quot;00B4094A&quot;/&gt;&lt;wsp:rsid wsp:val=&quot;00B40A9A&quot;/&gt;&lt;wsp:rsid wsp:val=&quot;00B40DD2&quot;/&gt;&lt;wsp:rsid wsp:val=&quot;00B4137D&quot;/&gt;&lt;wsp:rsid wsp:val=&quot;00B418DF&quot;/&gt;&lt;wsp:rsid wsp:val=&quot;00B425A7&quot;/&gt;&lt;wsp:rsid wsp:val=&quot;00B427F8&quot;/&gt;&lt;wsp:rsid wsp:val=&quot;00B43B29&quot;/&gt;&lt;wsp:rsid wsp:val=&quot;00B43C47&quot;/&gt;&lt;wsp:rsid wsp:val=&quot;00B447EE&quot;/&gt;&lt;wsp:rsid wsp:val=&quot;00B45CC5&quot;/&gt;&lt;wsp:rsid wsp:val=&quot;00B45D8C&quot;/&gt;&lt;wsp:rsid wsp:val=&quot;00B465DF&quot;/&gt;&lt;wsp:rsid wsp:val=&quot;00B46E5F&quot;/&gt;&lt;wsp:rsid wsp:val=&quot;00B5023D&quot;/&gt;&lt;wsp:rsid wsp:val=&quot;00B51370&quot;/&gt;&lt;wsp:rsid wsp:val=&quot;00B52465&quot;/&gt;&lt;wsp:rsid wsp:val=&quot;00B5283A&quot;/&gt;&lt;wsp:rsid wsp:val=&quot;00B52968&quot;/&gt;&lt;wsp:rsid wsp:val=&quot;00B54ED8&quot;/&gt;&lt;wsp:rsid wsp:val=&quot;00B55194&quot;/&gt;&lt;wsp:rsid wsp:val=&quot;00B55756&quot;/&gt;&lt;wsp:rsid wsp:val=&quot;00B55AE9&quot;/&gt;&lt;wsp:rsid wsp:val=&quot;00B5618E&quot;/&gt;&lt;wsp:rsid wsp:val=&quot;00B5653B&quot;/&gt;&lt;wsp:rsid wsp:val=&quot;00B56AE4&quot;/&gt;&lt;wsp:rsid wsp:val=&quot;00B57E67&quot;/&gt;&lt;wsp:rsid wsp:val=&quot;00B618D3&quot;/&gt;&lt;wsp:rsid wsp:val=&quot;00B61B1F&quot;/&gt;&lt;wsp:rsid wsp:val=&quot;00B621B8&quot;/&gt;&lt;wsp:rsid wsp:val=&quot;00B6246C&quot;/&gt;&lt;wsp:rsid wsp:val=&quot;00B62499&quot;/&gt;&lt;wsp:rsid wsp:val=&quot;00B6281B&quot;/&gt;&lt;wsp:rsid wsp:val=&quot;00B63B6D&quot;/&gt;&lt;wsp:rsid wsp:val=&quot;00B63C15&quot;/&gt;&lt;wsp:rsid wsp:val=&quot;00B63F03&quot;/&gt;&lt;wsp:rsid wsp:val=&quot;00B6473E&quot;/&gt;&lt;wsp:rsid wsp:val=&quot;00B64F51&quot;/&gt;&lt;wsp:rsid wsp:val=&quot;00B664C8&quot;/&gt;&lt;wsp:rsid wsp:val=&quot;00B666FA&quot;/&gt;&lt;wsp:rsid wsp:val=&quot;00B66ED9&quot;/&gt;&lt;wsp:rsid wsp:val=&quot;00B67852&quot;/&gt;&lt;wsp:rsid wsp:val=&quot;00B67FF5&quot;/&gt;&lt;wsp:rsid wsp:val=&quot;00B7030F&quot;/&gt;&lt;wsp:rsid wsp:val=&quot;00B70362&quot;/&gt;&lt;wsp:rsid wsp:val=&quot;00B712D4&quot;/&gt;&lt;wsp:rsid wsp:val=&quot;00B7206C&quot;/&gt;&lt;wsp:rsid wsp:val=&quot;00B721EB&quot;/&gt;&lt;wsp:rsid wsp:val=&quot;00B72437&quot;/&gt;&lt;wsp:rsid wsp:val=&quot;00B724CC&quot;/&gt;&lt;wsp:rsid wsp:val=&quot;00B72A9B&quot;/&gt;&lt;wsp:rsid wsp:val=&quot;00B72D9E&quot;/&gt;&lt;wsp:rsid wsp:val=&quot;00B73188&quot;/&gt;&lt;wsp:rsid wsp:val=&quot;00B735F7&quot;/&gt;&lt;wsp:rsid wsp:val=&quot;00B748C6&quot;/&gt;&lt;wsp:rsid wsp:val=&quot;00B74A74&quot;/&gt;&lt;wsp:rsid wsp:val=&quot;00B74F66&quot;/&gt;&lt;wsp:rsid wsp:val=&quot;00B75DE4&quot;/&gt;&lt;wsp:rsid wsp:val=&quot;00B765D2&quot;/&gt;&lt;wsp:rsid wsp:val=&quot;00B77760&quot;/&gt;&lt;wsp:rsid wsp:val=&quot;00B77797&quot;/&gt;&lt;wsp:rsid wsp:val=&quot;00B77877&quot;/&gt;&lt;wsp:rsid wsp:val=&quot;00B804A2&quot;/&gt;&lt;wsp:rsid wsp:val=&quot;00B80B8E&quot;/&gt;&lt;wsp:rsid wsp:val=&quot;00B82E47&quot;/&gt;&lt;wsp:rsid wsp:val=&quot;00B82F42&quot;/&gt;&lt;wsp:rsid wsp:val=&quot;00B83306&quot;/&gt;&lt;wsp:rsid wsp:val=&quot;00B83DBC&quot;/&gt;&lt;wsp:rsid wsp:val=&quot;00B84101&quot;/&gt;&lt;wsp:rsid wsp:val=&quot;00B8584B&quot;/&gt;&lt;wsp:rsid wsp:val=&quot;00B85ABA&quot;/&gt;&lt;wsp:rsid wsp:val=&quot;00B8730A&quot;/&gt;&lt;wsp:rsid wsp:val=&quot;00B87C6F&quot;/&gt;&lt;wsp:rsid wsp:val=&quot;00B906F1&quot;/&gt;&lt;wsp:rsid wsp:val=&quot;00B90C5A&quot;/&gt;&lt;wsp:rsid wsp:val=&quot;00B911DA&quot;/&gt;&lt;wsp:rsid wsp:val=&quot;00B933E7&quot;/&gt;&lt;wsp:rsid wsp:val=&quot;00B934A8&quot;/&gt;&lt;wsp:rsid wsp:val=&quot;00B93502&quot;/&gt;&lt;wsp:rsid wsp:val=&quot;00B936E3&quot;/&gt;&lt;wsp:rsid wsp:val=&quot;00B94016&quot;/&gt;&lt;wsp:rsid wsp:val=&quot;00B958E2&quot;/&gt;&lt;wsp:rsid wsp:val=&quot;00B95DD2&quot;/&gt;&lt;wsp:rsid wsp:val=&quot;00B96434&quot;/&gt;&lt;wsp:rsid wsp:val=&quot;00B9665F&quot;/&gt;&lt;wsp:rsid wsp:val=&quot;00B96B4D&quot;/&gt;&lt;wsp:rsid wsp:val=&quot;00B972C7&quot;/&gt;&lt;wsp:rsid wsp:val=&quot;00BA1BF4&quot;/&gt;&lt;wsp:rsid wsp:val=&quot;00BA2259&quot;/&gt;&lt;wsp:rsid wsp:val=&quot;00BA5BA3&quot;/&gt;&lt;wsp:rsid wsp:val=&quot;00BA5CF1&quot;/&gt;&lt;wsp:rsid wsp:val=&quot;00BA601B&quot;/&gt;&lt;wsp:rsid wsp:val=&quot;00BA61FA&quot;/&gt;&lt;wsp:rsid wsp:val=&quot;00BA62BE&quot;/&gt;&lt;wsp:rsid wsp:val=&quot;00BA6D41&quot;/&gt;&lt;wsp:rsid wsp:val=&quot;00BA719C&quot;/&gt;&lt;wsp:rsid wsp:val=&quot;00BA7D3F&quot;/&gt;&lt;wsp:rsid wsp:val=&quot;00BB0594&quot;/&gt;&lt;wsp:rsid wsp:val=&quot;00BB066A&quot;/&gt;&lt;wsp:rsid wsp:val=&quot;00BB0FBE&quot;/&gt;&lt;wsp:rsid wsp:val=&quot;00BB2568&quot;/&gt;&lt;wsp:rsid wsp:val=&quot;00BB3443&quot;/&gt;&lt;wsp:rsid wsp:val=&quot;00BB3624&quot;/&gt;&lt;wsp:rsid wsp:val=&quot;00BB3B98&quot;/&gt;&lt;wsp:rsid wsp:val=&quot;00BB3EF9&quot;/&gt;&lt;wsp:rsid wsp:val=&quot;00BB4AD9&quot;/&gt;&lt;wsp:rsid wsp:val=&quot;00BB4C84&quot;/&gt;&lt;wsp:rsid wsp:val=&quot;00BB536C&quot;/&gt;&lt;wsp:rsid wsp:val=&quot;00BB5E83&quot;/&gt;&lt;wsp:rsid wsp:val=&quot;00BB621F&quot;/&gt;&lt;wsp:rsid wsp:val=&quot;00BB6562&quot;/&gt;&lt;wsp:rsid wsp:val=&quot;00BB6701&quot;/&gt;&lt;wsp:rsid wsp:val=&quot;00BB6BB7&quot;/&gt;&lt;wsp:rsid wsp:val=&quot;00BB70DB&quot;/&gt;&lt;wsp:rsid wsp:val=&quot;00BC087C&quot;/&gt;&lt;wsp:rsid wsp:val=&quot;00BC12FA&quot;/&gt;&lt;wsp:rsid wsp:val=&quot;00BC1513&quot;/&gt;&lt;wsp:rsid wsp:val=&quot;00BC1D97&quot;/&gt;&lt;wsp:rsid wsp:val=&quot;00BC270E&quot;/&gt;&lt;wsp:rsid wsp:val=&quot;00BC3920&quot;/&gt;&lt;wsp:rsid wsp:val=&quot;00BC572A&quot;/&gt;&lt;wsp:rsid wsp:val=&quot;00BC5770&quot;/&gt;&lt;wsp:rsid wsp:val=&quot;00BC5D5A&quot;/&gt;&lt;wsp:rsid wsp:val=&quot;00BC7147&quot;/&gt;&lt;wsp:rsid wsp:val=&quot;00BC77FB&quot;/&gt;&lt;wsp:rsid wsp:val=&quot;00BD0E9E&quot;/&gt;&lt;wsp:rsid wsp:val=&quot;00BD212E&quot;/&gt;&lt;wsp:rsid wsp:val=&quot;00BD29A2&quot;/&gt;&lt;wsp:rsid wsp:val=&quot;00BD334D&quot;/&gt;&lt;wsp:rsid wsp:val=&quot;00BD4517&quot;/&gt;&lt;wsp:rsid wsp:val=&quot;00BD50E4&quot;/&gt;&lt;wsp:rsid wsp:val=&quot;00BD55FE&quot;/&gt;&lt;wsp:rsid wsp:val=&quot;00BD56D4&quot;/&gt;&lt;wsp:rsid wsp:val=&quot;00BD5B9B&quot;/&gt;&lt;wsp:rsid wsp:val=&quot;00BD6756&quot;/&gt;&lt;wsp:rsid wsp:val=&quot;00BE1713&quot;/&gt;&lt;wsp:rsid wsp:val=&quot;00BE1E14&quot;/&gt;&lt;wsp:rsid wsp:val=&quot;00BE2149&quot;/&gt;&lt;wsp:rsid wsp:val=&quot;00BE42D2&quot;/&gt;&lt;wsp:rsid wsp:val=&quot;00BE4860&quot;/&gt;&lt;wsp:rsid wsp:val=&quot;00BE49AE&quot;/&gt;&lt;wsp:rsid wsp:val=&quot;00BE6479&quot;/&gt;&lt;wsp:rsid wsp:val=&quot;00BE6520&quot;/&gt;&lt;wsp:rsid wsp:val=&quot;00BE752A&quot;/&gt;&lt;wsp:rsid wsp:val=&quot;00BF01B3&quot;/&gt;&lt;wsp:rsid wsp:val=&quot;00BF0592&quot;/&gt;&lt;wsp:rsid wsp:val=&quot;00BF079F&quot;/&gt;&lt;wsp:rsid wsp:val=&quot;00BF1112&quot;/&gt;&lt;wsp:rsid wsp:val=&quot;00BF139C&quot;/&gt;&lt;wsp:rsid wsp:val=&quot;00BF1542&quot;/&gt;&lt;wsp:rsid wsp:val=&quot;00BF3285&quot;/&gt;&lt;wsp:rsid wsp:val=&quot;00BF35BA&quot;/&gt;&lt;wsp:rsid wsp:val=&quot;00BF3808&quot;/&gt;&lt;wsp:rsid wsp:val=&quot;00BF48B1&quot;/&gt;&lt;wsp:rsid wsp:val=&quot;00BF4A6D&quot;/&gt;&lt;wsp:rsid wsp:val=&quot;00BF5151&quot;/&gt;&lt;wsp:rsid wsp:val=&quot;00BF6F42&quot;/&gt;&lt;wsp:rsid wsp:val=&quot;00BF7A62&quot;/&gt;&lt;wsp:rsid wsp:val=&quot;00C010A7&quot;/&gt;&lt;wsp:rsid wsp:val=&quot;00C02216&quot;/&gt;&lt;wsp:rsid wsp:val=&quot;00C02615&quot;/&gt;&lt;wsp:rsid wsp:val=&quot;00C02BC0&quot;/&gt;&lt;wsp:rsid wsp:val=&quot;00C03FBA&quot;/&gt;&lt;wsp:rsid wsp:val=&quot;00C04194&quot;/&gt;&lt;wsp:rsid wsp:val=&quot;00C04322&quot;/&gt;&lt;wsp:rsid wsp:val=&quot;00C0434B&quot;/&gt;&lt;wsp:rsid wsp:val=&quot;00C077FC&quot;/&gt;&lt;wsp:rsid wsp:val=&quot;00C12C0C&quot;/&gt;&lt;wsp:rsid wsp:val=&quot;00C12E16&quot;/&gt;&lt;wsp:rsid wsp:val=&quot;00C167D7&quot;/&gt;&lt;wsp:rsid wsp:val=&quot;00C170A7&quot;/&gt;&lt;wsp:rsid wsp:val=&quot;00C1726F&quot;/&gt;&lt;wsp:rsid wsp:val=&quot;00C172E0&quot;/&gt;&lt;wsp:rsid wsp:val=&quot;00C173E7&quot;/&gt;&lt;wsp:rsid wsp:val=&quot;00C17783&quot;/&gt;&lt;wsp:rsid wsp:val=&quot;00C200EF&quot;/&gt;&lt;wsp:rsid wsp:val=&quot;00C21126&quot;/&gt;&lt;wsp:rsid wsp:val=&quot;00C2146D&quot;/&gt;&lt;wsp:rsid wsp:val=&quot;00C217BA&quot;/&gt;&lt;wsp:rsid wsp:val=&quot;00C2301E&quot;/&gt;&lt;wsp:rsid wsp:val=&quot;00C2317E&quot;/&gt;&lt;wsp:rsid wsp:val=&quot;00C24405&quot;/&gt;&lt;wsp:rsid wsp:val=&quot;00C25311&quot;/&gt;&lt;wsp:rsid wsp:val=&quot;00C25BDF&quot;/&gt;&lt;wsp:rsid wsp:val=&quot;00C25F23&quot;/&gt;&lt;wsp:rsid wsp:val=&quot;00C264A5&quot;/&gt;&lt;wsp:rsid wsp:val=&quot;00C2699A&quot;/&gt;&lt;wsp:rsid wsp:val=&quot;00C2733D&quot;/&gt;&lt;wsp:rsid wsp:val=&quot;00C31133&quot;/&gt;&lt;wsp:rsid wsp:val=&quot;00C312DC&quot;/&gt;&lt;wsp:rsid wsp:val=&quot;00C3210D&quot;/&gt;&lt;wsp:rsid wsp:val=&quot;00C32A4F&quot;/&gt;&lt;wsp:rsid wsp:val=&quot;00C33E13&quot;/&gt;&lt;wsp:rsid wsp:val=&quot;00C3492F&quot;/&gt;&lt;wsp:rsid wsp:val=&quot;00C362DB&quot;/&gt;&lt;wsp:rsid wsp:val=&quot;00C36615&quot;/&gt;&lt;wsp:rsid wsp:val=&quot;00C366F7&quot;/&gt;&lt;wsp:rsid wsp:val=&quot;00C368EE&quot;/&gt;&lt;wsp:rsid wsp:val=&quot;00C379AC&quot;/&gt;&lt;wsp:rsid wsp:val=&quot;00C40A45&quot;/&gt;&lt;wsp:rsid wsp:val=&quot;00C40AC4&quot;/&gt;&lt;wsp:rsid wsp:val=&quot;00C40ADC&quot;/&gt;&lt;wsp:rsid wsp:val=&quot;00C42537&quot;/&gt;&lt;wsp:rsid wsp:val=&quot;00C42C38&quot;/&gt;&lt;wsp:rsid wsp:val=&quot;00C43176&quot;/&gt;&lt;wsp:rsid wsp:val=&quot;00C43B4C&quot;/&gt;&lt;wsp:rsid wsp:val=&quot;00C445B8&quot;/&gt;&lt;wsp:rsid wsp:val=&quot;00C44623&quot;/&gt;&lt;wsp:rsid wsp:val=&quot;00C44629&quot;/&gt;&lt;wsp:rsid wsp:val=&quot;00C44E85&quot;/&gt;&lt;wsp:rsid wsp:val=&quot;00C45CFE&quot;/&gt;&lt;wsp:rsid wsp:val=&quot;00C46032&quot;/&gt;&lt;wsp:rsid wsp:val=&quot;00C4622B&quot;/&gt;&lt;wsp:rsid wsp:val=&quot;00C4694E&quot;/&gt;&lt;wsp:rsid wsp:val=&quot;00C46D69&quot;/&gt;&lt;wsp:rsid wsp:val=&quot;00C509BA&quot;/&gt;&lt;wsp:rsid wsp:val=&quot;00C50BAD&quot;/&gt;&lt;wsp:rsid wsp:val=&quot;00C51390&quot;/&gt;&lt;wsp:rsid wsp:val=&quot;00C51B6C&quot;/&gt;&lt;wsp:rsid wsp:val=&quot;00C5248C&quot;/&gt;&lt;wsp:rsid wsp:val=&quot;00C5305D&quot;/&gt;&lt;wsp:rsid wsp:val=&quot;00C54634&quot;/&gt;&lt;wsp:rsid wsp:val=&quot;00C548D1&quot;/&gt;&lt;wsp:rsid wsp:val=&quot;00C54D57&quot;/&gt;&lt;wsp:rsid wsp:val=&quot;00C5552F&quot;/&gt;&lt;wsp:rsid wsp:val=&quot;00C556B0&quot;/&gt;&lt;wsp:rsid wsp:val=&quot;00C55EB0&quot;/&gt;&lt;wsp:rsid wsp:val=&quot;00C60DBB&quot;/&gt;&lt;wsp:rsid wsp:val=&quot;00C61793&quot;/&gt;&lt;wsp:rsid wsp:val=&quot;00C63CD2&quot;/&gt;&lt;wsp:rsid wsp:val=&quot;00C64070&quot;/&gt;&lt;wsp:rsid wsp:val=&quot;00C65BFC&quot;/&gt;&lt;wsp:rsid wsp:val=&quot;00C6662B&quot;/&gt;&lt;wsp:rsid wsp:val=&quot;00C66A29&quot;/&gt;&lt;wsp:rsid wsp:val=&quot;00C67E81&quot;/&gt;&lt;wsp:rsid wsp:val=&quot;00C709EA&quot;/&gt;&lt;wsp:rsid wsp:val=&quot;00C7127E&quot;/&gt;&lt;wsp:rsid wsp:val=&quot;00C72CCD&quot;/&gt;&lt;wsp:rsid wsp:val=&quot;00C72E81&quot;/&gt;&lt;wsp:rsid wsp:val=&quot;00C73227&quot;/&gt;&lt;wsp:rsid wsp:val=&quot;00C73570&quot;/&gt;&lt;wsp:rsid wsp:val=&quot;00C73F45&quot;/&gt;&lt;wsp:rsid wsp:val=&quot;00C75685&quot;/&gt;&lt;wsp:rsid wsp:val=&quot;00C7603D&quot;/&gt;&lt;wsp:rsid wsp:val=&quot;00C7661B&quot;/&gt;&lt;wsp:rsid wsp:val=&quot;00C77D8E&quot;/&gt;&lt;wsp:rsid wsp:val=&quot;00C8149C&quot;/&gt;&lt;wsp:rsid wsp:val=&quot;00C848A1&quot;/&gt;&lt;wsp:rsid wsp:val=&quot;00C854D6&quot;/&gt;&lt;wsp:rsid wsp:val=&quot;00C8568F&quot;/&gt;&lt;wsp:rsid wsp:val=&quot;00C87FCF&quot;/&gt;&lt;wsp:rsid wsp:val=&quot;00C91024&quot;/&gt;&lt;wsp:rsid wsp:val=&quot;00C9164D&quot;/&gt;&lt;wsp:rsid wsp:val=&quot;00C91B2A&quot;/&gt;&lt;wsp:rsid wsp:val=&quot;00C91CFC&quot;/&gt;&lt;wsp:rsid wsp:val=&quot;00C92671&quot;/&gt;&lt;wsp:rsid wsp:val=&quot;00C93811&quot;/&gt;&lt;wsp:rsid wsp:val=&quot;00C93944&quot;/&gt;&lt;wsp:rsid wsp:val=&quot;00C94789&quot;/&gt;&lt;wsp:rsid wsp:val=&quot;00C94BFF&quot;/&gt;&lt;wsp:rsid wsp:val=&quot;00C953FE&quot;/&gt;&lt;wsp:rsid wsp:val=&quot;00C95F01&quot;/&gt;&lt;wsp:rsid wsp:val=&quot;00C96237&quot;/&gt;&lt;wsp:rsid wsp:val=&quot;00C96F8E&quot;/&gt;&lt;wsp:rsid wsp:val=&quot;00CA01C4&quot;/&gt;&lt;wsp:rsid wsp:val=&quot;00CA1123&quot;/&gt;&lt;wsp:rsid wsp:val=&quot;00CA3044&quot;/&gt;&lt;wsp:rsid wsp:val=&quot;00CA394E&quot;/&gt;&lt;wsp:rsid wsp:val=&quot;00CA44CB&quot;/&gt;&lt;wsp:rsid wsp:val=&quot;00CA4881&quot;/&gt;&lt;wsp:rsid wsp:val=&quot;00CA4945&quot;/&gt;&lt;wsp:rsid wsp:val=&quot;00CA4D4D&quot;/&gt;&lt;wsp:rsid wsp:val=&quot;00CB0119&quot;/&gt;&lt;wsp:rsid wsp:val=&quot;00CB0F3A&quot;/&gt;&lt;wsp:rsid wsp:val=&quot;00CB107E&quot;/&gt;&lt;wsp:rsid wsp:val=&quot;00CB12CE&quot;/&gt;&lt;wsp:rsid wsp:val=&quot;00CB1F59&quot;/&gt;&lt;wsp:rsid wsp:val=&quot;00CB2B07&quot;/&gt;&lt;wsp:rsid wsp:val=&quot;00CB2D39&quot;/&gt;&lt;wsp:rsid wsp:val=&quot;00CB4DF3&quot;/&gt;&lt;wsp:rsid wsp:val=&quot;00CB4E09&quot;/&gt;&lt;wsp:rsid wsp:val=&quot;00CB5CBC&quot;/&gt;&lt;wsp:rsid wsp:val=&quot;00CB6205&quot;/&gt;&lt;wsp:rsid wsp:val=&quot;00CB7119&quot;/&gt;&lt;wsp:rsid wsp:val=&quot;00CB7508&quot;/&gt;&lt;wsp:rsid wsp:val=&quot;00CB7F10&quot;/&gt;&lt;wsp:rsid wsp:val=&quot;00CC00C3&quot;/&gt;&lt;wsp:rsid wsp:val=&quot;00CC0800&quot;/&gt;&lt;wsp:rsid wsp:val=&quot;00CC0F8A&quot;/&gt;&lt;wsp:rsid wsp:val=&quot;00CC20FD&quot;/&gt;&lt;wsp:rsid wsp:val=&quot;00CC215D&quot;/&gt;&lt;wsp:rsid wsp:val=&quot;00CC2198&quot;/&gt;&lt;wsp:rsid wsp:val=&quot;00CC32CC&quot;/&gt;&lt;wsp:rsid wsp:val=&quot;00CC4DCF&quot;/&gt;&lt;wsp:rsid wsp:val=&quot;00CC6D7A&quot;/&gt;&lt;wsp:rsid wsp:val=&quot;00CD0F57&quot;/&gt;&lt;wsp:rsid wsp:val=&quot;00CD1486&quot;/&gt;&lt;wsp:rsid wsp:val=&quot;00CD1753&quot;/&gt;&lt;wsp:rsid wsp:val=&quot;00CD1893&quot;/&gt;&lt;wsp:rsid wsp:val=&quot;00CD26F1&quot;/&gt;&lt;wsp:rsid wsp:val=&quot;00CD3FD3&quot;/&gt;&lt;wsp:rsid wsp:val=&quot;00CD47D6&quot;/&gt;&lt;wsp:rsid wsp:val=&quot;00CD4A69&quot;/&gt;&lt;wsp:rsid wsp:val=&quot;00CD4C14&quot;/&gt;&lt;wsp:rsid wsp:val=&quot;00CD5BFA&quot;/&gt;&lt;wsp:rsid wsp:val=&quot;00CD5DA7&quot;/&gt;&lt;wsp:rsid wsp:val=&quot;00CD693F&quot;/&gt;&lt;wsp:rsid wsp:val=&quot;00CD78A7&quot;/&gt;&lt;wsp:rsid wsp:val=&quot;00CD7C42&quot;/&gt;&lt;wsp:rsid wsp:val=&quot;00CE2B2A&quot;/&gt;&lt;wsp:rsid wsp:val=&quot;00CE2C93&quot;/&gt;&lt;wsp:rsid wsp:val=&quot;00CE3288&quot;/&gt;&lt;wsp:rsid wsp:val=&quot;00CE421C&quot;/&gt;&lt;wsp:rsid wsp:val=&quot;00CE4E25&quot;/&gt;&lt;wsp:rsid wsp:val=&quot;00CE6778&quot;/&gt;&lt;wsp:rsid wsp:val=&quot;00CF0442&quot;/&gt;&lt;wsp:rsid wsp:val=&quot;00CF0BD9&quot;/&gt;&lt;wsp:rsid wsp:val=&quot;00CF2118&quot;/&gt;&lt;wsp:rsid wsp:val=&quot;00CF5705&quot;/&gt;&lt;wsp:rsid wsp:val=&quot;00CF7185&quot;/&gt;&lt;wsp:rsid wsp:val=&quot;00CF7B97&quot;/&gt;&lt;wsp:rsid wsp:val=&quot;00D00882&quot;/&gt;&lt;wsp:rsid wsp:val=&quot;00D01340&quot;/&gt;&lt;wsp:rsid wsp:val=&quot;00D026A7&quot;/&gt;&lt;wsp:rsid wsp:val=&quot;00D02B60&quot;/&gt;&lt;wsp:rsid wsp:val=&quot;00D037FE&quot;/&gt;&lt;wsp:rsid wsp:val=&quot;00D0391F&quot;/&gt;&lt;wsp:rsid wsp:val=&quot;00D03B1E&quot;/&gt;&lt;wsp:rsid wsp:val=&quot;00D0516C&quot;/&gt;&lt;wsp:rsid wsp:val=&quot;00D059D7&quot;/&gt;&lt;wsp:rsid wsp:val=&quot;00D065EC&quot;/&gt;&lt;wsp:rsid wsp:val=&quot;00D06729&quot;/&gt;&lt;wsp:rsid wsp:val=&quot;00D06EA1&quot;/&gt;&lt;wsp:rsid wsp:val=&quot;00D070E9&quot;/&gt;&lt;wsp:rsid wsp:val=&quot;00D0722E&quot;/&gt;&lt;wsp:rsid wsp:val=&quot;00D07234&quot;/&gt;&lt;wsp:rsid wsp:val=&quot;00D07883&quot;/&gt;&lt;wsp:rsid wsp:val=&quot;00D11058&quot;/&gt;&lt;wsp:rsid wsp:val=&quot;00D11147&quot;/&gt;&lt;wsp:rsid wsp:val=&quot;00D13FE3&quot;/&gt;&lt;wsp:rsid wsp:val=&quot;00D14488&quot;/&gt;&lt;wsp:rsid wsp:val=&quot;00D144B0&quot;/&gt;&lt;wsp:rsid wsp:val=&quot;00D1518E&quot;/&gt;&lt;wsp:rsid wsp:val=&quot;00D15223&quot;/&gt;&lt;wsp:rsid wsp:val=&quot;00D1570F&quot;/&gt;&lt;wsp:rsid wsp:val=&quot;00D15E10&quot;/&gt;&lt;wsp:rsid wsp:val=&quot;00D16D98&quot;/&gt;&lt;wsp:rsid wsp:val=&quot;00D17DC6&quot;/&gt;&lt;wsp:rsid wsp:val=&quot;00D215E8&quot;/&gt;&lt;wsp:rsid wsp:val=&quot;00D2365F&quot;/&gt;&lt;wsp:rsid wsp:val=&quot;00D23A49&quot;/&gt;&lt;wsp:rsid wsp:val=&quot;00D23F4B&quot;/&gt;&lt;wsp:rsid wsp:val=&quot;00D24452&quot;/&gt;&lt;wsp:rsid wsp:val=&quot;00D2487C&quot;/&gt;&lt;wsp:rsid wsp:val=&quot;00D25BE1&quot;/&gt;&lt;wsp:rsid wsp:val=&quot;00D26B52&quot;/&gt;&lt;wsp:rsid wsp:val=&quot;00D27B39&quot;/&gt;&lt;wsp:rsid wsp:val=&quot;00D27E82&quot;/&gt;&lt;wsp:rsid wsp:val=&quot;00D31D9E&quot;/&gt;&lt;wsp:rsid wsp:val=&quot;00D32048&quot;/&gt;&lt;wsp:rsid wsp:val=&quot;00D32763&quot;/&gt;&lt;wsp:rsid wsp:val=&quot;00D33EEB&quot;/&gt;&lt;wsp:rsid wsp:val=&quot;00D34541&quot;/&gt;&lt;wsp:rsid wsp:val=&quot;00D362B3&quot;/&gt;&lt;wsp:rsid wsp:val=&quot;00D36A1F&quot;/&gt;&lt;wsp:rsid wsp:val=&quot;00D37485&quot;/&gt;&lt;wsp:rsid wsp:val=&quot;00D4101A&quot;/&gt;&lt;wsp:rsid wsp:val=&quot;00D41D52&quot;/&gt;&lt;wsp:rsid wsp:val=&quot;00D42A9C&quot;/&gt;&lt;wsp:rsid wsp:val=&quot;00D43356&quot;/&gt;&lt;wsp:rsid wsp:val=&quot;00D44783&quot;/&gt;&lt;wsp:rsid wsp:val=&quot;00D44A39&quot;/&gt;&lt;wsp:rsid wsp:val=&quot;00D455F8&quot;/&gt;&lt;wsp:rsid wsp:val=&quot;00D469D8&quot;/&gt;&lt;wsp:rsid wsp:val=&quot;00D46A31&quot;/&gt;&lt;wsp:rsid wsp:val=&quot;00D46F12&quot;/&gt;&lt;wsp:rsid wsp:val=&quot;00D47D2A&quot;/&gt;&lt;wsp:rsid wsp:val=&quot;00D47F91&quot;/&gt;&lt;wsp:rsid wsp:val=&quot;00D52727&quot;/&gt;&lt;wsp:rsid wsp:val=&quot;00D52D7C&quot;/&gt;&lt;wsp:rsid wsp:val=&quot;00D535AA&quot;/&gt;&lt;wsp:rsid wsp:val=&quot;00D53DEC&quot;/&gt;&lt;wsp:rsid wsp:val=&quot;00D5560F&quot;/&gt;&lt;wsp:rsid wsp:val=&quot;00D55CEB&quot;/&gt;&lt;wsp:rsid wsp:val=&quot;00D5700C&quot;/&gt;&lt;wsp:rsid wsp:val=&quot;00D573E2&quot;/&gt;&lt;wsp:rsid wsp:val=&quot;00D61FB6&quot;/&gt;&lt;wsp:rsid wsp:val=&quot;00D6290E&quot;/&gt;&lt;wsp:rsid wsp:val=&quot;00D63CA9&quot;/&gt;&lt;wsp:rsid wsp:val=&quot;00D6499F&quot;/&gt;&lt;wsp:rsid wsp:val=&quot;00D64B83&quot;/&gt;&lt;wsp:rsid wsp:val=&quot;00D64EBC&quot;/&gt;&lt;wsp:rsid wsp:val=&quot;00D6660A&quot;/&gt;&lt;wsp:rsid wsp:val=&quot;00D672D9&quot;/&gt;&lt;wsp:rsid wsp:val=&quot;00D72A9E&quot;/&gt;&lt;wsp:rsid wsp:val=&quot;00D7340A&quot;/&gt;&lt;wsp:rsid wsp:val=&quot;00D7376C&quot;/&gt;&lt;wsp:rsid wsp:val=&quot;00D76730&quot;/&gt;&lt;wsp:rsid wsp:val=&quot;00D767C0&quot;/&gt;&lt;wsp:rsid wsp:val=&quot;00D80240&quot;/&gt;&lt;wsp:rsid wsp:val=&quot;00D8030C&quot;/&gt;&lt;wsp:rsid wsp:val=&quot;00D814BE&quot;/&gt;&lt;wsp:rsid wsp:val=&quot;00D83886&quot;/&gt;&lt;wsp:rsid wsp:val=&quot;00D848C7&quot;/&gt;&lt;wsp:rsid wsp:val=&quot;00D850C6&quot;/&gt;&lt;wsp:rsid wsp:val=&quot;00D868B7&quot;/&gt;&lt;wsp:rsid wsp:val=&quot;00D9380C&quot;/&gt;&lt;wsp:rsid wsp:val=&quot;00D9387A&quot;/&gt;&lt;wsp:rsid wsp:val=&quot;00D93BD0&quot;/&gt;&lt;wsp:rsid wsp:val=&quot;00D94925&quot;/&gt;&lt;wsp:rsid wsp:val=&quot;00D95415&quot;/&gt;&lt;wsp:rsid wsp:val=&quot;00D95AD6&quot;/&gt;&lt;wsp:rsid wsp:val=&quot;00D963A8&quot;/&gt;&lt;wsp:rsid wsp:val=&quot;00D9664D&quot;/&gt;&lt;wsp:rsid wsp:val=&quot;00D96C67&quot;/&gt;&lt;wsp:rsid wsp:val=&quot;00D9740D&quot;/&gt;&lt;wsp:rsid wsp:val=&quot;00D974E7&quot;/&gt;&lt;wsp:rsid wsp:val=&quot;00D9756E&quot;/&gt;&lt;wsp:rsid wsp:val=&quot;00DA0342&quot;/&gt;&lt;wsp:rsid wsp:val=&quot;00DA0B1D&quot;/&gt;&lt;wsp:rsid wsp:val=&quot;00DA1A9E&quot;/&gt;&lt;wsp:rsid wsp:val=&quot;00DA1CBE&quot;/&gt;&lt;wsp:rsid wsp:val=&quot;00DA1CC2&quot;/&gt;&lt;wsp:rsid wsp:val=&quot;00DA2E26&quot;/&gt;&lt;wsp:rsid wsp:val=&quot;00DA43B3&quot;/&gt;&lt;wsp:rsid wsp:val=&quot;00DA4651&quot;/&gt;&lt;wsp:rsid wsp:val=&quot;00DA49AE&quot;/&gt;&lt;wsp:rsid wsp:val=&quot;00DA4A90&quot;/&gt;&lt;wsp:rsid wsp:val=&quot;00DA4BF6&quot;/&gt;&lt;wsp:rsid wsp:val=&quot;00DA53F3&quot;/&gt;&lt;wsp:rsid wsp:val=&quot;00DA5E8D&quot;/&gt;&lt;wsp:rsid wsp:val=&quot;00DA5F15&quot;/&gt;&lt;wsp:rsid wsp:val=&quot;00DB04E3&quot;/&gt;&lt;wsp:rsid wsp:val=&quot;00DB0F25&quot;/&gt;&lt;wsp:rsid wsp:val=&quot;00DB3844&quot;/&gt;&lt;wsp:rsid wsp:val=&quot;00DB395C&quot;/&gt;&lt;wsp:rsid wsp:val=&quot;00DB4DD8&quot;/&gt;&lt;wsp:rsid wsp:val=&quot;00DB52F8&quot;/&gt;&lt;wsp:rsid wsp:val=&quot;00DB5F6E&quot;/&gt;&lt;wsp:rsid wsp:val=&quot;00DB6351&quot;/&gt;&lt;wsp:rsid wsp:val=&quot;00DB6986&quot;/&gt;&lt;wsp:rsid wsp:val=&quot;00DB6EBB&quot;/&gt;&lt;wsp:rsid wsp:val=&quot;00DB7A0A&quot;/&gt;&lt;wsp:rsid wsp:val=&quot;00DC0EE2&quot;/&gt;&lt;wsp:rsid wsp:val=&quot;00DC10DF&quot;/&gt;&lt;wsp:rsid wsp:val=&quot;00DC2412&quot;/&gt;&lt;wsp:rsid wsp:val=&quot;00DC312C&quot;/&gt;&lt;wsp:rsid wsp:val=&quot;00DC3487&quot;/&gt;&lt;wsp:rsid wsp:val=&quot;00DC5610&quot;/&gt;&lt;wsp:rsid wsp:val=&quot;00DC5BE1&quot;/&gt;&lt;wsp:rsid wsp:val=&quot;00DC5E8C&quot;/&gt;&lt;wsp:rsid wsp:val=&quot;00DC73F8&quot;/&gt;&lt;wsp:rsid wsp:val=&quot;00DC75C9&quot;/&gt;&lt;wsp:rsid wsp:val=&quot;00DC78B6&quot;/&gt;&lt;wsp:rsid wsp:val=&quot;00DD1234&quot;/&gt;&lt;wsp:rsid wsp:val=&quot;00DD16C8&quot;/&gt;&lt;wsp:rsid wsp:val=&quot;00DD1F35&quot;/&gt;&lt;wsp:rsid wsp:val=&quot;00DD2160&quot;/&gt;&lt;wsp:rsid wsp:val=&quot;00DD2208&quot;/&gt;&lt;wsp:rsid wsp:val=&quot;00DD2D14&quot;/&gt;&lt;wsp:rsid wsp:val=&quot;00DD2D1A&quot;/&gt;&lt;wsp:rsid wsp:val=&quot;00DD30D9&quot;/&gt;&lt;wsp:rsid wsp:val=&quot;00DD3915&quot;/&gt;&lt;wsp:rsid wsp:val=&quot;00DD3D5D&quot;/&gt;&lt;wsp:rsid wsp:val=&quot;00DD4389&quot;/&gt;&lt;wsp:rsid wsp:val=&quot;00DD492C&quot;/&gt;&lt;wsp:rsid wsp:val=&quot;00DD4B80&quot;/&gt;&lt;wsp:rsid wsp:val=&quot;00DD6144&quot;/&gt;&lt;wsp:rsid wsp:val=&quot;00DD6D40&quot;/&gt;&lt;wsp:rsid wsp:val=&quot;00DE0EE5&quot;/&gt;&lt;wsp:rsid wsp:val=&quot;00DE40D1&quot;/&gt;&lt;wsp:rsid wsp:val=&quot;00DE5677&quot;/&gt;&lt;wsp:rsid wsp:val=&quot;00DE5E91&quot;/&gt;&lt;wsp:rsid wsp:val=&quot;00DE620C&quot;/&gt;&lt;wsp:rsid wsp:val=&quot;00DE7A78&quot;/&gt;&lt;wsp:rsid wsp:val=&quot;00DF0154&quot;/&gt;&lt;wsp:rsid wsp:val=&quot;00DF0868&quot;/&gt;&lt;wsp:rsid wsp:val=&quot;00DF0C3E&quot;/&gt;&lt;wsp:rsid wsp:val=&quot;00DF0DB8&quot;/&gt;&lt;wsp:rsid wsp:val=&quot;00DF181F&quot;/&gt;&lt;wsp:rsid wsp:val=&quot;00DF26A9&quot;/&gt;&lt;wsp:rsid wsp:val=&quot;00DF2C42&quot;/&gt;&lt;wsp:rsid wsp:val=&quot;00DF2CCD&quot;/&gt;&lt;wsp:rsid wsp:val=&quot;00DF3AEF&quot;/&gt;&lt;wsp:rsid wsp:val=&quot;00DF3D4F&quot;/&gt;&lt;wsp:rsid wsp:val=&quot;00DF42DB&quot;/&gt;&lt;wsp:rsid wsp:val=&quot;00DF43E5&quot;/&gt;&lt;wsp:rsid wsp:val=&quot;00DF4C54&quot;/&gt;&lt;wsp:rsid wsp:val=&quot;00DF64E4&quot;/&gt;&lt;wsp:rsid wsp:val=&quot;00DF6D08&quot;/&gt;&lt;wsp:rsid wsp:val=&quot;00DF6F03&quot;/&gt;&lt;wsp:rsid wsp:val=&quot;00DF78D2&quot;/&gt;&lt;wsp:rsid wsp:val=&quot;00E00771&quot;/&gt;&lt;wsp:rsid wsp:val=&quot;00E00F96&quot;/&gt;&lt;wsp:rsid wsp:val=&quot;00E0204B&quot;/&gt;&lt;wsp:rsid wsp:val=&quot;00E02A5D&quot;/&gt;&lt;wsp:rsid wsp:val=&quot;00E041F4&quot;/&gt;&lt;wsp:rsid wsp:val=&quot;00E04D43&quot;/&gt;&lt;wsp:rsid wsp:val=&quot;00E05837&quot;/&gt;&lt;wsp:rsid wsp:val=&quot;00E07CC0&quot;/&gt;&lt;wsp:rsid wsp:val=&quot;00E07D76&quot;/&gt;&lt;wsp:rsid wsp:val=&quot;00E07F3D&quot;/&gt;&lt;wsp:rsid wsp:val=&quot;00E10CA9&quot;/&gt;&lt;wsp:rsid wsp:val=&quot;00E10FC9&quot;/&gt;&lt;wsp:rsid wsp:val=&quot;00E113E1&quot;/&gt;&lt;wsp:rsid wsp:val=&quot;00E12037&quot;/&gt;&lt;wsp:rsid wsp:val=&quot;00E1297B&quot;/&gt;&lt;wsp:rsid wsp:val=&quot;00E12A19&quot;/&gt;&lt;wsp:rsid wsp:val=&quot;00E12FFD&quot;/&gt;&lt;wsp:rsid wsp:val=&quot;00E13002&quot;/&gt;&lt;wsp:rsid wsp:val=&quot;00E13947&quot;/&gt;&lt;wsp:rsid wsp:val=&quot;00E13FCC&quot;/&gt;&lt;wsp:rsid wsp:val=&quot;00E15096&quot;/&gt;&lt;wsp:rsid wsp:val=&quot;00E17F98&quot;/&gt;&lt;wsp:rsid wsp:val=&quot;00E205F1&quot;/&gt;&lt;wsp:rsid wsp:val=&quot;00E21674&quot;/&gt;&lt;wsp:rsid wsp:val=&quot;00E22675&quot;/&gt;&lt;wsp:rsid wsp:val=&quot;00E22B32&quot;/&gt;&lt;wsp:rsid wsp:val=&quot;00E22DE5&quot;/&gt;&lt;wsp:rsid wsp:val=&quot;00E23414&quot;/&gt;&lt;wsp:rsid wsp:val=&quot;00E239DC&quot;/&gt;&lt;wsp:rsid wsp:val=&quot;00E23C9C&quot;/&gt;&lt;wsp:rsid wsp:val=&quot;00E24457&quot;/&gt;&lt;wsp:rsid wsp:val=&quot;00E2474E&quot;/&gt;&lt;wsp:rsid wsp:val=&quot;00E252CD&quot;/&gt;&lt;wsp:rsid wsp:val=&quot;00E253DD&quot;/&gt;&lt;wsp:rsid wsp:val=&quot;00E25408&quot;/&gt;&lt;wsp:rsid wsp:val=&quot;00E25A86&quot;/&gt;&lt;wsp:rsid wsp:val=&quot;00E25BF9&quot;/&gt;&lt;wsp:rsid wsp:val=&quot;00E269D3&quot;/&gt;&lt;wsp:rsid wsp:val=&quot;00E27221&quot;/&gt;&lt;wsp:rsid wsp:val=&quot;00E312BB&quot;/&gt;&lt;wsp:rsid wsp:val=&quot;00E3227B&quot;/&gt;&lt;wsp:rsid wsp:val=&quot;00E325D7&quot;/&gt;&lt;wsp:rsid wsp:val=&quot;00E327AB&quot;/&gt;&lt;wsp:rsid wsp:val=&quot;00E32BA4&quot;/&gt;&lt;wsp:rsid wsp:val=&quot;00E3330C&quot;/&gt;&lt;wsp:rsid wsp:val=&quot;00E33801&quot;/&gt;&lt;wsp:rsid wsp:val=&quot;00E33ADD&quot;/&gt;&lt;wsp:rsid wsp:val=&quot;00E33EAF&quot;/&gt;&lt;wsp:rsid wsp:val=&quot;00E36BE0&quot;/&gt;&lt;wsp:rsid wsp:val=&quot;00E40B47&quot;/&gt;&lt;wsp:rsid wsp:val=&quot;00E411FD&quot;/&gt;&lt;wsp:rsid wsp:val=&quot;00E41A09&quot;/&gt;&lt;wsp:rsid wsp:val=&quot;00E422C7&quot;/&gt;&lt;wsp:rsid wsp:val=&quot;00E4280E&quot;/&gt;&lt;wsp:rsid wsp:val=&quot;00E42E98&quot;/&gt;&lt;wsp:rsid wsp:val=&quot;00E43EB4&quot;/&gt;&lt;wsp:rsid wsp:val=&quot;00E4580E&quot;/&gt;&lt;wsp:rsid wsp:val=&quot;00E468CF&quot;/&gt;&lt;wsp:rsid wsp:val=&quot;00E512D4&quot;/&gt;&lt;wsp:rsid wsp:val=&quot;00E520B5&quot;/&gt;&lt;wsp:rsid wsp:val=&quot;00E5215C&quot;/&gt;&lt;wsp:rsid wsp:val=&quot;00E521D1&quot;/&gt;&lt;wsp:rsid wsp:val=&quot;00E5237A&quot;/&gt;&lt;wsp:rsid wsp:val=&quot;00E523D3&quot;/&gt;&lt;wsp:rsid wsp:val=&quot;00E52801&quot;/&gt;&lt;wsp:rsid wsp:val=&quot;00E52C8F&quot;/&gt;&lt;wsp:rsid wsp:val=&quot;00E5303A&quot;/&gt;&lt;wsp:rsid wsp:val=&quot;00E534A5&quot;/&gt;&lt;wsp:rsid wsp:val=&quot;00E534E0&quot;/&gt;&lt;wsp:rsid wsp:val=&quot;00E535F2&quot;/&gt;&lt;wsp:rsid wsp:val=&quot;00E54272&quot;/&gt;&lt;wsp:rsid wsp:val=&quot;00E543D2&quot;/&gt;&lt;wsp:rsid wsp:val=&quot;00E5490C&quot;/&gt;&lt;wsp:rsid wsp:val=&quot;00E56410&quot;/&gt;&lt;wsp:rsid wsp:val=&quot;00E5693D&quot;/&gt;&lt;wsp:rsid wsp:val=&quot;00E57054&quot;/&gt;&lt;wsp:rsid wsp:val=&quot;00E571B6&quot;/&gt;&lt;wsp:rsid wsp:val=&quot;00E5797B&quot;/&gt;&lt;wsp:rsid wsp:val=&quot;00E579FE&quot;/&gt;&lt;wsp:rsid wsp:val=&quot;00E60768&quot;/&gt;&lt;wsp:rsid wsp:val=&quot;00E608C6&quot;/&gt;&lt;wsp:rsid wsp:val=&quot;00E609DE&quot;/&gt;&lt;wsp:rsid wsp:val=&quot;00E60C48&quot;/&gt;&lt;wsp:rsid wsp:val=&quot;00E6262D&quot;/&gt;&lt;wsp:rsid wsp:val=&quot;00E6295B&quot;/&gt;&lt;wsp:rsid wsp:val=&quot;00E63360&quot;/&gt;&lt;wsp:rsid wsp:val=&quot;00E6357A&quot;/&gt;&lt;wsp:rsid wsp:val=&quot;00E647F1&quot;/&gt;&lt;wsp:rsid wsp:val=&quot;00E65A80&quot;/&gt;&lt;wsp:rsid wsp:val=&quot;00E661CD&quot;/&gt;&lt;wsp:rsid wsp:val=&quot;00E66426&quot;/&gt;&lt;wsp:rsid wsp:val=&quot;00E67206&quot;/&gt;&lt;wsp:rsid wsp:val=&quot;00E674AD&quot;/&gt;&lt;wsp:rsid wsp:val=&quot;00E67DE3&quot;/&gt;&lt;wsp:rsid wsp:val=&quot;00E73517&quot;/&gt;&lt;wsp:rsid wsp:val=&quot;00E7545F&quot;/&gt;&lt;wsp:rsid wsp:val=&quot;00E75D45&quot;/&gt;&lt;wsp:rsid wsp:val=&quot;00E75EEA&quot;/&gt;&lt;wsp:rsid wsp:val=&quot;00E7689B&quot;/&gt;&lt;wsp:rsid wsp:val=&quot;00E76C57&quot;/&gt;&lt;wsp:rsid wsp:val=&quot;00E76CED&quot;/&gt;&lt;wsp:rsid wsp:val=&quot;00E76FFD&quot;/&gt;&lt;wsp:rsid wsp:val=&quot;00E801D3&quot;/&gt;&lt;wsp:rsid wsp:val=&quot;00E80A5E&quot;/&gt;&lt;wsp:rsid wsp:val=&quot;00E810D6&quot;/&gt;&lt;wsp:rsid wsp:val=&quot;00E81458&quot;/&gt;&lt;wsp:rsid wsp:val=&quot;00E81687&quot;/&gt;&lt;wsp:rsid wsp:val=&quot;00E81E92&quot;/&gt;&lt;wsp:rsid wsp:val=&quot;00E81FE3&quot;/&gt;&lt;wsp:rsid wsp:val=&quot;00E82759&quot;/&gt;&lt;wsp:rsid wsp:val=&quot;00E84AD4&quot;/&gt;&lt;wsp:rsid wsp:val=&quot;00E84D60&quot;/&gt;&lt;wsp:rsid wsp:val=&quot;00E84F24&quot;/&gt;&lt;wsp:rsid wsp:val=&quot;00E85FD7&quot;/&gt;&lt;wsp:rsid wsp:val=&quot;00E875DC&quot;/&gt;&lt;wsp:rsid wsp:val=&quot;00E9078B&quot;/&gt;&lt;wsp:rsid wsp:val=&quot;00E90F4B&quot;/&gt;&lt;wsp:rsid wsp:val=&quot;00E92456&quot;/&gt;&lt;wsp:rsid wsp:val=&quot;00E93A68&quot;/&gt;&lt;wsp:rsid wsp:val=&quot;00E93AC0&quot;/&gt;&lt;wsp:rsid wsp:val=&quot;00E93E59&quot;/&gt;&lt;wsp:rsid wsp:val=&quot;00E93ECF&quot;/&gt;&lt;wsp:rsid wsp:val=&quot;00E95216&quot;/&gt;&lt;wsp:rsid wsp:val=&quot;00E959FA&quot;/&gt;&lt;wsp:rsid wsp:val=&quot;00E974D1&quot;/&gt;&lt;wsp:rsid wsp:val=&quot;00EA086A&quot;/&gt;&lt;wsp:rsid wsp:val=&quot;00EA0B54&quot;/&gt;&lt;wsp:rsid wsp:val=&quot;00EA0E0A&quot;/&gt;&lt;wsp:rsid wsp:val=&quot;00EA2D4B&quot;/&gt;&lt;wsp:rsid wsp:val=&quot;00EA3816&quot;/&gt;&lt;wsp:rsid wsp:val=&quot;00EA3855&quot;/&gt;&lt;wsp:rsid wsp:val=&quot;00EA3C79&quot;/&gt;&lt;wsp:rsid wsp:val=&quot;00EA474D&quot;/&gt;&lt;wsp:rsid wsp:val=&quot;00EA4824&quot;/&gt;&lt;wsp:rsid wsp:val=&quot;00EA4C21&quot;/&gt;&lt;wsp:rsid wsp:val=&quot;00EA5531&quot;/&gt;&lt;wsp:rsid wsp:val=&quot;00EA5C3E&quot;/&gt;&lt;wsp:rsid wsp:val=&quot;00EA7C31&quot;/&gt;&lt;wsp:rsid wsp:val=&quot;00EB0273&quot;/&gt;&lt;wsp:rsid wsp:val=&quot;00EB11D6&quot;/&gt;&lt;wsp:rsid wsp:val=&quot;00EB2D43&quot;/&gt;&lt;wsp:rsid wsp:val=&quot;00EB45AC&quot;/&gt;&lt;wsp:rsid wsp:val=&quot;00EB4904&quot;/&gt;&lt;wsp:rsid wsp:val=&quot;00EB4A39&quot;/&gt;&lt;wsp:rsid wsp:val=&quot;00EB4E05&quot;/&gt;&lt;wsp:rsid wsp:val=&quot;00EB519D&quot;/&gt;&lt;wsp:rsid wsp:val=&quot;00EB570A&quot;/&gt;&lt;wsp:rsid wsp:val=&quot;00EB7FA0&quot;/&gt;&lt;wsp:rsid wsp:val=&quot;00EC06F9&quot;/&gt;&lt;wsp:rsid wsp:val=&quot;00EC0772&quot;/&gt;&lt;wsp:rsid wsp:val=&quot;00EC0F19&quot;/&gt;&lt;wsp:rsid wsp:val=&quot;00EC1060&quot;/&gt;&lt;wsp:rsid wsp:val=&quot;00EC1767&quot;/&gt;&lt;wsp:rsid wsp:val=&quot;00EC178C&quot;/&gt;&lt;wsp:rsid wsp:val=&quot;00EC243B&quot;/&gt;&lt;wsp:rsid wsp:val=&quot;00EC243C&quot;/&gt;&lt;wsp:rsid wsp:val=&quot;00EC2505&quot;/&gt;&lt;wsp:rsid wsp:val=&quot;00EC34A4&quot;/&gt;&lt;wsp:rsid wsp:val=&quot;00EC358A&quot;/&gt;&lt;wsp:rsid wsp:val=&quot;00EC39BD&quot;/&gt;&lt;wsp:rsid wsp:val=&quot;00EC3E00&quot;/&gt;&lt;wsp:rsid wsp:val=&quot;00EC4496&quot;/&gt;&lt;wsp:rsid wsp:val=&quot;00EC7D7C&quot;/&gt;&lt;wsp:rsid wsp:val=&quot;00ED0907&quot;/&gt;&lt;wsp:rsid wsp:val=&quot;00ED0ECC&quot;/&gt;&lt;wsp:rsid wsp:val=&quot;00ED10C1&quot;/&gt;&lt;wsp:rsid wsp:val=&quot;00ED1D13&quot;/&gt;&lt;wsp:rsid wsp:val=&quot;00ED2231&quot;/&gt;&lt;wsp:rsid wsp:val=&quot;00ED2242&quot;/&gt;&lt;wsp:rsid wsp:val=&quot;00ED3643&quot;/&gt;&lt;wsp:rsid wsp:val=&quot;00ED63FE&quot;/&gt;&lt;wsp:rsid wsp:val=&quot;00ED65B0&quot;/&gt;&lt;wsp:rsid wsp:val=&quot;00ED6778&quot;/&gt;&lt;wsp:rsid wsp:val=&quot;00ED739B&quot;/&gt;&lt;wsp:rsid wsp:val=&quot;00ED7A67&quot;/&gt;&lt;wsp:rsid wsp:val=&quot;00EE0C64&quot;/&gt;&lt;wsp:rsid wsp:val=&quot;00EE0E20&quot;/&gt;&lt;wsp:rsid wsp:val=&quot;00EE1289&quot;/&gt;&lt;wsp:rsid wsp:val=&quot;00EE27A6&quot;/&gt;&lt;wsp:rsid wsp:val=&quot;00EE3779&quot;/&gt;&lt;wsp:rsid wsp:val=&quot;00EE3D54&quot;/&gt;&lt;wsp:rsid wsp:val=&quot;00EE53D5&quot;/&gt;&lt;wsp:rsid wsp:val=&quot;00EE5F2F&quot;/&gt;&lt;wsp:rsid wsp:val=&quot;00EE73F2&quot;/&gt;&lt;wsp:rsid wsp:val=&quot;00EE76B5&quot;/&gt;&lt;wsp:rsid wsp:val=&quot;00EF0070&quot;/&gt;&lt;wsp:rsid wsp:val=&quot;00EF0E24&quot;/&gt;&lt;wsp:rsid wsp:val=&quot;00EF116D&quot;/&gt;&lt;wsp:rsid wsp:val=&quot;00EF226E&quot;/&gt;&lt;wsp:rsid wsp:val=&quot;00EF255A&quot;/&gt;&lt;wsp:rsid wsp:val=&quot;00EF3796&quot;/&gt;&lt;wsp:rsid wsp:val=&quot;00EF3CCB&quot;/&gt;&lt;wsp:rsid wsp:val=&quot;00EF65DC&quot;/&gt;&lt;wsp:rsid wsp:val=&quot;00F008B7&quot;/&gt;&lt;wsp:rsid wsp:val=&quot;00F00CE8&quot;/&gt;&lt;wsp:rsid wsp:val=&quot;00F01302&quot;/&gt;&lt;wsp:rsid wsp:val=&quot;00F01C2D&quot;/&gt;&lt;wsp:rsid wsp:val=&quot;00F01DB3&quot;/&gt;&lt;wsp:rsid wsp:val=&quot;00F02928&quot;/&gt;&lt;wsp:rsid wsp:val=&quot;00F02E29&quot;/&gt;&lt;wsp:rsid wsp:val=&quot;00F033C9&quot;/&gt;&lt;wsp:rsid wsp:val=&quot;00F03966&quot;/&gt;&lt;wsp:rsid wsp:val=&quot;00F04046&quot;/&gt;&lt;wsp:rsid wsp:val=&quot;00F0489D&quot;/&gt;&lt;wsp:rsid wsp:val=&quot;00F04D55&quot;/&gt;&lt;wsp:rsid wsp:val=&quot;00F0624F&quot;/&gt;&lt;wsp:rsid wsp:val=&quot;00F067B7&quot;/&gt;&lt;wsp:rsid wsp:val=&quot;00F06AB2&quot;/&gt;&lt;wsp:rsid wsp:val=&quot;00F076DF&quot;/&gt;&lt;wsp:rsid wsp:val=&quot;00F07966&quot;/&gt;&lt;wsp:rsid wsp:val=&quot;00F1060B&quot;/&gt;&lt;wsp:rsid wsp:val=&quot;00F11B7B&quot;/&gt;&lt;wsp:rsid wsp:val=&quot;00F120E6&quot;/&gt;&lt;wsp:rsid wsp:val=&quot;00F1378A&quot;/&gt;&lt;wsp:rsid wsp:val=&quot;00F149A0&quot;/&gt;&lt;wsp:rsid wsp:val=&quot;00F158D3&quot;/&gt;&lt;wsp:rsid wsp:val=&quot;00F17B5F&quot;/&gt;&lt;wsp:rsid wsp:val=&quot;00F206BD&quot;/&gt;&lt;wsp:rsid wsp:val=&quot;00F20EAD&quot;/&gt;&lt;wsp:rsid wsp:val=&quot;00F2110F&quot;/&gt;&lt;wsp:rsid wsp:val=&quot;00F21159&quot;/&gt;&lt;wsp:rsid wsp:val=&quot;00F22764&quot;/&gt;&lt;wsp:rsid wsp:val=&quot;00F23F55&quot;/&gt;&lt;wsp:rsid wsp:val=&quot;00F24F16&quot;/&gt;&lt;wsp:rsid wsp:val=&quot;00F2534E&quot;/&gt;&lt;wsp:rsid wsp:val=&quot;00F25C70&quot;/&gt;&lt;wsp:rsid wsp:val=&quot;00F27454&quot;/&gt;&lt;wsp:rsid wsp:val=&quot;00F304DE&quot;/&gt;&lt;wsp:rsid wsp:val=&quot;00F3118B&quot;/&gt;&lt;wsp:rsid wsp:val=&quot;00F31953&quot;/&gt;&lt;wsp:rsid wsp:val=&quot;00F3245B&quot;/&gt;&lt;wsp:rsid wsp:val=&quot;00F32F74&quot;/&gt;&lt;wsp:rsid wsp:val=&quot;00F32FAF&quot;/&gt;&lt;wsp:rsid wsp:val=&quot;00F32FFF&quot;/&gt;&lt;wsp:rsid wsp:val=&quot;00F345D5&quot;/&gt;&lt;wsp:rsid wsp:val=&quot;00F34C5F&quot;/&gt;&lt;wsp:rsid wsp:val=&quot;00F35FB8&quot;/&gt;&lt;wsp:rsid wsp:val=&quot;00F37582&quot;/&gt;&lt;wsp:rsid wsp:val=&quot;00F375BD&quot;/&gt;&lt;wsp:rsid wsp:val=&quot;00F377E4&quot;/&gt;&lt;wsp:rsid wsp:val=&quot;00F37B36&quot;/&gt;&lt;wsp:rsid wsp:val=&quot;00F400E2&quot;/&gt;&lt;wsp:rsid wsp:val=&quot;00F41BC3&quot;/&gt;&lt;wsp:rsid wsp:val=&quot;00F41EA2&quot;/&gt;&lt;wsp:rsid wsp:val=&quot;00F44DBE&quot;/&gt;&lt;wsp:rsid wsp:val=&quot;00F454BC&quot;/&gt;&lt;wsp:rsid wsp:val=&quot;00F45FE7&quot;/&gt;&lt;wsp:rsid wsp:val=&quot;00F46BF8&quot;/&gt;&lt;wsp:rsid wsp:val=&quot;00F47040&quot;/&gt;&lt;wsp:rsid wsp:val=&quot;00F47E89&quot;/&gt;&lt;wsp:rsid wsp:val=&quot;00F47FB1&quot;/&gt;&lt;wsp:rsid wsp:val=&quot;00F51198&quot;/&gt;&lt;wsp:rsid wsp:val=&quot;00F51B17&quot;/&gt;&lt;wsp:rsid wsp:val=&quot;00F53371&quot;/&gt;&lt;wsp:rsid wsp:val=&quot;00F537E3&quot;/&gt;&lt;wsp:rsid wsp:val=&quot;00F53B0D&quot;/&gt;&lt;wsp:rsid wsp:val=&quot;00F53F53&quot;/&gt;&lt;wsp:rsid wsp:val=&quot;00F560A9&quot;/&gt;&lt;wsp:rsid wsp:val=&quot;00F561EE&quot;/&gt;&lt;wsp:rsid wsp:val=&quot;00F56A39&quot;/&gt;&lt;wsp:rsid wsp:val=&quot;00F571E0&quot;/&gt;&lt;wsp:rsid wsp:val=&quot;00F57770&quot;/&gt;&lt;wsp:rsid wsp:val=&quot;00F57877&quot;/&gt;&lt;wsp:rsid wsp:val=&quot;00F60937&quot;/&gt;&lt;wsp:rsid wsp:val=&quot;00F60CAB&quot;/&gt;&lt;wsp:rsid wsp:val=&quot;00F6183A&quot;/&gt;&lt;wsp:rsid wsp:val=&quot;00F6395B&quot;/&gt;&lt;wsp:rsid wsp:val=&quot;00F63F07&quot;/&gt;&lt;wsp:rsid wsp:val=&quot;00F64144&quot;/&gt;&lt;wsp:rsid wsp:val=&quot;00F64750&quot;/&gt;&lt;wsp:rsid wsp:val=&quot;00F6668C&quot;/&gt;&lt;wsp:rsid wsp:val=&quot;00F70979&quot;/&gt;&lt;wsp:rsid wsp:val=&quot;00F7191C&quot;/&gt;&lt;wsp:rsid wsp:val=&quot;00F71CE6&quot;/&gt;&lt;wsp:rsid wsp:val=&quot;00F7224C&quot;/&gt;&lt;wsp:rsid wsp:val=&quot;00F724E8&quot;/&gt;&lt;wsp:rsid wsp:val=&quot;00F725B7&quot;/&gt;&lt;wsp:rsid wsp:val=&quot;00F72983&quot;/&gt;&lt;wsp:rsid wsp:val=&quot;00F72F00&quot;/&gt;&lt;wsp:rsid wsp:val=&quot;00F730E4&quot;/&gt;&lt;wsp:rsid wsp:val=&quot;00F735EB&quot;/&gt;&lt;wsp:rsid wsp:val=&quot;00F73700&quot;/&gt;&lt;wsp:rsid wsp:val=&quot;00F74AD2&quot;/&gt;&lt;wsp:rsid wsp:val=&quot;00F753D7&quot;/&gt;&lt;wsp:rsid wsp:val=&quot;00F75776&quot;/&gt;&lt;wsp:rsid wsp:val=&quot;00F75D70&quot;/&gt;&lt;wsp:rsid wsp:val=&quot;00F76546&quot;/&gt;&lt;wsp:rsid wsp:val=&quot;00F802F5&quot;/&gt;&lt;wsp:rsid wsp:val=&quot;00F80DEC&quot;/&gt;&lt;wsp:rsid wsp:val=&quot;00F810DD&quot;/&gt;&lt;wsp:rsid wsp:val=&quot;00F82008&quot;/&gt;&lt;wsp:rsid wsp:val=&quot;00F8231E&quot;/&gt;&lt;wsp:rsid wsp:val=&quot;00F8305C&quot;/&gt;&lt;wsp:rsid wsp:val=&quot;00F83383&quot;/&gt;&lt;wsp:rsid wsp:val=&quot;00F83C02&quot;/&gt;&lt;wsp:rsid wsp:val=&quot;00F85195&quot;/&gt;&lt;wsp:rsid wsp:val=&quot;00F91D2A&quot;/&gt;&lt;wsp:rsid wsp:val=&quot;00F92827&quot;/&gt;&lt;wsp:rsid wsp:val=&quot;00F92C30&quot;/&gt;&lt;wsp:rsid wsp:val=&quot;00F93B28&quot;/&gt;&lt;wsp:rsid wsp:val=&quot;00F93BDA&quot;/&gt;&lt;wsp:rsid wsp:val=&quot;00F93DFC&quot;/&gt;&lt;wsp:rsid wsp:val=&quot;00F93E81&quot;/&gt;&lt;wsp:rsid wsp:val=&quot;00F941CA&quot;/&gt;&lt;wsp:rsid wsp:val=&quot;00F94A52&quot;/&gt;&lt;wsp:rsid wsp:val=&quot;00F94D6F&quot;/&gt;&lt;wsp:rsid wsp:val=&quot;00F97762&quot;/&gt;&lt;wsp:rsid wsp:val=&quot;00FA04C9&quot;/&gt;&lt;wsp:rsid wsp:val=&quot;00FA1A68&quot;/&gt;&lt;wsp:rsid wsp:val=&quot;00FA2573&quot;/&gt;&lt;wsp:rsid wsp:val=&quot;00FA26A7&quot;/&gt;&lt;wsp:rsid wsp:val=&quot;00FA2972&quot;/&gt;&lt;wsp:rsid wsp:val=&quot;00FA3DB3&quot;/&gt;&lt;wsp:rsid wsp:val=&quot;00FA4D02&quot;/&gt;&lt;wsp:rsid wsp:val=&quot;00FA5270&quot;/&gt;&lt;wsp:rsid wsp:val=&quot;00FA5574&quot;/&gt;&lt;wsp:rsid wsp:val=&quot;00FA567A&quot;/&gt;&lt;wsp:rsid wsp:val=&quot;00FA5FB9&quot;/&gt;&lt;wsp:rsid wsp:val=&quot;00FA6AB5&quot;/&gt;&lt;wsp:rsid wsp:val=&quot;00FA72D7&quot;/&gt;&lt;wsp:rsid wsp:val=&quot;00FA757B&quot;/&gt;&lt;wsp:rsid wsp:val=&quot;00FA7B0A&quot;/&gt;&lt;wsp:rsid wsp:val=&quot;00FA7BDE&quot;/&gt;&lt;wsp:rsid wsp:val=&quot;00FB027B&quot;/&gt;&lt;wsp:rsid wsp:val=&quot;00FB1FF5&quot;/&gt;&lt;wsp:rsid wsp:val=&quot;00FB2956&quot;/&gt;&lt;wsp:rsid wsp:val=&quot;00FB353B&quot;/&gt;&lt;wsp:rsid wsp:val=&quot;00FB3558&quot;/&gt;&lt;wsp:rsid wsp:val=&quot;00FB3735&quot;/&gt;&lt;wsp:rsid wsp:val=&quot;00FB4BD9&quot;/&gt;&lt;wsp:rsid wsp:val=&quot;00FB4EBD&quot;/&gt;&lt;wsp:rsid wsp:val=&quot;00FB526B&quot;/&gt;&lt;wsp:rsid wsp:val=&quot;00FB57FA&quot;/&gt;&lt;wsp:rsid wsp:val=&quot;00FB5AB1&quot;/&gt;&lt;wsp:rsid wsp:val=&quot;00FB5D5C&quot;/&gt;&lt;wsp:rsid wsp:val=&quot;00FC0EDA&quot;/&gt;&lt;wsp:rsid wsp:val=&quot;00FC1AD4&quot;/&gt;&lt;wsp:rsid wsp:val=&quot;00FC1CB3&quot;/&gt;&lt;wsp:rsid wsp:val=&quot;00FC20A1&quot;/&gt;&lt;wsp:rsid wsp:val=&quot;00FC483C&quot;/&gt;&lt;wsp:rsid wsp:val=&quot;00FC520E&quot;/&gt;&lt;wsp:rsid wsp:val=&quot;00FC605B&quot;/&gt;&lt;wsp:rsid wsp:val=&quot;00FC6279&quot;/&gt;&lt;wsp:rsid wsp:val=&quot;00FC68E8&quot;/&gt;&lt;wsp:rsid wsp:val=&quot;00FC6D90&quot;/&gt;&lt;wsp:rsid wsp:val=&quot;00FC7043&quot;/&gt;&lt;wsp:rsid wsp:val=&quot;00FC734A&quot;/&gt;&lt;wsp:rsid wsp:val=&quot;00FD0182&quot;/&gt;&lt;wsp:rsid wsp:val=&quot;00FD0E1C&quot;/&gt;&lt;wsp:rsid wsp:val=&quot;00FD1535&quot;/&gt;&lt;wsp:rsid wsp:val=&quot;00FD1948&quot;/&gt;&lt;wsp:rsid wsp:val=&quot;00FD24E2&quot;/&gt;&lt;wsp:rsid wsp:val=&quot;00FD288B&quot;/&gt;&lt;wsp:rsid wsp:val=&quot;00FD297B&quot;/&gt;&lt;wsp:rsid wsp:val=&quot;00FD37D2&quot;/&gt;&lt;wsp:rsid wsp:val=&quot;00FD4B99&quot;/&gt;&lt;wsp:rsid wsp:val=&quot;00FD589A&quot;/&gt;&lt;wsp:rsid wsp:val=&quot;00FD64FD&quot;/&gt;&lt;wsp:rsid wsp:val=&quot;00FD672E&quot;/&gt;&lt;wsp:rsid wsp:val=&quot;00FD6C8C&quot;/&gt;&lt;wsp:rsid wsp:val=&quot;00FD72CC&quot;/&gt;&lt;wsp:rsid wsp:val=&quot;00FD79A9&quot;/&gt;&lt;wsp:rsid wsp:val=&quot;00FE175A&quot;/&gt;&lt;wsp:rsid wsp:val=&quot;00FE1944&quot;/&gt;&lt;wsp:rsid wsp:val=&quot;00FE2CDD&quot;/&gt;&lt;wsp:rsid wsp:val=&quot;00FE2D00&quot;/&gt;&lt;wsp:rsid wsp:val=&quot;00FE378E&quot;/&gt;&lt;wsp:rsid wsp:val=&quot;00FE4975&quot;/&gt;&lt;wsp:rsid wsp:val=&quot;00FE4A04&quot;/&gt;&lt;wsp:rsid wsp:val=&quot;00FE5D24&quot;/&gt;&lt;wsp:rsid wsp:val=&quot;00FE6148&quot;/&gt;&lt;wsp:rsid wsp:val=&quot;00FE628F&quot;/&gt;&lt;wsp:rsid wsp:val=&quot;00FE7521&quot;/&gt;&lt;wsp:rsid wsp:val=&quot;00FE7545&quot;/&gt;&lt;wsp:rsid wsp:val=&quot;00FE7B4B&quot;/&gt;&lt;wsp:rsid wsp:val=&quot;00FF1704&quot;/&gt;&lt;wsp:rsid wsp:val=&quot;00FF263B&quot;/&gt;&lt;wsp:rsid wsp:val=&quot;00FF3359&quot;/&gt;&lt;wsp:rsid wsp:val=&quot;00FF4CFC&quot;/&gt;&lt;wsp:rsid wsp:val=&quot;00FF6FEF&quot;/&gt;&lt;wsp:rsid wsp:val=&quot;00FF7EED&quot;/&gt;&lt;/wsp:rsids&gt;&lt;/w:docPr&gt;&lt;w:body&gt;&lt;wx:sect&gt;&lt;w:p wsp:rsidR=&quot;00000000&quot; wsp:rsidRDefault=&quot;00D26B52&quot; wsp:rsidP=&quot;00D26B52&quot;&gt;&lt;aml:annotation aml:id=&quot;0&quot; w:type=&quot;Word.Insertion&quot; aml:author=&quot;Microsoft Office User&quot; aml:createdate=&quot;2017-05-26T11:51:00Z&quot;&gt;&lt;aml:content&gt;&lt;m:oMathPara&gt;&lt;m:oMath&gt;&lt;m:r&gt;&lt;w:rPr&gt;&lt;w:rFonts w:ascii=&quot;Cambria Math&quot; w:h-ansi=&quot;Cambria Math&quot;/&gt;&lt;wx:font wx:val=&quot;Cambria Math&quot;/&gt;&lt;w:i/&gt;&lt;w:lang w:val=&quot;EN-US&quot;/&gt;&lt;/w:rPr&gt;&lt;m:t&gt;‚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1, &lt;/m:t&gt;&lt;/m:r&gt;&lt;/m:sub&gt;&lt;/m:sSub&gt;&lt;m:r&gt;&lt;w:rPr&gt;&lt;w:rFonts w:ascii=&quot;Cambria Math&quot; w:h-ansi=&quot;Cambria Math&quot;/&gt;&lt;wx:font wx:val=&quot;Cambria Math&quot;/&gt;&lt;w:i/&gt;&lt;w:lang w:val=&quot;EN-US&quot;/&gt;&lt;/w:rPr&gt;&lt;m:t&gt;‚Ä¶, ‚àÜ&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t-q+1 &lt;/m:t&gt;&lt;/m:r&gt;&lt;/m:sub&gt;&lt;/m:sSub&gt;&lt;m:r&gt;&lt;w:rPr&gt;&lt;w:rFonts w:ascii=&quot;Cambria Math&quot; w:h-ansi=&quot;Cambria Math&quot;/&gt;&lt;wx:font wx:val=&quot;Cambria Math&quot;/&gt;&lt;w:i/&gt;&lt;w:lang w:val=&quot;EN-US&quot;/&gt;&lt;/w:rPr&gt;&lt;m:t&gt;)&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6" o:title="" chromakey="white"/>
          </v:shape>
        </w:pict>
      </w:r>
      <w:r w:rsidRPr="00673A9F">
        <w:rPr>
          <w:rFonts w:ascii="Times" w:hAnsi="Times"/>
          <w:lang w:val="en-US"/>
        </w:rPr>
        <w:fldChar w:fldCharType="end"/>
      </w:r>
      <w:r w:rsidRPr="00BA46DD">
        <w:rPr>
          <w:rFonts w:ascii="Times" w:hAnsi="Times"/>
          <w:lang w:val="en-US"/>
        </w:rPr>
        <w:t>, respectively.</w:t>
      </w:r>
    </w:p>
    <w:p w14:paraId="5169E80B" w14:textId="46154807" w:rsidR="00EF741F" w:rsidRPr="00EF741F" w:rsidRDefault="00EF741F" w:rsidP="00A65AA5">
      <w:pPr>
        <w:pStyle w:val="EndnoteText"/>
        <w:spacing w:line="480" w:lineRule="auto"/>
        <w:ind w:left="720" w:hanging="720"/>
        <w:rPr>
          <w:rFonts w:ascii="Times New Roman" w:hAnsi="Times New Roman" w:cs="Times New Roman"/>
          <w:sz w:val="24"/>
          <w:szCs w:val="24"/>
          <w:lang w:val="en-GB"/>
        </w:rPr>
      </w:pPr>
      <w:r w:rsidRPr="00A65AA5">
        <w:rPr>
          <w:rStyle w:val="EndnoteReference"/>
          <w:rFonts w:ascii="Times New Roman" w:hAnsi="Times New Roman" w:cs="Times New Roman"/>
          <w:sz w:val="24"/>
          <w:szCs w:val="24"/>
          <w:vertAlign w:val="baseline"/>
        </w:rPr>
        <w:t>15</w:t>
      </w:r>
      <w:r w:rsidR="00A65AA5">
        <w:rPr>
          <w:rFonts w:ascii="Times New Roman" w:hAnsi="Times New Roman" w:cs="Times New Roman"/>
          <w:sz w:val="24"/>
          <w:szCs w:val="24"/>
        </w:rPr>
        <w:t>.</w:t>
      </w:r>
      <w:r w:rsidR="00A65AA5">
        <w:rPr>
          <w:rFonts w:ascii="Times New Roman" w:hAnsi="Times New Roman" w:cs="Times New Roman"/>
          <w:sz w:val="24"/>
          <w:szCs w:val="24"/>
        </w:rPr>
        <w:tab/>
      </w:r>
      <w:r w:rsidRPr="00EF741F">
        <w:rPr>
          <w:rFonts w:ascii="Times New Roman" w:hAnsi="Times New Roman" w:cs="Times New Roman"/>
          <w:sz w:val="24"/>
          <w:szCs w:val="24"/>
        </w:rPr>
        <w:t xml:space="preserve">In some cases, </w:t>
      </w:r>
      <w:r w:rsidRPr="00EF741F">
        <w:rPr>
          <w:rFonts w:ascii="Times New Roman" w:hAnsi="Times New Roman" w:cs="Times New Roman"/>
          <w:color w:val="000000" w:themeColor="text1"/>
          <w:sz w:val="24"/>
          <w:szCs w:val="24"/>
        </w:rPr>
        <w:t>the lower bound constitutes only one-tenth (or even less) of the upper bound.</w:t>
      </w:r>
    </w:p>
    <w:p w14:paraId="10C1DB7A" w14:textId="3E93845E" w:rsidR="00EF741F" w:rsidRPr="00EF741F" w:rsidRDefault="00EF741F" w:rsidP="00A65AA5">
      <w:pPr>
        <w:pStyle w:val="EndnoteText"/>
        <w:spacing w:line="480" w:lineRule="auto"/>
        <w:rPr>
          <w:rFonts w:ascii="Times New Roman" w:hAnsi="Times New Roman" w:cs="Times New Roman"/>
          <w:sz w:val="24"/>
          <w:szCs w:val="24"/>
          <w:lang w:val="en-GB"/>
        </w:rPr>
      </w:pPr>
      <w:r w:rsidRPr="00A65AA5">
        <w:rPr>
          <w:rStyle w:val="EndnoteReference"/>
          <w:rFonts w:ascii="Times New Roman" w:hAnsi="Times New Roman" w:cs="Times New Roman"/>
          <w:sz w:val="24"/>
          <w:szCs w:val="24"/>
          <w:vertAlign w:val="baseline"/>
        </w:rPr>
        <w:t>16</w:t>
      </w:r>
      <w:r w:rsidR="00A65AA5">
        <w:rPr>
          <w:rFonts w:ascii="Times New Roman" w:hAnsi="Times New Roman" w:cs="Times New Roman"/>
          <w:sz w:val="24"/>
          <w:szCs w:val="24"/>
        </w:rPr>
        <w:t>.</w:t>
      </w:r>
      <w:r w:rsidRPr="00EF741F">
        <w:rPr>
          <w:rFonts w:ascii="Times New Roman" w:hAnsi="Times New Roman" w:cs="Times New Roman"/>
          <w:sz w:val="24"/>
          <w:szCs w:val="24"/>
        </w:rPr>
        <w:t xml:space="preserve"> </w:t>
      </w:r>
      <w:r w:rsidR="00A65AA5">
        <w:rPr>
          <w:rFonts w:ascii="Times New Roman" w:hAnsi="Times New Roman" w:cs="Times New Roman"/>
          <w:sz w:val="24"/>
          <w:szCs w:val="24"/>
        </w:rPr>
        <w:tab/>
      </w:r>
      <w:r w:rsidRPr="00EF741F">
        <w:rPr>
          <w:rFonts w:ascii="Times New Roman" w:hAnsi="Times New Roman" w:cs="Times New Roman"/>
          <w:sz w:val="24"/>
          <w:szCs w:val="24"/>
        </w:rPr>
        <w:t>https://www.ft.com/content/d12ac93c-a507-11e6-8b69-02899e8bd9d1</w:t>
      </w:r>
    </w:p>
    <w:p w14:paraId="1C8DFC5B" w14:textId="7AE16563" w:rsidR="00EF741F" w:rsidRPr="00EF741F" w:rsidRDefault="00EF741F" w:rsidP="00A65AA5">
      <w:pPr>
        <w:pStyle w:val="EndnoteText"/>
        <w:spacing w:line="480" w:lineRule="auto"/>
        <w:ind w:left="720" w:hanging="720"/>
        <w:rPr>
          <w:rFonts w:ascii="Times New Roman" w:hAnsi="Times New Roman" w:cs="Times New Roman"/>
          <w:sz w:val="24"/>
          <w:szCs w:val="24"/>
          <w:lang w:val="en-GB"/>
        </w:rPr>
      </w:pPr>
      <w:r w:rsidRPr="00A65AA5">
        <w:rPr>
          <w:rStyle w:val="EndnoteReference"/>
          <w:rFonts w:ascii="Times New Roman" w:hAnsi="Times New Roman" w:cs="Times New Roman"/>
          <w:sz w:val="24"/>
          <w:szCs w:val="24"/>
          <w:vertAlign w:val="baseline"/>
        </w:rPr>
        <w:t>17</w:t>
      </w:r>
      <w:r w:rsidR="00A65AA5">
        <w:rPr>
          <w:rFonts w:ascii="Times New Roman" w:hAnsi="Times New Roman" w:cs="Times New Roman"/>
          <w:sz w:val="24"/>
          <w:szCs w:val="24"/>
          <w:lang w:val="en-GB"/>
        </w:rPr>
        <w:t>.</w:t>
      </w:r>
      <w:r w:rsidR="00A65AA5">
        <w:rPr>
          <w:rFonts w:ascii="Times New Roman" w:hAnsi="Times New Roman" w:cs="Times New Roman"/>
          <w:sz w:val="24"/>
          <w:szCs w:val="24"/>
          <w:lang w:val="en-GB"/>
        </w:rPr>
        <w:tab/>
      </w:r>
      <w:r w:rsidR="00A65AA5" w:rsidRPr="00A65AA5">
        <w:rPr>
          <w:rFonts w:ascii="Times New Roman" w:hAnsi="Times New Roman" w:cs="Times New Roman"/>
          <w:sz w:val="24"/>
          <w:szCs w:val="24"/>
          <w:lang w:val="en-GB"/>
        </w:rPr>
        <w:t>https://www2.deloitte.com/content/dam/Deloitte/lu/Documents/financial-</w:t>
      </w:r>
      <w:r w:rsidRPr="00EF741F">
        <w:rPr>
          <w:rFonts w:ascii="Times New Roman" w:hAnsi="Times New Roman" w:cs="Times New Roman"/>
          <w:sz w:val="24"/>
          <w:szCs w:val="24"/>
          <w:lang w:val="en-GB"/>
        </w:rPr>
        <w:t>services/performancemagazine/articles/lu_growth-etf-in-europe-012017.pdf</w:t>
      </w:r>
    </w:p>
    <w:p w14:paraId="0E16F0C6" w14:textId="77777777" w:rsidR="00EF741F" w:rsidRPr="00EF741F" w:rsidRDefault="00EF741F" w:rsidP="00EF741F">
      <w:pPr>
        <w:pStyle w:val="EndnoteText"/>
        <w:spacing w:line="480" w:lineRule="auto"/>
        <w:rPr>
          <w:rFonts w:ascii="Times New Roman" w:hAnsi="Times New Roman" w:cs="Times New Roman"/>
          <w:sz w:val="24"/>
          <w:szCs w:val="24"/>
          <w:lang w:val="en-GB"/>
        </w:rPr>
      </w:pPr>
    </w:p>
    <w:p w14:paraId="20F25F9B" w14:textId="77777777" w:rsidR="005A719B" w:rsidRPr="00EF741F" w:rsidRDefault="005A719B" w:rsidP="00705993"/>
    <w:p w14:paraId="4CF4F3D1" w14:textId="74C310ED" w:rsidR="005F7722" w:rsidRPr="00187EED" w:rsidRDefault="005F7722" w:rsidP="00246E63">
      <w:pPr>
        <w:pStyle w:val="Heading1"/>
        <w:spacing w:line="480" w:lineRule="auto"/>
        <w:rPr>
          <w:rFonts w:ascii="Times New Roman" w:hAnsi="Times New Roman" w:cs="Times New Roman"/>
          <w:color w:val="000000" w:themeColor="text1"/>
          <w:sz w:val="32"/>
          <w:szCs w:val="32"/>
          <w:shd w:val="clear" w:color="auto" w:fill="FFFFFF"/>
          <w:lang w:val="en-US"/>
        </w:rPr>
      </w:pPr>
      <w:r w:rsidRPr="00187EED">
        <w:rPr>
          <w:rFonts w:ascii="Times New Roman" w:hAnsi="Times New Roman" w:cs="Times New Roman"/>
          <w:color w:val="000000" w:themeColor="text1"/>
          <w:sz w:val="32"/>
          <w:szCs w:val="32"/>
          <w:shd w:val="clear" w:color="auto" w:fill="FFFFFF"/>
          <w:lang w:val="en-US"/>
        </w:rPr>
        <w:t>Reference</w:t>
      </w:r>
      <w:r w:rsidR="009E49F8">
        <w:rPr>
          <w:rFonts w:ascii="Times New Roman" w:hAnsi="Times New Roman" w:cs="Times New Roman"/>
          <w:color w:val="000000" w:themeColor="text1"/>
          <w:sz w:val="32"/>
          <w:szCs w:val="32"/>
          <w:shd w:val="clear" w:color="auto" w:fill="FFFFFF"/>
          <w:lang w:val="en-US"/>
        </w:rPr>
        <w:t>s</w:t>
      </w:r>
    </w:p>
    <w:p w14:paraId="7658B1CB" w14:textId="1A6BDF96" w:rsidR="00C52E79" w:rsidRDefault="005F7722" w:rsidP="00EE6296">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Ates, A., &amp; Wang</w:t>
      </w:r>
      <w:r w:rsidR="007223B4">
        <w:rPr>
          <w:rFonts w:ascii="Times New Roman" w:hAnsi="Times New Roman" w:cs="Times New Roman"/>
          <w:b w:val="0"/>
          <w:color w:val="000000" w:themeColor="text1"/>
          <w:sz w:val="24"/>
          <w:szCs w:val="24"/>
          <w:shd w:val="clear" w:color="auto" w:fill="FFFFFF"/>
          <w:lang w:val="en-US"/>
        </w:rPr>
        <w:t>, G. H. K. (2005). Information Transmission in Electronic Versus Open-Outcry Trading Systems: An Analysis of U.S. Equity Index Futures M</w:t>
      </w:r>
      <w:r w:rsidRPr="00246E63">
        <w:rPr>
          <w:rFonts w:ascii="Times New Roman" w:hAnsi="Times New Roman" w:cs="Times New Roman"/>
          <w:b w:val="0"/>
          <w:color w:val="000000" w:themeColor="text1"/>
          <w:sz w:val="24"/>
          <w:szCs w:val="24"/>
          <w:shd w:val="clear" w:color="auto" w:fill="FFFFFF"/>
          <w:lang w:val="en-US"/>
        </w:rPr>
        <w:t xml:space="preserve">arkets. The Journal of Futures Markets, 25, 679-715.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https://doi.org/10.1002/fut.20160</w:t>
      </w:r>
    </w:p>
    <w:p w14:paraId="7D5CD073" w14:textId="039CF525" w:rsidR="005F7722" w:rsidRPr="00246E63" w:rsidRDefault="005F7722" w:rsidP="00EE6296">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Baillie, R. T.</w:t>
      </w:r>
      <w:r w:rsidR="007223B4">
        <w:rPr>
          <w:rFonts w:ascii="Times New Roman" w:hAnsi="Times New Roman" w:cs="Times New Roman"/>
          <w:b w:val="0"/>
          <w:color w:val="000000" w:themeColor="text1"/>
          <w:sz w:val="24"/>
          <w:szCs w:val="24"/>
          <w:shd w:val="clear" w:color="auto" w:fill="FFFFFF"/>
          <w:lang w:val="en-US"/>
        </w:rPr>
        <w:t>, &amp; Bollerslev, T. (2002). The Message in Daily Exchange Rates: A Conditional-Variance T</w:t>
      </w:r>
      <w:r w:rsidRPr="00246E63">
        <w:rPr>
          <w:rFonts w:ascii="Times New Roman" w:hAnsi="Times New Roman" w:cs="Times New Roman"/>
          <w:b w:val="0"/>
          <w:color w:val="000000" w:themeColor="text1"/>
          <w:sz w:val="24"/>
          <w:szCs w:val="24"/>
          <w:shd w:val="clear" w:color="auto" w:fill="FFFFFF"/>
          <w:lang w:val="en-US"/>
        </w:rPr>
        <w:t>ale. Journal of Business &amp; Economic Statistics, 20, 60-68. https://doi.org/10.1198/073500102753410390</w:t>
      </w:r>
    </w:p>
    <w:p w14:paraId="15D5088E" w14:textId="5B33442F" w:rsidR="005F7722" w:rsidRPr="00246E63" w:rsidRDefault="005F7722" w:rsidP="00EE6296">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Baillie, R. T., Booth, G. G., Tse, Y.</w:t>
      </w:r>
      <w:r w:rsidR="007223B4">
        <w:rPr>
          <w:rFonts w:ascii="Times New Roman" w:hAnsi="Times New Roman" w:cs="Times New Roman"/>
          <w:b w:val="0"/>
          <w:color w:val="000000" w:themeColor="text1"/>
          <w:sz w:val="24"/>
          <w:szCs w:val="24"/>
          <w:shd w:val="clear" w:color="auto" w:fill="FFFFFF"/>
          <w:lang w:val="en-US"/>
        </w:rPr>
        <w:t>, &amp; Zabotina, T. (2002). Price Discovery and Common Factor M</w:t>
      </w:r>
      <w:r w:rsidRPr="00246E63">
        <w:rPr>
          <w:rFonts w:ascii="Times New Roman" w:hAnsi="Times New Roman" w:cs="Times New Roman"/>
          <w:b w:val="0"/>
          <w:color w:val="000000" w:themeColor="text1"/>
          <w:sz w:val="24"/>
          <w:szCs w:val="24"/>
          <w:shd w:val="clear" w:color="auto" w:fill="FFFFFF"/>
          <w:lang w:val="en-US"/>
        </w:rPr>
        <w:t xml:space="preserve">odels. Journal of Financial Markets, 5(3), 309-321.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https://doi.org/10.1016/S1386-4181(02)00027-7</w:t>
      </w:r>
    </w:p>
    <w:p w14:paraId="683307AF" w14:textId="473274DE" w:rsidR="005F7722" w:rsidRPr="00246E63" w:rsidRDefault="005F7722" w:rsidP="00EE6296">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 xml:space="preserve">Beaulieu, M. C., Ebrahim, S. K., &amp; Morgan, I. </w:t>
      </w:r>
      <w:r w:rsidR="007223B4">
        <w:rPr>
          <w:rFonts w:ascii="Times New Roman" w:hAnsi="Times New Roman" w:cs="Times New Roman"/>
          <w:b w:val="0"/>
          <w:color w:val="000000" w:themeColor="text1"/>
          <w:sz w:val="24"/>
          <w:szCs w:val="24"/>
          <w:shd w:val="clear" w:color="auto" w:fill="FFFFFF"/>
          <w:lang w:val="en-US"/>
        </w:rPr>
        <w:t>G. (2003). Does Tick Size Influence Price Discovery? Evidence F</w:t>
      </w:r>
      <w:r w:rsidRPr="00246E63">
        <w:rPr>
          <w:rFonts w:ascii="Times New Roman" w:hAnsi="Times New Roman" w:cs="Times New Roman"/>
          <w:b w:val="0"/>
          <w:color w:val="000000" w:themeColor="text1"/>
          <w:sz w:val="24"/>
          <w:szCs w:val="24"/>
          <w:shd w:val="clear" w:color="auto" w:fill="FFFFFF"/>
          <w:lang w:val="en-US"/>
        </w:rPr>
        <w:t xml:space="preserve">rom the Toronto Stock Exchange. Journal of Futures Markets, 23(1), 49-66.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https://doi.org/10.1002/fut.10053</w:t>
      </w:r>
    </w:p>
    <w:p w14:paraId="7EBD27BD" w14:textId="6872C767" w:rsidR="005F7722" w:rsidRPr="00246E63" w:rsidRDefault="005F7722" w:rsidP="00EE6296">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 xml:space="preserve">Booth, G. G., So, </w:t>
      </w:r>
      <w:r w:rsidR="007223B4">
        <w:rPr>
          <w:rFonts w:ascii="Times New Roman" w:hAnsi="Times New Roman" w:cs="Times New Roman"/>
          <w:b w:val="0"/>
          <w:color w:val="000000" w:themeColor="text1"/>
          <w:sz w:val="24"/>
          <w:szCs w:val="24"/>
          <w:shd w:val="clear" w:color="auto" w:fill="FFFFFF"/>
          <w:lang w:val="en-US"/>
        </w:rPr>
        <w:t>R. W., &amp; Tse, Y. (1999). Price Discovery In the German Equity Index Derivatives M</w:t>
      </w:r>
      <w:r w:rsidRPr="00246E63">
        <w:rPr>
          <w:rFonts w:ascii="Times New Roman" w:hAnsi="Times New Roman" w:cs="Times New Roman"/>
          <w:b w:val="0"/>
          <w:color w:val="000000" w:themeColor="text1"/>
          <w:sz w:val="24"/>
          <w:szCs w:val="24"/>
          <w:shd w:val="clear" w:color="auto" w:fill="FFFFFF"/>
          <w:lang w:val="en-US"/>
        </w:rPr>
        <w:t>arkets. Journal of Futures Markets, 19(6), 619-643. https://doi.org/10.1002/(SICI)1096-9934(199909)19:6%3C619::AID-FUT1%3E3.0.CO;2-M</w:t>
      </w:r>
    </w:p>
    <w:p w14:paraId="18C32A3C" w14:textId="77777777" w:rsidR="00CF1699" w:rsidRDefault="00CF1699" w:rsidP="00CF1699">
      <w:pPr>
        <w:pStyle w:val="NormalWeb"/>
        <w:spacing w:line="480" w:lineRule="auto"/>
        <w:jc w:val="both"/>
        <w:rPr>
          <w:rFonts w:eastAsiaTheme="majorEastAsia"/>
          <w:bCs/>
          <w:color w:val="000000" w:themeColor="text1"/>
          <w:shd w:val="clear" w:color="auto" w:fill="FFFFFF"/>
          <w:lang w:val="en-US"/>
        </w:rPr>
      </w:pPr>
    </w:p>
    <w:p w14:paraId="3DCE05FE" w14:textId="03BBC202" w:rsidR="00A65FF5" w:rsidRDefault="005F7722" w:rsidP="00A65FF5">
      <w:pPr>
        <w:pStyle w:val="NormalWeb"/>
        <w:spacing w:line="480" w:lineRule="auto"/>
        <w:jc w:val="both"/>
        <w:rPr>
          <w:color w:val="000000" w:themeColor="text1"/>
        </w:rPr>
      </w:pPr>
      <w:r w:rsidRPr="00246E63">
        <w:rPr>
          <w:color w:val="000000" w:themeColor="text1"/>
          <w:shd w:val="clear" w:color="auto" w:fill="FFFFFF"/>
          <w:lang w:val="en-US"/>
        </w:rPr>
        <w:t>Bose, S. (2007). Contribution of</w:t>
      </w:r>
      <w:r w:rsidR="007223B4">
        <w:rPr>
          <w:color w:val="000000" w:themeColor="text1"/>
          <w:shd w:val="clear" w:color="auto" w:fill="FFFFFF"/>
          <w:lang w:val="en-US"/>
        </w:rPr>
        <w:t xml:space="preserve"> Indian Index Futures to Price Formation In the Stock Market.</w:t>
      </w:r>
      <w:r w:rsidRPr="00246E63">
        <w:rPr>
          <w:color w:val="000000" w:themeColor="text1"/>
          <w:shd w:val="clear" w:color="auto" w:fill="FFFFFF"/>
          <w:lang w:val="en-US"/>
        </w:rPr>
        <w:t xml:space="preserve"> Money and Finance, 3(1), 39-56.  </w:t>
      </w:r>
      <w:r w:rsidR="00EE6296">
        <w:rPr>
          <w:color w:val="000000" w:themeColor="text1"/>
          <w:shd w:val="clear" w:color="auto" w:fill="FFFFFF"/>
          <w:lang w:val="en-US"/>
        </w:rPr>
        <w:tab/>
        <w:t xml:space="preserve">                                       </w:t>
      </w:r>
      <w:r w:rsidR="0006582C" w:rsidRPr="00441ED2">
        <w:rPr>
          <w:color w:val="000000" w:themeColor="text1"/>
        </w:rPr>
        <w:t xml:space="preserve">http://ssrn.com/abstract=1017477 </w:t>
      </w:r>
    </w:p>
    <w:p w14:paraId="381D05A7" w14:textId="59FF326A" w:rsidR="0044292B" w:rsidRPr="00A65FF5" w:rsidRDefault="007223B4" w:rsidP="00A65FF5">
      <w:pPr>
        <w:pStyle w:val="NormalWeb"/>
        <w:spacing w:line="480" w:lineRule="auto"/>
        <w:jc w:val="both"/>
      </w:pPr>
      <w:r>
        <w:rPr>
          <w:color w:val="000000" w:themeColor="text1"/>
          <w:shd w:val="clear" w:color="auto" w:fill="FFFFFF"/>
          <w:lang w:val="en-US"/>
        </w:rPr>
        <w:t>Chan, K. (1992). A Further Analysis of the Lead-Lag Relationship B</w:t>
      </w:r>
      <w:r w:rsidR="005F7722" w:rsidRPr="00246E63">
        <w:rPr>
          <w:color w:val="000000" w:themeColor="text1"/>
          <w:shd w:val="clear" w:color="auto" w:fill="FFFFFF"/>
          <w:lang w:val="en-US"/>
        </w:rPr>
        <w:t>etween the</w:t>
      </w:r>
      <w:r>
        <w:rPr>
          <w:color w:val="000000" w:themeColor="text1"/>
          <w:shd w:val="clear" w:color="auto" w:fill="FFFFFF"/>
          <w:lang w:val="en-US"/>
        </w:rPr>
        <w:t xml:space="preserve"> Cash Market and Stock Index Futures M</w:t>
      </w:r>
      <w:r w:rsidR="005F7722" w:rsidRPr="00246E63">
        <w:rPr>
          <w:color w:val="000000" w:themeColor="text1"/>
          <w:shd w:val="clear" w:color="auto" w:fill="FFFFFF"/>
          <w:lang w:val="en-US"/>
        </w:rPr>
        <w:t xml:space="preserve">arket. Review of Financial Studies, 5(1), 123-152. </w:t>
      </w:r>
      <w:r w:rsidR="0044292B" w:rsidRPr="00441ED2">
        <w:rPr>
          <w:color w:val="000000" w:themeColor="text1"/>
          <w:shd w:val="clear" w:color="auto" w:fill="FFFFFF"/>
        </w:rPr>
        <w:t>http://www.jstor.org/stable/2962016</w:t>
      </w:r>
    </w:p>
    <w:p w14:paraId="13CB27D0" w14:textId="04B9567D" w:rsidR="001A3C46" w:rsidRPr="00246E63" w:rsidRDefault="005F7722" w:rsidP="00CF1699">
      <w:pPr>
        <w:spacing w:line="480" w:lineRule="auto"/>
        <w:jc w:val="both"/>
        <w:rPr>
          <w:color w:val="000000" w:themeColor="text1"/>
          <w:shd w:val="clear" w:color="auto" w:fill="FFFFFF"/>
          <w:lang w:val="en-US"/>
        </w:rPr>
      </w:pPr>
      <w:r w:rsidRPr="00246E63">
        <w:rPr>
          <w:color w:val="000000" w:themeColor="text1"/>
          <w:shd w:val="clear" w:color="auto" w:fill="FFFFFF"/>
          <w:lang w:val="en-US"/>
        </w:rPr>
        <w:t>Chen, H., Sub Choi,</w:t>
      </w:r>
      <w:r w:rsidR="007223B4">
        <w:rPr>
          <w:color w:val="000000" w:themeColor="text1"/>
          <w:shd w:val="clear" w:color="auto" w:fill="FFFFFF"/>
          <w:lang w:val="en-US"/>
        </w:rPr>
        <w:t xml:space="preserve"> P. M., &amp; Hong, Y. (2013). How Smooth Is Price Discovery? Evidence From C</w:t>
      </w:r>
      <w:r w:rsidRPr="00246E63">
        <w:rPr>
          <w:color w:val="000000" w:themeColor="text1"/>
          <w:shd w:val="clear" w:color="auto" w:fill="FFFFFF"/>
          <w:lang w:val="en-US"/>
        </w:rPr>
        <w:t>ross</w:t>
      </w:r>
      <w:r w:rsidRPr="00246E63">
        <w:rPr>
          <w:rFonts w:ascii="Cambria Math" w:hAnsi="Cambria Math" w:cs="Cambria Math"/>
          <w:color w:val="000000" w:themeColor="text1"/>
          <w:shd w:val="clear" w:color="auto" w:fill="FFFFFF"/>
          <w:lang w:val="en-US"/>
        </w:rPr>
        <w:t>‐</w:t>
      </w:r>
      <w:r w:rsidR="007223B4">
        <w:rPr>
          <w:color w:val="000000" w:themeColor="text1"/>
          <w:shd w:val="clear" w:color="auto" w:fill="FFFFFF"/>
          <w:lang w:val="en-US"/>
        </w:rPr>
        <w:t>Listed Stock T</w:t>
      </w:r>
      <w:r w:rsidRPr="00246E63">
        <w:rPr>
          <w:color w:val="000000" w:themeColor="text1"/>
          <w:shd w:val="clear" w:color="auto" w:fill="FFFFFF"/>
          <w:lang w:val="en-US"/>
        </w:rPr>
        <w:t xml:space="preserve">rading. Journal of International Money and Finance, 32, 668–699. </w:t>
      </w:r>
      <w:r w:rsidR="001A3C46" w:rsidRPr="00B868CA">
        <w:rPr>
          <w:shd w:val="clear" w:color="auto" w:fill="FFFFFF"/>
          <w:lang w:val="en-US"/>
        </w:rPr>
        <w:t>https://doi.org/10.1016/j.jimonfin.2012.06.005</w:t>
      </w:r>
    </w:p>
    <w:p w14:paraId="3B47DE05" w14:textId="77777777" w:rsidR="001A3C46" w:rsidRPr="00246E63" w:rsidRDefault="001A3C46" w:rsidP="00CF1699">
      <w:pPr>
        <w:spacing w:line="480" w:lineRule="auto"/>
        <w:jc w:val="both"/>
        <w:rPr>
          <w:color w:val="000000" w:themeColor="text1"/>
          <w:shd w:val="clear" w:color="auto" w:fill="FFFFFF"/>
          <w:lang w:val="en-US"/>
        </w:rPr>
      </w:pPr>
    </w:p>
    <w:p w14:paraId="2D4E622A" w14:textId="277E9A48" w:rsidR="001A3C46" w:rsidRPr="00246E63" w:rsidRDefault="005F7722" w:rsidP="00CF1699">
      <w:pPr>
        <w:spacing w:line="480" w:lineRule="auto"/>
        <w:jc w:val="both"/>
        <w:rPr>
          <w:color w:val="000000" w:themeColor="text1"/>
          <w:shd w:val="clear" w:color="auto" w:fill="FFFFFF"/>
          <w:lang w:val="en-US"/>
        </w:rPr>
      </w:pPr>
      <w:r w:rsidRPr="00246E63">
        <w:rPr>
          <w:color w:val="000000" w:themeColor="text1"/>
          <w:shd w:val="clear" w:color="auto" w:fill="FFFFFF"/>
          <w:lang w:val="en-US"/>
        </w:rPr>
        <w:t xml:space="preserve">Choi, H., &amp; </w:t>
      </w:r>
      <w:r w:rsidR="006A53A2">
        <w:rPr>
          <w:color w:val="000000" w:themeColor="text1"/>
          <w:shd w:val="clear" w:color="auto" w:fill="FFFFFF"/>
          <w:lang w:val="en-US"/>
        </w:rPr>
        <w:t>Subrahmanyam, A. (1994). Using Intraday Data To Test For Effects of Index Futures On the Underlying Stock M</w:t>
      </w:r>
      <w:r w:rsidRPr="00246E63">
        <w:rPr>
          <w:color w:val="000000" w:themeColor="text1"/>
          <w:shd w:val="clear" w:color="auto" w:fill="FFFFFF"/>
          <w:lang w:val="en-US"/>
        </w:rPr>
        <w:t xml:space="preserve">arkets. Journal of Futures Markets, 14(3), 293-322. </w:t>
      </w:r>
      <w:r w:rsidR="001A3C46" w:rsidRPr="00B868CA">
        <w:rPr>
          <w:shd w:val="clear" w:color="auto" w:fill="FFFFFF"/>
          <w:lang w:val="en-US"/>
        </w:rPr>
        <w:t>https://doi.org/10.1002/fut.3990140305</w:t>
      </w:r>
    </w:p>
    <w:p w14:paraId="03029E87" w14:textId="77777777" w:rsidR="001A3C46" w:rsidRPr="00246E63" w:rsidRDefault="001A3C46" w:rsidP="00CF1699">
      <w:pPr>
        <w:spacing w:line="480" w:lineRule="auto"/>
        <w:jc w:val="both"/>
        <w:rPr>
          <w:color w:val="000000" w:themeColor="text1"/>
          <w:shd w:val="clear" w:color="auto" w:fill="FFFFFF"/>
          <w:lang w:val="en-US"/>
        </w:rPr>
      </w:pPr>
    </w:p>
    <w:p w14:paraId="08234E9B" w14:textId="57158AAD" w:rsidR="00CF1699" w:rsidRPr="00CF1699" w:rsidRDefault="005F7722" w:rsidP="00CF1699">
      <w:pPr>
        <w:spacing w:line="480" w:lineRule="auto"/>
        <w:jc w:val="both"/>
        <w:rPr>
          <w:color w:val="000000" w:themeColor="text1"/>
          <w:shd w:val="clear" w:color="auto" w:fill="FFFFFF"/>
          <w:lang w:val="en-US"/>
        </w:rPr>
      </w:pPr>
      <w:r w:rsidRPr="00246E63">
        <w:rPr>
          <w:color w:val="000000" w:themeColor="text1"/>
          <w:shd w:val="clear" w:color="auto" w:fill="FFFFFF"/>
          <w:lang w:val="en-US"/>
        </w:rPr>
        <w:t>Chou, R. K., &amp; Chung,</w:t>
      </w:r>
      <w:r w:rsidR="006A53A2">
        <w:rPr>
          <w:color w:val="000000" w:themeColor="text1"/>
          <w:shd w:val="clear" w:color="auto" w:fill="FFFFFF"/>
          <w:lang w:val="en-US"/>
        </w:rPr>
        <w:t xml:space="preserve"> H. M. (2006). Decimalization, Trading Costs, and Information Transmission Between ETFs and Index F</w:t>
      </w:r>
      <w:r w:rsidRPr="00246E63">
        <w:rPr>
          <w:color w:val="000000" w:themeColor="text1"/>
          <w:shd w:val="clear" w:color="auto" w:fill="FFFFFF"/>
          <w:lang w:val="en-US"/>
        </w:rPr>
        <w:t xml:space="preserve">utures. Journal of Futures Markets, 26(2), 131-151. </w:t>
      </w:r>
      <w:r w:rsidR="00CF1699" w:rsidRPr="00CF1699">
        <w:rPr>
          <w:color w:val="000000" w:themeColor="text1"/>
          <w:shd w:val="clear" w:color="auto" w:fill="FFFFFF"/>
          <w:lang w:val="en-US"/>
        </w:rPr>
        <w:t>https://doi.org/10.1002/fut.20189</w:t>
      </w:r>
    </w:p>
    <w:p w14:paraId="097B4EF5" w14:textId="77777777" w:rsidR="00CF1699" w:rsidRPr="00CF1699" w:rsidRDefault="00CF1699" w:rsidP="00CF1699">
      <w:pPr>
        <w:spacing w:line="480" w:lineRule="auto"/>
        <w:jc w:val="both"/>
        <w:rPr>
          <w:color w:val="000000" w:themeColor="text1"/>
          <w:shd w:val="clear" w:color="auto" w:fill="FFFFFF"/>
          <w:lang w:val="en-US"/>
        </w:rPr>
      </w:pPr>
    </w:p>
    <w:p w14:paraId="3F67766F" w14:textId="3DFEFDE7" w:rsidR="005F7722" w:rsidRPr="00CF1699" w:rsidRDefault="005F7722" w:rsidP="00CF1699">
      <w:pPr>
        <w:spacing w:line="480" w:lineRule="auto"/>
        <w:jc w:val="both"/>
        <w:rPr>
          <w:rFonts w:eastAsia="Times New Roman"/>
        </w:rPr>
      </w:pPr>
      <w:r w:rsidRPr="00CF1699">
        <w:rPr>
          <w:color w:val="000000" w:themeColor="text1"/>
          <w:shd w:val="clear" w:color="auto" w:fill="FFFFFF"/>
          <w:lang w:val="en-US"/>
        </w:rPr>
        <w:t xml:space="preserve">Chu, Q. C., Hsieh, W. </w:t>
      </w:r>
      <w:r w:rsidR="006A53A2">
        <w:rPr>
          <w:color w:val="000000" w:themeColor="text1"/>
          <w:shd w:val="clear" w:color="auto" w:fill="FFFFFF"/>
          <w:lang w:val="en-US"/>
        </w:rPr>
        <w:t>L. G., &amp; Tse, Y. (1999). Price Discovery on the S&amp;P 500 Index Markets: An Analysis of Spot Index, Index F</w:t>
      </w:r>
      <w:r w:rsidRPr="00CF1699">
        <w:rPr>
          <w:color w:val="000000" w:themeColor="text1"/>
          <w:shd w:val="clear" w:color="auto" w:fill="FFFFFF"/>
          <w:lang w:val="en-US"/>
        </w:rPr>
        <w:t xml:space="preserve">utures, and SPDRs. International Review of Financial Analysis, 8(1), 21-34.  </w:t>
      </w:r>
      <w:r w:rsidR="00EE6296">
        <w:rPr>
          <w:color w:val="000000" w:themeColor="text1"/>
          <w:shd w:val="clear" w:color="auto" w:fill="FFFFFF"/>
          <w:lang w:val="en-US"/>
        </w:rPr>
        <w:t xml:space="preserve">       </w:t>
      </w:r>
      <w:r w:rsidR="00EE6296">
        <w:rPr>
          <w:color w:val="000000" w:themeColor="text1"/>
          <w:shd w:val="clear" w:color="auto" w:fill="FFFFFF"/>
          <w:lang w:val="en-US"/>
        </w:rPr>
        <w:tab/>
      </w:r>
      <w:r w:rsidR="00EE6296">
        <w:rPr>
          <w:color w:val="000000" w:themeColor="text1"/>
          <w:shd w:val="clear" w:color="auto" w:fill="FFFFFF"/>
          <w:lang w:val="en-US"/>
        </w:rPr>
        <w:tab/>
      </w:r>
      <w:r w:rsidR="00EE6296">
        <w:rPr>
          <w:color w:val="000000" w:themeColor="text1"/>
          <w:shd w:val="clear" w:color="auto" w:fill="FFFFFF"/>
          <w:lang w:val="en-US"/>
        </w:rPr>
        <w:tab/>
      </w:r>
      <w:r w:rsidR="00EE6296">
        <w:rPr>
          <w:color w:val="000000" w:themeColor="text1"/>
          <w:shd w:val="clear" w:color="auto" w:fill="FFFFFF"/>
          <w:lang w:val="en-US"/>
        </w:rPr>
        <w:tab/>
      </w:r>
      <w:r w:rsidR="00EE6296">
        <w:rPr>
          <w:color w:val="000000" w:themeColor="text1"/>
          <w:shd w:val="clear" w:color="auto" w:fill="FFFFFF"/>
          <w:lang w:val="en-US"/>
        </w:rPr>
        <w:tab/>
        <w:t xml:space="preserve">       </w:t>
      </w:r>
      <w:r w:rsidRPr="00CF1699">
        <w:rPr>
          <w:color w:val="000000" w:themeColor="text1"/>
          <w:shd w:val="clear" w:color="auto" w:fill="FFFFFF"/>
          <w:lang w:val="en-US"/>
        </w:rPr>
        <w:t>https://doi.org/10.1016/S1057-5219(99)00003-4</w:t>
      </w:r>
    </w:p>
    <w:p w14:paraId="5BE2A8AC" w14:textId="33A602B2" w:rsidR="00A65FF5"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 xml:space="preserve">Deville, L., Gresse, C., &amp; De </w:t>
      </w:r>
      <w:r w:rsidR="006A53A2">
        <w:rPr>
          <w:rFonts w:ascii="Times New Roman" w:hAnsi="Times New Roman" w:cs="Times New Roman"/>
          <w:b w:val="0"/>
          <w:color w:val="000000" w:themeColor="text1"/>
          <w:sz w:val="24"/>
          <w:szCs w:val="24"/>
          <w:shd w:val="clear" w:color="auto" w:fill="FFFFFF"/>
          <w:lang w:val="en-US"/>
        </w:rPr>
        <w:t xml:space="preserve">Séverac, B. </w:t>
      </w:r>
      <w:r w:rsidR="006A53A2" w:rsidRPr="00FE5841">
        <w:rPr>
          <w:rFonts w:ascii="Times New Roman" w:hAnsi="Times New Roman" w:cs="Times New Roman"/>
          <w:b w:val="0"/>
          <w:color w:val="000000" w:themeColor="text1"/>
          <w:sz w:val="24"/>
          <w:szCs w:val="24"/>
          <w:shd w:val="clear" w:color="auto" w:fill="FFFFFF"/>
          <w:lang w:val="en-US"/>
        </w:rPr>
        <w:t>(2014).</w:t>
      </w:r>
      <w:r w:rsidR="006A53A2">
        <w:rPr>
          <w:rFonts w:ascii="Times New Roman" w:hAnsi="Times New Roman" w:cs="Times New Roman"/>
          <w:b w:val="0"/>
          <w:color w:val="000000" w:themeColor="text1"/>
          <w:sz w:val="24"/>
          <w:szCs w:val="24"/>
          <w:shd w:val="clear" w:color="auto" w:fill="FFFFFF"/>
          <w:lang w:val="en-US"/>
        </w:rPr>
        <w:t xml:space="preserve"> Direct and Indirect Effects of Index ETFs On S</w:t>
      </w:r>
      <w:r w:rsidRPr="00246E63">
        <w:rPr>
          <w:rFonts w:ascii="Times New Roman" w:hAnsi="Times New Roman" w:cs="Times New Roman"/>
          <w:b w:val="0"/>
          <w:color w:val="000000" w:themeColor="text1"/>
          <w:sz w:val="24"/>
          <w:szCs w:val="24"/>
          <w:shd w:val="clear" w:color="auto" w:fill="FFFFFF"/>
          <w:lang w:val="en-US"/>
        </w:rPr>
        <w:t>pot</w:t>
      </w:r>
      <w:r w:rsidRPr="00246E63">
        <w:rPr>
          <w:rFonts w:ascii="Cambria Math" w:hAnsi="Cambria Math" w:cs="Cambria Math"/>
          <w:b w:val="0"/>
          <w:color w:val="000000" w:themeColor="text1"/>
          <w:sz w:val="24"/>
          <w:szCs w:val="24"/>
          <w:shd w:val="clear" w:color="auto" w:fill="FFFFFF"/>
          <w:lang w:val="en-US"/>
        </w:rPr>
        <w:t>‐</w:t>
      </w:r>
      <w:r w:rsidR="006A53A2">
        <w:rPr>
          <w:rFonts w:ascii="Times New Roman" w:hAnsi="Times New Roman" w:cs="Times New Roman"/>
          <w:b w:val="0"/>
          <w:color w:val="000000" w:themeColor="text1"/>
          <w:sz w:val="24"/>
          <w:szCs w:val="24"/>
          <w:shd w:val="clear" w:color="auto" w:fill="FFFFFF"/>
          <w:lang w:val="en-US"/>
        </w:rPr>
        <w:t>Futures Pricing and Liquidity: Evidence F</w:t>
      </w:r>
      <w:r w:rsidRPr="00246E63">
        <w:rPr>
          <w:rFonts w:ascii="Times New Roman" w:hAnsi="Times New Roman" w:cs="Times New Roman"/>
          <w:b w:val="0"/>
          <w:color w:val="000000" w:themeColor="text1"/>
          <w:sz w:val="24"/>
          <w:szCs w:val="24"/>
          <w:shd w:val="clear" w:color="auto" w:fill="FFFFFF"/>
          <w:lang w:val="en-US"/>
        </w:rPr>
        <w:t xml:space="preserve">rom the CAC 40 Index. European Financial Management, 20(2), 352-373. </w:t>
      </w:r>
      <w:r w:rsidR="00EE6296">
        <w:rPr>
          <w:rFonts w:ascii="Times New Roman" w:hAnsi="Times New Roman" w:cs="Times New Roman"/>
          <w:b w:val="0"/>
          <w:color w:val="000000" w:themeColor="text1"/>
          <w:sz w:val="24"/>
          <w:szCs w:val="24"/>
          <w:shd w:val="clear" w:color="auto" w:fill="FFFFFF"/>
          <w:lang w:val="en-US"/>
        </w:rPr>
        <w:t xml:space="preserve">                                                      </w:t>
      </w:r>
      <w:r w:rsidR="00A65FF5" w:rsidRPr="00A65FF5">
        <w:rPr>
          <w:rFonts w:ascii="Times New Roman" w:hAnsi="Times New Roman" w:cs="Times New Roman"/>
          <w:b w:val="0"/>
          <w:color w:val="000000" w:themeColor="text1"/>
          <w:sz w:val="24"/>
          <w:szCs w:val="24"/>
          <w:shd w:val="clear" w:color="auto" w:fill="FFFFFF"/>
          <w:lang w:val="en-US"/>
        </w:rPr>
        <w:t>https://doi.org/10.1111/j.1468-036X.2011.00638.x</w:t>
      </w:r>
    </w:p>
    <w:p w14:paraId="6AEF7B4F" w14:textId="1619F568" w:rsidR="005F7722" w:rsidRPr="00246E63"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Dwyer, G. P., Loc</w:t>
      </w:r>
      <w:r w:rsidR="0066726D">
        <w:rPr>
          <w:rFonts w:ascii="Times New Roman" w:hAnsi="Times New Roman" w:cs="Times New Roman"/>
          <w:b w:val="0"/>
          <w:color w:val="000000" w:themeColor="text1"/>
          <w:sz w:val="24"/>
          <w:szCs w:val="24"/>
          <w:shd w:val="clear" w:color="auto" w:fill="FFFFFF"/>
          <w:lang w:val="en-US"/>
        </w:rPr>
        <w:t>ke, P., &amp; Yu, W. (1996). Index A</w:t>
      </w:r>
      <w:r w:rsidR="006A53A2">
        <w:rPr>
          <w:rFonts w:ascii="Times New Roman" w:hAnsi="Times New Roman" w:cs="Times New Roman"/>
          <w:b w:val="0"/>
          <w:color w:val="000000" w:themeColor="text1"/>
          <w:sz w:val="24"/>
          <w:szCs w:val="24"/>
          <w:shd w:val="clear" w:color="auto" w:fill="FFFFFF"/>
          <w:lang w:val="en-US"/>
        </w:rPr>
        <w:t>rbitrage and Nonlinear Dynamics Between the S&amp;P 500 Futures and C</w:t>
      </w:r>
      <w:r w:rsidRPr="00246E63">
        <w:rPr>
          <w:rFonts w:ascii="Times New Roman" w:hAnsi="Times New Roman" w:cs="Times New Roman"/>
          <w:b w:val="0"/>
          <w:color w:val="000000" w:themeColor="text1"/>
          <w:sz w:val="24"/>
          <w:szCs w:val="24"/>
          <w:shd w:val="clear" w:color="auto" w:fill="FFFFFF"/>
          <w:lang w:val="en-US"/>
        </w:rPr>
        <w:t>ash. The Review of Financial Studies, 9(1), 301-332. https://doi.org/10.1093/rfs/9.1.301</w:t>
      </w:r>
    </w:p>
    <w:p w14:paraId="2BDB4026" w14:textId="2871724D" w:rsidR="005F7722" w:rsidRPr="00246E63"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Fleming, J., Ostdiek, B., &amp;</w:t>
      </w:r>
      <w:r w:rsidR="00447409">
        <w:rPr>
          <w:rFonts w:ascii="Times New Roman" w:hAnsi="Times New Roman" w:cs="Times New Roman"/>
          <w:b w:val="0"/>
          <w:color w:val="000000" w:themeColor="text1"/>
          <w:sz w:val="24"/>
          <w:szCs w:val="24"/>
          <w:shd w:val="clear" w:color="auto" w:fill="FFFFFF"/>
          <w:lang w:val="en-US"/>
        </w:rPr>
        <w:t xml:space="preserve"> Whaley, R. E. (1996). Trading Costs and the Relative R</w:t>
      </w:r>
      <w:r w:rsidR="0066726D">
        <w:rPr>
          <w:rFonts w:ascii="Times New Roman" w:hAnsi="Times New Roman" w:cs="Times New Roman"/>
          <w:b w:val="0"/>
          <w:color w:val="000000" w:themeColor="text1"/>
          <w:sz w:val="24"/>
          <w:szCs w:val="24"/>
          <w:shd w:val="clear" w:color="auto" w:fill="FFFFFF"/>
          <w:lang w:val="en-US"/>
        </w:rPr>
        <w:t>ates of Price Discovery in Stock, Futures, and Options M</w:t>
      </w:r>
      <w:r w:rsidRPr="00246E63">
        <w:rPr>
          <w:rFonts w:ascii="Times New Roman" w:hAnsi="Times New Roman" w:cs="Times New Roman"/>
          <w:b w:val="0"/>
          <w:color w:val="000000" w:themeColor="text1"/>
          <w:sz w:val="24"/>
          <w:szCs w:val="24"/>
          <w:shd w:val="clear" w:color="auto" w:fill="FFFFFF"/>
          <w:lang w:val="en-US"/>
        </w:rPr>
        <w:t xml:space="preserve">arkets. Journal of Futures Markets, 16(4), 353-387. </w:t>
      </w:r>
      <w:r w:rsidR="0067782C">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https://doi.org/10.1002/(SICI)1096-9934(199606)16:4&lt;353::AID-FUT1&gt;3.0.CO;2-H</w:t>
      </w:r>
    </w:p>
    <w:p w14:paraId="4E732623" w14:textId="188CEDCB" w:rsidR="005F7722" w:rsidRPr="00246E63" w:rsidRDefault="00601814"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Pr>
          <w:rFonts w:ascii="Times New Roman" w:hAnsi="Times New Roman" w:cs="Times New Roman"/>
          <w:b w:val="0"/>
          <w:color w:val="000000" w:themeColor="text1"/>
          <w:sz w:val="24"/>
          <w:szCs w:val="24"/>
          <w:shd w:val="clear" w:color="auto" w:fill="FFFFFF"/>
          <w:lang w:val="en-US"/>
        </w:rPr>
        <w:t xml:space="preserve">Frommherz, A. (2017). </w:t>
      </w:r>
      <w:r w:rsidRPr="00FE5841">
        <w:rPr>
          <w:rFonts w:ascii="Times New Roman" w:hAnsi="Times New Roman" w:cs="Times New Roman"/>
          <w:b w:val="0"/>
          <w:color w:val="000000" w:themeColor="text1"/>
          <w:sz w:val="24"/>
          <w:szCs w:val="24"/>
          <w:shd w:val="clear" w:color="auto" w:fill="FFFFFF"/>
          <w:lang w:val="en-US"/>
        </w:rPr>
        <w:t>Price</w:t>
      </w:r>
      <w:r>
        <w:rPr>
          <w:rFonts w:ascii="Times New Roman" w:hAnsi="Times New Roman" w:cs="Times New Roman"/>
          <w:b w:val="0"/>
          <w:color w:val="000000" w:themeColor="text1"/>
          <w:sz w:val="24"/>
          <w:szCs w:val="24"/>
          <w:shd w:val="clear" w:color="auto" w:fill="FFFFFF"/>
          <w:lang w:val="en-US"/>
        </w:rPr>
        <w:t xml:space="preserve"> Discovery of German Index Derivatives During Financial T</w:t>
      </w:r>
      <w:r w:rsidR="005F7722" w:rsidRPr="00246E63">
        <w:rPr>
          <w:rFonts w:ascii="Times New Roman" w:hAnsi="Times New Roman" w:cs="Times New Roman"/>
          <w:b w:val="0"/>
          <w:color w:val="000000" w:themeColor="text1"/>
          <w:sz w:val="24"/>
          <w:szCs w:val="24"/>
          <w:shd w:val="clear" w:color="auto" w:fill="FFFFFF"/>
          <w:lang w:val="en-US"/>
        </w:rPr>
        <w:t xml:space="preserve">urmoil. Review of Managerial Science, 1-33. </w:t>
      </w:r>
      <w:r w:rsidR="00EE6296">
        <w:rPr>
          <w:rFonts w:ascii="Times New Roman" w:hAnsi="Times New Roman" w:cs="Times New Roman"/>
          <w:b w:val="0"/>
          <w:color w:val="000000" w:themeColor="text1"/>
          <w:sz w:val="24"/>
          <w:szCs w:val="24"/>
          <w:shd w:val="clear" w:color="auto" w:fill="FFFFFF"/>
          <w:lang w:val="en-US"/>
        </w:rPr>
        <w:t xml:space="preserve">                                         </w:t>
      </w:r>
      <w:r w:rsidR="005F7722" w:rsidRPr="00246E63">
        <w:rPr>
          <w:rFonts w:ascii="Times New Roman" w:hAnsi="Times New Roman" w:cs="Times New Roman"/>
          <w:b w:val="0"/>
          <w:color w:val="000000" w:themeColor="text1"/>
          <w:sz w:val="24"/>
          <w:szCs w:val="24"/>
          <w:shd w:val="clear" w:color="auto" w:fill="FFFFFF"/>
          <w:lang w:val="en-US"/>
        </w:rPr>
        <w:t>https://doi.org/10.1007/s11846-017-0241-4</w:t>
      </w:r>
    </w:p>
    <w:p w14:paraId="146E3643" w14:textId="28F8F31F" w:rsidR="005F7722" w:rsidRPr="00246E63"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Fu</w:t>
      </w:r>
      <w:r w:rsidR="00601814">
        <w:rPr>
          <w:rFonts w:ascii="Times New Roman" w:hAnsi="Times New Roman" w:cs="Times New Roman"/>
          <w:b w:val="0"/>
          <w:color w:val="000000" w:themeColor="text1"/>
          <w:sz w:val="24"/>
          <w:szCs w:val="24"/>
          <w:shd w:val="clear" w:color="auto" w:fill="FFFFFF"/>
          <w:lang w:val="en-US"/>
        </w:rPr>
        <w:t>ng, J., &amp; Yu, P. (2007). Order Imbalance and the Dynamics of Index and Futures P</w:t>
      </w:r>
      <w:r w:rsidRPr="00246E63">
        <w:rPr>
          <w:rFonts w:ascii="Times New Roman" w:hAnsi="Times New Roman" w:cs="Times New Roman"/>
          <w:b w:val="0"/>
          <w:color w:val="000000" w:themeColor="text1"/>
          <w:sz w:val="24"/>
          <w:szCs w:val="24"/>
          <w:shd w:val="clear" w:color="auto" w:fill="FFFFFF"/>
          <w:lang w:val="en-US"/>
        </w:rPr>
        <w:t xml:space="preserve">rices. Journal of Futures Markets, 27, 1129–1157.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https://doi.org/10.1002/fut.20288</w:t>
      </w:r>
    </w:p>
    <w:p w14:paraId="077854DB" w14:textId="284BEE93"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Gammill, James E, Jr., an</w:t>
      </w:r>
      <w:r w:rsidR="00601814">
        <w:rPr>
          <w:rFonts w:ascii="Times New Roman" w:hAnsi="Times New Roman" w:cs="Times New Roman"/>
          <w:b w:val="0"/>
          <w:color w:val="000000" w:themeColor="text1"/>
          <w:sz w:val="24"/>
          <w:szCs w:val="24"/>
          <w:shd w:val="clear" w:color="auto" w:fill="FFFFFF"/>
          <w:lang w:val="en-US"/>
        </w:rPr>
        <w:t>d Andre F. Perold. (1989). The Changing Character of Stock Market L</w:t>
      </w:r>
      <w:r w:rsidRPr="00246E63">
        <w:rPr>
          <w:rFonts w:ascii="Times New Roman" w:hAnsi="Times New Roman" w:cs="Times New Roman"/>
          <w:b w:val="0"/>
          <w:color w:val="000000" w:themeColor="text1"/>
          <w:sz w:val="24"/>
          <w:szCs w:val="24"/>
          <w:shd w:val="clear" w:color="auto" w:fill="FFFFFF"/>
          <w:lang w:val="en-US"/>
        </w:rPr>
        <w:t>iquidity. Journal of Portfolio Management, 1989, 15, 13-18. https://doi.org/10.3905/jpm.1989.409210</w:t>
      </w:r>
    </w:p>
    <w:p w14:paraId="2115DA33" w14:textId="678CDBC2"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G</w:t>
      </w:r>
      <w:r w:rsidR="00601814">
        <w:rPr>
          <w:rFonts w:ascii="Times New Roman" w:hAnsi="Times New Roman" w:cs="Times New Roman"/>
          <w:b w:val="0"/>
          <w:color w:val="000000" w:themeColor="text1"/>
          <w:sz w:val="24"/>
          <w:szCs w:val="24"/>
          <w:shd w:val="clear" w:color="auto" w:fill="FFFFFF"/>
          <w:lang w:val="en-US"/>
        </w:rPr>
        <w:t>aul, J. (2005). A Partially Linear Vector Error Correction M</w:t>
      </w:r>
      <w:r w:rsidRPr="00246E63">
        <w:rPr>
          <w:rFonts w:ascii="Times New Roman" w:hAnsi="Times New Roman" w:cs="Times New Roman"/>
          <w:b w:val="0"/>
          <w:color w:val="000000" w:themeColor="text1"/>
          <w:sz w:val="24"/>
          <w:szCs w:val="24"/>
          <w:shd w:val="clear" w:color="auto" w:fill="FFFFFF"/>
          <w:lang w:val="en-US"/>
        </w:rPr>
        <w:t>odel. PhD thesis, University of Bonn.</w:t>
      </w:r>
      <w:r w:rsidRPr="00246E63">
        <w:rPr>
          <w:rFonts w:ascii="MS Mincho" w:eastAsia="MS Mincho" w:hAnsi="MS Mincho" w:cs="MS Mincho" w:hint="eastAsia"/>
          <w:b w:val="0"/>
          <w:color w:val="000000" w:themeColor="text1"/>
          <w:sz w:val="24"/>
          <w:szCs w:val="24"/>
          <w:shd w:val="clear" w:color="auto" w:fill="FFFFFF"/>
          <w:lang w:val="en-US"/>
        </w:rPr>
        <w:t> </w:t>
      </w:r>
    </w:p>
    <w:p w14:paraId="3933732E" w14:textId="0A061869" w:rsidR="005F7722" w:rsidRPr="00246E63" w:rsidRDefault="005F7722" w:rsidP="00A64E3F">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Gaul</w:t>
      </w:r>
      <w:r w:rsidR="00601814">
        <w:rPr>
          <w:rFonts w:ascii="Times New Roman" w:hAnsi="Times New Roman" w:cs="Times New Roman"/>
          <w:b w:val="0"/>
          <w:color w:val="000000" w:themeColor="text1"/>
          <w:sz w:val="24"/>
          <w:szCs w:val="24"/>
          <w:shd w:val="clear" w:color="auto" w:fill="FFFFFF"/>
          <w:lang w:val="en-US"/>
        </w:rPr>
        <w:t>, J., &amp; Theissen, E. (2015). A Partially Linear Approach To Modeling the Dynamics of Spot and Futures P</w:t>
      </w:r>
      <w:r w:rsidRPr="00246E63">
        <w:rPr>
          <w:rFonts w:ascii="Times New Roman" w:hAnsi="Times New Roman" w:cs="Times New Roman"/>
          <w:b w:val="0"/>
          <w:color w:val="000000" w:themeColor="text1"/>
          <w:sz w:val="24"/>
          <w:szCs w:val="24"/>
          <w:shd w:val="clear" w:color="auto" w:fill="FFFFFF"/>
          <w:lang w:val="en-US"/>
        </w:rPr>
        <w:t>rices. Journal of Futures Markets, 35(4), 371-384. https://doi.org/10.1002/fut.21669</w:t>
      </w:r>
    </w:p>
    <w:p w14:paraId="1380505F" w14:textId="10F11CD6"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Gonzalo, J., &amp; Gra</w:t>
      </w:r>
      <w:r w:rsidR="002B54B3">
        <w:rPr>
          <w:rFonts w:ascii="Times New Roman" w:hAnsi="Times New Roman" w:cs="Times New Roman"/>
          <w:b w:val="0"/>
          <w:color w:val="000000" w:themeColor="text1"/>
          <w:sz w:val="24"/>
          <w:szCs w:val="24"/>
          <w:shd w:val="clear" w:color="auto" w:fill="FFFFFF"/>
          <w:lang w:val="en-US"/>
        </w:rPr>
        <w:t>nger, C. (1995). Estimation of Common Long-Memory Components in Cointegrated S</w:t>
      </w:r>
      <w:r w:rsidRPr="00246E63">
        <w:rPr>
          <w:rFonts w:ascii="Times New Roman" w:hAnsi="Times New Roman" w:cs="Times New Roman"/>
          <w:b w:val="0"/>
          <w:color w:val="000000" w:themeColor="text1"/>
          <w:sz w:val="24"/>
          <w:szCs w:val="24"/>
          <w:shd w:val="clear" w:color="auto" w:fill="FFFFFF"/>
          <w:lang w:val="en-US"/>
        </w:rPr>
        <w:t xml:space="preserve">ystems. Journal of Business &amp; Economic Statistics, 13(1), 27-35.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Doi: 10.2307/1392518</w:t>
      </w:r>
    </w:p>
    <w:p w14:paraId="4D321A87" w14:textId="70D5042E" w:rsidR="005F7722" w:rsidRPr="00246E63" w:rsidRDefault="005F7722" w:rsidP="00692D1E">
      <w:pPr>
        <w:pStyle w:val="Heading1"/>
        <w:spacing w:line="480" w:lineRule="auto"/>
        <w:jc w:val="both"/>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Harris, Frederick H., McInish, T. H., &amp; Wood, R. A. (2002</w:t>
      </w:r>
      <w:r w:rsidR="006C598B">
        <w:rPr>
          <w:rFonts w:ascii="Times New Roman" w:hAnsi="Times New Roman" w:cs="Times New Roman"/>
          <w:b w:val="0"/>
          <w:color w:val="000000" w:themeColor="text1"/>
          <w:sz w:val="24"/>
          <w:szCs w:val="24"/>
          <w:shd w:val="clear" w:color="auto" w:fill="FFFFFF"/>
          <w:lang w:val="en-US"/>
        </w:rPr>
        <w:t>a</w:t>
      </w:r>
      <w:r w:rsidR="002B54B3">
        <w:rPr>
          <w:rFonts w:ascii="Times New Roman" w:hAnsi="Times New Roman" w:cs="Times New Roman"/>
          <w:b w:val="0"/>
          <w:color w:val="000000" w:themeColor="text1"/>
          <w:sz w:val="24"/>
          <w:szCs w:val="24"/>
          <w:shd w:val="clear" w:color="auto" w:fill="FFFFFF"/>
          <w:lang w:val="en-US"/>
        </w:rPr>
        <w:t>). Security Price Adjustment Across Exchanges: An Investigation of Common Factor Components for Dow S</w:t>
      </w:r>
      <w:r w:rsidRPr="00246E63">
        <w:rPr>
          <w:rFonts w:ascii="Times New Roman" w:hAnsi="Times New Roman" w:cs="Times New Roman"/>
          <w:b w:val="0"/>
          <w:color w:val="000000" w:themeColor="text1"/>
          <w:sz w:val="24"/>
          <w:szCs w:val="24"/>
          <w:shd w:val="clear" w:color="auto" w:fill="FFFFFF"/>
          <w:lang w:val="en-US"/>
        </w:rPr>
        <w:t xml:space="preserve">tocks. Journal of Financial Markets, 5(3), 277-308. </w:t>
      </w:r>
      <w:r w:rsidR="00EE6296">
        <w:rPr>
          <w:rFonts w:ascii="Times New Roman" w:hAnsi="Times New Roman" w:cs="Times New Roman"/>
          <w:b w:val="0"/>
          <w:color w:val="000000" w:themeColor="text1"/>
          <w:sz w:val="24"/>
          <w:szCs w:val="24"/>
          <w:shd w:val="clear" w:color="auto" w:fill="FFFFFF"/>
          <w:lang w:val="en-US"/>
        </w:rPr>
        <w:tab/>
      </w:r>
      <w:r w:rsidR="00EE6296">
        <w:rPr>
          <w:rFonts w:ascii="Times New Roman" w:hAnsi="Times New Roman" w:cs="Times New Roman"/>
          <w:b w:val="0"/>
          <w:color w:val="000000" w:themeColor="text1"/>
          <w:sz w:val="24"/>
          <w:szCs w:val="24"/>
          <w:shd w:val="clear" w:color="auto" w:fill="FFFFFF"/>
          <w:lang w:val="en-US"/>
        </w:rPr>
        <w:tab/>
      </w:r>
      <w:r w:rsidR="00EE6296">
        <w:rPr>
          <w:rFonts w:ascii="Times New Roman" w:hAnsi="Times New Roman" w:cs="Times New Roman"/>
          <w:b w:val="0"/>
          <w:color w:val="000000" w:themeColor="text1"/>
          <w:sz w:val="24"/>
          <w:szCs w:val="24"/>
          <w:shd w:val="clear" w:color="auto" w:fill="FFFFFF"/>
          <w:lang w:val="en-US"/>
        </w:rPr>
        <w:tab/>
      </w:r>
      <w:r w:rsidR="00EE6296">
        <w:rPr>
          <w:rFonts w:ascii="Times New Roman" w:hAnsi="Times New Roman" w:cs="Times New Roman"/>
          <w:b w:val="0"/>
          <w:color w:val="000000" w:themeColor="text1"/>
          <w:sz w:val="24"/>
          <w:szCs w:val="24"/>
          <w:shd w:val="clear" w:color="auto" w:fill="FFFFFF"/>
          <w:lang w:val="en-US"/>
        </w:rPr>
        <w:tab/>
        <w:t xml:space="preserve">       </w:t>
      </w:r>
      <w:r w:rsidRPr="00246E63">
        <w:rPr>
          <w:rFonts w:ascii="Times New Roman" w:hAnsi="Times New Roman" w:cs="Times New Roman"/>
          <w:b w:val="0"/>
          <w:color w:val="000000" w:themeColor="text1"/>
          <w:sz w:val="24"/>
          <w:szCs w:val="24"/>
          <w:shd w:val="clear" w:color="auto" w:fill="FFFFFF"/>
          <w:lang w:val="en-US"/>
        </w:rPr>
        <w:t>https://doi.org/10.1016/S1386-4181(01)00017-9</w:t>
      </w:r>
    </w:p>
    <w:p w14:paraId="56500248" w14:textId="77777777" w:rsidR="00C52E79" w:rsidRDefault="00C52E79" w:rsidP="00EE6296">
      <w:pPr>
        <w:widowControl w:val="0"/>
        <w:autoSpaceDE w:val="0"/>
        <w:autoSpaceDN w:val="0"/>
        <w:adjustRightInd w:val="0"/>
        <w:spacing w:after="200" w:line="480" w:lineRule="auto"/>
        <w:rPr>
          <w:color w:val="1A1A1A"/>
        </w:rPr>
      </w:pPr>
    </w:p>
    <w:p w14:paraId="5D73EA11" w14:textId="368306BF" w:rsidR="00C52E79" w:rsidRDefault="009A50EE" w:rsidP="00C52E79">
      <w:pPr>
        <w:widowControl w:val="0"/>
        <w:autoSpaceDE w:val="0"/>
        <w:autoSpaceDN w:val="0"/>
        <w:adjustRightInd w:val="0"/>
        <w:spacing w:after="200" w:line="480" w:lineRule="auto"/>
        <w:rPr>
          <w:color w:val="1A1A1A"/>
        </w:rPr>
      </w:pPr>
      <w:r w:rsidRPr="00A20D78">
        <w:rPr>
          <w:color w:val="1A1A1A"/>
        </w:rPr>
        <w:t>Harris, Frederick H., McIn</w:t>
      </w:r>
      <w:r w:rsidR="006C598B">
        <w:rPr>
          <w:color w:val="1A1A1A"/>
        </w:rPr>
        <w:t>ish, T. H., &amp; Wood, R. A. (2002b</w:t>
      </w:r>
      <w:r w:rsidR="002B54B3">
        <w:rPr>
          <w:color w:val="1A1A1A"/>
        </w:rPr>
        <w:t>). Common Factor Components Versus Information Shares: A R</w:t>
      </w:r>
      <w:r w:rsidRPr="00A20D78">
        <w:rPr>
          <w:color w:val="1A1A1A"/>
        </w:rPr>
        <w:t xml:space="preserve">eply. </w:t>
      </w:r>
      <w:r w:rsidRPr="00A20D78">
        <w:rPr>
          <w:iCs/>
          <w:color w:val="1A1A1A"/>
        </w:rPr>
        <w:t>Journal of Financial Markets</w:t>
      </w:r>
      <w:r w:rsidRPr="00A20D78">
        <w:rPr>
          <w:color w:val="1A1A1A"/>
        </w:rPr>
        <w:t xml:space="preserve">, </w:t>
      </w:r>
      <w:r w:rsidRPr="00A20D78">
        <w:rPr>
          <w:iCs/>
          <w:color w:val="1A1A1A"/>
        </w:rPr>
        <w:t>5</w:t>
      </w:r>
      <w:r w:rsidRPr="00A20D78">
        <w:rPr>
          <w:color w:val="1A1A1A"/>
        </w:rPr>
        <w:t>, 341-348.</w:t>
      </w:r>
      <w:r>
        <w:rPr>
          <w:color w:val="1A1A1A"/>
        </w:rPr>
        <w:t xml:space="preserve"> </w:t>
      </w:r>
      <w:r w:rsidRPr="009A50EE">
        <w:rPr>
          <w:color w:val="1A1A1A"/>
        </w:rPr>
        <w:t>https://doi.org/10.1016/S1386-4181(02)00030-7</w:t>
      </w:r>
    </w:p>
    <w:p w14:paraId="47BF8C51" w14:textId="77777777" w:rsidR="00C52E79" w:rsidRDefault="00C52E79" w:rsidP="00C52E79">
      <w:pPr>
        <w:widowControl w:val="0"/>
        <w:autoSpaceDE w:val="0"/>
        <w:autoSpaceDN w:val="0"/>
        <w:adjustRightInd w:val="0"/>
        <w:spacing w:after="200" w:line="480" w:lineRule="auto"/>
        <w:rPr>
          <w:color w:val="000000" w:themeColor="text1"/>
          <w:shd w:val="clear" w:color="auto" w:fill="FFFFFF"/>
          <w:lang w:val="en-US"/>
        </w:rPr>
      </w:pPr>
    </w:p>
    <w:p w14:paraId="392B41DB" w14:textId="450F9018" w:rsidR="009A50EE" w:rsidRPr="00C52E79" w:rsidRDefault="002B54B3" w:rsidP="00C52E79">
      <w:pPr>
        <w:widowControl w:val="0"/>
        <w:autoSpaceDE w:val="0"/>
        <w:autoSpaceDN w:val="0"/>
        <w:adjustRightInd w:val="0"/>
        <w:spacing w:after="200" w:line="480" w:lineRule="auto"/>
        <w:rPr>
          <w:color w:val="1A1A1A"/>
        </w:rPr>
      </w:pPr>
      <w:r>
        <w:rPr>
          <w:color w:val="000000" w:themeColor="text1"/>
          <w:shd w:val="clear" w:color="auto" w:fill="FFFFFF"/>
          <w:lang w:val="en-US"/>
        </w:rPr>
        <w:t>Hasbrouck, J. (1995). One Security, Many Markets: Determining the Contributions to P</w:t>
      </w:r>
      <w:r w:rsidR="005F7722" w:rsidRPr="009A50EE">
        <w:rPr>
          <w:color w:val="000000" w:themeColor="text1"/>
          <w:shd w:val="clear" w:color="auto" w:fill="FFFFFF"/>
          <w:lang w:val="en-US"/>
        </w:rPr>
        <w:t>r</w:t>
      </w:r>
      <w:r>
        <w:rPr>
          <w:color w:val="000000" w:themeColor="text1"/>
          <w:shd w:val="clear" w:color="auto" w:fill="FFFFFF"/>
          <w:lang w:val="en-US"/>
        </w:rPr>
        <w:t>ice D</w:t>
      </w:r>
      <w:r w:rsidR="005F7722" w:rsidRPr="009A50EE">
        <w:rPr>
          <w:color w:val="000000" w:themeColor="text1"/>
          <w:shd w:val="clear" w:color="auto" w:fill="FFFFFF"/>
          <w:lang w:val="en-US"/>
        </w:rPr>
        <w:t xml:space="preserve">iscovery. Journal of Finance, 1175-1199.  </w:t>
      </w:r>
      <w:r w:rsidR="00EE6296">
        <w:rPr>
          <w:color w:val="000000" w:themeColor="text1"/>
          <w:shd w:val="clear" w:color="auto" w:fill="FFFFFF"/>
          <w:lang w:val="en-US"/>
        </w:rPr>
        <w:tab/>
      </w:r>
      <w:r w:rsidR="00EE6296">
        <w:rPr>
          <w:color w:val="000000" w:themeColor="text1"/>
          <w:shd w:val="clear" w:color="auto" w:fill="FFFFFF"/>
          <w:lang w:val="en-US"/>
        </w:rPr>
        <w:tab/>
      </w:r>
      <w:r w:rsidR="00EE6296">
        <w:rPr>
          <w:color w:val="000000" w:themeColor="text1"/>
          <w:shd w:val="clear" w:color="auto" w:fill="FFFFFF"/>
          <w:lang w:val="en-US"/>
        </w:rPr>
        <w:tab/>
        <w:t xml:space="preserve">        </w:t>
      </w:r>
      <w:r w:rsidR="005F7722" w:rsidRPr="009A50EE">
        <w:rPr>
          <w:color w:val="000000" w:themeColor="text1"/>
          <w:shd w:val="clear" w:color="auto" w:fill="FFFFFF"/>
          <w:lang w:val="en-US"/>
        </w:rPr>
        <w:t xml:space="preserve">https://doi.org/10.1111/j.1540-6261.1995.tb04054.x </w:t>
      </w:r>
    </w:p>
    <w:p w14:paraId="1452D3DB" w14:textId="77777777" w:rsidR="009A50EE" w:rsidRPr="009A50EE" w:rsidRDefault="009A50EE" w:rsidP="009A50EE">
      <w:pPr>
        <w:widowControl w:val="0"/>
        <w:autoSpaceDE w:val="0"/>
        <w:autoSpaceDN w:val="0"/>
        <w:adjustRightInd w:val="0"/>
        <w:spacing w:after="200" w:line="480" w:lineRule="auto"/>
        <w:jc w:val="both"/>
        <w:rPr>
          <w:color w:val="000000" w:themeColor="text1"/>
          <w:shd w:val="clear" w:color="auto" w:fill="FFFFFF"/>
          <w:lang w:val="en-US"/>
        </w:rPr>
      </w:pPr>
    </w:p>
    <w:p w14:paraId="599DDE4F" w14:textId="5393A7E0" w:rsidR="005F7722" w:rsidRPr="00EE6296" w:rsidRDefault="00935749" w:rsidP="00587A10">
      <w:pPr>
        <w:widowControl w:val="0"/>
        <w:autoSpaceDE w:val="0"/>
        <w:autoSpaceDN w:val="0"/>
        <w:adjustRightInd w:val="0"/>
        <w:spacing w:after="200" w:line="480" w:lineRule="auto"/>
        <w:rPr>
          <w:color w:val="000000" w:themeColor="text1"/>
          <w:shd w:val="clear" w:color="auto" w:fill="FFFFFF"/>
          <w:lang w:val="en-US"/>
        </w:rPr>
      </w:pPr>
      <w:r>
        <w:rPr>
          <w:color w:val="000000" w:themeColor="text1"/>
          <w:shd w:val="clear" w:color="auto" w:fill="FFFFFF"/>
          <w:lang w:val="en-US"/>
        </w:rPr>
        <w:t>Hasbrouck, J. (2003). Intraday Price Formation in US Equity Index M</w:t>
      </w:r>
      <w:r w:rsidR="005F7722" w:rsidRPr="009A50EE">
        <w:rPr>
          <w:color w:val="000000" w:themeColor="text1"/>
          <w:shd w:val="clear" w:color="auto" w:fill="FFFFFF"/>
          <w:lang w:val="en-US"/>
        </w:rPr>
        <w:t xml:space="preserve">arkets. The Journal of Finance, 58(6), 2375-2400. </w:t>
      </w:r>
      <w:r w:rsidR="00EE6296">
        <w:rPr>
          <w:color w:val="000000" w:themeColor="text1"/>
          <w:shd w:val="clear" w:color="auto" w:fill="FFFFFF"/>
          <w:lang w:val="en-US"/>
        </w:rPr>
        <w:t xml:space="preserve">                                                          </w:t>
      </w:r>
      <w:r w:rsidR="005F7722" w:rsidRPr="009A50EE">
        <w:rPr>
          <w:color w:val="000000" w:themeColor="text1"/>
          <w:shd w:val="clear" w:color="auto" w:fill="FFFFFF"/>
          <w:lang w:val="en-US"/>
        </w:rPr>
        <w:t>https://doi.org/10.1046/j.1540-6261.2003.00609.x</w:t>
      </w:r>
    </w:p>
    <w:p w14:paraId="2BCA5E82" w14:textId="68F1CF8C" w:rsidR="005F7722" w:rsidRPr="00246E63"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Hegde, S.P</w:t>
      </w:r>
      <w:r w:rsidR="00935749">
        <w:rPr>
          <w:rFonts w:ascii="Times New Roman" w:hAnsi="Times New Roman" w:cs="Times New Roman"/>
          <w:b w:val="0"/>
          <w:color w:val="000000" w:themeColor="text1"/>
          <w:sz w:val="24"/>
          <w:szCs w:val="24"/>
          <w:shd w:val="clear" w:color="auto" w:fill="FFFFFF"/>
          <w:lang w:val="en-US"/>
        </w:rPr>
        <w:t>., McDermott, J.B. (2004). The Market Liquidity of Diamond, Q’s and Their Underlying S</w:t>
      </w:r>
      <w:r w:rsidRPr="00246E63">
        <w:rPr>
          <w:rFonts w:ascii="Times New Roman" w:hAnsi="Times New Roman" w:cs="Times New Roman"/>
          <w:b w:val="0"/>
          <w:color w:val="000000" w:themeColor="text1"/>
          <w:sz w:val="24"/>
          <w:szCs w:val="24"/>
          <w:shd w:val="clear" w:color="auto" w:fill="FFFFFF"/>
          <w:lang w:val="en-US"/>
        </w:rPr>
        <w:t>tocks. Journal of Banking and Finance 28, 1043–1067. https://doi.org/10.1016/S0378-4266(03)00043-8</w:t>
      </w:r>
    </w:p>
    <w:p w14:paraId="02FE12AA" w14:textId="4DBFF974" w:rsidR="005F7722" w:rsidRPr="00246E63" w:rsidRDefault="00F2198B"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Pr>
          <w:rFonts w:ascii="Times New Roman" w:hAnsi="Times New Roman" w:cs="Times New Roman"/>
          <w:b w:val="0"/>
          <w:color w:val="000000" w:themeColor="text1"/>
          <w:sz w:val="24"/>
          <w:szCs w:val="24"/>
          <w:shd w:val="clear" w:color="auto" w:fill="FFFFFF"/>
          <w:lang w:val="en-US"/>
        </w:rPr>
        <w:t>Ivanov, S. I. (</w:t>
      </w:r>
      <w:r w:rsidRPr="00FE5841">
        <w:rPr>
          <w:rFonts w:ascii="Times New Roman" w:hAnsi="Times New Roman" w:cs="Times New Roman"/>
          <w:b w:val="0"/>
          <w:color w:val="000000" w:themeColor="text1"/>
          <w:sz w:val="24"/>
          <w:szCs w:val="24"/>
          <w:shd w:val="clear" w:color="auto" w:fill="FFFFFF"/>
          <w:lang w:val="en-US"/>
        </w:rPr>
        <w:t>2013)</w:t>
      </w:r>
      <w:r>
        <w:rPr>
          <w:rFonts w:ascii="Times New Roman" w:hAnsi="Times New Roman" w:cs="Times New Roman"/>
          <w:b w:val="0"/>
          <w:color w:val="000000" w:themeColor="text1"/>
          <w:sz w:val="24"/>
          <w:szCs w:val="24"/>
          <w:shd w:val="clear" w:color="auto" w:fill="FFFFFF"/>
          <w:lang w:val="en-US"/>
        </w:rPr>
        <w:t>. The Influence of ETFs on the Price Discovery of Gold, Silver and O</w:t>
      </w:r>
      <w:r w:rsidR="005F7722" w:rsidRPr="00246E63">
        <w:rPr>
          <w:rFonts w:ascii="Times New Roman" w:hAnsi="Times New Roman" w:cs="Times New Roman"/>
          <w:b w:val="0"/>
          <w:color w:val="000000" w:themeColor="text1"/>
          <w:sz w:val="24"/>
          <w:szCs w:val="24"/>
          <w:shd w:val="clear" w:color="auto" w:fill="FFFFFF"/>
          <w:lang w:val="en-US"/>
        </w:rPr>
        <w:t xml:space="preserve">il. Journal of Economics and Finance, 37, 453-462. </w:t>
      </w:r>
      <w:r w:rsidR="00EE6296">
        <w:rPr>
          <w:rFonts w:ascii="Times New Roman" w:hAnsi="Times New Roman" w:cs="Times New Roman"/>
          <w:b w:val="0"/>
          <w:color w:val="000000" w:themeColor="text1"/>
          <w:sz w:val="24"/>
          <w:szCs w:val="24"/>
          <w:shd w:val="clear" w:color="auto" w:fill="FFFFFF"/>
          <w:lang w:val="en-US"/>
        </w:rPr>
        <w:t xml:space="preserve">                        </w:t>
      </w:r>
      <w:r w:rsidR="005F7722" w:rsidRPr="00246E63">
        <w:rPr>
          <w:rFonts w:ascii="Times New Roman" w:hAnsi="Times New Roman" w:cs="Times New Roman"/>
          <w:b w:val="0"/>
          <w:color w:val="000000" w:themeColor="text1"/>
          <w:sz w:val="24"/>
          <w:szCs w:val="24"/>
          <w:shd w:val="clear" w:color="auto" w:fill="FFFFFF"/>
          <w:lang w:val="en-US"/>
        </w:rPr>
        <w:t>https://doi.org/10.1007/s12197-011-9205-8</w:t>
      </w:r>
    </w:p>
    <w:p w14:paraId="7B71411A" w14:textId="5B74CC31" w:rsidR="005F7722" w:rsidRPr="00246E63" w:rsidRDefault="005F7722" w:rsidP="00587A10">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Ivanov, S. I., Jones, F. J., &amp; Zaima, J. K. (</w:t>
      </w:r>
      <w:r w:rsidRPr="00FE5841">
        <w:rPr>
          <w:rFonts w:ascii="Times New Roman" w:hAnsi="Times New Roman" w:cs="Times New Roman"/>
          <w:b w:val="0"/>
          <w:color w:val="000000" w:themeColor="text1"/>
          <w:sz w:val="24"/>
          <w:szCs w:val="24"/>
          <w:shd w:val="clear" w:color="auto" w:fill="FFFFFF"/>
          <w:lang w:val="en-US"/>
        </w:rPr>
        <w:t>2013)</w:t>
      </w:r>
      <w:r w:rsidRPr="00246E63">
        <w:rPr>
          <w:rFonts w:ascii="Times New Roman" w:hAnsi="Times New Roman" w:cs="Times New Roman"/>
          <w:b w:val="0"/>
          <w:color w:val="000000" w:themeColor="text1"/>
          <w:sz w:val="24"/>
          <w:szCs w:val="24"/>
          <w:shd w:val="clear" w:color="auto" w:fill="FFFFFF"/>
          <w:lang w:val="en-US"/>
        </w:rPr>
        <w:t>. Analysis of DJIA, S&amp;P 500, S&amp;P 400, NASDAQ</w:t>
      </w:r>
      <w:r w:rsidR="00F2198B">
        <w:rPr>
          <w:rFonts w:ascii="Times New Roman" w:hAnsi="Times New Roman" w:cs="Times New Roman"/>
          <w:b w:val="0"/>
          <w:color w:val="000000" w:themeColor="text1"/>
          <w:sz w:val="24"/>
          <w:szCs w:val="24"/>
          <w:shd w:val="clear" w:color="auto" w:fill="FFFFFF"/>
          <w:lang w:val="en-US"/>
        </w:rPr>
        <w:t xml:space="preserve"> 100 and Russell 2000 ETFs and Their Influence on Price D</w:t>
      </w:r>
      <w:r w:rsidRPr="00246E63">
        <w:rPr>
          <w:rFonts w:ascii="Times New Roman" w:hAnsi="Times New Roman" w:cs="Times New Roman"/>
          <w:b w:val="0"/>
          <w:color w:val="000000" w:themeColor="text1"/>
          <w:sz w:val="24"/>
          <w:szCs w:val="24"/>
          <w:shd w:val="clear" w:color="auto" w:fill="FFFFFF"/>
          <w:lang w:val="en-US"/>
        </w:rPr>
        <w:t xml:space="preserve">iscovery. Global Finance Journal, 24, 171-187. </w:t>
      </w:r>
      <w:r w:rsidR="00EE6296">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https://doi.org/10.1016/j.gfj.2013.10.005</w:t>
      </w:r>
    </w:p>
    <w:p w14:paraId="75CEA8AA" w14:textId="77777777" w:rsidR="00CF1699" w:rsidRDefault="00CF1699" w:rsidP="00246E63">
      <w:pPr>
        <w:widowControl w:val="0"/>
        <w:autoSpaceDE w:val="0"/>
        <w:autoSpaceDN w:val="0"/>
        <w:adjustRightInd w:val="0"/>
        <w:spacing w:after="200" w:line="480" w:lineRule="auto"/>
        <w:jc w:val="both"/>
        <w:rPr>
          <w:rFonts w:eastAsiaTheme="majorEastAsia"/>
          <w:bCs/>
          <w:color w:val="000000" w:themeColor="text1"/>
          <w:shd w:val="clear" w:color="auto" w:fill="FFFFFF"/>
          <w:lang w:val="en-US"/>
        </w:rPr>
      </w:pPr>
    </w:p>
    <w:p w14:paraId="15942154" w14:textId="491EB34C" w:rsidR="00CF1699" w:rsidRDefault="001C7733" w:rsidP="00C52E79">
      <w:pPr>
        <w:widowControl w:val="0"/>
        <w:autoSpaceDE w:val="0"/>
        <w:autoSpaceDN w:val="0"/>
        <w:adjustRightInd w:val="0"/>
        <w:spacing w:after="200" w:line="480" w:lineRule="auto"/>
        <w:rPr>
          <w:color w:val="1A1A1A"/>
        </w:rPr>
      </w:pPr>
      <w:r w:rsidRPr="00CF1699">
        <w:rPr>
          <w:color w:val="1A1A1A"/>
        </w:rPr>
        <w:t>Johansen, S. (1988). Statistical</w:t>
      </w:r>
      <w:r w:rsidR="00F2198B">
        <w:rPr>
          <w:color w:val="1A1A1A"/>
        </w:rPr>
        <w:t xml:space="preserve"> Analysis of Cointegration V</w:t>
      </w:r>
      <w:r w:rsidRPr="00246E63">
        <w:rPr>
          <w:color w:val="1A1A1A"/>
        </w:rPr>
        <w:t xml:space="preserve">ectors. </w:t>
      </w:r>
      <w:r w:rsidRPr="00246E63">
        <w:rPr>
          <w:iCs/>
          <w:color w:val="1A1A1A"/>
        </w:rPr>
        <w:t>Journal of Economic Dynamics and Control</w:t>
      </w:r>
      <w:r w:rsidRPr="00246E63">
        <w:rPr>
          <w:color w:val="1A1A1A"/>
        </w:rPr>
        <w:t xml:space="preserve">, </w:t>
      </w:r>
      <w:r w:rsidRPr="00246E63">
        <w:rPr>
          <w:iCs/>
          <w:color w:val="1A1A1A"/>
        </w:rPr>
        <w:t>12</w:t>
      </w:r>
      <w:r w:rsidRPr="00246E63">
        <w:rPr>
          <w:color w:val="1A1A1A"/>
        </w:rPr>
        <w:t>, 231-254.</w:t>
      </w:r>
      <w:r w:rsidR="0022341D">
        <w:rPr>
          <w:color w:val="1A1A1A"/>
        </w:rPr>
        <w:t xml:space="preserve"> </w:t>
      </w:r>
      <w:r w:rsidR="00EE6296">
        <w:rPr>
          <w:color w:val="1A1A1A"/>
        </w:rPr>
        <w:t xml:space="preserve">                                              </w:t>
      </w:r>
      <w:r w:rsidR="00CF1699" w:rsidRPr="00CF1699">
        <w:rPr>
          <w:color w:val="1A1A1A"/>
        </w:rPr>
        <w:t>https://doi.org/10.1016/0165-1889(88)90041-3</w:t>
      </w:r>
    </w:p>
    <w:p w14:paraId="1A76DAD7" w14:textId="77777777" w:rsidR="00C52E79" w:rsidRDefault="00C52E79" w:rsidP="00C52E79">
      <w:pPr>
        <w:widowControl w:val="0"/>
        <w:autoSpaceDE w:val="0"/>
        <w:autoSpaceDN w:val="0"/>
        <w:adjustRightInd w:val="0"/>
        <w:spacing w:after="200" w:line="480" w:lineRule="auto"/>
        <w:rPr>
          <w:color w:val="000000" w:themeColor="text1"/>
          <w:shd w:val="clear" w:color="auto" w:fill="FFFFFF"/>
          <w:lang w:val="en-US"/>
        </w:rPr>
      </w:pPr>
    </w:p>
    <w:p w14:paraId="67FBE711" w14:textId="2DFB16E4" w:rsidR="00C52E79" w:rsidRDefault="005F7722" w:rsidP="00C52E79">
      <w:pPr>
        <w:widowControl w:val="0"/>
        <w:autoSpaceDE w:val="0"/>
        <w:autoSpaceDN w:val="0"/>
        <w:adjustRightInd w:val="0"/>
        <w:spacing w:after="200" w:line="480" w:lineRule="auto"/>
        <w:rPr>
          <w:color w:val="000000" w:themeColor="text1"/>
          <w:shd w:val="clear" w:color="auto" w:fill="FFFFFF"/>
          <w:lang w:val="en-US"/>
        </w:rPr>
      </w:pPr>
      <w:r w:rsidRPr="00CF1699">
        <w:rPr>
          <w:color w:val="000000" w:themeColor="text1"/>
          <w:shd w:val="clear" w:color="auto" w:fill="FFFFFF"/>
          <w:lang w:val="en-US"/>
        </w:rPr>
        <w:t xml:space="preserve">Johansen, S., </w:t>
      </w:r>
      <w:r w:rsidR="00F2198B">
        <w:rPr>
          <w:color w:val="000000" w:themeColor="text1"/>
          <w:shd w:val="clear" w:color="auto" w:fill="FFFFFF"/>
          <w:lang w:val="en-US"/>
        </w:rPr>
        <w:t>&amp; Juselius, K. (1990). Maximum Likelihood Estimation and Inference on Cointegration with Applications to the Demand for M</w:t>
      </w:r>
      <w:r w:rsidRPr="00CF1699">
        <w:rPr>
          <w:color w:val="000000" w:themeColor="text1"/>
          <w:shd w:val="clear" w:color="auto" w:fill="FFFFFF"/>
          <w:lang w:val="en-US"/>
        </w:rPr>
        <w:t xml:space="preserve">oney. Oxford Bulletin of Economics and Statistics, 52, 169-210. </w:t>
      </w:r>
      <w:r w:rsidR="00EE6296">
        <w:rPr>
          <w:color w:val="000000" w:themeColor="text1"/>
          <w:shd w:val="clear" w:color="auto" w:fill="FFFFFF"/>
          <w:lang w:val="en-US"/>
        </w:rPr>
        <w:t xml:space="preserve">    </w:t>
      </w:r>
      <w:r w:rsidR="00C52E79">
        <w:rPr>
          <w:color w:val="000000" w:themeColor="text1"/>
          <w:shd w:val="clear" w:color="auto" w:fill="FFFFFF"/>
          <w:lang w:val="en-US"/>
        </w:rPr>
        <w:t xml:space="preserve">                                         </w:t>
      </w:r>
      <w:r w:rsidR="00C52E79" w:rsidRPr="00C52E79">
        <w:rPr>
          <w:color w:val="000000" w:themeColor="text1"/>
          <w:shd w:val="clear" w:color="auto" w:fill="FFFFFF"/>
          <w:lang w:val="en-US"/>
        </w:rPr>
        <w:t>https://doi.org/10.1080/09603107.2014.941530</w:t>
      </w:r>
      <w:r w:rsidR="00EE6296">
        <w:rPr>
          <w:color w:val="000000" w:themeColor="text1"/>
          <w:shd w:val="clear" w:color="auto" w:fill="FFFFFF"/>
          <w:lang w:val="en-US"/>
        </w:rPr>
        <w:t xml:space="preserve">          </w:t>
      </w:r>
      <w:r w:rsidR="00C52E79">
        <w:rPr>
          <w:color w:val="000000" w:themeColor="text1"/>
          <w:shd w:val="clear" w:color="auto" w:fill="FFFFFF"/>
          <w:lang w:val="en-US"/>
        </w:rPr>
        <w:t xml:space="preserve">                        </w:t>
      </w:r>
    </w:p>
    <w:p w14:paraId="7C068310" w14:textId="61B5BCA8" w:rsidR="005F7722" w:rsidRPr="00CF1699" w:rsidRDefault="005F7722" w:rsidP="004F2F36">
      <w:pPr>
        <w:widowControl w:val="0"/>
        <w:autoSpaceDE w:val="0"/>
        <w:autoSpaceDN w:val="0"/>
        <w:adjustRightInd w:val="0"/>
        <w:spacing w:after="200" w:line="480" w:lineRule="auto"/>
        <w:rPr>
          <w:color w:val="222222"/>
          <w:kern w:val="2"/>
          <w:u w:val="single"/>
          <w:shd w:val="clear" w:color="auto" w:fill="FFFFFF"/>
        </w:rPr>
      </w:pPr>
      <w:r w:rsidRPr="00CF1699">
        <w:rPr>
          <w:color w:val="000000" w:themeColor="text1"/>
          <w:shd w:val="clear" w:color="auto" w:fill="FFFFFF"/>
          <w:lang w:val="en-US"/>
        </w:rPr>
        <w:t>Krause, T., Ehsani, S</w:t>
      </w:r>
      <w:r w:rsidR="00F2198B">
        <w:rPr>
          <w:color w:val="000000" w:themeColor="text1"/>
          <w:shd w:val="clear" w:color="auto" w:fill="FFFFFF"/>
          <w:lang w:val="en-US"/>
        </w:rPr>
        <w:t>., &amp; Lien, D. (</w:t>
      </w:r>
      <w:r w:rsidR="00F2198B" w:rsidRPr="00FF34E7">
        <w:rPr>
          <w:color w:val="000000" w:themeColor="text1"/>
          <w:shd w:val="clear" w:color="auto" w:fill="FFFFFF"/>
          <w:lang w:val="en-US"/>
        </w:rPr>
        <w:t>2014).</w:t>
      </w:r>
      <w:r w:rsidR="00F2198B">
        <w:rPr>
          <w:color w:val="000000" w:themeColor="text1"/>
          <w:shd w:val="clear" w:color="auto" w:fill="FFFFFF"/>
          <w:lang w:val="en-US"/>
        </w:rPr>
        <w:t xml:space="preserve"> Exchange-Traded Funds, Liquidity and V</w:t>
      </w:r>
      <w:r w:rsidRPr="00CF1699">
        <w:rPr>
          <w:color w:val="000000" w:themeColor="text1"/>
          <w:shd w:val="clear" w:color="auto" w:fill="FFFFFF"/>
          <w:lang w:val="en-US"/>
        </w:rPr>
        <w:t>olatility. Applied Financial Economics, 24(24), 1617-1630.</w:t>
      </w:r>
      <w:r w:rsidR="009E5CCC" w:rsidRPr="00CF1699">
        <w:t xml:space="preserve"> </w:t>
      </w:r>
      <w:r w:rsidR="009E5CCC" w:rsidRPr="00CF1699">
        <w:rPr>
          <w:color w:val="000000" w:themeColor="text1"/>
          <w:shd w:val="clear" w:color="auto" w:fill="FFFFFF"/>
          <w:lang w:val="en-US"/>
        </w:rPr>
        <w:t>https://doi.org/10.1080/09603107.2014.941530</w:t>
      </w:r>
    </w:p>
    <w:p w14:paraId="228C9795" w14:textId="1C35386A" w:rsidR="005F7722"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CF1699">
        <w:rPr>
          <w:rFonts w:ascii="Times New Roman" w:hAnsi="Times New Roman" w:cs="Times New Roman"/>
          <w:b w:val="0"/>
          <w:color w:val="000000" w:themeColor="text1"/>
          <w:sz w:val="24"/>
          <w:szCs w:val="24"/>
          <w:shd w:val="clear" w:color="auto" w:fill="FFFFFF"/>
          <w:lang w:val="en-US"/>
        </w:rPr>
        <w:t>Madhavan, A</w:t>
      </w:r>
      <w:r w:rsidR="00F2198B">
        <w:rPr>
          <w:rFonts w:ascii="Times New Roman" w:hAnsi="Times New Roman" w:cs="Times New Roman"/>
          <w:b w:val="0"/>
          <w:color w:val="000000" w:themeColor="text1"/>
          <w:sz w:val="24"/>
          <w:szCs w:val="24"/>
          <w:shd w:val="clear" w:color="auto" w:fill="FFFFFF"/>
          <w:lang w:val="en-US"/>
        </w:rPr>
        <w:t xml:space="preserve">. and Sobczyk A. (2016). </w:t>
      </w:r>
      <w:r w:rsidR="00F2198B" w:rsidRPr="00FE5841">
        <w:rPr>
          <w:rFonts w:ascii="Times New Roman" w:hAnsi="Times New Roman" w:cs="Times New Roman"/>
          <w:b w:val="0"/>
          <w:color w:val="000000" w:themeColor="text1"/>
          <w:sz w:val="24"/>
          <w:szCs w:val="24"/>
          <w:shd w:val="clear" w:color="auto" w:fill="FFFFFF"/>
          <w:lang w:val="en-US"/>
        </w:rPr>
        <w:t>Price</w:t>
      </w:r>
      <w:r w:rsidR="00F2198B">
        <w:rPr>
          <w:rFonts w:ascii="Times New Roman" w:hAnsi="Times New Roman" w:cs="Times New Roman"/>
          <w:b w:val="0"/>
          <w:color w:val="000000" w:themeColor="text1"/>
          <w:sz w:val="24"/>
          <w:szCs w:val="24"/>
          <w:shd w:val="clear" w:color="auto" w:fill="FFFFFF"/>
          <w:lang w:val="en-US"/>
        </w:rPr>
        <w:t xml:space="preserve"> Dynamics and Liquidity of Exchange-Traded F</w:t>
      </w:r>
      <w:r w:rsidRPr="00CF1699">
        <w:rPr>
          <w:rFonts w:ascii="Times New Roman" w:hAnsi="Times New Roman" w:cs="Times New Roman"/>
          <w:b w:val="0"/>
          <w:color w:val="000000" w:themeColor="text1"/>
          <w:sz w:val="24"/>
          <w:szCs w:val="24"/>
          <w:shd w:val="clear" w:color="auto" w:fill="FFFFFF"/>
          <w:lang w:val="en-US"/>
        </w:rPr>
        <w:t>unds. Journal of Investment Management, 14(2), 1-17.</w:t>
      </w:r>
    </w:p>
    <w:p w14:paraId="437C8A31" w14:textId="0FB329AF" w:rsidR="00441ED2" w:rsidRPr="00441ED2" w:rsidRDefault="00441ED2" w:rsidP="00F2198B">
      <w:pPr>
        <w:spacing w:line="360" w:lineRule="auto"/>
        <w:rPr>
          <w:lang w:val="en-US"/>
        </w:rPr>
      </w:pPr>
      <w:r w:rsidRPr="00441ED2">
        <w:rPr>
          <w:lang w:val="en-US"/>
        </w:rPr>
        <w:t>https://dx.doi.org/10.2139/ssrn.2429509</w:t>
      </w:r>
    </w:p>
    <w:p w14:paraId="42AA991B" w14:textId="2665C819" w:rsidR="005F7722" w:rsidRPr="00587A10" w:rsidRDefault="00F2198B" w:rsidP="00F2198B">
      <w:pPr>
        <w:pStyle w:val="Heading1"/>
        <w:spacing w:line="480" w:lineRule="auto"/>
      </w:pPr>
      <w:r>
        <w:rPr>
          <w:rFonts w:ascii="Times New Roman" w:hAnsi="Times New Roman" w:cs="Times New Roman"/>
          <w:b w:val="0"/>
          <w:color w:val="000000" w:themeColor="text1"/>
          <w:sz w:val="24"/>
          <w:szCs w:val="24"/>
          <w:shd w:val="clear" w:color="auto" w:fill="FFFFFF"/>
          <w:lang w:val="en-US"/>
        </w:rPr>
        <w:t>Martens, M. (1998). Price Discovery in High and Low Volatility P</w:t>
      </w:r>
      <w:r w:rsidR="005F7722" w:rsidRPr="00CF1699">
        <w:rPr>
          <w:rFonts w:ascii="Times New Roman" w:hAnsi="Times New Roman" w:cs="Times New Roman"/>
          <w:b w:val="0"/>
          <w:color w:val="000000" w:themeColor="text1"/>
          <w:sz w:val="24"/>
          <w:szCs w:val="24"/>
          <w:shd w:val="clear" w:color="auto" w:fill="FFFFFF"/>
          <w:lang w:val="en-US"/>
        </w:rPr>
        <w:t>eriods</w:t>
      </w:r>
      <w:r>
        <w:rPr>
          <w:rFonts w:ascii="Times New Roman" w:hAnsi="Times New Roman" w:cs="Times New Roman"/>
          <w:b w:val="0"/>
          <w:color w:val="000000" w:themeColor="text1"/>
          <w:sz w:val="24"/>
          <w:szCs w:val="24"/>
          <w:shd w:val="clear" w:color="auto" w:fill="FFFFFF"/>
          <w:lang w:val="en-US"/>
        </w:rPr>
        <w:t>: Open Outcry Versus Electronic T</w:t>
      </w:r>
      <w:r w:rsidR="005F7722" w:rsidRPr="00246E63">
        <w:rPr>
          <w:rFonts w:ascii="Times New Roman" w:hAnsi="Times New Roman" w:cs="Times New Roman"/>
          <w:b w:val="0"/>
          <w:color w:val="000000" w:themeColor="text1"/>
          <w:sz w:val="24"/>
          <w:szCs w:val="24"/>
          <w:shd w:val="clear" w:color="auto" w:fill="FFFFFF"/>
          <w:lang w:val="en-US"/>
        </w:rPr>
        <w:t>rading. Journal of International Financial Markets, Institutions and Money, 8(3), 243-260.</w:t>
      </w:r>
      <w:r w:rsidR="0022341D" w:rsidRPr="0022341D">
        <w:t xml:space="preserve"> </w:t>
      </w:r>
      <w:r w:rsidR="00587A10">
        <w:t xml:space="preserve">                                                                                 </w:t>
      </w:r>
      <w:r w:rsidR="0022341D" w:rsidRPr="0022341D">
        <w:rPr>
          <w:rFonts w:ascii="Times New Roman" w:hAnsi="Times New Roman" w:cs="Times New Roman"/>
          <w:b w:val="0"/>
          <w:color w:val="000000" w:themeColor="text1"/>
          <w:sz w:val="24"/>
          <w:szCs w:val="24"/>
          <w:shd w:val="clear" w:color="auto" w:fill="FFFFFF"/>
          <w:lang w:val="en-US"/>
        </w:rPr>
        <w:t>https://doi.org/10.1016/S1042-4431(98)00044-4</w:t>
      </w:r>
    </w:p>
    <w:p w14:paraId="628776FC" w14:textId="1197EC5D"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rPr>
      </w:pPr>
      <w:r w:rsidRPr="00CF1699">
        <w:rPr>
          <w:rFonts w:ascii="Times New Roman" w:hAnsi="Times New Roman" w:cs="Times New Roman"/>
          <w:b w:val="0"/>
          <w:color w:val="000000" w:themeColor="text1"/>
          <w:sz w:val="24"/>
          <w:szCs w:val="24"/>
          <w:shd w:val="clear" w:color="auto" w:fill="FFFFFF"/>
          <w:lang w:val="en-US"/>
        </w:rPr>
        <w:t>Pizzi, M., A. Economopou</w:t>
      </w:r>
      <w:r w:rsidR="00F2198B">
        <w:rPr>
          <w:rFonts w:ascii="Times New Roman" w:hAnsi="Times New Roman" w:cs="Times New Roman"/>
          <w:b w:val="0"/>
          <w:color w:val="000000" w:themeColor="text1"/>
          <w:sz w:val="24"/>
          <w:szCs w:val="24"/>
          <w:shd w:val="clear" w:color="auto" w:fill="FFFFFF"/>
          <w:lang w:val="en-US"/>
        </w:rPr>
        <w:t>los and H. O'Neill. (1998). An Estimation of the R</w:t>
      </w:r>
      <w:r w:rsidRPr="00CF1699">
        <w:rPr>
          <w:rFonts w:ascii="Times New Roman" w:hAnsi="Times New Roman" w:cs="Times New Roman"/>
          <w:b w:val="0"/>
          <w:color w:val="000000" w:themeColor="text1"/>
          <w:sz w:val="24"/>
          <w:szCs w:val="24"/>
          <w:shd w:val="clear" w:color="auto" w:fill="FFFFFF"/>
          <w:lang w:val="en-US"/>
        </w:rPr>
        <w:t xml:space="preserve">elationship </w:t>
      </w:r>
      <w:r w:rsidR="00F2198B">
        <w:rPr>
          <w:rFonts w:ascii="Times New Roman" w:hAnsi="Times New Roman" w:cs="Times New Roman"/>
          <w:b w:val="0"/>
          <w:color w:val="000000" w:themeColor="text1"/>
          <w:sz w:val="24"/>
          <w:szCs w:val="24"/>
          <w:shd w:val="clear" w:color="auto" w:fill="FFFFFF"/>
          <w:lang w:val="en-US"/>
        </w:rPr>
        <w:t>Between Stock Index Cash and Futures Markets: A Cointegration A</w:t>
      </w:r>
      <w:r w:rsidRPr="00CF1699">
        <w:rPr>
          <w:rFonts w:ascii="Times New Roman" w:hAnsi="Times New Roman" w:cs="Times New Roman"/>
          <w:b w:val="0"/>
          <w:color w:val="000000" w:themeColor="text1"/>
          <w:sz w:val="24"/>
          <w:szCs w:val="24"/>
          <w:shd w:val="clear" w:color="auto" w:fill="FFFFFF"/>
          <w:lang w:val="en-US"/>
        </w:rPr>
        <w:t xml:space="preserve">pproach. Journal of Futures Markets, 18, 297-305. </w:t>
      </w:r>
      <w:r w:rsidR="00587A10">
        <w:rPr>
          <w:rFonts w:ascii="Times New Roman" w:hAnsi="Times New Roman" w:cs="Times New Roman"/>
          <w:b w:val="0"/>
          <w:color w:val="000000" w:themeColor="text1"/>
          <w:sz w:val="24"/>
          <w:szCs w:val="24"/>
          <w:shd w:val="clear" w:color="auto" w:fill="FFFFFF"/>
          <w:lang w:val="en-US"/>
        </w:rPr>
        <w:t xml:space="preserve">                                                          </w:t>
      </w:r>
      <w:r w:rsidR="0022341D" w:rsidRPr="00CF1699">
        <w:rPr>
          <w:rFonts w:ascii="Times New Roman" w:hAnsi="Times New Roman" w:cs="Times New Roman"/>
          <w:b w:val="0"/>
          <w:color w:val="000000" w:themeColor="text1"/>
          <w:sz w:val="24"/>
          <w:szCs w:val="24"/>
          <w:shd w:val="clear" w:color="auto" w:fill="FFFFFF"/>
          <w:lang w:val="en-US"/>
        </w:rPr>
        <w:t>https://doi.org/10.1002/(SICI)1096-9934(199805)18:3%3C297::AID-FUT4%3E3.0.CO;2-3</w:t>
      </w:r>
    </w:p>
    <w:p w14:paraId="6CC14309" w14:textId="4B6CED0C" w:rsidR="005F7722" w:rsidRPr="00CF1699"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 xml:space="preserve">Schlusche, B. (2009). </w:t>
      </w:r>
      <w:r w:rsidR="008444B9">
        <w:rPr>
          <w:rFonts w:ascii="Times New Roman" w:hAnsi="Times New Roman" w:cs="Times New Roman"/>
          <w:b w:val="0"/>
          <w:color w:val="000000" w:themeColor="text1"/>
          <w:sz w:val="24"/>
          <w:szCs w:val="24"/>
          <w:shd w:val="clear" w:color="auto" w:fill="FFFFFF"/>
          <w:lang w:val="en-US"/>
        </w:rPr>
        <w:t>Price Formation in Spot and Futures Markets: Exchange T</w:t>
      </w:r>
      <w:r w:rsidRPr="00CF1699">
        <w:rPr>
          <w:rFonts w:ascii="Times New Roman" w:hAnsi="Times New Roman" w:cs="Times New Roman"/>
          <w:b w:val="0"/>
          <w:color w:val="000000" w:themeColor="text1"/>
          <w:sz w:val="24"/>
          <w:szCs w:val="24"/>
          <w:shd w:val="clear" w:color="auto" w:fill="FFFFFF"/>
          <w:lang w:val="en-US"/>
        </w:rPr>
        <w:t xml:space="preserve">raded </w:t>
      </w:r>
      <w:r w:rsidR="008444B9">
        <w:rPr>
          <w:rFonts w:ascii="Times New Roman" w:hAnsi="Times New Roman" w:cs="Times New Roman"/>
          <w:b w:val="0"/>
          <w:color w:val="000000" w:themeColor="text1"/>
          <w:sz w:val="24"/>
          <w:szCs w:val="24"/>
          <w:shd w:val="clear" w:color="auto" w:fill="FFFFFF"/>
          <w:lang w:val="en-US"/>
        </w:rPr>
        <w:t>Funds vs. Index F</w:t>
      </w:r>
      <w:r w:rsidRPr="00CF1699">
        <w:rPr>
          <w:rFonts w:ascii="Times New Roman" w:hAnsi="Times New Roman" w:cs="Times New Roman"/>
          <w:b w:val="0"/>
          <w:color w:val="000000" w:themeColor="text1"/>
          <w:sz w:val="24"/>
          <w:szCs w:val="24"/>
          <w:shd w:val="clear" w:color="auto" w:fill="FFFFFF"/>
          <w:lang w:val="en-US"/>
        </w:rPr>
        <w:t>utures. Index Futures (October 5, 2009).</w:t>
      </w:r>
      <w:r w:rsidR="0022341D" w:rsidRPr="00CF1699">
        <w:t xml:space="preserve"> </w:t>
      </w:r>
      <w:r w:rsidR="00587A10">
        <w:t xml:space="preserve">        </w:t>
      </w:r>
      <w:r w:rsidR="0022341D" w:rsidRPr="00CF1699">
        <w:rPr>
          <w:rFonts w:ascii="Times New Roman" w:hAnsi="Times New Roman" w:cs="Times New Roman"/>
          <w:b w:val="0"/>
          <w:color w:val="000000" w:themeColor="text1"/>
          <w:sz w:val="24"/>
          <w:szCs w:val="24"/>
          <w:shd w:val="clear" w:color="auto" w:fill="FFFFFF"/>
          <w:lang w:val="en-US"/>
        </w:rPr>
        <w:t>https://doi.org/10.3905/JOD.2009.17.2.026</w:t>
      </w:r>
    </w:p>
    <w:p w14:paraId="39965EA7" w14:textId="77777777" w:rsidR="00CF1699" w:rsidRDefault="00CF1699" w:rsidP="00246E63">
      <w:pPr>
        <w:widowControl w:val="0"/>
        <w:autoSpaceDE w:val="0"/>
        <w:autoSpaceDN w:val="0"/>
        <w:adjustRightInd w:val="0"/>
        <w:spacing w:after="200" w:line="480" w:lineRule="auto"/>
        <w:jc w:val="both"/>
        <w:rPr>
          <w:rFonts w:eastAsiaTheme="majorEastAsia"/>
          <w:bCs/>
          <w:color w:val="000000" w:themeColor="text1"/>
          <w:shd w:val="clear" w:color="auto" w:fill="FFFFFF"/>
          <w:lang w:val="en-US"/>
        </w:rPr>
      </w:pPr>
    </w:p>
    <w:p w14:paraId="1DB5551D" w14:textId="19D3A838" w:rsidR="004F2F36" w:rsidRDefault="001C7733" w:rsidP="004F2F36">
      <w:pPr>
        <w:widowControl w:val="0"/>
        <w:autoSpaceDE w:val="0"/>
        <w:autoSpaceDN w:val="0"/>
        <w:adjustRightInd w:val="0"/>
        <w:spacing w:after="200" w:line="480" w:lineRule="auto"/>
        <w:jc w:val="both"/>
        <w:rPr>
          <w:color w:val="1A1A1A"/>
        </w:rPr>
      </w:pPr>
      <w:r w:rsidRPr="00CF1699">
        <w:rPr>
          <w:color w:val="1A1A1A"/>
        </w:rPr>
        <w:t>Stock, J. H., &amp; Watson, M</w:t>
      </w:r>
      <w:r w:rsidR="008444B9">
        <w:rPr>
          <w:color w:val="1A1A1A"/>
        </w:rPr>
        <w:t>. W. (1988). Testing for Common T</w:t>
      </w:r>
      <w:r w:rsidRPr="00246E63">
        <w:rPr>
          <w:color w:val="1A1A1A"/>
        </w:rPr>
        <w:t xml:space="preserve">rends. </w:t>
      </w:r>
      <w:r w:rsidRPr="00246E63">
        <w:rPr>
          <w:iCs/>
          <w:color w:val="1A1A1A"/>
        </w:rPr>
        <w:t>Journal of the American Statistical Association</w:t>
      </w:r>
      <w:r w:rsidRPr="00246E63">
        <w:rPr>
          <w:color w:val="1A1A1A"/>
        </w:rPr>
        <w:t xml:space="preserve">, </w:t>
      </w:r>
      <w:r w:rsidRPr="00246E63">
        <w:rPr>
          <w:iCs/>
          <w:color w:val="1A1A1A"/>
        </w:rPr>
        <w:t>83</w:t>
      </w:r>
      <w:r w:rsidRPr="00246E63">
        <w:rPr>
          <w:color w:val="1A1A1A"/>
        </w:rPr>
        <w:t>, 1097-1107.</w:t>
      </w:r>
    </w:p>
    <w:p w14:paraId="17FBE8AF" w14:textId="77777777" w:rsidR="004F2F36" w:rsidRDefault="004F2F36" w:rsidP="004F2F36">
      <w:pPr>
        <w:widowControl w:val="0"/>
        <w:autoSpaceDE w:val="0"/>
        <w:autoSpaceDN w:val="0"/>
        <w:adjustRightInd w:val="0"/>
        <w:spacing w:after="200" w:line="480" w:lineRule="auto"/>
        <w:jc w:val="both"/>
        <w:rPr>
          <w:color w:val="1A1A1A"/>
        </w:rPr>
      </w:pPr>
    </w:p>
    <w:p w14:paraId="293245B6" w14:textId="7FF618E0" w:rsidR="004F2F36" w:rsidRPr="004F2F36" w:rsidRDefault="005F7722" w:rsidP="00587A10">
      <w:pPr>
        <w:widowControl w:val="0"/>
        <w:autoSpaceDE w:val="0"/>
        <w:autoSpaceDN w:val="0"/>
        <w:adjustRightInd w:val="0"/>
        <w:spacing w:after="200" w:line="480" w:lineRule="auto"/>
        <w:rPr>
          <w:color w:val="000000" w:themeColor="text1"/>
          <w:shd w:val="clear" w:color="auto" w:fill="FFFFFF"/>
          <w:lang w:val="en-US"/>
        </w:rPr>
      </w:pPr>
      <w:r w:rsidRPr="004F2F36">
        <w:rPr>
          <w:color w:val="000000" w:themeColor="text1"/>
          <w:shd w:val="clear" w:color="auto" w:fill="FFFFFF"/>
          <w:lang w:val="en-US"/>
        </w:rPr>
        <w:t>Stol</w:t>
      </w:r>
      <w:r w:rsidR="006D0F98">
        <w:rPr>
          <w:color w:val="000000" w:themeColor="text1"/>
          <w:shd w:val="clear" w:color="auto" w:fill="FFFFFF"/>
          <w:lang w:val="en-US"/>
        </w:rPr>
        <w:t>l, H. R., &amp; Whaley, R. E. (1990</w:t>
      </w:r>
      <w:r w:rsidR="008444B9">
        <w:rPr>
          <w:color w:val="000000" w:themeColor="text1"/>
          <w:shd w:val="clear" w:color="auto" w:fill="FFFFFF"/>
          <w:lang w:val="en-US"/>
        </w:rPr>
        <w:t>). The Dynamics of Stock Index and Stock Index Futures R</w:t>
      </w:r>
      <w:r w:rsidRPr="004F2F36">
        <w:rPr>
          <w:color w:val="000000" w:themeColor="text1"/>
          <w:shd w:val="clear" w:color="auto" w:fill="FFFFFF"/>
          <w:lang w:val="en-US"/>
        </w:rPr>
        <w:t xml:space="preserve">eturns. Journal of Financial and Quantitative Analysis, 25(04), 441-468.  </w:t>
      </w:r>
      <w:r w:rsidR="00587A10">
        <w:rPr>
          <w:color w:val="000000" w:themeColor="text1"/>
          <w:shd w:val="clear" w:color="auto" w:fill="FFFFFF"/>
          <w:lang w:val="en-US"/>
        </w:rPr>
        <w:t xml:space="preserve">                         </w:t>
      </w:r>
      <w:r w:rsidRPr="004F2F36">
        <w:rPr>
          <w:color w:val="000000" w:themeColor="text1"/>
          <w:shd w:val="clear" w:color="auto" w:fill="FFFFFF"/>
          <w:lang w:val="en-US"/>
        </w:rPr>
        <w:t>DOI: 10.2307/2331010</w:t>
      </w:r>
    </w:p>
    <w:p w14:paraId="5BE22E88" w14:textId="77777777" w:rsidR="004F2F36" w:rsidRDefault="004F2F36" w:rsidP="004F2F36">
      <w:pPr>
        <w:widowControl w:val="0"/>
        <w:autoSpaceDE w:val="0"/>
        <w:autoSpaceDN w:val="0"/>
        <w:adjustRightInd w:val="0"/>
        <w:spacing w:after="200" w:line="480" w:lineRule="auto"/>
        <w:jc w:val="both"/>
        <w:rPr>
          <w:b/>
          <w:color w:val="000000" w:themeColor="text1"/>
          <w:shd w:val="clear" w:color="auto" w:fill="FFFFFF"/>
          <w:lang w:val="en-US"/>
        </w:rPr>
      </w:pPr>
    </w:p>
    <w:p w14:paraId="5848A61E" w14:textId="5C7C536C" w:rsidR="004F2F36" w:rsidRPr="004F2F36" w:rsidRDefault="005F7722" w:rsidP="00587A10">
      <w:pPr>
        <w:widowControl w:val="0"/>
        <w:autoSpaceDE w:val="0"/>
        <w:autoSpaceDN w:val="0"/>
        <w:adjustRightInd w:val="0"/>
        <w:spacing w:after="200" w:line="480" w:lineRule="auto"/>
        <w:rPr>
          <w:color w:val="000000" w:themeColor="text1"/>
          <w:shd w:val="clear" w:color="auto" w:fill="FFFFFF"/>
          <w:lang w:val="en-US"/>
        </w:rPr>
      </w:pPr>
      <w:r w:rsidRPr="004F2F36">
        <w:rPr>
          <w:color w:val="000000" w:themeColor="text1"/>
          <w:shd w:val="clear" w:color="auto" w:fill="FFFFFF"/>
          <w:lang w:val="en-US"/>
        </w:rPr>
        <w:t>Shyy, G., Vijayraghavan, V., &amp; Scott</w:t>
      </w:r>
      <w:r w:rsidRPr="004F2F36">
        <w:rPr>
          <w:rFonts w:ascii="Cambria Math" w:hAnsi="Cambria Math" w:cs="Cambria Math"/>
          <w:color w:val="000000" w:themeColor="text1"/>
          <w:shd w:val="clear" w:color="auto" w:fill="FFFFFF"/>
          <w:lang w:val="en-US"/>
        </w:rPr>
        <w:t>‐</w:t>
      </w:r>
      <w:r w:rsidR="00F556D2">
        <w:rPr>
          <w:color w:val="000000" w:themeColor="text1"/>
          <w:shd w:val="clear" w:color="auto" w:fill="FFFFFF"/>
          <w:lang w:val="en-US"/>
        </w:rPr>
        <w:t>Quinn, B. (1996). A Further Investigation of the L</w:t>
      </w:r>
      <w:r w:rsidRPr="004F2F36">
        <w:rPr>
          <w:color w:val="000000" w:themeColor="text1"/>
          <w:shd w:val="clear" w:color="auto" w:fill="FFFFFF"/>
          <w:lang w:val="en-US"/>
        </w:rPr>
        <w:t>ead</w:t>
      </w:r>
      <w:r w:rsidRPr="004F2F36">
        <w:rPr>
          <w:rFonts w:ascii="Cambria Math" w:hAnsi="Cambria Math" w:cs="Cambria Math"/>
          <w:color w:val="000000" w:themeColor="text1"/>
          <w:shd w:val="clear" w:color="auto" w:fill="FFFFFF"/>
          <w:lang w:val="en-US"/>
        </w:rPr>
        <w:t>‐</w:t>
      </w:r>
      <w:r w:rsidR="00F556D2">
        <w:rPr>
          <w:color w:val="000000" w:themeColor="text1"/>
          <w:shd w:val="clear" w:color="auto" w:fill="FFFFFF"/>
          <w:lang w:val="en-US"/>
        </w:rPr>
        <w:t xml:space="preserve">lag Relationship Between the Cash Market </w:t>
      </w:r>
      <w:r w:rsidR="008444B9">
        <w:rPr>
          <w:color w:val="000000" w:themeColor="text1"/>
          <w:shd w:val="clear" w:color="auto" w:fill="FFFFFF"/>
          <w:lang w:val="en-US"/>
        </w:rPr>
        <w:t>and Stock Index Futures Market W</w:t>
      </w:r>
      <w:r w:rsidR="00F556D2">
        <w:rPr>
          <w:color w:val="000000" w:themeColor="text1"/>
          <w:shd w:val="clear" w:color="auto" w:fill="FFFFFF"/>
          <w:lang w:val="en-US"/>
        </w:rPr>
        <w:t>ith the Use o</w:t>
      </w:r>
      <w:r w:rsidR="008444B9">
        <w:rPr>
          <w:color w:val="000000" w:themeColor="text1"/>
          <w:shd w:val="clear" w:color="auto" w:fill="FFFFFF"/>
          <w:lang w:val="en-US"/>
        </w:rPr>
        <w:t>f Bid/a</w:t>
      </w:r>
      <w:r w:rsidR="00F556D2">
        <w:rPr>
          <w:color w:val="000000" w:themeColor="text1"/>
          <w:shd w:val="clear" w:color="auto" w:fill="FFFFFF"/>
          <w:lang w:val="en-US"/>
        </w:rPr>
        <w:t>sk Q</w:t>
      </w:r>
      <w:r w:rsidR="008444B9">
        <w:rPr>
          <w:color w:val="000000" w:themeColor="text1"/>
          <w:shd w:val="clear" w:color="auto" w:fill="FFFFFF"/>
          <w:lang w:val="en-US"/>
        </w:rPr>
        <w:t>uotes: The C</w:t>
      </w:r>
      <w:r w:rsidRPr="004F2F36">
        <w:rPr>
          <w:color w:val="000000" w:themeColor="text1"/>
          <w:shd w:val="clear" w:color="auto" w:fill="FFFFFF"/>
          <w:lang w:val="en-US"/>
        </w:rPr>
        <w:t>ase of France. Journal of Futures Markets, 16(4), 405-420.</w:t>
      </w:r>
      <w:r w:rsidR="00705993" w:rsidRPr="004F2F36">
        <w:rPr>
          <w:color w:val="000000" w:themeColor="text1"/>
          <w:shd w:val="clear" w:color="auto" w:fill="FFFFFF"/>
          <w:lang w:val="en-US"/>
        </w:rPr>
        <w:t xml:space="preserve"> </w:t>
      </w:r>
      <w:r w:rsidR="004F2F36" w:rsidRPr="004F2F36">
        <w:rPr>
          <w:color w:val="000000" w:themeColor="text1"/>
          <w:shd w:val="clear" w:color="auto" w:fill="FFFFFF"/>
          <w:lang w:val="en-US"/>
        </w:rPr>
        <w:t>https://doi.org/10.1002/(SICI)1096-9934(199904)19:2%3C217::AID-FUT5%3E3.0.CO;2-8</w:t>
      </w:r>
    </w:p>
    <w:p w14:paraId="4DE5C0F1" w14:textId="77777777" w:rsidR="004F2F36" w:rsidRDefault="004F2F36" w:rsidP="004F2F36">
      <w:pPr>
        <w:widowControl w:val="0"/>
        <w:autoSpaceDE w:val="0"/>
        <w:autoSpaceDN w:val="0"/>
        <w:adjustRightInd w:val="0"/>
        <w:spacing w:after="200" w:line="480" w:lineRule="auto"/>
        <w:jc w:val="both"/>
        <w:rPr>
          <w:b/>
          <w:color w:val="000000" w:themeColor="text1"/>
          <w:shd w:val="clear" w:color="auto" w:fill="FFFFFF"/>
          <w:lang w:val="en-US"/>
        </w:rPr>
      </w:pPr>
    </w:p>
    <w:p w14:paraId="66EB8985" w14:textId="7DCA66E4" w:rsidR="00587A10" w:rsidRDefault="005F7722" w:rsidP="00587A10">
      <w:pPr>
        <w:widowControl w:val="0"/>
        <w:autoSpaceDE w:val="0"/>
        <w:autoSpaceDN w:val="0"/>
        <w:adjustRightInd w:val="0"/>
        <w:spacing w:after="200" w:line="480" w:lineRule="auto"/>
        <w:rPr>
          <w:color w:val="000000" w:themeColor="text1"/>
          <w:shd w:val="clear" w:color="auto" w:fill="FFFFFF"/>
          <w:lang w:val="en-US"/>
        </w:rPr>
      </w:pPr>
      <w:r w:rsidRPr="004F2F36">
        <w:rPr>
          <w:color w:val="000000" w:themeColor="text1"/>
          <w:shd w:val="clear" w:color="auto" w:fill="FFFFFF"/>
          <w:lang w:val="en-US"/>
        </w:rPr>
        <w:t xml:space="preserve">So, </w:t>
      </w:r>
      <w:r w:rsidR="00F556D2">
        <w:rPr>
          <w:color w:val="000000" w:themeColor="text1"/>
          <w:shd w:val="clear" w:color="auto" w:fill="FFFFFF"/>
          <w:lang w:val="en-US"/>
        </w:rPr>
        <w:t>R. W., &amp; Tse, Y. (2004). Price Discovery in the Hang Seng Index Markets: Index, Futures, and the Tracker F</w:t>
      </w:r>
      <w:r w:rsidRPr="004F2F36">
        <w:rPr>
          <w:color w:val="000000" w:themeColor="text1"/>
          <w:shd w:val="clear" w:color="auto" w:fill="FFFFFF"/>
          <w:lang w:val="en-US"/>
        </w:rPr>
        <w:t>und. Journal of Futures Markets, 24(9), 887-907.</w:t>
      </w:r>
      <w:r w:rsidR="00705993" w:rsidRPr="004F2F36">
        <w:rPr>
          <w:color w:val="000000" w:themeColor="text1"/>
          <w:shd w:val="clear" w:color="auto" w:fill="FFFFFF"/>
          <w:lang w:val="en-US"/>
        </w:rPr>
        <w:t xml:space="preserve"> </w:t>
      </w:r>
      <w:r w:rsidR="00587A10" w:rsidRPr="00441ED2">
        <w:rPr>
          <w:shd w:val="clear" w:color="auto" w:fill="FFFFFF"/>
          <w:lang w:val="en-US"/>
        </w:rPr>
        <w:t>https://doi.org/10.1002/fut.20112</w:t>
      </w:r>
    </w:p>
    <w:p w14:paraId="3153C3D6" w14:textId="77777777" w:rsidR="00587A10" w:rsidRDefault="00587A10" w:rsidP="00587A10">
      <w:pPr>
        <w:widowControl w:val="0"/>
        <w:autoSpaceDE w:val="0"/>
        <w:autoSpaceDN w:val="0"/>
        <w:adjustRightInd w:val="0"/>
        <w:spacing w:after="200" w:line="480" w:lineRule="auto"/>
        <w:rPr>
          <w:color w:val="000000" w:themeColor="text1"/>
          <w:shd w:val="clear" w:color="auto" w:fill="FFFFFF"/>
          <w:lang w:val="en-US"/>
        </w:rPr>
      </w:pPr>
    </w:p>
    <w:p w14:paraId="30010E9E" w14:textId="7DFADEFD" w:rsidR="00587A10" w:rsidRDefault="005F7722" w:rsidP="00587A10">
      <w:pPr>
        <w:widowControl w:val="0"/>
        <w:autoSpaceDE w:val="0"/>
        <w:autoSpaceDN w:val="0"/>
        <w:adjustRightInd w:val="0"/>
        <w:spacing w:after="200" w:line="480" w:lineRule="auto"/>
        <w:rPr>
          <w:color w:val="000000" w:themeColor="text1"/>
          <w:shd w:val="clear" w:color="auto" w:fill="FFFFFF"/>
          <w:lang w:val="en-US"/>
        </w:rPr>
      </w:pPr>
      <w:r w:rsidRPr="00587A10">
        <w:rPr>
          <w:color w:val="000000" w:themeColor="text1"/>
          <w:shd w:val="clear" w:color="auto" w:fill="FFFFFF"/>
          <w:lang w:val="en-US"/>
        </w:rPr>
        <w:t>Subrahmanyam,</w:t>
      </w:r>
      <w:r w:rsidR="00F556D2">
        <w:rPr>
          <w:color w:val="000000" w:themeColor="text1"/>
          <w:shd w:val="clear" w:color="auto" w:fill="FFFFFF"/>
          <w:lang w:val="en-US"/>
        </w:rPr>
        <w:t xml:space="preserve"> A. (1991). A Theory of Trading in Stock Index F</w:t>
      </w:r>
      <w:r w:rsidRPr="00587A10">
        <w:rPr>
          <w:color w:val="000000" w:themeColor="text1"/>
          <w:shd w:val="clear" w:color="auto" w:fill="FFFFFF"/>
          <w:lang w:val="en-US"/>
        </w:rPr>
        <w:t>utures. Review of Financial Studies, 4(1), 17-51.</w:t>
      </w:r>
      <w:r w:rsidR="00705993" w:rsidRPr="00587A10">
        <w:t xml:space="preserve"> </w:t>
      </w:r>
      <w:r w:rsidR="00587A10" w:rsidRPr="00587A10">
        <w:t xml:space="preserve">                                                             </w:t>
      </w:r>
      <w:r w:rsidR="00587A10" w:rsidRPr="00441ED2">
        <w:rPr>
          <w:shd w:val="clear" w:color="auto" w:fill="FFFFFF"/>
          <w:lang w:val="en-US"/>
        </w:rPr>
        <w:t>http://www.jstor.org/stable/2962083</w:t>
      </w:r>
    </w:p>
    <w:p w14:paraId="32FC4B7F" w14:textId="77777777" w:rsidR="00587A10" w:rsidRDefault="00587A10" w:rsidP="00587A10">
      <w:pPr>
        <w:widowControl w:val="0"/>
        <w:autoSpaceDE w:val="0"/>
        <w:autoSpaceDN w:val="0"/>
        <w:adjustRightInd w:val="0"/>
        <w:spacing w:after="200" w:line="480" w:lineRule="auto"/>
        <w:rPr>
          <w:color w:val="000000" w:themeColor="text1"/>
          <w:shd w:val="clear" w:color="auto" w:fill="FFFFFF"/>
          <w:lang w:val="en-US"/>
        </w:rPr>
      </w:pPr>
    </w:p>
    <w:p w14:paraId="7D65C08C" w14:textId="7AA2A85B" w:rsidR="005F7722" w:rsidRPr="00587A10" w:rsidRDefault="00F556D2" w:rsidP="00587A10">
      <w:pPr>
        <w:widowControl w:val="0"/>
        <w:autoSpaceDE w:val="0"/>
        <w:autoSpaceDN w:val="0"/>
        <w:adjustRightInd w:val="0"/>
        <w:spacing w:after="200" w:line="480" w:lineRule="auto"/>
        <w:rPr>
          <w:color w:val="222222"/>
          <w:kern w:val="2"/>
          <w:shd w:val="clear" w:color="auto" w:fill="FFFFFF"/>
        </w:rPr>
      </w:pPr>
      <w:r>
        <w:rPr>
          <w:color w:val="000000" w:themeColor="text1"/>
          <w:shd w:val="clear" w:color="auto" w:fill="FFFFFF"/>
          <w:lang w:val="en-US"/>
        </w:rPr>
        <w:t>Theissen, E. (2012). Price Discovery in Spot and Futures M</w:t>
      </w:r>
      <w:r w:rsidR="005F7722" w:rsidRPr="00587A10">
        <w:rPr>
          <w:color w:val="000000" w:themeColor="text1"/>
          <w:shd w:val="clear" w:color="auto" w:fill="FFFFFF"/>
          <w:lang w:val="en-US"/>
        </w:rPr>
        <w:t>ar</w:t>
      </w:r>
      <w:r>
        <w:rPr>
          <w:color w:val="000000" w:themeColor="text1"/>
          <w:shd w:val="clear" w:color="auto" w:fill="FFFFFF"/>
          <w:lang w:val="en-US"/>
        </w:rPr>
        <w:t>kets: A R</w:t>
      </w:r>
      <w:r w:rsidR="005F7722" w:rsidRPr="00587A10">
        <w:rPr>
          <w:color w:val="000000" w:themeColor="text1"/>
          <w:shd w:val="clear" w:color="auto" w:fill="FFFFFF"/>
          <w:lang w:val="en-US"/>
        </w:rPr>
        <w:t>econsideration. The European Journal of Finance, 18(10), 969-987.</w:t>
      </w:r>
      <w:r w:rsidR="00705993" w:rsidRPr="00587A10">
        <w:rPr>
          <w:color w:val="000000" w:themeColor="text1"/>
          <w:shd w:val="clear" w:color="auto" w:fill="FFFFFF"/>
          <w:lang w:val="en-US"/>
        </w:rPr>
        <w:t xml:space="preserve"> https://doi.org/10.1080/1351847X.2011.601643</w:t>
      </w:r>
    </w:p>
    <w:p w14:paraId="573010D5" w14:textId="465AAC5A" w:rsidR="005F7722" w:rsidRPr="00246E63" w:rsidRDefault="007673D8"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Pr>
          <w:rFonts w:ascii="Times New Roman" w:hAnsi="Times New Roman" w:cs="Times New Roman"/>
          <w:b w:val="0"/>
          <w:color w:val="000000" w:themeColor="text1"/>
          <w:sz w:val="24"/>
          <w:szCs w:val="24"/>
          <w:shd w:val="clear" w:color="auto" w:fill="FFFFFF"/>
          <w:lang w:val="en-US"/>
        </w:rPr>
        <w:t>Tse, Y. (2001). Index Arbitrage with Heterogeneous Investors: A Smooth Transition Error Correction A</w:t>
      </w:r>
      <w:r w:rsidR="005F7722" w:rsidRPr="00246E63">
        <w:rPr>
          <w:rFonts w:ascii="Times New Roman" w:hAnsi="Times New Roman" w:cs="Times New Roman"/>
          <w:b w:val="0"/>
          <w:color w:val="000000" w:themeColor="text1"/>
          <w:sz w:val="24"/>
          <w:szCs w:val="24"/>
          <w:shd w:val="clear" w:color="auto" w:fill="FFFFFF"/>
          <w:lang w:val="en-US"/>
        </w:rPr>
        <w:t>nalysis. Journal of Banking &amp; Finance, 25(10), 1829-1855.</w:t>
      </w:r>
      <w:r w:rsidR="00705993" w:rsidRPr="00246E63">
        <w:rPr>
          <w:rFonts w:ascii="Times New Roman" w:hAnsi="Times New Roman" w:cs="Times New Roman"/>
          <w:b w:val="0"/>
          <w:color w:val="000000" w:themeColor="text1"/>
          <w:sz w:val="24"/>
          <w:szCs w:val="24"/>
          <w:shd w:val="clear" w:color="auto" w:fill="FFFFFF"/>
          <w:lang w:val="en-US"/>
        </w:rPr>
        <w:t xml:space="preserve"> https://doi.org/10.1016/S0378-4266(00)00162-Xer</w:t>
      </w:r>
    </w:p>
    <w:p w14:paraId="00D86EDF" w14:textId="239D43B1"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 xml:space="preserve">Tse, Y., Bandyopadhyay, P., </w:t>
      </w:r>
      <w:r w:rsidR="007673D8">
        <w:rPr>
          <w:rFonts w:ascii="Times New Roman" w:hAnsi="Times New Roman" w:cs="Times New Roman"/>
          <w:b w:val="0"/>
          <w:color w:val="000000" w:themeColor="text1"/>
          <w:sz w:val="24"/>
          <w:szCs w:val="24"/>
          <w:shd w:val="clear" w:color="auto" w:fill="FFFFFF"/>
          <w:lang w:val="en-US"/>
        </w:rPr>
        <w:t>&amp; Shen, Y. P. (2006). Intraday Price Discovery in the DJIA Index M</w:t>
      </w:r>
      <w:r w:rsidRPr="00246E63">
        <w:rPr>
          <w:rFonts w:ascii="Times New Roman" w:hAnsi="Times New Roman" w:cs="Times New Roman"/>
          <w:b w:val="0"/>
          <w:color w:val="000000" w:themeColor="text1"/>
          <w:sz w:val="24"/>
          <w:szCs w:val="24"/>
          <w:shd w:val="clear" w:color="auto" w:fill="FFFFFF"/>
          <w:lang w:val="en-US"/>
        </w:rPr>
        <w:t>arkets. Journal of Business Finance &amp; Accounting, 33(9</w:t>
      </w:r>
      <w:r w:rsidRPr="00246E63">
        <w:rPr>
          <w:rFonts w:ascii="Cambria Math" w:hAnsi="Cambria Math" w:cs="Cambria Math"/>
          <w:b w:val="0"/>
          <w:color w:val="000000" w:themeColor="text1"/>
          <w:sz w:val="24"/>
          <w:szCs w:val="24"/>
          <w:shd w:val="clear" w:color="auto" w:fill="FFFFFF"/>
          <w:lang w:val="en-US"/>
        </w:rPr>
        <w:t>‐</w:t>
      </w:r>
      <w:r w:rsidRPr="00246E63">
        <w:rPr>
          <w:rFonts w:ascii="Times New Roman" w:hAnsi="Times New Roman" w:cs="Times New Roman"/>
          <w:b w:val="0"/>
          <w:color w:val="000000" w:themeColor="text1"/>
          <w:sz w:val="24"/>
          <w:szCs w:val="24"/>
          <w:shd w:val="clear" w:color="auto" w:fill="FFFFFF"/>
          <w:lang w:val="en-US"/>
        </w:rPr>
        <w:t>10), 1572-1585. https://doi.org/10.1111/j.1468-5957.2006.00639.x</w:t>
      </w:r>
    </w:p>
    <w:p w14:paraId="59BDA278" w14:textId="44FACC2D"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Verousi</w:t>
      </w:r>
      <w:r w:rsidR="007673D8">
        <w:rPr>
          <w:rFonts w:ascii="Times New Roman" w:hAnsi="Times New Roman" w:cs="Times New Roman"/>
          <w:b w:val="0"/>
          <w:color w:val="000000" w:themeColor="text1"/>
          <w:sz w:val="24"/>
          <w:szCs w:val="24"/>
          <w:shd w:val="clear" w:color="auto" w:fill="FFFFFF"/>
          <w:lang w:val="en-US"/>
        </w:rPr>
        <w:t>s, T., &amp; Gwilym, O. (2010). An Improved Algorithm for Cleaning Ultrahigh Frequency D</w:t>
      </w:r>
      <w:r w:rsidRPr="00246E63">
        <w:rPr>
          <w:rFonts w:ascii="Times New Roman" w:hAnsi="Times New Roman" w:cs="Times New Roman"/>
          <w:b w:val="0"/>
          <w:color w:val="000000" w:themeColor="text1"/>
          <w:sz w:val="24"/>
          <w:szCs w:val="24"/>
          <w:shd w:val="clear" w:color="auto" w:fill="FFFFFF"/>
          <w:lang w:val="en-US"/>
        </w:rPr>
        <w:t xml:space="preserve">ata. Journal of Derivatives and Hedge Funds, 15, 323-340. </w:t>
      </w:r>
      <w:r w:rsidR="00705993" w:rsidRPr="00246E63">
        <w:rPr>
          <w:rFonts w:ascii="Times New Roman" w:hAnsi="Times New Roman" w:cs="Times New Roman"/>
          <w:b w:val="0"/>
          <w:color w:val="000000" w:themeColor="text1"/>
          <w:sz w:val="24"/>
          <w:szCs w:val="24"/>
          <w:shd w:val="clear" w:color="auto" w:fill="FFFFFF"/>
          <w:lang w:val="en-US"/>
        </w:rPr>
        <w:t>https://doi.org/10.1057/jdhf.2009.16</w:t>
      </w:r>
    </w:p>
    <w:p w14:paraId="5E48ED10" w14:textId="26E1051F" w:rsidR="005F7722"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Vortelinos</w:t>
      </w:r>
      <w:r w:rsidR="007673D8">
        <w:rPr>
          <w:rFonts w:ascii="Times New Roman" w:hAnsi="Times New Roman" w:cs="Times New Roman"/>
          <w:b w:val="0"/>
          <w:color w:val="000000" w:themeColor="text1"/>
          <w:sz w:val="24"/>
          <w:szCs w:val="24"/>
          <w:shd w:val="clear" w:color="auto" w:fill="FFFFFF"/>
          <w:lang w:val="en-US"/>
        </w:rPr>
        <w:t>, D. I. (2014). Non-parametric Analysis of Equity A</w:t>
      </w:r>
      <w:r w:rsidRPr="00246E63">
        <w:rPr>
          <w:rFonts w:ascii="Times New Roman" w:hAnsi="Times New Roman" w:cs="Times New Roman"/>
          <w:b w:val="0"/>
          <w:color w:val="000000" w:themeColor="text1"/>
          <w:sz w:val="24"/>
          <w:szCs w:val="24"/>
          <w:shd w:val="clear" w:color="auto" w:fill="FFFFFF"/>
          <w:lang w:val="en-US"/>
        </w:rPr>
        <w:t xml:space="preserve">rbitrage. International Review of Economics &amp; Finance, 33, 199-216. </w:t>
      </w:r>
      <w:r w:rsidR="00587A10">
        <w:rPr>
          <w:rFonts w:ascii="Times New Roman" w:hAnsi="Times New Roman" w:cs="Times New Roman"/>
          <w:b w:val="0"/>
          <w:color w:val="000000" w:themeColor="text1"/>
          <w:sz w:val="24"/>
          <w:szCs w:val="24"/>
          <w:shd w:val="clear" w:color="auto" w:fill="FFFFFF"/>
          <w:lang w:val="en-US"/>
        </w:rPr>
        <w:t xml:space="preserve">                           </w:t>
      </w:r>
      <w:r w:rsidRPr="00246E63">
        <w:rPr>
          <w:rFonts w:ascii="Times New Roman" w:hAnsi="Times New Roman" w:cs="Times New Roman"/>
          <w:b w:val="0"/>
          <w:color w:val="000000" w:themeColor="text1"/>
          <w:sz w:val="24"/>
          <w:szCs w:val="24"/>
          <w:shd w:val="clear" w:color="auto" w:fill="FFFFFF"/>
          <w:lang w:val="en-US"/>
        </w:rPr>
        <w:t>https://doi.org/10.1016/j.iref.2014.05.004</w:t>
      </w:r>
    </w:p>
    <w:p w14:paraId="601B6B37" w14:textId="43F5BB1D" w:rsidR="00D75F91" w:rsidRPr="00246E63" w:rsidRDefault="005F7722" w:rsidP="00246E63">
      <w:pPr>
        <w:pStyle w:val="Heading1"/>
        <w:spacing w:line="480" w:lineRule="auto"/>
        <w:rPr>
          <w:rFonts w:ascii="Times New Roman" w:hAnsi="Times New Roman" w:cs="Times New Roman"/>
          <w:b w:val="0"/>
          <w:color w:val="000000" w:themeColor="text1"/>
          <w:sz w:val="24"/>
          <w:szCs w:val="24"/>
          <w:shd w:val="clear" w:color="auto" w:fill="FFFFFF"/>
          <w:lang w:val="en-US"/>
        </w:rPr>
      </w:pPr>
      <w:r w:rsidRPr="00246E63">
        <w:rPr>
          <w:rFonts w:ascii="Times New Roman" w:hAnsi="Times New Roman" w:cs="Times New Roman"/>
          <w:b w:val="0"/>
          <w:color w:val="000000" w:themeColor="text1"/>
          <w:sz w:val="24"/>
          <w:szCs w:val="24"/>
          <w:shd w:val="clear" w:color="auto" w:fill="FFFFFF"/>
          <w:lang w:val="en-US"/>
        </w:rPr>
        <w:t>Yadav, P., P. Pope and</w:t>
      </w:r>
      <w:r w:rsidR="007673D8">
        <w:rPr>
          <w:rFonts w:ascii="Times New Roman" w:hAnsi="Times New Roman" w:cs="Times New Roman"/>
          <w:b w:val="0"/>
          <w:color w:val="000000" w:themeColor="text1"/>
          <w:sz w:val="24"/>
          <w:szCs w:val="24"/>
          <w:shd w:val="clear" w:color="auto" w:fill="FFFFFF"/>
          <w:lang w:val="en-US"/>
        </w:rPr>
        <w:t xml:space="preserve"> K. Paudyal. (1994). Threshold A</w:t>
      </w:r>
      <w:r w:rsidR="00701D8B" w:rsidRPr="00246E63">
        <w:rPr>
          <w:rFonts w:ascii="Times New Roman" w:hAnsi="Times New Roman" w:cs="Times New Roman"/>
          <w:b w:val="0"/>
          <w:color w:val="000000" w:themeColor="text1"/>
          <w:sz w:val="24"/>
          <w:szCs w:val="24"/>
          <w:shd w:val="clear" w:color="auto" w:fill="FFFFFF"/>
          <w:lang w:val="en-US"/>
        </w:rPr>
        <w:t>utoregr</w:t>
      </w:r>
      <w:r w:rsidR="007673D8">
        <w:rPr>
          <w:rFonts w:ascii="Times New Roman" w:hAnsi="Times New Roman" w:cs="Times New Roman"/>
          <w:b w:val="0"/>
          <w:color w:val="000000" w:themeColor="text1"/>
          <w:sz w:val="24"/>
          <w:szCs w:val="24"/>
          <w:shd w:val="clear" w:color="auto" w:fill="FFFFFF"/>
          <w:lang w:val="en-US"/>
        </w:rPr>
        <w:t>essive Modeling in Finance: The Price Differences of Equivalent A</w:t>
      </w:r>
      <w:r w:rsidRPr="00246E63">
        <w:rPr>
          <w:rFonts w:ascii="Times New Roman" w:hAnsi="Times New Roman" w:cs="Times New Roman"/>
          <w:b w:val="0"/>
          <w:color w:val="000000" w:themeColor="text1"/>
          <w:sz w:val="24"/>
          <w:szCs w:val="24"/>
          <w:shd w:val="clear" w:color="auto" w:fill="FFFFFF"/>
          <w:lang w:val="en-US"/>
        </w:rPr>
        <w:t>ssets. Mathematical Finance, 4, 205–221. https://doi.org/10.1111/j.1467-9965.1994.tb00058.x</w:t>
      </w:r>
    </w:p>
    <w:p w14:paraId="42EA4E1A" w14:textId="56574D48" w:rsidR="00EC070D" w:rsidRPr="00246E63" w:rsidRDefault="00EC070D" w:rsidP="00246E63">
      <w:pPr>
        <w:spacing w:line="480" w:lineRule="auto"/>
        <w:rPr>
          <w:color w:val="000000" w:themeColor="text1"/>
        </w:rPr>
      </w:pPr>
    </w:p>
    <w:sectPr w:rsidR="00EC070D" w:rsidRPr="00246E63" w:rsidSect="00D75F91">
      <w:footerReference w:type="even" r:id="rId137"/>
      <w:footerReference w:type="default" r:id="rId138"/>
      <w:endnotePr>
        <w:numFmt w:val="decimal"/>
      </w:endnotePr>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59CE7" w14:textId="77777777" w:rsidR="00876BB8" w:rsidRDefault="00876BB8" w:rsidP="00CF365B">
      <w:r>
        <w:separator/>
      </w:r>
    </w:p>
  </w:endnote>
  <w:endnote w:type="continuationSeparator" w:id="0">
    <w:p w14:paraId="2E0356DE" w14:textId="77777777" w:rsidR="00876BB8" w:rsidRDefault="00876BB8" w:rsidP="00CF3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1FB09"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AE19D7" w14:textId="77777777" w:rsidR="00F603D8" w:rsidRDefault="00F603D8" w:rsidP="00C76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7794"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41C566F4" w14:textId="77777777" w:rsidR="00F603D8" w:rsidRDefault="00F603D8" w:rsidP="00C76E6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8126126"/>
      <w:docPartObj>
        <w:docPartGallery w:val="Page Numbers (Bottom of Page)"/>
        <w:docPartUnique/>
      </w:docPartObj>
    </w:sdtPr>
    <w:sdtEndPr>
      <w:rPr>
        <w:rStyle w:val="PageNumber"/>
      </w:rPr>
    </w:sdtEndPr>
    <w:sdtContent>
      <w:p w14:paraId="4E84F04C" w14:textId="707B3026" w:rsidR="00F603D8" w:rsidRDefault="00F603D8" w:rsidP="00CB11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4AA7509F" w14:textId="77777777" w:rsidR="00F603D8" w:rsidRDefault="00F603D8" w:rsidP="004757A3">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E9CC"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2BEB90" w14:textId="77777777" w:rsidR="00F603D8" w:rsidRDefault="00F603D8" w:rsidP="00C76E6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DB3A"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7DD0132A" w14:textId="77777777" w:rsidR="00F603D8" w:rsidRDefault="00F603D8" w:rsidP="00C76E6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77ED5"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29958E" w14:textId="77777777" w:rsidR="00F603D8" w:rsidRDefault="00F603D8" w:rsidP="00C76E6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848C2" w14:textId="77777777" w:rsidR="00F603D8" w:rsidRDefault="00F603D8" w:rsidP="00C76E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4D0BEFAD" w14:textId="77777777" w:rsidR="00F603D8" w:rsidRDefault="00F603D8" w:rsidP="00C76E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38A85" w14:textId="77777777" w:rsidR="00876BB8" w:rsidRDefault="00876BB8" w:rsidP="00CF365B">
      <w:r>
        <w:separator/>
      </w:r>
    </w:p>
  </w:footnote>
  <w:footnote w:type="continuationSeparator" w:id="0">
    <w:p w14:paraId="28B771C3" w14:textId="77777777" w:rsidR="00876BB8" w:rsidRDefault="00876BB8" w:rsidP="00CF36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0506"/>
    <w:multiLevelType w:val="hybridMultilevel"/>
    <w:tmpl w:val="475CF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3A6747"/>
    <w:multiLevelType w:val="hybridMultilevel"/>
    <w:tmpl w:val="83862FAA"/>
    <w:lvl w:ilvl="0" w:tplc="260C19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30F25"/>
    <w:multiLevelType w:val="hybridMultilevel"/>
    <w:tmpl w:val="6FF80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52E18"/>
    <w:multiLevelType w:val="hybridMultilevel"/>
    <w:tmpl w:val="0054FB3E"/>
    <w:lvl w:ilvl="0" w:tplc="4C3872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DB0AF1"/>
    <w:multiLevelType w:val="multilevel"/>
    <w:tmpl w:val="F41C8EE4"/>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26F3F6E"/>
    <w:multiLevelType w:val="hybridMultilevel"/>
    <w:tmpl w:val="AC327B6A"/>
    <w:lvl w:ilvl="0" w:tplc="DC72A3A6">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4B2250"/>
    <w:multiLevelType w:val="hybridMultilevel"/>
    <w:tmpl w:val="91666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1D0C82"/>
    <w:multiLevelType w:val="hybridMultilevel"/>
    <w:tmpl w:val="D784953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6A157D8A"/>
    <w:multiLevelType w:val="multilevel"/>
    <w:tmpl w:val="F2EA831C"/>
    <w:lvl w:ilvl="0">
      <w:start w:val="1"/>
      <w:numFmt w:val="decimal"/>
      <w:lvlText w:val="%1."/>
      <w:lvlJc w:val="left"/>
      <w:pPr>
        <w:ind w:left="643"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9" w15:restartNumberingAfterBreak="0">
    <w:nsid w:val="778B5312"/>
    <w:multiLevelType w:val="hybridMultilevel"/>
    <w:tmpl w:val="2EBEA60C"/>
    <w:lvl w:ilvl="0" w:tplc="9F2CD6F0">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AE6109"/>
    <w:multiLevelType w:val="multilevel"/>
    <w:tmpl w:val="C508643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6"/>
  </w:num>
  <w:num w:numId="4">
    <w:abstractNumId w:val="4"/>
  </w:num>
  <w:num w:numId="5">
    <w:abstractNumId w:val="0"/>
  </w:num>
  <w:num w:numId="6">
    <w:abstractNumId w:val="9"/>
  </w:num>
  <w:num w:numId="7">
    <w:abstractNumId w:val="7"/>
  </w:num>
  <w:num w:numId="8">
    <w:abstractNumId w:val="1"/>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211"/>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ysTSzNDQ1NDEzszRQ0lEKTi0uzszPAykwqgUAG8/MoiwAAAA="/>
  </w:docVars>
  <w:rsids>
    <w:rsidRoot w:val="00CF365B"/>
    <w:rsid w:val="00000A2E"/>
    <w:rsid w:val="000013C6"/>
    <w:rsid w:val="0000161A"/>
    <w:rsid w:val="00002FE3"/>
    <w:rsid w:val="000044CE"/>
    <w:rsid w:val="0001282D"/>
    <w:rsid w:val="000136E2"/>
    <w:rsid w:val="00015998"/>
    <w:rsid w:val="00015BA8"/>
    <w:rsid w:val="000160E6"/>
    <w:rsid w:val="00017E2F"/>
    <w:rsid w:val="000200CF"/>
    <w:rsid w:val="00023552"/>
    <w:rsid w:val="00023BE5"/>
    <w:rsid w:val="000240A4"/>
    <w:rsid w:val="00024866"/>
    <w:rsid w:val="00024D2A"/>
    <w:rsid w:val="00034E4A"/>
    <w:rsid w:val="0003599A"/>
    <w:rsid w:val="00037E0F"/>
    <w:rsid w:val="000406CC"/>
    <w:rsid w:val="000422A3"/>
    <w:rsid w:val="0004243A"/>
    <w:rsid w:val="00046A8A"/>
    <w:rsid w:val="0005196F"/>
    <w:rsid w:val="00052792"/>
    <w:rsid w:val="00052EF1"/>
    <w:rsid w:val="00054BC5"/>
    <w:rsid w:val="00055D9B"/>
    <w:rsid w:val="00057849"/>
    <w:rsid w:val="000634BB"/>
    <w:rsid w:val="0006462F"/>
    <w:rsid w:val="0006582C"/>
    <w:rsid w:val="00070E4E"/>
    <w:rsid w:val="00071890"/>
    <w:rsid w:val="00072B09"/>
    <w:rsid w:val="00072D9B"/>
    <w:rsid w:val="0007388B"/>
    <w:rsid w:val="00073896"/>
    <w:rsid w:val="00081414"/>
    <w:rsid w:val="00081971"/>
    <w:rsid w:val="000824DF"/>
    <w:rsid w:val="0008306F"/>
    <w:rsid w:val="0008426B"/>
    <w:rsid w:val="00087F7B"/>
    <w:rsid w:val="00091A2B"/>
    <w:rsid w:val="000932EA"/>
    <w:rsid w:val="0009603F"/>
    <w:rsid w:val="000963AE"/>
    <w:rsid w:val="000A0AF1"/>
    <w:rsid w:val="000A2B4A"/>
    <w:rsid w:val="000A357A"/>
    <w:rsid w:val="000A422F"/>
    <w:rsid w:val="000A4F1E"/>
    <w:rsid w:val="000A6903"/>
    <w:rsid w:val="000A702D"/>
    <w:rsid w:val="000A72FA"/>
    <w:rsid w:val="000B082B"/>
    <w:rsid w:val="000B178C"/>
    <w:rsid w:val="000B2BF2"/>
    <w:rsid w:val="000B2F83"/>
    <w:rsid w:val="000B51AF"/>
    <w:rsid w:val="000B6639"/>
    <w:rsid w:val="000B6EA5"/>
    <w:rsid w:val="000B7BAF"/>
    <w:rsid w:val="000C096A"/>
    <w:rsid w:val="000C1334"/>
    <w:rsid w:val="000C2755"/>
    <w:rsid w:val="000C6AEA"/>
    <w:rsid w:val="000C75E7"/>
    <w:rsid w:val="000C7DF5"/>
    <w:rsid w:val="000D38FD"/>
    <w:rsid w:val="000D401E"/>
    <w:rsid w:val="000D4396"/>
    <w:rsid w:val="000D4B7F"/>
    <w:rsid w:val="000D4B9D"/>
    <w:rsid w:val="000D62C3"/>
    <w:rsid w:val="000D70E0"/>
    <w:rsid w:val="000D7D6F"/>
    <w:rsid w:val="000E0046"/>
    <w:rsid w:val="000F65D6"/>
    <w:rsid w:val="000F6A36"/>
    <w:rsid w:val="001030DB"/>
    <w:rsid w:val="0010334A"/>
    <w:rsid w:val="00103A07"/>
    <w:rsid w:val="0010593E"/>
    <w:rsid w:val="00105A6B"/>
    <w:rsid w:val="0010744E"/>
    <w:rsid w:val="00110A0E"/>
    <w:rsid w:val="00111B3A"/>
    <w:rsid w:val="001122F3"/>
    <w:rsid w:val="0011372D"/>
    <w:rsid w:val="00114138"/>
    <w:rsid w:val="001160FC"/>
    <w:rsid w:val="00117C3F"/>
    <w:rsid w:val="00117C6E"/>
    <w:rsid w:val="00122BB0"/>
    <w:rsid w:val="0012318A"/>
    <w:rsid w:val="0012567C"/>
    <w:rsid w:val="00126546"/>
    <w:rsid w:val="0013353E"/>
    <w:rsid w:val="001339B3"/>
    <w:rsid w:val="00133B6F"/>
    <w:rsid w:val="00135FF2"/>
    <w:rsid w:val="0014022D"/>
    <w:rsid w:val="00140973"/>
    <w:rsid w:val="00142960"/>
    <w:rsid w:val="00150AA4"/>
    <w:rsid w:val="001515E5"/>
    <w:rsid w:val="00151C8D"/>
    <w:rsid w:val="001526F5"/>
    <w:rsid w:val="0015599C"/>
    <w:rsid w:val="001564E1"/>
    <w:rsid w:val="00156617"/>
    <w:rsid w:val="00156FAC"/>
    <w:rsid w:val="0015790E"/>
    <w:rsid w:val="0016335B"/>
    <w:rsid w:val="00164730"/>
    <w:rsid w:val="001647C4"/>
    <w:rsid w:val="001670FE"/>
    <w:rsid w:val="001675B7"/>
    <w:rsid w:val="00171A5F"/>
    <w:rsid w:val="001721EC"/>
    <w:rsid w:val="00173B8F"/>
    <w:rsid w:val="00173F13"/>
    <w:rsid w:val="00174D3B"/>
    <w:rsid w:val="00175BB9"/>
    <w:rsid w:val="00175ED2"/>
    <w:rsid w:val="0017627C"/>
    <w:rsid w:val="00180B6F"/>
    <w:rsid w:val="00183E54"/>
    <w:rsid w:val="00184D86"/>
    <w:rsid w:val="00187EED"/>
    <w:rsid w:val="00187F94"/>
    <w:rsid w:val="00193B5A"/>
    <w:rsid w:val="00194841"/>
    <w:rsid w:val="00195DD3"/>
    <w:rsid w:val="0019605B"/>
    <w:rsid w:val="00196373"/>
    <w:rsid w:val="001968EB"/>
    <w:rsid w:val="00196C12"/>
    <w:rsid w:val="00196E54"/>
    <w:rsid w:val="00197C39"/>
    <w:rsid w:val="001A231E"/>
    <w:rsid w:val="001A3B4A"/>
    <w:rsid w:val="001A3C46"/>
    <w:rsid w:val="001A5BDD"/>
    <w:rsid w:val="001A601F"/>
    <w:rsid w:val="001A7A33"/>
    <w:rsid w:val="001B02DB"/>
    <w:rsid w:val="001B0FF9"/>
    <w:rsid w:val="001B26AC"/>
    <w:rsid w:val="001B2FC7"/>
    <w:rsid w:val="001C0554"/>
    <w:rsid w:val="001C1AD3"/>
    <w:rsid w:val="001C38BD"/>
    <w:rsid w:val="001C4BB1"/>
    <w:rsid w:val="001C65A8"/>
    <w:rsid w:val="001C6E16"/>
    <w:rsid w:val="001C7733"/>
    <w:rsid w:val="001D0194"/>
    <w:rsid w:val="001D2AF5"/>
    <w:rsid w:val="001D2EDA"/>
    <w:rsid w:val="001D37C4"/>
    <w:rsid w:val="001D3CC1"/>
    <w:rsid w:val="001D412F"/>
    <w:rsid w:val="001D4331"/>
    <w:rsid w:val="001D6D42"/>
    <w:rsid w:val="001D7B8B"/>
    <w:rsid w:val="001D7C0D"/>
    <w:rsid w:val="001E0395"/>
    <w:rsid w:val="001E4595"/>
    <w:rsid w:val="001E52D8"/>
    <w:rsid w:val="001E7EB0"/>
    <w:rsid w:val="001F5B7E"/>
    <w:rsid w:val="001F65A0"/>
    <w:rsid w:val="001F6E68"/>
    <w:rsid w:val="00200C71"/>
    <w:rsid w:val="00204DBF"/>
    <w:rsid w:val="00210973"/>
    <w:rsid w:val="00211DDC"/>
    <w:rsid w:val="00211FDB"/>
    <w:rsid w:val="00213CB7"/>
    <w:rsid w:val="002143FC"/>
    <w:rsid w:val="00214D71"/>
    <w:rsid w:val="0021530A"/>
    <w:rsid w:val="002210A5"/>
    <w:rsid w:val="00221241"/>
    <w:rsid w:val="00222017"/>
    <w:rsid w:val="00222142"/>
    <w:rsid w:val="0022341D"/>
    <w:rsid w:val="00231D98"/>
    <w:rsid w:val="00233044"/>
    <w:rsid w:val="00233F40"/>
    <w:rsid w:val="00235715"/>
    <w:rsid w:val="00235A23"/>
    <w:rsid w:val="00236D41"/>
    <w:rsid w:val="00237DD7"/>
    <w:rsid w:val="002414CF"/>
    <w:rsid w:val="00241CFD"/>
    <w:rsid w:val="002422EC"/>
    <w:rsid w:val="00242F46"/>
    <w:rsid w:val="00243025"/>
    <w:rsid w:val="00244FEE"/>
    <w:rsid w:val="00246D18"/>
    <w:rsid w:val="00246E63"/>
    <w:rsid w:val="00257175"/>
    <w:rsid w:val="00261A90"/>
    <w:rsid w:val="002620DA"/>
    <w:rsid w:val="00265843"/>
    <w:rsid w:val="002658E1"/>
    <w:rsid w:val="00265A17"/>
    <w:rsid w:val="00266085"/>
    <w:rsid w:val="00266BDF"/>
    <w:rsid w:val="00266D7A"/>
    <w:rsid w:val="0026722A"/>
    <w:rsid w:val="00267494"/>
    <w:rsid w:val="002705D8"/>
    <w:rsid w:val="002717FD"/>
    <w:rsid w:val="00273B43"/>
    <w:rsid w:val="00274CB0"/>
    <w:rsid w:val="002805E3"/>
    <w:rsid w:val="0028172C"/>
    <w:rsid w:val="00281A5A"/>
    <w:rsid w:val="0028571F"/>
    <w:rsid w:val="0028750E"/>
    <w:rsid w:val="00287723"/>
    <w:rsid w:val="00287AC9"/>
    <w:rsid w:val="0029013D"/>
    <w:rsid w:val="002903CD"/>
    <w:rsid w:val="00290622"/>
    <w:rsid w:val="00292063"/>
    <w:rsid w:val="002923FD"/>
    <w:rsid w:val="002936A5"/>
    <w:rsid w:val="002939BB"/>
    <w:rsid w:val="00294E2E"/>
    <w:rsid w:val="0029789E"/>
    <w:rsid w:val="002A3AD0"/>
    <w:rsid w:val="002A43F2"/>
    <w:rsid w:val="002A59DC"/>
    <w:rsid w:val="002B1FDB"/>
    <w:rsid w:val="002B271F"/>
    <w:rsid w:val="002B4E61"/>
    <w:rsid w:val="002B54B3"/>
    <w:rsid w:val="002B6BD9"/>
    <w:rsid w:val="002B6F90"/>
    <w:rsid w:val="002C015B"/>
    <w:rsid w:val="002C1149"/>
    <w:rsid w:val="002C33D9"/>
    <w:rsid w:val="002C4F37"/>
    <w:rsid w:val="002C6834"/>
    <w:rsid w:val="002C7E02"/>
    <w:rsid w:val="002D34CE"/>
    <w:rsid w:val="002D4EBC"/>
    <w:rsid w:val="002D5ECB"/>
    <w:rsid w:val="002E084B"/>
    <w:rsid w:val="002E0DD4"/>
    <w:rsid w:val="002E1055"/>
    <w:rsid w:val="002E1886"/>
    <w:rsid w:val="002E71CA"/>
    <w:rsid w:val="002E7405"/>
    <w:rsid w:val="002E77F1"/>
    <w:rsid w:val="002F0C73"/>
    <w:rsid w:val="002F1DAE"/>
    <w:rsid w:val="002F2B07"/>
    <w:rsid w:val="002F5F94"/>
    <w:rsid w:val="002F655F"/>
    <w:rsid w:val="002F7660"/>
    <w:rsid w:val="00300112"/>
    <w:rsid w:val="00300384"/>
    <w:rsid w:val="0030050A"/>
    <w:rsid w:val="00300D36"/>
    <w:rsid w:val="003038AC"/>
    <w:rsid w:val="003047A3"/>
    <w:rsid w:val="0030517B"/>
    <w:rsid w:val="0030737B"/>
    <w:rsid w:val="0031165D"/>
    <w:rsid w:val="00312D18"/>
    <w:rsid w:val="00312F0A"/>
    <w:rsid w:val="003162E4"/>
    <w:rsid w:val="003231B0"/>
    <w:rsid w:val="00323638"/>
    <w:rsid w:val="00323F39"/>
    <w:rsid w:val="0032445A"/>
    <w:rsid w:val="00325721"/>
    <w:rsid w:val="00326B53"/>
    <w:rsid w:val="00326EE0"/>
    <w:rsid w:val="00327AC5"/>
    <w:rsid w:val="00330B1A"/>
    <w:rsid w:val="00330DC8"/>
    <w:rsid w:val="00332787"/>
    <w:rsid w:val="00332AE0"/>
    <w:rsid w:val="00334070"/>
    <w:rsid w:val="00342582"/>
    <w:rsid w:val="00343CAD"/>
    <w:rsid w:val="00343DB4"/>
    <w:rsid w:val="00344C3A"/>
    <w:rsid w:val="00345B39"/>
    <w:rsid w:val="00345E87"/>
    <w:rsid w:val="003506F4"/>
    <w:rsid w:val="00351EAB"/>
    <w:rsid w:val="0035286D"/>
    <w:rsid w:val="00352AC5"/>
    <w:rsid w:val="0035300A"/>
    <w:rsid w:val="003532EA"/>
    <w:rsid w:val="003532F4"/>
    <w:rsid w:val="0035419E"/>
    <w:rsid w:val="0035578F"/>
    <w:rsid w:val="00355BD3"/>
    <w:rsid w:val="0036051D"/>
    <w:rsid w:val="00360BE4"/>
    <w:rsid w:val="003615B3"/>
    <w:rsid w:val="003616A9"/>
    <w:rsid w:val="0036258C"/>
    <w:rsid w:val="003625BF"/>
    <w:rsid w:val="003648D8"/>
    <w:rsid w:val="00365181"/>
    <w:rsid w:val="00371F9C"/>
    <w:rsid w:val="003773EC"/>
    <w:rsid w:val="0038022C"/>
    <w:rsid w:val="00380777"/>
    <w:rsid w:val="0038080F"/>
    <w:rsid w:val="00380B30"/>
    <w:rsid w:val="00383515"/>
    <w:rsid w:val="00383951"/>
    <w:rsid w:val="00385661"/>
    <w:rsid w:val="00385F24"/>
    <w:rsid w:val="00386F86"/>
    <w:rsid w:val="00386FAB"/>
    <w:rsid w:val="00390921"/>
    <w:rsid w:val="00397552"/>
    <w:rsid w:val="003A0C44"/>
    <w:rsid w:val="003A0C87"/>
    <w:rsid w:val="003A0E5A"/>
    <w:rsid w:val="003A46A0"/>
    <w:rsid w:val="003A4ED5"/>
    <w:rsid w:val="003A762D"/>
    <w:rsid w:val="003A7684"/>
    <w:rsid w:val="003B3C13"/>
    <w:rsid w:val="003B4900"/>
    <w:rsid w:val="003B53D8"/>
    <w:rsid w:val="003B784D"/>
    <w:rsid w:val="003C34D3"/>
    <w:rsid w:val="003C7ED3"/>
    <w:rsid w:val="003C7FD3"/>
    <w:rsid w:val="003D21E9"/>
    <w:rsid w:val="003D3677"/>
    <w:rsid w:val="003D3F12"/>
    <w:rsid w:val="003D4081"/>
    <w:rsid w:val="003D4349"/>
    <w:rsid w:val="003D4A1D"/>
    <w:rsid w:val="003D5D26"/>
    <w:rsid w:val="003D6D2B"/>
    <w:rsid w:val="003E04E8"/>
    <w:rsid w:val="003E1166"/>
    <w:rsid w:val="003E1EDD"/>
    <w:rsid w:val="003E2DF7"/>
    <w:rsid w:val="003E5967"/>
    <w:rsid w:val="003F031F"/>
    <w:rsid w:val="003F15F3"/>
    <w:rsid w:val="003F24B5"/>
    <w:rsid w:val="003F2DEE"/>
    <w:rsid w:val="003F2EB1"/>
    <w:rsid w:val="003F3526"/>
    <w:rsid w:val="003F39AB"/>
    <w:rsid w:val="003F4210"/>
    <w:rsid w:val="003F744F"/>
    <w:rsid w:val="003F76DF"/>
    <w:rsid w:val="003F7F78"/>
    <w:rsid w:val="00402BC1"/>
    <w:rsid w:val="0040310F"/>
    <w:rsid w:val="0040391B"/>
    <w:rsid w:val="00405661"/>
    <w:rsid w:val="00407636"/>
    <w:rsid w:val="0041017D"/>
    <w:rsid w:val="00410A8B"/>
    <w:rsid w:val="00410C3B"/>
    <w:rsid w:val="00412835"/>
    <w:rsid w:val="00414C36"/>
    <w:rsid w:val="00416198"/>
    <w:rsid w:val="00416CE2"/>
    <w:rsid w:val="00420A36"/>
    <w:rsid w:val="00420EEB"/>
    <w:rsid w:val="00421F4F"/>
    <w:rsid w:val="004232F8"/>
    <w:rsid w:val="00424CD4"/>
    <w:rsid w:val="00425587"/>
    <w:rsid w:val="004265C6"/>
    <w:rsid w:val="00433C49"/>
    <w:rsid w:val="00433E17"/>
    <w:rsid w:val="00434CD5"/>
    <w:rsid w:val="004357A6"/>
    <w:rsid w:val="004360C1"/>
    <w:rsid w:val="004375DA"/>
    <w:rsid w:val="00437F75"/>
    <w:rsid w:val="00440F8F"/>
    <w:rsid w:val="00441ED2"/>
    <w:rsid w:val="0044292B"/>
    <w:rsid w:val="00443A3B"/>
    <w:rsid w:val="00443B72"/>
    <w:rsid w:val="00444DAF"/>
    <w:rsid w:val="0044590E"/>
    <w:rsid w:val="00446CA1"/>
    <w:rsid w:val="00447409"/>
    <w:rsid w:val="004533C7"/>
    <w:rsid w:val="0045404E"/>
    <w:rsid w:val="004540C1"/>
    <w:rsid w:val="00456041"/>
    <w:rsid w:val="004576D0"/>
    <w:rsid w:val="004608B9"/>
    <w:rsid w:val="004613AF"/>
    <w:rsid w:val="00461743"/>
    <w:rsid w:val="0046240C"/>
    <w:rsid w:val="00463BD7"/>
    <w:rsid w:val="00463DA2"/>
    <w:rsid w:val="00471E6D"/>
    <w:rsid w:val="0047309B"/>
    <w:rsid w:val="004740B4"/>
    <w:rsid w:val="00474BA2"/>
    <w:rsid w:val="004757A3"/>
    <w:rsid w:val="00476EC3"/>
    <w:rsid w:val="004833A2"/>
    <w:rsid w:val="00483784"/>
    <w:rsid w:val="00483BAD"/>
    <w:rsid w:val="00484A79"/>
    <w:rsid w:val="0048510B"/>
    <w:rsid w:val="00485AE5"/>
    <w:rsid w:val="004932E7"/>
    <w:rsid w:val="00493FD8"/>
    <w:rsid w:val="00494BED"/>
    <w:rsid w:val="00495DBE"/>
    <w:rsid w:val="00496077"/>
    <w:rsid w:val="00496510"/>
    <w:rsid w:val="0049698A"/>
    <w:rsid w:val="00496BD7"/>
    <w:rsid w:val="00497280"/>
    <w:rsid w:val="004A0A81"/>
    <w:rsid w:val="004A11E6"/>
    <w:rsid w:val="004A1C3C"/>
    <w:rsid w:val="004A2B0A"/>
    <w:rsid w:val="004A30EA"/>
    <w:rsid w:val="004A49C5"/>
    <w:rsid w:val="004A5406"/>
    <w:rsid w:val="004A6390"/>
    <w:rsid w:val="004A6A18"/>
    <w:rsid w:val="004A7EFB"/>
    <w:rsid w:val="004B1930"/>
    <w:rsid w:val="004B1FE5"/>
    <w:rsid w:val="004B43B0"/>
    <w:rsid w:val="004C02E8"/>
    <w:rsid w:val="004C3249"/>
    <w:rsid w:val="004C3D0E"/>
    <w:rsid w:val="004C6C4B"/>
    <w:rsid w:val="004C7C1A"/>
    <w:rsid w:val="004D0A89"/>
    <w:rsid w:val="004D26D7"/>
    <w:rsid w:val="004D464E"/>
    <w:rsid w:val="004D7FB6"/>
    <w:rsid w:val="004E0B48"/>
    <w:rsid w:val="004E1325"/>
    <w:rsid w:val="004E1F6A"/>
    <w:rsid w:val="004E2EAF"/>
    <w:rsid w:val="004E361C"/>
    <w:rsid w:val="004E3B8C"/>
    <w:rsid w:val="004E48D1"/>
    <w:rsid w:val="004E5D2D"/>
    <w:rsid w:val="004F120A"/>
    <w:rsid w:val="004F2B6F"/>
    <w:rsid w:val="004F2F36"/>
    <w:rsid w:val="004F3D22"/>
    <w:rsid w:val="004F431A"/>
    <w:rsid w:val="004F4812"/>
    <w:rsid w:val="004F57A5"/>
    <w:rsid w:val="004F5D76"/>
    <w:rsid w:val="004F6A59"/>
    <w:rsid w:val="004F7752"/>
    <w:rsid w:val="004F7C47"/>
    <w:rsid w:val="00500640"/>
    <w:rsid w:val="00500891"/>
    <w:rsid w:val="005054E6"/>
    <w:rsid w:val="005055C9"/>
    <w:rsid w:val="00505E8F"/>
    <w:rsid w:val="00506243"/>
    <w:rsid w:val="00507EBE"/>
    <w:rsid w:val="00513C96"/>
    <w:rsid w:val="005150C0"/>
    <w:rsid w:val="005204C6"/>
    <w:rsid w:val="005212FC"/>
    <w:rsid w:val="005234F8"/>
    <w:rsid w:val="00523C71"/>
    <w:rsid w:val="00524C69"/>
    <w:rsid w:val="0052559E"/>
    <w:rsid w:val="005256DC"/>
    <w:rsid w:val="005271A1"/>
    <w:rsid w:val="0053041A"/>
    <w:rsid w:val="005310CE"/>
    <w:rsid w:val="00533648"/>
    <w:rsid w:val="0053553D"/>
    <w:rsid w:val="0053652A"/>
    <w:rsid w:val="00537CDB"/>
    <w:rsid w:val="00540C19"/>
    <w:rsid w:val="00541D4C"/>
    <w:rsid w:val="00542697"/>
    <w:rsid w:val="00542E26"/>
    <w:rsid w:val="00543103"/>
    <w:rsid w:val="00544507"/>
    <w:rsid w:val="00544919"/>
    <w:rsid w:val="00544C6D"/>
    <w:rsid w:val="0054761F"/>
    <w:rsid w:val="00547A24"/>
    <w:rsid w:val="00547B2A"/>
    <w:rsid w:val="00550240"/>
    <w:rsid w:val="00551D2D"/>
    <w:rsid w:val="005540C6"/>
    <w:rsid w:val="00555BED"/>
    <w:rsid w:val="00556DB8"/>
    <w:rsid w:val="005616EC"/>
    <w:rsid w:val="00561EA1"/>
    <w:rsid w:val="00562896"/>
    <w:rsid w:val="00564574"/>
    <w:rsid w:val="0056706B"/>
    <w:rsid w:val="00567C41"/>
    <w:rsid w:val="005701A7"/>
    <w:rsid w:val="00571EAE"/>
    <w:rsid w:val="005727BD"/>
    <w:rsid w:val="00573260"/>
    <w:rsid w:val="005751F3"/>
    <w:rsid w:val="00577CE8"/>
    <w:rsid w:val="0058067F"/>
    <w:rsid w:val="00580DD1"/>
    <w:rsid w:val="005819CE"/>
    <w:rsid w:val="005827D5"/>
    <w:rsid w:val="00583946"/>
    <w:rsid w:val="00587A10"/>
    <w:rsid w:val="00591420"/>
    <w:rsid w:val="00597433"/>
    <w:rsid w:val="005A37D3"/>
    <w:rsid w:val="005A49B6"/>
    <w:rsid w:val="005A4A06"/>
    <w:rsid w:val="005A7182"/>
    <w:rsid w:val="005A719B"/>
    <w:rsid w:val="005B1148"/>
    <w:rsid w:val="005B1645"/>
    <w:rsid w:val="005B3AED"/>
    <w:rsid w:val="005B4244"/>
    <w:rsid w:val="005B5F9F"/>
    <w:rsid w:val="005B6B79"/>
    <w:rsid w:val="005B7A0C"/>
    <w:rsid w:val="005B7DCC"/>
    <w:rsid w:val="005C0D85"/>
    <w:rsid w:val="005C0E28"/>
    <w:rsid w:val="005C4256"/>
    <w:rsid w:val="005C6E97"/>
    <w:rsid w:val="005C782F"/>
    <w:rsid w:val="005C7BBA"/>
    <w:rsid w:val="005D0FC7"/>
    <w:rsid w:val="005E2BEE"/>
    <w:rsid w:val="005E346C"/>
    <w:rsid w:val="005E437B"/>
    <w:rsid w:val="005F325C"/>
    <w:rsid w:val="005F35B4"/>
    <w:rsid w:val="005F48B8"/>
    <w:rsid w:val="005F4A5D"/>
    <w:rsid w:val="005F66D4"/>
    <w:rsid w:val="005F7722"/>
    <w:rsid w:val="006017B6"/>
    <w:rsid w:val="00601814"/>
    <w:rsid w:val="00602E4D"/>
    <w:rsid w:val="00602E6D"/>
    <w:rsid w:val="00604636"/>
    <w:rsid w:val="00605468"/>
    <w:rsid w:val="00605899"/>
    <w:rsid w:val="00606ACB"/>
    <w:rsid w:val="00610121"/>
    <w:rsid w:val="006110E5"/>
    <w:rsid w:val="00613CCD"/>
    <w:rsid w:val="006176F1"/>
    <w:rsid w:val="00620B33"/>
    <w:rsid w:val="006214CB"/>
    <w:rsid w:val="00622169"/>
    <w:rsid w:val="00623603"/>
    <w:rsid w:val="00625781"/>
    <w:rsid w:val="00626675"/>
    <w:rsid w:val="006272A5"/>
    <w:rsid w:val="00627A66"/>
    <w:rsid w:val="006322E7"/>
    <w:rsid w:val="00633A21"/>
    <w:rsid w:val="00634FB3"/>
    <w:rsid w:val="00635632"/>
    <w:rsid w:val="006356A2"/>
    <w:rsid w:val="00637653"/>
    <w:rsid w:val="00640808"/>
    <w:rsid w:val="006417D3"/>
    <w:rsid w:val="0064277D"/>
    <w:rsid w:val="0064461F"/>
    <w:rsid w:val="006464DF"/>
    <w:rsid w:val="00650583"/>
    <w:rsid w:val="00650AD6"/>
    <w:rsid w:val="006543F7"/>
    <w:rsid w:val="00655834"/>
    <w:rsid w:val="00655E79"/>
    <w:rsid w:val="006574F0"/>
    <w:rsid w:val="00657666"/>
    <w:rsid w:val="00661766"/>
    <w:rsid w:val="00663637"/>
    <w:rsid w:val="00664B82"/>
    <w:rsid w:val="00666275"/>
    <w:rsid w:val="0066726D"/>
    <w:rsid w:val="00670F0A"/>
    <w:rsid w:val="006713A1"/>
    <w:rsid w:val="00672CA1"/>
    <w:rsid w:val="00676EBC"/>
    <w:rsid w:val="00676FC8"/>
    <w:rsid w:val="00677149"/>
    <w:rsid w:val="0067782C"/>
    <w:rsid w:val="006802B7"/>
    <w:rsid w:val="0068461E"/>
    <w:rsid w:val="00684DE2"/>
    <w:rsid w:val="0068530D"/>
    <w:rsid w:val="00686227"/>
    <w:rsid w:val="00687CAE"/>
    <w:rsid w:val="00690753"/>
    <w:rsid w:val="00690F36"/>
    <w:rsid w:val="0069128B"/>
    <w:rsid w:val="00691736"/>
    <w:rsid w:val="00692D1E"/>
    <w:rsid w:val="006940B1"/>
    <w:rsid w:val="0069627B"/>
    <w:rsid w:val="00696706"/>
    <w:rsid w:val="006974A9"/>
    <w:rsid w:val="006A0271"/>
    <w:rsid w:val="006A0679"/>
    <w:rsid w:val="006A0FD8"/>
    <w:rsid w:val="006A2DDA"/>
    <w:rsid w:val="006A3E73"/>
    <w:rsid w:val="006A4D01"/>
    <w:rsid w:val="006A53A2"/>
    <w:rsid w:val="006A5B5D"/>
    <w:rsid w:val="006A5BF3"/>
    <w:rsid w:val="006A6E12"/>
    <w:rsid w:val="006B226F"/>
    <w:rsid w:val="006B3812"/>
    <w:rsid w:val="006B3AE0"/>
    <w:rsid w:val="006B4FC4"/>
    <w:rsid w:val="006B515F"/>
    <w:rsid w:val="006B5C6F"/>
    <w:rsid w:val="006B79E2"/>
    <w:rsid w:val="006C0680"/>
    <w:rsid w:val="006C1DCC"/>
    <w:rsid w:val="006C4B21"/>
    <w:rsid w:val="006C598B"/>
    <w:rsid w:val="006C5E6B"/>
    <w:rsid w:val="006C6A7D"/>
    <w:rsid w:val="006C6CCA"/>
    <w:rsid w:val="006C7942"/>
    <w:rsid w:val="006C7BEF"/>
    <w:rsid w:val="006D0E55"/>
    <w:rsid w:val="006D0F98"/>
    <w:rsid w:val="006D2502"/>
    <w:rsid w:val="006D2B2D"/>
    <w:rsid w:val="006D2E3A"/>
    <w:rsid w:val="006D5547"/>
    <w:rsid w:val="006E0A58"/>
    <w:rsid w:val="006E2CBC"/>
    <w:rsid w:val="006F07DB"/>
    <w:rsid w:val="006F3AE4"/>
    <w:rsid w:val="006F489F"/>
    <w:rsid w:val="006F5D76"/>
    <w:rsid w:val="006F6615"/>
    <w:rsid w:val="00701188"/>
    <w:rsid w:val="00701433"/>
    <w:rsid w:val="00701D8B"/>
    <w:rsid w:val="00701FC6"/>
    <w:rsid w:val="00702240"/>
    <w:rsid w:val="00702D8B"/>
    <w:rsid w:val="00705993"/>
    <w:rsid w:val="0070755A"/>
    <w:rsid w:val="007077D7"/>
    <w:rsid w:val="00707E30"/>
    <w:rsid w:val="00711422"/>
    <w:rsid w:val="0071277A"/>
    <w:rsid w:val="007134EA"/>
    <w:rsid w:val="00721472"/>
    <w:rsid w:val="007223B4"/>
    <w:rsid w:val="0072343D"/>
    <w:rsid w:val="00723964"/>
    <w:rsid w:val="0072427E"/>
    <w:rsid w:val="00725E0F"/>
    <w:rsid w:val="0073159E"/>
    <w:rsid w:val="00732900"/>
    <w:rsid w:val="0073407F"/>
    <w:rsid w:val="00734EF6"/>
    <w:rsid w:val="007354EC"/>
    <w:rsid w:val="00735B43"/>
    <w:rsid w:val="00740E59"/>
    <w:rsid w:val="00743A31"/>
    <w:rsid w:val="0074494A"/>
    <w:rsid w:val="00745B61"/>
    <w:rsid w:val="00750A09"/>
    <w:rsid w:val="00751789"/>
    <w:rsid w:val="0075550A"/>
    <w:rsid w:val="00755C97"/>
    <w:rsid w:val="00757B11"/>
    <w:rsid w:val="007607DF"/>
    <w:rsid w:val="00760832"/>
    <w:rsid w:val="007619CD"/>
    <w:rsid w:val="00762126"/>
    <w:rsid w:val="00762A96"/>
    <w:rsid w:val="00763B8A"/>
    <w:rsid w:val="00764164"/>
    <w:rsid w:val="00764587"/>
    <w:rsid w:val="007649FD"/>
    <w:rsid w:val="00767393"/>
    <w:rsid w:val="007673D8"/>
    <w:rsid w:val="00767F8B"/>
    <w:rsid w:val="00770DFF"/>
    <w:rsid w:val="0077186E"/>
    <w:rsid w:val="00771DDF"/>
    <w:rsid w:val="007723A6"/>
    <w:rsid w:val="00773EA2"/>
    <w:rsid w:val="00774029"/>
    <w:rsid w:val="00774559"/>
    <w:rsid w:val="00774797"/>
    <w:rsid w:val="007757C5"/>
    <w:rsid w:val="0077593D"/>
    <w:rsid w:val="007776F4"/>
    <w:rsid w:val="00777D0A"/>
    <w:rsid w:val="00780ED3"/>
    <w:rsid w:val="00783C6B"/>
    <w:rsid w:val="00784EC4"/>
    <w:rsid w:val="007855D7"/>
    <w:rsid w:val="00785B64"/>
    <w:rsid w:val="00786194"/>
    <w:rsid w:val="007921ED"/>
    <w:rsid w:val="0079356D"/>
    <w:rsid w:val="0079363B"/>
    <w:rsid w:val="007958E5"/>
    <w:rsid w:val="00795C7B"/>
    <w:rsid w:val="00796267"/>
    <w:rsid w:val="007A0BFE"/>
    <w:rsid w:val="007A0CA8"/>
    <w:rsid w:val="007A20B0"/>
    <w:rsid w:val="007A224D"/>
    <w:rsid w:val="007A53E1"/>
    <w:rsid w:val="007A7AE7"/>
    <w:rsid w:val="007B0932"/>
    <w:rsid w:val="007B0C3C"/>
    <w:rsid w:val="007B1A06"/>
    <w:rsid w:val="007B2D0E"/>
    <w:rsid w:val="007B4E71"/>
    <w:rsid w:val="007C09C3"/>
    <w:rsid w:val="007C1EC0"/>
    <w:rsid w:val="007C2075"/>
    <w:rsid w:val="007C34E0"/>
    <w:rsid w:val="007C4D88"/>
    <w:rsid w:val="007D0948"/>
    <w:rsid w:val="007D2B4A"/>
    <w:rsid w:val="007D2CAB"/>
    <w:rsid w:val="007D7DED"/>
    <w:rsid w:val="007E34F7"/>
    <w:rsid w:val="007E41E4"/>
    <w:rsid w:val="007E5D84"/>
    <w:rsid w:val="007E6415"/>
    <w:rsid w:val="007E7E23"/>
    <w:rsid w:val="007E7FA6"/>
    <w:rsid w:val="007F2179"/>
    <w:rsid w:val="007F35E9"/>
    <w:rsid w:val="007F4D6D"/>
    <w:rsid w:val="007F62F1"/>
    <w:rsid w:val="007F7668"/>
    <w:rsid w:val="007F7736"/>
    <w:rsid w:val="007F7E6E"/>
    <w:rsid w:val="00803D92"/>
    <w:rsid w:val="00803DDD"/>
    <w:rsid w:val="00805848"/>
    <w:rsid w:val="00806D47"/>
    <w:rsid w:val="008070D4"/>
    <w:rsid w:val="008070D6"/>
    <w:rsid w:val="00807A59"/>
    <w:rsid w:val="00807E4D"/>
    <w:rsid w:val="008102D9"/>
    <w:rsid w:val="00811E45"/>
    <w:rsid w:val="00811FBB"/>
    <w:rsid w:val="0081244D"/>
    <w:rsid w:val="00813C52"/>
    <w:rsid w:val="00813CB2"/>
    <w:rsid w:val="00814C6F"/>
    <w:rsid w:val="00814D5B"/>
    <w:rsid w:val="008154B7"/>
    <w:rsid w:val="00817442"/>
    <w:rsid w:val="00822691"/>
    <w:rsid w:val="008228FC"/>
    <w:rsid w:val="0082318C"/>
    <w:rsid w:val="00825F00"/>
    <w:rsid w:val="008325C0"/>
    <w:rsid w:val="00832829"/>
    <w:rsid w:val="00833E12"/>
    <w:rsid w:val="00836501"/>
    <w:rsid w:val="008373E5"/>
    <w:rsid w:val="00840027"/>
    <w:rsid w:val="00840FE0"/>
    <w:rsid w:val="00842DC9"/>
    <w:rsid w:val="008444B9"/>
    <w:rsid w:val="00844712"/>
    <w:rsid w:val="00850B72"/>
    <w:rsid w:val="00853A92"/>
    <w:rsid w:val="0085594A"/>
    <w:rsid w:val="00856E02"/>
    <w:rsid w:val="0085710A"/>
    <w:rsid w:val="00857116"/>
    <w:rsid w:val="008574B0"/>
    <w:rsid w:val="0086076B"/>
    <w:rsid w:val="00861623"/>
    <w:rsid w:val="00861A44"/>
    <w:rsid w:val="0086264D"/>
    <w:rsid w:val="008639C4"/>
    <w:rsid w:val="00865840"/>
    <w:rsid w:val="00866002"/>
    <w:rsid w:val="0086729F"/>
    <w:rsid w:val="0086749D"/>
    <w:rsid w:val="0086767B"/>
    <w:rsid w:val="008676E1"/>
    <w:rsid w:val="00867831"/>
    <w:rsid w:val="0087249E"/>
    <w:rsid w:val="00875E43"/>
    <w:rsid w:val="0087696B"/>
    <w:rsid w:val="00876BB8"/>
    <w:rsid w:val="008775A5"/>
    <w:rsid w:val="00880E04"/>
    <w:rsid w:val="00881110"/>
    <w:rsid w:val="008811CB"/>
    <w:rsid w:val="008854E5"/>
    <w:rsid w:val="00890356"/>
    <w:rsid w:val="00891063"/>
    <w:rsid w:val="0089284B"/>
    <w:rsid w:val="00893B41"/>
    <w:rsid w:val="00893BB1"/>
    <w:rsid w:val="008943E6"/>
    <w:rsid w:val="00896633"/>
    <w:rsid w:val="008966DC"/>
    <w:rsid w:val="008A1454"/>
    <w:rsid w:val="008A2DD0"/>
    <w:rsid w:val="008A6583"/>
    <w:rsid w:val="008A7179"/>
    <w:rsid w:val="008B212C"/>
    <w:rsid w:val="008B2454"/>
    <w:rsid w:val="008B26A0"/>
    <w:rsid w:val="008B4F16"/>
    <w:rsid w:val="008C12FC"/>
    <w:rsid w:val="008C1657"/>
    <w:rsid w:val="008C2706"/>
    <w:rsid w:val="008C2A22"/>
    <w:rsid w:val="008C44C0"/>
    <w:rsid w:val="008C4D6F"/>
    <w:rsid w:val="008C52A3"/>
    <w:rsid w:val="008C5D3B"/>
    <w:rsid w:val="008D07E5"/>
    <w:rsid w:val="008D0DA0"/>
    <w:rsid w:val="008D275F"/>
    <w:rsid w:val="008D5022"/>
    <w:rsid w:val="008D51F7"/>
    <w:rsid w:val="008E023D"/>
    <w:rsid w:val="008E063F"/>
    <w:rsid w:val="008E524B"/>
    <w:rsid w:val="008E6B59"/>
    <w:rsid w:val="008E6E45"/>
    <w:rsid w:val="008E7B85"/>
    <w:rsid w:val="008F1205"/>
    <w:rsid w:val="008F2C8E"/>
    <w:rsid w:val="008F332B"/>
    <w:rsid w:val="008F54F1"/>
    <w:rsid w:val="008F647C"/>
    <w:rsid w:val="008F6A55"/>
    <w:rsid w:val="008F73CB"/>
    <w:rsid w:val="009005DF"/>
    <w:rsid w:val="00903DA9"/>
    <w:rsid w:val="00903E98"/>
    <w:rsid w:val="00904256"/>
    <w:rsid w:val="00904276"/>
    <w:rsid w:val="0090457E"/>
    <w:rsid w:val="009079A4"/>
    <w:rsid w:val="00913945"/>
    <w:rsid w:val="00913ABD"/>
    <w:rsid w:val="0091420C"/>
    <w:rsid w:val="009144B5"/>
    <w:rsid w:val="009172BE"/>
    <w:rsid w:val="00920BB5"/>
    <w:rsid w:val="00920E90"/>
    <w:rsid w:val="009255EE"/>
    <w:rsid w:val="0093062D"/>
    <w:rsid w:val="00930AE9"/>
    <w:rsid w:val="0093207A"/>
    <w:rsid w:val="009342CB"/>
    <w:rsid w:val="009353C3"/>
    <w:rsid w:val="00935749"/>
    <w:rsid w:val="009436E1"/>
    <w:rsid w:val="00944657"/>
    <w:rsid w:val="009448AF"/>
    <w:rsid w:val="009450EE"/>
    <w:rsid w:val="009474A2"/>
    <w:rsid w:val="00947EAB"/>
    <w:rsid w:val="00951C27"/>
    <w:rsid w:val="009522D4"/>
    <w:rsid w:val="00953770"/>
    <w:rsid w:val="009544E1"/>
    <w:rsid w:val="00957A68"/>
    <w:rsid w:val="009606CC"/>
    <w:rsid w:val="00960B2B"/>
    <w:rsid w:val="009619B1"/>
    <w:rsid w:val="00961B24"/>
    <w:rsid w:val="00962290"/>
    <w:rsid w:val="009633AF"/>
    <w:rsid w:val="00963CE4"/>
    <w:rsid w:val="00965C53"/>
    <w:rsid w:val="00965EAE"/>
    <w:rsid w:val="00966B26"/>
    <w:rsid w:val="009702B7"/>
    <w:rsid w:val="009708B6"/>
    <w:rsid w:val="0097265B"/>
    <w:rsid w:val="0097320C"/>
    <w:rsid w:val="00974F25"/>
    <w:rsid w:val="0097563A"/>
    <w:rsid w:val="00977934"/>
    <w:rsid w:val="0098062D"/>
    <w:rsid w:val="009811F5"/>
    <w:rsid w:val="00982743"/>
    <w:rsid w:val="009849B8"/>
    <w:rsid w:val="00985B9E"/>
    <w:rsid w:val="00986BC1"/>
    <w:rsid w:val="00991BDB"/>
    <w:rsid w:val="00992E65"/>
    <w:rsid w:val="00992EDF"/>
    <w:rsid w:val="00993AE3"/>
    <w:rsid w:val="00994980"/>
    <w:rsid w:val="009A31A9"/>
    <w:rsid w:val="009A50EE"/>
    <w:rsid w:val="009A558B"/>
    <w:rsid w:val="009A7141"/>
    <w:rsid w:val="009A7E39"/>
    <w:rsid w:val="009B0224"/>
    <w:rsid w:val="009B1508"/>
    <w:rsid w:val="009B423D"/>
    <w:rsid w:val="009B6B69"/>
    <w:rsid w:val="009C06D9"/>
    <w:rsid w:val="009C09D1"/>
    <w:rsid w:val="009C1314"/>
    <w:rsid w:val="009C29A3"/>
    <w:rsid w:val="009C3C87"/>
    <w:rsid w:val="009C519C"/>
    <w:rsid w:val="009C7A9A"/>
    <w:rsid w:val="009C7D86"/>
    <w:rsid w:val="009D123C"/>
    <w:rsid w:val="009D311F"/>
    <w:rsid w:val="009D381D"/>
    <w:rsid w:val="009D446B"/>
    <w:rsid w:val="009D569F"/>
    <w:rsid w:val="009D7660"/>
    <w:rsid w:val="009E0C21"/>
    <w:rsid w:val="009E19CC"/>
    <w:rsid w:val="009E40ED"/>
    <w:rsid w:val="009E4907"/>
    <w:rsid w:val="009E49F8"/>
    <w:rsid w:val="009E5450"/>
    <w:rsid w:val="009E58B0"/>
    <w:rsid w:val="009E5CCC"/>
    <w:rsid w:val="009E5F43"/>
    <w:rsid w:val="009E73B5"/>
    <w:rsid w:val="009F0AEB"/>
    <w:rsid w:val="009F22DF"/>
    <w:rsid w:val="009F57C3"/>
    <w:rsid w:val="009F5F4D"/>
    <w:rsid w:val="00A01179"/>
    <w:rsid w:val="00A03AD8"/>
    <w:rsid w:val="00A03EED"/>
    <w:rsid w:val="00A04617"/>
    <w:rsid w:val="00A10643"/>
    <w:rsid w:val="00A12121"/>
    <w:rsid w:val="00A12A08"/>
    <w:rsid w:val="00A147A1"/>
    <w:rsid w:val="00A14B0D"/>
    <w:rsid w:val="00A15221"/>
    <w:rsid w:val="00A15B35"/>
    <w:rsid w:val="00A1623D"/>
    <w:rsid w:val="00A17B60"/>
    <w:rsid w:val="00A2269C"/>
    <w:rsid w:val="00A22B2D"/>
    <w:rsid w:val="00A26E3C"/>
    <w:rsid w:val="00A3286C"/>
    <w:rsid w:val="00A335E8"/>
    <w:rsid w:val="00A34AF9"/>
    <w:rsid w:val="00A363F3"/>
    <w:rsid w:val="00A37F92"/>
    <w:rsid w:val="00A4072F"/>
    <w:rsid w:val="00A40733"/>
    <w:rsid w:val="00A42D92"/>
    <w:rsid w:val="00A43E99"/>
    <w:rsid w:val="00A44741"/>
    <w:rsid w:val="00A45D0D"/>
    <w:rsid w:val="00A46E47"/>
    <w:rsid w:val="00A50602"/>
    <w:rsid w:val="00A520EE"/>
    <w:rsid w:val="00A53091"/>
    <w:rsid w:val="00A53C39"/>
    <w:rsid w:val="00A53FA2"/>
    <w:rsid w:val="00A54322"/>
    <w:rsid w:val="00A54A6D"/>
    <w:rsid w:val="00A54F71"/>
    <w:rsid w:val="00A55548"/>
    <w:rsid w:val="00A55E19"/>
    <w:rsid w:val="00A5660C"/>
    <w:rsid w:val="00A56B64"/>
    <w:rsid w:val="00A56C94"/>
    <w:rsid w:val="00A57096"/>
    <w:rsid w:val="00A61EC6"/>
    <w:rsid w:val="00A6374A"/>
    <w:rsid w:val="00A64E3F"/>
    <w:rsid w:val="00A65AA5"/>
    <w:rsid w:val="00A65FF5"/>
    <w:rsid w:val="00A661AE"/>
    <w:rsid w:val="00A67268"/>
    <w:rsid w:val="00A70A28"/>
    <w:rsid w:val="00A726FF"/>
    <w:rsid w:val="00A72D6A"/>
    <w:rsid w:val="00A73899"/>
    <w:rsid w:val="00A73D12"/>
    <w:rsid w:val="00A740B4"/>
    <w:rsid w:val="00A80810"/>
    <w:rsid w:val="00A82A36"/>
    <w:rsid w:val="00A866C4"/>
    <w:rsid w:val="00A9274B"/>
    <w:rsid w:val="00A927C1"/>
    <w:rsid w:val="00A92972"/>
    <w:rsid w:val="00A94161"/>
    <w:rsid w:val="00A959E2"/>
    <w:rsid w:val="00A967B3"/>
    <w:rsid w:val="00AA000E"/>
    <w:rsid w:val="00AA2245"/>
    <w:rsid w:val="00AA228A"/>
    <w:rsid w:val="00AA3520"/>
    <w:rsid w:val="00AA3787"/>
    <w:rsid w:val="00AA3E3E"/>
    <w:rsid w:val="00AA448C"/>
    <w:rsid w:val="00AA4DFD"/>
    <w:rsid w:val="00AA55FD"/>
    <w:rsid w:val="00AA667C"/>
    <w:rsid w:val="00AB2438"/>
    <w:rsid w:val="00AB4153"/>
    <w:rsid w:val="00AB50C0"/>
    <w:rsid w:val="00AB5CC0"/>
    <w:rsid w:val="00AB6DF0"/>
    <w:rsid w:val="00AC4549"/>
    <w:rsid w:val="00AC67BB"/>
    <w:rsid w:val="00AC7C6D"/>
    <w:rsid w:val="00AD016E"/>
    <w:rsid w:val="00AD31D6"/>
    <w:rsid w:val="00AD435A"/>
    <w:rsid w:val="00AD5756"/>
    <w:rsid w:val="00AD7CC6"/>
    <w:rsid w:val="00AE051D"/>
    <w:rsid w:val="00AE093C"/>
    <w:rsid w:val="00AE1150"/>
    <w:rsid w:val="00AE3DC4"/>
    <w:rsid w:val="00AE3FDB"/>
    <w:rsid w:val="00AE4A34"/>
    <w:rsid w:val="00AE6AE7"/>
    <w:rsid w:val="00AF102A"/>
    <w:rsid w:val="00AF11CB"/>
    <w:rsid w:val="00AF252C"/>
    <w:rsid w:val="00AF2D4F"/>
    <w:rsid w:val="00AF2DEE"/>
    <w:rsid w:val="00AF2E44"/>
    <w:rsid w:val="00AF3521"/>
    <w:rsid w:val="00AF4F63"/>
    <w:rsid w:val="00AF65D1"/>
    <w:rsid w:val="00B013C4"/>
    <w:rsid w:val="00B01CE3"/>
    <w:rsid w:val="00B03885"/>
    <w:rsid w:val="00B03A93"/>
    <w:rsid w:val="00B05923"/>
    <w:rsid w:val="00B059EF"/>
    <w:rsid w:val="00B05ED9"/>
    <w:rsid w:val="00B06F33"/>
    <w:rsid w:val="00B07C43"/>
    <w:rsid w:val="00B1034D"/>
    <w:rsid w:val="00B1179E"/>
    <w:rsid w:val="00B11EAA"/>
    <w:rsid w:val="00B15FA3"/>
    <w:rsid w:val="00B23470"/>
    <w:rsid w:val="00B24204"/>
    <w:rsid w:val="00B25542"/>
    <w:rsid w:val="00B27057"/>
    <w:rsid w:val="00B27072"/>
    <w:rsid w:val="00B27CF3"/>
    <w:rsid w:val="00B34AF0"/>
    <w:rsid w:val="00B35B47"/>
    <w:rsid w:val="00B35B60"/>
    <w:rsid w:val="00B3672D"/>
    <w:rsid w:val="00B43A8F"/>
    <w:rsid w:val="00B440E1"/>
    <w:rsid w:val="00B446FB"/>
    <w:rsid w:val="00B44A12"/>
    <w:rsid w:val="00B46B7E"/>
    <w:rsid w:val="00B4702E"/>
    <w:rsid w:val="00B47D13"/>
    <w:rsid w:val="00B5028A"/>
    <w:rsid w:val="00B50D8F"/>
    <w:rsid w:val="00B5126E"/>
    <w:rsid w:val="00B5216D"/>
    <w:rsid w:val="00B56ABD"/>
    <w:rsid w:val="00B57DC0"/>
    <w:rsid w:val="00B60016"/>
    <w:rsid w:val="00B638BA"/>
    <w:rsid w:val="00B6502F"/>
    <w:rsid w:val="00B65C7E"/>
    <w:rsid w:val="00B66E98"/>
    <w:rsid w:val="00B66EE8"/>
    <w:rsid w:val="00B674DF"/>
    <w:rsid w:val="00B711EC"/>
    <w:rsid w:val="00B716BB"/>
    <w:rsid w:val="00B71AA5"/>
    <w:rsid w:val="00B72CBE"/>
    <w:rsid w:val="00B75E74"/>
    <w:rsid w:val="00B81F1F"/>
    <w:rsid w:val="00B82FB2"/>
    <w:rsid w:val="00B83B6F"/>
    <w:rsid w:val="00B84539"/>
    <w:rsid w:val="00B846E8"/>
    <w:rsid w:val="00B868CA"/>
    <w:rsid w:val="00B93FF1"/>
    <w:rsid w:val="00B94D05"/>
    <w:rsid w:val="00B969C4"/>
    <w:rsid w:val="00B97EC2"/>
    <w:rsid w:val="00BA140D"/>
    <w:rsid w:val="00BA1DBB"/>
    <w:rsid w:val="00BA2DF8"/>
    <w:rsid w:val="00BA3485"/>
    <w:rsid w:val="00BA71CC"/>
    <w:rsid w:val="00BB082B"/>
    <w:rsid w:val="00BB1605"/>
    <w:rsid w:val="00BB1AB6"/>
    <w:rsid w:val="00BB5EB3"/>
    <w:rsid w:val="00BB6159"/>
    <w:rsid w:val="00BB6493"/>
    <w:rsid w:val="00BB6A7F"/>
    <w:rsid w:val="00BC4CA4"/>
    <w:rsid w:val="00BC4CD9"/>
    <w:rsid w:val="00BC761C"/>
    <w:rsid w:val="00BD3B18"/>
    <w:rsid w:val="00BD55F0"/>
    <w:rsid w:val="00BD6080"/>
    <w:rsid w:val="00BD6784"/>
    <w:rsid w:val="00BD79CF"/>
    <w:rsid w:val="00BE0E4B"/>
    <w:rsid w:val="00BE31F1"/>
    <w:rsid w:val="00BE718C"/>
    <w:rsid w:val="00BF122B"/>
    <w:rsid w:val="00BF505E"/>
    <w:rsid w:val="00BF5F39"/>
    <w:rsid w:val="00BF7266"/>
    <w:rsid w:val="00BF79B5"/>
    <w:rsid w:val="00C00823"/>
    <w:rsid w:val="00C00A4D"/>
    <w:rsid w:val="00C01B81"/>
    <w:rsid w:val="00C02096"/>
    <w:rsid w:val="00C07026"/>
    <w:rsid w:val="00C10062"/>
    <w:rsid w:val="00C100AF"/>
    <w:rsid w:val="00C103E8"/>
    <w:rsid w:val="00C1183F"/>
    <w:rsid w:val="00C13869"/>
    <w:rsid w:val="00C1427F"/>
    <w:rsid w:val="00C16C83"/>
    <w:rsid w:val="00C17A93"/>
    <w:rsid w:val="00C20596"/>
    <w:rsid w:val="00C21687"/>
    <w:rsid w:val="00C22699"/>
    <w:rsid w:val="00C2285D"/>
    <w:rsid w:val="00C2327A"/>
    <w:rsid w:val="00C23F43"/>
    <w:rsid w:val="00C2448E"/>
    <w:rsid w:val="00C25B68"/>
    <w:rsid w:val="00C2773E"/>
    <w:rsid w:val="00C30681"/>
    <w:rsid w:val="00C34E10"/>
    <w:rsid w:val="00C34FDF"/>
    <w:rsid w:val="00C35BB6"/>
    <w:rsid w:val="00C364CF"/>
    <w:rsid w:val="00C369C7"/>
    <w:rsid w:val="00C3730D"/>
    <w:rsid w:val="00C40423"/>
    <w:rsid w:val="00C4060D"/>
    <w:rsid w:val="00C40893"/>
    <w:rsid w:val="00C40926"/>
    <w:rsid w:val="00C43E20"/>
    <w:rsid w:val="00C446AC"/>
    <w:rsid w:val="00C45744"/>
    <w:rsid w:val="00C45D65"/>
    <w:rsid w:val="00C47396"/>
    <w:rsid w:val="00C47A39"/>
    <w:rsid w:val="00C52318"/>
    <w:rsid w:val="00C52E79"/>
    <w:rsid w:val="00C54D98"/>
    <w:rsid w:val="00C5512E"/>
    <w:rsid w:val="00C57E75"/>
    <w:rsid w:val="00C60117"/>
    <w:rsid w:val="00C61D84"/>
    <w:rsid w:val="00C631A9"/>
    <w:rsid w:val="00C64867"/>
    <w:rsid w:val="00C70301"/>
    <w:rsid w:val="00C70D78"/>
    <w:rsid w:val="00C713F3"/>
    <w:rsid w:val="00C7174E"/>
    <w:rsid w:val="00C71BE3"/>
    <w:rsid w:val="00C73769"/>
    <w:rsid w:val="00C74CC2"/>
    <w:rsid w:val="00C7519B"/>
    <w:rsid w:val="00C759C6"/>
    <w:rsid w:val="00C76E6C"/>
    <w:rsid w:val="00C773C6"/>
    <w:rsid w:val="00C813BA"/>
    <w:rsid w:val="00C81F60"/>
    <w:rsid w:val="00C821A5"/>
    <w:rsid w:val="00C84171"/>
    <w:rsid w:val="00C845CA"/>
    <w:rsid w:val="00C85CAD"/>
    <w:rsid w:val="00C867CF"/>
    <w:rsid w:val="00C86DFB"/>
    <w:rsid w:val="00C902E6"/>
    <w:rsid w:val="00C9345D"/>
    <w:rsid w:val="00C9620C"/>
    <w:rsid w:val="00C97686"/>
    <w:rsid w:val="00C97F8A"/>
    <w:rsid w:val="00CA0125"/>
    <w:rsid w:val="00CA244C"/>
    <w:rsid w:val="00CA2E91"/>
    <w:rsid w:val="00CA399F"/>
    <w:rsid w:val="00CA46DA"/>
    <w:rsid w:val="00CA602B"/>
    <w:rsid w:val="00CB08F4"/>
    <w:rsid w:val="00CB1128"/>
    <w:rsid w:val="00CB1522"/>
    <w:rsid w:val="00CB31FA"/>
    <w:rsid w:val="00CB4431"/>
    <w:rsid w:val="00CB6FBF"/>
    <w:rsid w:val="00CB7FEB"/>
    <w:rsid w:val="00CC10D0"/>
    <w:rsid w:val="00CC1F71"/>
    <w:rsid w:val="00CC27D4"/>
    <w:rsid w:val="00CC2B38"/>
    <w:rsid w:val="00CC347B"/>
    <w:rsid w:val="00CC45C6"/>
    <w:rsid w:val="00CC4EAC"/>
    <w:rsid w:val="00CC6818"/>
    <w:rsid w:val="00CC6E18"/>
    <w:rsid w:val="00CC792C"/>
    <w:rsid w:val="00CC7D2F"/>
    <w:rsid w:val="00CD1140"/>
    <w:rsid w:val="00CD1BB3"/>
    <w:rsid w:val="00CD229C"/>
    <w:rsid w:val="00CD4A43"/>
    <w:rsid w:val="00CD5CF6"/>
    <w:rsid w:val="00CD734D"/>
    <w:rsid w:val="00CD74FB"/>
    <w:rsid w:val="00CE0173"/>
    <w:rsid w:val="00CE0723"/>
    <w:rsid w:val="00CE183C"/>
    <w:rsid w:val="00CE380F"/>
    <w:rsid w:val="00CE41CC"/>
    <w:rsid w:val="00CE4240"/>
    <w:rsid w:val="00CE43E2"/>
    <w:rsid w:val="00CE49C9"/>
    <w:rsid w:val="00CE5074"/>
    <w:rsid w:val="00CE5A07"/>
    <w:rsid w:val="00CF02C1"/>
    <w:rsid w:val="00CF1699"/>
    <w:rsid w:val="00CF26AE"/>
    <w:rsid w:val="00CF2E0E"/>
    <w:rsid w:val="00CF310A"/>
    <w:rsid w:val="00CF3620"/>
    <w:rsid w:val="00CF365B"/>
    <w:rsid w:val="00CF4F3A"/>
    <w:rsid w:val="00CF51F3"/>
    <w:rsid w:val="00CF53A0"/>
    <w:rsid w:val="00CF54F2"/>
    <w:rsid w:val="00D008D1"/>
    <w:rsid w:val="00D01928"/>
    <w:rsid w:val="00D0496C"/>
    <w:rsid w:val="00D05094"/>
    <w:rsid w:val="00D07E00"/>
    <w:rsid w:val="00D13205"/>
    <w:rsid w:val="00D13EED"/>
    <w:rsid w:val="00D15DE6"/>
    <w:rsid w:val="00D177C7"/>
    <w:rsid w:val="00D20F47"/>
    <w:rsid w:val="00D25560"/>
    <w:rsid w:val="00D26A55"/>
    <w:rsid w:val="00D26D64"/>
    <w:rsid w:val="00D31443"/>
    <w:rsid w:val="00D318E6"/>
    <w:rsid w:val="00D32E6A"/>
    <w:rsid w:val="00D35462"/>
    <w:rsid w:val="00D400B7"/>
    <w:rsid w:val="00D40614"/>
    <w:rsid w:val="00D40CB9"/>
    <w:rsid w:val="00D458E9"/>
    <w:rsid w:val="00D47651"/>
    <w:rsid w:val="00D47774"/>
    <w:rsid w:val="00D47CA0"/>
    <w:rsid w:val="00D50505"/>
    <w:rsid w:val="00D51733"/>
    <w:rsid w:val="00D517DC"/>
    <w:rsid w:val="00D521CE"/>
    <w:rsid w:val="00D52745"/>
    <w:rsid w:val="00D52F01"/>
    <w:rsid w:val="00D538D8"/>
    <w:rsid w:val="00D54378"/>
    <w:rsid w:val="00D5783B"/>
    <w:rsid w:val="00D6145F"/>
    <w:rsid w:val="00D618EB"/>
    <w:rsid w:val="00D62A49"/>
    <w:rsid w:val="00D63432"/>
    <w:rsid w:val="00D63D68"/>
    <w:rsid w:val="00D64514"/>
    <w:rsid w:val="00D645D8"/>
    <w:rsid w:val="00D64810"/>
    <w:rsid w:val="00D64B1E"/>
    <w:rsid w:val="00D6519D"/>
    <w:rsid w:val="00D65C21"/>
    <w:rsid w:val="00D704C0"/>
    <w:rsid w:val="00D70748"/>
    <w:rsid w:val="00D71E07"/>
    <w:rsid w:val="00D744EE"/>
    <w:rsid w:val="00D75F91"/>
    <w:rsid w:val="00D8122D"/>
    <w:rsid w:val="00D8147F"/>
    <w:rsid w:val="00D814EB"/>
    <w:rsid w:val="00D81B81"/>
    <w:rsid w:val="00D84295"/>
    <w:rsid w:val="00D86ED3"/>
    <w:rsid w:val="00D878BB"/>
    <w:rsid w:val="00D87ED0"/>
    <w:rsid w:val="00D906D7"/>
    <w:rsid w:val="00D92111"/>
    <w:rsid w:val="00D9269F"/>
    <w:rsid w:val="00D942D9"/>
    <w:rsid w:val="00DA02F2"/>
    <w:rsid w:val="00DA1206"/>
    <w:rsid w:val="00DA185F"/>
    <w:rsid w:val="00DA34A1"/>
    <w:rsid w:val="00DA5258"/>
    <w:rsid w:val="00DA5A51"/>
    <w:rsid w:val="00DA7B90"/>
    <w:rsid w:val="00DB0218"/>
    <w:rsid w:val="00DB1A44"/>
    <w:rsid w:val="00DB1DCC"/>
    <w:rsid w:val="00DB1F21"/>
    <w:rsid w:val="00DB21AE"/>
    <w:rsid w:val="00DB39AE"/>
    <w:rsid w:val="00DB4C27"/>
    <w:rsid w:val="00DB5873"/>
    <w:rsid w:val="00DB6ADF"/>
    <w:rsid w:val="00DB77A1"/>
    <w:rsid w:val="00DB7E5F"/>
    <w:rsid w:val="00DC26B1"/>
    <w:rsid w:val="00DC2E16"/>
    <w:rsid w:val="00DC347B"/>
    <w:rsid w:val="00DC5B5F"/>
    <w:rsid w:val="00DD07B0"/>
    <w:rsid w:val="00DD3052"/>
    <w:rsid w:val="00DD3554"/>
    <w:rsid w:val="00DD36DC"/>
    <w:rsid w:val="00DD39F1"/>
    <w:rsid w:val="00DE00FE"/>
    <w:rsid w:val="00DE16AD"/>
    <w:rsid w:val="00DE188F"/>
    <w:rsid w:val="00DE3A5F"/>
    <w:rsid w:val="00DF04CC"/>
    <w:rsid w:val="00DF3126"/>
    <w:rsid w:val="00DF36DB"/>
    <w:rsid w:val="00DF4F56"/>
    <w:rsid w:val="00DF7C50"/>
    <w:rsid w:val="00E00191"/>
    <w:rsid w:val="00E022FF"/>
    <w:rsid w:val="00E0279E"/>
    <w:rsid w:val="00E03B8A"/>
    <w:rsid w:val="00E03FC6"/>
    <w:rsid w:val="00E050D9"/>
    <w:rsid w:val="00E12004"/>
    <w:rsid w:val="00E1265A"/>
    <w:rsid w:val="00E12CA4"/>
    <w:rsid w:val="00E12F51"/>
    <w:rsid w:val="00E142AC"/>
    <w:rsid w:val="00E14CFD"/>
    <w:rsid w:val="00E16E5C"/>
    <w:rsid w:val="00E2185B"/>
    <w:rsid w:val="00E21DC9"/>
    <w:rsid w:val="00E24590"/>
    <w:rsid w:val="00E252D0"/>
    <w:rsid w:val="00E32220"/>
    <w:rsid w:val="00E33415"/>
    <w:rsid w:val="00E3526C"/>
    <w:rsid w:val="00E363F5"/>
    <w:rsid w:val="00E37D63"/>
    <w:rsid w:val="00E40722"/>
    <w:rsid w:val="00E40FF4"/>
    <w:rsid w:val="00E429DC"/>
    <w:rsid w:val="00E43507"/>
    <w:rsid w:val="00E43CC8"/>
    <w:rsid w:val="00E444C0"/>
    <w:rsid w:val="00E509ED"/>
    <w:rsid w:val="00E5264C"/>
    <w:rsid w:val="00E56BF4"/>
    <w:rsid w:val="00E60D05"/>
    <w:rsid w:val="00E61CE2"/>
    <w:rsid w:val="00E62C9D"/>
    <w:rsid w:val="00E63A0B"/>
    <w:rsid w:val="00E63AF0"/>
    <w:rsid w:val="00E63E9C"/>
    <w:rsid w:val="00E65999"/>
    <w:rsid w:val="00E661C8"/>
    <w:rsid w:val="00E669C5"/>
    <w:rsid w:val="00E66F2C"/>
    <w:rsid w:val="00E714DB"/>
    <w:rsid w:val="00E72C95"/>
    <w:rsid w:val="00E73874"/>
    <w:rsid w:val="00E775A6"/>
    <w:rsid w:val="00E778DF"/>
    <w:rsid w:val="00E81CE4"/>
    <w:rsid w:val="00E82CFA"/>
    <w:rsid w:val="00E84615"/>
    <w:rsid w:val="00E858C8"/>
    <w:rsid w:val="00E86DFC"/>
    <w:rsid w:val="00E873AE"/>
    <w:rsid w:val="00E87583"/>
    <w:rsid w:val="00E87D59"/>
    <w:rsid w:val="00E91591"/>
    <w:rsid w:val="00E94F23"/>
    <w:rsid w:val="00EA24EE"/>
    <w:rsid w:val="00EA3A09"/>
    <w:rsid w:val="00EA5860"/>
    <w:rsid w:val="00EB1DF9"/>
    <w:rsid w:val="00EB285F"/>
    <w:rsid w:val="00EB2DF7"/>
    <w:rsid w:val="00EB4F72"/>
    <w:rsid w:val="00EB69DA"/>
    <w:rsid w:val="00EB7DDD"/>
    <w:rsid w:val="00EC0430"/>
    <w:rsid w:val="00EC070D"/>
    <w:rsid w:val="00EC1780"/>
    <w:rsid w:val="00EC24C3"/>
    <w:rsid w:val="00EC2CF7"/>
    <w:rsid w:val="00EC3A2E"/>
    <w:rsid w:val="00EC44F6"/>
    <w:rsid w:val="00EC4759"/>
    <w:rsid w:val="00EC621F"/>
    <w:rsid w:val="00EC6724"/>
    <w:rsid w:val="00EC73ED"/>
    <w:rsid w:val="00EC77DB"/>
    <w:rsid w:val="00ED2ADA"/>
    <w:rsid w:val="00ED4B9A"/>
    <w:rsid w:val="00ED5F6B"/>
    <w:rsid w:val="00ED64EA"/>
    <w:rsid w:val="00ED685C"/>
    <w:rsid w:val="00ED747F"/>
    <w:rsid w:val="00EE1D7C"/>
    <w:rsid w:val="00EE6296"/>
    <w:rsid w:val="00EE6992"/>
    <w:rsid w:val="00EE70C9"/>
    <w:rsid w:val="00EF04BD"/>
    <w:rsid w:val="00EF04C2"/>
    <w:rsid w:val="00EF0C0F"/>
    <w:rsid w:val="00EF238D"/>
    <w:rsid w:val="00EF296D"/>
    <w:rsid w:val="00EF3C46"/>
    <w:rsid w:val="00EF4680"/>
    <w:rsid w:val="00EF496A"/>
    <w:rsid w:val="00EF6B67"/>
    <w:rsid w:val="00EF71E9"/>
    <w:rsid w:val="00EF741F"/>
    <w:rsid w:val="00EF7BEC"/>
    <w:rsid w:val="00EF7CE1"/>
    <w:rsid w:val="00F02426"/>
    <w:rsid w:val="00F030C8"/>
    <w:rsid w:val="00F04262"/>
    <w:rsid w:val="00F06233"/>
    <w:rsid w:val="00F077F5"/>
    <w:rsid w:val="00F07B97"/>
    <w:rsid w:val="00F108EE"/>
    <w:rsid w:val="00F10A72"/>
    <w:rsid w:val="00F1129A"/>
    <w:rsid w:val="00F113DE"/>
    <w:rsid w:val="00F11778"/>
    <w:rsid w:val="00F12EA2"/>
    <w:rsid w:val="00F13AF9"/>
    <w:rsid w:val="00F13BE5"/>
    <w:rsid w:val="00F16563"/>
    <w:rsid w:val="00F16D39"/>
    <w:rsid w:val="00F20B63"/>
    <w:rsid w:val="00F2198B"/>
    <w:rsid w:val="00F225D5"/>
    <w:rsid w:val="00F23178"/>
    <w:rsid w:val="00F248A8"/>
    <w:rsid w:val="00F25DA2"/>
    <w:rsid w:val="00F2663A"/>
    <w:rsid w:val="00F27F8F"/>
    <w:rsid w:val="00F311AC"/>
    <w:rsid w:val="00F3163C"/>
    <w:rsid w:val="00F31722"/>
    <w:rsid w:val="00F32152"/>
    <w:rsid w:val="00F32798"/>
    <w:rsid w:val="00F34A45"/>
    <w:rsid w:val="00F34C43"/>
    <w:rsid w:val="00F35356"/>
    <w:rsid w:val="00F37C3F"/>
    <w:rsid w:val="00F40272"/>
    <w:rsid w:val="00F421AD"/>
    <w:rsid w:val="00F42BFF"/>
    <w:rsid w:val="00F43E0D"/>
    <w:rsid w:val="00F443B1"/>
    <w:rsid w:val="00F44F40"/>
    <w:rsid w:val="00F462BC"/>
    <w:rsid w:val="00F466D5"/>
    <w:rsid w:val="00F5000B"/>
    <w:rsid w:val="00F51354"/>
    <w:rsid w:val="00F53344"/>
    <w:rsid w:val="00F54707"/>
    <w:rsid w:val="00F54E6D"/>
    <w:rsid w:val="00F556D2"/>
    <w:rsid w:val="00F578B1"/>
    <w:rsid w:val="00F603D8"/>
    <w:rsid w:val="00F63AE7"/>
    <w:rsid w:val="00F63D5D"/>
    <w:rsid w:val="00F647CA"/>
    <w:rsid w:val="00F66E63"/>
    <w:rsid w:val="00F67F99"/>
    <w:rsid w:val="00F70239"/>
    <w:rsid w:val="00F7036B"/>
    <w:rsid w:val="00F706A0"/>
    <w:rsid w:val="00F71A7E"/>
    <w:rsid w:val="00F71BBF"/>
    <w:rsid w:val="00F7329A"/>
    <w:rsid w:val="00F76236"/>
    <w:rsid w:val="00F76421"/>
    <w:rsid w:val="00F77773"/>
    <w:rsid w:val="00F8022B"/>
    <w:rsid w:val="00F82937"/>
    <w:rsid w:val="00F834A3"/>
    <w:rsid w:val="00F84376"/>
    <w:rsid w:val="00F84A4A"/>
    <w:rsid w:val="00F868A2"/>
    <w:rsid w:val="00F90382"/>
    <w:rsid w:val="00F92744"/>
    <w:rsid w:val="00F933D6"/>
    <w:rsid w:val="00F943B0"/>
    <w:rsid w:val="00F94507"/>
    <w:rsid w:val="00F96530"/>
    <w:rsid w:val="00FA0119"/>
    <w:rsid w:val="00FA2312"/>
    <w:rsid w:val="00FA24CA"/>
    <w:rsid w:val="00FA2DD9"/>
    <w:rsid w:val="00FA38F0"/>
    <w:rsid w:val="00FA4433"/>
    <w:rsid w:val="00FB1DD3"/>
    <w:rsid w:val="00FB27B7"/>
    <w:rsid w:val="00FB5359"/>
    <w:rsid w:val="00FB5696"/>
    <w:rsid w:val="00FB575F"/>
    <w:rsid w:val="00FC02B5"/>
    <w:rsid w:val="00FC0DED"/>
    <w:rsid w:val="00FC12C4"/>
    <w:rsid w:val="00FC3604"/>
    <w:rsid w:val="00FC4C24"/>
    <w:rsid w:val="00FC4DD6"/>
    <w:rsid w:val="00FC6104"/>
    <w:rsid w:val="00FD073D"/>
    <w:rsid w:val="00FD14E9"/>
    <w:rsid w:val="00FD181D"/>
    <w:rsid w:val="00FD527E"/>
    <w:rsid w:val="00FD56E1"/>
    <w:rsid w:val="00FD64BD"/>
    <w:rsid w:val="00FD7014"/>
    <w:rsid w:val="00FD701F"/>
    <w:rsid w:val="00FD70F4"/>
    <w:rsid w:val="00FD7682"/>
    <w:rsid w:val="00FE04A8"/>
    <w:rsid w:val="00FE4758"/>
    <w:rsid w:val="00FE5841"/>
    <w:rsid w:val="00FE6637"/>
    <w:rsid w:val="00FF0E22"/>
    <w:rsid w:val="00FF34E7"/>
    <w:rsid w:val="00FF3BDB"/>
    <w:rsid w:val="00FF55B0"/>
    <w:rsid w:val="00FF5E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838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614"/>
    <w:rPr>
      <w:rFonts w:ascii="Times New Roman" w:hAnsi="Times New Roman" w:cs="Times New Roman"/>
      <w:lang w:eastAsia="zh-CN"/>
    </w:rPr>
  </w:style>
  <w:style w:type="paragraph" w:styleId="Heading1">
    <w:name w:val="heading 1"/>
    <w:basedOn w:val="Normal"/>
    <w:next w:val="Normal"/>
    <w:link w:val="Heading1Char"/>
    <w:uiPriority w:val="9"/>
    <w:qFormat/>
    <w:rsid w:val="00CF365B"/>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F365B"/>
    <w:pPr>
      <w:keepNext/>
      <w:keepLines/>
      <w:spacing w:before="200" w:line="259"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BF12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65B"/>
    <w:rPr>
      <w:rFonts w:asciiTheme="majorHAnsi" w:eastAsiaTheme="majorEastAsia" w:hAnsiTheme="majorHAnsi" w:cstheme="majorBidi"/>
      <w:b/>
      <w:bCs/>
      <w:color w:val="2F5496" w:themeColor="accent1" w:themeShade="BF"/>
      <w:sz w:val="28"/>
      <w:szCs w:val="28"/>
      <w:lang w:eastAsia="zh-CN"/>
    </w:rPr>
  </w:style>
  <w:style w:type="character" w:customStyle="1" w:styleId="Heading2Char">
    <w:name w:val="Heading 2 Char"/>
    <w:basedOn w:val="DefaultParagraphFont"/>
    <w:link w:val="Heading2"/>
    <w:uiPriority w:val="9"/>
    <w:rsid w:val="00CF365B"/>
    <w:rPr>
      <w:rFonts w:asciiTheme="majorHAnsi" w:eastAsiaTheme="majorEastAsia" w:hAnsiTheme="majorHAnsi" w:cstheme="majorBidi"/>
      <w:b/>
      <w:bCs/>
      <w:color w:val="4472C4" w:themeColor="accent1"/>
      <w:sz w:val="26"/>
      <w:szCs w:val="26"/>
      <w:lang w:eastAsia="zh-CN"/>
    </w:rPr>
  </w:style>
  <w:style w:type="table" w:customStyle="1" w:styleId="TableGrid1">
    <w:name w:val="Table Grid1"/>
    <w:basedOn w:val="TableNormal"/>
    <w:next w:val="TableGrid"/>
    <w:uiPriority w:val="59"/>
    <w:rsid w:val="00CF365B"/>
    <w:rPr>
      <w:kern w:val="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365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365B"/>
    <w:rPr>
      <w:sz w:val="16"/>
      <w:szCs w:val="16"/>
    </w:rPr>
  </w:style>
  <w:style w:type="paragraph" w:customStyle="1" w:styleId="CommentText1">
    <w:name w:val="Comment Text1"/>
    <w:basedOn w:val="Normal"/>
    <w:next w:val="CommentText"/>
    <w:link w:val="CommentTextChar"/>
    <w:uiPriority w:val="99"/>
    <w:semiHidden/>
    <w:unhideWhenUsed/>
    <w:rsid w:val="00CF365B"/>
    <w:pPr>
      <w:widowControl w:val="0"/>
      <w:jc w:val="both"/>
    </w:pPr>
    <w:rPr>
      <w:rFonts w:asciiTheme="minorHAnsi" w:hAnsiTheme="minorHAnsi" w:cstheme="minorBidi"/>
    </w:rPr>
  </w:style>
  <w:style w:type="paragraph" w:styleId="CommentText">
    <w:name w:val="annotation text"/>
    <w:basedOn w:val="Normal"/>
    <w:link w:val="CommentTextChar1"/>
    <w:autoRedefine/>
    <w:uiPriority w:val="99"/>
    <w:semiHidden/>
    <w:unhideWhenUsed/>
    <w:rsid w:val="00D40614"/>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1"/>
    <w:uiPriority w:val="99"/>
    <w:semiHidden/>
    <w:rsid w:val="00CF365B"/>
    <w:rPr>
      <w:rFonts w:eastAsiaTheme="minorEastAsia"/>
      <w:lang w:eastAsia="zh-CN"/>
    </w:rPr>
  </w:style>
  <w:style w:type="character" w:customStyle="1" w:styleId="CommentTextChar1">
    <w:name w:val="Comment Text Char1"/>
    <w:basedOn w:val="DefaultParagraphFont"/>
    <w:link w:val="CommentText"/>
    <w:uiPriority w:val="99"/>
    <w:semiHidden/>
    <w:rsid w:val="00D40614"/>
    <w:rPr>
      <w:sz w:val="20"/>
      <w:szCs w:val="20"/>
      <w:lang w:val="en-US" w:eastAsia="zh-CN"/>
    </w:rPr>
  </w:style>
  <w:style w:type="paragraph" w:styleId="ListParagraph">
    <w:name w:val="List Paragraph"/>
    <w:basedOn w:val="Normal"/>
    <w:uiPriority w:val="34"/>
    <w:qFormat/>
    <w:rsid w:val="00CF365B"/>
    <w:pPr>
      <w:spacing w:after="160" w:line="259"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F3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65B"/>
    <w:rPr>
      <w:rFonts w:ascii="Segoe UI" w:eastAsiaTheme="minorEastAsia" w:hAnsi="Segoe UI" w:cs="Segoe UI"/>
      <w:sz w:val="18"/>
      <w:szCs w:val="18"/>
      <w:lang w:eastAsia="zh-CN"/>
    </w:rPr>
  </w:style>
  <w:style w:type="character" w:customStyle="1" w:styleId="FootnoteTextChar">
    <w:name w:val="Footnote Text Char"/>
    <w:basedOn w:val="DefaultParagraphFont"/>
    <w:link w:val="FootnoteText"/>
    <w:uiPriority w:val="99"/>
    <w:rsid w:val="00CF365B"/>
    <w:rPr>
      <w:rFonts w:cs="Times New Roman"/>
      <w:sz w:val="20"/>
      <w:szCs w:val="20"/>
      <w:lang w:val="en-US"/>
    </w:rPr>
  </w:style>
  <w:style w:type="paragraph" w:styleId="FootnoteText">
    <w:name w:val="footnote text"/>
    <w:basedOn w:val="Normal"/>
    <w:link w:val="FootnoteTextChar"/>
    <w:uiPriority w:val="99"/>
    <w:unhideWhenUsed/>
    <w:rsid w:val="00CF365B"/>
    <w:rPr>
      <w:rFonts w:asciiTheme="minorHAnsi" w:eastAsiaTheme="minorHAnsi" w:hAnsiTheme="minorHAnsi"/>
      <w:sz w:val="20"/>
      <w:szCs w:val="20"/>
      <w:lang w:val="en-US" w:eastAsia="en-US"/>
    </w:rPr>
  </w:style>
  <w:style w:type="character" w:customStyle="1" w:styleId="FootnoteTextChar1">
    <w:name w:val="Footnote Text Char1"/>
    <w:basedOn w:val="DefaultParagraphFont"/>
    <w:uiPriority w:val="99"/>
    <w:semiHidden/>
    <w:rsid w:val="00CF365B"/>
    <w:rPr>
      <w:rFonts w:eastAsiaTheme="minorEastAsia"/>
      <w:lang w:eastAsia="zh-CN"/>
    </w:rPr>
  </w:style>
  <w:style w:type="character" w:customStyle="1" w:styleId="CommentSubjectChar">
    <w:name w:val="Comment Subject Char"/>
    <w:basedOn w:val="CommentTextChar1"/>
    <w:link w:val="CommentSubject"/>
    <w:uiPriority w:val="99"/>
    <w:semiHidden/>
    <w:rsid w:val="00CF365B"/>
    <w:rPr>
      <w:rFonts w:eastAsiaTheme="minorEastAsia"/>
      <w:b/>
      <w:bCs/>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CF365B"/>
    <w:pPr>
      <w:widowControl w:val="0"/>
      <w:spacing w:after="0"/>
      <w:jc w:val="both"/>
    </w:pPr>
    <w:rPr>
      <w:b/>
      <w:bCs/>
      <w:kern w:val="2"/>
    </w:rPr>
  </w:style>
  <w:style w:type="character" w:customStyle="1" w:styleId="CommentSubjectChar1">
    <w:name w:val="Comment Subject Char1"/>
    <w:basedOn w:val="CommentTextChar"/>
    <w:uiPriority w:val="99"/>
    <w:semiHidden/>
    <w:rsid w:val="00CF365B"/>
    <w:rPr>
      <w:rFonts w:eastAsiaTheme="minorEastAsia"/>
      <w:b/>
      <w:bCs/>
      <w:sz w:val="20"/>
      <w:szCs w:val="20"/>
      <w:lang w:eastAsia="zh-CN"/>
    </w:rPr>
  </w:style>
  <w:style w:type="character" w:styleId="FootnoteReference">
    <w:name w:val="footnote reference"/>
    <w:basedOn w:val="DefaultParagraphFont"/>
    <w:uiPriority w:val="99"/>
    <w:unhideWhenUsed/>
    <w:rsid w:val="00CF365B"/>
    <w:rPr>
      <w:vertAlign w:val="superscript"/>
    </w:rPr>
  </w:style>
  <w:style w:type="numbering" w:customStyle="1" w:styleId="NoList1">
    <w:name w:val="No List1"/>
    <w:next w:val="NoList"/>
    <w:uiPriority w:val="99"/>
    <w:semiHidden/>
    <w:unhideWhenUsed/>
    <w:rsid w:val="00CF365B"/>
  </w:style>
  <w:style w:type="table" w:customStyle="1" w:styleId="TableGrid2">
    <w:name w:val="Table Grid2"/>
    <w:basedOn w:val="TableNormal"/>
    <w:next w:val="TableGrid"/>
    <w:uiPriority w:val="39"/>
    <w:rsid w:val="00CF365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365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365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365B"/>
    <w:rPr>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F365B"/>
    <w:pPr>
      <w:spacing w:line="276" w:lineRule="auto"/>
      <w:outlineLvl w:val="9"/>
    </w:pPr>
    <w:rPr>
      <w:lang w:val="en-US" w:eastAsia="ja-JP"/>
    </w:rPr>
  </w:style>
  <w:style w:type="paragraph" w:styleId="TOC1">
    <w:name w:val="toc 1"/>
    <w:basedOn w:val="Normal"/>
    <w:next w:val="Normal"/>
    <w:autoRedefine/>
    <w:uiPriority w:val="39"/>
    <w:unhideWhenUsed/>
    <w:rsid w:val="00CF365B"/>
    <w:pPr>
      <w:tabs>
        <w:tab w:val="right" w:leader="dot" w:pos="8302"/>
      </w:tabs>
      <w:spacing w:after="100" w:line="259" w:lineRule="auto"/>
    </w:pPr>
    <w:rPr>
      <w:b/>
      <w:noProof/>
    </w:rPr>
  </w:style>
  <w:style w:type="paragraph" w:styleId="TOC2">
    <w:name w:val="toc 2"/>
    <w:basedOn w:val="Normal"/>
    <w:next w:val="Normal"/>
    <w:autoRedefine/>
    <w:uiPriority w:val="39"/>
    <w:unhideWhenUsed/>
    <w:rsid w:val="00CF365B"/>
    <w:pPr>
      <w:spacing w:after="100" w:line="259" w:lineRule="auto"/>
      <w:ind w:left="220"/>
    </w:pPr>
    <w:rPr>
      <w:rFonts w:asciiTheme="minorHAnsi" w:hAnsiTheme="minorHAnsi" w:cstheme="minorBidi"/>
      <w:sz w:val="22"/>
      <w:szCs w:val="22"/>
    </w:rPr>
  </w:style>
  <w:style w:type="character" w:styleId="Hyperlink">
    <w:name w:val="Hyperlink"/>
    <w:basedOn w:val="DefaultParagraphFont"/>
    <w:uiPriority w:val="99"/>
    <w:unhideWhenUsed/>
    <w:rsid w:val="00CF365B"/>
    <w:rPr>
      <w:color w:val="0563C1" w:themeColor="hyperlink"/>
      <w:u w:val="single"/>
    </w:rPr>
  </w:style>
  <w:style w:type="paragraph" w:styleId="Caption">
    <w:name w:val="caption"/>
    <w:basedOn w:val="Normal"/>
    <w:next w:val="Normal"/>
    <w:uiPriority w:val="35"/>
    <w:unhideWhenUsed/>
    <w:qFormat/>
    <w:rsid w:val="00CF365B"/>
    <w:pPr>
      <w:spacing w:after="200"/>
    </w:pPr>
    <w:rPr>
      <w:rFonts w:asciiTheme="minorHAnsi" w:hAnsiTheme="minorHAnsi" w:cstheme="minorBidi"/>
      <w:b/>
      <w:bCs/>
      <w:color w:val="4472C4" w:themeColor="accent1"/>
      <w:sz w:val="18"/>
      <w:szCs w:val="18"/>
    </w:rPr>
  </w:style>
  <w:style w:type="paragraph" w:styleId="TableofFigures">
    <w:name w:val="table of figures"/>
    <w:basedOn w:val="Normal"/>
    <w:next w:val="Normal"/>
    <w:uiPriority w:val="99"/>
    <w:unhideWhenUsed/>
    <w:rsid w:val="00CF365B"/>
    <w:pPr>
      <w:spacing w:line="259" w:lineRule="auto"/>
    </w:pPr>
    <w:rPr>
      <w:rFonts w:asciiTheme="minorHAnsi" w:hAnsiTheme="minorHAnsi" w:cstheme="minorBidi"/>
      <w:sz w:val="22"/>
      <w:szCs w:val="22"/>
    </w:rPr>
  </w:style>
  <w:style w:type="paragraph" w:styleId="Header">
    <w:name w:val="header"/>
    <w:basedOn w:val="Normal"/>
    <w:link w:val="HeaderChar"/>
    <w:uiPriority w:val="99"/>
    <w:unhideWhenUsed/>
    <w:rsid w:val="00CF365B"/>
    <w:pPr>
      <w:tabs>
        <w:tab w:val="center" w:pos="4513"/>
        <w:tab w:val="right" w:pos="9026"/>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CF365B"/>
    <w:rPr>
      <w:rFonts w:eastAsiaTheme="minorEastAsia"/>
      <w:sz w:val="22"/>
      <w:szCs w:val="22"/>
      <w:lang w:eastAsia="zh-CN"/>
    </w:rPr>
  </w:style>
  <w:style w:type="paragraph" w:styleId="Footer">
    <w:name w:val="footer"/>
    <w:basedOn w:val="Normal"/>
    <w:link w:val="FooterChar"/>
    <w:uiPriority w:val="99"/>
    <w:unhideWhenUsed/>
    <w:rsid w:val="00CF365B"/>
    <w:pPr>
      <w:tabs>
        <w:tab w:val="center" w:pos="4513"/>
        <w:tab w:val="right" w:pos="9026"/>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CF365B"/>
    <w:rPr>
      <w:rFonts w:eastAsiaTheme="minorEastAsia"/>
      <w:sz w:val="22"/>
      <w:szCs w:val="22"/>
      <w:lang w:eastAsia="zh-CN"/>
    </w:rPr>
  </w:style>
  <w:style w:type="paragraph" w:styleId="Revision">
    <w:name w:val="Revision"/>
    <w:hidden/>
    <w:uiPriority w:val="99"/>
    <w:semiHidden/>
    <w:rsid w:val="00FE6637"/>
    <w:rPr>
      <w:sz w:val="22"/>
      <w:szCs w:val="22"/>
      <w:lang w:eastAsia="zh-CN"/>
    </w:rPr>
  </w:style>
  <w:style w:type="character" w:styleId="PageNumber">
    <w:name w:val="page number"/>
    <w:basedOn w:val="DefaultParagraphFont"/>
    <w:uiPriority w:val="99"/>
    <w:semiHidden/>
    <w:unhideWhenUsed/>
    <w:rsid w:val="00AA2245"/>
  </w:style>
  <w:style w:type="character" w:customStyle="1" w:styleId="xdb">
    <w:name w:val="_xdb"/>
    <w:basedOn w:val="DefaultParagraphFont"/>
    <w:rsid w:val="003506F4"/>
  </w:style>
  <w:style w:type="character" w:customStyle="1" w:styleId="xbe">
    <w:name w:val="_xbe"/>
    <w:basedOn w:val="DefaultParagraphFont"/>
    <w:rsid w:val="003506F4"/>
  </w:style>
  <w:style w:type="character" w:customStyle="1" w:styleId="Heading3Char">
    <w:name w:val="Heading 3 Char"/>
    <w:basedOn w:val="DefaultParagraphFont"/>
    <w:link w:val="Heading3"/>
    <w:uiPriority w:val="9"/>
    <w:semiHidden/>
    <w:rsid w:val="00BF122B"/>
    <w:rPr>
      <w:rFonts w:asciiTheme="majorHAnsi" w:eastAsiaTheme="majorEastAsia" w:hAnsiTheme="majorHAnsi" w:cstheme="majorBidi"/>
      <w:color w:val="1F3763" w:themeColor="accent1" w:themeShade="7F"/>
      <w:lang w:eastAsia="zh-CN"/>
    </w:rPr>
  </w:style>
  <w:style w:type="paragraph" w:styleId="EndnoteText">
    <w:name w:val="endnote text"/>
    <w:basedOn w:val="Normal"/>
    <w:link w:val="EndnoteTextChar"/>
    <w:uiPriority w:val="99"/>
    <w:unhideWhenUsed/>
    <w:rsid w:val="008A1454"/>
    <w:pPr>
      <w:widowControl w:val="0"/>
      <w:jc w:val="both"/>
    </w:pPr>
    <w:rPr>
      <w:rFonts w:asciiTheme="minorHAnsi" w:hAnsiTheme="minorHAnsi" w:cstheme="minorBidi"/>
      <w:kern w:val="2"/>
      <w:sz w:val="20"/>
      <w:szCs w:val="20"/>
      <w:lang w:val="en-US"/>
    </w:rPr>
  </w:style>
  <w:style w:type="character" w:customStyle="1" w:styleId="EndnoteTextChar">
    <w:name w:val="Endnote Text Char"/>
    <w:basedOn w:val="DefaultParagraphFont"/>
    <w:link w:val="EndnoteText"/>
    <w:uiPriority w:val="99"/>
    <w:rsid w:val="008A1454"/>
    <w:rPr>
      <w:kern w:val="2"/>
      <w:sz w:val="20"/>
      <w:szCs w:val="20"/>
      <w:lang w:val="en-US" w:eastAsia="zh-CN"/>
    </w:rPr>
  </w:style>
  <w:style w:type="character" w:customStyle="1" w:styleId="apple-converted-space">
    <w:name w:val="apple-converted-space"/>
    <w:basedOn w:val="DefaultParagraphFont"/>
    <w:rsid w:val="00D47774"/>
  </w:style>
  <w:style w:type="character" w:styleId="FollowedHyperlink">
    <w:name w:val="FollowedHyperlink"/>
    <w:basedOn w:val="DefaultParagraphFont"/>
    <w:uiPriority w:val="99"/>
    <w:semiHidden/>
    <w:unhideWhenUsed/>
    <w:rsid w:val="00676FC8"/>
    <w:rPr>
      <w:color w:val="954F72" w:themeColor="followedHyperlink"/>
      <w:u w:val="single"/>
    </w:rPr>
  </w:style>
  <w:style w:type="character" w:styleId="UnresolvedMention">
    <w:name w:val="Unresolved Mention"/>
    <w:basedOn w:val="DefaultParagraphFont"/>
    <w:uiPriority w:val="99"/>
    <w:rsid w:val="00EB2DF7"/>
    <w:rPr>
      <w:color w:val="808080"/>
      <w:shd w:val="clear" w:color="auto" w:fill="E6E6E6"/>
    </w:rPr>
  </w:style>
  <w:style w:type="paragraph" w:styleId="NormalWeb">
    <w:name w:val="Normal (Web)"/>
    <w:basedOn w:val="Normal"/>
    <w:uiPriority w:val="99"/>
    <w:unhideWhenUsed/>
    <w:rsid w:val="00D8147F"/>
    <w:pPr>
      <w:spacing w:before="100" w:beforeAutospacing="1" w:after="100" w:afterAutospacing="1"/>
    </w:pPr>
    <w:rPr>
      <w:rFonts w:eastAsia="Times New Roman"/>
    </w:rPr>
  </w:style>
  <w:style w:type="paragraph" w:customStyle="1" w:styleId="Head3">
    <w:name w:val="Head 3"/>
    <w:basedOn w:val="Normal"/>
    <w:link w:val="Head3Char"/>
    <w:autoRedefine/>
    <w:qFormat/>
    <w:rsid w:val="00A740B4"/>
    <w:pPr>
      <w:spacing w:line="480" w:lineRule="auto"/>
      <w:jc w:val="both"/>
    </w:pPr>
    <w:rPr>
      <w:rFonts w:eastAsia="SimSun"/>
      <w:i/>
      <w:lang w:val="en-US"/>
    </w:rPr>
  </w:style>
  <w:style w:type="paragraph" w:customStyle="1" w:styleId="head1">
    <w:name w:val="head 1"/>
    <w:basedOn w:val="Heading2"/>
    <w:link w:val="head1Char"/>
    <w:autoRedefine/>
    <w:qFormat/>
    <w:rsid w:val="008373E5"/>
    <w:pPr>
      <w:spacing w:line="360" w:lineRule="auto"/>
    </w:pPr>
    <w:rPr>
      <w:rFonts w:ascii="Times New Roman" w:hAnsi="Times New Roman" w:cs="Times New Roman"/>
      <w:color w:val="000000"/>
      <w:sz w:val="28"/>
      <w:szCs w:val="28"/>
      <w:lang w:val="en-US"/>
    </w:rPr>
  </w:style>
  <w:style w:type="character" w:customStyle="1" w:styleId="Head3Char">
    <w:name w:val="Head 3 Char"/>
    <w:basedOn w:val="DefaultParagraphFont"/>
    <w:link w:val="Head3"/>
    <w:rsid w:val="00A740B4"/>
    <w:rPr>
      <w:rFonts w:ascii="Times New Roman" w:eastAsia="SimSun" w:hAnsi="Times New Roman" w:cs="Times New Roman"/>
      <w:i/>
      <w:lang w:val="en-US" w:eastAsia="zh-CN"/>
    </w:rPr>
  </w:style>
  <w:style w:type="paragraph" w:customStyle="1" w:styleId="head2">
    <w:name w:val="head 2"/>
    <w:basedOn w:val="Normal"/>
    <w:link w:val="head2Char"/>
    <w:autoRedefine/>
    <w:qFormat/>
    <w:rsid w:val="00C2773E"/>
    <w:pPr>
      <w:widowControl w:val="0"/>
      <w:spacing w:line="480" w:lineRule="auto"/>
      <w:jc w:val="both"/>
    </w:pPr>
    <w:rPr>
      <w:rFonts w:eastAsia="SimSun"/>
      <w:i/>
      <w:kern w:val="2"/>
      <w:lang w:val="en-US"/>
    </w:rPr>
  </w:style>
  <w:style w:type="character" w:customStyle="1" w:styleId="head1Char">
    <w:name w:val="head 1 Char"/>
    <w:basedOn w:val="Heading2Char"/>
    <w:link w:val="head1"/>
    <w:rsid w:val="008373E5"/>
    <w:rPr>
      <w:rFonts w:ascii="Times New Roman" w:eastAsiaTheme="majorEastAsia" w:hAnsi="Times New Roman" w:cs="Times New Roman"/>
      <w:b/>
      <w:bCs/>
      <w:color w:val="000000"/>
      <w:sz w:val="28"/>
      <w:szCs w:val="28"/>
      <w:lang w:val="en-US" w:eastAsia="zh-CN"/>
    </w:rPr>
  </w:style>
  <w:style w:type="paragraph" w:customStyle="1" w:styleId="head4">
    <w:name w:val="head 4"/>
    <w:basedOn w:val="Normal"/>
    <w:link w:val="head4Char"/>
    <w:autoRedefine/>
    <w:qFormat/>
    <w:rsid w:val="004F7752"/>
    <w:pPr>
      <w:spacing w:line="480" w:lineRule="auto"/>
      <w:jc w:val="both"/>
    </w:pPr>
    <w:rPr>
      <w:rFonts w:ascii="Times" w:eastAsia="SimSun" w:hAnsi="Times"/>
      <w:i/>
      <w:kern w:val="2"/>
      <w:lang w:val="en-US"/>
    </w:rPr>
  </w:style>
  <w:style w:type="character" w:customStyle="1" w:styleId="head2Char">
    <w:name w:val="head 2 Char"/>
    <w:basedOn w:val="DefaultParagraphFont"/>
    <w:link w:val="head2"/>
    <w:rsid w:val="00C2773E"/>
    <w:rPr>
      <w:rFonts w:ascii="Times New Roman" w:eastAsia="SimSun" w:hAnsi="Times New Roman" w:cs="Times New Roman"/>
      <w:i/>
      <w:kern w:val="2"/>
      <w:lang w:val="en-US" w:eastAsia="zh-CN"/>
    </w:rPr>
  </w:style>
  <w:style w:type="character" w:customStyle="1" w:styleId="head4Char">
    <w:name w:val="head 4 Char"/>
    <w:basedOn w:val="DefaultParagraphFont"/>
    <w:link w:val="head4"/>
    <w:rsid w:val="004F7752"/>
    <w:rPr>
      <w:rFonts w:ascii="Times" w:eastAsia="SimSun" w:hAnsi="Times" w:cs="Times New Roman"/>
      <w:i/>
      <w:kern w:val="2"/>
      <w:lang w:val="en-US" w:eastAsia="zh-CN"/>
    </w:rPr>
  </w:style>
  <w:style w:type="paragraph" w:customStyle="1" w:styleId="MTDisplayEquation">
    <w:name w:val="MTDisplayEquation"/>
    <w:basedOn w:val="Normal"/>
    <w:next w:val="Normal"/>
    <w:link w:val="MTDisplayEquationChar"/>
    <w:rsid w:val="007A53E1"/>
    <w:pPr>
      <w:widowControl w:val="0"/>
      <w:tabs>
        <w:tab w:val="center" w:pos="4160"/>
        <w:tab w:val="right" w:pos="8300"/>
      </w:tabs>
      <w:spacing w:line="360" w:lineRule="auto"/>
      <w:jc w:val="both"/>
    </w:pPr>
    <w:rPr>
      <w:kern w:val="2"/>
    </w:rPr>
  </w:style>
  <w:style w:type="character" w:customStyle="1" w:styleId="MTDisplayEquationChar">
    <w:name w:val="MTDisplayEquation Char"/>
    <w:basedOn w:val="DefaultParagraphFont"/>
    <w:link w:val="MTDisplayEquation"/>
    <w:rsid w:val="007A53E1"/>
    <w:rPr>
      <w:rFonts w:ascii="Times New Roman" w:hAnsi="Times New Roman" w:cs="Times New Roman"/>
      <w:kern w:val="2"/>
      <w:lang w:eastAsia="zh-CN"/>
    </w:rPr>
  </w:style>
  <w:style w:type="paragraph" w:customStyle="1" w:styleId="p1">
    <w:name w:val="p1"/>
    <w:basedOn w:val="Normal"/>
    <w:rsid w:val="007A53E1"/>
    <w:rPr>
      <w:rFonts w:ascii="Arial" w:hAnsi="Arial" w:cs="Arial"/>
      <w:color w:val="6A6A6A"/>
      <w:sz w:val="20"/>
      <w:szCs w:val="20"/>
    </w:rPr>
  </w:style>
  <w:style w:type="character" w:styleId="PlaceholderText">
    <w:name w:val="Placeholder Text"/>
    <w:basedOn w:val="DefaultParagraphFont"/>
    <w:uiPriority w:val="99"/>
    <w:semiHidden/>
    <w:rsid w:val="00463BD7"/>
    <w:rPr>
      <w:color w:val="808080"/>
    </w:rPr>
  </w:style>
  <w:style w:type="paragraph" w:customStyle="1" w:styleId="p2">
    <w:name w:val="p2"/>
    <w:basedOn w:val="Normal"/>
    <w:rsid w:val="00705993"/>
    <w:pPr>
      <w:shd w:val="clear" w:color="auto" w:fill="FFFFFF"/>
    </w:pPr>
    <w:rPr>
      <w:rFonts w:ascii="Helvetica" w:eastAsia="SimSun" w:hAnsi="Helvetica"/>
      <w:color w:val="252525"/>
      <w:sz w:val="21"/>
      <w:szCs w:val="21"/>
    </w:rPr>
  </w:style>
  <w:style w:type="character" w:styleId="EndnoteReference">
    <w:name w:val="endnote reference"/>
    <w:basedOn w:val="DefaultParagraphFont"/>
    <w:uiPriority w:val="99"/>
    <w:semiHidden/>
    <w:unhideWhenUsed/>
    <w:rsid w:val="00F82937"/>
    <w:rPr>
      <w:vertAlign w:val="superscript"/>
    </w:rPr>
  </w:style>
  <w:style w:type="table" w:styleId="PlainTable2">
    <w:name w:val="Plain Table 2"/>
    <w:basedOn w:val="TableNormal"/>
    <w:uiPriority w:val="42"/>
    <w:rsid w:val="00046A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046A8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46A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46A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1390">
      <w:bodyDiv w:val="1"/>
      <w:marLeft w:val="0"/>
      <w:marRight w:val="0"/>
      <w:marTop w:val="0"/>
      <w:marBottom w:val="0"/>
      <w:divBdr>
        <w:top w:val="none" w:sz="0" w:space="0" w:color="auto"/>
        <w:left w:val="none" w:sz="0" w:space="0" w:color="auto"/>
        <w:bottom w:val="none" w:sz="0" w:space="0" w:color="auto"/>
        <w:right w:val="none" w:sz="0" w:space="0" w:color="auto"/>
      </w:divBdr>
    </w:div>
    <w:div w:id="120076918">
      <w:bodyDiv w:val="1"/>
      <w:marLeft w:val="0"/>
      <w:marRight w:val="0"/>
      <w:marTop w:val="0"/>
      <w:marBottom w:val="0"/>
      <w:divBdr>
        <w:top w:val="none" w:sz="0" w:space="0" w:color="auto"/>
        <w:left w:val="none" w:sz="0" w:space="0" w:color="auto"/>
        <w:bottom w:val="none" w:sz="0" w:space="0" w:color="auto"/>
        <w:right w:val="none" w:sz="0" w:space="0" w:color="auto"/>
      </w:divBdr>
    </w:div>
    <w:div w:id="240991583">
      <w:bodyDiv w:val="1"/>
      <w:marLeft w:val="0"/>
      <w:marRight w:val="0"/>
      <w:marTop w:val="0"/>
      <w:marBottom w:val="0"/>
      <w:divBdr>
        <w:top w:val="none" w:sz="0" w:space="0" w:color="auto"/>
        <w:left w:val="none" w:sz="0" w:space="0" w:color="auto"/>
        <w:bottom w:val="none" w:sz="0" w:space="0" w:color="auto"/>
        <w:right w:val="none" w:sz="0" w:space="0" w:color="auto"/>
      </w:divBdr>
    </w:div>
    <w:div w:id="463277066">
      <w:bodyDiv w:val="1"/>
      <w:marLeft w:val="0"/>
      <w:marRight w:val="0"/>
      <w:marTop w:val="0"/>
      <w:marBottom w:val="0"/>
      <w:divBdr>
        <w:top w:val="none" w:sz="0" w:space="0" w:color="auto"/>
        <w:left w:val="none" w:sz="0" w:space="0" w:color="auto"/>
        <w:bottom w:val="none" w:sz="0" w:space="0" w:color="auto"/>
        <w:right w:val="none" w:sz="0" w:space="0" w:color="auto"/>
      </w:divBdr>
    </w:div>
    <w:div w:id="640811107">
      <w:bodyDiv w:val="1"/>
      <w:marLeft w:val="0"/>
      <w:marRight w:val="0"/>
      <w:marTop w:val="0"/>
      <w:marBottom w:val="0"/>
      <w:divBdr>
        <w:top w:val="none" w:sz="0" w:space="0" w:color="auto"/>
        <w:left w:val="none" w:sz="0" w:space="0" w:color="auto"/>
        <w:bottom w:val="none" w:sz="0" w:space="0" w:color="auto"/>
        <w:right w:val="none" w:sz="0" w:space="0" w:color="auto"/>
      </w:divBdr>
    </w:div>
    <w:div w:id="769930453">
      <w:bodyDiv w:val="1"/>
      <w:marLeft w:val="0"/>
      <w:marRight w:val="0"/>
      <w:marTop w:val="0"/>
      <w:marBottom w:val="0"/>
      <w:divBdr>
        <w:top w:val="none" w:sz="0" w:space="0" w:color="auto"/>
        <w:left w:val="none" w:sz="0" w:space="0" w:color="auto"/>
        <w:bottom w:val="none" w:sz="0" w:space="0" w:color="auto"/>
        <w:right w:val="none" w:sz="0" w:space="0" w:color="auto"/>
      </w:divBdr>
    </w:div>
    <w:div w:id="913197166">
      <w:bodyDiv w:val="1"/>
      <w:marLeft w:val="0"/>
      <w:marRight w:val="0"/>
      <w:marTop w:val="0"/>
      <w:marBottom w:val="0"/>
      <w:divBdr>
        <w:top w:val="none" w:sz="0" w:space="0" w:color="auto"/>
        <w:left w:val="none" w:sz="0" w:space="0" w:color="auto"/>
        <w:bottom w:val="none" w:sz="0" w:space="0" w:color="auto"/>
        <w:right w:val="none" w:sz="0" w:space="0" w:color="auto"/>
      </w:divBdr>
    </w:div>
    <w:div w:id="1145315963">
      <w:bodyDiv w:val="1"/>
      <w:marLeft w:val="0"/>
      <w:marRight w:val="0"/>
      <w:marTop w:val="0"/>
      <w:marBottom w:val="0"/>
      <w:divBdr>
        <w:top w:val="none" w:sz="0" w:space="0" w:color="auto"/>
        <w:left w:val="none" w:sz="0" w:space="0" w:color="auto"/>
        <w:bottom w:val="none" w:sz="0" w:space="0" w:color="auto"/>
        <w:right w:val="none" w:sz="0" w:space="0" w:color="auto"/>
      </w:divBdr>
    </w:div>
    <w:div w:id="1149439057">
      <w:bodyDiv w:val="1"/>
      <w:marLeft w:val="0"/>
      <w:marRight w:val="0"/>
      <w:marTop w:val="0"/>
      <w:marBottom w:val="0"/>
      <w:divBdr>
        <w:top w:val="none" w:sz="0" w:space="0" w:color="auto"/>
        <w:left w:val="none" w:sz="0" w:space="0" w:color="auto"/>
        <w:bottom w:val="none" w:sz="0" w:space="0" w:color="auto"/>
        <w:right w:val="none" w:sz="0" w:space="0" w:color="auto"/>
      </w:divBdr>
      <w:divsChild>
        <w:div w:id="1374500943">
          <w:marLeft w:val="0"/>
          <w:marRight w:val="0"/>
          <w:marTop w:val="0"/>
          <w:marBottom w:val="0"/>
          <w:divBdr>
            <w:top w:val="none" w:sz="0" w:space="0" w:color="auto"/>
            <w:left w:val="none" w:sz="0" w:space="0" w:color="auto"/>
            <w:bottom w:val="none" w:sz="0" w:space="0" w:color="auto"/>
            <w:right w:val="none" w:sz="0" w:space="0" w:color="auto"/>
          </w:divBdr>
          <w:divsChild>
            <w:div w:id="128129064">
              <w:marLeft w:val="0"/>
              <w:marRight w:val="0"/>
              <w:marTop w:val="0"/>
              <w:marBottom w:val="0"/>
              <w:divBdr>
                <w:top w:val="none" w:sz="0" w:space="0" w:color="auto"/>
                <w:left w:val="none" w:sz="0" w:space="0" w:color="auto"/>
                <w:bottom w:val="none" w:sz="0" w:space="0" w:color="auto"/>
                <w:right w:val="none" w:sz="0" w:space="0" w:color="auto"/>
              </w:divBdr>
              <w:divsChild>
                <w:div w:id="585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81840">
      <w:bodyDiv w:val="1"/>
      <w:marLeft w:val="0"/>
      <w:marRight w:val="0"/>
      <w:marTop w:val="0"/>
      <w:marBottom w:val="0"/>
      <w:divBdr>
        <w:top w:val="none" w:sz="0" w:space="0" w:color="auto"/>
        <w:left w:val="none" w:sz="0" w:space="0" w:color="auto"/>
        <w:bottom w:val="none" w:sz="0" w:space="0" w:color="auto"/>
        <w:right w:val="none" w:sz="0" w:space="0" w:color="auto"/>
      </w:divBdr>
    </w:div>
    <w:div w:id="1326283321">
      <w:bodyDiv w:val="1"/>
      <w:marLeft w:val="0"/>
      <w:marRight w:val="0"/>
      <w:marTop w:val="0"/>
      <w:marBottom w:val="0"/>
      <w:divBdr>
        <w:top w:val="none" w:sz="0" w:space="0" w:color="auto"/>
        <w:left w:val="none" w:sz="0" w:space="0" w:color="auto"/>
        <w:bottom w:val="none" w:sz="0" w:space="0" w:color="auto"/>
        <w:right w:val="none" w:sz="0" w:space="0" w:color="auto"/>
      </w:divBdr>
    </w:div>
    <w:div w:id="1630865310">
      <w:bodyDiv w:val="1"/>
      <w:marLeft w:val="0"/>
      <w:marRight w:val="0"/>
      <w:marTop w:val="0"/>
      <w:marBottom w:val="0"/>
      <w:divBdr>
        <w:top w:val="none" w:sz="0" w:space="0" w:color="auto"/>
        <w:left w:val="none" w:sz="0" w:space="0" w:color="auto"/>
        <w:bottom w:val="none" w:sz="0" w:space="0" w:color="auto"/>
        <w:right w:val="none" w:sz="0" w:space="0" w:color="auto"/>
      </w:divBdr>
    </w:div>
    <w:div w:id="2060743283">
      <w:bodyDiv w:val="1"/>
      <w:marLeft w:val="0"/>
      <w:marRight w:val="0"/>
      <w:marTop w:val="0"/>
      <w:marBottom w:val="0"/>
      <w:divBdr>
        <w:top w:val="none" w:sz="0" w:space="0" w:color="auto"/>
        <w:left w:val="none" w:sz="0" w:space="0" w:color="auto"/>
        <w:bottom w:val="none" w:sz="0" w:space="0" w:color="auto"/>
        <w:right w:val="none" w:sz="0" w:space="0" w:color="auto"/>
      </w:divBdr>
    </w:div>
    <w:div w:id="2123526636">
      <w:bodyDiv w:val="1"/>
      <w:marLeft w:val="0"/>
      <w:marRight w:val="0"/>
      <w:marTop w:val="0"/>
      <w:marBottom w:val="0"/>
      <w:divBdr>
        <w:top w:val="none" w:sz="0" w:space="0" w:color="auto"/>
        <w:left w:val="none" w:sz="0" w:space="0" w:color="auto"/>
        <w:bottom w:val="none" w:sz="0" w:space="0" w:color="auto"/>
        <w:right w:val="none" w:sz="0" w:space="0" w:color="auto"/>
      </w:divBdr>
      <w:divsChild>
        <w:div w:id="889808529">
          <w:marLeft w:val="0"/>
          <w:marRight w:val="0"/>
          <w:marTop w:val="0"/>
          <w:marBottom w:val="0"/>
          <w:divBdr>
            <w:top w:val="none" w:sz="0" w:space="0" w:color="auto"/>
            <w:left w:val="none" w:sz="0" w:space="0" w:color="auto"/>
            <w:bottom w:val="none" w:sz="0" w:space="0" w:color="auto"/>
            <w:right w:val="none" w:sz="0" w:space="0" w:color="auto"/>
          </w:divBdr>
          <w:divsChild>
            <w:div w:id="235864646">
              <w:marLeft w:val="0"/>
              <w:marRight w:val="0"/>
              <w:marTop w:val="0"/>
              <w:marBottom w:val="0"/>
              <w:divBdr>
                <w:top w:val="none" w:sz="0" w:space="0" w:color="auto"/>
                <w:left w:val="none" w:sz="0" w:space="0" w:color="auto"/>
                <w:bottom w:val="none" w:sz="0" w:space="0" w:color="auto"/>
                <w:right w:val="none" w:sz="0" w:space="0" w:color="auto"/>
              </w:divBdr>
              <w:divsChild>
                <w:div w:id="19247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0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7.wmf"/><Relationship Id="rId42" Type="http://schemas.openxmlformats.org/officeDocument/2006/relationships/oleObject" Target="embeddings/oleObject19.bin"/><Relationship Id="rId63" Type="http://schemas.openxmlformats.org/officeDocument/2006/relationships/image" Target="media/image26.wmf"/><Relationship Id="rId84" Type="http://schemas.openxmlformats.org/officeDocument/2006/relationships/oleObject" Target="embeddings/oleObject42.bin"/><Relationship Id="rId138" Type="http://schemas.openxmlformats.org/officeDocument/2006/relationships/footer" Target="footer7.xml"/><Relationship Id="rId16" Type="http://schemas.openxmlformats.org/officeDocument/2006/relationships/oleObject" Target="embeddings/oleObject5.bin"/><Relationship Id="rId107" Type="http://schemas.openxmlformats.org/officeDocument/2006/relationships/image" Target="media/image53.emf"/><Relationship Id="rId11" Type="http://schemas.openxmlformats.org/officeDocument/2006/relationships/image" Target="media/image2.wmf"/><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oleObject" Target="embeddings/oleObject25.bin"/><Relationship Id="rId58" Type="http://schemas.openxmlformats.org/officeDocument/2006/relationships/oleObject" Target="embeddings/oleObject28.bin"/><Relationship Id="rId74" Type="http://schemas.openxmlformats.org/officeDocument/2006/relationships/oleObject" Target="embeddings/oleObject37.bin"/><Relationship Id="rId79" Type="http://schemas.openxmlformats.org/officeDocument/2006/relationships/image" Target="media/image33.wmf"/><Relationship Id="rId102" Type="http://schemas.openxmlformats.org/officeDocument/2006/relationships/image" Target="media/image48.emf"/><Relationship Id="rId123" Type="http://schemas.openxmlformats.org/officeDocument/2006/relationships/image" Target="media/image69.emf"/><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image" Target="media/image41.emf"/><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oleObject" Target="embeddings/oleObject34.bin"/><Relationship Id="rId113" Type="http://schemas.openxmlformats.org/officeDocument/2006/relationships/image" Target="media/image59.emf"/><Relationship Id="rId118" Type="http://schemas.openxmlformats.org/officeDocument/2006/relationships/image" Target="media/image64.emf"/><Relationship Id="rId134" Type="http://schemas.openxmlformats.org/officeDocument/2006/relationships/image" Target="media/image75.emf"/><Relationship Id="rId139" Type="http://schemas.openxmlformats.org/officeDocument/2006/relationships/fontTable" Target="fontTable.xml"/><Relationship Id="rId80" Type="http://schemas.openxmlformats.org/officeDocument/2006/relationships/oleObject" Target="embeddings/oleObject40.bin"/><Relationship Id="rId85" Type="http://schemas.openxmlformats.org/officeDocument/2006/relationships/image" Target="media/image36.wmf"/><Relationship Id="rId12" Type="http://schemas.openxmlformats.org/officeDocument/2006/relationships/oleObject" Target="embeddings/oleObject3.bin"/><Relationship Id="rId17" Type="http://schemas.openxmlformats.org/officeDocument/2006/relationships/image" Target="media/image5.wmf"/><Relationship Id="rId33" Type="http://schemas.openxmlformats.org/officeDocument/2006/relationships/oleObject" Target="embeddings/oleObject14.bin"/><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image" Target="media/image70.emf"/><Relationship Id="rId129" Type="http://schemas.openxmlformats.org/officeDocument/2006/relationships/footer" Target="footer2.xml"/><Relationship Id="rId54" Type="http://schemas.openxmlformats.org/officeDocument/2006/relationships/image" Target="media/image22.wmf"/><Relationship Id="rId70" Type="http://schemas.openxmlformats.org/officeDocument/2006/relationships/oleObject" Target="embeddings/oleObject35.bin"/><Relationship Id="rId75" Type="http://schemas.openxmlformats.org/officeDocument/2006/relationships/image" Target="media/image31.wmf"/><Relationship Id="rId91" Type="http://schemas.openxmlformats.org/officeDocument/2006/relationships/oleObject" Target="embeddings/oleObject46.bin"/><Relationship Id="rId96" Type="http://schemas.openxmlformats.org/officeDocument/2006/relationships/image" Target="media/image42.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image" Target="media/image60.emf"/><Relationship Id="rId119" Type="http://schemas.openxmlformats.org/officeDocument/2006/relationships/image" Target="media/image65.emf"/><Relationship Id="rId44" Type="http://schemas.openxmlformats.org/officeDocument/2006/relationships/oleObject" Target="embeddings/oleObject20.bin"/><Relationship Id="rId60" Type="http://schemas.openxmlformats.org/officeDocument/2006/relationships/oleObject" Target="embeddings/oleObject29.bin"/><Relationship Id="rId65"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43.bin"/><Relationship Id="rId130" Type="http://schemas.openxmlformats.org/officeDocument/2006/relationships/footer" Target="footer3.xml"/><Relationship Id="rId135" Type="http://schemas.openxmlformats.org/officeDocument/2006/relationships/image" Target="media/image76.emf"/><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55.emf"/><Relationship Id="rId34" Type="http://schemas.openxmlformats.org/officeDocument/2006/relationships/image" Target="media/image13.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oleObject" Target="embeddings/oleObject38.bin"/><Relationship Id="rId97" Type="http://schemas.openxmlformats.org/officeDocument/2006/relationships/image" Target="media/image43.emf"/><Relationship Id="rId104" Type="http://schemas.openxmlformats.org/officeDocument/2006/relationships/image" Target="media/image50.emf"/><Relationship Id="rId120" Type="http://schemas.openxmlformats.org/officeDocument/2006/relationships/image" Target="media/image66.emf"/><Relationship Id="rId125"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image" Target="media/image56.emf"/><Relationship Id="rId115" Type="http://schemas.openxmlformats.org/officeDocument/2006/relationships/image" Target="media/image61.emf"/><Relationship Id="rId131" Type="http://schemas.openxmlformats.org/officeDocument/2006/relationships/footer" Target="footer4.xml"/><Relationship Id="rId136" Type="http://schemas.openxmlformats.org/officeDocument/2006/relationships/image" Target="media/image77.emf"/><Relationship Id="rId61" Type="http://schemas.openxmlformats.org/officeDocument/2006/relationships/image" Target="media/image25.wmf"/><Relationship Id="rId82" Type="http://schemas.openxmlformats.org/officeDocument/2006/relationships/oleObject" Target="embeddings/oleObject41.bin"/><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7.bin"/><Relationship Id="rId77" Type="http://schemas.openxmlformats.org/officeDocument/2006/relationships/image" Target="media/image32.wmf"/><Relationship Id="rId100" Type="http://schemas.openxmlformats.org/officeDocument/2006/relationships/image" Target="media/image46.emf"/><Relationship Id="rId105" Type="http://schemas.openxmlformats.org/officeDocument/2006/relationships/image" Target="media/image51.emf"/><Relationship Id="rId126" Type="http://schemas.openxmlformats.org/officeDocument/2006/relationships/image" Target="media/image72.emf"/><Relationship Id="rId8" Type="http://schemas.openxmlformats.org/officeDocument/2006/relationships/chart" Target="charts/chart1.xml"/><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47.bin"/><Relationship Id="rId98" Type="http://schemas.openxmlformats.org/officeDocument/2006/relationships/image" Target="media/image44.emf"/><Relationship Id="rId121" Type="http://schemas.openxmlformats.org/officeDocument/2006/relationships/image" Target="media/image67.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oleObject" Target="embeddings/oleObject33.bin"/><Relationship Id="rId116" Type="http://schemas.openxmlformats.org/officeDocument/2006/relationships/image" Target="media/image62.emf"/><Relationship Id="rId137" Type="http://schemas.openxmlformats.org/officeDocument/2006/relationships/footer" Target="footer6.xml"/><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oleObject" Target="embeddings/oleObject30.bin"/><Relationship Id="rId83" Type="http://schemas.openxmlformats.org/officeDocument/2006/relationships/image" Target="media/image35.wmf"/><Relationship Id="rId88" Type="http://schemas.openxmlformats.org/officeDocument/2006/relationships/oleObject" Target="embeddings/oleObject44.bin"/><Relationship Id="rId111" Type="http://schemas.openxmlformats.org/officeDocument/2006/relationships/image" Target="media/image57.emf"/><Relationship Id="rId132" Type="http://schemas.openxmlformats.org/officeDocument/2006/relationships/footer" Target="footer5.xml"/><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3.wmf"/><Relationship Id="rId106" Type="http://schemas.openxmlformats.org/officeDocument/2006/relationships/image" Target="media/image52.emf"/><Relationship Id="rId127" Type="http://schemas.openxmlformats.org/officeDocument/2006/relationships/image" Target="media/image73.emf"/><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0.wmf"/><Relationship Id="rId78" Type="http://schemas.openxmlformats.org/officeDocument/2006/relationships/oleObject" Target="embeddings/oleObject39.bin"/><Relationship Id="rId94" Type="http://schemas.openxmlformats.org/officeDocument/2006/relationships/image" Target="media/image40.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oleObject" Target="embeddings/oleObject10.bin"/><Relationship Id="rId47" Type="http://schemas.openxmlformats.org/officeDocument/2006/relationships/image" Target="media/image19.wmf"/><Relationship Id="rId68" Type="http://schemas.openxmlformats.org/officeDocument/2006/relationships/image" Target="media/image28.wmf"/><Relationship Id="rId89" Type="http://schemas.openxmlformats.org/officeDocument/2006/relationships/oleObject" Target="embeddings/oleObject45.bin"/><Relationship Id="rId112" Type="http://schemas.openxmlformats.org/officeDocument/2006/relationships/image" Target="media/image58.emf"/><Relationship Id="rId133" Type="http://schemas.openxmlformats.org/officeDocument/2006/relationships/image" Target="media/image7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Figure 1  European ETFs Growth 2008 - 2018</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Sheet1!$H$11</c:f>
              <c:strCache>
                <c:ptCount val="1"/>
                <c:pt idx="0">
                  <c:v>#ETFs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Sheet1!$G$12:$G$22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formatCode="mmm\-yy">
                  <c:v>43282</c:v>
                </c:pt>
              </c:numCache>
            </c:numRef>
          </c:cat>
          <c:val>
            <c:numRef>
              <c:f>Sheet1!$H$12:$H$22</c:f>
              <c:numCache>
                <c:formatCode>General</c:formatCode>
                <c:ptCount val="11"/>
                <c:pt idx="0">
                  <c:v>640</c:v>
                </c:pt>
                <c:pt idx="1">
                  <c:v>833</c:v>
                </c:pt>
                <c:pt idx="2">
                  <c:v>1069</c:v>
                </c:pt>
                <c:pt idx="3">
                  <c:v>1227</c:v>
                </c:pt>
                <c:pt idx="4">
                  <c:v>1325</c:v>
                </c:pt>
                <c:pt idx="5">
                  <c:v>1375</c:v>
                </c:pt>
                <c:pt idx="6">
                  <c:v>1459</c:v>
                </c:pt>
                <c:pt idx="7">
                  <c:v>1542</c:v>
                </c:pt>
                <c:pt idx="8">
                  <c:v>1560</c:v>
                </c:pt>
                <c:pt idx="9">
                  <c:v>1610</c:v>
                </c:pt>
                <c:pt idx="10">
                  <c:v>1675</c:v>
                </c:pt>
              </c:numCache>
            </c:numRef>
          </c:val>
          <c:smooth val="0"/>
          <c:extLst>
            <c:ext xmlns:c16="http://schemas.microsoft.com/office/drawing/2014/chart" uri="{C3380CC4-5D6E-409C-BE32-E72D297353CC}">
              <c16:uniqueId val="{00000000-0CD5-47F6-8E55-EEFB443F98D4}"/>
            </c:ext>
          </c:extLst>
        </c:ser>
        <c:ser>
          <c:idx val="1"/>
          <c:order val="1"/>
          <c:tx>
            <c:strRef>
              <c:f>Sheet1!$I$11</c:f>
              <c:strCache>
                <c:ptCount val="1"/>
                <c:pt idx="0">
                  <c:v>Asset Value (US$ Bn)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Sheet1!$G$12:$G$22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formatCode="mmm\-yy">
                  <c:v>43282</c:v>
                </c:pt>
              </c:numCache>
            </c:numRef>
          </c:cat>
          <c:val>
            <c:numRef>
              <c:f>Sheet1!$I$12:$I$22</c:f>
              <c:numCache>
                <c:formatCode>General</c:formatCode>
                <c:ptCount val="11"/>
                <c:pt idx="0">
                  <c:v>219</c:v>
                </c:pt>
                <c:pt idx="1">
                  <c:v>226</c:v>
                </c:pt>
                <c:pt idx="2">
                  <c:v>281</c:v>
                </c:pt>
                <c:pt idx="3">
                  <c:v>268</c:v>
                </c:pt>
                <c:pt idx="4">
                  <c:v>331</c:v>
                </c:pt>
                <c:pt idx="5">
                  <c:v>395</c:v>
                </c:pt>
                <c:pt idx="6">
                  <c:v>438</c:v>
                </c:pt>
                <c:pt idx="7">
                  <c:v>488</c:v>
                </c:pt>
                <c:pt idx="8">
                  <c:v>542</c:v>
                </c:pt>
                <c:pt idx="9">
                  <c:v>762</c:v>
                </c:pt>
                <c:pt idx="10">
                  <c:v>788</c:v>
                </c:pt>
              </c:numCache>
            </c:numRef>
          </c:val>
          <c:smooth val="0"/>
          <c:extLst>
            <c:ext xmlns:c16="http://schemas.microsoft.com/office/drawing/2014/chart" uri="{C3380CC4-5D6E-409C-BE32-E72D297353CC}">
              <c16:uniqueId val="{00000001-0CD5-47F6-8E55-EEFB443F98D4}"/>
            </c:ext>
          </c:extLst>
        </c:ser>
        <c:dLbls>
          <c:showLegendKey val="0"/>
          <c:showVal val="0"/>
          <c:showCatName val="0"/>
          <c:showSerName val="0"/>
          <c:showPercent val="0"/>
          <c:showBubbleSize val="0"/>
        </c:dLbls>
        <c:marker val="1"/>
        <c:smooth val="0"/>
        <c:axId val="469621600"/>
        <c:axId val="469621928"/>
      </c:lineChart>
      <c:catAx>
        <c:axId val="4696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621928"/>
        <c:crosses val="autoZero"/>
        <c:auto val="1"/>
        <c:lblAlgn val="ctr"/>
        <c:lblOffset val="100"/>
        <c:noMultiLvlLbl val="0"/>
      </c:catAx>
      <c:valAx>
        <c:axId val="46962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6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943FDC-9507-4794-852F-BAAE6E72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12732</Words>
  <Characters>72578</Characters>
  <Application>Microsoft Office Word</Application>
  <DocSecurity>0</DocSecurity>
  <Lines>604</Lines>
  <Paragraphs>170</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    1 Introduction </vt:lpstr>
      <vt:lpstr>    3 Data </vt:lpstr>
      <vt:lpstr>    </vt:lpstr>
      <vt:lpstr>    5 Empirical Results</vt:lpstr>
      <vt:lpstr>    6 Conclusion</vt:lpstr>
      <vt:lpstr>Notes</vt:lpstr>
      <vt:lpstr>References</vt:lpstr>
      <vt:lpstr>Ates, A., &amp; Wang, G. H. K. (2005). Information Transmission in Electronic Versus</vt:lpstr>
      <vt:lpstr>Baillie, R. T., &amp; Bollerslev, T. (2002). The Message in Daily Exchange Rates: A </vt:lpstr>
      <vt:lpstr>Baillie, R. T., Booth, G. G., Tse, Y., &amp; Zabotina, T. (2002). Price Discovery an</vt:lpstr>
      <vt:lpstr>Beaulieu, M. C., Ebrahim, S. K., &amp; Morgan, I. G. (2003). Does Tick Size Influenc</vt:lpstr>
      <vt:lpstr>Booth, G. G., So, R. W., &amp; Tse, Y. (1999). Price Discovery In the German Equity </vt:lpstr>
      <vt:lpstr>Deville, L., Gresse, C., &amp; De Séverac, B. (2014). Direct and Indirect Effects of</vt:lpstr>
      <vt:lpstr>Dwyer, G. P., Locke, P., &amp; Yu, W. (1996). Index Arbitrage and Nonlinear Dynamics</vt:lpstr>
      <vt:lpstr>Fleming, J., Ostdiek, B., &amp; Whaley, R. E. (1996). Trading Costs and the Relative</vt:lpstr>
      <vt:lpstr>Frommherz, A. (2017). Price Discovery of German Index Derivatives During Financi</vt:lpstr>
      <vt:lpstr>Fung, J., &amp; Yu, P. (2007). Order Imbalance and the Dynamics of Index and Futures</vt:lpstr>
      <vt:lpstr>Gammill, James E, Jr., and Andre F. Perold. (1989). The Changing Character of St</vt:lpstr>
      <vt:lpstr>Gaul, J. (2005). A Partially Linear Vector Error Correction Model. PhD thesis, U</vt:lpstr>
      <vt:lpstr>Gaul, J., &amp; Theissen, E. (2015). A Partially Linear Approach To Modeling the Dyn</vt:lpstr>
      <vt:lpstr>Gonzalo, J., &amp; Granger, C. (1995). Estimation of Common Long-Memory Components i</vt:lpstr>
      <vt:lpstr>Harris, Frederick H., McInish, T. H., &amp; Wood, R. A. (2002a). Security Price Adju</vt:lpstr>
      <vt:lpstr>Hegde, S.P., McDermott, J.B. (2004). The Market Liquidity of Diamond, Q’s and Th</vt:lpstr>
      <vt:lpstr>Ivanov, S. I. (2013). The Influence of ETFs on the Price Discovery of Gold, Silv</vt:lpstr>
      <vt:lpstr>Ivanov, S. I., Jones, F. J., &amp; Zaima, J. K. (2013). Analysis of DJIA, S&amp;P 500, S</vt:lpstr>
      <vt:lpstr>Madhavan, A. and Sobczyk A. (2016). Price Dynamics and Liquidity of Exchange-Tra</vt:lpstr>
      <vt:lpstr>Martens, M. (1998). Price Discovery in High and Low Volatility Periods: Open Out</vt:lpstr>
      <vt:lpstr>Pizzi, M., A. Economopoulos and H. O'Neill. (1998). An Estimation of the Relatio</vt:lpstr>
      <vt:lpstr>Schlusche, B. (2009). Price Formation in Spot and Futures Markets: Exchange Trad</vt:lpstr>
      <vt:lpstr>Tse, Y. (2001). Index Arbitrage with Heterogeneous Investors: A Smooth Transitio</vt:lpstr>
      <vt:lpstr>Tse, Y., Bandyopadhyay, P., &amp; Shen, Y. P. (2006). Intraday Price Discovery in th</vt:lpstr>
      <vt:lpstr>Verousis, T., &amp; Gwilym, O. (2010). An Improved Algorithm for Cleaning Ultrahigh </vt:lpstr>
      <vt:lpstr>Vortelinos, D. I. (2014). Non-parametric Analysis of Equity Arbitrage. Internati</vt:lpstr>
      <vt:lpstr>Yadav, P., P. Pope and K. Paudyal. (1994). Threshold Autoregressive Modeling in </vt:lpstr>
    </vt:vector>
  </TitlesOfParts>
  <Company/>
  <LinksUpToDate>false</LinksUpToDate>
  <CharactersWithSpaces>85140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Buckle, Michael</cp:lastModifiedBy>
  <cp:revision>2</cp:revision>
  <cp:lastPrinted>2018-05-24T15:03:00Z</cp:lastPrinted>
  <dcterms:created xsi:type="dcterms:W3CDTF">2019-02-25T09:57:00Z</dcterms:created>
  <dcterms:modified xsi:type="dcterms:W3CDTF">2019-02-25T09:57:00Z</dcterms:modified>
</cp:coreProperties>
</file>