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54E91" w14:textId="77777777" w:rsidR="00C039D7" w:rsidRDefault="00C039D7" w:rsidP="00141231">
      <w:pPr>
        <w:pStyle w:val="Heading1"/>
      </w:pPr>
      <w:r>
        <w:t xml:space="preserve">Strategic Choice in Universities: Managerial Agency and Effective Technology Transfer </w:t>
      </w:r>
    </w:p>
    <w:p w14:paraId="4763ED70" w14:textId="77777777" w:rsidR="00C039D7" w:rsidRDefault="00C039D7" w:rsidP="00141231"/>
    <w:p w14:paraId="5F98B694" w14:textId="146B2C25" w:rsidR="00C039D7" w:rsidRDefault="00C039D7" w:rsidP="00141231">
      <w:r>
        <w:t>Mr. Sam Horner</w:t>
      </w:r>
      <w:r w:rsidR="00141231">
        <w:t xml:space="preserve"> (</w:t>
      </w:r>
      <w:r w:rsidR="00141231">
        <w:rPr>
          <w:i/>
        </w:rPr>
        <w:t>Corresponding Author)</w:t>
      </w:r>
      <w:r>
        <w:t xml:space="preserve">, University of Liverpool Management School, Liverpool, United Kingdom, </w:t>
      </w:r>
      <w:hyperlink r:id="rId8" w:history="1">
        <w:r w:rsidRPr="0040591B">
          <w:rPr>
            <w:rStyle w:val="Hyperlink"/>
          </w:rPr>
          <w:t>s.horner@liverpool.ac.uk</w:t>
        </w:r>
      </w:hyperlink>
      <w:r>
        <w:t xml:space="preserve"> </w:t>
      </w:r>
    </w:p>
    <w:p w14:paraId="00A14441" w14:textId="77777777" w:rsidR="00C039D7" w:rsidRDefault="00C039D7" w:rsidP="00141231">
      <w:proofErr w:type="spellStart"/>
      <w:r>
        <w:t>Dr.</w:t>
      </w:r>
      <w:proofErr w:type="spellEnd"/>
      <w:r>
        <w:t xml:space="preserve"> Dilani Jayawarna, University of Liverpool Management School, Liverpool, United Kingdom, </w:t>
      </w:r>
      <w:hyperlink r:id="rId9" w:history="1">
        <w:r w:rsidRPr="0040591B">
          <w:rPr>
            <w:rStyle w:val="Hyperlink"/>
          </w:rPr>
          <w:t>D.Jayawarna@liverpool.ac.uk</w:t>
        </w:r>
      </w:hyperlink>
      <w:r>
        <w:t xml:space="preserve"> </w:t>
      </w:r>
    </w:p>
    <w:p w14:paraId="46613E06" w14:textId="0718D29C" w:rsidR="00C039D7" w:rsidRDefault="003B16AA" w:rsidP="00141231">
      <w:pPr>
        <w:rPr>
          <w:rStyle w:val="Hyperlink"/>
        </w:rPr>
      </w:pPr>
      <w:proofErr w:type="spellStart"/>
      <w:r>
        <w:t>Dr.</w:t>
      </w:r>
      <w:proofErr w:type="spellEnd"/>
      <w:r>
        <w:t xml:space="preserve"> Benito Giordano, University of Liverpool Management School, Liverpool, United Kingdom, </w:t>
      </w:r>
      <w:hyperlink r:id="rId10" w:history="1">
        <w:r w:rsidRPr="0040591B">
          <w:rPr>
            <w:rStyle w:val="Hyperlink"/>
          </w:rPr>
          <w:t>B.Giordano@liverpool.ac.uk</w:t>
        </w:r>
      </w:hyperlink>
    </w:p>
    <w:p w14:paraId="66FFDA37" w14:textId="77777777" w:rsidR="00637FD4" w:rsidRDefault="00637FD4" w:rsidP="00141231">
      <w:proofErr w:type="spellStart"/>
      <w:r>
        <w:t>Prof.</w:t>
      </w:r>
      <w:proofErr w:type="spellEnd"/>
      <w:r>
        <w:t xml:space="preserve"> Oswald Jones, University of Liverpool Management School, Liverpool, United Kingdom, </w:t>
      </w:r>
      <w:hyperlink r:id="rId11" w:history="1">
        <w:r w:rsidRPr="0040591B">
          <w:rPr>
            <w:rStyle w:val="Hyperlink"/>
          </w:rPr>
          <w:t>O.Jones@liverpool.ac.uk</w:t>
        </w:r>
      </w:hyperlink>
    </w:p>
    <w:p w14:paraId="5E5466FD" w14:textId="77777777" w:rsidR="00637FD4" w:rsidRDefault="00637FD4" w:rsidP="00141231">
      <w:pPr>
        <w:rPr>
          <w:rStyle w:val="Hyperlink"/>
        </w:rPr>
      </w:pPr>
    </w:p>
    <w:p w14:paraId="18A79993" w14:textId="77777777" w:rsidR="003B16AA" w:rsidRDefault="003B16AA" w:rsidP="00141231">
      <w:pPr>
        <w:rPr>
          <w:b/>
        </w:rPr>
      </w:pPr>
    </w:p>
    <w:p w14:paraId="1B954160" w14:textId="77777777" w:rsidR="00C039D7" w:rsidRDefault="00C039D7" w:rsidP="00141231">
      <w:pPr>
        <w:outlineLvl w:val="0"/>
        <w:rPr>
          <w:b/>
        </w:rPr>
      </w:pPr>
      <w:r w:rsidRPr="00DA71B4">
        <w:rPr>
          <w:b/>
        </w:rPr>
        <w:t xml:space="preserve">Abstract </w:t>
      </w:r>
    </w:p>
    <w:p w14:paraId="47F9C782" w14:textId="77777777" w:rsidR="00C039D7" w:rsidRPr="009E3DE8" w:rsidRDefault="00C039D7" w:rsidP="00141231">
      <w:pPr>
        <w:spacing w:line="360" w:lineRule="auto"/>
        <w:rPr>
          <w:rFonts w:ascii="Times New Roman" w:hAnsi="Times New Roman" w:cs="Times New Roman"/>
        </w:rPr>
      </w:pPr>
      <w:r>
        <w:rPr>
          <w:rFonts w:ascii="Times New Roman" w:hAnsi="Times New Roman" w:cs="Times New Roman"/>
        </w:rPr>
        <w:t>Current theoris</w:t>
      </w:r>
      <w:r w:rsidRPr="009E3DE8">
        <w:rPr>
          <w:rFonts w:ascii="Times New Roman" w:hAnsi="Times New Roman" w:cs="Times New Roman"/>
        </w:rPr>
        <w:t>ing about the contingencies underpinning the effectiveness of uni</w:t>
      </w:r>
      <w:r>
        <w:rPr>
          <w:rFonts w:ascii="Times New Roman" w:hAnsi="Times New Roman" w:cs="Times New Roman"/>
        </w:rPr>
        <w:t>versity technology transfer has</w:t>
      </w:r>
      <w:r w:rsidRPr="009E3DE8">
        <w:rPr>
          <w:rFonts w:ascii="Times New Roman" w:hAnsi="Times New Roman" w:cs="Times New Roman"/>
        </w:rPr>
        <w:t xml:space="preserve"> emphasised the importance of organisational support, namely the scale of T</w:t>
      </w:r>
      <w:r>
        <w:rPr>
          <w:rFonts w:ascii="Times New Roman" w:hAnsi="Times New Roman" w:cs="Times New Roman"/>
        </w:rPr>
        <w:t xml:space="preserve">echnology </w:t>
      </w:r>
      <w:r w:rsidRPr="009E3DE8">
        <w:rPr>
          <w:rFonts w:ascii="Times New Roman" w:hAnsi="Times New Roman" w:cs="Times New Roman"/>
        </w:rPr>
        <w:t>T</w:t>
      </w:r>
      <w:r>
        <w:rPr>
          <w:rFonts w:ascii="Times New Roman" w:hAnsi="Times New Roman" w:cs="Times New Roman"/>
        </w:rPr>
        <w:t xml:space="preserve">ransfer </w:t>
      </w:r>
      <w:r w:rsidRPr="009E3DE8">
        <w:rPr>
          <w:rFonts w:ascii="Times New Roman" w:hAnsi="Times New Roman" w:cs="Times New Roman"/>
        </w:rPr>
        <w:t>O</w:t>
      </w:r>
      <w:r>
        <w:rPr>
          <w:rFonts w:ascii="Times New Roman" w:hAnsi="Times New Roman" w:cs="Times New Roman"/>
        </w:rPr>
        <w:t>ffice (TTO)</w:t>
      </w:r>
      <w:r w:rsidRPr="009E3DE8">
        <w:rPr>
          <w:rFonts w:ascii="Times New Roman" w:hAnsi="Times New Roman" w:cs="Times New Roman"/>
        </w:rPr>
        <w:t xml:space="preserve"> support and the provision of incentives. Empirical results pertaining to the effects of these organisational supports are mixed. More recently, academic resea</w:t>
      </w:r>
      <w:r>
        <w:rPr>
          <w:rFonts w:ascii="Times New Roman" w:hAnsi="Times New Roman" w:cs="Times New Roman"/>
        </w:rPr>
        <w:t>rch and policy reviews have</w:t>
      </w:r>
      <w:r w:rsidRPr="009E3DE8">
        <w:rPr>
          <w:rFonts w:ascii="Times New Roman" w:hAnsi="Times New Roman" w:cs="Times New Roman"/>
        </w:rPr>
        <w:t xml:space="preserve"> highlighted the potential significance of the strategic choices made by university managers in contributing to the effectiveness of technology transfer activity. Our research attempts to reconcile these two streams of technology transfer research by drawing on Child’s strategic choice</w:t>
      </w:r>
      <w:r>
        <w:rPr>
          <w:rFonts w:ascii="Times New Roman" w:hAnsi="Times New Roman" w:cs="Times New Roman"/>
        </w:rPr>
        <w:t xml:space="preserve"> theory as an integrating framework</w:t>
      </w:r>
      <w:r w:rsidRPr="009E3DE8">
        <w:rPr>
          <w:rFonts w:ascii="Times New Roman" w:hAnsi="Times New Roman" w:cs="Times New Roman"/>
        </w:rPr>
        <w:t xml:space="preserve">. Through operationalising a strategic choice framework and drawing upon data from 115 UK universities (collected through multiple waves of the HE-BCI Survey), this research shows that supporting </w:t>
      </w:r>
      <w:r>
        <w:rPr>
          <w:rFonts w:ascii="Times New Roman" w:hAnsi="Times New Roman" w:cs="Times New Roman"/>
        </w:rPr>
        <w:t>organisational</w:t>
      </w:r>
      <w:r w:rsidRPr="009E3DE8">
        <w:rPr>
          <w:rFonts w:ascii="Times New Roman" w:hAnsi="Times New Roman" w:cs="Times New Roman"/>
        </w:rPr>
        <w:t xml:space="preserve"> infrastructure is necessary but not sufficient to account for improved technology transfer effectiveness. Specifically, it highlights the key mediating role of strategic choice, suggesting that it is the </w:t>
      </w:r>
      <w:r w:rsidRPr="009E3DE8">
        <w:rPr>
          <w:rFonts w:ascii="Times New Roman" w:hAnsi="Times New Roman" w:cs="Times New Roman"/>
          <w:i/>
        </w:rPr>
        <w:t>alignment</w:t>
      </w:r>
      <w:r w:rsidRPr="009E3DE8">
        <w:rPr>
          <w:rFonts w:ascii="Times New Roman" w:hAnsi="Times New Roman" w:cs="Times New Roman"/>
        </w:rPr>
        <w:t xml:space="preserve"> between strategic choices made by university managers and the supporting organisational infrastructure that accounts for variations in technology transfer effectiveness. Furthermore, we find the </w:t>
      </w:r>
      <w:r>
        <w:rPr>
          <w:rFonts w:ascii="Times New Roman" w:hAnsi="Times New Roman" w:cs="Times New Roman"/>
        </w:rPr>
        <w:t xml:space="preserve">mediation </w:t>
      </w:r>
      <w:r w:rsidRPr="009E3DE8">
        <w:rPr>
          <w:rFonts w:ascii="Times New Roman" w:hAnsi="Times New Roman" w:cs="Times New Roman"/>
        </w:rPr>
        <w:t xml:space="preserve">relationship between strategic alignment and technology transfer effectiveness is moderated by the breadth of strategic planning efforts, with those universities that engage a wider number of faculty in strategic planning efforts benefiting most from the alignment between strategic choices and supporting organisational infrastructure. </w:t>
      </w:r>
    </w:p>
    <w:p w14:paraId="54679294" w14:textId="77777777" w:rsidR="00C039D7" w:rsidRPr="00DA71B4" w:rsidRDefault="00C039D7" w:rsidP="00141231">
      <w:pPr>
        <w:outlineLvl w:val="0"/>
        <w:rPr>
          <w:b/>
        </w:rPr>
      </w:pPr>
    </w:p>
    <w:p w14:paraId="246F1521" w14:textId="77777777" w:rsidR="00C039D7" w:rsidRPr="009E3DE8" w:rsidRDefault="00C039D7" w:rsidP="00141231">
      <w:pPr>
        <w:spacing w:line="360" w:lineRule="auto"/>
        <w:rPr>
          <w:rFonts w:ascii="Times New Roman" w:hAnsi="Times New Roman" w:cs="Times New Roman"/>
        </w:rPr>
      </w:pPr>
      <w:r w:rsidRPr="00DA71B4">
        <w:rPr>
          <w:rFonts w:ascii="Times New Roman" w:hAnsi="Times New Roman" w:cs="Times New Roman"/>
          <w:b/>
        </w:rPr>
        <w:t>Keywords</w:t>
      </w:r>
      <w:r>
        <w:rPr>
          <w:rFonts w:ascii="Times New Roman" w:hAnsi="Times New Roman" w:cs="Times New Roman"/>
        </w:rPr>
        <w:t xml:space="preserve">: Strategic Choice, Technology Transfer, Contingency Theory, Commercialization, University-Industry </w:t>
      </w:r>
    </w:p>
    <w:p w14:paraId="00271D66" w14:textId="77777777" w:rsidR="009E3DE8" w:rsidRPr="009E3DE8" w:rsidRDefault="009E3DE8" w:rsidP="00141231">
      <w:pPr>
        <w:spacing w:line="360" w:lineRule="auto"/>
        <w:rPr>
          <w:rFonts w:ascii="Times New Roman" w:hAnsi="Times New Roman" w:cs="Times New Roman"/>
        </w:rPr>
      </w:pPr>
    </w:p>
    <w:p w14:paraId="1483E3FF" w14:textId="2F87E06D" w:rsidR="008F5708" w:rsidRPr="00EF66BB" w:rsidRDefault="008F5708" w:rsidP="00141231">
      <w:pPr>
        <w:pStyle w:val="Heading2"/>
        <w:numPr>
          <w:ilvl w:val="0"/>
          <w:numId w:val="3"/>
        </w:numPr>
        <w:spacing w:line="360" w:lineRule="auto"/>
        <w:rPr>
          <w:rFonts w:ascii="Times New Roman" w:hAnsi="Times New Roman" w:cs="Times New Roman"/>
          <w:sz w:val="24"/>
          <w:szCs w:val="24"/>
        </w:rPr>
      </w:pPr>
      <w:r w:rsidRPr="00EF66BB">
        <w:rPr>
          <w:rFonts w:ascii="Times New Roman" w:hAnsi="Times New Roman" w:cs="Times New Roman"/>
          <w:sz w:val="24"/>
          <w:szCs w:val="24"/>
        </w:rPr>
        <w:lastRenderedPageBreak/>
        <w:t>Introduction</w:t>
      </w:r>
    </w:p>
    <w:p w14:paraId="1A1A1C1A" w14:textId="1E79DBCC" w:rsidR="002B1D58" w:rsidRPr="00EF66BB" w:rsidRDefault="002B1D58" w:rsidP="00141231">
      <w:pPr>
        <w:spacing w:line="360" w:lineRule="auto"/>
        <w:rPr>
          <w:rFonts w:ascii="Times New Roman" w:hAnsi="Times New Roman" w:cs="Times New Roman"/>
        </w:rPr>
      </w:pPr>
      <w:r w:rsidRPr="00EF66BB">
        <w:rPr>
          <w:rFonts w:ascii="Times New Roman" w:hAnsi="Times New Roman" w:cs="Times New Roman"/>
        </w:rPr>
        <w:t>Recent calls for the reco</w:t>
      </w:r>
      <w:r w:rsidR="000B325D">
        <w:rPr>
          <w:rFonts w:ascii="Times New Roman" w:hAnsi="Times New Roman" w:cs="Times New Roman"/>
        </w:rPr>
        <w:t>nceptuali</w:t>
      </w:r>
      <w:r w:rsidR="00CE1EC1">
        <w:rPr>
          <w:rFonts w:ascii="Times New Roman" w:hAnsi="Times New Roman" w:cs="Times New Roman"/>
        </w:rPr>
        <w:t>z</w:t>
      </w:r>
      <w:r w:rsidR="000B325D">
        <w:rPr>
          <w:rFonts w:ascii="Times New Roman" w:hAnsi="Times New Roman" w:cs="Times New Roman"/>
        </w:rPr>
        <w:t>ation</w:t>
      </w:r>
      <w:r w:rsidRPr="00EF66BB">
        <w:rPr>
          <w:rFonts w:ascii="Times New Roman" w:hAnsi="Times New Roman" w:cs="Times New Roman"/>
        </w:rPr>
        <w:t xml:space="preserve"> of academic entrepreneurship have drawn attention to the fact that institutional heterogeneity is largely overlooked in existing research on technology transfer </w:t>
      </w:r>
      <w:r w:rsidR="003C3573">
        <w:rPr>
          <w:rFonts w:ascii="Times New Roman" w:hAnsi="Times New Roman" w:cs="Times New Roman"/>
        </w:rPr>
        <w:fldChar w:fldCharType="begin" w:fldLock="1"/>
      </w:r>
      <w:r w:rsidR="005C76D1">
        <w:rPr>
          <w:rFonts w:ascii="Times New Roman" w:hAnsi="Times New Roman" w:cs="Times New Roman"/>
        </w:rPr>
        <w:instrText>ADDIN CSL_CITATION {"citationItems":[{"id":"ITEM-1","itemData":{"DOI":"10.1016/j.respol.2014.06.001","ISBN":"00487333","ISSN":"00487333","abstract":"The present paper elaborates a critical reflection on the 'one-size-fits-all' model which conceptualizes universities as centres of excellence in education, research and third mission. It is argued that the shortcomings of this perspective are twofold: first, HEIs are treated as homogeneous institutions with equal capacity to perform and contribute to social engagement; and second, missions are undistinguishable from each other. Both features lead to mischaracterizations concerning the role of universities and their contribution to society. In the view proposed here missions are university strategies linked by complex relationship of compatibility, and the paper puts in perspective the persisting gap concerning the nature of and the relations across them.","author":[{"dropping-particle":"","family":"Sánchez-Barrioluengo","given":"Mabel","non-dropping-particle":"","parse-names":false,"suffix":""}],"container-title":"Research Policy","id":"ITEM-1","issue":"10","issued":{"date-parts":[["2014"]]},"page":"1760-1773","publisher":"Elsevier B.V.","title":"Articulating the 'three-missions' in Spanish universities","type":"article-journal","volume":"43"},"uris":["http://www.mendeley.com/documents/?uuid=5fc5b121-26c5-4366-86b8-d942c7ffea40"]},{"id":"ITEM-2","itemData":{"DOI":"10.1016/j.respol.2011.04.005","ISBN":"0048-7333","ISSN":"00487333","PMID":"63979345","abstract":"On the 30th anniversary of enactment of the Bayh-Dole Act in the U.S., we consider the rationale for academic entrepreneurship and describe the evolving role of universities in the commercialization of research. We also discuss and appraise the effects of legislative reform in several OECD countries relating to academic entrepreneurship. The article synthesizes papers from the special section and outlines an agenda for additional research on various aspects of academic entrepreneurship in terms of system, university and individual levels. We also consider measurement and methodological issues that must be addressed in additional research. © 2011 Elsevier B.V. All rights reserved.","author":[{"dropping-particle":"","family":"Grimaldi","given":"Rosa","non-dropping-particle":"","parse-names":false,"suffix":""},{"dropping-particle":"","family":"Kenney","given":"Martin","non-dropping-particle":"","parse-names":false,"suffix":""},{"dropping-particle":"","family":"Siegel","given":"Donald","non-dropping-particle":"","parse-names":false,"suffix":""},{"dropping-particle":"","family":"Wright","given":"Mike","non-dropping-particle":"","parse-names":false,"suffix":""}],"container-title":"Research Policy","id":"ITEM-2","issue":"8","issued":{"date-parts":[["2011"]]},"page":"1045-1057","publisher":"Elsevier B.V.","title":"30 years after Bayh-Dole: Reassessing academic entrepreneurship","type":"article-journal","volume":"40"},"uris":["http://www.mendeley.com/documents/?uuid=f76d5f6a-d7d8-44f5-97d3-959ec6741a69"]},{"id":"ITEM-3","itemData":{"DOI":"10.1111/1467-8551.12116","ISBN":"1467-8551","ISSN":"14678551","PMID":"3749","abstract":"Academic entrepreneurship, which refers to efforts undertaken by universities to promote commercialization on campus and in surrounding regions of the university, has changed dramatically in recent years. Two key consequences of this change are that more stakeholders have become involved in academic entrepreneurship and that universities have become more ‘strategic’ in their approach to this activity. The authors assert that the time is ripe to rethink academic entrepreneurship. Specifically, theoretical and empirical research on academic entrepreneurship needs to take account of these changes, so as to improve the rigour and relevance of future studies on this topic. We outline such a framework and provide examples of key research questions that need to be addressed to broaden understanding of academic entrepreneurship.","author":[{"dropping-particle":"","family":"Siegel","given":"Donald","non-dropping-particle":"","parse-names":false,"suffix":""},{"dropping-particle":"","family":"Wright","given":"Mike","non-dropping-particle":"","parse-names":false,"suffix":""}],"container-title":"British Journal of Management","id":"ITEM-3","issue":"4","issued":{"date-parts":[["2015"]]},"page":"582-595","title":"Academic Entrepreneurship: Time for a Rethink?","type":"article-journal","volume":"26"},"uris":["http://www.mendeley.com/documents/?uuid=fd36b1d1-c4c9-405f-8f53-67de72694463"]},{"id":"ITEM-4","itemData":{"author":[{"dropping-particle":"","family":"Siegel","given":"Donald","non-dropping-particle":"","parse-names":false,"suffix":""},{"dropping-particle":"","family":"Wright","given":"Mike","non-dropping-particle":"","parse-names":false,"suffix":""}],"container-title":"The Chicago Handbook of University Technology Transfer and Academic Entrepreneurship","id":"ITEM-4","issued":{"date-parts":[["2015"]]},"page":"1-40","title":"University Technology Transfer Offices, Licensing and Start-Ups","type":"article-journal"},"uris":["http://www.mendeley.com/documents/?uuid=fe76100e-4794-40f5-abd9-8ecf8418b924"]}],"mendeley":{"formattedCitation":"(Grimaldi et al., 2011; Sánchez-Barrioluengo, 2014; Siegel and Wright, 2015a, 2015b)","plainTextFormattedCitation":"(Grimaldi et al., 2011; Sánchez-Barrioluengo, 2014; Siegel and Wright, 2015a, 2015b)","previouslyFormattedCitation":"(Grimaldi et al., 2011; Sánchez-Barrioluengo, 2014; Siegel and Wright, 2015a, 2015b)"},"properties":{"noteIndex":0},"schema":"https://github.com/citation-style-language/schema/raw/master/csl-citation.json"}</w:instrText>
      </w:r>
      <w:r w:rsidR="003C3573">
        <w:rPr>
          <w:rFonts w:ascii="Times New Roman" w:hAnsi="Times New Roman" w:cs="Times New Roman"/>
        </w:rPr>
        <w:fldChar w:fldCharType="separate"/>
      </w:r>
      <w:r w:rsidR="005C76D1" w:rsidRPr="005C76D1">
        <w:rPr>
          <w:rFonts w:ascii="Times New Roman" w:hAnsi="Times New Roman" w:cs="Times New Roman"/>
          <w:noProof/>
        </w:rPr>
        <w:t>(Grimaldi et al., 2011; Sánchez-Barrioluengo, 2014; Siegel and Wright, 2015a, 2015b)</w:t>
      </w:r>
      <w:r w:rsidR="003C3573">
        <w:rPr>
          <w:rFonts w:ascii="Times New Roman" w:hAnsi="Times New Roman" w:cs="Times New Roman"/>
        </w:rPr>
        <w:fldChar w:fldCharType="end"/>
      </w:r>
      <w:r w:rsidRPr="00EF66BB">
        <w:rPr>
          <w:rFonts w:ascii="Times New Roman" w:hAnsi="Times New Roman" w:cs="Times New Roman"/>
        </w:rPr>
        <w:t>. Specifically, it has been suggested that the ‘one- size-fits-all’ model of teaching, research and technology transfer is not realistic, nor appropriate, given the organisational heterogeneity that characterises universities</w:t>
      </w:r>
      <w:r w:rsidR="00BB56CB">
        <w:rPr>
          <w:rFonts w:ascii="Times New Roman" w:hAnsi="Times New Roman" w:cs="Times New Roman"/>
        </w:rPr>
        <w:t xml:space="preserve"> </w:t>
      </w:r>
      <w:r w:rsidR="00BB56CB">
        <w:rPr>
          <w:rFonts w:ascii="Times New Roman" w:hAnsi="Times New Roman" w:cs="Times New Roman"/>
        </w:rPr>
        <w:fldChar w:fldCharType="begin" w:fldLock="1"/>
      </w:r>
      <w:r w:rsidR="00BB56CB">
        <w:rPr>
          <w:rFonts w:ascii="Times New Roman" w:hAnsi="Times New Roman" w:cs="Times New Roman"/>
        </w:rPr>
        <w:instrText>ADDIN CSL_CITATION {"citationItems":[{"id":"ITEM-1","itemData":{"DOI":"10.1016/j.respol.2014.06.001","ISBN":"00487333","ISSN":"00487333","abstract":"The present paper elaborates a critical reflection on the 'one-size-fits-all' model which conceptualizes universities as centres of excellence in education, research and third mission. It is argued that the shortcomings of this perspective are twofold: first, HEIs are treated as homogeneous institutions with equal capacity to perform and contribute to social engagement; and second, missions are undistinguishable from each other. Both features lead to mischaracterizations concerning the role of universities and their contribution to society. In the view proposed here missions are university strategies linked by complex relationship of compatibility, and the paper puts in perspective the persisting gap concerning the nature of and the relations across them.","author":[{"dropping-particle":"","family":"Sánchez-Barrioluengo","given":"Mabel","non-dropping-particle":"","parse-names":false,"suffix":""}],"container-title":"Research Policy","id":"ITEM-1","issue":"10","issued":{"date-parts":[["2014"]]},"page":"1760-1773","publisher":"Elsevier B.V.","title":"Articulating the 'three-missions' in Spanish universities","type":"article-journal","volume":"43"},"uris":["http://www.mendeley.com/documents/?uuid=5fc5b121-26c5-4366-86b8-d942c7ffea40"]},{"id":"ITEM-2","itemData":{"DOI":"10.1016/j.respol.2008.04.021","ISBN":"0048-7333","ISSN":"00487333","PMID":"2985","abstract":"We analyze how mid-range universities can contribute to industrial change through the transfer of tacit and codified knowledge in the areas of spin-offs; licensing and patents; contract research, consultancy and reach-out; and graduate and researcher mobility. We use archival, survey and interview data relating to mid-range universities in mid-range environments in the UK, Belgium, Germany and Sweden. Our findings suggest that mid-range universities primarily need to focus on generating world-class research and critical mass in areas of expertise, as well as developing different types of intermediaries. Mid-range universities may need to develop a portfolio of university-industry linkages in terms of the scope of activities and the types of firms with which they interact. We also show that different intermediaries have important roles to play in developing university-industry linkages for mid-range universities. © 2008.","author":[{"dropping-particle":"","family":"Wright","given":"Mike","non-dropping-particle":"","parse-names":false,"suffix":""},{"dropping-particle":"","family":"Clarysse","given":"Bart","non-dropping-particle":"","parse-names":false,"suffix":""},{"dropping-particle":"","family":"Lockett","given":"Andy","non-dropping-particle":"","parse-names":false,"suffix":""},{"dropping-particle":"","family":"Knockaert","given":"Mirjam","non-dropping-particle":"","parse-names":false,"suffix":""}],"container-title":"Research Policy","id":"ITEM-2","issue":"8","issued":{"date-parts":[["2008"]]},"page":"1205-1223","title":"Mid-range universities' linkages with industry: Knowledge types and the role of intermediaries","type":"article-journal","volume":"37"},"uris":["http://www.mendeley.com/documents/?uuid=4ad24ced-5185-432e-a5f4-697ce97472d8"]}],"mendeley":{"formattedCitation":"(Sánchez-Barrioluengo, 2014; Wright et al., 2008)","plainTextFormattedCitation":"(Sánchez-Barrioluengo, 2014; Wright et al., 2008)","previouslyFormattedCitation":"(Sánchez-Barrioluengo, 2014; Wright et al., 2008)"},"properties":{"noteIndex":0},"schema":"https://github.com/citation-style-language/schema/raw/master/csl-citation.json"}</w:instrText>
      </w:r>
      <w:r w:rsidR="00BB56CB">
        <w:rPr>
          <w:rFonts w:ascii="Times New Roman" w:hAnsi="Times New Roman" w:cs="Times New Roman"/>
        </w:rPr>
        <w:fldChar w:fldCharType="separate"/>
      </w:r>
      <w:r w:rsidR="00BB56CB" w:rsidRPr="00BB56CB">
        <w:rPr>
          <w:rFonts w:ascii="Times New Roman" w:hAnsi="Times New Roman" w:cs="Times New Roman"/>
          <w:noProof/>
        </w:rPr>
        <w:t>(Sánchez-Barrioluengo, 2014; Wright et al., 2008)</w:t>
      </w:r>
      <w:r w:rsidR="00BB56CB">
        <w:rPr>
          <w:rFonts w:ascii="Times New Roman" w:hAnsi="Times New Roman" w:cs="Times New Roman"/>
        </w:rPr>
        <w:fldChar w:fldCharType="end"/>
      </w:r>
      <w:r w:rsidRPr="00EF66BB">
        <w:rPr>
          <w:rFonts w:ascii="Times New Roman" w:hAnsi="Times New Roman" w:cs="Times New Roman"/>
        </w:rPr>
        <w:t xml:space="preserve">. In light of this critique it is argued that universities need to be ‘strategic’ in their technology transfer activities, suggesting the importance of managerial choices and strategic planning. </w:t>
      </w:r>
    </w:p>
    <w:p w14:paraId="11A29003" w14:textId="77777777" w:rsidR="002B1D58" w:rsidRPr="00EF66BB" w:rsidRDefault="002B1D58" w:rsidP="00141231">
      <w:pPr>
        <w:spacing w:line="360" w:lineRule="auto"/>
        <w:rPr>
          <w:rFonts w:ascii="Times New Roman" w:hAnsi="Times New Roman" w:cs="Times New Roman"/>
        </w:rPr>
      </w:pPr>
    </w:p>
    <w:p w14:paraId="37245501" w14:textId="48324FE0" w:rsidR="002B1D58" w:rsidRPr="00EF66BB" w:rsidRDefault="002B1D58" w:rsidP="00141231">
      <w:pPr>
        <w:spacing w:line="360" w:lineRule="auto"/>
        <w:rPr>
          <w:rFonts w:ascii="Times New Roman" w:hAnsi="Times New Roman" w:cs="Times New Roman"/>
        </w:rPr>
      </w:pPr>
      <w:r w:rsidRPr="00EF66BB">
        <w:rPr>
          <w:rFonts w:ascii="Times New Roman" w:hAnsi="Times New Roman" w:cs="Times New Roman"/>
        </w:rPr>
        <w:t>In the UK context, which is the focus of this paper, the importance of managerial agency in the technology transfer activities of universities has also been suggested by recent policy developments. For example,</w:t>
      </w:r>
      <w:r w:rsidR="004A7BC7" w:rsidRPr="00EF66BB">
        <w:rPr>
          <w:rFonts w:ascii="Times New Roman" w:hAnsi="Times New Roman" w:cs="Times New Roman"/>
        </w:rPr>
        <w:t xml:space="preserve"> the UK’s</w:t>
      </w:r>
      <w:r w:rsidRPr="00EF66BB">
        <w:rPr>
          <w:rFonts w:ascii="Times New Roman" w:hAnsi="Times New Roman" w:cs="Times New Roman"/>
        </w:rPr>
        <w:t xml:space="preserve"> Higher Education Funding Council for England (HEFCE), review on university knowledge exchange concludes that “university leadership plays a vital part in successful technology transfer, yet this role is not well understood in policy reviews and needs to be highlighted further”</w:t>
      </w:r>
      <w:r w:rsidR="00BB56CB">
        <w:rPr>
          <w:rFonts w:ascii="Times New Roman" w:hAnsi="Times New Roman" w:cs="Times New Roman"/>
        </w:rPr>
        <w:t xml:space="preserve"> </w:t>
      </w:r>
      <w:r w:rsidR="00BB56CB">
        <w:rPr>
          <w:rFonts w:ascii="Times New Roman" w:hAnsi="Times New Roman" w:cs="Times New Roman"/>
        </w:rPr>
        <w:fldChar w:fldCharType="begin" w:fldLock="1"/>
      </w:r>
      <w:r w:rsidR="00BB56CB">
        <w:rPr>
          <w:rFonts w:ascii="Times New Roman" w:hAnsi="Times New Roman" w:cs="Times New Roman"/>
        </w:rPr>
        <w:instrText>ADDIN CSL_CITATION {"citationItems":[{"id":"ITEM-1","itemData":{"author":[{"dropping-particle":"","family":"HEFCE","given":"","non-dropping-particle":"","parse-names":false,"suffix":""}],"id":"ITEM-1","issue":"September","issued":{"date-parts":[["2016"]]},"title":"University Knowledge Exchange ( KE ) Framework : good practice in technology transfer Report to the UK higher education sector and HEFCE by the McMillan group","type":"article-journal"},"locator":"16","uris":["http://www.mendeley.com/documents/?uuid=e01e49b0-972c-4051-9586-9f43880fda49"]}],"mendeley":{"formattedCitation":"(HEFCE, 2016, p. 16)","plainTextFormattedCitation":"(HEFCE, 2016, p. 16)","previouslyFormattedCitation":"(HEFCE, 2016, p. 16)"},"properties":{"noteIndex":0},"schema":"https://github.com/citation-style-language/schema/raw/master/csl-citation.json"}</w:instrText>
      </w:r>
      <w:r w:rsidR="00BB56CB">
        <w:rPr>
          <w:rFonts w:ascii="Times New Roman" w:hAnsi="Times New Roman" w:cs="Times New Roman"/>
        </w:rPr>
        <w:fldChar w:fldCharType="separate"/>
      </w:r>
      <w:r w:rsidR="00BB56CB" w:rsidRPr="00BB56CB">
        <w:rPr>
          <w:rFonts w:ascii="Times New Roman" w:hAnsi="Times New Roman" w:cs="Times New Roman"/>
          <w:noProof/>
        </w:rPr>
        <w:t>(HEFCE, 2016, p. 16)</w:t>
      </w:r>
      <w:r w:rsidR="00BB56CB">
        <w:rPr>
          <w:rFonts w:ascii="Times New Roman" w:hAnsi="Times New Roman" w:cs="Times New Roman"/>
        </w:rPr>
        <w:fldChar w:fldCharType="end"/>
      </w:r>
      <w:r w:rsidRPr="00EF66BB">
        <w:rPr>
          <w:rFonts w:ascii="Times New Roman" w:hAnsi="Times New Roman" w:cs="Times New Roman"/>
        </w:rPr>
        <w:t>. This report highlights that one of the important decisions university leaders must make is the extent to which technology transfer is strategically significant to the</w:t>
      </w:r>
      <w:r w:rsidR="00274166">
        <w:rPr>
          <w:rFonts w:ascii="Times New Roman" w:hAnsi="Times New Roman" w:cs="Times New Roman"/>
        </w:rPr>
        <w:t xml:space="preserve"> institution</w:t>
      </w:r>
      <w:r w:rsidRPr="00EF66BB">
        <w:rPr>
          <w:rFonts w:ascii="Times New Roman" w:hAnsi="Times New Roman" w:cs="Times New Roman"/>
        </w:rPr>
        <w:t xml:space="preserve">. </w:t>
      </w:r>
      <w:r w:rsidR="004960E6">
        <w:rPr>
          <w:rFonts w:ascii="Times New Roman" w:hAnsi="Times New Roman" w:cs="Times New Roman"/>
        </w:rPr>
        <w:t xml:space="preserve"> In the US</w:t>
      </w:r>
      <w:r w:rsidR="001254A1">
        <w:rPr>
          <w:rFonts w:ascii="Times New Roman" w:hAnsi="Times New Roman" w:cs="Times New Roman"/>
        </w:rPr>
        <w:t xml:space="preserve">, a 2015 </w:t>
      </w:r>
      <w:r w:rsidR="003B0C4A">
        <w:rPr>
          <w:rFonts w:ascii="Times New Roman" w:hAnsi="Times New Roman" w:cs="Times New Roman"/>
        </w:rPr>
        <w:t xml:space="preserve">statement from the Association of American </w:t>
      </w:r>
      <w:r w:rsidR="00A661B2">
        <w:rPr>
          <w:rFonts w:ascii="Times New Roman" w:hAnsi="Times New Roman" w:cs="Times New Roman"/>
        </w:rPr>
        <w:t xml:space="preserve">Universities </w:t>
      </w:r>
      <w:r w:rsidR="00A661B2">
        <w:rPr>
          <w:rFonts w:ascii="Times New Roman" w:hAnsi="Times New Roman" w:cs="Times New Roman"/>
        </w:rPr>
        <w:fldChar w:fldCharType="begin" w:fldLock="1"/>
      </w:r>
      <w:r w:rsidR="00A661B2">
        <w:rPr>
          <w:rFonts w:ascii="Times New Roman" w:hAnsi="Times New Roman" w:cs="Times New Roman"/>
        </w:rPr>
        <w:instrText>ADDIN CSL_CITATION {"citationItems":[{"id":"ITEM-1","itemData":{"author":[{"dropping-particle":"","family":"Association of American Universities","given":"","non-dropping-particle":"","parse-names":false,"suffix":""}],"id":"ITEM-1","issue":"March","issued":{"date-parts":[["2015"]]},"title":"Statement to the AAU Membership on University Technology Transfer and Managing Intellectual Property in the Public Interest","type":"article-journal"},"uris":["http://www.mendeley.com/documents/?uuid=4ba59336-d6b0-452e-afea-6c1670354ab7"]}],"mendeley":{"formattedCitation":"(Association of American Universities, 2015)","plainTextFormattedCitation":"(Association of American Universities, 2015)","previouslyFormattedCitation":"(Association of American Universities, 2015)"},"properties":{"noteIndex":0},"schema":"https://github.com/citation-style-language/schema/raw/master/csl-citation.json"}</w:instrText>
      </w:r>
      <w:r w:rsidR="00A661B2">
        <w:rPr>
          <w:rFonts w:ascii="Times New Roman" w:hAnsi="Times New Roman" w:cs="Times New Roman"/>
        </w:rPr>
        <w:fldChar w:fldCharType="separate"/>
      </w:r>
      <w:r w:rsidR="00A661B2" w:rsidRPr="00A661B2">
        <w:rPr>
          <w:rFonts w:ascii="Times New Roman" w:hAnsi="Times New Roman" w:cs="Times New Roman"/>
          <w:noProof/>
        </w:rPr>
        <w:t>(Association of American Universities, 2015)</w:t>
      </w:r>
      <w:r w:rsidR="00A661B2">
        <w:rPr>
          <w:rFonts w:ascii="Times New Roman" w:hAnsi="Times New Roman" w:cs="Times New Roman"/>
        </w:rPr>
        <w:fldChar w:fldCharType="end"/>
      </w:r>
      <w:r w:rsidR="003B0C4A">
        <w:rPr>
          <w:rFonts w:ascii="Times New Roman" w:hAnsi="Times New Roman" w:cs="Times New Roman"/>
        </w:rPr>
        <w:t xml:space="preserve"> encouraged its 62 member institutions to “develop and state a clear mission and vision for university management of intellectual property” in accordance with a recommendation by the U.S National Research Council (NRC). </w:t>
      </w:r>
      <w:r w:rsidR="00274166">
        <w:rPr>
          <w:rFonts w:ascii="Times New Roman" w:hAnsi="Times New Roman" w:cs="Times New Roman"/>
        </w:rPr>
        <w:t xml:space="preserve">The </w:t>
      </w:r>
      <w:r w:rsidR="003B0C4A">
        <w:rPr>
          <w:rFonts w:ascii="Times New Roman" w:hAnsi="Times New Roman" w:cs="Times New Roman"/>
        </w:rPr>
        <w:t>NRC suggested that “the leadership of each institution- the president, provost, and board of trustees should articulate a clear mission for the unit responsible for intellectual property</w:t>
      </w:r>
      <w:r w:rsidR="00C25DF7">
        <w:rPr>
          <w:rFonts w:ascii="Times New Roman" w:hAnsi="Times New Roman" w:cs="Times New Roman"/>
        </w:rPr>
        <w:t>.</w:t>
      </w:r>
      <w:r w:rsidR="003B0C4A">
        <w:rPr>
          <w:rFonts w:ascii="Times New Roman" w:hAnsi="Times New Roman" w:cs="Times New Roman"/>
        </w:rPr>
        <w:t>”</w:t>
      </w:r>
      <w:r w:rsidR="00A661B2">
        <w:rPr>
          <w:rFonts w:ascii="Times New Roman" w:hAnsi="Times New Roman" w:cs="Times New Roman"/>
        </w:rPr>
        <w:t xml:space="preserve"> </w:t>
      </w:r>
      <w:r w:rsidR="00A661B2">
        <w:rPr>
          <w:rFonts w:ascii="Times New Roman" w:hAnsi="Times New Roman" w:cs="Times New Roman"/>
        </w:rPr>
        <w:fldChar w:fldCharType="begin" w:fldLock="1"/>
      </w:r>
      <w:r w:rsidR="005A4025">
        <w:rPr>
          <w:rFonts w:ascii="Times New Roman" w:hAnsi="Times New Roman" w:cs="Times New Roman"/>
        </w:rPr>
        <w:instrText>ADDIN CSL_CITATION {"citationItems":[{"id":"ITEM-1","itemData":{"DOI":"10.17226/13001","ISBN":"978-0-309-16111-4","ISSN":"978-0-309-16111-4","PMID":"16898385","abstract":"For the National Research Council (NRC), this project was overseen by the Board on Science, Technology, and Economic Policy (STEP), a standing board of the National Research Council established by The National Academies of Sciences and Engineering and the Institute of Medicine in 1991. The mandate of the STEP Board is to integrate understanding of scientific, technological, and economic elements in the formulation of national policies to promote the economic wellbeing of the United States. STEP bridges the disciplines of business management, engineering, economics, and the natural social sciences to bring diverse expertise to bear on issues of innovation, productivity, and national competitiveness. The members of the STEP Board and associated NRC staff are listed below.","author":[{"dropping-particle":"","family":"Merrill","given":"Stephen A","non-dropping-particle":"","parse-names":false,"suffix":""},{"dropping-particle":"","family":"Mazza","given":"Anne-marie","non-dropping-particle":"","parse-names":false,"suffix":""}],"id":"ITEM-1","issued":{"date-parts":[["2010"]]},"publisher":"National Research Council","title":"Managing University Intellectual Property in the Public Interest","type":"book"},"locator":"66","uris":["http://www.mendeley.com/documents/?uuid=3d7df7e1-085e-4c8d-a84f-890caa4c8bba"]}],"mendeley":{"formattedCitation":"(Merrill and Mazza, 2010, p. 66)","plainTextFormattedCitation":"(Merrill and Mazza, 2010, p. 66)","previouslyFormattedCitation":"(Merrill and Mazza, 2010, p. 66)"},"properties":{"noteIndex":0},"schema":"https://github.com/citation-style-language/schema/raw/master/csl-citation.json"}</w:instrText>
      </w:r>
      <w:r w:rsidR="00A661B2">
        <w:rPr>
          <w:rFonts w:ascii="Times New Roman" w:hAnsi="Times New Roman" w:cs="Times New Roman"/>
        </w:rPr>
        <w:fldChar w:fldCharType="separate"/>
      </w:r>
      <w:r w:rsidR="00A661B2" w:rsidRPr="00A661B2">
        <w:rPr>
          <w:rFonts w:ascii="Times New Roman" w:hAnsi="Times New Roman" w:cs="Times New Roman"/>
          <w:noProof/>
        </w:rPr>
        <w:t>(Merrill and Mazza, 2010, p. 66)</w:t>
      </w:r>
      <w:r w:rsidR="00A661B2">
        <w:rPr>
          <w:rFonts w:ascii="Times New Roman" w:hAnsi="Times New Roman" w:cs="Times New Roman"/>
        </w:rPr>
        <w:fldChar w:fldCharType="end"/>
      </w:r>
      <w:r w:rsidR="00A661B2">
        <w:rPr>
          <w:rFonts w:ascii="Times New Roman" w:hAnsi="Times New Roman" w:cs="Times New Roman"/>
        </w:rPr>
        <w:t xml:space="preserve">. </w:t>
      </w:r>
      <w:r w:rsidR="003B0C4A">
        <w:rPr>
          <w:rFonts w:ascii="Times New Roman" w:hAnsi="Times New Roman" w:cs="Times New Roman"/>
        </w:rPr>
        <w:t>This recommendation highl</w:t>
      </w:r>
      <w:r w:rsidR="00A661B2">
        <w:rPr>
          <w:rFonts w:ascii="Times New Roman" w:hAnsi="Times New Roman" w:cs="Times New Roman"/>
        </w:rPr>
        <w:t xml:space="preserve">ighted that </w:t>
      </w:r>
      <w:r w:rsidR="00EC2FA0">
        <w:rPr>
          <w:rFonts w:ascii="Times New Roman" w:hAnsi="Times New Roman" w:cs="Times New Roman"/>
        </w:rPr>
        <w:t>t</w:t>
      </w:r>
      <w:r w:rsidR="00A661B2">
        <w:rPr>
          <w:rFonts w:ascii="Times New Roman" w:hAnsi="Times New Roman" w:cs="Times New Roman"/>
        </w:rPr>
        <w:t>he technology t</w:t>
      </w:r>
      <w:r w:rsidR="003B0C4A">
        <w:rPr>
          <w:rFonts w:ascii="Times New Roman" w:hAnsi="Times New Roman" w:cs="Times New Roman"/>
        </w:rPr>
        <w:t>ransfer</w:t>
      </w:r>
      <w:r w:rsidR="00274166">
        <w:rPr>
          <w:rFonts w:ascii="Times New Roman" w:hAnsi="Times New Roman" w:cs="Times New Roman"/>
        </w:rPr>
        <w:t xml:space="preserve"> mission</w:t>
      </w:r>
      <w:r w:rsidR="003B0C4A">
        <w:rPr>
          <w:rFonts w:ascii="Times New Roman" w:hAnsi="Times New Roman" w:cs="Times New Roman"/>
        </w:rPr>
        <w:t xml:space="preserve"> should be situated within the broader university strategy. </w:t>
      </w:r>
      <w:r w:rsidR="000D3673">
        <w:rPr>
          <w:rFonts w:ascii="Times New Roman" w:hAnsi="Times New Roman" w:cs="Times New Roman"/>
        </w:rPr>
        <w:t>Collectively, these</w:t>
      </w:r>
      <w:r w:rsidR="003B0C4A">
        <w:rPr>
          <w:rFonts w:ascii="Times New Roman" w:hAnsi="Times New Roman" w:cs="Times New Roman"/>
        </w:rPr>
        <w:t xml:space="preserve"> policy reports serve to highlight the significance of the strategic choices made by</w:t>
      </w:r>
      <w:r w:rsidR="00556873">
        <w:rPr>
          <w:rFonts w:ascii="Times New Roman" w:hAnsi="Times New Roman" w:cs="Times New Roman"/>
        </w:rPr>
        <w:t xml:space="preserve"> university leadership, in </w:t>
      </w:r>
      <w:r w:rsidR="004960E6">
        <w:rPr>
          <w:rFonts w:ascii="Times New Roman" w:hAnsi="Times New Roman" w:cs="Times New Roman"/>
        </w:rPr>
        <w:t>multiple policy contexts</w:t>
      </w:r>
      <w:r w:rsidR="00556873">
        <w:rPr>
          <w:rFonts w:ascii="Times New Roman" w:hAnsi="Times New Roman" w:cs="Times New Roman"/>
        </w:rPr>
        <w:t>.</w:t>
      </w:r>
    </w:p>
    <w:p w14:paraId="6C2053A1" w14:textId="76B4D028" w:rsidR="002B1D58" w:rsidRPr="00EF66BB" w:rsidRDefault="002B1D58" w:rsidP="00141231">
      <w:pPr>
        <w:spacing w:line="360" w:lineRule="auto"/>
        <w:rPr>
          <w:rFonts w:ascii="Times New Roman" w:hAnsi="Times New Roman" w:cs="Times New Roman"/>
        </w:rPr>
      </w:pPr>
      <w:r w:rsidRPr="00EF66BB">
        <w:rPr>
          <w:rFonts w:ascii="Times New Roman" w:hAnsi="Times New Roman" w:cs="Times New Roman"/>
        </w:rPr>
        <w:t xml:space="preserve"> </w:t>
      </w:r>
    </w:p>
    <w:p w14:paraId="700485C5" w14:textId="6250C998" w:rsidR="002B1D58" w:rsidRPr="00EF66BB" w:rsidRDefault="002B1D58" w:rsidP="00141231">
      <w:pPr>
        <w:spacing w:line="360" w:lineRule="auto"/>
        <w:rPr>
          <w:rFonts w:ascii="Times New Roman" w:hAnsi="Times New Roman" w:cs="Times New Roman"/>
        </w:rPr>
      </w:pPr>
      <w:r w:rsidRPr="00EF66BB">
        <w:rPr>
          <w:rFonts w:ascii="Times New Roman" w:hAnsi="Times New Roman" w:cs="Times New Roman"/>
        </w:rPr>
        <w:t>Whilst previous research and policy reviews have drawn attention to strategic choice as potentially significant for technology transfer activity of universities</w:t>
      </w:r>
      <w:r w:rsidR="00BB56CB">
        <w:rPr>
          <w:rFonts w:ascii="Times New Roman" w:hAnsi="Times New Roman" w:cs="Times New Roman"/>
        </w:rPr>
        <w:t xml:space="preserve"> </w:t>
      </w:r>
      <w:r w:rsidR="00BB56CB">
        <w:rPr>
          <w:rFonts w:ascii="Times New Roman" w:hAnsi="Times New Roman" w:cs="Times New Roman"/>
        </w:rPr>
        <w:fldChar w:fldCharType="begin" w:fldLock="1"/>
      </w:r>
      <w:r w:rsidR="005C76D1">
        <w:rPr>
          <w:rFonts w:ascii="Times New Roman" w:hAnsi="Times New Roman" w:cs="Times New Roman"/>
        </w:rPr>
        <w:instrText>ADDIN CSL_CITATION {"citationItems":[{"id":"ITEM-1","itemData":{"DOI":"10.1016/j.respol.2014.06.001","ISBN":"00487333","ISSN":"00487333","abstract":"The present paper elaborates a critical reflection on the 'one-size-fits-all' model which conceptualizes universities as centres of excellence in education, research and third mission. It is argued that the shortcomings of this perspective are twofold: first, HEIs are treated as homogeneous institutions with equal capacity to perform and contribute to social engagement; and second, missions are undistinguishable from each other. Both features lead to mischaracterizations concerning the role of universities and their contribution to society. In the view proposed here missions are university strategies linked by complex relationship of compatibility, and the paper puts in perspective the persisting gap concerning the nature of and the relations across them.","author":[{"dropping-particle":"","family":"Sánchez-Barrioluengo","given":"Mabel","non-dropping-particle":"","parse-names":false,"suffix":""}],"container-title":"Research Policy","id":"ITEM-1","issue":"10","issued":{"date-parts":[["2014"]]},"page":"1760-1773","publisher":"Elsevier B.V.","title":"Articulating the 'three-missions' in Spanish universities","type":"article-journal","volume":"43"},"uris":["http://www.mendeley.com/documents/?uuid=5fc5b121-26c5-4366-86b8-d942c7ffea40"]},{"id":"ITEM-2","itemData":{"DOI":"10.1111/1467-8551.12116","ISBN":"1467-8551","ISSN":"14678551","PMID":"3749","abstract":"Academic entrepreneurship, which refers to efforts undertaken by universities to promote commercialization on campus and in surrounding regions of the university, has changed dramatically in recent years. Two key consequences of this change are that more stakeholders have become involved in academic entrepreneurship and that universities have become more ‘strategic’ in their approach to this activity. The authors assert that the time is ripe to rethink academic entrepreneurship. Specifically, theoretical and empirical research on academic entrepreneurship needs to take account of these changes, so as to improve the rigour and relevance of future studies on this topic. We outline such a framework and provide examples of key research questions that need to be addressed to broaden understanding of academic entrepreneurship.","author":[{"dropping-particle":"","family":"Siegel","given":"Donald","non-dropping-particle":"","parse-names":false,"suffix":""},{"dropping-particle":"","family":"Wright","given":"Mike","non-dropping-particle":"","parse-names":false,"suffix":""}],"container-title":"British Journal of Management","id":"ITEM-2","issue":"4","issued":{"date-parts":[["2015"]]},"page":"582-595","title":"Academic Entrepreneurship: Time for a Rethink?","type":"article-journal","volume":"26"},"uris":["http://www.mendeley.com/documents/?uuid=fd36b1d1-c4c9-405f-8f53-67de72694463"]},{"id":"ITEM-3","itemData":{"author":[{"dropping-particle":"","family":"HEFCE","given":"","non-dropping-particle":"","parse-names":false,"suffix":""}],"id":"ITEM-3","issue":"September","issued":{"date-parts":[["2016"]]},"title":"University Knowledge Exchange ( KE ) Framework : good practice in technology transfer Report to the UK higher education sector and HEFCE by the McMillan group","type":"article-journal"},"uris":["http://www.mendeley.com/documents/?uuid=e01e49b0-972c-4051-9586-9f43880fda49"]}],"mendeley":{"formattedCitation":"(HEFCE, 2016; Sánchez-Barrioluengo, 2014; Siegel and Wright, 2015a)","plainTextFormattedCitation":"(HEFCE, 2016; Sánchez-Barrioluengo, 2014; Siegel and Wright, 2015a)","previouslyFormattedCitation":"(HEFCE, 2016; Sánchez-Barrioluengo, 2014; Siegel and Wright, 2015a)"},"properties":{"noteIndex":0},"schema":"https://github.com/citation-style-language/schema/raw/master/csl-citation.json"}</w:instrText>
      </w:r>
      <w:r w:rsidR="00BB56CB">
        <w:rPr>
          <w:rFonts w:ascii="Times New Roman" w:hAnsi="Times New Roman" w:cs="Times New Roman"/>
        </w:rPr>
        <w:fldChar w:fldCharType="separate"/>
      </w:r>
      <w:r w:rsidR="005C76D1" w:rsidRPr="005C76D1">
        <w:rPr>
          <w:rFonts w:ascii="Times New Roman" w:hAnsi="Times New Roman" w:cs="Times New Roman"/>
          <w:noProof/>
        </w:rPr>
        <w:t>(HEFCE, 2016; Sánchez-Barrioluengo, 2014; Siegel and Wright, 2015a)</w:t>
      </w:r>
      <w:r w:rsidR="00BB56CB">
        <w:rPr>
          <w:rFonts w:ascii="Times New Roman" w:hAnsi="Times New Roman" w:cs="Times New Roman"/>
        </w:rPr>
        <w:fldChar w:fldCharType="end"/>
      </w:r>
      <w:r w:rsidRPr="00EF66BB">
        <w:rPr>
          <w:rFonts w:ascii="Times New Roman" w:hAnsi="Times New Roman" w:cs="Times New Roman"/>
        </w:rPr>
        <w:t xml:space="preserve">, the specific role that strategic choices play in impacting the effectiveness of technology transfer activity remains unclear. </w:t>
      </w:r>
      <w:r w:rsidRPr="00EF66BB">
        <w:rPr>
          <w:rFonts w:ascii="Times New Roman" w:hAnsi="Times New Roman" w:cs="Times New Roman"/>
        </w:rPr>
        <w:lastRenderedPageBreak/>
        <w:t xml:space="preserve">Here we contribute to existing debates </w:t>
      </w:r>
      <w:r w:rsidR="00D5780E" w:rsidRPr="00EF66BB">
        <w:rPr>
          <w:rFonts w:ascii="Times New Roman" w:hAnsi="Times New Roman" w:cs="Times New Roman"/>
        </w:rPr>
        <w:t xml:space="preserve">pertaining to technology transfer effectiveness by elaborating the roles that strategic choice and strategic planning play in contributing to the effectiveness of university technology transfer. </w:t>
      </w:r>
    </w:p>
    <w:p w14:paraId="736F465A" w14:textId="77777777" w:rsidR="000035D2" w:rsidRPr="00EF66BB" w:rsidRDefault="000035D2" w:rsidP="00141231">
      <w:pPr>
        <w:spacing w:line="360" w:lineRule="auto"/>
        <w:rPr>
          <w:rFonts w:ascii="Times New Roman" w:hAnsi="Times New Roman" w:cs="Times New Roman"/>
        </w:rPr>
      </w:pPr>
    </w:p>
    <w:p w14:paraId="5F3F49FA" w14:textId="0C75E329" w:rsidR="000035D2" w:rsidRPr="00EF66BB" w:rsidRDefault="00877F8E" w:rsidP="00141231">
      <w:pPr>
        <w:spacing w:line="360" w:lineRule="auto"/>
        <w:rPr>
          <w:rFonts w:ascii="Times New Roman" w:hAnsi="Times New Roman" w:cs="Times New Roman"/>
        </w:rPr>
      </w:pPr>
      <w:r>
        <w:rPr>
          <w:rFonts w:ascii="Times New Roman" w:hAnsi="Times New Roman" w:cs="Times New Roman"/>
        </w:rPr>
        <w:t>R</w:t>
      </w:r>
      <w:r w:rsidR="000035D2" w:rsidRPr="00EF66BB">
        <w:rPr>
          <w:rFonts w:ascii="Times New Roman" w:hAnsi="Times New Roman" w:cs="Times New Roman"/>
        </w:rPr>
        <w:t>esearch into the effectiveness of university technology transfer has highlighted several organisational antecedents</w:t>
      </w:r>
      <w:r w:rsidR="004960E6">
        <w:rPr>
          <w:rFonts w:ascii="Times New Roman" w:hAnsi="Times New Roman" w:cs="Times New Roman"/>
        </w:rPr>
        <w:t xml:space="preserve"> or ‘agent characteristics’</w:t>
      </w:r>
      <w:r w:rsidR="00BB56CB">
        <w:rPr>
          <w:rFonts w:ascii="Times New Roman" w:hAnsi="Times New Roman" w:cs="Times New Roman"/>
        </w:rPr>
        <w:t xml:space="preserve"> </w:t>
      </w:r>
      <w:r w:rsidR="00BB56CB">
        <w:rPr>
          <w:rFonts w:ascii="Times New Roman" w:hAnsi="Times New Roman" w:cs="Times New Roman"/>
        </w:rPr>
        <w:fldChar w:fldCharType="begin" w:fldLock="1"/>
      </w:r>
      <w:r w:rsidR="00BB56CB">
        <w:rPr>
          <w:rFonts w:ascii="Times New Roman" w:hAnsi="Times New Roman" w:cs="Times New Roman"/>
        </w:rPr>
        <w:instrText>ADDIN CSL_CITATION {"citationItems":[{"id":"ITEM-1","itemData":{"DOI":"10.1016/j.respol.2014.06.008","ISBN":"00487333","ISSN":"00487333","PMID":"1478595","abstract":"The purpose of our study is to review and synthesize the rapidly evolving literature on technology transfer effectiveness. Our paper provides a lens into relatively recent work, focusing particularly on empirical studies of US technology transfer conducted within the last 15 years. In doing so, we update and extend the Contingent Effectiveness Model of Technology Transfer developed by Bozeman (2000). Specifically, we include the growing interest in social and public value oriented technology transfer and, thus, the contingent effectiveness model is expanded to consider this literature. We categorize studies according their approaches to measuring effectiveness, draw conclusions regarding the current state of technology transfer evaluation, and offer recommendations for future studies.","author":[{"dropping-particle":"","family":"Bozeman","given":"Barry","non-dropping-particle":"","parse-names":false,"suffix":""},{"dropping-particle":"","family":"Rimes","given":"Heather","non-dropping-particle":"","parse-names":false,"suffix":""},{"dropping-particle":"","family":"Youtie","given":"Jan","non-dropping-particle":"","parse-names":false,"suffix":""}],"container-title":"Research Policy","id":"ITEM-1","issue":"1","issued":{"date-parts":[["2015"]]},"page":"34-49","publisher":"Elsevier B.V.","title":"The evolving state-of-the-art in technology transfer research: Revisiting the contingent effectiveness model","type":"article-journal","volume":"44"},"uris":["http://www.mendeley.com/documents/?uuid=245549ef-970b-4ea4-984e-4a869649a3c5"]}],"mendeley":{"formattedCitation":"(Bozeman et al., 2015)","plainTextFormattedCitation":"(Bozeman et al., 2015)","previouslyFormattedCitation":"(Bozeman et al., 2015)"},"properties":{"noteIndex":0},"schema":"https://github.com/citation-style-language/schema/raw/master/csl-citation.json"}</w:instrText>
      </w:r>
      <w:r w:rsidR="00BB56CB">
        <w:rPr>
          <w:rFonts w:ascii="Times New Roman" w:hAnsi="Times New Roman" w:cs="Times New Roman"/>
        </w:rPr>
        <w:fldChar w:fldCharType="separate"/>
      </w:r>
      <w:r w:rsidR="00BB56CB" w:rsidRPr="00BB56CB">
        <w:rPr>
          <w:rFonts w:ascii="Times New Roman" w:hAnsi="Times New Roman" w:cs="Times New Roman"/>
          <w:noProof/>
        </w:rPr>
        <w:t>(Bozeman et al., 2015)</w:t>
      </w:r>
      <w:r w:rsidR="00BB56CB">
        <w:rPr>
          <w:rFonts w:ascii="Times New Roman" w:hAnsi="Times New Roman" w:cs="Times New Roman"/>
        </w:rPr>
        <w:fldChar w:fldCharType="end"/>
      </w:r>
      <w:r w:rsidR="000035D2" w:rsidRPr="00EF66BB">
        <w:rPr>
          <w:rFonts w:ascii="Times New Roman" w:hAnsi="Times New Roman" w:cs="Times New Roman"/>
        </w:rPr>
        <w:t>. The role that technology transfer offices (TTOs) play in promoting technology transfer activity has been subject to extensive empirical analysis</w:t>
      </w:r>
      <w:r w:rsidR="00BB56CB">
        <w:rPr>
          <w:rFonts w:ascii="Times New Roman" w:hAnsi="Times New Roman" w:cs="Times New Roman"/>
        </w:rPr>
        <w:t xml:space="preserve"> </w:t>
      </w:r>
      <w:r w:rsidR="00BB56CB">
        <w:rPr>
          <w:rFonts w:ascii="Times New Roman" w:hAnsi="Times New Roman" w:cs="Times New Roman"/>
        </w:rPr>
        <w:fldChar w:fldCharType="begin" w:fldLock="1"/>
      </w:r>
      <w:r w:rsidR="005C76D1">
        <w:rPr>
          <w:rFonts w:ascii="Times New Roman" w:hAnsi="Times New Roman" w:cs="Times New Roman"/>
        </w:rPr>
        <w:instrText>ADDIN CSL_CITATION {"citationItems":[{"id":"ITEM-1","itemData":{"author":[{"dropping-particle":"","family":"Siegel","given":"Donald","non-dropping-particle":"","parse-names":false,"suffix":""},{"dropping-particle":"","family":"Wright","given":"Mike","non-dropping-particle":"","parse-names":false,"suffix":""}],"container-title":"The Chicago Handbook of University Technology Transfer and Academic Entrepreneurship","id":"ITEM-1","issued":{"date-parts":[["2015"]]},"page":"1-40","title":"University Technology Transfer Offices, Licensing and Start-Ups","type":"article-journal"},"uris":["http://www.mendeley.com/documents/?uuid=fe76100e-4794-40f5-abd9-8ecf8418b924"]},{"id":"ITEM-2","itemData":{"DOI":"10.1016/j.respol.2017.03.008","ISSN":"00487333","abstract":"This paper examines the dynamic interlinkages between the two pillars of ambidexterity in universities, research and knowledge transfer. We propose a theoretical model linking these two pillars at the organisational level. The model is tested using the longitudinal HE-BCI survey data juxtaposed against two consecutive rounds of research evaluation in the UK higher education sector. Results indicate that a university's past performance along the research pillar strengthens the knowledge transfer pillar over time, through both commercialisation and academic engagement channels. This positive impact is negatively moderated by the university's size and reputation, in the sense that in larger or more reputed universities, the marginal impact of research on knowledge transfer declines significantly. Additionally, we find that knowledge transfer reinforces the research pillar through positive mediation between past and future research, but only through academic engagement channels. The results also indicate that contract research routes provide the maximum benefit for most universities in enhancing their ambidexterity framework, both in the short and the long run. For the relatively more reputed universities, it is the collaboration route which provides the maximum benefit. Interestingly, no such reinforcement could be detected in the case of the research commercialisation channels.","author":[{"dropping-particle":"","family":"Sengupta","given":"Abhijit","non-dropping-particle":"","parse-names":false,"suffix":""},{"dropping-particle":"","family":"Ray","given":"Amit S.","non-dropping-particle":"","parse-names":false,"suffix":""}],"container-title":"Research Policy","id":"ITEM-2","issue":"5","issued":{"date-parts":[["2017"]]},"page":"881-897","publisher":"Elsevier B.V.","title":"University research and knowledge transfer: A dynamic view of ambidexterity in british universities","type":"article-journal","volume":"46"},"uris":["http://www.mendeley.com/documents/?uuid=1bae52b2-2b76-4a4b-9383-c1e21964cb01"]},{"id":"ITEM-3","itemData":{"DOI":"10.1016/j.respol.2011.02.001","ISBN":"0048-7333","ISSN":"00487333","PMID":"2891","abstract":"The phenomenon of entrepreneurial universities has received considerable attention over the last decades. An entrepreneurial orientation by academia might put regions and nations in an advantageous position in emerging knowledge-intensive fields of economic activity. At the same time, such entrepreneurial orientation requires reconciliation with the scientific missions of academia. Large-scale empirical research on antecedents of the entrepreneurial effectiveness of universities is scarce. This contribution examines the extent to which scientific productivity affect entrepreneurial effectiveness, taking into account the size of universities and the presence of disciplines, as well as the R&amp;D intensity of the regional business environment (BERD). In addition, we assess the occurrence of trade-offs between different transfer mechanisms (contract research, patenting and spin off activity). The data used pertain to 105 European universities. Our findings reveal that scientific productivity is positively associated with entrepreneurial effectiveness. Trade-offs between transfer mechanisms do not reveal themselves; on the contrary, contract research and spin off activities tend to facilitate each other. Limitations and implications for future research are discussed. © 2011 Elsevier B.V. All rights reserved.","author":[{"dropping-particle":"","family":"Looy","given":"Bart","non-dropping-particle":"Van","parse-names":false,"suffix":""},{"dropping-particle":"","family":"Landoni","given":"Paolo","non-dropping-particle":"","parse-names":false,"suffix":""},{"dropping-particle":"","family":"Callaert","given":"Julie","non-dropping-particle":"","parse-names":false,"suffix":""},{"dropping-particle":"","family":"Pottelsberghe","given":"Bruno","non-dropping-particle":"Van","parse-names":false,"suffix":""},{"dropping-particle":"","family":"Sapsalis","given":"Eleftherios","non-dropping-particle":"","parse-names":false,"suffix":""},{"dropping-particle":"","family":"Debackere","given":"Koenraad","non-dropping-particle":"","parse-names":false,"suffix":""}],"container-title":"Research Policy","id":"ITEM-3","issue":"4","issued":{"date-parts":[["2011"]]},"page":"553-564","publisher":"Elsevier B.V.","title":"Entrepreneurial effectiveness of European universities: An empirical assessment of antecedents and trade-offs","type":"article-journal","volume":"40"},"uris":["http://www.mendeley.com/documents/?uuid=efca2164-cee4-4742-ab17-7b8416ace40b"]},{"id":"ITEM-4","itemData":{"DOI":"10.1016/j.respol.2010.05.016","ISBN":"00487333","ISSN":"00487333","PMID":"53969080","abstract":"This paper investigates the performance of universities in the transfer of technology using a unique university-level dataset for Spain. The results suggest that universities with established policies and procedures for the management of technology transfer perform better. Universities with large and experienced technology transfer offices (TTOs) generate higher volumes of contract research, but the TTO characteristics appear to matter less for university performance in terms of licensing and creation of spin-offs. Furthermore, universities with a science park perform better than those without, which suggests that the agglomeration of knowledge close to universities has a positive effect on universities' technology transfer performance. ?? 2010 Elsevier B.V. All rights reserved.","author":[{"dropping-particle":"","family":"Caldera","given":"Aida","non-dropping-particle":"","parse-names":false,"suffix":""},{"dropping-particle":"","family":"Debande","given":"Olivier","non-dropping-particle":"","parse-names":false,"suffix":""}],"container-title":"Research Policy","id":"ITEM-4","issue":"9","issued":{"date-parts":[["2010"]]},"page":"1160-1173","publisher":"Elsevier B.V.","title":"Performance of Spanish universities in technology transfer: An empirical analysis","type":"article-journal","volume":"39"},"uris":["http://www.mendeley.com/documents/?uuid=d43816cf-2ca3-4387-aef7-64719dd222a6"]},{"id":"ITEM-5","itemData":{"DOI":"10.1093/icc/dtm023","ISBN":"0960-6491","ISSN":"09606491","abstract":"The literature on university entrepreneurship is rapidly expanding, in both the United States and Europe. Since the literature is also fairly fragmented, however, we submit that it is time to take stock of the current knowledge to provide directions for future research and guideposts for policy makers. To accomplish this, we present an unusually comprehensive and detailed literature analysis of the stream of research on university entrepreneurship, now encompassing 173 articles published in a variety of academic journals. Four major research streams emerge in this area of study: (i) entrepreneurial research university, (ii) productivity of technology transfer offices, (iii) new firm creation, and (iv) environmental context including networks of innovation. We inductively derive a framework describing the dynamic process of university entrepreneurship based on a synthesis of the literature. We submit that this framework is useful in guiding future research on this important, yet complex and under-researched topic.","author":[{"dropping-particle":"","family":"Rothaermel","given":"Frank T.","non-dropping-particle":"","parse-names":false,"suffix":""},{"dropping-particle":"","family":"Agung","given":"Shanti D.","non-dropping-particle":"","parse-names":false,"suffix":""},{"dropping-particle":"","family":"Jiang","given":"Lin","non-dropping-particle":"","parse-names":false,"suffix":""}],"container-title":"Industrial and Corporate Change","id":"ITEM-5","issue":"4","issued":{"date-parts":[["2007"]]},"page":"691-791","title":"University entrepreneurship: A taxonomy of the literature","type":"article-journal","volume":"16"},"uris":["http://www.mendeley.com/documents/?uuid=5357c8bd-4f94-4314-8ab0-1173b7db7f62"]},{"id":"ITEM-6","itemData":{"DOI":"10.1007/s10961-009-9129-z","ISBN":"1096100991","author":[{"dropping-particle":"","family":"Heisey","given":"Paul W","non-dropping-particle":"","parse-names":false,"suffix":""},{"dropping-particle":"","family":"Adelman","given":"Æ Sarah W","non-dropping-particle":"","parse-names":false,"suffix":""}],"id":"ITEM-6","issued":{"date-parts":[["2011"]]},"page":"38-60","title":"and university licensing revenue","type":"article-journal"},"uris":["http://www.mendeley.com/documents/?uuid=c4ddc740-e8bb-478b-be69-e1d8a02e8d39"]},{"id":"ITEM-7","itemData":{"DOI":"10.1016/S0048-7333(01)00196-2","ISSN":"00487333","author":[{"dropping-particle":"","family":"Siegel","given":"Donald","non-dropping-particle":"","parse-names":false,"suffix":""},{"dropping-particle":"","family":"Waldman","given":"David","non-dropping-particle":"","parse-names":false,"suffix":""},{"dropping-particle":"","family":"Link","given":"Albert","non-dropping-particle":"","parse-names":false,"suffix":""}],"container-title":"Research Policy","id":"ITEM-7","issue":"1","issued":{"date-parts":[["2003","1"]]},"page":"27-48","title":"Assessing the impact of organizational practices on the relative productivity of university technology transfer offices: an exploratory study","type":"article-journal","volume":"32"},"uris":["http://www.mendeley.com/documents/?uuid=e46987f6-89c5-3b6f-b14b-8fc764f55f9f"]}],"mendeley":{"formattedCitation":"(Caldera and Debande, 2010a; Heisey and Adelman, 2011; Rothaermel et al., 2007; Sengupta and Ray, 2017a; Siegel et al., 2003; Siegel and Wright, 2015b; Van Looy et al., 2011)","plainTextFormattedCitation":"(Caldera and Debande, 2010a; Heisey and Adelman, 2011; Rothaermel et al., 2007; Sengupta and Ray, 2017a; Siegel et al., 2003; Siegel and Wright, 2015b; Van Looy et al., 2011)","previouslyFormattedCitation":"(Caldera and Debande, 2010a; Heisey and Adelman, 2011; Rothaermel et al., 2007; Sengupta and Ray, 2017a; Siegel et al., 2003; Siegel and Wright, 2015b; Van Looy et al., 2011)"},"properties":{"noteIndex":0},"schema":"https://github.com/citation-style-language/schema/raw/master/csl-citation.json"}</w:instrText>
      </w:r>
      <w:r w:rsidR="00BB56CB">
        <w:rPr>
          <w:rFonts w:ascii="Times New Roman" w:hAnsi="Times New Roman" w:cs="Times New Roman"/>
        </w:rPr>
        <w:fldChar w:fldCharType="separate"/>
      </w:r>
      <w:r w:rsidR="005C76D1" w:rsidRPr="005C76D1">
        <w:rPr>
          <w:rFonts w:ascii="Times New Roman" w:hAnsi="Times New Roman" w:cs="Times New Roman"/>
          <w:noProof/>
        </w:rPr>
        <w:t>(Caldera and Debande, 2010a; Heisey and Adelman, 2011; Rothaermel et al., 2007; Sengupta and Ray, 2017a; Siegel et al., 2003; Siegel and Wright, 2015b; Van Looy et al., 2011)</w:t>
      </w:r>
      <w:r w:rsidR="00BB56CB">
        <w:rPr>
          <w:rFonts w:ascii="Times New Roman" w:hAnsi="Times New Roman" w:cs="Times New Roman"/>
        </w:rPr>
        <w:fldChar w:fldCharType="end"/>
      </w:r>
      <w:r w:rsidR="000035D2" w:rsidRPr="00EF66BB">
        <w:rPr>
          <w:rFonts w:ascii="Times New Roman" w:hAnsi="Times New Roman" w:cs="Times New Roman"/>
        </w:rPr>
        <w:t>. Another key organisational antecedent highlighted is the provision of incentives for staff to engage in commercialisation activity</w:t>
      </w:r>
      <w:r w:rsidR="00BB56CB">
        <w:rPr>
          <w:rFonts w:ascii="Times New Roman" w:hAnsi="Times New Roman" w:cs="Times New Roman"/>
        </w:rPr>
        <w:t xml:space="preserve"> </w:t>
      </w:r>
      <w:r w:rsidR="00BB56CB">
        <w:rPr>
          <w:rFonts w:ascii="Times New Roman" w:hAnsi="Times New Roman" w:cs="Times New Roman"/>
        </w:rPr>
        <w:fldChar w:fldCharType="begin" w:fldLock="1"/>
      </w:r>
      <w:r w:rsidR="00CD0532">
        <w:rPr>
          <w:rFonts w:ascii="Times New Roman" w:hAnsi="Times New Roman" w:cs="Times New Roman"/>
        </w:rPr>
        <w:instrText>ADDIN CSL_CITATION {"citationItems":[{"id":"ITEM-1","itemData":{"DOI":"10.1016/j.respol.2016.06.006","ISBN":"00487333 (ISSN)","ISSN":"00487333","abstract":"Portuguese and Spanish universities have adopted well-defined royalty sharing arrangements over the last fifteen years. We investigate whether such royalty sharing arrangements have been effective in stimulating inventors’ efforts and in ultimately improving university outcomes. We base our empirical analysis on university-level data and two new self-collected surveys for both inventors and Technology Transfer Offices (TTOs). Evidence from the inventors’ survey indicates that one third of respondents are incentivised by current royalty sharing arrangements, one third could be incentivised by higher royalty shares, and the remaining third is totally insensitive to royalty sharing. Plain regressions on university level datasets suggest that the incentive effects documented by the inventors’ survey fail to translate into increased patenting or licensing income. It would seem that inventor royalty shares are not as influential as they could be, due to the poor commercial prospects of university inventions. Among other possible reasons, these poor prospects appear to reflect the fact that inventors are unable to produce potentially licensable inventions, or that eventually TTOs may not be focussing enough on commercialising their inventions.","author":[{"dropping-particle":"","family":"Arqué-Castells","given":"Pere","non-dropping-particle":"","parse-names":false,"suffix":""},{"dropping-particle":"","family":"Cartaxo","given":"Rui M.","non-dropping-particle":"","parse-names":false,"suffix":""},{"dropping-particle":"","family":"García-Quevedo","given":"Jose","non-dropping-particle":"","parse-names":false,"suffix":""},{"dropping-particle":"","family":"Godinho","given":"Manuel Mira","non-dropping-particle":"","parse-names":false,"suffix":""}],"container-title":"Research Policy","id":"ITEM-1","issue":"9","issued":{"date-parts":[["2016"]]},"page":"1858-1872","publisher":"Elsevier B.V.","title":"Royalty sharing, effort and invention in universities: Evidence from Portugal and Spain","type":"article-journal","volume":"45"},"uris":["http://www.mendeley.com/documents/?uuid=9dc55724-30e7-4819-98fd-32f02e1caf8d"]},{"id":"ITEM-2","itemData":{"DOI":"10.1023/A:1021674618658","ISBN":"0892-9912","ISSN":"0892-9912","abstract":"University technology transfer activities are increasingly important as a source of regional economic development and revenue for the university. We use regression analysis, a two-stage model and the most recent data to examine the determinants of technology transfer. Our analysis strongly support four factors, not previously examined in the literature, enhancing university technology transfer: greater rewards for faculty involvement in technology transfer, location of the university in a region with a concentration of high technology firms, a clear university mission in support of technology transfer and the experience of the university's technology transfer office.","author":[{"dropping-particle":"","family":"Friedman","given":"Joseph","non-dropping-particle":"","parse-names":false,"suffix":""},{"dropping-particle":"","family":"Silberman","given":"Jonathan","non-dropping-particle":"","parse-names":false,"suffix":""}],"container-title":"The Journal of Technology Transfer","id":"ITEM-2","issue":"1","issued":{"date-parts":[["2003"]]},"page":"17-30","title":"University Technology Transfer: Do Incentives, Management, and Location Matter?","type":"article-journal","volume":"28"},"uris":["http://www.mendeley.com/documents/?uuid=374e8e75-56c8-4c4e-a6bd-e5796bfc2ca5"]},{"id":"ITEM-3","itemData":{"DOI":"10.1016/j.respol.2005.01.005","ISBN":"0048-7333","ISSN":"00487333","PMID":"599","abstract":"This article discusses salient trends in university-based technology initiatives in the United States and Europe, and it summarizes the papers contained in this special issue.","author":[{"dropping-particle":"","family":"Link","given":"Albert N.","non-dropping-particle":"","parse-names":false,"suffix":""},{"dropping-particle":"","family":"Siegel","given":"Donald","non-dropping-particle":"","parse-names":false,"suffix":""}],"container-title":"Research Policy","id":"ITEM-3","issue":"3","issued":{"date-parts":[["2005"]]},"page":"253-257","title":"University-based technology initiatives: Quantitative and qualitative evidence","type":"article-journal","volume":"34"},"uris":["http://www.mendeley.com/documents/?uuid=898545c9-834c-423a-aa3f-4da3b3627a38"]},{"id":"ITEM-4","itemData":{"DOI":"10.1016/j.respol.2010.05.016","ISBN":"00487333","ISSN":"00487333","PMID":"53969080","abstract":"This paper investigates the performance of universities in the transfer of technology using a unique university-level dataset for Spain. The results suggest that universities with established policies and procedures for the management of technology transfer perform better. Universities with large and experienced technology transfer offices (TTOs) generate higher volumes of contract research, but the TTO characteristics appear to matter less for university performance in terms of licensing and creation of spin-offs. Furthermore, universities with a science park perform better than those without, which suggests that the agglomeration of knowledge close to universities has a positive effect on universities' technology transfer performance. ?? 2010 Elsevier B.V. All rights reserved.","author":[{"dropping-particle":"","family":"Caldera","given":"Aida","non-dropping-particle":"","parse-names":false,"suffix":""},{"dropping-particle":"","family":"Debande","given":"Olivier","non-dropping-particle":"","parse-names":false,"suffix":""}],"container-title":"Research Policy","id":"ITEM-4","issue":"9","issued":{"date-parts":[["2010"]]},"page":"1160-1173","publisher":"Elsevier B.V.","title":"Performance of Spanish universities in technology transfer: An empirical analysis","type":"article-journal","volume":"39"},"uris":["http://www.mendeley.com/documents/?uuid=d43816cf-2ca3-4387-aef7-64719dd222a6"]},{"id":"ITEM-5","itemData":{"DOI":"10.1016/j.respol.2011.09.002","ISBN":"00487333","ISSN":"00487333","PMID":"26053391","abstract":"This paper employs the three concepts of 'gold' (financial rewards), 'ribbon' (reputational/career rewards) and 'puzzle' (intrinsic satisfaction) to examine the extrinsic and intrinsic aspects of scientists' motivation for pursuing commercial activities. The study is based on 36 individual interviews and an on-line questionnaire survey of 735 scientists from five major UK research universities. It finds that there is a diversity of motivations for commercial engagement, and that many do so for reputational and intrinsic reasons and that financial rewards play a relatively small part. The paper draws on self-determination theory in social psychology to analyse the relationship between scientists' value orientations with regard to commercial engagement and their personal motivations. It finds that those with traditional beliefs about the separation of science from commerce are more likely to be extrinsically motivated, using commercialization as a means to obtain resources to support their quest for the 'ribbon'. In contrast, those identify closely with entrepreneurial norms are intrinsically motivated by the autonomy and 'puzzle-solving' involved in applied commercial research while also motivated by the 'gold'. The study highlights the primacy of scientists' self-motivation, and suggests that a fuller explanation of their commercial behaviour will need to consider a broader mix of motives to include the social and affective aspects of intrinsic motivation. In conclusion, the paper argues that policy to encourage commercial engagement should build on reputational and intrinsic rather than purely financial motivations. © 2011 Elsevier B.V. All rights reserved.","author":[{"dropping-particle":"","family":"Lam","given":"Alice","non-dropping-particle":"","parse-names":false,"suffix":""}],"container-title":"Research Policy","id":"ITEM-5","issue":"10","issued":{"date-parts":[["2011"]]},"page":"1354-1368","title":"What motivates academic scientists to engage in research commercialization: 'Gold', 'ribbon' or 'puzzle'?","type":"article-journal","volume":"40"},"uris":["http://www.mendeley.com/documents/?uuid=7ffd5fa0-3822-435f-8e79-8bf2dc7f9b34"]},{"id":"ITEM-6","itemData":{"DOI":"10.1111/j.0741-6261.2008.00020.x","ISBN":"0741-6261","ISSN":"07416261","PMID":"2877","abstract":"We show that universities in the United States that provide stronger royalty incentives to faculty scientists generate greater license income, controlling for university characteristics. We use pre-sample data on university patenting to control for the potential endogeneity of royalty shares. Faculty responds to royalties both in the form of cash and research lab support, indicating both pecuniary and intrinsic research motivations. The impact of incentives is larger in private than in public universities, and we provide new survey evidence on the organization and objectives of university licensing offices to explain this difference. Royalty incentives work both by raising faculty effort and sorting scientists across universities. The primary impact of incentives is to increase the quality rather than the quantity of inventions.","author":[{"dropping-particle":"","family":"Lach","given":"Saul","non-dropping-particle":"","parse-names":false,"suffix":""},{"dropping-particle":"","family":"Schankerman","given":"Mark","non-dropping-particle":"","parse-names":false,"suffix":""}],"container-title":"RAND Journal of Economics","id":"ITEM-6","issue":"2","issued":{"date-parts":[["2008"]]},"page":"403-433","title":"Incentives and invention in universities","type":"article-journal","volume":"39"},"uris":["http://www.mendeley.com/documents/?uuid=5cc5deac-babe-4731-9ce4-35098d057334"]},{"id":"ITEM-7","itemData":{"DOI":"10.1162/154247604323067961","ISBN":"15424766","ISSN":"15424774","PMID":"2982","abstract":"Using data for 102 U.S. universities, we show that royalty-sharing arrangements (cash flow rights) vary substantially across universities and that they are largely unrelated to most observed university characteristics including faculty size, quality, research funding, technology mix of the faculty, and size of the technology licensing office. However, higher inventors' royalty shares are associated with higher licensing income at the university, controlling for other factors. The results suggest that monetary incentives from inventions have real effects in the university sector.","author":[{"dropping-particle":"","family":"Lach","given":"Saul","non-dropping-particle":"","parse-names":false,"suffix":""},{"dropping-particle":"","family":"Schankerman","given":"Mark","non-dropping-particle":"","parse-names":false,"suffix":""}],"container-title":"Journal of the European Economic Association","id":"ITEM-7","issue":"2-3","issued":{"date-parts":[["2004"]]},"page":"252-264","title":"Royalty sharing and technology licensing in universities","type":"article-journal","volume":"2"},"uris":["http://www.mendeley.com/documents/?uuid=e231f31f-4136-4996-9639-55e279210b67"]}],"mendeley":{"formattedCitation":"(Arqué-Castells et al., 2016; Caldera and Debande, 2010a; Friedman and Silberman, 2003; Lach and Schankerman, 2004, 2008; Lam, 2011; Link and Siegel, 2005)","plainTextFormattedCitation":"(Arqué-Castells et al., 2016; Caldera and Debande, 2010a; Friedman and Silberman, 2003; Lach and Schankerman, 2004, 2008; Lam, 2011; Link and Siegel, 2005)","previouslyFormattedCitation":"(Arqué-Castells et al., 2016; Caldera and Debande, 2010a; Friedman and Silberman, 2003; Lach and Schankerman, 2008, 2004; Lam, 2011; Link and Siegel, 2005)"},"properties":{"noteIndex":0},"schema":"https://github.com/citation-style-language/schema/raw/master/csl-citation.json"}</w:instrText>
      </w:r>
      <w:r w:rsidR="00BB56CB">
        <w:rPr>
          <w:rFonts w:ascii="Times New Roman" w:hAnsi="Times New Roman" w:cs="Times New Roman"/>
        </w:rPr>
        <w:fldChar w:fldCharType="separate"/>
      </w:r>
      <w:r w:rsidR="00CD0532" w:rsidRPr="00CD0532">
        <w:rPr>
          <w:rFonts w:ascii="Times New Roman" w:hAnsi="Times New Roman" w:cs="Times New Roman"/>
          <w:noProof/>
        </w:rPr>
        <w:t>(Arqué-Castells et al., 2016; Caldera and Debande, 2010a; Friedman and Silberman, 2003; Lach and Schankerman, 2004, 2008; Lam, 2011; Link and Siegel, 2005)</w:t>
      </w:r>
      <w:r w:rsidR="00BB56CB">
        <w:rPr>
          <w:rFonts w:ascii="Times New Roman" w:hAnsi="Times New Roman" w:cs="Times New Roman"/>
        </w:rPr>
        <w:fldChar w:fldCharType="end"/>
      </w:r>
      <w:r w:rsidR="000035D2" w:rsidRPr="00EF66BB">
        <w:rPr>
          <w:rFonts w:ascii="Times New Roman" w:hAnsi="Times New Roman" w:cs="Times New Roman"/>
        </w:rPr>
        <w:t xml:space="preserve">. </w:t>
      </w:r>
      <w:r w:rsidR="004E08FB" w:rsidRPr="00EF66BB">
        <w:rPr>
          <w:rFonts w:ascii="Times New Roman" w:hAnsi="Times New Roman" w:cs="Times New Roman"/>
        </w:rPr>
        <w:t>Interestingly, results from this existing research are ambiguous with regards to the effect of these organisational configurations on technology transfer effectiveness, with some demonstrating positive associations between TTO support, incentives and technology transfer effectiveness and others demonstrating inverse relationships.</w:t>
      </w:r>
    </w:p>
    <w:p w14:paraId="4900FC2F" w14:textId="77777777" w:rsidR="004A7BC7" w:rsidRPr="00EF66BB" w:rsidRDefault="004A7BC7" w:rsidP="00141231">
      <w:pPr>
        <w:spacing w:line="360" w:lineRule="auto"/>
        <w:rPr>
          <w:rFonts w:ascii="Times New Roman" w:hAnsi="Times New Roman" w:cs="Times New Roman"/>
        </w:rPr>
      </w:pPr>
    </w:p>
    <w:p w14:paraId="48DF05F9" w14:textId="526141C2" w:rsidR="004E08FB" w:rsidRPr="00EF66BB" w:rsidRDefault="004E08FB" w:rsidP="00141231">
      <w:pPr>
        <w:spacing w:line="360" w:lineRule="auto"/>
        <w:rPr>
          <w:rFonts w:ascii="Times New Roman" w:hAnsi="Times New Roman" w:cs="Times New Roman"/>
        </w:rPr>
      </w:pPr>
      <w:r w:rsidRPr="00EF66BB">
        <w:rPr>
          <w:rFonts w:ascii="Times New Roman" w:hAnsi="Times New Roman" w:cs="Times New Roman"/>
        </w:rPr>
        <w:t xml:space="preserve">This research builds on the logic of Child’s </w:t>
      </w:r>
      <w:r w:rsidR="00BB56CB">
        <w:rPr>
          <w:rFonts w:ascii="Times New Roman" w:hAnsi="Times New Roman" w:cs="Times New Roman"/>
        </w:rPr>
        <w:fldChar w:fldCharType="begin" w:fldLock="1"/>
      </w:r>
      <w:r w:rsidR="0033458D">
        <w:rPr>
          <w:rFonts w:ascii="Times New Roman" w:hAnsi="Times New Roman" w:cs="Times New Roman"/>
        </w:rPr>
        <w:instrText>ADDIN CSL_CITATION {"citationItems":[{"id":"ITEM-1","itemData":{"DOI":"10.1177/017084069701800104","ISBN":"0170840697","ISSN":"0170-8406","PMID":"9709106242","abstract":"This paper examines the place of the strategic choice perspective in the study of organizations and considers its contemporary contribution. The main features of the original analysis are summarized, followed by a review of the key issues which arise from it. The paper discusses the integrative potential of strategic choice theory within organization studies and examines its contribution to an evolutionary perspective on the subject. [ABSTRACT FROM AUTHOR]","author":[{"dropping-particle":"","family":"Child","given":"John","non-dropping-particle":"","parse-names":false,"suffix":""}],"container-title":"Organization Studies","id":"ITEM-1","issue":"1","issued":{"date-parts":[["1997"]]},"page":"43-76","title":"Strategic Choice in the Analysis of Action, Structure, Organizations and Environment: Retrospect and Prospect","type":"article-journal","volume":"18"},"uris":["http://www.mendeley.com/documents/?uuid=567c0ecc-17f0-4a38-9892-c98cb98a9e33"]},{"id":"ITEM-2","itemData":{"author":[{"dropping-particle":"","family":"Child","given":"John","non-dropping-particle":"","parse-names":false,"suffix":""}],"container-title":"Sociology","id":"ITEM-2","issue":"1","issued":{"date-parts":[["1972"]]},"page":"1-22","title":"Organizational Structure, Environment and Performance: The Role of Strategic Choice","type":"article-journal","volume":"6"},"uris":["http://www.mendeley.com/documents/?uuid=8d8d803e-eaf2-4353-8bda-269822284514"]}],"mendeley":{"formattedCitation":"(Child, 1997, 1972)","manualFormatting":"(1997, 1972)","plainTextFormattedCitation":"(Child, 1997, 1972)","previouslyFormattedCitation":"(Child, 1997, 1972)"},"properties":{"noteIndex":0},"schema":"https://github.com/citation-style-language/schema/raw/master/csl-citation.json"}</w:instrText>
      </w:r>
      <w:r w:rsidR="00BB56CB">
        <w:rPr>
          <w:rFonts w:ascii="Times New Roman" w:hAnsi="Times New Roman" w:cs="Times New Roman"/>
        </w:rPr>
        <w:fldChar w:fldCharType="separate"/>
      </w:r>
      <w:r w:rsidR="00BB56CB">
        <w:rPr>
          <w:rFonts w:ascii="Times New Roman" w:hAnsi="Times New Roman" w:cs="Times New Roman"/>
          <w:noProof/>
        </w:rPr>
        <w:t>(</w:t>
      </w:r>
      <w:r w:rsidR="00BB56CB" w:rsidRPr="00BB56CB">
        <w:rPr>
          <w:rFonts w:ascii="Times New Roman" w:hAnsi="Times New Roman" w:cs="Times New Roman"/>
          <w:noProof/>
        </w:rPr>
        <w:t>1997, 1972)</w:t>
      </w:r>
      <w:r w:rsidR="00BB56CB">
        <w:rPr>
          <w:rFonts w:ascii="Times New Roman" w:hAnsi="Times New Roman" w:cs="Times New Roman"/>
        </w:rPr>
        <w:fldChar w:fldCharType="end"/>
      </w:r>
      <w:r w:rsidRPr="00EF66BB">
        <w:rPr>
          <w:rFonts w:ascii="Times New Roman" w:hAnsi="Times New Roman" w:cs="Times New Roman"/>
        </w:rPr>
        <w:t xml:space="preserve"> strategic choice theory to </w:t>
      </w:r>
      <w:r w:rsidR="007A1C70" w:rsidRPr="00EF66BB">
        <w:rPr>
          <w:rFonts w:ascii="Times New Roman" w:hAnsi="Times New Roman" w:cs="Times New Roman"/>
        </w:rPr>
        <w:t>explain inconsistencies in these results. Specifically, following Child’s prop</w:t>
      </w:r>
      <w:r w:rsidR="00DD1771" w:rsidRPr="00EF66BB">
        <w:rPr>
          <w:rFonts w:ascii="Times New Roman" w:hAnsi="Times New Roman" w:cs="Times New Roman"/>
        </w:rPr>
        <w:t xml:space="preserve">osal that it is the alignment between strategic choices and organisational configurations that determine operational effectiveness, we suggest that </w:t>
      </w:r>
      <w:r w:rsidR="00A96CB3">
        <w:rPr>
          <w:rFonts w:ascii="Times New Roman" w:hAnsi="Times New Roman" w:cs="Times New Roman"/>
        </w:rPr>
        <w:t>u</w:t>
      </w:r>
      <w:r w:rsidR="00DD1771" w:rsidRPr="00EF66BB">
        <w:rPr>
          <w:rFonts w:ascii="Times New Roman" w:hAnsi="Times New Roman" w:cs="Times New Roman"/>
        </w:rPr>
        <w:t xml:space="preserve">niversity strategic choices play a critical mediating role in determining the effectiveness of technology transfer activity. Therefore, our primary research question is “What role do strategic choices play in determining the effectiveness of university technology transfer activity?”. Recognising the significance of strategic planning in the role of strategy realisation, we also ask “What impact does strategic planning have on the effectiveness of technology transfer activity?”. </w:t>
      </w:r>
    </w:p>
    <w:p w14:paraId="39567D74" w14:textId="77777777" w:rsidR="00DD1771" w:rsidRPr="00EF66BB" w:rsidRDefault="00DD1771" w:rsidP="00141231">
      <w:pPr>
        <w:spacing w:line="360" w:lineRule="auto"/>
        <w:rPr>
          <w:rFonts w:ascii="Times New Roman" w:hAnsi="Times New Roman" w:cs="Times New Roman"/>
        </w:rPr>
      </w:pPr>
    </w:p>
    <w:p w14:paraId="6BBB7171" w14:textId="70BB50C6" w:rsidR="00B2280B" w:rsidRPr="00EF66BB" w:rsidRDefault="00DD1771" w:rsidP="00141231">
      <w:pPr>
        <w:spacing w:line="360" w:lineRule="auto"/>
        <w:rPr>
          <w:rFonts w:ascii="Times New Roman" w:hAnsi="Times New Roman" w:cs="Times New Roman"/>
        </w:rPr>
      </w:pPr>
      <w:r w:rsidRPr="00EF66BB">
        <w:rPr>
          <w:rFonts w:ascii="Times New Roman" w:hAnsi="Times New Roman" w:cs="Times New Roman"/>
        </w:rPr>
        <w:t xml:space="preserve">We draw upon data from 115 UK universities to answer these questions. The </w:t>
      </w:r>
      <w:r w:rsidR="004A7BC7" w:rsidRPr="00EF66BB">
        <w:rPr>
          <w:rFonts w:ascii="Times New Roman" w:hAnsi="Times New Roman" w:cs="Times New Roman"/>
        </w:rPr>
        <w:t>c</w:t>
      </w:r>
      <w:r w:rsidRPr="00EF66BB">
        <w:rPr>
          <w:rFonts w:ascii="Times New Roman" w:hAnsi="Times New Roman" w:cs="Times New Roman"/>
        </w:rPr>
        <w:t>ontext is significant since there is a large body of li</w:t>
      </w:r>
      <w:r w:rsidR="00AA0DA8" w:rsidRPr="00EF66BB">
        <w:rPr>
          <w:rFonts w:ascii="Times New Roman" w:hAnsi="Times New Roman" w:cs="Times New Roman"/>
        </w:rPr>
        <w:t>terature suggest</w:t>
      </w:r>
      <w:r w:rsidR="004A7BC7" w:rsidRPr="00EF66BB">
        <w:rPr>
          <w:rFonts w:ascii="Times New Roman" w:hAnsi="Times New Roman" w:cs="Times New Roman"/>
        </w:rPr>
        <w:t>ing</w:t>
      </w:r>
      <w:r w:rsidR="00AA0DA8" w:rsidRPr="00EF66BB">
        <w:rPr>
          <w:rFonts w:ascii="Times New Roman" w:hAnsi="Times New Roman" w:cs="Times New Roman"/>
        </w:rPr>
        <w:t xml:space="preserve"> that UK u</w:t>
      </w:r>
      <w:r w:rsidRPr="00EF66BB">
        <w:rPr>
          <w:rFonts w:ascii="Times New Roman" w:hAnsi="Times New Roman" w:cs="Times New Roman"/>
        </w:rPr>
        <w:t>n</w:t>
      </w:r>
      <w:r w:rsidR="00B2280B" w:rsidRPr="00EF66BB">
        <w:rPr>
          <w:rFonts w:ascii="Times New Roman" w:hAnsi="Times New Roman" w:cs="Times New Roman"/>
        </w:rPr>
        <w:t>iversities have</w:t>
      </w:r>
      <w:r w:rsidR="005F2294" w:rsidRPr="00EF66BB">
        <w:rPr>
          <w:rFonts w:ascii="Times New Roman" w:hAnsi="Times New Roman" w:cs="Times New Roman"/>
        </w:rPr>
        <w:t xml:space="preserve"> increasingly</w:t>
      </w:r>
      <w:r w:rsidR="00B2280B" w:rsidRPr="00EF66BB">
        <w:rPr>
          <w:rFonts w:ascii="Times New Roman" w:hAnsi="Times New Roman" w:cs="Times New Roman"/>
        </w:rPr>
        <w:t xml:space="preserve"> adopted managerial structures from the private sector over the past 30 years </w:t>
      </w:r>
      <w:r w:rsidR="0033458D">
        <w:rPr>
          <w:rFonts w:ascii="Times New Roman" w:hAnsi="Times New Roman" w:cs="Times New Roman"/>
        </w:rPr>
        <w:fldChar w:fldCharType="begin" w:fldLock="1"/>
      </w:r>
      <w:r w:rsidR="0033458D">
        <w:rPr>
          <w:rFonts w:ascii="Times New Roman" w:hAnsi="Times New Roman" w:cs="Times New Roman"/>
        </w:rPr>
        <w:instrText>ADDIN CSL_CITATION {"citationItems":[{"id":"ITEM-1","itemData":{"DOI":"10.1080/03075079.2012.754858","ISBN":"03075079 (ISSN)","ISSN":"1470174X","abstract":"In this paper we examine the creation and expansion of the English university system. We show how the enormous increase in student numbers, which began with the Robbins Report (1963), led to successive governments cutting universities’ funding and compelling them to act more like business enterprises than educational institutions. In turn, vice-chancellors have become more similar to powerful chief executives, collegial forms of control have been significantly reduced and academic staff increasingly work in an environment in which they are told what to teach, how to teach, what research to conduct and where to publish. However, we show that this can be dysfunctional not only for staff, but also for senior managers. In place of this dysfunctional centralism, we argue for a win-win form of collegiality, which is compatible with rapid decision-making at the university centre and effective execution of change at the local/ departmental level.","author":[{"dropping-particle":"","family":"Burnes","given":"Bernard","non-dropping-particle":"","parse-names":false,"suffix":""},{"dropping-particle":"","family":"Wend","given":"Petra","non-dropping-particle":"","parse-names":false,"suffix":""},{"dropping-particle":"","family":"By","given":"Rune Todnem","non-dropping-particle":"","parse-names":false,"suffix":""}],"container-title":"Studies in Higher Education","id":"ITEM-1","issue":"6","issued":{"date-parts":[["2014"]]},"page":"905-926","title":"The changing face of English universities: reinventing collegiality for the twenty-first century","type":"article-journal","volume":"39"},"uris":["http://www.mendeley.com/documents/?uuid=24152560-a926-4d23-9fe1-dc68becea4bb"]},{"id":"ITEM-2","itemData":{"DOI":"10.1080/1360080X.2017.1354754","ISSN":"14699508","abstract":"This paper considers the case for reform of management structures in UK universities and offers proposals for change. The model of top-down, performance-led management that characterises many institutions is both outmoded and ill-suited to the challenges of an increasingly turbulent higher education sector. Drawing on the experiences of a university that introduced a new scheme of performance management, I explore alternative approaches to leadership and management, collaborative or partnership working designed to improve employee voice and the need to re-evaluate approaches to Human Resource Management. I conclude with a five-point model for change.","author":[{"dropping-particle":"","family":"Waring","given":"Matt","non-dropping-particle":"","parse-names":false,"suffix":""}],"container-title":"Journal of Higher Education Policy and Management","id":"ITEM-2","issue":"5","issued":{"date-parts":[["2017"]]},"page":"540-558","publisher":"Routledge","title":"Management and leadership in UK universities: exploring the possibilities of change","type":"article-journal","volume":"39"},"uris":["http://www.mendeley.com/documents/?uuid=53ffff0f-fb1a-477d-aae5-a1036f8cdc58"]}],"mendeley":{"formattedCitation":"(Burnes et al., 2014; Waring, 2017)","plainTextFormattedCitation":"(Burnes et al., 2014; Waring, 2017)","previouslyFormattedCitation":"(Burnes et al., 2014; Waring, 2017)"},"properties":{"noteIndex":0},"schema":"https://github.com/citation-style-language/schema/raw/master/csl-citation.json"}</w:instrText>
      </w:r>
      <w:r w:rsidR="0033458D">
        <w:rPr>
          <w:rFonts w:ascii="Times New Roman" w:hAnsi="Times New Roman" w:cs="Times New Roman"/>
        </w:rPr>
        <w:fldChar w:fldCharType="separate"/>
      </w:r>
      <w:r w:rsidR="0033458D" w:rsidRPr="0033458D">
        <w:rPr>
          <w:rFonts w:ascii="Times New Roman" w:hAnsi="Times New Roman" w:cs="Times New Roman"/>
          <w:noProof/>
        </w:rPr>
        <w:t>(Burnes et al., 2014; Waring, 2017)</w:t>
      </w:r>
      <w:r w:rsidR="0033458D">
        <w:rPr>
          <w:rFonts w:ascii="Times New Roman" w:hAnsi="Times New Roman" w:cs="Times New Roman"/>
        </w:rPr>
        <w:fldChar w:fldCharType="end"/>
      </w:r>
      <w:r w:rsidR="00B2280B" w:rsidRPr="00EF66BB">
        <w:rPr>
          <w:rFonts w:ascii="Times New Roman" w:hAnsi="Times New Roman" w:cs="Times New Roman"/>
        </w:rPr>
        <w:t>. In sum, our paper offer</w:t>
      </w:r>
      <w:r w:rsidR="00450A76">
        <w:rPr>
          <w:rFonts w:ascii="Times New Roman" w:hAnsi="Times New Roman" w:cs="Times New Roman"/>
        </w:rPr>
        <w:t>s the following contributions: F</w:t>
      </w:r>
      <w:r w:rsidR="00B2280B" w:rsidRPr="00EF66BB">
        <w:rPr>
          <w:rFonts w:ascii="Times New Roman" w:hAnsi="Times New Roman" w:cs="Times New Roman"/>
        </w:rPr>
        <w:t xml:space="preserve">irst, we show that it is the alignment between strategic choice and the scale of TTO support that determines technology transfer effectiveness. Second, we show that the relationship </w:t>
      </w:r>
      <w:r w:rsidR="00B2280B" w:rsidRPr="00EF66BB">
        <w:rPr>
          <w:rFonts w:ascii="Times New Roman" w:hAnsi="Times New Roman" w:cs="Times New Roman"/>
        </w:rPr>
        <w:lastRenderedPageBreak/>
        <w:t>between incentives and technology transfer effectiveness is partially contingent on the alignment between incentives and organisational strategic priorities</w:t>
      </w:r>
      <w:r w:rsidR="009D53F4">
        <w:rPr>
          <w:rFonts w:ascii="Times New Roman" w:hAnsi="Times New Roman" w:cs="Times New Roman"/>
        </w:rPr>
        <w:t xml:space="preserve"> </w:t>
      </w:r>
      <w:r w:rsidR="0033458D">
        <w:rPr>
          <w:rFonts w:ascii="Times New Roman" w:hAnsi="Times New Roman" w:cs="Times New Roman"/>
        </w:rPr>
        <w:fldChar w:fldCharType="begin" w:fldLock="1"/>
      </w:r>
      <w:r w:rsidR="00CD0532">
        <w:rPr>
          <w:rFonts w:ascii="Times New Roman" w:hAnsi="Times New Roman" w:cs="Times New Roman"/>
        </w:rPr>
        <w:instrText>ADDIN CSL_CITATION {"citationItems":[{"id":"ITEM-1","itemData":{"DOI":"10.1016/j.respol.2016.06.006","ISBN":"00487333 (ISSN)","ISSN":"00487333","abstract":"Portuguese and Spanish universities have adopted well-defined royalty sharing arrangements over the last fifteen years. We investigate whether such royalty sharing arrangements have been effective in stimulating inventors’ efforts and in ultimately improving university outcomes. We base our empirical analysis on university-level data and two new self-collected surveys for both inventors and Technology Transfer Offices (TTOs). Evidence from the inventors’ survey indicates that one third of respondents are incentivised by current royalty sharing arrangements, one third could be incentivised by higher royalty shares, and the remaining third is totally insensitive to royalty sharing. Plain regressions on university level datasets suggest that the incentive effects documented by the inventors’ survey fail to translate into increased patenting or licensing income. It would seem that inventor royalty shares are not as influential as they could be, due to the poor commercial prospects of university inventions. Among other possible reasons, these poor prospects appear to reflect the fact that inventors are unable to produce potentially licensable inventions, or that eventually TTOs may not be focussing enough on commercialising their inventions.","author":[{"dropping-particle":"","family":"Arqué-Castells","given":"Pere","non-dropping-particle":"","parse-names":false,"suffix":""},{"dropping-particle":"","family":"Cartaxo","given":"Rui M.","non-dropping-particle":"","parse-names":false,"suffix":""},{"dropping-particle":"","family":"García-Quevedo","given":"Jose","non-dropping-particle":"","parse-names":false,"suffix":""},{"dropping-particle":"","family":"Godinho","given":"Manuel Mira","non-dropping-particle":"","parse-names":false,"suffix":""}],"container-title":"Research Policy","id":"ITEM-1","issue":"9","issued":{"date-parts":[["2016"]]},"page":"1858-1872","publisher":"Elsevier B.V.","title":"Royalty sharing, effort and invention in universities: Evidence from Portugal and Spain","type":"article-journal","volume":"45"},"uris":["http://www.mendeley.com/documents/?uuid=9dc55724-30e7-4819-98fd-32f02e1caf8d"]}],"mendeley":{"formattedCitation":"(Arqué-Castells et al., 2016)","manualFormatting":"(see Arqué-Castells et al., 2016)","plainTextFormattedCitation":"(Arqué-Castells et al., 2016)","previouslyFormattedCitation":"(Arqué-Castells et al., 2016)"},"properties":{"noteIndex":0},"schema":"https://github.com/citation-style-language/schema/raw/master/csl-citation.json"}</w:instrText>
      </w:r>
      <w:r w:rsidR="0033458D">
        <w:rPr>
          <w:rFonts w:ascii="Times New Roman" w:hAnsi="Times New Roman" w:cs="Times New Roman"/>
        </w:rPr>
        <w:fldChar w:fldCharType="separate"/>
      </w:r>
      <w:r w:rsidR="0033458D" w:rsidRPr="0033458D">
        <w:rPr>
          <w:rFonts w:ascii="Times New Roman" w:hAnsi="Times New Roman" w:cs="Times New Roman"/>
          <w:noProof/>
        </w:rPr>
        <w:t>(</w:t>
      </w:r>
      <w:r w:rsidR="00D84A9D">
        <w:rPr>
          <w:rFonts w:ascii="Times New Roman" w:hAnsi="Times New Roman" w:cs="Times New Roman"/>
          <w:noProof/>
        </w:rPr>
        <w:t xml:space="preserve">see </w:t>
      </w:r>
      <w:r w:rsidR="0033458D" w:rsidRPr="0033458D">
        <w:rPr>
          <w:rFonts w:ascii="Times New Roman" w:hAnsi="Times New Roman" w:cs="Times New Roman"/>
          <w:noProof/>
        </w:rPr>
        <w:t>Arqué-Castells et al., 2016)</w:t>
      </w:r>
      <w:r w:rsidR="0033458D">
        <w:rPr>
          <w:rFonts w:ascii="Times New Roman" w:hAnsi="Times New Roman" w:cs="Times New Roman"/>
        </w:rPr>
        <w:fldChar w:fldCharType="end"/>
      </w:r>
      <w:r w:rsidR="0033458D">
        <w:rPr>
          <w:rFonts w:ascii="Times New Roman" w:hAnsi="Times New Roman" w:cs="Times New Roman"/>
        </w:rPr>
        <w:t>.</w:t>
      </w:r>
      <w:r w:rsidR="006651B0" w:rsidRPr="00EF66BB">
        <w:rPr>
          <w:rFonts w:ascii="Times New Roman" w:hAnsi="Times New Roman" w:cs="Times New Roman"/>
        </w:rPr>
        <w:t xml:space="preserve"> In combination</w:t>
      </w:r>
      <w:r w:rsidR="00D84A9D">
        <w:rPr>
          <w:rFonts w:ascii="Times New Roman" w:hAnsi="Times New Roman" w:cs="Times New Roman"/>
        </w:rPr>
        <w:t>,</w:t>
      </w:r>
      <w:r w:rsidR="006651B0" w:rsidRPr="00EF66BB">
        <w:rPr>
          <w:rFonts w:ascii="Times New Roman" w:hAnsi="Times New Roman" w:cs="Times New Roman"/>
        </w:rPr>
        <w:t xml:space="preserve"> these two contributions broadly demonstrate that investment in technology transfer infrastructure is </w:t>
      </w:r>
      <w:r w:rsidR="006651B0" w:rsidRPr="00EF66BB">
        <w:rPr>
          <w:rFonts w:ascii="Times New Roman" w:hAnsi="Times New Roman" w:cs="Times New Roman"/>
          <w:i/>
        </w:rPr>
        <w:t xml:space="preserve">necessary but not sufficient </w:t>
      </w:r>
      <w:r w:rsidR="006651B0" w:rsidRPr="00EF66BB">
        <w:rPr>
          <w:rFonts w:ascii="Times New Roman" w:hAnsi="Times New Roman" w:cs="Times New Roman"/>
        </w:rPr>
        <w:t xml:space="preserve">to enhance the effectiveness of university technology transfer activity. </w:t>
      </w:r>
      <w:r w:rsidR="00D84A9D">
        <w:rPr>
          <w:rFonts w:ascii="Times New Roman" w:hAnsi="Times New Roman" w:cs="Times New Roman"/>
        </w:rPr>
        <w:t>E</w:t>
      </w:r>
      <w:r w:rsidR="006651B0" w:rsidRPr="00EF66BB">
        <w:rPr>
          <w:rFonts w:ascii="Times New Roman" w:hAnsi="Times New Roman" w:cs="Times New Roman"/>
        </w:rPr>
        <w:t>ffectiveness is</w:t>
      </w:r>
      <w:r w:rsidR="00D84A9D">
        <w:rPr>
          <w:rFonts w:ascii="Times New Roman" w:hAnsi="Times New Roman" w:cs="Times New Roman"/>
        </w:rPr>
        <w:t xml:space="preserve"> determined by</w:t>
      </w:r>
      <w:r w:rsidR="006651B0" w:rsidRPr="00EF66BB">
        <w:rPr>
          <w:rFonts w:ascii="Times New Roman" w:hAnsi="Times New Roman" w:cs="Times New Roman"/>
        </w:rPr>
        <w:t xml:space="preserve"> the degree of </w:t>
      </w:r>
      <w:r w:rsidR="006651B0" w:rsidRPr="00EF66BB">
        <w:rPr>
          <w:rFonts w:ascii="Times New Roman" w:hAnsi="Times New Roman" w:cs="Times New Roman"/>
          <w:i/>
        </w:rPr>
        <w:t xml:space="preserve">alignment </w:t>
      </w:r>
      <w:r w:rsidR="006651B0" w:rsidRPr="00EF66BB">
        <w:rPr>
          <w:rFonts w:ascii="Times New Roman" w:hAnsi="Times New Roman" w:cs="Times New Roman"/>
        </w:rPr>
        <w:t>between technology transfer resources and university strategic priorities.</w:t>
      </w:r>
      <w:r w:rsidR="00A3738A" w:rsidRPr="00EF66BB">
        <w:rPr>
          <w:rFonts w:ascii="Times New Roman" w:hAnsi="Times New Roman" w:cs="Times New Roman"/>
        </w:rPr>
        <w:t xml:space="preserve"> </w:t>
      </w:r>
      <w:r w:rsidR="006651B0" w:rsidRPr="00EF66BB">
        <w:rPr>
          <w:rFonts w:ascii="Times New Roman" w:hAnsi="Times New Roman" w:cs="Times New Roman"/>
        </w:rPr>
        <w:t xml:space="preserve">Third, by integrating insights from </w:t>
      </w:r>
      <w:r w:rsidR="004A7BC7" w:rsidRPr="00EF66BB">
        <w:rPr>
          <w:rFonts w:ascii="Times New Roman" w:hAnsi="Times New Roman" w:cs="Times New Roman"/>
        </w:rPr>
        <w:t xml:space="preserve">the </w:t>
      </w:r>
      <w:r w:rsidR="006651B0" w:rsidRPr="00EF66BB">
        <w:rPr>
          <w:rFonts w:ascii="Times New Roman" w:hAnsi="Times New Roman" w:cs="Times New Roman"/>
        </w:rPr>
        <w:t xml:space="preserve">strategic planning literature, we show that the impact of strategic alignment is accentuated when strategic plans are developed with input </w:t>
      </w:r>
      <w:r w:rsidR="006651B0" w:rsidRPr="00EF66BB">
        <w:rPr>
          <w:rFonts w:ascii="Times New Roman" w:hAnsi="Times New Roman" w:cs="Times New Roman"/>
          <w:i/>
        </w:rPr>
        <w:t xml:space="preserve">across </w:t>
      </w:r>
      <w:r w:rsidR="006651B0" w:rsidRPr="00EF66BB">
        <w:rPr>
          <w:rFonts w:ascii="Times New Roman" w:hAnsi="Times New Roman" w:cs="Times New Roman"/>
        </w:rPr>
        <w:t xml:space="preserve">the </w:t>
      </w:r>
      <w:r w:rsidR="00A66AB9">
        <w:rPr>
          <w:rFonts w:ascii="Times New Roman" w:hAnsi="Times New Roman" w:cs="Times New Roman"/>
        </w:rPr>
        <w:t>u</w:t>
      </w:r>
      <w:r w:rsidR="006651B0" w:rsidRPr="00EF66BB">
        <w:rPr>
          <w:rFonts w:ascii="Times New Roman" w:hAnsi="Times New Roman" w:cs="Times New Roman"/>
        </w:rPr>
        <w:t xml:space="preserve">niversity. If no strategic planning is conducted or is conducted with limited engagement across faculties then the impact that strategic alignment has on technology transfer effectiveness is attenuated. This is the first study, to the best of our knowledge, that explicitly </w:t>
      </w:r>
      <w:r w:rsidR="00A3738A" w:rsidRPr="00EF66BB">
        <w:rPr>
          <w:rFonts w:ascii="Times New Roman" w:hAnsi="Times New Roman" w:cs="Times New Roman"/>
        </w:rPr>
        <w:t xml:space="preserve">examines the relationship between strategic planning and technology transfer effectiveness. By highlighting the significance of strategic choice and strategic planning in technology transfer, we </w:t>
      </w:r>
      <w:r w:rsidR="00D84A9D">
        <w:rPr>
          <w:rFonts w:ascii="Times New Roman" w:hAnsi="Times New Roman" w:cs="Times New Roman"/>
        </w:rPr>
        <w:t>suggest</w:t>
      </w:r>
      <w:r w:rsidR="00A3738A" w:rsidRPr="00EF66BB">
        <w:rPr>
          <w:rFonts w:ascii="Times New Roman" w:hAnsi="Times New Roman" w:cs="Times New Roman"/>
        </w:rPr>
        <w:t xml:space="preserve"> that this paper </w:t>
      </w:r>
      <w:r w:rsidR="00D84A9D">
        <w:rPr>
          <w:rFonts w:ascii="Times New Roman" w:hAnsi="Times New Roman" w:cs="Times New Roman"/>
        </w:rPr>
        <w:t>will</w:t>
      </w:r>
      <w:r w:rsidR="00A3738A" w:rsidRPr="00EF66BB">
        <w:rPr>
          <w:rFonts w:ascii="Times New Roman" w:hAnsi="Times New Roman" w:cs="Times New Roman"/>
        </w:rPr>
        <w:t xml:space="preserve"> form the basis </w:t>
      </w:r>
      <w:r w:rsidR="00812451">
        <w:rPr>
          <w:rFonts w:ascii="Times New Roman" w:hAnsi="Times New Roman" w:cs="Times New Roman"/>
        </w:rPr>
        <w:t>for</w:t>
      </w:r>
      <w:r w:rsidR="00A3738A" w:rsidRPr="00EF66BB">
        <w:rPr>
          <w:rFonts w:ascii="Times New Roman" w:hAnsi="Times New Roman" w:cs="Times New Roman"/>
        </w:rPr>
        <w:t xml:space="preserve"> future research that integrates constructs from broader strategy research with </w:t>
      </w:r>
      <w:r w:rsidR="00812451">
        <w:rPr>
          <w:rFonts w:ascii="Times New Roman" w:hAnsi="Times New Roman" w:cs="Times New Roman"/>
        </w:rPr>
        <w:t xml:space="preserve">the </w:t>
      </w:r>
      <w:r w:rsidR="00A3738A" w:rsidRPr="00EF66BB">
        <w:rPr>
          <w:rFonts w:ascii="Times New Roman" w:hAnsi="Times New Roman" w:cs="Times New Roman"/>
        </w:rPr>
        <w:t xml:space="preserve">technology transfer literature. </w:t>
      </w:r>
    </w:p>
    <w:p w14:paraId="642E17DB" w14:textId="77777777" w:rsidR="00EF17B1" w:rsidRPr="00EF66BB" w:rsidRDefault="00EF17B1" w:rsidP="00141231">
      <w:pPr>
        <w:spacing w:line="360" w:lineRule="auto"/>
        <w:rPr>
          <w:rFonts w:ascii="Times New Roman" w:hAnsi="Times New Roman" w:cs="Times New Roman"/>
        </w:rPr>
      </w:pPr>
    </w:p>
    <w:p w14:paraId="0A648ACD" w14:textId="63B8D3B8" w:rsidR="00EF66BB" w:rsidRPr="00EF66BB" w:rsidRDefault="001A3E4C" w:rsidP="00141231">
      <w:pPr>
        <w:pStyle w:val="Heading2"/>
        <w:spacing w:line="360" w:lineRule="auto"/>
        <w:rPr>
          <w:rFonts w:ascii="Times New Roman" w:hAnsi="Times New Roman" w:cs="Times New Roman"/>
          <w:sz w:val="24"/>
          <w:szCs w:val="24"/>
        </w:rPr>
      </w:pPr>
      <w:r w:rsidRPr="00EF66BB">
        <w:rPr>
          <w:rFonts w:ascii="Times New Roman" w:hAnsi="Times New Roman" w:cs="Times New Roman"/>
          <w:sz w:val="24"/>
          <w:szCs w:val="24"/>
        </w:rPr>
        <w:t>2.0 Theory Development</w:t>
      </w:r>
    </w:p>
    <w:p w14:paraId="421D64CF" w14:textId="3121CBE0" w:rsidR="001A3E4C" w:rsidRPr="00EF66BB" w:rsidRDefault="001A3E4C" w:rsidP="00141231">
      <w:pPr>
        <w:pStyle w:val="Heading3"/>
        <w:spacing w:line="360" w:lineRule="auto"/>
        <w:rPr>
          <w:rFonts w:ascii="Times New Roman" w:hAnsi="Times New Roman" w:cs="Times New Roman"/>
        </w:rPr>
      </w:pPr>
      <w:r w:rsidRPr="00EF66BB">
        <w:rPr>
          <w:rFonts w:ascii="Times New Roman" w:hAnsi="Times New Roman" w:cs="Times New Roman"/>
        </w:rPr>
        <w:t xml:space="preserve">2.1 Technology </w:t>
      </w:r>
      <w:r w:rsidR="00414FA4">
        <w:rPr>
          <w:rFonts w:ascii="Times New Roman" w:hAnsi="Times New Roman" w:cs="Times New Roman"/>
        </w:rPr>
        <w:t>T</w:t>
      </w:r>
      <w:r w:rsidRPr="00EF66BB">
        <w:rPr>
          <w:rFonts w:ascii="Times New Roman" w:hAnsi="Times New Roman" w:cs="Times New Roman"/>
        </w:rPr>
        <w:t xml:space="preserve">ransfer </w:t>
      </w:r>
      <w:r w:rsidR="00414FA4">
        <w:rPr>
          <w:rFonts w:ascii="Times New Roman" w:hAnsi="Times New Roman" w:cs="Times New Roman"/>
        </w:rPr>
        <w:t>E</w:t>
      </w:r>
      <w:r w:rsidRPr="00EF66BB">
        <w:rPr>
          <w:rFonts w:ascii="Times New Roman" w:hAnsi="Times New Roman" w:cs="Times New Roman"/>
        </w:rPr>
        <w:t xml:space="preserve">ffectiveness, </w:t>
      </w:r>
      <w:r w:rsidR="00414FA4">
        <w:rPr>
          <w:rFonts w:ascii="Times New Roman" w:hAnsi="Times New Roman" w:cs="Times New Roman"/>
        </w:rPr>
        <w:t>I</w:t>
      </w:r>
      <w:r w:rsidRPr="00EF66BB">
        <w:rPr>
          <w:rFonts w:ascii="Times New Roman" w:hAnsi="Times New Roman" w:cs="Times New Roman"/>
        </w:rPr>
        <w:t xml:space="preserve">ncentives and </w:t>
      </w:r>
      <w:r w:rsidR="00414FA4">
        <w:rPr>
          <w:rFonts w:ascii="Times New Roman" w:hAnsi="Times New Roman" w:cs="Times New Roman"/>
        </w:rPr>
        <w:t>O</w:t>
      </w:r>
      <w:r w:rsidRPr="00EF66BB">
        <w:rPr>
          <w:rFonts w:ascii="Times New Roman" w:hAnsi="Times New Roman" w:cs="Times New Roman"/>
        </w:rPr>
        <w:t xml:space="preserve">rganisational </w:t>
      </w:r>
      <w:r w:rsidR="00414FA4">
        <w:rPr>
          <w:rFonts w:ascii="Times New Roman" w:hAnsi="Times New Roman" w:cs="Times New Roman"/>
        </w:rPr>
        <w:t>S</w:t>
      </w:r>
      <w:r w:rsidRPr="00EF66BB">
        <w:rPr>
          <w:rFonts w:ascii="Times New Roman" w:hAnsi="Times New Roman" w:cs="Times New Roman"/>
        </w:rPr>
        <w:t xml:space="preserve">upport </w:t>
      </w:r>
      <w:r w:rsidR="00414FA4">
        <w:rPr>
          <w:rFonts w:ascii="Times New Roman" w:hAnsi="Times New Roman" w:cs="Times New Roman"/>
        </w:rPr>
        <w:t>S</w:t>
      </w:r>
      <w:r w:rsidRPr="00EF66BB">
        <w:rPr>
          <w:rFonts w:ascii="Times New Roman" w:hAnsi="Times New Roman" w:cs="Times New Roman"/>
        </w:rPr>
        <w:t>tructures</w:t>
      </w:r>
    </w:p>
    <w:p w14:paraId="23317AEF" w14:textId="659DD3BD" w:rsidR="001A3E4C" w:rsidRPr="00EF66BB" w:rsidRDefault="001A3E4C" w:rsidP="00141231">
      <w:pPr>
        <w:spacing w:line="360" w:lineRule="auto"/>
        <w:rPr>
          <w:rFonts w:ascii="Times New Roman" w:hAnsi="Times New Roman" w:cs="Times New Roman"/>
        </w:rPr>
      </w:pPr>
      <w:r w:rsidRPr="00EF66BB">
        <w:rPr>
          <w:rFonts w:ascii="Times New Roman" w:hAnsi="Times New Roman" w:cs="Times New Roman"/>
        </w:rPr>
        <w:t xml:space="preserve">The Contingent Effectiveness Model of Technology Transfer (CEMTT) </w:t>
      </w:r>
      <w:r w:rsidR="0033458D">
        <w:rPr>
          <w:rFonts w:ascii="Times New Roman" w:hAnsi="Times New Roman" w:cs="Times New Roman"/>
        </w:rPr>
        <w:fldChar w:fldCharType="begin" w:fldLock="1"/>
      </w:r>
      <w:r w:rsidR="0033458D">
        <w:rPr>
          <w:rFonts w:ascii="Times New Roman" w:hAnsi="Times New Roman" w:cs="Times New Roman"/>
        </w:rPr>
        <w:instrText>ADDIN CSL_CITATION {"citationItems":[{"id":"ITEM-1","itemData":{"DOI":"10.1016/S0048-7333(99)00093-1","ISBN":"0958-2029","ISSN":"00487333","PMID":"15868165","abstract":"My purpose is to review, synthesize and criticize the voluminous, multidisciplinary literature on technology transfer. To reduce the literature to manageable proportions, I focus chiefly (not exclusively) on recent literature on domestic technology transfer from universities and government laboratories. I begin by examining a set of fundamental conceptual issues, especially the ways in which the analytical ambiguities surrounding technology transfer concepts affect research and theory. My literature review follows and I emphasize technology transfer's impact and effectiveness. I employ a “Contingent Effectiveness Model of Technology Transfer” to organize the literature. As the model's name implies, it assumes that technology effectiveness can take a variety of forms. In addition to examining the more traditional effectiveness criteria- those rooted in market impacts- the model considers a number of alternative effectiveness criteria, including political effectiveness, capacity-building.","author":[{"dropping-particle":"","family":"Bozeman","given":"Barry","non-dropping-particle":"","parse-names":false,"suffix":""}],"container-title":"Research Policy","id":"ITEM-1","issue":"4-5","issued":{"date-parts":[["2000"]]},"page":"627-655","title":"Technology transfer and public policy: a review of research and theory","type":"article-journal","volume":"29"},"uris":["http://www.mendeley.com/documents/?uuid=1e4bfa8c-dddd-49c8-ad44-13fd6406019f"]},{"id":"ITEM-2","itemData":{"DOI":"10.1016/j.respol.2014.06.008","ISBN":"00487333","ISSN":"00487333","PMID":"1478595","abstract":"The purpose of our study is to review and synthesize the rapidly evolving literature on technology transfer effectiveness. Our paper provides a lens into relatively recent work, focusing particularly on empirical studies of US technology transfer conducted within the last 15 years. In doing so, we update and extend the Contingent Effectiveness Model of Technology Transfer developed by Bozeman (2000). Specifically, we include the growing interest in social and public value oriented technology transfer and, thus, the contingent effectiveness model is expanded to consider this literature. We categorize studies according their approaches to measuring effectiveness, draw conclusions regarding the current state of technology transfer evaluation, and offer recommendations for future studies.","author":[{"dropping-particle":"","family":"Bozeman","given":"Barry","non-dropping-particle":"","parse-names":false,"suffix":""},{"dropping-particle":"","family":"Rimes","given":"Heather","non-dropping-particle":"","parse-names":false,"suffix":""},{"dropping-particle":"","family":"Youtie","given":"Jan","non-dropping-particle":"","parse-names":false,"suffix":""}],"container-title":"Research Policy","id":"ITEM-2","issue":"1","issued":{"date-parts":[["2015"]]},"page":"34-49","publisher":"Elsevier B.V.","title":"The evolving state-of-the-art in technology transfer research: Revisiting the contingent effectiveness model","type":"article-journal","volume":"44"},"uris":["http://www.mendeley.com/documents/?uuid=245549ef-970b-4ea4-984e-4a869649a3c5"]}],"mendeley":{"formattedCitation":"(Bozeman, 2000; Bozeman et al., 2015)","plainTextFormattedCitation":"(Bozeman, 2000; Bozeman et al., 2015)","previouslyFormattedCitation":"(Bozeman, 2000; Bozeman et al., 2015)"},"properties":{"noteIndex":0},"schema":"https://github.com/citation-style-language/schema/raw/master/csl-citation.json"}</w:instrText>
      </w:r>
      <w:r w:rsidR="0033458D">
        <w:rPr>
          <w:rFonts w:ascii="Times New Roman" w:hAnsi="Times New Roman" w:cs="Times New Roman"/>
        </w:rPr>
        <w:fldChar w:fldCharType="separate"/>
      </w:r>
      <w:r w:rsidR="0033458D" w:rsidRPr="0033458D">
        <w:rPr>
          <w:rFonts w:ascii="Times New Roman" w:hAnsi="Times New Roman" w:cs="Times New Roman"/>
          <w:noProof/>
        </w:rPr>
        <w:t>(Bozeman, 2000; Bozeman et al., 2015)</w:t>
      </w:r>
      <w:r w:rsidR="0033458D">
        <w:rPr>
          <w:rFonts w:ascii="Times New Roman" w:hAnsi="Times New Roman" w:cs="Times New Roman"/>
        </w:rPr>
        <w:fldChar w:fldCharType="end"/>
      </w:r>
      <w:r w:rsidR="00C93899">
        <w:rPr>
          <w:rFonts w:ascii="Times New Roman" w:hAnsi="Times New Roman" w:cs="Times New Roman"/>
        </w:rPr>
        <w:t xml:space="preserve"> </w:t>
      </w:r>
      <w:r w:rsidRPr="00EF66BB">
        <w:rPr>
          <w:rFonts w:ascii="Times New Roman" w:hAnsi="Times New Roman" w:cs="Times New Roman"/>
        </w:rPr>
        <w:t>provides a</w:t>
      </w:r>
      <w:r w:rsidR="00B24626" w:rsidRPr="00EF66BB">
        <w:rPr>
          <w:rFonts w:ascii="Times New Roman" w:hAnsi="Times New Roman" w:cs="Times New Roman"/>
        </w:rPr>
        <w:t xml:space="preserve"> cohesive</w:t>
      </w:r>
      <w:r w:rsidRPr="00EF66BB">
        <w:rPr>
          <w:rFonts w:ascii="Times New Roman" w:hAnsi="Times New Roman" w:cs="Times New Roman"/>
        </w:rPr>
        <w:t xml:space="preserve"> theoretical framework that</w:t>
      </w:r>
      <w:r w:rsidR="00FE6495" w:rsidRPr="00EF66BB">
        <w:rPr>
          <w:rFonts w:ascii="Times New Roman" w:hAnsi="Times New Roman" w:cs="Times New Roman"/>
        </w:rPr>
        <w:t xml:space="preserve"> identifies</w:t>
      </w:r>
      <w:r w:rsidRPr="00EF66BB">
        <w:rPr>
          <w:rFonts w:ascii="Times New Roman" w:hAnsi="Times New Roman" w:cs="Times New Roman"/>
        </w:rPr>
        <w:t xml:space="preserve"> the key contingencies on which </w:t>
      </w:r>
      <w:r w:rsidR="00FE6495" w:rsidRPr="00EF66BB">
        <w:rPr>
          <w:rFonts w:ascii="Times New Roman" w:hAnsi="Times New Roman" w:cs="Times New Roman"/>
        </w:rPr>
        <w:t xml:space="preserve">technology transfer effectiveness </w:t>
      </w:r>
      <w:r w:rsidRPr="00EF66BB">
        <w:rPr>
          <w:rFonts w:ascii="Times New Roman" w:hAnsi="Times New Roman" w:cs="Times New Roman"/>
        </w:rPr>
        <w:t>depends. Specifically, this framework draws attention to the characteristics of the transfer agent</w:t>
      </w:r>
      <w:r w:rsidR="00432AEA" w:rsidRPr="00EF66BB">
        <w:rPr>
          <w:rFonts w:ascii="Times New Roman" w:hAnsi="Times New Roman" w:cs="Times New Roman"/>
        </w:rPr>
        <w:t>;</w:t>
      </w:r>
      <w:r w:rsidRPr="00EF66BB">
        <w:rPr>
          <w:rFonts w:ascii="Times New Roman" w:hAnsi="Times New Roman" w:cs="Times New Roman"/>
        </w:rPr>
        <w:t xml:space="preserve"> the receiver</w:t>
      </w:r>
      <w:r w:rsidR="00432AEA" w:rsidRPr="00EF66BB">
        <w:rPr>
          <w:rFonts w:ascii="Times New Roman" w:hAnsi="Times New Roman" w:cs="Times New Roman"/>
        </w:rPr>
        <w:t>;</w:t>
      </w:r>
      <w:r w:rsidRPr="00EF66BB">
        <w:rPr>
          <w:rFonts w:ascii="Times New Roman" w:hAnsi="Times New Roman" w:cs="Times New Roman"/>
        </w:rPr>
        <w:t xml:space="preserve"> the transfer channel</w:t>
      </w:r>
      <w:r w:rsidR="00432AEA" w:rsidRPr="00EF66BB">
        <w:rPr>
          <w:rFonts w:ascii="Times New Roman" w:hAnsi="Times New Roman" w:cs="Times New Roman"/>
        </w:rPr>
        <w:t>;</w:t>
      </w:r>
      <w:r w:rsidRPr="00EF66BB">
        <w:rPr>
          <w:rFonts w:ascii="Times New Roman" w:hAnsi="Times New Roman" w:cs="Times New Roman"/>
        </w:rPr>
        <w:t xml:space="preserve"> and the transfer object. </w:t>
      </w:r>
      <w:r w:rsidR="00B24626" w:rsidRPr="00EF66BB">
        <w:rPr>
          <w:rFonts w:ascii="Times New Roman" w:hAnsi="Times New Roman" w:cs="Times New Roman"/>
        </w:rPr>
        <w:t xml:space="preserve">As well as defining the contingencies that underpin technology transfer effectiveness, </w:t>
      </w:r>
      <w:r w:rsidRPr="00EF66BB">
        <w:rPr>
          <w:rFonts w:ascii="Times New Roman" w:hAnsi="Times New Roman" w:cs="Times New Roman"/>
        </w:rPr>
        <w:t>Bozeman et al (2015)</w:t>
      </w:r>
      <w:r w:rsidR="00B24626" w:rsidRPr="00EF66BB">
        <w:rPr>
          <w:rFonts w:ascii="Times New Roman" w:hAnsi="Times New Roman" w:cs="Times New Roman"/>
        </w:rPr>
        <w:t xml:space="preserve"> offer several ‘effectiveness’ </w:t>
      </w:r>
      <w:r w:rsidR="001A25F9" w:rsidRPr="00EF66BB">
        <w:rPr>
          <w:rFonts w:ascii="Times New Roman" w:hAnsi="Times New Roman" w:cs="Times New Roman"/>
        </w:rPr>
        <w:t>principle</w:t>
      </w:r>
      <w:r w:rsidR="001A25F9">
        <w:rPr>
          <w:rFonts w:ascii="Times New Roman" w:hAnsi="Times New Roman" w:cs="Times New Roman"/>
        </w:rPr>
        <w:t>s</w:t>
      </w:r>
      <w:r w:rsidR="00B24626" w:rsidRPr="00EF66BB">
        <w:rPr>
          <w:rFonts w:ascii="Times New Roman" w:hAnsi="Times New Roman" w:cs="Times New Roman"/>
        </w:rPr>
        <w:t xml:space="preserve">. </w:t>
      </w:r>
      <w:r w:rsidR="00FE6495" w:rsidRPr="00EF66BB">
        <w:rPr>
          <w:rFonts w:ascii="Times New Roman" w:hAnsi="Times New Roman" w:cs="Times New Roman"/>
        </w:rPr>
        <w:t xml:space="preserve"> </w:t>
      </w:r>
      <w:r w:rsidR="00B24626" w:rsidRPr="00EF66BB">
        <w:rPr>
          <w:rFonts w:ascii="Times New Roman" w:hAnsi="Times New Roman" w:cs="Times New Roman"/>
        </w:rPr>
        <w:t>Specifically, they propose</w:t>
      </w:r>
      <w:r w:rsidR="00FE6495" w:rsidRPr="00EF66BB">
        <w:rPr>
          <w:rFonts w:ascii="Times New Roman" w:hAnsi="Times New Roman" w:cs="Times New Roman"/>
        </w:rPr>
        <w:t xml:space="preserve"> </w:t>
      </w:r>
      <w:r w:rsidRPr="00EF66BB">
        <w:rPr>
          <w:rFonts w:ascii="Times New Roman" w:hAnsi="Times New Roman" w:cs="Times New Roman"/>
        </w:rPr>
        <w:t>‘out-the-door’, ‘market impact’, ‘scientific and human capital’, ‘political’ and ‘public value’</w:t>
      </w:r>
      <w:r w:rsidR="00FE6495" w:rsidRPr="00EF66BB">
        <w:rPr>
          <w:rFonts w:ascii="Times New Roman" w:hAnsi="Times New Roman" w:cs="Times New Roman"/>
        </w:rPr>
        <w:t xml:space="preserve"> </w:t>
      </w:r>
      <w:r w:rsidR="00B24626" w:rsidRPr="00EF66BB">
        <w:rPr>
          <w:rFonts w:ascii="Times New Roman" w:hAnsi="Times New Roman" w:cs="Times New Roman"/>
        </w:rPr>
        <w:t>as</w:t>
      </w:r>
      <w:r w:rsidR="00FE6495" w:rsidRPr="00EF66BB">
        <w:rPr>
          <w:rFonts w:ascii="Times New Roman" w:hAnsi="Times New Roman" w:cs="Times New Roman"/>
        </w:rPr>
        <w:t xml:space="preserve"> key technology transfer</w:t>
      </w:r>
      <w:r w:rsidRPr="00EF66BB">
        <w:rPr>
          <w:rFonts w:ascii="Times New Roman" w:hAnsi="Times New Roman" w:cs="Times New Roman"/>
        </w:rPr>
        <w:t xml:space="preserve"> effectiveness criteri</w:t>
      </w:r>
      <w:r w:rsidR="00FE6495" w:rsidRPr="00EF66BB">
        <w:rPr>
          <w:rFonts w:ascii="Times New Roman" w:hAnsi="Times New Roman" w:cs="Times New Roman"/>
        </w:rPr>
        <w:t>a</w:t>
      </w:r>
      <w:r w:rsidRPr="00EF66BB">
        <w:rPr>
          <w:rFonts w:ascii="Times New Roman" w:hAnsi="Times New Roman" w:cs="Times New Roman"/>
        </w:rPr>
        <w:t xml:space="preserve">. Most published research pertaining to the effectiveness of university technology transfer operationalises the ‘out-the-door’ effectiveness criterion </w:t>
      </w:r>
      <w:r w:rsidR="0033458D">
        <w:rPr>
          <w:rFonts w:ascii="Times New Roman" w:hAnsi="Times New Roman" w:cs="Times New Roman"/>
        </w:rPr>
        <w:fldChar w:fldCharType="begin" w:fldLock="1"/>
      </w:r>
      <w:r w:rsidR="005C76D1">
        <w:rPr>
          <w:rFonts w:ascii="Times New Roman" w:hAnsi="Times New Roman" w:cs="Times New Roman"/>
        </w:rPr>
        <w:instrText>ADDIN CSL_CITATION {"citationItems":[{"id":"ITEM-1","itemData":{"DOI":"10.1016/j.respol.2012.09.007","ISBN":"0048-7333","ISSN":"00487333","abstract":"A considerable body of work highlights the relevance of collaborative research, contract research, consulting and informal relationships for university-industry knowledge transfer. We present a systematic review of research on academic scientists' involvement in these activities to which we refer as 'academic engagement'. Apart from extracting findings that are generalisable across studies, we ask how academic engagement differs from commercialisation, defined as intellectual property creation and academic entrepreneurship. We identify the individual, organisational and institutional antecedents and consequences of academic engagement, and then compare these findings with the antecedents and consequences of commercialisation. Apart from being more widely practiced, academic engagement is distinct from commercialisation in that it is closely aligned with traditional academic research activities, and pursued by academics to access resources supporting their research agendas. We conclude by identifying future research needs, opportunities for methodological improvement and policy interventions. © 2012 Elsevier B.V.","author":[{"dropping-particle":"","family":"Perkmann","given":"Markus","non-dropping-particle":"","parse-names":false,"suffix":""},{"dropping-particle":"","family":"Tartari","given":"Valentina","non-dropping-particle":"","parse-names":false,"suffix":""},{"dropping-particle":"","family":"McKelvey","given":"Maureen","non-dropping-particle":"","parse-names":false,"suffix":""},{"dropping-particle":"","family":"Autio","given":"Erkko","non-dropping-particle":"","parse-names":false,"suffix":""},{"dropping-particle":"","family":"Broström","given":"Anders","non-dropping-particle":"","parse-names":false,"suffix":""},{"dropping-particle":"","family":"D'Este","given":"Pablo","non-dropping-particle":"","parse-names":false,"suffix":""},{"dropping-particle":"","family":"Fini","given":"Riccardo","non-dropping-particle":"","parse-names":false,"suffix":""},{"dropping-particle":"","family":"Geuna","given":"Aldo","non-dropping-particle":"","parse-names":false,"suffix":""},{"dropping-particle":"","family":"Grimaldi","given":"Rosa","non-dropping-particle":"","parse-names":false,"suffix":""},{"dropping-particle":"","family":"Hughes","given":"Alan","non-dropping-particle":"","parse-names":false,"suffix":""},{"dropping-particle":"","family":"Krabel","given":"Stefan","non-dropping-particle":"","parse-names":false,"suffix":""},{"dropping-particle":"","family":"Kitson","given":"Michael","non-dropping-particle":"","parse-names":false,"suffix":""},{"dropping-particle":"","family":"Llerena","given":"Patrick","non-dropping-particle":"","parse-names":false,"suffix":""},{"dropping-particle":"","family":"Lissoni","given":"Franceso","non-dropping-particle":"","parse-names":false,"suffix":""},{"dropping-particle":"","family":"Salter","given":"Ammon","non-dropping-particle":"","parse-names":false,"suffix":""},{"dropping-particle":"","family":"Sobrero","given":"Maurizio","non-dropping-particle":"","parse-names":false,"suffix":""}],"container-title":"Research Policy","id":"ITEM-1","issue":"2","issued":{"date-parts":[["2013"]]},"page":"423-442","publisher":"Elsevier B.V.","title":"Academic engagement and commercialisation: A review of the literature on university-industry relations","type":"article-journal","volume":"42"},"uris":["http://www.mendeley.com/documents/?uuid=f40c6ec3-7d7a-4995-902e-d99cab391c98"]},{"id":"ITEM-2","itemData":{"DOI":"10.1016/j.respol.2014.06.008","ISBN":"00487333","ISSN":"00487333","PMID":"1478595","abstract":"The purpose of our study is to review and synthesize the rapidly evolving literature on technology transfer effectiveness. Our paper provides a lens into relatively recent work, focusing particularly on empirical studies of US technology transfer conducted within the last 15 years. In doing so, we update and extend the Contingent Effectiveness Model of Technology Transfer developed by Bozeman (2000). Specifically, we include the growing interest in social and public value oriented technology transfer and, thus, the contingent effectiveness model is expanded to consider this literature. We categorize studies according their approaches to measuring effectiveness, draw conclusions regarding the current state of technology transfer evaluation, and offer recommendations for future studies.","author":[{"dropping-particle":"","family":"Bozeman","given":"Barry","non-dropping-particle":"","parse-names":false,"suffix":""},{"dropping-particle":"","family":"Rimes","given":"Heather","non-dropping-particle":"","parse-names":false,"suffix":""},{"dropping-particle":"","family":"Youtie","given":"Jan","non-dropping-particle":"","parse-names":false,"suffix":""}],"container-title":"Research Policy","id":"ITEM-2","issue":"1","issued":{"date-parts":[["2015"]]},"page":"34-49","publisher":"Elsevier B.V.","title":"The evolving state-of-the-art in technology transfer research: Revisiting the contingent effectiveness model","type":"article-journal","volume":"44"},"uris":["http://www.mendeley.com/documents/?uuid=245549ef-970b-4ea4-984e-4a869649a3c5"]},{"id":"ITEM-3","itemData":{"author":[{"dropping-particle":"","family":"Siegel","given":"Donald","non-dropping-particle":"","parse-names":false,"suffix":""},{"dropping-particle":"","family":"Wright","given":"Mike","non-dropping-particle":"","parse-names":false,"suffix":""}],"container-title":"The Chicago Handbook of University Technology Transfer and Academic Entrepreneurship","id":"ITEM-3","issued":{"date-parts":[["2015"]]},"page":"1-40","title":"University Technology Transfer Offices, Licensing and Start-Ups","type":"article-journal"},"uris":["http://www.mendeley.com/documents/?uuid=fe76100e-4794-40f5-abd9-8ecf8418b924"]},{"id":"ITEM-4","itemData":{"DOI":"10.1016/j.respol.2005.01.005","ISBN":"0048-7333","ISSN":"00487333","PMID":"599","abstract":"This article discusses salient trends in university-based technology initiatives in the United States and Europe, and it summarizes the papers contained in this special issue.","author":[{"dropping-particle":"","family":"Link","given":"Albert N.","non-dropping-particle":"","parse-names":false,"suffix":""},{"dropping-particle":"","family":"Siegel","given":"Donald","non-dropping-particle":"","parse-names":false,"suffix":""}],"container-title":"Research Policy","id":"ITEM-4","issue":"3","issued":{"date-parts":[["2005"]]},"page":"253-257","title":"University-based technology initiatives: Quantitative and qualitative evidence","type":"article-journal","volume":"34"},"uris":["http://www.mendeley.com/documents/?uuid=898545c9-834c-423a-aa3f-4da3b3627a38"]},{"id":"ITEM-5","itemData":{"DOI":"10.1016/j.respol.2010.05.016","ISBN":"00487333","ISSN":"00487333","PMID":"53969080","abstract":"This paper investigates the performance of universities in the transfer of technology using a unique university-level dataset for Spain. The results suggest that universities with established policies and procedures for the management of technology transfer perform better. Universities with large and experienced technology transfer offices (TTOs) generate higher volumes of contract research, but the TTO characteristics appear to matter less for university performance in terms of licensing and creation of spin-offs. Furthermore, universities with a science park perform better than those without, which suggests that the agglomeration of knowledge close to universities has a positive effect on universities' technology transfer performance. ?? 2010 Elsevier B.V. All rights reserved.","author":[{"dropping-particle":"","family":"Caldera","given":"Aida","non-dropping-particle":"","parse-names":false,"suffix":""},{"dropping-particle":"","family":"Debande","given":"Olivier","non-dropping-particle":"","parse-names":false,"suffix":""}],"container-title":"Research Policy","id":"ITEM-5","issue":"9","issued":{"date-parts":[["2010"]]},"page":"1160-1173","publisher":"Elsevier B.V.","title":"Performance of Spanish universities in technology transfer: An empirical analysis","type":"article-journal","volume":"39"},"uris":["http://www.mendeley.com/documents/?uuid=d43816cf-2ca3-4387-aef7-64719dd222a6"]},{"id":"ITEM-6","itemData":{"DOI":"10.1016/j.respol.2004.12.003","ISBN":"0048-7333","ISSN":"00487333","abstract":"The transfer of scientific and technological know-how into valuable economic activity has become a high priority on many policy agendas. Industry Science Links (ISLs) are an important dimension of this policy orientation. Over the last decades, multiple insights have been gained (both theoretical and empirical) as to how \"effective\" ISLs can be fostered through the design and the development of university-based technology transfer organizations (TTOs). In this paper, we document and analyze the evolution of \"effective\" university-based technology transfer mechanisms. We describe how decentralized organizational approaches and incentives that stimulate the active involvement of the research groups in the exploitation of their research findings might be combined with specialized central services offering intellectual property management and spin-off support. More particularly, we analyze how the creation of:an appropriate balance between centralization and decentralization within academia;the design of appropriate incentive structures for academic research groups;the implementation of appropriate decision and monitoring processes within the TTOhas brought about critical elements in fostering an \"effective\" commercialization of the academic science base. © 2005 Elsevier B.V. All rights reserved.","author":[{"dropping-particle":"","family":"Debackere","given":"Koenraad","non-dropping-particle":"","parse-names":false,"suffix":""},{"dropping-particle":"","family":"Veugelers","given":"Reinhilde","non-dropping-particle":"","parse-names":false,"suffix":""}],"container-title":"Research Policy","id":"ITEM-6","issue":"3","issued":{"date-parts":[["2005"]]},"page":"321-342","title":"The role of academic technology transfer organizations in improving industry science links","type":"article-journal","volume":"34"},"uris":["http://www.mendeley.com/documents/?uuid=b5a14a0c-13b9-4989-9bde-f10ce2613421"]},{"id":"ITEM-7","itemData":{"DOI":"10.1016/j.technovation.2006.10.003","ISBN":"01664972","ISSN":"01664972","PMID":"24862342","abstract":"Universities provide education as well as innovations resulting from their research. This paper focuses on the service of transferring research results into other sectors. Many stakeholders such as academic researchers, technology transfer offices (TTOs) and private industry are involved in technology transfer which calls for a comprehensive approach. A data envelopment analysis (DEA) approach is used as a productivity evaluation tool applied to university technology transfer. The methodology included weight restrictions providing a more comprehensive metric. The results include an examination of efficiency targets for specific universities as well as peer count of inefficient universities. Evidence of significant efficiency in university technology transfer is found in many leading universities. An examination of differences between public versus private universities and those with medical schools and those without indicated that universities with medical schools are less efficient than those without. © 2006 Elsevier Ltd. All rights reserved.","author":[{"dropping-particle":"","family":"Anderson","given":"Timothy R.","non-dropping-particle":"","parse-names":false,"suffix":""},{"dropping-particle":"","family":"Daim","given":"Tugrul U.","non-dropping-particle":"","parse-names":false,"suffix":""},{"dropping-particle":"","family":"Lavoie","given":"Francois F.","non-dropping-particle":"","parse-names":false,"suffix":""}],"container-title":"Technovation","id":"ITEM-7","issue":"5","issued":{"date-parts":[["2007"]]},"page":"306-318","title":"Measuring the efficiency of university technology transfer","type":"article-journal","volume":"27"},"uris":["http://www.mendeley.com/documents/?uuid=23c59cfc-5683-4eb4-8927-1edf2329f7ee"]},{"id":"ITEM-8","itemData":{"DOI":"10.1111/j.1467-6486.2008.00804.x","ISBN":"1467-6486","ISSN":"00222380","abstract":"We examine the tensions that make it difficult for a research-oriented university to achieve commercial outcomes. Building on the organizational ambidexterity literature, we specify the nature of the tensions (between academic and commercially-oriented activities) at both organizational and individual levels of analysis, and how these can be resolved. We develop hypotheses linking specific aspects of the organization and the individual researcher to the likelihood of their research projects generating commercial outcomes, and we test them using a novel dataset of 207 Research Council-funded projects, combining objective data on project outcomes with the perceptions of principal investigators. We show that the tension between academic and commercial demands is more salient at the level of the individual researcher than at the level of the organization. Universities show evidence that they are able to manage the tensions between academic and commercial demands, through for example their creation of dual structures. At the individual level, on the other hand, the tensions are more acute, so that the people who deliver commercial outcomes tend to be rather different to those who are accustomed to producing academic outcomes","author":[{"dropping-particle":"","family":"Ambos","given":"T","non-dropping-particle":"","parse-names":false,"suffix":""},{"dropping-particle":"","family":"Mäkelä","given":"K","non-dropping-particle":"","parse-names":false,"suffix":""},{"dropping-particle":"","family":"Birkinshaw","given":"J","non-dropping-particle":"","parse-names":false,"suffix":""},{"dropping-particle":"","family":"D'Este","given":"P","non-dropping-particle":"","parse-names":false,"suffix":""}],"container-title":"Journal of Management Studies","id":"ITEM-8","issue":"December","issued":{"date-parts":[["2008"]]},"page":"1424-1447","title":"When Does University Research Get Commercialized? Creating Ambidexterity in Research Institutions","type":"article-journal","volume":"45"},"uris":["http://www.mendeley.com/documents/?uuid=2ff1c384-f348-444d-ac90-c33544cf7338"]},{"id":"ITEM-9","itemData":{"DOI":"10.1016/j.respol.2017.03.008","ISSN":"00487333","abstract":"This paper examines the dynamic interlinkages between the two pillars of ambidexterity in universities, research and knowledge transfer. We propose a theoretical model linking these two pillars at the organisational level. The model is tested using the longitudinal HE-BCI survey data juxtaposed against two consecutive rounds of research evaluation in the UK higher education sector. Results indicate that a university's past performance along the research pillar strengthens the knowledge transfer pillar over time, through both commercialisation and academic engagement channels. This positive impact is negatively moderated by the university's size and reputation, in the sense that in larger or more reputed universities, the marginal impact of research on knowledge transfer declines significantly. Additionally, we find that knowledge transfer reinforces the research pillar through positive mediation between past and future research, but only through academic engagement channels. The results also indicate that contract research routes provide the maximum benefit for most universities in enhancing their ambidexterity framework, both in the short and the long run. For the relatively more reputed universities, it is the collaboration route which provides the maximum benefit. Interestingly, no such reinforcement could be detected in the case of the research commercialisation channels.","author":[{"dropping-particle":"","family":"Sengupta","given":"Abhijit","non-dropping-particle":"","parse-names":false,"suffix":""},{"dropping-particle":"","family":"Ray","given":"Amit S.","non-dropping-particle":"","parse-names":false,"suffix":""}],"container-title":"Research Policy","id":"ITEM-9","issue":"5","issued":{"date-parts":[["2017"]]},"page":"881-897","publisher":"Elsevier B.V.","title":"University research and knowledge transfer: A dynamic view of ambidexterity in british universities","type":"article-journal","volume":"46"},"uris":["http://www.mendeley.com/documents/?uuid=1bae52b2-2b76-4a4b-9383-c1e21964cb01"]},{"id":"ITEM-10","itemData":{"DOI":"10.1016/j.respol.2011.02.001","ISBN":"0048-7333","ISSN":"00487333","PMID":"2891","abstract":"The phenomenon of entrepreneurial universities has received considerable attention over the last decades. An entrepreneurial orientation by academia might put regions and nations in an advantageous position in emerging knowledge-intensive fields of economic activity. At the same time, such entrepreneurial orientation requires reconciliation with the scientific missions of academia. Large-scale empirical research on antecedents of the entrepreneurial effectiveness of universities is scarce. This contribution examines the extent to which scientific productivity affect entrepreneurial effectiveness, taking into account the size of universities and the presence of disciplines, as well as the R&amp;D intensity of the regional business environment (BERD). In addition, we assess the occurrence of trade-offs between different transfer mechanisms (contract research, patenting and spin off activity). The data used pertain to 105 European universities. Our findings reveal that scientific productivity is positively associated with entrepreneurial effectiveness. Trade-offs between transfer mechanisms do not reveal themselves; on the contrary, contract research and spin off activities tend to facilitate each other. Limitations and implications for future research are discussed. © 2011 Elsevier B.V. All rights reserved.","author":[{"dropping-particle":"","family":"Looy","given":"Bart","non-dropping-particle":"Van","parse-names":false,"suffix":""},{"dropping-particle":"","family":"Landoni","given":"Paolo","non-dropping-particle":"","parse-names":false,"suffix":""},{"dropping-particle":"","family":"Callaert","given":"Julie","non-dropping-particle":"","parse-names":false,"suffix":""},{"dropping-particle":"","family":"Pottelsberghe","given":"Bruno","non-dropping-particle":"Van","parse-names":false,"suffix":""},{"dropping-particle":"","family":"Sapsalis","given":"Eleftherios","non-dropping-particle":"","parse-names":false,"suffix":""},{"dropping-particle":"","family":"Debackere","given":"Koenraad","non-dropping-particle":"","parse-names":false,"suffix":""}],"container-title":"Research Policy","id":"ITEM-10","issue":"4","issued":{"date-parts":[["2011"]]},"page":"553-564","publisher":"Elsevier B.V.","title":"Entrepreneurial effectiveness of European universities: An empirical assessment of antecedents and trade-offs","type":"article-journal","volume":"40"},"uris":["http://www.mendeley.com/documents/?uuid=efca2164-cee4-4742-ab17-7b8416ace40b"]},{"id":"ITEM-11","itemData":{"DOI":"10.1016/j.respol.2005.01.007","ISBN":"0048-7333","ISSN":"00487333","PMID":"2878","abstract":"We present evidence on the relative performance of U.K. university technology transfer offices (TTOs) using data envelopment analysis (DEA) and stochastic frontier estimation (SFE). U.K. TTOs are found to exhibit low-levels of absolute efficiency. There also appear to be decreasing returns to scale, implying that TTOs may need to be reconfigured into smaller units. The development of regionally-based sector focused TTOs is also advised. Consistent with qualitative evidence from U.S. TTOs, we find that there is a need to upgrade the business skills and capabilities of U.K. TTO managers and licensing officers. © 2005 Elsevier B.V. All rights reserved.","author":[{"dropping-particle":"","family":"Chapple","given":"Wendy","non-dropping-particle":"","parse-names":false,"suffix":""},{"dropping-particle":"","family":"Lockett","given":"Andy","non-dropping-particle":"","parse-names":false,"suffix":""},{"dropping-particle":"","family":"Siegel","given":"Donald","non-dropping-particle":"","parse-names":false,"suffix":""},{"dropping-particle":"","family":"Wright","given":"Mike","non-dropping-particle":"","parse-names":false,"suffix":""}],"container-title":"Research Policy","id":"ITEM-11","issue":"3","issued":{"date-parts":[["2005"]]},"page":"369-384","title":"Assessing the relative performance of U.K. university technology transfer offices: Parametric and non-parametric evidence","type":"article-journal","volume":"34"},"uris":["http://www.mendeley.com/documents/?uuid=79f66bd1-a68a-42e0-a3e7-f5910e5a9097"]},{"id":"ITEM-12","itemData":{"DOI":"10.1111/j.0741-6261.2008.00020.x","ISBN":"0741-6261","ISSN":"07416261","PMID":"2877","abstract":"We show that universities in the United States that provide stronger royalty incentives to faculty scientists generate greater license income, controlling for university characteristics. We use pre-sample data on university patenting to control for the potential endogeneity of royalty shares. Faculty responds to royalties both in the form of cash and research lab support, indicating both pecuniary and intrinsic research motivations. The impact of incentives is larger in private than in public universities, and we provide new survey evidence on the organization and objectives of university licensing offices to explain this difference. Royalty incentives work both by raising faculty effort and sorting scientists across universities. The primary impact of incentives is to increase the quality rather than the quantity of inventions.","author":[{"dropping-particle":"","family":"Lach","given":"Saul","non-dropping-particle":"","parse-names":false,"suffix":""},{"dropping-particle":"","family":"Schankerman","given":"Mark","non-dropping-particle":"","parse-names":false,"suffix":""}],"container-title":"RAND Journal of Economics","id":"ITEM-12","issue":"2","issued":{"date-parts":[["2008"]]},"page":"403-433","title":"Incentives and invention in universities","type":"article-journal","volume":"39"},"uris":["http://www.mendeley.com/documents/?uuid=5cc5deac-babe-4731-9ce4-35098d057334"]},{"id":"ITEM-13","itemData":{"author":[{"dropping-particle":"","family":"Powers","given":"J.B","non-dropping-particle":"","parse-names":false,"suffix":""}],"container-title":"Journal of Higher Education","id":"ITEM-13","issue":"1","issued":{"date-parts":[["2003"]]},"page":"1-24","title":"Commercializing Academic Research Results .","type":"article-journal","volume":"74"},"uris":["http://www.mendeley.com/documents/?uuid=3ff7db45-f14f-41f5-987c-834aa37afca1"]}],"mendeley":{"formattedCitation":"(Ambos et al., 2008; Anderson et al., 2007; Bozeman et al., 2015; Caldera and Debande, 2010a; Chapple et al., 2005; Debackere and Veugelers, 2005; Lach and Schankerman, 2008; Link and Siegel, 2005; Perkmann et al., 2013; Powers, 2003; Sengupta and Ray, 2017a; Siegel and Wright, 2015b; Van Looy et al., 2011)","plainTextFormattedCitation":"(Ambos et al., 2008; Anderson et al., 2007; Bozeman et al., 2015; Caldera and Debande, 2010a; Chapple et al., 2005; Debackere and Veugelers, 2005; Lach and Schankerman, 2008; Link and Siegel, 2005; Perkmann et al., 2013; Powers, 2003; Sengupta and Ray, 2017a; Siegel and Wright, 2015b; Van Looy et al., 2011)","previouslyFormattedCitation":"(Ambos et al., 2008; Anderson et al., 2007; Bozeman et al., 2015; Caldera and Debande, 2010a; Chapple et al., 2005; Debackere and Veugelers, 2005; Lach and Schankerman, 2008; Link and Siegel, 2005; Perkmann et al., 2013; Powers, 2003; Sengupta and Ray, 2017a; Siegel and Wright, 2015b; Van Looy et al., 2011)"},"properties":{"noteIndex":0},"schema":"https://github.com/citation-style-language/schema/raw/master/csl-citation.json"}</w:instrText>
      </w:r>
      <w:r w:rsidR="0033458D">
        <w:rPr>
          <w:rFonts w:ascii="Times New Roman" w:hAnsi="Times New Roman" w:cs="Times New Roman"/>
        </w:rPr>
        <w:fldChar w:fldCharType="separate"/>
      </w:r>
      <w:r w:rsidR="005C76D1" w:rsidRPr="005C76D1">
        <w:rPr>
          <w:rFonts w:ascii="Times New Roman" w:hAnsi="Times New Roman" w:cs="Times New Roman"/>
          <w:noProof/>
        </w:rPr>
        <w:t>(Ambos et al., 2008; Anderson et al., 2007; Bozeman et al., 2015; Caldera and Debande, 2010a; Chapple et al., 2005; Debackere and Veugelers, 2005; Lach and Schankerman, 2008; Link and Siegel, 2005; Perkmann et al., 2013; Powers, 2003; Sengupta and Ray, 2017a; Siegel and Wright, 2015b; Van Looy et al., 2011)</w:t>
      </w:r>
      <w:r w:rsidR="0033458D">
        <w:rPr>
          <w:rFonts w:ascii="Times New Roman" w:hAnsi="Times New Roman" w:cs="Times New Roman"/>
        </w:rPr>
        <w:fldChar w:fldCharType="end"/>
      </w:r>
      <w:r w:rsidRPr="00EF66BB">
        <w:rPr>
          <w:rFonts w:ascii="Times New Roman" w:hAnsi="Times New Roman" w:cs="Times New Roman"/>
        </w:rPr>
        <w:t xml:space="preserve">. </w:t>
      </w:r>
      <w:r w:rsidR="00432AEA" w:rsidRPr="00EF66BB">
        <w:rPr>
          <w:rFonts w:ascii="Times New Roman" w:hAnsi="Times New Roman" w:cs="Times New Roman"/>
        </w:rPr>
        <w:t>‘</w:t>
      </w:r>
      <w:r w:rsidRPr="00EF66BB">
        <w:rPr>
          <w:rFonts w:ascii="Times New Roman" w:hAnsi="Times New Roman" w:cs="Times New Roman"/>
        </w:rPr>
        <w:t>Out-the-door</w:t>
      </w:r>
      <w:r w:rsidR="00432AEA" w:rsidRPr="00EF66BB">
        <w:rPr>
          <w:rFonts w:ascii="Times New Roman" w:hAnsi="Times New Roman" w:cs="Times New Roman"/>
        </w:rPr>
        <w:t>’</w:t>
      </w:r>
      <w:r w:rsidRPr="00EF66BB">
        <w:rPr>
          <w:rFonts w:ascii="Times New Roman" w:hAnsi="Times New Roman" w:cs="Times New Roman"/>
        </w:rPr>
        <w:t xml:space="preserve"> effectiveness refers to the capability of universit</w:t>
      </w:r>
      <w:r w:rsidR="007A0E5B" w:rsidRPr="00EF66BB">
        <w:rPr>
          <w:rFonts w:ascii="Times New Roman" w:hAnsi="Times New Roman" w:cs="Times New Roman"/>
        </w:rPr>
        <w:t>ies</w:t>
      </w:r>
      <w:r w:rsidRPr="00EF66BB">
        <w:rPr>
          <w:rFonts w:ascii="Times New Roman" w:hAnsi="Times New Roman" w:cs="Times New Roman"/>
        </w:rPr>
        <w:t xml:space="preserve"> to transfer technology to external partners through formal or informal mechanisms. </w:t>
      </w:r>
      <w:r w:rsidR="002E12F1">
        <w:rPr>
          <w:rFonts w:ascii="Times New Roman" w:hAnsi="Times New Roman" w:cs="Times New Roman"/>
        </w:rPr>
        <w:t>However, t</w:t>
      </w:r>
      <w:r w:rsidRPr="00EF66BB">
        <w:rPr>
          <w:rFonts w:ascii="Times New Roman" w:hAnsi="Times New Roman" w:cs="Times New Roman"/>
        </w:rPr>
        <w:t>h</w:t>
      </w:r>
      <w:r w:rsidR="00432AEA" w:rsidRPr="00EF66BB">
        <w:rPr>
          <w:rFonts w:ascii="Times New Roman" w:hAnsi="Times New Roman" w:cs="Times New Roman"/>
        </w:rPr>
        <w:t>is</w:t>
      </w:r>
      <w:r w:rsidR="002E12F1">
        <w:rPr>
          <w:rFonts w:ascii="Times New Roman" w:hAnsi="Times New Roman" w:cs="Times New Roman"/>
        </w:rPr>
        <w:t xml:space="preserve"> </w:t>
      </w:r>
      <w:r w:rsidR="002E12F1">
        <w:rPr>
          <w:rFonts w:ascii="Times New Roman" w:hAnsi="Times New Roman" w:cs="Times New Roman"/>
        </w:rPr>
        <w:lastRenderedPageBreak/>
        <w:t>measure</w:t>
      </w:r>
      <w:r w:rsidR="00432AEA" w:rsidRPr="00EF66BB">
        <w:rPr>
          <w:rFonts w:ascii="Times New Roman" w:hAnsi="Times New Roman" w:cs="Times New Roman"/>
        </w:rPr>
        <w:t xml:space="preserve"> </w:t>
      </w:r>
      <w:r w:rsidRPr="00EF66BB">
        <w:rPr>
          <w:rFonts w:ascii="Times New Roman" w:hAnsi="Times New Roman" w:cs="Times New Roman"/>
        </w:rPr>
        <w:t>essentially reflects level</w:t>
      </w:r>
      <w:r w:rsidR="007A0E5B" w:rsidRPr="00EF66BB">
        <w:rPr>
          <w:rFonts w:ascii="Times New Roman" w:hAnsi="Times New Roman" w:cs="Times New Roman"/>
        </w:rPr>
        <w:t>s</w:t>
      </w:r>
      <w:r w:rsidRPr="00EF66BB">
        <w:rPr>
          <w:rFonts w:ascii="Times New Roman" w:hAnsi="Times New Roman" w:cs="Times New Roman"/>
        </w:rPr>
        <w:t xml:space="preserve"> of activity rather than downstream outcome</w:t>
      </w:r>
      <w:r w:rsidR="007A0E5B" w:rsidRPr="00EF66BB">
        <w:rPr>
          <w:rFonts w:ascii="Times New Roman" w:hAnsi="Times New Roman" w:cs="Times New Roman"/>
        </w:rPr>
        <w:t>s</w:t>
      </w:r>
      <w:r w:rsidRPr="00EF66BB">
        <w:rPr>
          <w:rFonts w:ascii="Times New Roman" w:hAnsi="Times New Roman" w:cs="Times New Roman"/>
        </w:rPr>
        <w:t xml:space="preserve"> of technology transfer (</w:t>
      </w:r>
      <w:proofErr w:type="spellStart"/>
      <w:r w:rsidRPr="00EF66BB">
        <w:rPr>
          <w:rFonts w:ascii="Times New Roman" w:hAnsi="Times New Roman" w:cs="Times New Roman"/>
        </w:rPr>
        <w:t>eg</w:t>
      </w:r>
      <w:proofErr w:type="spellEnd"/>
      <w:r w:rsidRPr="00EF66BB">
        <w:rPr>
          <w:rFonts w:ascii="Times New Roman" w:hAnsi="Times New Roman" w:cs="Times New Roman"/>
        </w:rPr>
        <w:t xml:space="preserve"> economic impact</w:t>
      </w:r>
      <w:r w:rsidR="00F04BF2">
        <w:rPr>
          <w:rFonts w:ascii="Times New Roman" w:hAnsi="Times New Roman" w:cs="Times New Roman"/>
          <w:strike/>
        </w:rPr>
        <w:t>).</w:t>
      </w:r>
      <w:r w:rsidRPr="00F04BF2">
        <w:rPr>
          <w:rFonts w:ascii="Times New Roman" w:hAnsi="Times New Roman" w:cs="Times New Roman"/>
          <w:strike/>
        </w:rPr>
        <w:t xml:space="preserve"> </w:t>
      </w:r>
    </w:p>
    <w:p w14:paraId="3C45EAE8" w14:textId="77777777" w:rsidR="001A3E4C" w:rsidRPr="00EF66BB" w:rsidRDefault="001A3E4C" w:rsidP="00141231">
      <w:pPr>
        <w:spacing w:line="360" w:lineRule="auto"/>
        <w:rPr>
          <w:rFonts w:ascii="Times New Roman" w:hAnsi="Times New Roman" w:cs="Times New Roman"/>
        </w:rPr>
      </w:pPr>
    </w:p>
    <w:p w14:paraId="61519614" w14:textId="5CCF6AF1" w:rsidR="001A3E4C" w:rsidRPr="00EF66BB" w:rsidRDefault="001A3E4C" w:rsidP="00141231">
      <w:pPr>
        <w:spacing w:line="360" w:lineRule="auto"/>
        <w:rPr>
          <w:rFonts w:ascii="Times New Roman" w:hAnsi="Times New Roman" w:cs="Times New Roman"/>
        </w:rPr>
      </w:pPr>
      <w:r w:rsidRPr="00EF66BB">
        <w:rPr>
          <w:rFonts w:ascii="Times New Roman" w:hAnsi="Times New Roman" w:cs="Times New Roman"/>
        </w:rPr>
        <w:t xml:space="preserve">One variant that has been adopted is termed the </w:t>
      </w:r>
      <w:r w:rsidRPr="00EF66BB">
        <w:rPr>
          <w:rFonts w:ascii="Times New Roman" w:hAnsi="Times New Roman" w:cs="Times New Roman"/>
          <w:i/>
        </w:rPr>
        <w:t xml:space="preserve">out-the-door with agent impacts </w:t>
      </w:r>
      <w:r w:rsidRPr="00EF66BB">
        <w:rPr>
          <w:rFonts w:ascii="Times New Roman" w:hAnsi="Times New Roman" w:cs="Times New Roman"/>
        </w:rPr>
        <w:t xml:space="preserve">effectiveness criterion </w:t>
      </w:r>
      <w:r w:rsidR="0033458D">
        <w:rPr>
          <w:rFonts w:ascii="Times New Roman" w:hAnsi="Times New Roman" w:cs="Times New Roman"/>
        </w:rPr>
        <w:fldChar w:fldCharType="begin" w:fldLock="1"/>
      </w:r>
      <w:r w:rsidR="0033458D">
        <w:rPr>
          <w:rFonts w:ascii="Times New Roman" w:hAnsi="Times New Roman" w:cs="Times New Roman"/>
        </w:rPr>
        <w:instrText>ADDIN CSL_CITATION {"citationItems":[{"id":"ITEM-1","itemData":{"DOI":"10.1016/j.respol.2014.06.008","ISBN":"00487333","ISSN":"00487333","PMID":"1478595","abstract":"The purpose of our study is to review and synthesize the rapidly evolving literature on technology transfer effectiveness. Our paper provides a lens into relatively recent work, focusing particularly on empirical studies of US technology transfer conducted within the last 15 years. In doing so, we update and extend the Contingent Effectiveness Model of Technology Transfer developed by Bozeman (2000). Specifically, we include the growing interest in social and public value oriented technology transfer and, thus, the contingent effectiveness model is expanded to consider this literature. We categorize studies according their approaches to measuring effectiveness, draw conclusions regarding the current state of technology transfer evaluation, and offer recommendations for future studies.","author":[{"dropping-particle":"","family":"Bozeman","given":"Barry","non-dropping-particle":"","parse-names":false,"suffix":""},{"dropping-particle":"","family":"Rimes","given":"Heather","non-dropping-particle":"","parse-names":false,"suffix":""},{"dropping-particle":"","family":"Youtie","given":"Jan","non-dropping-particle":"","parse-names":false,"suffix":""}],"container-title":"Research Policy","id":"ITEM-1","issue":"1","issued":{"date-parts":[["2015"]]},"page":"34-49","publisher":"Elsevier B.V.","title":"The evolving state-of-the-art in technology transfer research: Revisiting the contingent effectiveness model","type":"article-journal","volume":"44"},"uris":["http://www.mendeley.com/documents/?uuid=245549ef-970b-4ea4-984e-4a869649a3c5"]}],"mendeley":{"formattedCitation":"(Bozeman et al., 2015)","plainTextFormattedCitation":"(Bozeman et al., 2015)","previouslyFormattedCitation":"(Bozeman et al., 2015)"},"properties":{"noteIndex":0},"schema":"https://github.com/citation-style-language/schema/raw/master/csl-citation.json"}</w:instrText>
      </w:r>
      <w:r w:rsidR="0033458D">
        <w:rPr>
          <w:rFonts w:ascii="Times New Roman" w:hAnsi="Times New Roman" w:cs="Times New Roman"/>
        </w:rPr>
        <w:fldChar w:fldCharType="separate"/>
      </w:r>
      <w:r w:rsidR="0033458D" w:rsidRPr="0033458D">
        <w:rPr>
          <w:rFonts w:ascii="Times New Roman" w:hAnsi="Times New Roman" w:cs="Times New Roman"/>
          <w:noProof/>
        </w:rPr>
        <w:t>(Bozeman et al., 2015)</w:t>
      </w:r>
      <w:r w:rsidR="0033458D">
        <w:rPr>
          <w:rFonts w:ascii="Times New Roman" w:hAnsi="Times New Roman" w:cs="Times New Roman"/>
        </w:rPr>
        <w:fldChar w:fldCharType="end"/>
      </w:r>
      <w:r w:rsidR="0033458D">
        <w:rPr>
          <w:rFonts w:ascii="Times New Roman" w:hAnsi="Times New Roman" w:cs="Times New Roman"/>
        </w:rPr>
        <w:t>.</w:t>
      </w:r>
      <w:r w:rsidRPr="00EF66BB">
        <w:rPr>
          <w:rFonts w:ascii="Times New Roman" w:hAnsi="Times New Roman" w:cs="Times New Roman"/>
        </w:rPr>
        <w:t xml:space="preserve"> For example, when a university transfers technology to an external party in exchange for a licence fee, then the revenue received constitute</w:t>
      </w:r>
      <w:r w:rsidR="002E12F1">
        <w:rPr>
          <w:rFonts w:ascii="Times New Roman" w:hAnsi="Times New Roman" w:cs="Times New Roman"/>
        </w:rPr>
        <w:t>s</w:t>
      </w:r>
      <w:r w:rsidRPr="00EF66BB">
        <w:rPr>
          <w:rFonts w:ascii="Times New Roman" w:hAnsi="Times New Roman" w:cs="Times New Roman"/>
        </w:rPr>
        <w:t xml:space="preserve"> an impact to the transfer agent. </w:t>
      </w:r>
      <w:r w:rsidR="0055392B" w:rsidRPr="00EF66BB">
        <w:rPr>
          <w:rFonts w:ascii="Times New Roman" w:hAnsi="Times New Roman" w:cs="Times New Roman"/>
        </w:rPr>
        <w:t>Following previous research that has adopted monetary value of technology transfer as an indicator of technology transfer success</w:t>
      </w:r>
      <w:r w:rsidR="00432AEA" w:rsidRPr="00EF66BB">
        <w:rPr>
          <w:rFonts w:ascii="Times New Roman" w:hAnsi="Times New Roman" w:cs="Times New Roman"/>
        </w:rPr>
        <w:t xml:space="preserve">, </w:t>
      </w:r>
      <w:r w:rsidRPr="00EF66BB">
        <w:rPr>
          <w:rFonts w:ascii="Times New Roman" w:hAnsi="Times New Roman" w:cs="Times New Roman"/>
        </w:rPr>
        <w:t xml:space="preserve">we adopt the ‘out-the-door with agent impacts’ criterion of effectiveness </w:t>
      </w:r>
      <w:r w:rsidR="0033458D">
        <w:rPr>
          <w:rFonts w:ascii="Times New Roman" w:hAnsi="Times New Roman" w:cs="Times New Roman"/>
        </w:rPr>
        <w:fldChar w:fldCharType="begin" w:fldLock="1"/>
      </w:r>
      <w:r w:rsidR="005F1251">
        <w:rPr>
          <w:rFonts w:ascii="Times New Roman" w:hAnsi="Times New Roman" w:cs="Times New Roman"/>
        </w:rPr>
        <w:instrText>ADDIN CSL_CITATION {"citationItems":[{"id":"ITEM-1","itemData":{"DOI":"10.1007/s10961-009-9129-z","ISBN":"1096100991","author":[{"dropping-particle":"","family":"Heisey","given":"Paul W","non-dropping-particle":"","parse-names":false,"suffix":""},{"dropping-particle":"","family":"Adelman","given":"Æ Sarah W","non-dropping-particle":"","parse-names":false,"suffix":""}],"id":"ITEM-1","issued":{"date-parts":[["2011"]]},"page":"38-60","title":"and university licensing revenue","type":"article-journal"},"uris":["http://www.mendeley.com/documents/?uuid=c4ddc740-e8bb-478b-be69-e1d8a02e8d39"]},{"id":"ITEM-2","itemData":{"DOI":"10.1016/j.respol.2010.05.016","ISBN":"00487333","ISSN":"00487333","PMID":"53969080","abstract":"This paper investigates the performance of universities in the transfer of technology using a unique university-level dataset for Spain. The results suggest that universities with established policies and procedures for the management of technology transfer perform better. Universities with large and experienced technology transfer offices (TTOs) generate higher volumes of contract research, but the TTO characteristics appear to matter less for university performance in terms of licensing and creation of spin-offs. Furthermore, universities with a science park perform better than those without, which suggests that the agglomeration of knowledge close to universities has a positive effect on universities' technology transfer performance. ?? 2010 Elsevier B.V. All rights reserved.","author":[{"dropping-particle":"","family":"Caldera","given":"Aida","non-dropping-particle":"","parse-names":false,"suffix":""},{"dropping-particle":"","family":"Debande","given":"Olivier","non-dropping-particle":"","parse-names":false,"suffix":""}],"container-title":"Research Policy","id":"ITEM-2","issue":"9","issued":{"date-parts":[["2010"]]},"page":"1160-1173","publisher":"Elsevier B.V.","title":"Performance of Spanish universities in technology transfer: An empirical analysis","type":"article-journal","volume":"39"},"uris":["http://www.mendeley.com/documents/?uuid=d43816cf-2ca3-4387-aef7-64719dd222a6"]},{"id":"ITEM-3","itemData":{"DOI":"10.1111/j.0741-6261.2008.00020.x","ISBN":"0741-6261","ISSN":"07416261","PMID":"2877","abstract":"We show that universities in the United States that provide stronger royalty incentives to faculty scientists generate greater license income, controlling for university characteristics. We use pre-sample data on university patenting to control for the potential endogeneity of royalty shares. Faculty responds to royalties both in the form of cash and research lab support, indicating both pecuniary and intrinsic research motivations. The impact of incentives is larger in private than in public universities, and we provide new survey evidence on the organization and objectives of university licensing offices to explain this difference. Royalty incentives work both by raising faculty effort and sorting scientists across universities. The primary impact of incentives is to increase the quality rather than the quantity of inventions.","author":[{"dropping-particle":"","family":"Lach","given":"Saul","non-dropping-particle":"","parse-names":false,"suffix":""},{"dropping-particle":"","family":"Schankerman","given":"Mark","non-dropping-particle":"","parse-names":false,"suffix":""}],"container-title":"RAND Journal of Economics","id":"ITEM-3","issue":"2","issued":{"date-parts":[["2008"]]},"page":"403-433","title":"Incentives and invention in universities","type":"article-journal","volume":"39"},"uris":["http://www.mendeley.com/documents/?uuid=5cc5deac-babe-4731-9ce4-35098d057334"]},{"id":"ITEM-4","itemData":{"DOI":"10.1016/j.respol.2016.06.006","ISBN":"00487333 (ISSN)","ISSN":"00487333","abstract":"Portuguese and Spanish universities have adopted well-defined royalty sharing arrangements over the last fifteen years. We investigate whether such royalty sharing arrangements have been effective in stimulating inventors’ efforts and in ultimately improving university outcomes. We base our empirical analysis on university-level data and two new self-collected surveys for both inventors and Technology Transfer Offices (TTOs). Evidence from the inventors’ survey indicates that one third of respondents are incentivised by current royalty sharing arrangements, one third could be incentivised by higher royalty shares, and the remaining third is totally insensitive to royalty sharing. Plain regressions on university level datasets suggest that the incentive effects documented by the inventors’ survey fail to translate into increased patenting or licensing income. It would seem that inventor royalty shares are not as influential as they could be, due to the poor commercial prospects of university inventions. Among other possible reasons, these poor prospects appear to reflect the fact that inventors are unable to produce potentially licensable inventions, or that eventually TTOs may not be focussing enough on commercialising their inventions.","author":[{"dropping-particle":"","family":"Arqué-Castells","given":"Pere","non-dropping-particle":"","parse-names":false,"suffix":""},{"dropping-particle":"","family":"Cartaxo","given":"Rui M.","non-dropping-particle":"","parse-names":false,"suffix":""},{"dropping-particle":"","family":"García-Quevedo","given":"Jose","non-dropping-particle":"","parse-names":false,"suffix":""},{"dropping-particle":"","family":"Godinho","given":"Manuel Mira","non-dropping-particle":"","parse-names":false,"suffix":""}],"container-title":"Research Policy","id":"ITEM-4","issue":"9","issued":{"date-parts":[["2016"]]},"page":"1858-1872","publisher":"Elsevier B.V.","title":"Royalty sharing, effort and invention in universities: Evidence from Portugal and Spain","type":"article-journal","volume":"45"},"uris":["http://www.mendeley.com/documents/?uuid=9dc55724-30e7-4819-98fd-32f02e1caf8d"]},{"id":"ITEM-5","itemData":{"DOI":"10.1016/j.respol.2017.03.008","ISSN":"00487333","abstract":"This paper examines the dynamic interlinkages between the two pillars of ambidexterity in universities, research and knowledge transfer. We propose a theoretical model linking these two pillars at the organisational level. The model is tested using the longitudinal HE-BCI survey data juxtaposed against two consecutive rounds of research evaluation in the UK higher education sector. Results indicate that a university's past performance along the research pillar strengthens the knowledge transfer pillar over time, through both commercialisation and academic engagement channels. This positive impact is negatively moderated by the university's size and reputation, in the sense that in larger or more reputed universities, the marginal impact of research on knowledge transfer declines significantly. Additionally, we find that knowledge transfer reinforces the research pillar through positive mediation between past and future research, but only through academic engagement channels. The results also indicate that contract research routes provide the maximum benefit for most universities in enhancing their ambidexterity framework, both in the short and the long run. For the relatively more reputed universities, it is the collaboration route which provides the maximum benefit. Interestingly, no such reinforcement could be detected in the case of the research commercialisation channels.","author":[{"dropping-particle":"","family":"Sengupta","given":"Abhijit","non-dropping-particle":"","parse-names":false,"suffix":""},{"dropping-particle":"","family":"Ray","given":"Amit S.","non-dropping-particle":"","parse-names":false,"suffix":""}],"container-title":"Research Policy","id":"ITEM-5","issue":"5","issued":{"date-parts":[["2017"]]},"page":"881-897","publisher":"Elsevier B.V.","title":"University research and knowledge transfer: A dynamic view of ambidexterity in british universities","type":"article-journal","volume":"46"},"uris":["http://www.mendeley.com/documents/?uuid=1bae52b2-2b76-4a4b-9383-c1e21964cb01"]},{"id":"ITEM-6","itemData":{"DOI":"10.1016/j.respol.2005.01.005","ISBN":"0048-7333","ISSN":"00487333","PMID":"599","abstract":"This article discusses salient trends in university-based technology initiatives in the United States and Europe, and it summarizes the papers contained in this special issue.","author":[{"dropping-particle":"","family":"Link","given":"Albert N.","non-dropping-particle":"","parse-names":false,"suffix":""},{"dropping-particle":"","family":"Siegel","given":"Donald","non-dropping-particle":"","parse-names":false,"suffix":""}],"container-title":"Research Policy","id":"ITEM-6","issue":"3","issued":{"date-parts":[["2005"]]},"page":"253-257","title":"University-based technology initiatives: Quantitative and qualitative evidence","type":"article-journal","volume":"34"},"uris":["http://www.mendeley.com/documents/?uuid=898545c9-834c-423a-aa3f-4da3b3627a38"]},{"id":"ITEM-7","itemData":{"DOI":"10.1016/j.respol.2011.02.001","ISBN":"0048-7333","ISSN":"00487333","PMID":"2891","abstract":"The phenomenon of entrepreneurial universities has received considerable attention over the last decades. An entrepreneurial orientation by academia might put regions and nations in an advantageous position in emerging knowledge-intensive fields of economic activity. At the same time, such entrepreneurial orientation requires reconciliation with the scientific missions of academia. Large-scale empirical research on antecedents of the entrepreneurial effectiveness of universities is scarce. This contribution examines the extent to which scientific productivity affect entrepreneurial effectiveness, taking into account the size of universities and the presence of disciplines, as well as the R&amp;D intensity of the regional business environment (BERD). In addition, we assess the occurrence of trade-offs between different transfer mechanisms (contract research, patenting and spin off activity). The data used pertain to 105 European universities. Our findings reveal that scientific productivity is positively associated with entrepreneurial effectiveness. Trade-offs between transfer mechanisms do not reveal themselves; on the contrary, contract research and spin off activities tend to facilitate each other. Limitations and implications for future research are discussed. © 2011 Elsevier B.V. All rights reserved.","author":[{"dropping-particle":"","family":"Looy","given":"Bart","non-dropping-particle":"Van","parse-names":false,"suffix":""},{"dropping-particle":"","family":"Landoni","given":"Paolo","non-dropping-particle":"","parse-names":false,"suffix":""},{"dropping-particle":"","family":"Callaert","given":"Julie","non-dropping-particle":"","parse-names":false,"suffix":""},{"dropping-particle":"","family":"Pottelsberghe","given":"Bruno","non-dropping-particle":"Van","parse-names":false,"suffix":""},{"dropping-particle":"","family":"Sapsalis","given":"Eleftherios","non-dropping-particle":"","parse-names":false,"suffix":""},{"dropping-particle":"","family":"Debackere","given":"Koenraad","non-dropping-particle":"","parse-names":false,"suffix":""}],"container-title":"Research Policy","id":"ITEM-7","issue":"4","issued":{"date-parts":[["2011"]]},"page":"553-564","publisher":"Elsevier B.V.","title":"Entrepreneurial effectiveness of European universities: An empirical assessment of antecedents and trade-offs","type":"article-journal","volume":"40"},"uris":["http://www.mendeley.com/documents/?uuid=efca2164-cee4-4742-ab17-7b8416ace40b"]},{"id":"ITEM-8","itemData":{"DOI":"10.1016/j.respol.2005.01.007","ISBN":"0048-7333","ISSN":"00487333","PMID":"2878","abstract":"We present evidence on the relative performance of U.K. university technology transfer offices (TTOs) using data envelopment analysis (DEA) and stochastic frontier estimation (SFE). U.K. TTOs are found to exhibit low-levels of absolute efficiency. There also appear to be decreasing returns to scale, implying that TTOs may need to be reconfigured into smaller units. The development of regionally-based sector focused TTOs is also advised. Consistent with qualitative evidence from U.S. TTOs, we find that there is a need to upgrade the business skills and capabilities of U.K. TTO managers and licensing officers. © 2005 Elsevier B.V. All rights reserved.","author":[{"dropping-particle":"","family":"Chapple","given":"Wendy","non-dropping-particle":"","parse-names":false,"suffix":""},{"dropping-particle":"","family":"Lockett","given":"Andy","non-dropping-particle":"","parse-names":false,"suffix":""},{"dropping-particle":"","family":"Siegel","given":"Donald","non-dropping-particle":"","parse-names":false,"suffix":""},{"dropping-particle":"","family":"Wright","given":"Mike","non-dropping-particle":"","parse-names":false,"suffix":""}],"container-title":"Research Policy","id":"ITEM-8","issue":"3","issued":{"date-parts":[["2005"]]},"page":"369-384","title":"Assessing the relative performance of U.K. university technology transfer offices: Parametric and non-parametric evidence","type":"article-journal","volume":"34"},"uris":["http://www.mendeley.com/documents/?uuid=79f66bd1-a68a-42e0-a3e7-f5910e5a9097"]},{"id":"ITEM-9","itemData":{"DOI":"10.1016/S0048-7333(01)00196-2","ISSN":"00487333","author":[{"dropping-particle":"","family":"Siegel","given":"Donald","non-dropping-particle":"","parse-names":false,"suffix":""},{"dropping-particle":"","family":"Waldman","given":"David","non-dropping-particle":"","parse-names":false,"suffix":""},{"dropping-particle":"","family":"Link","given":"Albert","non-dropping-particle":"","parse-names":false,"suffix":""}],"container-title":"Research Policy","id":"ITEM-9","issue":"1","issued":{"date-parts":[["2003","1"]]},"page":"27-48","title":"Assessing the impact of organizational practices on the relative productivity of university technology transfer offices: an exploratory study","type":"article-journal","volume":"32"},"uris":["http://www.mendeley.com/documents/?uuid=e46987f6-89c5-3b6f-b14b-8fc764f55f9f"]},{"id":"ITEM-10","itemData":{"author":[{"dropping-particle":"","family":"Powers","given":"J.B","non-dropping-particle":"","parse-names":false,"suffix":""}],"container-title":"Journal of Higher Education","id":"ITEM-10","issue":"1","issued":{"date-parts":[["2003"]]},"page":"1-24","title":"Commercializing Academic Research Results .","type":"article-journal","volume":"74"},"uris":["http://www.mendeley.com/documents/?uuid=3ff7db45-f14f-41f5-987c-834aa37afca1"]}],"mendeley":{"formattedCitation":"(Arqué-Castells et al., 2016; Caldera and Debande, 2010a; Chapple et al., 2005; Heisey and Adelman, 2011; Lach and Schankerman, 2008; Link and Siegel, 2005; Powers, 2003; Sengupta and Ray, 2017a; Siegel et al., 2003; Van Looy et al., 2011)","plainTextFormattedCitation":"(Arqué-Castells et al., 2016; Caldera and Debande, 2010a; Chapple et al., 2005; Heisey and Adelman, 2011; Lach and Schankerman, 2008; Link and Siegel, 2005; Powers, 2003; Sengupta and Ray, 2017a; Siegel et al., 2003; Van Looy et al., 2011)","previouslyFormattedCitation":"(Arqué-Castells et al., 2016; Caldera and Debande, 2010a; Chapple et al., 2005; Heisey and Adelman, 2011; Lach and Schankerman, 2008; Link and Siegel, 2005; Powers, 2003; Sengupta and Ray, 2017a; Siegel et al., 2003; Van Looy et al., 2011)"},"properties":{"noteIndex":0},"schema":"https://github.com/citation-style-language/schema/raw/master/csl-citation.json"}</w:instrText>
      </w:r>
      <w:r w:rsidR="0033458D">
        <w:rPr>
          <w:rFonts w:ascii="Times New Roman" w:hAnsi="Times New Roman" w:cs="Times New Roman"/>
        </w:rPr>
        <w:fldChar w:fldCharType="separate"/>
      </w:r>
      <w:r w:rsidR="008F2687" w:rsidRPr="008F2687">
        <w:rPr>
          <w:rFonts w:ascii="Times New Roman" w:hAnsi="Times New Roman" w:cs="Times New Roman"/>
          <w:noProof/>
        </w:rPr>
        <w:t>(Arqué-Castells et al., 2016; Caldera and Debande, 2010a; Chapple et al., 2005; Heisey and Adelman, 2011; Lach and Schankerman, 2008; Link and Siegel, 2005; Powers, 2003; Sengupta and Ray, 2017a; Siegel et al., 2003; Van Looy et al., 2011)</w:t>
      </w:r>
      <w:r w:rsidR="0033458D">
        <w:rPr>
          <w:rFonts w:ascii="Times New Roman" w:hAnsi="Times New Roman" w:cs="Times New Roman"/>
        </w:rPr>
        <w:fldChar w:fldCharType="end"/>
      </w:r>
      <w:r w:rsidR="0033458D">
        <w:rPr>
          <w:rFonts w:ascii="Times New Roman" w:hAnsi="Times New Roman" w:cs="Times New Roman"/>
        </w:rPr>
        <w:t>.</w:t>
      </w:r>
      <w:r w:rsidRPr="00EF66BB">
        <w:rPr>
          <w:rFonts w:ascii="Times New Roman" w:hAnsi="Times New Roman" w:cs="Times New Roman"/>
        </w:rPr>
        <w:t xml:space="preserve"> This effectiveness criterion is adopted over alternative effectiveness criteri</w:t>
      </w:r>
      <w:r w:rsidR="000676BB">
        <w:rPr>
          <w:rFonts w:ascii="Times New Roman" w:hAnsi="Times New Roman" w:cs="Times New Roman"/>
        </w:rPr>
        <w:t xml:space="preserve">a </w:t>
      </w:r>
      <w:r w:rsidRPr="00EF66BB">
        <w:rPr>
          <w:rFonts w:ascii="Times New Roman" w:hAnsi="Times New Roman" w:cs="Times New Roman"/>
        </w:rPr>
        <w:t xml:space="preserve">for both empirical practicality and theoretical coherence. </w:t>
      </w:r>
    </w:p>
    <w:p w14:paraId="11F76844" w14:textId="77777777" w:rsidR="001A3E4C" w:rsidRPr="00EF66BB" w:rsidRDefault="001A3E4C" w:rsidP="00141231">
      <w:pPr>
        <w:spacing w:line="360" w:lineRule="auto"/>
        <w:rPr>
          <w:rFonts w:ascii="Times New Roman" w:hAnsi="Times New Roman" w:cs="Times New Roman"/>
        </w:rPr>
      </w:pPr>
    </w:p>
    <w:p w14:paraId="5B67BADD" w14:textId="72D0F3CA" w:rsidR="001A3E4C" w:rsidRPr="00EF66BB" w:rsidRDefault="00432AEA" w:rsidP="00141231">
      <w:pPr>
        <w:spacing w:line="360" w:lineRule="auto"/>
        <w:rPr>
          <w:rFonts w:ascii="Times New Roman" w:hAnsi="Times New Roman" w:cs="Times New Roman"/>
        </w:rPr>
      </w:pPr>
      <w:r w:rsidRPr="00EF66BB">
        <w:rPr>
          <w:rFonts w:ascii="Times New Roman" w:hAnsi="Times New Roman" w:cs="Times New Roman"/>
        </w:rPr>
        <w:t>A</w:t>
      </w:r>
      <w:r w:rsidR="001A3E4C" w:rsidRPr="00EF66BB">
        <w:rPr>
          <w:rFonts w:ascii="Times New Roman" w:hAnsi="Times New Roman" w:cs="Times New Roman"/>
        </w:rPr>
        <w:t>lternative conceptualisations of technology transfer effectiveness including market impact</w:t>
      </w:r>
      <w:r w:rsidRPr="00EF66BB">
        <w:rPr>
          <w:rFonts w:ascii="Times New Roman" w:hAnsi="Times New Roman" w:cs="Times New Roman"/>
        </w:rPr>
        <w:t>;</w:t>
      </w:r>
      <w:r w:rsidR="001A3E4C" w:rsidRPr="00EF66BB">
        <w:rPr>
          <w:rFonts w:ascii="Times New Roman" w:hAnsi="Times New Roman" w:cs="Times New Roman"/>
        </w:rPr>
        <w:t xml:space="preserve"> political reward</w:t>
      </w:r>
      <w:r w:rsidRPr="00EF66BB">
        <w:rPr>
          <w:rFonts w:ascii="Times New Roman" w:hAnsi="Times New Roman" w:cs="Times New Roman"/>
        </w:rPr>
        <w:t>;</w:t>
      </w:r>
      <w:r w:rsidR="001A3E4C" w:rsidRPr="00EF66BB">
        <w:rPr>
          <w:rFonts w:ascii="Times New Roman" w:hAnsi="Times New Roman" w:cs="Times New Roman"/>
        </w:rPr>
        <w:t xml:space="preserve"> opportunity cost</w:t>
      </w:r>
      <w:r w:rsidRPr="00EF66BB">
        <w:rPr>
          <w:rFonts w:ascii="Times New Roman" w:hAnsi="Times New Roman" w:cs="Times New Roman"/>
        </w:rPr>
        <w:t>;</w:t>
      </w:r>
      <w:r w:rsidR="001A3E4C" w:rsidRPr="00EF66BB">
        <w:rPr>
          <w:rFonts w:ascii="Times New Roman" w:hAnsi="Times New Roman" w:cs="Times New Roman"/>
        </w:rPr>
        <w:t xml:space="preserve"> development of scientific and technical human capital</w:t>
      </w:r>
      <w:r w:rsidRPr="00EF66BB">
        <w:rPr>
          <w:rFonts w:ascii="Times New Roman" w:hAnsi="Times New Roman" w:cs="Times New Roman"/>
        </w:rPr>
        <w:t>;</w:t>
      </w:r>
      <w:r w:rsidR="001A3E4C" w:rsidRPr="00EF66BB">
        <w:rPr>
          <w:rFonts w:ascii="Times New Roman" w:hAnsi="Times New Roman" w:cs="Times New Roman"/>
        </w:rPr>
        <w:t xml:space="preserve"> and public value</w:t>
      </w:r>
      <w:r w:rsidRPr="00EF66BB">
        <w:rPr>
          <w:rFonts w:ascii="Times New Roman" w:hAnsi="Times New Roman" w:cs="Times New Roman"/>
        </w:rPr>
        <w:t>;</w:t>
      </w:r>
      <w:r w:rsidR="001A3E4C" w:rsidRPr="00EF66BB">
        <w:rPr>
          <w:rFonts w:ascii="Times New Roman" w:hAnsi="Times New Roman" w:cs="Times New Roman"/>
        </w:rPr>
        <w:t xml:space="preserve"> </w:t>
      </w:r>
      <w:r w:rsidR="0055392B" w:rsidRPr="00EF66BB">
        <w:rPr>
          <w:rFonts w:ascii="Times New Roman" w:hAnsi="Times New Roman" w:cs="Times New Roman"/>
        </w:rPr>
        <w:t>are all extremely challenging to operationalise empirically</w:t>
      </w:r>
      <w:r w:rsidR="001A3E4C" w:rsidRPr="00EF66BB">
        <w:rPr>
          <w:rFonts w:ascii="Times New Roman" w:hAnsi="Times New Roman" w:cs="Times New Roman"/>
        </w:rPr>
        <w:t xml:space="preserve"> </w:t>
      </w:r>
      <w:r w:rsidR="00BE3AB4">
        <w:rPr>
          <w:rFonts w:ascii="Times New Roman" w:hAnsi="Times New Roman" w:cs="Times New Roman"/>
        </w:rPr>
        <w:fldChar w:fldCharType="begin" w:fldLock="1"/>
      </w:r>
      <w:r w:rsidR="00BE3AB4">
        <w:rPr>
          <w:rFonts w:ascii="Times New Roman" w:hAnsi="Times New Roman" w:cs="Times New Roman"/>
        </w:rPr>
        <w:instrText>ADDIN CSL_CITATION {"citationItems":[{"id":"ITEM-1","itemData":{"DOI":"10.1016/j.respol.2014.06.008","ISBN":"00487333","ISSN":"00487333","PMID":"1478595","abstract":"The purpose of our study is to review and synthesize the rapidly evolving literature on technology transfer effectiveness. Our paper provides a lens into relatively recent work, focusing particularly on empirical studies of US technology transfer conducted within the last 15 years. In doing so, we update and extend the Contingent Effectiveness Model of Technology Transfer developed by Bozeman (2000). Specifically, we include the growing interest in social and public value oriented technology transfer and, thus, the contingent effectiveness model is expanded to consider this literature. We categorize studies according their approaches to measuring effectiveness, draw conclusions regarding the current state of technology transfer evaluation, and offer recommendations for future studies.","author":[{"dropping-particle":"","family":"Bozeman","given":"Barry","non-dropping-particle":"","parse-names":false,"suffix":""},{"dropping-particle":"","family":"Rimes","given":"Heather","non-dropping-particle":"","parse-names":false,"suffix":""},{"dropping-particle":"","family":"Youtie","given":"Jan","non-dropping-particle":"","parse-names":false,"suffix":""}],"container-title":"Research Policy","id":"ITEM-1","issue":"1","issued":{"date-parts":[["2015"]]},"page":"34-49","publisher":"Elsevier B.V.","title":"The evolving state-of-the-art in technology transfer research: Revisiting the contingent effectiveness model","type":"article-journal","volume":"44"},"uris":["http://www.mendeley.com/documents/?uuid=245549ef-970b-4ea4-984e-4a869649a3c5"]}],"mendeley":{"formattedCitation":"(Bozeman et al., 2015)","plainTextFormattedCitation":"(Bozeman et al., 2015)","previouslyFormattedCitation":"(Bozeman et al., 2015)"},"properties":{"noteIndex":0},"schema":"https://github.com/citation-style-language/schema/raw/master/csl-citation.json"}</w:instrText>
      </w:r>
      <w:r w:rsidR="00BE3AB4">
        <w:rPr>
          <w:rFonts w:ascii="Times New Roman" w:hAnsi="Times New Roman" w:cs="Times New Roman"/>
        </w:rPr>
        <w:fldChar w:fldCharType="separate"/>
      </w:r>
      <w:r w:rsidR="00BE3AB4" w:rsidRPr="00BE3AB4">
        <w:rPr>
          <w:rFonts w:ascii="Times New Roman" w:hAnsi="Times New Roman" w:cs="Times New Roman"/>
          <w:noProof/>
        </w:rPr>
        <w:t>(Bozeman et al., 2015)</w:t>
      </w:r>
      <w:r w:rsidR="00BE3AB4">
        <w:rPr>
          <w:rFonts w:ascii="Times New Roman" w:hAnsi="Times New Roman" w:cs="Times New Roman"/>
        </w:rPr>
        <w:fldChar w:fldCharType="end"/>
      </w:r>
      <w:r w:rsidR="00BE3AB4">
        <w:rPr>
          <w:rFonts w:ascii="Times New Roman" w:hAnsi="Times New Roman" w:cs="Times New Roman"/>
        </w:rPr>
        <w:t>.</w:t>
      </w:r>
      <w:r w:rsidR="001A3E4C" w:rsidRPr="00EF66BB">
        <w:rPr>
          <w:rFonts w:ascii="Times New Roman" w:hAnsi="Times New Roman" w:cs="Times New Roman"/>
        </w:rPr>
        <w:t xml:space="preserve"> For example, it is very difficult to systematically examine political rewards as outcomes of technology transfer activity. Likewise, it is very difficult to work on the basis of counterfactual reasoning to ascertain the value of technology transfer in relation to opportunity costs. The public value criterion, </w:t>
      </w:r>
      <w:r w:rsidR="00437B5E" w:rsidRPr="00EF66BB">
        <w:rPr>
          <w:rFonts w:ascii="Times New Roman" w:hAnsi="Times New Roman" w:cs="Times New Roman"/>
        </w:rPr>
        <w:t xml:space="preserve">which </w:t>
      </w:r>
      <w:r w:rsidR="001A3E4C" w:rsidRPr="00EF66BB">
        <w:rPr>
          <w:rFonts w:ascii="Times New Roman" w:hAnsi="Times New Roman" w:cs="Times New Roman"/>
        </w:rPr>
        <w:t xml:space="preserve">considers technology transfer </w:t>
      </w:r>
      <w:r w:rsidR="00437B5E" w:rsidRPr="00EF66BB">
        <w:rPr>
          <w:rFonts w:ascii="Times New Roman" w:hAnsi="Times New Roman" w:cs="Times New Roman"/>
        </w:rPr>
        <w:t xml:space="preserve">as </w:t>
      </w:r>
      <w:r w:rsidR="001A3E4C" w:rsidRPr="00EF66BB">
        <w:rPr>
          <w:rFonts w:ascii="Times New Roman" w:hAnsi="Times New Roman" w:cs="Times New Roman"/>
        </w:rPr>
        <w:t>effective only when it enhances ‘the collective good’ and contributes to socially shared values</w:t>
      </w:r>
      <w:r w:rsidR="00437B5E" w:rsidRPr="00EF66BB">
        <w:rPr>
          <w:rFonts w:ascii="Times New Roman" w:hAnsi="Times New Roman" w:cs="Times New Roman"/>
        </w:rPr>
        <w:t>,</w:t>
      </w:r>
      <w:r w:rsidR="001A3E4C" w:rsidRPr="00EF66BB">
        <w:rPr>
          <w:rFonts w:ascii="Times New Roman" w:hAnsi="Times New Roman" w:cs="Times New Roman"/>
        </w:rPr>
        <w:t xml:space="preserve"> is even less amenable to systematic evaluation, given the difficulties in objective</w:t>
      </w:r>
      <w:r w:rsidR="00437B5E" w:rsidRPr="00EF66BB">
        <w:rPr>
          <w:rFonts w:ascii="Times New Roman" w:hAnsi="Times New Roman" w:cs="Times New Roman"/>
        </w:rPr>
        <w:t>ly</w:t>
      </w:r>
      <w:r w:rsidR="001A3E4C" w:rsidRPr="00EF66BB">
        <w:rPr>
          <w:rFonts w:ascii="Times New Roman" w:hAnsi="Times New Roman" w:cs="Times New Roman"/>
        </w:rPr>
        <w:t xml:space="preserve"> evaluati</w:t>
      </w:r>
      <w:r w:rsidR="00437B5E" w:rsidRPr="00EF66BB">
        <w:rPr>
          <w:rFonts w:ascii="Times New Roman" w:hAnsi="Times New Roman" w:cs="Times New Roman"/>
        </w:rPr>
        <w:t>ng</w:t>
      </w:r>
      <w:r w:rsidR="001A3E4C" w:rsidRPr="00EF66BB">
        <w:rPr>
          <w:rFonts w:ascii="Times New Roman" w:hAnsi="Times New Roman" w:cs="Times New Roman"/>
        </w:rPr>
        <w:t xml:space="preserve"> </w:t>
      </w:r>
      <w:r w:rsidR="00437B5E" w:rsidRPr="00EF66BB">
        <w:rPr>
          <w:rFonts w:ascii="Times New Roman" w:hAnsi="Times New Roman" w:cs="Times New Roman"/>
        </w:rPr>
        <w:t>‘</w:t>
      </w:r>
      <w:r w:rsidR="001A3E4C" w:rsidRPr="00EF66BB">
        <w:rPr>
          <w:rFonts w:ascii="Times New Roman" w:hAnsi="Times New Roman" w:cs="Times New Roman"/>
        </w:rPr>
        <w:t>social value</w:t>
      </w:r>
      <w:r w:rsidR="00437B5E" w:rsidRPr="00EF66BB">
        <w:rPr>
          <w:rFonts w:ascii="Times New Roman" w:hAnsi="Times New Roman" w:cs="Times New Roman"/>
        </w:rPr>
        <w:t>’</w:t>
      </w:r>
      <w:r w:rsidR="001A3E4C" w:rsidRPr="00EF66BB">
        <w:rPr>
          <w:rFonts w:ascii="Times New Roman" w:hAnsi="Times New Roman" w:cs="Times New Roman"/>
        </w:rPr>
        <w:t xml:space="preserve">. Thus, whilst the </w:t>
      </w:r>
      <w:r w:rsidR="00437B5E" w:rsidRPr="00EF66BB">
        <w:rPr>
          <w:rFonts w:ascii="Times New Roman" w:hAnsi="Times New Roman" w:cs="Times New Roman"/>
        </w:rPr>
        <w:t>‘</w:t>
      </w:r>
      <w:r w:rsidR="001A3E4C" w:rsidRPr="00EF66BB">
        <w:rPr>
          <w:rFonts w:ascii="Times New Roman" w:hAnsi="Times New Roman" w:cs="Times New Roman"/>
        </w:rPr>
        <w:t>out-the-door</w:t>
      </w:r>
      <w:r w:rsidR="00437B5E" w:rsidRPr="00EF66BB">
        <w:rPr>
          <w:rFonts w:ascii="Times New Roman" w:hAnsi="Times New Roman" w:cs="Times New Roman"/>
        </w:rPr>
        <w:t>;</w:t>
      </w:r>
      <w:r w:rsidR="001A3E4C" w:rsidRPr="00EF66BB">
        <w:rPr>
          <w:rFonts w:ascii="Times New Roman" w:hAnsi="Times New Roman" w:cs="Times New Roman"/>
        </w:rPr>
        <w:t xml:space="preserve"> criterion is limited </w:t>
      </w:r>
      <w:r w:rsidR="00437B5E" w:rsidRPr="00EF66BB">
        <w:rPr>
          <w:rFonts w:ascii="Times New Roman" w:hAnsi="Times New Roman" w:cs="Times New Roman"/>
        </w:rPr>
        <w:t xml:space="preserve">as it does not </w:t>
      </w:r>
      <w:r w:rsidR="001A3E4C" w:rsidRPr="00EF66BB">
        <w:rPr>
          <w:rFonts w:ascii="Times New Roman" w:hAnsi="Times New Roman" w:cs="Times New Roman"/>
        </w:rPr>
        <w:t>adequately capture the downstream effects of technology transfer, it remains</w:t>
      </w:r>
      <w:r w:rsidR="00FE552D">
        <w:rPr>
          <w:rFonts w:ascii="Times New Roman" w:hAnsi="Times New Roman" w:cs="Times New Roman"/>
        </w:rPr>
        <w:t xml:space="preserve"> </w:t>
      </w:r>
      <w:r w:rsidR="001A3E4C" w:rsidRPr="00EF66BB">
        <w:rPr>
          <w:rFonts w:ascii="Times New Roman" w:hAnsi="Times New Roman" w:cs="Times New Roman"/>
        </w:rPr>
        <w:t xml:space="preserve">the most commonly employed conceptualisation of effectiveness within university technology transfer research (Bozeman et al, 2015). </w:t>
      </w:r>
    </w:p>
    <w:p w14:paraId="35789909" w14:textId="77777777" w:rsidR="001A3E4C" w:rsidRPr="00EF66BB" w:rsidRDefault="001A3E4C" w:rsidP="00141231">
      <w:pPr>
        <w:spacing w:line="360" w:lineRule="auto"/>
        <w:rPr>
          <w:rFonts w:ascii="Times New Roman" w:hAnsi="Times New Roman" w:cs="Times New Roman"/>
        </w:rPr>
      </w:pPr>
    </w:p>
    <w:p w14:paraId="6E93C58F" w14:textId="3189183D" w:rsidR="001A3E4C" w:rsidRPr="00EF66BB" w:rsidRDefault="008C656A" w:rsidP="00141231">
      <w:pPr>
        <w:spacing w:line="360" w:lineRule="auto"/>
        <w:rPr>
          <w:rFonts w:ascii="Times New Roman" w:hAnsi="Times New Roman" w:cs="Times New Roman"/>
        </w:rPr>
      </w:pPr>
      <w:r>
        <w:rPr>
          <w:rFonts w:ascii="Times New Roman" w:hAnsi="Times New Roman" w:cs="Times New Roman"/>
        </w:rPr>
        <w:t xml:space="preserve">The primary concern of this research lies in </w:t>
      </w:r>
      <w:r w:rsidR="002E12F1">
        <w:rPr>
          <w:rFonts w:ascii="Times New Roman" w:hAnsi="Times New Roman" w:cs="Times New Roman"/>
        </w:rPr>
        <w:t xml:space="preserve">understanding </w:t>
      </w:r>
      <w:r>
        <w:rPr>
          <w:rFonts w:ascii="Times New Roman" w:hAnsi="Times New Roman" w:cs="Times New Roman"/>
        </w:rPr>
        <w:t>the relationship between</w:t>
      </w:r>
      <w:r w:rsidR="00FE552D">
        <w:rPr>
          <w:rFonts w:ascii="Times New Roman" w:hAnsi="Times New Roman" w:cs="Times New Roman"/>
        </w:rPr>
        <w:t xml:space="preserve"> certain</w:t>
      </w:r>
      <w:r>
        <w:rPr>
          <w:rFonts w:ascii="Times New Roman" w:hAnsi="Times New Roman" w:cs="Times New Roman"/>
        </w:rPr>
        <w:t xml:space="preserve"> agent characteristics and effectiveness. Since our focus is on </w:t>
      </w:r>
      <w:r w:rsidR="001A3E4C" w:rsidRPr="00EF66BB">
        <w:rPr>
          <w:rFonts w:ascii="Times New Roman" w:hAnsi="Times New Roman" w:cs="Times New Roman"/>
        </w:rPr>
        <w:t>the role of managerial agency in technology transfer effectiveness, it would be inappropriate to adopt effectiveness criteri</w:t>
      </w:r>
      <w:r w:rsidR="00437B5E" w:rsidRPr="00EF66BB">
        <w:rPr>
          <w:rFonts w:ascii="Times New Roman" w:hAnsi="Times New Roman" w:cs="Times New Roman"/>
        </w:rPr>
        <w:t>a</w:t>
      </w:r>
      <w:r w:rsidR="001A3E4C" w:rsidRPr="00EF66BB">
        <w:rPr>
          <w:rFonts w:ascii="Times New Roman" w:hAnsi="Times New Roman" w:cs="Times New Roman"/>
        </w:rPr>
        <w:t xml:space="preserve"> that are concerned with the downstream impact, since university managers’ locus of influence is largely constrained </w:t>
      </w:r>
      <w:r w:rsidR="00F44B59" w:rsidRPr="00EF66BB">
        <w:rPr>
          <w:rFonts w:ascii="Times New Roman" w:hAnsi="Times New Roman" w:cs="Times New Roman"/>
        </w:rPr>
        <w:t>by</w:t>
      </w:r>
      <w:r w:rsidR="001A3E4C" w:rsidRPr="00EF66BB">
        <w:rPr>
          <w:rFonts w:ascii="Times New Roman" w:hAnsi="Times New Roman" w:cs="Times New Roman"/>
        </w:rPr>
        <w:t xml:space="preserve"> their</w:t>
      </w:r>
      <w:r w:rsidR="00437B5E" w:rsidRPr="00EF66BB">
        <w:rPr>
          <w:rFonts w:ascii="Times New Roman" w:hAnsi="Times New Roman" w:cs="Times New Roman"/>
        </w:rPr>
        <w:t xml:space="preserve"> </w:t>
      </w:r>
      <w:r w:rsidR="00C93899">
        <w:rPr>
          <w:rFonts w:ascii="Times New Roman" w:hAnsi="Times New Roman" w:cs="Times New Roman"/>
        </w:rPr>
        <w:t>organisational</w:t>
      </w:r>
      <w:r w:rsidR="00437B5E" w:rsidRPr="00EF66BB">
        <w:rPr>
          <w:rFonts w:ascii="Times New Roman" w:hAnsi="Times New Roman" w:cs="Times New Roman"/>
        </w:rPr>
        <w:t xml:space="preserve"> </w:t>
      </w:r>
      <w:r w:rsidR="002E12F1">
        <w:rPr>
          <w:rFonts w:ascii="Times New Roman" w:hAnsi="Times New Roman" w:cs="Times New Roman"/>
        </w:rPr>
        <w:t>boundaries</w:t>
      </w:r>
      <w:r w:rsidR="001A3E4C" w:rsidRPr="00EF66BB">
        <w:rPr>
          <w:rFonts w:ascii="Times New Roman" w:hAnsi="Times New Roman" w:cs="Times New Roman"/>
        </w:rPr>
        <w:t xml:space="preserve">. In other words, it would be unreasonable to adopt the ‘market impact’ effectiveness criterion to explore the influence of </w:t>
      </w:r>
      <w:r w:rsidR="001A3E4C" w:rsidRPr="00EF66BB">
        <w:rPr>
          <w:rFonts w:ascii="Times New Roman" w:hAnsi="Times New Roman" w:cs="Times New Roman"/>
        </w:rPr>
        <w:lastRenderedPageBreak/>
        <w:t xml:space="preserve">managerial </w:t>
      </w:r>
      <w:r w:rsidR="000C0C13" w:rsidRPr="00EF66BB">
        <w:rPr>
          <w:rFonts w:ascii="Times New Roman" w:hAnsi="Times New Roman" w:cs="Times New Roman"/>
        </w:rPr>
        <w:t>choices</w:t>
      </w:r>
      <w:r w:rsidR="001A3E4C" w:rsidRPr="00EF66BB">
        <w:rPr>
          <w:rFonts w:ascii="Times New Roman" w:hAnsi="Times New Roman" w:cs="Times New Roman"/>
        </w:rPr>
        <w:t xml:space="preserve"> on university technology transfer effectiveness, since there are </w:t>
      </w:r>
      <w:r w:rsidR="00F44B59" w:rsidRPr="00EF66BB">
        <w:rPr>
          <w:rFonts w:ascii="Times New Roman" w:hAnsi="Times New Roman" w:cs="Times New Roman"/>
        </w:rPr>
        <w:t xml:space="preserve">factors </w:t>
      </w:r>
      <w:r w:rsidR="001A3E4C" w:rsidRPr="00EF66BB">
        <w:rPr>
          <w:rFonts w:ascii="Times New Roman" w:hAnsi="Times New Roman" w:cs="Times New Roman"/>
        </w:rPr>
        <w:t>that influence market impact (</w:t>
      </w:r>
      <w:r w:rsidR="00437B5E" w:rsidRPr="00EF66BB">
        <w:rPr>
          <w:rFonts w:ascii="Times New Roman" w:hAnsi="Times New Roman" w:cs="Times New Roman"/>
        </w:rPr>
        <w:t xml:space="preserve">e.g. </w:t>
      </w:r>
      <w:r w:rsidR="001A3E4C" w:rsidRPr="00EF66BB">
        <w:rPr>
          <w:rFonts w:ascii="Times New Roman" w:hAnsi="Times New Roman" w:cs="Times New Roman"/>
        </w:rPr>
        <w:t xml:space="preserve">strategy and capabilities of </w:t>
      </w:r>
      <w:r w:rsidR="00437B5E" w:rsidRPr="00EF66BB">
        <w:rPr>
          <w:rFonts w:ascii="Times New Roman" w:hAnsi="Times New Roman" w:cs="Times New Roman"/>
        </w:rPr>
        <w:t xml:space="preserve">the </w:t>
      </w:r>
      <w:r w:rsidR="001A3E4C" w:rsidRPr="00EF66BB">
        <w:rPr>
          <w:rFonts w:ascii="Times New Roman" w:hAnsi="Times New Roman" w:cs="Times New Roman"/>
        </w:rPr>
        <w:t xml:space="preserve">partnering firm) that are beyond the </w:t>
      </w:r>
      <w:r w:rsidR="00F44B59" w:rsidRPr="00EF66BB">
        <w:rPr>
          <w:rFonts w:ascii="Times New Roman" w:hAnsi="Times New Roman" w:cs="Times New Roman"/>
        </w:rPr>
        <w:t>control</w:t>
      </w:r>
      <w:r w:rsidR="001A3E4C" w:rsidRPr="00EF66BB">
        <w:rPr>
          <w:rFonts w:ascii="Times New Roman" w:hAnsi="Times New Roman" w:cs="Times New Roman"/>
        </w:rPr>
        <w:t xml:space="preserve"> of university managers. However, university managers do have the capacity to reconfigure internal organisational arrangements that impact on the effectiveness of technology transfer (as highlighted below).</w:t>
      </w:r>
      <w:r w:rsidR="000D57A9">
        <w:rPr>
          <w:rFonts w:ascii="Times New Roman" w:hAnsi="Times New Roman" w:cs="Times New Roman"/>
        </w:rPr>
        <w:t xml:space="preserve"> The CEMTT model suggests that </w:t>
      </w:r>
      <w:r w:rsidR="00FE552D">
        <w:rPr>
          <w:rFonts w:ascii="Times New Roman" w:hAnsi="Times New Roman" w:cs="Times New Roman"/>
        </w:rPr>
        <w:t>‘</w:t>
      </w:r>
      <w:r w:rsidR="000D57A9">
        <w:rPr>
          <w:rFonts w:ascii="Times New Roman" w:hAnsi="Times New Roman" w:cs="Times New Roman"/>
        </w:rPr>
        <w:t>organisational design</w:t>
      </w:r>
      <w:r w:rsidR="00FE552D">
        <w:rPr>
          <w:rFonts w:ascii="Times New Roman" w:hAnsi="Times New Roman" w:cs="Times New Roman"/>
        </w:rPr>
        <w:t>’</w:t>
      </w:r>
      <w:r w:rsidR="000D57A9">
        <w:rPr>
          <w:rFonts w:ascii="Times New Roman" w:hAnsi="Times New Roman" w:cs="Times New Roman"/>
        </w:rPr>
        <w:t xml:space="preserve"> and </w:t>
      </w:r>
      <w:r w:rsidR="00FE552D">
        <w:rPr>
          <w:rFonts w:ascii="Times New Roman" w:hAnsi="Times New Roman" w:cs="Times New Roman"/>
        </w:rPr>
        <w:t>‘</w:t>
      </w:r>
      <w:r w:rsidR="000D57A9">
        <w:rPr>
          <w:rFonts w:ascii="Times New Roman" w:hAnsi="Times New Roman" w:cs="Times New Roman"/>
        </w:rPr>
        <w:t>technical human capital</w:t>
      </w:r>
      <w:r w:rsidR="00CE0F15">
        <w:rPr>
          <w:rFonts w:ascii="Times New Roman" w:hAnsi="Times New Roman" w:cs="Times New Roman"/>
        </w:rPr>
        <w:t>’</w:t>
      </w:r>
      <w:r w:rsidR="000D57A9">
        <w:rPr>
          <w:rFonts w:ascii="Times New Roman" w:hAnsi="Times New Roman" w:cs="Times New Roman"/>
        </w:rPr>
        <w:t xml:space="preserve"> are important agent characteristics that influence the effectiveness of technology transfer</w:t>
      </w:r>
      <w:r w:rsidR="00F55438">
        <w:rPr>
          <w:rFonts w:ascii="Times New Roman" w:hAnsi="Times New Roman" w:cs="Times New Roman"/>
        </w:rPr>
        <w:t xml:space="preserve"> (Bozeman et al, 2015)</w:t>
      </w:r>
      <w:r w:rsidR="000D57A9">
        <w:rPr>
          <w:rFonts w:ascii="Times New Roman" w:hAnsi="Times New Roman" w:cs="Times New Roman"/>
        </w:rPr>
        <w:t>.</w:t>
      </w:r>
      <w:r w:rsidR="00DE1ED4">
        <w:rPr>
          <w:rFonts w:ascii="Times New Roman" w:hAnsi="Times New Roman" w:cs="Times New Roman"/>
        </w:rPr>
        <w:t xml:space="preserve"> Consistent with this model,  r</w:t>
      </w:r>
      <w:r w:rsidR="000D57A9">
        <w:rPr>
          <w:rFonts w:ascii="Times New Roman" w:hAnsi="Times New Roman" w:cs="Times New Roman"/>
        </w:rPr>
        <w:t>esearch in the context of university technology transfer has established</w:t>
      </w:r>
      <w:r w:rsidR="001A3E4C" w:rsidRPr="00EF66BB">
        <w:rPr>
          <w:rFonts w:ascii="Times New Roman" w:hAnsi="Times New Roman" w:cs="Times New Roman"/>
        </w:rPr>
        <w:t xml:space="preserve"> that</w:t>
      </w:r>
      <w:r w:rsidR="000D57A9">
        <w:rPr>
          <w:rFonts w:ascii="Times New Roman" w:hAnsi="Times New Roman" w:cs="Times New Roman"/>
        </w:rPr>
        <w:t xml:space="preserve"> </w:t>
      </w:r>
      <w:r w:rsidR="001A3E4C" w:rsidRPr="00EF66BB">
        <w:rPr>
          <w:rFonts w:ascii="Times New Roman" w:hAnsi="Times New Roman" w:cs="Times New Roman"/>
        </w:rPr>
        <w:t>supporting organisational infrastructure, namely technology transfer offices</w:t>
      </w:r>
      <w:r w:rsidR="000D57A9">
        <w:rPr>
          <w:rFonts w:ascii="Times New Roman" w:hAnsi="Times New Roman" w:cs="Times New Roman"/>
        </w:rPr>
        <w:t xml:space="preserve"> (</w:t>
      </w:r>
      <w:r w:rsidR="002E12F1">
        <w:rPr>
          <w:rFonts w:ascii="Times New Roman" w:hAnsi="Times New Roman" w:cs="Times New Roman"/>
        </w:rPr>
        <w:t>t</w:t>
      </w:r>
      <w:r w:rsidR="000D57A9">
        <w:rPr>
          <w:rFonts w:ascii="Times New Roman" w:hAnsi="Times New Roman" w:cs="Times New Roman"/>
        </w:rPr>
        <w:t xml:space="preserve">echnical human capital) </w:t>
      </w:r>
      <w:r w:rsidR="001A3E4C" w:rsidRPr="00EF66BB">
        <w:rPr>
          <w:rFonts w:ascii="Times New Roman" w:hAnsi="Times New Roman" w:cs="Times New Roman"/>
        </w:rPr>
        <w:t xml:space="preserve"> </w:t>
      </w:r>
      <w:r w:rsidR="00BE3AB4">
        <w:rPr>
          <w:rFonts w:ascii="Times New Roman" w:hAnsi="Times New Roman" w:cs="Times New Roman"/>
        </w:rPr>
        <w:fldChar w:fldCharType="begin" w:fldLock="1"/>
      </w:r>
      <w:r w:rsidR="005C76D1">
        <w:rPr>
          <w:rFonts w:ascii="Times New Roman" w:hAnsi="Times New Roman" w:cs="Times New Roman"/>
        </w:rPr>
        <w:instrText>ADDIN CSL_CITATION {"citationItems":[{"id":"ITEM-1","itemData":{"author":[{"dropping-particle":"","family":"Siegel","given":"Donald","non-dropping-particle":"","parse-names":false,"suffix":""},{"dropping-particle":"","family":"Wright","given":"Mike","non-dropping-particle":"","parse-names":false,"suffix":""}],"container-title":"The Chicago Handbook of University Technology Transfer and Academic Entrepreneurship","id":"ITEM-1","issued":{"date-parts":[["2015"]]},"page":"1-40","title":"University Technology Transfer Offices, Licensing and Start-Ups","type":"article-journal"},"uris":["http://www.mendeley.com/documents/?uuid=fe76100e-4794-40f5-abd9-8ecf8418b924"]},{"id":"ITEM-2","itemData":{"DOI":"10.1016/j.respol.2017.03.008","ISSN":"00487333","abstract":"This paper examines the dynamic interlinkages between the two pillars of ambidexterity in universities, research and knowledge transfer. We propose a theoretical model linking these two pillars at the organisational level. The model is tested using the longitudinal HE-BCI survey data juxtaposed against two consecutive rounds of research evaluation in the UK higher education sector. Results indicate that a university's past performance along the research pillar strengthens the knowledge transfer pillar over time, through both commercialisation and academic engagement channels. This positive impact is negatively moderated by the university's size and reputation, in the sense that in larger or more reputed universities, the marginal impact of research on knowledge transfer declines significantly. Additionally, we find that knowledge transfer reinforces the research pillar through positive mediation between past and future research, but only through academic engagement channels. The results also indicate that contract research routes provide the maximum benefit for most universities in enhancing their ambidexterity framework, both in the short and the long run. For the relatively more reputed universities, it is the collaboration route which provides the maximum benefit. Interestingly, no such reinforcement could be detected in the case of the research commercialisation channels.","author":[{"dropping-particle":"","family":"Sengupta","given":"Abhijit","non-dropping-particle":"","parse-names":false,"suffix":""},{"dropping-particle":"","family":"Ray","given":"Amit S.","non-dropping-particle":"","parse-names":false,"suffix":""}],"container-title":"Research Policy","id":"ITEM-2","issue":"5","issued":{"date-parts":[["2017"]]},"page":"881-897","publisher":"Elsevier B.V.","title":"University research and knowledge transfer: A dynamic view of ambidexterity in british universities","type":"article-journal","volume":"46"},"uris":["http://www.mendeley.com/documents/?uuid=1bae52b2-2b76-4a4b-9383-c1e21964cb01"]},{"id":"ITEM-3","itemData":{"DOI":"10.1016/j.respol.2011.02.001","ISBN":"0048-7333","ISSN":"00487333","PMID":"2891","abstract":"The phenomenon of entrepreneurial universities has received considerable attention over the last decades. An entrepreneurial orientation by academia might put regions and nations in an advantageous position in emerging knowledge-intensive fields of economic activity. At the same time, such entrepreneurial orientation requires reconciliation with the scientific missions of academia. Large-scale empirical research on antecedents of the entrepreneurial effectiveness of universities is scarce. This contribution examines the extent to which scientific productivity affect entrepreneurial effectiveness, taking into account the size of universities and the presence of disciplines, as well as the R&amp;D intensity of the regional business environment (BERD). In addition, we assess the occurrence of trade-offs between different transfer mechanisms (contract research, patenting and spin off activity). The data used pertain to 105 European universities. Our findings reveal that scientific productivity is positively associated with entrepreneurial effectiveness. Trade-offs between transfer mechanisms do not reveal themselves; on the contrary, contract research and spin off activities tend to facilitate each other. Limitations and implications for future research are discussed. © 2011 Elsevier B.V. All rights reserved.","author":[{"dropping-particle":"","family":"Looy","given":"Bart","non-dropping-particle":"Van","parse-names":false,"suffix":""},{"dropping-particle":"","family":"Landoni","given":"Paolo","non-dropping-particle":"","parse-names":false,"suffix":""},{"dropping-particle":"","family":"Callaert","given":"Julie","non-dropping-particle":"","parse-names":false,"suffix":""},{"dropping-particle":"","family":"Pottelsberghe","given":"Bruno","non-dropping-particle":"Van","parse-names":false,"suffix":""},{"dropping-particle":"","family":"Sapsalis","given":"Eleftherios","non-dropping-particle":"","parse-names":false,"suffix":""},{"dropping-particle":"","family":"Debackere","given":"Koenraad","non-dropping-particle":"","parse-names":false,"suffix":""}],"container-title":"Research Policy","id":"ITEM-3","issue":"4","issued":{"date-parts":[["2011"]]},"page":"553-564","publisher":"Elsevier B.V.","title":"Entrepreneurial effectiveness of European universities: An empirical assessment of antecedents and trade-offs","type":"article-journal","volume":"40"},"uris":["http://www.mendeley.com/documents/?uuid=efca2164-cee4-4742-ab17-7b8416ace40b"]},{"id":"ITEM-4","itemData":{"DOI":"10.1016/j.respol.2010.05.016","ISBN":"00487333","ISSN":"00487333","PMID":"53969080","abstract":"This paper investigates the performance of universities in the transfer of technology using a unique university-level dataset for Spain. The results suggest that universities with established policies and procedures for the management of technology transfer perform better. Universities with large and experienced technology transfer offices (TTOs) generate higher volumes of contract research, but the TTO characteristics appear to matter less for university performance in terms of licensing and creation of spin-offs. Furthermore, universities with a science park perform better than those without, which suggests that the agglomeration of knowledge close to universities has a positive effect on universities' technology transfer performance. ?? 2010 Elsevier B.V. All rights reserved.","author":[{"dropping-particle":"","family":"Caldera","given":"Aida","non-dropping-particle":"","parse-names":false,"suffix":""},{"dropping-particle":"","family":"Debande","given":"Olivier","non-dropping-particle":"","parse-names":false,"suffix":""}],"container-title":"Research Policy","id":"ITEM-4","issue":"9","issued":{"date-parts":[["2010"]]},"page":"1160-1173","publisher":"Elsevier B.V.","title":"Performance of Spanish universities in technology transfer: An empirical analysis","type":"article-journal","volume":"39"},"uris":["http://www.mendeley.com/documents/?uuid=d43816cf-2ca3-4387-aef7-64719dd222a6"]},{"id":"ITEM-5","itemData":{"DOI":"10.1093/icc/dtm023","ISBN":"0960-6491","ISSN":"09606491","abstract":"The literature on university entrepreneurship is rapidly expanding, in both the United States and Europe. Since the literature is also fairly fragmented, however, we submit that it is time to take stock of the current knowledge to provide directions for future research and guideposts for policy makers. To accomplish this, we present an unusually comprehensive and detailed literature analysis of the stream of research on university entrepreneurship, now encompassing 173 articles published in a variety of academic journals. Four major research streams emerge in this area of study: (i) entrepreneurial research university, (ii) productivity of technology transfer offices, (iii) new firm creation, and (iv) environmental context including networks of innovation. We inductively derive a framework describing the dynamic process of university entrepreneurship based on a synthesis of the literature. We submit that this framework is useful in guiding future research on this important, yet complex and under-researched topic.","author":[{"dropping-particle":"","family":"Rothaermel","given":"Frank T.","non-dropping-particle":"","parse-names":false,"suffix":""},{"dropping-particle":"","family":"Agung","given":"Shanti D.","non-dropping-particle":"","parse-names":false,"suffix":""},{"dropping-particle":"","family":"Jiang","given":"Lin","non-dropping-particle":"","parse-names":false,"suffix":""}],"container-title":"Industrial and Corporate Change","id":"ITEM-5","issue":"4","issued":{"date-parts":[["2007"]]},"page":"691-791","title":"University entrepreneurship: A taxonomy of the literature","type":"article-journal","volume":"16"},"uris":["http://www.mendeley.com/documents/?uuid=5357c8bd-4f94-4314-8ab0-1173b7db7f62"]},{"id":"ITEM-6","itemData":{"DOI":"10.1007/s10961-009-9129-z","ISBN":"1096100991","author":[{"dropping-particle":"","family":"Heisey","given":"Paul W","non-dropping-particle":"","parse-names":false,"suffix":""},{"dropping-particle":"","family":"Adelman","given":"Æ Sarah W","non-dropping-particle":"","parse-names":false,"suffix":""}],"id":"ITEM-6","issued":{"date-parts":[["2011"]]},"page":"38-60","title":"and university licensing revenue","type":"article-journal"},"uris":["http://www.mendeley.com/documents/?uuid=c4ddc740-e8bb-478b-be69-e1d8a02e8d39"]},{"id":"ITEM-7","itemData":{"DOI":"10.1016/S0048-7333(01)00196-2","ISSN":"00487333","author":[{"dropping-particle":"","family":"Siegel","given":"Donald","non-dropping-particle":"","parse-names":false,"suffix":""},{"dropping-particle":"","family":"Waldman","given":"David","non-dropping-particle":"","parse-names":false,"suffix":""},{"dropping-particle":"","family":"Link","given":"Albert","non-dropping-particle":"","parse-names":false,"suffix":""}],"container-title":"Research Policy","id":"ITEM-7","issue":"1","issued":{"date-parts":[["2003","1"]]},"page":"27-48","title":"Assessing the impact of organizational practices on the relative productivity of university technology transfer offices: an exploratory study","type":"article-journal","volume":"32"},"uris":["http://www.mendeley.com/documents/?uuid=e46987f6-89c5-3b6f-b14b-8fc764f55f9f"]}],"mendeley":{"formattedCitation":"(Caldera and Debande, 2010a; Heisey and Adelman, 2011; Rothaermel et al., 2007; Sengupta and Ray, 2017a; Siegel et al., 2003; Siegel and Wright, 2015b; Van Looy et al., 2011)","plainTextFormattedCitation":"(Caldera and Debande, 2010a; Heisey and Adelman, 2011; Rothaermel et al., 2007; Sengupta and Ray, 2017a; Siegel et al., 2003; Siegel and Wright, 2015b; Van Looy et al., 2011)","previouslyFormattedCitation":"(Caldera and Debande, 2010a; Heisey and Adelman, 2011; Rothaermel et al., 2007; Sengupta and Ray, 2017a; Siegel et al., 2003; Siegel and Wright, 2015b; Van Looy et al., 2011)"},"properties":{"noteIndex":0},"schema":"https://github.com/citation-style-language/schema/raw/master/csl-citation.json"}</w:instrText>
      </w:r>
      <w:r w:rsidR="00BE3AB4">
        <w:rPr>
          <w:rFonts w:ascii="Times New Roman" w:hAnsi="Times New Roman" w:cs="Times New Roman"/>
        </w:rPr>
        <w:fldChar w:fldCharType="separate"/>
      </w:r>
      <w:r w:rsidR="005C76D1" w:rsidRPr="005C76D1">
        <w:rPr>
          <w:rFonts w:ascii="Times New Roman" w:hAnsi="Times New Roman" w:cs="Times New Roman"/>
          <w:noProof/>
        </w:rPr>
        <w:t>(Caldera and Debande, 2010a; Heisey and Adelman, 2011; Rothaermel et al., 2007; Sengupta and Ray, 2017a; Siegel et al., 2003; Siegel and Wright, 2015b; Van Looy et al., 2011)</w:t>
      </w:r>
      <w:r w:rsidR="00BE3AB4">
        <w:rPr>
          <w:rFonts w:ascii="Times New Roman" w:hAnsi="Times New Roman" w:cs="Times New Roman"/>
        </w:rPr>
        <w:fldChar w:fldCharType="end"/>
      </w:r>
      <w:r w:rsidR="001A3E4C" w:rsidRPr="00EF66BB">
        <w:rPr>
          <w:rFonts w:ascii="Times New Roman" w:hAnsi="Times New Roman" w:cs="Times New Roman"/>
        </w:rPr>
        <w:t xml:space="preserve"> and incentive structures</w:t>
      </w:r>
      <w:r w:rsidR="000D57A9">
        <w:rPr>
          <w:rFonts w:ascii="Times New Roman" w:hAnsi="Times New Roman" w:cs="Times New Roman"/>
        </w:rPr>
        <w:t xml:space="preserve"> (organi</w:t>
      </w:r>
      <w:r w:rsidR="00CE1EC1">
        <w:rPr>
          <w:rFonts w:ascii="Times New Roman" w:hAnsi="Times New Roman" w:cs="Times New Roman"/>
        </w:rPr>
        <w:t>s</w:t>
      </w:r>
      <w:r w:rsidR="000D57A9">
        <w:rPr>
          <w:rFonts w:ascii="Times New Roman" w:hAnsi="Times New Roman" w:cs="Times New Roman"/>
        </w:rPr>
        <w:t>ational design)</w:t>
      </w:r>
      <w:r w:rsidR="001A3E4C" w:rsidRPr="00EF66BB">
        <w:rPr>
          <w:rFonts w:ascii="Times New Roman" w:hAnsi="Times New Roman" w:cs="Times New Roman"/>
        </w:rPr>
        <w:t xml:space="preserve"> </w:t>
      </w:r>
      <w:r w:rsidR="00BE3AB4">
        <w:rPr>
          <w:rFonts w:ascii="Times New Roman" w:hAnsi="Times New Roman" w:cs="Times New Roman"/>
        </w:rPr>
        <w:fldChar w:fldCharType="begin" w:fldLock="1"/>
      </w:r>
      <w:r w:rsidR="008F2687">
        <w:rPr>
          <w:rFonts w:ascii="Times New Roman" w:hAnsi="Times New Roman" w:cs="Times New Roman"/>
        </w:rPr>
        <w:instrText>ADDIN CSL_CITATION {"citationItems":[{"id":"ITEM-1","itemData":{"DOI":"10.1016/j.respol.2016.06.006","ISBN":"00487333 (ISSN)","ISSN":"00487333","abstract":"Portuguese and Spanish universities have adopted well-defined royalty sharing arrangements over the last fifteen years. We investigate whether such royalty sharing arrangements have been effective in stimulating inventors’ efforts and in ultimately improving university outcomes. We base our empirical analysis on university-level data and two new self-collected surveys for both inventors and Technology Transfer Offices (TTOs). Evidence from the inventors’ survey indicates that one third of respondents are incentivised by current royalty sharing arrangements, one third could be incentivised by higher royalty shares, and the remaining third is totally insensitive to royalty sharing. Plain regressions on university level datasets suggest that the incentive effects documented by the inventors’ survey fail to translate into increased patenting or licensing income. It would seem that inventor royalty shares are not as influential as they could be, due to the poor commercial prospects of university inventions. Among other possible reasons, these poor prospects appear to reflect the fact that inventors are unable to produce potentially licensable inventions, or that eventually TTOs may not be focussing enough on commercialising their inventions.","author":[{"dropping-particle":"","family":"Arqué-Castells","given":"Pere","non-dropping-particle":"","parse-names":false,"suffix":""},{"dropping-particle":"","family":"Cartaxo","given":"Rui M.","non-dropping-particle":"","parse-names":false,"suffix":""},{"dropping-particle":"","family":"García-Quevedo","given":"Jose","non-dropping-particle":"","parse-names":false,"suffix":""},{"dropping-particle":"","family":"Godinho","given":"Manuel Mira","non-dropping-particle":"","parse-names":false,"suffix":""}],"container-title":"Research Policy","id":"ITEM-1","issue":"9","issued":{"date-parts":[["2016"]]},"page":"1858-1872","publisher":"Elsevier B.V.","title":"Royalty sharing, effort and invention in universities: Evidence from Portugal and Spain","type":"article-journal","volume":"45"},"uris":["http://www.mendeley.com/documents/?uuid=9dc55724-30e7-4819-98fd-32f02e1caf8d"]},{"id":"ITEM-2","itemData":{"DOI":"10.1111/j.0741-6261.2008.00020.x","ISBN":"0741-6261","ISSN":"07416261","PMID":"2877","abstract":"We show that universities in the United States that provide stronger royalty incentives to faculty scientists generate greater license income, controlling for university characteristics. We use pre-sample data on university patenting to control for the potential endogeneity of royalty shares. Faculty responds to royalties both in the form of cash and research lab support, indicating both pecuniary and intrinsic research motivations. The impact of incentives is larger in private than in public universities, and we provide new survey evidence on the organization and objectives of university licensing offices to explain this difference. Royalty incentives work both by raising faculty effort and sorting scientists across universities. The primary impact of incentives is to increase the quality rather than the quantity of inventions.","author":[{"dropping-particle":"","family":"Lach","given":"Saul","non-dropping-particle":"","parse-names":false,"suffix":""},{"dropping-particle":"","family":"Schankerman","given":"Mark","non-dropping-particle":"","parse-names":false,"suffix":""}],"container-title":"RAND Journal of Economics","id":"ITEM-2","issue":"2","issued":{"date-parts":[["2008"]]},"page":"403-433","title":"Incentives and invention in universities","type":"article-journal","volume":"39"},"uris":["http://www.mendeley.com/documents/?uuid=5cc5deac-babe-4731-9ce4-35098d057334"]},{"id":"ITEM-3","itemData":{"DOI":"10.1016/j.respol.2010.05.016","ISBN":"00487333","ISSN":"00487333","PMID":"53969080","abstract":"This paper investigates the performance of universities in the transfer of technology using a unique university-level dataset for Spain. The results suggest that universities with established policies and procedures for the management of technology transfer perform better. Universities with large and experienced technology transfer offices (TTOs) generate higher volumes of contract research, but the TTO characteristics appear to matter less for university performance in terms of licensing and creation of spin-offs. Furthermore, universities with a science park perform better than those without, which suggests that the agglomeration of knowledge close to universities has a positive effect on universities' technology transfer performance. ?? 2010 Elsevier B.V. All rights reserved.","author":[{"dropping-particle":"","family":"Caldera","given":"Aida","non-dropping-particle":"","parse-names":false,"suffix":""},{"dropping-particle":"","family":"Debande","given":"Olivier","non-dropping-particle":"","parse-names":false,"suffix":""}],"container-title":"Research Policy","id":"ITEM-3","issue":"9","issued":{"date-parts":[["2010"]]},"page":"1160-1173","publisher":"Elsevier B.V.","title":"Performance of Spanish universities in technology transfer: An empirical analysis","type":"article-journal","volume":"39"},"uris":["http://www.mendeley.com/documents/?uuid=d43816cf-2ca3-4387-aef7-64719dd222a6"]},{"id":"ITEM-4","itemData":{"DOI":"10.1016/j.respol.2004.12.003","ISBN":"0048-7333","ISSN":"00487333","abstract":"The transfer of scientific and technological know-how into valuable economic activity has become a high priority on many policy agendas. Industry Science Links (ISLs) are an important dimension of this policy orientation. Over the last decades, multiple insights have been gained (both theoretical and empirical) as to how \"effective\" ISLs can be fostered through the design and the development of university-based technology transfer organizations (TTOs). In this paper, we document and analyze the evolution of \"effective\" university-based technology transfer mechanisms. We describe how decentralized organizational approaches and incentives that stimulate the active involvement of the research groups in the exploitation of their research findings might be combined with specialized central services offering intellectual property management and spin-off support. More particularly, we analyze how the creation of:an appropriate balance between centralization and decentralization within academia;the design of appropriate incentive structures for academic research groups;the implementation of appropriate decision and monitoring processes within the TTOhas brought about critical elements in fostering an \"effective\" commercialization of the academic science base. © 2005 Elsevier B.V. All rights reserved.","author":[{"dropping-particle":"","family":"Debackere","given":"Koenraad","non-dropping-particle":"","parse-names":false,"suffix":""},{"dropping-particle":"","family":"Veugelers","given":"Reinhilde","non-dropping-particle":"","parse-names":false,"suffix":""}],"container-title":"Research Policy","id":"ITEM-4","issue":"3","issued":{"date-parts":[["2005"]]},"page":"321-342","title":"The role of academic technology transfer organizations in improving industry science links","type":"article-journal","volume":"34"},"uris":["http://www.mendeley.com/documents/?uuid=b5a14a0c-13b9-4989-9bde-f10ce2613421"]},{"id":"ITEM-5","itemData":{"DOI":"10.1023/B:JOTT.0000034127.01889.86","ISBN":"0892-9912","ISSN":"0892-9912","PMID":"2873","abstract":"There has been a paucity of research to date that has explored whether incentive systems—in the form of monetary payments to inventors, their department or institution, or to university technology transfer office (UTTO) personnel—affect entrepreneurial activities at U.S. universities. To shed light on whether financial incentives to scientists, their departments, and UTTO personnel effect entrepreneurial activity, we used both qualitative data (structured interviews with 128 UTTO directors) and quantitative data from surveys and databases available on the web. Our results show surprisingly and opposite to our theoretical predictions that incentives to scientists and to their departments are negatively related to entrepreneurial activity. In addition and consistent with theory-based predictions, pay to UTTO personnel is positively related to entrepreneurial activity. We conclude with a discussion that offers some implications to research, practice, and theory in the field of technology transfer.","author":[{"dropping-particle":"","family":"Markman","given":"Gideon D.","non-dropping-particle":"","parse-names":false,"suffix":""},{"dropping-particle":"","family":"Gianiodis","given":"Peter T.","non-dropping-particle":"","parse-names":false,"suffix":""},{"dropping-particle":"","family":"Phan","given":"Phillip H.","non-dropping-particle":"","parse-names":false,"suffix":""},{"dropping-particle":"","family":"Balkin","given":"David B.","non-dropping-particle":"","parse-names":false,"suffix":""}],"container-title":"The Journal of Technology Transfer","id":"ITEM-5","issue":"3/4","issued":{"date-parts":[["2004"]]},"page":"353-364","title":"Entrepreneurship from the Ivory Tower: Do Incentive Systems Matter?","type":"article-journal","volume":"29"},"uris":["http://www.mendeley.com/documents/?uuid=c689f362-be7c-4b60-98da-458f4226733a"]},{"id":"ITEM-6","itemData":{"DOI":"10.1007/s10961-009-9116-4","ISBN":"0892-9912","ISSN":"08929912","abstract":"Research shows that there are important institutional underpinnings for building university-industry linkages. This paper aims to understand how China is developing the relevant organizational structures and incentives in its universities. What academic institutions shape the scope and channels of university-industry linkages? What incentives do universities provide to encourage and facilitate faculty engagement with industry? My analysis is accomplished through content analysis of university documents and in-depth interviews with personnel in two top institutions-Fudan University and Shanghai Jiaotong University, supplemented by official statistics. It shows that the hybrid organizational structure to manage technology transfer is a product of historical legacy and institutional learning-parts uniquely Chinese and parts adapted from the West. Faculty incentives also have varied effects. In spite of being enticed to disclose inventions and pursue commercialization, faculty remains keener on scholarly publications.","author":[{"dropping-particle":"","family":"Wu","given":"Weiping","non-dropping-particle":"","parse-names":false,"suffix":""}],"container-title":"Journal of Technology Transfer","id":"ITEM-6","issue":"2","issued":{"date-parts":[["2010"]]},"page":"203-224","title":"Managing and incentivizing research commercialization in Chinese Universities","type":"article-journal","volume":"35"},"uris":["http://www.mendeley.com/documents/?uuid=f4ff28ca-6744-4a73-8faf-de0670f21ecd"]}],"mendeley":{"formattedCitation":"(Arqué-Castells et al., 2016; Caldera and Debande, 2010a; Debackere and Veugelers, 2005; Lach and Schankerman, 2008; Markman et al., 2004; Wu, 2010)","plainTextFormattedCitation":"(Arqué-Castells et al., 2016; Caldera and Debande, 2010a; Debackere and Veugelers, 2005; Lach and Schankerman, 2008; Markman et al., 2004; Wu, 2010)","previouslyFormattedCitation":"(Arqué-Castells et al., 2016; Caldera and Debande, 2010a; Debackere and Veugelers, 2005; Lach and Schankerman, 2008; Markman et al., 2004; Wu, 2010)"},"properties":{"noteIndex":0},"schema":"https://github.com/citation-style-language/schema/raw/master/csl-citation.json"}</w:instrText>
      </w:r>
      <w:r w:rsidR="00BE3AB4">
        <w:rPr>
          <w:rFonts w:ascii="Times New Roman" w:hAnsi="Times New Roman" w:cs="Times New Roman"/>
        </w:rPr>
        <w:fldChar w:fldCharType="separate"/>
      </w:r>
      <w:r w:rsidR="008F2687" w:rsidRPr="008F2687">
        <w:rPr>
          <w:rFonts w:ascii="Times New Roman" w:hAnsi="Times New Roman" w:cs="Times New Roman"/>
          <w:noProof/>
        </w:rPr>
        <w:t>(Arqué-Castells et al., 2016; Caldera and Debande, 2010a; Debackere and Veugelers, 2005; Lach and Schankerman, 2008; Markman et al., 2004; Wu, 2010)</w:t>
      </w:r>
      <w:r w:rsidR="00BE3AB4">
        <w:rPr>
          <w:rFonts w:ascii="Times New Roman" w:hAnsi="Times New Roman" w:cs="Times New Roman"/>
        </w:rPr>
        <w:fldChar w:fldCharType="end"/>
      </w:r>
      <w:r w:rsidR="007C4C85">
        <w:rPr>
          <w:rFonts w:ascii="Times New Roman" w:hAnsi="Times New Roman" w:cs="Times New Roman"/>
        </w:rPr>
        <w:t xml:space="preserve"> </w:t>
      </w:r>
      <w:r w:rsidR="00437B5E" w:rsidRPr="00EF66BB">
        <w:rPr>
          <w:rFonts w:ascii="Times New Roman" w:hAnsi="Times New Roman" w:cs="Times New Roman"/>
        </w:rPr>
        <w:t xml:space="preserve">are </w:t>
      </w:r>
      <w:r w:rsidR="001A3E4C" w:rsidRPr="00EF66BB">
        <w:rPr>
          <w:rFonts w:ascii="Times New Roman" w:hAnsi="Times New Roman" w:cs="Times New Roman"/>
        </w:rPr>
        <w:t xml:space="preserve">important </w:t>
      </w:r>
      <w:r w:rsidR="002E12F1">
        <w:rPr>
          <w:rFonts w:ascii="Times New Roman" w:hAnsi="Times New Roman" w:cs="Times New Roman"/>
        </w:rPr>
        <w:t xml:space="preserve">influences on </w:t>
      </w:r>
      <w:r w:rsidR="001A3E4C" w:rsidRPr="00EF66BB">
        <w:rPr>
          <w:rFonts w:ascii="Times New Roman" w:hAnsi="Times New Roman" w:cs="Times New Roman"/>
        </w:rPr>
        <w:t>technology transfer activity.</w:t>
      </w:r>
      <w:r w:rsidR="000D57A9">
        <w:rPr>
          <w:rFonts w:ascii="Times New Roman" w:hAnsi="Times New Roman" w:cs="Times New Roman"/>
        </w:rPr>
        <w:t xml:space="preserve"> </w:t>
      </w:r>
    </w:p>
    <w:p w14:paraId="360EF03E" w14:textId="77777777" w:rsidR="001A3E4C" w:rsidRPr="00EF66BB" w:rsidRDefault="001A3E4C" w:rsidP="00141231">
      <w:pPr>
        <w:spacing w:line="360" w:lineRule="auto"/>
        <w:rPr>
          <w:rFonts w:ascii="Times New Roman" w:hAnsi="Times New Roman" w:cs="Times New Roman"/>
        </w:rPr>
      </w:pPr>
    </w:p>
    <w:p w14:paraId="76234693" w14:textId="09FAFEA8" w:rsidR="001A3E4C" w:rsidRPr="00EF66BB" w:rsidRDefault="005F604E" w:rsidP="00141231">
      <w:pPr>
        <w:spacing w:line="360" w:lineRule="auto"/>
        <w:rPr>
          <w:rFonts w:ascii="Times New Roman" w:hAnsi="Times New Roman" w:cs="Times New Roman"/>
        </w:rPr>
      </w:pPr>
      <w:r>
        <w:rPr>
          <w:rFonts w:ascii="Times New Roman" w:hAnsi="Times New Roman" w:cs="Times New Roman"/>
        </w:rPr>
        <w:t xml:space="preserve">Despite </w:t>
      </w:r>
      <w:r w:rsidRPr="00EF66BB">
        <w:rPr>
          <w:rFonts w:ascii="Times New Roman" w:hAnsi="Times New Roman" w:cs="Times New Roman"/>
        </w:rPr>
        <w:t xml:space="preserve">extensive empirical analysis, </w:t>
      </w:r>
      <w:r>
        <w:rPr>
          <w:rFonts w:ascii="Times New Roman" w:hAnsi="Times New Roman" w:cs="Times New Roman"/>
        </w:rPr>
        <w:t>the results</w:t>
      </w:r>
      <w:r w:rsidRPr="00EF66BB">
        <w:rPr>
          <w:rFonts w:ascii="Times New Roman" w:hAnsi="Times New Roman" w:cs="Times New Roman"/>
        </w:rPr>
        <w:t xml:space="preserve"> regard</w:t>
      </w:r>
      <w:r>
        <w:rPr>
          <w:rFonts w:ascii="Times New Roman" w:hAnsi="Times New Roman" w:cs="Times New Roman"/>
        </w:rPr>
        <w:t>ing</w:t>
      </w:r>
      <w:r w:rsidRPr="00EF66BB">
        <w:rPr>
          <w:rFonts w:ascii="Times New Roman" w:hAnsi="Times New Roman" w:cs="Times New Roman"/>
        </w:rPr>
        <w:t xml:space="preserve"> the capacity for incentives to influence technology transfer effectiveness</w:t>
      </w:r>
      <w:r>
        <w:rPr>
          <w:rFonts w:ascii="Times New Roman" w:hAnsi="Times New Roman" w:cs="Times New Roman"/>
        </w:rPr>
        <w:t xml:space="preserve"> remain ambiguous.</w:t>
      </w:r>
      <w:r w:rsidR="001A3E4C" w:rsidRPr="00EF66BB">
        <w:rPr>
          <w:rFonts w:ascii="Times New Roman" w:hAnsi="Times New Roman" w:cs="Times New Roman"/>
        </w:rPr>
        <w:t xml:space="preserve"> Some have shown that the provision of pecuniary incentives for staff, such as royalty sharing and equity sharing policies results in higher revenue from licenses </w:t>
      </w:r>
      <w:r w:rsidR="00577636">
        <w:rPr>
          <w:rFonts w:ascii="Times New Roman" w:hAnsi="Times New Roman" w:cs="Times New Roman"/>
        </w:rPr>
        <w:fldChar w:fldCharType="begin" w:fldLock="1"/>
      </w:r>
      <w:r w:rsidR="00CD0532">
        <w:rPr>
          <w:rFonts w:ascii="Times New Roman" w:hAnsi="Times New Roman" w:cs="Times New Roman"/>
        </w:rPr>
        <w:instrText>ADDIN CSL_CITATION {"citationItems":[{"id":"ITEM-1","itemData":{"DOI":"10.1111/j.0741-6261.2008.00020.x","ISBN":"0741-6261","ISSN":"07416261","PMID":"2877","abstract":"We show that universities in the United States that provide stronger royalty incentives to faculty scientists generate greater license income, controlling for university characteristics. We use pre-sample data on university patenting to control for the potential endogeneity of royalty shares. Faculty responds to royalties both in the form of cash and research lab support, indicating both pecuniary and intrinsic research motivations. The impact of incentives is larger in private than in public universities, and we provide new survey evidence on the organization and objectives of university licensing offices to explain this difference. Royalty incentives work both by raising faculty effort and sorting scientists across universities. The primary impact of incentives is to increase the quality rather than the quantity of inventions.","author":[{"dropping-particle":"","family":"Lach","given":"Saul","non-dropping-particle":"","parse-names":false,"suffix":""},{"dropping-particle":"","family":"Schankerman","given":"Mark","non-dropping-particle":"","parse-names":false,"suffix":""}],"container-title":"RAND Journal of Economics","id":"ITEM-1","issue":"2","issued":{"date-parts":[["2008"]]},"page":"403-433","title":"Incentives and invention in universities","type":"article-journal","volume":"39"},"uris":["http://www.mendeley.com/documents/?uuid=5cc5deac-babe-4731-9ce4-35098d057334"]},{"id":"ITEM-2","itemData":{"DOI":"10.1162/154247604323067961","ISBN":"15424766","ISSN":"15424774","PMID":"2982","abstract":"Using data for 102 U.S. universities, we show that royalty-sharing arrangements (cash flow rights) vary substantially across universities and that they are largely unrelated to most observed university characteristics including faculty size, quality, research funding, technology mix of the faculty, and size of the technology licensing office. However, higher inventors' royalty shares are associated with higher licensing income at the university, controlling for other factors. The results suggest that monetary incentives from inventions have real effects in the university sector.","author":[{"dropping-particle":"","family":"Lach","given":"Saul","non-dropping-particle":"","parse-names":false,"suffix":""},{"dropping-particle":"","family":"Schankerman","given":"Mark","non-dropping-particle":"","parse-names":false,"suffix":""}],"container-title":"Journal of the European Economic Association","id":"ITEM-2","issue":"2-3","issued":{"date-parts":[["2004"]]},"page":"252-264","title":"Royalty sharing and technology licensing in universities","type":"article-journal","volume":"2"},"uris":["http://www.mendeley.com/documents/?uuid=e231f31f-4136-4996-9639-55e279210b67"]},{"id":"ITEM-3","itemData":{"DOI":"10.1023/A:1021674618658","ISBN":"0892-9912","ISSN":"0892-9912","abstract":"University technology transfer activities are increasingly important as a source of regional economic development and revenue for the university. We use regression analysis, a two-stage model and the most recent data to examine the determinants of technology transfer. Our analysis strongly support four factors, not previously examined in the literature, enhancing university technology transfer: greater rewards for faculty involvement in technology transfer, location of the university in a region with a concentration of high technology firms, a clear university mission in support of technology transfer and the experience of the university's technology transfer office.","author":[{"dropping-particle":"","family":"Friedman","given":"Joseph","non-dropping-particle":"","parse-names":false,"suffix":""},{"dropping-particle":"","family":"Silberman","given":"Jonathan","non-dropping-particle":"","parse-names":false,"suffix":""}],"container-title":"The Journal of Technology Transfer","id":"ITEM-3","issue":"1","issued":{"date-parts":[["2003"]]},"page":"17-30","title":"University Technology Transfer: Do Incentives, Management, and Location Matter?","type":"article-journal","volume":"28"},"uris":["http://www.mendeley.com/documents/?uuid=374e8e75-56c8-4c4e-a6bd-e5796bfc2ca5"]},{"id":"ITEM-4","itemData":{"DOI":"10.1016/j.respol.2005.01.005","ISBN":"0048-7333","ISSN":"00487333","PMID":"599","abstract":"This article discusses salient trends in university-based technology initiatives in the United States and Europe, and it summarizes the papers contained in this special issue.","author":[{"dropping-particle":"","family":"Link","given":"Albert N.","non-dropping-particle":"","parse-names":false,"suffix":""},{"dropping-particle":"","family":"Siegel","given":"Donald","non-dropping-particle":"","parse-names":false,"suffix":""}],"container-title":"Research Policy","id":"ITEM-4","issue":"3","issued":{"date-parts":[["2005"]]},"page":"253-257","title":"University-based technology initiatives: Quantitative and qualitative evidence","type":"article-journal","volume":"34"},"uris":["http://www.mendeley.com/documents/?uuid=898545c9-834c-423a-aa3f-4da3b3627a38"]},{"id":"ITEM-5","itemData":{"DOI":"10.1016/j.respol.2010.05.016","ISBN":"00487333","ISSN":"00487333","PMID":"53969080","abstract":"This paper investigates the performance of universities in the transfer of technology using a unique university-level dataset for Spain. The results suggest that universities with established policies and procedures for the management of technology transfer perform better. Universities with large and experienced technology transfer offices (TTOs) generate higher volumes of contract research, but the TTO characteristics appear to matter less for university performance in terms of licensing and creation of spin-offs. Furthermore, universities with a science park perform better than those without, which suggests that the agglomeration of knowledge close to universities has a positive effect on universities' technology transfer performance. ?? 2010 Elsevier B.V. All rights reserved.","author":[{"dropping-particle":"","family":"Caldera","given":"Aida","non-dropping-particle":"","parse-names":false,"suffix":""},{"dropping-particle":"","family":"Debande","given":"Olivier","non-dropping-particle":"","parse-names":false,"suffix":""}],"container-title":"Research Policy","id":"ITEM-5","issue":"9","issued":{"date-parts":[["2010"]]},"page":"1160-1173","publisher":"Elsevier B.V.","title":"Performance of Spanish universities in technology transfer: An empirical analysis","type":"article-journal","volume":"39"},"uris":["http://www.mendeley.com/documents/?uuid=d43816cf-2ca3-4387-aef7-64719dd222a6"]}],"mendeley":{"formattedCitation":"(Caldera and Debande, 2010a; Friedman and Silberman, 2003; Lach and Schankerman, 2004, 2008; Link and Siegel, 2005)","plainTextFormattedCitation":"(Caldera and Debande, 2010a; Friedman and Silberman, 2003; Lach and Schankerman, 2004, 2008; Link and Siegel, 2005)","previouslyFormattedCitation":"(Caldera and Debande, 2010a; Friedman and Silberman, 2003; Lach and Schankerman, 2008, 2004; Link and Siegel, 2005)"},"properties":{"noteIndex":0},"schema":"https://github.com/citation-style-language/schema/raw/master/csl-citation.json"}</w:instrText>
      </w:r>
      <w:r w:rsidR="00577636">
        <w:rPr>
          <w:rFonts w:ascii="Times New Roman" w:hAnsi="Times New Roman" w:cs="Times New Roman"/>
        </w:rPr>
        <w:fldChar w:fldCharType="separate"/>
      </w:r>
      <w:r w:rsidR="00CD0532" w:rsidRPr="00CD0532">
        <w:rPr>
          <w:rFonts w:ascii="Times New Roman" w:hAnsi="Times New Roman" w:cs="Times New Roman"/>
          <w:noProof/>
        </w:rPr>
        <w:t>(Caldera and Debande, 2010a; Friedman and Silberman, 2003; Lach and Schankerman, 2004, 2008; Link and Siegel, 2005)</w:t>
      </w:r>
      <w:r w:rsidR="00577636">
        <w:rPr>
          <w:rFonts w:ascii="Times New Roman" w:hAnsi="Times New Roman" w:cs="Times New Roman"/>
        </w:rPr>
        <w:fldChar w:fldCharType="end"/>
      </w:r>
      <w:r w:rsidR="00577636">
        <w:rPr>
          <w:rFonts w:ascii="Times New Roman" w:hAnsi="Times New Roman" w:cs="Times New Roman"/>
        </w:rPr>
        <w:t>.</w:t>
      </w:r>
      <w:r w:rsidR="001A3E4C" w:rsidRPr="00EF66BB">
        <w:rPr>
          <w:rFonts w:ascii="Times New Roman" w:hAnsi="Times New Roman" w:cs="Times New Roman"/>
        </w:rPr>
        <w:t xml:space="preserve"> </w:t>
      </w:r>
      <w:r w:rsidR="00577636">
        <w:rPr>
          <w:rFonts w:ascii="Times New Roman" w:hAnsi="Times New Roman" w:cs="Times New Roman"/>
        </w:rPr>
        <w:fldChar w:fldCharType="begin" w:fldLock="1"/>
      </w:r>
      <w:r w:rsidR="00577636">
        <w:rPr>
          <w:rFonts w:ascii="Times New Roman" w:hAnsi="Times New Roman" w:cs="Times New Roman"/>
        </w:rPr>
        <w:instrText>ADDIN CSL_CITATION {"citationItems":[{"id":"ITEM-1","itemData":{"DOI":"10.1086/595763","ISBN":"0022-2186","ISSN":"0022-2186","PMID":"2889","abstract":"We study the impact of private ownership, incentive pay, and local development objectives on university licensing performance. We develop and test a simple contracting model of technology-licensing offices using new survey information together with panel data on U.S. universities for 1995–99. We find that private universities are much more likely to adopt incentive pay than public ones but that ownership does not affect licensing performance conditional on the use of incentive pay. Adopting incentive pay is associated with about 30–40 percent more income per license. Universities with strong local development objectives generate about 30 percent less income per license but are more likely to license to local (in-state) start-up companies. In addition, we show that government constraints on university licensing activity are costly in terms of forgone license income and the creation of start-up companies. These results are robust to controls for observed and unobserved heterogeneity. 1.","author":[{"dropping-particle":"","family":"Belenzon","given":"Sharon","non-dropping-particle":"","parse-names":false,"suffix":""},{"dropping-particle":"","family":"Schankerman","given":"Mark","non-dropping-particle":"","parse-names":false,"suffix":""}],"container-title":"Journal of Law and Economics","id":"ITEM-1","issue":"52","issued":{"date-parts":[["2009"]]},"page":"111-144","title":"University Knowledge Transfer: Private Ownership, Incentives, and Local Development Objectives","type":"article-journal","volume":"52"},"uris":["http://www.mendeley.com/documents/?uuid=7345fea5-4d57-47e5-8f88-6fa68b47799f"]}],"mendeley":{"formattedCitation":"(Belenzon and Schankerman, 2009)","manualFormatting":"Belenzon and Schankerman, (2009)","plainTextFormattedCitation":"(Belenzon and Schankerman, 2009)","previouslyFormattedCitation":"(Belenzon and Schankerman, 2009)"},"properties":{"noteIndex":0},"schema":"https://github.com/citation-style-language/schema/raw/master/csl-citation.json"}</w:instrText>
      </w:r>
      <w:r w:rsidR="00577636">
        <w:rPr>
          <w:rFonts w:ascii="Times New Roman" w:hAnsi="Times New Roman" w:cs="Times New Roman"/>
        </w:rPr>
        <w:fldChar w:fldCharType="separate"/>
      </w:r>
      <w:r w:rsidR="00577636" w:rsidRPr="00577636">
        <w:rPr>
          <w:rFonts w:ascii="Times New Roman" w:hAnsi="Times New Roman" w:cs="Times New Roman"/>
          <w:noProof/>
        </w:rPr>
        <w:t xml:space="preserve">Belenzon and Schankerman, </w:t>
      </w:r>
      <w:r w:rsidR="00577636">
        <w:rPr>
          <w:rFonts w:ascii="Times New Roman" w:hAnsi="Times New Roman" w:cs="Times New Roman"/>
          <w:noProof/>
        </w:rPr>
        <w:t>(</w:t>
      </w:r>
      <w:r w:rsidR="00577636" w:rsidRPr="00577636">
        <w:rPr>
          <w:rFonts w:ascii="Times New Roman" w:hAnsi="Times New Roman" w:cs="Times New Roman"/>
          <w:noProof/>
        </w:rPr>
        <w:t>2009)</w:t>
      </w:r>
      <w:r w:rsidR="00577636">
        <w:rPr>
          <w:rFonts w:ascii="Times New Roman" w:hAnsi="Times New Roman" w:cs="Times New Roman"/>
        </w:rPr>
        <w:fldChar w:fldCharType="end"/>
      </w:r>
      <w:r w:rsidR="001A3E4C" w:rsidRPr="00EF66BB">
        <w:rPr>
          <w:rFonts w:ascii="Times New Roman" w:hAnsi="Times New Roman" w:cs="Times New Roman"/>
        </w:rPr>
        <w:t xml:space="preserve"> draw on panel data from 86 US universities to show that adopting incentive pay is associated with a 30-40% increase in the average income per licence. Similarly, Caldera &amp; </w:t>
      </w:r>
      <w:proofErr w:type="spellStart"/>
      <w:r w:rsidR="001A3E4C" w:rsidRPr="00EF66BB">
        <w:rPr>
          <w:rFonts w:ascii="Times New Roman" w:hAnsi="Times New Roman" w:cs="Times New Roman"/>
        </w:rPr>
        <w:t>Debrande</w:t>
      </w:r>
      <w:proofErr w:type="spellEnd"/>
      <w:r w:rsidR="001A3E4C" w:rsidRPr="00EF66BB">
        <w:rPr>
          <w:rFonts w:ascii="Times New Roman" w:hAnsi="Times New Roman" w:cs="Times New Roman"/>
        </w:rPr>
        <w:t xml:space="preserve"> (2010)</w:t>
      </w:r>
      <w:r w:rsidR="00C30DC1">
        <w:rPr>
          <w:rFonts w:ascii="Times New Roman" w:hAnsi="Times New Roman" w:cs="Times New Roman"/>
        </w:rPr>
        <w:t xml:space="preserve"> draw</w:t>
      </w:r>
      <w:r w:rsidR="00A670C9" w:rsidRPr="00EF66BB">
        <w:rPr>
          <w:rFonts w:ascii="Times New Roman" w:hAnsi="Times New Roman" w:cs="Times New Roman"/>
        </w:rPr>
        <w:t xml:space="preserve"> </w:t>
      </w:r>
      <w:r w:rsidR="001A3E4C" w:rsidRPr="00EF66BB">
        <w:rPr>
          <w:rFonts w:ascii="Times New Roman" w:hAnsi="Times New Roman" w:cs="Times New Roman"/>
        </w:rPr>
        <w:t>on data from 52 Spanish universities</w:t>
      </w:r>
      <w:r w:rsidR="00C30DC1">
        <w:rPr>
          <w:rFonts w:ascii="Times New Roman" w:hAnsi="Times New Roman" w:cs="Times New Roman"/>
        </w:rPr>
        <w:t xml:space="preserve"> to</w:t>
      </w:r>
      <w:r w:rsidR="001A3E4C" w:rsidRPr="00EF66BB">
        <w:rPr>
          <w:rFonts w:ascii="Times New Roman" w:hAnsi="Times New Roman" w:cs="Times New Roman"/>
        </w:rPr>
        <w:t xml:space="preserve"> show that an increase in 10% of the inventor’s royalty share could yield up to an 80% increase in </w:t>
      </w:r>
      <w:r w:rsidR="00A670C9" w:rsidRPr="00EF66BB">
        <w:rPr>
          <w:rFonts w:ascii="Times New Roman" w:hAnsi="Times New Roman" w:cs="Times New Roman"/>
        </w:rPr>
        <w:t>licence</w:t>
      </w:r>
      <w:r w:rsidR="001A3E4C" w:rsidRPr="00EF66BB">
        <w:rPr>
          <w:rFonts w:ascii="Times New Roman" w:hAnsi="Times New Roman" w:cs="Times New Roman"/>
        </w:rPr>
        <w:t xml:space="preserve"> revenue</w:t>
      </w:r>
      <w:r w:rsidR="00A670C9" w:rsidRPr="00EF66BB">
        <w:rPr>
          <w:rFonts w:ascii="Times New Roman" w:hAnsi="Times New Roman" w:cs="Times New Roman"/>
        </w:rPr>
        <w:t>.</w:t>
      </w:r>
      <w:r w:rsidR="001A3E4C" w:rsidRPr="00EF66BB">
        <w:rPr>
          <w:rFonts w:ascii="Times New Roman" w:hAnsi="Times New Roman" w:cs="Times New Roman"/>
        </w:rPr>
        <w:t xml:space="preserve">  </w:t>
      </w:r>
      <w:proofErr w:type="spellStart"/>
      <w:r w:rsidR="001A3E4C" w:rsidRPr="00EF66BB">
        <w:rPr>
          <w:rFonts w:ascii="Times New Roman" w:hAnsi="Times New Roman" w:cs="Times New Roman"/>
        </w:rPr>
        <w:t>Lach</w:t>
      </w:r>
      <w:proofErr w:type="spellEnd"/>
      <w:r w:rsidR="001A3E4C" w:rsidRPr="00EF66BB">
        <w:rPr>
          <w:rFonts w:ascii="Times New Roman" w:hAnsi="Times New Roman" w:cs="Times New Roman"/>
        </w:rPr>
        <w:t xml:space="preserve"> </w:t>
      </w:r>
      <w:r w:rsidR="0040433E">
        <w:rPr>
          <w:rFonts w:ascii="Times New Roman" w:hAnsi="Times New Roman" w:cs="Times New Roman"/>
        </w:rPr>
        <w:t>and</w:t>
      </w:r>
      <w:r w:rsidR="0040433E" w:rsidRPr="00EF66BB">
        <w:rPr>
          <w:rFonts w:ascii="Times New Roman" w:hAnsi="Times New Roman" w:cs="Times New Roman"/>
        </w:rPr>
        <w:t xml:space="preserve"> </w:t>
      </w:r>
      <w:proofErr w:type="spellStart"/>
      <w:r w:rsidR="001A3E4C" w:rsidRPr="00EF66BB">
        <w:rPr>
          <w:rFonts w:ascii="Times New Roman" w:hAnsi="Times New Roman" w:cs="Times New Roman"/>
        </w:rPr>
        <w:t>Schankerman</w:t>
      </w:r>
      <w:proofErr w:type="spellEnd"/>
      <w:r w:rsidR="001A3E4C" w:rsidRPr="00EF66BB">
        <w:rPr>
          <w:rFonts w:ascii="Times New Roman" w:hAnsi="Times New Roman" w:cs="Times New Roman"/>
        </w:rPr>
        <w:t xml:space="preserve"> (2008) also provide </w:t>
      </w:r>
      <w:r w:rsidR="00365000" w:rsidRPr="00EF66BB">
        <w:rPr>
          <w:rFonts w:ascii="Times New Roman" w:hAnsi="Times New Roman" w:cs="Times New Roman"/>
        </w:rPr>
        <w:t>evidence confirming</w:t>
      </w:r>
      <w:r w:rsidR="001A3E4C" w:rsidRPr="00EF66BB">
        <w:rPr>
          <w:rFonts w:ascii="Times New Roman" w:hAnsi="Times New Roman" w:cs="Times New Roman"/>
        </w:rPr>
        <w:t xml:space="preserve"> that pecuniary incentives, in the form of royalty shares</w:t>
      </w:r>
      <w:r w:rsidR="00A670C9" w:rsidRPr="00EF66BB">
        <w:rPr>
          <w:rFonts w:ascii="Times New Roman" w:hAnsi="Times New Roman" w:cs="Times New Roman"/>
        </w:rPr>
        <w:t>,</w:t>
      </w:r>
      <w:r w:rsidR="001A3E4C" w:rsidRPr="00EF66BB">
        <w:rPr>
          <w:rFonts w:ascii="Times New Roman" w:hAnsi="Times New Roman" w:cs="Times New Roman"/>
        </w:rPr>
        <w:t xml:space="preserve"> strongly affect licensing outcomes when controlling for university characteristics including size, R&amp;D income, local demand environment and scientific composition. </w:t>
      </w:r>
    </w:p>
    <w:p w14:paraId="42575D41" w14:textId="77777777" w:rsidR="001A3E4C" w:rsidRPr="00EF66BB" w:rsidRDefault="001A3E4C" w:rsidP="00141231">
      <w:pPr>
        <w:spacing w:line="360" w:lineRule="auto"/>
        <w:rPr>
          <w:rFonts w:ascii="Times New Roman" w:hAnsi="Times New Roman" w:cs="Times New Roman"/>
        </w:rPr>
      </w:pPr>
    </w:p>
    <w:p w14:paraId="2CA1572A" w14:textId="1FD4E11D" w:rsidR="001A3E4C" w:rsidRPr="00EF66BB" w:rsidRDefault="00365000" w:rsidP="00141231">
      <w:pPr>
        <w:spacing w:line="360" w:lineRule="auto"/>
        <w:rPr>
          <w:rFonts w:ascii="Times New Roman" w:hAnsi="Times New Roman" w:cs="Times New Roman"/>
        </w:rPr>
      </w:pPr>
      <w:r w:rsidRPr="00EF66BB">
        <w:rPr>
          <w:rFonts w:ascii="Times New Roman" w:hAnsi="Times New Roman" w:cs="Times New Roman"/>
        </w:rPr>
        <w:t>Conversely, o</w:t>
      </w:r>
      <w:r w:rsidR="001A3E4C" w:rsidRPr="00EF66BB">
        <w:rPr>
          <w:rFonts w:ascii="Times New Roman" w:hAnsi="Times New Roman" w:cs="Times New Roman"/>
        </w:rPr>
        <w:t xml:space="preserve">thers highlight the limited impact that incentives have on technology transfer activity </w:t>
      </w:r>
      <w:r w:rsidR="00577636">
        <w:rPr>
          <w:rFonts w:ascii="Times New Roman" w:hAnsi="Times New Roman" w:cs="Times New Roman"/>
        </w:rPr>
        <w:fldChar w:fldCharType="begin" w:fldLock="1"/>
      </w:r>
      <w:r w:rsidR="00577636">
        <w:rPr>
          <w:rFonts w:ascii="Times New Roman" w:hAnsi="Times New Roman" w:cs="Times New Roman"/>
        </w:rPr>
        <w:instrText>ADDIN CSL_CITATION {"citationItems":[{"id":"ITEM-1","itemData":{"DOI":"10.1016/j.respol.2016.06.006","ISBN":"00487333 (ISSN)","ISSN":"00487333","abstract":"Portuguese and Spanish universities have adopted well-defined royalty sharing arrangements over the last fifteen years. We investigate whether such royalty sharing arrangements have been effective in stimulating inventors’ efforts and in ultimately improving university outcomes. We base our empirical analysis on university-level data and two new self-collected surveys for both inventors and Technology Transfer Offices (TTOs). Evidence from the inventors’ survey indicates that one third of respondents are incentivised by current royalty sharing arrangements, one third could be incentivised by higher royalty shares, and the remaining third is totally insensitive to royalty sharing. Plain regressions on university level datasets suggest that the incentive effects documented by the inventors’ survey fail to translate into increased patenting or licensing income. It would seem that inventor royalty shares are not as influential as they could be, due to the poor commercial prospects of university inventions. Among other possible reasons, these poor prospects appear to reflect the fact that inventors are unable to produce potentially licensable inventions, or that eventually TTOs may not be focussing enough on commercialising their inventions.","author":[{"dropping-particle":"","family":"Arqué-Castells","given":"Pere","non-dropping-particle":"","parse-names":false,"suffix":""},{"dropping-particle":"","family":"Cartaxo","given":"Rui M.","non-dropping-particle":"","parse-names":false,"suffix":""},{"dropping-particle":"","family":"García-Quevedo","given":"Jose","non-dropping-particle":"","parse-names":false,"suffix":""},{"dropping-particle":"","family":"Godinho","given":"Manuel Mira","non-dropping-particle":"","parse-names":false,"suffix":""}],"container-title":"Research Policy","id":"ITEM-1","issue":"9","issued":{"date-parts":[["2016"]]},"page":"1858-1872","publisher":"Elsevier B.V.","title":"Royalty sharing, effort and invention in universities: Evidence from Portugal and Spain","type":"article-journal","volume":"45"},"uris":["http://www.mendeley.com/documents/?uuid=9dc55724-30e7-4819-98fd-32f02e1caf8d"]},{"id":"ITEM-2","itemData":{"DOI":"10.1023/B:JOTT.0000034127.01889.86","ISBN":"0892-9912","ISSN":"0892-9912","PMID":"2873","abstract":"There has been a paucity of research to date that has explored whether incentive systems—in the form of monetary payments to inventors, their department or institution, or to university technology transfer office (UTTO) personnel—affect entrepreneurial activities at U.S. universities. To shed light on whether financial incentives to scientists, their departments, and UTTO personnel effect entrepreneurial activity, we used both qualitative data (structured interviews with 128 UTTO directors) and quantitative data from surveys and databases available on the web. Our results show surprisingly and opposite to our theoretical predictions that incentives to scientists and to their departments are negatively related to entrepreneurial activity. In addition and consistent with theory-based predictions, pay to UTTO personnel is positively related to entrepreneurial activity. We conclude with a discussion that offers some implications to research, practice, and theory in the field of technology transfer.","author":[{"dropping-particle":"","family":"Markman","given":"Gideon D.","non-dropping-particle":"","parse-names":false,"suffix":""},{"dropping-particle":"","family":"Gianiodis","given":"Peter T.","non-dropping-particle":"","parse-names":false,"suffix":""},{"dropping-particle":"","family":"Phan","given":"Phillip H.","non-dropping-particle":"","parse-names":false,"suffix":""},{"dropping-particle":"","family":"Balkin","given":"David B.","non-dropping-particle":"","parse-names":false,"suffix":""}],"container-title":"The Journal of Technology Transfer","id":"ITEM-2","issue":"3/4","issued":{"date-parts":[["2004"]]},"page":"353-364","title":"Entrepreneurship from the Ivory Tower: Do Incentive Systems Matter?","type":"article-journal","volume":"29"},"uris":["http://www.mendeley.com/documents/?uuid=c689f362-be7c-4b60-98da-458f4226733a"]},{"id":"ITEM-3","itemData":{"DOI":"10.1016/j.respol.2011.09.002","ISBN":"00487333","ISSN":"00487333","PMID":"26053391","abstract":"This paper employs the three concepts of 'gold' (financial rewards), 'ribbon' (reputational/career rewards) and 'puzzle' (intrinsic satisfaction) to examine the extrinsic and intrinsic aspects of scientists' motivation for pursuing commercial activities. The study is based on 36 individual interviews and an on-line questionnaire survey of 735 scientists from five major UK research universities. It finds that there is a diversity of motivations for commercial engagement, and that many do so for reputational and intrinsic reasons and that financial rewards play a relatively small part. The paper draws on self-determination theory in social psychology to analyse the relationship between scientists' value orientations with regard to commercial engagement and their personal motivations. It finds that those with traditional beliefs about the separation of science from commerce are more likely to be extrinsically motivated, using commercialization as a means to obtain resources to support their quest for the 'ribbon'. In contrast, those identify closely with entrepreneurial norms are intrinsically motivated by the autonomy and 'puzzle-solving' involved in applied commercial research while also motivated by the 'gold'. The study highlights the primacy of scientists' self-motivation, and suggests that a fuller explanation of their commercial behaviour will need to consider a broader mix of motives to include the social and affective aspects of intrinsic motivation. In conclusion, the paper argues that policy to encourage commercial engagement should build on reputational and intrinsic rather than purely financial motivations. © 2011 Elsevier B.V. All rights reserved.","author":[{"dropping-particle":"","family":"Lam","given":"Alice","non-dropping-particle":"","parse-names":false,"suffix":""}],"container-title":"Research Policy","id":"ITEM-3","issue":"10","issued":{"date-parts":[["2011"]]},"page":"1354-1368","title":"What motivates academic scientists to engage in research commercialization: 'Gold', 'ribbon' or 'puzzle'?","type":"article-journal","volume":"40"},"uris":["http://www.mendeley.com/documents/?uuid=7ffd5fa0-3822-435f-8e79-8bf2dc7f9b34"]},{"id":"ITEM-4","itemData":{"DOI":"10.1007/s10961-010-9153-z","ISBN":"0892-9912","ISSN":"08929912","abstract":"The debate on the entrepreneurial university has raised questions about what motivates academic scientists to engage with industry. This paper provides evidence based on survey data for a large sample of UK investigators in the physical and engineering sciences. The results suggest that most academics engage with industry to further their research rather than to commercialize their knowledge. However, there are differences in terms of the channels of engagement. Patenting and spin-off company formation are motivated exclusively by commercialization whilst joint research, contract research and consulting are strongly informed by research-related motives. We conclude that policy should refrain from overly focusing on monetary incentives for industry engagement and consider a broader range of incentives for promoting interaction between academia and industry.","author":[{"dropping-particle":"","family":"D'Este","given":"Pablo","non-dropping-particle":"","parse-names":false,"suffix":""},{"dropping-particle":"","family":"Perkmann","given":"Markus","non-dropping-particle":"","parse-names":false,"suffix":""}],"container-title":"Journal of Technology Transfer","id":"ITEM-4","issue":"3","issued":{"date-parts":[["2011"]]},"page":"316-339","title":"Why do academics engage with industry? The entrepreneurial university and individual motivations","type":"article-journal","volume":"36"},"uris":["http://www.mendeley.com/documents/?uuid=47fcbd90-c6f5-4186-bfa4-f494688fac06"]},{"id":"ITEM-5","itemData":{"DOI":"10.1007/s10961-009-9126-2","ISBN":"1096100991262","ISSN":"08929912","abstract":"We propose that scientists use patents/invention disclosures as signals to gain reputation than financial benefits. Based on a newly created dataset on the commercial activities among 2,500 scientists affiliated with 67 institutes of the German Max Planck Society, we explore the relation between the expectations of scientists concerning the outcomes of commercial activities and the likelihood of their patenting and disclosure behaviors. We find that expectation of gaining financial benefits are not related with the patenting activities of scientists without industrial cooperation. Instead, their expectation to gain/increase reputation through commercial activities is correlated with their patenting and disclosures activities. This may in turn also increase the possibility to gain academic promotion, financial benefits through industrial collaboration etc., rather than the immediate personal financial gains.","author":[{"dropping-particle":"","family":"Göktepe-Hulten","given":"Devrim","non-dropping-particle":"","parse-names":false,"suffix":""},{"dropping-particle":"","family":"Mahagaonkar","given":"Prashanth","non-dropping-particle":"","parse-names":false,"suffix":""}],"container-title":"Journal of Technology Transfer","id":"ITEM-5","issue":"4","issued":{"date-parts":[["2010"]]},"page":"401-423","title":"Inventing and patenting activities of scientists: In the expectation of money or reputation?","type":"article-journal","volume":"35"},"uris":["http://www.mendeley.com/documents/?uuid=fe2c7b72-236f-463a-b4f2-70577be24d55"]}],"mendeley":{"formattedCitation":"(Arqué-Castells et al., 2016; D’Este and Perkmann, 2011; Göktepe-Hulten and Mahagaonkar, 2010; Lam, 2011; Markman et al., 2004)","plainTextFormattedCitation":"(Arqué-Castells et al., 2016; D’Este and Perkmann, 2011; Göktepe-Hulten and Mahagaonkar, 2010; Lam, 2011; Markman et al., 2004)","previouslyFormattedCitation":"(Arqué-Castells et al., 2016; D’Este and Perkmann, 2011; Göktepe-Hulten and Mahagaonkar, 2010; Lam, 2011; Markman et al., 2004)"},"properties":{"noteIndex":0},"schema":"https://github.com/citation-style-language/schema/raw/master/csl-citation.json"}</w:instrText>
      </w:r>
      <w:r w:rsidR="00577636">
        <w:rPr>
          <w:rFonts w:ascii="Times New Roman" w:hAnsi="Times New Roman" w:cs="Times New Roman"/>
        </w:rPr>
        <w:fldChar w:fldCharType="separate"/>
      </w:r>
      <w:r w:rsidR="00577636" w:rsidRPr="00577636">
        <w:rPr>
          <w:rFonts w:ascii="Times New Roman" w:hAnsi="Times New Roman" w:cs="Times New Roman"/>
          <w:noProof/>
        </w:rPr>
        <w:t>(Arqué-Castells et al., 2016; D’Este and Perkmann, 2011; Göktepe-Hulten and Mahagaonkar, 2010; Lam, 2011; Markman et al., 2004)</w:t>
      </w:r>
      <w:r w:rsidR="00577636">
        <w:rPr>
          <w:rFonts w:ascii="Times New Roman" w:hAnsi="Times New Roman" w:cs="Times New Roman"/>
        </w:rPr>
        <w:fldChar w:fldCharType="end"/>
      </w:r>
      <w:r w:rsidR="001A3E4C" w:rsidRPr="00EF66BB">
        <w:rPr>
          <w:rFonts w:ascii="Times New Roman" w:hAnsi="Times New Roman" w:cs="Times New Roman"/>
        </w:rPr>
        <w:t>. In an early study</w:t>
      </w:r>
      <w:r w:rsidR="00A670C9" w:rsidRPr="00EF66BB">
        <w:rPr>
          <w:rFonts w:ascii="Times New Roman" w:hAnsi="Times New Roman" w:cs="Times New Roman"/>
        </w:rPr>
        <w:t>,</w:t>
      </w:r>
      <w:r w:rsidR="001A3E4C" w:rsidRPr="00EF66BB">
        <w:rPr>
          <w:rFonts w:ascii="Times New Roman" w:hAnsi="Times New Roman" w:cs="Times New Roman"/>
        </w:rPr>
        <w:t xml:space="preserve"> Markman et al (2004) examined the impact that pay policies have on the number of licences granted </w:t>
      </w:r>
      <w:r w:rsidRPr="00EF66BB">
        <w:rPr>
          <w:rFonts w:ascii="Times New Roman" w:hAnsi="Times New Roman" w:cs="Times New Roman"/>
        </w:rPr>
        <w:t xml:space="preserve">by </w:t>
      </w:r>
      <w:r w:rsidR="001A3E4C" w:rsidRPr="00EF66BB">
        <w:rPr>
          <w:rFonts w:ascii="Times New Roman" w:hAnsi="Times New Roman" w:cs="Times New Roman"/>
        </w:rPr>
        <w:t>universities, drawing on qualitative and quantitative evidence from 128 US institutions</w:t>
      </w:r>
      <w:r w:rsidR="00A670C9" w:rsidRPr="00EF66BB">
        <w:rPr>
          <w:rFonts w:ascii="Times New Roman" w:hAnsi="Times New Roman" w:cs="Times New Roman"/>
        </w:rPr>
        <w:t>.</w:t>
      </w:r>
      <w:r w:rsidR="001A3E4C" w:rsidRPr="00EF66BB">
        <w:rPr>
          <w:rFonts w:ascii="Times New Roman" w:hAnsi="Times New Roman" w:cs="Times New Roman"/>
        </w:rPr>
        <w:t xml:space="preserve"> </w:t>
      </w:r>
      <w:r w:rsidR="00A670C9" w:rsidRPr="00EF66BB">
        <w:rPr>
          <w:rFonts w:ascii="Times New Roman" w:hAnsi="Times New Roman" w:cs="Times New Roman"/>
        </w:rPr>
        <w:t>T</w:t>
      </w:r>
      <w:r w:rsidR="001A3E4C" w:rsidRPr="00EF66BB">
        <w:rPr>
          <w:rFonts w:ascii="Times New Roman" w:hAnsi="Times New Roman" w:cs="Times New Roman"/>
        </w:rPr>
        <w:t xml:space="preserve">heir </w:t>
      </w:r>
      <w:r w:rsidR="001A3E4C" w:rsidRPr="00EF66BB">
        <w:rPr>
          <w:rFonts w:ascii="Times New Roman" w:hAnsi="Times New Roman" w:cs="Times New Roman"/>
        </w:rPr>
        <w:lastRenderedPageBreak/>
        <w:t xml:space="preserve">regression models show that monetary incentives provided to inventors of licenced </w:t>
      </w:r>
      <w:r w:rsidRPr="00EF66BB">
        <w:rPr>
          <w:rFonts w:ascii="Times New Roman" w:hAnsi="Times New Roman" w:cs="Times New Roman"/>
        </w:rPr>
        <w:t>technologies have</w:t>
      </w:r>
      <w:r w:rsidR="001A3E4C" w:rsidRPr="00EF66BB">
        <w:rPr>
          <w:rFonts w:ascii="Times New Roman" w:hAnsi="Times New Roman" w:cs="Times New Roman"/>
        </w:rPr>
        <w:t xml:space="preserve"> </w:t>
      </w:r>
      <w:r w:rsidRPr="00EF66BB">
        <w:rPr>
          <w:rFonts w:ascii="Times New Roman" w:hAnsi="Times New Roman" w:cs="Times New Roman"/>
        </w:rPr>
        <w:t xml:space="preserve">a </w:t>
      </w:r>
      <w:r w:rsidR="001A3E4C" w:rsidRPr="00EF66BB">
        <w:rPr>
          <w:rFonts w:ascii="Times New Roman" w:hAnsi="Times New Roman" w:cs="Times New Roman"/>
        </w:rPr>
        <w:t>significant negative</w:t>
      </w:r>
      <w:r w:rsidR="003B1FDA" w:rsidRPr="00EF66BB">
        <w:rPr>
          <w:rFonts w:ascii="Times New Roman" w:hAnsi="Times New Roman" w:cs="Times New Roman"/>
        </w:rPr>
        <w:t xml:space="preserve"> relationship</w:t>
      </w:r>
      <w:r w:rsidR="001A3E4C" w:rsidRPr="00EF66BB">
        <w:rPr>
          <w:rFonts w:ascii="Times New Roman" w:hAnsi="Times New Roman" w:cs="Times New Roman"/>
        </w:rPr>
        <w:t xml:space="preserve">. </w:t>
      </w:r>
      <w:r w:rsidR="00577636">
        <w:rPr>
          <w:rFonts w:ascii="Times New Roman" w:hAnsi="Times New Roman" w:cs="Times New Roman"/>
        </w:rPr>
        <w:fldChar w:fldCharType="begin" w:fldLock="1"/>
      </w:r>
      <w:r w:rsidR="00577636">
        <w:rPr>
          <w:rFonts w:ascii="Times New Roman" w:hAnsi="Times New Roman" w:cs="Times New Roman"/>
        </w:rPr>
        <w:instrText>ADDIN CSL_CITATION {"citationItems":[{"id":"ITEM-1","itemData":{"DOI":"10.1023/B:JOTT.0000034127.01889.86","ISBN":"0892-9912","ISSN":"0892-9912","PMID":"2873","abstract":"There has been a paucity of research to date that has explored whether incentive systems—in the form of monetary payments to inventors, their department or institution, or to university technology transfer office (UTTO) personnel—affect entrepreneurial activities at U.S. universities. To shed light on whether financial incentives to scientists, their departments, and UTTO personnel effect entrepreneurial activity, we used both qualitative data (structured interviews with 128 UTTO directors) and quantitative data from surveys and databases available on the web. Our results show surprisingly and opposite to our theoretical predictions that incentives to scientists and to their departments are negatively related to entrepreneurial activity. In addition and consistent with theory-based predictions, pay to UTTO personnel is positively related to entrepreneurial activity. We conclude with a discussion that offers some implications to research, practice, and theory in the field of technology transfer.","author":[{"dropping-particle":"","family":"Markman","given":"Gideon D.","non-dropping-particle":"","parse-names":false,"suffix":""},{"dropping-particle":"","family":"Gianiodis","given":"Peter T.","non-dropping-particle":"","parse-names":false,"suffix":""},{"dropping-particle":"","family":"Phan","given":"Phillip H.","non-dropping-particle":"","parse-names":false,"suffix":""},{"dropping-particle":"","family":"Balkin","given":"David B.","non-dropping-particle":"","parse-names":false,"suffix":""}],"container-title":"The Journal of Technology Transfer","id":"ITEM-1","issue":"3/4","issued":{"date-parts":[["2004"]]},"page":"353-364","title":"Entrepreneurship from the Ivory Tower: Do Incentive Systems Matter?","type":"article-journal","volume":"29"},"uris":["http://www.mendeley.com/documents/?uuid=c689f362-be7c-4b60-98da-458f4226733a"]}],"mendeley":{"formattedCitation":"(Markman et al., 2004)","manualFormatting":"Markman et al (2004)","plainTextFormattedCitation":"(Markman et al., 2004)","previouslyFormattedCitation":"(Markman et al., 2004)"},"properties":{"noteIndex":0},"schema":"https://github.com/citation-style-language/schema/raw/master/csl-citation.json"}</w:instrText>
      </w:r>
      <w:r w:rsidR="00577636">
        <w:rPr>
          <w:rFonts w:ascii="Times New Roman" w:hAnsi="Times New Roman" w:cs="Times New Roman"/>
        </w:rPr>
        <w:fldChar w:fldCharType="separate"/>
      </w:r>
      <w:r w:rsidR="00577636">
        <w:rPr>
          <w:rFonts w:ascii="Times New Roman" w:hAnsi="Times New Roman" w:cs="Times New Roman"/>
          <w:noProof/>
        </w:rPr>
        <w:t>Markman et al</w:t>
      </w:r>
      <w:r w:rsidR="00577636" w:rsidRPr="00577636">
        <w:rPr>
          <w:rFonts w:ascii="Times New Roman" w:hAnsi="Times New Roman" w:cs="Times New Roman"/>
          <w:noProof/>
        </w:rPr>
        <w:t xml:space="preserve"> </w:t>
      </w:r>
      <w:r w:rsidR="00577636">
        <w:rPr>
          <w:rFonts w:ascii="Times New Roman" w:hAnsi="Times New Roman" w:cs="Times New Roman"/>
          <w:noProof/>
        </w:rPr>
        <w:t>(</w:t>
      </w:r>
      <w:r w:rsidR="00577636" w:rsidRPr="00577636">
        <w:rPr>
          <w:rFonts w:ascii="Times New Roman" w:hAnsi="Times New Roman" w:cs="Times New Roman"/>
          <w:noProof/>
        </w:rPr>
        <w:t>2004)</w:t>
      </w:r>
      <w:r w:rsidR="00577636">
        <w:rPr>
          <w:rFonts w:ascii="Times New Roman" w:hAnsi="Times New Roman" w:cs="Times New Roman"/>
        </w:rPr>
        <w:fldChar w:fldCharType="end"/>
      </w:r>
      <w:r w:rsidRPr="00EF66BB">
        <w:rPr>
          <w:rFonts w:ascii="Times New Roman" w:hAnsi="Times New Roman" w:cs="Times New Roman"/>
        </w:rPr>
        <w:t xml:space="preserve"> </w:t>
      </w:r>
      <w:r w:rsidR="001A3E4C" w:rsidRPr="00EF66BB">
        <w:rPr>
          <w:rFonts w:ascii="Times New Roman" w:hAnsi="Times New Roman" w:cs="Times New Roman"/>
        </w:rPr>
        <w:t xml:space="preserve">suggest that this negative association indicates a potential misalignment between technology transfer objectives and incentive structures. This potential misalignment is also highlighted by </w:t>
      </w:r>
      <w:r w:rsidR="00577636">
        <w:rPr>
          <w:rFonts w:ascii="Times New Roman" w:hAnsi="Times New Roman" w:cs="Times New Roman"/>
        </w:rPr>
        <w:fldChar w:fldCharType="begin" w:fldLock="1"/>
      </w:r>
      <w:r w:rsidR="00577636">
        <w:rPr>
          <w:rFonts w:ascii="Times New Roman" w:hAnsi="Times New Roman" w:cs="Times New Roman"/>
        </w:rPr>
        <w:instrText>ADDIN CSL_CITATION {"citationItems":[{"id":"ITEM-1","itemData":{"DOI":"10.1016/j.respol.2011.09.002","ISBN":"00487333","ISSN":"00487333","PMID":"26053391","abstract":"This paper employs the three concepts of 'gold' (financial rewards), 'ribbon' (reputational/career rewards) and 'puzzle' (intrinsic satisfaction) to examine the extrinsic and intrinsic aspects of scientists' motivation for pursuing commercial activities. The study is based on 36 individual interviews and an on-line questionnaire survey of 735 scientists from five major UK research universities. It finds that there is a diversity of motivations for commercial engagement, and that many do so for reputational and intrinsic reasons and that financial rewards play a relatively small part. The paper draws on self-determination theory in social psychology to analyse the relationship between scientists' value orientations with regard to commercial engagement and their personal motivations. It finds that those with traditional beliefs about the separation of science from commerce are more likely to be extrinsically motivated, using commercialization as a means to obtain resources to support their quest for the 'ribbon'. In contrast, those identify closely with entrepreneurial norms are intrinsically motivated by the autonomy and 'puzzle-solving' involved in applied commercial research while also motivated by the 'gold'. The study highlights the primacy of scientists' self-motivation, and suggests that a fuller explanation of their commercial behaviour will need to consider a broader mix of motives to include the social and affective aspects of intrinsic motivation. In conclusion, the paper argues that policy to encourage commercial engagement should build on reputational and intrinsic rather than purely financial motivations. © 2011 Elsevier B.V. All rights reserved.","author":[{"dropping-particle":"","family":"Lam","given":"Alice","non-dropping-particle":"","parse-names":false,"suffix":""}],"container-title":"Research Policy","id":"ITEM-1","issue":"10","issued":{"date-parts":[["2011"]]},"page":"1354-1368","title":"What motivates academic scientists to engage in research commercialization: 'Gold', 'ribbon' or 'puzzle'?","type":"article-journal","volume":"40"},"uris":["http://www.mendeley.com/documents/?uuid=7ffd5fa0-3822-435f-8e79-8bf2dc7f9b34"]}],"mendeley":{"formattedCitation":"(Lam, 2011)","manualFormatting":"Lam (2011)","plainTextFormattedCitation":"(Lam, 2011)","previouslyFormattedCitation":"(Lam, 2011)"},"properties":{"noteIndex":0},"schema":"https://github.com/citation-style-language/schema/raw/master/csl-citation.json"}</w:instrText>
      </w:r>
      <w:r w:rsidR="00577636">
        <w:rPr>
          <w:rFonts w:ascii="Times New Roman" w:hAnsi="Times New Roman" w:cs="Times New Roman"/>
        </w:rPr>
        <w:fldChar w:fldCharType="separate"/>
      </w:r>
      <w:r w:rsidR="00577636">
        <w:rPr>
          <w:rFonts w:ascii="Times New Roman" w:hAnsi="Times New Roman" w:cs="Times New Roman"/>
          <w:noProof/>
        </w:rPr>
        <w:t>Lam</w:t>
      </w:r>
      <w:r w:rsidR="00577636" w:rsidRPr="00577636">
        <w:rPr>
          <w:rFonts w:ascii="Times New Roman" w:hAnsi="Times New Roman" w:cs="Times New Roman"/>
          <w:noProof/>
        </w:rPr>
        <w:t xml:space="preserve"> </w:t>
      </w:r>
      <w:r w:rsidR="00577636">
        <w:rPr>
          <w:rFonts w:ascii="Times New Roman" w:hAnsi="Times New Roman" w:cs="Times New Roman"/>
          <w:noProof/>
        </w:rPr>
        <w:t>(</w:t>
      </w:r>
      <w:r w:rsidR="00577636" w:rsidRPr="00577636">
        <w:rPr>
          <w:rFonts w:ascii="Times New Roman" w:hAnsi="Times New Roman" w:cs="Times New Roman"/>
          <w:noProof/>
        </w:rPr>
        <w:t>2011)</w:t>
      </w:r>
      <w:r w:rsidR="00577636">
        <w:rPr>
          <w:rFonts w:ascii="Times New Roman" w:hAnsi="Times New Roman" w:cs="Times New Roman"/>
        </w:rPr>
        <w:fldChar w:fldCharType="end"/>
      </w:r>
      <w:r w:rsidR="001A3E4C" w:rsidRPr="00EF66BB">
        <w:rPr>
          <w:rFonts w:ascii="Times New Roman" w:hAnsi="Times New Roman" w:cs="Times New Roman"/>
        </w:rPr>
        <w:t xml:space="preserve"> who explores the motivations of UK scientists to engage in commercialisation activities. Based on a survey of 735 UK scientists, Lam (2011) shows that those academics most likely to be involved in commercial activity are motivated more by an intrinsic desire to provide solutions to real world challenges rather than potential monetary gain. Thus, she concludes that universities seeking to encourage commercialisation should build incentives based on reputational and intrinsic motivations rather than financial motivations. Other studies that adopt the individual academic as the unit of analysis have also demonstrated the relative insignificance of monetary incentives in stimulating commercialisation efforts when compared to reputational motivations </w:t>
      </w:r>
      <w:r w:rsidR="00577636">
        <w:rPr>
          <w:rFonts w:ascii="Times New Roman" w:hAnsi="Times New Roman" w:cs="Times New Roman"/>
        </w:rPr>
        <w:fldChar w:fldCharType="begin" w:fldLock="1"/>
      </w:r>
      <w:r w:rsidR="00577636">
        <w:rPr>
          <w:rFonts w:ascii="Times New Roman" w:hAnsi="Times New Roman" w:cs="Times New Roman"/>
        </w:rPr>
        <w:instrText>ADDIN CSL_CITATION {"citationItems":[{"id":"ITEM-1","itemData":{"DOI":"10.1007/s10961-009-9126-2","ISBN":"1096100991262","ISSN":"08929912","abstract":"We propose that scientists use patents/invention disclosures as signals to gain reputation than financial benefits. Based on a newly created dataset on the commercial activities among 2,500 scientists affiliated with 67 institutes of the German Max Planck Society, we explore the relation between the expectations of scientists concerning the outcomes of commercial activities and the likelihood of their patenting and disclosure behaviors. We find that expectation of gaining financial benefits are not related with the patenting activities of scientists without industrial cooperation. Instead, their expectation to gain/increase reputation through commercial activities is correlated with their patenting and disclosures activities. This may in turn also increase the possibility to gain academic promotion, financial benefits through industrial collaboration etc., rather than the immediate personal financial gains.","author":[{"dropping-particle":"","family":"Göktepe-Hulten","given":"Devrim","non-dropping-particle":"","parse-names":false,"suffix":""},{"dropping-particle":"","family":"Mahagaonkar","given":"Prashanth","non-dropping-particle":"","parse-names":false,"suffix":""}],"container-title":"Journal of Technology Transfer","id":"ITEM-1","issue":"4","issued":{"date-parts":[["2010"]]},"page":"401-423","title":"Inventing and patenting activities of scientists: In the expectation of money or reputation?","type":"article-journal","volume":"35"},"uris":["http://www.mendeley.com/documents/?uuid=fe2c7b72-236f-463a-b4f2-70577be24d55"]},{"id":"ITEM-2","itemData":{"DOI":"10.1007/s10961-010-9153-z","ISBN":"0892-9912","ISSN":"08929912","abstract":"The debate on the entrepreneurial university has raised questions about what motivates academic scientists to engage with industry. This paper provides evidence based on survey data for a large sample of UK investigators in the physical and engineering sciences. The results suggest that most academics engage with industry to further their research rather than to commercialize their knowledge. However, there are differences in terms of the channels of engagement. Patenting and spin-off company formation are motivated exclusively by commercialization whilst joint research, contract research and consulting are strongly informed by research-related motives. We conclude that policy should refrain from overly focusing on monetary incentives for industry engagement and consider a broader range of incentives for promoting interaction between academia and industry.","author":[{"dropping-particle":"","family":"D'Este","given":"Pablo","non-dropping-particle":"","parse-names":false,"suffix":""},{"dropping-particle":"","family":"Perkmann","given":"Markus","non-dropping-particle":"","parse-names":false,"suffix":""}],"container-title":"Journal of Technology Transfer","id":"ITEM-2","issue":"3","issued":{"date-parts":[["2011"]]},"page":"316-339","title":"Why do academics engage with industry? The entrepreneurial university and individual motivations","type":"article-journal","volume":"36"},"uris":["http://www.mendeley.com/documents/?uuid=47fcbd90-c6f5-4186-bfa4-f494688fac06"]}],"mendeley":{"formattedCitation":"(D’Este and Perkmann, 2011; Göktepe-Hulten and Mahagaonkar, 2010)","plainTextFormattedCitation":"(D’Este and Perkmann, 2011; Göktepe-Hulten and Mahagaonkar, 2010)","previouslyFormattedCitation":"(D’Este and Perkmann, 2011; Göktepe-Hulten and Mahagaonkar, 2010)"},"properties":{"noteIndex":0},"schema":"https://github.com/citation-style-language/schema/raw/master/csl-citation.json"}</w:instrText>
      </w:r>
      <w:r w:rsidR="00577636">
        <w:rPr>
          <w:rFonts w:ascii="Times New Roman" w:hAnsi="Times New Roman" w:cs="Times New Roman"/>
        </w:rPr>
        <w:fldChar w:fldCharType="separate"/>
      </w:r>
      <w:r w:rsidR="00577636" w:rsidRPr="00577636">
        <w:rPr>
          <w:rFonts w:ascii="Times New Roman" w:hAnsi="Times New Roman" w:cs="Times New Roman"/>
          <w:noProof/>
        </w:rPr>
        <w:t>(D’Este and Perkmann, 2011; Göktepe-Hulten and Mahagaonkar, 2010)</w:t>
      </w:r>
      <w:r w:rsidR="00577636">
        <w:rPr>
          <w:rFonts w:ascii="Times New Roman" w:hAnsi="Times New Roman" w:cs="Times New Roman"/>
        </w:rPr>
        <w:fldChar w:fldCharType="end"/>
      </w:r>
      <w:r w:rsidR="001A3E4C" w:rsidRPr="00EF66BB">
        <w:rPr>
          <w:rFonts w:ascii="Times New Roman" w:hAnsi="Times New Roman" w:cs="Times New Roman"/>
        </w:rPr>
        <w:t xml:space="preserve">. </w:t>
      </w:r>
    </w:p>
    <w:p w14:paraId="4499A3D9" w14:textId="77777777" w:rsidR="001A3E4C" w:rsidRPr="00EF66BB" w:rsidRDefault="001A3E4C" w:rsidP="00141231">
      <w:pPr>
        <w:spacing w:line="360" w:lineRule="auto"/>
        <w:rPr>
          <w:rFonts w:ascii="Times New Roman" w:hAnsi="Times New Roman" w:cs="Times New Roman"/>
        </w:rPr>
      </w:pPr>
    </w:p>
    <w:p w14:paraId="552FA182" w14:textId="5C23E4A8" w:rsidR="001A3E4C" w:rsidRPr="00EF66BB" w:rsidRDefault="00E813E9" w:rsidP="00141231">
      <w:pPr>
        <w:spacing w:line="360" w:lineRule="auto"/>
        <w:rPr>
          <w:rFonts w:ascii="Times New Roman" w:hAnsi="Times New Roman" w:cs="Times New Roman"/>
        </w:rPr>
      </w:pPr>
      <w:r w:rsidRPr="00EF66BB">
        <w:rPr>
          <w:rFonts w:ascii="Times New Roman" w:hAnsi="Times New Roman" w:cs="Times New Roman"/>
        </w:rPr>
        <w:t xml:space="preserve">From the literature </w:t>
      </w:r>
      <w:r w:rsidR="0055220B">
        <w:rPr>
          <w:rFonts w:ascii="Times New Roman" w:hAnsi="Times New Roman" w:cs="Times New Roman"/>
        </w:rPr>
        <w:t>discussed</w:t>
      </w:r>
      <w:r w:rsidR="0055220B" w:rsidRPr="00EF66BB">
        <w:rPr>
          <w:rFonts w:ascii="Times New Roman" w:hAnsi="Times New Roman" w:cs="Times New Roman"/>
        </w:rPr>
        <w:t xml:space="preserve"> </w:t>
      </w:r>
      <w:r w:rsidRPr="00EF66BB">
        <w:rPr>
          <w:rFonts w:ascii="Times New Roman" w:hAnsi="Times New Roman" w:cs="Times New Roman"/>
        </w:rPr>
        <w:t>above, it is clear that s</w:t>
      </w:r>
      <w:r w:rsidR="001A3E4C" w:rsidRPr="00EF66BB">
        <w:rPr>
          <w:rFonts w:ascii="Times New Roman" w:hAnsi="Times New Roman" w:cs="Times New Roman"/>
        </w:rPr>
        <w:t>tudies adopt</w:t>
      </w:r>
      <w:r w:rsidR="00B27393">
        <w:rPr>
          <w:rFonts w:ascii="Times New Roman" w:hAnsi="Times New Roman" w:cs="Times New Roman"/>
        </w:rPr>
        <w:t>ing</w:t>
      </w:r>
      <w:r w:rsidR="001A3E4C" w:rsidRPr="00EF66BB">
        <w:rPr>
          <w:rFonts w:ascii="Times New Roman" w:hAnsi="Times New Roman" w:cs="Times New Roman"/>
        </w:rPr>
        <w:t xml:space="preserve"> </w:t>
      </w:r>
      <w:r w:rsidR="001A3E4C" w:rsidRPr="00EF66BB">
        <w:rPr>
          <w:rFonts w:ascii="Times New Roman" w:hAnsi="Times New Roman" w:cs="Times New Roman"/>
          <w:i/>
        </w:rPr>
        <w:t>the university</w:t>
      </w:r>
      <w:r w:rsidR="001A3E4C" w:rsidRPr="00EF66BB">
        <w:rPr>
          <w:rFonts w:ascii="Times New Roman" w:hAnsi="Times New Roman" w:cs="Times New Roman"/>
        </w:rPr>
        <w:t xml:space="preserve"> as the unit of analysis are consistent in demonstrating a relationship between pecuniary incentives and licencing activity and those </w:t>
      </w:r>
      <w:r w:rsidR="00014374" w:rsidRPr="00EF66BB">
        <w:rPr>
          <w:rFonts w:ascii="Times New Roman" w:hAnsi="Times New Roman" w:cs="Times New Roman"/>
        </w:rPr>
        <w:t>adopting individuals</w:t>
      </w:r>
      <w:r w:rsidR="001A3E4C" w:rsidRPr="00EF66BB">
        <w:rPr>
          <w:rFonts w:ascii="Times New Roman" w:hAnsi="Times New Roman" w:cs="Times New Roman"/>
        </w:rPr>
        <w:t xml:space="preserve"> as the unit of analysis are consistent in demonstrating the insignificance of pecuniary incentives as drivers of commercialisation activity. However, </w:t>
      </w:r>
      <w:r w:rsidR="00577636">
        <w:rPr>
          <w:rFonts w:ascii="Times New Roman" w:hAnsi="Times New Roman" w:cs="Times New Roman"/>
        </w:rPr>
        <w:fldChar w:fldCharType="begin" w:fldLock="1"/>
      </w:r>
      <w:r w:rsidR="00577636">
        <w:rPr>
          <w:rFonts w:ascii="Times New Roman" w:hAnsi="Times New Roman" w:cs="Times New Roman"/>
        </w:rPr>
        <w:instrText>ADDIN CSL_CITATION {"citationItems":[{"id":"ITEM-1","itemData":{"DOI":"10.1016/j.respol.2016.06.006","ISBN":"00487333 (ISSN)","ISSN":"00487333","abstract":"Portuguese and Spanish universities have adopted well-defined royalty sharing arrangements over the last fifteen years. We investigate whether such royalty sharing arrangements have been effective in stimulating inventors’ efforts and in ultimately improving university outcomes. We base our empirical analysis on university-level data and two new self-collected surveys for both inventors and Technology Transfer Offices (TTOs). Evidence from the inventors’ survey indicates that one third of respondents are incentivised by current royalty sharing arrangements, one third could be incentivised by higher royalty shares, and the remaining third is totally insensitive to royalty sharing. Plain regressions on university level datasets suggest that the incentive effects documented by the inventors’ survey fail to translate into increased patenting or licensing income. It would seem that inventor royalty shares are not as influential as they could be, due to the poor commercial prospects of university inventions. Among other possible reasons, these poor prospects appear to reflect the fact that inventors are unable to produce potentially licensable inventions, or that eventually TTOs may not be focussing enough on commercialising their inventions.","author":[{"dropping-particle":"","family":"Arqué-Castells","given":"Pere","non-dropping-particle":"","parse-names":false,"suffix":""},{"dropping-particle":"","family":"Cartaxo","given":"Rui M.","non-dropping-particle":"","parse-names":false,"suffix":""},{"dropping-particle":"","family":"García-Quevedo","given":"Jose","non-dropping-particle":"","parse-names":false,"suffix":""},{"dropping-particle":"","family":"Godinho","given":"Manuel Mira","non-dropping-particle":"","parse-names":false,"suffix":""}],"container-title":"Research Policy","id":"ITEM-1","issue":"9","issued":{"date-parts":[["2016"]]},"page":"1858-1872","publisher":"Elsevier B.V.","title":"Royalty sharing, effort and invention in universities: Evidence from Portugal and Spain","type":"article-journal","volume":"45"},"uris":["http://www.mendeley.com/documents/?uuid=9dc55724-30e7-4819-98fd-32f02e1caf8d"]}],"mendeley":{"formattedCitation":"(Arqué-Castells et al., 2016)","manualFormatting":"Arqué-Castells et al (2016)","plainTextFormattedCitation":"(Arqué-Castells et al., 2016)","previouslyFormattedCitation":"(Arqué-Castells et al., 2016)"},"properties":{"noteIndex":0},"schema":"https://github.com/citation-style-language/schema/raw/master/csl-citation.json"}</w:instrText>
      </w:r>
      <w:r w:rsidR="00577636">
        <w:rPr>
          <w:rFonts w:ascii="Times New Roman" w:hAnsi="Times New Roman" w:cs="Times New Roman"/>
        </w:rPr>
        <w:fldChar w:fldCharType="separate"/>
      </w:r>
      <w:r w:rsidR="00577636">
        <w:rPr>
          <w:rFonts w:ascii="Times New Roman" w:hAnsi="Times New Roman" w:cs="Times New Roman"/>
          <w:noProof/>
        </w:rPr>
        <w:t>Arqué-Castells et al</w:t>
      </w:r>
      <w:r w:rsidR="00577636" w:rsidRPr="00577636">
        <w:rPr>
          <w:rFonts w:ascii="Times New Roman" w:hAnsi="Times New Roman" w:cs="Times New Roman"/>
          <w:noProof/>
        </w:rPr>
        <w:t xml:space="preserve"> </w:t>
      </w:r>
      <w:r w:rsidR="00577636">
        <w:rPr>
          <w:rFonts w:ascii="Times New Roman" w:hAnsi="Times New Roman" w:cs="Times New Roman"/>
          <w:noProof/>
        </w:rPr>
        <w:t>(</w:t>
      </w:r>
      <w:r w:rsidR="00577636" w:rsidRPr="00577636">
        <w:rPr>
          <w:rFonts w:ascii="Times New Roman" w:hAnsi="Times New Roman" w:cs="Times New Roman"/>
          <w:noProof/>
        </w:rPr>
        <w:t>2016)</w:t>
      </w:r>
      <w:r w:rsidR="00577636">
        <w:rPr>
          <w:rFonts w:ascii="Times New Roman" w:hAnsi="Times New Roman" w:cs="Times New Roman"/>
        </w:rPr>
        <w:fldChar w:fldCharType="end"/>
      </w:r>
      <w:r w:rsidR="00577636">
        <w:rPr>
          <w:rFonts w:ascii="Times New Roman" w:hAnsi="Times New Roman" w:cs="Times New Roman"/>
        </w:rPr>
        <w:t xml:space="preserve"> </w:t>
      </w:r>
      <w:r w:rsidR="001A3E4C" w:rsidRPr="00EF66BB">
        <w:rPr>
          <w:rFonts w:ascii="Times New Roman" w:hAnsi="Times New Roman" w:cs="Times New Roman"/>
        </w:rPr>
        <w:t>have recently questioned the link between pecuniary incentives and licensing revenue at the university level. Drawing on data from 15 Portuguese and 39 Spanish universities, they show that the provision of higher royalty shares to staff fail to translate into higher licensing revenues for universit</w:t>
      </w:r>
      <w:r w:rsidR="000A1691">
        <w:rPr>
          <w:rFonts w:ascii="Times New Roman" w:hAnsi="Times New Roman" w:cs="Times New Roman"/>
        </w:rPr>
        <w:t>ies</w:t>
      </w:r>
      <w:r w:rsidR="001A3E4C" w:rsidRPr="00EF66BB">
        <w:rPr>
          <w:rFonts w:ascii="Times New Roman" w:hAnsi="Times New Roman" w:cs="Times New Roman"/>
        </w:rPr>
        <w:t xml:space="preserve">. They </w:t>
      </w:r>
      <w:r w:rsidR="00D12023" w:rsidRPr="00EF66BB">
        <w:rPr>
          <w:rFonts w:ascii="Times New Roman" w:hAnsi="Times New Roman" w:cs="Times New Roman"/>
        </w:rPr>
        <w:t>echo Markman</w:t>
      </w:r>
      <w:r w:rsidR="001A3E4C" w:rsidRPr="00EF66BB">
        <w:rPr>
          <w:rFonts w:ascii="Times New Roman" w:hAnsi="Times New Roman" w:cs="Times New Roman"/>
        </w:rPr>
        <w:t xml:space="preserve"> et al (2004) by suggesting the lack of </w:t>
      </w:r>
      <w:r w:rsidR="00D12023" w:rsidRPr="00EF66BB">
        <w:rPr>
          <w:rFonts w:ascii="Times New Roman" w:hAnsi="Times New Roman" w:cs="Times New Roman"/>
        </w:rPr>
        <w:t xml:space="preserve">a </w:t>
      </w:r>
      <w:r w:rsidR="001A3E4C" w:rsidRPr="00EF66BB">
        <w:rPr>
          <w:rFonts w:ascii="Times New Roman" w:hAnsi="Times New Roman" w:cs="Times New Roman"/>
        </w:rPr>
        <w:t xml:space="preserve">relationship between incentives and outcomes is a consequence of the misalignment between TTO objectives and university incentive structures. In concluding their analysis, </w:t>
      </w:r>
      <w:proofErr w:type="spellStart"/>
      <w:r w:rsidR="001A3E4C" w:rsidRPr="00EF66BB">
        <w:rPr>
          <w:rFonts w:ascii="Times New Roman" w:hAnsi="Times New Roman" w:cs="Times New Roman"/>
        </w:rPr>
        <w:t>Arque</w:t>
      </w:r>
      <w:proofErr w:type="spellEnd"/>
      <w:r w:rsidR="001A3E4C" w:rsidRPr="00EF66BB">
        <w:rPr>
          <w:rFonts w:ascii="Times New Roman" w:hAnsi="Times New Roman" w:cs="Times New Roman"/>
        </w:rPr>
        <w:t xml:space="preserve">-Castells et al (2016) draw attention to the important mediation role that TTOs play in the technology transfer process. </w:t>
      </w:r>
    </w:p>
    <w:p w14:paraId="1F53E4BA" w14:textId="77777777" w:rsidR="001A3E4C" w:rsidRPr="00EF66BB" w:rsidRDefault="001A3E4C" w:rsidP="00141231">
      <w:pPr>
        <w:spacing w:line="360" w:lineRule="auto"/>
        <w:rPr>
          <w:rFonts w:ascii="Times New Roman" w:hAnsi="Times New Roman" w:cs="Times New Roman"/>
        </w:rPr>
      </w:pPr>
    </w:p>
    <w:p w14:paraId="22E70800" w14:textId="5D16BADB" w:rsidR="001A3E4C" w:rsidRPr="00EF66BB" w:rsidRDefault="001A3E4C" w:rsidP="00141231">
      <w:pPr>
        <w:spacing w:line="360" w:lineRule="auto"/>
        <w:rPr>
          <w:rFonts w:ascii="Times New Roman" w:hAnsi="Times New Roman" w:cs="Times New Roman"/>
        </w:rPr>
      </w:pPr>
      <w:r w:rsidRPr="00EF66BB">
        <w:rPr>
          <w:rFonts w:ascii="Times New Roman" w:hAnsi="Times New Roman" w:cs="Times New Roman"/>
        </w:rPr>
        <w:t xml:space="preserve">This highlights the second form of internal arrangement that university </w:t>
      </w:r>
      <w:r w:rsidR="0055220B">
        <w:rPr>
          <w:rFonts w:ascii="Times New Roman" w:hAnsi="Times New Roman" w:cs="Times New Roman"/>
        </w:rPr>
        <w:t>managers</w:t>
      </w:r>
      <w:r w:rsidR="0055220B" w:rsidRPr="00EF66BB">
        <w:rPr>
          <w:rFonts w:ascii="Times New Roman" w:hAnsi="Times New Roman" w:cs="Times New Roman"/>
        </w:rPr>
        <w:t xml:space="preserve"> </w:t>
      </w:r>
      <w:r w:rsidRPr="00EF66BB">
        <w:rPr>
          <w:rFonts w:ascii="Times New Roman" w:hAnsi="Times New Roman" w:cs="Times New Roman"/>
        </w:rPr>
        <w:t xml:space="preserve">can </w:t>
      </w:r>
      <w:r w:rsidR="000A1691">
        <w:rPr>
          <w:rFonts w:ascii="Times New Roman" w:hAnsi="Times New Roman" w:cs="Times New Roman"/>
        </w:rPr>
        <w:t>influence</w:t>
      </w:r>
      <w:r w:rsidRPr="00EF66BB">
        <w:rPr>
          <w:rFonts w:ascii="Times New Roman" w:hAnsi="Times New Roman" w:cs="Times New Roman"/>
        </w:rPr>
        <w:t xml:space="preserve">, the establishment of specific organisational structures to support technology transfer, namely TTOs. The impact of </w:t>
      </w:r>
      <w:r w:rsidR="003B1FDA" w:rsidRPr="00EF66BB">
        <w:rPr>
          <w:rFonts w:ascii="Times New Roman" w:hAnsi="Times New Roman" w:cs="Times New Roman"/>
        </w:rPr>
        <w:t xml:space="preserve">different </w:t>
      </w:r>
      <w:r w:rsidRPr="00EF66BB">
        <w:rPr>
          <w:rFonts w:ascii="Times New Roman" w:hAnsi="Times New Roman" w:cs="Times New Roman"/>
        </w:rPr>
        <w:t xml:space="preserve">TTO </w:t>
      </w:r>
      <w:r w:rsidR="003B1FDA" w:rsidRPr="00EF66BB">
        <w:rPr>
          <w:rFonts w:ascii="Times New Roman" w:hAnsi="Times New Roman" w:cs="Times New Roman"/>
        </w:rPr>
        <w:t xml:space="preserve">arrangements </w:t>
      </w:r>
      <w:r w:rsidRPr="00EF66BB">
        <w:rPr>
          <w:rFonts w:ascii="Times New Roman" w:hAnsi="Times New Roman" w:cs="Times New Roman"/>
        </w:rPr>
        <w:t xml:space="preserve">on technology transfer productivity have been </w:t>
      </w:r>
      <w:r w:rsidR="001A25F9">
        <w:rPr>
          <w:rFonts w:ascii="Times New Roman" w:hAnsi="Times New Roman" w:cs="Times New Roman"/>
        </w:rPr>
        <w:t xml:space="preserve">the </w:t>
      </w:r>
      <w:r w:rsidRPr="00EF66BB">
        <w:rPr>
          <w:rFonts w:ascii="Times New Roman" w:hAnsi="Times New Roman" w:cs="Times New Roman"/>
        </w:rPr>
        <w:t xml:space="preserve">subject </w:t>
      </w:r>
      <w:r w:rsidR="00D8475F">
        <w:rPr>
          <w:rFonts w:ascii="Times New Roman" w:hAnsi="Times New Roman" w:cs="Times New Roman"/>
        </w:rPr>
        <w:t>of</w:t>
      </w:r>
      <w:r w:rsidRPr="00EF66BB">
        <w:rPr>
          <w:rFonts w:ascii="Times New Roman" w:hAnsi="Times New Roman" w:cs="Times New Roman"/>
        </w:rPr>
        <w:t xml:space="preserve"> extensive empirical analys</w:t>
      </w:r>
      <w:r w:rsidR="001A25F9">
        <w:rPr>
          <w:rFonts w:ascii="Times New Roman" w:hAnsi="Times New Roman" w:cs="Times New Roman"/>
        </w:rPr>
        <w:t>e</w:t>
      </w:r>
      <w:r w:rsidRPr="00EF66BB">
        <w:rPr>
          <w:rFonts w:ascii="Times New Roman" w:hAnsi="Times New Roman" w:cs="Times New Roman"/>
        </w:rPr>
        <w:t xml:space="preserve">s </w:t>
      </w:r>
      <w:r w:rsidR="00577636">
        <w:rPr>
          <w:rFonts w:ascii="Times New Roman" w:hAnsi="Times New Roman" w:cs="Times New Roman"/>
        </w:rPr>
        <w:fldChar w:fldCharType="begin" w:fldLock="1"/>
      </w:r>
      <w:r w:rsidR="005C76D1">
        <w:rPr>
          <w:rFonts w:ascii="Times New Roman" w:hAnsi="Times New Roman" w:cs="Times New Roman"/>
        </w:rPr>
        <w:instrText>ADDIN CSL_CITATION {"citationItems":[{"id":"ITEM-1","itemData":{"DOI":"10.1111/j.1467-6486.2008.00804.x","ISBN":"1467-6486","ISSN":"00222380","abstract":"We examine the tensions that make it difficult for a research-oriented university to achieve commercial outcomes. Building on the organizational ambidexterity literature, we specify the nature of the tensions (between academic and commercially-oriented activities) at both organizational and individual levels of analysis, and how these can be resolved. We develop hypotheses linking specific aspects of the organization and the individual researcher to the likelihood of their research projects generating commercial outcomes, and we test them using a novel dataset of 207 Research Council-funded projects, combining objective data on project outcomes with the perceptions of principal investigators. We show that the tension between academic and commercial demands is more salient at the level of the individual researcher than at the level of the organization. Universities show evidence that they are able to manage the tensions between academic and commercial demands, through for example their creation of dual structures. At the individual level, on the other hand, the tensions are more acute, so that the people who deliver commercial outcomes tend to be rather different to those who are accustomed to producing academic outcomes","author":[{"dropping-particle":"","family":"Ambos","given":"T","non-dropping-particle":"","parse-names":false,"suffix":""},{"dropping-particle":"","family":"Mäkelä","given":"K","non-dropping-particle":"","parse-names":false,"suffix":""},{"dropping-particle":"","family":"Birkinshaw","given":"J","non-dropping-particle":"","parse-names":false,"suffix":""},{"dropping-particle":"","family":"D'Este","given":"P","non-dropping-particle":"","parse-names":false,"suffix":""}],"container-title":"Journal of Management Studies","id":"ITEM-1","issue":"December","issued":{"date-parts":[["2008"]]},"page":"1424-1447","title":"When Does University Research Get Commercialized? Creating Ambidexterity in Research Institutions","type":"article-journal","volume":"45"},"uris":["http://www.mendeley.com/documents/?uuid=2ff1c384-f348-444d-ac90-c33544cf7338"]},{"id":"ITEM-2","itemData":{"DOI":"10.1111/1467-8551.12224","ISSN":"14678551","abstract":"This paper addresses the gap in the knowledge transfer literature around how universi-ties choose specific organizational models for their knowledge transfer offices (KTOs). Organization theory points towards strong interlinkages between strategy, structure and processes in organizations. This motivates an exploration of similar links within the or-ganizational setup of KTOs. In doing so, the paper provides a unified theoretical frame-work around a university's choice of structure, business model and strategic preferences for their KTOs linked to university-specific contextual factors. A qualitative approach is used wherein four very distinct British universities are examined as individual case studies. The authors find that strategic aims of the university around practitioner engagement, the quantity of applied research and research specialization are key factors in determining the organizational characteristics of the KTO. The theoretical framework derived from the cases makes two key contributions to the university knowledge transfer literature. First, it links the university-level contextual factors to the local model of knowledge transfer. Second, it allows us to develop a set of generic models of knowledge transfer, which can potentially guide universities to develop their own specific models.","author":[{"dropping-particle":"","family":"Sengupta","given":"Abhijit","non-dropping-particle":"","parse-names":false,"suffix":""},{"dropping-particle":"","family":"Ray","given":"Amit S.","non-dropping-particle":"","parse-names":false,"suffix":""}],"container-title":"British Journal of Management","id":"ITEM-2","issue":"4","issued":{"date-parts":[["2017"]]},"page":"687-710","title":"Choice of Structure, Business Model and Portfolio: Organizational Models of Knowledge Transfer Offices in British Universities","type":"article-journal","volume":"28"},"uris":["http://www.mendeley.com/documents/?uuid=69f0919c-c25e-4005-8e21-cc66488aca4a"]},{"id":"ITEM-3","itemData":{"DOI":"10.1016/j.respol.2005.01.007","ISBN":"0048-7333","ISSN":"00487333","PMID":"2878","abstract":"We present evidence on the relative performance of U.K. university technology transfer offices (TTOs) using data envelopment analysis (DEA) and stochastic frontier estimation (SFE). U.K. TTOs are found to exhibit low-levels of absolute efficiency. There also appear to be decreasing returns to scale, implying that TTOs may need to be reconfigured into smaller units. The development of regionally-based sector focused TTOs is also advised. Consistent with qualitative evidence from U.S. TTOs, we find that there is a need to upgrade the business skills and capabilities of U.K. TTO managers and licensing officers. © 2005 Elsevier B.V. All rights reserved.","author":[{"dropping-particle":"","family":"Chapple","given":"Wendy","non-dropping-particle":"","parse-names":false,"suffix":""},{"dropping-particle":"","family":"Lockett","given":"Andy","non-dropping-particle":"","parse-names":false,"suffix":""},{"dropping-particle":"","family":"Siegel","given":"Donald","non-dropping-particle":"","parse-names":false,"suffix":""},{"dropping-particle":"","family":"Wright","given":"Mike","non-dropping-particle":"","parse-names":false,"suffix":""}],"container-title":"Research Policy","id":"ITEM-3","issue":"3","issued":{"date-parts":[["2005"]]},"page":"369-384","title":"Assessing the relative performance of U.K. university technology transfer offices: Parametric and non-parametric evidence","type":"article-journal","volume":"34"},"uris":["http://www.mendeley.com/documents/?uuid=79f66bd1-a68a-42e0-a3e7-f5910e5a9097"]},{"id":"ITEM-4","itemData":{"author":[{"dropping-particle":"","family":"Siegel","given":"Donald","non-dropping-particle":"","parse-names":false,"suffix":""},{"dropping-particle":"","family":"Wright","given":"Mike","non-dropping-particle":"","parse-names":false,"suffix":""}],"container-title":"The Chicago Handbook of University Technology Transfer and Academic Entrepreneurship","id":"ITEM-4","issued":{"date-parts":[["2015"]]},"page":"1-40","title":"University Technology Transfer Offices, Licensing and Start-Ups","type":"article-journal"},"uris":["http://www.mendeley.com/documents/?uuid=fe76100e-4794-40f5-abd9-8ecf8418b924"]},{"id":"ITEM-5","itemData":{"DOI":"10.1016/j.respol.2011.02.001","ISBN":"0048-7333","ISSN":"00487333","PMID":"2891","abstract":"The phenomenon of entrepreneurial universities has received considerable attention over the last decades. An entrepreneurial orientation by academia might put regions and nations in an advantageous position in emerging knowledge-intensive fields of economic activity. At the same time, such entrepreneurial orientation requires reconciliation with the scientific missions of academia. Large-scale empirical research on antecedents of the entrepreneurial effectiveness of universities is scarce. This contribution examines the extent to which scientific productivity affect entrepreneurial effectiveness, taking into account the size of universities and the presence of disciplines, as well as the R&amp;D intensity of the regional business environment (BERD). In addition, we assess the occurrence of trade-offs between different transfer mechanisms (contract research, patenting and spin off activity). The data used pertain to 105 European universities. Our findings reveal that scientific productivity is positively associated with entrepreneurial effectiveness. Trade-offs between transfer mechanisms do not reveal themselves; on the contrary, contract research and spin off activities tend to facilitate each other. Limitations and implications for future research are discussed. © 2011 Elsevier B.V. All rights reserved.","author":[{"dropping-particle":"","family":"Looy","given":"Bart","non-dropping-particle":"Van","parse-names":false,"suffix":""},{"dropping-particle":"","family":"Landoni","given":"Paolo","non-dropping-particle":"","parse-names":false,"suffix":""},{"dropping-particle":"","family":"Callaert","given":"Julie","non-dropping-particle":"","parse-names":false,"suffix":""},{"dropping-particle":"","family":"Pottelsberghe","given":"Bruno","non-dropping-particle":"Van","parse-names":false,"suffix":""},{"dropping-particle":"","family":"Sapsalis","given":"Eleftherios","non-dropping-particle":"","parse-names":false,"suffix":""},{"dropping-particle":"","family":"Debackere","given":"Koenraad","non-dropping-particle":"","parse-names":false,"suffix":""}],"container-title":"Research Policy","id":"ITEM-5","issue":"4","issued":{"date-parts":[["2011"]]},"page":"553-564","publisher":"Elsevier B.V.","title":"Entrepreneurial effectiveness of European universities: An empirical assessment of antecedents and trade-offs","type":"article-journal","volume":"40"},"uris":["http://www.mendeley.com/documents/?uuid=efca2164-cee4-4742-ab17-7b8416ace40b"]}],"mendeley":{"formattedCitation":"(Ambos et al., 2008; Chapple et al., 2005; Sengupta and Ray, 2017b; Siegel and Wright, 2015b; Van Looy et al., 2011)","plainTextFormattedCitation":"(Ambos et al., 2008; Chapple et al., 2005; Sengupta and Ray, 2017b; Siegel and Wright, 2015b; Van Looy et al., 2011)","previouslyFormattedCitation":"(Ambos et al., 2008; Chapple et al., 2005; Sengupta and Ray, 2017b; Siegel and Wright, 2015b; Van Looy et al., 2011)"},"properties":{"noteIndex":0},"schema":"https://github.com/citation-style-language/schema/raw/master/csl-citation.json"}</w:instrText>
      </w:r>
      <w:r w:rsidR="00577636">
        <w:rPr>
          <w:rFonts w:ascii="Times New Roman" w:hAnsi="Times New Roman" w:cs="Times New Roman"/>
        </w:rPr>
        <w:fldChar w:fldCharType="separate"/>
      </w:r>
      <w:r w:rsidR="005C76D1" w:rsidRPr="005C76D1">
        <w:rPr>
          <w:rFonts w:ascii="Times New Roman" w:hAnsi="Times New Roman" w:cs="Times New Roman"/>
          <w:noProof/>
        </w:rPr>
        <w:t>(Ambos et al., 2008; Chapple et al., 2005; Sengupta and Ray, 2017b; Siegel and Wright, 2015b; Van Looy et al., 2011)</w:t>
      </w:r>
      <w:r w:rsidR="00577636">
        <w:rPr>
          <w:rFonts w:ascii="Times New Roman" w:hAnsi="Times New Roman" w:cs="Times New Roman"/>
        </w:rPr>
        <w:fldChar w:fldCharType="end"/>
      </w:r>
      <w:r w:rsidRPr="00EF66BB">
        <w:rPr>
          <w:rFonts w:ascii="Times New Roman" w:hAnsi="Times New Roman" w:cs="Times New Roman"/>
        </w:rPr>
        <w:t>. Specifically, several papers explor</w:t>
      </w:r>
      <w:r w:rsidR="000A1691">
        <w:rPr>
          <w:rFonts w:ascii="Times New Roman" w:hAnsi="Times New Roman" w:cs="Times New Roman"/>
        </w:rPr>
        <w:t>e</w:t>
      </w:r>
      <w:r w:rsidRPr="00EF66BB">
        <w:rPr>
          <w:rFonts w:ascii="Times New Roman" w:hAnsi="Times New Roman" w:cs="Times New Roman"/>
        </w:rPr>
        <w:t xml:space="preserve"> linkages between the scale of technology transfer </w:t>
      </w:r>
      <w:r w:rsidRPr="00EF66BB">
        <w:rPr>
          <w:rFonts w:ascii="Times New Roman" w:hAnsi="Times New Roman" w:cs="Times New Roman"/>
        </w:rPr>
        <w:lastRenderedPageBreak/>
        <w:t xml:space="preserve">support and relative technology transfer performance </w:t>
      </w:r>
      <w:r w:rsidR="00577636">
        <w:rPr>
          <w:rFonts w:ascii="Times New Roman" w:hAnsi="Times New Roman" w:cs="Times New Roman"/>
        </w:rPr>
        <w:fldChar w:fldCharType="begin" w:fldLock="1"/>
      </w:r>
      <w:r w:rsidR="005F1251">
        <w:rPr>
          <w:rFonts w:ascii="Times New Roman" w:hAnsi="Times New Roman" w:cs="Times New Roman"/>
        </w:rPr>
        <w:instrText>ADDIN CSL_CITATION {"citationItems":[{"id":"ITEM-1","itemData":{"DOI":"10.1016/j.respol.2005.01.005","ISBN":"0048-7333","ISSN":"00487333","PMID":"599","abstract":"This article discusses salient trends in university-based technology initiatives in the United States and Europe, and it summarizes the papers contained in this special issue.","author":[{"dropping-particle":"","family":"Link","given":"Albert N.","non-dropping-particle":"","parse-names":false,"suffix":""},{"dropping-particle":"","family":"Siegel","given":"Donald","non-dropping-particle":"","parse-names":false,"suffix":""}],"container-title":"Research Policy","id":"ITEM-1","issue":"3","issued":{"date-parts":[["2005"]]},"page":"253-257","title":"University-based technology initiatives: Quantitative and qualitative evidence","type":"article-journal","volume":"34"},"uris":["http://www.mendeley.com/documents/?uuid=898545c9-834c-423a-aa3f-4da3b3627a38"]},{"id":"ITEM-2","itemData":{"DOI":"10.1111/j.0741-6261.2008.00020.x","ISBN":"0741-6261","ISSN":"07416261","PMID":"2877","abstract":"We show that universities in the United States that provide stronger royalty incentives to faculty scientists generate greater license income, controlling for university characteristics. We use pre-sample data on university patenting to control for the potential endogeneity of royalty shares. Faculty responds to royalties both in the form of cash and research lab support, indicating both pecuniary and intrinsic research motivations. The impact of incentives is larger in private than in public universities, and we provide new survey evidence on the organization and objectives of university licensing offices to explain this difference. Royalty incentives work both by raising faculty effort and sorting scientists across universities. The primary impact of incentives is to increase the quality rather than the quantity of inventions.","author":[{"dropping-particle":"","family":"Lach","given":"Saul","non-dropping-particle":"","parse-names":false,"suffix":""},{"dropping-particle":"","family":"Schankerman","given":"Mark","non-dropping-particle":"","parse-names":false,"suffix":""}],"container-title":"RAND Journal of Economics","id":"ITEM-2","issue":"2","issued":{"date-parts":[["2008"]]},"page":"403-433","title":"Incentives and invention in universities","type":"article-journal","volume":"39"},"uris":["http://www.mendeley.com/documents/?uuid=5cc5deac-babe-4731-9ce4-35098d057334"]},{"id":"ITEM-3","itemData":{"DOI":"10.1016/j.ijindorg.2006.06.001","ISBN":"0167-7187","ISSN":"01677187","abstract":"We develop a theoretical model to explain the specific role of Technology Transfer Offices (TTOs) in licensing university inventions. Using a framework where firms have incomplete information on the quality of inventions, we develop a reputation argument for the TTO to reduce the asymmetric information problem. Our results indicate that a TTO is often able to benefit from its capacity to pool innovations across research units (and to build a reputation) within universities. We identify when the technology seller will have an incentive to \"shelve\" some of the projects, thus raising the buyer's beliefs on expected quality; this results in fewer but more valuable innovations being sold at higher prices. We explain the importance of a critical size for the TTO to be successful as well as the stylized fact that TTOs may lead to fewer licensing agreements but higher income from innovation transfers. © 2006 Elsevier B.V. All rights reserved.","author":[{"dropping-particle":"","family":"Macho-Stadler","given":"Inés","non-dropping-particle":"","parse-names":false,"suffix":""},{"dropping-particle":"","family":"Pérez-Castrillo","given":"David","non-dropping-particle":"","parse-names":false,"suffix":""},{"dropping-particle":"","family":"Veugelers","given":"Reinhilde","non-dropping-particle":"","parse-names":false,"suffix":""}],"container-title":"International Journal of Industrial Organization","id":"ITEM-3","issue":"3","issued":{"date-parts":[["2007"]]},"page":"483-510","title":"Licensing of university inventions: The role of a technology transfer office","type":"article-journal","volume":"25"},"uris":["http://www.mendeley.com/documents/?uuid=2d5a5d25-b3e5-4f63-82b2-32a9a7c27bcc"]},{"id":"ITEM-4","itemData":{"DOI":"10.1016/S0048-7333(01)00196-2","ISSN":"00487333","author":[{"dropping-particle":"","family":"Siegel","given":"Donald","non-dropping-particle":"","parse-names":false,"suffix":""},{"dropping-particle":"","family":"Waldman","given":"David","non-dropping-particle":"","parse-names":false,"suffix":""},{"dropping-particle":"","family":"Link","given":"Albert","non-dropping-particle":"","parse-names":false,"suffix":""}],"container-title":"Research Policy","id":"ITEM-4","issue":"1","issued":{"date-parts":[["2003","1"]]},"page":"27-48","title":"Assessing the impact of organizational practices on the relative productivity of university technology transfer offices: an exploratory study","type":"article-journal","volume":"32"},"uris":["http://www.mendeley.com/documents/?uuid=e46987f6-89c5-3b6f-b14b-8fc764f55f9f"]},{"id":"ITEM-5","itemData":{"DOI":"10.1016/S0048-7333(00)00160-8","ISBN":"0048-7333","ISSN":"00487333","PMID":"2875","abstract":"Licensing activity of US universities has increased substantially in recent years. We examine this increase focusing on the ‘productivity’ and ‘changes in productivity’ of licensing activity. While it is generally acknowledged that there has been a dramatic increase in licensing, there is little understanding of the licensing process as it relates to university characteristics, nor is there evidence on the extent to which this is the result of increased resources devoted to commercialization or whether it stems from other factors. This paper employs data envelopment analysis (DEA) combined with regression analysis to examine the overall productivity of university licensing activity as well as the productivity of individual universities. We find that licensing has increased for reasons other than increases in overall university resources. Given input levels, universities are today more commercially productive than they were in the recent past; we propose reasons for this shift and analyze factors associated with the shift and factors associated with relative levels of commercialization. © Elsevier Science Ltd. All rights reserved.","author":[{"dropping-particle":"","family":"Thursby","given":"Jerry G.","non-dropping-particle":"","parse-names":false,"suffix":""},{"dropping-particle":"","family":"Kemp","given":"Sukanya","non-dropping-particle":"","parse-names":false,"suffix":""}],"container-title":"Research Policy","id":"ITEM-5","issue":"1","issued":{"date-parts":[["2002"]]},"page":"109-124","title":"Growth and productive efficiency of university intellectual property licensing","type":"article-journal","volume":"31"},"uris":["http://www.mendeley.com/documents/?uuid=e8f7222f-4771-44e7-9565-8aa869baee17"]},{"id":"ITEM-6","itemData":{"DOI":"10.1007/s10961-009-9129-z","ISBN":"1096100991","author":[{"dropping-particle":"","family":"Heisey","given":"Paul W","non-dropping-particle":"","parse-names":false,"suffix":""},{"dropping-particle":"","family":"Adelman","given":"Æ Sarah W","non-dropping-particle":"","parse-names":false,"suffix":""}],"id":"ITEM-6","issued":{"date-parts":[["2011"]]},"page":"38-60","title":"and university licensing revenue","type":"article-journal"},"uris":["http://www.mendeley.com/documents/?uuid=c4ddc740-e8bb-478b-be69-e1d8a02e8d39"]},{"id":"ITEM-7","itemData":{"DOI":"10.1016/j.technovation.2006.10.003","ISBN":"01664972","ISSN":"01664972","PMID":"24862342","abstract":"Universities provide education as well as innovations resulting from their research. This paper focuses on the service of transferring research results into other sectors. Many stakeholders such as academic researchers, technology transfer offices (TTOs) and private industry are involved in technology transfer which calls for a comprehensive approach. A data envelopment analysis (DEA) approach is used as a productivity evaluation tool applied to university technology transfer. The methodology included weight restrictions providing a more comprehensive metric. The results include an examination of efficiency targets for specific universities as well as peer count of inefficient universities. Evidence of significant efficiency in university technology transfer is found in many leading universities. An examination of differences between public versus private universities and those with medical schools and those without indicated that universities with medical schools are less efficient than those without. © 2006 Elsevier Ltd. All rights reserved.","author":[{"dropping-particle":"","family":"Anderson","given":"Timothy R.","non-dropping-particle":"","parse-names":false,"suffix":""},{"dropping-particle":"","family":"Daim","given":"Tugrul U.","non-dropping-particle":"","parse-names":false,"suffix":""},{"dropping-particle":"","family":"Lavoie","given":"Francois F.","non-dropping-particle":"","parse-names":false,"suffix":""}],"container-title":"Technovation","id":"ITEM-7","issue":"5","issued":{"date-parts":[["2007"]]},"page":"306-318","title":"Measuring the efficiency of university technology transfer","type":"article-journal","volume":"27"},"uris":["http://www.mendeley.com/documents/?uuid=23c59cfc-5683-4eb4-8927-1edf2329f7ee"]},{"id":"ITEM-8","itemData":{"DOI":"10.1016/j.respol.2011.02.001","ISBN":"0048-7333","ISSN":"00487333","PMID":"2891","abstract":"The phenomenon of entrepreneurial universities has received considerable attention over the last decades. An entrepreneurial orientation by academia might put regions and nations in an advantageous position in emerging knowledge-intensive fields of economic activity. At the same time, such entrepreneurial orientation requires reconciliation with the scientific missions of academia. Large-scale empirical research on antecedents of the entrepreneurial effectiveness of universities is scarce. This contribution examines the extent to which scientific productivity affect entrepreneurial effectiveness, taking into account the size of universities and the presence of disciplines, as well as the R&amp;D intensity of the regional business environment (BERD). In addition, we assess the occurrence of trade-offs between different transfer mechanisms (contract research, patenting and spin off activity). The data used pertain to 105 European universities. Our findings reveal that scientific productivity is positively associated with entrepreneurial effectiveness. Trade-offs between transfer mechanisms do not reveal themselves; on the contrary, contract research and spin off activities tend to facilitate each other. Limitations and implications for future research are discussed. © 2011 Elsevier B.V. All rights reserved.","author":[{"dropping-particle":"","family":"Looy","given":"Bart","non-dropping-particle":"Van","parse-names":false,"suffix":""},{"dropping-particle":"","family":"Landoni","given":"Paolo","non-dropping-particle":"","parse-names":false,"suffix":""},{"dropping-particle":"","family":"Callaert","given":"Julie","non-dropping-particle":"","parse-names":false,"suffix":""},{"dropping-particle":"","family":"Pottelsberghe","given":"Bruno","non-dropping-particle":"Van","parse-names":false,"suffix":""},{"dropping-particle":"","family":"Sapsalis","given":"Eleftherios","non-dropping-particle":"","parse-names":false,"suffix":""},{"dropping-particle":"","family":"Debackere","given":"Koenraad","non-dropping-particle":"","parse-names":false,"suffix":""}],"container-title":"Research Policy","id":"ITEM-8","issue":"4","issued":{"date-parts":[["2011"]]},"page":"553-564","publisher":"Elsevier B.V.","title":"Entrepreneurial effectiveness of European universities: An empirical assessment of antecedents and trade-offs","type":"article-journal","volume":"40"},"uris":["http://www.mendeley.com/documents/?uuid=efca2164-cee4-4742-ab17-7b8416ace40b"]},{"id":"ITEM-9","itemData":{"DOI":"10.1016/j.respol.2005.01.007","ISBN":"0048-7333","ISSN":"00487333","PMID":"2878","abstract":"We present evidence on the relative performance of U.K. university technology transfer offices (TTOs) using data envelopment analysis (DEA) and stochastic frontier estimation (SFE). U.K. TTOs are found to exhibit low-levels of absolute efficiency. There also appear to be decreasing returns to scale, implying that TTOs may need to be reconfigured into smaller units. The development of regionally-based sector focused TTOs is also advised. Consistent with qualitative evidence from U.S. TTOs, we find that there is a need to upgrade the business skills and capabilities of U.K. TTO managers and licensing officers. © 2005 Elsevier B.V. All rights reserved.","author":[{"dropping-particle":"","family":"Chapple","given":"Wendy","non-dropping-particle":"","parse-names":false,"suffix":""},{"dropping-particle":"","family":"Lockett","given":"Andy","non-dropping-particle":"","parse-names":false,"suffix":""},{"dropping-particle":"","family":"Siegel","given":"Donald","non-dropping-particle":"","parse-names":false,"suffix":""},{"dropping-particle":"","family":"Wright","given":"Mike","non-dropping-particle":"","parse-names":false,"suffix":""}],"container-title":"Research Policy","id":"ITEM-9","issue":"3","issued":{"date-parts":[["2005"]]},"page":"369-384","title":"Assessing the relative performance of U.K. university technology transfer offices: Parametric and non-parametric evidence","type":"article-journal","volume":"34"},"uris":["http://www.mendeley.com/documents/?uuid=79f66bd1-a68a-42e0-a3e7-f5910e5a9097"]}],"mendeley":{"formattedCitation":"(Anderson et al., 2007; Chapple et al., 2005; Heisey and Adelman, 2011; Lach and Schankerman, 2008; Link and Siegel, 2005; Macho-Stadler et al., 2007; Siegel et al., 2003; Thursby and Kemp, 2002; Van Looy et al., 2011)","plainTextFormattedCitation":"(Anderson et al., 2007; Chapple et al., 2005; Heisey and Adelman, 2011; Lach and Schankerman, 2008; Link and Siegel, 2005; Macho-Stadler et al., 2007; Siegel et al., 2003; Thursby and Kemp, 2002; Van Looy et al., 2011)","previouslyFormattedCitation":"(Anderson et al., 2007; Chapple et al., 2005; Heisey and Adelman, 2011; Lach and Schankerman, 2008; Link and Siegel, 2005; Macho-Stadler et al., 2007; Siegel et al., 2003; Thursby and Kemp, 2002; Van Looy et al., 2011)"},"properties":{"noteIndex":0},"schema":"https://github.com/citation-style-language/schema/raw/master/csl-citation.json"}</w:instrText>
      </w:r>
      <w:r w:rsidR="00577636">
        <w:rPr>
          <w:rFonts w:ascii="Times New Roman" w:hAnsi="Times New Roman" w:cs="Times New Roman"/>
        </w:rPr>
        <w:fldChar w:fldCharType="separate"/>
      </w:r>
      <w:r w:rsidR="00577636" w:rsidRPr="00577636">
        <w:rPr>
          <w:rFonts w:ascii="Times New Roman" w:hAnsi="Times New Roman" w:cs="Times New Roman"/>
          <w:noProof/>
        </w:rPr>
        <w:t>(Anderson et al., 2007; Chapple et al., 2005; Heisey and Adelman, 2011; Lach and Schankerman, 2008; Link and Siegel, 2005; Macho-Stadler et al., 2007; Siegel et al., 2003; Thursby and Kemp, 2002; Van Looy et al., 2011)</w:t>
      </w:r>
      <w:r w:rsidR="00577636">
        <w:rPr>
          <w:rFonts w:ascii="Times New Roman" w:hAnsi="Times New Roman" w:cs="Times New Roman"/>
        </w:rPr>
        <w:fldChar w:fldCharType="end"/>
      </w:r>
      <w:r w:rsidRPr="00EF66BB">
        <w:rPr>
          <w:rFonts w:ascii="Times New Roman" w:hAnsi="Times New Roman" w:cs="Times New Roman"/>
        </w:rPr>
        <w:t xml:space="preserve">. </w:t>
      </w:r>
      <w:r w:rsidR="000A1691">
        <w:rPr>
          <w:rFonts w:ascii="Times New Roman" w:hAnsi="Times New Roman" w:cs="Times New Roman"/>
        </w:rPr>
        <w:t>O</w:t>
      </w:r>
      <w:r w:rsidRPr="00EF66BB">
        <w:rPr>
          <w:rFonts w:ascii="Times New Roman" w:hAnsi="Times New Roman" w:cs="Times New Roman"/>
        </w:rPr>
        <w:t>ne of the most comprehensive studies of TTO productivity</w:t>
      </w:r>
      <w:r w:rsidR="0040433E">
        <w:rPr>
          <w:rFonts w:ascii="Times New Roman" w:hAnsi="Times New Roman" w:cs="Times New Roman"/>
        </w:rPr>
        <w:t>,</w:t>
      </w:r>
      <w:r w:rsidR="0040433E" w:rsidRPr="00EF66BB">
        <w:rPr>
          <w:rFonts w:ascii="Times New Roman" w:hAnsi="Times New Roman" w:cs="Times New Roman"/>
        </w:rPr>
        <w:t xml:space="preserve"> </w:t>
      </w:r>
      <w:r w:rsidR="00577636">
        <w:rPr>
          <w:rFonts w:ascii="Times New Roman" w:hAnsi="Times New Roman" w:cs="Times New Roman"/>
        </w:rPr>
        <w:fldChar w:fldCharType="begin" w:fldLock="1"/>
      </w:r>
      <w:r w:rsidR="005F1251">
        <w:rPr>
          <w:rFonts w:ascii="Times New Roman" w:hAnsi="Times New Roman" w:cs="Times New Roman"/>
        </w:rPr>
        <w:instrText>ADDIN CSL_CITATION {"citationItems":[{"id":"ITEM-1","itemData":{"DOI":"10.1016/S0048-7333(01)00196-2","ISSN":"00487333","author":[{"dropping-particle":"","family":"Siegel","given":"Donald","non-dropping-particle":"","parse-names":false,"suffix":""},{"dropping-particle":"","family":"Waldman","given":"David","non-dropping-particle":"","parse-names":false,"suffix":""},{"dropping-particle":"","family":"Link","given":"Albert","non-dropping-particle":"","parse-names":false,"suffix":""}],"container-title":"Research Policy","id":"ITEM-1","issue":"1","issued":{"date-parts":[["2003","1"]]},"page":"27-48","title":"Assessing the impact of organizational practices on the relative productivity of university technology transfer offices: an exploratory study","type":"article-journal","volume":"32"},"uris":["http://www.mendeley.com/documents/?uuid=e46987f6-89c5-3b6f-b14b-8fc764f55f9f"]}],"mendeley":{"formattedCitation":"(Siegel et al., 2003)","manualFormatting":"Siegel et al (2003)","plainTextFormattedCitation":"(Siegel et al., 2003)","previouslyFormattedCitation":"(Siegel et al., 2003)"},"properties":{"noteIndex":0},"schema":"https://github.com/citation-style-language/schema/raw/master/csl-citation.json"}</w:instrText>
      </w:r>
      <w:r w:rsidR="00577636">
        <w:rPr>
          <w:rFonts w:ascii="Times New Roman" w:hAnsi="Times New Roman" w:cs="Times New Roman"/>
        </w:rPr>
        <w:fldChar w:fldCharType="separate"/>
      </w:r>
      <w:r w:rsidR="00577636" w:rsidRPr="00577636">
        <w:rPr>
          <w:rFonts w:ascii="Times New Roman" w:hAnsi="Times New Roman" w:cs="Times New Roman"/>
          <w:noProof/>
        </w:rPr>
        <w:t>Siegel</w:t>
      </w:r>
      <w:r w:rsidR="00577636">
        <w:rPr>
          <w:rFonts w:ascii="Times New Roman" w:hAnsi="Times New Roman" w:cs="Times New Roman"/>
          <w:noProof/>
        </w:rPr>
        <w:t xml:space="preserve"> et al</w:t>
      </w:r>
      <w:r w:rsidR="00577636" w:rsidRPr="00577636">
        <w:rPr>
          <w:rFonts w:ascii="Times New Roman" w:hAnsi="Times New Roman" w:cs="Times New Roman"/>
          <w:noProof/>
        </w:rPr>
        <w:t xml:space="preserve"> </w:t>
      </w:r>
      <w:r w:rsidR="00577636">
        <w:rPr>
          <w:rFonts w:ascii="Times New Roman" w:hAnsi="Times New Roman" w:cs="Times New Roman"/>
          <w:noProof/>
        </w:rPr>
        <w:t>(</w:t>
      </w:r>
      <w:r w:rsidR="00577636" w:rsidRPr="00577636">
        <w:rPr>
          <w:rFonts w:ascii="Times New Roman" w:hAnsi="Times New Roman" w:cs="Times New Roman"/>
          <w:noProof/>
        </w:rPr>
        <w:t>2003)</w:t>
      </w:r>
      <w:r w:rsidR="00577636">
        <w:rPr>
          <w:rFonts w:ascii="Times New Roman" w:hAnsi="Times New Roman" w:cs="Times New Roman"/>
        </w:rPr>
        <w:fldChar w:fldCharType="end"/>
      </w:r>
      <w:r w:rsidRPr="00EF66BB">
        <w:rPr>
          <w:rFonts w:ascii="Times New Roman" w:hAnsi="Times New Roman" w:cs="Times New Roman"/>
        </w:rPr>
        <w:t xml:space="preserve"> </w:t>
      </w:r>
      <w:r w:rsidR="000A1691">
        <w:rPr>
          <w:rFonts w:ascii="Times New Roman" w:hAnsi="Times New Roman" w:cs="Times New Roman"/>
        </w:rPr>
        <w:t xml:space="preserve">demonstrated </w:t>
      </w:r>
      <w:r w:rsidRPr="00EF66BB">
        <w:rPr>
          <w:rFonts w:ascii="Times New Roman" w:hAnsi="Times New Roman" w:cs="Times New Roman"/>
        </w:rPr>
        <w:t>that</w:t>
      </w:r>
      <w:r w:rsidR="0028160A" w:rsidRPr="00EF66BB">
        <w:rPr>
          <w:rFonts w:ascii="Times New Roman" w:hAnsi="Times New Roman" w:cs="Times New Roman"/>
        </w:rPr>
        <w:t xml:space="preserve"> larger TTOs experienced greater revenue generation (up to a point) </w:t>
      </w:r>
      <w:r w:rsidRPr="00EF66BB">
        <w:rPr>
          <w:rFonts w:ascii="Times New Roman" w:hAnsi="Times New Roman" w:cs="Times New Roman"/>
        </w:rPr>
        <w:t xml:space="preserve">and </w:t>
      </w:r>
      <w:r w:rsidR="005C0C62" w:rsidRPr="00EF66BB">
        <w:rPr>
          <w:rFonts w:ascii="Times New Roman" w:hAnsi="Times New Roman" w:cs="Times New Roman"/>
        </w:rPr>
        <w:t>exponentially increas</w:t>
      </w:r>
      <w:r w:rsidR="000A1691">
        <w:rPr>
          <w:rFonts w:ascii="Times New Roman" w:hAnsi="Times New Roman" w:cs="Times New Roman"/>
        </w:rPr>
        <w:t>ed</w:t>
      </w:r>
      <w:r w:rsidR="005C0C62" w:rsidRPr="00EF66BB">
        <w:rPr>
          <w:rFonts w:ascii="Times New Roman" w:hAnsi="Times New Roman" w:cs="Times New Roman"/>
        </w:rPr>
        <w:t xml:space="preserve"> returns</w:t>
      </w:r>
      <w:r w:rsidRPr="00EF66BB">
        <w:rPr>
          <w:rFonts w:ascii="Times New Roman" w:hAnsi="Times New Roman" w:cs="Times New Roman"/>
        </w:rPr>
        <w:t xml:space="preserve"> in terms of number of licenc</w:t>
      </w:r>
      <w:r w:rsidR="005C0C62" w:rsidRPr="00EF66BB">
        <w:rPr>
          <w:rFonts w:ascii="Times New Roman" w:hAnsi="Times New Roman" w:cs="Times New Roman"/>
        </w:rPr>
        <w:t>e</w:t>
      </w:r>
      <w:r w:rsidRPr="00EF66BB">
        <w:rPr>
          <w:rFonts w:ascii="Times New Roman" w:hAnsi="Times New Roman" w:cs="Times New Roman"/>
        </w:rPr>
        <w:t xml:space="preserve"> agreements. Similarly, </w:t>
      </w:r>
      <w:r w:rsidR="00577636">
        <w:rPr>
          <w:rFonts w:ascii="Times New Roman" w:hAnsi="Times New Roman" w:cs="Times New Roman"/>
        </w:rPr>
        <w:fldChar w:fldCharType="begin" w:fldLock="1"/>
      </w:r>
      <w:r w:rsidR="00577636">
        <w:rPr>
          <w:rFonts w:ascii="Times New Roman" w:hAnsi="Times New Roman" w:cs="Times New Roman"/>
        </w:rPr>
        <w:instrText>ADDIN CSL_CITATION {"citationItems":[{"id":"ITEM-1","itemData":{"DOI":"10.1016/S0048-7333(00)00160-8","ISBN":"0048-7333","ISSN":"00487333","PMID":"2875","abstract":"Licensing activity of US universities has increased substantially in recent years. We examine this increase focusing on the ‘productivity’ and ‘changes in productivity’ of licensing activity. While it is generally acknowledged that there has been a dramatic increase in licensing, there is little understanding of the licensing process as it relates to university characteristics, nor is there evidence on the extent to which this is the result of increased resources devoted to commercialization or whether it stems from other factors. This paper employs data envelopment analysis (DEA) combined with regression analysis to examine the overall productivity of university licensing activity as well as the productivity of individual universities. We find that licensing has increased for reasons other than increases in overall university resources. Given input levels, universities are today more commercially productive than they were in the recent past; we propose reasons for this shift and analyze factors associated with the shift and factors associated with relative levels of commercialization. © Elsevier Science Ltd. All rights reserved.","author":[{"dropping-particle":"","family":"Thursby","given":"Jerry G.","non-dropping-particle":"","parse-names":false,"suffix":""},{"dropping-particle":"","family":"Kemp","given":"Sukanya","non-dropping-particle":"","parse-names":false,"suffix":""}],"container-title":"Research Policy","id":"ITEM-1","issue":"1","issued":{"date-parts":[["2002"]]},"page":"109-124","title":"Growth and productive efficiency of university intellectual property licensing","type":"article-journal","volume":"31"},"uris":["http://www.mendeley.com/documents/?uuid=e8f7222f-4771-44e7-9565-8aa869baee17"]}],"mendeley":{"formattedCitation":"(Thursby and Kemp, 2002)","manualFormatting":"Thursby and Kemp (2002)","plainTextFormattedCitation":"(Thursby and Kemp, 2002)","previouslyFormattedCitation":"(Thursby and Kemp, 2002)"},"properties":{"noteIndex":0},"schema":"https://github.com/citation-style-language/schema/raw/master/csl-citation.json"}</w:instrText>
      </w:r>
      <w:r w:rsidR="00577636">
        <w:rPr>
          <w:rFonts w:ascii="Times New Roman" w:hAnsi="Times New Roman" w:cs="Times New Roman"/>
        </w:rPr>
        <w:fldChar w:fldCharType="separate"/>
      </w:r>
      <w:r w:rsidR="00577636">
        <w:rPr>
          <w:rFonts w:ascii="Times New Roman" w:hAnsi="Times New Roman" w:cs="Times New Roman"/>
          <w:noProof/>
        </w:rPr>
        <w:t>Thursby and Kemp</w:t>
      </w:r>
      <w:r w:rsidR="00577636" w:rsidRPr="00577636">
        <w:rPr>
          <w:rFonts w:ascii="Times New Roman" w:hAnsi="Times New Roman" w:cs="Times New Roman"/>
          <w:noProof/>
        </w:rPr>
        <w:t xml:space="preserve"> </w:t>
      </w:r>
      <w:r w:rsidR="00577636">
        <w:rPr>
          <w:rFonts w:ascii="Times New Roman" w:hAnsi="Times New Roman" w:cs="Times New Roman"/>
          <w:noProof/>
        </w:rPr>
        <w:t>(</w:t>
      </w:r>
      <w:r w:rsidR="00577636" w:rsidRPr="00577636">
        <w:rPr>
          <w:rFonts w:ascii="Times New Roman" w:hAnsi="Times New Roman" w:cs="Times New Roman"/>
          <w:noProof/>
        </w:rPr>
        <w:t>2002)</w:t>
      </w:r>
      <w:r w:rsidR="00577636">
        <w:rPr>
          <w:rFonts w:ascii="Times New Roman" w:hAnsi="Times New Roman" w:cs="Times New Roman"/>
        </w:rPr>
        <w:fldChar w:fldCharType="end"/>
      </w:r>
      <w:r w:rsidRPr="00EF66BB">
        <w:rPr>
          <w:rFonts w:ascii="Times New Roman" w:hAnsi="Times New Roman" w:cs="Times New Roman"/>
        </w:rPr>
        <w:t xml:space="preserve"> </w:t>
      </w:r>
      <w:r w:rsidR="001A25F9" w:rsidRPr="00EF66BB">
        <w:rPr>
          <w:rFonts w:ascii="Times New Roman" w:hAnsi="Times New Roman" w:cs="Times New Roman"/>
        </w:rPr>
        <w:t>confirmed</w:t>
      </w:r>
      <w:r w:rsidRPr="00EF66BB">
        <w:rPr>
          <w:rFonts w:ascii="Times New Roman" w:hAnsi="Times New Roman" w:cs="Times New Roman"/>
        </w:rPr>
        <w:t xml:space="preserve"> that larger technology transfer offices are more likely to have higher numbers of licencing agreements. More recently, </w:t>
      </w:r>
      <w:r w:rsidR="00577636">
        <w:rPr>
          <w:rFonts w:ascii="Times New Roman" w:hAnsi="Times New Roman" w:cs="Times New Roman"/>
        </w:rPr>
        <w:fldChar w:fldCharType="begin" w:fldLock="1"/>
      </w:r>
      <w:r w:rsidR="00577636">
        <w:rPr>
          <w:rFonts w:ascii="Times New Roman" w:hAnsi="Times New Roman" w:cs="Times New Roman"/>
        </w:rPr>
        <w:instrText>ADDIN CSL_CITATION {"citationItems":[{"id":"ITEM-1","itemData":{"DOI":"10.1007/s10961-009-9129-z","ISBN":"1096100991","author":[{"dropping-particle":"","family":"Heisey","given":"Paul W","non-dropping-particle":"","parse-names":false,"suffix":""},{"dropping-particle":"","family":"Adelman","given":"Æ Sarah W","non-dropping-particle":"","parse-names":false,"suffix":""}],"id":"ITEM-1","issued":{"date-parts":[["2011"]]},"page":"38-60","title":"and university licensing revenue","type":"article-journal"},"uris":["http://www.mendeley.com/documents/?uuid=c4ddc740-e8bb-478b-be69-e1d8a02e8d39"]}],"mendeley":{"formattedCitation":"(Heisey and Adelman, 2011)","manualFormatting":"Heisey and Adelman (2011)","plainTextFormattedCitation":"(Heisey and Adelman, 2011)","previouslyFormattedCitation":"(Heisey and Adelman, 2011)"},"properties":{"noteIndex":0},"schema":"https://github.com/citation-style-language/schema/raw/master/csl-citation.json"}</w:instrText>
      </w:r>
      <w:r w:rsidR="00577636">
        <w:rPr>
          <w:rFonts w:ascii="Times New Roman" w:hAnsi="Times New Roman" w:cs="Times New Roman"/>
        </w:rPr>
        <w:fldChar w:fldCharType="separate"/>
      </w:r>
      <w:r w:rsidR="00577636">
        <w:rPr>
          <w:rFonts w:ascii="Times New Roman" w:hAnsi="Times New Roman" w:cs="Times New Roman"/>
          <w:noProof/>
        </w:rPr>
        <w:t>Heisey and Adelman</w:t>
      </w:r>
      <w:r w:rsidR="00577636" w:rsidRPr="00577636">
        <w:rPr>
          <w:rFonts w:ascii="Times New Roman" w:hAnsi="Times New Roman" w:cs="Times New Roman"/>
          <w:noProof/>
        </w:rPr>
        <w:t xml:space="preserve"> </w:t>
      </w:r>
      <w:r w:rsidR="00577636">
        <w:rPr>
          <w:rFonts w:ascii="Times New Roman" w:hAnsi="Times New Roman" w:cs="Times New Roman"/>
          <w:noProof/>
        </w:rPr>
        <w:t>(</w:t>
      </w:r>
      <w:r w:rsidR="00577636" w:rsidRPr="00577636">
        <w:rPr>
          <w:rFonts w:ascii="Times New Roman" w:hAnsi="Times New Roman" w:cs="Times New Roman"/>
          <w:noProof/>
        </w:rPr>
        <w:t>2011)</w:t>
      </w:r>
      <w:r w:rsidR="00577636">
        <w:rPr>
          <w:rFonts w:ascii="Times New Roman" w:hAnsi="Times New Roman" w:cs="Times New Roman"/>
        </w:rPr>
        <w:fldChar w:fldCharType="end"/>
      </w:r>
      <w:r w:rsidR="00577636">
        <w:rPr>
          <w:rFonts w:ascii="Times New Roman" w:hAnsi="Times New Roman" w:cs="Times New Roman"/>
        </w:rPr>
        <w:t>,</w:t>
      </w:r>
      <w:r w:rsidRPr="00EF66BB">
        <w:rPr>
          <w:rFonts w:ascii="Times New Roman" w:hAnsi="Times New Roman" w:cs="Times New Roman"/>
        </w:rPr>
        <w:t xml:space="preserve"> in their analysis of panel data from the US covering the period 1981-2003, showed that the number of full-time equivalent staff within TTOs significantly increases licensing revenues accrued by </w:t>
      </w:r>
      <w:r w:rsidR="00D12023" w:rsidRPr="00EF66BB">
        <w:rPr>
          <w:rFonts w:ascii="Times New Roman" w:hAnsi="Times New Roman" w:cs="Times New Roman"/>
        </w:rPr>
        <w:t xml:space="preserve">a </w:t>
      </w:r>
      <w:r w:rsidR="00A66AB9">
        <w:rPr>
          <w:rFonts w:ascii="Times New Roman" w:hAnsi="Times New Roman" w:cs="Times New Roman"/>
        </w:rPr>
        <w:t>u</w:t>
      </w:r>
      <w:r w:rsidRPr="00EF66BB">
        <w:rPr>
          <w:rFonts w:ascii="Times New Roman" w:hAnsi="Times New Roman" w:cs="Times New Roman"/>
        </w:rPr>
        <w:t xml:space="preserve">niversity. Specifically, they estimate that increasing the number of FTE staff by </w:t>
      </w:r>
      <w:r w:rsidR="006D75BF" w:rsidRPr="00EF66BB">
        <w:rPr>
          <w:rFonts w:ascii="Times New Roman" w:hAnsi="Times New Roman" w:cs="Times New Roman"/>
        </w:rPr>
        <w:t>one</w:t>
      </w:r>
      <w:r w:rsidRPr="00EF66BB">
        <w:rPr>
          <w:rFonts w:ascii="Times New Roman" w:hAnsi="Times New Roman" w:cs="Times New Roman"/>
        </w:rPr>
        <w:t xml:space="preserve"> in TTOs established post-</w:t>
      </w:r>
      <w:proofErr w:type="spellStart"/>
      <w:r w:rsidRPr="00EF66BB">
        <w:rPr>
          <w:rFonts w:ascii="Times New Roman" w:hAnsi="Times New Roman" w:cs="Times New Roman"/>
        </w:rPr>
        <w:t>Bayh</w:t>
      </w:r>
      <w:proofErr w:type="spellEnd"/>
      <w:r w:rsidRPr="00EF66BB">
        <w:rPr>
          <w:rFonts w:ascii="Times New Roman" w:hAnsi="Times New Roman" w:cs="Times New Roman"/>
        </w:rPr>
        <w:t xml:space="preserve">-Dole Act could increase median licence revenues by $900k. Although evidence on the scale effect of TTO support broadly points to a positive relationship, some </w:t>
      </w:r>
      <w:r w:rsidR="000A1691">
        <w:rPr>
          <w:rFonts w:ascii="Times New Roman" w:hAnsi="Times New Roman" w:cs="Times New Roman"/>
        </w:rPr>
        <w:t>argue</w:t>
      </w:r>
      <w:r w:rsidRPr="00EF66BB">
        <w:rPr>
          <w:rFonts w:ascii="Times New Roman" w:hAnsi="Times New Roman" w:cs="Times New Roman"/>
        </w:rPr>
        <w:t xml:space="preserve"> that this is not always the case. Notably, Chapple et al (2005) provide parametric and non-parametric analysis on the productivity of 50 UK TTOs concluding that </w:t>
      </w:r>
      <w:r w:rsidR="006D75BF" w:rsidRPr="00EF66BB">
        <w:rPr>
          <w:rFonts w:ascii="Times New Roman" w:hAnsi="Times New Roman" w:cs="Times New Roman"/>
        </w:rPr>
        <w:t xml:space="preserve">they </w:t>
      </w:r>
      <w:r w:rsidRPr="00EF66BB">
        <w:rPr>
          <w:rFonts w:ascii="Times New Roman" w:hAnsi="Times New Roman" w:cs="Times New Roman"/>
        </w:rPr>
        <w:t xml:space="preserve">experience decreasing returns to scale in terms of licensing agreements and revenues. More recently, </w:t>
      </w:r>
      <w:r w:rsidR="00577636">
        <w:rPr>
          <w:rFonts w:ascii="Times New Roman" w:hAnsi="Times New Roman" w:cs="Times New Roman"/>
        </w:rPr>
        <w:fldChar w:fldCharType="begin" w:fldLock="1"/>
      </w:r>
      <w:r w:rsidR="00577636">
        <w:rPr>
          <w:rFonts w:ascii="Times New Roman" w:hAnsi="Times New Roman" w:cs="Times New Roman"/>
        </w:rPr>
        <w:instrText>ADDIN CSL_CITATION {"citationItems":[{"id":"ITEM-1","itemData":{"DOI":"10.1016/j.jbusres.2015.01.023","ISBN":"0148-2963","ISSN":"01482963","abstract":"Technology Transfer Offices (TTOs) are the main institutions responsible for the establishment of university-industry partnerships. R&amp;D contracts exemplify the indirect mechanisms through which enterprises and universities collaborate on a win-win basis. This study addresses organizational and institutional aspects that act as drivers for the establishment of successful university-industry partnerships. First, a series of regression models explain the determinants of R&amp;D contracts. These models include two main dimensions: the university and the technology transfer office. Second, further analysis empirically explores whether universities in regions with a favorable environment enjoy greater active involvement in this particular knowledge transfer mechanism. The empirical study analyzes 2010 data for Spanish public universities. Results indicate that successful R&amp;D contracts depend on university and TTO characteristics, and the university's location. The paper also presents a set of managerial implications for improving the establishment of university-industry partnerships.","author":[{"dropping-particle":"","family":"Berbegal-Mirabent","given":"Jasmina","non-dropping-particle":"","parse-names":false,"suffix":""},{"dropping-particle":"","family":"Sánchez García","given":"José Luís","non-dropping-particle":"","parse-names":false,"suffix":""},{"dropping-particle":"","family":"Ribeiro-Soriano","given":"D. Enrique","non-dropping-particle":"","parse-names":false,"suffix":""}],"container-title":"Journal of Business Research","id":"ITEM-1","issue":"7","issued":{"date-parts":[["2015"]]},"page":"1407-1413","publisher":"Elsevier Inc.","title":"University-industry partnerships for the provision of R&amp;D services","type":"article-journal","volume":"68"},"uris":["http://www.mendeley.com/documents/?uuid=247f400b-c1b7-4b23-a7f3-aeb68a8f8dc3"]}],"mendeley":{"formattedCitation":"(Berbegal-Mirabent et al., 2015)","manualFormatting":"Berbegal-Mirabent et al (2015)","plainTextFormattedCitation":"(Berbegal-Mirabent et al., 2015)","previouslyFormattedCitation":"(Berbegal-Mirabent et al., 2015)"},"properties":{"noteIndex":0},"schema":"https://github.com/citation-style-language/schema/raw/master/csl-citation.json"}</w:instrText>
      </w:r>
      <w:r w:rsidR="00577636">
        <w:rPr>
          <w:rFonts w:ascii="Times New Roman" w:hAnsi="Times New Roman" w:cs="Times New Roman"/>
        </w:rPr>
        <w:fldChar w:fldCharType="separate"/>
      </w:r>
      <w:r w:rsidR="00577636">
        <w:rPr>
          <w:rFonts w:ascii="Times New Roman" w:hAnsi="Times New Roman" w:cs="Times New Roman"/>
          <w:noProof/>
        </w:rPr>
        <w:t>Berbegal-Mirabent et al</w:t>
      </w:r>
      <w:r w:rsidR="00577636" w:rsidRPr="00577636">
        <w:rPr>
          <w:rFonts w:ascii="Times New Roman" w:hAnsi="Times New Roman" w:cs="Times New Roman"/>
          <w:noProof/>
        </w:rPr>
        <w:t xml:space="preserve"> </w:t>
      </w:r>
      <w:r w:rsidR="00577636">
        <w:rPr>
          <w:rFonts w:ascii="Times New Roman" w:hAnsi="Times New Roman" w:cs="Times New Roman"/>
          <w:noProof/>
        </w:rPr>
        <w:t>(</w:t>
      </w:r>
      <w:r w:rsidR="00577636" w:rsidRPr="00577636">
        <w:rPr>
          <w:rFonts w:ascii="Times New Roman" w:hAnsi="Times New Roman" w:cs="Times New Roman"/>
          <w:noProof/>
        </w:rPr>
        <w:t>2015)</w:t>
      </w:r>
      <w:r w:rsidR="00577636">
        <w:rPr>
          <w:rFonts w:ascii="Times New Roman" w:hAnsi="Times New Roman" w:cs="Times New Roman"/>
        </w:rPr>
        <w:fldChar w:fldCharType="end"/>
      </w:r>
      <w:r w:rsidRPr="00EF66BB">
        <w:rPr>
          <w:rFonts w:ascii="Times New Roman" w:hAnsi="Times New Roman" w:cs="Times New Roman"/>
        </w:rPr>
        <w:t xml:space="preserve"> examine the relationship between the number of specialised support staff and productivity in terms of contract research. Based on a sample of 52 Spanish universities they show that the number of support staff has no influence on </w:t>
      </w:r>
      <w:r w:rsidR="006D75BF" w:rsidRPr="00EF66BB">
        <w:rPr>
          <w:rFonts w:ascii="Times New Roman" w:hAnsi="Times New Roman" w:cs="Times New Roman"/>
        </w:rPr>
        <w:t>either</w:t>
      </w:r>
      <w:r w:rsidRPr="00EF66BB">
        <w:rPr>
          <w:rFonts w:ascii="Times New Roman" w:hAnsi="Times New Roman" w:cs="Times New Roman"/>
        </w:rPr>
        <w:t xml:space="preserve"> the number of research contracts or the income generated by research contracts. Taking the ambiguous relationships between incentive structures, scale of support organisational support and technology transfer effectiveness outlined above into consideration, some have suggested the potential significance of a critical mediation variable, namely that of strategic choice </w:t>
      </w:r>
      <w:r w:rsidR="00577636">
        <w:rPr>
          <w:rFonts w:ascii="Times New Roman" w:hAnsi="Times New Roman" w:cs="Times New Roman"/>
        </w:rPr>
        <w:fldChar w:fldCharType="begin" w:fldLock="1"/>
      </w:r>
      <w:r w:rsidR="005C76D1">
        <w:rPr>
          <w:rFonts w:ascii="Times New Roman" w:hAnsi="Times New Roman" w:cs="Times New Roman"/>
        </w:rPr>
        <w:instrText>ADDIN CSL_CITATION {"citationItems":[{"id":"ITEM-1","itemData":{"author":[{"dropping-particle":"","family":"Siegel","given":"Donald","non-dropping-particle":"","parse-names":false,"suffix":""},{"dropping-particle":"","family":"Wright","given":"Mike","non-dropping-particle":"","parse-names":false,"suffix":""}],"container-title":"The Chicago Handbook of University Technology Transfer and Academic Entrepreneurship","id":"ITEM-1","issued":{"date-parts":[["2015"]]},"page":"1-40","title":"University Technology Transfer Offices, Licensing and Start-Ups","type":"article-journal"},"uris":["http://www.mendeley.com/documents/?uuid=fe76100e-4794-40f5-abd9-8ecf8418b924"]}],"mendeley":{"formattedCitation":"(Siegel and Wright, 2015b)","plainTextFormattedCitation":"(Siegel and Wright, 2015b)","previouslyFormattedCitation":"(Siegel and Wright, 2015b)"},"properties":{"noteIndex":0},"schema":"https://github.com/citation-style-language/schema/raw/master/csl-citation.json"}</w:instrText>
      </w:r>
      <w:r w:rsidR="00577636">
        <w:rPr>
          <w:rFonts w:ascii="Times New Roman" w:hAnsi="Times New Roman" w:cs="Times New Roman"/>
        </w:rPr>
        <w:fldChar w:fldCharType="separate"/>
      </w:r>
      <w:r w:rsidR="005C76D1" w:rsidRPr="005C76D1">
        <w:rPr>
          <w:rFonts w:ascii="Times New Roman" w:hAnsi="Times New Roman" w:cs="Times New Roman"/>
          <w:noProof/>
        </w:rPr>
        <w:t>(Siegel and Wright, 2015b)</w:t>
      </w:r>
      <w:r w:rsidR="00577636">
        <w:rPr>
          <w:rFonts w:ascii="Times New Roman" w:hAnsi="Times New Roman" w:cs="Times New Roman"/>
        </w:rPr>
        <w:fldChar w:fldCharType="end"/>
      </w:r>
      <w:r w:rsidR="00577636">
        <w:rPr>
          <w:rFonts w:ascii="Times New Roman" w:hAnsi="Times New Roman" w:cs="Times New Roman"/>
        </w:rPr>
        <w:t>.</w:t>
      </w:r>
    </w:p>
    <w:p w14:paraId="62868DED" w14:textId="77777777" w:rsidR="00EF66BB" w:rsidRDefault="00EF66BB" w:rsidP="00141231">
      <w:pPr>
        <w:pStyle w:val="Heading3"/>
        <w:spacing w:line="360" w:lineRule="auto"/>
        <w:rPr>
          <w:rFonts w:ascii="Times New Roman" w:hAnsi="Times New Roman" w:cs="Times New Roman"/>
        </w:rPr>
      </w:pPr>
    </w:p>
    <w:p w14:paraId="142AA093" w14:textId="2CBBFFAB" w:rsidR="001A3E4C" w:rsidRPr="00EF66BB" w:rsidRDefault="00EF66BB" w:rsidP="00141231">
      <w:pPr>
        <w:pStyle w:val="Heading3"/>
        <w:spacing w:line="360" w:lineRule="auto"/>
        <w:rPr>
          <w:rFonts w:ascii="Times New Roman" w:hAnsi="Times New Roman" w:cs="Times New Roman"/>
        </w:rPr>
      </w:pPr>
      <w:r>
        <w:rPr>
          <w:rFonts w:ascii="Times New Roman" w:hAnsi="Times New Roman" w:cs="Times New Roman"/>
        </w:rPr>
        <w:t>2.2</w:t>
      </w:r>
      <w:r w:rsidR="001A3E4C" w:rsidRPr="00EF66BB">
        <w:rPr>
          <w:rFonts w:ascii="Times New Roman" w:hAnsi="Times New Roman" w:cs="Times New Roman"/>
        </w:rPr>
        <w:t xml:space="preserve"> Strategic Choice and Technology Transfer Effectiveness</w:t>
      </w:r>
    </w:p>
    <w:p w14:paraId="4CCBD23A" w14:textId="7E86AEA1" w:rsidR="001A3E4C" w:rsidRPr="00EF66BB" w:rsidRDefault="00E932C1" w:rsidP="00141231">
      <w:pPr>
        <w:spacing w:line="360" w:lineRule="auto"/>
        <w:rPr>
          <w:rFonts w:ascii="Times New Roman" w:hAnsi="Times New Roman" w:cs="Times New Roman"/>
        </w:rPr>
      </w:pPr>
      <w:r>
        <w:rPr>
          <w:rFonts w:ascii="Times New Roman" w:hAnsi="Times New Roman" w:cs="Times New Roman"/>
        </w:rPr>
        <w:fldChar w:fldCharType="begin" w:fldLock="1"/>
      </w:r>
      <w:r w:rsidR="005C76D1">
        <w:rPr>
          <w:rFonts w:ascii="Times New Roman" w:hAnsi="Times New Roman" w:cs="Times New Roman"/>
        </w:rPr>
        <w:instrText>ADDIN CSL_CITATION {"citationItems":[{"id":"ITEM-1","itemData":{"DOI":"10.1111/1467-8551.12116","ISBN":"1467-8551","ISSN":"14678551","PMID":"3749","abstract":"Academic entrepreneurship, which refers to efforts undertaken by universities to promote commercialization on campus and in surrounding regions of the university, has changed dramatically in recent years. Two key consequences of this change are that more stakeholders have become involved in academic entrepreneurship and that universities have become more ‘strategic’ in their approach to this activity. The authors assert that the time is ripe to rethink academic entrepreneurship. Specifically, theoretical and empirical research on academic entrepreneurship needs to take account of these changes, so as to improve the rigour and relevance of future studies on this topic. We outline such a framework and provide examples of key research questions that need to be addressed to broaden understanding of academic entrepreneurship.","author":[{"dropping-particle":"","family":"Siegel","given":"Donald","non-dropping-particle":"","parse-names":false,"suffix":""},{"dropping-particle":"","family":"Wright","given":"Mike","non-dropping-particle":"","parse-names":false,"suffix":""}],"container-title":"British Journal of Management","id":"ITEM-1","issue":"4","issued":{"date-parts":[["2015"]]},"page":"582-595","title":"Academic Entrepreneurship: Time for a Rethink?","type":"article-journal","volume":"26"},"locator":"586","uris":["http://www.mendeley.com/documents/?uuid=fd36b1d1-c4c9-405f-8f53-67de72694463"]}],"mendeley":{"formattedCitation":"(Siegel and Wright, 2015a, p. 586)","manualFormatting":"Siegel and Wright (2015a, p. 586)","plainTextFormattedCitation":"(Siegel and Wright, 2015a, p. 586)","previouslyFormattedCitation":"(Siegel and Wright, 2015a, p. 586)"},"properties":{"noteIndex":0},"schema":"https://github.com/citation-style-language/schema/raw/master/csl-citation.json"}</w:instrText>
      </w:r>
      <w:r>
        <w:rPr>
          <w:rFonts w:ascii="Times New Roman" w:hAnsi="Times New Roman" w:cs="Times New Roman"/>
        </w:rPr>
        <w:fldChar w:fldCharType="separate"/>
      </w:r>
      <w:r w:rsidR="005C76D1" w:rsidRPr="005C76D1">
        <w:rPr>
          <w:rFonts w:ascii="Times New Roman" w:hAnsi="Times New Roman" w:cs="Times New Roman"/>
          <w:noProof/>
        </w:rPr>
        <w:t>Siege</w:t>
      </w:r>
      <w:r w:rsidR="005C76D1">
        <w:rPr>
          <w:rFonts w:ascii="Times New Roman" w:hAnsi="Times New Roman" w:cs="Times New Roman"/>
          <w:noProof/>
        </w:rPr>
        <w:t>l and Wright</w:t>
      </w:r>
      <w:r w:rsidR="005C76D1" w:rsidRPr="005C76D1">
        <w:rPr>
          <w:rFonts w:ascii="Times New Roman" w:hAnsi="Times New Roman" w:cs="Times New Roman"/>
          <w:noProof/>
        </w:rPr>
        <w:t xml:space="preserve"> </w:t>
      </w:r>
      <w:r w:rsidR="005C76D1">
        <w:rPr>
          <w:rFonts w:ascii="Times New Roman" w:hAnsi="Times New Roman" w:cs="Times New Roman"/>
          <w:noProof/>
        </w:rPr>
        <w:t>(</w:t>
      </w:r>
      <w:r w:rsidR="005C76D1" w:rsidRPr="005C76D1">
        <w:rPr>
          <w:rFonts w:ascii="Times New Roman" w:hAnsi="Times New Roman" w:cs="Times New Roman"/>
          <w:noProof/>
        </w:rPr>
        <w:t>2015a, p. 586)</w:t>
      </w:r>
      <w:r>
        <w:rPr>
          <w:rFonts w:ascii="Times New Roman" w:hAnsi="Times New Roman" w:cs="Times New Roman"/>
        </w:rPr>
        <w:fldChar w:fldCharType="end"/>
      </w:r>
      <w:r w:rsidR="001A3E4C" w:rsidRPr="00EF66BB">
        <w:rPr>
          <w:rFonts w:ascii="Times New Roman" w:hAnsi="Times New Roman" w:cs="Times New Roman"/>
        </w:rPr>
        <w:t xml:space="preserve"> in their revaluation of academic entrepreneurship suggest that </w:t>
      </w:r>
      <w:r w:rsidR="00A804C1" w:rsidRPr="00EF66BB">
        <w:rPr>
          <w:rFonts w:ascii="Times New Roman" w:hAnsi="Times New Roman" w:cs="Times New Roman"/>
        </w:rPr>
        <w:t>“</w:t>
      </w:r>
      <w:r w:rsidR="001A3E4C" w:rsidRPr="00EF66BB">
        <w:rPr>
          <w:rFonts w:ascii="Times New Roman" w:hAnsi="Times New Roman" w:cs="Times New Roman"/>
        </w:rPr>
        <w:t>many universities are starting to adopt a strategic approach to technology transfer activity</w:t>
      </w:r>
      <w:r w:rsidR="00A804C1" w:rsidRPr="00EF66BB">
        <w:rPr>
          <w:rFonts w:ascii="Times New Roman" w:hAnsi="Times New Roman" w:cs="Times New Roman"/>
        </w:rPr>
        <w:t>”</w:t>
      </w:r>
      <w:r w:rsidR="001A3E4C" w:rsidRPr="00EF66BB">
        <w:rPr>
          <w:rFonts w:ascii="Times New Roman" w:hAnsi="Times New Roman" w:cs="Times New Roman"/>
        </w:rPr>
        <w:t xml:space="preserve"> and </w:t>
      </w:r>
      <w:r w:rsidR="004C3863" w:rsidRPr="00EF66BB">
        <w:rPr>
          <w:rFonts w:ascii="Times New Roman" w:hAnsi="Times New Roman" w:cs="Times New Roman"/>
        </w:rPr>
        <w:t xml:space="preserve">argue </w:t>
      </w:r>
      <w:r w:rsidR="001A3E4C" w:rsidRPr="00EF66BB">
        <w:rPr>
          <w:rFonts w:ascii="Times New Roman" w:hAnsi="Times New Roman" w:cs="Times New Roman"/>
        </w:rPr>
        <w:t xml:space="preserve">that the strategic choices of universities </w:t>
      </w:r>
      <w:r w:rsidR="004C3863" w:rsidRPr="00EF66BB">
        <w:rPr>
          <w:rFonts w:ascii="Times New Roman" w:hAnsi="Times New Roman" w:cs="Times New Roman"/>
        </w:rPr>
        <w:t>will</w:t>
      </w:r>
      <w:r w:rsidR="001A3E4C" w:rsidRPr="00EF66BB">
        <w:rPr>
          <w:rFonts w:ascii="Times New Roman" w:hAnsi="Times New Roman" w:cs="Times New Roman"/>
        </w:rPr>
        <w:t xml:space="preserve"> vary according to their particular resource endowments and knowledge base</w:t>
      </w:r>
      <w:r w:rsidR="00C13F5C" w:rsidRPr="00EF66BB">
        <w:rPr>
          <w:rFonts w:ascii="Times New Roman" w:hAnsi="Times New Roman" w:cs="Times New Roman"/>
        </w:rPr>
        <w:t>s</w:t>
      </w:r>
      <w:r w:rsidR="001A3E4C" w:rsidRPr="00EF66BB">
        <w:rPr>
          <w:rFonts w:ascii="Times New Roman" w:hAnsi="Times New Roman" w:cs="Times New Roman"/>
        </w:rPr>
        <w:t xml:space="preserve">. They specifically emphasise the need for universities to make appropriate choices about strategic priorities with regards to </w:t>
      </w:r>
      <w:r w:rsidR="00C13F5C" w:rsidRPr="00EF66BB">
        <w:rPr>
          <w:rFonts w:ascii="Times New Roman" w:hAnsi="Times New Roman" w:cs="Times New Roman"/>
        </w:rPr>
        <w:t>the</w:t>
      </w:r>
      <w:r w:rsidR="001A3E4C" w:rsidRPr="00EF66BB">
        <w:rPr>
          <w:rFonts w:ascii="Times New Roman" w:hAnsi="Times New Roman" w:cs="Times New Roman"/>
        </w:rPr>
        <w:t xml:space="preserve"> type of technology transfer and</w:t>
      </w:r>
      <w:r w:rsidR="00C13F5C" w:rsidRPr="00EF66BB">
        <w:rPr>
          <w:rFonts w:ascii="Times New Roman" w:hAnsi="Times New Roman" w:cs="Times New Roman"/>
        </w:rPr>
        <w:t xml:space="preserve"> the</w:t>
      </w:r>
      <w:r w:rsidR="001A3E4C" w:rsidRPr="00EF66BB">
        <w:rPr>
          <w:rFonts w:ascii="Times New Roman" w:hAnsi="Times New Roman" w:cs="Times New Roman"/>
        </w:rPr>
        <w:t xml:space="preserve"> specific scientific fields </w:t>
      </w:r>
      <w:r w:rsidR="00C97E8D">
        <w:rPr>
          <w:rFonts w:ascii="Times New Roman" w:hAnsi="Times New Roman" w:cs="Times New Roman"/>
        </w:rPr>
        <w:fldChar w:fldCharType="begin" w:fldLock="1"/>
      </w:r>
      <w:r w:rsidR="005C76D1">
        <w:rPr>
          <w:rFonts w:ascii="Times New Roman" w:hAnsi="Times New Roman" w:cs="Times New Roman"/>
        </w:rPr>
        <w:instrText>ADDIN CSL_CITATION {"citationItems":[{"id":"ITEM-1","itemData":{"DOI":"10.1111/1467-8551.12116","ISBN":"1467-8551","ISSN":"14678551","PMID":"3749","abstract":"Academic entrepreneurship, which refers to efforts undertaken by universities to promote commercialization on campus and in surrounding regions of the university, has changed dramatically in recent years. Two key consequences of this change are that more stakeholders have become involved in academic entrepreneurship and that universities have become more ‘strategic’ in their approach to this activity. The authors assert that the time is ripe to rethink academic entrepreneurship. Specifically, theoretical and empirical research on academic entrepreneurship needs to take account of these changes, so as to improve the rigour and relevance of future studies on this topic. We outline such a framework and provide examples of key research questions that need to be addressed to broaden understanding of academic entrepreneurship.","author":[{"dropping-particle":"","family":"Siegel","given":"Donald","non-dropping-particle":"","parse-names":false,"suffix":""},{"dropping-particle":"","family":"Wright","given":"Mike","non-dropping-particle":"","parse-names":false,"suffix":""}],"container-title":"British Journal of Management","id":"ITEM-1","issue":"4","issued":{"date-parts":[["2015"]]},"page":"582-595","title":"Academic Entrepreneurship: Time for a Rethink?","type":"article-journal","volume":"26"},"uris":["http://www.mendeley.com/documents/?uuid=fd36b1d1-c4c9-405f-8f53-67de72694463"]}],"mendeley":{"formattedCitation":"(Siegel and Wright, 2015a)","plainTextFormattedCitation":"(Siegel and Wright, 2015a)","previouslyFormattedCitation":"(Siegel and Wright, 2015a)"},"properties":{"noteIndex":0},"schema":"https://github.com/citation-style-language/schema/raw/master/csl-citation.json"}</w:instrText>
      </w:r>
      <w:r w:rsidR="00C97E8D">
        <w:rPr>
          <w:rFonts w:ascii="Times New Roman" w:hAnsi="Times New Roman" w:cs="Times New Roman"/>
        </w:rPr>
        <w:fldChar w:fldCharType="separate"/>
      </w:r>
      <w:r w:rsidR="005C76D1" w:rsidRPr="005C76D1">
        <w:rPr>
          <w:rFonts w:ascii="Times New Roman" w:hAnsi="Times New Roman" w:cs="Times New Roman"/>
          <w:noProof/>
        </w:rPr>
        <w:t>(Siegel and Wright, 2015a)</w:t>
      </w:r>
      <w:r w:rsidR="00C97E8D">
        <w:rPr>
          <w:rFonts w:ascii="Times New Roman" w:hAnsi="Times New Roman" w:cs="Times New Roman"/>
        </w:rPr>
        <w:fldChar w:fldCharType="end"/>
      </w:r>
      <w:r w:rsidR="001A3E4C" w:rsidRPr="00EF66BB">
        <w:rPr>
          <w:rFonts w:ascii="Times New Roman" w:hAnsi="Times New Roman" w:cs="Times New Roman"/>
        </w:rPr>
        <w:t>. This follows earlier reviews of commercialisation research suggest</w:t>
      </w:r>
      <w:r w:rsidR="00C13F5C" w:rsidRPr="00EF66BB">
        <w:rPr>
          <w:rFonts w:ascii="Times New Roman" w:hAnsi="Times New Roman" w:cs="Times New Roman"/>
        </w:rPr>
        <w:t>ing</w:t>
      </w:r>
      <w:r w:rsidR="001A3E4C" w:rsidRPr="00EF66BB">
        <w:rPr>
          <w:rFonts w:ascii="Times New Roman" w:hAnsi="Times New Roman" w:cs="Times New Roman"/>
        </w:rPr>
        <w:t xml:space="preserve"> that universities need to </w:t>
      </w:r>
      <w:r w:rsidR="001A3E4C" w:rsidRPr="00EF66BB">
        <w:rPr>
          <w:rFonts w:ascii="Times New Roman" w:hAnsi="Times New Roman" w:cs="Times New Roman"/>
        </w:rPr>
        <w:lastRenderedPageBreak/>
        <w:t xml:space="preserve">“adopt a strategic approach to commercialisation of IP” and that “they must consider a set of key formulation issues involving choices related to institutional goals and priorities and consequent resource allocations” </w:t>
      </w:r>
      <w:r w:rsidR="00C97E8D">
        <w:rPr>
          <w:rFonts w:ascii="Times New Roman" w:hAnsi="Times New Roman" w:cs="Times New Roman"/>
        </w:rPr>
        <w:fldChar w:fldCharType="begin" w:fldLock="1"/>
      </w:r>
      <w:r w:rsidR="005F1251">
        <w:rPr>
          <w:rFonts w:ascii="Times New Roman" w:hAnsi="Times New Roman" w:cs="Times New Roman"/>
        </w:rPr>
        <w:instrText>ADDIN CSL_CITATION {"citationItems":[{"id":"ITEM-1","itemData":{"DOI":"10.1093/oxrep/grm036","ISBN":"0266-903X","ISSN":"0266903X","abstract":"The recent increase in the rate of commercialization of intellectual property at US and European universities has important performance and policy implications.We review recent studies of the antecedents and consequences of these activities and then draw some lessons learned for policy-makers. A key conclusion is that universities and regions must formulate and implement coherent and feasible technology transfer/commercialization strategies. Key","author":[{"dropping-particle":"","family":"Siegel","given":"Donald","non-dropping-particle":"","parse-names":false,"suffix":""},{"dropping-particle":"","family":"Veugelers","given":"Reinhilde","non-dropping-particle":"","parse-names":false,"suffix":""},{"dropping-particle":"","family":"Wright","given":"Mike","non-dropping-particle":"","parse-names":false,"suffix":""}],"container-title":"Oxford Review of Economic Policy","id":"ITEM-1","issue":"4","issued":{"date-parts":[["2007"]]},"page":"640-660","title":"Technology transfer offices and commercialization of university intellectual property: Performance and policy implications","type":"article-journal","volume":"23"},"locator":"655","uris":["http://www.mendeley.com/documents/?uuid=6514c89c-40a3-4f63-9a8f-ae78eacd7438"]}],"mendeley":{"formattedCitation":"(Siegel et al., 2007, p. 655)","plainTextFormattedCitation":"(Siegel et al., 2007, p. 655)","previouslyFormattedCitation":"(Siegel et al., 2007, p. 655)"},"properties":{"noteIndex":0},"schema":"https://github.com/citation-style-language/schema/raw/master/csl-citation.json"}</w:instrText>
      </w:r>
      <w:r w:rsidR="00C97E8D">
        <w:rPr>
          <w:rFonts w:ascii="Times New Roman" w:hAnsi="Times New Roman" w:cs="Times New Roman"/>
        </w:rPr>
        <w:fldChar w:fldCharType="separate"/>
      </w:r>
      <w:r w:rsidR="00C97E8D" w:rsidRPr="00C97E8D">
        <w:rPr>
          <w:rFonts w:ascii="Times New Roman" w:hAnsi="Times New Roman" w:cs="Times New Roman"/>
          <w:noProof/>
        </w:rPr>
        <w:t>(Siegel et al., 2007, p. 655)</w:t>
      </w:r>
      <w:r w:rsidR="00C97E8D">
        <w:rPr>
          <w:rFonts w:ascii="Times New Roman" w:hAnsi="Times New Roman" w:cs="Times New Roman"/>
        </w:rPr>
        <w:fldChar w:fldCharType="end"/>
      </w:r>
      <w:r w:rsidR="001A3E4C" w:rsidRPr="00EF66BB">
        <w:rPr>
          <w:rFonts w:ascii="Times New Roman" w:hAnsi="Times New Roman" w:cs="Times New Roman"/>
        </w:rPr>
        <w:t>. Existing research pertaining to the role of strategic choice in technology transfer effectiveness has characterised strateg</w:t>
      </w:r>
      <w:r w:rsidR="00C13F5C" w:rsidRPr="00EF66BB">
        <w:rPr>
          <w:rFonts w:ascii="Times New Roman" w:hAnsi="Times New Roman" w:cs="Times New Roman"/>
        </w:rPr>
        <w:t xml:space="preserve">y </w:t>
      </w:r>
      <w:r w:rsidR="001A3E4C" w:rsidRPr="00EF66BB">
        <w:rPr>
          <w:rFonts w:ascii="Times New Roman" w:hAnsi="Times New Roman" w:cs="Times New Roman"/>
        </w:rPr>
        <w:t>as a function of prevailing institutional or environmenta</w:t>
      </w:r>
      <w:r w:rsidR="00C97E8D">
        <w:rPr>
          <w:rFonts w:ascii="Times New Roman" w:hAnsi="Times New Roman" w:cs="Times New Roman"/>
        </w:rPr>
        <w:t xml:space="preserve">l characteristics. For example, </w:t>
      </w:r>
      <w:r w:rsidR="00C97E8D">
        <w:rPr>
          <w:rFonts w:ascii="Times New Roman" w:hAnsi="Times New Roman" w:cs="Times New Roman"/>
        </w:rPr>
        <w:fldChar w:fldCharType="begin" w:fldLock="1"/>
      </w:r>
      <w:r w:rsidR="00C97E8D">
        <w:rPr>
          <w:rFonts w:ascii="Times New Roman" w:hAnsi="Times New Roman" w:cs="Times New Roman"/>
        </w:rPr>
        <w:instrText>ADDIN CSL_CITATION {"citationItems":[{"id":"ITEM-1","itemData":{"DOI":"10.1016/j.respol.2011.10.010","ISSN":"00487333","abstract":"As the innovation process has become more open and networked, Government policy in the UK has sought to promote both research excellence in the university sector and the translation of this into economic benefit through university–business engagement. However, this policy approach has tended to be applied uniformly with little account for organisational differences within the sector. In this paper we consider if differences between universities in their research performance is reflected in their knowledge transfer activity. Specifically, as universities develop a commercialization agenda are the strategic priorities for knowledge transfer, the organisational supports in place to facilitate knowledge transfer and the scale and scope of knowledge transfer activity different for high research intensive (HRI) and low research intensive (LRI) universities? The findings demonstrate that universities’ approach to knowledge transfer is shaped by institutional and organisational resources, in particular their ethos and research quality, rather than the capability to undertake knowledge transfer through a Technology Transfer Office (TTO). Strategic priorities for knowledge transfer are reflected in activity, in terms of the dominance of specific knowledge transfer channels, the partners with which universities engage and the geography of business engagement.","author":[{"dropping-particle":"","family":"Hewitt-Dundas","given":"Nola","non-dropping-particle":"","parse-names":false,"suffix":""}],"container-title":"Research Policy","id":"ITEM-1","issue":"2","issued":{"date-parts":[["2012","3"]]},"page":"262-275","title":"Research intensity and knowledge transfer activity in UK universities","type":"article-journal","volume":"41"},"uris":["http://www.mendeley.com/documents/?uuid=dfda44a2-56de-4343-aba6-7ecd31ff1890"]}],"mendeley":{"formattedCitation":"(Hewitt-Dundas, 2012)","manualFormatting":"Hewitt-Dundas (2012)","plainTextFormattedCitation":"(Hewitt-Dundas, 2012)","previouslyFormattedCitation":"(Hewitt-Dundas, 2012)"},"properties":{"noteIndex":0},"schema":"https://github.com/citation-style-language/schema/raw/master/csl-citation.json"}</w:instrText>
      </w:r>
      <w:r w:rsidR="00C97E8D">
        <w:rPr>
          <w:rFonts w:ascii="Times New Roman" w:hAnsi="Times New Roman" w:cs="Times New Roman"/>
        </w:rPr>
        <w:fldChar w:fldCharType="separate"/>
      </w:r>
      <w:r w:rsidR="00C97E8D">
        <w:rPr>
          <w:rFonts w:ascii="Times New Roman" w:hAnsi="Times New Roman" w:cs="Times New Roman"/>
          <w:noProof/>
        </w:rPr>
        <w:t>Hewitt-Dundas</w:t>
      </w:r>
      <w:r w:rsidR="00C97E8D" w:rsidRPr="00C97E8D">
        <w:rPr>
          <w:rFonts w:ascii="Times New Roman" w:hAnsi="Times New Roman" w:cs="Times New Roman"/>
          <w:noProof/>
        </w:rPr>
        <w:t xml:space="preserve"> </w:t>
      </w:r>
      <w:r w:rsidR="00C97E8D">
        <w:rPr>
          <w:rFonts w:ascii="Times New Roman" w:hAnsi="Times New Roman" w:cs="Times New Roman"/>
          <w:noProof/>
        </w:rPr>
        <w:t>(</w:t>
      </w:r>
      <w:r w:rsidR="00C97E8D" w:rsidRPr="00C97E8D">
        <w:rPr>
          <w:rFonts w:ascii="Times New Roman" w:hAnsi="Times New Roman" w:cs="Times New Roman"/>
          <w:noProof/>
        </w:rPr>
        <w:t>2012)</w:t>
      </w:r>
      <w:r w:rsidR="00C97E8D">
        <w:rPr>
          <w:rFonts w:ascii="Times New Roman" w:hAnsi="Times New Roman" w:cs="Times New Roman"/>
        </w:rPr>
        <w:fldChar w:fldCharType="end"/>
      </w:r>
      <w:r w:rsidR="001A3E4C" w:rsidRPr="00EF66BB">
        <w:rPr>
          <w:rFonts w:ascii="Times New Roman" w:hAnsi="Times New Roman" w:cs="Times New Roman"/>
        </w:rPr>
        <w:t xml:space="preserve"> suggests that strategic choices about technology transfer should be based on the research intensity of the institution</w:t>
      </w:r>
      <w:r w:rsidR="00C13F5C" w:rsidRPr="00EF66BB">
        <w:rPr>
          <w:rFonts w:ascii="Times New Roman" w:hAnsi="Times New Roman" w:cs="Times New Roman"/>
        </w:rPr>
        <w:t>;</w:t>
      </w:r>
      <w:r w:rsidR="001A3E4C" w:rsidRPr="00EF66BB">
        <w:rPr>
          <w:rFonts w:ascii="Times New Roman" w:hAnsi="Times New Roman" w:cs="Times New Roman"/>
        </w:rPr>
        <w:t xml:space="preserve"> those universities characterised by high research intensity should place a greater emphasis on research commercialisation. Similarly, </w:t>
      </w:r>
      <w:r w:rsidR="00C97E8D">
        <w:rPr>
          <w:rFonts w:ascii="Times New Roman" w:hAnsi="Times New Roman" w:cs="Times New Roman"/>
        </w:rPr>
        <w:fldChar w:fldCharType="begin" w:fldLock="1"/>
      </w:r>
      <w:r w:rsidR="00CD0532">
        <w:rPr>
          <w:rFonts w:ascii="Times New Roman" w:hAnsi="Times New Roman" w:cs="Times New Roman"/>
        </w:rPr>
        <w:instrText>ADDIN CSL_CITATION {"citationItems":[{"id":"ITEM-1","itemData":{"DOI":"10.1016/j.respol.2017.03.008","ISSN":"00487333","abstract":"This paper examines the dynamic interlinkages between the two pillars of ambidexterity in universities, research and knowledge transfer. We propose a theoretical model linking these two pillars at the organisational level. The model is tested using the longitudinal HE-BCI survey data juxtaposed against two consecutive rounds of research evaluation in the UK higher education sector. Results indicate that a university's past performance along the research pillar strengthens the knowledge transfer pillar over time, through both commercialisation and academic engagement channels. This positive impact is negatively moderated by the university's size and reputation, in the sense that in larger or more reputed universities, the marginal impact of research on knowledge transfer declines significantly. Additionally, we find that knowledge transfer reinforces the research pillar through positive mediation between past and future research, but only through academic engagement channels. The results also indicate that contract research routes provide the maximum benefit for most universities in enhancing their ambidexterity framework, both in the short and the long run. For the relatively more reputed universities, it is the collaboration route which provides the maximum benefit. Interestingly, no such reinforcement could be detected in the case of the research commercialisation channels.","author":[{"dropping-particle":"","family":"Sengupta","given":"Abhijit","non-dropping-particle":"","parse-names":false,"suffix":""},{"dropping-particle":"","family":"Ray","given":"Amit S.","non-dropping-particle":"","parse-names":false,"suffix":""}],"container-title":"Research Policy","id":"ITEM-1","issue":"5","issued":{"date-parts":[["2017"]]},"page":"881-897","publisher":"Elsevier B.V.","title":"University research and knowledge transfer: A dynamic view of ambidexterity in british universities","type":"article-journal","volume":"46"},"locator":"894","uris":["http://www.mendeley.com/documents/?uuid=1bae52b2-2b76-4a4b-9383-c1e21964cb01"]}],"mendeley":{"formattedCitation":"(Sengupta and Ray, 2017a, p. 894)","manualFormatting":"Sengupta and Ray, (2017a, p. 894)","plainTextFormattedCitation":"(Sengupta and Ray, 2017a, p. 894)","previouslyFormattedCitation":"(Sengupta and Ray, 2017a, p. 894)"},"properties":{"noteIndex":0},"schema":"https://github.com/citation-style-language/schema/raw/master/csl-citation.json"}</w:instrText>
      </w:r>
      <w:r w:rsidR="00C97E8D">
        <w:rPr>
          <w:rFonts w:ascii="Times New Roman" w:hAnsi="Times New Roman" w:cs="Times New Roman"/>
        </w:rPr>
        <w:fldChar w:fldCharType="separate"/>
      </w:r>
      <w:r w:rsidR="00C97E8D" w:rsidRPr="00C97E8D">
        <w:rPr>
          <w:rFonts w:ascii="Times New Roman" w:hAnsi="Times New Roman" w:cs="Times New Roman"/>
          <w:noProof/>
        </w:rPr>
        <w:t xml:space="preserve">Sengupta and Ray, </w:t>
      </w:r>
      <w:r w:rsidR="00132A14">
        <w:rPr>
          <w:rFonts w:ascii="Times New Roman" w:hAnsi="Times New Roman" w:cs="Times New Roman"/>
          <w:noProof/>
        </w:rPr>
        <w:t>(</w:t>
      </w:r>
      <w:r w:rsidR="00C97E8D" w:rsidRPr="00C97E8D">
        <w:rPr>
          <w:rFonts w:ascii="Times New Roman" w:hAnsi="Times New Roman" w:cs="Times New Roman"/>
          <w:noProof/>
        </w:rPr>
        <w:t>2017a, p. 894)</w:t>
      </w:r>
      <w:r w:rsidR="00C97E8D">
        <w:rPr>
          <w:rFonts w:ascii="Times New Roman" w:hAnsi="Times New Roman" w:cs="Times New Roman"/>
        </w:rPr>
        <w:fldChar w:fldCharType="end"/>
      </w:r>
      <w:r w:rsidR="001A3E4C" w:rsidRPr="00EF66BB">
        <w:rPr>
          <w:rFonts w:ascii="Times New Roman" w:hAnsi="Times New Roman" w:cs="Times New Roman"/>
        </w:rPr>
        <w:t xml:space="preserve"> adopt an ambidexterity framework in their analysis of the relationship between the ‘research pillar’ and ‘technology transfer pillar’ of UK universities. They find that </w:t>
      </w:r>
      <w:r w:rsidR="00A84782" w:rsidRPr="00EF66BB">
        <w:rPr>
          <w:rFonts w:ascii="Times New Roman" w:hAnsi="Times New Roman" w:cs="Times New Roman"/>
        </w:rPr>
        <w:t>“the marginal impact of research on both commercialisation and academic engagement channels depends on the university’s scale and reputation, which is dampened for universities that are larger in size and/or particularly reputed in the sector”.</w:t>
      </w:r>
      <w:r w:rsidR="00187681" w:rsidRPr="00EF66BB">
        <w:rPr>
          <w:rFonts w:ascii="Times New Roman" w:hAnsi="Times New Roman" w:cs="Times New Roman"/>
        </w:rPr>
        <w:t xml:space="preserve"> </w:t>
      </w:r>
      <w:r w:rsidR="001A3E4C" w:rsidRPr="00EF66BB">
        <w:rPr>
          <w:rFonts w:ascii="Times New Roman" w:hAnsi="Times New Roman" w:cs="Times New Roman"/>
        </w:rPr>
        <w:t xml:space="preserve">Consequently, </w:t>
      </w:r>
      <w:r w:rsidR="00877F8E">
        <w:rPr>
          <w:rFonts w:ascii="Times New Roman" w:hAnsi="Times New Roman" w:cs="Times New Roman"/>
        </w:rPr>
        <w:fldChar w:fldCharType="begin" w:fldLock="1"/>
      </w:r>
      <w:r w:rsidR="00CD0532">
        <w:rPr>
          <w:rFonts w:ascii="Times New Roman" w:hAnsi="Times New Roman" w:cs="Times New Roman"/>
        </w:rPr>
        <w:instrText>ADDIN CSL_CITATION {"citationItems":[{"id":"ITEM-1","itemData":{"DOI":"10.1016/j.respol.2017.03.008","ISSN":"00487333","abstract":"This paper examines the dynamic interlinkages between the two pillars of ambidexterity in universities, research and knowledge transfer. We propose a theoretical model linking these two pillars at the organisational level. The model is tested using the longitudinal HE-BCI survey data juxtaposed against two consecutive rounds of research evaluation in the UK higher education sector. Results indicate that a university's past performance along the research pillar strengthens the knowledge transfer pillar over time, through both commercialisation and academic engagement channels. This positive impact is negatively moderated by the university's size and reputation, in the sense that in larger or more reputed universities, the marginal impact of research on knowledge transfer declines significantly. Additionally, we find that knowledge transfer reinforces the research pillar through positive mediation between past and future research, but only through academic engagement channels. The results also indicate that contract research routes provide the maximum benefit for most universities in enhancing their ambidexterity framework, both in the short and the long run. For the relatively more reputed universities, it is the collaboration route which provides the maximum benefit. Interestingly, no such reinforcement could be detected in the case of the research commercialisation channels.","author":[{"dropping-particle":"","family":"Sengupta","given":"Abhijit","non-dropping-particle":"","parse-names":false,"suffix":""},{"dropping-particle":"","family":"Ray","given":"Amit S.","non-dropping-particle":"","parse-names":false,"suffix":""}],"container-title":"Research Policy","id":"ITEM-1","issue":"5","issued":{"date-parts":[["2017"]]},"page":"881-897","publisher":"Elsevier B.V.","title":"University research and knowledge transfer: A dynamic view of ambidexterity in british universities","type":"article-journal","volume":"46"},"uris":["http://www.mendeley.com/documents/?uuid=1bae52b2-2b76-4a4b-9383-c1e21964cb01"]}],"mendeley":{"formattedCitation":"(Sengupta and Ray, 2017a)","manualFormatting":"Sengupta and Ray, (2017a)","plainTextFormattedCitation":"(Sengupta and Ray, 2017a)","previouslyFormattedCitation":"(Sengupta and Ray, 2017a)"},"properties":{"noteIndex":0},"schema":"https://github.com/citation-style-language/schema/raw/master/csl-citation.json"}</w:instrText>
      </w:r>
      <w:r w:rsidR="00877F8E">
        <w:rPr>
          <w:rFonts w:ascii="Times New Roman" w:hAnsi="Times New Roman" w:cs="Times New Roman"/>
        </w:rPr>
        <w:fldChar w:fldCharType="separate"/>
      </w:r>
      <w:r w:rsidR="00877F8E" w:rsidRPr="00C97E8D">
        <w:rPr>
          <w:rFonts w:ascii="Times New Roman" w:hAnsi="Times New Roman" w:cs="Times New Roman"/>
          <w:noProof/>
        </w:rPr>
        <w:t xml:space="preserve">Sengupta and Ray, </w:t>
      </w:r>
      <w:r w:rsidR="00877F8E">
        <w:rPr>
          <w:rFonts w:ascii="Times New Roman" w:hAnsi="Times New Roman" w:cs="Times New Roman"/>
          <w:noProof/>
        </w:rPr>
        <w:t>(</w:t>
      </w:r>
      <w:r w:rsidR="00877F8E" w:rsidRPr="00C97E8D">
        <w:rPr>
          <w:rFonts w:ascii="Times New Roman" w:hAnsi="Times New Roman" w:cs="Times New Roman"/>
          <w:noProof/>
        </w:rPr>
        <w:t>2017a)</w:t>
      </w:r>
      <w:r w:rsidR="00877F8E">
        <w:rPr>
          <w:rFonts w:ascii="Times New Roman" w:hAnsi="Times New Roman" w:cs="Times New Roman"/>
        </w:rPr>
        <w:fldChar w:fldCharType="end"/>
      </w:r>
      <w:r w:rsidR="001A3E4C" w:rsidRPr="00EF66BB">
        <w:rPr>
          <w:rFonts w:ascii="Times New Roman" w:hAnsi="Times New Roman" w:cs="Times New Roman"/>
        </w:rPr>
        <w:t xml:space="preserve"> suggest that university </w:t>
      </w:r>
      <w:r w:rsidR="00664635" w:rsidRPr="00EF66BB">
        <w:rPr>
          <w:rFonts w:ascii="Times New Roman" w:hAnsi="Times New Roman" w:cs="Times New Roman"/>
        </w:rPr>
        <w:t xml:space="preserve">technology transfer </w:t>
      </w:r>
      <w:r w:rsidR="001A3E4C" w:rsidRPr="00EF66BB">
        <w:rPr>
          <w:rFonts w:ascii="Times New Roman" w:hAnsi="Times New Roman" w:cs="Times New Roman"/>
        </w:rPr>
        <w:t>strategic choices should relate principally to the research profile</w:t>
      </w:r>
      <w:r w:rsidR="00664635" w:rsidRPr="00EF66BB">
        <w:rPr>
          <w:rFonts w:ascii="Times New Roman" w:hAnsi="Times New Roman" w:cs="Times New Roman"/>
        </w:rPr>
        <w:t>,</w:t>
      </w:r>
      <w:r w:rsidR="001A3E4C" w:rsidRPr="00EF66BB">
        <w:rPr>
          <w:rFonts w:ascii="Times New Roman" w:hAnsi="Times New Roman" w:cs="Times New Roman"/>
        </w:rPr>
        <w:t xml:space="preserve"> age and reputation of the university. Earlier research by </w:t>
      </w:r>
      <w:r w:rsidR="00C97E8D">
        <w:rPr>
          <w:rFonts w:ascii="Times New Roman" w:hAnsi="Times New Roman" w:cs="Times New Roman"/>
        </w:rPr>
        <w:fldChar w:fldCharType="begin" w:fldLock="1"/>
      </w:r>
      <w:r w:rsidR="00C97E8D">
        <w:rPr>
          <w:rFonts w:ascii="Times New Roman" w:hAnsi="Times New Roman" w:cs="Times New Roman"/>
        </w:rPr>
        <w:instrText>ADDIN CSL_CITATION {"citationItems":[{"id":"ITEM-1","itemData":{"DOI":"10.1016/j.respol.2008.04.021","ISBN":"0048-7333","ISSN":"00487333","PMID":"2985","abstract":"We analyze how mid-range universities can contribute to industrial change through the transfer of tacit and codified knowledge in the areas of spin-offs; licensing and patents; contract research, consultancy and reach-out; and graduate and researcher mobility. We use archival, survey and interview data relating to mid-range universities in mid-range environments in the UK, Belgium, Germany and Sweden. Our findings suggest that mid-range universities primarily need to focus on generating world-class research and critical mass in areas of expertise, as well as developing different types of intermediaries. Mid-range universities may need to develop a portfolio of university-industry linkages in terms of the scope of activities and the types of firms with which they interact. We also show that different intermediaries have important roles to play in developing university-industry linkages for mid-range universities. © 2008.","author":[{"dropping-particle":"","family":"Wright","given":"Mike","non-dropping-particle":"","parse-names":false,"suffix":""},{"dropping-particle":"","family":"Clarysse","given":"Bart","non-dropping-particle":"","parse-names":false,"suffix":""},{"dropping-particle":"","family":"Lockett","given":"Andy","non-dropping-particle":"","parse-names":false,"suffix":""},{"dropping-particle":"","family":"Knockaert","given":"Mirjam","non-dropping-particle":"","parse-names":false,"suffix":""}],"container-title":"Research Policy","id":"ITEM-1","issue":"8","issued":{"date-parts":[["2008"]]},"page":"1205-1223","title":"Mid-range universities' linkages with industry: Knowledge types and the role of intermediaries","type":"article-journal","volume":"37"},"uris":["http://www.mendeley.com/documents/?uuid=4ad24ced-5185-432e-a5f4-697ce97472d8"]}],"mendeley":{"formattedCitation":"(Wright et al., 2008)","manualFormatting":"Wright et al (2008)","plainTextFormattedCitation":"(Wright et al., 2008)","previouslyFormattedCitation":"(Wright et al., 2008)"},"properties":{"noteIndex":0},"schema":"https://github.com/citation-style-language/schema/raw/master/csl-citation.json"}</w:instrText>
      </w:r>
      <w:r w:rsidR="00C97E8D">
        <w:rPr>
          <w:rFonts w:ascii="Times New Roman" w:hAnsi="Times New Roman" w:cs="Times New Roman"/>
        </w:rPr>
        <w:fldChar w:fldCharType="separate"/>
      </w:r>
      <w:r w:rsidR="00C97E8D">
        <w:rPr>
          <w:rFonts w:ascii="Times New Roman" w:hAnsi="Times New Roman" w:cs="Times New Roman"/>
          <w:noProof/>
        </w:rPr>
        <w:t>Wright et al</w:t>
      </w:r>
      <w:r w:rsidR="00C97E8D" w:rsidRPr="00C97E8D">
        <w:rPr>
          <w:rFonts w:ascii="Times New Roman" w:hAnsi="Times New Roman" w:cs="Times New Roman"/>
          <w:noProof/>
        </w:rPr>
        <w:t xml:space="preserve"> </w:t>
      </w:r>
      <w:r w:rsidR="00C97E8D">
        <w:rPr>
          <w:rFonts w:ascii="Times New Roman" w:hAnsi="Times New Roman" w:cs="Times New Roman"/>
          <w:noProof/>
        </w:rPr>
        <w:t>(</w:t>
      </w:r>
      <w:r w:rsidR="00C97E8D" w:rsidRPr="00C97E8D">
        <w:rPr>
          <w:rFonts w:ascii="Times New Roman" w:hAnsi="Times New Roman" w:cs="Times New Roman"/>
          <w:noProof/>
        </w:rPr>
        <w:t>2008)</w:t>
      </w:r>
      <w:r w:rsidR="00C97E8D">
        <w:rPr>
          <w:rFonts w:ascii="Times New Roman" w:hAnsi="Times New Roman" w:cs="Times New Roman"/>
        </w:rPr>
        <w:fldChar w:fldCharType="end"/>
      </w:r>
      <w:r w:rsidR="001A3E4C" w:rsidRPr="00EF66BB">
        <w:rPr>
          <w:rFonts w:ascii="Times New Roman" w:hAnsi="Times New Roman" w:cs="Times New Roman"/>
        </w:rPr>
        <w:t xml:space="preserve"> highlighted that ‘mid-range’ </w:t>
      </w:r>
      <w:r w:rsidR="000A1691">
        <w:rPr>
          <w:rFonts w:ascii="Times New Roman" w:hAnsi="Times New Roman" w:cs="Times New Roman"/>
        </w:rPr>
        <w:t xml:space="preserve">UK </w:t>
      </w:r>
      <w:r w:rsidR="001A3E4C" w:rsidRPr="00EF66BB">
        <w:rPr>
          <w:rFonts w:ascii="Times New Roman" w:hAnsi="Times New Roman" w:cs="Times New Roman"/>
        </w:rPr>
        <w:t xml:space="preserve">institutions face distinct challenges in the establishment of effective technology transfer activities due to their relative lack of critical mass </w:t>
      </w:r>
      <w:r w:rsidR="002F3B21">
        <w:rPr>
          <w:rFonts w:ascii="Times New Roman" w:hAnsi="Times New Roman" w:cs="Times New Roman"/>
        </w:rPr>
        <w:t>of</w:t>
      </w:r>
      <w:r w:rsidR="001A3E4C" w:rsidRPr="00EF66BB">
        <w:rPr>
          <w:rFonts w:ascii="Times New Roman" w:hAnsi="Times New Roman" w:cs="Times New Roman"/>
        </w:rPr>
        <w:t xml:space="preserve"> internationally recognised research. They suggest that these universities need to make “careful strategic decisions to build up those areas where they have scope to make an international impact but also to differentiate investment in those areas where they can make a regional contribution” </w:t>
      </w:r>
      <w:r w:rsidR="00C97E8D">
        <w:rPr>
          <w:rFonts w:ascii="Times New Roman" w:hAnsi="Times New Roman" w:cs="Times New Roman"/>
        </w:rPr>
        <w:fldChar w:fldCharType="begin" w:fldLock="1"/>
      </w:r>
      <w:r w:rsidR="00C97E8D">
        <w:rPr>
          <w:rFonts w:ascii="Times New Roman" w:hAnsi="Times New Roman" w:cs="Times New Roman"/>
        </w:rPr>
        <w:instrText>ADDIN CSL_CITATION {"citationItems":[{"id":"ITEM-1","itemData":{"DOI":"10.1016/j.respol.2008.04.021","ISBN":"0048-7333","ISSN":"00487333","PMID":"2985","abstract":"We analyze how mid-range universities can contribute to industrial change through the transfer of tacit and codified knowledge in the areas of spin-offs; licensing and patents; contract research, consultancy and reach-out; and graduate and researcher mobility. We use archival, survey and interview data relating to mid-range universities in mid-range environments in the UK, Belgium, Germany and Sweden. Our findings suggest that mid-range universities primarily need to focus on generating world-class research and critical mass in areas of expertise, as well as developing different types of intermediaries. Mid-range universities may need to develop a portfolio of university-industry linkages in terms of the scope of activities and the types of firms with which they interact. We also show that different intermediaries have important roles to play in developing university-industry linkages for mid-range universities. © 2008.","author":[{"dropping-particle":"","family":"Wright","given":"Mike","non-dropping-particle":"","parse-names":false,"suffix":""},{"dropping-particle":"","family":"Clarysse","given":"Bart","non-dropping-particle":"","parse-names":false,"suffix":""},{"dropping-particle":"","family":"Lockett","given":"Andy","non-dropping-particle":"","parse-names":false,"suffix":""},{"dropping-particle":"","family":"Knockaert","given":"Mirjam","non-dropping-particle":"","parse-names":false,"suffix":""}],"container-title":"Research Policy","id":"ITEM-1","issue":"8","issued":{"date-parts":[["2008"]]},"page":"1205-1223","title":"Mid-range universities' linkages with industry: Knowledge types and the role of intermediaries","type":"article-journal","volume":"37"},"locator":"1222","uris":["http://www.mendeley.com/documents/?uuid=4ad24ced-5185-432e-a5f4-697ce97472d8"]}],"mendeley":{"formattedCitation":"(Wright et al., 2008, p. 1222)","plainTextFormattedCitation":"(Wright et al., 2008, p. 1222)","previouslyFormattedCitation":"(Wright et al., 2008, p. 1222)"},"properties":{"noteIndex":0},"schema":"https://github.com/citation-style-language/schema/raw/master/csl-citation.json"}</w:instrText>
      </w:r>
      <w:r w:rsidR="00C97E8D">
        <w:rPr>
          <w:rFonts w:ascii="Times New Roman" w:hAnsi="Times New Roman" w:cs="Times New Roman"/>
        </w:rPr>
        <w:fldChar w:fldCharType="separate"/>
      </w:r>
      <w:r w:rsidR="00C97E8D" w:rsidRPr="00C97E8D">
        <w:rPr>
          <w:rFonts w:ascii="Times New Roman" w:hAnsi="Times New Roman" w:cs="Times New Roman"/>
          <w:noProof/>
        </w:rPr>
        <w:t>(Wright et al., 2008, p. 1222)</w:t>
      </w:r>
      <w:r w:rsidR="00C97E8D">
        <w:rPr>
          <w:rFonts w:ascii="Times New Roman" w:hAnsi="Times New Roman" w:cs="Times New Roman"/>
        </w:rPr>
        <w:fldChar w:fldCharType="end"/>
      </w:r>
      <w:r w:rsidR="00C97E8D">
        <w:rPr>
          <w:rFonts w:ascii="Times New Roman" w:hAnsi="Times New Roman" w:cs="Times New Roman"/>
        </w:rPr>
        <w:t>.</w:t>
      </w:r>
      <w:r w:rsidR="001A3E4C" w:rsidRPr="00EF66BB">
        <w:rPr>
          <w:rFonts w:ascii="Times New Roman" w:hAnsi="Times New Roman" w:cs="Times New Roman"/>
        </w:rPr>
        <w:t xml:space="preserve"> Others </w:t>
      </w:r>
      <w:r w:rsidR="000A1691">
        <w:rPr>
          <w:rFonts w:ascii="Times New Roman" w:hAnsi="Times New Roman" w:cs="Times New Roman"/>
        </w:rPr>
        <w:t>argue</w:t>
      </w:r>
      <w:r w:rsidR="001A3E4C" w:rsidRPr="00EF66BB">
        <w:rPr>
          <w:rFonts w:ascii="Times New Roman" w:hAnsi="Times New Roman" w:cs="Times New Roman"/>
        </w:rPr>
        <w:t xml:space="preserve"> that strategic choices about technology transfer should be consistent with the size of the university </w:t>
      </w:r>
      <w:r w:rsidR="00C97E8D">
        <w:rPr>
          <w:rFonts w:ascii="Times New Roman" w:hAnsi="Times New Roman" w:cs="Times New Roman"/>
        </w:rPr>
        <w:fldChar w:fldCharType="begin" w:fldLock="1"/>
      </w:r>
      <w:r w:rsidR="00C97E8D">
        <w:rPr>
          <w:rFonts w:ascii="Times New Roman" w:hAnsi="Times New Roman" w:cs="Times New Roman"/>
        </w:rPr>
        <w:instrText>ADDIN CSL_CITATION {"citationItems":[{"id":"ITEM-1","itemData":{"DOI":"10.1016/j.respol.2005.01.007","ISBN":"0048-7333","ISSN":"00487333","PMID":"2878","abstract":"We present evidence on the relative performance of U.K. university technology transfer offices (TTOs) using data envelopment analysis (DEA) and stochastic frontier estimation (SFE). U.K. TTOs are found to exhibit low-levels of absolute efficiency. There also appear to be decreasing returns to scale, implying that TTOs may need to be reconfigured into smaller units. The development of regionally-based sector focused TTOs is also advised. Consistent with qualitative evidence from U.S. TTOs, we find that there is a need to upgrade the business skills and capabilities of U.K. TTO managers and licensing officers. © 2005 Elsevier B.V. All rights reserved.","author":[{"dropping-particle":"","family":"Chapple","given":"Wendy","non-dropping-particle":"","parse-names":false,"suffix":""},{"dropping-particle":"","family":"Lockett","given":"Andy","non-dropping-particle":"","parse-names":false,"suffix":""},{"dropping-particle":"","family":"Siegel","given":"Donald","non-dropping-particle":"","parse-names":false,"suffix":""},{"dropping-particle":"","family":"Wright","given":"Mike","non-dropping-particle":"","parse-names":false,"suffix":""}],"container-title":"Research Policy","id":"ITEM-1","issue":"3","issued":{"date-parts":[["2005"]]},"page":"369-384","title":"Assessing the relative performance of U.K. university technology transfer offices: Parametric and non-parametric evidence","type":"article-journal","volume":"34"},"uris":["http://www.mendeley.com/documents/?uuid=79f66bd1-a68a-42e0-a3e7-f5910e5a9097"]}],"mendeley":{"formattedCitation":"(Chapple et al., 2005)","plainTextFormattedCitation":"(Chapple et al., 2005)","previouslyFormattedCitation":"(Chapple et al., 2005)"},"properties":{"noteIndex":0},"schema":"https://github.com/citation-style-language/schema/raw/master/csl-citation.json"}</w:instrText>
      </w:r>
      <w:r w:rsidR="00C97E8D">
        <w:rPr>
          <w:rFonts w:ascii="Times New Roman" w:hAnsi="Times New Roman" w:cs="Times New Roman"/>
        </w:rPr>
        <w:fldChar w:fldCharType="separate"/>
      </w:r>
      <w:r w:rsidR="00C97E8D" w:rsidRPr="00C97E8D">
        <w:rPr>
          <w:rFonts w:ascii="Times New Roman" w:hAnsi="Times New Roman" w:cs="Times New Roman"/>
          <w:noProof/>
        </w:rPr>
        <w:t>(Chapple et al., 2005)</w:t>
      </w:r>
      <w:r w:rsidR="00C97E8D">
        <w:rPr>
          <w:rFonts w:ascii="Times New Roman" w:hAnsi="Times New Roman" w:cs="Times New Roman"/>
        </w:rPr>
        <w:fldChar w:fldCharType="end"/>
      </w:r>
      <w:r w:rsidR="001A3E4C" w:rsidRPr="00EF66BB">
        <w:rPr>
          <w:rFonts w:ascii="Times New Roman" w:hAnsi="Times New Roman" w:cs="Times New Roman"/>
        </w:rPr>
        <w:t xml:space="preserve"> and the scientific base of the university </w:t>
      </w:r>
      <w:r w:rsidR="00C97E8D">
        <w:rPr>
          <w:rFonts w:ascii="Times New Roman" w:hAnsi="Times New Roman" w:cs="Times New Roman"/>
        </w:rPr>
        <w:fldChar w:fldCharType="begin" w:fldLock="1"/>
      </w:r>
      <w:r w:rsidR="00C97E8D">
        <w:rPr>
          <w:rFonts w:ascii="Times New Roman" w:hAnsi="Times New Roman" w:cs="Times New Roman"/>
        </w:rPr>
        <w:instrText>ADDIN CSL_CITATION {"citationItems":[{"id":"ITEM-1","itemData":{"DOI":"10.1016/j.respol.2011.01.007","ISSN":"00487333","abstract":"We investigate how universities’ research quality shapes their engagement with industry. Previous research has predominantly found a positive relationship between academics’ research quality and their commercialization activities. Here we use industry involvement measures that are broader than commercialization and indicate actual collaboration, i.e. collaborative research, contract research and consulting. We hypothesise that the relationship between faculty quality and industry engagement differs across disciplines, depending on complementarities between industrial and academic work, and resource requirements. Using a dataset covering all UK universities, we find that in technology-oriented disciplines, departmental faculty quality is positively related to industry involvement. In the medical and biological sciences we find a positive effect of departmental faculty quality but establish that this does not apply to star scientists. In the social sciences, we find some support for a negative relationship between faculty quality and particularly the more applied forms of industry involvement. The implication for science policy makers and university managers is that differentiated approaches to promoting university–industry relationships are required.","author":[{"dropping-particle":"","family":"Perkmann","given":"Markus","non-dropping-particle":"","parse-names":false,"suffix":""},{"dropping-particle":"","family":"King","given":"Zella","non-dropping-particle":"","parse-names":false,"suffix":""},{"dropping-particle":"","family":"Pavelin","given":"Stephen","non-dropping-particle":"","parse-names":false,"suffix":""}],"container-title":"Research Policy","id":"ITEM-1","issue":"4","issued":{"date-parts":[["2011","5"]]},"page":"539-552","title":"Engaging excellence? Effects of faculty quality on university engagement with industry","type":"article-journal","volume":"40"},"uris":["http://www.mendeley.com/documents/?uuid=7315f251-4405-45f5-8e41-eaf30070e4c5"]}],"mendeley":{"formattedCitation":"(Perkmann et al., 2011)","plainTextFormattedCitation":"(Perkmann et al., 2011)","previouslyFormattedCitation":"(Perkmann et al., 2011)"},"properties":{"noteIndex":0},"schema":"https://github.com/citation-style-language/schema/raw/master/csl-citation.json"}</w:instrText>
      </w:r>
      <w:r w:rsidR="00C97E8D">
        <w:rPr>
          <w:rFonts w:ascii="Times New Roman" w:hAnsi="Times New Roman" w:cs="Times New Roman"/>
        </w:rPr>
        <w:fldChar w:fldCharType="separate"/>
      </w:r>
      <w:r w:rsidR="00C97E8D" w:rsidRPr="00C97E8D">
        <w:rPr>
          <w:rFonts w:ascii="Times New Roman" w:hAnsi="Times New Roman" w:cs="Times New Roman"/>
          <w:noProof/>
        </w:rPr>
        <w:t>(Perkmann et al., 2011)</w:t>
      </w:r>
      <w:r w:rsidR="00C97E8D">
        <w:rPr>
          <w:rFonts w:ascii="Times New Roman" w:hAnsi="Times New Roman" w:cs="Times New Roman"/>
        </w:rPr>
        <w:fldChar w:fldCharType="end"/>
      </w:r>
      <w:r w:rsidR="001A3E4C" w:rsidRPr="00EF66BB">
        <w:rPr>
          <w:rFonts w:ascii="Times New Roman" w:hAnsi="Times New Roman" w:cs="Times New Roman"/>
        </w:rPr>
        <w:t xml:space="preserve">. </w:t>
      </w:r>
    </w:p>
    <w:p w14:paraId="424CE2C5" w14:textId="77777777" w:rsidR="001A3E4C" w:rsidRPr="00EF66BB" w:rsidRDefault="001A3E4C" w:rsidP="00141231">
      <w:pPr>
        <w:spacing w:line="360" w:lineRule="auto"/>
        <w:rPr>
          <w:rFonts w:ascii="Times New Roman" w:hAnsi="Times New Roman" w:cs="Times New Roman"/>
        </w:rPr>
      </w:pPr>
    </w:p>
    <w:p w14:paraId="1AA48865" w14:textId="3A2F894C" w:rsidR="001A3E4C" w:rsidRDefault="001A3E4C" w:rsidP="00141231">
      <w:pPr>
        <w:spacing w:line="360" w:lineRule="auto"/>
        <w:rPr>
          <w:rFonts w:ascii="Times New Roman" w:hAnsi="Times New Roman" w:cs="Times New Roman"/>
        </w:rPr>
      </w:pPr>
      <w:r w:rsidRPr="00EF66BB">
        <w:rPr>
          <w:rFonts w:ascii="Times New Roman" w:hAnsi="Times New Roman" w:cs="Times New Roman"/>
        </w:rPr>
        <w:t xml:space="preserve">These existing conceptualisations of strategy are based on two assumptions that </w:t>
      </w:r>
      <w:r w:rsidR="00281046">
        <w:rPr>
          <w:rFonts w:ascii="Times New Roman" w:hAnsi="Times New Roman" w:cs="Times New Roman"/>
        </w:rPr>
        <w:t>will be clarified in this</w:t>
      </w:r>
      <w:r w:rsidR="001C5569" w:rsidRPr="00EF66BB">
        <w:rPr>
          <w:rFonts w:ascii="Times New Roman" w:hAnsi="Times New Roman" w:cs="Times New Roman"/>
        </w:rPr>
        <w:t xml:space="preserve"> </w:t>
      </w:r>
      <w:r w:rsidR="00593123" w:rsidRPr="00EF66BB">
        <w:rPr>
          <w:rFonts w:ascii="Times New Roman" w:hAnsi="Times New Roman" w:cs="Times New Roman"/>
        </w:rPr>
        <w:t>research</w:t>
      </w:r>
      <w:r w:rsidRPr="00EF66BB">
        <w:rPr>
          <w:rFonts w:ascii="Times New Roman" w:hAnsi="Times New Roman" w:cs="Times New Roman"/>
        </w:rPr>
        <w:t>. First, all existing approaches imply that the strategic choices of university manage</w:t>
      </w:r>
      <w:r w:rsidR="00593123" w:rsidRPr="00EF66BB">
        <w:rPr>
          <w:rFonts w:ascii="Times New Roman" w:hAnsi="Times New Roman" w:cs="Times New Roman"/>
        </w:rPr>
        <w:t>rs have</w:t>
      </w:r>
      <w:r w:rsidRPr="00EF66BB">
        <w:rPr>
          <w:rFonts w:ascii="Times New Roman" w:hAnsi="Times New Roman" w:cs="Times New Roman"/>
        </w:rPr>
        <w:t xml:space="preserve"> a significant impact on the effectiveness of technology transfer activities</w:t>
      </w:r>
      <w:r w:rsidR="006F57B4" w:rsidRPr="00EF66BB">
        <w:rPr>
          <w:rFonts w:ascii="Times New Roman" w:hAnsi="Times New Roman" w:cs="Times New Roman"/>
        </w:rPr>
        <w:t>.</w:t>
      </w:r>
      <w:r w:rsidR="00593123" w:rsidRPr="00EF66BB">
        <w:rPr>
          <w:rFonts w:ascii="Times New Roman" w:hAnsi="Times New Roman" w:cs="Times New Roman"/>
        </w:rPr>
        <w:t xml:space="preserve"> However,</w:t>
      </w:r>
      <w:r w:rsidRPr="00EF66BB">
        <w:rPr>
          <w:rFonts w:ascii="Times New Roman" w:hAnsi="Times New Roman" w:cs="Times New Roman"/>
        </w:rPr>
        <w:t xml:space="preserve"> there is a paucity of empirical evidence that demonstrates </w:t>
      </w:r>
      <w:r w:rsidR="00281046">
        <w:rPr>
          <w:rFonts w:ascii="Times New Roman" w:hAnsi="Times New Roman" w:cs="Times New Roman"/>
        </w:rPr>
        <w:t>a</w:t>
      </w:r>
      <w:r w:rsidRPr="00EF66BB">
        <w:rPr>
          <w:rFonts w:ascii="Times New Roman" w:hAnsi="Times New Roman" w:cs="Times New Roman"/>
        </w:rPr>
        <w:t xml:space="preserve"> relationship between university strategic choices and technology transfer effectiveness. Second,  strategic choices are viewed as contingent upon the prevailing institutional or organisational characteristics rather than as a consequence of managerial action</w:t>
      </w:r>
      <w:r w:rsidR="00593123" w:rsidRPr="00EF66BB">
        <w:rPr>
          <w:rFonts w:ascii="Times New Roman" w:hAnsi="Times New Roman" w:cs="Times New Roman"/>
        </w:rPr>
        <w:t xml:space="preserve">s </w:t>
      </w:r>
      <w:r w:rsidR="00C97E8D">
        <w:rPr>
          <w:rFonts w:ascii="Times New Roman" w:hAnsi="Times New Roman" w:cs="Times New Roman"/>
        </w:rPr>
        <w:fldChar w:fldCharType="begin" w:fldLock="1"/>
      </w:r>
      <w:r w:rsidR="00C97E8D">
        <w:rPr>
          <w:rFonts w:ascii="Times New Roman" w:hAnsi="Times New Roman" w:cs="Times New Roman"/>
        </w:rPr>
        <w:instrText>ADDIN CSL_CITATION {"citationItems":[{"id":"ITEM-1","itemData":{"DOI":"10.1002/smj","ISBN":"1097-0266","ISSN":"00014273","PMID":"31767271","abstract":"Like governance structure and alliance scope, partner selection may serve to safeguard firms’ intellectual assets in R&amp;D alliances. We categorize potential alliance partners into friends, acquaintances, and strangers, depending on their previous alliance experience. Data on 1,159 R&amp;D alliances indicate that the more radical an alliance’s innovation goals, the more likely it is that partners are friends rather than strangers. However, strangers are preferred to acquaintances, suggesting partner selection preferences are not transitive. Moreover, results suggest that firms use partner selection, governance structure, and alliance scope as substitute mechanisms to protect valuable technological assets from appropriation in R&amp;D alliances.","author":[{"dropping-particle":"","family":"Rond","given":"M","non-dropping-particle":"De","parse-names":false,"suffix":""},{"dropping-particle":"","family":"Thietart","given":"R-A","non-dropping-particle":"","parse-names":false,"suffix":""}],"container-title":"Strategic Management Journal","id":"ITEM-1","issued":{"date-parts":[["2007"]]},"page":"535-551","title":"Choice, Chance and Inevitability in Strategy","type":"article-journal","volume":"28"},"uris":["http://www.mendeley.com/documents/?uuid=b131c8ac-cd65-4c2a-946e-411e6b27876e"]}],"mendeley":{"formattedCitation":"(De Rond and Thietart, 2007)","plainTextFormattedCitation":"(De Rond and Thietart, 2007)","previouslyFormattedCitation":"(De Rond and Thietart, 2007)"},"properties":{"noteIndex":0},"schema":"https://github.com/citation-style-language/schema/raw/master/csl-citation.json"}</w:instrText>
      </w:r>
      <w:r w:rsidR="00C97E8D">
        <w:rPr>
          <w:rFonts w:ascii="Times New Roman" w:hAnsi="Times New Roman" w:cs="Times New Roman"/>
        </w:rPr>
        <w:fldChar w:fldCharType="separate"/>
      </w:r>
      <w:r w:rsidR="00C97E8D" w:rsidRPr="00C97E8D">
        <w:rPr>
          <w:rFonts w:ascii="Times New Roman" w:hAnsi="Times New Roman" w:cs="Times New Roman"/>
          <w:noProof/>
        </w:rPr>
        <w:t>(De Rond and Thietart, 2007)</w:t>
      </w:r>
      <w:r w:rsidR="00C97E8D">
        <w:rPr>
          <w:rFonts w:ascii="Times New Roman" w:hAnsi="Times New Roman" w:cs="Times New Roman"/>
        </w:rPr>
        <w:fldChar w:fldCharType="end"/>
      </w:r>
      <w:r w:rsidRPr="00EF66BB">
        <w:rPr>
          <w:rFonts w:ascii="Times New Roman" w:hAnsi="Times New Roman" w:cs="Times New Roman"/>
        </w:rPr>
        <w:t>. For example, strategy is perceived to be a function of university characteristics (research profile</w:t>
      </w:r>
      <w:r w:rsidR="00A804C1" w:rsidRPr="00EF66BB">
        <w:rPr>
          <w:rFonts w:ascii="Times New Roman" w:hAnsi="Times New Roman" w:cs="Times New Roman"/>
        </w:rPr>
        <w:t>;</w:t>
      </w:r>
      <w:r w:rsidRPr="00EF66BB">
        <w:rPr>
          <w:rFonts w:ascii="Times New Roman" w:hAnsi="Times New Roman" w:cs="Times New Roman"/>
        </w:rPr>
        <w:t xml:space="preserve"> research intensity</w:t>
      </w:r>
      <w:r w:rsidR="00A804C1" w:rsidRPr="00EF66BB">
        <w:rPr>
          <w:rFonts w:ascii="Times New Roman" w:hAnsi="Times New Roman" w:cs="Times New Roman"/>
        </w:rPr>
        <w:t>;</w:t>
      </w:r>
      <w:r w:rsidRPr="00EF66BB">
        <w:rPr>
          <w:rFonts w:ascii="Times New Roman" w:hAnsi="Times New Roman" w:cs="Times New Roman"/>
        </w:rPr>
        <w:t xml:space="preserve"> size</w:t>
      </w:r>
      <w:r w:rsidR="00A804C1" w:rsidRPr="00EF66BB">
        <w:rPr>
          <w:rFonts w:ascii="Times New Roman" w:hAnsi="Times New Roman" w:cs="Times New Roman"/>
        </w:rPr>
        <w:t>;</w:t>
      </w:r>
      <w:r w:rsidRPr="00EF66BB">
        <w:rPr>
          <w:rFonts w:ascii="Times New Roman" w:hAnsi="Times New Roman" w:cs="Times New Roman"/>
        </w:rPr>
        <w:t xml:space="preserve"> scientific knowledge base) or environmental conditions (regional characteristics) </w:t>
      </w:r>
      <w:r w:rsidR="00C97E8D">
        <w:rPr>
          <w:rFonts w:ascii="Times New Roman" w:hAnsi="Times New Roman" w:cs="Times New Roman"/>
        </w:rPr>
        <w:fldChar w:fldCharType="begin" w:fldLock="1"/>
      </w:r>
      <w:r w:rsidR="005C76D1">
        <w:rPr>
          <w:rFonts w:ascii="Times New Roman" w:hAnsi="Times New Roman" w:cs="Times New Roman"/>
        </w:rPr>
        <w:instrText>ADDIN CSL_CITATION {"citationItems":[{"id":"ITEM-1","itemData":{"DOI":"10.1111/1467-8551.12116","ISBN":"1467-8551","ISSN":"14678551","PMID":"3749","abstract":"Academic entrepreneurship, which refers to efforts undertaken by universities to promote commercialization on campus and in surrounding regions of the university, has changed dramatically in recent years. Two key consequences of this change are that more stakeholders have become involved in academic entrepreneurship and that universities have become more ‘strategic’ in their approach to this activity. The authors assert that the time is ripe to rethink academic entrepreneurship. Specifically, theoretical and empirical research on academic entrepreneurship needs to take account of these changes, so as to improve the rigour and relevance of future studies on this topic. We outline such a framework and provide examples of key research questions that need to be addressed to broaden understanding of academic entrepreneurship.","author":[{"dropping-particle":"","family":"Siegel","given":"Donald","non-dropping-particle":"","parse-names":false,"suffix":""},{"dropping-particle":"","family":"Wright","given":"Mike","non-dropping-particle":"","parse-names":false,"suffix":""}],"container-title":"British Journal of Management","id":"ITEM-1","issue":"4","issued":{"date-parts":[["2015"]]},"page":"582-595","title":"Academic Entrepreneurship: Time for a Rethink?","type":"article-journal","volume":"26"},"uris":["http://www.mendeley.com/documents/?uuid=fd36b1d1-c4c9-405f-8f53-67de72694463"]},{"id":"ITEM-2","itemData":{"DOI":"10.1016/j.respol.2008.04.021","ISBN":"0048-7333","ISSN":"00487333","PMID":"2985","abstract":"We analyze how mid-range universities can contribute to industrial change through the transfer of tacit and codified knowledge in the areas of spin-offs; licensing and patents; contract research, consultancy and reach-out; and graduate and researcher mobility. We use archival, survey and interview data relating to mid-range universities in mid-range environments in the UK, Belgium, Germany and Sweden. Our findings suggest that mid-range universities primarily need to focus on generating world-class research and critical mass in areas of expertise, as well as developing different types of intermediaries. Mid-range universities may need to develop a portfolio of university-industry linkages in terms of the scope of activities and the types of firms with which they interact. We also show that different intermediaries have important roles to play in developing university-industry linkages for mid-range universities. © 2008.","author":[{"dropping-particle":"","family":"Wright","given":"Mike","non-dropping-particle":"","parse-names":false,"suffix":""},{"dropping-particle":"","family":"Clarysse","given":"Bart","non-dropping-particle":"","parse-names":false,"suffix":""},{"dropping-particle":"","family":"Lockett","given":"Andy","non-dropping-particle":"","parse-names":false,"suffix":""},{"dropping-particle":"","family":"Knockaert","given":"Mirjam","non-dropping-particle":"","parse-names":false,"suffix":""}],"container-title":"Research Policy","id":"ITEM-2","issue":"8","issued":{"date-parts":[["2008"]]},"page":"1205-1223","title":"Mid-range universities' linkages with industry: Knowledge types and the role of intermediaries","type":"article-journal","volume":"37"},"uris":["http://www.mendeley.com/documents/?uuid=4ad24ced-5185-432e-a5f4-697ce97472d8"]},{"id":"ITEM-3","itemData":{"DOI":"10.1016/j.respol.2011.01.007","ISSN":"00487333","abstract":"We investigate how universities’ research quality shapes their engagement with industry. Previous research has predominantly found a positive relationship between academics’ research quality and their commercialization activities. Here we use industry involvement measures that are broader than commercialization and indicate actual collaboration, i.e. collaborative research, contract research and consulting. We hypothesise that the relationship between faculty quality and industry engagement differs across disciplines, depending on complementarities between industrial and academic work, and resource requirements. Using a dataset covering all UK universities, we find that in technology-oriented disciplines, departmental faculty quality is positively related to industry involvement. In the medical and biological sciences we find a positive effect of departmental faculty quality but establish that this does not apply to star scientists. In the social sciences, we find some support for a negative relationship between faculty quality and particularly the more applied forms of industry involvement. The implication for science policy makers and university managers is that differentiated approaches to promoting university–industry relationships are required.","author":[{"dropping-particle":"","family":"Perkmann","given":"Markus","non-dropping-particle":"","parse-names":false,"suffix":""},{"dropping-particle":"","family":"King","given":"Zella","non-dropping-particle":"","parse-names":false,"suffix":""},{"dropping-particle":"","family":"Pavelin","given":"Stephen","non-dropping-particle":"","parse-names":false,"suffix":""}],"container-title":"Research Policy","id":"ITEM-3","issue":"4","issued":{"date-parts":[["2011","5"]]},"page":"539-552","title":"Engaging excellence? Effects of faculty quality on university engagement with industry","type":"article-journal","volume":"40"},"uris":["http://www.mendeley.com/documents/?uuid=7315f251-4405-45f5-8e41-eaf30070e4c5"]}],"mendeley":{"formattedCitation":"(Perkmann et al., 2011; Siegel and Wright, 2015a; Wright et al., 2008)","plainTextFormattedCitation":"(Perkmann et al., 2011; Siegel and Wright, 2015a; Wright et al., 2008)","previouslyFormattedCitation":"(Perkmann et al., 2011; Siegel and Wright, 2015a; Wright et al., 2008)"},"properties":{"noteIndex":0},"schema":"https://github.com/citation-style-language/schema/raw/master/csl-citation.json"}</w:instrText>
      </w:r>
      <w:r w:rsidR="00C97E8D">
        <w:rPr>
          <w:rFonts w:ascii="Times New Roman" w:hAnsi="Times New Roman" w:cs="Times New Roman"/>
        </w:rPr>
        <w:fldChar w:fldCharType="separate"/>
      </w:r>
      <w:r w:rsidR="005C76D1" w:rsidRPr="005C76D1">
        <w:rPr>
          <w:rFonts w:ascii="Times New Roman" w:hAnsi="Times New Roman" w:cs="Times New Roman"/>
          <w:noProof/>
        </w:rPr>
        <w:t xml:space="preserve">(Perkmann et al., 2011; Siegel and Wright, 2015a; Wright </w:t>
      </w:r>
      <w:r w:rsidR="005C76D1" w:rsidRPr="005C76D1">
        <w:rPr>
          <w:rFonts w:ascii="Times New Roman" w:hAnsi="Times New Roman" w:cs="Times New Roman"/>
          <w:noProof/>
        </w:rPr>
        <w:lastRenderedPageBreak/>
        <w:t>et al., 2008)</w:t>
      </w:r>
      <w:r w:rsidR="00C97E8D">
        <w:rPr>
          <w:rFonts w:ascii="Times New Roman" w:hAnsi="Times New Roman" w:cs="Times New Roman"/>
        </w:rPr>
        <w:fldChar w:fldCharType="end"/>
      </w:r>
      <w:r w:rsidR="00C97E8D">
        <w:rPr>
          <w:rFonts w:ascii="Times New Roman" w:hAnsi="Times New Roman" w:cs="Times New Roman"/>
        </w:rPr>
        <w:t>.</w:t>
      </w:r>
      <w:r w:rsidRPr="00EF66BB">
        <w:rPr>
          <w:rFonts w:ascii="Times New Roman" w:hAnsi="Times New Roman" w:cs="Times New Roman"/>
        </w:rPr>
        <w:t xml:space="preserve"> Whilst these are important factors, reducing strategy to situational contingencies overlooks the significance of managerial choice</w:t>
      </w:r>
      <w:r w:rsidR="00593123" w:rsidRPr="00EF66BB">
        <w:rPr>
          <w:rFonts w:ascii="Times New Roman" w:hAnsi="Times New Roman" w:cs="Times New Roman"/>
        </w:rPr>
        <w:t>s</w:t>
      </w:r>
      <w:r w:rsidR="000F4749">
        <w:rPr>
          <w:rFonts w:ascii="Times New Roman" w:hAnsi="Times New Roman" w:cs="Times New Roman"/>
        </w:rPr>
        <w:t xml:space="preserve"> (Child, 1972)</w:t>
      </w:r>
      <w:r w:rsidRPr="00EF66BB">
        <w:rPr>
          <w:rFonts w:ascii="Times New Roman" w:hAnsi="Times New Roman" w:cs="Times New Roman"/>
        </w:rPr>
        <w:t xml:space="preserve">. We consider this problematic, particularly in the UK context, where senior university administrators have increasing discretion regarding university priorities and resource allocation </w:t>
      </w:r>
      <w:r w:rsidR="00C97E8D">
        <w:rPr>
          <w:rFonts w:ascii="Times New Roman" w:hAnsi="Times New Roman" w:cs="Times New Roman"/>
        </w:rPr>
        <w:fldChar w:fldCharType="begin" w:fldLock="1"/>
      </w:r>
      <w:r w:rsidR="00C97E8D">
        <w:rPr>
          <w:rFonts w:ascii="Times New Roman" w:hAnsi="Times New Roman" w:cs="Times New Roman"/>
        </w:rPr>
        <w:instrText>ADDIN CSL_CITATION {"citationItems":[{"id":"ITEM-1","itemData":{"DOI":"10.1080/03075079.2012.754858","ISBN":"03075079 (ISSN)","ISSN":"1470174X","abstract":"In this paper we examine the creation and expansion of the English university system. We show how the enormous increase in student numbers, which began with the Robbins Report (1963), led to successive governments cutting universities’ funding and compelling them to act more like business enterprises than educational institutions. In turn, vice-chancellors have become more similar to powerful chief executives, collegial forms of control have been significantly reduced and academic staff increasingly work in an environment in which they are told what to teach, how to teach, what research to conduct and where to publish. However, we show that this can be dysfunctional not only for staff, but also for senior managers. In place of this dysfunctional centralism, we argue for a win-win form of collegiality, which is compatible with rapid decision-making at the university centre and effective execution of change at the local/ departmental level.","author":[{"dropping-particle":"","family":"Burnes","given":"Bernard","non-dropping-particle":"","parse-names":false,"suffix":""},{"dropping-particle":"","family":"Wend","given":"Petra","non-dropping-particle":"","parse-names":false,"suffix":""},{"dropping-particle":"","family":"By","given":"Rune Todnem","non-dropping-particle":"","parse-names":false,"suffix":""}],"container-title":"Studies in Higher Education","id":"ITEM-1","issue":"6","issued":{"date-parts":[["2014"]]},"page":"905-926","title":"The changing face of English universities: reinventing collegiality for the twenty-first century","type":"article-journal","volume":"39"},"uris":["http://www.mendeley.com/documents/?uuid=24152560-a926-4d23-9fe1-dc68becea4bb"]},{"id":"ITEM-2","itemData":{"DOI":"10.1080/1360080X.2017.1354754","ISSN":"14699508","abstract":"This paper considers the case for reform of management structures in UK universities and offers proposals for change. The model of top-down, performance-led management that characterises many institutions is both outmoded and ill-suited to the challenges of an increasingly turbulent higher education sector. Drawing on the experiences of a university that introduced a new scheme of performance management, I explore alternative approaches to leadership and management, collaborative or partnership working designed to improve employee voice and the need to re-evaluate approaches to Human Resource Management. I conclude with a five-point model for change.","author":[{"dropping-particle":"","family":"Waring","given":"Matt","non-dropping-particle":"","parse-names":false,"suffix":""}],"container-title":"Journal of Higher Education Policy and Management","id":"ITEM-2","issue":"5","issued":{"date-parts":[["2017"]]},"page":"540-558","publisher":"Routledge","title":"Management and leadership in UK universities: exploring the possibilities of change","type":"article-journal","volume":"39"},"uris":["http://www.mendeley.com/documents/?uuid=53ffff0f-fb1a-477d-aae5-a1036f8cdc58"]}],"mendeley":{"formattedCitation":"(Burnes et al., 2014; Waring, 2017)","plainTextFormattedCitation":"(Burnes et al., 2014; Waring, 2017)","previouslyFormattedCitation":"(Burnes et al., 2014; Waring, 2017)"},"properties":{"noteIndex":0},"schema":"https://github.com/citation-style-language/schema/raw/master/csl-citation.json"}</w:instrText>
      </w:r>
      <w:r w:rsidR="00C97E8D">
        <w:rPr>
          <w:rFonts w:ascii="Times New Roman" w:hAnsi="Times New Roman" w:cs="Times New Roman"/>
        </w:rPr>
        <w:fldChar w:fldCharType="separate"/>
      </w:r>
      <w:r w:rsidR="00C97E8D" w:rsidRPr="00C97E8D">
        <w:rPr>
          <w:rFonts w:ascii="Times New Roman" w:hAnsi="Times New Roman" w:cs="Times New Roman"/>
          <w:noProof/>
        </w:rPr>
        <w:t>(Burnes et al., 2014; Waring, 2017)</w:t>
      </w:r>
      <w:r w:rsidR="00C97E8D">
        <w:rPr>
          <w:rFonts w:ascii="Times New Roman" w:hAnsi="Times New Roman" w:cs="Times New Roman"/>
        </w:rPr>
        <w:fldChar w:fldCharType="end"/>
      </w:r>
      <w:r w:rsidRPr="00EF66BB">
        <w:rPr>
          <w:rFonts w:ascii="Times New Roman" w:hAnsi="Times New Roman" w:cs="Times New Roman"/>
        </w:rPr>
        <w:t xml:space="preserve">.  Consequently, this paper </w:t>
      </w:r>
      <w:r w:rsidR="000F4749">
        <w:rPr>
          <w:rFonts w:ascii="Times New Roman" w:hAnsi="Times New Roman" w:cs="Times New Roman"/>
        </w:rPr>
        <w:t>will focus on</w:t>
      </w:r>
      <w:r w:rsidRPr="00EF66BB">
        <w:rPr>
          <w:rFonts w:ascii="Times New Roman" w:hAnsi="Times New Roman" w:cs="Times New Roman"/>
        </w:rPr>
        <w:t xml:space="preserve"> managerial choice by exploring the relationship between university strategic priorities, internal organisational configurations that can be manipulated by university managers and technology transfer effectiveness. In order to facilitate this analysis we drawn upon insights offered by Strategic Choice Theory </w:t>
      </w:r>
      <w:r w:rsidR="00C97E8D">
        <w:rPr>
          <w:rFonts w:ascii="Times New Roman" w:hAnsi="Times New Roman" w:cs="Times New Roman"/>
        </w:rPr>
        <w:fldChar w:fldCharType="begin" w:fldLock="1"/>
      </w:r>
      <w:r w:rsidR="008039B9">
        <w:rPr>
          <w:rFonts w:ascii="Times New Roman" w:hAnsi="Times New Roman" w:cs="Times New Roman"/>
        </w:rPr>
        <w:instrText>ADDIN CSL_CITATION {"citationItems":[{"id":"ITEM-1","itemData":{"DOI":"10.1177/017084069701800104","ISBN":"0170840697","ISSN":"0170-8406","PMID":"9709106242","abstract":"This paper examines the place of the strategic choice perspective in the study of organizations and considers its contemporary contribution. The main features of the original analysis are summarized, followed by a review of the key issues which arise from it. The paper discusses the integrative potential of strategic choice theory within organization studies and examines its contribution to an evolutionary perspective on the subject. [ABSTRACT FROM AUTHOR]","author":[{"dropping-particle":"","family":"Child","given":"John","non-dropping-particle":"","parse-names":false,"suffix":""}],"container-title":"Organization Studies","id":"ITEM-1","issue":"1","issued":{"date-parts":[["1997"]]},"page":"43-76","title":"Strategic Choice in the Analysis of Action, Structure, Organizations and Environment: Retrospect and Prospect","type":"article-journal","volume":"18"},"uris":["http://www.mendeley.com/documents/?uuid=567c0ecc-17f0-4a38-9892-c98cb98a9e33"]},{"id":"ITEM-2","itemData":{"author":[{"dropping-particle":"","family":"Child","given":"John","non-dropping-particle":"","parse-names":false,"suffix":""}],"container-title":"Sociology","id":"ITEM-2","issue":"1","issued":{"date-parts":[["1972"]]},"page":"1-22","title":"Organizational Structure, Environment and Performance: The Role of Strategic Choice","type":"article-journal","volume":"6"},"uris":["http://www.mendeley.com/documents/?uuid=8d8d803e-eaf2-4353-8bda-269822284514"]}],"mendeley":{"formattedCitation":"(Child, 1997, 1972)","plainTextFormattedCitation":"(Child, 1997, 1972)","previouslyFormattedCitation":"(Child, 1997, 1972)"},"properties":{"noteIndex":0},"schema":"https://github.com/citation-style-language/schema/raw/master/csl-citation.json"}</w:instrText>
      </w:r>
      <w:r w:rsidR="00C97E8D">
        <w:rPr>
          <w:rFonts w:ascii="Times New Roman" w:hAnsi="Times New Roman" w:cs="Times New Roman"/>
        </w:rPr>
        <w:fldChar w:fldCharType="separate"/>
      </w:r>
      <w:r w:rsidR="00C97E8D" w:rsidRPr="00C97E8D">
        <w:rPr>
          <w:rFonts w:ascii="Times New Roman" w:hAnsi="Times New Roman" w:cs="Times New Roman"/>
          <w:noProof/>
        </w:rPr>
        <w:t>(Child, 1997, 1972)</w:t>
      </w:r>
      <w:r w:rsidR="00C97E8D">
        <w:rPr>
          <w:rFonts w:ascii="Times New Roman" w:hAnsi="Times New Roman" w:cs="Times New Roman"/>
        </w:rPr>
        <w:fldChar w:fldCharType="end"/>
      </w:r>
      <w:r w:rsidRPr="00EF66BB">
        <w:rPr>
          <w:rFonts w:ascii="Times New Roman" w:hAnsi="Times New Roman" w:cs="Times New Roman"/>
        </w:rPr>
        <w:t xml:space="preserve">. </w:t>
      </w:r>
    </w:p>
    <w:p w14:paraId="325E670E" w14:textId="77777777" w:rsidR="00C93899" w:rsidRPr="00EF66BB" w:rsidRDefault="00C93899" w:rsidP="00141231">
      <w:pPr>
        <w:spacing w:line="360" w:lineRule="auto"/>
        <w:rPr>
          <w:rFonts w:ascii="Times New Roman" w:hAnsi="Times New Roman" w:cs="Times New Roman"/>
        </w:rPr>
      </w:pPr>
    </w:p>
    <w:p w14:paraId="241B8F8A" w14:textId="163ACEC2" w:rsidR="00844C46" w:rsidRPr="00EF66BB" w:rsidRDefault="00844C46" w:rsidP="00141231">
      <w:pPr>
        <w:pStyle w:val="Heading3"/>
        <w:spacing w:line="360" w:lineRule="auto"/>
        <w:rPr>
          <w:rFonts w:ascii="Times New Roman" w:hAnsi="Times New Roman" w:cs="Times New Roman"/>
        </w:rPr>
      </w:pPr>
      <w:r>
        <w:rPr>
          <w:rFonts w:ascii="Times New Roman" w:hAnsi="Times New Roman" w:cs="Times New Roman"/>
        </w:rPr>
        <w:t>2.3</w:t>
      </w:r>
      <w:r w:rsidRPr="00EF66BB">
        <w:rPr>
          <w:rFonts w:ascii="Times New Roman" w:hAnsi="Times New Roman" w:cs="Times New Roman"/>
        </w:rPr>
        <w:t xml:space="preserve"> Strategic Choice</w:t>
      </w:r>
      <w:r>
        <w:rPr>
          <w:rFonts w:ascii="Times New Roman" w:hAnsi="Times New Roman" w:cs="Times New Roman"/>
        </w:rPr>
        <w:t xml:space="preserve"> Theory: Priorities, Choices, Planning and Effectiveness</w:t>
      </w:r>
    </w:p>
    <w:p w14:paraId="505E75CD" w14:textId="1D46DA80" w:rsidR="00844C46" w:rsidRDefault="00844C46" w:rsidP="00141231">
      <w:pPr>
        <w:spacing w:line="360" w:lineRule="auto"/>
        <w:rPr>
          <w:rFonts w:ascii="Times New Roman" w:hAnsi="Times New Roman" w:cs="Times New Roman"/>
        </w:rPr>
      </w:pPr>
      <w:r w:rsidRPr="00EF66BB">
        <w:rPr>
          <w:rFonts w:ascii="Times New Roman" w:hAnsi="Times New Roman" w:cs="Times New Roman"/>
        </w:rPr>
        <w:t xml:space="preserve">Strategic Choice Theory was initially advocated as a corrective to Contingency Theory, which attributed variations in inter-organisational performance to environmental and organisational contingencies </w:t>
      </w:r>
      <w:r>
        <w:rPr>
          <w:rFonts w:ascii="Times New Roman" w:hAnsi="Times New Roman" w:cs="Times New Roman"/>
        </w:rPr>
        <w:fldChar w:fldCharType="begin" w:fldLock="1"/>
      </w:r>
      <w:r>
        <w:rPr>
          <w:rFonts w:ascii="Times New Roman" w:hAnsi="Times New Roman" w:cs="Times New Roman"/>
        </w:rPr>
        <w:instrText>ADDIN CSL_CITATION {"citationItems":[{"id":"ITEM-1","itemData":{"DOI":"10.1111/ijmr.12010","ISBN":"14608545","ISSN":"14608545","PMID":"93393013","abstract":"This paper reviews the literature about the Aston Programme of organizational research, in particular, its studies of organizational structure. The intellectual commitments of the Aston Programme are explicated and contrasted with the then dominant traditions of organizational research. The methodology is explained, with its emphasis on quantitative variables, reliable scales and statistical methods. The way successive studies confirmed or challenged Weberian bureaucracy is discussed. The major structural scales and their short forms are described. The relationships among the structural variables and between them and the contextual variables of size, technology and public accountability are outlined. The generalizability of these relationships in organizational research across countries is considered. The paper offers a roughly chronological narrative in three phases: the original Aston study, the National study and then on to the many subsequent replication and extension studies and reviews of them. Some cognate organizational research studies are brought in that confirm the Aston Programme. The need to continue the Astonian Cartesian approach rather than the configurational approach is emphasized. In closing, the Aston legacy is briefly summated and a vision for a future Aston Programme is offered in an Epilogue. [ABSTRACT FROM AUTHOR]","author":[{"dropping-particle":"","family":"Donaldson","given":"Lex","non-dropping-particle":"","parse-names":false,"suffix":""},{"dropping-particle":"","family":"Luo","given":"Ben Nanfeng","non-dropping-particle":"","parse-names":false,"suffix":""}],"container-title":"International Journal of Management Reviews","id":"ITEM-1","issue":"1","issued":{"date-parts":[["2014"]]},"page":"84-104","title":"The Aston Programme Contribution to Organizational Research: A Literature Review","type":"article-journal","volume":"16"},"uris":["http://www.mendeley.com/documents/?uuid=9f629581-9fa5-4681-9b7e-36309ed829d5"]},{"id":"ITEM-2","itemData":{"DOI":"10.1177/017084069701800104","ISBN":"0170840697","ISSN":"0170-8406","PMID":"9709106242","abstract":"This paper examines the place of the strategic choice perspective in the study of organizations and considers its contemporary contribution. The main features of the original analysis are summarized, followed by a review of the key issues which arise from it. The paper discusses the integrative potential of strategic choice theory within organization studies and examines its contribution to an evolutionary perspective on the subject. [ABSTRACT FROM AUTHOR]","author":[{"dropping-particle":"","family":"Child","given":"John","non-dropping-particle":"","parse-names":false,"suffix":""}],"container-title":"Organization Studies","id":"ITEM-2","issue":"1","issued":{"date-parts":[["1997"]]},"page":"43-76","title":"Strategic Choice in the Analysis of Action, Structure, Organizations and Environment: Retrospect and Prospect","type":"article-journal","volume":"18"},"uris":["http://www.mendeley.com/documents/?uuid=567c0ecc-17f0-4a38-9892-c98cb98a9e33"]}],"mendeley":{"formattedCitation":"(Child, 1997; Donaldson and Luo, 2014)","plainTextFormattedCitation":"(Child, 1997; Donaldson and Luo, 2014)","previouslyFormattedCitation":"(Child, 1997; Donaldson and Luo, 2014)"},"properties":{"noteIndex":0},"schema":"https://github.com/citation-style-language/schema/raw/master/csl-citation.json"}</w:instrText>
      </w:r>
      <w:r>
        <w:rPr>
          <w:rFonts w:ascii="Times New Roman" w:hAnsi="Times New Roman" w:cs="Times New Roman"/>
        </w:rPr>
        <w:fldChar w:fldCharType="separate"/>
      </w:r>
      <w:r w:rsidRPr="008039B9">
        <w:rPr>
          <w:rFonts w:ascii="Times New Roman" w:hAnsi="Times New Roman" w:cs="Times New Roman"/>
          <w:noProof/>
        </w:rPr>
        <w:t>(Child, 1997; Donaldson and Luo, 2014)</w:t>
      </w:r>
      <w:r>
        <w:rPr>
          <w:rFonts w:ascii="Times New Roman" w:hAnsi="Times New Roman" w:cs="Times New Roman"/>
        </w:rPr>
        <w:fldChar w:fldCharType="end"/>
      </w:r>
      <w:r w:rsidRPr="00EF66BB">
        <w:rPr>
          <w:rFonts w:ascii="Times New Roman" w:hAnsi="Times New Roman" w:cs="Times New Roman"/>
        </w:rPr>
        <w:t xml:space="preserve">. </w:t>
      </w:r>
      <w:r>
        <w:rPr>
          <w:rFonts w:ascii="Times New Roman" w:hAnsi="Times New Roman" w:cs="Times New Roman"/>
        </w:rPr>
        <w:t>According to Child (1972),</w:t>
      </w:r>
      <w:r w:rsidRPr="00EF66BB">
        <w:rPr>
          <w:rFonts w:ascii="Times New Roman" w:hAnsi="Times New Roman" w:cs="Times New Roman"/>
        </w:rPr>
        <w:t xml:space="preserve"> variations in inter-organisational performance are a consequence of strategic choices made by senior managers</w:t>
      </w:r>
      <w:r>
        <w:rPr>
          <w:rFonts w:ascii="Times New Roman" w:hAnsi="Times New Roman" w:cs="Times New Roman"/>
        </w:rPr>
        <w:t>.</w:t>
      </w:r>
      <w:r w:rsidRPr="00EF66BB">
        <w:rPr>
          <w:rFonts w:ascii="Times New Roman" w:hAnsi="Times New Roman" w:cs="Times New Roman"/>
        </w:rPr>
        <w:t xml:space="preserve"> </w:t>
      </w:r>
      <w:r>
        <w:rPr>
          <w:rFonts w:ascii="Times New Roman" w:hAnsi="Times New Roman" w:cs="Times New Roman"/>
        </w:rPr>
        <w:t>Child (1972; 1997) outlines a process of strategic choice whereby senior managers first evaluate the organi</w:t>
      </w:r>
      <w:r w:rsidR="00CE1EC1">
        <w:rPr>
          <w:rFonts w:ascii="Times New Roman" w:hAnsi="Times New Roman" w:cs="Times New Roman"/>
        </w:rPr>
        <w:t>s</w:t>
      </w:r>
      <w:r>
        <w:rPr>
          <w:rFonts w:ascii="Times New Roman" w:hAnsi="Times New Roman" w:cs="Times New Roman"/>
        </w:rPr>
        <w:t>ation’s competitive position related to internal resource configurations and external market demands. Following this evaluation, managers make choices about the strategic priorities for the organi</w:t>
      </w:r>
      <w:r w:rsidR="00CE1EC1">
        <w:rPr>
          <w:rFonts w:ascii="Times New Roman" w:hAnsi="Times New Roman" w:cs="Times New Roman"/>
        </w:rPr>
        <w:t>s</w:t>
      </w:r>
      <w:r>
        <w:rPr>
          <w:rFonts w:ascii="Times New Roman" w:hAnsi="Times New Roman" w:cs="Times New Roman"/>
        </w:rPr>
        <w:t>ation</w:t>
      </w:r>
      <w:r>
        <w:rPr>
          <w:rStyle w:val="FootnoteReference"/>
          <w:rFonts w:ascii="Times New Roman" w:hAnsi="Times New Roman" w:cs="Times New Roman"/>
        </w:rPr>
        <w:footnoteReference w:id="1"/>
      </w:r>
      <w:r>
        <w:rPr>
          <w:rFonts w:ascii="Times New Roman" w:hAnsi="Times New Roman" w:cs="Times New Roman"/>
        </w:rPr>
        <w:t>. Then they make specific choices about the actions that are to be undertaken to realise the strategic priorities which involves the commitment of managerial attention and resources. The logic of strategic choice theory suggests that organi</w:t>
      </w:r>
      <w:r w:rsidR="00CE1EC1">
        <w:rPr>
          <w:rFonts w:ascii="Times New Roman" w:hAnsi="Times New Roman" w:cs="Times New Roman"/>
        </w:rPr>
        <w:t>s</w:t>
      </w:r>
      <w:r>
        <w:rPr>
          <w:rFonts w:ascii="Times New Roman" w:hAnsi="Times New Roman" w:cs="Times New Roman"/>
        </w:rPr>
        <w:t xml:space="preserve">ational effectiveness is determined by the congruence between internal organisational configurations and the strategic priorities determined by organisational managers. </w:t>
      </w:r>
    </w:p>
    <w:p w14:paraId="52DA1D0D" w14:textId="77777777" w:rsidR="00844C46" w:rsidRDefault="00844C46" w:rsidP="00141231">
      <w:pPr>
        <w:spacing w:line="360" w:lineRule="auto"/>
        <w:rPr>
          <w:rFonts w:ascii="Times New Roman" w:hAnsi="Times New Roman" w:cs="Times New Roman"/>
        </w:rPr>
      </w:pPr>
    </w:p>
    <w:p w14:paraId="149964ED" w14:textId="255DF15C" w:rsidR="00844C46" w:rsidRPr="00EF66BB" w:rsidRDefault="00844C46" w:rsidP="00141231">
      <w:pPr>
        <w:spacing w:line="360" w:lineRule="auto"/>
        <w:rPr>
          <w:rFonts w:ascii="Times New Roman" w:hAnsi="Times New Roman" w:cs="Times New Roman"/>
        </w:rPr>
      </w:pPr>
      <w:r>
        <w:rPr>
          <w:rFonts w:ascii="Times New Roman" w:hAnsi="Times New Roman" w:cs="Times New Roman"/>
        </w:rPr>
        <w:t xml:space="preserve">The focus of this research is on the capacity for university managers to make </w:t>
      </w:r>
      <w:r w:rsidRPr="001A6F1A">
        <w:rPr>
          <w:rFonts w:ascii="Times New Roman" w:hAnsi="Times New Roman" w:cs="Times New Roman"/>
          <w:i/>
        </w:rPr>
        <w:t xml:space="preserve">appropriate </w:t>
      </w:r>
      <w:r>
        <w:rPr>
          <w:rFonts w:ascii="Times New Roman" w:hAnsi="Times New Roman" w:cs="Times New Roman"/>
          <w:i/>
        </w:rPr>
        <w:t>strategic choices</w:t>
      </w:r>
      <w:r>
        <w:rPr>
          <w:rFonts w:ascii="Times New Roman" w:hAnsi="Times New Roman" w:cs="Times New Roman"/>
        </w:rPr>
        <w:t xml:space="preserve"> about the significance of technology transfer in light of existing organi</w:t>
      </w:r>
      <w:r w:rsidR="00CE1EC1">
        <w:rPr>
          <w:rFonts w:ascii="Times New Roman" w:hAnsi="Times New Roman" w:cs="Times New Roman"/>
        </w:rPr>
        <w:t>s</w:t>
      </w:r>
      <w:r>
        <w:rPr>
          <w:rFonts w:ascii="Times New Roman" w:hAnsi="Times New Roman" w:cs="Times New Roman"/>
        </w:rPr>
        <w:t xml:space="preserve">ational configurations. To clarify, we do not focus on the </w:t>
      </w:r>
      <w:r w:rsidRPr="001A6F1A">
        <w:rPr>
          <w:rFonts w:ascii="Times New Roman" w:hAnsi="Times New Roman" w:cs="Times New Roman"/>
          <w:i/>
        </w:rPr>
        <w:t>specific</w:t>
      </w:r>
      <w:r>
        <w:rPr>
          <w:rFonts w:ascii="Times New Roman" w:hAnsi="Times New Roman" w:cs="Times New Roman"/>
        </w:rPr>
        <w:t xml:space="preserve"> </w:t>
      </w:r>
      <w:r w:rsidRPr="001A6F1A">
        <w:rPr>
          <w:rFonts w:ascii="Times New Roman" w:hAnsi="Times New Roman" w:cs="Times New Roman"/>
          <w:i/>
        </w:rPr>
        <w:t>strategic actions</w:t>
      </w:r>
      <w:r>
        <w:rPr>
          <w:rFonts w:ascii="Times New Roman" w:hAnsi="Times New Roman" w:cs="Times New Roman"/>
        </w:rPr>
        <w:t xml:space="preserve"> that are undertaken in light of the determined strategic priorities, rather it is assumed that once strategic priorities are established, managerial attention and resources are committed to their realisation. Therefore, we suggest that university managers will first make an evaluation about the strategic significance of technology transfer for their university, based on existing </w:t>
      </w:r>
      <w:r>
        <w:rPr>
          <w:rFonts w:ascii="Times New Roman" w:hAnsi="Times New Roman" w:cs="Times New Roman"/>
        </w:rPr>
        <w:lastRenderedPageBreak/>
        <w:t>organisational configurations. Following this evaluation about the strategic significance of technology transfer, managerial attention and resources will be committed to technology transfer activity. The commitment of managerial attention and resources will contribute to a closer fit between the specific strategic actions concerning technology transfer and the perceived organi</w:t>
      </w:r>
      <w:r w:rsidR="00CE1EC1">
        <w:rPr>
          <w:rFonts w:ascii="Times New Roman" w:hAnsi="Times New Roman" w:cs="Times New Roman"/>
        </w:rPr>
        <w:t>s</w:t>
      </w:r>
      <w:r>
        <w:rPr>
          <w:rFonts w:ascii="Times New Roman" w:hAnsi="Times New Roman" w:cs="Times New Roman"/>
        </w:rPr>
        <w:t xml:space="preserve">ational strengths that contributed to the prioritisation of technology transfer. Therefore, it is the ability of university mangers to make appropriate strategic choices that plays a critical role in determining the effectiveness of university technology transfer activity. </w:t>
      </w:r>
    </w:p>
    <w:p w14:paraId="5BC18C79" w14:textId="77777777" w:rsidR="00844C46" w:rsidRPr="00EF66BB" w:rsidRDefault="00844C46" w:rsidP="00141231">
      <w:pPr>
        <w:spacing w:line="360" w:lineRule="auto"/>
        <w:rPr>
          <w:rFonts w:ascii="Times New Roman" w:hAnsi="Times New Roman" w:cs="Times New Roman"/>
        </w:rPr>
      </w:pPr>
    </w:p>
    <w:p w14:paraId="2B36D686" w14:textId="477CA5F1" w:rsidR="00844C46" w:rsidRPr="00EF66BB" w:rsidRDefault="00844C46" w:rsidP="00141231">
      <w:pPr>
        <w:spacing w:line="360" w:lineRule="auto"/>
        <w:rPr>
          <w:rFonts w:ascii="Times New Roman" w:hAnsi="Times New Roman" w:cs="Times New Roman"/>
        </w:rPr>
      </w:pPr>
      <w:r>
        <w:rPr>
          <w:rFonts w:ascii="Times New Roman" w:hAnsi="Times New Roman" w:cs="Times New Roman"/>
        </w:rPr>
        <w:t xml:space="preserve">Section 2.1 highlights the organisational configurations that have been identified within the existing literature that </w:t>
      </w:r>
      <w:r w:rsidRPr="00EF66BB">
        <w:rPr>
          <w:rFonts w:ascii="Times New Roman" w:hAnsi="Times New Roman" w:cs="Times New Roman"/>
        </w:rPr>
        <w:t xml:space="preserve">both impact on technology transfer activity </w:t>
      </w:r>
      <w:r w:rsidRPr="00EF66BB">
        <w:rPr>
          <w:rFonts w:ascii="Times New Roman" w:hAnsi="Times New Roman" w:cs="Times New Roman"/>
          <w:i/>
        </w:rPr>
        <w:t>and</w:t>
      </w:r>
      <w:r w:rsidRPr="00EF66BB">
        <w:rPr>
          <w:rFonts w:ascii="Times New Roman" w:hAnsi="Times New Roman" w:cs="Times New Roman"/>
        </w:rPr>
        <w:t xml:space="preserve"> fall under the domain of</w:t>
      </w:r>
      <w:r>
        <w:rPr>
          <w:rFonts w:ascii="Times New Roman" w:hAnsi="Times New Roman" w:cs="Times New Roman"/>
        </w:rPr>
        <w:t xml:space="preserve"> senior</w:t>
      </w:r>
      <w:r w:rsidRPr="00EF66BB">
        <w:rPr>
          <w:rFonts w:ascii="Times New Roman" w:hAnsi="Times New Roman" w:cs="Times New Roman"/>
        </w:rPr>
        <w:t xml:space="preserve"> university managers’ control.</w:t>
      </w:r>
      <w:r>
        <w:rPr>
          <w:rFonts w:ascii="Times New Roman" w:hAnsi="Times New Roman" w:cs="Times New Roman"/>
        </w:rPr>
        <w:t xml:space="preserve"> Following the logic of Child’s</w:t>
      </w:r>
      <w:r w:rsidRPr="00EF66BB">
        <w:rPr>
          <w:rFonts w:ascii="Times New Roman" w:hAnsi="Times New Roman" w:cs="Times New Roman"/>
        </w:rPr>
        <w:t xml:space="preserve"> Strategic Choice</w:t>
      </w:r>
      <w:r>
        <w:rPr>
          <w:rFonts w:ascii="Times New Roman" w:hAnsi="Times New Roman" w:cs="Times New Roman"/>
        </w:rPr>
        <w:t xml:space="preserve"> model outlined above, we suggest that existing internal configurations including the scale of TTO support and commitment of resources to incentives will inform senior managers’ evaluation of the organisation’s competitive position, which will in turn inform their choice about the strategic significance of technology transfer for the university. This is consistent with existing research which suggests that organisational conditions inform choices about technology transfer (Wright et al, 2008; Hewitt-Dundas, 2012; Sengupta and Ray, 2017a). Thus,</w:t>
      </w:r>
      <w:r w:rsidR="00A65A21">
        <w:rPr>
          <w:rFonts w:ascii="Times New Roman" w:hAnsi="Times New Roman" w:cs="Times New Roman"/>
        </w:rPr>
        <w:t xml:space="preserve"> </w:t>
      </w:r>
      <w:r>
        <w:rPr>
          <w:rFonts w:ascii="Times New Roman" w:hAnsi="Times New Roman" w:cs="Times New Roman"/>
        </w:rPr>
        <w:t xml:space="preserve">it is argued </w:t>
      </w:r>
      <w:r w:rsidRPr="00EF66BB">
        <w:rPr>
          <w:rFonts w:ascii="Times New Roman" w:hAnsi="Times New Roman" w:cs="Times New Roman"/>
        </w:rPr>
        <w:t xml:space="preserve">that TTO support and incentive mechanisms are </w:t>
      </w:r>
      <w:r w:rsidRPr="00EF66BB">
        <w:rPr>
          <w:rFonts w:ascii="Times New Roman" w:hAnsi="Times New Roman" w:cs="Times New Roman"/>
          <w:i/>
        </w:rPr>
        <w:t>necessary but not sufficient</w:t>
      </w:r>
      <w:r w:rsidRPr="00EF66BB">
        <w:rPr>
          <w:rFonts w:ascii="Times New Roman" w:hAnsi="Times New Roman" w:cs="Times New Roman"/>
        </w:rPr>
        <w:t xml:space="preserve"> to account for variations in technology transfer effectiveness</w:t>
      </w:r>
      <w:r>
        <w:rPr>
          <w:rFonts w:ascii="Times New Roman" w:hAnsi="Times New Roman" w:cs="Times New Roman"/>
        </w:rPr>
        <w:t xml:space="preserve">, specifically </w:t>
      </w:r>
      <w:r w:rsidRPr="00EF66BB">
        <w:rPr>
          <w:rFonts w:ascii="Times New Roman" w:hAnsi="Times New Roman" w:cs="Times New Roman"/>
        </w:rPr>
        <w:t>we propose:</w:t>
      </w:r>
    </w:p>
    <w:p w14:paraId="71D0A0FA" w14:textId="77777777" w:rsidR="00844C46" w:rsidRPr="00EF66BB" w:rsidRDefault="00844C46" w:rsidP="00141231">
      <w:pPr>
        <w:spacing w:line="360" w:lineRule="auto"/>
        <w:rPr>
          <w:rFonts w:ascii="Times New Roman" w:hAnsi="Times New Roman" w:cs="Times New Roman"/>
          <w:b/>
          <w:i/>
        </w:rPr>
      </w:pPr>
    </w:p>
    <w:p w14:paraId="6BBC8FE7" w14:textId="6A4A152B" w:rsidR="00844C46" w:rsidRPr="00EF66BB" w:rsidRDefault="00844C46" w:rsidP="00141231">
      <w:pPr>
        <w:spacing w:line="360" w:lineRule="auto"/>
        <w:rPr>
          <w:rFonts w:ascii="Times New Roman" w:hAnsi="Times New Roman" w:cs="Times New Roman"/>
        </w:rPr>
      </w:pPr>
      <w:r w:rsidRPr="00EF66BB">
        <w:rPr>
          <w:rFonts w:ascii="Times New Roman" w:hAnsi="Times New Roman" w:cs="Times New Roman"/>
          <w:b/>
          <w:i/>
        </w:rPr>
        <w:t xml:space="preserve">H1: </w:t>
      </w:r>
      <w:r w:rsidRPr="00EF66BB">
        <w:rPr>
          <w:rFonts w:ascii="Times New Roman" w:hAnsi="Times New Roman" w:cs="Times New Roman"/>
        </w:rPr>
        <w:t xml:space="preserve"> </w:t>
      </w:r>
      <w:r w:rsidR="00E31E9F">
        <w:rPr>
          <w:rFonts w:ascii="Times New Roman" w:hAnsi="Times New Roman" w:cs="Times New Roman"/>
        </w:rPr>
        <w:t>The choice to make technology transfer a strategic priority</w:t>
      </w:r>
      <w:r w:rsidRPr="00EF66BB">
        <w:rPr>
          <w:rFonts w:ascii="Times New Roman" w:hAnsi="Times New Roman" w:cs="Times New Roman"/>
        </w:rPr>
        <w:t xml:space="preserve"> mediate</w:t>
      </w:r>
      <w:r w:rsidR="00E31E9F">
        <w:rPr>
          <w:rFonts w:ascii="Times New Roman" w:hAnsi="Times New Roman" w:cs="Times New Roman"/>
        </w:rPr>
        <w:t>s</w:t>
      </w:r>
      <w:r w:rsidRPr="00EF66BB">
        <w:rPr>
          <w:rFonts w:ascii="Times New Roman" w:hAnsi="Times New Roman" w:cs="Times New Roman"/>
        </w:rPr>
        <w:t xml:space="preserve"> the relationship between the scale of TTO support and the effectiveness of technology transfer activity</w:t>
      </w:r>
    </w:p>
    <w:p w14:paraId="3BE97F23" w14:textId="77777777" w:rsidR="00844C46" w:rsidRPr="00EF66BB" w:rsidRDefault="00844C46" w:rsidP="00141231">
      <w:pPr>
        <w:spacing w:line="360" w:lineRule="auto"/>
        <w:rPr>
          <w:rFonts w:ascii="Times New Roman" w:hAnsi="Times New Roman" w:cs="Times New Roman"/>
          <w:b/>
          <w:i/>
        </w:rPr>
      </w:pPr>
    </w:p>
    <w:p w14:paraId="07BF430D" w14:textId="20BFE797" w:rsidR="00844C46" w:rsidRPr="00EF66BB" w:rsidRDefault="00844C46" w:rsidP="00141231">
      <w:pPr>
        <w:spacing w:line="360" w:lineRule="auto"/>
        <w:rPr>
          <w:rFonts w:ascii="Times New Roman" w:hAnsi="Times New Roman" w:cs="Times New Roman"/>
        </w:rPr>
      </w:pPr>
      <w:r w:rsidRPr="00EF66BB">
        <w:rPr>
          <w:rFonts w:ascii="Times New Roman" w:hAnsi="Times New Roman" w:cs="Times New Roman"/>
          <w:b/>
          <w:i/>
        </w:rPr>
        <w:t xml:space="preserve">H2: </w:t>
      </w:r>
      <w:r w:rsidRPr="00EF66BB">
        <w:rPr>
          <w:rFonts w:ascii="Times New Roman" w:hAnsi="Times New Roman" w:cs="Times New Roman"/>
        </w:rPr>
        <w:t xml:space="preserve"> </w:t>
      </w:r>
      <w:r w:rsidR="00E31E9F">
        <w:rPr>
          <w:rFonts w:ascii="Times New Roman" w:hAnsi="Times New Roman" w:cs="Times New Roman"/>
        </w:rPr>
        <w:t>The choice to make technology transfer a strategic</w:t>
      </w:r>
      <w:r w:rsidRPr="00EF66BB">
        <w:rPr>
          <w:rFonts w:ascii="Times New Roman" w:hAnsi="Times New Roman" w:cs="Times New Roman"/>
        </w:rPr>
        <w:t xml:space="preserve"> priorit</w:t>
      </w:r>
      <w:r w:rsidR="00E31E9F">
        <w:rPr>
          <w:rFonts w:ascii="Times New Roman" w:hAnsi="Times New Roman" w:cs="Times New Roman"/>
        </w:rPr>
        <w:t>y</w:t>
      </w:r>
      <w:r w:rsidRPr="00EF66BB">
        <w:rPr>
          <w:rFonts w:ascii="Times New Roman" w:hAnsi="Times New Roman" w:cs="Times New Roman"/>
        </w:rPr>
        <w:t xml:space="preserve"> mediate</w:t>
      </w:r>
      <w:r w:rsidR="00E31E9F">
        <w:rPr>
          <w:rFonts w:ascii="Times New Roman" w:hAnsi="Times New Roman" w:cs="Times New Roman"/>
        </w:rPr>
        <w:t>s</w:t>
      </w:r>
      <w:r w:rsidRPr="00EF66BB">
        <w:rPr>
          <w:rFonts w:ascii="Times New Roman" w:hAnsi="Times New Roman" w:cs="Times New Roman"/>
        </w:rPr>
        <w:t xml:space="preserve"> the relationship between the provision of incentives for technology transfer and the effectiveness of technology transfer activity </w:t>
      </w:r>
    </w:p>
    <w:p w14:paraId="4F7BFB53" w14:textId="77777777" w:rsidR="00844C46" w:rsidRPr="00EF66BB" w:rsidRDefault="00844C46" w:rsidP="00141231">
      <w:pPr>
        <w:spacing w:line="360" w:lineRule="auto"/>
        <w:rPr>
          <w:rFonts w:ascii="Times New Roman" w:hAnsi="Times New Roman" w:cs="Times New Roman"/>
          <w:strike/>
        </w:rPr>
      </w:pPr>
    </w:p>
    <w:p w14:paraId="6265826E" w14:textId="6868EEBA" w:rsidR="00844C46" w:rsidRPr="00EF66BB" w:rsidRDefault="00844C46" w:rsidP="00141231">
      <w:pPr>
        <w:spacing w:line="360" w:lineRule="auto"/>
        <w:rPr>
          <w:rFonts w:ascii="Times New Roman" w:hAnsi="Times New Roman" w:cs="Times New Roman"/>
        </w:rPr>
      </w:pPr>
      <w:r>
        <w:rPr>
          <w:rFonts w:ascii="Times New Roman" w:hAnsi="Times New Roman" w:cs="Times New Roman"/>
        </w:rPr>
        <w:t xml:space="preserve">Child (1997; 1972) notes that strategic priorities are typically articulated through a </w:t>
      </w:r>
      <w:r w:rsidRPr="001A6F1A">
        <w:rPr>
          <w:rFonts w:ascii="Times New Roman" w:hAnsi="Times New Roman" w:cs="Times New Roman"/>
          <w:i/>
        </w:rPr>
        <w:t>formalised</w:t>
      </w:r>
      <w:r>
        <w:rPr>
          <w:rFonts w:ascii="Times New Roman" w:hAnsi="Times New Roman" w:cs="Times New Roman"/>
          <w:i/>
        </w:rPr>
        <w:t xml:space="preserve"> strategic</w:t>
      </w:r>
      <w:r w:rsidRPr="001A6F1A">
        <w:rPr>
          <w:rFonts w:ascii="Times New Roman" w:hAnsi="Times New Roman" w:cs="Times New Roman"/>
          <w:i/>
        </w:rPr>
        <w:t xml:space="preserve"> planning process</w:t>
      </w:r>
      <w:r w:rsidRPr="00EF66BB">
        <w:rPr>
          <w:rFonts w:ascii="Times New Roman" w:hAnsi="Times New Roman" w:cs="Times New Roman"/>
        </w:rPr>
        <w:t xml:space="preserve">. </w:t>
      </w:r>
      <w:r>
        <w:rPr>
          <w:rFonts w:ascii="Times New Roman" w:hAnsi="Times New Roman" w:cs="Times New Roman"/>
        </w:rPr>
        <w:t>Therefore, it is important to consider the characteristics of strategic planning when evaluating the role of strategic choice in organi</w:t>
      </w:r>
      <w:r w:rsidR="00CE1EC1">
        <w:rPr>
          <w:rFonts w:ascii="Times New Roman" w:hAnsi="Times New Roman" w:cs="Times New Roman"/>
        </w:rPr>
        <w:t>s</w:t>
      </w:r>
      <w:r>
        <w:rPr>
          <w:rFonts w:ascii="Times New Roman" w:hAnsi="Times New Roman" w:cs="Times New Roman"/>
        </w:rPr>
        <w:t xml:space="preserve">ational effectiveness </w:t>
      </w:r>
      <w:r>
        <w:rPr>
          <w:rFonts w:ascii="Times New Roman" w:hAnsi="Times New Roman" w:cs="Times New Roman"/>
        </w:rPr>
        <w:fldChar w:fldCharType="begin" w:fldLock="1"/>
      </w:r>
      <w:r>
        <w:rPr>
          <w:rFonts w:ascii="Times New Roman" w:hAnsi="Times New Roman" w:cs="Times New Roman"/>
        </w:rPr>
        <w:instrText>ADDIN CSL_CITATION {"citationItems":[{"id":"ITEM-1","itemData":{"DOI":"10.1177/0149206313478185","ISBN":"0149206313","ISSN":"15571211","PMID":"87371552","abstract":"This review incorporates strategic planning research conducted over more than 30 years and ranges from the classical model of strategic planning to recent empirical work on intermediate outcomes, such as the reduction of managers’ position bias and the coordination of subunit activity. Prior reviews have not had the benefit of more socialized perspectives that developed in response to Mintzberg’s critique of planning, including research on planned emergence and strategy-as-practice approaches. To stimulate a resurgence of research interest on strategic planning, this review therefore draws on a diverse body of theory beyond the rational design and contingency approaches that characterized research in this domain until the mid-1990s. We develop a broad conceptualization of strategic planning and identify future research opportunities for improving our understanding of how strategic planning influences organizational outcomes. Our framework incorporates the role of strategic planning practitioners; the underlying routines, norms, and procedures of strategic planning (practices); and the concrete activities of planners (praxis).","author":[{"dropping-particle":"","family":"Wolf","given":"Carola","non-dropping-particle":"","parse-names":false,"suffix":""},{"dropping-particle":"","family":"Floyd","given":"Steven W.","non-dropping-particle":"","parse-names":false,"suffix":""}],"container-title":"Journal of Management","id":"ITEM-1","issue":"6","issued":{"date-parts":[["2017"]]},"number-of-pages":"1754-1788","title":"Strategic Planning Research: Toward a Theory-Driven Agenda","type":"book","volume":"43"},"uris":["http://www.mendeley.com/documents/?uuid=ddbf937a-425d-4050-949b-4c667b528f5b"]},{"id":"ITEM-2","itemData":{"DOI":"10.1016/0024-6301(94)90185-6","ISBN":"0024-6301","ISSN":"00246301","PMID":"9301938","abstract":"Planners have tended to blame the problems of so-called 'strategic planning' on a set of 'pitfalls'-notably the lack of top management support and organizational climates not congenial to planning. But planning may well have discouraged the very support its proponents claim to need, and its itself may have generated climates uncongenial to effective strategy making. The real problems may, therefore, lie deeper than these pitfalls, in a set of what can be called 'fallacies', notably about the capabilities of predicting discontinuities, about being able to detach strategists from the subjects of their strategy making, and about being able to formalize the strategy making process in the first place. Part one of this two part article thus concludes that 'strategic planning' ia an oxymoron. © 1994.","author":[{"dropping-particle":"","family":"Mintzberg","given":"Henry","non-dropping-particle":"","parse-names":false,"suffix":""}],"container-title":"Long Range Planning","id":"ITEM-2","issue":"3","issued":{"date-parts":[["1994"]]},"page":"12-21","title":"Rethinking strategic planning part I: Pitfalls and fallacies","type":"article-journal","volume":"27"},"uris":["http://www.mendeley.com/documents/?uuid=e10fc3e6-3400-4b6d-88c3-3d0eaefc7e6e"]},{"id":"ITEM-3","itemData":{"DOI":"10.1080/13540602.2011.580516","ISSN":"01432095","abstract":"This paper resolves the long-standing debate between the two dominant process schools in strategy. Analysis of the planning practices of 656 firms shows that formal planning and incrementalism both form part of 'good' strategic planning, especially in unstable environments. Environment neither moderates the need for formal planning nor the direction of the planning/performance relationship, but does moderate firm planning capabilities and planning flexibility. In unstable environments planning capabilities are far better developed and formal plans more amenable to change. The planning/performance relationship is, however, moderated by planning duration: at least four years of formal planning are required before external performance associations are noted. [ABSTRACT FROM AUTHOR]","author":[{"dropping-particle":"","family":"Brews","given":"Peter","non-dropping-particle":"","parse-names":false,"suffix":""},{"dropping-particle":"","family":"Hunt","given":"J","non-dropping-particle":"","parse-names":false,"suffix":""}],"container-title":"Strategic Management Journal","id":"ITEM-3","issue":"10","issued":{"date-parts":[["1999"]]},"page":"889-913","title":"Learning to plan and planning to learn:","type":"article-journal","volume":"913"},"uris":["http://www.mendeley.com/documents/?uuid=d8821ef1-e60a-4424-8c22-3485412f4fa4"]},{"id":"ITEM-4","itemData":{"DOI":"10.1002/smj","ISBN":"1097-0266","ISSN":"00014273","PMID":"31767271","author":[{"dropping-particle":"","family":"Arend","given":"R. J","non-dropping-particle":"","parse-names":false,"suffix":""},{"dropping-particle":"","family":"Zhao","given":"Y.L","non-dropping-particle":"","parse-names":false,"suffix":""},{"dropping-particle":"","family":"Song","given":"M","non-dropping-particle":"","parse-names":false,"suffix":""},{"dropping-particle":"","family":"Im","given":"S","non-dropping-particle":"","parse-names":false,"suffix":""}],"container-title":"Strategic Management Journal","id":"ITEM-4","issued":{"date-parts":[["2017"]]},"page":"1741-1752","title":"Strategic Planning as a Complex and Enabling Managerial Tool","type":"article-journal","volume":"38"},"uris":["http://www.mendeley.com/documents/?uuid=1fadb6bb-df87-49dc-82fa-10db81c7528e","http://www.mendeley.com/documents/?uuid=02deb6d6-895c-41fd-8b2a-bf8e5fd045c6"]}],"mendeley":{"formattedCitation":"(Arend et al., 2017; Brews and Hunt, 1999; Mintzberg, 1994; Wolf and Floyd, 2017)","plainTextFormattedCitation":"(Arend et al., 2017; Brews and Hunt, 1999; Mintzberg, 1994; Wolf and Floyd, 2017)","previouslyFormattedCitation":"(Arend et al., 2017; Brews and Hunt, 1999; Mintzberg, 1994; Wolf and Floyd, 2017)"},"properties":{"noteIndex":0},"schema":"https://github.com/citation-style-language/schema/raw/master/csl-citation.json"}</w:instrText>
      </w:r>
      <w:r>
        <w:rPr>
          <w:rFonts w:ascii="Times New Roman" w:hAnsi="Times New Roman" w:cs="Times New Roman"/>
        </w:rPr>
        <w:fldChar w:fldCharType="separate"/>
      </w:r>
      <w:r w:rsidRPr="0055220B">
        <w:rPr>
          <w:rFonts w:ascii="Times New Roman" w:hAnsi="Times New Roman" w:cs="Times New Roman"/>
          <w:noProof/>
        </w:rPr>
        <w:t>(Arend et al., 2017; Brews and Hunt, 1999; Mintzberg, 1994; Wolf and Floyd, 2017)</w:t>
      </w:r>
      <w:r>
        <w:rPr>
          <w:rFonts w:ascii="Times New Roman" w:hAnsi="Times New Roman" w:cs="Times New Roman"/>
        </w:rPr>
        <w:fldChar w:fldCharType="end"/>
      </w:r>
      <w:r>
        <w:rPr>
          <w:rFonts w:ascii="Times New Roman" w:hAnsi="Times New Roman" w:cs="Times New Roman"/>
        </w:rPr>
        <w:t>.</w:t>
      </w:r>
      <w:r w:rsidRPr="00EF66BB">
        <w:rPr>
          <w:rFonts w:ascii="Times New Roman" w:hAnsi="Times New Roman" w:cs="Times New Roman"/>
        </w:rPr>
        <w:t xml:space="preserve"> Specifically, it is argued that </w:t>
      </w:r>
      <w:r>
        <w:rPr>
          <w:rFonts w:ascii="Times New Roman" w:hAnsi="Times New Roman" w:cs="Times New Roman"/>
        </w:rPr>
        <w:t>one of the key contingencies that affects the realisation of strategic priorities is the breadth of formali</w:t>
      </w:r>
      <w:r w:rsidR="00CE1EC1">
        <w:rPr>
          <w:rFonts w:ascii="Times New Roman" w:hAnsi="Times New Roman" w:cs="Times New Roman"/>
        </w:rPr>
        <w:t>s</w:t>
      </w:r>
      <w:r>
        <w:rPr>
          <w:rFonts w:ascii="Times New Roman" w:hAnsi="Times New Roman" w:cs="Times New Roman"/>
        </w:rPr>
        <w:t xml:space="preserve">ed strategic planning </w:t>
      </w:r>
      <w:r>
        <w:rPr>
          <w:rFonts w:ascii="Times New Roman" w:hAnsi="Times New Roman" w:cs="Times New Roman"/>
        </w:rPr>
        <w:fldChar w:fldCharType="begin" w:fldLock="1"/>
      </w:r>
      <w:r>
        <w:rPr>
          <w:rFonts w:ascii="Times New Roman" w:hAnsi="Times New Roman" w:cs="Times New Roman"/>
        </w:rPr>
        <w:instrText>ADDIN CSL_CITATION {"citationItems":[{"id":"ITEM-1","itemData":{"DOI":"10.1177/0149206313478185","ISBN":"0149206313","ISSN":"15571211","PMID":"87371552","abstract":"This review incorporates strategic planning research conducted over more than 30 years and ranges from the classical model of strategic planning to recent empirical work on intermediate outcomes, such as the reduction of managers’ position bias and the coordination of subunit activity. Prior reviews have not had the benefit of more socialized perspectives that developed in response to Mintzberg’s critique of planning, including research on planned emergence and strategy-as-practice approaches. To stimulate a resurgence of research interest on strategic planning, this review therefore draws on a diverse body of theory beyond the rational design and contingency approaches that characterized research in this domain until the mid-1990s. We develop a broad conceptualization of strategic planning and identify future research opportunities for improving our understanding of how strategic planning influences organizational outcomes. Our framework incorporates the role of strategic planning practitioners; the underlying routines, norms, and procedures of strategic planning (practices); and the concrete activities of planners (praxis).","author":[{"dropping-particle":"","family":"Wolf","given":"Carola","non-dropping-particle":"","parse-names":false,"suffix":""},{"dropping-particle":"","family":"Floyd","given":"Steven W.","non-dropping-particle":"","parse-names":false,"suffix":""}],"container-title":"Journal of Management","id":"ITEM-1","issue":"6","issued":{"date-parts":[["2017"]]},"number-of-pages":"1754-1788","title":"Strategic Planning Research: Toward a Theory-Driven Agenda","type":"book","volume":"43"},"uris":["http://www.mendeley.com/documents/?uuid=ddbf937a-425d-4050-949b-4c667b528f5b"]},{"id":"ITEM-2","itemData":{"DOI":"10.1080/13540602.2011.580516","ISSN":"01432095","abstract":"This paper resolves the long-standing debate between the two dominant process schools in strategy. Analysis of the planning practices of 656 firms shows that formal planning and incrementalism both form part of 'good' strategic planning, especially in unstable environments. Environment neither moderates the need for formal planning nor the direction of the planning/performance relationship, but does moderate firm planning capabilities and planning flexibility. In unstable environments planning capabilities are far better developed and formal plans more amenable to change. The planning/performance relationship is, however, moderated by planning duration: at least four years of formal planning are required before external performance associations are noted. [ABSTRACT FROM AUTHOR]","author":[{"dropping-particle":"","family":"Brews","given":"Peter","non-dropping-particle":"","parse-names":false,"suffix":""},{"dropping-particle":"","family":"Hunt","given":"J","non-dropping-particle":"","parse-names":false,"suffix":""}],"container-title":"Strategic Management Journal","id":"ITEM-2","issue":"10","issued":{"date-parts":[["1999"]]},"page":"889-913","title":"Learning to plan and planning to learn:","type":"article-journal","volume":"913"},"uris":["http://www.mendeley.com/documents/?uuid=d8821ef1-e60a-4424-8c22-3485412f4fa4"]}],"mendeley":{"formattedCitation":"(Brews and Hunt, 1999; Wolf and Floyd, 2017)","plainTextFormattedCitation":"(Brews and Hunt, 1999; Wolf and Floyd, 2017)","previouslyFormattedCitation":"(Brews and Hunt, 1999; Wolf and Floyd, 2017)"},"properties":{"noteIndex":0},"schema":"https://github.com/citation-style-language/schema/raw/master/csl-citation.json"}</w:instrText>
      </w:r>
      <w:r>
        <w:rPr>
          <w:rFonts w:ascii="Times New Roman" w:hAnsi="Times New Roman" w:cs="Times New Roman"/>
        </w:rPr>
        <w:fldChar w:fldCharType="separate"/>
      </w:r>
      <w:r w:rsidRPr="00226E24">
        <w:rPr>
          <w:rFonts w:ascii="Times New Roman" w:hAnsi="Times New Roman" w:cs="Times New Roman"/>
          <w:noProof/>
        </w:rPr>
        <w:t>(Brews and Hunt, 1999; Wolf and Floyd, 2017)</w:t>
      </w:r>
      <w:r>
        <w:rPr>
          <w:rFonts w:ascii="Times New Roman" w:hAnsi="Times New Roman" w:cs="Times New Roman"/>
        </w:rPr>
        <w:fldChar w:fldCharType="end"/>
      </w:r>
      <w:r w:rsidRPr="00EF66BB">
        <w:rPr>
          <w:rFonts w:ascii="Times New Roman" w:hAnsi="Times New Roman" w:cs="Times New Roman"/>
        </w:rPr>
        <w:t xml:space="preserve">. Within this broader literature, strategic plans are conceptualised as </w:t>
      </w:r>
      <w:r w:rsidRPr="00EF66BB">
        <w:rPr>
          <w:rFonts w:ascii="Times New Roman" w:hAnsi="Times New Roman" w:cs="Times New Roman"/>
        </w:rPr>
        <w:lastRenderedPageBreak/>
        <w:t xml:space="preserve">“tools that are used by actors to manifest and communicate strategy as well as to control its implementation” </w:t>
      </w:r>
      <w:r>
        <w:rPr>
          <w:rFonts w:ascii="Times New Roman" w:hAnsi="Times New Roman" w:cs="Times New Roman"/>
        </w:rPr>
        <w:fldChar w:fldCharType="begin" w:fldLock="1"/>
      </w:r>
      <w:r>
        <w:rPr>
          <w:rFonts w:ascii="Times New Roman" w:hAnsi="Times New Roman" w:cs="Times New Roman"/>
        </w:rPr>
        <w:instrText>ADDIN CSL_CITATION {"citationItems":[{"id":"ITEM-1","itemData":{"DOI":"10.1177/0149206313478185","ISBN":"0149206313","ISSN":"15571211","PMID":"87371552","abstract":"This review incorporates strategic planning research conducted over more than 30 years and ranges from the classical model of strategic planning to recent empirical work on intermediate outcomes, such as the reduction of managers’ position bias and the coordination of subunit activity. Prior reviews have not had the benefit of more socialized perspectives that developed in response to Mintzberg’s critique of planning, including research on planned emergence and strategy-as-practice approaches. To stimulate a resurgence of research interest on strategic planning, this review therefore draws on a diverse body of theory beyond the rational design and contingency approaches that characterized research in this domain until the mid-1990s. We develop a broad conceptualization of strategic planning and identify future research opportunities for improving our understanding of how strategic planning influences organizational outcomes. Our framework incorporates the role of strategic planning practitioners; the underlying routines, norms, and procedures of strategic planning (practices); and the concrete activities of planners (praxis).","author":[{"dropping-particle":"","family":"Wolf","given":"Carola","non-dropping-particle":"","parse-names":false,"suffix":""},{"dropping-particle":"","family":"Floyd","given":"Steven W.","non-dropping-particle":"","parse-names":false,"suffix":""}],"container-title":"Journal of Management","id":"ITEM-1","issue":"6","issued":{"date-parts":[["2017"]]},"number-of-pages":"1754-1788","title":"Strategic Planning Research: Toward a Theory-Driven Agenda","type":"book","volume":"43"},"locator":"1772","uris":["http://www.mendeley.com/documents/?uuid=ddbf937a-425d-4050-949b-4c667b528f5b"]},{"id":"ITEM-2","itemData":{"DOI":"10.1016/0024-6301(94)90185-6","ISBN":"0024-6301","ISSN":"00246301","PMID":"9301938","abstract":"Planners have tended to blame the problems of so-called 'strategic planning' on a set of 'pitfalls'-notably the lack of top management support and organizational climates not congenial to planning. But planning may well have discouraged the very support its proponents claim to need, and its itself may have generated climates uncongenial to effective strategy making. The real problems may, therefore, lie deeper than these pitfalls, in a set of what can be called 'fallacies', notably about the capabilities of predicting discontinuities, about being able to detach strategists from the subjects of their strategy making, and about being able to formalize the strategy making process in the first place. Part one of this two part article thus concludes that 'strategic planning' ia an oxymoron. © 1994.","author":[{"dropping-particle":"","family":"Mintzberg","given":"Henry","non-dropping-particle":"","parse-names":false,"suffix":""}],"container-title":"Long Range Planning","id":"ITEM-2","issue":"3","issued":{"date-parts":[["1994"]]},"page":"12-21","title":"Rethinking strategic planning part I: Pitfalls and fallacies","type":"article-journal","volume":"27"},"uris":["http://www.mendeley.com/documents/?uuid=e10fc3e6-3400-4b6d-88c3-3d0eaefc7e6e"]}],"mendeley":{"formattedCitation":"(Mintzberg, 1994; Wolf and Floyd, 2017, p. 1772)","plainTextFormattedCitation":"(Mintzberg, 1994; Wolf and Floyd, 2017, p. 1772)","previouslyFormattedCitation":"(Mintzberg, 1994; Wolf and Floyd, 2017, p. 1772)"},"properties":{"noteIndex":0},"schema":"https://github.com/citation-style-language/schema/raw/master/csl-citation.json"}</w:instrText>
      </w:r>
      <w:r>
        <w:rPr>
          <w:rFonts w:ascii="Times New Roman" w:hAnsi="Times New Roman" w:cs="Times New Roman"/>
        </w:rPr>
        <w:fldChar w:fldCharType="separate"/>
      </w:r>
      <w:r w:rsidRPr="00226E24">
        <w:rPr>
          <w:rFonts w:ascii="Times New Roman" w:hAnsi="Times New Roman" w:cs="Times New Roman"/>
          <w:noProof/>
        </w:rPr>
        <w:t>(Mintzberg, 1994; Wolf and Floyd, 2017, p. 1772)</w:t>
      </w:r>
      <w:r>
        <w:rPr>
          <w:rFonts w:ascii="Times New Roman" w:hAnsi="Times New Roman" w:cs="Times New Roman"/>
        </w:rPr>
        <w:fldChar w:fldCharType="end"/>
      </w:r>
      <w:r w:rsidRPr="00EF66BB">
        <w:rPr>
          <w:rFonts w:ascii="Times New Roman" w:hAnsi="Times New Roman" w:cs="Times New Roman"/>
        </w:rPr>
        <w:t>. A recent review of the strategic planning literature suggests a generally positive relationship between</w:t>
      </w:r>
      <w:r>
        <w:rPr>
          <w:rFonts w:ascii="Times New Roman" w:hAnsi="Times New Roman" w:cs="Times New Roman"/>
        </w:rPr>
        <w:t xml:space="preserve"> breadth of</w:t>
      </w:r>
      <w:r w:rsidRPr="00EF66BB">
        <w:rPr>
          <w:rFonts w:ascii="Times New Roman" w:hAnsi="Times New Roman" w:cs="Times New Roman"/>
        </w:rPr>
        <w:t xml:space="preserve"> planning and performance </w:t>
      </w:r>
      <w:r>
        <w:rPr>
          <w:rFonts w:ascii="Times New Roman" w:hAnsi="Times New Roman" w:cs="Times New Roman"/>
        </w:rPr>
        <w:fldChar w:fldCharType="begin" w:fldLock="1"/>
      </w:r>
      <w:r>
        <w:rPr>
          <w:rFonts w:ascii="Times New Roman" w:hAnsi="Times New Roman" w:cs="Times New Roman"/>
        </w:rPr>
        <w:instrText>ADDIN CSL_CITATION {"citationItems":[{"id":"ITEM-1","itemData":{"DOI":"10.1177/0149206313478185","ISBN":"0149206313","ISSN":"15571211","PMID":"87371552","abstract":"This review incorporates strategic planning research conducted over more than 30 years and ranges from the classical model of strategic planning to recent empirical work on intermediate outcomes, such as the reduction of managers’ position bias and the coordination of subunit activity. Prior reviews have not had the benefit of more socialized perspectives that developed in response to Mintzberg’s critique of planning, including research on planned emergence and strategy-as-practice approaches. To stimulate a resurgence of research interest on strategic planning, this review therefore draws on a diverse body of theory beyond the rational design and contingency approaches that characterized research in this domain until the mid-1990s. We develop a broad conceptualization of strategic planning and identify future research opportunities for improving our understanding of how strategic planning influences organizational outcomes. Our framework incorporates the role of strategic planning practitioners; the underlying routines, norms, and procedures of strategic planning (practices); and the concrete activities of planners (praxis).","author":[{"dropping-particle":"","family":"Wolf","given":"Carola","non-dropping-particle":"","parse-names":false,"suffix":""},{"dropping-particle":"","family":"Floyd","given":"Steven W.","non-dropping-particle":"","parse-names":false,"suffix":""}],"container-title":"Journal of Management","id":"ITEM-1","issue":"6","issued":{"date-parts":[["2017"]]},"number-of-pages":"1754-1788","title":"Strategic Planning Research: Toward a Theory-Driven Agenda","type":"book","volume":"43"},"uris":["http://www.mendeley.com/documents/?uuid=ddbf937a-425d-4050-949b-4c667b528f5b"]},{"id":"ITEM-2","itemData":{"DOI":"10.1002/smj","ISBN":"1097-0266","ISSN":"00014273","PMID":"31767271","author":[{"dropping-particle":"","family":"Arend","given":"R. J","non-dropping-particle":"","parse-names":false,"suffix":""},{"dropping-particle":"","family":"Zhao","given":"Y.L","non-dropping-particle":"","parse-names":false,"suffix":""},{"dropping-particle":"","family":"Song","given":"M","non-dropping-particle":"","parse-names":false,"suffix":""},{"dropping-particle":"","family":"Im","given":"S","non-dropping-particle":"","parse-names":false,"suffix":""}],"container-title":"Strategic Management Journal","id":"ITEM-2","issued":{"date-parts":[["2017"]]},"page":"1741-1752","title":"Strategic Planning as a Complex and Enabling Managerial Tool","type":"article-journal","volume":"38"},"uris":["http://www.mendeley.com/documents/?uuid=02deb6d6-895c-41fd-8b2a-bf8e5fd045c6","http://www.mendeley.com/documents/?uuid=1fadb6bb-df87-49dc-82fa-10db81c7528e"]}],"mendeley":{"formattedCitation":"(Arend et al., 2017; Wolf and Floyd, 2017)","plainTextFormattedCitation":"(Arend et al., 2017; Wolf and Floyd, 2017)","previouslyFormattedCitation":"(Arend et al., 2017; Wolf and Floyd, 2017)"},"properties":{"noteIndex":0},"schema":"https://github.com/citation-style-language/schema/raw/master/csl-citation.json"}</w:instrText>
      </w:r>
      <w:r>
        <w:rPr>
          <w:rFonts w:ascii="Times New Roman" w:hAnsi="Times New Roman" w:cs="Times New Roman"/>
        </w:rPr>
        <w:fldChar w:fldCharType="separate"/>
      </w:r>
      <w:r w:rsidRPr="0055220B">
        <w:rPr>
          <w:rFonts w:ascii="Times New Roman" w:hAnsi="Times New Roman" w:cs="Times New Roman"/>
          <w:noProof/>
        </w:rPr>
        <w:t>(Arend et al., 2017; Wolf and Floyd, 2017)</w:t>
      </w:r>
      <w:r>
        <w:rPr>
          <w:rFonts w:ascii="Times New Roman" w:hAnsi="Times New Roman" w:cs="Times New Roman"/>
        </w:rPr>
        <w:fldChar w:fldCharType="end"/>
      </w:r>
      <w:r w:rsidRPr="00EF66BB">
        <w:rPr>
          <w:rFonts w:ascii="Times New Roman" w:hAnsi="Times New Roman" w:cs="Times New Roman"/>
        </w:rPr>
        <w:t xml:space="preserve">. </w:t>
      </w:r>
      <w:r>
        <w:rPr>
          <w:rFonts w:ascii="Times New Roman" w:hAnsi="Times New Roman" w:cs="Times New Roman"/>
        </w:rPr>
        <w:t>I</w:t>
      </w:r>
      <w:r w:rsidRPr="00EF66BB">
        <w:rPr>
          <w:rFonts w:ascii="Times New Roman" w:hAnsi="Times New Roman" w:cs="Times New Roman"/>
        </w:rPr>
        <w:t xml:space="preserve">t is highlighted that strategic planning </w:t>
      </w:r>
      <w:r>
        <w:rPr>
          <w:rFonts w:ascii="Times New Roman" w:hAnsi="Times New Roman" w:cs="Times New Roman"/>
        </w:rPr>
        <w:t>influences</w:t>
      </w:r>
      <w:r w:rsidRPr="00EF66BB">
        <w:rPr>
          <w:rFonts w:ascii="Times New Roman" w:hAnsi="Times New Roman" w:cs="Times New Roman"/>
        </w:rPr>
        <w:t xml:space="preserve"> organisational performance by fostering the development of shared understandings of organisational strategy which enhances organisational commitment and contributes towards realisation of strategic ambitions </w:t>
      </w:r>
      <w:r>
        <w:rPr>
          <w:rFonts w:ascii="Times New Roman" w:hAnsi="Times New Roman" w:cs="Times New Roman"/>
        </w:rPr>
        <w:fldChar w:fldCharType="begin" w:fldLock="1"/>
      </w:r>
      <w:r>
        <w:rPr>
          <w:rFonts w:ascii="Times New Roman" w:hAnsi="Times New Roman" w:cs="Times New Roman"/>
        </w:rPr>
        <w:instrText>ADDIN CSL_CITATION {"citationItems":[{"id":"ITEM-1","itemData":{"DOI":"10.1177/0149206313478185","ISBN":"0149206313","ISSN":"15571211","PMID":"87371552","abstract":"This review incorporates strategic planning research conducted over more than 30 years and ranges from the classical model of strategic planning to recent empirical work on intermediate outcomes, such as the reduction of managers’ position bias and the coordination of subunit activity. Prior reviews have not had the benefit of more socialized perspectives that developed in response to Mintzberg’s critique of planning, including research on planned emergence and strategy-as-practice approaches. To stimulate a resurgence of research interest on strategic planning, this review therefore draws on a diverse body of theory beyond the rational design and contingency approaches that characterized research in this domain until the mid-1990s. We develop a broad conceptualization of strategic planning and identify future research opportunities for improving our understanding of how strategic planning influences organizational outcomes. Our framework incorporates the role of strategic planning practitioners; the underlying routines, norms, and procedures of strategic planning (practices); and the concrete activities of planners (praxis).","author":[{"dropping-particle":"","family":"Wolf","given":"Carola","non-dropping-particle":"","parse-names":false,"suffix":""},{"dropping-particle":"","family":"Floyd","given":"Steven W.","non-dropping-particle":"","parse-names":false,"suffix":""}],"container-title":"Journal of Management","id":"ITEM-1","issue":"6","issued":{"date-parts":[["2017"]]},"number-of-pages":"1754-1788","title":"Strategic Planning Research: Toward a Theory-Driven Agenda","type":"book","volume":"43"},"uris":["http://www.mendeley.com/documents/?uuid=ddbf937a-425d-4050-949b-4c667b528f5b"]}],"mendeley":{"formattedCitation":"(Wolf and Floyd, 2017)","plainTextFormattedCitation":"(Wolf and Floyd, 2017)","previouslyFormattedCitation":"(Wolf and Floyd, 2017)"},"properties":{"noteIndex":0},"schema":"https://github.com/citation-style-language/schema/raw/master/csl-citation.json"}</w:instrText>
      </w:r>
      <w:r>
        <w:rPr>
          <w:rFonts w:ascii="Times New Roman" w:hAnsi="Times New Roman" w:cs="Times New Roman"/>
        </w:rPr>
        <w:fldChar w:fldCharType="separate"/>
      </w:r>
      <w:r w:rsidRPr="00226E24">
        <w:rPr>
          <w:rFonts w:ascii="Times New Roman" w:hAnsi="Times New Roman" w:cs="Times New Roman"/>
          <w:noProof/>
        </w:rPr>
        <w:t>(Wolf and Floyd, 2017)</w:t>
      </w:r>
      <w:r>
        <w:rPr>
          <w:rFonts w:ascii="Times New Roman" w:hAnsi="Times New Roman" w:cs="Times New Roman"/>
        </w:rPr>
        <w:fldChar w:fldCharType="end"/>
      </w:r>
      <w:r w:rsidRPr="00EF66BB">
        <w:rPr>
          <w:rFonts w:ascii="Times New Roman" w:hAnsi="Times New Roman" w:cs="Times New Roman"/>
        </w:rPr>
        <w:t>. Although the value of formal planning has been questioned extensively over the past 20 years</w:t>
      </w:r>
      <w:r>
        <w:rPr>
          <w:rFonts w:ascii="Times New Roman" w:hAnsi="Times New Roman" w:cs="Times New Roman"/>
        </w:rPr>
        <w:t>,</w:t>
      </w:r>
      <w:r w:rsidRPr="00EF66BB">
        <w:rPr>
          <w:rFonts w:ascii="Times New Roman" w:hAnsi="Times New Roman" w:cs="Times New Roman"/>
        </w:rPr>
        <w:t xml:space="preserve"> </w:t>
      </w:r>
      <w:r>
        <w:rPr>
          <w:rFonts w:ascii="Times New Roman" w:hAnsi="Times New Roman" w:cs="Times New Roman"/>
        </w:rPr>
        <w:t>s</w:t>
      </w:r>
      <w:r w:rsidRPr="00EF66BB">
        <w:rPr>
          <w:rFonts w:ascii="Times New Roman" w:hAnsi="Times New Roman" w:cs="Times New Roman"/>
        </w:rPr>
        <w:t xml:space="preserve">trategic planning has </w:t>
      </w:r>
      <w:r>
        <w:rPr>
          <w:rFonts w:ascii="Times New Roman" w:hAnsi="Times New Roman" w:cs="Times New Roman"/>
        </w:rPr>
        <w:t xml:space="preserve">recently been </w:t>
      </w:r>
      <w:r w:rsidRPr="00EF66BB">
        <w:rPr>
          <w:rFonts w:ascii="Times New Roman" w:hAnsi="Times New Roman" w:cs="Times New Roman"/>
        </w:rPr>
        <w:t>re-conceptualised as a mechanism for integrating levels of management, facilitating the co-ordination of centralised an</w:t>
      </w:r>
      <w:r>
        <w:rPr>
          <w:rFonts w:ascii="Times New Roman" w:hAnsi="Times New Roman" w:cs="Times New Roman"/>
        </w:rPr>
        <w:t>d</w:t>
      </w:r>
      <w:r w:rsidRPr="00EF66BB">
        <w:rPr>
          <w:rFonts w:ascii="Times New Roman" w:hAnsi="Times New Roman" w:cs="Times New Roman"/>
        </w:rPr>
        <w:t xml:space="preserve"> peripheral sources of strategy </w:t>
      </w:r>
      <w:r>
        <w:rPr>
          <w:rFonts w:ascii="Times New Roman" w:hAnsi="Times New Roman" w:cs="Times New Roman"/>
        </w:rPr>
        <w:fldChar w:fldCharType="begin" w:fldLock="1"/>
      </w:r>
      <w:r>
        <w:rPr>
          <w:rFonts w:ascii="Times New Roman" w:hAnsi="Times New Roman" w:cs="Times New Roman"/>
        </w:rPr>
        <w:instrText>ADDIN CSL_CITATION {"citationItems":[{"id":"ITEM-1","itemData":{"DOI":"10.1177/0149206313478185","ISBN":"0149206313","ISSN":"15571211","PMID":"87371552","abstract":"This review incorporates strategic planning research conducted over more than 30 years and ranges from the classical model of strategic planning to recent empirical work on intermediate outcomes, such as the reduction of managers’ position bias and the coordination of subunit activity. Prior reviews have not had the benefit of more socialized perspectives that developed in response to Mintzberg’s critique of planning, including research on planned emergence and strategy-as-practice approaches. To stimulate a resurgence of research interest on strategic planning, this review therefore draws on a diverse body of theory beyond the rational design and contingency approaches that characterized research in this domain until the mid-1990s. We develop a broad conceptualization of strategic planning and identify future research opportunities for improving our understanding of how strategic planning influences organizational outcomes. Our framework incorporates the role of strategic planning practitioners; the underlying routines, norms, and procedures of strategic planning (practices); and the concrete activities of planners (praxis).","author":[{"dropping-particle":"","family":"Wolf","given":"Carola","non-dropping-particle":"","parse-names":false,"suffix":""},{"dropping-particle":"","family":"Floyd","given":"Steven W.","non-dropping-particle":"","parse-names":false,"suffix":""}],"container-title":"Journal of Management","id":"ITEM-1","issue":"6","issued":{"date-parts":[["2017"]]},"number-of-pages":"1754-1788","title":"Strategic Planning Research: Toward a Theory-Driven Agenda","type":"book","volume":"43"},"locator":"1766","uris":["http://www.mendeley.com/documents/?uuid=ddbf937a-425d-4050-949b-4c667b528f5b"]}],"mendeley":{"formattedCitation":"(Wolf and Floyd, 2017, p. 1766)","plainTextFormattedCitation":"(Wolf and Floyd, 2017, p. 1766)","previouslyFormattedCitation":"(Wolf and Floyd, 2017, p. 1766)"},"properties":{"noteIndex":0},"schema":"https://github.com/citation-style-language/schema/raw/master/csl-citation.json"}</w:instrText>
      </w:r>
      <w:r>
        <w:rPr>
          <w:rFonts w:ascii="Times New Roman" w:hAnsi="Times New Roman" w:cs="Times New Roman"/>
        </w:rPr>
        <w:fldChar w:fldCharType="separate"/>
      </w:r>
      <w:r w:rsidRPr="00226E24">
        <w:rPr>
          <w:rFonts w:ascii="Times New Roman" w:hAnsi="Times New Roman" w:cs="Times New Roman"/>
          <w:noProof/>
        </w:rPr>
        <w:t>(Wolf and Floyd, 2017, p. 1766)</w:t>
      </w:r>
      <w:r>
        <w:rPr>
          <w:rFonts w:ascii="Times New Roman" w:hAnsi="Times New Roman" w:cs="Times New Roman"/>
        </w:rPr>
        <w:fldChar w:fldCharType="end"/>
      </w:r>
      <w:r w:rsidRPr="00EF66BB">
        <w:rPr>
          <w:rFonts w:ascii="Times New Roman" w:hAnsi="Times New Roman" w:cs="Times New Roman"/>
        </w:rPr>
        <w:t xml:space="preserve">. </w:t>
      </w:r>
    </w:p>
    <w:p w14:paraId="6B49A9A6" w14:textId="77777777" w:rsidR="00844C46" w:rsidRPr="00EF66BB" w:rsidRDefault="00844C46" w:rsidP="00141231">
      <w:pPr>
        <w:spacing w:line="360" w:lineRule="auto"/>
        <w:rPr>
          <w:rFonts w:ascii="Times New Roman" w:hAnsi="Times New Roman" w:cs="Times New Roman"/>
        </w:rPr>
      </w:pPr>
    </w:p>
    <w:p w14:paraId="03FE3088" w14:textId="1C9B38C7" w:rsidR="00844C46" w:rsidRPr="00EF66BB" w:rsidRDefault="00844C46" w:rsidP="00141231">
      <w:pPr>
        <w:spacing w:line="360" w:lineRule="auto"/>
        <w:rPr>
          <w:rFonts w:ascii="Times New Roman" w:hAnsi="Times New Roman" w:cs="Times New Roman"/>
        </w:rPr>
      </w:pPr>
      <w:r w:rsidRPr="00EF66BB">
        <w:rPr>
          <w:rFonts w:ascii="Times New Roman" w:hAnsi="Times New Roman" w:cs="Times New Roman"/>
        </w:rPr>
        <w:t xml:space="preserve">This conception  of planning is particularly significant in the UK </w:t>
      </w:r>
      <w:r>
        <w:rPr>
          <w:rFonts w:ascii="Times New Roman" w:hAnsi="Times New Roman" w:cs="Times New Roman"/>
        </w:rPr>
        <w:t>u</w:t>
      </w:r>
      <w:r w:rsidRPr="00EF66BB">
        <w:rPr>
          <w:rFonts w:ascii="Times New Roman" w:hAnsi="Times New Roman" w:cs="Times New Roman"/>
        </w:rPr>
        <w:t>niversity context</w:t>
      </w:r>
      <w:r>
        <w:rPr>
          <w:rFonts w:ascii="Times New Roman" w:hAnsi="Times New Roman" w:cs="Times New Roman"/>
        </w:rPr>
        <w:t xml:space="preserve"> where,</w:t>
      </w:r>
      <w:r w:rsidRPr="00EF66BB">
        <w:rPr>
          <w:rFonts w:ascii="Times New Roman" w:hAnsi="Times New Roman" w:cs="Times New Roman"/>
        </w:rPr>
        <w:t xml:space="preserve"> over the past 30 years</w:t>
      </w:r>
      <w:r>
        <w:rPr>
          <w:rFonts w:ascii="Times New Roman" w:hAnsi="Times New Roman" w:cs="Times New Roman"/>
        </w:rPr>
        <w:t>,</w:t>
      </w:r>
      <w:r w:rsidRPr="00EF66BB">
        <w:rPr>
          <w:rFonts w:ascii="Times New Roman" w:hAnsi="Times New Roman" w:cs="Times New Roman"/>
        </w:rPr>
        <w:t xml:space="preserve"> decision</w:t>
      </w:r>
      <w:r>
        <w:rPr>
          <w:rFonts w:ascii="Times New Roman" w:hAnsi="Times New Roman" w:cs="Times New Roman"/>
        </w:rPr>
        <w:t>-</w:t>
      </w:r>
      <w:r w:rsidRPr="00EF66BB">
        <w:rPr>
          <w:rFonts w:ascii="Times New Roman" w:hAnsi="Times New Roman" w:cs="Times New Roman"/>
        </w:rPr>
        <w:t xml:space="preserve">making </w:t>
      </w:r>
      <w:r>
        <w:rPr>
          <w:rFonts w:ascii="Times New Roman" w:hAnsi="Times New Roman" w:cs="Times New Roman"/>
        </w:rPr>
        <w:t xml:space="preserve">has </w:t>
      </w:r>
      <w:r w:rsidRPr="00EF66BB">
        <w:rPr>
          <w:rFonts w:ascii="Times New Roman" w:hAnsi="Times New Roman" w:cs="Times New Roman"/>
        </w:rPr>
        <w:t>shift</w:t>
      </w:r>
      <w:r>
        <w:rPr>
          <w:rFonts w:ascii="Times New Roman" w:hAnsi="Times New Roman" w:cs="Times New Roman"/>
        </w:rPr>
        <w:t>ed</w:t>
      </w:r>
      <w:r w:rsidRPr="00EF66BB">
        <w:rPr>
          <w:rFonts w:ascii="Times New Roman" w:hAnsi="Times New Roman" w:cs="Times New Roman"/>
        </w:rPr>
        <w:t xml:space="preserve"> from a participative ‘collegiate’ model towards a hierarchical ‘managerialist’ model </w:t>
      </w:r>
      <w:r>
        <w:rPr>
          <w:rFonts w:ascii="Times New Roman" w:hAnsi="Times New Roman" w:cs="Times New Roman"/>
        </w:rPr>
        <w:fldChar w:fldCharType="begin" w:fldLock="1"/>
      </w:r>
      <w:r>
        <w:rPr>
          <w:rFonts w:ascii="Times New Roman" w:hAnsi="Times New Roman" w:cs="Times New Roman"/>
        </w:rPr>
        <w:instrText>ADDIN CSL_CITATION {"citationItems":[{"id":"ITEM-1","itemData":{"DOI":"10.1080/03075079.2012.754858","ISBN":"03075079 (ISSN)","ISSN":"1470174X","abstract":"In this paper we examine the creation and expansion of the English university system. We show how the enormous increase in student numbers, which began with the Robbins Report (1963), led to successive governments cutting universities’ funding and compelling them to act more like business enterprises than educational institutions. In turn, vice-chancellors have become more similar to powerful chief executives, collegial forms of control have been significantly reduced and academic staff increasingly work in an environment in which they are told what to teach, how to teach, what research to conduct and where to publish. However, we show that this can be dysfunctional not only for staff, but also for senior managers. In place of this dysfunctional centralism, we argue for a win-win form of collegiality, which is compatible with rapid decision-making at the university centre and effective execution of change at the local/ departmental level.","author":[{"dropping-particle":"","family":"Burnes","given":"Bernard","non-dropping-particle":"","parse-names":false,"suffix":""},{"dropping-particle":"","family":"Wend","given":"Petra","non-dropping-particle":"","parse-names":false,"suffix":""},{"dropping-particle":"","family":"By","given":"Rune Todnem","non-dropping-particle":"","parse-names":false,"suffix":""}],"container-title":"Studies in Higher Education","id":"ITEM-1","issue":"6","issued":{"date-parts":[["2014"]]},"page":"905-926","title":"The changing face of English universities: reinventing collegiality for the twenty-first century","type":"article-journal","volume":"39"},"uris":["http://www.mendeley.com/documents/?uuid=24152560-a926-4d23-9fe1-dc68becea4bb"]}],"mendeley":{"formattedCitation":"(Burnes et al., 2014)","plainTextFormattedCitation":"(Burnes et al., 2014)","previouslyFormattedCitation":"(Burnes et al., 2014)"},"properties":{"noteIndex":0},"schema":"https://github.com/citation-style-language/schema/raw/master/csl-citation.json"}</w:instrText>
      </w:r>
      <w:r>
        <w:rPr>
          <w:rFonts w:ascii="Times New Roman" w:hAnsi="Times New Roman" w:cs="Times New Roman"/>
        </w:rPr>
        <w:fldChar w:fldCharType="separate"/>
      </w:r>
      <w:r w:rsidRPr="00226E24">
        <w:rPr>
          <w:rFonts w:ascii="Times New Roman" w:hAnsi="Times New Roman" w:cs="Times New Roman"/>
          <w:noProof/>
        </w:rPr>
        <w:t>(Burnes et al., 2014)</w:t>
      </w:r>
      <w:r>
        <w:rPr>
          <w:rFonts w:ascii="Times New Roman" w:hAnsi="Times New Roman" w:cs="Times New Roman"/>
        </w:rPr>
        <w:fldChar w:fldCharType="end"/>
      </w:r>
      <w:r w:rsidRPr="00EF66BB">
        <w:rPr>
          <w:rFonts w:ascii="Times New Roman" w:hAnsi="Times New Roman" w:cs="Times New Roman"/>
        </w:rPr>
        <w:t>. This managerial</w:t>
      </w:r>
      <w:r>
        <w:rPr>
          <w:rFonts w:ascii="Times New Roman" w:hAnsi="Times New Roman" w:cs="Times New Roman"/>
        </w:rPr>
        <w:t>i</w:t>
      </w:r>
      <w:r w:rsidRPr="00EF66BB">
        <w:rPr>
          <w:rFonts w:ascii="Times New Roman" w:hAnsi="Times New Roman" w:cs="Times New Roman"/>
        </w:rPr>
        <w:t xml:space="preserve">st model is reflective of classical rationalist approaches to strategic planning </w:t>
      </w:r>
      <w:r>
        <w:rPr>
          <w:rFonts w:ascii="Times New Roman" w:hAnsi="Times New Roman" w:cs="Times New Roman"/>
        </w:rPr>
        <w:fldChar w:fldCharType="begin" w:fldLock="1"/>
      </w:r>
      <w:r>
        <w:rPr>
          <w:rFonts w:ascii="Times New Roman" w:hAnsi="Times New Roman" w:cs="Times New Roman"/>
        </w:rPr>
        <w:instrText>ADDIN CSL_CITATION {"citationItems":[{"id":"ITEM-1","itemData":{"DOI":"10.1080/13540602.2011.580516","ISSN":"01432095","abstract":"This paper resolves the long-standing debate between the two dominant process schools in strategy. Analysis of the planning practices of 656 firms shows that formal planning and incrementalism both form part of 'good' strategic planning, especially in unstable environments. Environment neither moderates the need for formal planning nor the direction of the planning/performance relationship, but does moderate firm planning capabilities and planning flexibility. In unstable environments planning capabilities are far better developed and formal plans more amenable to change. The planning/performance relationship is, however, moderated by planning duration: at least four years of formal planning are required before external performance associations are noted. [ABSTRACT FROM AUTHOR]","author":[{"dropping-particle":"","family":"Brews","given":"Peter","non-dropping-particle":"","parse-names":false,"suffix":""},{"dropping-particle":"","family":"Hunt","given":"J","non-dropping-particle":"","parse-names":false,"suffix":""}],"container-title":"Strategic Management Journal","id":"ITEM-1","issue":"10","issued":{"date-parts":[["1999"]]},"page":"889-913","title":"Learning to plan and planning to learn:","type":"article-journal","volume":"913"},"uris":["http://www.mendeley.com/documents/?uuid=d8821ef1-e60a-4424-8c22-3485412f4fa4"]}],"mendeley":{"formattedCitation":"(Brews and Hunt, 1999)","plainTextFormattedCitation":"(Brews and Hunt, 1999)","previouslyFormattedCitation":"(Brews and Hunt, 1999)"},"properties":{"noteIndex":0},"schema":"https://github.com/citation-style-language/schema/raw/master/csl-citation.json"}</w:instrText>
      </w:r>
      <w:r>
        <w:rPr>
          <w:rFonts w:ascii="Times New Roman" w:hAnsi="Times New Roman" w:cs="Times New Roman"/>
        </w:rPr>
        <w:fldChar w:fldCharType="separate"/>
      </w:r>
      <w:r w:rsidRPr="00226E24">
        <w:rPr>
          <w:rFonts w:ascii="Times New Roman" w:hAnsi="Times New Roman" w:cs="Times New Roman"/>
          <w:noProof/>
        </w:rPr>
        <w:t>(Brews and Hunt, 1999)</w:t>
      </w:r>
      <w:r>
        <w:rPr>
          <w:rFonts w:ascii="Times New Roman" w:hAnsi="Times New Roman" w:cs="Times New Roman"/>
        </w:rPr>
        <w:fldChar w:fldCharType="end"/>
      </w:r>
      <w:r w:rsidRPr="00EF66BB">
        <w:rPr>
          <w:rFonts w:ascii="Times New Roman" w:hAnsi="Times New Roman" w:cs="Times New Roman"/>
        </w:rPr>
        <w:t xml:space="preserve">, whereby decision-making authority is concentrated in a small </w:t>
      </w:r>
      <w:r>
        <w:rPr>
          <w:rFonts w:ascii="Times New Roman" w:hAnsi="Times New Roman" w:cs="Times New Roman"/>
        </w:rPr>
        <w:t xml:space="preserve">group </w:t>
      </w:r>
      <w:r w:rsidRPr="00EF66BB">
        <w:rPr>
          <w:rFonts w:ascii="Times New Roman" w:hAnsi="Times New Roman" w:cs="Times New Roman"/>
        </w:rPr>
        <w:t xml:space="preserve">of senior university managers who set strategic priorities for their respective institutions </w:t>
      </w:r>
      <w:r>
        <w:rPr>
          <w:rFonts w:ascii="Times New Roman" w:hAnsi="Times New Roman" w:cs="Times New Roman"/>
        </w:rPr>
        <w:fldChar w:fldCharType="begin" w:fldLock="1"/>
      </w:r>
      <w:r>
        <w:rPr>
          <w:rFonts w:ascii="Times New Roman" w:hAnsi="Times New Roman" w:cs="Times New Roman"/>
        </w:rPr>
        <w:instrText>ADDIN CSL_CITATION {"citationItems":[{"id":"ITEM-1","itemData":{"DOI":"10.1007/BF02354082","ISSN":"13583883","abstract":"No abstract - interesting article about leadership and academic attitudes to it.","author":[{"dropping-particle":"","family":"Dearlove","given":"John","non-dropping-particle":"","parse-names":false,"suffix":""}],"container-title":"Tertiary Education and Management","id":"ITEM-1","issue":"2","issued":{"date-parts":[["1995"]]},"page":"161-169","title":"Collegiality, managerialism and leadership in English universities","type":"article-journal","volume":"1"},"uris":["http://www.mendeley.com/documents/?uuid=24d9a88e-7ec5-4a9c-b53b-9f274d09653e"]},{"id":"ITEM-2","itemData":{"DOI":"10.1080/1360080X.2017.1354754","ISSN":"14699508","abstract":"This paper considers the case for reform of management structures in UK universities and offers proposals for change. The model of top-down, performance-led management that characterises many institutions is both outmoded and ill-suited to the challenges of an increasingly turbulent higher education sector. Drawing on the experiences of a university that introduced a new scheme of performance management, I explore alternative approaches to leadership and management, collaborative or partnership working designed to improve employee voice and the need to re-evaluate approaches to Human Resource Management. I conclude with a five-point model for change.","author":[{"dropping-particle":"","family":"Waring","given":"Matt","non-dropping-particle":"","parse-names":false,"suffix":""}],"container-title":"Journal of Higher Education Policy and Management","id":"ITEM-2","issue":"5","issued":{"date-parts":[["2017"]]},"page":"540-558","publisher":"Routledge","title":"Management and leadership in UK universities: exploring the possibilities of change","type":"article-journal","volume":"39"},"uris":["http://www.mendeley.com/documents/?uuid=53ffff0f-fb1a-477d-aae5-a1036f8cdc58"]}],"mendeley":{"formattedCitation":"(Dearlove, 1995; Waring, 2017)","plainTextFormattedCitation":"(Dearlove, 1995; Waring, 2017)","previouslyFormattedCitation":"(Dearlove, 1995; Waring, 2017)"},"properties":{"noteIndex":0},"schema":"https://github.com/citation-style-language/schema/raw/master/csl-citation.json"}</w:instrText>
      </w:r>
      <w:r>
        <w:rPr>
          <w:rFonts w:ascii="Times New Roman" w:hAnsi="Times New Roman" w:cs="Times New Roman"/>
        </w:rPr>
        <w:fldChar w:fldCharType="separate"/>
      </w:r>
      <w:r w:rsidRPr="00226E24">
        <w:rPr>
          <w:rFonts w:ascii="Times New Roman" w:hAnsi="Times New Roman" w:cs="Times New Roman"/>
          <w:noProof/>
        </w:rPr>
        <w:t>(Dearlove, 1995; Waring, 2017)</w:t>
      </w:r>
      <w:r>
        <w:rPr>
          <w:rFonts w:ascii="Times New Roman" w:hAnsi="Times New Roman" w:cs="Times New Roman"/>
        </w:rPr>
        <w:fldChar w:fldCharType="end"/>
      </w:r>
      <w:r w:rsidRPr="00EF66BB">
        <w:rPr>
          <w:rFonts w:ascii="Times New Roman" w:hAnsi="Times New Roman" w:cs="Times New Roman"/>
        </w:rPr>
        <w:t xml:space="preserve">. Mirroring the critiques of classical rationalism within the strategy literature, this mode of planning has been questioned as strategic decisions taken by senior university administrators are short-term, transactional, inconsistent and bureaucratic in nature </w:t>
      </w:r>
      <w:r>
        <w:rPr>
          <w:rFonts w:ascii="Times New Roman" w:hAnsi="Times New Roman" w:cs="Times New Roman"/>
        </w:rPr>
        <w:fldChar w:fldCharType="begin" w:fldLock="1"/>
      </w:r>
      <w:r>
        <w:rPr>
          <w:rFonts w:ascii="Times New Roman" w:hAnsi="Times New Roman" w:cs="Times New Roman"/>
        </w:rPr>
        <w:instrText>ADDIN CSL_CITATION {"citationItems":[{"id":"ITEM-1","itemData":{"DOI":"10.1080/03075079.2012.754858","ISBN":"03075079 (ISSN)","ISSN":"1470174X","abstract":"In this paper we examine the creation and expansion of the English university system. We show how the enormous increase in student numbers, which began with the Robbins Report (1963), led to successive governments cutting universities’ funding and compelling them to act more like business enterprises than educational institutions. In turn, vice-chancellors have become more similar to powerful chief executives, collegial forms of control have been significantly reduced and academic staff increasingly work in an environment in which they are told what to teach, how to teach, what research to conduct and where to publish. However, we show that this can be dysfunctional not only for staff, but also for senior managers. In place of this dysfunctional centralism, we argue for a win-win form of collegiality, which is compatible with rapid decision-making at the university centre and effective execution of change at the local/ departmental level.","author":[{"dropping-particle":"","family":"Burnes","given":"Bernard","non-dropping-particle":"","parse-names":false,"suffix":""},{"dropping-particle":"","family":"Wend","given":"Petra","non-dropping-particle":"","parse-names":false,"suffix":""},{"dropping-particle":"","family":"By","given":"Rune Todnem","non-dropping-particle":"","parse-names":false,"suffix":""}],"container-title":"Studies in Higher Education","id":"ITEM-1","issue":"6","issued":{"date-parts":[["2014"]]},"page":"905-926","title":"The changing face of English universities: reinventing collegiality for the twenty-first century","type":"article-journal","volume":"39"},"uris":["http://www.mendeley.com/documents/?uuid=24152560-a926-4d23-9fe1-dc68becea4bb"]},{"id":"ITEM-2","itemData":{"author":[{"dropping-particle":"","family":"Pounder","given":"James S","non-dropping-particle":"","parse-names":false,"suffix":""}],"container-title":"Leadership &amp; Organization Development Journal","id":"ITEM-2","issue":"6","issued":{"date-parts":[["2001"]]},"page":"281-290","title":"'New leadership' and university organisational effectiveness : exploring the relationship","type":"article-journal","volume":"22"},"uris":["http://www.mendeley.com/documents/?uuid=bc52ea54-914e-44c8-8005-7bc989b84e83"]},{"id":"ITEM-3","itemData":{"DOI":"10.1080/1360080X.2017.1354754","ISSN":"14699508","abstract":"This paper considers the case for reform of management structures in UK universities and offers proposals for change. The model of top-down, performance-led management that characterises many institutions is both outmoded and ill-suited to the challenges of an increasingly turbulent higher education sector. Drawing on the experiences of a university that introduced a new scheme of performance management, I explore alternative approaches to leadership and management, collaborative or partnership working designed to improve employee voice and the need to re-evaluate approaches to Human Resource Management. I conclude with a five-point model for change.","author":[{"dropping-particle":"","family":"Waring","given":"Matt","non-dropping-particle":"","parse-names":false,"suffix":""}],"container-title":"Journal of Higher Education Policy and Management","id":"ITEM-3","issue":"5","issued":{"date-parts":[["2017"]]},"page":"540-558","publisher":"Routledge","title":"Management and leadership in UK universities: exploring the possibilities of change","type":"article-journal","volume":"39"},"uris":["http://www.mendeley.com/documents/?uuid=53ffff0f-fb1a-477d-aae5-a1036f8cdc58"]},{"id":"ITEM-4","itemData":{"author":[{"dropping-particle":"","family":"Smith","given":"D","non-dropping-particle":"","parse-names":false,"suffix":""},{"dropping-particle":"","family":"Adams","given":"J","non-dropping-particle":"","parse-names":false,"suffix":""},{"dropping-particle":"","family":"Mount","given":"D","non-dropping-particle":"","parse-names":false,"suffix":""}],"id":"ITEM-4","issued":{"date-parts":[["2007"]]},"publisher":"Leadership Foundation for Higher Education","publisher-place":"London","title":"UK Universities and executive officers: The changing role of pro-vice chancellors- final report","type":"article"},"uris":["http://www.mendeley.com/documents/?uuid=5c7d47d3-f321-45e8-b166-7bd0b6f169ff"]}],"mendeley":{"formattedCitation":"(Burnes et al., 2014; Pounder, 2001; Smith et al., 2007; Waring, 2017)","plainTextFormattedCitation":"(Burnes et al., 2014; Pounder, 2001; Smith et al., 2007; Waring, 2017)","previouslyFormattedCitation":"(Burnes et al., 2014; Pounder, 2001; Smith et al., 2007; Waring, 2017)"},"properties":{"noteIndex":0},"schema":"https://github.com/citation-style-language/schema/raw/master/csl-citation.json"}</w:instrText>
      </w:r>
      <w:r>
        <w:rPr>
          <w:rFonts w:ascii="Times New Roman" w:hAnsi="Times New Roman" w:cs="Times New Roman"/>
        </w:rPr>
        <w:fldChar w:fldCharType="separate"/>
      </w:r>
      <w:r w:rsidRPr="00456D06">
        <w:rPr>
          <w:rFonts w:ascii="Times New Roman" w:hAnsi="Times New Roman" w:cs="Times New Roman"/>
          <w:noProof/>
        </w:rPr>
        <w:t>(Burnes et al., 2014; Pounder, 2001; Smith et al., 2007; Waring, 2017)</w:t>
      </w:r>
      <w:r>
        <w:rPr>
          <w:rFonts w:ascii="Times New Roman" w:hAnsi="Times New Roman" w:cs="Times New Roman"/>
        </w:rPr>
        <w:fldChar w:fldCharType="end"/>
      </w:r>
      <w:r w:rsidRPr="00EF66BB">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{"citationItems":[{"id":"ITEM-1","itemData":{"DOI":"10.1080/03075079.2012.754858","ISBN":"03075079 (ISSN)","ISSN":"1470174X","abstract":"In this paper we examine the creation and expansion of the English university system. We show how the enormous increase in student numbers, which began with the Robbins Report (1963), led to successive governments cutting universities’ funding and compelling them to act more like business enterprises than educational institutions. In turn, vice-chancellors have become more similar to powerful chief executives, collegial forms of control have been significantly reduced and academic staff increasingly work in an environment in which they are told what to teach, how to teach, what research to conduct and where to publish. However, we show that this can be dysfunctional not only for staff, but also for senior managers. In place of this dysfunctional centralism, we argue for a win-win form of collegiality, which is compatible with rapid decision-making at the university centre and effective execution of change at the local/ departmental level.","author":[{"dropping-particle":"","family":"Burnes","given":"Bernard","non-dropping-particle":"","parse-names":false,"suffix":""},{"dropping-particle":"","family":"Wend","given":"Petra","non-dropping-particle":"","parse-names":false,"suffix":""},{"dropping-particle":"","family":"By","given":"Rune Todnem","non-dropping-particle":"","parse-names":false,"suffix":""}],"container-title":"Studies in Higher Education","id":"ITEM-1","issue":"6","issued":{"date-parts":[["2014"]]},"page":"905-926","title":"The changing face of English universities: reinventing collegiality for the twenty-first century","type":"article-journal","volume":"39"},"uris":["http://www.mendeley.com/documents/?uuid=24152560-a926-4d23-9fe1-dc68becea4bb"]}],"mendeley":{"formattedCitation":"(Burnes et al., 2014)","manualFormatting":"Burnes et al (2014)","plainTextFormattedCitation":"(Burnes et al., 2014)","previouslyFormattedCitation":"(Burnes et al., 2014)"},"properties":{"noteIndex":0},"schema":"https://github.com/citation-style-language/schema/raw/master/csl-citation.json"}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Burnes et al</w:t>
      </w:r>
      <w:r w:rsidRPr="00C06E51">
        <w:rPr>
          <w:rFonts w:ascii="Times New Roman" w:hAnsi="Times New Roman" w:cs="Times New Roman"/>
          <w:noProof/>
        </w:rPr>
        <w:t xml:space="preserve"> </w:t>
      </w:r>
      <w:r>
        <w:rPr>
          <w:rFonts w:ascii="Times New Roman" w:hAnsi="Times New Roman" w:cs="Times New Roman"/>
          <w:noProof/>
        </w:rPr>
        <w:t>(</w:t>
      </w:r>
      <w:r w:rsidRPr="00C06E51">
        <w:rPr>
          <w:rFonts w:ascii="Times New Roman" w:hAnsi="Times New Roman" w:cs="Times New Roman"/>
          <w:noProof/>
        </w:rPr>
        <w:t>2014)</w:t>
      </w:r>
      <w:r>
        <w:rPr>
          <w:rFonts w:ascii="Times New Roman" w:hAnsi="Times New Roman" w:cs="Times New Roman"/>
        </w:rPr>
        <w:fldChar w:fldCharType="end"/>
      </w:r>
      <w:r w:rsidRPr="00EF66BB">
        <w:rPr>
          <w:rFonts w:ascii="Times New Roman" w:hAnsi="Times New Roman" w:cs="Times New Roman"/>
        </w:rPr>
        <w:t xml:space="preserve"> advocate an alternative approach to strategy that they term ‘new collegiality’, which attempts to reconcile the need for centralised strategic planning, with local, </w:t>
      </w:r>
      <w:r>
        <w:rPr>
          <w:rFonts w:ascii="Times New Roman" w:hAnsi="Times New Roman" w:cs="Times New Roman"/>
        </w:rPr>
        <w:t>d</w:t>
      </w:r>
      <w:r w:rsidRPr="00EF66BB">
        <w:rPr>
          <w:rFonts w:ascii="Times New Roman" w:hAnsi="Times New Roman" w:cs="Times New Roman"/>
        </w:rPr>
        <w:t xml:space="preserve">epartmental input (Bryman, 2007; Waring, 2017). Furthermore, they suggest that if universities are to be ‘entrepreneurial’ </w:t>
      </w:r>
      <w:r>
        <w:rPr>
          <w:rFonts w:ascii="Times New Roman" w:hAnsi="Times New Roman" w:cs="Times New Roman"/>
        </w:rPr>
        <w:fldChar w:fldCharType="begin" w:fldLock="1"/>
      </w:r>
      <w:r>
        <w:rPr>
          <w:rFonts w:ascii="Times New Roman" w:hAnsi="Times New Roman" w:cs="Times New Roman"/>
        </w:rPr>
        <w:instrText>ADDIN CSL_CITATION {"citationItems":[{"id":"ITEM-1","itemData":{"DOI":"10.1023/A:1026276308287","ISBN":"0539-0184","ISSN":"01389130","PMID":"604","abstract":"Innovation is increasingly based upon a \"Triple Helix\" of university-industry-government interactions. The increased importance of knowledge and the role of the university in incubation of technology-based firms has given it a more prominent place in the institutional firmament. The entrepreneurial university takes a proactive stance in putting knowledge to use and in broadening the input into the creation of academic knowledge. Thus it operates according to an interactive rather than a linear model of innovation. As firms raise their technological level, they move closer to an academic model, engaging in higher levels of training and in sharing of knowledge. Government acts as a public entrepreneur and venture capitalist in addition to its traditional regulatory role in setting the rules of the game. Moving beyond product development, innovation then becomes an endogenous process of \"taking the role of the other\",, encouraging hybridization among the institutional spheres.","author":[{"dropping-particle":"","family":"Etzkowitz","given":"Henry","non-dropping-particle":"","parse-names":false,"suffix":""}],"container-title":"Social Science Information","id":"ITEM-1","issue":"3","issued":{"date-parts":[["2003"]]},"page":"293-337","title":"Innovation in Innovation: The Triple Helix of university-industry-government relations","type":"article-journal","volume":"42"},"uris":["http://www.mendeley.com/documents/?uuid=3b54ad00-09b8-4154-ad87-829acf20d6a8"]}],"mendeley":{"formattedCitation":"(Etzkowitz, 2003)","plainTextFormattedCitation":"(Etzkowitz, 2003)","previouslyFormattedCitation":"(Etzkowitz, 2003)"},"properties":{"noteIndex":0},"schema":"https://github.com/citation-style-language/schema/raw/master/csl-citation.json"}</w:instrText>
      </w:r>
      <w:r>
        <w:rPr>
          <w:rFonts w:ascii="Times New Roman" w:hAnsi="Times New Roman" w:cs="Times New Roman"/>
        </w:rPr>
        <w:fldChar w:fldCharType="separate"/>
      </w:r>
      <w:r w:rsidRPr="00456D06">
        <w:rPr>
          <w:rFonts w:ascii="Times New Roman" w:hAnsi="Times New Roman" w:cs="Times New Roman"/>
          <w:noProof/>
        </w:rPr>
        <w:t>(Etzkowitz, 2003)</w:t>
      </w:r>
      <w:r>
        <w:rPr>
          <w:rFonts w:ascii="Times New Roman" w:hAnsi="Times New Roman" w:cs="Times New Roman"/>
        </w:rPr>
        <w:fldChar w:fldCharType="end"/>
      </w:r>
      <w:r w:rsidRPr="00EF66BB">
        <w:rPr>
          <w:rFonts w:ascii="Times New Roman" w:hAnsi="Times New Roman" w:cs="Times New Roman"/>
        </w:rPr>
        <w:t xml:space="preserve"> then preoccupation with ‘hard’ managerialism focused on centralised decision-making needs to give way to a more participative, collegiate mode of planning. Based on these disparate strands of literature, it </w:t>
      </w:r>
      <w:r>
        <w:rPr>
          <w:rFonts w:ascii="Times New Roman" w:hAnsi="Times New Roman" w:cs="Times New Roman"/>
        </w:rPr>
        <w:t>is</w:t>
      </w:r>
      <w:r w:rsidRPr="00EF66BB">
        <w:rPr>
          <w:rFonts w:ascii="Times New Roman" w:hAnsi="Times New Roman" w:cs="Times New Roman"/>
        </w:rPr>
        <w:t xml:space="preserve"> argued that </w:t>
      </w:r>
      <w:r w:rsidRPr="00EF66BB">
        <w:rPr>
          <w:rFonts w:ascii="Times New Roman" w:hAnsi="Times New Roman" w:cs="Times New Roman"/>
          <w:i/>
        </w:rPr>
        <w:t>strategic planning</w:t>
      </w:r>
      <w:r w:rsidRPr="00EF66BB">
        <w:rPr>
          <w:rFonts w:ascii="Times New Roman" w:hAnsi="Times New Roman" w:cs="Times New Roman"/>
        </w:rPr>
        <w:t xml:space="preserve"> can play an important role in the relationship between university strate</w:t>
      </w:r>
      <w:r>
        <w:rPr>
          <w:rFonts w:ascii="Times New Roman" w:hAnsi="Times New Roman" w:cs="Times New Roman"/>
        </w:rPr>
        <w:t>gic choices</w:t>
      </w:r>
      <w:r w:rsidRPr="00EF66BB">
        <w:rPr>
          <w:rFonts w:ascii="Times New Roman" w:hAnsi="Times New Roman" w:cs="Times New Roman"/>
        </w:rPr>
        <w:t xml:space="preserve"> and technology transfer effectiveness. </w:t>
      </w:r>
      <w:r>
        <w:rPr>
          <w:rFonts w:ascii="Times New Roman" w:hAnsi="Times New Roman" w:cs="Times New Roman"/>
        </w:rPr>
        <w:t>Specifically, it can</w:t>
      </w:r>
      <w:r w:rsidRPr="00EF66BB">
        <w:rPr>
          <w:rFonts w:ascii="Times New Roman" w:hAnsi="Times New Roman" w:cs="Times New Roman"/>
        </w:rPr>
        <w:t xml:space="preserve"> be argued that approaches to strategic planning that facilitate the integration of centralised decision making with peripheral adaption may be more impactful than classical rationalist strategic planning </w:t>
      </w:r>
      <w:r>
        <w:rPr>
          <w:rFonts w:ascii="Times New Roman" w:hAnsi="Times New Roman" w:cs="Times New Roman"/>
        </w:rPr>
        <w:fldChar w:fldCharType="begin" w:fldLock="1"/>
      </w:r>
      <w:r>
        <w:rPr>
          <w:rFonts w:ascii="Times New Roman" w:hAnsi="Times New Roman" w:cs="Times New Roman"/>
        </w:rPr>
        <w:instrText>ADDIN CSL_CITATION {"citationItems":[{"id":"ITEM-1","itemData":{"DOI":"10.1177/0149206313478185","ISBN":"0149206313","ISSN":"15571211","PMID":"87371552","abstract":"This review incorporates strategic planning research conducted over more than 30 years and ranges from the classical model of strategic planning to recent empirical work on intermediate outcomes, such as the reduction of managers’ position bias and the coordination of subunit activity. Prior reviews have not had the benefit of more socialized perspectives that developed in response to Mintzberg’s critique of planning, including research on planned emergence and strategy-as-practice approaches. To stimulate a resurgence of research interest on strategic planning, this review therefore draws on a diverse body of theory beyond the rational design and contingency approaches that characterized research in this domain until the mid-1990s. We develop a broad conceptualization of strategic planning and identify future research opportunities for improving our understanding of how strategic planning influences organizational outcomes. Our framework incorporates the role of strategic planning practitioners; the underlying routines, norms, and procedures of strategic planning (practices); and the concrete activities of planners (praxis).","author":[{"dropping-particle":"","family":"Wolf","given":"Carola","non-dropping-particle":"","parse-names":false,"suffix":""},{"dropping-particle":"","family":"Floyd","given":"Steven W.","non-dropping-particle":"","parse-names":false,"suffix":""}],"container-title":"Journal of Management","id":"ITEM-1","issue":"6","issued":{"date-parts":[["2017"]]},"number-of-pages":"1754-1788","title":"Strategic Planning Research: Toward a Theory-Driven Agenda","type":"book","volume":"43"},"uris":["http://www.mendeley.com/documents/?uuid=ddbf937a-425d-4050-949b-4c667b528f5b"]}],"mendeley":{"formattedCitation":"(Wolf and Floyd, 2017)","plainTextFormattedCitation":"(Wolf and Floyd, 2017)","previouslyFormattedCitation":"(Wolf and Floyd, 2017)"},"properties":{"noteIndex":0},"schema":"https://github.com/citation-style-language/schema/raw/master/csl-citation.json"}</w:instrText>
      </w:r>
      <w:r>
        <w:rPr>
          <w:rFonts w:ascii="Times New Roman" w:hAnsi="Times New Roman" w:cs="Times New Roman"/>
        </w:rPr>
        <w:fldChar w:fldCharType="separate"/>
      </w:r>
      <w:r w:rsidRPr="00456D06">
        <w:rPr>
          <w:rFonts w:ascii="Times New Roman" w:hAnsi="Times New Roman" w:cs="Times New Roman"/>
          <w:noProof/>
        </w:rPr>
        <w:t>(Wolf and Floyd, 2017)</w:t>
      </w:r>
      <w:r>
        <w:rPr>
          <w:rFonts w:ascii="Times New Roman" w:hAnsi="Times New Roman" w:cs="Times New Roman"/>
        </w:rPr>
        <w:fldChar w:fldCharType="end"/>
      </w:r>
      <w:r w:rsidRPr="00EF66BB">
        <w:rPr>
          <w:rFonts w:ascii="Times New Roman" w:hAnsi="Times New Roman" w:cs="Times New Roman"/>
        </w:rPr>
        <w:t xml:space="preserve">. Therefore, we suggest that the breadth of strategic planning, that is the degree to which strategic plans are developed </w:t>
      </w:r>
      <w:r w:rsidRPr="00EF66BB">
        <w:rPr>
          <w:rFonts w:ascii="Times New Roman" w:hAnsi="Times New Roman" w:cs="Times New Roman"/>
          <w:i/>
        </w:rPr>
        <w:t xml:space="preserve">across </w:t>
      </w:r>
      <w:r w:rsidRPr="00EF66BB">
        <w:rPr>
          <w:rFonts w:ascii="Times New Roman" w:hAnsi="Times New Roman" w:cs="Times New Roman"/>
        </w:rPr>
        <w:t xml:space="preserve">the institution with input from departments outside of centralised strategic </w:t>
      </w:r>
      <w:r w:rsidRPr="00EF66BB">
        <w:rPr>
          <w:rFonts w:ascii="Times New Roman" w:hAnsi="Times New Roman" w:cs="Times New Roman"/>
        </w:rPr>
        <w:lastRenderedPageBreak/>
        <w:t xml:space="preserve">planning, plays an important role in moderating the relationship between </w:t>
      </w:r>
      <w:r>
        <w:rPr>
          <w:rFonts w:ascii="Times New Roman" w:hAnsi="Times New Roman" w:cs="Times New Roman"/>
        </w:rPr>
        <w:t>strategic choices</w:t>
      </w:r>
      <w:r w:rsidRPr="00EF66BB">
        <w:rPr>
          <w:rFonts w:ascii="Times New Roman" w:hAnsi="Times New Roman" w:cs="Times New Roman"/>
        </w:rPr>
        <w:t xml:space="preserve">, </w:t>
      </w:r>
      <w:r>
        <w:rPr>
          <w:rFonts w:ascii="Times New Roman" w:hAnsi="Times New Roman" w:cs="Times New Roman"/>
        </w:rPr>
        <w:t>organi</w:t>
      </w:r>
      <w:r w:rsidR="00CE1EC1">
        <w:rPr>
          <w:rFonts w:ascii="Times New Roman" w:hAnsi="Times New Roman" w:cs="Times New Roman"/>
        </w:rPr>
        <w:t>s</w:t>
      </w:r>
      <w:r>
        <w:rPr>
          <w:rFonts w:ascii="Times New Roman" w:hAnsi="Times New Roman" w:cs="Times New Roman"/>
        </w:rPr>
        <w:t>ational configurations</w:t>
      </w:r>
      <w:r w:rsidRPr="00EF66BB">
        <w:rPr>
          <w:rFonts w:ascii="Times New Roman" w:hAnsi="Times New Roman" w:cs="Times New Roman"/>
        </w:rPr>
        <w:t xml:space="preserve"> and technology transfer effectiveness. Thus, we propose:</w:t>
      </w:r>
    </w:p>
    <w:p w14:paraId="4998822F" w14:textId="77777777" w:rsidR="00844C46" w:rsidRPr="00EF66BB" w:rsidRDefault="00844C46" w:rsidP="00141231">
      <w:pPr>
        <w:spacing w:line="360" w:lineRule="auto"/>
        <w:rPr>
          <w:rFonts w:ascii="Times New Roman" w:hAnsi="Times New Roman" w:cs="Times New Roman"/>
          <w:b/>
        </w:rPr>
      </w:pPr>
    </w:p>
    <w:p w14:paraId="7AC7286D" w14:textId="77777777" w:rsidR="00844C46" w:rsidRPr="00EF66BB" w:rsidRDefault="00844C46" w:rsidP="00141231">
      <w:pPr>
        <w:spacing w:line="360" w:lineRule="auto"/>
        <w:rPr>
          <w:rFonts w:ascii="Times New Roman" w:hAnsi="Times New Roman" w:cs="Times New Roman"/>
        </w:rPr>
      </w:pPr>
      <w:r w:rsidRPr="00EF66BB">
        <w:rPr>
          <w:rFonts w:ascii="Times New Roman" w:hAnsi="Times New Roman" w:cs="Times New Roman"/>
          <w:b/>
          <w:i/>
        </w:rPr>
        <w:t xml:space="preserve">H3a: </w:t>
      </w:r>
      <w:r w:rsidRPr="00EF66BB">
        <w:rPr>
          <w:rFonts w:ascii="Times New Roman" w:hAnsi="Times New Roman" w:cs="Times New Roman"/>
        </w:rPr>
        <w:t xml:space="preserve">The breadth of strategic planning will moderate the indirect effect of the scale of TTO support on technology transfer effectiveness (via alignment with university strategic priorities). Specifically, the indirect effect will be stronger when the breadth of strategic planning is high rather than when it is low. </w:t>
      </w:r>
    </w:p>
    <w:p w14:paraId="4566D841" w14:textId="77777777" w:rsidR="00844C46" w:rsidRPr="00EF66BB" w:rsidRDefault="00844C46" w:rsidP="00141231">
      <w:pPr>
        <w:spacing w:line="360" w:lineRule="auto"/>
        <w:rPr>
          <w:rFonts w:ascii="Times New Roman" w:hAnsi="Times New Roman" w:cs="Times New Roman"/>
          <w:b/>
          <w:i/>
        </w:rPr>
      </w:pPr>
    </w:p>
    <w:p w14:paraId="15831CCB" w14:textId="77777777" w:rsidR="00844C46" w:rsidRPr="00EF66BB" w:rsidRDefault="00844C46" w:rsidP="00141231">
      <w:pPr>
        <w:spacing w:line="360" w:lineRule="auto"/>
        <w:rPr>
          <w:rFonts w:ascii="Times New Roman" w:hAnsi="Times New Roman" w:cs="Times New Roman"/>
        </w:rPr>
      </w:pPr>
      <w:r w:rsidRPr="00EF66BB">
        <w:rPr>
          <w:rFonts w:ascii="Times New Roman" w:hAnsi="Times New Roman" w:cs="Times New Roman"/>
          <w:b/>
          <w:i/>
        </w:rPr>
        <w:t xml:space="preserve">H3b: </w:t>
      </w:r>
      <w:r w:rsidRPr="00EF66BB">
        <w:rPr>
          <w:rFonts w:ascii="Times New Roman" w:hAnsi="Times New Roman" w:cs="Times New Roman"/>
        </w:rPr>
        <w:t>The breadth of strategic planning will moderate the indirect effect of the provision of incentives for technology transfer and technology transfer effectiveness (via alignment with strategic priorities). Specifically, the indirect effect will be stronger when the breadth of strategic planning is high rather than when it is low.</w:t>
      </w:r>
    </w:p>
    <w:p w14:paraId="61F44FCA" w14:textId="77777777" w:rsidR="00844C46" w:rsidRPr="00EF66BB" w:rsidRDefault="00844C46" w:rsidP="00141231">
      <w:pPr>
        <w:spacing w:line="360" w:lineRule="auto"/>
        <w:rPr>
          <w:rFonts w:ascii="Times New Roman" w:hAnsi="Times New Roman" w:cs="Times New Roman"/>
        </w:rPr>
      </w:pPr>
    </w:p>
    <w:p w14:paraId="74A5F37D" w14:textId="09DDF0A7" w:rsidR="00844C46" w:rsidRPr="00EF66BB" w:rsidRDefault="00844C46" w:rsidP="00141231">
      <w:pPr>
        <w:spacing w:line="360" w:lineRule="auto"/>
        <w:rPr>
          <w:rFonts w:ascii="Times New Roman" w:hAnsi="Times New Roman" w:cs="Times New Roman"/>
        </w:rPr>
      </w:pPr>
      <w:r w:rsidRPr="00EF66BB">
        <w:rPr>
          <w:rFonts w:ascii="Times New Roman" w:hAnsi="Times New Roman" w:cs="Times New Roman"/>
        </w:rPr>
        <w:t>Before outlining how we operationalise our theoretical framework (Fig 1.0), it is important to address the theoretical and empirical rationale for concentrating on the UK. Theoretically, we suggest that the transposition of Strategic Choice Theory, which has developed in the context of private commercial enterprises, to a university setting is unproblematic in the</w:t>
      </w:r>
      <w:r>
        <w:rPr>
          <w:rFonts w:ascii="Times New Roman" w:hAnsi="Times New Roman" w:cs="Times New Roman"/>
        </w:rPr>
        <w:t xml:space="preserve"> context of</w:t>
      </w:r>
      <w:r w:rsidRPr="00EF66BB">
        <w:rPr>
          <w:rFonts w:ascii="Times New Roman" w:hAnsi="Times New Roman" w:cs="Times New Roman"/>
        </w:rPr>
        <w:t xml:space="preserve"> UK Higher Education. This is mainly because there is a strong evidence that </w:t>
      </w:r>
      <w:r>
        <w:rPr>
          <w:rFonts w:ascii="Times New Roman" w:hAnsi="Times New Roman" w:cs="Times New Roman"/>
        </w:rPr>
        <w:t>supports the notion that UK universities have moved from traditional ‘collegiate’ modes of governance towards more ‘managerialist’ models developed within private commercial enterprises.</w:t>
      </w:r>
      <w:r w:rsidRPr="00EF66BB">
        <w:rPr>
          <w:rFonts w:ascii="Times New Roman" w:hAnsi="Times New Roman" w:cs="Times New Roman"/>
        </w:rPr>
        <w:t xml:space="preserve"> Hence, UK universities are characterised by the adoption of more centralised leadership based on resource allocation, formal planning procedures, implementation of key performance indicators and the development of robust monitoring and evaluation systems </w:t>
      </w:r>
      <w:r>
        <w:rPr>
          <w:rFonts w:ascii="Times New Roman" w:hAnsi="Times New Roman" w:cs="Times New Roman"/>
        </w:rPr>
        <w:fldChar w:fldCharType="begin" w:fldLock="1"/>
      </w:r>
      <w:r>
        <w:rPr>
          <w:rFonts w:ascii="Times New Roman" w:hAnsi="Times New Roman" w:cs="Times New Roman"/>
        </w:rPr>
        <w:instrText>ADDIN CSL_CITATION {"citationItems":[{"id":"ITEM-1","itemData":{"DOI":"10.1080/03075079.2012.754858","ISBN":"03075079 (ISSN)","ISSN":"1470174X","abstract":"In this paper we examine the creation and expansion of the English university system. We show how the enormous increase in student numbers, which began with the Robbins Report (1963), led to successive governments cutting universities’ funding and compelling them to act more like business enterprises than educational institutions. In turn, vice-chancellors have become more similar to powerful chief executives, collegial forms of control have been significantly reduced and academic staff increasingly work in an environment in which they are told what to teach, how to teach, what research to conduct and where to publish. However, we show that this can be dysfunctional not only for staff, but also for senior managers. In place of this dysfunctional centralism, we argue for a win-win form of collegiality, which is compatible with rapid decision-making at the university centre and effective execution of change at the local/ departmental level.","author":[{"dropping-particle":"","family":"Burnes","given":"Bernard","non-dropping-particle":"","parse-names":false,"suffix":""},{"dropping-particle":"","family":"Wend","given":"Petra","non-dropping-particle":"","parse-names":false,"suffix":""},{"dropping-particle":"","family":"By","given":"Rune Todnem","non-dropping-particle":"","parse-names":false,"suffix":""}],"container-title":"Studies in Higher Education","id":"ITEM-1","issue":"6","issued":{"date-parts":[["2014"]]},"page":"905-926","title":"The changing face of English universities: reinventing collegiality for the twenty-first century","type":"article-journal","volume":"39"},"uris":["http://www.mendeley.com/documents/?uuid=24152560-a926-4d23-9fe1-dc68becea4bb"]},{"id":"ITEM-2","itemData":{"author":[{"dropping-particle":"","family":"Jarratt","given":"A","non-dropping-particle":"","parse-names":false,"suffix":""}],"id":"ITEM-2","issued":{"date-parts":[["1985"]]},"publisher":"CVCP","publisher-place":"London","title":"Steering Committee for Efficiency Studies in Universities","type":"article"},"uris":["http://www.mendeley.com/documents/?uuid=80ce3ccd-ed2a-4ecb-ad97-60b6ea40b399"]},{"id":"ITEM-3","itemData":{"DOI":"10.1080/1360080X.2017.1354754","ISSN":"14699508","abstract":"This paper considers the case for reform of management structures in UK universities and offers proposals for change. The model of top-down, performance-led management that characterises many institutions is both outmoded and ill-suited to the challenges of an increasingly turbulent higher education sector. Drawing on the experiences of a university that introduced a new scheme of performance management, I explore alternative approaches to leadership and management, collaborative or partnership working designed to improve employee voice and the need to re-evaluate approaches to Human Resource Management. I conclude with a five-point model for change.","author":[{"dropping-particle":"","family":"Waring","given":"Matt","non-dropping-particle":"","parse-names":false,"suffix":""}],"container-title":"Journal of Higher Education Policy and Management","id":"ITEM-3","issue":"5","issued":{"date-parts":[["2017"]]},"page":"540-558","publisher":"Routledge","title":"Management and leadership in UK universities: exploring the possibilities of change","type":"article-journal","volume":"39"},"uris":["http://www.mendeley.com/documents/?uuid=53ffff0f-fb1a-477d-aae5-a1036f8cdc58"]}],"mendeley":{"formattedCitation":"(Burnes et al., 2014; Jarratt, 1985; Waring, 2017)","plainTextFormattedCitation":"(Burnes et al., 2014; Jarratt, 1985; Waring, 2017)","previouslyFormattedCitation":"(Burnes et al., 2014; Jarratt, 1985; Waring, 2017)"},"properties":{"noteIndex":0},"schema":"https://github.com/citation-style-language/schema/raw/master/csl-citation.json"}</w:instrText>
      </w:r>
      <w:r>
        <w:rPr>
          <w:rFonts w:ascii="Times New Roman" w:hAnsi="Times New Roman" w:cs="Times New Roman"/>
        </w:rPr>
        <w:fldChar w:fldCharType="separate"/>
      </w:r>
      <w:r w:rsidRPr="00456D06">
        <w:rPr>
          <w:rFonts w:ascii="Times New Roman" w:hAnsi="Times New Roman" w:cs="Times New Roman"/>
          <w:noProof/>
        </w:rPr>
        <w:t>(Burnes et al., 2014; Jarratt, 1985; Waring, 2017)</w:t>
      </w:r>
      <w:r>
        <w:rPr>
          <w:rFonts w:ascii="Times New Roman" w:hAnsi="Times New Roman" w:cs="Times New Roman"/>
        </w:rPr>
        <w:fldChar w:fldCharType="end"/>
      </w:r>
      <w:r w:rsidRPr="00EF66BB">
        <w:rPr>
          <w:rFonts w:ascii="Times New Roman" w:hAnsi="Times New Roman" w:cs="Times New Roman"/>
        </w:rPr>
        <w:t>. Thus, there are reasonable grounds to assume that, over a 30</w:t>
      </w:r>
      <w:r>
        <w:rPr>
          <w:rFonts w:ascii="Times New Roman" w:hAnsi="Times New Roman" w:cs="Times New Roman"/>
        </w:rPr>
        <w:t>-</w:t>
      </w:r>
      <w:r w:rsidRPr="00EF66BB">
        <w:rPr>
          <w:rFonts w:ascii="Times New Roman" w:hAnsi="Times New Roman" w:cs="Times New Roman"/>
        </w:rPr>
        <w:t xml:space="preserve">year period, modes of operation transposed from the private commercial domain have become embedded with UK universities and, therefore, conventional organisational theory is appropriate to analyse </w:t>
      </w:r>
      <w:r w:rsidRPr="00EF66BB">
        <w:rPr>
          <w:rFonts w:ascii="Times New Roman" w:hAnsi="Times New Roman" w:cs="Times New Roman"/>
          <w:i/>
        </w:rPr>
        <w:t>public sector</w:t>
      </w:r>
      <w:r w:rsidRPr="00EF66BB">
        <w:rPr>
          <w:rFonts w:ascii="Times New Roman" w:hAnsi="Times New Roman" w:cs="Times New Roman"/>
        </w:rPr>
        <w:t xml:space="preserve"> organi</w:t>
      </w:r>
      <w:r w:rsidR="00CE1EC1">
        <w:rPr>
          <w:rFonts w:ascii="Times New Roman" w:hAnsi="Times New Roman" w:cs="Times New Roman"/>
        </w:rPr>
        <w:t>s</w:t>
      </w:r>
      <w:r w:rsidRPr="00EF66BB">
        <w:rPr>
          <w:rFonts w:ascii="Times New Roman" w:hAnsi="Times New Roman" w:cs="Times New Roman"/>
        </w:rPr>
        <w:t xml:space="preserve">ations (such as UK universities). </w:t>
      </w:r>
    </w:p>
    <w:p w14:paraId="1D7AECF6" w14:textId="77777777" w:rsidR="00844C46" w:rsidRPr="00EF66BB" w:rsidRDefault="00844C46" w:rsidP="00141231">
      <w:pPr>
        <w:spacing w:line="360" w:lineRule="auto"/>
        <w:rPr>
          <w:rFonts w:ascii="Times New Roman" w:hAnsi="Times New Roman" w:cs="Times New Roman"/>
        </w:rPr>
      </w:pPr>
    </w:p>
    <w:p w14:paraId="0FE1583C" w14:textId="2265FFA6" w:rsidR="00844C46" w:rsidRPr="00EF66BB" w:rsidRDefault="00844C46" w:rsidP="00141231">
      <w:pPr>
        <w:spacing w:line="360" w:lineRule="auto"/>
        <w:rPr>
          <w:rFonts w:ascii="Times New Roman" w:hAnsi="Times New Roman" w:cs="Times New Roman"/>
        </w:rPr>
      </w:pPr>
      <w:r w:rsidRPr="00EF66BB">
        <w:rPr>
          <w:rFonts w:ascii="Times New Roman" w:hAnsi="Times New Roman" w:cs="Times New Roman"/>
        </w:rPr>
        <w:t xml:space="preserve">The second theoretical justification for our focus on the UK context relates to the institutionalisation of technology transfer practices. Specifically, </w:t>
      </w:r>
      <w:r>
        <w:rPr>
          <w:rFonts w:ascii="Times New Roman" w:hAnsi="Times New Roman" w:cs="Times New Roman"/>
        </w:rPr>
        <w:fldChar w:fldCharType="begin" w:fldLock="1"/>
      </w:r>
      <w:r>
        <w:rPr>
          <w:rFonts w:ascii="Times New Roman" w:hAnsi="Times New Roman" w:cs="Times New Roman"/>
        </w:rPr>
        <w:instrText>ADDIN CSL_CITATION {"citationItems":[{"id":"ITEM-1","itemData":{"DOI":"10.1111/1467-8551.12069","ISBN":"1045-3172","ISSN":"14678551","abstract":"In this paper we examine the institutionalization of a new organizational practice around third stream activities in UK higher education from 1994 to 2008. Employing a longi- tudinal research design, involving archival, survey and contemporary interview data, we show how a new organizational practice diffused through the use of discourse and metrics around commercialization but over time was threatened on pure economic criteria. In response to the threat we explore how actors worked to institutionalize the new practice, reshaping both discourse and metrics to ensure that they were robust so that they could align with the interests and values of major stakeholders. In addition, actors worked to align discourse and metrics, as any misalignment between the two would have under- mined the institutionalization of the new organizational practice. Institutional","author":[{"dropping-particle":"","family":"Lockett","given":"Andy","non-dropping-particle":"","parse-names":false,"suffix":""},{"dropping-particle":"","family":"Wright","given":"Mike","non-dropping-particle":"","parse-names":false,"suffix":""},{"dropping-particle":"","family":"Wild","given":"Andrew","non-dropping-particle":"","parse-names":false,"suffix":""}],"container-title":"British Journal of Management","id":"ITEM-1","issue":"1","issued":{"date-parts":[["2015"]]},"page":"78-92","title":"The institutionalization of third stream activities in UK higher education: The role of discourse and metrics","type":"article-journal","volume":"26"},"uris":["http://www.mendeley.com/documents/?uuid=a4cc6f22-23a6-4758-8258-e247adeba6ea"]}],"mendeley":{"formattedCitation":"(Lockett et al., 2015)","manualFormatting":"Lockett et al (2015)","plainTextFormattedCitation":"(Lockett et al., 2015)","previouslyFormattedCitation":"(Lockett et al., 2015)"},"properties":{"noteIndex":0},"schema":"https://github.com/citation-style-language/schema/raw/master/csl-citation.json"}</w:instrText>
      </w:r>
      <w:r>
        <w:rPr>
          <w:rFonts w:ascii="Times New Roman" w:hAnsi="Times New Roman" w:cs="Times New Roman"/>
        </w:rPr>
        <w:fldChar w:fldCharType="separate"/>
      </w:r>
      <w:r w:rsidRPr="005710B8">
        <w:rPr>
          <w:rFonts w:ascii="Times New Roman" w:hAnsi="Times New Roman" w:cs="Times New Roman"/>
          <w:noProof/>
        </w:rPr>
        <w:t>Locke</w:t>
      </w:r>
      <w:r>
        <w:rPr>
          <w:rFonts w:ascii="Times New Roman" w:hAnsi="Times New Roman" w:cs="Times New Roman"/>
          <w:noProof/>
        </w:rPr>
        <w:t>tt et al</w:t>
      </w:r>
      <w:r w:rsidRPr="005710B8">
        <w:rPr>
          <w:rFonts w:ascii="Times New Roman" w:hAnsi="Times New Roman" w:cs="Times New Roman"/>
          <w:noProof/>
        </w:rPr>
        <w:t xml:space="preserve"> </w:t>
      </w:r>
      <w:r>
        <w:rPr>
          <w:rFonts w:ascii="Times New Roman" w:hAnsi="Times New Roman" w:cs="Times New Roman"/>
          <w:noProof/>
        </w:rPr>
        <w:t>(</w:t>
      </w:r>
      <w:r w:rsidRPr="005710B8">
        <w:rPr>
          <w:rFonts w:ascii="Times New Roman" w:hAnsi="Times New Roman" w:cs="Times New Roman"/>
          <w:noProof/>
        </w:rPr>
        <w:t>2015)</w:t>
      </w:r>
      <w:r>
        <w:rPr>
          <w:rFonts w:ascii="Times New Roman" w:hAnsi="Times New Roman" w:cs="Times New Roman"/>
        </w:rPr>
        <w:fldChar w:fldCharType="end"/>
      </w:r>
      <w:r w:rsidRPr="00EF66BB">
        <w:rPr>
          <w:rFonts w:ascii="Times New Roman" w:hAnsi="Times New Roman" w:cs="Times New Roman"/>
        </w:rPr>
        <w:t xml:space="preserve"> demonstrate that organisational practices associated with technology transfer have diffused rapidly amongst UK universities; </w:t>
      </w:r>
      <w:r>
        <w:rPr>
          <w:rFonts w:ascii="Times New Roman" w:hAnsi="Times New Roman" w:cs="Times New Roman"/>
        </w:rPr>
        <w:t>in particular,</w:t>
      </w:r>
      <w:r w:rsidRPr="00EF66BB">
        <w:rPr>
          <w:rFonts w:ascii="Times New Roman" w:hAnsi="Times New Roman" w:cs="Times New Roman"/>
        </w:rPr>
        <w:t xml:space="preserve"> the proliferation of TTOs. The relative homogeneity in organisational support for technology transfer is evident in our dataset (detailed below) which shows that all 1</w:t>
      </w:r>
      <w:r>
        <w:rPr>
          <w:rFonts w:ascii="Times New Roman" w:hAnsi="Times New Roman" w:cs="Times New Roman"/>
        </w:rPr>
        <w:t>15</w:t>
      </w:r>
      <w:r w:rsidRPr="00EF66BB">
        <w:rPr>
          <w:rFonts w:ascii="Times New Roman" w:hAnsi="Times New Roman" w:cs="Times New Roman"/>
        </w:rPr>
        <w:t xml:space="preserve"> institutions have technology transfer personnel and </w:t>
      </w:r>
      <w:r w:rsidRPr="00EF66BB">
        <w:rPr>
          <w:rFonts w:ascii="Times New Roman" w:hAnsi="Times New Roman" w:cs="Times New Roman"/>
        </w:rPr>
        <w:lastRenderedPageBreak/>
        <w:t>most provide some degree of incentives for staff (only 9 institutions indicate they do not). Therefore, the UK provides an ideal context to study the potential significance of strategy in relation to technology transfer, since the impact of strategic choices on organisational effectiveness may be more discernible in a context characterised by a relatively high degree of institutional homogeneity. This relative institutional homogeneity refers not only to the fact that technology transfer practices are institutionalised in the UK but also that most UK universities are public organi</w:t>
      </w:r>
      <w:r w:rsidR="00CE1EC1">
        <w:rPr>
          <w:rFonts w:ascii="Times New Roman" w:hAnsi="Times New Roman" w:cs="Times New Roman"/>
        </w:rPr>
        <w:t>s</w:t>
      </w:r>
      <w:r w:rsidRPr="00EF66BB">
        <w:rPr>
          <w:rFonts w:ascii="Times New Roman" w:hAnsi="Times New Roman" w:cs="Times New Roman"/>
        </w:rPr>
        <w:t xml:space="preserve">ations subject to the same institutional pressures. </w:t>
      </w:r>
    </w:p>
    <w:p w14:paraId="5302B87B" w14:textId="77777777" w:rsidR="00844C46" w:rsidRPr="00EF66BB" w:rsidRDefault="00844C46" w:rsidP="00141231">
      <w:pPr>
        <w:spacing w:line="360" w:lineRule="auto"/>
        <w:rPr>
          <w:rFonts w:ascii="Times New Roman" w:hAnsi="Times New Roman" w:cs="Times New Roman"/>
        </w:rPr>
      </w:pPr>
    </w:p>
    <w:p w14:paraId="2A6C39DA" w14:textId="77777777" w:rsidR="00844C46" w:rsidRPr="00EF66BB" w:rsidRDefault="00844C46" w:rsidP="00141231">
      <w:pPr>
        <w:spacing w:line="360" w:lineRule="auto"/>
        <w:rPr>
          <w:rFonts w:ascii="Times New Roman" w:hAnsi="Times New Roman" w:cs="Times New Roman"/>
        </w:rPr>
      </w:pPr>
      <w:r w:rsidRPr="00EF66BB">
        <w:rPr>
          <w:rFonts w:ascii="Times New Roman" w:hAnsi="Times New Roman" w:cs="Times New Roman"/>
        </w:rPr>
        <w:t xml:space="preserve">The third reason we focus on the UK case is the availability of data. Although much of the work related to technology transfer activity is based on US data, drawing on AUTM survey, it has recently been suggested that data collected in the UK by the Higher Education Statistics Agency (HESA) provides the most comprehensive survey of technology transfer activity globally (Lockett et al, 2015). The particulars of this dataset are discussed in the next section. </w:t>
      </w:r>
    </w:p>
    <w:p w14:paraId="02C5C785" w14:textId="7883FD46" w:rsidR="00844C46" w:rsidRDefault="00844C46" w:rsidP="00141231"/>
    <w:p w14:paraId="4A1AB86A" w14:textId="7E21A8CC" w:rsidR="00844C46" w:rsidRPr="00844C46" w:rsidRDefault="00844C46" w:rsidP="00141231"/>
    <w:p w14:paraId="0DAEFFCD" w14:textId="77777777" w:rsidR="001A3E4C" w:rsidRPr="00EF66BB" w:rsidRDefault="00FF3FCA" w:rsidP="00141231">
      <w:pPr>
        <w:pStyle w:val="Heading2"/>
        <w:spacing w:line="360" w:lineRule="auto"/>
        <w:rPr>
          <w:rFonts w:ascii="Times New Roman" w:hAnsi="Times New Roman" w:cs="Times New Roman"/>
          <w:sz w:val="24"/>
          <w:szCs w:val="24"/>
        </w:rPr>
      </w:pPr>
      <w:r w:rsidRPr="00EF66BB">
        <w:rPr>
          <w:rFonts w:ascii="Times New Roman" w:hAnsi="Times New Roman" w:cs="Times New Roman"/>
          <w:sz w:val="24"/>
          <w:szCs w:val="24"/>
        </w:rPr>
        <w:t>3.0 Research Methods</w:t>
      </w:r>
    </w:p>
    <w:p w14:paraId="1BF883AB" w14:textId="0A65710A" w:rsidR="00994805" w:rsidRPr="00EF66BB" w:rsidRDefault="00994805" w:rsidP="00141231">
      <w:pPr>
        <w:pStyle w:val="Heading3"/>
        <w:spacing w:line="360" w:lineRule="auto"/>
        <w:rPr>
          <w:rFonts w:ascii="Times New Roman" w:hAnsi="Times New Roman" w:cs="Times New Roman"/>
        </w:rPr>
      </w:pPr>
      <w:r w:rsidRPr="00EF66BB">
        <w:rPr>
          <w:rFonts w:ascii="Times New Roman" w:hAnsi="Times New Roman" w:cs="Times New Roman"/>
        </w:rPr>
        <w:t>3.1 Data Sources</w:t>
      </w:r>
      <w:r w:rsidR="00732CB8" w:rsidRPr="00EF66BB">
        <w:rPr>
          <w:rFonts w:ascii="Times New Roman" w:hAnsi="Times New Roman" w:cs="Times New Roman"/>
        </w:rPr>
        <w:t xml:space="preserve"> </w:t>
      </w:r>
    </w:p>
    <w:p w14:paraId="7E684F19" w14:textId="1E957DEE" w:rsidR="00CD3B59" w:rsidRPr="00EF66BB" w:rsidRDefault="003C6758" w:rsidP="00141231">
      <w:pPr>
        <w:spacing w:line="360" w:lineRule="auto"/>
        <w:rPr>
          <w:rFonts w:ascii="Times New Roman" w:hAnsi="Times New Roman" w:cs="Times New Roman"/>
        </w:rPr>
      </w:pPr>
      <w:r w:rsidRPr="00EF66BB">
        <w:rPr>
          <w:rFonts w:ascii="Times New Roman" w:hAnsi="Times New Roman" w:cs="Times New Roman"/>
        </w:rPr>
        <w:t>We</w:t>
      </w:r>
      <w:r w:rsidR="00FF3FCA" w:rsidRPr="00EF66BB">
        <w:rPr>
          <w:rFonts w:ascii="Times New Roman" w:hAnsi="Times New Roman" w:cs="Times New Roman"/>
        </w:rPr>
        <w:t xml:space="preserve"> dr</w:t>
      </w:r>
      <w:r w:rsidR="00706A40" w:rsidRPr="00EF66BB">
        <w:rPr>
          <w:rFonts w:ascii="Times New Roman" w:hAnsi="Times New Roman" w:cs="Times New Roman"/>
        </w:rPr>
        <w:t>a</w:t>
      </w:r>
      <w:r w:rsidR="00FF3FCA" w:rsidRPr="00EF66BB">
        <w:rPr>
          <w:rFonts w:ascii="Times New Roman" w:hAnsi="Times New Roman" w:cs="Times New Roman"/>
        </w:rPr>
        <w:t xml:space="preserve">w </w:t>
      </w:r>
      <w:r w:rsidR="00F602C0" w:rsidRPr="00EF66BB">
        <w:rPr>
          <w:rFonts w:ascii="Times New Roman" w:hAnsi="Times New Roman" w:cs="Times New Roman"/>
        </w:rPr>
        <w:t xml:space="preserve">primarily </w:t>
      </w:r>
      <w:r w:rsidR="00FF3FCA" w:rsidRPr="00EF66BB">
        <w:rPr>
          <w:rFonts w:ascii="Times New Roman" w:hAnsi="Times New Roman" w:cs="Times New Roman"/>
        </w:rPr>
        <w:t>upon data collected by HESA</w:t>
      </w:r>
      <w:r w:rsidR="001E6098" w:rsidRPr="00EF66BB">
        <w:rPr>
          <w:rFonts w:ascii="Times New Roman" w:hAnsi="Times New Roman" w:cs="Times New Roman"/>
        </w:rPr>
        <w:t xml:space="preserve"> </w:t>
      </w:r>
      <w:r w:rsidR="00706A40" w:rsidRPr="00EF66BB">
        <w:rPr>
          <w:rFonts w:ascii="Times New Roman" w:hAnsi="Times New Roman" w:cs="Times New Roman"/>
        </w:rPr>
        <w:t xml:space="preserve">in the UK </w:t>
      </w:r>
      <w:r w:rsidR="00FF3FCA" w:rsidRPr="00EF66BB">
        <w:rPr>
          <w:rFonts w:ascii="Times New Roman" w:hAnsi="Times New Roman" w:cs="Times New Roman"/>
        </w:rPr>
        <w:t xml:space="preserve">via their Higher Education- Business Community Interaction Survey (HE-BCI). </w:t>
      </w:r>
      <w:r w:rsidR="00F602C0" w:rsidRPr="00EF66BB">
        <w:rPr>
          <w:rFonts w:ascii="Times New Roman" w:hAnsi="Times New Roman" w:cs="Times New Roman"/>
        </w:rPr>
        <w:t xml:space="preserve">The HE-BCI survey is increasingly adopted in research pertinent to university technology transfer activity </w:t>
      </w:r>
      <w:r w:rsidR="005710B8">
        <w:rPr>
          <w:rFonts w:ascii="Times New Roman" w:hAnsi="Times New Roman" w:cs="Times New Roman"/>
        </w:rPr>
        <w:fldChar w:fldCharType="begin" w:fldLock="1"/>
      </w:r>
      <w:r w:rsidR="008F2687">
        <w:rPr>
          <w:rFonts w:ascii="Times New Roman" w:hAnsi="Times New Roman" w:cs="Times New Roman"/>
        </w:rPr>
        <w:instrText>ADDIN CSL_CITATION {"citationItems":[{"id":"ITEM-1","itemData":{"DOI":"10.1111/1467-8551.12224","ISSN":"14678551","abstract":"This paper addresses the gap in the knowledge transfer literature around how universi-ties choose specific organizational models for their knowledge transfer offices (KTOs). Organization theory points towards strong interlinkages between strategy, structure and processes in organizations. This motivates an exploration of similar links within the or-ganizational setup of KTOs. In doing so, the paper provides a unified theoretical frame-work around a university's choice of structure, business model and strategic preferences for their KTOs linked to university-specific contextual factors. A qualitative approach is used wherein four very distinct British universities are examined as individual case studies. The authors find that strategic aims of the university around practitioner engagement, the quantity of applied research and research specialization are key factors in determining the organizational characteristics of the KTO. The theoretical framework derived from the cases makes two key contributions to the university knowledge transfer literature. First, it links the university-level contextual factors to the local model of knowledge transfer. Second, it allows us to develop a set of generic models of knowledge transfer, which can potentially guide universities to develop their own specific models.","author":[{"dropping-particle":"","family":"Sengupta","given":"Abhijit","non-dropping-particle":"","parse-names":false,"suffix":""},{"dropping-particle":"","family":"Ray","given":"Amit S.","non-dropping-particle":"","parse-names":false,"suffix":""}],"container-title":"British Journal of Management","id":"ITEM-1","issue":"4","issued":{"date-parts":[["2017"]]},"page":"687-710","title":"Choice of Structure, Business Model and Portfolio: Organizational Models of Knowledge Transfer Offices in British Universities","type":"article-journal","volume":"28"},"uris":["http://www.mendeley.com/documents/?uuid=69f0919c-c25e-4005-8e21-cc66488aca4a"]},{"id":"ITEM-2","itemData":{"DOI":"10.1016/j.respol.2017.03.008","ISSN":"00487333","abstract":"This paper examines the dynamic interlinkages between the two pillars of ambidexterity in universities, research and knowledge transfer. We propose a theoretical model linking these two pillars at the organisational level. The model is tested using the longitudinal HE-BCI survey data juxtaposed against two consecutive rounds of research evaluation in the UK higher education sector. Results indicate that a university's past performance along the research pillar strengthens the knowledge transfer pillar over time, through both commercialisation and academic engagement channels. This positive impact is negatively moderated by the university's size and reputation, in the sense that in larger or more reputed universities, the marginal impact of research on knowledge transfer declines significantly. Additionally, we find that knowledge transfer reinforces the research pillar through positive mediation between past and future research, but only through academic engagement channels. The results also indicate that contract research routes provide the maximum benefit for most universities in enhancing their ambidexterity framework, both in the short and the long run. For the relatively more reputed universities, it is the collaboration route which provides the maximum benefit. Interestingly, no such reinforcement could be detected in the case of the research commercialisation channels.","author":[{"dropping-particle":"","family":"Sengupta","given":"Abhijit","non-dropping-particle":"","parse-names":false,"suffix":""},{"dropping-particle":"","family":"Ray","given":"Amit S.","non-dropping-particle":"","parse-names":false,"suffix":""}],"container-title":"Research Policy","id":"ITEM-2","issue":"5","issued":{"date-parts":[["2017"]]},"page":"881-897","publisher":"Elsevier B.V.","title":"University research and knowledge transfer: A dynamic view of ambidexterity in british universities","type":"article-journal","volume":"46"},"uris":["http://www.mendeley.com/documents/?uuid=1bae52b2-2b76-4a4b-9383-c1e21964cb01"]},{"id":"ITEM-3","itemData":{"DOI":"10.1016/j.respol.2011.10.010","ISSN":"00487333","abstract":"As the innovation process has become more open and networked, Government policy in the UK has sought to promote both research excellence in the university sector and the translation of this into economic benefit through university–business engagement. However, this policy approach has tended to be applied uniformly with little account for organisational differences within the sector. In this paper we consider if differences between universities in their research performance is reflected in their knowledge transfer activity. Specifically, as universities develop a commercialization agenda are the strategic priorities for knowledge transfer, the organisational supports in place to facilitate knowledge transfer and the scale and scope of knowledge transfer activity different for high research intensive (HRI) and low research intensive (LRI) universities? The findings demonstrate that universities’ approach to knowledge transfer is shaped by institutional and organisational resources, in particular their ethos and research quality, rather than the capability to undertake knowledge transfer through a Technology Transfer Office (TTO). Strategic priorities for knowledge transfer are reflected in activity, in terms of the dominance of specific knowledge transfer channels, the partners with which universities engage and the geography of business engagement.","author":[{"dropping-particle":"","family":"Hewitt-Dundas","given":"Nola","non-dropping-particle":"","parse-names":false,"suffix":""}],"container-title":"Research Policy","id":"ITEM-3","issue":"2","issued":{"date-parts":[["2012","3"]]},"page":"262-275","title":"Research intensity and knowledge transfer activity in UK universities","type":"article-journal","volume":"41"},"uris":["http://www.mendeley.com/documents/?uuid=dfda44a2-56de-4343-aba6-7ecd31ff1890"]},{"id":"ITEM-4","itemData":{"DOI":"10.1080/03075079.2014.914914","ISBN":"0307-5079","ISSN":"1470174X","abstract":"The issue of what indicators are most appropriate in order to measure the performance of universities in knowledge transfer (KT) activities remains relatively under-investigated. The main aim of this paper is to identify and discuss the limitations to the current measurements of university?industry KT performance, and propose some directions for improvement. We argue that university?industry KT can unfold in many ways and impact many stakeholders, and that, especially in highly differentiated university systems, choosing indicators focused on a narrow range of activities and impacts might limit the ability of universities to accurately represent their KT performance. Therefore, KT indicators should include a variety of activities and reflect a variety of impacts so as to allow comparability between different institutions and avoid the creation of undesirable behavioural incentives. To illustrate these issues empirically, the authors discuss the case of the United Kingdom's Higher Education?Business and Community Interaction (HE-BCI) survey.\\nThe issue of what indicators are most appropriate in order to measure the performance of universities in knowledge transfer (KT) activities remains relatively under-investigated. The main aim of this paper is to identify and discuss the limitations to the current measurements of university?industry KT performance, and propose some directions for improvement. We argue that university?industry KT can unfold in many ways and impact many stakeholders, and that, especially in highly differentiated university systems, choosing indicators focused on a narrow range of activities and impacts might limit the ability of universities to accurately represent their KT performance. Therefore, KT indicators should include a variety of activities and reflect a variety of impacts so as to allow comparability between different institutions and avoid the creation of undesirable behavioural incentives. To illustrate these issues empirically, the authors discuss the case of the United Kingdom's Higher Education?Business and Community Interaction (HE-BCI) survey.","author":[{"dropping-particle":"","family":"Rossi","given":"Federica","non-dropping-particle":"","parse-names":false,"suffix":""},{"dropping-particle":"","family":"Rosli","given":"Ainurul","non-dropping-particle":"","parse-names":false,"suffix":""}],"container-title":"Studies in Higher Education","id":"ITEM-4","issue":"10","issued":{"date-parts":[["2014"]]},"page":"1970-1991","title":"Indicators of university???industry knowledge transfer performance and their implications for universities: Evidence from the United Kingdom","type":"article-journal","volume":"40"},"uris":["http://www.mendeley.com/documents/?uuid=ad1e018b-947e-4044-a312-5a4f2616c0f9"]},{"id":"ITEM-5","itemData":{"DOI":"10.1111/1467-8551.12069","ISBN":"1045-3172","ISSN":"14678551","abstract":"In this paper we examine the institutionalization of a new organizational practice around third stream activities in UK higher education from 1994 to 2008. Employing a longi- tudinal research design, involving archival, survey and contemporary interview data, we show how a new organizational practice diffused through the use of discourse and metrics around commercialization but over time was threatened on pure economic criteria. In response to the threat we explore how actors worked to institutionalize the new practice, reshaping both discourse and metrics to ensure that they were robust so that they could align with the interests and values of major stakeholders. In addition, actors worked to align discourse and metrics, as any misalignment between the two would have under- mined the institutionalization of the new organizational practice. Institutional","author":[{"dropping-particle":"","family":"Lockett","given":"Andy","non-dropping-particle":"","parse-names":false,"suffix":""},{"dropping-particle":"","family":"Wright","given":"Mike","non-dropping-particle":"","parse-names":false,"suffix":""},{"dropping-particle":"","family":"Wild","given":"Andrew","non-dropping-particle":"","parse-names":false,"suffix":""}],"container-title":"British Journal of Management","id":"ITEM-5","issue":"1","issued":{"date-parts":[["2015"]]},"page":"78-92","title":"The institutionalization of third stream activities in UK higher education: The role of discourse and metrics","type":"article-journal","volume":"26"},"uris":["http://www.mendeley.com/documents/?uuid=a4cc6f22-23a6-4758-8258-e247adeba6ea"]},{"id":"ITEM-6","itemData":{"DOI":"10.1016/j.respol.2017.10.003","ISBN":"0048-7333","ISSN":"00487333","abstract":"In the UK, higher education is increasingly a marketised service sharing many characteristics with other professional services such as legal, medical or financial services. With marketisation comes competition, and the need for Higher Education Institutions (HEIs) to develop and maintain strong programmes to attract and retain high-class faculty and fee-paying students. Here, we consider the drivers of programme innovation − i.e. the introduction of new programmes and the withdrawal of existing programmes − in UK universities. Our focus is on undergraduate programmes as these account for three-quarters of all student enrolments. Using panel data for UK universities we identify significant resource, internationalisation and business engagement effects. Financial stringency and more extensive international market engagement both encourage programme introduction. Collaboration with businesses has offsetting effects depending on the nature of the interaction. The results have both strategic and systemic implications.","author":[{"dropping-particle":"","family":"Hewitt-Dundas","given":"Nola","non-dropping-particle":"","parse-names":false,"suffix":""},{"dropping-particle":"","family":"Roper","given":"Stephen","non-dropping-particle":"","parse-names":false,"suffix":""}],"container-title":"Research Policy","id":"ITEM-6","issue":"1","issued":{"date-parts":[["2018"]]},"page":"121-138","publisher":"Elsevier","title":"Innovation in UK higher education: A panel data analysis of undergraduate degree programmes","type":"article-journal","volume":"47"},"uris":["http://www.mendeley.com/documents/?uuid=f4897a18-6400-4776-818e-bee572076c61"]}],"mendeley":{"formattedCitation":"(Hewitt-Dundas, 2012; Hewitt-Dundas and Roper, 2018; Lockett et al., 2015; Rossi and Rosli, 2014; Sengupta and Ray, 2017b, 2017a)","plainTextFormattedCitation":"(Hewitt-Dundas, 2012; Hewitt-Dundas and Roper, 2018; Lockett et al., 2015; Rossi and Rosli, 2014; Sengupta and Ray, 2017b, 2017a)","previouslyFormattedCitation":"(Hewitt-Dundas, 2012; Hewitt-Dundas and Roper, 2018; Lockett et al., 2015; Rossi and Rosli, 2014; Sengupta and Ray, 2017b, 2017a)"},"properties":{"noteIndex":0},"schema":"https://github.com/citation-style-language/schema/raw/master/csl-citation.json"}</w:instrText>
      </w:r>
      <w:r w:rsidR="005710B8">
        <w:rPr>
          <w:rFonts w:ascii="Times New Roman" w:hAnsi="Times New Roman" w:cs="Times New Roman"/>
        </w:rPr>
        <w:fldChar w:fldCharType="separate"/>
      </w:r>
      <w:r w:rsidR="005710B8" w:rsidRPr="005710B8">
        <w:rPr>
          <w:rFonts w:ascii="Times New Roman" w:hAnsi="Times New Roman" w:cs="Times New Roman"/>
          <w:noProof/>
        </w:rPr>
        <w:t>(Hewitt-Dundas, 2012; Hewitt-Dundas and Roper, 2018; Lockett et al., 2015; Rossi and Rosli, 2014; Sengupta and Ray, 2017b, 2017a)</w:t>
      </w:r>
      <w:r w:rsidR="005710B8">
        <w:rPr>
          <w:rFonts w:ascii="Times New Roman" w:hAnsi="Times New Roman" w:cs="Times New Roman"/>
        </w:rPr>
        <w:fldChar w:fldCharType="end"/>
      </w:r>
      <w:r w:rsidR="00994805" w:rsidRPr="00EF66BB">
        <w:rPr>
          <w:rFonts w:ascii="Times New Roman" w:hAnsi="Times New Roman" w:cs="Times New Roman"/>
        </w:rPr>
        <w:t>. The survey consists of two main sections</w:t>
      </w:r>
      <w:r w:rsidR="00706A40" w:rsidRPr="00EF66BB">
        <w:rPr>
          <w:rFonts w:ascii="Times New Roman" w:hAnsi="Times New Roman" w:cs="Times New Roman"/>
        </w:rPr>
        <w:t xml:space="preserve">. The </w:t>
      </w:r>
      <w:r w:rsidR="00994805" w:rsidRPr="00EF66BB">
        <w:rPr>
          <w:rFonts w:ascii="Times New Roman" w:hAnsi="Times New Roman" w:cs="Times New Roman"/>
        </w:rPr>
        <w:t>first asks respondents questions about technology transfer strategy</w:t>
      </w:r>
      <w:r w:rsidR="00706A40" w:rsidRPr="00EF66BB">
        <w:rPr>
          <w:rFonts w:ascii="Times New Roman" w:hAnsi="Times New Roman" w:cs="Times New Roman"/>
        </w:rPr>
        <w:t>;</w:t>
      </w:r>
      <w:r w:rsidR="00994805" w:rsidRPr="00EF66BB">
        <w:rPr>
          <w:rFonts w:ascii="Times New Roman" w:hAnsi="Times New Roman" w:cs="Times New Roman"/>
        </w:rPr>
        <w:t xml:space="preserve"> technology transfer infrastructure</w:t>
      </w:r>
      <w:r w:rsidR="00706A40" w:rsidRPr="00EF66BB">
        <w:rPr>
          <w:rFonts w:ascii="Times New Roman" w:hAnsi="Times New Roman" w:cs="Times New Roman"/>
        </w:rPr>
        <w:t>;</w:t>
      </w:r>
      <w:r w:rsidR="00994805" w:rsidRPr="00EF66BB">
        <w:rPr>
          <w:rFonts w:ascii="Times New Roman" w:hAnsi="Times New Roman" w:cs="Times New Roman"/>
        </w:rPr>
        <w:t xml:space="preserve"> university intellectual property arrangements</w:t>
      </w:r>
      <w:r w:rsidR="00706A40" w:rsidRPr="00EF66BB">
        <w:rPr>
          <w:rFonts w:ascii="Times New Roman" w:hAnsi="Times New Roman" w:cs="Times New Roman"/>
        </w:rPr>
        <w:t>;</w:t>
      </w:r>
      <w:r w:rsidR="00994805" w:rsidRPr="00EF66BB">
        <w:rPr>
          <w:rFonts w:ascii="Times New Roman" w:hAnsi="Times New Roman" w:cs="Times New Roman"/>
        </w:rPr>
        <w:t xml:space="preserve"> approach to social, cultural and community engagement</w:t>
      </w:r>
      <w:r w:rsidR="00706A40" w:rsidRPr="00EF66BB">
        <w:rPr>
          <w:rFonts w:ascii="Times New Roman" w:hAnsi="Times New Roman" w:cs="Times New Roman"/>
        </w:rPr>
        <w:t>;</w:t>
      </w:r>
      <w:r w:rsidR="00994805" w:rsidRPr="00EF66BB">
        <w:rPr>
          <w:rFonts w:ascii="Times New Roman" w:hAnsi="Times New Roman" w:cs="Times New Roman"/>
        </w:rPr>
        <w:t xml:space="preserve"> and university arrangements for continuing professional development. </w:t>
      </w:r>
      <w:r w:rsidR="00706A40" w:rsidRPr="00EF66BB">
        <w:rPr>
          <w:rFonts w:ascii="Times New Roman" w:hAnsi="Times New Roman" w:cs="Times New Roman"/>
        </w:rPr>
        <w:t>I</w:t>
      </w:r>
      <w:r w:rsidR="006D1AF6" w:rsidRPr="00EF66BB">
        <w:rPr>
          <w:rFonts w:ascii="Times New Roman" w:hAnsi="Times New Roman" w:cs="Times New Roman"/>
        </w:rPr>
        <w:t>n t</w:t>
      </w:r>
      <w:r w:rsidR="00994805" w:rsidRPr="00EF66BB">
        <w:rPr>
          <w:rFonts w:ascii="Times New Roman" w:hAnsi="Times New Roman" w:cs="Times New Roman"/>
        </w:rPr>
        <w:t>he second section</w:t>
      </w:r>
      <w:r w:rsidR="006D1AF6" w:rsidRPr="00EF66BB">
        <w:rPr>
          <w:rFonts w:ascii="Times New Roman" w:hAnsi="Times New Roman" w:cs="Times New Roman"/>
        </w:rPr>
        <w:t>,</w:t>
      </w:r>
      <w:r w:rsidR="00994805" w:rsidRPr="00EF66BB">
        <w:rPr>
          <w:rFonts w:ascii="Times New Roman" w:hAnsi="Times New Roman" w:cs="Times New Roman"/>
        </w:rPr>
        <w:t xml:space="preserve"> respondents outline outputs generated by their institution, in terms of volume and pound (£) value</w:t>
      </w:r>
      <w:r w:rsidR="00706A40" w:rsidRPr="00EF66BB">
        <w:rPr>
          <w:rFonts w:ascii="Times New Roman" w:hAnsi="Times New Roman" w:cs="Times New Roman"/>
        </w:rPr>
        <w:t>s</w:t>
      </w:r>
      <w:r w:rsidR="00994805" w:rsidRPr="00EF66BB">
        <w:rPr>
          <w:rFonts w:ascii="Times New Roman" w:hAnsi="Times New Roman" w:cs="Times New Roman"/>
        </w:rPr>
        <w:t>, with regards to</w:t>
      </w:r>
      <w:r w:rsidR="00706A40" w:rsidRPr="00EF66BB">
        <w:rPr>
          <w:rFonts w:ascii="Times New Roman" w:hAnsi="Times New Roman" w:cs="Times New Roman"/>
        </w:rPr>
        <w:t>:</w:t>
      </w:r>
      <w:r w:rsidR="00994805" w:rsidRPr="00EF66BB">
        <w:rPr>
          <w:rFonts w:ascii="Times New Roman" w:hAnsi="Times New Roman" w:cs="Times New Roman"/>
        </w:rPr>
        <w:t xml:space="preserve"> collaborative research</w:t>
      </w:r>
      <w:r w:rsidR="00706A40" w:rsidRPr="00EF66BB">
        <w:rPr>
          <w:rFonts w:ascii="Times New Roman" w:hAnsi="Times New Roman" w:cs="Times New Roman"/>
        </w:rPr>
        <w:t>;</w:t>
      </w:r>
      <w:r w:rsidR="00994805" w:rsidRPr="00EF66BB">
        <w:rPr>
          <w:rFonts w:ascii="Times New Roman" w:hAnsi="Times New Roman" w:cs="Times New Roman"/>
        </w:rPr>
        <w:t xml:space="preserve"> contract research</w:t>
      </w:r>
      <w:r w:rsidR="00706A40" w:rsidRPr="00EF66BB">
        <w:rPr>
          <w:rFonts w:ascii="Times New Roman" w:hAnsi="Times New Roman" w:cs="Times New Roman"/>
        </w:rPr>
        <w:t>;</w:t>
      </w:r>
      <w:r w:rsidR="00994805" w:rsidRPr="00EF66BB">
        <w:rPr>
          <w:rFonts w:ascii="Times New Roman" w:hAnsi="Times New Roman" w:cs="Times New Roman"/>
        </w:rPr>
        <w:t xml:space="preserve"> facility and service provision</w:t>
      </w:r>
      <w:r w:rsidR="00706A40" w:rsidRPr="00EF66BB">
        <w:rPr>
          <w:rFonts w:ascii="Times New Roman" w:hAnsi="Times New Roman" w:cs="Times New Roman"/>
        </w:rPr>
        <w:t>;</w:t>
      </w:r>
      <w:r w:rsidR="00994805" w:rsidRPr="00EF66BB">
        <w:rPr>
          <w:rFonts w:ascii="Times New Roman" w:hAnsi="Times New Roman" w:cs="Times New Roman"/>
        </w:rPr>
        <w:t xml:space="preserve"> intellectual property (paten</w:t>
      </w:r>
      <w:r w:rsidR="00706A40" w:rsidRPr="00EF66BB">
        <w:rPr>
          <w:rFonts w:ascii="Times New Roman" w:hAnsi="Times New Roman" w:cs="Times New Roman"/>
        </w:rPr>
        <w:t>t</w:t>
      </w:r>
      <w:r w:rsidR="00994805" w:rsidRPr="00EF66BB">
        <w:rPr>
          <w:rFonts w:ascii="Times New Roman" w:hAnsi="Times New Roman" w:cs="Times New Roman"/>
        </w:rPr>
        <w:t>s, licences, sale of shares in spin-off firms)</w:t>
      </w:r>
      <w:r w:rsidR="00706A40" w:rsidRPr="00EF66BB">
        <w:rPr>
          <w:rFonts w:ascii="Times New Roman" w:hAnsi="Times New Roman" w:cs="Times New Roman"/>
        </w:rPr>
        <w:t>;</w:t>
      </w:r>
      <w:r w:rsidR="00994805" w:rsidRPr="00EF66BB">
        <w:rPr>
          <w:rFonts w:ascii="Times New Roman" w:hAnsi="Times New Roman" w:cs="Times New Roman"/>
        </w:rPr>
        <w:t xml:space="preserve"> and CPD provision</w:t>
      </w:r>
      <w:r w:rsidR="00E0272F" w:rsidRPr="00EF66BB">
        <w:rPr>
          <w:rFonts w:ascii="Times New Roman" w:hAnsi="Times New Roman" w:cs="Times New Roman"/>
        </w:rPr>
        <w:t xml:space="preserve"> and cultural, social and community engagements.  </w:t>
      </w:r>
    </w:p>
    <w:p w14:paraId="356FECE2" w14:textId="77777777" w:rsidR="001E6098" w:rsidRPr="00EF66BB" w:rsidRDefault="001E6098" w:rsidP="00141231">
      <w:pPr>
        <w:spacing w:line="360" w:lineRule="auto"/>
        <w:rPr>
          <w:rFonts w:ascii="Times New Roman" w:hAnsi="Times New Roman" w:cs="Times New Roman"/>
        </w:rPr>
      </w:pPr>
    </w:p>
    <w:p w14:paraId="27E005A6" w14:textId="4BE6AC50" w:rsidR="00FF3FCA" w:rsidRPr="00EF66BB" w:rsidRDefault="00E0272F" w:rsidP="00141231">
      <w:pPr>
        <w:spacing w:line="360" w:lineRule="auto"/>
        <w:rPr>
          <w:rFonts w:ascii="Times New Roman" w:hAnsi="Times New Roman" w:cs="Times New Roman"/>
        </w:rPr>
      </w:pPr>
      <w:r w:rsidRPr="00EF66BB">
        <w:rPr>
          <w:rFonts w:ascii="Times New Roman" w:hAnsi="Times New Roman" w:cs="Times New Roman"/>
        </w:rPr>
        <w:t xml:space="preserve">One of the key strengths </w:t>
      </w:r>
      <w:r w:rsidR="006D1AF6" w:rsidRPr="00EF66BB">
        <w:rPr>
          <w:rFonts w:ascii="Times New Roman" w:hAnsi="Times New Roman" w:cs="Times New Roman"/>
        </w:rPr>
        <w:t xml:space="preserve">is that all UK </w:t>
      </w:r>
      <w:r w:rsidR="00CD3B59" w:rsidRPr="00EF66BB">
        <w:rPr>
          <w:rFonts w:ascii="Times New Roman" w:hAnsi="Times New Roman" w:cs="Times New Roman"/>
        </w:rPr>
        <w:t xml:space="preserve">HEIs </w:t>
      </w:r>
      <w:r w:rsidR="006D1AF6" w:rsidRPr="00EF66BB">
        <w:rPr>
          <w:rFonts w:ascii="Times New Roman" w:hAnsi="Times New Roman" w:cs="Times New Roman"/>
        </w:rPr>
        <w:t>are included in</w:t>
      </w:r>
      <w:r w:rsidRPr="00EF66BB">
        <w:rPr>
          <w:rFonts w:ascii="Times New Roman" w:hAnsi="Times New Roman" w:cs="Times New Roman"/>
        </w:rPr>
        <w:t xml:space="preserve"> the HE-BCI survey</w:t>
      </w:r>
      <w:r w:rsidR="006D1AF6" w:rsidRPr="00EF66BB">
        <w:rPr>
          <w:rFonts w:ascii="Times New Roman" w:hAnsi="Times New Roman" w:cs="Times New Roman"/>
        </w:rPr>
        <w:t>.</w:t>
      </w:r>
      <w:r w:rsidRPr="00EF66BB">
        <w:rPr>
          <w:rFonts w:ascii="Times New Roman" w:hAnsi="Times New Roman" w:cs="Times New Roman"/>
        </w:rPr>
        <w:t xml:space="preserve"> </w:t>
      </w:r>
      <w:r w:rsidR="006D1AF6" w:rsidRPr="00EF66BB">
        <w:rPr>
          <w:rFonts w:ascii="Times New Roman" w:hAnsi="Times New Roman" w:cs="Times New Roman"/>
        </w:rPr>
        <w:t>H</w:t>
      </w:r>
      <w:r w:rsidRPr="00EF66BB">
        <w:rPr>
          <w:rFonts w:ascii="Times New Roman" w:hAnsi="Times New Roman" w:cs="Times New Roman"/>
        </w:rPr>
        <w:t>owever</w:t>
      </w:r>
      <w:r w:rsidR="00CD3B59" w:rsidRPr="00EF66BB">
        <w:rPr>
          <w:rFonts w:ascii="Times New Roman" w:hAnsi="Times New Roman" w:cs="Times New Roman"/>
        </w:rPr>
        <w:t>,</w:t>
      </w:r>
      <w:r w:rsidRPr="00EF66BB">
        <w:rPr>
          <w:rFonts w:ascii="Times New Roman" w:hAnsi="Times New Roman" w:cs="Times New Roman"/>
        </w:rPr>
        <w:t xml:space="preserve"> it is not appropriate for us to consider all HEIs in our analysis, since some of institutions are not ‘universities’ </w:t>
      </w:r>
      <w:r w:rsidRPr="00EF66BB">
        <w:rPr>
          <w:rFonts w:ascii="Times New Roman" w:hAnsi="Times New Roman" w:cs="Times New Roman"/>
          <w:i/>
        </w:rPr>
        <w:t>per se</w:t>
      </w:r>
      <w:r w:rsidRPr="00EF66BB">
        <w:rPr>
          <w:rFonts w:ascii="Times New Roman" w:hAnsi="Times New Roman" w:cs="Times New Roman"/>
        </w:rPr>
        <w:t xml:space="preserve"> but colleges and specialist higher education providers (</w:t>
      </w:r>
      <w:proofErr w:type="spellStart"/>
      <w:r w:rsidRPr="00EF66BB">
        <w:rPr>
          <w:rFonts w:ascii="Times New Roman" w:hAnsi="Times New Roman" w:cs="Times New Roman"/>
        </w:rPr>
        <w:t>e.g</w:t>
      </w:r>
      <w:proofErr w:type="spellEnd"/>
      <w:r w:rsidRPr="00EF66BB">
        <w:rPr>
          <w:rFonts w:ascii="Times New Roman" w:hAnsi="Times New Roman" w:cs="Times New Roman"/>
        </w:rPr>
        <w:t xml:space="preserve"> the Royal Northern School of Music). Therefore, to ensure comparability across our sample, we selected </w:t>
      </w:r>
      <w:r w:rsidRPr="00EF66BB">
        <w:rPr>
          <w:rFonts w:ascii="Times New Roman" w:hAnsi="Times New Roman" w:cs="Times New Roman"/>
        </w:rPr>
        <w:lastRenderedPageBreak/>
        <w:t>those institutions for which a completed return was submitted that was recognised as a ranked university by according the Times Higher Education Rankings in 2014. Thus</w:t>
      </w:r>
      <w:r w:rsidR="00CD3B59" w:rsidRPr="00EF66BB">
        <w:rPr>
          <w:rFonts w:ascii="Times New Roman" w:hAnsi="Times New Roman" w:cs="Times New Roman"/>
        </w:rPr>
        <w:t xml:space="preserve">, the </w:t>
      </w:r>
      <w:r w:rsidRPr="00EF66BB">
        <w:rPr>
          <w:rFonts w:ascii="Times New Roman" w:hAnsi="Times New Roman" w:cs="Times New Roman"/>
        </w:rPr>
        <w:t xml:space="preserve">final analysis was based on data from 115 ranked UK universities  </w:t>
      </w:r>
    </w:p>
    <w:p w14:paraId="54B2E9B3" w14:textId="77777777" w:rsidR="00A1067C" w:rsidRPr="00EF66BB" w:rsidRDefault="00A1067C" w:rsidP="00141231">
      <w:pPr>
        <w:spacing w:line="360" w:lineRule="auto"/>
        <w:rPr>
          <w:rFonts w:ascii="Times New Roman" w:hAnsi="Times New Roman" w:cs="Times New Roman"/>
        </w:rPr>
      </w:pPr>
    </w:p>
    <w:p w14:paraId="7B490687" w14:textId="722C93AB" w:rsidR="00FF3FCA" w:rsidRPr="00EF66BB" w:rsidRDefault="003A343A" w:rsidP="00141231">
      <w:pPr>
        <w:pStyle w:val="Heading3"/>
        <w:spacing w:line="360" w:lineRule="auto"/>
        <w:rPr>
          <w:rFonts w:ascii="Times New Roman" w:hAnsi="Times New Roman" w:cs="Times New Roman"/>
        </w:rPr>
      </w:pPr>
      <w:r w:rsidRPr="00EF66BB">
        <w:rPr>
          <w:rFonts w:ascii="Times New Roman" w:hAnsi="Times New Roman" w:cs="Times New Roman"/>
        </w:rPr>
        <w:t xml:space="preserve">3.2 </w:t>
      </w:r>
      <w:r w:rsidR="00A1067C" w:rsidRPr="00EF66BB">
        <w:rPr>
          <w:rFonts w:ascii="Times New Roman" w:hAnsi="Times New Roman" w:cs="Times New Roman"/>
        </w:rPr>
        <w:t xml:space="preserve">Measures </w:t>
      </w:r>
    </w:p>
    <w:p w14:paraId="3BF5FFA8" w14:textId="1ACCDAF1" w:rsidR="008F29B6" w:rsidRPr="00EF66BB" w:rsidRDefault="008F29B6" w:rsidP="00141231">
      <w:pPr>
        <w:spacing w:line="360" w:lineRule="auto"/>
        <w:rPr>
          <w:rFonts w:ascii="Times New Roman" w:hAnsi="Times New Roman" w:cs="Times New Roman"/>
        </w:rPr>
      </w:pPr>
      <w:r w:rsidRPr="00EF66BB">
        <w:rPr>
          <w:rFonts w:ascii="Times New Roman" w:hAnsi="Times New Roman" w:cs="Times New Roman"/>
        </w:rPr>
        <w:t xml:space="preserve">Technology transfer effectiveness, our dependent variable, </w:t>
      </w:r>
      <w:r w:rsidR="009350D7">
        <w:rPr>
          <w:rFonts w:ascii="Times New Roman" w:hAnsi="Times New Roman" w:cs="Times New Roman"/>
        </w:rPr>
        <w:t>i</w:t>
      </w:r>
      <w:r w:rsidRPr="00EF66BB">
        <w:rPr>
          <w:rFonts w:ascii="Times New Roman" w:hAnsi="Times New Roman" w:cs="Times New Roman"/>
        </w:rPr>
        <w:t>s measured by three performance indicators: (1) total IP revenue</w:t>
      </w:r>
      <w:r w:rsidR="00CD3B59" w:rsidRPr="00EF66BB">
        <w:rPr>
          <w:rFonts w:ascii="Times New Roman" w:hAnsi="Times New Roman" w:cs="Times New Roman"/>
        </w:rPr>
        <w:t>;</w:t>
      </w:r>
      <w:r w:rsidRPr="00EF66BB">
        <w:rPr>
          <w:rFonts w:ascii="Times New Roman" w:hAnsi="Times New Roman" w:cs="Times New Roman"/>
        </w:rPr>
        <w:t xml:space="preserve"> (2) value from the sales of spin-off shares</w:t>
      </w:r>
      <w:r w:rsidR="00CD3B59" w:rsidRPr="00EF66BB">
        <w:rPr>
          <w:rFonts w:ascii="Times New Roman" w:hAnsi="Times New Roman" w:cs="Times New Roman"/>
        </w:rPr>
        <w:t>;</w:t>
      </w:r>
      <w:r w:rsidRPr="00EF66BB">
        <w:rPr>
          <w:rFonts w:ascii="Times New Roman" w:hAnsi="Times New Roman" w:cs="Times New Roman"/>
        </w:rPr>
        <w:t xml:space="preserve"> and (3) total value of research contract</w:t>
      </w:r>
      <w:r w:rsidR="00E31E9F">
        <w:rPr>
          <w:rFonts w:ascii="Times New Roman" w:hAnsi="Times New Roman" w:cs="Times New Roman"/>
        </w:rPr>
        <w:t>s</w:t>
      </w:r>
      <w:r w:rsidR="00A206D7">
        <w:rPr>
          <w:rFonts w:ascii="Times New Roman" w:hAnsi="Times New Roman" w:cs="Times New Roman"/>
        </w:rPr>
        <w:t xml:space="preserve">. </w:t>
      </w:r>
      <w:r w:rsidRPr="00EF66BB">
        <w:rPr>
          <w:rFonts w:ascii="Times New Roman" w:hAnsi="Times New Roman" w:cs="Times New Roman"/>
        </w:rPr>
        <w:t xml:space="preserve">These measures were taken from </w:t>
      </w:r>
      <w:r w:rsidR="00A1067C" w:rsidRPr="00EF66BB">
        <w:rPr>
          <w:rFonts w:ascii="Times New Roman" w:hAnsi="Times New Roman" w:cs="Times New Roman"/>
        </w:rPr>
        <w:t>2013</w:t>
      </w:r>
      <w:r w:rsidRPr="00EF66BB">
        <w:rPr>
          <w:rFonts w:ascii="Times New Roman" w:hAnsi="Times New Roman" w:cs="Times New Roman"/>
        </w:rPr>
        <w:t>/</w:t>
      </w:r>
      <w:r w:rsidR="00A1067C" w:rsidRPr="00EF66BB">
        <w:rPr>
          <w:rFonts w:ascii="Times New Roman" w:hAnsi="Times New Roman" w:cs="Times New Roman"/>
        </w:rPr>
        <w:t>14 annual returns</w:t>
      </w:r>
      <w:r w:rsidRPr="00EF66BB">
        <w:rPr>
          <w:rFonts w:ascii="Times New Roman" w:hAnsi="Times New Roman" w:cs="Times New Roman"/>
        </w:rPr>
        <w:t xml:space="preserve"> giving a </w:t>
      </w:r>
      <w:r w:rsidR="00CD3B59" w:rsidRPr="00EF66BB">
        <w:rPr>
          <w:rFonts w:ascii="Times New Roman" w:hAnsi="Times New Roman" w:cs="Times New Roman"/>
        </w:rPr>
        <w:t>three-year</w:t>
      </w:r>
      <w:r w:rsidRPr="00EF66BB">
        <w:rPr>
          <w:rFonts w:ascii="Times New Roman" w:hAnsi="Times New Roman" w:cs="Times New Roman"/>
        </w:rPr>
        <w:t xml:space="preserve"> time lag between the </w:t>
      </w:r>
      <w:r w:rsidR="00A1067C" w:rsidRPr="00EF66BB">
        <w:rPr>
          <w:rFonts w:ascii="Times New Roman" w:hAnsi="Times New Roman" w:cs="Times New Roman"/>
        </w:rPr>
        <w:t xml:space="preserve">mediator variable, </w:t>
      </w:r>
      <w:r w:rsidR="00A66AB9">
        <w:rPr>
          <w:rFonts w:ascii="Times New Roman" w:hAnsi="Times New Roman" w:cs="Times New Roman"/>
        </w:rPr>
        <w:t>‘</w:t>
      </w:r>
      <w:r w:rsidR="003B2BF7" w:rsidRPr="00EF66BB">
        <w:rPr>
          <w:rFonts w:ascii="Times New Roman" w:hAnsi="Times New Roman" w:cs="Times New Roman"/>
        </w:rPr>
        <w:t>University Strategic Priority</w:t>
      </w:r>
      <w:r w:rsidR="00A66AB9">
        <w:rPr>
          <w:rFonts w:ascii="Times New Roman" w:hAnsi="Times New Roman" w:cs="Times New Roman"/>
        </w:rPr>
        <w:t>’</w:t>
      </w:r>
      <w:r w:rsidR="00A1067C" w:rsidRPr="00EF66BB">
        <w:rPr>
          <w:rFonts w:ascii="Times New Roman" w:hAnsi="Times New Roman" w:cs="Times New Roman"/>
        </w:rPr>
        <w:t xml:space="preserve"> (taken from 2010/11 returns)  </w:t>
      </w:r>
      <w:r w:rsidRPr="00EF66BB">
        <w:rPr>
          <w:rFonts w:ascii="Times New Roman" w:hAnsi="Times New Roman" w:cs="Times New Roman"/>
        </w:rPr>
        <w:t xml:space="preserve">and the outcome variable and </w:t>
      </w:r>
      <w:r w:rsidR="00CD3B59" w:rsidRPr="00EF66BB">
        <w:rPr>
          <w:rFonts w:ascii="Times New Roman" w:hAnsi="Times New Roman" w:cs="Times New Roman"/>
        </w:rPr>
        <w:t xml:space="preserve">a five </w:t>
      </w:r>
      <w:r w:rsidRPr="00EF66BB">
        <w:rPr>
          <w:rFonts w:ascii="Times New Roman" w:hAnsi="Times New Roman" w:cs="Times New Roman"/>
        </w:rPr>
        <w:t xml:space="preserve">year time lag between the </w:t>
      </w:r>
      <w:r w:rsidR="00A7512E" w:rsidRPr="00EF66BB">
        <w:rPr>
          <w:rFonts w:ascii="Times New Roman" w:hAnsi="Times New Roman" w:cs="Times New Roman"/>
        </w:rPr>
        <w:t>exogenous</w:t>
      </w:r>
      <w:r w:rsidRPr="00EF66BB">
        <w:rPr>
          <w:rFonts w:ascii="Times New Roman" w:hAnsi="Times New Roman" w:cs="Times New Roman"/>
        </w:rPr>
        <w:t xml:space="preserve"> variable</w:t>
      </w:r>
      <w:r w:rsidR="00A1067C" w:rsidRPr="00EF66BB">
        <w:rPr>
          <w:rFonts w:ascii="Times New Roman" w:hAnsi="Times New Roman" w:cs="Times New Roman"/>
        </w:rPr>
        <w:t>s, T</w:t>
      </w:r>
      <w:r w:rsidR="00A7512E" w:rsidRPr="00EF66BB">
        <w:rPr>
          <w:rFonts w:ascii="Times New Roman" w:hAnsi="Times New Roman" w:cs="Times New Roman"/>
        </w:rPr>
        <w:t xml:space="preserve">echnology </w:t>
      </w:r>
      <w:r w:rsidR="00A1067C" w:rsidRPr="00EF66BB">
        <w:rPr>
          <w:rFonts w:ascii="Times New Roman" w:hAnsi="Times New Roman" w:cs="Times New Roman"/>
        </w:rPr>
        <w:t>T</w:t>
      </w:r>
      <w:r w:rsidR="00A7512E" w:rsidRPr="00EF66BB">
        <w:rPr>
          <w:rFonts w:ascii="Times New Roman" w:hAnsi="Times New Roman" w:cs="Times New Roman"/>
        </w:rPr>
        <w:t>ransfer</w:t>
      </w:r>
      <w:r w:rsidR="00A1067C" w:rsidRPr="00EF66BB">
        <w:rPr>
          <w:rFonts w:ascii="Times New Roman" w:hAnsi="Times New Roman" w:cs="Times New Roman"/>
        </w:rPr>
        <w:t xml:space="preserve"> Support and Incentives (taken from 2008/09 returns)</w:t>
      </w:r>
      <w:r w:rsidR="00A66AE8">
        <w:rPr>
          <w:rStyle w:val="FootnoteReference"/>
          <w:rFonts w:ascii="Times New Roman" w:hAnsi="Times New Roman" w:cs="Times New Roman"/>
        </w:rPr>
        <w:footnoteReference w:id="2"/>
      </w:r>
      <w:r w:rsidRPr="00EF66BB">
        <w:rPr>
          <w:rFonts w:ascii="Times New Roman" w:hAnsi="Times New Roman" w:cs="Times New Roman"/>
        </w:rPr>
        <w:t>.  Construct validity was established through exploratory factor analysis</w:t>
      </w:r>
      <w:r w:rsidR="009A5A88" w:rsidRPr="00EF66BB">
        <w:rPr>
          <w:rFonts w:ascii="Times New Roman" w:hAnsi="Times New Roman" w:cs="Times New Roman"/>
        </w:rPr>
        <w:t xml:space="preserve"> (EFA)</w:t>
      </w:r>
      <w:r w:rsidRPr="00EF66BB">
        <w:rPr>
          <w:rFonts w:ascii="Times New Roman" w:hAnsi="Times New Roman" w:cs="Times New Roman"/>
        </w:rPr>
        <w:t xml:space="preserve">, indicating that those three items formed a single factor, eigenvalue = 2.615 with 65.37% of variance explained. Factor loadings were 0.958, 0.937 and 0.849 respectively for the three measures. </w:t>
      </w:r>
    </w:p>
    <w:p w14:paraId="23F52ACB" w14:textId="77777777" w:rsidR="008F29B6" w:rsidRPr="00EF66BB" w:rsidRDefault="008F29B6" w:rsidP="00141231">
      <w:pPr>
        <w:spacing w:line="360" w:lineRule="auto"/>
        <w:rPr>
          <w:rFonts w:ascii="Times New Roman" w:hAnsi="Times New Roman" w:cs="Times New Roman"/>
        </w:rPr>
      </w:pPr>
    </w:p>
    <w:p w14:paraId="675D9184" w14:textId="3FDDB1C5" w:rsidR="008F29B6" w:rsidRPr="00EF66BB" w:rsidRDefault="008F29B6" w:rsidP="00141231">
      <w:pPr>
        <w:autoSpaceDE w:val="0"/>
        <w:autoSpaceDN w:val="0"/>
        <w:adjustRightInd w:val="0"/>
        <w:spacing w:line="360" w:lineRule="auto"/>
        <w:rPr>
          <w:rFonts w:ascii="Times New Roman" w:hAnsi="Times New Roman" w:cs="Times New Roman"/>
          <w:bCs/>
        </w:rPr>
      </w:pPr>
      <w:r w:rsidRPr="00EF66BB">
        <w:rPr>
          <w:rFonts w:ascii="Times New Roman" w:hAnsi="Times New Roman" w:cs="Times New Roman"/>
          <w:bCs/>
        </w:rPr>
        <w:t>We used two exogenous variables relate</w:t>
      </w:r>
      <w:r w:rsidR="009350D7">
        <w:rPr>
          <w:rFonts w:ascii="Times New Roman" w:hAnsi="Times New Roman" w:cs="Times New Roman"/>
          <w:bCs/>
        </w:rPr>
        <w:t>d</w:t>
      </w:r>
      <w:r w:rsidRPr="00EF66BB">
        <w:rPr>
          <w:rFonts w:ascii="Times New Roman" w:hAnsi="Times New Roman" w:cs="Times New Roman"/>
          <w:bCs/>
        </w:rPr>
        <w:t xml:space="preserve"> to the commitment </w:t>
      </w:r>
      <w:r w:rsidR="00FA6E74" w:rsidRPr="00EF66BB">
        <w:rPr>
          <w:rFonts w:ascii="Times New Roman" w:hAnsi="Times New Roman" w:cs="Times New Roman"/>
          <w:bCs/>
        </w:rPr>
        <w:t xml:space="preserve">that </w:t>
      </w:r>
      <w:r w:rsidRPr="00EF66BB">
        <w:rPr>
          <w:rFonts w:ascii="Times New Roman" w:hAnsi="Times New Roman" w:cs="Times New Roman"/>
          <w:bCs/>
        </w:rPr>
        <w:t xml:space="preserve">each university makes in terms of realising </w:t>
      </w:r>
      <w:r w:rsidR="009350D7">
        <w:rPr>
          <w:rFonts w:ascii="Times New Roman" w:hAnsi="Times New Roman" w:cs="Times New Roman"/>
          <w:bCs/>
        </w:rPr>
        <w:t>their</w:t>
      </w:r>
      <w:r w:rsidRPr="00EF66BB">
        <w:rPr>
          <w:rFonts w:ascii="Times New Roman" w:hAnsi="Times New Roman" w:cs="Times New Roman"/>
          <w:bCs/>
        </w:rPr>
        <w:t xml:space="preserve"> strategic aims in relation</w:t>
      </w:r>
      <w:r w:rsidR="00DE16C0">
        <w:rPr>
          <w:rFonts w:ascii="Times New Roman" w:hAnsi="Times New Roman" w:cs="Times New Roman"/>
          <w:bCs/>
        </w:rPr>
        <w:t xml:space="preserve"> </w:t>
      </w:r>
      <w:r w:rsidRPr="00EF66BB">
        <w:rPr>
          <w:rFonts w:ascii="Times New Roman" w:hAnsi="Times New Roman" w:cs="Times New Roman"/>
          <w:bCs/>
        </w:rPr>
        <w:t xml:space="preserve">to technology transfer. The first of these variables is referred to as </w:t>
      </w:r>
      <w:r w:rsidR="004D0066" w:rsidRPr="00EF66BB">
        <w:rPr>
          <w:rFonts w:ascii="Times New Roman" w:hAnsi="Times New Roman" w:cs="Times New Roman"/>
          <w:bCs/>
        </w:rPr>
        <w:t>TT Support</w:t>
      </w:r>
      <w:r w:rsidRPr="00EF66BB">
        <w:rPr>
          <w:rFonts w:ascii="Times New Roman" w:hAnsi="Times New Roman" w:cs="Times New Roman"/>
          <w:bCs/>
        </w:rPr>
        <w:t xml:space="preserve"> and</w:t>
      </w:r>
      <w:r w:rsidR="009350D7">
        <w:rPr>
          <w:rFonts w:ascii="Times New Roman" w:hAnsi="Times New Roman" w:cs="Times New Roman"/>
          <w:bCs/>
        </w:rPr>
        <w:t xml:space="preserve"> is</w:t>
      </w:r>
      <w:r w:rsidRPr="00EF66BB">
        <w:rPr>
          <w:rFonts w:ascii="Times New Roman" w:hAnsi="Times New Roman" w:cs="Times New Roman"/>
          <w:bCs/>
        </w:rPr>
        <w:t xml:space="preserve"> measured through the number of commercial engagement staff employed by the TTO. Second, in the 2009 questionnaire, </w:t>
      </w:r>
      <w:r w:rsidRPr="00EF66BB">
        <w:rPr>
          <w:rFonts w:ascii="Times New Roman" w:hAnsi="Times New Roman" w:cs="Times New Roman"/>
        </w:rPr>
        <w:t xml:space="preserve">HEIs rate the level of incentives for staff to engage with external partners, assessing themselves against a five-point scale where ‘1’ represents barriers outweighing incentives and ‘5’ suggests strong incentives in place. </w:t>
      </w:r>
      <w:r w:rsidR="00FA6E74" w:rsidRPr="00EF66BB">
        <w:rPr>
          <w:rFonts w:ascii="Times New Roman" w:hAnsi="Times New Roman" w:cs="Times New Roman"/>
        </w:rPr>
        <w:t>Incentivising</w:t>
      </w:r>
      <w:r w:rsidRPr="00EF66BB">
        <w:rPr>
          <w:rFonts w:ascii="Times New Roman" w:hAnsi="Times New Roman" w:cs="Times New Roman"/>
        </w:rPr>
        <w:t xml:space="preserve"> is therefore </w:t>
      </w:r>
      <w:r w:rsidRPr="00EF66BB">
        <w:rPr>
          <w:rFonts w:ascii="Times New Roman" w:hAnsi="Times New Roman" w:cs="Times New Roman"/>
          <w:bCs/>
        </w:rPr>
        <w:t xml:space="preserve">a measure of the perceived level of commitment demonstrated through </w:t>
      </w:r>
      <w:r w:rsidR="00FA6E74" w:rsidRPr="00EF66BB">
        <w:rPr>
          <w:rFonts w:ascii="Times New Roman" w:hAnsi="Times New Roman" w:cs="Times New Roman"/>
          <w:bCs/>
        </w:rPr>
        <w:t xml:space="preserve">the </w:t>
      </w:r>
      <w:r w:rsidRPr="00EF66BB">
        <w:rPr>
          <w:rFonts w:ascii="Times New Roman" w:hAnsi="Times New Roman" w:cs="Times New Roman"/>
          <w:bCs/>
        </w:rPr>
        <w:t>offering of incentives for staff</w:t>
      </w:r>
      <w:r w:rsidR="00FA6E74" w:rsidRPr="00EF66BB">
        <w:rPr>
          <w:rFonts w:ascii="Times New Roman" w:hAnsi="Times New Roman" w:cs="Times New Roman"/>
          <w:bCs/>
        </w:rPr>
        <w:t xml:space="preserve">; </w:t>
      </w:r>
      <w:r w:rsidRPr="00EF66BB">
        <w:rPr>
          <w:rFonts w:ascii="Times New Roman" w:hAnsi="Times New Roman" w:cs="Times New Roman"/>
          <w:bCs/>
        </w:rPr>
        <w:t>higher scores indicat</w:t>
      </w:r>
      <w:r w:rsidR="00FA6E74" w:rsidRPr="00EF66BB">
        <w:rPr>
          <w:rFonts w:ascii="Times New Roman" w:hAnsi="Times New Roman" w:cs="Times New Roman"/>
          <w:bCs/>
        </w:rPr>
        <w:t>e</w:t>
      </w:r>
      <w:r w:rsidRPr="00EF66BB">
        <w:rPr>
          <w:rFonts w:ascii="Times New Roman" w:hAnsi="Times New Roman" w:cs="Times New Roman"/>
          <w:bCs/>
        </w:rPr>
        <w:t xml:space="preserve"> stronger commitment.  </w:t>
      </w:r>
    </w:p>
    <w:p w14:paraId="23DA573D" w14:textId="77777777" w:rsidR="008F29B6" w:rsidRPr="00EF66BB" w:rsidRDefault="008F29B6" w:rsidP="00141231">
      <w:pPr>
        <w:autoSpaceDE w:val="0"/>
        <w:autoSpaceDN w:val="0"/>
        <w:adjustRightInd w:val="0"/>
        <w:spacing w:line="360" w:lineRule="auto"/>
        <w:rPr>
          <w:rFonts w:ascii="Times New Roman" w:hAnsi="Times New Roman" w:cs="Times New Roman"/>
          <w:bCs/>
        </w:rPr>
      </w:pPr>
    </w:p>
    <w:p w14:paraId="0BA46BB8" w14:textId="7427307C" w:rsidR="008F29B6" w:rsidRPr="00EF66BB" w:rsidRDefault="008F29B6" w:rsidP="00141231">
      <w:pPr>
        <w:autoSpaceDE w:val="0"/>
        <w:autoSpaceDN w:val="0"/>
        <w:adjustRightInd w:val="0"/>
        <w:spacing w:line="360" w:lineRule="auto"/>
        <w:rPr>
          <w:rFonts w:ascii="Times New Roman" w:hAnsi="Times New Roman" w:cs="Times New Roman"/>
        </w:rPr>
      </w:pPr>
      <w:r w:rsidRPr="00EF66BB">
        <w:rPr>
          <w:rFonts w:ascii="Times New Roman" w:hAnsi="Times New Roman" w:cs="Times New Roman"/>
          <w:bCs/>
        </w:rPr>
        <w:t xml:space="preserve">The main mediation explanatory variable of interest is </w:t>
      </w:r>
      <w:r w:rsidR="0030131C" w:rsidRPr="00EF66BB">
        <w:rPr>
          <w:rFonts w:ascii="Times New Roman" w:hAnsi="Times New Roman" w:cs="Times New Roman"/>
          <w:bCs/>
        </w:rPr>
        <w:t xml:space="preserve">Technology Transfer </w:t>
      </w:r>
      <w:r w:rsidR="004F58F9">
        <w:rPr>
          <w:rFonts w:ascii="Times New Roman" w:hAnsi="Times New Roman" w:cs="Times New Roman"/>
          <w:bCs/>
        </w:rPr>
        <w:t>Priority</w:t>
      </w:r>
      <w:r w:rsidR="0030131C" w:rsidRPr="00EF66BB">
        <w:rPr>
          <w:rFonts w:ascii="Times New Roman" w:hAnsi="Times New Roman" w:cs="Times New Roman"/>
          <w:bCs/>
        </w:rPr>
        <w:t xml:space="preserve"> </w:t>
      </w:r>
      <w:r w:rsidR="00A1067C" w:rsidRPr="00EF66BB">
        <w:rPr>
          <w:rFonts w:ascii="Times New Roman" w:hAnsi="Times New Roman" w:cs="Times New Roman"/>
          <w:bCs/>
        </w:rPr>
        <w:t xml:space="preserve">(TT </w:t>
      </w:r>
      <w:r w:rsidR="004F58F9">
        <w:rPr>
          <w:rFonts w:ascii="Times New Roman" w:hAnsi="Times New Roman" w:cs="Times New Roman"/>
          <w:bCs/>
        </w:rPr>
        <w:t>P</w:t>
      </w:r>
      <w:r w:rsidR="0030131C" w:rsidRPr="00EF66BB">
        <w:rPr>
          <w:rFonts w:ascii="Times New Roman" w:hAnsi="Times New Roman" w:cs="Times New Roman"/>
          <w:bCs/>
        </w:rPr>
        <w:t>riority</w:t>
      </w:r>
      <w:r w:rsidR="00A1067C" w:rsidRPr="00EF66BB">
        <w:rPr>
          <w:rFonts w:ascii="Times New Roman" w:hAnsi="Times New Roman" w:cs="Times New Roman"/>
          <w:bCs/>
        </w:rPr>
        <w:t>)</w:t>
      </w:r>
      <w:r w:rsidRPr="00EF66BB">
        <w:rPr>
          <w:rFonts w:ascii="Times New Roman" w:hAnsi="Times New Roman" w:cs="Times New Roman"/>
          <w:bCs/>
        </w:rPr>
        <w:t>. In the HE-BCI survey, all respondents were asked to rate</w:t>
      </w:r>
      <w:r w:rsidR="00FA6E74" w:rsidRPr="00EF66BB">
        <w:rPr>
          <w:rFonts w:ascii="Times New Roman" w:hAnsi="Times New Roman" w:cs="Times New Roman"/>
          <w:bCs/>
        </w:rPr>
        <w:t>,</w:t>
      </w:r>
      <w:r w:rsidRPr="00EF66BB">
        <w:rPr>
          <w:rFonts w:ascii="Times New Roman" w:hAnsi="Times New Roman" w:cs="Times New Roman"/>
          <w:bCs/>
        </w:rPr>
        <w:t xml:space="preserve"> </w:t>
      </w:r>
      <w:r w:rsidR="00A02C96">
        <w:rPr>
          <w:rFonts w:ascii="Times New Roman" w:hAnsi="Times New Roman" w:cs="Times New Roman"/>
          <w:bCs/>
        </w:rPr>
        <w:t>on</w:t>
      </w:r>
      <w:r w:rsidRPr="00EF66BB">
        <w:rPr>
          <w:rFonts w:ascii="Times New Roman" w:hAnsi="Times New Roman" w:cs="Times New Roman"/>
          <w:bCs/>
        </w:rPr>
        <w:t xml:space="preserve"> a dichotomous scale</w:t>
      </w:r>
      <w:r w:rsidR="00FA6E74" w:rsidRPr="00EF66BB">
        <w:rPr>
          <w:rFonts w:ascii="Times New Roman" w:hAnsi="Times New Roman" w:cs="Times New Roman"/>
          <w:bCs/>
        </w:rPr>
        <w:t>,</w:t>
      </w:r>
      <w:r w:rsidRPr="00EF66BB">
        <w:rPr>
          <w:rFonts w:ascii="Times New Roman" w:hAnsi="Times New Roman" w:cs="Times New Roman"/>
          <w:bCs/>
        </w:rPr>
        <w:t xml:space="preserve"> three </w:t>
      </w:r>
      <w:r w:rsidR="00FA6E74" w:rsidRPr="00EF66BB">
        <w:rPr>
          <w:rFonts w:ascii="Times New Roman" w:hAnsi="Times New Roman" w:cs="Times New Roman"/>
          <w:bCs/>
        </w:rPr>
        <w:t xml:space="preserve">strategic priority areas from a list of </w:t>
      </w:r>
      <w:r w:rsidRPr="00EF66BB">
        <w:rPr>
          <w:rFonts w:ascii="Times New Roman" w:hAnsi="Times New Roman" w:cs="Times New Roman"/>
          <w:bCs/>
        </w:rPr>
        <w:t>thirteen, which the respective university regard</w:t>
      </w:r>
      <w:r w:rsidR="00FA6E74" w:rsidRPr="00EF66BB">
        <w:rPr>
          <w:rFonts w:ascii="Times New Roman" w:hAnsi="Times New Roman" w:cs="Times New Roman"/>
          <w:bCs/>
        </w:rPr>
        <w:t>s</w:t>
      </w:r>
      <w:r w:rsidRPr="00EF66BB">
        <w:rPr>
          <w:rFonts w:ascii="Times New Roman" w:hAnsi="Times New Roman" w:cs="Times New Roman"/>
          <w:bCs/>
        </w:rPr>
        <w:t xml:space="preserve"> as important for their competitive position in the market. </w:t>
      </w:r>
      <w:r w:rsidR="0094226B" w:rsidRPr="00EF66BB">
        <w:rPr>
          <w:rFonts w:ascii="Times New Roman" w:hAnsi="Times New Roman" w:cs="Times New Roman"/>
        </w:rPr>
        <w:t>TT</w:t>
      </w:r>
      <w:r w:rsidRPr="00EF66BB">
        <w:rPr>
          <w:rFonts w:ascii="Times New Roman" w:hAnsi="Times New Roman" w:cs="Times New Roman"/>
        </w:rPr>
        <w:t xml:space="preserve"> </w:t>
      </w:r>
      <w:r w:rsidR="00C93899">
        <w:rPr>
          <w:rFonts w:ascii="Times New Roman" w:hAnsi="Times New Roman" w:cs="Times New Roman"/>
        </w:rPr>
        <w:t>strategic priority</w:t>
      </w:r>
      <w:r w:rsidRPr="00EF66BB">
        <w:rPr>
          <w:rFonts w:ascii="Times New Roman" w:hAnsi="Times New Roman" w:cs="Times New Roman"/>
        </w:rPr>
        <w:t xml:space="preserve"> in this study was defined as an array of prioritised areas that facilitate </w:t>
      </w:r>
      <w:r w:rsidR="00FA6E74" w:rsidRPr="00EF66BB">
        <w:rPr>
          <w:rFonts w:ascii="Times New Roman" w:hAnsi="Times New Roman" w:cs="Times New Roman"/>
        </w:rPr>
        <w:t xml:space="preserve">the </w:t>
      </w:r>
      <w:r w:rsidRPr="00EF66BB">
        <w:rPr>
          <w:rFonts w:ascii="Times New Roman" w:hAnsi="Times New Roman" w:cs="Times New Roman"/>
        </w:rPr>
        <w:t>effective transfer of technology in HEIs course of action</w:t>
      </w:r>
      <w:r w:rsidR="00FA6E74" w:rsidRPr="00EF66BB">
        <w:rPr>
          <w:rFonts w:ascii="Times New Roman" w:hAnsi="Times New Roman" w:cs="Times New Roman"/>
        </w:rPr>
        <w:t>.</w:t>
      </w:r>
      <w:r w:rsidRPr="00EF66BB">
        <w:rPr>
          <w:rFonts w:ascii="Times New Roman" w:hAnsi="Times New Roman" w:cs="Times New Roman"/>
        </w:rPr>
        <w:t xml:space="preserve"> In this respect, strategies to attract and retain students</w:t>
      </w:r>
      <w:r w:rsidR="00FA6E74" w:rsidRPr="00EF66BB">
        <w:rPr>
          <w:rFonts w:ascii="Times New Roman" w:hAnsi="Times New Roman" w:cs="Times New Roman"/>
        </w:rPr>
        <w:t>;</w:t>
      </w:r>
      <w:r w:rsidRPr="00EF66BB">
        <w:rPr>
          <w:rFonts w:ascii="Times New Roman" w:hAnsi="Times New Roman" w:cs="Times New Roman"/>
        </w:rPr>
        <w:t xml:space="preserve"> supporting </w:t>
      </w:r>
      <w:r w:rsidRPr="00EF66BB">
        <w:rPr>
          <w:rFonts w:ascii="Times New Roman" w:hAnsi="Times New Roman" w:cs="Times New Roman"/>
        </w:rPr>
        <w:lastRenderedPageBreak/>
        <w:t>community development including meeting regional and national skill level</w:t>
      </w:r>
      <w:r w:rsidR="00FA6E74" w:rsidRPr="00EF66BB">
        <w:rPr>
          <w:rFonts w:ascii="Times New Roman" w:hAnsi="Times New Roman" w:cs="Times New Roman"/>
        </w:rPr>
        <w:t xml:space="preserve">s; </w:t>
      </w:r>
      <w:r w:rsidRPr="00EF66BB">
        <w:rPr>
          <w:rFonts w:ascii="Times New Roman" w:hAnsi="Times New Roman" w:cs="Times New Roman"/>
        </w:rPr>
        <w:t>and attract</w:t>
      </w:r>
      <w:r w:rsidR="00FA6E74" w:rsidRPr="00EF66BB">
        <w:rPr>
          <w:rFonts w:ascii="Times New Roman" w:hAnsi="Times New Roman" w:cs="Times New Roman"/>
        </w:rPr>
        <w:t>ing</w:t>
      </w:r>
      <w:r w:rsidRPr="00EF66BB">
        <w:rPr>
          <w:rFonts w:ascii="Times New Roman" w:hAnsi="Times New Roman" w:cs="Times New Roman"/>
        </w:rPr>
        <w:t xml:space="preserve"> investments were not included </w:t>
      </w:r>
      <w:r w:rsidR="00FA6E74" w:rsidRPr="00EF66BB">
        <w:rPr>
          <w:rFonts w:ascii="Times New Roman" w:hAnsi="Times New Roman" w:cs="Times New Roman"/>
        </w:rPr>
        <w:t xml:space="preserve">within </w:t>
      </w:r>
      <w:r w:rsidRPr="00EF66BB">
        <w:rPr>
          <w:rFonts w:ascii="Times New Roman" w:hAnsi="Times New Roman" w:cs="Times New Roman"/>
        </w:rPr>
        <w:t xml:space="preserve">the boundary of </w:t>
      </w:r>
      <w:r w:rsidR="00FA6E74" w:rsidRPr="00EF66BB">
        <w:rPr>
          <w:rFonts w:ascii="Times New Roman" w:hAnsi="Times New Roman" w:cs="Times New Roman"/>
        </w:rPr>
        <w:t>T</w:t>
      </w:r>
      <w:r w:rsidRPr="00EF66BB">
        <w:rPr>
          <w:rFonts w:ascii="Times New Roman" w:hAnsi="Times New Roman" w:cs="Times New Roman"/>
        </w:rPr>
        <w:t xml:space="preserve">echnology </w:t>
      </w:r>
      <w:r w:rsidR="00FA6E74" w:rsidRPr="00EF66BB">
        <w:rPr>
          <w:rFonts w:ascii="Times New Roman" w:hAnsi="Times New Roman" w:cs="Times New Roman"/>
        </w:rPr>
        <w:t>T</w:t>
      </w:r>
      <w:r w:rsidRPr="00EF66BB">
        <w:rPr>
          <w:rFonts w:ascii="Times New Roman" w:hAnsi="Times New Roman" w:cs="Times New Roman"/>
        </w:rPr>
        <w:t>ransfer in this study. Furthermore, ‘support SMEs’ was excluded from the scope of technology transfer becaus</w:t>
      </w:r>
      <w:r w:rsidR="00311E6D" w:rsidRPr="00EF66BB">
        <w:rPr>
          <w:rFonts w:ascii="Times New Roman" w:hAnsi="Times New Roman" w:cs="Times New Roman"/>
        </w:rPr>
        <w:t>e this relates principally to training and CPD rather than IP-based exchanges</w:t>
      </w:r>
      <w:r w:rsidRPr="00EF66BB">
        <w:rPr>
          <w:rFonts w:ascii="Times New Roman" w:hAnsi="Times New Roman" w:cs="Times New Roman"/>
        </w:rPr>
        <w:t xml:space="preserve">. This left us with three indicators </w:t>
      </w:r>
      <w:r w:rsidRPr="00EF66BB">
        <w:rPr>
          <w:rFonts w:ascii="Times New Roman" w:hAnsi="Times New Roman" w:cs="Times New Roman"/>
          <w:bCs/>
        </w:rPr>
        <w:t xml:space="preserve">from the 2011/12 survey </w:t>
      </w:r>
      <w:r w:rsidRPr="00EF66BB">
        <w:rPr>
          <w:rFonts w:ascii="Times New Roman" w:hAnsi="Times New Roman" w:cs="Times New Roman"/>
        </w:rPr>
        <w:t>to consider: ‘technology transfer’</w:t>
      </w:r>
      <w:r w:rsidR="000246A7" w:rsidRPr="00EF66BB">
        <w:rPr>
          <w:rFonts w:ascii="Times New Roman" w:hAnsi="Times New Roman" w:cs="Times New Roman"/>
        </w:rPr>
        <w:t>;</w:t>
      </w:r>
      <w:r w:rsidRPr="00EF66BB">
        <w:rPr>
          <w:rFonts w:ascii="Times New Roman" w:hAnsi="Times New Roman" w:cs="Times New Roman"/>
        </w:rPr>
        <w:t xml:space="preserve"> ‘research collaboration with industry’</w:t>
      </w:r>
      <w:r w:rsidR="000246A7" w:rsidRPr="00EF66BB">
        <w:rPr>
          <w:rFonts w:ascii="Times New Roman" w:hAnsi="Times New Roman" w:cs="Times New Roman"/>
        </w:rPr>
        <w:t>;</w:t>
      </w:r>
      <w:r w:rsidRPr="00EF66BB">
        <w:rPr>
          <w:rFonts w:ascii="Times New Roman" w:hAnsi="Times New Roman" w:cs="Times New Roman"/>
        </w:rPr>
        <w:t xml:space="preserve"> and ‘establish spin-offs’</w:t>
      </w:r>
      <w:r w:rsidR="002A3BBA" w:rsidRPr="00EF66BB">
        <w:rPr>
          <w:rFonts w:ascii="Times New Roman" w:hAnsi="Times New Roman" w:cs="Times New Roman"/>
        </w:rPr>
        <w:t>;</w:t>
      </w:r>
      <w:r w:rsidRPr="00EF66BB">
        <w:rPr>
          <w:rFonts w:ascii="Times New Roman" w:hAnsi="Times New Roman" w:cs="Times New Roman"/>
        </w:rPr>
        <w:t xml:space="preserve"> all </w:t>
      </w:r>
      <w:r w:rsidR="002A3BBA" w:rsidRPr="00EF66BB">
        <w:rPr>
          <w:rFonts w:ascii="Times New Roman" w:hAnsi="Times New Roman" w:cs="Times New Roman"/>
        </w:rPr>
        <w:t xml:space="preserve">are </w:t>
      </w:r>
      <w:r w:rsidRPr="00EF66BB">
        <w:rPr>
          <w:rFonts w:ascii="Times New Roman" w:hAnsi="Times New Roman" w:cs="Times New Roman"/>
          <w:bCs/>
        </w:rPr>
        <w:t xml:space="preserve">dichotomous measures where 1= is a strategy priority; 0= not a priority. </w:t>
      </w:r>
      <w:r w:rsidRPr="00EF66BB">
        <w:rPr>
          <w:rFonts w:ascii="Times New Roman" w:hAnsi="Times New Roman" w:cs="Times New Roman"/>
        </w:rPr>
        <w:t>A fourth dichotomous variable was created using the item ‘importance of commercial partners’</w:t>
      </w:r>
      <w:r w:rsidR="002A3BBA" w:rsidRPr="00EF66BB">
        <w:rPr>
          <w:rFonts w:ascii="Times New Roman" w:hAnsi="Times New Roman" w:cs="Times New Roman"/>
        </w:rPr>
        <w:t>;</w:t>
      </w:r>
      <w:r w:rsidRPr="00EF66BB">
        <w:rPr>
          <w:rFonts w:ascii="Times New Roman" w:hAnsi="Times New Roman" w:cs="Times New Roman"/>
        </w:rPr>
        <w:t xml:space="preserve"> </w:t>
      </w:r>
      <w:r w:rsidR="002A3BBA" w:rsidRPr="00EF66BB">
        <w:rPr>
          <w:rFonts w:ascii="Times New Roman" w:hAnsi="Times New Roman" w:cs="Times New Roman"/>
        </w:rPr>
        <w:t xml:space="preserve">this has </w:t>
      </w:r>
      <w:r w:rsidRPr="00EF66BB">
        <w:rPr>
          <w:rFonts w:ascii="Times New Roman" w:hAnsi="Times New Roman" w:cs="Times New Roman"/>
        </w:rPr>
        <w:t xml:space="preserve">a </w:t>
      </w:r>
      <w:r w:rsidR="00A02C96">
        <w:rPr>
          <w:rFonts w:ascii="Times New Roman" w:hAnsi="Times New Roman" w:cs="Times New Roman"/>
        </w:rPr>
        <w:t>four-</w:t>
      </w:r>
      <w:r w:rsidRPr="00EF66BB">
        <w:rPr>
          <w:rFonts w:ascii="Times New Roman" w:hAnsi="Times New Roman" w:cs="Times New Roman"/>
        </w:rPr>
        <w:t>scale measure where 1</w:t>
      </w:r>
      <w:r w:rsidR="002A3BBA" w:rsidRPr="00EF66BB">
        <w:rPr>
          <w:rFonts w:ascii="Times New Roman" w:hAnsi="Times New Roman" w:cs="Times New Roman"/>
        </w:rPr>
        <w:t>=</w:t>
      </w:r>
      <w:r w:rsidRPr="00EF66BB">
        <w:rPr>
          <w:rFonts w:ascii="Times New Roman" w:hAnsi="Times New Roman" w:cs="Times New Roman"/>
        </w:rPr>
        <w:t xml:space="preserve"> highest priority and 4</w:t>
      </w:r>
      <w:r w:rsidR="002A3BBA" w:rsidRPr="00EF66BB">
        <w:rPr>
          <w:rFonts w:ascii="Times New Roman" w:hAnsi="Times New Roman" w:cs="Times New Roman"/>
        </w:rPr>
        <w:t>=</w:t>
      </w:r>
      <w:r w:rsidRPr="00EF66BB">
        <w:rPr>
          <w:rFonts w:ascii="Times New Roman" w:hAnsi="Times New Roman" w:cs="Times New Roman"/>
        </w:rPr>
        <w:t xml:space="preserve"> lowest priority. </w:t>
      </w:r>
      <w:r w:rsidR="00D528B0" w:rsidRPr="00EF66BB">
        <w:rPr>
          <w:rFonts w:ascii="Times New Roman" w:hAnsi="Times New Roman" w:cs="Times New Roman"/>
        </w:rPr>
        <w:t xml:space="preserve">For </w:t>
      </w:r>
      <w:proofErr w:type="spellStart"/>
      <w:r w:rsidRPr="00EF66BB">
        <w:rPr>
          <w:rFonts w:ascii="Times New Roman" w:hAnsi="Times New Roman" w:cs="Times New Roman"/>
        </w:rPr>
        <w:t>unidimensionality</w:t>
      </w:r>
      <w:proofErr w:type="spellEnd"/>
      <w:r w:rsidR="00D528B0" w:rsidRPr="00EF66BB">
        <w:rPr>
          <w:rFonts w:ascii="Times New Roman" w:hAnsi="Times New Roman" w:cs="Times New Roman"/>
        </w:rPr>
        <w:t xml:space="preserve">, after </w:t>
      </w:r>
      <w:r w:rsidR="009A5A88" w:rsidRPr="00EF66BB">
        <w:rPr>
          <w:rFonts w:ascii="Times New Roman" w:hAnsi="Times New Roman" w:cs="Times New Roman"/>
        </w:rPr>
        <w:t>EFA</w:t>
      </w:r>
      <w:r w:rsidR="00D528B0" w:rsidRPr="00EF66BB">
        <w:rPr>
          <w:rFonts w:ascii="Times New Roman" w:hAnsi="Times New Roman" w:cs="Times New Roman"/>
        </w:rPr>
        <w:t xml:space="preserve">, the item ‘research collaboration with industry’ was dropped leaving </w:t>
      </w:r>
      <w:r w:rsidR="00A02C96">
        <w:rPr>
          <w:rFonts w:ascii="Times New Roman" w:hAnsi="Times New Roman" w:cs="Times New Roman"/>
        </w:rPr>
        <w:t>three</w:t>
      </w:r>
      <w:r w:rsidR="00D528B0" w:rsidRPr="00EF66BB">
        <w:rPr>
          <w:rFonts w:ascii="Times New Roman" w:hAnsi="Times New Roman" w:cs="Times New Roman"/>
        </w:rPr>
        <w:t xml:space="preserve"> items with factor loadings 0.875, 0771 and 0.699 explaining 51.6% variance to represent TT strategy latent variable in CFA and SEM analysis.   </w:t>
      </w:r>
    </w:p>
    <w:p w14:paraId="6A6E97A0" w14:textId="77777777" w:rsidR="008F29B6" w:rsidRPr="00EF66BB" w:rsidRDefault="008F29B6" w:rsidP="00141231">
      <w:pPr>
        <w:autoSpaceDE w:val="0"/>
        <w:autoSpaceDN w:val="0"/>
        <w:adjustRightInd w:val="0"/>
        <w:spacing w:line="360" w:lineRule="auto"/>
        <w:rPr>
          <w:rFonts w:ascii="Times New Roman" w:hAnsi="Times New Roman" w:cs="Times New Roman"/>
          <w:bCs/>
        </w:rPr>
      </w:pPr>
    </w:p>
    <w:p w14:paraId="3DC52180" w14:textId="21180C08" w:rsidR="008F29B6" w:rsidRPr="00EF66BB" w:rsidRDefault="008F29B6" w:rsidP="00141231">
      <w:pPr>
        <w:autoSpaceDE w:val="0"/>
        <w:autoSpaceDN w:val="0"/>
        <w:adjustRightInd w:val="0"/>
        <w:spacing w:line="360" w:lineRule="auto"/>
        <w:rPr>
          <w:rFonts w:ascii="Times New Roman" w:hAnsi="Times New Roman" w:cs="Times New Roman"/>
        </w:rPr>
      </w:pPr>
      <w:r w:rsidRPr="00EF66BB">
        <w:rPr>
          <w:rFonts w:ascii="Times New Roman" w:hAnsi="Times New Roman" w:cs="Times New Roman"/>
        </w:rPr>
        <w:t xml:space="preserve">Our </w:t>
      </w:r>
      <w:r w:rsidR="00C93899">
        <w:rPr>
          <w:rFonts w:ascii="Times New Roman" w:hAnsi="Times New Roman" w:cs="Times New Roman"/>
        </w:rPr>
        <w:t xml:space="preserve">operationalisation </w:t>
      </w:r>
      <w:r w:rsidRPr="00EF66BB">
        <w:rPr>
          <w:rFonts w:ascii="Times New Roman" w:hAnsi="Times New Roman" w:cs="Times New Roman"/>
        </w:rPr>
        <w:t xml:space="preserve">of </w:t>
      </w:r>
      <w:r w:rsidR="00EE11BA">
        <w:rPr>
          <w:rFonts w:ascii="Times New Roman" w:hAnsi="Times New Roman" w:cs="Times New Roman"/>
        </w:rPr>
        <w:t>Breadth</w:t>
      </w:r>
      <w:r w:rsidR="00EE11BA" w:rsidRPr="00EF66BB">
        <w:rPr>
          <w:rFonts w:ascii="Times New Roman" w:hAnsi="Times New Roman" w:cs="Times New Roman"/>
        </w:rPr>
        <w:t xml:space="preserve"> </w:t>
      </w:r>
      <w:r w:rsidR="007836CA" w:rsidRPr="00EF66BB">
        <w:rPr>
          <w:rFonts w:ascii="Times New Roman" w:hAnsi="Times New Roman" w:cs="Times New Roman"/>
        </w:rPr>
        <w:t xml:space="preserve">of </w:t>
      </w:r>
      <w:r w:rsidRPr="00EF66BB">
        <w:rPr>
          <w:rFonts w:ascii="Times New Roman" w:hAnsi="Times New Roman" w:cs="Times New Roman"/>
        </w:rPr>
        <w:t xml:space="preserve">Strategic Planning is a measure of the extent to which a business support strategy is embedded in </w:t>
      </w:r>
      <w:r w:rsidR="002A3BBA" w:rsidRPr="00EF66BB">
        <w:rPr>
          <w:rFonts w:ascii="Times New Roman" w:hAnsi="Times New Roman" w:cs="Times New Roman"/>
        </w:rPr>
        <w:t xml:space="preserve">respective </w:t>
      </w:r>
      <w:r w:rsidRPr="00EF66BB">
        <w:rPr>
          <w:rFonts w:ascii="Times New Roman" w:hAnsi="Times New Roman" w:cs="Times New Roman"/>
        </w:rPr>
        <w:t>HEIs</w:t>
      </w:r>
      <w:r w:rsidR="002A3BBA" w:rsidRPr="00EF66BB">
        <w:rPr>
          <w:rFonts w:ascii="Times New Roman" w:hAnsi="Times New Roman" w:cs="Times New Roman"/>
        </w:rPr>
        <w:t>,</w:t>
      </w:r>
      <w:r w:rsidRPr="00EF66BB">
        <w:rPr>
          <w:rFonts w:ascii="Times New Roman" w:hAnsi="Times New Roman" w:cs="Times New Roman"/>
        </w:rPr>
        <w:t xml:space="preserve"> ranging from limited (n</w:t>
      </w:r>
      <w:r w:rsidRPr="00EF66BB">
        <w:rPr>
          <w:rFonts w:ascii="Times New Roman" w:hAnsi="Times New Roman" w:cs="Times New Roman"/>
          <w:bCs/>
        </w:rPr>
        <w:t xml:space="preserve">o strategic plan) </w:t>
      </w:r>
      <w:r w:rsidRPr="00EF66BB">
        <w:rPr>
          <w:rFonts w:ascii="Times New Roman" w:hAnsi="Times New Roman" w:cs="Times New Roman"/>
        </w:rPr>
        <w:t>to full implementation (</w:t>
      </w:r>
      <w:r w:rsidR="00A7512E" w:rsidRPr="00EF66BB">
        <w:rPr>
          <w:rFonts w:ascii="Times New Roman" w:hAnsi="Times New Roman" w:cs="Times New Roman"/>
        </w:rPr>
        <w:t>“Strategic plan developed as a result of an inclusive process across the whole HEI”</w:t>
      </w:r>
      <w:r w:rsidRPr="00EF66BB">
        <w:rPr>
          <w:rFonts w:ascii="Times New Roman" w:hAnsi="Times New Roman" w:cs="Times New Roman"/>
        </w:rPr>
        <w:t xml:space="preserve">). To create the moderation variable, the </w:t>
      </w:r>
      <w:r w:rsidR="00A02C96">
        <w:rPr>
          <w:rFonts w:ascii="Times New Roman" w:hAnsi="Times New Roman" w:cs="Times New Roman"/>
        </w:rPr>
        <w:t>five-</w:t>
      </w:r>
      <w:r w:rsidRPr="00EF66BB">
        <w:rPr>
          <w:rFonts w:ascii="Times New Roman" w:hAnsi="Times New Roman" w:cs="Times New Roman"/>
        </w:rPr>
        <w:t xml:space="preserve">point </w:t>
      </w:r>
      <w:r w:rsidR="00A02C96">
        <w:rPr>
          <w:rFonts w:ascii="Times New Roman" w:hAnsi="Times New Roman" w:cs="Times New Roman"/>
        </w:rPr>
        <w:t>L</w:t>
      </w:r>
      <w:r w:rsidRPr="00EF66BB">
        <w:rPr>
          <w:rFonts w:ascii="Times New Roman" w:hAnsi="Times New Roman" w:cs="Times New Roman"/>
        </w:rPr>
        <w:t>ikert scale ‘strategic development of business support’ measure</w:t>
      </w:r>
      <w:r w:rsidR="002A3BBA" w:rsidRPr="00EF66BB">
        <w:rPr>
          <w:rFonts w:ascii="Times New Roman" w:hAnsi="Times New Roman" w:cs="Times New Roman"/>
        </w:rPr>
        <w:t>,</w:t>
      </w:r>
      <w:r w:rsidRPr="00EF66BB">
        <w:rPr>
          <w:rFonts w:ascii="Times New Roman" w:hAnsi="Times New Roman" w:cs="Times New Roman"/>
        </w:rPr>
        <w:t xml:space="preserve"> taken from the </w:t>
      </w:r>
      <w:r w:rsidR="00D528B0" w:rsidRPr="00EF66BB">
        <w:rPr>
          <w:rFonts w:ascii="Times New Roman" w:hAnsi="Times New Roman" w:cs="Times New Roman"/>
        </w:rPr>
        <w:t>2011</w:t>
      </w:r>
      <w:r w:rsidRPr="00EF66BB">
        <w:rPr>
          <w:rFonts w:ascii="Times New Roman" w:hAnsi="Times New Roman" w:cs="Times New Roman"/>
        </w:rPr>
        <w:t>/</w:t>
      </w:r>
      <w:r w:rsidR="00D528B0" w:rsidRPr="00EF66BB">
        <w:rPr>
          <w:rFonts w:ascii="Times New Roman" w:hAnsi="Times New Roman" w:cs="Times New Roman"/>
        </w:rPr>
        <w:t xml:space="preserve">12 </w:t>
      </w:r>
      <w:r w:rsidRPr="00EF66BB">
        <w:rPr>
          <w:rFonts w:ascii="Times New Roman" w:hAnsi="Times New Roman" w:cs="Times New Roman"/>
        </w:rPr>
        <w:t>HE-BCI survey</w:t>
      </w:r>
      <w:r w:rsidR="002A3BBA" w:rsidRPr="00EF66BB">
        <w:rPr>
          <w:rFonts w:ascii="Times New Roman" w:hAnsi="Times New Roman" w:cs="Times New Roman"/>
        </w:rPr>
        <w:t>,</w:t>
      </w:r>
      <w:r w:rsidRPr="00EF66BB">
        <w:rPr>
          <w:rFonts w:ascii="Times New Roman" w:hAnsi="Times New Roman" w:cs="Times New Roman"/>
        </w:rPr>
        <w:t xml:space="preserve"> was rated dichotomously (1 = “high level of planning”</w:t>
      </w:r>
      <w:r w:rsidR="002A3BBA" w:rsidRPr="00EF66BB">
        <w:rPr>
          <w:rFonts w:ascii="Times New Roman" w:hAnsi="Times New Roman" w:cs="Times New Roman"/>
        </w:rPr>
        <w:t>;</w:t>
      </w:r>
      <w:r w:rsidRPr="00EF66BB">
        <w:rPr>
          <w:rFonts w:ascii="Times New Roman" w:hAnsi="Times New Roman" w:cs="Times New Roman"/>
        </w:rPr>
        <w:t xml:space="preserve"> and 0 = “low level of planning”). </w:t>
      </w:r>
    </w:p>
    <w:p w14:paraId="4EA2F30E" w14:textId="77777777" w:rsidR="008F29B6" w:rsidRPr="00EF66BB" w:rsidRDefault="008F29B6" w:rsidP="00141231">
      <w:pPr>
        <w:autoSpaceDE w:val="0"/>
        <w:autoSpaceDN w:val="0"/>
        <w:adjustRightInd w:val="0"/>
        <w:spacing w:line="360" w:lineRule="auto"/>
        <w:rPr>
          <w:rFonts w:ascii="Times New Roman" w:hAnsi="Times New Roman" w:cs="Times New Roman"/>
        </w:rPr>
      </w:pPr>
    </w:p>
    <w:p w14:paraId="5C534BD5" w14:textId="16F938F7" w:rsidR="008F29B6" w:rsidRPr="00EF66BB" w:rsidRDefault="008F29B6" w:rsidP="00141231">
      <w:pPr>
        <w:autoSpaceDE w:val="0"/>
        <w:autoSpaceDN w:val="0"/>
        <w:adjustRightInd w:val="0"/>
        <w:spacing w:line="360" w:lineRule="auto"/>
        <w:rPr>
          <w:rFonts w:ascii="Times New Roman" w:hAnsi="Times New Roman" w:cs="Times New Roman"/>
          <w:shd w:val="clear" w:color="auto" w:fill="FFFFFF"/>
        </w:rPr>
      </w:pPr>
      <w:r w:rsidRPr="00EF66BB">
        <w:rPr>
          <w:rFonts w:ascii="Times New Roman" w:hAnsi="Times New Roman" w:cs="Times New Roman"/>
        </w:rPr>
        <w:t xml:space="preserve">In addition, we measured three variables </w:t>
      </w:r>
      <w:r w:rsidR="002A3BBA" w:rsidRPr="00EF66BB">
        <w:rPr>
          <w:rFonts w:ascii="Times New Roman" w:hAnsi="Times New Roman" w:cs="Times New Roman"/>
        </w:rPr>
        <w:t xml:space="preserve">that </w:t>
      </w:r>
      <w:r w:rsidRPr="00EF66BB">
        <w:rPr>
          <w:rFonts w:ascii="Times New Roman" w:hAnsi="Times New Roman" w:cs="Times New Roman"/>
        </w:rPr>
        <w:t xml:space="preserve">previous studies have shown as significant drivers of a </w:t>
      </w:r>
      <w:r w:rsidR="00FA3951">
        <w:rPr>
          <w:rFonts w:ascii="Times New Roman" w:hAnsi="Times New Roman" w:cs="Times New Roman"/>
        </w:rPr>
        <w:t>u</w:t>
      </w:r>
      <w:r w:rsidRPr="00EF66BB">
        <w:rPr>
          <w:rFonts w:ascii="Times New Roman" w:hAnsi="Times New Roman" w:cs="Times New Roman"/>
        </w:rPr>
        <w:t xml:space="preserve">niversity’s level and capacity to invest in technology transfer activities with single-item scales. The log of university size measured by student numbers was a measure of capacity. The log transformed measure of age </w:t>
      </w:r>
      <w:r w:rsidR="009350D7">
        <w:rPr>
          <w:rFonts w:ascii="Times New Roman" w:hAnsi="Times New Roman" w:cs="Times New Roman"/>
        </w:rPr>
        <w:t>refers</w:t>
      </w:r>
      <w:r w:rsidR="00FA3951">
        <w:rPr>
          <w:rFonts w:ascii="Times New Roman" w:hAnsi="Times New Roman" w:cs="Times New Roman"/>
        </w:rPr>
        <w:t xml:space="preserve"> to</w:t>
      </w:r>
      <w:r w:rsidR="004019B2">
        <w:rPr>
          <w:rFonts w:ascii="Times New Roman" w:hAnsi="Times New Roman" w:cs="Times New Roman"/>
        </w:rPr>
        <w:t xml:space="preserve"> the age of the TT</w:t>
      </w:r>
      <w:r w:rsidR="00FA3951">
        <w:rPr>
          <w:rFonts w:ascii="Times New Roman" w:hAnsi="Times New Roman" w:cs="Times New Roman"/>
        </w:rPr>
        <w:t>O</w:t>
      </w:r>
      <w:r w:rsidR="00D528B0" w:rsidRPr="00EF66BB">
        <w:rPr>
          <w:rFonts w:ascii="Times New Roman" w:hAnsi="Times New Roman" w:cs="Times New Roman"/>
        </w:rPr>
        <w:t xml:space="preserve">. </w:t>
      </w:r>
      <w:r w:rsidRPr="00EF66BB">
        <w:rPr>
          <w:rFonts w:ascii="Times New Roman" w:hAnsi="Times New Roman" w:cs="Times New Roman"/>
        </w:rPr>
        <w:t xml:space="preserve">‘Research quality’ is also included, to control for the possibility that having high calibre research active staff is associated with </w:t>
      </w:r>
      <w:r w:rsidR="002A3BBA" w:rsidRPr="00EF66BB">
        <w:rPr>
          <w:rFonts w:ascii="Times New Roman" w:hAnsi="Times New Roman" w:cs="Times New Roman"/>
        </w:rPr>
        <w:t xml:space="preserve">higher </w:t>
      </w:r>
      <w:r w:rsidRPr="00EF66BB">
        <w:rPr>
          <w:rFonts w:ascii="Times New Roman" w:hAnsi="Times New Roman" w:cs="Times New Roman"/>
        </w:rPr>
        <w:t xml:space="preserve">revenues through technology transfer activities. Although industry dummies were included in a linear model (found </w:t>
      </w:r>
      <w:r w:rsidR="002A3BBA" w:rsidRPr="00EF66BB">
        <w:rPr>
          <w:rFonts w:ascii="Times New Roman" w:hAnsi="Times New Roman" w:cs="Times New Roman"/>
        </w:rPr>
        <w:t xml:space="preserve">not </w:t>
      </w:r>
      <w:r w:rsidRPr="00EF66BB">
        <w:rPr>
          <w:rFonts w:ascii="Times New Roman" w:hAnsi="Times New Roman" w:cs="Times New Roman"/>
        </w:rPr>
        <w:t>to be significant)</w:t>
      </w:r>
      <w:r w:rsidR="002A3BBA" w:rsidRPr="00EF66BB">
        <w:rPr>
          <w:rFonts w:ascii="Times New Roman" w:hAnsi="Times New Roman" w:cs="Times New Roman"/>
        </w:rPr>
        <w:t>;</w:t>
      </w:r>
      <w:r w:rsidRPr="00EF66BB">
        <w:rPr>
          <w:rFonts w:ascii="Times New Roman" w:hAnsi="Times New Roman" w:cs="Times New Roman"/>
        </w:rPr>
        <w:t xml:space="preserve"> these were not included in the SEM analysis to reduce complexity.  </w:t>
      </w:r>
      <w:r w:rsidRPr="00EF66BB">
        <w:rPr>
          <w:rFonts w:ascii="Times New Roman" w:hAnsi="Times New Roman" w:cs="Times New Roman"/>
          <w:shd w:val="clear" w:color="auto" w:fill="FFFFFF"/>
        </w:rPr>
        <w:t xml:space="preserve">Analyses </w:t>
      </w:r>
      <w:r w:rsidR="002A3BBA" w:rsidRPr="00EF66BB">
        <w:rPr>
          <w:rFonts w:ascii="Times New Roman" w:hAnsi="Times New Roman" w:cs="Times New Roman"/>
          <w:shd w:val="clear" w:color="auto" w:fill="FFFFFF"/>
        </w:rPr>
        <w:t xml:space="preserve">of </w:t>
      </w:r>
      <w:r w:rsidRPr="00EF66BB">
        <w:rPr>
          <w:rFonts w:ascii="Times New Roman" w:hAnsi="Times New Roman" w:cs="Times New Roman"/>
          <w:shd w:val="clear" w:color="auto" w:fill="FFFFFF"/>
        </w:rPr>
        <w:t xml:space="preserve">the two latent variables confirmed </w:t>
      </w:r>
      <w:proofErr w:type="spellStart"/>
      <w:r w:rsidRPr="00EF66BB">
        <w:rPr>
          <w:rFonts w:ascii="Times New Roman" w:hAnsi="Times New Roman" w:cs="Times New Roman"/>
          <w:shd w:val="clear" w:color="auto" w:fill="FFFFFF"/>
        </w:rPr>
        <w:t>unidimensionality</w:t>
      </w:r>
      <w:proofErr w:type="spellEnd"/>
      <w:r w:rsidRPr="00EF66BB">
        <w:rPr>
          <w:rFonts w:ascii="Times New Roman" w:hAnsi="Times New Roman" w:cs="Times New Roman"/>
          <w:shd w:val="clear" w:color="auto" w:fill="FFFFFF"/>
        </w:rPr>
        <w:t>, reliability, and measurement invariance of the loadings across all control variables</w:t>
      </w:r>
      <w:r w:rsidR="002A3BBA" w:rsidRPr="00EF66BB">
        <w:rPr>
          <w:rFonts w:ascii="Times New Roman" w:hAnsi="Times New Roman" w:cs="Times New Roman"/>
          <w:shd w:val="clear" w:color="auto" w:fill="FFFFFF"/>
        </w:rPr>
        <w:t>.</w:t>
      </w:r>
    </w:p>
    <w:p w14:paraId="6E630733" w14:textId="77777777" w:rsidR="008F29B6" w:rsidRPr="00EF66BB" w:rsidRDefault="008F29B6" w:rsidP="00141231">
      <w:pPr>
        <w:spacing w:line="360" w:lineRule="auto"/>
        <w:rPr>
          <w:rFonts w:ascii="Times New Roman" w:hAnsi="Times New Roman" w:cs="Times New Roman"/>
        </w:rPr>
      </w:pPr>
    </w:p>
    <w:p w14:paraId="3B8C71CA" w14:textId="7E5C0BAB" w:rsidR="001A3E4C" w:rsidRPr="00EF66BB" w:rsidRDefault="006D4C29" w:rsidP="00141231">
      <w:pPr>
        <w:pStyle w:val="Heading3"/>
        <w:spacing w:line="360" w:lineRule="auto"/>
        <w:rPr>
          <w:rFonts w:ascii="Times New Roman" w:hAnsi="Times New Roman" w:cs="Times New Roman"/>
        </w:rPr>
      </w:pPr>
      <w:r w:rsidRPr="00EF66BB">
        <w:rPr>
          <w:rFonts w:ascii="Times New Roman" w:hAnsi="Times New Roman" w:cs="Times New Roman"/>
        </w:rPr>
        <w:t>3.</w:t>
      </w:r>
      <w:r w:rsidR="003A343A" w:rsidRPr="00EF66BB">
        <w:rPr>
          <w:rFonts w:ascii="Times New Roman" w:hAnsi="Times New Roman" w:cs="Times New Roman"/>
        </w:rPr>
        <w:t>3</w:t>
      </w:r>
      <w:r w:rsidR="007836CA" w:rsidRPr="00EF66BB">
        <w:rPr>
          <w:rFonts w:ascii="Times New Roman" w:hAnsi="Times New Roman" w:cs="Times New Roman"/>
        </w:rPr>
        <w:t>Analytical Strategy</w:t>
      </w:r>
    </w:p>
    <w:p w14:paraId="1D25B9BF" w14:textId="6A04632D" w:rsidR="001A3E4C" w:rsidRPr="00EF66BB" w:rsidRDefault="00732CB8" w:rsidP="00141231">
      <w:pPr>
        <w:spacing w:line="360" w:lineRule="auto"/>
        <w:rPr>
          <w:rFonts w:ascii="Times New Roman" w:hAnsi="Times New Roman" w:cs="Times New Roman"/>
          <w:color w:val="000000"/>
        </w:rPr>
      </w:pPr>
      <w:r w:rsidRPr="00EF66BB">
        <w:rPr>
          <w:rFonts w:ascii="Times New Roman" w:hAnsi="Times New Roman" w:cs="Times New Roman"/>
        </w:rPr>
        <w:t xml:space="preserve">To test the hypothesised relationships between TT </w:t>
      </w:r>
      <w:r w:rsidR="00FA3951">
        <w:rPr>
          <w:rFonts w:ascii="Times New Roman" w:hAnsi="Times New Roman" w:cs="Times New Roman"/>
        </w:rPr>
        <w:t>S</w:t>
      </w:r>
      <w:r w:rsidRPr="00EF66BB">
        <w:rPr>
          <w:rFonts w:ascii="Times New Roman" w:hAnsi="Times New Roman" w:cs="Times New Roman"/>
        </w:rPr>
        <w:t>upport</w:t>
      </w:r>
      <w:r w:rsidR="00765A66" w:rsidRPr="00EF66BB">
        <w:rPr>
          <w:rFonts w:ascii="Times New Roman" w:hAnsi="Times New Roman" w:cs="Times New Roman"/>
        </w:rPr>
        <w:t>;</w:t>
      </w:r>
      <w:r w:rsidRPr="00EF66BB">
        <w:rPr>
          <w:rFonts w:ascii="Times New Roman" w:hAnsi="Times New Roman" w:cs="Times New Roman"/>
        </w:rPr>
        <w:t xml:space="preserve"> </w:t>
      </w:r>
      <w:r w:rsidR="007836CA" w:rsidRPr="00EF66BB">
        <w:rPr>
          <w:rFonts w:ascii="Times New Roman" w:hAnsi="Times New Roman" w:cs="Times New Roman"/>
        </w:rPr>
        <w:t>TT</w:t>
      </w:r>
      <w:r w:rsidRPr="00EF66BB">
        <w:rPr>
          <w:rFonts w:ascii="Times New Roman" w:hAnsi="Times New Roman" w:cs="Times New Roman"/>
        </w:rPr>
        <w:t xml:space="preserve"> </w:t>
      </w:r>
      <w:r w:rsidR="00FA3951">
        <w:rPr>
          <w:rFonts w:ascii="Times New Roman" w:hAnsi="Times New Roman" w:cs="Times New Roman"/>
        </w:rPr>
        <w:t>I</w:t>
      </w:r>
      <w:r w:rsidRPr="00EF66BB">
        <w:rPr>
          <w:rFonts w:ascii="Times New Roman" w:hAnsi="Times New Roman" w:cs="Times New Roman"/>
        </w:rPr>
        <w:t>ncentives</w:t>
      </w:r>
      <w:r w:rsidR="00765A66" w:rsidRPr="00EF66BB">
        <w:rPr>
          <w:rFonts w:ascii="Times New Roman" w:hAnsi="Times New Roman" w:cs="Times New Roman"/>
        </w:rPr>
        <w:t>;</w:t>
      </w:r>
      <w:r w:rsidRPr="00EF66BB">
        <w:rPr>
          <w:rFonts w:ascii="Times New Roman" w:hAnsi="Times New Roman" w:cs="Times New Roman"/>
        </w:rPr>
        <w:t xml:space="preserve"> </w:t>
      </w:r>
      <w:r w:rsidR="007836CA" w:rsidRPr="00EF66BB">
        <w:rPr>
          <w:rFonts w:ascii="Times New Roman" w:hAnsi="Times New Roman" w:cs="Times New Roman"/>
        </w:rPr>
        <w:t xml:space="preserve">University </w:t>
      </w:r>
      <w:r w:rsidR="00311E6D" w:rsidRPr="00EF66BB">
        <w:rPr>
          <w:rFonts w:ascii="Times New Roman" w:hAnsi="Times New Roman" w:cs="Times New Roman"/>
        </w:rPr>
        <w:t>S</w:t>
      </w:r>
      <w:r w:rsidR="006D4C29" w:rsidRPr="00EF66BB">
        <w:rPr>
          <w:rFonts w:ascii="Times New Roman" w:hAnsi="Times New Roman" w:cs="Times New Roman"/>
        </w:rPr>
        <w:t xml:space="preserve">trategic </w:t>
      </w:r>
      <w:r w:rsidR="00311E6D" w:rsidRPr="00EF66BB">
        <w:rPr>
          <w:rFonts w:ascii="Times New Roman" w:hAnsi="Times New Roman" w:cs="Times New Roman"/>
        </w:rPr>
        <w:t>P</w:t>
      </w:r>
      <w:r w:rsidR="006D4C29" w:rsidRPr="00EF66BB">
        <w:rPr>
          <w:rFonts w:ascii="Times New Roman" w:hAnsi="Times New Roman" w:cs="Times New Roman"/>
        </w:rPr>
        <w:t>riorities</w:t>
      </w:r>
      <w:r w:rsidR="00765A66" w:rsidRPr="00EF66BB">
        <w:rPr>
          <w:rFonts w:ascii="Times New Roman" w:hAnsi="Times New Roman" w:cs="Times New Roman"/>
        </w:rPr>
        <w:t>;</w:t>
      </w:r>
      <w:r w:rsidR="006D4C29" w:rsidRPr="00EF66BB">
        <w:rPr>
          <w:rFonts w:ascii="Times New Roman" w:hAnsi="Times New Roman" w:cs="Times New Roman"/>
        </w:rPr>
        <w:t xml:space="preserve"> </w:t>
      </w:r>
      <w:r w:rsidR="00EE11BA">
        <w:rPr>
          <w:rFonts w:ascii="Times New Roman" w:hAnsi="Times New Roman" w:cs="Times New Roman"/>
        </w:rPr>
        <w:t>Breadth</w:t>
      </w:r>
      <w:r w:rsidR="00EE11BA" w:rsidRPr="00EF66BB">
        <w:rPr>
          <w:rFonts w:ascii="Times New Roman" w:hAnsi="Times New Roman" w:cs="Times New Roman"/>
        </w:rPr>
        <w:t xml:space="preserve"> </w:t>
      </w:r>
      <w:r w:rsidR="006D4C29" w:rsidRPr="00EF66BB">
        <w:rPr>
          <w:rFonts w:ascii="Times New Roman" w:hAnsi="Times New Roman" w:cs="Times New Roman"/>
        </w:rPr>
        <w:t>of strategic planning</w:t>
      </w:r>
      <w:r w:rsidR="00765A66" w:rsidRPr="00EF66BB">
        <w:rPr>
          <w:rFonts w:ascii="Times New Roman" w:hAnsi="Times New Roman" w:cs="Times New Roman"/>
        </w:rPr>
        <w:t>;</w:t>
      </w:r>
      <w:r w:rsidR="006D4C29" w:rsidRPr="00EF66BB">
        <w:rPr>
          <w:rFonts w:ascii="Times New Roman" w:hAnsi="Times New Roman" w:cs="Times New Roman"/>
        </w:rPr>
        <w:t xml:space="preserve"> and </w:t>
      </w:r>
      <w:r w:rsidR="007836CA" w:rsidRPr="00EF66BB">
        <w:rPr>
          <w:rFonts w:ascii="Times New Roman" w:hAnsi="Times New Roman" w:cs="Times New Roman"/>
        </w:rPr>
        <w:t>TT</w:t>
      </w:r>
      <w:r w:rsidR="006D4C29" w:rsidRPr="00EF66BB">
        <w:rPr>
          <w:rFonts w:ascii="Times New Roman" w:hAnsi="Times New Roman" w:cs="Times New Roman"/>
        </w:rPr>
        <w:t xml:space="preserve"> </w:t>
      </w:r>
      <w:r w:rsidR="00FA3951">
        <w:rPr>
          <w:rFonts w:ascii="Times New Roman" w:hAnsi="Times New Roman" w:cs="Times New Roman"/>
        </w:rPr>
        <w:t>E</w:t>
      </w:r>
      <w:r w:rsidR="006D4C29" w:rsidRPr="00EF66BB">
        <w:rPr>
          <w:rFonts w:ascii="Times New Roman" w:hAnsi="Times New Roman" w:cs="Times New Roman"/>
        </w:rPr>
        <w:t>ffectiveness</w:t>
      </w:r>
      <w:r w:rsidR="00765A66" w:rsidRPr="00EF66BB">
        <w:rPr>
          <w:rFonts w:ascii="Times New Roman" w:hAnsi="Times New Roman" w:cs="Times New Roman"/>
        </w:rPr>
        <w:t>,</w:t>
      </w:r>
      <w:r w:rsidR="006D4C29" w:rsidRPr="00EF66BB">
        <w:rPr>
          <w:rFonts w:ascii="Times New Roman" w:hAnsi="Times New Roman" w:cs="Times New Roman"/>
        </w:rPr>
        <w:t xml:space="preserve"> we adopted a </w:t>
      </w:r>
      <w:r w:rsidR="006D4C29" w:rsidRPr="00EF66BB">
        <w:rPr>
          <w:rFonts w:ascii="Times New Roman" w:hAnsi="Times New Roman" w:cs="Times New Roman"/>
        </w:rPr>
        <w:lastRenderedPageBreak/>
        <w:t xml:space="preserve">structural equation modelling approach. First, </w:t>
      </w:r>
      <w:r w:rsidR="006D4C29" w:rsidRPr="00EF66BB">
        <w:rPr>
          <w:rFonts w:ascii="Times New Roman" w:hAnsi="Times New Roman" w:cs="Times New Roman"/>
          <w:color w:val="000000"/>
        </w:rPr>
        <w:t>e</w:t>
      </w:r>
      <w:r w:rsidR="001A3E4C" w:rsidRPr="00EF66BB">
        <w:rPr>
          <w:rFonts w:ascii="Times New Roman" w:hAnsi="Times New Roman" w:cs="Times New Roman"/>
          <w:color w:val="000000"/>
        </w:rPr>
        <w:t xml:space="preserve">xploratory factor analysis (EFA) followed by </w:t>
      </w:r>
      <w:r w:rsidR="006D4C29" w:rsidRPr="00EF66BB">
        <w:rPr>
          <w:rFonts w:ascii="Times New Roman" w:hAnsi="Times New Roman" w:cs="Times New Roman"/>
          <w:color w:val="000000"/>
        </w:rPr>
        <w:t>c</w:t>
      </w:r>
      <w:r w:rsidR="001A3E4C" w:rsidRPr="00EF66BB">
        <w:rPr>
          <w:rFonts w:ascii="Times New Roman" w:hAnsi="Times New Roman" w:cs="Times New Roman"/>
          <w:color w:val="000000"/>
        </w:rPr>
        <w:t>onfirmatory factor analyses (CFA) implemented in AMOS 24 were used to establish the measurement scales for the structural equation models (SEM)</w:t>
      </w:r>
      <w:r w:rsidR="00523C1E" w:rsidRPr="00EF66BB">
        <w:rPr>
          <w:rFonts w:ascii="Times New Roman" w:hAnsi="Times New Roman" w:cs="Times New Roman"/>
          <w:color w:val="000000"/>
        </w:rPr>
        <w:t>,</w:t>
      </w:r>
      <w:r w:rsidR="001A3E4C" w:rsidRPr="00EF66BB">
        <w:rPr>
          <w:rFonts w:ascii="Times New Roman" w:hAnsi="Times New Roman" w:cs="Times New Roman"/>
          <w:color w:val="000000"/>
        </w:rPr>
        <w:t xml:space="preserve"> tested using the Maximum Likelihood method</w:t>
      </w:r>
      <w:r w:rsidR="00742C6B">
        <w:rPr>
          <w:rStyle w:val="FootnoteReference"/>
          <w:rFonts w:ascii="Times New Roman" w:hAnsi="Times New Roman" w:cs="Times New Roman"/>
          <w:color w:val="000000"/>
        </w:rPr>
        <w:footnoteReference w:id="3"/>
      </w:r>
      <w:r w:rsidR="001A3E4C" w:rsidRPr="00EF66BB">
        <w:rPr>
          <w:rFonts w:ascii="Times New Roman" w:hAnsi="Times New Roman" w:cs="Times New Roman"/>
          <w:color w:val="000000"/>
        </w:rPr>
        <w:t xml:space="preserve">. </w:t>
      </w:r>
      <w:r w:rsidR="001A3E4C" w:rsidRPr="00EF66BB">
        <w:rPr>
          <w:rFonts w:ascii="Times New Roman" w:hAnsi="Times New Roman" w:cs="Times New Roman"/>
        </w:rPr>
        <w:t xml:space="preserve">SEM permits a simultaneous examination of an array of </w:t>
      </w:r>
      <w:r w:rsidR="00C93899">
        <w:rPr>
          <w:rFonts w:ascii="Times New Roman" w:hAnsi="Times New Roman" w:cs="Times New Roman"/>
        </w:rPr>
        <w:t>hypothesised</w:t>
      </w:r>
      <w:r w:rsidR="001A3E4C" w:rsidRPr="00EF66BB">
        <w:rPr>
          <w:rFonts w:ascii="Times New Roman" w:hAnsi="Times New Roman" w:cs="Times New Roman"/>
        </w:rPr>
        <w:t xml:space="preserve"> equations involving multiple endogenous variables alongside measurement errors, thus providing an accurate measure of the variance explained by exogenous variables </w:t>
      </w:r>
      <w:r w:rsidR="002834AD">
        <w:rPr>
          <w:rFonts w:ascii="Times New Roman" w:hAnsi="Times New Roman" w:cs="Times New Roman"/>
        </w:rPr>
        <w:fldChar w:fldCharType="begin" w:fldLock="1"/>
      </w:r>
      <w:r w:rsidR="002834AD">
        <w:rPr>
          <w:rFonts w:ascii="Times New Roman" w:hAnsi="Times New Roman" w:cs="Times New Roman"/>
        </w:rPr>
        <w:instrText>ADDIN CSL_CITATION {"citationItems":[{"id":"ITEM-1","itemData":{"author":[{"dropping-particle":"","family":"Kline","given":"R. B","non-dropping-particle":"","parse-names":false,"suffix":""}],"id":"ITEM-1","issued":{"date-parts":[["2016"]]},"publisher":"The Guildford Press","publisher-place":"London","title":"Principles and Practice of Structural Equation Modelling","type":"book"},"uris":["http://www.mendeley.com/documents/?uuid=88b44e86-d523-4ac4-a1d7-ac3c858ca017"]}],"mendeley":{"formattedCitation":"(Kline, 2016)","plainTextFormattedCitation":"(Kline, 2016)","previouslyFormattedCitation":"(Kline, 2016)"},"properties":{"noteIndex":0},"schema":"https://github.com/citation-style-language/schema/raw/master/csl-citation.json"}</w:instrText>
      </w:r>
      <w:r w:rsidR="002834AD">
        <w:rPr>
          <w:rFonts w:ascii="Times New Roman" w:hAnsi="Times New Roman" w:cs="Times New Roman"/>
        </w:rPr>
        <w:fldChar w:fldCharType="separate"/>
      </w:r>
      <w:r w:rsidR="002834AD" w:rsidRPr="002834AD">
        <w:rPr>
          <w:rFonts w:ascii="Times New Roman" w:hAnsi="Times New Roman" w:cs="Times New Roman"/>
          <w:noProof/>
        </w:rPr>
        <w:t>(Kline, 2016)</w:t>
      </w:r>
      <w:r w:rsidR="002834AD">
        <w:rPr>
          <w:rFonts w:ascii="Times New Roman" w:hAnsi="Times New Roman" w:cs="Times New Roman"/>
        </w:rPr>
        <w:fldChar w:fldCharType="end"/>
      </w:r>
      <w:r w:rsidR="002834AD">
        <w:rPr>
          <w:rFonts w:ascii="Times New Roman" w:hAnsi="Times New Roman" w:cs="Times New Roman"/>
        </w:rPr>
        <w:t xml:space="preserve">. </w:t>
      </w:r>
      <w:r w:rsidR="001A3E4C" w:rsidRPr="00EF66BB">
        <w:rPr>
          <w:rFonts w:ascii="Times New Roman" w:hAnsi="Times New Roman" w:cs="Times New Roman"/>
          <w:color w:val="000000"/>
        </w:rPr>
        <w:t>SEM is a particularly attractive choice when testing mediating v</w:t>
      </w:r>
      <w:r w:rsidR="00456DD6" w:rsidRPr="00EF66BB">
        <w:rPr>
          <w:rFonts w:ascii="Times New Roman" w:hAnsi="Times New Roman" w:cs="Times New Roman"/>
          <w:color w:val="000000"/>
        </w:rPr>
        <w:t>ariables in a structural model</w:t>
      </w:r>
      <w:r w:rsidR="001A3E4C" w:rsidRPr="00EF66BB">
        <w:rPr>
          <w:rFonts w:ascii="Times New Roman" w:hAnsi="Times New Roman" w:cs="Times New Roman"/>
          <w:color w:val="000000"/>
        </w:rPr>
        <w:t xml:space="preserve">. </w:t>
      </w:r>
    </w:p>
    <w:p w14:paraId="4B53A2D6" w14:textId="77777777" w:rsidR="001A3E4C" w:rsidRPr="00EF66BB" w:rsidRDefault="001A3E4C" w:rsidP="00141231">
      <w:pPr>
        <w:autoSpaceDE w:val="0"/>
        <w:autoSpaceDN w:val="0"/>
        <w:adjustRightInd w:val="0"/>
        <w:spacing w:line="360" w:lineRule="auto"/>
        <w:rPr>
          <w:rFonts w:ascii="Times New Roman" w:hAnsi="Times New Roman" w:cs="Times New Roman"/>
          <w:color w:val="000000"/>
        </w:rPr>
      </w:pPr>
    </w:p>
    <w:p w14:paraId="320832A4" w14:textId="03EA62BC" w:rsidR="003B2BF7" w:rsidRPr="00EF66BB" w:rsidRDefault="001A3E4C" w:rsidP="00141231">
      <w:pPr>
        <w:autoSpaceDE w:val="0"/>
        <w:autoSpaceDN w:val="0"/>
        <w:adjustRightInd w:val="0"/>
        <w:spacing w:line="360" w:lineRule="auto"/>
        <w:rPr>
          <w:rFonts w:ascii="Times New Roman" w:hAnsi="Times New Roman" w:cs="Times New Roman"/>
        </w:rPr>
      </w:pPr>
      <w:r w:rsidRPr="00EF66BB">
        <w:rPr>
          <w:rFonts w:ascii="Times New Roman" w:hAnsi="Times New Roman" w:cs="Times New Roman"/>
        </w:rPr>
        <w:t>Several goodness-of-fit indices were used to evaluate the model fit in both CFA and SEM: chi-square</w:t>
      </w:r>
      <w:r w:rsidR="00523C1E" w:rsidRPr="00EF66BB">
        <w:rPr>
          <w:rFonts w:ascii="Times New Roman" w:hAnsi="Times New Roman" w:cs="Times New Roman"/>
        </w:rPr>
        <w:t>;</w:t>
      </w:r>
      <w:r w:rsidRPr="00EF66BB">
        <w:rPr>
          <w:rFonts w:ascii="Times New Roman" w:hAnsi="Times New Roman" w:cs="Times New Roman"/>
        </w:rPr>
        <w:t xml:space="preserve"> normed chi-square (χ2/</w:t>
      </w:r>
      <w:proofErr w:type="spellStart"/>
      <w:r w:rsidRPr="00EF66BB">
        <w:rPr>
          <w:rFonts w:ascii="Times New Roman" w:hAnsi="Times New Roman" w:cs="Times New Roman"/>
        </w:rPr>
        <w:t>df</w:t>
      </w:r>
      <w:proofErr w:type="spellEnd"/>
      <w:r w:rsidRPr="00EF66BB">
        <w:rPr>
          <w:rFonts w:ascii="Times New Roman" w:hAnsi="Times New Roman" w:cs="Times New Roman"/>
        </w:rPr>
        <w:t xml:space="preserve"> ratio - desirable if &lt; 2)</w:t>
      </w:r>
      <w:r w:rsidR="00523C1E" w:rsidRPr="00EF66BB">
        <w:rPr>
          <w:rFonts w:ascii="Times New Roman" w:hAnsi="Times New Roman" w:cs="Times New Roman"/>
        </w:rPr>
        <w:t>;</w:t>
      </w:r>
      <w:r w:rsidRPr="00EF66BB">
        <w:rPr>
          <w:rFonts w:ascii="Times New Roman" w:hAnsi="Times New Roman" w:cs="Times New Roman"/>
        </w:rPr>
        <w:t xml:space="preserve"> root-mean-square error of approximation (RMSEA, good if &lt; 0.06)</w:t>
      </w:r>
      <w:r w:rsidR="00523C1E" w:rsidRPr="00EF66BB">
        <w:rPr>
          <w:rFonts w:ascii="Times New Roman" w:hAnsi="Times New Roman" w:cs="Times New Roman"/>
        </w:rPr>
        <w:t>;</w:t>
      </w:r>
      <w:r w:rsidRPr="00EF66BB">
        <w:rPr>
          <w:rFonts w:ascii="Times New Roman" w:hAnsi="Times New Roman" w:cs="Times New Roman"/>
        </w:rPr>
        <w:t xml:space="preserve"> Tucker-Lewis index (TLI, best if &gt; 0.95)</w:t>
      </w:r>
      <w:r w:rsidR="00523C1E" w:rsidRPr="00EF66BB">
        <w:rPr>
          <w:rFonts w:ascii="Times New Roman" w:hAnsi="Times New Roman" w:cs="Times New Roman"/>
        </w:rPr>
        <w:t>;</w:t>
      </w:r>
      <w:r w:rsidRPr="00EF66BB">
        <w:rPr>
          <w:rFonts w:ascii="Times New Roman" w:hAnsi="Times New Roman" w:cs="Times New Roman"/>
        </w:rPr>
        <w:t xml:space="preserve"> incremental fit index (IFI, best if &gt;0.95)</w:t>
      </w:r>
      <w:r w:rsidR="00523C1E" w:rsidRPr="00EF66BB">
        <w:rPr>
          <w:rFonts w:ascii="Times New Roman" w:hAnsi="Times New Roman" w:cs="Times New Roman"/>
        </w:rPr>
        <w:t>;</w:t>
      </w:r>
      <w:r w:rsidRPr="00EF66BB">
        <w:rPr>
          <w:rFonts w:ascii="Times New Roman" w:hAnsi="Times New Roman" w:cs="Times New Roman"/>
        </w:rPr>
        <w:t xml:space="preserve"> and comparative fit index (CFI, best if &gt; 0.95)</w:t>
      </w:r>
      <w:r w:rsidR="00FA3951">
        <w:rPr>
          <w:rFonts w:ascii="Times New Roman" w:hAnsi="Times New Roman" w:cs="Times New Roman"/>
        </w:rPr>
        <w:t xml:space="preserve"> </w:t>
      </w:r>
      <w:r w:rsidRPr="00EF66BB">
        <w:rPr>
          <w:rFonts w:ascii="Times New Roman" w:hAnsi="Times New Roman" w:cs="Times New Roman"/>
        </w:rPr>
        <w:t xml:space="preserve">( </w:t>
      </w:r>
      <w:r w:rsidRPr="00EF66BB">
        <w:rPr>
          <w:rFonts w:ascii="Times New Roman" w:hAnsi="Times New Roman" w:cs="Times New Roman"/>
          <w:color w:val="000000"/>
        </w:rPr>
        <w:t xml:space="preserve">Hu &amp; </w:t>
      </w:r>
      <w:proofErr w:type="spellStart"/>
      <w:r w:rsidRPr="00EF66BB">
        <w:rPr>
          <w:rFonts w:ascii="Times New Roman" w:hAnsi="Times New Roman" w:cs="Times New Roman"/>
          <w:color w:val="000000"/>
        </w:rPr>
        <w:t>Bentler</w:t>
      </w:r>
      <w:proofErr w:type="spellEnd"/>
      <w:r w:rsidRPr="00EF66BB">
        <w:rPr>
          <w:rFonts w:ascii="Times New Roman" w:hAnsi="Times New Roman" w:cs="Times New Roman"/>
          <w:color w:val="000000"/>
        </w:rPr>
        <w:t xml:space="preserve">, 1999). When undertaking CFA, measurement reliability was analysed using Cronbach’s coefficient and composite reliability. The convergent validation was evaluated using Average Variance Extraction (AVE), and discriminant validation by comparing the square root of AVE values and correlation coefficients. </w:t>
      </w:r>
      <w:r w:rsidRPr="00EF66BB">
        <w:rPr>
          <w:rFonts w:ascii="Times New Roman" w:hAnsi="Times New Roman" w:cs="Times New Roman"/>
        </w:rPr>
        <w:t>Prior to the analysis</w:t>
      </w:r>
      <w:r w:rsidR="00523C1E" w:rsidRPr="00EF66BB">
        <w:rPr>
          <w:rFonts w:ascii="Times New Roman" w:hAnsi="Times New Roman" w:cs="Times New Roman"/>
        </w:rPr>
        <w:t>,</w:t>
      </w:r>
      <w:r w:rsidRPr="00EF66BB">
        <w:rPr>
          <w:rFonts w:ascii="Times New Roman" w:hAnsi="Times New Roman" w:cs="Times New Roman"/>
        </w:rPr>
        <w:t xml:space="preserve"> we checked the data for violations of normality assumption</w:t>
      </w:r>
      <w:r w:rsidR="006D1AF6" w:rsidRPr="00EF66BB">
        <w:rPr>
          <w:rFonts w:ascii="Times New Roman" w:hAnsi="Times New Roman" w:cs="Times New Roman"/>
        </w:rPr>
        <w:t>s</w:t>
      </w:r>
      <w:r w:rsidRPr="00EF66BB">
        <w:rPr>
          <w:rFonts w:ascii="Times New Roman" w:hAnsi="Times New Roman" w:cs="Times New Roman"/>
        </w:rPr>
        <w:t xml:space="preserve">, for missing data and used the natural logarithm to transform the skewed data and mean substitution to eliminate missing data </w:t>
      </w:r>
      <w:r w:rsidR="002834AD">
        <w:rPr>
          <w:rFonts w:ascii="Times New Roman" w:hAnsi="Times New Roman" w:cs="Times New Roman"/>
        </w:rPr>
        <w:fldChar w:fldCharType="begin" w:fldLock="1"/>
      </w:r>
      <w:r w:rsidR="002834AD">
        <w:rPr>
          <w:rFonts w:ascii="Times New Roman" w:hAnsi="Times New Roman" w:cs="Times New Roman"/>
        </w:rPr>
        <w:instrText>ADDIN CSL_CITATION {"citationItems":[{"id":"ITEM-1","itemData":{"author":[{"dropping-particle":"","family":"Kline","given":"R. B","non-dropping-particle":"","parse-names":false,"suffix":""}],"id":"ITEM-1","issued":{"date-parts":[["2016"]]},"publisher":"The Guildford Press","publisher-place":"London","title":"Principles and Practice of Structural Equation Modelling","type":"book"},"uris":["http://www.mendeley.com/documents/?uuid=88b44e86-d523-4ac4-a1d7-ac3c858ca017"]}],"mendeley":{"formattedCitation":"(Kline, 2016)","plainTextFormattedCitation":"(Kline, 2016)","previouslyFormattedCitation":"(Kline, 2016)"},"properties":{"noteIndex":0},"schema":"https://github.com/citation-style-language/schema/raw/master/csl-citation.json"}</w:instrText>
      </w:r>
      <w:r w:rsidR="002834AD">
        <w:rPr>
          <w:rFonts w:ascii="Times New Roman" w:hAnsi="Times New Roman" w:cs="Times New Roman"/>
        </w:rPr>
        <w:fldChar w:fldCharType="separate"/>
      </w:r>
      <w:r w:rsidR="002834AD" w:rsidRPr="002834AD">
        <w:rPr>
          <w:rFonts w:ascii="Times New Roman" w:hAnsi="Times New Roman" w:cs="Times New Roman"/>
          <w:noProof/>
        </w:rPr>
        <w:t>(Kline, 2016)</w:t>
      </w:r>
      <w:r w:rsidR="002834AD">
        <w:rPr>
          <w:rFonts w:ascii="Times New Roman" w:hAnsi="Times New Roman" w:cs="Times New Roman"/>
        </w:rPr>
        <w:fldChar w:fldCharType="end"/>
      </w:r>
      <w:r w:rsidRPr="00EF66BB">
        <w:rPr>
          <w:rFonts w:ascii="Times New Roman" w:hAnsi="Times New Roman" w:cs="Times New Roman"/>
        </w:rPr>
        <w:t xml:space="preserve">. </w:t>
      </w:r>
    </w:p>
    <w:p w14:paraId="2651572B" w14:textId="77777777" w:rsidR="003B2BF7" w:rsidRPr="00EF66BB" w:rsidRDefault="003B2BF7" w:rsidP="00141231">
      <w:pPr>
        <w:autoSpaceDE w:val="0"/>
        <w:autoSpaceDN w:val="0"/>
        <w:adjustRightInd w:val="0"/>
        <w:spacing w:line="360" w:lineRule="auto"/>
        <w:rPr>
          <w:rFonts w:ascii="Times New Roman" w:hAnsi="Times New Roman" w:cs="Times New Roman"/>
        </w:rPr>
      </w:pPr>
    </w:p>
    <w:p w14:paraId="629ACC66" w14:textId="04E6E49F" w:rsidR="001A3E4C" w:rsidRPr="00EF66BB" w:rsidRDefault="001A3E4C" w:rsidP="00141231">
      <w:pPr>
        <w:autoSpaceDE w:val="0"/>
        <w:autoSpaceDN w:val="0"/>
        <w:adjustRightInd w:val="0"/>
        <w:spacing w:line="360" w:lineRule="auto"/>
        <w:rPr>
          <w:rFonts w:ascii="Times New Roman" w:hAnsi="Times New Roman" w:cs="Times New Roman"/>
          <w:color w:val="000000"/>
        </w:rPr>
      </w:pPr>
      <w:r w:rsidRPr="00EF66BB">
        <w:rPr>
          <w:rFonts w:ascii="Times New Roman" w:hAnsi="Times New Roman" w:cs="Times New Roman"/>
          <w:color w:val="000000"/>
        </w:rPr>
        <w:t>The missing value substitution procedure did not cause any statistically significant bias in the data; no statistically significant differences between the original and the missing value mean substituted data series w</w:t>
      </w:r>
      <w:r w:rsidR="006D1AF6" w:rsidRPr="00EF66BB">
        <w:rPr>
          <w:rFonts w:ascii="Times New Roman" w:hAnsi="Times New Roman" w:cs="Times New Roman"/>
          <w:color w:val="000000"/>
        </w:rPr>
        <w:t>ere</w:t>
      </w:r>
      <w:r w:rsidRPr="00EF66BB">
        <w:rPr>
          <w:rFonts w:ascii="Times New Roman" w:hAnsi="Times New Roman" w:cs="Times New Roman"/>
          <w:color w:val="000000"/>
        </w:rPr>
        <w:t xml:space="preserve"> observed. Nested modelling was performed in both CFA and SEM to ensure the best fitting model is chosen for the final analysis. </w:t>
      </w:r>
      <w:r w:rsidR="00142284" w:rsidRPr="00EF66BB">
        <w:rPr>
          <w:rFonts w:ascii="Times New Roman" w:hAnsi="Times New Roman" w:cs="Times New Roman"/>
          <w:color w:val="000000"/>
        </w:rPr>
        <w:t>W</w:t>
      </w:r>
      <w:r w:rsidRPr="00EF66BB">
        <w:rPr>
          <w:rFonts w:ascii="Times New Roman" w:hAnsi="Times New Roman" w:cs="Times New Roman"/>
          <w:color w:val="000000"/>
        </w:rPr>
        <w:t xml:space="preserve">ith SEM, the indirect effects were accounted for using the </w:t>
      </w:r>
      <w:r w:rsidRPr="00EF66BB">
        <w:rPr>
          <w:rFonts w:ascii="Times New Roman" w:hAnsi="Times New Roman" w:cs="Times New Roman"/>
        </w:rPr>
        <w:t xml:space="preserve">bias-corrected </w:t>
      </w:r>
      <w:r w:rsidRPr="00EF66BB">
        <w:rPr>
          <w:rFonts w:ascii="Times New Roman" w:hAnsi="Times New Roman" w:cs="Times New Roman"/>
          <w:color w:val="000000"/>
        </w:rPr>
        <w:t>95% confidence interval</w:t>
      </w:r>
      <w:r w:rsidR="00142284" w:rsidRPr="00EF66BB">
        <w:rPr>
          <w:rFonts w:ascii="Times New Roman" w:hAnsi="Times New Roman" w:cs="Times New Roman"/>
          <w:color w:val="000000"/>
        </w:rPr>
        <w:t xml:space="preserve"> with</w:t>
      </w:r>
      <w:r w:rsidRPr="00EF66BB">
        <w:rPr>
          <w:rFonts w:ascii="Times New Roman" w:hAnsi="Times New Roman" w:cs="Times New Roman"/>
          <w:color w:val="000000"/>
        </w:rPr>
        <w:t xml:space="preserve"> </w:t>
      </w:r>
      <w:r w:rsidR="000C0557" w:rsidRPr="00EF66BB">
        <w:rPr>
          <w:rFonts w:ascii="Times New Roman" w:hAnsi="Times New Roman" w:cs="Times New Roman"/>
          <w:color w:val="000000"/>
        </w:rPr>
        <w:t xml:space="preserve">2000 </w:t>
      </w:r>
      <w:r w:rsidRPr="00EF66BB">
        <w:rPr>
          <w:rFonts w:ascii="Times New Roman" w:hAnsi="Times New Roman" w:cs="Times New Roman"/>
          <w:color w:val="000000"/>
        </w:rPr>
        <w:lastRenderedPageBreak/>
        <w:t xml:space="preserve">bootstrapping samples </w:t>
      </w:r>
      <w:r w:rsidR="002834AD">
        <w:rPr>
          <w:rFonts w:ascii="Times New Roman" w:hAnsi="Times New Roman" w:cs="Times New Roman"/>
          <w:color w:val="000000"/>
        </w:rPr>
        <w:fldChar w:fldCharType="begin" w:fldLock="1"/>
      </w:r>
      <w:r w:rsidR="002834AD">
        <w:rPr>
          <w:rFonts w:ascii="Times New Roman" w:hAnsi="Times New Roman" w:cs="Times New Roman"/>
          <w:color w:val="000000"/>
        </w:rPr>
        <w:instrText>ADDIN CSL_CITATION {"citationItems":[{"id":"ITEM-1","itemData":{"author":[{"dropping-particle":"","family":"Selig","given":"J.P","non-dropping-particle":"","parse-names":false,"suffix":""},{"dropping-particle":"","family":"Preacher","given":"K.J","non-dropping-particle":"","parse-names":false,"suffix":""}],"id":"ITEM-1","issued":{"date-parts":[["2008"]]},"title":"Monte Carlo method for assessing mediation: An interactive tool for creating confidence intervals for indirect effects","type":"article"},"uris":["http://www.mendeley.com/documents/?uuid=e85bd942-0f9c-4acf-a0d2-e1488701afef"]}],"mendeley":{"formattedCitation":"(Selig and Preacher, 2008)","plainTextFormattedCitation":"(Selig and Preacher, 2008)","previouslyFormattedCitation":"(Selig and Preacher, 2008)"},"properties":{"noteIndex":0},"schema":"https://github.com/citation-style-language/schema/raw/master/csl-citation.json"}</w:instrText>
      </w:r>
      <w:r w:rsidR="002834AD">
        <w:rPr>
          <w:rFonts w:ascii="Times New Roman" w:hAnsi="Times New Roman" w:cs="Times New Roman"/>
          <w:color w:val="000000"/>
        </w:rPr>
        <w:fldChar w:fldCharType="separate"/>
      </w:r>
      <w:r w:rsidR="002834AD" w:rsidRPr="002834AD">
        <w:rPr>
          <w:rFonts w:ascii="Times New Roman" w:hAnsi="Times New Roman" w:cs="Times New Roman"/>
          <w:noProof/>
          <w:color w:val="000000"/>
        </w:rPr>
        <w:t>(Selig and Preacher, 2008)</w:t>
      </w:r>
      <w:r w:rsidR="002834AD">
        <w:rPr>
          <w:rFonts w:ascii="Times New Roman" w:hAnsi="Times New Roman" w:cs="Times New Roman"/>
          <w:color w:val="000000"/>
        </w:rPr>
        <w:fldChar w:fldCharType="end"/>
      </w:r>
      <w:r w:rsidRPr="00EF66BB">
        <w:rPr>
          <w:rFonts w:ascii="Times New Roman" w:hAnsi="Times New Roman" w:cs="Times New Roman"/>
          <w:color w:val="000000"/>
        </w:rPr>
        <w:t xml:space="preserve">. Bootstrapping was performed using nested modelling to </w:t>
      </w:r>
      <w:r w:rsidR="006D1AF6" w:rsidRPr="00EF66BB">
        <w:rPr>
          <w:rFonts w:ascii="Times New Roman" w:hAnsi="Times New Roman" w:cs="Times New Roman"/>
          <w:color w:val="000000"/>
        </w:rPr>
        <w:t xml:space="preserve">confirm full or partial </w:t>
      </w:r>
      <w:r w:rsidRPr="00EF66BB">
        <w:rPr>
          <w:rFonts w:ascii="Times New Roman" w:hAnsi="Times New Roman" w:cs="Times New Roman"/>
          <w:color w:val="000000"/>
        </w:rPr>
        <w:t>mediation.</w:t>
      </w:r>
      <w:r w:rsidR="003B2BF7" w:rsidRPr="00EF66BB">
        <w:rPr>
          <w:rFonts w:ascii="Times New Roman" w:hAnsi="Times New Roman" w:cs="Times New Roman"/>
          <w:color w:val="000000"/>
        </w:rPr>
        <w:t xml:space="preserve"> In</w:t>
      </w:r>
      <w:r w:rsidRPr="00EF66BB">
        <w:rPr>
          <w:rFonts w:ascii="Times New Roman" w:hAnsi="Times New Roman" w:cs="Times New Roman"/>
          <w:color w:val="000000"/>
        </w:rPr>
        <w:t xml:space="preserve"> </w:t>
      </w:r>
      <w:r w:rsidR="003B2BF7" w:rsidRPr="00EF66BB">
        <w:rPr>
          <w:rFonts w:ascii="Times New Roman" w:hAnsi="Times New Roman" w:cs="Times New Roman"/>
          <w:color w:val="000000"/>
        </w:rPr>
        <w:t>i</w:t>
      </w:r>
      <w:r w:rsidRPr="00EF66BB">
        <w:rPr>
          <w:rFonts w:ascii="Times New Roman" w:hAnsi="Times New Roman" w:cs="Times New Roman"/>
          <w:color w:val="000000"/>
        </w:rPr>
        <w:t>nstances where zero l</w:t>
      </w:r>
      <w:r w:rsidR="004629DB" w:rsidRPr="00EF66BB">
        <w:rPr>
          <w:rFonts w:ascii="Times New Roman" w:hAnsi="Times New Roman" w:cs="Times New Roman"/>
          <w:color w:val="000000"/>
        </w:rPr>
        <w:t xml:space="preserve">ay </w:t>
      </w:r>
      <w:r w:rsidRPr="00EF66BB">
        <w:rPr>
          <w:rFonts w:ascii="Times New Roman" w:hAnsi="Times New Roman" w:cs="Times New Roman"/>
          <w:color w:val="000000"/>
        </w:rPr>
        <w:t>within the lower and upper bound, the results associated with the indirect effect w</w:t>
      </w:r>
      <w:r w:rsidR="004629DB" w:rsidRPr="00EF66BB">
        <w:rPr>
          <w:rFonts w:ascii="Times New Roman" w:hAnsi="Times New Roman" w:cs="Times New Roman"/>
          <w:color w:val="000000"/>
        </w:rPr>
        <w:t>ere</w:t>
      </w:r>
      <w:r w:rsidRPr="00EF66BB">
        <w:rPr>
          <w:rFonts w:ascii="Times New Roman" w:hAnsi="Times New Roman" w:cs="Times New Roman"/>
          <w:color w:val="000000"/>
        </w:rPr>
        <w:t xml:space="preserve"> accepted</w:t>
      </w:r>
      <w:r w:rsidR="003B2BF7" w:rsidRPr="00EF66BB">
        <w:rPr>
          <w:rFonts w:ascii="Times New Roman" w:hAnsi="Times New Roman" w:cs="Times New Roman"/>
          <w:color w:val="000000"/>
        </w:rPr>
        <w:t>,</w:t>
      </w:r>
      <w:r w:rsidRPr="00EF66BB">
        <w:rPr>
          <w:rFonts w:ascii="Times New Roman" w:hAnsi="Times New Roman" w:cs="Times New Roman"/>
          <w:color w:val="000000"/>
        </w:rPr>
        <w:t xml:space="preserve"> rejecting the null hypothesis </w:t>
      </w:r>
      <w:r w:rsidR="00D61983" w:rsidRPr="00EF66BB">
        <w:rPr>
          <w:rFonts w:ascii="Times New Roman" w:hAnsi="Times New Roman" w:cs="Times New Roman"/>
          <w:color w:val="000000"/>
        </w:rPr>
        <w:t>with a p-value less than 0.05</w:t>
      </w:r>
      <w:r w:rsidRPr="00EF66BB">
        <w:rPr>
          <w:rFonts w:ascii="Times New Roman" w:hAnsi="Times New Roman" w:cs="Times New Roman"/>
          <w:color w:val="000000"/>
        </w:rPr>
        <w:t xml:space="preserve">.This method was more powerful than the </w:t>
      </w:r>
      <w:r w:rsidR="002834AD">
        <w:rPr>
          <w:rFonts w:ascii="Times New Roman" w:hAnsi="Times New Roman" w:cs="Times New Roman"/>
          <w:color w:val="000000"/>
        </w:rPr>
        <w:fldChar w:fldCharType="begin" w:fldLock="1"/>
      </w:r>
      <w:r w:rsidR="002834AD">
        <w:rPr>
          <w:rFonts w:ascii="Times New Roman" w:hAnsi="Times New Roman" w:cs="Times New Roman"/>
          <w:color w:val="000000"/>
        </w:rPr>
        <w:instrText>ADDIN CSL_CITATION {"citationItems":[{"id":"ITEM-1","itemData":{"DOI":"10.1037/0022-3514.51.6.1173","ISBN":"1939-1315(Electronic);0022-3514(Print)","ISSN":"0022-3514","PMID":"3806354","abstract":"In this article, we attempt to distinguish between the properties of moderator and mediator variables at a number of levels. First, we seek to make theorists and researchers aware of the importance of not using the terms moderator and mediator interchangeably by carefully elaborating, both conceptually and strategically, the many ways in which moderators and mediators differ. We then go beyond this largely pedagogical function and delineate the conceptual and strategic implications of making use of such distinctions with regard to a wide range of phenomena, including control and stress, attitudes, and personality traits. We also provide a specific compendium of analytic procedures appropriate for making the most effective use of the moderator and mediator distinction, both separately and in terms of a broader causal system that includes both moderators and mediators.","author":[{"dropping-particle":"","family":"Baron","given":"Reuben","non-dropping-particle":"","parse-names":false,"suffix":""},{"dropping-particle":"","family":"Kenny","given":"David","non-dropping-particle":"","parse-names":false,"suffix":""}],"container-title":"Journal of personality and social psychology","id":"ITEM-1","issue":"6","issued":{"date-parts":[["1986"]]},"page":"1173-1182","title":"The moderator-mediator variable distinction in social psychological research","type":"article-journal","volume":"51"},"uris":["http://www.mendeley.com/documents/?uuid=11e2304a-c917-4b50-99f5-459abf7de02d"]}],"mendeley":{"formattedCitation":"(Baron and Kenny, 1986)","manualFormatting":"Baron and Kenny (1986)","plainTextFormattedCitation":"(Baron and Kenny, 1986)","previouslyFormattedCitation":"(Baron and Kenny, 1986)"},"properties":{"noteIndex":0},"schema":"https://github.com/citation-style-language/schema/raw/master/csl-citation.json"}</w:instrText>
      </w:r>
      <w:r w:rsidR="002834AD">
        <w:rPr>
          <w:rFonts w:ascii="Times New Roman" w:hAnsi="Times New Roman" w:cs="Times New Roman"/>
          <w:color w:val="000000"/>
        </w:rPr>
        <w:fldChar w:fldCharType="separate"/>
      </w:r>
      <w:r w:rsidR="002834AD">
        <w:rPr>
          <w:rFonts w:ascii="Times New Roman" w:hAnsi="Times New Roman" w:cs="Times New Roman"/>
          <w:noProof/>
          <w:color w:val="000000"/>
        </w:rPr>
        <w:t>Baron and Kenny</w:t>
      </w:r>
      <w:r w:rsidR="002834AD" w:rsidRPr="002834AD">
        <w:rPr>
          <w:rFonts w:ascii="Times New Roman" w:hAnsi="Times New Roman" w:cs="Times New Roman"/>
          <w:noProof/>
          <w:color w:val="000000"/>
        </w:rPr>
        <w:t xml:space="preserve"> </w:t>
      </w:r>
      <w:r w:rsidR="002834AD">
        <w:rPr>
          <w:rFonts w:ascii="Times New Roman" w:hAnsi="Times New Roman" w:cs="Times New Roman"/>
          <w:noProof/>
          <w:color w:val="000000"/>
        </w:rPr>
        <w:t>(</w:t>
      </w:r>
      <w:r w:rsidR="002834AD" w:rsidRPr="002834AD">
        <w:rPr>
          <w:rFonts w:ascii="Times New Roman" w:hAnsi="Times New Roman" w:cs="Times New Roman"/>
          <w:noProof/>
          <w:color w:val="000000"/>
        </w:rPr>
        <w:t>1986)</w:t>
      </w:r>
      <w:r w:rsidR="002834AD">
        <w:rPr>
          <w:rFonts w:ascii="Times New Roman" w:hAnsi="Times New Roman" w:cs="Times New Roman"/>
          <w:color w:val="000000"/>
        </w:rPr>
        <w:fldChar w:fldCharType="end"/>
      </w:r>
      <w:r w:rsidRPr="00EF66BB">
        <w:rPr>
          <w:rFonts w:ascii="Times New Roman" w:hAnsi="Times New Roman" w:cs="Times New Roman"/>
          <w:color w:val="000000"/>
        </w:rPr>
        <w:t xml:space="preserve"> approach to test mediation effects as it calculates effect sizes for an estimate where the underlying distribution is unknown, which is the case with small sample sizes </w:t>
      </w:r>
      <w:r w:rsidR="004629DB" w:rsidRPr="00EF66BB">
        <w:rPr>
          <w:rFonts w:ascii="Times New Roman" w:hAnsi="Times New Roman" w:cs="Times New Roman"/>
          <w:color w:val="000000"/>
        </w:rPr>
        <w:t xml:space="preserve">as </w:t>
      </w:r>
      <w:r w:rsidRPr="00EF66BB">
        <w:rPr>
          <w:rFonts w:ascii="Times New Roman" w:hAnsi="Times New Roman" w:cs="Times New Roman"/>
          <w:color w:val="000000"/>
        </w:rPr>
        <w:t xml:space="preserve">used in this </w:t>
      </w:r>
      <w:r w:rsidR="004629DB" w:rsidRPr="00EF66BB">
        <w:rPr>
          <w:rFonts w:ascii="Times New Roman" w:hAnsi="Times New Roman" w:cs="Times New Roman"/>
          <w:color w:val="000000"/>
        </w:rPr>
        <w:t>research</w:t>
      </w:r>
      <w:r w:rsidRPr="00EF66BB">
        <w:rPr>
          <w:rFonts w:ascii="Times New Roman" w:hAnsi="Times New Roman" w:cs="Times New Roman"/>
          <w:color w:val="000000"/>
        </w:rPr>
        <w:t>. M</w:t>
      </w:r>
      <w:r w:rsidRPr="00EF66BB">
        <w:rPr>
          <w:rFonts w:ascii="Times New Roman" w:hAnsi="Times New Roman" w:cs="Times New Roman"/>
        </w:rPr>
        <w:t xml:space="preserve">oderated mediation using </w:t>
      </w:r>
      <w:proofErr w:type="spellStart"/>
      <w:r w:rsidRPr="00EF66BB">
        <w:rPr>
          <w:rFonts w:ascii="Times New Roman" w:hAnsi="Times New Roman" w:cs="Times New Roman"/>
        </w:rPr>
        <w:t>estima</w:t>
      </w:r>
      <w:r w:rsidR="007836CA" w:rsidRPr="00EF66BB">
        <w:rPr>
          <w:rFonts w:ascii="Times New Roman" w:hAnsi="Times New Roman" w:cs="Times New Roman"/>
        </w:rPr>
        <w:t>nd</w:t>
      </w:r>
      <w:proofErr w:type="spellEnd"/>
      <w:r w:rsidRPr="00EF66BB">
        <w:rPr>
          <w:rFonts w:ascii="Times New Roman" w:hAnsi="Times New Roman" w:cs="Times New Roman"/>
        </w:rPr>
        <w:t xml:space="preserve"> plug-in </w:t>
      </w:r>
      <w:proofErr w:type="spellStart"/>
      <w:r w:rsidRPr="00EF66BB">
        <w:rPr>
          <w:rFonts w:ascii="Times New Roman" w:hAnsi="Times New Roman" w:cs="Times New Roman"/>
        </w:rPr>
        <w:t>MyModMed</w:t>
      </w:r>
      <w:proofErr w:type="spellEnd"/>
      <w:r w:rsidRPr="00EF66BB">
        <w:rPr>
          <w:rFonts w:ascii="Times New Roman" w:hAnsi="Times New Roman" w:cs="Times New Roman"/>
        </w:rPr>
        <w:t xml:space="preserve"> in AMOS 24 was used to test for moderation of the two mediated relationships. Here</w:t>
      </w:r>
      <w:r w:rsidR="004629DB" w:rsidRPr="00EF66BB">
        <w:rPr>
          <w:rFonts w:ascii="Times New Roman" w:hAnsi="Times New Roman" w:cs="Times New Roman"/>
        </w:rPr>
        <w:t>,</w:t>
      </w:r>
      <w:r w:rsidRPr="00EF66BB">
        <w:rPr>
          <w:rFonts w:ascii="Times New Roman" w:hAnsi="Times New Roman" w:cs="Times New Roman"/>
        </w:rPr>
        <w:t xml:space="preserve"> composite measures were created to represent the mediator and the outcome variable in the SEM model</w:t>
      </w:r>
      <w:r w:rsidR="00523C1E" w:rsidRPr="00EF66BB">
        <w:rPr>
          <w:rFonts w:ascii="Times New Roman" w:hAnsi="Times New Roman" w:cs="Times New Roman"/>
        </w:rPr>
        <w:t>.</w:t>
      </w:r>
      <w:r w:rsidRPr="00EF66BB">
        <w:rPr>
          <w:rStyle w:val="FootnoteReference"/>
          <w:rFonts w:ascii="Times New Roman" w:hAnsi="Times New Roman" w:cs="Times New Roman"/>
          <w:color w:val="000000"/>
        </w:rPr>
        <w:footnoteReference w:id="4"/>
      </w:r>
      <w:r w:rsidRPr="00EF66BB">
        <w:rPr>
          <w:rFonts w:ascii="Times New Roman" w:hAnsi="Times New Roman" w:cs="Times New Roman"/>
        </w:rPr>
        <w:t xml:space="preserve"> </w:t>
      </w:r>
      <w:r w:rsidRPr="00EF66BB">
        <w:rPr>
          <w:rFonts w:ascii="Times New Roman" w:hAnsi="Times New Roman" w:cs="Times New Roman"/>
          <w:color w:val="000000"/>
        </w:rPr>
        <w:t xml:space="preserve">The </w:t>
      </w:r>
      <w:r w:rsidR="00C93899">
        <w:rPr>
          <w:rFonts w:ascii="Times New Roman" w:hAnsi="Times New Roman" w:cs="Times New Roman"/>
          <w:color w:val="000000"/>
        </w:rPr>
        <w:t>hypothesised</w:t>
      </w:r>
      <w:r w:rsidRPr="00EF66BB">
        <w:rPr>
          <w:rFonts w:ascii="Times New Roman" w:hAnsi="Times New Roman" w:cs="Times New Roman"/>
          <w:color w:val="000000"/>
        </w:rPr>
        <w:t xml:space="preserve"> moderated mediation model with latent variables was further tested using the PROCESS macro developed for SPSS </w:t>
      </w:r>
      <w:r w:rsidR="002834AD">
        <w:rPr>
          <w:rFonts w:ascii="Times New Roman" w:hAnsi="Times New Roman" w:cs="Times New Roman"/>
          <w:color w:val="000000"/>
        </w:rPr>
        <w:fldChar w:fldCharType="begin" w:fldLock="1"/>
      </w:r>
      <w:r w:rsidR="002834AD">
        <w:rPr>
          <w:rFonts w:ascii="Times New Roman" w:hAnsi="Times New Roman" w:cs="Times New Roman"/>
          <w:color w:val="000000"/>
        </w:rPr>
        <w:instrText>ADDIN CSL_CITATION {"citationItems":[{"id":"ITEM-1","itemData":{"author":[{"dropping-particle":"","family":"Hayes","given":"A.F","non-dropping-particle":"","parse-names":false,"suffix":""}],"id":"ITEM-1","issued":{"date-parts":[["2013"]]},"publisher":"Guildford Press","publisher-place":"New York: USA","title":"Methodology in the Social Sciences. Introduction to mediation, moderation and conditional process analysis: A regression-based approach","type":"book"},"uris":["http://www.mendeley.com/documents/?uuid=c5417140-c3c9-44d2-84c4-2079145afce6"]}],"mendeley":{"formattedCitation":"(Hayes, 2013)","plainTextFormattedCitation":"(Hayes, 2013)","previouslyFormattedCitation":"(Hayes, 2013)"},"properties":{"noteIndex":0},"schema":"https://github.com/citation-style-language/schema/raw/master/csl-citation.json"}</w:instrText>
      </w:r>
      <w:r w:rsidR="002834AD">
        <w:rPr>
          <w:rFonts w:ascii="Times New Roman" w:hAnsi="Times New Roman" w:cs="Times New Roman"/>
          <w:color w:val="000000"/>
        </w:rPr>
        <w:fldChar w:fldCharType="separate"/>
      </w:r>
      <w:r w:rsidR="002834AD" w:rsidRPr="002834AD">
        <w:rPr>
          <w:rFonts w:ascii="Times New Roman" w:hAnsi="Times New Roman" w:cs="Times New Roman"/>
          <w:noProof/>
          <w:color w:val="000000"/>
        </w:rPr>
        <w:t>(Hayes, 2013)</w:t>
      </w:r>
      <w:r w:rsidR="002834AD">
        <w:rPr>
          <w:rFonts w:ascii="Times New Roman" w:hAnsi="Times New Roman" w:cs="Times New Roman"/>
          <w:color w:val="000000"/>
        </w:rPr>
        <w:fldChar w:fldCharType="end"/>
      </w:r>
      <w:r w:rsidRPr="00EF66BB">
        <w:rPr>
          <w:rFonts w:ascii="Times New Roman" w:hAnsi="Times New Roman" w:cs="Times New Roman"/>
          <w:color w:val="000000"/>
        </w:rPr>
        <w:t xml:space="preserve"> and th</w:t>
      </w:r>
      <w:r w:rsidR="004629DB" w:rsidRPr="00EF66BB">
        <w:rPr>
          <w:rFonts w:ascii="Times New Roman" w:hAnsi="Times New Roman" w:cs="Times New Roman"/>
          <w:color w:val="000000"/>
        </w:rPr>
        <w:t>ese</w:t>
      </w:r>
      <w:r w:rsidRPr="00EF66BB">
        <w:rPr>
          <w:rFonts w:ascii="Times New Roman" w:hAnsi="Times New Roman" w:cs="Times New Roman"/>
          <w:color w:val="000000"/>
        </w:rPr>
        <w:t xml:space="preserve"> data w</w:t>
      </w:r>
      <w:r w:rsidR="004629DB" w:rsidRPr="00EF66BB">
        <w:rPr>
          <w:rFonts w:ascii="Times New Roman" w:hAnsi="Times New Roman" w:cs="Times New Roman"/>
          <w:color w:val="000000"/>
        </w:rPr>
        <w:t>ere</w:t>
      </w:r>
      <w:r w:rsidRPr="00EF66BB">
        <w:rPr>
          <w:rFonts w:ascii="Times New Roman" w:hAnsi="Times New Roman" w:cs="Times New Roman"/>
          <w:color w:val="000000"/>
        </w:rPr>
        <w:t xml:space="preserve"> used to provide graphical image</w:t>
      </w:r>
      <w:r w:rsidR="004629DB" w:rsidRPr="00EF66BB">
        <w:rPr>
          <w:rFonts w:ascii="Times New Roman" w:hAnsi="Times New Roman" w:cs="Times New Roman"/>
          <w:color w:val="000000"/>
        </w:rPr>
        <w:t>s</w:t>
      </w:r>
      <w:r w:rsidRPr="00EF66BB">
        <w:rPr>
          <w:rFonts w:ascii="Times New Roman" w:hAnsi="Times New Roman" w:cs="Times New Roman"/>
          <w:color w:val="000000"/>
        </w:rPr>
        <w:t xml:space="preserve"> of the moderation role. </w:t>
      </w:r>
    </w:p>
    <w:p w14:paraId="0D8F8F89" w14:textId="77777777" w:rsidR="003B2BF7" w:rsidRPr="00EF66BB" w:rsidRDefault="003B2BF7" w:rsidP="00141231">
      <w:pPr>
        <w:autoSpaceDE w:val="0"/>
        <w:autoSpaceDN w:val="0"/>
        <w:adjustRightInd w:val="0"/>
        <w:spacing w:line="360" w:lineRule="auto"/>
        <w:rPr>
          <w:rFonts w:ascii="Times New Roman" w:hAnsi="Times New Roman" w:cs="Times New Roman"/>
        </w:rPr>
      </w:pPr>
    </w:p>
    <w:p w14:paraId="33E1DDDE" w14:textId="4BFEEB24" w:rsidR="003A343A" w:rsidRPr="00EF66BB" w:rsidRDefault="003A343A" w:rsidP="00141231">
      <w:pPr>
        <w:pStyle w:val="Heading2"/>
        <w:spacing w:line="360" w:lineRule="auto"/>
        <w:rPr>
          <w:rFonts w:ascii="Times New Roman" w:hAnsi="Times New Roman" w:cs="Times New Roman"/>
          <w:sz w:val="24"/>
          <w:szCs w:val="24"/>
        </w:rPr>
      </w:pPr>
      <w:r w:rsidRPr="00EF66BB">
        <w:rPr>
          <w:rFonts w:ascii="Times New Roman" w:hAnsi="Times New Roman" w:cs="Times New Roman"/>
          <w:sz w:val="24"/>
          <w:szCs w:val="24"/>
        </w:rPr>
        <w:t xml:space="preserve">4.0 Data Analysis </w:t>
      </w:r>
    </w:p>
    <w:p w14:paraId="37B39E61" w14:textId="77777777" w:rsidR="003B2BF7" w:rsidRPr="00EF66BB" w:rsidRDefault="003B2BF7" w:rsidP="00141231">
      <w:pPr>
        <w:autoSpaceDE w:val="0"/>
        <w:autoSpaceDN w:val="0"/>
        <w:adjustRightInd w:val="0"/>
        <w:spacing w:line="360" w:lineRule="auto"/>
        <w:rPr>
          <w:rFonts w:ascii="Times New Roman" w:hAnsi="Times New Roman" w:cs="Times New Roman"/>
        </w:rPr>
      </w:pPr>
    </w:p>
    <w:p w14:paraId="5249F5B1" w14:textId="60BB649F" w:rsidR="00732CB8" w:rsidRPr="00414FA4" w:rsidRDefault="003A343A" w:rsidP="00141231">
      <w:pPr>
        <w:pStyle w:val="Heading3"/>
        <w:spacing w:line="480" w:lineRule="auto"/>
        <w:rPr>
          <w:rFonts w:ascii="Times New Roman" w:hAnsi="Times New Roman" w:cs="Times New Roman"/>
        </w:rPr>
      </w:pPr>
      <w:r w:rsidRPr="00414FA4">
        <w:rPr>
          <w:rFonts w:ascii="Times New Roman" w:hAnsi="Times New Roman" w:cs="Times New Roman"/>
        </w:rPr>
        <w:t xml:space="preserve">4.1 </w:t>
      </w:r>
      <w:r w:rsidR="009A5A88" w:rsidRPr="00414FA4">
        <w:rPr>
          <w:rFonts w:ascii="Times New Roman" w:hAnsi="Times New Roman" w:cs="Times New Roman"/>
        </w:rPr>
        <w:t>Confirmatory Factor Analysis</w:t>
      </w:r>
      <w:r w:rsidR="007A6850" w:rsidRPr="00414FA4">
        <w:rPr>
          <w:rFonts w:ascii="Times New Roman" w:hAnsi="Times New Roman" w:cs="Times New Roman"/>
        </w:rPr>
        <w:t xml:space="preserve"> (CFA)</w:t>
      </w:r>
    </w:p>
    <w:p w14:paraId="03049AC6" w14:textId="54E0D4EE" w:rsidR="001A3E4C" w:rsidRPr="00EF66BB" w:rsidRDefault="001A3E4C" w:rsidP="00141231">
      <w:pPr>
        <w:autoSpaceDE w:val="0"/>
        <w:autoSpaceDN w:val="0"/>
        <w:adjustRightInd w:val="0"/>
        <w:spacing w:line="360" w:lineRule="auto"/>
        <w:rPr>
          <w:rFonts w:ascii="Times New Roman" w:hAnsi="Times New Roman" w:cs="Times New Roman"/>
        </w:rPr>
      </w:pPr>
      <w:r w:rsidRPr="00CD0532">
        <w:rPr>
          <w:rFonts w:ascii="Times New Roman" w:hAnsi="Times New Roman" w:cs="Times New Roman"/>
        </w:rPr>
        <w:t xml:space="preserve">Using EFA results, we </w:t>
      </w:r>
      <w:r w:rsidR="007A6850" w:rsidRPr="00CD0532">
        <w:rPr>
          <w:rFonts w:ascii="Times New Roman" w:hAnsi="Times New Roman" w:cs="Times New Roman"/>
        </w:rPr>
        <w:t xml:space="preserve">compared </w:t>
      </w:r>
      <w:r w:rsidRPr="00CD0532">
        <w:rPr>
          <w:rFonts w:ascii="Times New Roman" w:hAnsi="Times New Roman" w:cs="Times New Roman"/>
        </w:rPr>
        <w:t xml:space="preserve">a series of </w:t>
      </w:r>
      <w:r w:rsidR="00AD6070" w:rsidRPr="00CD0532">
        <w:rPr>
          <w:rFonts w:ascii="Times New Roman" w:hAnsi="Times New Roman" w:cs="Times New Roman"/>
        </w:rPr>
        <w:t xml:space="preserve">nested </w:t>
      </w:r>
      <w:r w:rsidR="007A6850" w:rsidRPr="00CD0532">
        <w:rPr>
          <w:rFonts w:ascii="Times New Roman" w:hAnsi="Times New Roman" w:cs="Times New Roman"/>
        </w:rPr>
        <w:t>CFA</w:t>
      </w:r>
      <w:r w:rsidR="00AD6070" w:rsidRPr="00CD0532">
        <w:rPr>
          <w:rFonts w:ascii="Times New Roman" w:hAnsi="Times New Roman" w:cs="Times New Roman"/>
        </w:rPr>
        <w:t xml:space="preserve"> models to select the best fitting model</w:t>
      </w:r>
      <w:r w:rsidR="007A6850" w:rsidRPr="00CD0532">
        <w:rPr>
          <w:rFonts w:ascii="Times New Roman" w:hAnsi="Times New Roman" w:cs="Times New Roman"/>
        </w:rPr>
        <w:t xml:space="preserve"> (see </w:t>
      </w:r>
      <w:r w:rsidR="00244071" w:rsidRPr="00CD0532">
        <w:rPr>
          <w:rFonts w:ascii="Times New Roman" w:hAnsi="Times New Roman" w:cs="Times New Roman"/>
        </w:rPr>
        <w:t>A</w:t>
      </w:r>
      <w:r w:rsidR="007A6850" w:rsidRPr="00CD0532">
        <w:rPr>
          <w:rFonts w:ascii="Times New Roman" w:hAnsi="Times New Roman" w:cs="Times New Roman"/>
        </w:rPr>
        <w:t>ppendix 1 for results and selection process)</w:t>
      </w:r>
      <w:r w:rsidRPr="00CD0532">
        <w:rPr>
          <w:rFonts w:ascii="Times New Roman" w:hAnsi="Times New Roman" w:cs="Times New Roman"/>
        </w:rPr>
        <w:t xml:space="preserve">. </w:t>
      </w:r>
      <w:r w:rsidR="007A6850" w:rsidRPr="00CD0532">
        <w:rPr>
          <w:rFonts w:ascii="Times New Roman" w:hAnsi="Times New Roman" w:cs="Times New Roman"/>
        </w:rPr>
        <w:t>A chi-square difference test showed that the two factor model consisting of the mediator variable and the output variable exhibited a significantly better fit than any other alternative model (</w:t>
      </w:r>
      <w:r w:rsidR="007A6850" w:rsidRPr="00CD0532">
        <w:rPr>
          <w:rFonts w:ascii="Times New Roman" w:eastAsia="TimesNewRoman" w:hAnsi="Times New Roman" w:cs="Times New Roman"/>
        </w:rPr>
        <w:t>χ</w:t>
      </w:r>
      <w:r w:rsidR="007A6850" w:rsidRPr="00CD0532">
        <w:rPr>
          <w:rFonts w:ascii="Times New Roman" w:eastAsia="TimesNewRoman" w:hAnsi="Times New Roman" w:cs="Times New Roman"/>
          <w:vertAlign w:val="superscript"/>
        </w:rPr>
        <w:t>2</w:t>
      </w:r>
      <w:r w:rsidR="007A6850" w:rsidRPr="00CD0532">
        <w:rPr>
          <w:rFonts w:ascii="Times New Roman" w:eastAsia="TimesNewRoman" w:hAnsi="Times New Roman" w:cs="Times New Roman"/>
        </w:rPr>
        <w:t xml:space="preserve">= 19.468; </w:t>
      </w:r>
      <w:proofErr w:type="spellStart"/>
      <w:r w:rsidR="007A6850" w:rsidRPr="00CD0532">
        <w:rPr>
          <w:rFonts w:ascii="Times New Roman" w:eastAsia="TimesNewRoman" w:hAnsi="Times New Roman" w:cs="Times New Roman"/>
          <w:i/>
        </w:rPr>
        <w:t>df</w:t>
      </w:r>
      <w:proofErr w:type="spellEnd"/>
      <w:r w:rsidR="007A6850" w:rsidRPr="00CD0532">
        <w:rPr>
          <w:rFonts w:ascii="Times New Roman" w:eastAsia="TimesNewRoman" w:hAnsi="Times New Roman" w:cs="Times New Roman"/>
        </w:rPr>
        <w:t xml:space="preserve"> =8; CFI = 0.955).</w:t>
      </w:r>
      <w:r w:rsidR="007A6850" w:rsidRPr="009C79C2">
        <w:rPr>
          <w:rFonts w:ascii="Times New Roman" w:eastAsia="TimesNewRoman" w:hAnsi="Times New Roman" w:cs="Times New Roman"/>
          <w:sz w:val="22"/>
          <w:szCs w:val="22"/>
        </w:rPr>
        <w:t xml:space="preserve"> </w:t>
      </w:r>
      <w:r w:rsidRPr="00EF66BB">
        <w:rPr>
          <w:rFonts w:ascii="Times New Roman" w:hAnsi="Times New Roman" w:cs="Times New Roman"/>
        </w:rPr>
        <w:t xml:space="preserve">This best fitting model was then used to examine construct validity and reliability using CFA Maximum Likelihood estimation method.  </w:t>
      </w:r>
      <w:r w:rsidR="00523C1E" w:rsidRPr="00EF66BB">
        <w:rPr>
          <w:rFonts w:ascii="Times New Roman" w:hAnsi="Times New Roman" w:cs="Times New Roman"/>
        </w:rPr>
        <w:t xml:space="preserve">Regarding </w:t>
      </w:r>
      <w:r w:rsidRPr="00EF66BB">
        <w:rPr>
          <w:rFonts w:ascii="Times New Roman" w:hAnsi="Times New Roman" w:cs="Times New Roman"/>
        </w:rPr>
        <w:t>the measurement model, we assess</w:t>
      </w:r>
      <w:r w:rsidR="00523C1E" w:rsidRPr="00EF66BB">
        <w:rPr>
          <w:rFonts w:ascii="Times New Roman" w:hAnsi="Times New Roman" w:cs="Times New Roman"/>
        </w:rPr>
        <w:t>ed</w:t>
      </w:r>
      <w:r w:rsidR="0030131C" w:rsidRPr="00EF66BB">
        <w:rPr>
          <w:rFonts w:ascii="Times New Roman" w:hAnsi="Times New Roman" w:cs="Times New Roman"/>
        </w:rPr>
        <w:t xml:space="preserve"> </w:t>
      </w:r>
      <w:r w:rsidRPr="00EF66BB">
        <w:rPr>
          <w:rFonts w:ascii="Times New Roman" w:hAnsi="Times New Roman" w:cs="Times New Roman"/>
        </w:rPr>
        <w:t>individual item reliability (</w:t>
      </w:r>
      <w:r w:rsidR="009C79C2">
        <w:rPr>
          <w:rFonts w:ascii="Times New Roman" w:hAnsi="Times New Roman" w:cs="Times New Roman"/>
        </w:rPr>
        <w:t xml:space="preserve">see </w:t>
      </w:r>
      <w:r w:rsidRPr="00EF66BB">
        <w:rPr>
          <w:rFonts w:ascii="Times New Roman" w:hAnsi="Times New Roman" w:cs="Times New Roman"/>
        </w:rPr>
        <w:t>Tabl</w:t>
      </w:r>
      <w:r w:rsidR="00C72236">
        <w:rPr>
          <w:rFonts w:ascii="Times New Roman" w:hAnsi="Times New Roman" w:cs="Times New Roman"/>
        </w:rPr>
        <w:t xml:space="preserve">e </w:t>
      </w:r>
      <w:r w:rsidR="00A87C06">
        <w:rPr>
          <w:rFonts w:ascii="Times New Roman" w:hAnsi="Times New Roman" w:cs="Times New Roman"/>
        </w:rPr>
        <w:t>A</w:t>
      </w:r>
      <w:r w:rsidR="009C79C2">
        <w:rPr>
          <w:rFonts w:ascii="Times New Roman" w:hAnsi="Times New Roman" w:cs="Times New Roman"/>
        </w:rPr>
        <w:t xml:space="preserve"> in Appendix 1</w:t>
      </w:r>
      <w:r w:rsidRPr="00EF66BB">
        <w:rPr>
          <w:rFonts w:ascii="Times New Roman" w:hAnsi="Times New Roman" w:cs="Times New Roman"/>
        </w:rPr>
        <w:t xml:space="preserve">). Loadings are generally above the accepted threshold of 0.6 </w:t>
      </w:r>
      <w:r w:rsidR="002834AD">
        <w:rPr>
          <w:rFonts w:ascii="Times New Roman" w:hAnsi="Times New Roman" w:cs="Times New Roman"/>
        </w:rPr>
        <w:fldChar w:fldCharType="begin" w:fldLock="1"/>
      </w:r>
      <w:r w:rsidR="002834AD">
        <w:rPr>
          <w:rFonts w:ascii="Times New Roman" w:hAnsi="Times New Roman" w:cs="Times New Roman"/>
        </w:rPr>
        <w:instrText>ADDIN CSL_CITATION {"citationItems":[{"id":"ITEM-1","itemData":{"author":[{"dropping-particle":"","family":"Nunally","given":"J.C","non-dropping-particle":"","parse-names":false,"suffix":""}],"edition":"2nd","id":"ITEM-1","issued":{"date-parts":[["1978"]]},"publisher":"McGraw-Hill","publisher-place":"New York: USA","title":"Psychometric Theory","type":"book"},"uris":["http://www.mendeley.com/documents/?uuid=6afb330e-9bd9-4fc7-926a-42ec28500363"]}],"mendeley":{"formattedCitation":"(Nunally, 1978)","plainTextFormattedCitation":"(Nunally, 1978)","previouslyFormattedCitation":"(Nunally, 1978)"},"properties":{"noteIndex":0},"schema":"https://github.com/citation-style-language/schema/raw/master/csl-citation.json"}</w:instrText>
      </w:r>
      <w:r w:rsidR="002834AD">
        <w:rPr>
          <w:rFonts w:ascii="Times New Roman" w:hAnsi="Times New Roman" w:cs="Times New Roman"/>
        </w:rPr>
        <w:fldChar w:fldCharType="separate"/>
      </w:r>
      <w:r w:rsidR="002834AD" w:rsidRPr="002834AD">
        <w:rPr>
          <w:rFonts w:ascii="Times New Roman" w:hAnsi="Times New Roman" w:cs="Times New Roman"/>
          <w:noProof/>
        </w:rPr>
        <w:t>(Nunally, 1978)</w:t>
      </w:r>
      <w:r w:rsidR="002834AD">
        <w:rPr>
          <w:rFonts w:ascii="Times New Roman" w:hAnsi="Times New Roman" w:cs="Times New Roman"/>
        </w:rPr>
        <w:fldChar w:fldCharType="end"/>
      </w:r>
      <w:r w:rsidRPr="00EF66BB">
        <w:rPr>
          <w:rFonts w:ascii="Times New Roman" w:hAnsi="Times New Roman" w:cs="Times New Roman"/>
        </w:rPr>
        <w:t xml:space="preserve">. In addition, both constructs and dimensions achieve convergent validity as indicated by the average variance extracted (AVE) rates of over 0.5 </w:t>
      </w:r>
      <w:r w:rsidR="002834AD">
        <w:rPr>
          <w:rFonts w:ascii="Times New Roman" w:hAnsi="Times New Roman" w:cs="Times New Roman"/>
        </w:rPr>
        <w:fldChar w:fldCharType="begin" w:fldLock="1"/>
      </w:r>
      <w:r w:rsidR="007A2BD1">
        <w:rPr>
          <w:rFonts w:ascii="Times New Roman" w:hAnsi="Times New Roman" w:cs="Times New Roman"/>
        </w:rPr>
        <w:instrText>ADDIN CSL_CITATION {"citationItems":[{"id":"ITEM-1","itemData":{"DOI":"10.1007/s11747-011-0278-x","ISBN":"1174701102","ISSN":"00920703","PMID":"70072056","abstract":"We provide a comprehensive and user-friendly compendium of standards for the use and interpretation of structural equation models (SEMs). To both read about and do research that employs SEMs, it is necessary to master the art and science of the statistical procedures underpin-ning SEMs in an integrative way with the substantive concepts, theories, and hypotheses that researchers desire to examine. Our aim is to remove some of the mystery and uncertainty of the use of SEMs, while conveying the spirit of their possibilities.","author":[{"dropping-particle":"","family":"Bagozzi","given":"Richard P.","non-dropping-particle":"","parse-names":false,"suffix":""},{"dropping-particle":"","family":"Yi","given":"Youjae","non-dropping-particle":"","parse-names":false,"suffix":""}],"container-title":"Journal of the Academy of Marketing Science","id":"ITEM-1","issue":"1","issued":{"date-parts":[["2012"]]},"page":"8-34","title":"Specification, evaluation, and interpretation of structural equation models","type":"article-journal","volume":"40"},"uris":["http://www.mendeley.com/documents/?uuid=ab6cefbf-48aa-4e34-b634-52d42925130c"]}],"mendeley":{"formattedCitation":"(Bagozzi and Yi, 2012)","plainTextFormattedCitation":"(Bagozzi and Yi, 2012)","previouslyFormattedCitation":"(Bagozzi and Yi, 2012)"},"properties":{"noteIndex":0},"schema":"https://github.com/citation-style-language/schema/raw/master/csl-citation.json"}</w:instrText>
      </w:r>
      <w:r w:rsidR="002834AD">
        <w:rPr>
          <w:rFonts w:ascii="Times New Roman" w:hAnsi="Times New Roman" w:cs="Times New Roman"/>
        </w:rPr>
        <w:fldChar w:fldCharType="separate"/>
      </w:r>
      <w:r w:rsidR="002834AD" w:rsidRPr="002834AD">
        <w:rPr>
          <w:rFonts w:ascii="Times New Roman" w:hAnsi="Times New Roman" w:cs="Times New Roman"/>
          <w:noProof/>
        </w:rPr>
        <w:t>(Bagozzi and Yi, 2012)</w:t>
      </w:r>
      <w:r w:rsidR="002834AD">
        <w:rPr>
          <w:rFonts w:ascii="Times New Roman" w:hAnsi="Times New Roman" w:cs="Times New Roman"/>
        </w:rPr>
        <w:fldChar w:fldCharType="end"/>
      </w:r>
      <w:r w:rsidR="009C79C2">
        <w:rPr>
          <w:rFonts w:ascii="Times New Roman" w:hAnsi="Times New Roman" w:cs="Times New Roman"/>
        </w:rPr>
        <w:t xml:space="preserve"> and </w:t>
      </w:r>
      <w:r w:rsidRPr="00EF66BB">
        <w:rPr>
          <w:rFonts w:ascii="Times New Roman" w:hAnsi="Times New Roman" w:cs="Times New Roman"/>
        </w:rPr>
        <w:t>discriminant validity</w:t>
      </w:r>
      <w:r w:rsidR="009C79C2">
        <w:rPr>
          <w:rFonts w:ascii="Times New Roman" w:hAnsi="Times New Roman" w:cs="Times New Roman"/>
        </w:rPr>
        <w:t xml:space="preserve"> by the </w:t>
      </w:r>
      <w:r w:rsidR="009C79C2" w:rsidRPr="00EF66BB">
        <w:rPr>
          <w:rFonts w:ascii="Times New Roman" w:eastAsia="TimesNewRoman" w:hAnsi="Times New Roman" w:cs="Times New Roman"/>
        </w:rPr>
        <w:t xml:space="preserve">significant chi-square </w:t>
      </w:r>
      <w:r w:rsidR="009C79C2" w:rsidRPr="00EF66BB">
        <w:rPr>
          <w:rFonts w:ascii="Times New Roman" w:eastAsia="TimesNewRoman" w:hAnsi="Times New Roman" w:cs="Times New Roman"/>
        </w:rPr>
        <w:lastRenderedPageBreak/>
        <w:t>differences between the constrained and unconstrained models (Δχ</w:t>
      </w:r>
      <w:r w:rsidR="009C79C2" w:rsidRPr="009C79C2">
        <w:rPr>
          <w:rFonts w:ascii="Times New Roman" w:eastAsia="TimesNewRoman" w:hAnsi="Times New Roman" w:cs="Times New Roman"/>
          <w:vertAlign w:val="superscript"/>
        </w:rPr>
        <w:t>2</w:t>
      </w:r>
      <w:r w:rsidR="009C79C2" w:rsidRPr="00EF66BB">
        <w:rPr>
          <w:rFonts w:ascii="Times New Roman" w:eastAsia="TimesNewRoman" w:hAnsi="Times New Roman" w:cs="Times New Roman"/>
        </w:rPr>
        <w:t xml:space="preserve">(12) = 4.53, </w:t>
      </w:r>
      <w:r w:rsidR="009C79C2" w:rsidRPr="00EF66BB">
        <w:rPr>
          <w:rFonts w:ascii="Times New Roman" w:hAnsi="Times New Roman" w:cs="Times New Roman"/>
          <w:i/>
          <w:iCs/>
        </w:rPr>
        <w:t xml:space="preserve">p </w:t>
      </w:r>
      <w:r w:rsidR="009C79C2" w:rsidRPr="00EF66BB">
        <w:rPr>
          <w:rFonts w:ascii="Times New Roman" w:eastAsia="TimesNewRoman" w:hAnsi="Times New Roman" w:cs="Times New Roman"/>
        </w:rPr>
        <w:t>&lt; 0.05)</w:t>
      </w:r>
      <w:r w:rsidR="009C79C2">
        <w:rPr>
          <w:rFonts w:ascii="Times New Roman" w:hAnsi="Times New Roman" w:cs="Times New Roman"/>
        </w:rPr>
        <w:t xml:space="preserve"> (</w:t>
      </w:r>
      <w:r w:rsidR="009C79C2">
        <w:rPr>
          <w:rFonts w:ascii="Times New Roman" w:eastAsia="TimesNewRoman" w:hAnsi="Times New Roman" w:cs="Times New Roman"/>
        </w:rPr>
        <w:fldChar w:fldCharType="begin" w:fldLock="1"/>
      </w:r>
      <w:r w:rsidR="00CD0532">
        <w:rPr>
          <w:rFonts w:ascii="Times New Roman" w:eastAsia="TimesNewRoman" w:hAnsi="Times New Roman" w:cs="Times New Roman"/>
        </w:rPr>
        <w:instrText>ADDIN CSL_CITATION {"citationItems":[{"id":"ITEM-1","itemData":{"DOI":"10.1037/0033-2909.103.3.411","ISBN":"0033-2909\\r1939-1455","ISSN":"1939-1455","PMID":"3802905","abstract":"In this article, we provide guidance for substantive researchers on the use of structural equation modeling in practice for theory testing and development. We present a comprehensive, two-step modeling approach that employs a series of nested models and sequential chi-square difference tests. We discuss the comparative advantages of this approach over a one-step approach. Considerations in specification, assessment of fit, and respecification of measurement models using confirmatory factor analysis are reviewed. As background to the two-step approach, the distinction between ex- ploratory and confirmatory analysis, the distinction between complementary approaches for theory testing versus predictive application, and some developments in estimation methods also are dis- cussed.","author":[{"dropping-particle":"","family":"Anderson","given":"James","non-dropping-particle":"","parse-names":false,"suffix":""},{"dropping-particle":"","family":"Gerbing","given":"David","non-dropping-particle":"","parse-names":false,"suffix":""}],"container-title":"Psychological Bulletin","id":"ITEM-1","issue":"3","issued":{"date-parts":[["1988"]]},"page":"411-423","title":"Structural Equation Modeling in Practice: A Review and Recommended Two-Step Approach","type":"article-journal","volume":"103"},"uris":["http://www.mendeley.com/documents/?uuid=97e5cdc5-4c48-45cc-80cd-41e699b3d54b"]}],"mendeley":{"formattedCitation":"(Anderson and Gerbing, 1988)","manualFormatting":"Anderson and Gerbing, 1988)","plainTextFormattedCitation":"(Anderson and Gerbing, 1988)","previouslyFormattedCitation":"(Anderson and Gerbing, 1988)"},"properties":{"noteIndex":0},"schema":"https://github.com/citation-style-language/schema/raw/master/csl-citation.json"}</w:instrText>
      </w:r>
      <w:r w:rsidR="009C79C2">
        <w:rPr>
          <w:rFonts w:ascii="Times New Roman" w:eastAsia="TimesNewRoman" w:hAnsi="Times New Roman" w:cs="Times New Roman"/>
        </w:rPr>
        <w:fldChar w:fldCharType="separate"/>
      </w:r>
      <w:r w:rsidR="009C79C2" w:rsidRPr="007A2BD1">
        <w:rPr>
          <w:rFonts w:ascii="Times New Roman" w:eastAsia="TimesNewRoman" w:hAnsi="Times New Roman" w:cs="Times New Roman"/>
          <w:noProof/>
        </w:rPr>
        <w:t>Ander</w:t>
      </w:r>
      <w:r w:rsidR="009C79C2">
        <w:rPr>
          <w:rFonts w:ascii="Times New Roman" w:eastAsia="TimesNewRoman" w:hAnsi="Times New Roman" w:cs="Times New Roman"/>
          <w:noProof/>
        </w:rPr>
        <w:t xml:space="preserve">son and Gerbing, </w:t>
      </w:r>
      <w:r w:rsidR="009C79C2" w:rsidRPr="007A2BD1">
        <w:rPr>
          <w:rFonts w:ascii="Times New Roman" w:eastAsia="TimesNewRoman" w:hAnsi="Times New Roman" w:cs="Times New Roman"/>
          <w:noProof/>
        </w:rPr>
        <w:t>1988)</w:t>
      </w:r>
      <w:r w:rsidR="009C79C2">
        <w:rPr>
          <w:rFonts w:ascii="Times New Roman" w:eastAsia="TimesNewRoman" w:hAnsi="Times New Roman" w:cs="Times New Roman"/>
        </w:rPr>
        <w:fldChar w:fldCharType="end"/>
      </w:r>
      <w:r w:rsidR="009C79C2">
        <w:rPr>
          <w:rStyle w:val="FootnoteReference"/>
          <w:rFonts w:ascii="Times New Roman" w:eastAsia="TimesNewRoman" w:hAnsi="Times New Roman" w:cs="Times New Roman"/>
        </w:rPr>
        <w:footnoteReference w:id="5"/>
      </w:r>
      <w:r w:rsidR="00A87C06">
        <w:rPr>
          <w:rFonts w:ascii="Times New Roman" w:hAnsi="Times New Roman" w:cs="Times New Roman"/>
        </w:rPr>
        <w:t>.</w:t>
      </w:r>
    </w:p>
    <w:p w14:paraId="515BAF6F" w14:textId="77777777" w:rsidR="00A87C06" w:rsidRDefault="00A87C06" w:rsidP="00141231">
      <w:pPr>
        <w:autoSpaceDE w:val="0"/>
        <w:autoSpaceDN w:val="0"/>
        <w:adjustRightInd w:val="0"/>
        <w:spacing w:line="360" w:lineRule="auto"/>
        <w:rPr>
          <w:rFonts w:ascii="Times New Roman" w:eastAsia="TimesNewRoman" w:hAnsi="Times New Roman" w:cs="Times New Roman"/>
        </w:rPr>
      </w:pPr>
    </w:p>
    <w:p w14:paraId="36282BD0" w14:textId="566FB4BC" w:rsidR="00CE0F15" w:rsidRDefault="001A3E4C" w:rsidP="00141231">
      <w:pPr>
        <w:autoSpaceDE w:val="0"/>
        <w:autoSpaceDN w:val="0"/>
        <w:adjustRightInd w:val="0"/>
        <w:spacing w:line="360" w:lineRule="auto"/>
        <w:rPr>
          <w:rFonts w:ascii="Times New Roman" w:hAnsi="Times New Roman" w:cs="Times New Roman"/>
        </w:rPr>
      </w:pPr>
      <w:r w:rsidRPr="00EF66BB">
        <w:rPr>
          <w:rFonts w:ascii="Times New Roman" w:eastAsia="TimesNewRoman" w:hAnsi="Times New Roman" w:cs="Times New Roman"/>
        </w:rPr>
        <w:t xml:space="preserve">Table </w:t>
      </w:r>
      <w:r w:rsidR="00A87C06">
        <w:rPr>
          <w:rFonts w:ascii="Times New Roman" w:eastAsia="TimesNewRoman" w:hAnsi="Times New Roman" w:cs="Times New Roman"/>
        </w:rPr>
        <w:t>1</w:t>
      </w:r>
      <w:r w:rsidRPr="00EF66BB">
        <w:rPr>
          <w:rFonts w:ascii="Times New Roman" w:eastAsia="TimesNewRoman" w:hAnsi="Times New Roman" w:cs="Times New Roman"/>
        </w:rPr>
        <w:t xml:space="preserve"> presents the descriptive statistics, zero-order correlations for latent variables, the two exogenous variables and control variables. </w:t>
      </w:r>
      <w:r w:rsidRPr="00EF66BB">
        <w:rPr>
          <w:rFonts w:ascii="Times New Roman" w:hAnsi="Times New Roman" w:cs="Times New Roman"/>
        </w:rPr>
        <w:t xml:space="preserve">As shown in the </w:t>
      </w:r>
      <w:r w:rsidR="00523C1E" w:rsidRPr="00EF66BB">
        <w:rPr>
          <w:rFonts w:ascii="Times New Roman" w:hAnsi="Times New Roman" w:cs="Times New Roman"/>
        </w:rPr>
        <w:t>T</w:t>
      </w:r>
      <w:r w:rsidRPr="00EF66BB">
        <w:rPr>
          <w:rFonts w:ascii="Times New Roman" w:hAnsi="Times New Roman" w:cs="Times New Roman"/>
        </w:rPr>
        <w:t xml:space="preserve">able, moderate positive or negative correlations were evident among the variables. We also studied the bi-variate correlations for regional dummies but as none of them significantly associated with the mediator and outcome variables these were not included in the </w:t>
      </w:r>
      <w:r w:rsidR="00523C1E" w:rsidRPr="00EF66BB">
        <w:rPr>
          <w:rFonts w:ascii="Times New Roman" w:hAnsi="Times New Roman" w:cs="Times New Roman"/>
        </w:rPr>
        <w:t>T</w:t>
      </w:r>
      <w:r w:rsidRPr="00EF66BB">
        <w:rPr>
          <w:rFonts w:ascii="Times New Roman" w:hAnsi="Times New Roman" w:cs="Times New Roman"/>
        </w:rPr>
        <w:t>able or in</w:t>
      </w:r>
      <w:r w:rsidR="007A2BD1">
        <w:rPr>
          <w:rFonts w:ascii="Times New Roman" w:hAnsi="Times New Roman" w:cs="Times New Roman"/>
        </w:rPr>
        <w:t xml:space="preserve"> the SEM model for parsimony.</w:t>
      </w:r>
      <w:r w:rsidR="001D1B15">
        <w:rPr>
          <w:rFonts w:ascii="Times New Roman" w:hAnsi="Times New Roman" w:cs="Times New Roman"/>
        </w:rPr>
        <w:t xml:space="preserve"> The correlations between the key variables suggest that the coefficients </w:t>
      </w:r>
      <w:r w:rsidR="001D1B15" w:rsidRPr="00FE1D43">
        <w:rPr>
          <w:rFonts w:ascii="Times New Roman" w:hAnsi="Times New Roman" w:cs="Times New Roman"/>
        </w:rPr>
        <w:t>are largely in the expected direction</w:t>
      </w:r>
      <w:r w:rsidR="001D1B15">
        <w:rPr>
          <w:rFonts w:ascii="Times New Roman" w:hAnsi="Times New Roman" w:cs="Times New Roman"/>
        </w:rPr>
        <w:t xml:space="preserve"> and are statistically significant. </w:t>
      </w:r>
    </w:p>
    <w:p w14:paraId="167575E7" w14:textId="77777777" w:rsidR="00414FA4" w:rsidRDefault="00414FA4" w:rsidP="00141231">
      <w:pPr>
        <w:autoSpaceDE w:val="0"/>
        <w:autoSpaceDN w:val="0"/>
        <w:adjustRightInd w:val="0"/>
        <w:spacing w:line="360" w:lineRule="auto"/>
        <w:rPr>
          <w:rFonts w:ascii="Times New Roman" w:hAnsi="Times New Roman" w:cs="Times New Roman"/>
        </w:rPr>
      </w:pPr>
    </w:p>
    <w:p w14:paraId="48BE4E44" w14:textId="065A4CFD" w:rsidR="001A3E4C" w:rsidRPr="00EF66BB" w:rsidRDefault="001A3E4C" w:rsidP="00141231">
      <w:pPr>
        <w:autoSpaceDE w:val="0"/>
        <w:autoSpaceDN w:val="0"/>
        <w:adjustRightInd w:val="0"/>
        <w:spacing w:line="360" w:lineRule="auto"/>
        <w:outlineLvl w:val="0"/>
        <w:rPr>
          <w:rFonts w:ascii="Times New Roman" w:hAnsi="Times New Roman" w:cs="Times New Roman"/>
        </w:rPr>
      </w:pPr>
      <w:r w:rsidRPr="00EF66BB">
        <w:rPr>
          <w:rFonts w:ascii="Times New Roman" w:hAnsi="Times New Roman" w:cs="Times New Roman"/>
        </w:rPr>
        <w:t xml:space="preserve">Table </w:t>
      </w:r>
      <w:r w:rsidR="00A87C06">
        <w:rPr>
          <w:rFonts w:ascii="Times New Roman" w:hAnsi="Times New Roman" w:cs="Times New Roman"/>
        </w:rPr>
        <w:t>1</w:t>
      </w:r>
      <w:r w:rsidRPr="00EF66BB">
        <w:rPr>
          <w:rFonts w:ascii="Times New Roman" w:hAnsi="Times New Roman" w:cs="Times New Roman"/>
        </w:rPr>
        <w:t xml:space="preserve">: Descriptive statistics and the correlation matrix. </w:t>
      </w:r>
    </w:p>
    <w:tbl>
      <w:tblPr>
        <w:tblStyle w:val="TableGrid"/>
        <w:tblW w:w="9209" w:type="dxa"/>
        <w:tblLook w:val="04A0" w:firstRow="1" w:lastRow="0" w:firstColumn="1" w:lastColumn="0" w:noHBand="0" w:noVBand="1"/>
      </w:tblPr>
      <w:tblGrid>
        <w:gridCol w:w="2036"/>
        <w:gridCol w:w="672"/>
        <w:gridCol w:w="676"/>
        <w:gridCol w:w="869"/>
        <w:gridCol w:w="866"/>
        <w:gridCol w:w="829"/>
        <w:gridCol w:w="866"/>
        <w:gridCol w:w="663"/>
        <w:gridCol w:w="866"/>
        <w:gridCol w:w="866"/>
      </w:tblGrid>
      <w:tr w:rsidR="008F29B6" w:rsidRPr="00A151A5" w14:paraId="75F8F83C" w14:textId="77777777" w:rsidTr="008F29B6">
        <w:tc>
          <w:tcPr>
            <w:tcW w:w="2122" w:type="dxa"/>
          </w:tcPr>
          <w:p w14:paraId="47CD64F6" w14:textId="77777777" w:rsidR="001A3E4C" w:rsidRPr="00F97854" w:rsidRDefault="001A3E4C" w:rsidP="00141231">
            <w:pPr>
              <w:pStyle w:val="NoSpacing"/>
              <w:rPr>
                <w:rFonts w:ascii="Times New Roman" w:hAnsi="Times New Roman" w:cs="Times New Roman"/>
                <w:sz w:val="20"/>
                <w:szCs w:val="20"/>
              </w:rPr>
            </w:pPr>
          </w:p>
        </w:tc>
        <w:tc>
          <w:tcPr>
            <w:tcW w:w="567" w:type="dxa"/>
          </w:tcPr>
          <w:p w14:paraId="2DA71E8A"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Mean</w:t>
            </w:r>
          </w:p>
        </w:tc>
        <w:tc>
          <w:tcPr>
            <w:tcW w:w="677" w:type="dxa"/>
          </w:tcPr>
          <w:p w14:paraId="7F4B608E"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 xml:space="preserve">S.D. </w:t>
            </w:r>
          </w:p>
        </w:tc>
        <w:tc>
          <w:tcPr>
            <w:tcW w:w="869" w:type="dxa"/>
          </w:tcPr>
          <w:p w14:paraId="09C43248"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1</w:t>
            </w:r>
          </w:p>
        </w:tc>
        <w:tc>
          <w:tcPr>
            <w:tcW w:w="866" w:type="dxa"/>
          </w:tcPr>
          <w:p w14:paraId="46C9B006"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2</w:t>
            </w:r>
          </w:p>
        </w:tc>
        <w:tc>
          <w:tcPr>
            <w:tcW w:w="836" w:type="dxa"/>
          </w:tcPr>
          <w:p w14:paraId="4272B50A"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3</w:t>
            </w:r>
          </w:p>
        </w:tc>
        <w:tc>
          <w:tcPr>
            <w:tcW w:w="866" w:type="dxa"/>
          </w:tcPr>
          <w:p w14:paraId="459818D3"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4</w:t>
            </w:r>
          </w:p>
        </w:tc>
        <w:tc>
          <w:tcPr>
            <w:tcW w:w="674" w:type="dxa"/>
          </w:tcPr>
          <w:p w14:paraId="76FD2879"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5</w:t>
            </w:r>
          </w:p>
        </w:tc>
        <w:tc>
          <w:tcPr>
            <w:tcW w:w="866" w:type="dxa"/>
          </w:tcPr>
          <w:p w14:paraId="69069148"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6</w:t>
            </w:r>
          </w:p>
        </w:tc>
        <w:tc>
          <w:tcPr>
            <w:tcW w:w="866" w:type="dxa"/>
          </w:tcPr>
          <w:p w14:paraId="3C006394"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7</w:t>
            </w:r>
          </w:p>
        </w:tc>
      </w:tr>
      <w:tr w:rsidR="008F29B6" w:rsidRPr="00A151A5" w14:paraId="1AC32958" w14:textId="77777777" w:rsidTr="008F29B6">
        <w:tc>
          <w:tcPr>
            <w:tcW w:w="2122" w:type="dxa"/>
          </w:tcPr>
          <w:p w14:paraId="6B57FCF9"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TT Effectiveness (ln)</w:t>
            </w:r>
          </w:p>
        </w:tc>
        <w:tc>
          <w:tcPr>
            <w:tcW w:w="567" w:type="dxa"/>
          </w:tcPr>
          <w:p w14:paraId="2990BAF1"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6.07</w:t>
            </w:r>
          </w:p>
        </w:tc>
        <w:tc>
          <w:tcPr>
            <w:tcW w:w="677" w:type="dxa"/>
          </w:tcPr>
          <w:p w14:paraId="30608B57"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1.98</w:t>
            </w:r>
          </w:p>
        </w:tc>
        <w:tc>
          <w:tcPr>
            <w:tcW w:w="869" w:type="dxa"/>
          </w:tcPr>
          <w:p w14:paraId="02CE4FA4"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1</w:t>
            </w:r>
          </w:p>
        </w:tc>
        <w:tc>
          <w:tcPr>
            <w:tcW w:w="866" w:type="dxa"/>
          </w:tcPr>
          <w:p w14:paraId="3FD2018C" w14:textId="77777777" w:rsidR="001A3E4C" w:rsidRPr="00F97854" w:rsidRDefault="001A3E4C" w:rsidP="00141231">
            <w:pPr>
              <w:pStyle w:val="NoSpacing"/>
              <w:rPr>
                <w:rFonts w:ascii="Times New Roman" w:hAnsi="Times New Roman" w:cs="Times New Roman"/>
                <w:sz w:val="20"/>
                <w:szCs w:val="20"/>
              </w:rPr>
            </w:pPr>
          </w:p>
        </w:tc>
        <w:tc>
          <w:tcPr>
            <w:tcW w:w="836" w:type="dxa"/>
          </w:tcPr>
          <w:p w14:paraId="76922FD3" w14:textId="77777777" w:rsidR="001A3E4C" w:rsidRPr="00F97854" w:rsidRDefault="001A3E4C" w:rsidP="00141231">
            <w:pPr>
              <w:pStyle w:val="NoSpacing"/>
              <w:rPr>
                <w:rFonts w:ascii="Times New Roman" w:hAnsi="Times New Roman" w:cs="Times New Roman"/>
                <w:sz w:val="20"/>
                <w:szCs w:val="20"/>
              </w:rPr>
            </w:pPr>
          </w:p>
        </w:tc>
        <w:tc>
          <w:tcPr>
            <w:tcW w:w="866" w:type="dxa"/>
          </w:tcPr>
          <w:p w14:paraId="6141ABEF" w14:textId="77777777" w:rsidR="001A3E4C" w:rsidRPr="00F97854" w:rsidRDefault="001A3E4C" w:rsidP="00141231">
            <w:pPr>
              <w:pStyle w:val="NoSpacing"/>
              <w:rPr>
                <w:rFonts w:ascii="Times New Roman" w:hAnsi="Times New Roman" w:cs="Times New Roman"/>
                <w:sz w:val="20"/>
                <w:szCs w:val="20"/>
              </w:rPr>
            </w:pPr>
          </w:p>
        </w:tc>
        <w:tc>
          <w:tcPr>
            <w:tcW w:w="674" w:type="dxa"/>
          </w:tcPr>
          <w:p w14:paraId="2F6DDA73" w14:textId="77777777" w:rsidR="001A3E4C" w:rsidRPr="00F97854" w:rsidRDefault="001A3E4C" w:rsidP="00141231">
            <w:pPr>
              <w:pStyle w:val="NoSpacing"/>
              <w:rPr>
                <w:rFonts w:ascii="Times New Roman" w:hAnsi="Times New Roman" w:cs="Times New Roman"/>
                <w:sz w:val="20"/>
                <w:szCs w:val="20"/>
              </w:rPr>
            </w:pPr>
          </w:p>
        </w:tc>
        <w:tc>
          <w:tcPr>
            <w:tcW w:w="866" w:type="dxa"/>
          </w:tcPr>
          <w:p w14:paraId="24623376" w14:textId="77777777" w:rsidR="001A3E4C" w:rsidRPr="00F97854" w:rsidRDefault="001A3E4C" w:rsidP="00141231">
            <w:pPr>
              <w:pStyle w:val="NoSpacing"/>
              <w:rPr>
                <w:rFonts w:ascii="Times New Roman" w:hAnsi="Times New Roman" w:cs="Times New Roman"/>
                <w:sz w:val="20"/>
                <w:szCs w:val="20"/>
              </w:rPr>
            </w:pPr>
          </w:p>
        </w:tc>
        <w:tc>
          <w:tcPr>
            <w:tcW w:w="866" w:type="dxa"/>
          </w:tcPr>
          <w:p w14:paraId="665D0CDB" w14:textId="77777777" w:rsidR="001A3E4C" w:rsidRPr="00F97854" w:rsidRDefault="001A3E4C" w:rsidP="00141231">
            <w:pPr>
              <w:pStyle w:val="NoSpacing"/>
              <w:rPr>
                <w:rFonts w:ascii="Times New Roman" w:hAnsi="Times New Roman" w:cs="Times New Roman"/>
                <w:sz w:val="20"/>
                <w:szCs w:val="20"/>
              </w:rPr>
            </w:pPr>
          </w:p>
        </w:tc>
      </w:tr>
      <w:tr w:rsidR="008F29B6" w:rsidRPr="00A151A5" w14:paraId="09E3A8E6" w14:textId="77777777" w:rsidTr="008F29B6">
        <w:tc>
          <w:tcPr>
            <w:tcW w:w="2122" w:type="dxa"/>
          </w:tcPr>
          <w:p w14:paraId="4C15CB24"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 xml:space="preserve">TTO Support </w:t>
            </w:r>
          </w:p>
        </w:tc>
        <w:tc>
          <w:tcPr>
            <w:tcW w:w="567" w:type="dxa"/>
          </w:tcPr>
          <w:p w14:paraId="7B1F0A6D"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2.96</w:t>
            </w:r>
          </w:p>
        </w:tc>
        <w:tc>
          <w:tcPr>
            <w:tcW w:w="677" w:type="dxa"/>
          </w:tcPr>
          <w:p w14:paraId="70DFFC71"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1.07</w:t>
            </w:r>
          </w:p>
        </w:tc>
        <w:tc>
          <w:tcPr>
            <w:tcW w:w="869" w:type="dxa"/>
          </w:tcPr>
          <w:p w14:paraId="5BE47D33"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.467***</w:t>
            </w:r>
          </w:p>
        </w:tc>
        <w:tc>
          <w:tcPr>
            <w:tcW w:w="866" w:type="dxa"/>
          </w:tcPr>
          <w:p w14:paraId="67A3FAFF"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1</w:t>
            </w:r>
          </w:p>
        </w:tc>
        <w:tc>
          <w:tcPr>
            <w:tcW w:w="836" w:type="dxa"/>
          </w:tcPr>
          <w:p w14:paraId="18E0F0F1" w14:textId="77777777" w:rsidR="001A3E4C" w:rsidRPr="00F97854" w:rsidRDefault="001A3E4C" w:rsidP="00141231">
            <w:pPr>
              <w:pStyle w:val="NoSpacing"/>
              <w:rPr>
                <w:rFonts w:ascii="Times New Roman" w:hAnsi="Times New Roman" w:cs="Times New Roman"/>
                <w:sz w:val="20"/>
                <w:szCs w:val="20"/>
              </w:rPr>
            </w:pPr>
          </w:p>
        </w:tc>
        <w:tc>
          <w:tcPr>
            <w:tcW w:w="866" w:type="dxa"/>
          </w:tcPr>
          <w:p w14:paraId="0887FB09" w14:textId="77777777" w:rsidR="001A3E4C" w:rsidRPr="00F97854" w:rsidRDefault="001A3E4C" w:rsidP="00141231">
            <w:pPr>
              <w:pStyle w:val="NoSpacing"/>
              <w:rPr>
                <w:rFonts w:ascii="Times New Roman" w:hAnsi="Times New Roman" w:cs="Times New Roman"/>
                <w:sz w:val="20"/>
                <w:szCs w:val="20"/>
              </w:rPr>
            </w:pPr>
          </w:p>
        </w:tc>
        <w:tc>
          <w:tcPr>
            <w:tcW w:w="674" w:type="dxa"/>
          </w:tcPr>
          <w:p w14:paraId="63B6458F" w14:textId="77777777" w:rsidR="001A3E4C" w:rsidRPr="00F97854" w:rsidRDefault="001A3E4C" w:rsidP="00141231">
            <w:pPr>
              <w:pStyle w:val="NoSpacing"/>
              <w:rPr>
                <w:rFonts w:ascii="Times New Roman" w:hAnsi="Times New Roman" w:cs="Times New Roman"/>
                <w:sz w:val="20"/>
                <w:szCs w:val="20"/>
              </w:rPr>
            </w:pPr>
          </w:p>
        </w:tc>
        <w:tc>
          <w:tcPr>
            <w:tcW w:w="866" w:type="dxa"/>
          </w:tcPr>
          <w:p w14:paraId="62976F1D" w14:textId="77777777" w:rsidR="001A3E4C" w:rsidRPr="00F97854" w:rsidRDefault="001A3E4C" w:rsidP="00141231">
            <w:pPr>
              <w:pStyle w:val="NoSpacing"/>
              <w:rPr>
                <w:rFonts w:ascii="Times New Roman" w:hAnsi="Times New Roman" w:cs="Times New Roman"/>
                <w:sz w:val="20"/>
                <w:szCs w:val="20"/>
              </w:rPr>
            </w:pPr>
          </w:p>
        </w:tc>
        <w:tc>
          <w:tcPr>
            <w:tcW w:w="866" w:type="dxa"/>
          </w:tcPr>
          <w:p w14:paraId="668EA883" w14:textId="77777777" w:rsidR="001A3E4C" w:rsidRPr="00F97854" w:rsidRDefault="001A3E4C" w:rsidP="00141231">
            <w:pPr>
              <w:pStyle w:val="NoSpacing"/>
              <w:rPr>
                <w:rFonts w:ascii="Times New Roman" w:hAnsi="Times New Roman" w:cs="Times New Roman"/>
                <w:sz w:val="20"/>
                <w:szCs w:val="20"/>
              </w:rPr>
            </w:pPr>
          </w:p>
        </w:tc>
      </w:tr>
      <w:tr w:rsidR="008F29B6" w:rsidRPr="00A151A5" w14:paraId="4782B48D" w14:textId="77777777" w:rsidTr="008F29B6">
        <w:tc>
          <w:tcPr>
            <w:tcW w:w="2122" w:type="dxa"/>
          </w:tcPr>
          <w:p w14:paraId="7DD323F7"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 xml:space="preserve">Provision of incentives </w:t>
            </w:r>
          </w:p>
        </w:tc>
        <w:tc>
          <w:tcPr>
            <w:tcW w:w="567" w:type="dxa"/>
          </w:tcPr>
          <w:p w14:paraId="2817C593"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3.79</w:t>
            </w:r>
          </w:p>
        </w:tc>
        <w:tc>
          <w:tcPr>
            <w:tcW w:w="677" w:type="dxa"/>
          </w:tcPr>
          <w:p w14:paraId="33036235"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0.87</w:t>
            </w:r>
          </w:p>
        </w:tc>
        <w:tc>
          <w:tcPr>
            <w:tcW w:w="869" w:type="dxa"/>
          </w:tcPr>
          <w:p w14:paraId="23DB61E0"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.231*</w:t>
            </w:r>
          </w:p>
        </w:tc>
        <w:tc>
          <w:tcPr>
            <w:tcW w:w="866" w:type="dxa"/>
          </w:tcPr>
          <w:p w14:paraId="324680F4"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.265**</w:t>
            </w:r>
          </w:p>
        </w:tc>
        <w:tc>
          <w:tcPr>
            <w:tcW w:w="836" w:type="dxa"/>
          </w:tcPr>
          <w:p w14:paraId="55CDDB6B"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1</w:t>
            </w:r>
          </w:p>
        </w:tc>
        <w:tc>
          <w:tcPr>
            <w:tcW w:w="866" w:type="dxa"/>
          </w:tcPr>
          <w:p w14:paraId="55677C59" w14:textId="77777777" w:rsidR="001A3E4C" w:rsidRPr="00F97854" w:rsidRDefault="001A3E4C" w:rsidP="00141231">
            <w:pPr>
              <w:pStyle w:val="NoSpacing"/>
              <w:rPr>
                <w:rFonts w:ascii="Times New Roman" w:hAnsi="Times New Roman" w:cs="Times New Roman"/>
                <w:sz w:val="20"/>
                <w:szCs w:val="20"/>
              </w:rPr>
            </w:pPr>
          </w:p>
        </w:tc>
        <w:tc>
          <w:tcPr>
            <w:tcW w:w="674" w:type="dxa"/>
          </w:tcPr>
          <w:p w14:paraId="7E1A526C" w14:textId="77777777" w:rsidR="001A3E4C" w:rsidRPr="00F97854" w:rsidRDefault="001A3E4C" w:rsidP="00141231">
            <w:pPr>
              <w:pStyle w:val="NoSpacing"/>
              <w:rPr>
                <w:rFonts w:ascii="Times New Roman" w:hAnsi="Times New Roman" w:cs="Times New Roman"/>
                <w:sz w:val="20"/>
                <w:szCs w:val="20"/>
              </w:rPr>
            </w:pPr>
          </w:p>
        </w:tc>
        <w:tc>
          <w:tcPr>
            <w:tcW w:w="866" w:type="dxa"/>
          </w:tcPr>
          <w:p w14:paraId="52D8EF3F" w14:textId="77777777" w:rsidR="001A3E4C" w:rsidRPr="00F97854" w:rsidRDefault="001A3E4C" w:rsidP="00141231">
            <w:pPr>
              <w:pStyle w:val="NoSpacing"/>
              <w:rPr>
                <w:rFonts w:ascii="Times New Roman" w:hAnsi="Times New Roman" w:cs="Times New Roman"/>
                <w:sz w:val="20"/>
                <w:szCs w:val="20"/>
              </w:rPr>
            </w:pPr>
          </w:p>
        </w:tc>
        <w:tc>
          <w:tcPr>
            <w:tcW w:w="866" w:type="dxa"/>
          </w:tcPr>
          <w:p w14:paraId="675F2105" w14:textId="77777777" w:rsidR="001A3E4C" w:rsidRPr="00F97854" w:rsidRDefault="001A3E4C" w:rsidP="00141231">
            <w:pPr>
              <w:pStyle w:val="NoSpacing"/>
              <w:rPr>
                <w:rFonts w:ascii="Times New Roman" w:hAnsi="Times New Roman" w:cs="Times New Roman"/>
                <w:sz w:val="20"/>
                <w:szCs w:val="20"/>
              </w:rPr>
            </w:pPr>
          </w:p>
        </w:tc>
      </w:tr>
      <w:tr w:rsidR="008F29B6" w:rsidRPr="00A151A5" w14:paraId="11687C4E" w14:textId="77777777" w:rsidTr="008F29B6">
        <w:tc>
          <w:tcPr>
            <w:tcW w:w="2122" w:type="dxa"/>
          </w:tcPr>
          <w:p w14:paraId="7C556919"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 xml:space="preserve">TT strategy </w:t>
            </w:r>
          </w:p>
        </w:tc>
        <w:tc>
          <w:tcPr>
            <w:tcW w:w="567" w:type="dxa"/>
          </w:tcPr>
          <w:p w14:paraId="73ADE927"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0.47</w:t>
            </w:r>
          </w:p>
        </w:tc>
        <w:tc>
          <w:tcPr>
            <w:tcW w:w="677" w:type="dxa"/>
          </w:tcPr>
          <w:p w14:paraId="71D66DC8"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0.35</w:t>
            </w:r>
          </w:p>
        </w:tc>
        <w:tc>
          <w:tcPr>
            <w:tcW w:w="869" w:type="dxa"/>
          </w:tcPr>
          <w:p w14:paraId="4A3E9228"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.658***</w:t>
            </w:r>
          </w:p>
        </w:tc>
        <w:tc>
          <w:tcPr>
            <w:tcW w:w="866" w:type="dxa"/>
          </w:tcPr>
          <w:p w14:paraId="5D79F626"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.310***</w:t>
            </w:r>
          </w:p>
        </w:tc>
        <w:tc>
          <w:tcPr>
            <w:tcW w:w="836" w:type="dxa"/>
          </w:tcPr>
          <w:p w14:paraId="2AE5060B"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.239**</w:t>
            </w:r>
          </w:p>
        </w:tc>
        <w:tc>
          <w:tcPr>
            <w:tcW w:w="866" w:type="dxa"/>
          </w:tcPr>
          <w:p w14:paraId="2F259F9A"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1</w:t>
            </w:r>
          </w:p>
        </w:tc>
        <w:tc>
          <w:tcPr>
            <w:tcW w:w="674" w:type="dxa"/>
          </w:tcPr>
          <w:p w14:paraId="516894FC" w14:textId="77777777" w:rsidR="001A3E4C" w:rsidRPr="00F97854" w:rsidRDefault="001A3E4C" w:rsidP="00141231">
            <w:pPr>
              <w:pStyle w:val="NoSpacing"/>
              <w:rPr>
                <w:rFonts w:ascii="Times New Roman" w:hAnsi="Times New Roman" w:cs="Times New Roman"/>
                <w:sz w:val="20"/>
                <w:szCs w:val="20"/>
              </w:rPr>
            </w:pPr>
          </w:p>
        </w:tc>
        <w:tc>
          <w:tcPr>
            <w:tcW w:w="866" w:type="dxa"/>
          </w:tcPr>
          <w:p w14:paraId="342870AC" w14:textId="77777777" w:rsidR="001A3E4C" w:rsidRPr="00F97854" w:rsidRDefault="001A3E4C" w:rsidP="00141231">
            <w:pPr>
              <w:pStyle w:val="NoSpacing"/>
              <w:rPr>
                <w:rFonts w:ascii="Times New Roman" w:hAnsi="Times New Roman" w:cs="Times New Roman"/>
                <w:sz w:val="20"/>
                <w:szCs w:val="20"/>
              </w:rPr>
            </w:pPr>
          </w:p>
        </w:tc>
        <w:tc>
          <w:tcPr>
            <w:tcW w:w="866" w:type="dxa"/>
          </w:tcPr>
          <w:p w14:paraId="0E774A42" w14:textId="77777777" w:rsidR="001A3E4C" w:rsidRPr="00F97854" w:rsidRDefault="001A3E4C" w:rsidP="00141231">
            <w:pPr>
              <w:pStyle w:val="NoSpacing"/>
              <w:rPr>
                <w:rFonts w:ascii="Times New Roman" w:hAnsi="Times New Roman" w:cs="Times New Roman"/>
                <w:sz w:val="20"/>
                <w:szCs w:val="20"/>
              </w:rPr>
            </w:pPr>
          </w:p>
        </w:tc>
      </w:tr>
      <w:tr w:rsidR="008F29B6" w:rsidRPr="00A151A5" w14:paraId="257608C1" w14:textId="77777777" w:rsidTr="008F29B6">
        <w:tc>
          <w:tcPr>
            <w:tcW w:w="2122" w:type="dxa"/>
          </w:tcPr>
          <w:p w14:paraId="707563E5"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 xml:space="preserve">Strategic planning </w:t>
            </w:r>
          </w:p>
        </w:tc>
        <w:tc>
          <w:tcPr>
            <w:tcW w:w="567" w:type="dxa"/>
          </w:tcPr>
          <w:p w14:paraId="628644CC"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4.31</w:t>
            </w:r>
          </w:p>
        </w:tc>
        <w:tc>
          <w:tcPr>
            <w:tcW w:w="677" w:type="dxa"/>
          </w:tcPr>
          <w:p w14:paraId="540A22A5"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0.76</w:t>
            </w:r>
          </w:p>
        </w:tc>
        <w:tc>
          <w:tcPr>
            <w:tcW w:w="869" w:type="dxa"/>
          </w:tcPr>
          <w:p w14:paraId="23DFFA4C"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.113</w:t>
            </w:r>
          </w:p>
        </w:tc>
        <w:tc>
          <w:tcPr>
            <w:tcW w:w="866" w:type="dxa"/>
          </w:tcPr>
          <w:p w14:paraId="6291EDBB"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.173</w:t>
            </w:r>
          </w:p>
        </w:tc>
        <w:tc>
          <w:tcPr>
            <w:tcW w:w="836" w:type="dxa"/>
          </w:tcPr>
          <w:p w14:paraId="1359FAA6"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.185*</w:t>
            </w:r>
          </w:p>
        </w:tc>
        <w:tc>
          <w:tcPr>
            <w:tcW w:w="866" w:type="dxa"/>
          </w:tcPr>
          <w:p w14:paraId="7DF1725D"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..098</w:t>
            </w:r>
          </w:p>
        </w:tc>
        <w:tc>
          <w:tcPr>
            <w:tcW w:w="674" w:type="dxa"/>
          </w:tcPr>
          <w:p w14:paraId="32BD659A"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1</w:t>
            </w:r>
          </w:p>
        </w:tc>
        <w:tc>
          <w:tcPr>
            <w:tcW w:w="866" w:type="dxa"/>
          </w:tcPr>
          <w:p w14:paraId="26EF9CB0" w14:textId="77777777" w:rsidR="001A3E4C" w:rsidRPr="00F97854" w:rsidRDefault="001A3E4C" w:rsidP="00141231">
            <w:pPr>
              <w:pStyle w:val="NoSpacing"/>
              <w:rPr>
                <w:rFonts w:ascii="Times New Roman" w:hAnsi="Times New Roman" w:cs="Times New Roman"/>
                <w:sz w:val="20"/>
                <w:szCs w:val="20"/>
              </w:rPr>
            </w:pPr>
          </w:p>
        </w:tc>
        <w:tc>
          <w:tcPr>
            <w:tcW w:w="866" w:type="dxa"/>
          </w:tcPr>
          <w:p w14:paraId="515ADA50" w14:textId="77777777" w:rsidR="001A3E4C" w:rsidRPr="00F97854" w:rsidRDefault="001A3E4C" w:rsidP="00141231">
            <w:pPr>
              <w:pStyle w:val="NoSpacing"/>
              <w:rPr>
                <w:rFonts w:ascii="Times New Roman" w:hAnsi="Times New Roman" w:cs="Times New Roman"/>
                <w:sz w:val="20"/>
                <w:szCs w:val="20"/>
              </w:rPr>
            </w:pPr>
          </w:p>
        </w:tc>
      </w:tr>
      <w:tr w:rsidR="008F29B6" w:rsidRPr="00A151A5" w14:paraId="4AEE7F33" w14:textId="77777777" w:rsidTr="008F29B6">
        <w:tc>
          <w:tcPr>
            <w:tcW w:w="2122" w:type="dxa"/>
          </w:tcPr>
          <w:p w14:paraId="3C3A97D9"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University Size (ln)</w:t>
            </w:r>
          </w:p>
        </w:tc>
        <w:tc>
          <w:tcPr>
            <w:tcW w:w="567" w:type="dxa"/>
          </w:tcPr>
          <w:p w14:paraId="2EE04177"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9.63</w:t>
            </w:r>
          </w:p>
        </w:tc>
        <w:tc>
          <w:tcPr>
            <w:tcW w:w="677" w:type="dxa"/>
          </w:tcPr>
          <w:p w14:paraId="6C3C3FB4"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0.57</w:t>
            </w:r>
          </w:p>
        </w:tc>
        <w:tc>
          <w:tcPr>
            <w:tcW w:w="869" w:type="dxa"/>
          </w:tcPr>
          <w:p w14:paraId="5E64D58C"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.643***</w:t>
            </w:r>
          </w:p>
        </w:tc>
        <w:tc>
          <w:tcPr>
            <w:tcW w:w="866" w:type="dxa"/>
          </w:tcPr>
          <w:p w14:paraId="5D61511F"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.610***</w:t>
            </w:r>
          </w:p>
        </w:tc>
        <w:tc>
          <w:tcPr>
            <w:tcW w:w="836" w:type="dxa"/>
          </w:tcPr>
          <w:p w14:paraId="7971F65D"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.190*</w:t>
            </w:r>
          </w:p>
        </w:tc>
        <w:tc>
          <w:tcPr>
            <w:tcW w:w="866" w:type="dxa"/>
          </w:tcPr>
          <w:p w14:paraId="24054167"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.368***</w:t>
            </w:r>
          </w:p>
        </w:tc>
        <w:tc>
          <w:tcPr>
            <w:tcW w:w="674" w:type="dxa"/>
          </w:tcPr>
          <w:p w14:paraId="78AACA61"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.166</w:t>
            </w:r>
          </w:p>
        </w:tc>
        <w:tc>
          <w:tcPr>
            <w:tcW w:w="866" w:type="dxa"/>
          </w:tcPr>
          <w:p w14:paraId="4B22F3C2"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1</w:t>
            </w:r>
          </w:p>
        </w:tc>
        <w:tc>
          <w:tcPr>
            <w:tcW w:w="866" w:type="dxa"/>
          </w:tcPr>
          <w:p w14:paraId="16EE3185" w14:textId="77777777" w:rsidR="001A3E4C" w:rsidRPr="00F97854" w:rsidRDefault="001A3E4C" w:rsidP="00141231">
            <w:pPr>
              <w:pStyle w:val="NoSpacing"/>
              <w:rPr>
                <w:rFonts w:ascii="Times New Roman" w:hAnsi="Times New Roman" w:cs="Times New Roman"/>
                <w:sz w:val="20"/>
                <w:szCs w:val="20"/>
              </w:rPr>
            </w:pPr>
          </w:p>
        </w:tc>
      </w:tr>
      <w:tr w:rsidR="008F29B6" w:rsidRPr="00A151A5" w14:paraId="7BEE882B" w14:textId="77777777" w:rsidTr="008F29B6">
        <w:tc>
          <w:tcPr>
            <w:tcW w:w="2122" w:type="dxa"/>
          </w:tcPr>
          <w:p w14:paraId="3A92B719" w14:textId="4F75B5B9" w:rsidR="001A3E4C" w:rsidRPr="00F97854" w:rsidRDefault="001D1B15" w:rsidP="00141231">
            <w:pPr>
              <w:pStyle w:val="NoSpacing"/>
              <w:rPr>
                <w:rFonts w:ascii="Times New Roman" w:hAnsi="Times New Roman" w:cs="Times New Roman"/>
                <w:sz w:val="20"/>
                <w:szCs w:val="20"/>
              </w:rPr>
            </w:pPr>
            <w:r>
              <w:rPr>
                <w:rFonts w:ascii="Times New Roman" w:hAnsi="Times New Roman" w:cs="Times New Roman"/>
                <w:sz w:val="20"/>
                <w:szCs w:val="20"/>
              </w:rPr>
              <w:t>Age of the TTO</w:t>
            </w:r>
            <w:r w:rsidR="001A3E4C" w:rsidRPr="00F97854">
              <w:rPr>
                <w:rFonts w:ascii="Times New Roman" w:hAnsi="Times New Roman" w:cs="Times New Roman"/>
                <w:sz w:val="20"/>
                <w:szCs w:val="20"/>
              </w:rPr>
              <w:t xml:space="preserve"> (ln)</w:t>
            </w:r>
          </w:p>
        </w:tc>
        <w:tc>
          <w:tcPr>
            <w:tcW w:w="567" w:type="dxa"/>
          </w:tcPr>
          <w:p w14:paraId="2986FF51"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2.71</w:t>
            </w:r>
          </w:p>
        </w:tc>
        <w:tc>
          <w:tcPr>
            <w:tcW w:w="677" w:type="dxa"/>
          </w:tcPr>
          <w:p w14:paraId="3AFD99F9"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0.74</w:t>
            </w:r>
          </w:p>
        </w:tc>
        <w:tc>
          <w:tcPr>
            <w:tcW w:w="869" w:type="dxa"/>
          </w:tcPr>
          <w:p w14:paraId="2E08AD3D"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.340***</w:t>
            </w:r>
          </w:p>
        </w:tc>
        <w:tc>
          <w:tcPr>
            <w:tcW w:w="866" w:type="dxa"/>
          </w:tcPr>
          <w:p w14:paraId="1DEAD773"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.267*</w:t>
            </w:r>
          </w:p>
        </w:tc>
        <w:tc>
          <w:tcPr>
            <w:tcW w:w="836" w:type="dxa"/>
          </w:tcPr>
          <w:p w14:paraId="55582BE5"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.238*</w:t>
            </w:r>
          </w:p>
        </w:tc>
        <w:tc>
          <w:tcPr>
            <w:tcW w:w="866" w:type="dxa"/>
          </w:tcPr>
          <w:p w14:paraId="3298D738"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.263**</w:t>
            </w:r>
          </w:p>
        </w:tc>
        <w:tc>
          <w:tcPr>
            <w:tcW w:w="674" w:type="dxa"/>
          </w:tcPr>
          <w:p w14:paraId="2C854FD1"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.016</w:t>
            </w:r>
          </w:p>
        </w:tc>
        <w:tc>
          <w:tcPr>
            <w:tcW w:w="866" w:type="dxa"/>
          </w:tcPr>
          <w:p w14:paraId="1153E1EA"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.340***</w:t>
            </w:r>
          </w:p>
        </w:tc>
        <w:tc>
          <w:tcPr>
            <w:tcW w:w="866" w:type="dxa"/>
          </w:tcPr>
          <w:p w14:paraId="5A0E9171"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1</w:t>
            </w:r>
          </w:p>
        </w:tc>
      </w:tr>
      <w:tr w:rsidR="008F29B6" w:rsidRPr="00A151A5" w14:paraId="4FC1A3AB" w14:textId="77777777" w:rsidTr="008F29B6">
        <w:tc>
          <w:tcPr>
            <w:tcW w:w="2122" w:type="dxa"/>
          </w:tcPr>
          <w:p w14:paraId="08EADDF3"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Impact (%)</w:t>
            </w:r>
          </w:p>
        </w:tc>
        <w:tc>
          <w:tcPr>
            <w:tcW w:w="567" w:type="dxa"/>
          </w:tcPr>
          <w:p w14:paraId="35515E5D"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34.3</w:t>
            </w:r>
          </w:p>
        </w:tc>
        <w:tc>
          <w:tcPr>
            <w:tcW w:w="677" w:type="dxa"/>
          </w:tcPr>
          <w:p w14:paraId="0D9DDA46"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12.03</w:t>
            </w:r>
          </w:p>
        </w:tc>
        <w:tc>
          <w:tcPr>
            <w:tcW w:w="869" w:type="dxa"/>
          </w:tcPr>
          <w:p w14:paraId="7BCB63A7"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.737***</w:t>
            </w:r>
          </w:p>
        </w:tc>
        <w:tc>
          <w:tcPr>
            <w:tcW w:w="866" w:type="dxa"/>
          </w:tcPr>
          <w:p w14:paraId="44BAEEA9"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.283**</w:t>
            </w:r>
          </w:p>
        </w:tc>
        <w:tc>
          <w:tcPr>
            <w:tcW w:w="836" w:type="dxa"/>
          </w:tcPr>
          <w:p w14:paraId="52629FF0"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.183*</w:t>
            </w:r>
          </w:p>
        </w:tc>
        <w:tc>
          <w:tcPr>
            <w:tcW w:w="866" w:type="dxa"/>
          </w:tcPr>
          <w:p w14:paraId="2C9E8C29"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.511***</w:t>
            </w:r>
          </w:p>
        </w:tc>
        <w:tc>
          <w:tcPr>
            <w:tcW w:w="674" w:type="dxa"/>
          </w:tcPr>
          <w:p w14:paraId="5973CFCB"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.084</w:t>
            </w:r>
          </w:p>
        </w:tc>
        <w:tc>
          <w:tcPr>
            <w:tcW w:w="866" w:type="dxa"/>
          </w:tcPr>
          <w:p w14:paraId="4AF782DA"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.539***</w:t>
            </w:r>
          </w:p>
        </w:tc>
        <w:tc>
          <w:tcPr>
            <w:tcW w:w="866" w:type="dxa"/>
          </w:tcPr>
          <w:p w14:paraId="1463B273" w14:textId="77777777" w:rsidR="001A3E4C" w:rsidRPr="00F97854" w:rsidRDefault="001A3E4C"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.341***</w:t>
            </w:r>
          </w:p>
        </w:tc>
      </w:tr>
    </w:tbl>
    <w:p w14:paraId="52B0B24F" w14:textId="77777777" w:rsidR="001A3E4C" w:rsidRPr="00F97854" w:rsidRDefault="001A3E4C" w:rsidP="00141231">
      <w:pPr>
        <w:autoSpaceDE w:val="0"/>
        <w:autoSpaceDN w:val="0"/>
        <w:adjustRightInd w:val="0"/>
        <w:spacing w:line="360" w:lineRule="auto"/>
        <w:rPr>
          <w:rFonts w:ascii="Times New Roman" w:hAnsi="Times New Roman" w:cs="Times New Roman"/>
          <w:sz w:val="20"/>
          <w:szCs w:val="20"/>
        </w:rPr>
      </w:pPr>
      <w:r w:rsidRPr="00F97854">
        <w:rPr>
          <w:rFonts w:ascii="Times New Roman" w:hAnsi="Times New Roman" w:cs="Times New Roman"/>
          <w:sz w:val="20"/>
          <w:szCs w:val="20"/>
        </w:rPr>
        <w:t>*p&lt;0.05; **p&lt;0.01; ***p&lt;0.000</w:t>
      </w:r>
    </w:p>
    <w:p w14:paraId="5FB55CB6" w14:textId="77777777" w:rsidR="001A3E4C" w:rsidRPr="00EF66BB" w:rsidRDefault="001A3E4C" w:rsidP="00141231">
      <w:pPr>
        <w:autoSpaceDE w:val="0"/>
        <w:autoSpaceDN w:val="0"/>
        <w:adjustRightInd w:val="0"/>
        <w:spacing w:line="360" w:lineRule="auto"/>
        <w:rPr>
          <w:rFonts w:ascii="Times New Roman" w:hAnsi="Times New Roman" w:cs="Times New Roman"/>
        </w:rPr>
      </w:pPr>
    </w:p>
    <w:p w14:paraId="01492511" w14:textId="1855C3FD" w:rsidR="001A3E4C" w:rsidRPr="00EF66BB" w:rsidRDefault="003A343A" w:rsidP="00141231">
      <w:pPr>
        <w:pStyle w:val="Heading3"/>
        <w:spacing w:line="360" w:lineRule="auto"/>
        <w:rPr>
          <w:rFonts w:ascii="Times New Roman" w:hAnsi="Times New Roman" w:cs="Times New Roman"/>
        </w:rPr>
      </w:pPr>
      <w:r w:rsidRPr="00EF66BB">
        <w:rPr>
          <w:rFonts w:ascii="Times New Roman" w:hAnsi="Times New Roman" w:cs="Times New Roman"/>
        </w:rPr>
        <w:t xml:space="preserve">4.2 </w:t>
      </w:r>
      <w:r w:rsidR="00AC11E8" w:rsidRPr="00EF66BB">
        <w:rPr>
          <w:rFonts w:ascii="Times New Roman" w:hAnsi="Times New Roman" w:cs="Times New Roman"/>
        </w:rPr>
        <w:t xml:space="preserve"> </w:t>
      </w:r>
      <w:r w:rsidR="009A5A88" w:rsidRPr="00EF66BB">
        <w:rPr>
          <w:rFonts w:ascii="Times New Roman" w:hAnsi="Times New Roman" w:cs="Times New Roman"/>
        </w:rPr>
        <w:t xml:space="preserve">Hypotheses </w:t>
      </w:r>
      <w:r w:rsidR="00AC11E8" w:rsidRPr="00EF66BB">
        <w:rPr>
          <w:rFonts w:ascii="Times New Roman" w:hAnsi="Times New Roman" w:cs="Times New Roman"/>
        </w:rPr>
        <w:t>Testing</w:t>
      </w:r>
      <w:r w:rsidRPr="00EF66BB">
        <w:rPr>
          <w:rFonts w:ascii="Times New Roman" w:hAnsi="Times New Roman" w:cs="Times New Roman"/>
        </w:rPr>
        <w:t xml:space="preserve">: SEM modelling </w:t>
      </w:r>
    </w:p>
    <w:p w14:paraId="6E1FB30C" w14:textId="119308EB" w:rsidR="001A3E4C" w:rsidRPr="00EF66BB" w:rsidRDefault="001A3E4C" w:rsidP="00141231">
      <w:pPr>
        <w:autoSpaceDE w:val="0"/>
        <w:autoSpaceDN w:val="0"/>
        <w:adjustRightInd w:val="0"/>
        <w:spacing w:line="360" w:lineRule="auto"/>
        <w:rPr>
          <w:rFonts w:ascii="Times New Roman" w:hAnsi="Times New Roman" w:cs="Times New Roman"/>
        </w:rPr>
      </w:pPr>
      <w:r w:rsidRPr="00EF66BB">
        <w:rPr>
          <w:rFonts w:ascii="Times New Roman" w:hAnsi="Times New Roman" w:cs="Times New Roman"/>
        </w:rPr>
        <w:t xml:space="preserve">Following the previous CFA analysis, a SEM analysis using technology transfer </w:t>
      </w:r>
      <w:r w:rsidR="0030131C" w:rsidRPr="00EF66BB">
        <w:rPr>
          <w:rFonts w:ascii="Times New Roman" w:hAnsi="Times New Roman" w:cs="Times New Roman"/>
        </w:rPr>
        <w:t xml:space="preserve">priority </w:t>
      </w:r>
      <w:r w:rsidRPr="00EF66BB">
        <w:rPr>
          <w:rFonts w:ascii="Times New Roman" w:hAnsi="Times New Roman" w:cs="Times New Roman"/>
        </w:rPr>
        <w:t>as a latent variable with three indicators</w:t>
      </w:r>
      <w:r w:rsidR="0077155B" w:rsidRPr="00EF66BB">
        <w:rPr>
          <w:rFonts w:ascii="Times New Roman" w:hAnsi="Times New Roman" w:cs="Times New Roman"/>
        </w:rPr>
        <w:t>;</w:t>
      </w:r>
      <w:r w:rsidRPr="00EF66BB">
        <w:rPr>
          <w:rFonts w:ascii="Times New Roman" w:hAnsi="Times New Roman" w:cs="Times New Roman"/>
        </w:rPr>
        <w:t xml:space="preserve"> technology transfer effectiveness as a latent variable with three indicators</w:t>
      </w:r>
      <w:r w:rsidR="0077155B" w:rsidRPr="00EF66BB">
        <w:rPr>
          <w:rFonts w:ascii="Times New Roman" w:hAnsi="Times New Roman" w:cs="Times New Roman"/>
        </w:rPr>
        <w:t>;</w:t>
      </w:r>
      <w:r w:rsidRPr="00EF66BB">
        <w:rPr>
          <w:rFonts w:ascii="Times New Roman" w:hAnsi="Times New Roman" w:cs="Times New Roman"/>
        </w:rPr>
        <w:t xml:space="preserve"> and TTO support and provision of incentives as single item observed variables</w:t>
      </w:r>
      <w:r w:rsidR="0077155B" w:rsidRPr="00EF66BB">
        <w:rPr>
          <w:rFonts w:ascii="Times New Roman" w:hAnsi="Times New Roman" w:cs="Times New Roman"/>
        </w:rPr>
        <w:t>,</w:t>
      </w:r>
      <w:r w:rsidRPr="00EF66BB">
        <w:rPr>
          <w:rFonts w:ascii="Times New Roman" w:hAnsi="Times New Roman" w:cs="Times New Roman"/>
        </w:rPr>
        <w:t xml:space="preserve"> was performed. As the two exogenous variables represent conceptually related processes, we allowed TTO support and pro</w:t>
      </w:r>
      <w:r w:rsidR="007A2BD1">
        <w:rPr>
          <w:rFonts w:ascii="Times New Roman" w:hAnsi="Times New Roman" w:cs="Times New Roman"/>
        </w:rPr>
        <w:t>vision of incentives to co-vary</w:t>
      </w:r>
      <w:r w:rsidRPr="00EF66BB">
        <w:rPr>
          <w:rFonts w:ascii="Times New Roman" w:hAnsi="Times New Roman" w:cs="Times New Roman"/>
        </w:rPr>
        <w:t xml:space="preserve"> and controlled for the effects of institutional size, age and the impact of research activity on all endogenous variables.</w:t>
      </w:r>
    </w:p>
    <w:p w14:paraId="5124C434" w14:textId="77777777" w:rsidR="001A3E4C" w:rsidRPr="00EF66BB" w:rsidRDefault="001A3E4C" w:rsidP="00141231">
      <w:pPr>
        <w:autoSpaceDE w:val="0"/>
        <w:autoSpaceDN w:val="0"/>
        <w:adjustRightInd w:val="0"/>
        <w:spacing w:line="360" w:lineRule="auto"/>
        <w:rPr>
          <w:rFonts w:ascii="Times New Roman" w:hAnsi="Times New Roman" w:cs="Times New Roman"/>
        </w:rPr>
      </w:pPr>
    </w:p>
    <w:p w14:paraId="0A87D30A" w14:textId="58963E55" w:rsidR="001A3E4C" w:rsidRPr="00EF66BB" w:rsidRDefault="001A3E4C" w:rsidP="00141231">
      <w:pPr>
        <w:autoSpaceDE w:val="0"/>
        <w:autoSpaceDN w:val="0"/>
        <w:adjustRightInd w:val="0"/>
        <w:spacing w:line="360" w:lineRule="auto"/>
        <w:rPr>
          <w:rFonts w:ascii="Times New Roman" w:hAnsi="Times New Roman" w:cs="Times New Roman"/>
        </w:rPr>
      </w:pPr>
      <w:r w:rsidRPr="00EF66BB">
        <w:rPr>
          <w:rFonts w:ascii="Times New Roman" w:hAnsi="Times New Roman" w:cs="Times New Roman"/>
        </w:rPr>
        <w:lastRenderedPageBreak/>
        <w:t xml:space="preserve">Mediation was analysed with the help of structural regression models in AMOS 24 and performed bootstrapping as recommended by </w:t>
      </w:r>
      <w:r w:rsidR="007A2BD1">
        <w:rPr>
          <w:rFonts w:ascii="Times New Roman" w:hAnsi="Times New Roman" w:cs="Times New Roman"/>
        </w:rPr>
        <w:fldChar w:fldCharType="begin" w:fldLock="1"/>
      </w:r>
      <w:r w:rsidR="007A2BD1">
        <w:rPr>
          <w:rFonts w:ascii="Times New Roman" w:hAnsi="Times New Roman" w:cs="Times New Roman"/>
        </w:rPr>
        <w:instrText>ADDIN CSL_CITATION {"citationItems":[{"id":"ITEM-1","itemData":{"DOI":"10.3758/BF03206553","ISBN":"0743-3808","ISSN":"0743-3808","PMID":"15641418","author":[{"dropping-particle":"","family":"Preacher","given":"K.J","non-dropping-particle":"","parse-names":false,"suffix":""},{"dropping-particle":"","family":"Hayes","given":"A.F","non-dropping-particle":"","parse-names":false,"suffix":""}],"container-title":"Bahaviour Research Methods, Instruments &amp; Computers","id":"ITEM-1","issue":"4","issued":{"date-parts":[["2004"]]},"page":"717-731","title":"SPSS and SAS procedures for estimating indirect effects in simple mediation models","type":"article-journal","volume":"36"},"uris":["http://www.mendeley.com/documents/?uuid=b629f50d-40c7-408c-a522-a3c3fb95f54f"]},{"id":"ITEM-2","itemData":{"author":[{"dropping-particle":"","family":"Preacher","given":"K.J","non-dropping-particle":"","parse-names":false,"suffix":""},{"dropping-particle":"","family":"Hayes","given":"A.F","non-dropping-particle":"","parse-names":false,"suffix":""}],"container-title":"Behavior Research Methods","id":"ITEM-2","issue":"3","issued":{"date-parts":[["2008"]]},"page":"879-891","title":"Asymptotic and resampling strategies for assessing and comparing indirect effects in multilpe indicator models","type":"article-journal","volume":"40"},"uris":["http://www.mendeley.com/documents/?uuid=73c478e3-09f8-49c7-85d0-cd14f825173d"]}],"mendeley":{"formattedCitation":"(Preacher and Hayes, 2008, 2004)","manualFormatting":"Preacher and Hayes (2008, 2004)","plainTextFormattedCitation":"(Preacher and Hayes, 2008, 2004)","previouslyFormattedCitation":"(Preacher and Hayes, 2008, 2004)"},"properties":{"noteIndex":0},"schema":"https://github.com/citation-style-language/schema/raw/master/csl-citation.json"}</w:instrText>
      </w:r>
      <w:r w:rsidR="007A2BD1">
        <w:rPr>
          <w:rFonts w:ascii="Times New Roman" w:hAnsi="Times New Roman" w:cs="Times New Roman"/>
        </w:rPr>
        <w:fldChar w:fldCharType="separate"/>
      </w:r>
      <w:r w:rsidR="007A2BD1">
        <w:rPr>
          <w:rFonts w:ascii="Times New Roman" w:hAnsi="Times New Roman" w:cs="Times New Roman"/>
          <w:noProof/>
        </w:rPr>
        <w:t>Preacher and Hayes</w:t>
      </w:r>
      <w:r w:rsidR="007A2BD1" w:rsidRPr="007A2BD1">
        <w:rPr>
          <w:rFonts w:ascii="Times New Roman" w:hAnsi="Times New Roman" w:cs="Times New Roman"/>
          <w:noProof/>
        </w:rPr>
        <w:t xml:space="preserve"> </w:t>
      </w:r>
      <w:r w:rsidR="007A2BD1">
        <w:rPr>
          <w:rFonts w:ascii="Times New Roman" w:hAnsi="Times New Roman" w:cs="Times New Roman"/>
          <w:noProof/>
        </w:rPr>
        <w:t>(</w:t>
      </w:r>
      <w:r w:rsidR="007A2BD1" w:rsidRPr="007A2BD1">
        <w:rPr>
          <w:rFonts w:ascii="Times New Roman" w:hAnsi="Times New Roman" w:cs="Times New Roman"/>
          <w:noProof/>
        </w:rPr>
        <w:t>2008, 2004)</w:t>
      </w:r>
      <w:r w:rsidR="007A2BD1">
        <w:rPr>
          <w:rFonts w:ascii="Times New Roman" w:hAnsi="Times New Roman" w:cs="Times New Roman"/>
        </w:rPr>
        <w:fldChar w:fldCharType="end"/>
      </w:r>
      <w:r w:rsidRPr="00EF66BB">
        <w:rPr>
          <w:rFonts w:ascii="Times New Roman" w:hAnsi="Times New Roman" w:cs="Times New Roman"/>
        </w:rPr>
        <w:t xml:space="preserve">. In this study, we model </w:t>
      </w:r>
      <w:r w:rsidR="009A5A88" w:rsidRPr="00EF66BB">
        <w:rPr>
          <w:rFonts w:ascii="Times New Roman" w:hAnsi="Times New Roman" w:cs="Times New Roman"/>
        </w:rPr>
        <w:t>T</w:t>
      </w:r>
      <w:r w:rsidR="00F97854">
        <w:rPr>
          <w:rFonts w:ascii="Times New Roman" w:hAnsi="Times New Roman" w:cs="Times New Roman"/>
        </w:rPr>
        <w:t>echnology Transfer Strategic Priority</w:t>
      </w:r>
      <w:r w:rsidR="009A5A88" w:rsidRPr="00EF66BB">
        <w:rPr>
          <w:rFonts w:ascii="Times New Roman" w:hAnsi="Times New Roman" w:cs="Times New Roman"/>
        </w:rPr>
        <w:t xml:space="preserve"> </w:t>
      </w:r>
      <w:r w:rsidRPr="00EF66BB">
        <w:rPr>
          <w:rFonts w:ascii="Times New Roman" w:hAnsi="Times New Roman" w:cs="Times New Roman"/>
        </w:rPr>
        <w:t xml:space="preserve">as a mediating variable. Mediation </w:t>
      </w:r>
      <w:r w:rsidR="00A151A5">
        <w:rPr>
          <w:rFonts w:ascii="Times New Roman" w:hAnsi="Times New Roman" w:cs="Times New Roman"/>
        </w:rPr>
        <w:t>(</w:t>
      </w:r>
      <w:r w:rsidR="00A151A5" w:rsidRPr="00EF66BB">
        <w:rPr>
          <w:rFonts w:ascii="Times New Roman" w:hAnsi="Times New Roman" w:cs="Times New Roman"/>
        </w:rPr>
        <w:t xml:space="preserve">TT </w:t>
      </w:r>
      <w:r w:rsidR="00A87C06">
        <w:rPr>
          <w:rFonts w:ascii="Times New Roman" w:hAnsi="Times New Roman" w:cs="Times New Roman"/>
        </w:rPr>
        <w:t>S</w:t>
      </w:r>
      <w:r w:rsidR="00A151A5" w:rsidRPr="00EF66BB">
        <w:rPr>
          <w:rFonts w:ascii="Times New Roman" w:hAnsi="Times New Roman" w:cs="Times New Roman"/>
        </w:rPr>
        <w:t>trateg</w:t>
      </w:r>
      <w:r w:rsidR="00F97854">
        <w:rPr>
          <w:rFonts w:ascii="Times New Roman" w:hAnsi="Times New Roman" w:cs="Times New Roman"/>
        </w:rPr>
        <w:t xml:space="preserve">ic </w:t>
      </w:r>
      <w:r w:rsidR="00A87C06">
        <w:rPr>
          <w:rFonts w:ascii="Times New Roman" w:hAnsi="Times New Roman" w:cs="Times New Roman"/>
        </w:rPr>
        <w:t>P</w:t>
      </w:r>
      <w:r w:rsidR="00F97854">
        <w:rPr>
          <w:rFonts w:ascii="Times New Roman" w:hAnsi="Times New Roman" w:cs="Times New Roman"/>
        </w:rPr>
        <w:t>riority</w:t>
      </w:r>
      <w:r w:rsidR="00A151A5">
        <w:rPr>
          <w:rFonts w:ascii="Times New Roman" w:hAnsi="Times New Roman" w:cs="Times New Roman"/>
        </w:rPr>
        <w:t>)</w:t>
      </w:r>
      <w:r w:rsidR="00A151A5" w:rsidRPr="00EF66BB">
        <w:rPr>
          <w:rFonts w:ascii="Times New Roman" w:hAnsi="Times New Roman" w:cs="Times New Roman"/>
        </w:rPr>
        <w:t xml:space="preserve"> </w:t>
      </w:r>
      <w:r w:rsidRPr="00EF66BB">
        <w:rPr>
          <w:rFonts w:ascii="Times New Roman" w:hAnsi="Times New Roman" w:cs="Times New Roman"/>
        </w:rPr>
        <w:t>tests specify the presence of a significant intervening mechanism between antecedent variables (TT</w:t>
      </w:r>
      <w:r w:rsidR="00F97854">
        <w:rPr>
          <w:rFonts w:ascii="Times New Roman" w:hAnsi="Times New Roman" w:cs="Times New Roman"/>
        </w:rPr>
        <w:t>O</w:t>
      </w:r>
      <w:r w:rsidRPr="00EF66BB">
        <w:rPr>
          <w:rFonts w:ascii="Times New Roman" w:hAnsi="Times New Roman" w:cs="Times New Roman"/>
        </w:rPr>
        <w:t xml:space="preserve"> </w:t>
      </w:r>
      <w:r w:rsidR="00F97854">
        <w:rPr>
          <w:rFonts w:ascii="Times New Roman" w:hAnsi="Times New Roman" w:cs="Times New Roman"/>
        </w:rPr>
        <w:t>S</w:t>
      </w:r>
      <w:r w:rsidRPr="00EF66BB">
        <w:rPr>
          <w:rFonts w:ascii="Times New Roman" w:hAnsi="Times New Roman" w:cs="Times New Roman"/>
        </w:rPr>
        <w:t xml:space="preserve">upport and </w:t>
      </w:r>
      <w:r w:rsidR="00F97854">
        <w:rPr>
          <w:rFonts w:ascii="Times New Roman" w:hAnsi="Times New Roman" w:cs="Times New Roman"/>
        </w:rPr>
        <w:t>P</w:t>
      </w:r>
      <w:r w:rsidRPr="00EF66BB">
        <w:rPr>
          <w:rFonts w:ascii="Times New Roman" w:hAnsi="Times New Roman" w:cs="Times New Roman"/>
        </w:rPr>
        <w:t xml:space="preserve">rovision of </w:t>
      </w:r>
      <w:r w:rsidR="00F97854">
        <w:rPr>
          <w:rFonts w:ascii="Times New Roman" w:hAnsi="Times New Roman" w:cs="Times New Roman"/>
        </w:rPr>
        <w:t>I</w:t>
      </w:r>
      <w:r w:rsidRPr="00EF66BB">
        <w:rPr>
          <w:rFonts w:ascii="Times New Roman" w:hAnsi="Times New Roman" w:cs="Times New Roman"/>
        </w:rPr>
        <w:t>ncentives) and the outcome variable (</w:t>
      </w:r>
      <w:r w:rsidR="004E4B50" w:rsidRPr="00EF66BB">
        <w:rPr>
          <w:rFonts w:ascii="Times New Roman" w:hAnsi="Times New Roman" w:cs="Times New Roman"/>
        </w:rPr>
        <w:t>TT</w:t>
      </w:r>
      <w:r w:rsidRPr="00EF66BB">
        <w:rPr>
          <w:rFonts w:ascii="Times New Roman" w:hAnsi="Times New Roman" w:cs="Times New Roman"/>
        </w:rPr>
        <w:t xml:space="preserve"> </w:t>
      </w:r>
      <w:r w:rsidR="00A87C06">
        <w:rPr>
          <w:rFonts w:ascii="Times New Roman" w:hAnsi="Times New Roman" w:cs="Times New Roman"/>
        </w:rPr>
        <w:t>E</w:t>
      </w:r>
      <w:r w:rsidRPr="00EF66BB">
        <w:rPr>
          <w:rFonts w:ascii="Times New Roman" w:hAnsi="Times New Roman" w:cs="Times New Roman"/>
        </w:rPr>
        <w:t xml:space="preserve">ffectiveness). </w:t>
      </w:r>
      <w:r w:rsidR="004629DB" w:rsidRPr="00EF66BB">
        <w:rPr>
          <w:rFonts w:ascii="Times New Roman" w:hAnsi="Times New Roman" w:cs="Times New Roman"/>
        </w:rPr>
        <w:t>F</w:t>
      </w:r>
      <w:r w:rsidRPr="00EF66BB">
        <w:rPr>
          <w:rFonts w:ascii="Times New Roman" w:hAnsi="Times New Roman" w:cs="Times New Roman"/>
        </w:rPr>
        <w:t>or a strong mediation, the mediator variable (</w:t>
      </w:r>
      <w:r w:rsidR="004E4B50" w:rsidRPr="00EF66BB">
        <w:rPr>
          <w:rFonts w:ascii="Times New Roman" w:hAnsi="Times New Roman" w:cs="Times New Roman"/>
        </w:rPr>
        <w:t>TT</w:t>
      </w:r>
      <w:r w:rsidRPr="00EF66BB">
        <w:rPr>
          <w:rFonts w:ascii="Times New Roman" w:hAnsi="Times New Roman" w:cs="Times New Roman"/>
        </w:rPr>
        <w:t xml:space="preserve"> </w:t>
      </w:r>
      <w:r w:rsidR="00A87C06">
        <w:rPr>
          <w:rFonts w:ascii="Times New Roman" w:hAnsi="Times New Roman" w:cs="Times New Roman"/>
        </w:rPr>
        <w:t>S</w:t>
      </w:r>
      <w:r w:rsidRPr="00EF66BB">
        <w:rPr>
          <w:rFonts w:ascii="Times New Roman" w:hAnsi="Times New Roman" w:cs="Times New Roman"/>
        </w:rPr>
        <w:t>trateg</w:t>
      </w:r>
      <w:r w:rsidR="00A87C06">
        <w:rPr>
          <w:rFonts w:ascii="Times New Roman" w:hAnsi="Times New Roman" w:cs="Times New Roman"/>
        </w:rPr>
        <w:t>ic Priority</w:t>
      </w:r>
      <w:r w:rsidRPr="00EF66BB">
        <w:rPr>
          <w:rFonts w:ascii="Times New Roman" w:hAnsi="Times New Roman" w:cs="Times New Roman"/>
        </w:rPr>
        <w:t xml:space="preserve">) should account for a significant proportion of the relationship between the intervening and the outcome variables. Mediation can be full or partial. While in full mediation the presence of the mediator variable is necessary for a significant outcome between the independent variable and the dependent variable (e.g. prioritisation of technology transfer is necessary for </w:t>
      </w:r>
      <w:r w:rsidR="006E6D78" w:rsidRPr="00EF66BB">
        <w:rPr>
          <w:rFonts w:ascii="Times New Roman" w:hAnsi="Times New Roman" w:cs="Times New Roman"/>
        </w:rPr>
        <w:t xml:space="preserve">a TTO </w:t>
      </w:r>
      <w:r w:rsidRPr="00EF66BB">
        <w:rPr>
          <w:rFonts w:ascii="Times New Roman" w:hAnsi="Times New Roman" w:cs="Times New Roman"/>
        </w:rPr>
        <w:t xml:space="preserve">to reap </w:t>
      </w:r>
      <w:r w:rsidR="006E6D78" w:rsidRPr="00EF66BB">
        <w:rPr>
          <w:rFonts w:ascii="Times New Roman" w:hAnsi="Times New Roman" w:cs="Times New Roman"/>
        </w:rPr>
        <w:t xml:space="preserve">the </w:t>
      </w:r>
      <w:r w:rsidRPr="00EF66BB">
        <w:rPr>
          <w:rFonts w:ascii="Times New Roman" w:hAnsi="Times New Roman" w:cs="Times New Roman"/>
        </w:rPr>
        <w:t>benefits from technology transfer activities) the partial mediation explains both a direct and an indirect relationship</w:t>
      </w:r>
      <w:r w:rsidR="004629DB" w:rsidRPr="00EF66BB">
        <w:rPr>
          <w:rFonts w:ascii="Times New Roman" w:hAnsi="Times New Roman" w:cs="Times New Roman"/>
        </w:rPr>
        <w:t>. This</w:t>
      </w:r>
      <w:r w:rsidRPr="00EF66BB">
        <w:rPr>
          <w:rFonts w:ascii="Times New Roman" w:hAnsi="Times New Roman" w:cs="Times New Roman"/>
        </w:rPr>
        <w:t xml:space="preserve"> mean</w:t>
      </w:r>
      <w:r w:rsidR="004629DB" w:rsidRPr="00EF66BB">
        <w:rPr>
          <w:rFonts w:ascii="Times New Roman" w:hAnsi="Times New Roman" w:cs="Times New Roman"/>
        </w:rPr>
        <w:t>s</w:t>
      </w:r>
      <w:r w:rsidRPr="00EF66BB">
        <w:rPr>
          <w:rFonts w:ascii="Times New Roman" w:hAnsi="Times New Roman" w:cs="Times New Roman"/>
        </w:rPr>
        <w:t xml:space="preserve"> that the mediator alone does</w:t>
      </w:r>
      <w:r w:rsidR="004629DB" w:rsidRPr="00EF66BB">
        <w:rPr>
          <w:rFonts w:ascii="Times New Roman" w:hAnsi="Times New Roman" w:cs="Times New Roman"/>
        </w:rPr>
        <w:t xml:space="preserve"> not </w:t>
      </w:r>
      <w:r w:rsidRPr="00EF66BB">
        <w:rPr>
          <w:rFonts w:ascii="Times New Roman" w:hAnsi="Times New Roman" w:cs="Times New Roman"/>
        </w:rPr>
        <w:t>influence the relationship between the independent and the dependent variable</w:t>
      </w:r>
      <w:r w:rsidR="004629DB" w:rsidRPr="00EF66BB">
        <w:rPr>
          <w:rFonts w:ascii="Times New Roman" w:hAnsi="Times New Roman" w:cs="Times New Roman"/>
        </w:rPr>
        <w:t>s</w:t>
      </w:r>
      <w:r w:rsidRPr="00EF66BB">
        <w:rPr>
          <w:rFonts w:ascii="Times New Roman" w:hAnsi="Times New Roman" w:cs="Times New Roman"/>
        </w:rPr>
        <w:t xml:space="preserve">, although it is </w:t>
      </w:r>
      <w:r w:rsidR="006E6D78" w:rsidRPr="00EF66BB">
        <w:rPr>
          <w:rFonts w:ascii="Times New Roman" w:hAnsi="Times New Roman" w:cs="Times New Roman"/>
        </w:rPr>
        <w:t>an important criterion</w:t>
      </w:r>
      <w:r w:rsidR="00A63D6E" w:rsidRPr="00EF66BB">
        <w:rPr>
          <w:rFonts w:ascii="Times New Roman" w:hAnsi="Times New Roman" w:cs="Times New Roman"/>
        </w:rPr>
        <w:t xml:space="preserve"> </w:t>
      </w:r>
      <w:r w:rsidRPr="00EF66BB">
        <w:rPr>
          <w:rFonts w:ascii="Times New Roman" w:hAnsi="Times New Roman" w:cs="Times New Roman"/>
        </w:rPr>
        <w:t xml:space="preserve">(e.g. technology transfer </w:t>
      </w:r>
      <w:r w:rsidR="0030131C" w:rsidRPr="00EF66BB">
        <w:rPr>
          <w:rFonts w:ascii="Times New Roman" w:hAnsi="Times New Roman" w:cs="Times New Roman"/>
        </w:rPr>
        <w:t xml:space="preserve">priority </w:t>
      </w:r>
      <w:r w:rsidRPr="00EF66BB">
        <w:rPr>
          <w:rFonts w:ascii="Times New Roman" w:hAnsi="Times New Roman" w:cs="Times New Roman"/>
        </w:rPr>
        <w:t>alone do</w:t>
      </w:r>
      <w:r w:rsidR="006E6D78" w:rsidRPr="00EF66BB">
        <w:rPr>
          <w:rFonts w:ascii="Times New Roman" w:hAnsi="Times New Roman" w:cs="Times New Roman"/>
        </w:rPr>
        <w:t>es</w:t>
      </w:r>
      <w:r w:rsidRPr="00EF66BB">
        <w:rPr>
          <w:rFonts w:ascii="Times New Roman" w:hAnsi="Times New Roman" w:cs="Times New Roman"/>
        </w:rPr>
        <w:t xml:space="preserve"> not facilitate the provision of incentives to produce financ</w:t>
      </w:r>
      <w:r w:rsidR="00B4456C">
        <w:rPr>
          <w:rFonts w:ascii="Times New Roman" w:hAnsi="Times New Roman" w:cs="Times New Roman"/>
        </w:rPr>
        <w:t>ial</w:t>
      </w:r>
      <w:r w:rsidRPr="00EF66BB">
        <w:rPr>
          <w:rFonts w:ascii="Times New Roman" w:hAnsi="Times New Roman" w:cs="Times New Roman"/>
        </w:rPr>
        <w:t xml:space="preserve"> returns from the technology transfer activities, although the presence of a strategy is a significant enabler). Fig</w:t>
      </w:r>
      <w:r w:rsidR="006E6D78" w:rsidRPr="00EF66BB">
        <w:rPr>
          <w:rFonts w:ascii="Times New Roman" w:hAnsi="Times New Roman" w:cs="Times New Roman"/>
        </w:rPr>
        <w:t>ure</w:t>
      </w:r>
      <w:r w:rsidRPr="00EF66BB">
        <w:rPr>
          <w:rFonts w:ascii="Times New Roman" w:hAnsi="Times New Roman" w:cs="Times New Roman"/>
        </w:rPr>
        <w:t xml:space="preserve"> 1 provides a schematic representation of the mediated (and the moderated) model.</w:t>
      </w:r>
    </w:p>
    <w:p w14:paraId="059356EB" w14:textId="77777777" w:rsidR="004629DB" w:rsidRPr="00EF66BB" w:rsidRDefault="004629DB" w:rsidP="00141231">
      <w:pPr>
        <w:autoSpaceDE w:val="0"/>
        <w:autoSpaceDN w:val="0"/>
        <w:adjustRightInd w:val="0"/>
        <w:spacing w:line="360" w:lineRule="auto"/>
        <w:rPr>
          <w:rFonts w:ascii="Times New Roman" w:hAnsi="Times New Roman" w:cs="Times New Roman"/>
        </w:rPr>
      </w:pPr>
    </w:p>
    <w:p w14:paraId="41A7F2B5" w14:textId="7E647D3E" w:rsidR="007B4FF2" w:rsidRDefault="008747C5" w:rsidP="00141231">
      <w:pPr>
        <w:autoSpaceDE w:val="0"/>
        <w:autoSpaceDN w:val="0"/>
        <w:adjustRightInd w:val="0"/>
        <w:spacing w:line="360" w:lineRule="auto"/>
        <w:rPr>
          <w:rFonts w:ascii="Times New Roman" w:hAnsi="Times New Roman" w:cs="Times New Roman"/>
        </w:rPr>
      </w:pPr>
      <w:r w:rsidRPr="00EF66BB">
        <w:rPr>
          <w:rFonts w:ascii="Times New Roman" w:hAnsi="Times New Roman" w:cs="Times New Roman"/>
        </w:rPr>
        <w:t>Fig</w:t>
      </w:r>
      <w:r w:rsidR="006E6D78" w:rsidRPr="00EF66BB">
        <w:rPr>
          <w:rFonts w:ascii="Times New Roman" w:hAnsi="Times New Roman" w:cs="Times New Roman"/>
        </w:rPr>
        <w:t xml:space="preserve">ure </w:t>
      </w:r>
      <w:r w:rsidRPr="00EF66BB">
        <w:rPr>
          <w:rFonts w:ascii="Times New Roman" w:hAnsi="Times New Roman" w:cs="Times New Roman"/>
        </w:rPr>
        <w:t>1</w:t>
      </w:r>
      <w:r w:rsidR="006E6D78" w:rsidRPr="00EF66BB">
        <w:rPr>
          <w:rFonts w:ascii="Times New Roman" w:hAnsi="Times New Roman" w:cs="Times New Roman"/>
        </w:rPr>
        <w:t>:</w:t>
      </w:r>
      <w:r w:rsidRPr="00EF66BB">
        <w:rPr>
          <w:rFonts w:ascii="Times New Roman" w:hAnsi="Times New Roman" w:cs="Times New Roman"/>
        </w:rPr>
        <w:t xml:space="preserve"> Schematic Overview of Mediated and Moderated-Mediation Models</w:t>
      </w:r>
      <w:r w:rsidR="007B4FF2" w:rsidRPr="007B4FF2">
        <w:rPr>
          <w:rFonts w:ascii="Times New Roman" w:hAnsi="Times New Roman" w:cs="Times New Roman"/>
          <w:noProof/>
          <w:lang w:eastAsia="en-GB"/>
        </w:rPr>
        <mc:AlternateContent>
          <mc:Choice Requires="wps">
            <w:drawing>
              <wp:anchor distT="45720" distB="45720" distL="114300" distR="114300" simplePos="0" relativeHeight="251744256" behindDoc="0" locked="0" layoutInCell="1" allowOverlap="1" wp14:anchorId="5238705A" wp14:editId="3C9B348A">
                <wp:simplePos x="0" y="0"/>
                <wp:positionH relativeFrom="margin">
                  <wp:align>left</wp:align>
                </wp:positionH>
                <wp:positionV relativeFrom="paragraph">
                  <wp:posOffset>300355</wp:posOffset>
                </wp:positionV>
                <wp:extent cx="6038850" cy="3124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124200"/>
                        </a:xfrm>
                        <a:prstGeom prst="rect">
                          <a:avLst/>
                        </a:prstGeom>
                        <a:solidFill>
                          <a:srgbClr val="FFFFFF"/>
                        </a:solidFill>
                        <a:ln w="9525">
                          <a:solidFill>
                            <a:srgbClr val="000000"/>
                          </a:solidFill>
                          <a:miter lim="800000"/>
                          <a:headEnd/>
                          <a:tailEnd/>
                        </a:ln>
                      </wps:spPr>
                      <wps:txbx>
                        <w:txbxContent>
                          <w:p w14:paraId="5179975D" w14:textId="262EE16E" w:rsidR="007B4FF2" w:rsidRDefault="007B4FF2">
                            <w:r w:rsidRPr="007B4FF2">
                              <w:rPr>
                                <w:noProof/>
                              </w:rPr>
                              <w:drawing>
                                <wp:inline distT="0" distB="0" distL="0" distR="0" wp14:anchorId="71FDBB91" wp14:editId="7B9A2E24">
                                  <wp:extent cx="5835389" cy="3023235"/>
                                  <wp:effectExtent l="0" t="0" r="0" b="571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7314" cy="302941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8705A" id="_x0000_t202" coordsize="21600,21600" o:spt="202" path="m,l,21600r21600,l21600,xe">
                <v:stroke joinstyle="miter"/>
                <v:path gradientshapeok="t" o:connecttype="rect"/>
              </v:shapetype>
              <v:shape id="Text Box 2" o:spid="_x0000_s1026" type="#_x0000_t202" style="position:absolute;margin-left:0;margin-top:23.65pt;width:475.5pt;height:246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">
                <v:textbox>
                  <w:txbxContent>
                    <w:p w14:paraId="5179975D" w14:textId="262EE16E" w:rsidR="007B4FF2" w:rsidRDefault="007B4FF2">
                      <w:r w:rsidRPr="007B4FF2">
                        <w:drawing>
                          <wp:inline distT="0" distB="0" distL="0" distR="0" wp14:anchorId="71FDBB91" wp14:editId="7B9A2E24">
                            <wp:extent cx="5835389" cy="3023235"/>
                            <wp:effectExtent l="0" t="0" r="0" b="571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7314" cy="3029413"/>
                                    </a:xfrm>
                                    <a:prstGeom prst="rect">
                                      <a:avLst/>
                                    </a:prstGeom>
                                    <a:noFill/>
                                    <a:ln>
                                      <a:noFill/>
                                    </a:ln>
                                  </pic:spPr>
                                </pic:pic>
                              </a:graphicData>
                            </a:graphic>
                          </wp:inline>
                        </w:drawing>
                      </w:r>
                    </w:p>
                  </w:txbxContent>
                </v:textbox>
                <w10:wrap type="square" anchorx="margin"/>
              </v:shape>
            </w:pict>
          </mc:Fallback>
        </mc:AlternateContent>
      </w:r>
    </w:p>
    <w:p w14:paraId="4513874B" w14:textId="00C4A0C0" w:rsidR="007B4FF2" w:rsidRDefault="007B4FF2" w:rsidP="00141231">
      <w:pPr>
        <w:autoSpaceDE w:val="0"/>
        <w:autoSpaceDN w:val="0"/>
        <w:adjustRightInd w:val="0"/>
        <w:spacing w:line="360" w:lineRule="auto"/>
        <w:rPr>
          <w:rFonts w:ascii="Times New Roman" w:hAnsi="Times New Roman" w:cs="Times New Roman"/>
        </w:rPr>
      </w:pPr>
    </w:p>
    <w:p w14:paraId="0707AD7B" w14:textId="7961E90C" w:rsidR="00AF28AD" w:rsidRDefault="001A3E4C" w:rsidP="00141231">
      <w:pPr>
        <w:autoSpaceDE w:val="0"/>
        <w:autoSpaceDN w:val="0"/>
        <w:adjustRightInd w:val="0"/>
        <w:spacing w:line="360" w:lineRule="auto"/>
        <w:rPr>
          <w:rFonts w:ascii="Times New Roman" w:hAnsi="Times New Roman" w:cs="Times New Roman"/>
        </w:rPr>
      </w:pPr>
      <w:r w:rsidRPr="00EF66BB">
        <w:rPr>
          <w:rFonts w:ascii="Times New Roman" w:eastAsia="TimesNewRoman" w:hAnsi="Times New Roman" w:cs="Times New Roman"/>
        </w:rPr>
        <w:lastRenderedPageBreak/>
        <w:t>Before testing the hypothesised relationships, we estimated a series of competing nested models against the baseline model using sequential chi-square tests. This provides</w:t>
      </w:r>
      <w:r w:rsidRPr="00EF66BB">
        <w:rPr>
          <w:rFonts w:ascii="Times New Roman" w:hAnsi="Times New Roman" w:cs="Times New Roman"/>
        </w:rPr>
        <w:t xml:space="preserve"> successive fit assessments </w:t>
      </w:r>
      <w:r w:rsidR="007A2BD1">
        <w:rPr>
          <w:rFonts w:ascii="Times New Roman" w:hAnsi="Times New Roman" w:cs="Times New Roman"/>
        </w:rPr>
        <w:fldChar w:fldCharType="begin" w:fldLock="1"/>
      </w:r>
      <w:r w:rsidR="007A2BD1">
        <w:rPr>
          <w:rFonts w:ascii="Times New Roman" w:hAnsi="Times New Roman" w:cs="Times New Roman"/>
        </w:rPr>
        <w:instrText>ADDIN CSL_CITATION {"citationItems":[{"id":"ITEM-1","itemData":{"author":[{"dropping-particle":"","family":"Steiger","given":"J.H.","non-dropping-particle":"","parse-names":false,"suffix":""},{"dropping-particle":"","family":"Shapiro","given":"A.","non-dropping-particle":"","parse-names":false,"suffix":""},{"dropping-particle":"","family":"Browne","given":"M.W.","non-dropping-particle":"","parse-names":false,"suffix":""}],"container-title":"Psychometrika","id":"ITEM-1","issue":"3","issued":{"date-parts":[["1985"]]},"page":"253-264","title":"On the Multivariate Asymptotic Distribution of Sequential Chi Square Statistics","type":"article-journal","volume":"50"},"uris":["http://www.mendeley.com/documents/?uuid=d67066bb-f600-4b50-93b3-2f9c4bccc3ab"]}],"mendeley":{"formattedCitation":"(Steiger et al., 1985)","plainTextFormattedCitation":"(Steiger et al., 1985)","previouslyFormattedCitation":"(Steiger et al., 1985)"},"properties":{"noteIndex":0},"schema":"https://github.com/citation-style-language/schema/raw/master/csl-citation.json"}</w:instrText>
      </w:r>
      <w:r w:rsidR="007A2BD1">
        <w:rPr>
          <w:rFonts w:ascii="Times New Roman" w:hAnsi="Times New Roman" w:cs="Times New Roman"/>
        </w:rPr>
        <w:fldChar w:fldCharType="separate"/>
      </w:r>
      <w:r w:rsidR="007A2BD1" w:rsidRPr="007A2BD1">
        <w:rPr>
          <w:rFonts w:ascii="Times New Roman" w:hAnsi="Times New Roman" w:cs="Times New Roman"/>
          <w:noProof/>
        </w:rPr>
        <w:t>(Steiger et al., 1985)</w:t>
      </w:r>
      <w:r w:rsidR="007A2BD1">
        <w:rPr>
          <w:rFonts w:ascii="Times New Roman" w:hAnsi="Times New Roman" w:cs="Times New Roman"/>
        </w:rPr>
        <w:fldChar w:fldCharType="end"/>
      </w:r>
      <w:r w:rsidRPr="00EF66BB">
        <w:rPr>
          <w:rFonts w:ascii="Times New Roman" w:hAnsi="Times New Roman" w:cs="Times New Roman"/>
        </w:rPr>
        <w:t xml:space="preserve"> of models that differ in the number of </w:t>
      </w:r>
      <w:r w:rsidR="00C93899">
        <w:rPr>
          <w:rFonts w:ascii="Times New Roman" w:hAnsi="Times New Roman" w:cs="Times New Roman"/>
        </w:rPr>
        <w:t>hypothesised</w:t>
      </w:r>
      <w:r w:rsidR="007E5C20" w:rsidRPr="00EF66BB">
        <w:rPr>
          <w:rFonts w:ascii="Times New Roman" w:hAnsi="Times New Roman" w:cs="Times New Roman"/>
        </w:rPr>
        <w:t xml:space="preserve"> paths</w:t>
      </w:r>
      <w:r w:rsidRPr="00EF66BB">
        <w:rPr>
          <w:rFonts w:ascii="Times New Roman" w:hAnsi="Times New Roman" w:cs="Times New Roman"/>
        </w:rPr>
        <w:t xml:space="preserve">. </w:t>
      </w:r>
      <w:r w:rsidR="00AF28AD">
        <w:rPr>
          <w:rFonts w:ascii="Times New Roman" w:hAnsi="Times New Roman" w:cs="Times New Roman"/>
        </w:rPr>
        <w:t>We compared four models: a null model (Model 1), a direct model (Model 2), a partial mediation model (Model 3) and the full mediation model (Model 4)</w:t>
      </w:r>
      <w:r w:rsidR="00AB203A">
        <w:rPr>
          <w:rFonts w:ascii="Times New Roman" w:hAnsi="Times New Roman" w:cs="Times New Roman"/>
        </w:rPr>
        <w:t>- see appendix 2 for further explanation and data table</w:t>
      </w:r>
      <w:r w:rsidR="00B4456C">
        <w:rPr>
          <w:rFonts w:ascii="Times New Roman" w:hAnsi="Times New Roman" w:cs="Times New Roman"/>
        </w:rPr>
        <w:t>s</w:t>
      </w:r>
      <w:r w:rsidR="00AB203A">
        <w:rPr>
          <w:rFonts w:ascii="Times New Roman" w:hAnsi="Times New Roman" w:cs="Times New Roman"/>
        </w:rPr>
        <w:t xml:space="preserve">. </w:t>
      </w:r>
    </w:p>
    <w:p w14:paraId="179FBFD8" w14:textId="0B8E3C4E" w:rsidR="001A3E4C" w:rsidRPr="00EF66BB" w:rsidRDefault="001A3E4C" w:rsidP="00141231">
      <w:pPr>
        <w:autoSpaceDE w:val="0"/>
        <w:autoSpaceDN w:val="0"/>
        <w:adjustRightInd w:val="0"/>
        <w:spacing w:line="360" w:lineRule="auto"/>
        <w:rPr>
          <w:rFonts w:ascii="Times New Roman" w:hAnsi="Times New Roman" w:cs="Times New Roman"/>
        </w:rPr>
      </w:pPr>
    </w:p>
    <w:p w14:paraId="69405005" w14:textId="17CEFD64" w:rsidR="006D4C29" w:rsidRDefault="001A3E4C" w:rsidP="00141231">
      <w:pPr>
        <w:autoSpaceDE w:val="0"/>
        <w:autoSpaceDN w:val="0"/>
        <w:adjustRightInd w:val="0"/>
        <w:spacing w:line="360" w:lineRule="auto"/>
        <w:rPr>
          <w:rFonts w:ascii="Times New Roman" w:hAnsi="Times New Roman" w:cs="Times New Roman"/>
        </w:rPr>
      </w:pPr>
      <w:r w:rsidRPr="00EF66BB">
        <w:rPr>
          <w:rFonts w:ascii="Times New Roman" w:hAnsi="Times New Roman" w:cs="Times New Roman"/>
        </w:rPr>
        <w:t xml:space="preserve">When comparing mediated versus the null and the direct </w:t>
      </w:r>
      <w:r w:rsidR="00FF1DDB">
        <w:rPr>
          <w:rFonts w:ascii="Times New Roman" w:hAnsi="Times New Roman" w:cs="Times New Roman"/>
        </w:rPr>
        <w:t>m</w:t>
      </w:r>
      <w:r w:rsidR="00FF1DDB" w:rsidRPr="00EF66BB">
        <w:rPr>
          <w:rFonts w:ascii="Times New Roman" w:hAnsi="Times New Roman" w:cs="Times New Roman"/>
        </w:rPr>
        <w:t>odels</w:t>
      </w:r>
      <w:r w:rsidRPr="00EF66BB">
        <w:rPr>
          <w:rFonts w:ascii="Times New Roman" w:hAnsi="Times New Roman" w:cs="Times New Roman"/>
        </w:rPr>
        <w:t xml:space="preserve">, evidence of mediation can be established when a fully or partially mediated model provides a significant improvement over other models </w:t>
      </w:r>
      <w:r w:rsidR="007A2BD1">
        <w:rPr>
          <w:rFonts w:ascii="Times New Roman" w:hAnsi="Times New Roman" w:cs="Times New Roman"/>
        </w:rPr>
        <w:fldChar w:fldCharType="begin" w:fldLock="1"/>
      </w:r>
      <w:r w:rsidR="007F03FF">
        <w:rPr>
          <w:rFonts w:ascii="Times New Roman" w:hAnsi="Times New Roman" w:cs="Times New Roman"/>
        </w:rPr>
        <w:instrText>ADDIN CSL_CITATION {"citationItems":[{"id":"ITEM-1","itemData":{"DOI":"10.1002/job.4030160304","ISBN":"1099-1379","ISSN":"10991379","abstract":"Four current controversies in structural equation modeling are reviewed: 1. the causal nature of structural equation models, 2. the assessment of global fit, 3. the use of specification searches to enhance model fit, and 4. the call for a return to simpler forms of analysis. Within each area the nature of the controversy is reviewed and suggestions are made to improve future practice.","author":[{"dropping-particle":"","family":"Kelloway","given":"E","non-dropping-particle":"","parse-names":false,"suffix":""}],"container-title":"Journal of Organizational Behavior","id":"ITEM-1","issue":"3","issued":{"date-parts":[["1995"]]},"page":"215-224","title":"Structural equation modelling in perspective","type":"article-journal","volume":"16"},"uris":["http://www.mendeley.com/documents/?uuid=d733b1fa-f365-41f9-b2b1-ce6866575d77"]}],"mendeley":{"formattedCitation":"(Kelloway, 1995)","plainTextFormattedCitation":"(Kelloway, 1995)","previouslyFormattedCitation":"(Kelloway, 1995)"},"properties":{"noteIndex":0},"schema":"https://github.com/citation-style-language/schema/raw/master/csl-citation.json"}</w:instrText>
      </w:r>
      <w:r w:rsidR="007A2BD1">
        <w:rPr>
          <w:rFonts w:ascii="Times New Roman" w:hAnsi="Times New Roman" w:cs="Times New Roman"/>
        </w:rPr>
        <w:fldChar w:fldCharType="separate"/>
      </w:r>
      <w:r w:rsidR="007A2BD1" w:rsidRPr="007A2BD1">
        <w:rPr>
          <w:rFonts w:ascii="Times New Roman" w:hAnsi="Times New Roman" w:cs="Times New Roman"/>
          <w:noProof/>
        </w:rPr>
        <w:t>(Kelloway, 1995)</w:t>
      </w:r>
      <w:r w:rsidR="007A2BD1">
        <w:rPr>
          <w:rFonts w:ascii="Times New Roman" w:hAnsi="Times New Roman" w:cs="Times New Roman"/>
        </w:rPr>
        <w:fldChar w:fldCharType="end"/>
      </w:r>
      <w:r w:rsidR="007A2BD1">
        <w:rPr>
          <w:rFonts w:ascii="Times New Roman" w:hAnsi="Times New Roman" w:cs="Times New Roman"/>
        </w:rPr>
        <w:t>.</w:t>
      </w:r>
      <w:r w:rsidRPr="00EF66BB">
        <w:rPr>
          <w:rFonts w:ascii="Times New Roman" w:hAnsi="Times New Roman" w:cs="Times New Roman"/>
        </w:rPr>
        <w:t xml:space="preserve"> Since the partial mediation alternative is nested within the full mediation </w:t>
      </w:r>
      <w:r w:rsidR="00FF1DDB">
        <w:rPr>
          <w:rFonts w:ascii="Times New Roman" w:hAnsi="Times New Roman" w:cs="Times New Roman"/>
        </w:rPr>
        <w:t>m</w:t>
      </w:r>
      <w:r w:rsidR="00FF1DDB" w:rsidRPr="00EF66BB">
        <w:rPr>
          <w:rFonts w:ascii="Times New Roman" w:hAnsi="Times New Roman" w:cs="Times New Roman"/>
        </w:rPr>
        <w:t>odel</w:t>
      </w:r>
      <w:r w:rsidRPr="00EF66BB">
        <w:rPr>
          <w:rFonts w:ascii="Times New Roman" w:hAnsi="Times New Roman" w:cs="Times New Roman"/>
        </w:rPr>
        <w:t xml:space="preserve">, the model comparison is based on the chi-square difference tests that builds on the goodness-of-fit indexes </w:t>
      </w:r>
      <w:r w:rsidR="007F03FF">
        <w:rPr>
          <w:rFonts w:ascii="Times New Roman" w:hAnsi="Times New Roman" w:cs="Times New Roman"/>
        </w:rPr>
        <w:fldChar w:fldCharType="begin" w:fldLock="1"/>
      </w:r>
      <w:r w:rsidR="007F03FF">
        <w:rPr>
          <w:rFonts w:ascii="Times New Roman" w:hAnsi="Times New Roman" w:cs="Times New Roman"/>
        </w:rPr>
        <w:instrText>ADDIN CSL_CITATION {"citationItems":[{"id":"ITEM-1","itemData":{"author":[{"dropping-particle":"","family":"Kline","given":"R. B","non-dropping-particle":"","parse-names":false,"suffix":""}],"id":"ITEM-1","issued":{"date-parts":[["2016"]]},"publisher":"The Guildford Press","publisher-place":"London","title":"Principles and Practice of Structural Equation Modelling","type":"book"},"uris":["http://www.mendeley.com/documents/?uuid=88b44e86-d523-4ac4-a1d7-ac3c858ca017"]}],"mendeley":{"formattedCitation":"(Kline, 2016)","plainTextFormattedCitation":"(Kline, 2016)","previouslyFormattedCitation":"(Kline, 2016)"},"properties":{"noteIndex":0},"schema":"https://github.com/citation-style-language/schema/raw/master/csl-citation.json"}</w:instrText>
      </w:r>
      <w:r w:rsidR="007F03FF">
        <w:rPr>
          <w:rFonts w:ascii="Times New Roman" w:hAnsi="Times New Roman" w:cs="Times New Roman"/>
        </w:rPr>
        <w:fldChar w:fldCharType="separate"/>
      </w:r>
      <w:r w:rsidR="007F03FF" w:rsidRPr="007F03FF">
        <w:rPr>
          <w:rFonts w:ascii="Times New Roman" w:hAnsi="Times New Roman" w:cs="Times New Roman"/>
          <w:noProof/>
        </w:rPr>
        <w:t>(Kline, 2016)</w:t>
      </w:r>
      <w:r w:rsidR="007F03FF">
        <w:rPr>
          <w:rFonts w:ascii="Times New Roman" w:hAnsi="Times New Roman" w:cs="Times New Roman"/>
        </w:rPr>
        <w:fldChar w:fldCharType="end"/>
      </w:r>
      <w:r w:rsidRPr="00EF66BB">
        <w:rPr>
          <w:rFonts w:ascii="Times New Roman" w:hAnsi="Times New Roman" w:cs="Times New Roman"/>
        </w:rPr>
        <w:t>. The goodness-of-fit statistics and the Chi-square difference test results are presented in Table</w:t>
      </w:r>
      <w:r w:rsidR="00B4456C">
        <w:rPr>
          <w:rFonts w:ascii="Times New Roman" w:hAnsi="Times New Roman" w:cs="Times New Roman"/>
        </w:rPr>
        <w:t xml:space="preserve"> B</w:t>
      </w:r>
      <w:r w:rsidR="00AB203A">
        <w:rPr>
          <w:rFonts w:ascii="Times New Roman" w:hAnsi="Times New Roman" w:cs="Times New Roman"/>
        </w:rPr>
        <w:t xml:space="preserve"> (see </w:t>
      </w:r>
      <w:r w:rsidR="00B4456C">
        <w:rPr>
          <w:rFonts w:ascii="Times New Roman" w:hAnsi="Times New Roman" w:cs="Times New Roman"/>
        </w:rPr>
        <w:t>A</w:t>
      </w:r>
      <w:r w:rsidR="00AB203A">
        <w:rPr>
          <w:rFonts w:ascii="Times New Roman" w:hAnsi="Times New Roman" w:cs="Times New Roman"/>
        </w:rPr>
        <w:t>ppendix 2)</w:t>
      </w:r>
      <w:r w:rsidRPr="00EF66BB">
        <w:rPr>
          <w:rFonts w:ascii="Times New Roman" w:hAnsi="Times New Roman" w:cs="Times New Roman"/>
        </w:rPr>
        <w:t>.  Both the full and partial mediation models (</w:t>
      </w:r>
      <w:r w:rsidR="00FF2D2E" w:rsidRPr="00EF66BB">
        <w:rPr>
          <w:rFonts w:ascii="Times New Roman" w:hAnsi="Times New Roman" w:cs="Times New Roman"/>
        </w:rPr>
        <w:t>M</w:t>
      </w:r>
      <w:r w:rsidRPr="00EF66BB">
        <w:rPr>
          <w:rFonts w:ascii="Times New Roman" w:hAnsi="Times New Roman" w:cs="Times New Roman"/>
        </w:rPr>
        <w:t xml:space="preserve">odels 3 and 4) were found to have a good model fit with all fit indices meeting the criteria supporting the </w:t>
      </w:r>
      <w:r w:rsidR="00C93899">
        <w:rPr>
          <w:rFonts w:ascii="Times New Roman" w:hAnsi="Times New Roman" w:cs="Times New Roman"/>
        </w:rPr>
        <w:t>hypothesised</w:t>
      </w:r>
      <w:r w:rsidRPr="00EF66BB">
        <w:rPr>
          <w:rFonts w:ascii="Times New Roman" w:hAnsi="Times New Roman" w:cs="Times New Roman"/>
        </w:rPr>
        <w:t xml:space="preserve"> mediated relationship between the two technology transfer enablers (TTO support and provision of incentives) and </w:t>
      </w:r>
      <w:r w:rsidR="000C0557" w:rsidRPr="00EF66BB">
        <w:rPr>
          <w:rFonts w:ascii="Times New Roman" w:hAnsi="Times New Roman" w:cs="Times New Roman"/>
        </w:rPr>
        <w:t>TT</w:t>
      </w:r>
      <w:r w:rsidRPr="00EF66BB">
        <w:rPr>
          <w:rFonts w:ascii="Times New Roman" w:hAnsi="Times New Roman" w:cs="Times New Roman"/>
        </w:rPr>
        <w:t xml:space="preserve"> effectiveness, our output variable. </w:t>
      </w:r>
    </w:p>
    <w:p w14:paraId="7ADB9428" w14:textId="77777777" w:rsidR="00C231BC" w:rsidRPr="00EF66BB" w:rsidRDefault="00C231BC" w:rsidP="00141231">
      <w:pPr>
        <w:autoSpaceDE w:val="0"/>
        <w:autoSpaceDN w:val="0"/>
        <w:adjustRightInd w:val="0"/>
        <w:spacing w:line="360" w:lineRule="auto"/>
        <w:rPr>
          <w:rFonts w:ascii="Times New Roman" w:hAnsi="Times New Roman" w:cs="Times New Roman"/>
        </w:rPr>
      </w:pPr>
    </w:p>
    <w:p w14:paraId="48E11BF7" w14:textId="154106B3" w:rsidR="001A3E4C" w:rsidRDefault="001A3E4C" w:rsidP="00141231">
      <w:pPr>
        <w:autoSpaceDE w:val="0"/>
        <w:autoSpaceDN w:val="0"/>
        <w:adjustRightInd w:val="0"/>
        <w:spacing w:line="360" w:lineRule="auto"/>
        <w:rPr>
          <w:rFonts w:ascii="Times New Roman" w:eastAsia="TimesNewRoman" w:hAnsi="Times New Roman" w:cs="Times New Roman"/>
        </w:rPr>
      </w:pPr>
      <w:r w:rsidRPr="00EF66BB">
        <w:rPr>
          <w:rFonts w:ascii="Times New Roman" w:hAnsi="Times New Roman" w:cs="Times New Roman"/>
        </w:rPr>
        <w:t>In the partial mediation model (</w:t>
      </w:r>
      <w:r w:rsidR="00FF2D2E" w:rsidRPr="00EF66BB">
        <w:rPr>
          <w:rFonts w:ascii="Times New Roman" w:hAnsi="Times New Roman" w:cs="Times New Roman"/>
        </w:rPr>
        <w:t>M</w:t>
      </w:r>
      <w:r w:rsidRPr="00EF66BB">
        <w:rPr>
          <w:rFonts w:ascii="Times New Roman" w:hAnsi="Times New Roman" w:cs="Times New Roman"/>
        </w:rPr>
        <w:t>odel 3)</w:t>
      </w:r>
      <w:r w:rsidR="006E6D78" w:rsidRPr="00EF66BB">
        <w:rPr>
          <w:rFonts w:ascii="Times New Roman" w:hAnsi="Times New Roman" w:cs="Times New Roman"/>
        </w:rPr>
        <w:t>,</w:t>
      </w:r>
      <w:r w:rsidRPr="00EF66BB">
        <w:rPr>
          <w:rFonts w:ascii="Times New Roman" w:hAnsi="Times New Roman" w:cs="Times New Roman"/>
        </w:rPr>
        <w:t xml:space="preserve"> the two direct relationships between the independent and dependent variables were not statistically significant. To further examine whether technology transfer </w:t>
      </w:r>
      <w:r w:rsidR="0030131C" w:rsidRPr="00EF66BB">
        <w:rPr>
          <w:rFonts w:ascii="Times New Roman" w:hAnsi="Times New Roman" w:cs="Times New Roman"/>
        </w:rPr>
        <w:t xml:space="preserve">priority </w:t>
      </w:r>
      <w:r w:rsidRPr="00EF66BB">
        <w:rPr>
          <w:rFonts w:ascii="Times New Roman" w:hAnsi="Times New Roman" w:cs="Times New Roman"/>
        </w:rPr>
        <w:t>fully or partially mediated the relationship between the two exogenous variables and the outcome variable, we tested two alternative models that excluded direct paths one at a time from the independent variable to the outcome variables</w:t>
      </w:r>
      <w:r w:rsidR="005B213A" w:rsidRPr="00EF66BB">
        <w:rPr>
          <w:rFonts w:ascii="Times New Roman" w:hAnsi="Times New Roman" w:cs="Times New Roman"/>
        </w:rPr>
        <w:t>.</w:t>
      </w:r>
      <w:r w:rsidRPr="00EF66BB">
        <w:rPr>
          <w:rStyle w:val="FootnoteReference"/>
          <w:rFonts w:ascii="Times New Roman" w:hAnsi="Times New Roman" w:cs="Times New Roman"/>
        </w:rPr>
        <w:footnoteReference w:id="6"/>
      </w:r>
      <w:r w:rsidRPr="00EF66BB">
        <w:rPr>
          <w:rFonts w:ascii="Times New Roman" w:hAnsi="Times New Roman" w:cs="Times New Roman"/>
        </w:rPr>
        <w:t xml:space="preserve"> In Model 5, the conditions for full mediation for H1 and partial mediation for H2 are assumed by constraining the direct path between TTO support and </w:t>
      </w:r>
      <w:r w:rsidR="000C0557" w:rsidRPr="00EF66BB">
        <w:rPr>
          <w:rFonts w:ascii="Times New Roman" w:hAnsi="Times New Roman" w:cs="Times New Roman"/>
        </w:rPr>
        <w:t>TT</w:t>
      </w:r>
      <w:r w:rsidRPr="00EF66BB">
        <w:rPr>
          <w:rFonts w:ascii="Times New Roman" w:hAnsi="Times New Roman" w:cs="Times New Roman"/>
        </w:rPr>
        <w:t xml:space="preserve"> effectiveness to zero. In Model 6, the conditions for partial mediation for H1 and full mediation for H2 are assumed whereby the path from provision of incentives to </w:t>
      </w:r>
      <w:r w:rsidR="000C0557" w:rsidRPr="00EF66BB">
        <w:rPr>
          <w:rFonts w:ascii="Times New Roman" w:hAnsi="Times New Roman" w:cs="Times New Roman"/>
        </w:rPr>
        <w:t>TT</w:t>
      </w:r>
      <w:r w:rsidRPr="00EF66BB">
        <w:rPr>
          <w:rFonts w:ascii="Times New Roman" w:hAnsi="Times New Roman" w:cs="Times New Roman"/>
        </w:rPr>
        <w:t xml:space="preserve"> effectiveness was forced to take the value of zero. In both </w:t>
      </w:r>
      <w:r w:rsidR="00FF2D2E" w:rsidRPr="00EF66BB">
        <w:rPr>
          <w:rFonts w:ascii="Times New Roman" w:hAnsi="Times New Roman" w:cs="Times New Roman"/>
        </w:rPr>
        <w:t>M</w:t>
      </w:r>
      <w:r w:rsidRPr="00EF66BB">
        <w:rPr>
          <w:rFonts w:ascii="Times New Roman" w:hAnsi="Times New Roman" w:cs="Times New Roman"/>
        </w:rPr>
        <w:t>odels 5 and 6</w:t>
      </w:r>
      <w:r w:rsidR="00FF2D2E" w:rsidRPr="00EF66BB">
        <w:rPr>
          <w:rFonts w:ascii="Times New Roman" w:hAnsi="Times New Roman" w:cs="Times New Roman"/>
        </w:rPr>
        <w:t>,</w:t>
      </w:r>
      <w:r w:rsidRPr="00EF66BB">
        <w:rPr>
          <w:rFonts w:ascii="Times New Roman" w:hAnsi="Times New Roman" w:cs="Times New Roman"/>
        </w:rPr>
        <w:t xml:space="preserve"> an</w:t>
      </w:r>
      <w:r w:rsidRPr="00EF66BB">
        <w:rPr>
          <w:rFonts w:ascii="Times New Roman" w:eastAsia="TimesNewRoman" w:hAnsi="Times New Roman" w:cs="Times New Roman"/>
        </w:rPr>
        <w:t xml:space="preserve"> increase in </w:t>
      </w:r>
      <w:r w:rsidR="00FF2D2E" w:rsidRPr="00EF66BB">
        <w:rPr>
          <w:rFonts w:ascii="Times New Roman" w:eastAsia="TimesNewRoman" w:hAnsi="Times New Roman" w:cs="Times New Roman"/>
        </w:rPr>
        <w:t>C</w:t>
      </w:r>
      <w:r w:rsidRPr="00EF66BB">
        <w:rPr>
          <w:rFonts w:ascii="Times New Roman" w:eastAsia="TimesNewRoman" w:hAnsi="Times New Roman" w:cs="Times New Roman"/>
        </w:rPr>
        <w:t xml:space="preserve">hi-square was observed, which suggests that the direct paths were not an important driver of </w:t>
      </w:r>
      <w:r w:rsidR="000C0557" w:rsidRPr="00EF66BB">
        <w:rPr>
          <w:rFonts w:ascii="Times New Roman" w:eastAsia="TimesNewRoman" w:hAnsi="Times New Roman" w:cs="Times New Roman"/>
        </w:rPr>
        <w:t>TT</w:t>
      </w:r>
      <w:r w:rsidRPr="00EF66BB">
        <w:rPr>
          <w:rFonts w:ascii="Times New Roman" w:eastAsia="TimesNewRoman" w:hAnsi="Times New Roman" w:cs="Times New Roman"/>
        </w:rPr>
        <w:t xml:space="preserve"> effectiveness in </w:t>
      </w:r>
      <w:r w:rsidR="00FF2D2E" w:rsidRPr="00EF66BB">
        <w:rPr>
          <w:rFonts w:ascii="Times New Roman" w:eastAsia="TimesNewRoman" w:hAnsi="Times New Roman" w:cs="Times New Roman"/>
        </w:rPr>
        <w:t xml:space="preserve">the </w:t>
      </w:r>
      <w:r w:rsidRPr="00EF66BB">
        <w:rPr>
          <w:rFonts w:ascii="Times New Roman" w:eastAsia="TimesNewRoman" w:hAnsi="Times New Roman" w:cs="Times New Roman"/>
        </w:rPr>
        <w:t xml:space="preserve">absence of a </w:t>
      </w:r>
      <w:r w:rsidR="000C0557" w:rsidRPr="00EF66BB">
        <w:rPr>
          <w:rFonts w:ascii="Times New Roman" w:eastAsia="TimesNewRoman" w:hAnsi="Times New Roman" w:cs="Times New Roman"/>
        </w:rPr>
        <w:t>T</w:t>
      </w:r>
      <w:r w:rsidR="00F97854">
        <w:rPr>
          <w:rFonts w:ascii="Times New Roman" w:eastAsia="TimesNewRoman" w:hAnsi="Times New Roman" w:cs="Times New Roman"/>
        </w:rPr>
        <w:t xml:space="preserve">echnology </w:t>
      </w:r>
      <w:r w:rsidR="00F97854">
        <w:rPr>
          <w:rFonts w:ascii="Times New Roman" w:eastAsia="TimesNewRoman" w:hAnsi="Times New Roman" w:cs="Times New Roman"/>
        </w:rPr>
        <w:lastRenderedPageBreak/>
        <w:t>Transfer</w:t>
      </w:r>
      <w:r w:rsidRPr="00EF66BB">
        <w:rPr>
          <w:rFonts w:ascii="Times New Roman" w:eastAsia="TimesNewRoman" w:hAnsi="Times New Roman" w:cs="Times New Roman"/>
        </w:rPr>
        <w:t xml:space="preserve"> </w:t>
      </w:r>
      <w:r w:rsidR="00F97854">
        <w:rPr>
          <w:rFonts w:ascii="Times New Roman" w:eastAsia="TimesNewRoman" w:hAnsi="Times New Roman" w:cs="Times New Roman"/>
        </w:rPr>
        <w:t>S</w:t>
      </w:r>
      <w:r w:rsidRPr="00EF66BB">
        <w:rPr>
          <w:rFonts w:ascii="Times New Roman" w:eastAsia="TimesNewRoman" w:hAnsi="Times New Roman" w:cs="Times New Roman"/>
        </w:rPr>
        <w:t>trateg</w:t>
      </w:r>
      <w:r w:rsidR="00F97854">
        <w:rPr>
          <w:rFonts w:ascii="Times New Roman" w:eastAsia="TimesNewRoman" w:hAnsi="Times New Roman" w:cs="Times New Roman"/>
        </w:rPr>
        <w:t>ic Priority</w:t>
      </w:r>
      <w:r w:rsidRPr="00EF66BB">
        <w:rPr>
          <w:rFonts w:ascii="Times New Roman" w:eastAsia="TimesNewRoman" w:hAnsi="Times New Roman" w:cs="Times New Roman"/>
        </w:rPr>
        <w:t xml:space="preserve"> (mediator). The mediation proposed in </w:t>
      </w:r>
      <w:r w:rsidR="00FF2D2E" w:rsidRPr="00EF66BB">
        <w:rPr>
          <w:rFonts w:ascii="Times New Roman" w:eastAsia="TimesNewRoman" w:hAnsi="Times New Roman" w:cs="Times New Roman"/>
        </w:rPr>
        <w:t>M</w:t>
      </w:r>
      <w:r w:rsidRPr="00EF66BB">
        <w:rPr>
          <w:rFonts w:ascii="Times New Roman" w:eastAsia="TimesNewRoman" w:hAnsi="Times New Roman" w:cs="Times New Roman"/>
        </w:rPr>
        <w:t xml:space="preserve">odel 5 </w:t>
      </w:r>
      <w:r w:rsidRPr="00EF66BB">
        <w:rPr>
          <w:rFonts w:ascii="Times New Roman" w:hAnsi="Times New Roman" w:cs="Times New Roman"/>
        </w:rPr>
        <w:t>provided a good fit to the data (</w:t>
      </w:r>
      <w:r w:rsidRPr="00EF66BB">
        <w:rPr>
          <w:rFonts w:ascii="Times New Roman" w:eastAsia="TimesNewRoman" w:hAnsi="Times New Roman" w:cs="Times New Roman"/>
        </w:rPr>
        <w:t>χ</w:t>
      </w:r>
      <w:r w:rsidRPr="00EF66BB">
        <w:rPr>
          <w:rFonts w:ascii="Times New Roman" w:eastAsia="TimesNewRoman" w:hAnsi="Times New Roman" w:cs="Times New Roman"/>
          <w:vertAlign w:val="superscript"/>
        </w:rPr>
        <w:t>2</w:t>
      </w:r>
      <w:r w:rsidRPr="00EF66BB">
        <w:rPr>
          <w:rFonts w:ascii="Times New Roman" w:hAnsi="Times New Roman" w:cs="Times New Roman"/>
        </w:rPr>
        <w:t xml:space="preserve">=35.28, </w:t>
      </w:r>
      <w:r w:rsidRPr="00EF66BB">
        <w:rPr>
          <w:rFonts w:ascii="Times New Roman" w:eastAsia="TimesNewRoman" w:hAnsi="Times New Roman" w:cs="Times New Roman"/>
        </w:rPr>
        <w:t>χ</w:t>
      </w:r>
      <w:r w:rsidRPr="00EF66BB">
        <w:rPr>
          <w:rFonts w:ascii="Times New Roman" w:eastAsia="TimesNewRoman" w:hAnsi="Times New Roman" w:cs="Times New Roman"/>
          <w:vertAlign w:val="superscript"/>
        </w:rPr>
        <w:t>2</w:t>
      </w:r>
      <w:r w:rsidRPr="00EF66BB">
        <w:rPr>
          <w:rFonts w:ascii="Times New Roman" w:eastAsia="TimesNewRoman" w:hAnsi="Times New Roman" w:cs="Times New Roman"/>
        </w:rPr>
        <w:t>/</w:t>
      </w:r>
      <w:proofErr w:type="spellStart"/>
      <w:r w:rsidRPr="00EF66BB">
        <w:rPr>
          <w:rFonts w:ascii="Times New Roman" w:hAnsi="Times New Roman" w:cs="Times New Roman"/>
        </w:rPr>
        <w:t>df</w:t>
      </w:r>
      <w:proofErr w:type="spellEnd"/>
      <w:r w:rsidRPr="00EF66BB">
        <w:rPr>
          <w:rFonts w:ascii="Times New Roman" w:hAnsi="Times New Roman" w:cs="Times New Roman"/>
        </w:rPr>
        <w:t xml:space="preserve">=1.176, CFI=0.976; IFI =0.978, TLI=0.965, RMSEA=0.038). </w:t>
      </w:r>
      <w:r w:rsidRPr="00EF66BB">
        <w:rPr>
          <w:rFonts w:ascii="Times New Roman" w:eastAsia="TimesNewRoman" w:hAnsi="Times New Roman" w:cs="Times New Roman"/>
        </w:rPr>
        <w:t xml:space="preserve">The </w:t>
      </w:r>
      <w:r w:rsidR="00FF2D2E" w:rsidRPr="00EF66BB">
        <w:rPr>
          <w:rFonts w:ascii="Times New Roman" w:eastAsia="TimesNewRoman" w:hAnsi="Times New Roman" w:cs="Times New Roman"/>
        </w:rPr>
        <w:t>C</w:t>
      </w:r>
      <w:r w:rsidRPr="00EF66BB">
        <w:rPr>
          <w:rFonts w:ascii="Times New Roman" w:eastAsia="TimesNewRoman" w:hAnsi="Times New Roman" w:cs="Times New Roman"/>
        </w:rPr>
        <w:t xml:space="preserve">hi-square difference test for </w:t>
      </w:r>
      <w:r w:rsidR="00FF2D2E" w:rsidRPr="00EF66BB">
        <w:rPr>
          <w:rFonts w:ascii="Times New Roman" w:eastAsia="TimesNewRoman" w:hAnsi="Times New Roman" w:cs="Times New Roman"/>
        </w:rPr>
        <w:t>M</w:t>
      </w:r>
      <w:r w:rsidRPr="00EF66BB">
        <w:rPr>
          <w:rFonts w:ascii="Times New Roman" w:eastAsia="TimesNewRoman" w:hAnsi="Times New Roman" w:cs="Times New Roman"/>
        </w:rPr>
        <w:t xml:space="preserve">odel 5 is also significant at 5% significance level, indicating a full mediation between TTO support and </w:t>
      </w:r>
      <w:r w:rsidR="000C0557" w:rsidRPr="00EF66BB">
        <w:rPr>
          <w:rFonts w:ascii="Times New Roman" w:eastAsia="TimesNewRoman" w:hAnsi="Times New Roman" w:cs="Times New Roman"/>
        </w:rPr>
        <w:t>TT</w:t>
      </w:r>
      <w:r w:rsidRPr="00EF66BB">
        <w:rPr>
          <w:rFonts w:ascii="Times New Roman" w:eastAsia="TimesNewRoman" w:hAnsi="Times New Roman" w:cs="Times New Roman"/>
        </w:rPr>
        <w:t xml:space="preserve"> effectiveness. </w:t>
      </w:r>
      <w:r w:rsidRPr="00EF66BB">
        <w:rPr>
          <w:rFonts w:ascii="Times New Roman" w:hAnsi="Times New Roman" w:cs="Times New Roman"/>
        </w:rPr>
        <w:t xml:space="preserve">The full mediation for both H1 and H2 proposed in </w:t>
      </w:r>
      <w:r w:rsidR="00FF2D2E" w:rsidRPr="00EF66BB">
        <w:rPr>
          <w:rFonts w:ascii="Times New Roman" w:hAnsi="Times New Roman" w:cs="Times New Roman"/>
        </w:rPr>
        <w:t>M</w:t>
      </w:r>
      <w:r w:rsidRPr="00EF66BB">
        <w:rPr>
          <w:rFonts w:ascii="Times New Roman" w:hAnsi="Times New Roman" w:cs="Times New Roman"/>
        </w:rPr>
        <w:t>odel 4 also provided a good fit to the data (</w:t>
      </w:r>
      <w:r w:rsidRPr="00EF66BB">
        <w:rPr>
          <w:rFonts w:ascii="Times New Roman" w:eastAsia="TimesNewRoman" w:hAnsi="Times New Roman" w:cs="Times New Roman"/>
        </w:rPr>
        <w:t>χ</w:t>
      </w:r>
      <w:r w:rsidRPr="00EF66BB">
        <w:rPr>
          <w:rFonts w:ascii="Times New Roman" w:eastAsia="TimesNewRoman" w:hAnsi="Times New Roman" w:cs="Times New Roman"/>
          <w:vertAlign w:val="superscript"/>
        </w:rPr>
        <w:t>2</w:t>
      </w:r>
      <w:r w:rsidRPr="00EF66BB">
        <w:rPr>
          <w:rFonts w:ascii="Times New Roman" w:hAnsi="Times New Roman" w:cs="Times New Roman"/>
        </w:rPr>
        <w:t xml:space="preserve">=36.37, </w:t>
      </w:r>
      <w:r w:rsidRPr="00EF66BB">
        <w:rPr>
          <w:rFonts w:ascii="Times New Roman" w:eastAsia="TimesNewRoman" w:hAnsi="Times New Roman" w:cs="Times New Roman"/>
        </w:rPr>
        <w:t>χ</w:t>
      </w:r>
      <w:r w:rsidRPr="00EF66BB">
        <w:rPr>
          <w:rFonts w:ascii="Times New Roman" w:eastAsia="TimesNewRoman" w:hAnsi="Times New Roman" w:cs="Times New Roman"/>
          <w:vertAlign w:val="superscript"/>
        </w:rPr>
        <w:t>2</w:t>
      </w:r>
      <w:r w:rsidRPr="00EF66BB">
        <w:rPr>
          <w:rFonts w:ascii="Times New Roman" w:eastAsia="TimesNewRoman" w:hAnsi="Times New Roman" w:cs="Times New Roman"/>
        </w:rPr>
        <w:t>/</w:t>
      </w:r>
      <w:proofErr w:type="spellStart"/>
      <w:r w:rsidRPr="00EF66BB">
        <w:rPr>
          <w:rFonts w:ascii="Times New Roman" w:hAnsi="Times New Roman" w:cs="Times New Roman"/>
        </w:rPr>
        <w:t>df</w:t>
      </w:r>
      <w:proofErr w:type="spellEnd"/>
      <w:r w:rsidRPr="00EF66BB">
        <w:rPr>
          <w:rFonts w:ascii="Times New Roman" w:hAnsi="Times New Roman" w:cs="Times New Roman"/>
        </w:rPr>
        <w:t xml:space="preserve">=1.173, CFI=0.977; IFI =0.978, TLI=0.965, RMSEA=0.038). As the model fit statistics are very similar in both </w:t>
      </w:r>
      <w:r w:rsidR="00FF2D2E" w:rsidRPr="00EF66BB">
        <w:rPr>
          <w:rFonts w:ascii="Times New Roman" w:hAnsi="Times New Roman" w:cs="Times New Roman"/>
        </w:rPr>
        <w:t>M</w:t>
      </w:r>
      <w:r w:rsidRPr="00EF66BB">
        <w:rPr>
          <w:rFonts w:ascii="Times New Roman" w:hAnsi="Times New Roman" w:cs="Times New Roman"/>
        </w:rPr>
        <w:t xml:space="preserve">odels 4 and 5 we compared estimates from both models </w:t>
      </w:r>
      <w:r w:rsidRPr="00EF66BB">
        <w:rPr>
          <w:rFonts w:ascii="Times New Roman" w:eastAsia="TimesNewRoman" w:hAnsi="Times New Roman" w:cs="Times New Roman"/>
        </w:rPr>
        <w:t>in our hypothesis testing</w:t>
      </w:r>
      <w:r w:rsidR="00FF2D2E" w:rsidRPr="00EF66BB">
        <w:rPr>
          <w:rFonts w:ascii="Times New Roman" w:eastAsia="TimesNewRoman" w:hAnsi="Times New Roman" w:cs="Times New Roman"/>
        </w:rPr>
        <w:t>.</w:t>
      </w:r>
      <w:r w:rsidRPr="00EF66BB">
        <w:rPr>
          <w:rFonts w:ascii="Times New Roman" w:eastAsia="TimesNewRoman" w:hAnsi="Times New Roman" w:cs="Times New Roman"/>
        </w:rPr>
        <w:t xml:space="preserve">  </w:t>
      </w:r>
    </w:p>
    <w:p w14:paraId="7AAABB65" w14:textId="45FB8965" w:rsidR="000E3CB6" w:rsidRDefault="000E3CB6" w:rsidP="00141231">
      <w:pPr>
        <w:autoSpaceDE w:val="0"/>
        <w:autoSpaceDN w:val="0"/>
        <w:adjustRightInd w:val="0"/>
        <w:spacing w:line="360" w:lineRule="auto"/>
        <w:rPr>
          <w:rFonts w:ascii="Times New Roman" w:eastAsia="TimesNewRoman" w:hAnsi="Times New Roman" w:cs="Times New Roman"/>
        </w:rPr>
      </w:pPr>
    </w:p>
    <w:p w14:paraId="4529569D" w14:textId="09EDA4BB" w:rsidR="001A3E4C" w:rsidRDefault="001A3E4C" w:rsidP="00141231">
      <w:pPr>
        <w:autoSpaceDE w:val="0"/>
        <w:autoSpaceDN w:val="0"/>
        <w:adjustRightInd w:val="0"/>
        <w:spacing w:line="360" w:lineRule="auto"/>
        <w:outlineLvl w:val="0"/>
        <w:rPr>
          <w:rFonts w:ascii="Times New Roman" w:eastAsia="TimesNewRoman" w:hAnsi="Times New Roman" w:cs="Times New Roman"/>
        </w:rPr>
      </w:pPr>
      <w:r w:rsidRPr="00EF66BB">
        <w:rPr>
          <w:rFonts w:ascii="Times New Roman" w:eastAsia="TimesNewRoman" w:hAnsi="Times New Roman" w:cs="Times New Roman"/>
        </w:rPr>
        <w:t xml:space="preserve">Table </w:t>
      </w:r>
      <w:r w:rsidR="00B4456C">
        <w:rPr>
          <w:rFonts w:ascii="Times New Roman" w:eastAsia="TimesNewRoman" w:hAnsi="Times New Roman" w:cs="Times New Roman"/>
        </w:rPr>
        <w:t>2</w:t>
      </w:r>
      <w:r w:rsidRPr="00EF66BB">
        <w:rPr>
          <w:rFonts w:ascii="Times New Roman" w:eastAsia="TimesNewRoman" w:hAnsi="Times New Roman" w:cs="Times New Roman"/>
        </w:rPr>
        <w:t xml:space="preserve">: Coefficients and Bootstrap </w:t>
      </w:r>
      <w:r w:rsidR="003A343A" w:rsidRPr="00EF66BB">
        <w:rPr>
          <w:rFonts w:ascii="Times New Roman" w:eastAsia="TimesNewRoman" w:hAnsi="Times New Roman" w:cs="Times New Roman"/>
        </w:rPr>
        <w:t>C</w:t>
      </w:r>
      <w:r w:rsidR="0056327E">
        <w:rPr>
          <w:rFonts w:ascii="Times New Roman" w:eastAsia="TimesNewRoman" w:hAnsi="Times New Roman" w:cs="Times New Roman"/>
        </w:rPr>
        <w:t>I</w:t>
      </w:r>
      <w:r w:rsidR="003A343A" w:rsidRPr="00EF66BB">
        <w:rPr>
          <w:rFonts w:ascii="Times New Roman" w:eastAsia="TimesNewRoman" w:hAnsi="Times New Roman" w:cs="Times New Roman"/>
        </w:rPr>
        <w:t>s</w:t>
      </w:r>
    </w:p>
    <w:tbl>
      <w:tblPr>
        <w:tblStyle w:val="TableGrid"/>
        <w:tblW w:w="9493" w:type="dxa"/>
        <w:tblBorders>
          <w:insideH w:val="none" w:sz="0" w:space="0" w:color="auto"/>
        </w:tblBorders>
        <w:tblLook w:val="04A0" w:firstRow="1" w:lastRow="0" w:firstColumn="1" w:lastColumn="0" w:noHBand="0" w:noVBand="1"/>
      </w:tblPr>
      <w:tblGrid>
        <w:gridCol w:w="5285"/>
        <w:gridCol w:w="1250"/>
        <w:gridCol w:w="1125"/>
        <w:gridCol w:w="986"/>
        <w:gridCol w:w="847"/>
      </w:tblGrid>
      <w:tr w:rsidR="00B0657A" w:rsidRPr="00813ACC" w14:paraId="47170A68" w14:textId="77777777" w:rsidTr="000E3CB6">
        <w:tc>
          <w:tcPr>
            <w:tcW w:w="5285" w:type="dxa"/>
            <w:tcBorders>
              <w:bottom w:val="single" w:sz="4" w:space="0" w:color="auto"/>
            </w:tcBorders>
          </w:tcPr>
          <w:p w14:paraId="6ED17B91" w14:textId="77777777" w:rsidR="00B0657A" w:rsidRPr="00813ACC" w:rsidRDefault="00B0657A" w:rsidP="00141231">
            <w:pPr>
              <w:pStyle w:val="NoSpacing"/>
              <w:rPr>
                <w:rFonts w:ascii="Times New Roman" w:hAnsi="Times New Roman" w:cs="Times New Roman"/>
                <w:sz w:val="20"/>
                <w:szCs w:val="20"/>
              </w:rPr>
            </w:pPr>
          </w:p>
        </w:tc>
        <w:tc>
          <w:tcPr>
            <w:tcW w:w="1250" w:type="dxa"/>
            <w:tcBorders>
              <w:bottom w:val="single" w:sz="4" w:space="0" w:color="auto"/>
            </w:tcBorders>
          </w:tcPr>
          <w:p w14:paraId="757E4AB4"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 xml:space="preserve">Standardised Coefficient </w:t>
            </w:r>
          </w:p>
        </w:tc>
        <w:tc>
          <w:tcPr>
            <w:tcW w:w="2111" w:type="dxa"/>
            <w:gridSpan w:val="2"/>
            <w:tcBorders>
              <w:bottom w:val="single" w:sz="4" w:space="0" w:color="auto"/>
            </w:tcBorders>
          </w:tcPr>
          <w:p w14:paraId="0904E44A"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 xml:space="preserve">Bootstrap confidence intervals </w:t>
            </w:r>
          </w:p>
        </w:tc>
        <w:tc>
          <w:tcPr>
            <w:tcW w:w="847" w:type="dxa"/>
            <w:tcBorders>
              <w:bottom w:val="single" w:sz="4" w:space="0" w:color="auto"/>
            </w:tcBorders>
          </w:tcPr>
          <w:p w14:paraId="1BB698F7"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 xml:space="preserve">Sig. </w:t>
            </w:r>
          </w:p>
        </w:tc>
      </w:tr>
      <w:tr w:rsidR="00B0657A" w:rsidRPr="00813ACC" w14:paraId="36AA3640" w14:textId="77777777" w:rsidTr="000E3CB6">
        <w:tc>
          <w:tcPr>
            <w:tcW w:w="5285" w:type="dxa"/>
            <w:tcBorders>
              <w:top w:val="single" w:sz="4" w:space="0" w:color="auto"/>
            </w:tcBorders>
          </w:tcPr>
          <w:p w14:paraId="59F706FB" w14:textId="77777777" w:rsidR="00B0657A" w:rsidRPr="00813ACC" w:rsidRDefault="00B0657A" w:rsidP="00141231">
            <w:pPr>
              <w:pStyle w:val="NoSpacing"/>
              <w:rPr>
                <w:rFonts w:ascii="Times New Roman" w:hAnsi="Times New Roman" w:cs="Times New Roman"/>
                <w:sz w:val="20"/>
                <w:szCs w:val="20"/>
              </w:rPr>
            </w:pPr>
          </w:p>
        </w:tc>
        <w:tc>
          <w:tcPr>
            <w:tcW w:w="1250" w:type="dxa"/>
            <w:tcBorders>
              <w:top w:val="single" w:sz="4" w:space="0" w:color="auto"/>
            </w:tcBorders>
          </w:tcPr>
          <w:p w14:paraId="74D3A4CC" w14:textId="77777777" w:rsidR="00B0657A" w:rsidRPr="00813ACC" w:rsidRDefault="00B0657A" w:rsidP="00141231">
            <w:pPr>
              <w:pStyle w:val="NoSpacing"/>
              <w:rPr>
                <w:rFonts w:ascii="Times New Roman" w:hAnsi="Times New Roman" w:cs="Times New Roman"/>
                <w:sz w:val="20"/>
                <w:szCs w:val="20"/>
              </w:rPr>
            </w:pPr>
          </w:p>
        </w:tc>
        <w:tc>
          <w:tcPr>
            <w:tcW w:w="1125" w:type="dxa"/>
            <w:tcBorders>
              <w:top w:val="single" w:sz="4" w:space="0" w:color="auto"/>
            </w:tcBorders>
          </w:tcPr>
          <w:p w14:paraId="7666093D"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Lower Bound</w:t>
            </w:r>
          </w:p>
        </w:tc>
        <w:tc>
          <w:tcPr>
            <w:tcW w:w="986" w:type="dxa"/>
            <w:tcBorders>
              <w:top w:val="single" w:sz="4" w:space="0" w:color="auto"/>
            </w:tcBorders>
          </w:tcPr>
          <w:p w14:paraId="437D4EFD"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Upper Bound</w:t>
            </w:r>
          </w:p>
        </w:tc>
        <w:tc>
          <w:tcPr>
            <w:tcW w:w="847" w:type="dxa"/>
            <w:tcBorders>
              <w:top w:val="single" w:sz="4" w:space="0" w:color="auto"/>
            </w:tcBorders>
          </w:tcPr>
          <w:p w14:paraId="394C140E" w14:textId="77777777" w:rsidR="00B0657A" w:rsidRPr="00813ACC" w:rsidRDefault="00B0657A" w:rsidP="00141231">
            <w:pPr>
              <w:pStyle w:val="NoSpacing"/>
              <w:rPr>
                <w:rFonts w:ascii="Times New Roman" w:hAnsi="Times New Roman" w:cs="Times New Roman"/>
                <w:sz w:val="20"/>
                <w:szCs w:val="20"/>
              </w:rPr>
            </w:pPr>
          </w:p>
        </w:tc>
      </w:tr>
      <w:tr w:rsidR="00B0657A" w:rsidRPr="00813ACC" w14:paraId="60793400" w14:textId="77777777" w:rsidTr="000E3CB6">
        <w:tc>
          <w:tcPr>
            <w:tcW w:w="5285" w:type="dxa"/>
            <w:tcBorders>
              <w:top w:val="single" w:sz="4" w:space="0" w:color="auto"/>
            </w:tcBorders>
          </w:tcPr>
          <w:p w14:paraId="3AF014EF"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Model M4:  H1 –Full mediation; H2 – Full mediation</w:t>
            </w:r>
          </w:p>
        </w:tc>
        <w:tc>
          <w:tcPr>
            <w:tcW w:w="1250" w:type="dxa"/>
            <w:tcBorders>
              <w:top w:val="single" w:sz="4" w:space="0" w:color="auto"/>
            </w:tcBorders>
          </w:tcPr>
          <w:p w14:paraId="275FECF1" w14:textId="77777777" w:rsidR="00B0657A" w:rsidRPr="00813ACC" w:rsidRDefault="00B0657A" w:rsidP="00141231">
            <w:pPr>
              <w:pStyle w:val="NoSpacing"/>
              <w:rPr>
                <w:rFonts w:ascii="Times New Roman" w:hAnsi="Times New Roman" w:cs="Times New Roman"/>
                <w:sz w:val="20"/>
                <w:szCs w:val="20"/>
              </w:rPr>
            </w:pPr>
          </w:p>
        </w:tc>
        <w:tc>
          <w:tcPr>
            <w:tcW w:w="1125" w:type="dxa"/>
            <w:tcBorders>
              <w:top w:val="single" w:sz="4" w:space="0" w:color="auto"/>
            </w:tcBorders>
          </w:tcPr>
          <w:p w14:paraId="2611A468" w14:textId="77777777" w:rsidR="00B0657A" w:rsidRPr="00813ACC" w:rsidRDefault="00B0657A" w:rsidP="00141231">
            <w:pPr>
              <w:pStyle w:val="NoSpacing"/>
              <w:rPr>
                <w:rFonts w:ascii="Times New Roman" w:hAnsi="Times New Roman" w:cs="Times New Roman"/>
                <w:sz w:val="20"/>
                <w:szCs w:val="20"/>
              </w:rPr>
            </w:pPr>
          </w:p>
        </w:tc>
        <w:tc>
          <w:tcPr>
            <w:tcW w:w="986" w:type="dxa"/>
            <w:tcBorders>
              <w:top w:val="single" w:sz="4" w:space="0" w:color="auto"/>
            </w:tcBorders>
          </w:tcPr>
          <w:p w14:paraId="0DDCEEDE" w14:textId="77777777" w:rsidR="00B0657A" w:rsidRPr="00813ACC" w:rsidRDefault="00B0657A" w:rsidP="00141231">
            <w:pPr>
              <w:pStyle w:val="NoSpacing"/>
              <w:rPr>
                <w:rFonts w:ascii="Times New Roman" w:hAnsi="Times New Roman" w:cs="Times New Roman"/>
                <w:sz w:val="20"/>
                <w:szCs w:val="20"/>
              </w:rPr>
            </w:pPr>
          </w:p>
        </w:tc>
        <w:tc>
          <w:tcPr>
            <w:tcW w:w="847" w:type="dxa"/>
            <w:tcBorders>
              <w:top w:val="single" w:sz="4" w:space="0" w:color="auto"/>
            </w:tcBorders>
          </w:tcPr>
          <w:p w14:paraId="6FC48041" w14:textId="77777777" w:rsidR="00B0657A" w:rsidRPr="00813ACC" w:rsidRDefault="00B0657A" w:rsidP="00141231">
            <w:pPr>
              <w:pStyle w:val="NoSpacing"/>
              <w:rPr>
                <w:rFonts w:ascii="Times New Roman" w:hAnsi="Times New Roman" w:cs="Times New Roman"/>
                <w:sz w:val="20"/>
                <w:szCs w:val="20"/>
              </w:rPr>
            </w:pPr>
          </w:p>
        </w:tc>
      </w:tr>
      <w:tr w:rsidR="00B0657A" w:rsidRPr="00813ACC" w14:paraId="47DA9B14" w14:textId="77777777" w:rsidTr="000E3CB6">
        <w:tc>
          <w:tcPr>
            <w:tcW w:w="5285" w:type="dxa"/>
          </w:tcPr>
          <w:p w14:paraId="24CCBD8B" w14:textId="77777777" w:rsidR="00B0657A" w:rsidRPr="00813ACC" w:rsidRDefault="00B0657A" w:rsidP="00141231">
            <w:pPr>
              <w:pStyle w:val="NoSpacing"/>
              <w:rPr>
                <w:rFonts w:ascii="Times New Roman" w:hAnsi="Times New Roman" w:cs="Times New Roman"/>
                <w:i/>
                <w:noProof/>
                <w:sz w:val="20"/>
                <w:szCs w:val="20"/>
                <w:lang w:eastAsia="en-GB"/>
              </w:rPr>
            </w:pPr>
            <w:r w:rsidRPr="00813ACC">
              <w:rPr>
                <w:rFonts w:ascii="Times New Roman" w:hAnsi="Times New Roman" w:cs="Times New Roman"/>
                <w:i/>
                <w:noProof/>
                <w:sz w:val="20"/>
                <w:szCs w:val="20"/>
                <w:lang w:eastAsia="en-GB"/>
              </w:rPr>
              <w:t xml:space="preserve">Direct Effects </w:t>
            </w:r>
          </w:p>
        </w:tc>
        <w:tc>
          <w:tcPr>
            <w:tcW w:w="1250" w:type="dxa"/>
          </w:tcPr>
          <w:p w14:paraId="5D90334B" w14:textId="77777777" w:rsidR="00B0657A" w:rsidRPr="00813ACC" w:rsidRDefault="00B0657A" w:rsidP="00141231">
            <w:pPr>
              <w:pStyle w:val="NoSpacing"/>
              <w:rPr>
                <w:rFonts w:ascii="Times New Roman" w:hAnsi="Times New Roman" w:cs="Times New Roman"/>
                <w:sz w:val="20"/>
                <w:szCs w:val="20"/>
              </w:rPr>
            </w:pPr>
          </w:p>
        </w:tc>
        <w:tc>
          <w:tcPr>
            <w:tcW w:w="1125" w:type="dxa"/>
          </w:tcPr>
          <w:p w14:paraId="000CAE20" w14:textId="77777777" w:rsidR="00B0657A" w:rsidRPr="00813ACC" w:rsidRDefault="00B0657A" w:rsidP="00141231">
            <w:pPr>
              <w:pStyle w:val="NoSpacing"/>
              <w:rPr>
                <w:rFonts w:ascii="Times New Roman" w:hAnsi="Times New Roman" w:cs="Times New Roman"/>
                <w:sz w:val="20"/>
                <w:szCs w:val="20"/>
              </w:rPr>
            </w:pPr>
          </w:p>
        </w:tc>
        <w:tc>
          <w:tcPr>
            <w:tcW w:w="986" w:type="dxa"/>
          </w:tcPr>
          <w:p w14:paraId="0180A7FE" w14:textId="77777777" w:rsidR="00B0657A" w:rsidRPr="00813ACC" w:rsidRDefault="00B0657A" w:rsidP="00141231">
            <w:pPr>
              <w:pStyle w:val="NoSpacing"/>
              <w:rPr>
                <w:rFonts w:ascii="Times New Roman" w:hAnsi="Times New Roman" w:cs="Times New Roman"/>
                <w:sz w:val="20"/>
                <w:szCs w:val="20"/>
              </w:rPr>
            </w:pPr>
          </w:p>
        </w:tc>
        <w:tc>
          <w:tcPr>
            <w:tcW w:w="847" w:type="dxa"/>
          </w:tcPr>
          <w:p w14:paraId="3FB96EC0" w14:textId="77777777" w:rsidR="00B0657A" w:rsidRPr="00813ACC" w:rsidRDefault="00B0657A" w:rsidP="00141231">
            <w:pPr>
              <w:pStyle w:val="NoSpacing"/>
              <w:rPr>
                <w:rFonts w:ascii="Times New Roman" w:hAnsi="Times New Roman" w:cs="Times New Roman"/>
                <w:sz w:val="20"/>
                <w:szCs w:val="20"/>
              </w:rPr>
            </w:pPr>
          </w:p>
        </w:tc>
      </w:tr>
      <w:tr w:rsidR="00B0657A" w:rsidRPr="00813ACC" w14:paraId="75A781B5" w14:textId="77777777" w:rsidTr="000E3CB6">
        <w:tc>
          <w:tcPr>
            <w:tcW w:w="5285" w:type="dxa"/>
          </w:tcPr>
          <w:p w14:paraId="287C1693" w14:textId="77777777" w:rsidR="00B0657A" w:rsidRPr="00813ACC" w:rsidRDefault="00B0657A" w:rsidP="00141231">
            <w:pPr>
              <w:pStyle w:val="NoSpacing"/>
              <w:rPr>
                <w:rFonts w:ascii="Times New Roman" w:hAnsi="Times New Roman" w:cs="Times New Roman"/>
                <w:sz w:val="20"/>
                <w:szCs w:val="20"/>
              </w:rPr>
            </w:pPr>
            <w:r w:rsidRPr="00B4456C">
              <w:rPr>
                <w:rFonts w:ascii="Times New Roman" w:hAnsi="Times New Roman" w:cs="Times New Roman"/>
                <w:noProof/>
                <w:sz w:val="20"/>
                <w:szCs w:val="20"/>
                <w:lang w:eastAsia="en-GB"/>
              </w:rPr>
              <mc:AlternateContent>
                <mc:Choice Requires="wps">
                  <w:drawing>
                    <wp:anchor distT="0" distB="0" distL="114300" distR="114300" simplePos="0" relativeHeight="251726848" behindDoc="0" locked="0" layoutInCell="1" allowOverlap="1" wp14:anchorId="274648E8" wp14:editId="4E67A7C6">
                      <wp:simplePos x="0" y="0"/>
                      <wp:positionH relativeFrom="column">
                        <wp:posOffset>901700</wp:posOffset>
                      </wp:positionH>
                      <wp:positionV relativeFrom="paragraph">
                        <wp:posOffset>46574</wp:posOffset>
                      </wp:positionV>
                      <wp:extent cx="542925" cy="9525"/>
                      <wp:effectExtent l="0" t="50800" r="0" b="79375"/>
                      <wp:wrapNone/>
                      <wp:docPr id="30" name="Straight Arrow Connector 30"/>
                      <wp:cNvGraphicFramePr/>
                      <a:graphic xmlns:a="http://schemas.openxmlformats.org/drawingml/2006/main">
                        <a:graphicData uri="http://schemas.microsoft.com/office/word/2010/wordprocessingShape">
                          <wps:wsp>
                            <wps:cNvCnPr/>
                            <wps:spPr>
                              <a:xfrm>
                                <a:off x="0" y="0"/>
                                <a:ext cx="5429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type w14:anchorId="4890F312" id="_x0000_t32" coordsize="21600,21600" o:spt="32" o:oned="t" path="m,l21600,21600e" filled="f">
                      <v:path arrowok="t" fillok="f" o:connecttype="none"/>
                      <o:lock v:ext="edit" shapetype="t"/>
                    </v:shapetype>
                    <v:shape id="Straight Arrow Connector 30" o:spid="_x0000_s1026" type="#_x0000_t32" style="position:absolute;margin-left:71pt;margin-top:3.65pt;width:42.75pt;height:.7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" strokecolor="black [3213]" strokeweight=".5pt">
                      <v:stroke endarrow="block" joinstyle="miter"/>
                    </v:shape>
                  </w:pict>
                </mc:Fallback>
              </mc:AlternateContent>
            </w:r>
            <w:r w:rsidRPr="00813ACC">
              <w:rPr>
                <w:rFonts w:ascii="Times New Roman" w:hAnsi="Times New Roman" w:cs="Times New Roman"/>
                <w:sz w:val="20"/>
                <w:szCs w:val="20"/>
              </w:rPr>
              <w:t xml:space="preserve">TTO support                              TT strategic priority </w:t>
            </w:r>
          </w:p>
        </w:tc>
        <w:tc>
          <w:tcPr>
            <w:tcW w:w="1250" w:type="dxa"/>
          </w:tcPr>
          <w:p w14:paraId="3B7AC3BE"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0.4</w:t>
            </w:r>
            <w:r>
              <w:rPr>
                <w:rFonts w:ascii="Times New Roman" w:hAnsi="Times New Roman" w:cs="Times New Roman"/>
                <w:sz w:val="20"/>
                <w:szCs w:val="20"/>
              </w:rPr>
              <w:t>12</w:t>
            </w:r>
            <w:r w:rsidRPr="00813ACC">
              <w:rPr>
                <w:rFonts w:ascii="Times New Roman" w:hAnsi="Times New Roman" w:cs="Times New Roman"/>
                <w:sz w:val="20"/>
                <w:szCs w:val="20"/>
              </w:rPr>
              <w:t>**</w:t>
            </w:r>
          </w:p>
        </w:tc>
        <w:tc>
          <w:tcPr>
            <w:tcW w:w="1125" w:type="dxa"/>
          </w:tcPr>
          <w:p w14:paraId="6FB42EA8"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0.2</w:t>
            </w:r>
            <w:r>
              <w:rPr>
                <w:rFonts w:ascii="Times New Roman" w:hAnsi="Times New Roman" w:cs="Times New Roman"/>
                <w:sz w:val="20"/>
                <w:szCs w:val="20"/>
              </w:rPr>
              <w:t>18</w:t>
            </w:r>
          </w:p>
        </w:tc>
        <w:tc>
          <w:tcPr>
            <w:tcW w:w="986" w:type="dxa"/>
          </w:tcPr>
          <w:p w14:paraId="6E6ECCAD"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0.6</w:t>
            </w:r>
            <w:r>
              <w:rPr>
                <w:rFonts w:ascii="Times New Roman" w:hAnsi="Times New Roman" w:cs="Times New Roman"/>
                <w:sz w:val="20"/>
                <w:szCs w:val="20"/>
              </w:rPr>
              <w:t>22</w:t>
            </w:r>
          </w:p>
        </w:tc>
        <w:tc>
          <w:tcPr>
            <w:tcW w:w="847" w:type="dxa"/>
          </w:tcPr>
          <w:p w14:paraId="2BAF0D8C"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0.002</w:t>
            </w:r>
          </w:p>
        </w:tc>
      </w:tr>
      <w:tr w:rsidR="00B0657A" w:rsidRPr="00813ACC" w14:paraId="2E99E4C1" w14:textId="77777777" w:rsidTr="000E3CB6">
        <w:tc>
          <w:tcPr>
            <w:tcW w:w="5285" w:type="dxa"/>
          </w:tcPr>
          <w:p w14:paraId="3627F264" w14:textId="77777777" w:rsidR="00B0657A" w:rsidRPr="00813ACC" w:rsidRDefault="00B0657A" w:rsidP="00141231">
            <w:pPr>
              <w:pStyle w:val="NoSpacing"/>
              <w:rPr>
                <w:rFonts w:ascii="Times New Roman" w:hAnsi="Times New Roman" w:cs="Times New Roman"/>
                <w:noProof/>
                <w:sz w:val="20"/>
                <w:szCs w:val="20"/>
                <w:lang w:eastAsia="en-GB"/>
              </w:rPr>
            </w:pPr>
            <w:r w:rsidRPr="008D1FDB">
              <w:rPr>
                <w:rFonts w:ascii="Times New Roman" w:hAnsi="Times New Roman" w:cs="Times New Roman"/>
                <w:noProof/>
                <w:sz w:val="20"/>
                <w:szCs w:val="20"/>
                <w:lang w:eastAsia="en-GB"/>
              </w:rPr>
              <mc:AlternateContent>
                <mc:Choice Requires="wps">
                  <w:drawing>
                    <wp:anchor distT="0" distB="0" distL="114300" distR="114300" simplePos="0" relativeHeight="251731968" behindDoc="0" locked="0" layoutInCell="1" allowOverlap="1" wp14:anchorId="799C394F" wp14:editId="794F787E">
                      <wp:simplePos x="0" y="0"/>
                      <wp:positionH relativeFrom="column">
                        <wp:posOffset>908685</wp:posOffset>
                      </wp:positionH>
                      <wp:positionV relativeFrom="paragraph">
                        <wp:posOffset>52273</wp:posOffset>
                      </wp:positionV>
                      <wp:extent cx="542925" cy="9525"/>
                      <wp:effectExtent l="0" t="50800" r="0" b="79375"/>
                      <wp:wrapNone/>
                      <wp:docPr id="32" name="Straight Arrow Connector 32"/>
                      <wp:cNvGraphicFramePr/>
                      <a:graphic xmlns:a="http://schemas.openxmlformats.org/drawingml/2006/main">
                        <a:graphicData uri="http://schemas.microsoft.com/office/word/2010/wordprocessingShape">
                          <wps:wsp>
                            <wps:cNvCnPr/>
                            <wps:spPr>
                              <a:xfrm>
                                <a:off x="0" y="0"/>
                                <a:ext cx="5429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6A339F51" id="Straight Arrow Connector 32" o:spid="_x0000_s1026" type="#_x0000_t32" style="position:absolute;margin-left:71.55pt;margin-top:4.1pt;width:42.75pt;height:.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" strokecolor="black [3213]" strokeweight=".5pt">
                      <v:stroke endarrow="block" joinstyle="miter"/>
                    </v:shape>
                  </w:pict>
                </mc:Fallback>
              </mc:AlternateContent>
            </w:r>
            <w:r w:rsidRPr="00813ACC">
              <w:rPr>
                <w:rFonts w:ascii="Times New Roman" w:hAnsi="Times New Roman" w:cs="Times New Roman"/>
                <w:sz w:val="20"/>
                <w:szCs w:val="20"/>
              </w:rPr>
              <w:t xml:space="preserve">TTO support                               TT effectiveness </w:t>
            </w:r>
          </w:p>
        </w:tc>
        <w:tc>
          <w:tcPr>
            <w:tcW w:w="1250" w:type="dxa"/>
          </w:tcPr>
          <w:p w14:paraId="358AC710"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w:t>
            </w:r>
          </w:p>
        </w:tc>
        <w:tc>
          <w:tcPr>
            <w:tcW w:w="1125" w:type="dxa"/>
          </w:tcPr>
          <w:p w14:paraId="28037766" w14:textId="77777777" w:rsidR="00B0657A" w:rsidRPr="00813ACC" w:rsidRDefault="00B0657A" w:rsidP="00141231">
            <w:pPr>
              <w:pStyle w:val="NoSpacing"/>
              <w:rPr>
                <w:rFonts w:ascii="Times New Roman" w:hAnsi="Times New Roman" w:cs="Times New Roman"/>
                <w:sz w:val="20"/>
                <w:szCs w:val="20"/>
              </w:rPr>
            </w:pPr>
          </w:p>
        </w:tc>
        <w:tc>
          <w:tcPr>
            <w:tcW w:w="986" w:type="dxa"/>
          </w:tcPr>
          <w:p w14:paraId="28083B94" w14:textId="77777777" w:rsidR="00B0657A" w:rsidRPr="00813ACC" w:rsidRDefault="00B0657A" w:rsidP="00141231">
            <w:pPr>
              <w:pStyle w:val="NoSpacing"/>
              <w:rPr>
                <w:rFonts w:ascii="Times New Roman" w:hAnsi="Times New Roman" w:cs="Times New Roman"/>
                <w:sz w:val="20"/>
                <w:szCs w:val="20"/>
              </w:rPr>
            </w:pPr>
          </w:p>
        </w:tc>
        <w:tc>
          <w:tcPr>
            <w:tcW w:w="847" w:type="dxa"/>
          </w:tcPr>
          <w:p w14:paraId="5EE26718" w14:textId="77777777" w:rsidR="00B0657A" w:rsidRPr="00813ACC" w:rsidRDefault="00B0657A" w:rsidP="00141231">
            <w:pPr>
              <w:pStyle w:val="NoSpacing"/>
              <w:rPr>
                <w:rFonts w:ascii="Times New Roman" w:hAnsi="Times New Roman" w:cs="Times New Roman"/>
                <w:sz w:val="20"/>
                <w:szCs w:val="20"/>
              </w:rPr>
            </w:pPr>
          </w:p>
        </w:tc>
      </w:tr>
      <w:tr w:rsidR="00B0657A" w:rsidRPr="00813ACC" w14:paraId="73F1011D" w14:textId="77777777" w:rsidTr="000E3CB6">
        <w:tc>
          <w:tcPr>
            <w:tcW w:w="5285" w:type="dxa"/>
          </w:tcPr>
          <w:p w14:paraId="60E97C34" w14:textId="77777777" w:rsidR="00B0657A" w:rsidRPr="00813ACC" w:rsidRDefault="00B0657A" w:rsidP="00141231">
            <w:pPr>
              <w:pStyle w:val="NoSpacing"/>
              <w:rPr>
                <w:rFonts w:ascii="Times New Roman" w:hAnsi="Times New Roman" w:cs="Times New Roman"/>
                <w:sz w:val="20"/>
                <w:szCs w:val="20"/>
              </w:rPr>
            </w:pPr>
            <w:r w:rsidRPr="008D1FDB">
              <w:rPr>
                <w:rFonts w:ascii="Times New Roman" w:hAnsi="Times New Roman" w:cs="Times New Roman"/>
                <w:noProof/>
                <w:sz w:val="20"/>
                <w:szCs w:val="20"/>
                <w:lang w:eastAsia="en-GB"/>
              </w:rPr>
              <mc:AlternateContent>
                <mc:Choice Requires="wps">
                  <w:drawing>
                    <wp:anchor distT="0" distB="0" distL="114300" distR="114300" simplePos="0" relativeHeight="251727872" behindDoc="0" locked="0" layoutInCell="1" allowOverlap="1" wp14:anchorId="78CE7015" wp14:editId="22AECEA4">
                      <wp:simplePos x="0" y="0"/>
                      <wp:positionH relativeFrom="column">
                        <wp:posOffset>812800</wp:posOffset>
                      </wp:positionH>
                      <wp:positionV relativeFrom="paragraph">
                        <wp:posOffset>103505</wp:posOffset>
                      </wp:positionV>
                      <wp:extent cx="542925" cy="9525"/>
                      <wp:effectExtent l="0" t="57150" r="28575" b="85725"/>
                      <wp:wrapNone/>
                      <wp:docPr id="33" name="Straight Arrow Connector 33"/>
                      <wp:cNvGraphicFramePr/>
                      <a:graphic xmlns:a="http://schemas.openxmlformats.org/drawingml/2006/main">
                        <a:graphicData uri="http://schemas.microsoft.com/office/word/2010/wordprocessingShape">
                          <wps:wsp>
                            <wps:cNvCnPr/>
                            <wps:spPr>
                              <a:xfrm>
                                <a:off x="0" y="0"/>
                                <a:ext cx="5429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573B5B77" id="Straight Arrow Connector 33" o:spid="_x0000_s1026" type="#_x0000_t32" style="position:absolute;margin-left:64pt;margin-top:8.15pt;width:42.75pt;height:.7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" strokecolor="black [3213]" strokeweight=".5pt">
                      <v:stroke endarrow="block" joinstyle="miter"/>
                    </v:shape>
                  </w:pict>
                </mc:Fallback>
              </mc:AlternateContent>
            </w:r>
            <w:r w:rsidRPr="00813ACC">
              <w:rPr>
                <w:rFonts w:ascii="Times New Roman" w:hAnsi="Times New Roman" w:cs="Times New Roman"/>
                <w:sz w:val="20"/>
                <w:szCs w:val="20"/>
              </w:rPr>
              <w:t>Incentivising                        TT strategic priority</w:t>
            </w:r>
          </w:p>
        </w:tc>
        <w:tc>
          <w:tcPr>
            <w:tcW w:w="1250" w:type="dxa"/>
          </w:tcPr>
          <w:p w14:paraId="784ECAA7"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0.2</w:t>
            </w:r>
            <w:r>
              <w:rPr>
                <w:rFonts w:ascii="Times New Roman" w:hAnsi="Times New Roman" w:cs="Times New Roman"/>
                <w:sz w:val="20"/>
                <w:szCs w:val="20"/>
              </w:rPr>
              <w:t>89</w:t>
            </w:r>
            <w:r w:rsidRPr="00813ACC">
              <w:rPr>
                <w:rFonts w:ascii="Times New Roman" w:hAnsi="Times New Roman" w:cs="Times New Roman"/>
                <w:sz w:val="20"/>
                <w:szCs w:val="20"/>
              </w:rPr>
              <w:t>^</w:t>
            </w:r>
          </w:p>
        </w:tc>
        <w:tc>
          <w:tcPr>
            <w:tcW w:w="1125" w:type="dxa"/>
          </w:tcPr>
          <w:p w14:paraId="01C15ADD"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-0.0</w:t>
            </w:r>
            <w:r>
              <w:rPr>
                <w:rFonts w:ascii="Times New Roman" w:hAnsi="Times New Roman" w:cs="Times New Roman"/>
                <w:sz w:val="20"/>
                <w:szCs w:val="20"/>
              </w:rPr>
              <w:t>38</w:t>
            </w:r>
          </w:p>
        </w:tc>
        <w:tc>
          <w:tcPr>
            <w:tcW w:w="986" w:type="dxa"/>
          </w:tcPr>
          <w:p w14:paraId="71C77CDD"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0.5</w:t>
            </w:r>
            <w:r>
              <w:rPr>
                <w:rFonts w:ascii="Times New Roman" w:hAnsi="Times New Roman" w:cs="Times New Roman"/>
                <w:sz w:val="20"/>
                <w:szCs w:val="20"/>
              </w:rPr>
              <w:t>27</w:t>
            </w:r>
          </w:p>
        </w:tc>
        <w:tc>
          <w:tcPr>
            <w:tcW w:w="847" w:type="dxa"/>
          </w:tcPr>
          <w:p w14:paraId="0D0E2D6A"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0.0</w:t>
            </w:r>
            <w:r>
              <w:rPr>
                <w:rFonts w:ascii="Times New Roman" w:hAnsi="Times New Roman" w:cs="Times New Roman"/>
                <w:sz w:val="20"/>
                <w:szCs w:val="20"/>
              </w:rPr>
              <w:t>69</w:t>
            </w:r>
          </w:p>
        </w:tc>
      </w:tr>
      <w:tr w:rsidR="00B0657A" w:rsidRPr="00813ACC" w14:paraId="165D1484" w14:textId="77777777" w:rsidTr="000E3CB6">
        <w:tc>
          <w:tcPr>
            <w:tcW w:w="5285" w:type="dxa"/>
          </w:tcPr>
          <w:p w14:paraId="7FC4ABEB" w14:textId="77777777" w:rsidR="00B0657A" w:rsidRPr="00813ACC" w:rsidRDefault="00B0657A" w:rsidP="00141231">
            <w:pPr>
              <w:pStyle w:val="NoSpacing"/>
              <w:rPr>
                <w:rFonts w:ascii="Times New Roman" w:hAnsi="Times New Roman" w:cs="Times New Roman"/>
                <w:noProof/>
                <w:sz w:val="20"/>
                <w:szCs w:val="20"/>
                <w:lang w:eastAsia="en-GB"/>
              </w:rPr>
            </w:pPr>
            <w:r w:rsidRPr="008D1FDB">
              <w:rPr>
                <w:rFonts w:ascii="Times New Roman" w:hAnsi="Times New Roman" w:cs="Times New Roman"/>
                <w:noProof/>
                <w:sz w:val="20"/>
                <w:szCs w:val="20"/>
                <w:lang w:eastAsia="en-GB"/>
              </w:rPr>
              <mc:AlternateContent>
                <mc:Choice Requires="wps">
                  <w:drawing>
                    <wp:anchor distT="0" distB="0" distL="114300" distR="114300" simplePos="0" relativeHeight="251732992" behindDoc="0" locked="0" layoutInCell="1" allowOverlap="1" wp14:anchorId="273A2A8B" wp14:editId="7D7EDC7A">
                      <wp:simplePos x="0" y="0"/>
                      <wp:positionH relativeFrom="column">
                        <wp:posOffset>812800</wp:posOffset>
                      </wp:positionH>
                      <wp:positionV relativeFrom="paragraph">
                        <wp:posOffset>102870</wp:posOffset>
                      </wp:positionV>
                      <wp:extent cx="542925" cy="9525"/>
                      <wp:effectExtent l="0" t="57150" r="28575" b="85725"/>
                      <wp:wrapNone/>
                      <wp:docPr id="34" name="Straight Arrow Connector 34"/>
                      <wp:cNvGraphicFramePr/>
                      <a:graphic xmlns:a="http://schemas.openxmlformats.org/drawingml/2006/main">
                        <a:graphicData uri="http://schemas.microsoft.com/office/word/2010/wordprocessingShape">
                          <wps:wsp>
                            <wps:cNvCnPr/>
                            <wps:spPr>
                              <a:xfrm>
                                <a:off x="0" y="0"/>
                                <a:ext cx="5429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726AA09C" id="Straight Arrow Connector 34" o:spid="_x0000_s1026" type="#_x0000_t32" style="position:absolute;margin-left:64pt;margin-top:8.1pt;width:42.75pt;height:.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" strokecolor="black [3213]" strokeweight=".5pt">
                      <v:stroke endarrow="block" joinstyle="miter"/>
                    </v:shape>
                  </w:pict>
                </mc:Fallback>
              </mc:AlternateContent>
            </w:r>
            <w:r w:rsidRPr="00813ACC">
              <w:rPr>
                <w:rFonts w:ascii="Times New Roman" w:hAnsi="Times New Roman" w:cs="Times New Roman"/>
                <w:sz w:val="20"/>
                <w:szCs w:val="20"/>
              </w:rPr>
              <w:t>Incentivising                        TT effectiveness</w:t>
            </w:r>
          </w:p>
        </w:tc>
        <w:tc>
          <w:tcPr>
            <w:tcW w:w="1250" w:type="dxa"/>
          </w:tcPr>
          <w:p w14:paraId="37045646"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w:t>
            </w:r>
          </w:p>
        </w:tc>
        <w:tc>
          <w:tcPr>
            <w:tcW w:w="1125" w:type="dxa"/>
          </w:tcPr>
          <w:p w14:paraId="3C6E97AB" w14:textId="77777777" w:rsidR="00B0657A" w:rsidRPr="00813ACC" w:rsidRDefault="00B0657A" w:rsidP="00141231">
            <w:pPr>
              <w:pStyle w:val="NoSpacing"/>
              <w:rPr>
                <w:rFonts w:ascii="Times New Roman" w:hAnsi="Times New Roman" w:cs="Times New Roman"/>
                <w:sz w:val="20"/>
                <w:szCs w:val="20"/>
              </w:rPr>
            </w:pPr>
          </w:p>
        </w:tc>
        <w:tc>
          <w:tcPr>
            <w:tcW w:w="986" w:type="dxa"/>
          </w:tcPr>
          <w:p w14:paraId="79BD4599" w14:textId="77777777" w:rsidR="00B0657A" w:rsidRPr="00813ACC" w:rsidRDefault="00B0657A" w:rsidP="00141231">
            <w:pPr>
              <w:pStyle w:val="NoSpacing"/>
              <w:rPr>
                <w:rFonts w:ascii="Times New Roman" w:hAnsi="Times New Roman" w:cs="Times New Roman"/>
                <w:sz w:val="20"/>
                <w:szCs w:val="20"/>
              </w:rPr>
            </w:pPr>
          </w:p>
        </w:tc>
        <w:tc>
          <w:tcPr>
            <w:tcW w:w="847" w:type="dxa"/>
          </w:tcPr>
          <w:p w14:paraId="6D23ED8C" w14:textId="77777777" w:rsidR="00B0657A" w:rsidRPr="00813ACC" w:rsidRDefault="00B0657A" w:rsidP="00141231">
            <w:pPr>
              <w:pStyle w:val="NoSpacing"/>
              <w:rPr>
                <w:rFonts w:ascii="Times New Roman" w:hAnsi="Times New Roman" w:cs="Times New Roman"/>
                <w:sz w:val="20"/>
                <w:szCs w:val="20"/>
              </w:rPr>
            </w:pPr>
          </w:p>
        </w:tc>
      </w:tr>
      <w:tr w:rsidR="00B0657A" w:rsidRPr="00813ACC" w14:paraId="40B02B88" w14:textId="77777777" w:rsidTr="000E3CB6">
        <w:tc>
          <w:tcPr>
            <w:tcW w:w="5285" w:type="dxa"/>
          </w:tcPr>
          <w:p w14:paraId="0BE8BAC9" w14:textId="77777777" w:rsidR="00B0657A" w:rsidRPr="00813ACC" w:rsidRDefault="00B0657A" w:rsidP="00141231">
            <w:pPr>
              <w:pStyle w:val="NoSpacing"/>
              <w:rPr>
                <w:rFonts w:ascii="Times New Roman" w:hAnsi="Times New Roman" w:cs="Times New Roman"/>
                <w:sz w:val="20"/>
                <w:szCs w:val="20"/>
              </w:rPr>
            </w:pPr>
            <w:r w:rsidRPr="008D1FDB">
              <w:rPr>
                <w:rFonts w:ascii="Times New Roman" w:hAnsi="Times New Roman" w:cs="Times New Roman"/>
                <w:noProof/>
                <w:sz w:val="20"/>
                <w:szCs w:val="20"/>
                <w:lang w:eastAsia="en-GB"/>
              </w:rPr>
              <mc:AlternateContent>
                <mc:Choice Requires="wps">
                  <w:drawing>
                    <wp:anchor distT="0" distB="0" distL="114300" distR="114300" simplePos="0" relativeHeight="251728896" behindDoc="0" locked="0" layoutInCell="1" allowOverlap="1" wp14:anchorId="06DD2730" wp14:editId="6D352172">
                      <wp:simplePos x="0" y="0"/>
                      <wp:positionH relativeFrom="column">
                        <wp:posOffset>1094943</wp:posOffset>
                      </wp:positionH>
                      <wp:positionV relativeFrom="paragraph">
                        <wp:posOffset>59055</wp:posOffset>
                      </wp:positionV>
                      <wp:extent cx="542925" cy="9525"/>
                      <wp:effectExtent l="0" t="50800" r="0" b="79375"/>
                      <wp:wrapNone/>
                      <wp:docPr id="35" name="Straight Arrow Connector 35"/>
                      <wp:cNvGraphicFramePr/>
                      <a:graphic xmlns:a="http://schemas.openxmlformats.org/drawingml/2006/main">
                        <a:graphicData uri="http://schemas.microsoft.com/office/word/2010/wordprocessingShape">
                          <wps:wsp>
                            <wps:cNvCnPr/>
                            <wps:spPr>
                              <a:xfrm>
                                <a:off x="0" y="0"/>
                                <a:ext cx="5429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51E5BC51" id="Straight Arrow Connector 35" o:spid="_x0000_s1026" type="#_x0000_t32" style="position:absolute;margin-left:86.2pt;margin-top:4.65pt;width:42.75pt;height:.7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" strokecolor="black [3213]" strokeweight=".5pt">
                      <v:stroke endarrow="block" joinstyle="miter"/>
                    </v:shape>
                  </w:pict>
                </mc:Fallback>
              </mc:AlternateContent>
            </w:r>
            <w:r w:rsidRPr="00813ACC">
              <w:rPr>
                <w:rFonts w:ascii="Times New Roman" w:hAnsi="Times New Roman" w:cs="Times New Roman"/>
                <w:sz w:val="20"/>
                <w:szCs w:val="20"/>
              </w:rPr>
              <w:t xml:space="preserve">TT strategic priority                        TT effectiveness </w:t>
            </w:r>
          </w:p>
        </w:tc>
        <w:tc>
          <w:tcPr>
            <w:tcW w:w="1250" w:type="dxa"/>
          </w:tcPr>
          <w:p w14:paraId="7A5278A6"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w:t>
            </w:r>
            <w:r>
              <w:rPr>
                <w:rFonts w:ascii="Times New Roman" w:hAnsi="Times New Roman" w:cs="Times New Roman"/>
                <w:sz w:val="20"/>
                <w:szCs w:val="20"/>
              </w:rPr>
              <w:t>693</w:t>
            </w:r>
            <w:r w:rsidRPr="00813ACC">
              <w:rPr>
                <w:rFonts w:ascii="Times New Roman" w:hAnsi="Times New Roman" w:cs="Times New Roman"/>
                <w:sz w:val="20"/>
                <w:szCs w:val="20"/>
              </w:rPr>
              <w:t>**</w:t>
            </w:r>
          </w:p>
        </w:tc>
        <w:tc>
          <w:tcPr>
            <w:tcW w:w="1125" w:type="dxa"/>
          </w:tcPr>
          <w:p w14:paraId="48EB6B05"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w:t>
            </w:r>
            <w:r>
              <w:rPr>
                <w:rFonts w:ascii="Times New Roman" w:hAnsi="Times New Roman" w:cs="Times New Roman"/>
                <w:sz w:val="20"/>
                <w:szCs w:val="20"/>
              </w:rPr>
              <w:t>381</w:t>
            </w:r>
          </w:p>
        </w:tc>
        <w:tc>
          <w:tcPr>
            <w:tcW w:w="986" w:type="dxa"/>
          </w:tcPr>
          <w:p w14:paraId="0A757C41"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1.</w:t>
            </w:r>
            <w:r>
              <w:rPr>
                <w:rFonts w:ascii="Times New Roman" w:hAnsi="Times New Roman" w:cs="Times New Roman"/>
                <w:sz w:val="20"/>
                <w:szCs w:val="20"/>
              </w:rPr>
              <w:t>372</w:t>
            </w:r>
          </w:p>
        </w:tc>
        <w:tc>
          <w:tcPr>
            <w:tcW w:w="847" w:type="dxa"/>
          </w:tcPr>
          <w:p w14:paraId="582C907F"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0.00</w:t>
            </w:r>
            <w:r>
              <w:rPr>
                <w:rFonts w:ascii="Times New Roman" w:hAnsi="Times New Roman" w:cs="Times New Roman"/>
                <w:sz w:val="20"/>
                <w:szCs w:val="20"/>
              </w:rPr>
              <w:t>2</w:t>
            </w:r>
          </w:p>
        </w:tc>
      </w:tr>
      <w:tr w:rsidR="00B0657A" w:rsidRPr="00813ACC" w14:paraId="7B8C7C5F" w14:textId="77777777" w:rsidTr="000E3CB6">
        <w:tc>
          <w:tcPr>
            <w:tcW w:w="5285" w:type="dxa"/>
            <w:tcBorders>
              <w:bottom w:val="double" w:sz="4" w:space="0" w:color="auto"/>
            </w:tcBorders>
          </w:tcPr>
          <w:p w14:paraId="4182E09D" w14:textId="77777777" w:rsidR="00B0657A" w:rsidRPr="00813ACC" w:rsidRDefault="00B0657A" w:rsidP="00141231">
            <w:pPr>
              <w:pStyle w:val="NoSpacing"/>
              <w:rPr>
                <w:rFonts w:ascii="Times New Roman" w:hAnsi="Times New Roman" w:cs="Times New Roman"/>
                <w:i/>
                <w:noProof/>
                <w:sz w:val="20"/>
                <w:szCs w:val="20"/>
                <w:lang w:eastAsia="en-GB"/>
              </w:rPr>
            </w:pPr>
            <w:r w:rsidRPr="00813ACC">
              <w:rPr>
                <w:rFonts w:ascii="Times New Roman" w:hAnsi="Times New Roman" w:cs="Times New Roman"/>
                <w:i/>
                <w:noProof/>
                <w:sz w:val="20"/>
                <w:szCs w:val="20"/>
                <w:lang w:eastAsia="en-GB"/>
              </w:rPr>
              <w:t xml:space="preserve">Indirect Effects </w:t>
            </w:r>
          </w:p>
        </w:tc>
        <w:tc>
          <w:tcPr>
            <w:tcW w:w="1250" w:type="dxa"/>
            <w:tcBorders>
              <w:bottom w:val="double" w:sz="4" w:space="0" w:color="auto"/>
            </w:tcBorders>
          </w:tcPr>
          <w:p w14:paraId="54EFC991" w14:textId="77777777" w:rsidR="00B0657A" w:rsidRPr="00813ACC" w:rsidRDefault="00B0657A" w:rsidP="00141231">
            <w:pPr>
              <w:pStyle w:val="NoSpacing"/>
              <w:rPr>
                <w:rFonts w:ascii="Times New Roman" w:hAnsi="Times New Roman" w:cs="Times New Roman"/>
                <w:sz w:val="20"/>
                <w:szCs w:val="20"/>
              </w:rPr>
            </w:pPr>
          </w:p>
        </w:tc>
        <w:tc>
          <w:tcPr>
            <w:tcW w:w="1125" w:type="dxa"/>
            <w:tcBorders>
              <w:bottom w:val="double" w:sz="4" w:space="0" w:color="auto"/>
            </w:tcBorders>
          </w:tcPr>
          <w:p w14:paraId="0E14940C" w14:textId="77777777" w:rsidR="00B0657A" w:rsidRPr="00813ACC" w:rsidRDefault="00B0657A" w:rsidP="00141231">
            <w:pPr>
              <w:pStyle w:val="NoSpacing"/>
              <w:rPr>
                <w:rFonts w:ascii="Times New Roman" w:hAnsi="Times New Roman" w:cs="Times New Roman"/>
                <w:sz w:val="20"/>
                <w:szCs w:val="20"/>
              </w:rPr>
            </w:pPr>
          </w:p>
        </w:tc>
        <w:tc>
          <w:tcPr>
            <w:tcW w:w="986" w:type="dxa"/>
            <w:tcBorders>
              <w:bottom w:val="double" w:sz="4" w:space="0" w:color="auto"/>
            </w:tcBorders>
          </w:tcPr>
          <w:p w14:paraId="46805811" w14:textId="77777777" w:rsidR="00B0657A" w:rsidRPr="00813ACC" w:rsidRDefault="00B0657A" w:rsidP="00141231">
            <w:pPr>
              <w:pStyle w:val="NoSpacing"/>
              <w:rPr>
                <w:rFonts w:ascii="Times New Roman" w:hAnsi="Times New Roman" w:cs="Times New Roman"/>
                <w:sz w:val="20"/>
                <w:szCs w:val="20"/>
              </w:rPr>
            </w:pPr>
          </w:p>
        </w:tc>
        <w:tc>
          <w:tcPr>
            <w:tcW w:w="847" w:type="dxa"/>
            <w:tcBorders>
              <w:bottom w:val="double" w:sz="4" w:space="0" w:color="auto"/>
            </w:tcBorders>
          </w:tcPr>
          <w:p w14:paraId="44BF577F" w14:textId="77777777" w:rsidR="00B0657A" w:rsidRPr="00813ACC" w:rsidRDefault="00B0657A" w:rsidP="00141231">
            <w:pPr>
              <w:pStyle w:val="NoSpacing"/>
              <w:rPr>
                <w:rFonts w:ascii="Times New Roman" w:hAnsi="Times New Roman" w:cs="Times New Roman"/>
                <w:sz w:val="20"/>
                <w:szCs w:val="20"/>
              </w:rPr>
            </w:pPr>
          </w:p>
        </w:tc>
      </w:tr>
      <w:tr w:rsidR="00B0657A" w:rsidRPr="00813ACC" w14:paraId="3C940A2A" w14:textId="77777777" w:rsidTr="000E3CB6">
        <w:tc>
          <w:tcPr>
            <w:tcW w:w="5285" w:type="dxa"/>
            <w:tcBorders>
              <w:top w:val="double" w:sz="4" w:space="0" w:color="auto"/>
            </w:tcBorders>
          </w:tcPr>
          <w:p w14:paraId="578C5587" w14:textId="77777777" w:rsidR="00B0657A" w:rsidRPr="00813ACC" w:rsidRDefault="00B0657A" w:rsidP="00141231">
            <w:pPr>
              <w:pStyle w:val="NoSpacing"/>
              <w:rPr>
                <w:rFonts w:ascii="Times New Roman" w:hAnsi="Times New Roman" w:cs="Times New Roman"/>
                <w:sz w:val="20"/>
                <w:szCs w:val="20"/>
              </w:rPr>
            </w:pPr>
            <w:r w:rsidRPr="008D1FDB">
              <w:rPr>
                <w:rFonts w:ascii="Times New Roman" w:hAnsi="Times New Roman" w:cs="Times New Roman"/>
                <w:noProof/>
                <w:sz w:val="20"/>
                <w:szCs w:val="20"/>
                <w:lang w:eastAsia="en-GB"/>
              </w:rPr>
              <mc:AlternateContent>
                <mc:Choice Requires="wps">
                  <w:drawing>
                    <wp:anchor distT="0" distB="0" distL="114300" distR="114300" simplePos="0" relativeHeight="251729920" behindDoc="0" locked="0" layoutInCell="1" allowOverlap="1" wp14:anchorId="2A50F76B" wp14:editId="7F309803">
                      <wp:simplePos x="0" y="0"/>
                      <wp:positionH relativeFrom="column">
                        <wp:posOffset>746125</wp:posOffset>
                      </wp:positionH>
                      <wp:positionV relativeFrom="paragraph">
                        <wp:posOffset>93980</wp:posOffset>
                      </wp:positionV>
                      <wp:extent cx="542925" cy="9525"/>
                      <wp:effectExtent l="0" t="57150" r="28575" b="85725"/>
                      <wp:wrapNone/>
                      <wp:docPr id="37" name="Straight Arrow Connector 37"/>
                      <wp:cNvGraphicFramePr/>
                      <a:graphic xmlns:a="http://schemas.openxmlformats.org/drawingml/2006/main">
                        <a:graphicData uri="http://schemas.microsoft.com/office/word/2010/wordprocessingShape">
                          <wps:wsp>
                            <wps:cNvCnPr/>
                            <wps:spPr>
                              <a:xfrm>
                                <a:off x="0" y="0"/>
                                <a:ext cx="5429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6E70B297" id="Straight Arrow Connector 37" o:spid="_x0000_s1026" type="#_x0000_t32" style="position:absolute;margin-left:58.75pt;margin-top:7.4pt;width:42.75pt;height:.7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" strokecolor="black [3213]" strokeweight=".5pt">
                      <v:stroke endarrow="block" joinstyle="miter"/>
                    </v:shape>
                  </w:pict>
                </mc:Fallback>
              </mc:AlternateContent>
            </w:r>
            <w:r w:rsidRPr="00813ACC">
              <w:rPr>
                <w:rFonts w:ascii="Times New Roman" w:hAnsi="Times New Roman" w:cs="Times New Roman"/>
                <w:sz w:val="20"/>
                <w:szCs w:val="20"/>
              </w:rPr>
              <w:t xml:space="preserve"> TT office                             TT effectiveness</w:t>
            </w:r>
          </w:p>
        </w:tc>
        <w:tc>
          <w:tcPr>
            <w:tcW w:w="1250" w:type="dxa"/>
            <w:tcBorders>
              <w:top w:val="double" w:sz="4" w:space="0" w:color="auto"/>
            </w:tcBorders>
          </w:tcPr>
          <w:p w14:paraId="3DB9F030"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0.3</w:t>
            </w:r>
            <w:r>
              <w:rPr>
                <w:rFonts w:ascii="Times New Roman" w:hAnsi="Times New Roman" w:cs="Times New Roman"/>
                <w:sz w:val="20"/>
                <w:szCs w:val="20"/>
              </w:rPr>
              <w:t>72</w:t>
            </w:r>
            <w:r w:rsidRPr="00813ACC">
              <w:rPr>
                <w:rFonts w:ascii="Times New Roman" w:hAnsi="Times New Roman" w:cs="Times New Roman"/>
                <w:sz w:val="20"/>
                <w:szCs w:val="20"/>
              </w:rPr>
              <w:t>***</w:t>
            </w:r>
          </w:p>
        </w:tc>
        <w:tc>
          <w:tcPr>
            <w:tcW w:w="1125" w:type="dxa"/>
            <w:tcBorders>
              <w:top w:val="double" w:sz="4" w:space="0" w:color="auto"/>
            </w:tcBorders>
          </w:tcPr>
          <w:p w14:paraId="21403A9B"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0.1</w:t>
            </w:r>
            <w:r>
              <w:rPr>
                <w:rFonts w:ascii="Times New Roman" w:hAnsi="Times New Roman" w:cs="Times New Roman"/>
                <w:sz w:val="20"/>
                <w:szCs w:val="20"/>
              </w:rPr>
              <w:t>44</w:t>
            </w:r>
          </w:p>
        </w:tc>
        <w:tc>
          <w:tcPr>
            <w:tcW w:w="986" w:type="dxa"/>
            <w:tcBorders>
              <w:top w:val="double" w:sz="4" w:space="0" w:color="auto"/>
            </w:tcBorders>
          </w:tcPr>
          <w:p w14:paraId="381505A1"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1.0</w:t>
            </w:r>
            <w:r>
              <w:rPr>
                <w:rFonts w:ascii="Times New Roman" w:hAnsi="Times New Roman" w:cs="Times New Roman"/>
                <w:sz w:val="20"/>
                <w:szCs w:val="20"/>
              </w:rPr>
              <w:t>65</w:t>
            </w:r>
          </w:p>
        </w:tc>
        <w:tc>
          <w:tcPr>
            <w:tcW w:w="847" w:type="dxa"/>
            <w:tcBorders>
              <w:top w:val="double" w:sz="4" w:space="0" w:color="auto"/>
            </w:tcBorders>
          </w:tcPr>
          <w:p w14:paraId="1985C99B"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0.00</w:t>
            </w:r>
            <w:r>
              <w:rPr>
                <w:rFonts w:ascii="Times New Roman" w:hAnsi="Times New Roman" w:cs="Times New Roman"/>
                <w:sz w:val="20"/>
                <w:szCs w:val="20"/>
              </w:rPr>
              <w:t>0</w:t>
            </w:r>
          </w:p>
        </w:tc>
      </w:tr>
      <w:tr w:rsidR="00B0657A" w:rsidRPr="00813ACC" w14:paraId="1B403E11" w14:textId="77777777" w:rsidTr="000E3CB6">
        <w:tc>
          <w:tcPr>
            <w:tcW w:w="5285" w:type="dxa"/>
            <w:tcBorders>
              <w:bottom w:val="double" w:sz="4" w:space="0" w:color="auto"/>
            </w:tcBorders>
          </w:tcPr>
          <w:p w14:paraId="1656B258"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 xml:space="preserve">Incentivising              </w:t>
            </w:r>
            <w:r w:rsidRPr="00813ACC">
              <w:rPr>
                <w:rFonts w:ascii="Times New Roman" w:hAnsi="Times New Roman" w:cs="Times New Roman"/>
                <w:noProof/>
                <w:sz w:val="20"/>
                <w:szCs w:val="20"/>
                <w:lang w:eastAsia="en-GB"/>
              </w:rPr>
              <w:t xml:space="preserve"> </w:t>
            </w:r>
            <w:r w:rsidRPr="008D1FDB">
              <w:rPr>
                <w:rFonts w:ascii="Times New Roman" w:hAnsi="Times New Roman" w:cs="Times New Roman"/>
                <w:noProof/>
                <w:sz w:val="20"/>
                <w:szCs w:val="20"/>
                <w:lang w:eastAsia="en-GB"/>
              </w:rPr>
              <mc:AlternateContent>
                <mc:Choice Requires="wps">
                  <w:drawing>
                    <wp:anchor distT="0" distB="0" distL="114300" distR="114300" simplePos="0" relativeHeight="251730944" behindDoc="0" locked="0" layoutInCell="1" allowOverlap="1" wp14:anchorId="0644AA9F" wp14:editId="13524F3C">
                      <wp:simplePos x="0" y="0"/>
                      <wp:positionH relativeFrom="column">
                        <wp:posOffset>831850</wp:posOffset>
                      </wp:positionH>
                      <wp:positionV relativeFrom="paragraph">
                        <wp:posOffset>99060</wp:posOffset>
                      </wp:positionV>
                      <wp:extent cx="542925" cy="9525"/>
                      <wp:effectExtent l="0" t="57150" r="28575" b="85725"/>
                      <wp:wrapNone/>
                      <wp:docPr id="38" name="Straight Arrow Connector 38"/>
                      <wp:cNvGraphicFramePr/>
                      <a:graphic xmlns:a="http://schemas.openxmlformats.org/drawingml/2006/main">
                        <a:graphicData uri="http://schemas.microsoft.com/office/word/2010/wordprocessingShape">
                          <wps:wsp>
                            <wps:cNvCnPr/>
                            <wps:spPr>
                              <a:xfrm>
                                <a:off x="0" y="0"/>
                                <a:ext cx="5429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49BD8DC" id="Straight Arrow Connector 38" o:spid="_x0000_s1026" type="#_x0000_t32" style="position:absolute;margin-left:65.5pt;margin-top:7.8pt;width:42.75pt;height:.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" strokecolor="black [3213]" strokeweight=".5pt">
                      <v:stroke endarrow="block" joinstyle="miter"/>
                    </v:shape>
                  </w:pict>
                </mc:Fallback>
              </mc:AlternateContent>
            </w:r>
            <w:r w:rsidRPr="00813ACC">
              <w:rPr>
                <w:rFonts w:ascii="Times New Roman" w:hAnsi="Times New Roman" w:cs="Times New Roman"/>
                <w:noProof/>
                <w:sz w:val="20"/>
                <w:szCs w:val="20"/>
                <w:lang w:eastAsia="en-GB"/>
              </w:rPr>
              <w:t xml:space="preserve">        </w:t>
            </w:r>
            <w:r w:rsidRPr="00813ACC">
              <w:rPr>
                <w:rFonts w:ascii="Times New Roman" w:hAnsi="Times New Roman" w:cs="Times New Roman"/>
                <w:sz w:val="20"/>
                <w:szCs w:val="20"/>
              </w:rPr>
              <w:t xml:space="preserve">TT effectiveness </w:t>
            </w:r>
          </w:p>
        </w:tc>
        <w:tc>
          <w:tcPr>
            <w:tcW w:w="1250" w:type="dxa"/>
            <w:tcBorders>
              <w:bottom w:val="double" w:sz="4" w:space="0" w:color="auto"/>
            </w:tcBorders>
          </w:tcPr>
          <w:p w14:paraId="17049F94"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0.2</w:t>
            </w:r>
            <w:r>
              <w:rPr>
                <w:rFonts w:ascii="Times New Roman" w:hAnsi="Times New Roman" w:cs="Times New Roman"/>
                <w:sz w:val="20"/>
                <w:szCs w:val="20"/>
              </w:rPr>
              <w:t>09</w:t>
            </w:r>
            <w:r w:rsidRPr="00813ACC">
              <w:rPr>
                <w:rFonts w:ascii="Times New Roman" w:hAnsi="Times New Roman" w:cs="Times New Roman"/>
                <w:sz w:val="20"/>
                <w:szCs w:val="20"/>
              </w:rPr>
              <w:t>*</w:t>
            </w:r>
          </w:p>
        </w:tc>
        <w:tc>
          <w:tcPr>
            <w:tcW w:w="1125" w:type="dxa"/>
            <w:tcBorders>
              <w:bottom w:val="double" w:sz="4" w:space="0" w:color="auto"/>
            </w:tcBorders>
          </w:tcPr>
          <w:p w14:paraId="276AC0CA"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0.01</w:t>
            </w:r>
            <w:r>
              <w:rPr>
                <w:rFonts w:ascii="Times New Roman" w:hAnsi="Times New Roman" w:cs="Times New Roman"/>
                <w:sz w:val="20"/>
                <w:szCs w:val="20"/>
              </w:rPr>
              <w:t>2</w:t>
            </w:r>
          </w:p>
        </w:tc>
        <w:tc>
          <w:tcPr>
            <w:tcW w:w="986" w:type="dxa"/>
            <w:tcBorders>
              <w:bottom w:val="double" w:sz="4" w:space="0" w:color="auto"/>
            </w:tcBorders>
          </w:tcPr>
          <w:p w14:paraId="4572DEEC"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w:t>
            </w:r>
            <w:r>
              <w:rPr>
                <w:rFonts w:ascii="Times New Roman" w:hAnsi="Times New Roman" w:cs="Times New Roman"/>
                <w:sz w:val="20"/>
                <w:szCs w:val="20"/>
              </w:rPr>
              <w:t>592</w:t>
            </w:r>
          </w:p>
        </w:tc>
        <w:tc>
          <w:tcPr>
            <w:tcW w:w="847" w:type="dxa"/>
            <w:tcBorders>
              <w:bottom w:val="double" w:sz="4" w:space="0" w:color="auto"/>
            </w:tcBorders>
          </w:tcPr>
          <w:p w14:paraId="62DEDFE5"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0.04</w:t>
            </w:r>
            <w:r>
              <w:rPr>
                <w:rFonts w:ascii="Times New Roman" w:hAnsi="Times New Roman" w:cs="Times New Roman"/>
                <w:sz w:val="20"/>
                <w:szCs w:val="20"/>
              </w:rPr>
              <w:t>6</w:t>
            </w:r>
          </w:p>
        </w:tc>
      </w:tr>
      <w:tr w:rsidR="00B0657A" w:rsidRPr="00813ACC" w14:paraId="27FEA815" w14:textId="77777777" w:rsidTr="000E3CB6">
        <w:tc>
          <w:tcPr>
            <w:tcW w:w="5285" w:type="dxa"/>
            <w:tcBorders>
              <w:top w:val="double" w:sz="4" w:space="0" w:color="auto"/>
            </w:tcBorders>
          </w:tcPr>
          <w:p w14:paraId="0A99DEE8" w14:textId="77777777" w:rsidR="00B0657A" w:rsidRPr="00813ACC" w:rsidRDefault="00B0657A" w:rsidP="00141231">
            <w:pPr>
              <w:pStyle w:val="NoSpacing"/>
              <w:rPr>
                <w:rFonts w:ascii="Times New Roman" w:hAnsi="Times New Roman" w:cs="Times New Roman"/>
                <w:noProof/>
                <w:sz w:val="20"/>
                <w:szCs w:val="20"/>
                <w:lang w:eastAsia="en-GB"/>
              </w:rPr>
            </w:pPr>
            <w:r w:rsidRPr="00813ACC">
              <w:rPr>
                <w:rFonts w:ascii="Times New Roman" w:hAnsi="Times New Roman" w:cs="Times New Roman"/>
                <w:sz w:val="20"/>
                <w:szCs w:val="20"/>
              </w:rPr>
              <w:t xml:space="preserve">Model M5: H1 –Full mediation; H2 – Partial mediation </w:t>
            </w:r>
          </w:p>
        </w:tc>
        <w:tc>
          <w:tcPr>
            <w:tcW w:w="1250" w:type="dxa"/>
            <w:tcBorders>
              <w:top w:val="double" w:sz="4" w:space="0" w:color="auto"/>
            </w:tcBorders>
          </w:tcPr>
          <w:p w14:paraId="4C091DC2" w14:textId="77777777" w:rsidR="00B0657A" w:rsidRPr="00813ACC" w:rsidRDefault="00B0657A" w:rsidP="00141231">
            <w:pPr>
              <w:pStyle w:val="NoSpacing"/>
              <w:rPr>
                <w:rFonts w:ascii="Times New Roman" w:hAnsi="Times New Roman" w:cs="Times New Roman"/>
                <w:sz w:val="20"/>
                <w:szCs w:val="20"/>
              </w:rPr>
            </w:pPr>
          </w:p>
        </w:tc>
        <w:tc>
          <w:tcPr>
            <w:tcW w:w="1125" w:type="dxa"/>
            <w:tcBorders>
              <w:top w:val="double" w:sz="4" w:space="0" w:color="auto"/>
            </w:tcBorders>
          </w:tcPr>
          <w:p w14:paraId="14C76D27" w14:textId="77777777" w:rsidR="00B0657A" w:rsidRPr="00813ACC" w:rsidRDefault="00B0657A" w:rsidP="00141231">
            <w:pPr>
              <w:pStyle w:val="NoSpacing"/>
              <w:rPr>
                <w:rFonts w:ascii="Times New Roman" w:hAnsi="Times New Roman" w:cs="Times New Roman"/>
                <w:sz w:val="20"/>
                <w:szCs w:val="20"/>
              </w:rPr>
            </w:pPr>
          </w:p>
        </w:tc>
        <w:tc>
          <w:tcPr>
            <w:tcW w:w="986" w:type="dxa"/>
            <w:tcBorders>
              <w:top w:val="double" w:sz="4" w:space="0" w:color="auto"/>
            </w:tcBorders>
          </w:tcPr>
          <w:p w14:paraId="41B32432" w14:textId="77777777" w:rsidR="00B0657A" w:rsidRPr="00813ACC" w:rsidRDefault="00B0657A" w:rsidP="00141231">
            <w:pPr>
              <w:pStyle w:val="NoSpacing"/>
              <w:rPr>
                <w:rFonts w:ascii="Times New Roman" w:hAnsi="Times New Roman" w:cs="Times New Roman"/>
                <w:sz w:val="20"/>
                <w:szCs w:val="20"/>
              </w:rPr>
            </w:pPr>
          </w:p>
        </w:tc>
        <w:tc>
          <w:tcPr>
            <w:tcW w:w="847" w:type="dxa"/>
            <w:tcBorders>
              <w:top w:val="double" w:sz="4" w:space="0" w:color="auto"/>
            </w:tcBorders>
          </w:tcPr>
          <w:p w14:paraId="10806064" w14:textId="77777777" w:rsidR="00B0657A" w:rsidRPr="00813ACC" w:rsidRDefault="00B0657A" w:rsidP="00141231">
            <w:pPr>
              <w:pStyle w:val="NoSpacing"/>
              <w:rPr>
                <w:rFonts w:ascii="Times New Roman" w:hAnsi="Times New Roman" w:cs="Times New Roman"/>
                <w:sz w:val="20"/>
                <w:szCs w:val="20"/>
              </w:rPr>
            </w:pPr>
          </w:p>
        </w:tc>
      </w:tr>
      <w:tr w:rsidR="00B0657A" w:rsidRPr="00813ACC" w14:paraId="101BF59D" w14:textId="77777777" w:rsidTr="000E3CB6">
        <w:tc>
          <w:tcPr>
            <w:tcW w:w="5285" w:type="dxa"/>
          </w:tcPr>
          <w:p w14:paraId="6F82F99B" w14:textId="77777777" w:rsidR="00B0657A" w:rsidRPr="00813ACC" w:rsidRDefault="00B0657A" w:rsidP="00141231">
            <w:pPr>
              <w:pStyle w:val="NoSpacing"/>
              <w:rPr>
                <w:rFonts w:ascii="Times New Roman" w:hAnsi="Times New Roman" w:cs="Times New Roman"/>
                <w:i/>
                <w:noProof/>
                <w:sz w:val="20"/>
                <w:szCs w:val="20"/>
                <w:lang w:eastAsia="en-GB"/>
              </w:rPr>
            </w:pPr>
            <w:r w:rsidRPr="00813ACC">
              <w:rPr>
                <w:rFonts w:ascii="Times New Roman" w:hAnsi="Times New Roman" w:cs="Times New Roman"/>
                <w:i/>
                <w:noProof/>
                <w:sz w:val="20"/>
                <w:szCs w:val="20"/>
                <w:lang w:eastAsia="en-GB"/>
              </w:rPr>
              <w:t xml:space="preserve">Direct Effects </w:t>
            </w:r>
          </w:p>
        </w:tc>
        <w:tc>
          <w:tcPr>
            <w:tcW w:w="1250" w:type="dxa"/>
          </w:tcPr>
          <w:p w14:paraId="0EAE9032" w14:textId="77777777" w:rsidR="00B0657A" w:rsidRPr="00813ACC" w:rsidRDefault="00B0657A" w:rsidP="00141231">
            <w:pPr>
              <w:pStyle w:val="NoSpacing"/>
              <w:rPr>
                <w:rFonts w:ascii="Times New Roman" w:hAnsi="Times New Roman" w:cs="Times New Roman"/>
                <w:sz w:val="20"/>
                <w:szCs w:val="20"/>
              </w:rPr>
            </w:pPr>
          </w:p>
        </w:tc>
        <w:tc>
          <w:tcPr>
            <w:tcW w:w="1125" w:type="dxa"/>
          </w:tcPr>
          <w:p w14:paraId="59DE7C65" w14:textId="77777777" w:rsidR="00B0657A" w:rsidRPr="00813ACC" w:rsidRDefault="00B0657A" w:rsidP="00141231">
            <w:pPr>
              <w:pStyle w:val="NoSpacing"/>
              <w:rPr>
                <w:rFonts w:ascii="Times New Roman" w:hAnsi="Times New Roman" w:cs="Times New Roman"/>
                <w:sz w:val="20"/>
                <w:szCs w:val="20"/>
              </w:rPr>
            </w:pPr>
          </w:p>
        </w:tc>
        <w:tc>
          <w:tcPr>
            <w:tcW w:w="986" w:type="dxa"/>
          </w:tcPr>
          <w:p w14:paraId="47570B4D" w14:textId="77777777" w:rsidR="00B0657A" w:rsidRPr="00813ACC" w:rsidRDefault="00B0657A" w:rsidP="00141231">
            <w:pPr>
              <w:pStyle w:val="NoSpacing"/>
              <w:rPr>
                <w:rFonts w:ascii="Times New Roman" w:hAnsi="Times New Roman" w:cs="Times New Roman"/>
                <w:sz w:val="20"/>
                <w:szCs w:val="20"/>
              </w:rPr>
            </w:pPr>
          </w:p>
        </w:tc>
        <w:tc>
          <w:tcPr>
            <w:tcW w:w="847" w:type="dxa"/>
          </w:tcPr>
          <w:p w14:paraId="7159764A" w14:textId="77777777" w:rsidR="00B0657A" w:rsidRPr="00813ACC" w:rsidRDefault="00B0657A" w:rsidP="00141231">
            <w:pPr>
              <w:pStyle w:val="NoSpacing"/>
              <w:rPr>
                <w:rFonts w:ascii="Times New Roman" w:hAnsi="Times New Roman" w:cs="Times New Roman"/>
                <w:sz w:val="20"/>
                <w:szCs w:val="20"/>
              </w:rPr>
            </w:pPr>
          </w:p>
        </w:tc>
      </w:tr>
      <w:tr w:rsidR="00B0657A" w:rsidRPr="00813ACC" w14:paraId="2EC4E820" w14:textId="77777777" w:rsidTr="000E3CB6">
        <w:tc>
          <w:tcPr>
            <w:tcW w:w="5285" w:type="dxa"/>
          </w:tcPr>
          <w:p w14:paraId="1BAA3DE9" w14:textId="77777777" w:rsidR="00B0657A" w:rsidRPr="00813ACC" w:rsidRDefault="00B0657A" w:rsidP="00141231">
            <w:pPr>
              <w:pStyle w:val="NoSpacing"/>
              <w:rPr>
                <w:rFonts w:ascii="Times New Roman" w:hAnsi="Times New Roman" w:cs="Times New Roman"/>
                <w:sz w:val="20"/>
                <w:szCs w:val="20"/>
              </w:rPr>
            </w:pPr>
            <w:r w:rsidRPr="008D1FDB">
              <w:rPr>
                <w:rFonts w:ascii="Times New Roman" w:hAnsi="Times New Roman" w:cs="Times New Roman"/>
                <w:noProof/>
                <w:sz w:val="20"/>
                <w:szCs w:val="20"/>
                <w:lang w:eastAsia="en-GB"/>
              </w:rPr>
              <mc:AlternateContent>
                <mc:Choice Requires="wps">
                  <w:drawing>
                    <wp:anchor distT="0" distB="0" distL="114300" distR="114300" simplePos="0" relativeHeight="251734016" behindDoc="0" locked="0" layoutInCell="1" allowOverlap="1" wp14:anchorId="57B6707C" wp14:editId="0D062E06">
                      <wp:simplePos x="0" y="0"/>
                      <wp:positionH relativeFrom="column">
                        <wp:posOffset>874219</wp:posOffset>
                      </wp:positionH>
                      <wp:positionV relativeFrom="paragraph">
                        <wp:posOffset>59055</wp:posOffset>
                      </wp:positionV>
                      <wp:extent cx="542925" cy="9525"/>
                      <wp:effectExtent l="0" t="50800" r="0" b="79375"/>
                      <wp:wrapNone/>
                      <wp:docPr id="39" name="Straight Arrow Connector 39"/>
                      <wp:cNvGraphicFramePr/>
                      <a:graphic xmlns:a="http://schemas.openxmlformats.org/drawingml/2006/main">
                        <a:graphicData uri="http://schemas.microsoft.com/office/word/2010/wordprocessingShape">
                          <wps:wsp>
                            <wps:cNvCnPr/>
                            <wps:spPr>
                              <a:xfrm>
                                <a:off x="0" y="0"/>
                                <a:ext cx="5429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5CBF4169" id="Straight Arrow Connector 39" o:spid="_x0000_s1026" type="#_x0000_t32" style="position:absolute;margin-left:68.85pt;margin-top:4.65pt;width:42.75pt;height:.7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" strokecolor="black [3213]" strokeweight=".5pt">
                      <v:stroke endarrow="block" joinstyle="miter"/>
                    </v:shape>
                  </w:pict>
                </mc:Fallback>
              </mc:AlternateContent>
            </w:r>
            <w:r w:rsidRPr="00813ACC">
              <w:rPr>
                <w:rFonts w:ascii="Times New Roman" w:hAnsi="Times New Roman" w:cs="Times New Roman"/>
                <w:sz w:val="20"/>
                <w:szCs w:val="20"/>
              </w:rPr>
              <w:t xml:space="preserve">TTO support                                  TT strategic priority </w:t>
            </w:r>
          </w:p>
        </w:tc>
        <w:tc>
          <w:tcPr>
            <w:tcW w:w="1250" w:type="dxa"/>
          </w:tcPr>
          <w:p w14:paraId="6D15DE1F"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0.4</w:t>
            </w:r>
            <w:r>
              <w:rPr>
                <w:rFonts w:ascii="Times New Roman" w:hAnsi="Times New Roman" w:cs="Times New Roman"/>
                <w:sz w:val="20"/>
                <w:szCs w:val="20"/>
              </w:rPr>
              <w:t>08</w:t>
            </w:r>
            <w:r w:rsidRPr="00813ACC">
              <w:rPr>
                <w:rFonts w:ascii="Times New Roman" w:hAnsi="Times New Roman" w:cs="Times New Roman"/>
                <w:sz w:val="20"/>
                <w:szCs w:val="20"/>
              </w:rPr>
              <w:t>**</w:t>
            </w:r>
          </w:p>
        </w:tc>
        <w:tc>
          <w:tcPr>
            <w:tcW w:w="1125" w:type="dxa"/>
          </w:tcPr>
          <w:p w14:paraId="7AF73A3A"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w:t>
            </w:r>
            <w:r>
              <w:rPr>
                <w:rFonts w:ascii="Times New Roman" w:hAnsi="Times New Roman" w:cs="Times New Roman"/>
                <w:sz w:val="20"/>
                <w:szCs w:val="20"/>
              </w:rPr>
              <w:t>196</w:t>
            </w:r>
          </w:p>
        </w:tc>
        <w:tc>
          <w:tcPr>
            <w:tcW w:w="986" w:type="dxa"/>
          </w:tcPr>
          <w:p w14:paraId="7981C3B8"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0.6</w:t>
            </w:r>
            <w:r>
              <w:rPr>
                <w:rFonts w:ascii="Times New Roman" w:hAnsi="Times New Roman" w:cs="Times New Roman"/>
                <w:sz w:val="20"/>
                <w:szCs w:val="20"/>
              </w:rPr>
              <w:t>00</w:t>
            </w:r>
          </w:p>
        </w:tc>
        <w:tc>
          <w:tcPr>
            <w:tcW w:w="847" w:type="dxa"/>
          </w:tcPr>
          <w:p w14:paraId="023E6568"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0.00</w:t>
            </w:r>
            <w:r>
              <w:rPr>
                <w:rFonts w:ascii="Times New Roman" w:hAnsi="Times New Roman" w:cs="Times New Roman"/>
                <w:sz w:val="20"/>
                <w:szCs w:val="20"/>
              </w:rPr>
              <w:t>3</w:t>
            </w:r>
          </w:p>
        </w:tc>
      </w:tr>
      <w:tr w:rsidR="00B0657A" w:rsidRPr="00813ACC" w14:paraId="7DF3B997" w14:textId="77777777" w:rsidTr="000E3CB6">
        <w:tc>
          <w:tcPr>
            <w:tcW w:w="5285" w:type="dxa"/>
          </w:tcPr>
          <w:p w14:paraId="5309E6F2" w14:textId="77777777" w:rsidR="00B0657A" w:rsidRPr="00813ACC" w:rsidRDefault="00B0657A" w:rsidP="00141231">
            <w:pPr>
              <w:pStyle w:val="NoSpacing"/>
              <w:rPr>
                <w:rFonts w:ascii="Times New Roman" w:hAnsi="Times New Roman" w:cs="Times New Roman"/>
                <w:noProof/>
                <w:sz w:val="20"/>
                <w:szCs w:val="20"/>
                <w:lang w:eastAsia="en-GB"/>
              </w:rPr>
            </w:pPr>
            <w:r w:rsidRPr="008D1FDB">
              <w:rPr>
                <w:rFonts w:ascii="Times New Roman" w:hAnsi="Times New Roman" w:cs="Times New Roman"/>
                <w:noProof/>
                <w:sz w:val="20"/>
                <w:szCs w:val="20"/>
                <w:lang w:eastAsia="en-GB"/>
              </w:rPr>
              <mc:AlternateContent>
                <mc:Choice Requires="wps">
                  <w:drawing>
                    <wp:anchor distT="0" distB="0" distL="114300" distR="114300" simplePos="0" relativeHeight="251735040" behindDoc="0" locked="0" layoutInCell="1" allowOverlap="1" wp14:anchorId="41206203" wp14:editId="125CF205">
                      <wp:simplePos x="0" y="0"/>
                      <wp:positionH relativeFrom="column">
                        <wp:posOffset>868248</wp:posOffset>
                      </wp:positionH>
                      <wp:positionV relativeFrom="paragraph">
                        <wp:posOffset>73025</wp:posOffset>
                      </wp:positionV>
                      <wp:extent cx="542925" cy="9525"/>
                      <wp:effectExtent l="0" t="50800" r="0" b="79375"/>
                      <wp:wrapNone/>
                      <wp:docPr id="40" name="Straight Arrow Connector 40"/>
                      <wp:cNvGraphicFramePr/>
                      <a:graphic xmlns:a="http://schemas.openxmlformats.org/drawingml/2006/main">
                        <a:graphicData uri="http://schemas.microsoft.com/office/word/2010/wordprocessingShape">
                          <wps:wsp>
                            <wps:cNvCnPr/>
                            <wps:spPr>
                              <a:xfrm>
                                <a:off x="0" y="0"/>
                                <a:ext cx="5429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7DFCF5B3" id="Straight Arrow Connector 40" o:spid="_x0000_s1026" type="#_x0000_t32" style="position:absolute;margin-left:68.35pt;margin-top:5.75pt;width:42.75pt;height:.7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" strokecolor="black [3213]" strokeweight=".5pt">
                      <v:stroke endarrow="block" joinstyle="miter"/>
                    </v:shape>
                  </w:pict>
                </mc:Fallback>
              </mc:AlternateContent>
            </w:r>
            <w:r w:rsidRPr="00813ACC">
              <w:rPr>
                <w:rFonts w:ascii="Times New Roman" w:hAnsi="Times New Roman" w:cs="Times New Roman"/>
                <w:sz w:val="20"/>
                <w:szCs w:val="20"/>
              </w:rPr>
              <w:t xml:space="preserve">TTO support                                 TT effectiveness </w:t>
            </w:r>
          </w:p>
        </w:tc>
        <w:tc>
          <w:tcPr>
            <w:tcW w:w="1250" w:type="dxa"/>
          </w:tcPr>
          <w:p w14:paraId="3DEDC228"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w:t>
            </w:r>
          </w:p>
        </w:tc>
        <w:tc>
          <w:tcPr>
            <w:tcW w:w="1125" w:type="dxa"/>
          </w:tcPr>
          <w:p w14:paraId="653E561D" w14:textId="77777777" w:rsidR="00B0657A" w:rsidRPr="00813ACC" w:rsidRDefault="00B0657A" w:rsidP="00141231">
            <w:pPr>
              <w:pStyle w:val="NoSpacing"/>
              <w:rPr>
                <w:rFonts w:ascii="Times New Roman" w:hAnsi="Times New Roman" w:cs="Times New Roman"/>
                <w:sz w:val="20"/>
                <w:szCs w:val="20"/>
              </w:rPr>
            </w:pPr>
          </w:p>
        </w:tc>
        <w:tc>
          <w:tcPr>
            <w:tcW w:w="986" w:type="dxa"/>
          </w:tcPr>
          <w:p w14:paraId="237A91B8" w14:textId="77777777" w:rsidR="00B0657A" w:rsidRPr="00813ACC" w:rsidRDefault="00B0657A" w:rsidP="00141231">
            <w:pPr>
              <w:pStyle w:val="NoSpacing"/>
              <w:rPr>
                <w:rFonts w:ascii="Times New Roman" w:hAnsi="Times New Roman" w:cs="Times New Roman"/>
                <w:sz w:val="20"/>
                <w:szCs w:val="20"/>
              </w:rPr>
            </w:pPr>
          </w:p>
        </w:tc>
        <w:tc>
          <w:tcPr>
            <w:tcW w:w="847" w:type="dxa"/>
          </w:tcPr>
          <w:p w14:paraId="30350B00" w14:textId="77777777" w:rsidR="00B0657A" w:rsidRPr="00813ACC" w:rsidRDefault="00B0657A" w:rsidP="00141231">
            <w:pPr>
              <w:pStyle w:val="NoSpacing"/>
              <w:rPr>
                <w:rFonts w:ascii="Times New Roman" w:hAnsi="Times New Roman" w:cs="Times New Roman"/>
                <w:sz w:val="20"/>
                <w:szCs w:val="20"/>
              </w:rPr>
            </w:pPr>
          </w:p>
        </w:tc>
      </w:tr>
      <w:tr w:rsidR="00B0657A" w:rsidRPr="00813ACC" w14:paraId="1E58BC34" w14:textId="77777777" w:rsidTr="000E3CB6">
        <w:tc>
          <w:tcPr>
            <w:tcW w:w="5285" w:type="dxa"/>
          </w:tcPr>
          <w:p w14:paraId="0A23D7B6" w14:textId="77777777" w:rsidR="00B0657A" w:rsidRPr="00813ACC" w:rsidRDefault="00B0657A" w:rsidP="00141231">
            <w:pPr>
              <w:pStyle w:val="NoSpacing"/>
              <w:rPr>
                <w:rFonts w:ascii="Times New Roman" w:hAnsi="Times New Roman" w:cs="Times New Roman"/>
                <w:sz w:val="20"/>
                <w:szCs w:val="20"/>
              </w:rPr>
            </w:pPr>
            <w:r w:rsidRPr="008D1FDB">
              <w:rPr>
                <w:rFonts w:ascii="Times New Roman" w:hAnsi="Times New Roman" w:cs="Times New Roman"/>
                <w:noProof/>
                <w:sz w:val="20"/>
                <w:szCs w:val="20"/>
                <w:lang w:eastAsia="en-GB"/>
              </w:rPr>
              <mc:AlternateContent>
                <mc:Choice Requires="wps">
                  <w:drawing>
                    <wp:anchor distT="0" distB="0" distL="114300" distR="114300" simplePos="0" relativeHeight="251736064" behindDoc="0" locked="0" layoutInCell="1" allowOverlap="1" wp14:anchorId="12BD76FF" wp14:editId="098ACB90">
                      <wp:simplePos x="0" y="0"/>
                      <wp:positionH relativeFrom="column">
                        <wp:posOffset>908050</wp:posOffset>
                      </wp:positionH>
                      <wp:positionV relativeFrom="paragraph">
                        <wp:posOffset>93980</wp:posOffset>
                      </wp:positionV>
                      <wp:extent cx="542925" cy="9525"/>
                      <wp:effectExtent l="0" t="57150" r="28575" b="85725"/>
                      <wp:wrapNone/>
                      <wp:docPr id="41" name="Straight Arrow Connector 41"/>
                      <wp:cNvGraphicFramePr/>
                      <a:graphic xmlns:a="http://schemas.openxmlformats.org/drawingml/2006/main">
                        <a:graphicData uri="http://schemas.microsoft.com/office/word/2010/wordprocessingShape">
                          <wps:wsp>
                            <wps:cNvCnPr/>
                            <wps:spPr>
                              <a:xfrm>
                                <a:off x="0" y="0"/>
                                <a:ext cx="5429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43E54702" id="Straight Arrow Connector 41" o:spid="_x0000_s1026" type="#_x0000_t32" style="position:absolute;margin-left:71.5pt;margin-top:7.4pt;width:42.75pt;height:.7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" strokecolor="black [3213]" strokeweight=".5pt">
                      <v:stroke endarrow="block" joinstyle="miter"/>
                    </v:shape>
                  </w:pict>
                </mc:Fallback>
              </mc:AlternateContent>
            </w:r>
            <w:r w:rsidRPr="00813ACC">
              <w:rPr>
                <w:rFonts w:ascii="Times New Roman" w:hAnsi="Times New Roman" w:cs="Times New Roman"/>
                <w:sz w:val="20"/>
                <w:szCs w:val="20"/>
              </w:rPr>
              <w:t xml:space="preserve">Incentivising                           TT strategic priority </w:t>
            </w:r>
          </w:p>
        </w:tc>
        <w:tc>
          <w:tcPr>
            <w:tcW w:w="1250" w:type="dxa"/>
          </w:tcPr>
          <w:p w14:paraId="1C170C5A"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0.2</w:t>
            </w:r>
            <w:r>
              <w:rPr>
                <w:rFonts w:ascii="Times New Roman" w:hAnsi="Times New Roman" w:cs="Times New Roman"/>
                <w:sz w:val="20"/>
                <w:szCs w:val="20"/>
              </w:rPr>
              <w:t>82</w:t>
            </w:r>
            <w:r w:rsidRPr="00813ACC">
              <w:rPr>
                <w:rFonts w:ascii="Times New Roman" w:hAnsi="Times New Roman" w:cs="Times New Roman"/>
                <w:sz w:val="20"/>
                <w:szCs w:val="20"/>
              </w:rPr>
              <w:t>^</w:t>
            </w:r>
          </w:p>
        </w:tc>
        <w:tc>
          <w:tcPr>
            <w:tcW w:w="1125" w:type="dxa"/>
          </w:tcPr>
          <w:p w14:paraId="3B41AB1E"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-0.0</w:t>
            </w:r>
            <w:r>
              <w:rPr>
                <w:rFonts w:ascii="Times New Roman" w:hAnsi="Times New Roman" w:cs="Times New Roman"/>
                <w:sz w:val="20"/>
                <w:szCs w:val="20"/>
              </w:rPr>
              <w:t>39</w:t>
            </w:r>
          </w:p>
        </w:tc>
        <w:tc>
          <w:tcPr>
            <w:tcW w:w="986" w:type="dxa"/>
          </w:tcPr>
          <w:p w14:paraId="614E703E"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0.5</w:t>
            </w:r>
            <w:r>
              <w:rPr>
                <w:rFonts w:ascii="Times New Roman" w:hAnsi="Times New Roman" w:cs="Times New Roman"/>
                <w:sz w:val="20"/>
                <w:szCs w:val="20"/>
              </w:rPr>
              <w:t>27</w:t>
            </w:r>
          </w:p>
        </w:tc>
        <w:tc>
          <w:tcPr>
            <w:tcW w:w="847" w:type="dxa"/>
          </w:tcPr>
          <w:p w14:paraId="1934EC44"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0.07</w:t>
            </w:r>
            <w:r>
              <w:rPr>
                <w:rFonts w:ascii="Times New Roman" w:hAnsi="Times New Roman" w:cs="Times New Roman"/>
                <w:sz w:val="20"/>
                <w:szCs w:val="20"/>
              </w:rPr>
              <w:t>1</w:t>
            </w:r>
          </w:p>
        </w:tc>
      </w:tr>
      <w:tr w:rsidR="00B0657A" w:rsidRPr="00813ACC" w14:paraId="54D6C681" w14:textId="77777777" w:rsidTr="000E3CB6">
        <w:tc>
          <w:tcPr>
            <w:tcW w:w="5285" w:type="dxa"/>
          </w:tcPr>
          <w:p w14:paraId="4D38E604" w14:textId="77777777" w:rsidR="00B0657A" w:rsidRPr="00813ACC" w:rsidRDefault="00B0657A" w:rsidP="00141231">
            <w:pPr>
              <w:pStyle w:val="NoSpacing"/>
              <w:rPr>
                <w:rFonts w:ascii="Times New Roman" w:hAnsi="Times New Roman" w:cs="Times New Roman"/>
                <w:noProof/>
                <w:sz w:val="20"/>
                <w:szCs w:val="20"/>
                <w:lang w:eastAsia="en-GB"/>
              </w:rPr>
            </w:pPr>
            <w:r w:rsidRPr="008D1FDB">
              <w:rPr>
                <w:rFonts w:ascii="Times New Roman" w:hAnsi="Times New Roman" w:cs="Times New Roman"/>
                <w:noProof/>
                <w:sz w:val="20"/>
                <w:szCs w:val="20"/>
                <w:lang w:eastAsia="en-GB"/>
              </w:rPr>
              <mc:AlternateContent>
                <mc:Choice Requires="wps">
                  <w:drawing>
                    <wp:anchor distT="0" distB="0" distL="114300" distR="114300" simplePos="0" relativeHeight="251737088" behindDoc="0" locked="0" layoutInCell="1" allowOverlap="1" wp14:anchorId="2CB00C42" wp14:editId="78D31B9C">
                      <wp:simplePos x="0" y="0"/>
                      <wp:positionH relativeFrom="column">
                        <wp:posOffset>936625</wp:posOffset>
                      </wp:positionH>
                      <wp:positionV relativeFrom="paragraph">
                        <wp:posOffset>83820</wp:posOffset>
                      </wp:positionV>
                      <wp:extent cx="542925" cy="9525"/>
                      <wp:effectExtent l="0" t="57150" r="28575" b="85725"/>
                      <wp:wrapNone/>
                      <wp:docPr id="42" name="Straight Arrow Connector 42"/>
                      <wp:cNvGraphicFramePr/>
                      <a:graphic xmlns:a="http://schemas.openxmlformats.org/drawingml/2006/main">
                        <a:graphicData uri="http://schemas.microsoft.com/office/word/2010/wordprocessingShape">
                          <wps:wsp>
                            <wps:cNvCnPr/>
                            <wps:spPr>
                              <a:xfrm>
                                <a:off x="0" y="0"/>
                                <a:ext cx="5429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28F55C76" id="Straight Arrow Connector 42" o:spid="_x0000_s1026" type="#_x0000_t32" style="position:absolute;margin-left:73.75pt;margin-top:6.6pt;width:42.75pt;height:.7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" strokecolor="black [3213]" strokeweight=".5pt">
                      <v:stroke endarrow="block" joinstyle="miter"/>
                    </v:shape>
                  </w:pict>
                </mc:Fallback>
              </mc:AlternateContent>
            </w:r>
            <w:r w:rsidRPr="00813ACC">
              <w:rPr>
                <w:rFonts w:ascii="Times New Roman" w:hAnsi="Times New Roman" w:cs="Times New Roman"/>
                <w:sz w:val="20"/>
                <w:szCs w:val="20"/>
              </w:rPr>
              <w:t>Incentivising                           TT effectiveness</w:t>
            </w:r>
          </w:p>
        </w:tc>
        <w:tc>
          <w:tcPr>
            <w:tcW w:w="1250" w:type="dxa"/>
          </w:tcPr>
          <w:p w14:paraId="1ADCFA1A"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-0.1</w:t>
            </w:r>
            <w:r>
              <w:rPr>
                <w:rFonts w:ascii="Times New Roman" w:hAnsi="Times New Roman" w:cs="Times New Roman"/>
                <w:sz w:val="20"/>
                <w:szCs w:val="20"/>
              </w:rPr>
              <w:t>27</w:t>
            </w:r>
          </w:p>
        </w:tc>
        <w:tc>
          <w:tcPr>
            <w:tcW w:w="1125" w:type="dxa"/>
          </w:tcPr>
          <w:p w14:paraId="2A737856"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-0.3</w:t>
            </w:r>
            <w:r>
              <w:rPr>
                <w:rFonts w:ascii="Times New Roman" w:hAnsi="Times New Roman" w:cs="Times New Roman"/>
                <w:sz w:val="20"/>
                <w:szCs w:val="20"/>
              </w:rPr>
              <w:t>91</w:t>
            </w:r>
          </w:p>
        </w:tc>
        <w:tc>
          <w:tcPr>
            <w:tcW w:w="986" w:type="dxa"/>
          </w:tcPr>
          <w:p w14:paraId="2ADC3A42"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0.11</w:t>
            </w:r>
            <w:r>
              <w:rPr>
                <w:rFonts w:ascii="Times New Roman" w:hAnsi="Times New Roman" w:cs="Times New Roman"/>
                <w:sz w:val="20"/>
                <w:szCs w:val="20"/>
              </w:rPr>
              <w:t>9</w:t>
            </w:r>
          </w:p>
        </w:tc>
        <w:tc>
          <w:tcPr>
            <w:tcW w:w="847" w:type="dxa"/>
          </w:tcPr>
          <w:p w14:paraId="5DB3C699"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0.3</w:t>
            </w:r>
            <w:r>
              <w:rPr>
                <w:rFonts w:ascii="Times New Roman" w:hAnsi="Times New Roman" w:cs="Times New Roman"/>
                <w:sz w:val="20"/>
                <w:szCs w:val="20"/>
              </w:rPr>
              <w:t>34</w:t>
            </w:r>
          </w:p>
        </w:tc>
      </w:tr>
      <w:tr w:rsidR="00B0657A" w:rsidRPr="00813ACC" w14:paraId="57C9A302" w14:textId="77777777" w:rsidTr="000E3CB6">
        <w:tc>
          <w:tcPr>
            <w:tcW w:w="5285" w:type="dxa"/>
          </w:tcPr>
          <w:p w14:paraId="4E8A246B" w14:textId="77777777" w:rsidR="00B0657A" w:rsidRPr="00813ACC" w:rsidRDefault="00B0657A" w:rsidP="00141231">
            <w:pPr>
              <w:pStyle w:val="NoSpacing"/>
              <w:rPr>
                <w:rFonts w:ascii="Times New Roman" w:hAnsi="Times New Roman" w:cs="Times New Roman"/>
                <w:sz w:val="20"/>
                <w:szCs w:val="20"/>
              </w:rPr>
            </w:pPr>
            <w:r w:rsidRPr="008D1FDB">
              <w:rPr>
                <w:rFonts w:ascii="Times New Roman" w:hAnsi="Times New Roman" w:cs="Times New Roman"/>
                <w:noProof/>
                <w:sz w:val="20"/>
                <w:szCs w:val="20"/>
                <w:lang w:eastAsia="en-GB"/>
              </w:rPr>
              <mc:AlternateContent>
                <mc:Choice Requires="wps">
                  <w:drawing>
                    <wp:anchor distT="0" distB="0" distL="114300" distR="114300" simplePos="0" relativeHeight="251738112" behindDoc="0" locked="0" layoutInCell="1" allowOverlap="1" wp14:anchorId="55D7357E" wp14:editId="3C2C0C7F">
                      <wp:simplePos x="0" y="0"/>
                      <wp:positionH relativeFrom="column">
                        <wp:posOffset>1190422</wp:posOffset>
                      </wp:positionH>
                      <wp:positionV relativeFrom="paragraph">
                        <wp:posOffset>99060</wp:posOffset>
                      </wp:positionV>
                      <wp:extent cx="542925" cy="9525"/>
                      <wp:effectExtent l="0" t="50800" r="0" b="79375"/>
                      <wp:wrapNone/>
                      <wp:docPr id="43" name="Straight Arrow Connector 43"/>
                      <wp:cNvGraphicFramePr/>
                      <a:graphic xmlns:a="http://schemas.openxmlformats.org/drawingml/2006/main">
                        <a:graphicData uri="http://schemas.microsoft.com/office/word/2010/wordprocessingShape">
                          <wps:wsp>
                            <wps:cNvCnPr/>
                            <wps:spPr>
                              <a:xfrm>
                                <a:off x="0" y="0"/>
                                <a:ext cx="5429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0C56A45B" id="Straight Arrow Connector 43" o:spid="_x0000_s1026" type="#_x0000_t32" style="position:absolute;margin-left:93.75pt;margin-top:7.8pt;width:42.75pt;height:.7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" strokecolor="black [3213]" strokeweight=".5pt">
                      <v:stroke endarrow="block" joinstyle="miter"/>
                    </v:shape>
                  </w:pict>
                </mc:Fallback>
              </mc:AlternateContent>
            </w:r>
            <w:r w:rsidRPr="00813ACC">
              <w:rPr>
                <w:rFonts w:ascii="Times New Roman" w:hAnsi="Times New Roman" w:cs="Times New Roman"/>
                <w:sz w:val="20"/>
                <w:szCs w:val="20"/>
              </w:rPr>
              <w:t xml:space="preserve">TT strategic priority                            TT effectiveness </w:t>
            </w:r>
          </w:p>
        </w:tc>
        <w:tc>
          <w:tcPr>
            <w:tcW w:w="1250" w:type="dxa"/>
          </w:tcPr>
          <w:p w14:paraId="24A409BE"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w:t>
            </w:r>
            <w:r>
              <w:rPr>
                <w:rFonts w:ascii="Times New Roman" w:hAnsi="Times New Roman" w:cs="Times New Roman"/>
                <w:sz w:val="20"/>
                <w:szCs w:val="20"/>
              </w:rPr>
              <w:t>658</w:t>
            </w:r>
            <w:r w:rsidRPr="00813ACC">
              <w:rPr>
                <w:rFonts w:ascii="Times New Roman" w:hAnsi="Times New Roman" w:cs="Times New Roman"/>
                <w:sz w:val="20"/>
                <w:szCs w:val="20"/>
              </w:rPr>
              <w:t>**</w:t>
            </w:r>
          </w:p>
        </w:tc>
        <w:tc>
          <w:tcPr>
            <w:tcW w:w="1125" w:type="dxa"/>
          </w:tcPr>
          <w:p w14:paraId="441694F1"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0.3</w:t>
            </w:r>
            <w:r>
              <w:rPr>
                <w:rFonts w:ascii="Times New Roman" w:hAnsi="Times New Roman" w:cs="Times New Roman"/>
                <w:sz w:val="20"/>
                <w:szCs w:val="20"/>
              </w:rPr>
              <w:t>51</w:t>
            </w:r>
          </w:p>
        </w:tc>
        <w:tc>
          <w:tcPr>
            <w:tcW w:w="986" w:type="dxa"/>
          </w:tcPr>
          <w:p w14:paraId="315CB000"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0.9</w:t>
            </w:r>
            <w:r>
              <w:rPr>
                <w:rFonts w:ascii="Times New Roman" w:hAnsi="Times New Roman" w:cs="Times New Roman"/>
                <w:sz w:val="20"/>
                <w:szCs w:val="20"/>
              </w:rPr>
              <w:t>47</w:t>
            </w:r>
          </w:p>
        </w:tc>
        <w:tc>
          <w:tcPr>
            <w:tcW w:w="847" w:type="dxa"/>
          </w:tcPr>
          <w:p w14:paraId="4BD8D0A8"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0.00</w:t>
            </w:r>
            <w:r>
              <w:rPr>
                <w:rFonts w:ascii="Times New Roman" w:hAnsi="Times New Roman" w:cs="Times New Roman"/>
                <w:sz w:val="20"/>
                <w:szCs w:val="20"/>
              </w:rPr>
              <w:t>3</w:t>
            </w:r>
          </w:p>
        </w:tc>
      </w:tr>
      <w:tr w:rsidR="00B0657A" w:rsidRPr="00813ACC" w14:paraId="05669CFE" w14:textId="77777777" w:rsidTr="000E3CB6">
        <w:tc>
          <w:tcPr>
            <w:tcW w:w="5285" w:type="dxa"/>
            <w:tcBorders>
              <w:bottom w:val="double" w:sz="4" w:space="0" w:color="auto"/>
            </w:tcBorders>
          </w:tcPr>
          <w:p w14:paraId="6D7F65BB" w14:textId="77777777" w:rsidR="00B0657A" w:rsidRPr="00813ACC" w:rsidRDefault="00B0657A" w:rsidP="00141231">
            <w:pPr>
              <w:pStyle w:val="NoSpacing"/>
              <w:rPr>
                <w:rFonts w:ascii="Times New Roman" w:hAnsi="Times New Roman" w:cs="Times New Roman"/>
                <w:i/>
                <w:noProof/>
                <w:sz w:val="20"/>
                <w:szCs w:val="20"/>
                <w:lang w:eastAsia="en-GB"/>
              </w:rPr>
            </w:pPr>
            <w:r w:rsidRPr="00813ACC">
              <w:rPr>
                <w:rFonts w:ascii="Times New Roman" w:hAnsi="Times New Roman" w:cs="Times New Roman"/>
                <w:i/>
                <w:noProof/>
                <w:sz w:val="20"/>
                <w:szCs w:val="20"/>
                <w:lang w:eastAsia="en-GB"/>
              </w:rPr>
              <w:t xml:space="preserve">Indirect Effects </w:t>
            </w:r>
          </w:p>
        </w:tc>
        <w:tc>
          <w:tcPr>
            <w:tcW w:w="1250" w:type="dxa"/>
            <w:tcBorders>
              <w:bottom w:val="double" w:sz="4" w:space="0" w:color="auto"/>
            </w:tcBorders>
          </w:tcPr>
          <w:p w14:paraId="4B6EA740" w14:textId="77777777" w:rsidR="00B0657A" w:rsidRPr="00813ACC" w:rsidRDefault="00B0657A" w:rsidP="00141231">
            <w:pPr>
              <w:pStyle w:val="NoSpacing"/>
              <w:rPr>
                <w:rFonts w:ascii="Times New Roman" w:hAnsi="Times New Roman" w:cs="Times New Roman"/>
                <w:sz w:val="20"/>
                <w:szCs w:val="20"/>
              </w:rPr>
            </w:pPr>
          </w:p>
        </w:tc>
        <w:tc>
          <w:tcPr>
            <w:tcW w:w="1125" w:type="dxa"/>
            <w:tcBorders>
              <w:bottom w:val="double" w:sz="4" w:space="0" w:color="auto"/>
            </w:tcBorders>
          </w:tcPr>
          <w:p w14:paraId="6F1326E0" w14:textId="77777777" w:rsidR="00B0657A" w:rsidRPr="00813ACC" w:rsidRDefault="00B0657A" w:rsidP="00141231">
            <w:pPr>
              <w:pStyle w:val="NoSpacing"/>
              <w:rPr>
                <w:rFonts w:ascii="Times New Roman" w:hAnsi="Times New Roman" w:cs="Times New Roman"/>
                <w:sz w:val="20"/>
                <w:szCs w:val="20"/>
              </w:rPr>
            </w:pPr>
          </w:p>
        </w:tc>
        <w:tc>
          <w:tcPr>
            <w:tcW w:w="986" w:type="dxa"/>
            <w:tcBorders>
              <w:bottom w:val="double" w:sz="4" w:space="0" w:color="auto"/>
            </w:tcBorders>
          </w:tcPr>
          <w:p w14:paraId="4CC75D67" w14:textId="77777777" w:rsidR="00B0657A" w:rsidRPr="00813ACC" w:rsidRDefault="00B0657A" w:rsidP="00141231">
            <w:pPr>
              <w:pStyle w:val="NoSpacing"/>
              <w:rPr>
                <w:rFonts w:ascii="Times New Roman" w:hAnsi="Times New Roman" w:cs="Times New Roman"/>
                <w:sz w:val="20"/>
                <w:szCs w:val="20"/>
              </w:rPr>
            </w:pPr>
          </w:p>
        </w:tc>
        <w:tc>
          <w:tcPr>
            <w:tcW w:w="847" w:type="dxa"/>
            <w:tcBorders>
              <w:bottom w:val="double" w:sz="4" w:space="0" w:color="auto"/>
            </w:tcBorders>
          </w:tcPr>
          <w:p w14:paraId="17572657" w14:textId="77777777" w:rsidR="00B0657A" w:rsidRPr="00813ACC" w:rsidRDefault="00B0657A" w:rsidP="00141231">
            <w:pPr>
              <w:pStyle w:val="NoSpacing"/>
              <w:rPr>
                <w:rFonts w:ascii="Times New Roman" w:hAnsi="Times New Roman" w:cs="Times New Roman"/>
                <w:sz w:val="20"/>
                <w:szCs w:val="20"/>
              </w:rPr>
            </w:pPr>
          </w:p>
        </w:tc>
      </w:tr>
      <w:tr w:rsidR="00B0657A" w:rsidRPr="00813ACC" w14:paraId="6A201236" w14:textId="77777777" w:rsidTr="000E3CB6">
        <w:tc>
          <w:tcPr>
            <w:tcW w:w="5285" w:type="dxa"/>
            <w:tcBorders>
              <w:top w:val="double" w:sz="4" w:space="0" w:color="auto"/>
            </w:tcBorders>
          </w:tcPr>
          <w:p w14:paraId="4CA17764" w14:textId="77777777" w:rsidR="00B0657A" w:rsidRPr="00813ACC" w:rsidRDefault="00B0657A" w:rsidP="00141231">
            <w:pPr>
              <w:pStyle w:val="NoSpacing"/>
              <w:rPr>
                <w:rFonts w:ascii="Times New Roman" w:hAnsi="Times New Roman" w:cs="Times New Roman"/>
                <w:sz w:val="20"/>
                <w:szCs w:val="20"/>
              </w:rPr>
            </w:pPr>
            <w:r w:rsidRPr="008D1FDB">
              <w:rPr>
                <w:rFonts w:ascii="Times New Roman" w:hAnsi="Times New Roman" w:cs="Times New Roman"/>
                <w:noProof/>
                <w:sz w:val="20"/>
                <w:szCs w:val="20"/>
                <w:lang w:eastAsia="en-GB"/>
              </w:rPr>
              <mc:AlternateContent>
                <mc:Choice Requires="wps">
                  <w:drawing>
                    <wp:anchor distT="0" distB="0" distL="114300" distR="114300" simplePos="0" relativeHeight="251739136" behindDoc="0" locked="0" layoutInCell="1" allowOverlap="1" wp14:anchorId="00E8494B" wp14:editId="6A507DF6">
                      <wp:simplePos x="0" y="0"/>
                      <wp:positionH relativeFrom="column">
                        <wp:posOffset>948055</wp:posOffset>
                      </wp:positionH>
                      <wp:positionV relativeFrom="paragraph">
                        <wp:posOffset>53772</wp:posOffset>
                      </wp:positionV>
                      <wp:extent cx="542925" cy="9525"/>
                      <wp:effectExtent l="0" t="50800" r="0" b="79375"/>
                      <wp:wrapNone/>
                      <wp:docPr id="44" name="Straight Arrow Connector 44"/>
                      <wp:cNvGraphicFramePr/>
                      <a:graphic xmlns:a="http://schemas.openxmlformats.org/drawingml/2006/main">
                        <a:graphicData uri="http://schemas.microsoft.com/office/word/2010/wordprocessingShape">
                          <wps:wsp>
                            <wps:cNvCnPr/>
                            <wps:spPr>
                              <a:xfrm>
                                <a:off x="0" y="0"/>
                                <a:ext cx="5429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0607442B" id="Straight Arrow Connector 44" o:spid="_x0000_s1026" type="#_x0000_t32" style="position:absolute;margin-left:74.65pt;margin-top:4.25pt;width:42.75pt;height:.7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" strokecolor="black [3213]" strokeweight=".5pt">
                      <v:stroke endarrow="block" joinstyle="miter"/>
                    </v:shape>
                  </w:pict>
                </mc:Fallback>
              </mc:AlternateContent>
            </w:r>
            <w:r w:rsidRPr="00813ACC">
              <w:rPr>
                <w:rFonts w:ascii="Times New Roman" w:hAnsi="Times New Roman" w:cs="Times New Roman"/>
                <w:sz w:val="20"/>
                <w:szCs w:val="20"/>
              </w:rPr>
              <w:t xml:space="preserve"> TTO Support                                 TT effectiveness</w:t>
            </w:r>
          </w:p>
        </w:tc>
        <w:tc>
          <w:tcPr>
            <w:tcW w:w="1250" w:type="dxa"/>
            <w:tcBorders>
              <w:top w:val="double" w:sz="4" w:space="0" w:color="auto"/>
            </w:tcBorders>
          </w:tcPr>
          <w:p w14:paraId="696E1D3A"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0.3</w:t>
            </w:r>
            <w:r>
              <w:rPr>
                <w:rFonts w:ascii="Times New Roman" w:hAnsi="Times New Roman" w:cs="Times New Roman"/>
                <w:sz w:val="20"/>
                <w:szCs w:val="20"/>
              </w:rPr>
              <w:t>34</w:t>
            </w:r>
            <w:r w:rsidRPr="00813ACC">
              <w:rPr>
                <w:rFonts w:ascii="Times New Roman" w:hAnsi="Times New Roman" w:cs="Times New Roman"/>
                <w:sz w:val="20"/>
                <w:szCs w:val="20"/>
              </w:rPr>
              <w:t>***</w:t>
            </w:r>
          </w:p>
        </w:tc>
        <w:tc>
          <w:tcPr>
            <w:tcW w:w="1125" w:type="dxa"/>
            <w:tcBorders>
              <w:top w:val="double" w:sz="4" w:space="0" w:color="auto"/>
            </w:tcBorders>
          </w:tcPr>
          <w:p w14:paraId="40643B79"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0.1</w:t>
            </w:r>
            <w:r>
              <w:rPr>
                <w:rFonts w:ascii="Times New Roman" w:hAnsi="Times New Roman" w:cs="Times New Roman"/>
                <w:sz w:val="20"/>
                <w:szCs w:val="20"/>
              </w:rPr>
              <w:t>67</w:t>
            </w:r>
          </w:p>
        </w:tc>
        <w:tc>
          <w:tcPr>
            <w:tcW w:w="986" w:type="dxa"/>
            <w:tcBorders>
              <w:top w:val="double" w:sz="4" w:space="0" w:color="auto"/>
            </w:tcBorders>
          </w:tcPr>
          <w:p w14:paraId="604A5F08"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0.4</w:t>
            </w:r>
            <w:r>
              <w:rPr>
                <w:rFonts w:ascii="Times New Roman" w:hAnsi="Times New Roman" w:cs="Times New Roman"/>
                <w:sz w:val="20"/>
                <w:szCs w:val="20"/>
              </w:rPr>
              <w:t>81</w:t>
            </w:r>
          </w:p>
        </w:tc>
        <w:tc>
          <w:tcPr>
            <w:tcW w:w="847" w:type="dxa"/>
            <w:tcBorders>
              <w:top w:val="double" w:sz="4" w:space="0" w:color="auto"/>
            </w:tcBorders>
          </w:tcPr>
          <w:p w14:paraId="202C9A16"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0.001</w:t>
            </w:r>
          </w:p>
        </w:tc>
      </w:tr>
      <w:tr w:rsidR="00B0657A" w:rsidRPr="00813ACC" w14:paraId="1FC62AC3" w14:textId="77777777" w:rsidTr="000E3CB6">
        <w:tc>
          <w:tcPr>
            <w:tcW w:w="5285" w:type="dxa"/>
            <w:tcBorders>
              <w:bottom w:val="double" w:sz="4" w:space="0" w:color="auto"/>
            </w:tcBorders>
          </w:tcPr>
          <w:p w14:paraId="6B6781BF" w14:textId="77777777" w:rsidR="00B0657A" w:rsidRPr="00813ACC" w:rsidRDefault="00B0657A" w:rsidP="00141231">
            <w:pPr>
              <w:pStyle w:val="NoSpacing"/>
              <w:rPr>
                <w:rFonts w:ascii="Times New Roman" w:hAnsi="Times New Roman" w:cs="Times New Roman"/>
                <w:sz w:val="20"/>
                <w:szCs w:val="20"/>
              </w:rPr>
            </w:pPr>
            <w:r w:rsidRPr="008D1FDB">
              <w:rPr>
                <w:rFonts w:ascii="Times New Roman" w:hAnsi="Times New Roman" w:cs="Times New Roman"/>
                <w:noProof/>
                <w:sz w:val="20"/>
                <w:szCs w:val="20"/>
                <w:lang w:eastAsia="en-GB"/>
              </w:rPr>
              <mc:AlternateContent>
                <mc:Choice Requires="wps">
                  <w:drawing>
                    <wp:anchor distT="0" distB="0" distL="114300" distR="114300" simplePos="0" relativeHeight="251740160" behindDoc="0" locked="0" layoutInCell="1" allowOverlap="1" wp14:anchorId="2CFD3DA8" wp14:editId="0A331B91">
                      <wp:simplePos x="0" y="0"/>
                      <wp:positionH relativeFrom="column">
                        <wp:posOffset>831850</wp:posOffset>
                      </wp:positionH>
                      <wp:positionV relativeFrom="paragraph">
                        <wp:posOffset>69012</wp:posOffset>
                      </wp:positionV>
                      <wp:extent cx="542925" cy="9525"/>
                      <wp:effectExtent l="0" t="50800" r="0" b="79375"/>
                      <wp:wrapNone/>
                      <wp:docPr id="45" name="Straight Arrow Connector 45"/>
                      <wp:cNvGraphicFramePr/>
                      <a:graphic xmlns:a="http://schemas.openxmlformats.org/drawingml/2006/main">
                        <a:graphicData uri="http://schemas.microsoft.com/office/word/2010/wordprocessingShape">
                          <wps:wsp>
                            <wps:cNvCnPr/>
                            <wps:spPr>
                              <a:xfrm>
                                <a:off x="0" y="0"/>
                                <a:ext cx="5429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646C2CF7" id="Straight Arrow Connector 45" o:spid="_x0000_s1026" type="#_x0000_t32" style="position:absolute;margin-left:65.5pt;margin-top:5.45pt;width:42.75pt;height:.7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" strokecolor="black [3213]" strokeweight=".5pt">
                      <v:stroke endarrow="block" joinstyle="miter"/>
                    </v:shape>
                  </w:pict>
                </mc:Fallback>
              </mc:AlternateContent>
            </w:r>
            <w:r w:rsidRPr="00813ACC">
              <w:rPr>
                <w:rFonts w:ascii="Times New Roman" w:hAnsi="Times New Roman" w:cs="Times New Roman"/>
                <w:sz w:val="20"/>
                <w:szCs w:val="20"/>
              </w:rPr>
              <w:t xml:space="preserve">Incentivising              </w:t>
            </w:r>
            <w:r w:rsidRPr="00813ACC">
              <w:rPr>
                <w:rFonts w:ascii="Times New Roman" w:hAnsi="Times New Roman" w:cs="Times New Roman"/>
                <w:noProof/>
                <w:sz w:val="20"/>
                <w:szCs w:val="20"/>
                <w:lang w:eastAsia="en-GB"/>
              </w:rPr>
              <w:t xml:space="preserve">             </w:t>
            </w:r>
            <w:r w:rsidRPr="00813ACC">
              <w:rPr>
                <w:rFonts w:ascii="Times New Roman" w:hAnsi="Times New Roman" w:cs="Times New Roman"/>
                <w:sz w:val="20"/>
                <w:szCs w:val="20"/>
              </w:rPr>
              <w:t xml:space="preserve">TT effectiveness </w:t>
            </w:r>
          </w:p>
        </w:tc>
        <w:tc>
          <w:tcPr>
            <w:tcW w:w="1250" w:type="dxa"/>
            <w:tcBorders>
              <w:bottom w:val="double" w:sz="4" w:space="0" w:color="auto"/>
            </w:tcBorders>
          </w:tcPr>
          <w:p w14:paraId="7CE97E4F"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w:t>
            </w:r>
            <w:r>
              <w:rPr>
                <w:rFonts w:ascii="Times New Roman" w:hAnsi="Times New Roman" w:cs="Times New Roman"/>
                <w:sz w:val="20"/>
                <w:szCs w:val="20"/>
              </w:rPr>
              <w:t>217*</w:t>
            </w:r>
          </w:p>
        </w:tc>
        <w:tc>
          <w:tcPr>
            <w:tcW w:w="1125" w:type="dxa"/>
            <w:tcBorders>
              <w:bottom w:val="double" w:sz="4" w:space="0" w:color="auto"/>
            </w:tcBorders>
          </w:tcPr>
          <w:p w14:paraId="249F9BB4"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-0.0</w:t>
            </w:r>
            <w:r>
              <w:rPr>
                <w:rFonts w:ascii="Times New Roman" w:hAnsi="Times New Roman" w:cs="Times New Roman"/>
                <w:sz w:val="20"/>
                <w:szCs w:val="20"/>
              </w:rPr>
              <w:t>16</w:t>
            </w:r>
          </w:p>
        </w:tc>
        <w:tc>
          <w:tcPr>
            <w:tcW w:w="986" w:type="dxa"/>
            <w:tcBorders>
              <w:bottom w:val="double" w:sz="4" w:space="0" w:color="auto"/>
            </w:tcBorders>
          </w:tcPr>
          <w:p w14:paraId="1A251DBD"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0.4</w:t>
            </w:r>
            <w:r>
              <w:rPr>
                <w:rFonts w:ascii="Times New Roman" w:hAnsi="Times New Roman" w:cs="Times New Roman"/>
                <w:sz w:val="20"/>
                <w:szCs w:val="20"/>
              </w:rPr>
              <w:t>71</w:t>
            </w:r>
          </w:p>
        </w:tc>
        <w:tc>
          <w:tcPr>
            <w:tcW w:w="847" w:type="dxa"/>
            <w:tcBorders>
              <w:bottom w:val="double" w:sz="4" w:space="0" w:color="auto"/>
            </w:tcBorders>
          </w:tcPr>
          <w:p w14:paraId="1CF28ADE"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0.05</w:t>
            </w:r>
            <w:r>
              <w:rPr>
                <w:rFonts w:ascii="Times New Roman" w:hAnsi="Times New Roman" w:cs="Times New Roman"/>
                <w:sz w:val="20"/>
                <w:szCs w:val="20"/>
              </w:rPr>
              <w:t>0</w:t>
            </w:r>
          </w:p>
        </w:tc>
      </w:tr>
      <w:tr w:rsidR="00B0657A" w:rsidRPr="00813ACC" w14:paraId="0A0437AA" w14:textId="77777777" w:rsidTr="000E3CB6">
        <w:tc>
          <w:tcPr>
            <w:tcW w:w="5285" w:type="dxa"/>
            <w:tcBorders>
              <w:top w:val="double" w:sz="4" w:space="0" w:color="auto"/>
            </w:tcBorders>
          </w:tcPr>
          <w:p w14:paraId="10633297" w14:textId="77777777" w:rsidR="00B0657A" w:rsidRPr="00813ACC" w:rsidRDefault="00B0657A" w:rsidP="00141231">
            <w:pPr>
              <w:pStyle w:val="NoSpacing"/>
              <w:rPr>
                <w:rFonts w:ascii="Times New Roman" w:hAnsi="Times New Roman" w:cs="Times New Roman"/>
                <w:noProof/>
                <w:sz w:val="20"/>
                <w:szCs w:val="20"/>
                <w:lang w:eastAsia="en-GB"/>
              </w:rPr>
            </w:pPr>
            <w:r w:rsidRPr="00813ACC">
              <w:rPr>
                <w:rFonts w:ascii="Times New Roman" w:hAnsi="Times New Roman" w:cs="Times New Roman"/>
                <w:noProof/>
                <w:sz w:val="20"/>
                <w:szCs w:val="20"/>
                <w:lang w:eastAsia="en-GB"/>
              </w:rPr>
              <w:t xml:space="preserve">Model 3 – Partial Mediation Model </w:t>
            </w:r>
            <w:r w:rsidRPr="00813ACC">
              <w:rPr>
                <w:rFonts w:ascii="Times New Roman" w:hAnsi="Times New Roman" w:cs="Times New Roman"/>
                <w:noProof/>
                <w:sz w:val="20"/>
                <w:szCs w:val="20"/>
                <w:vertAlign w:val="superscript"/>
                <w:lang w:eastAsia="en-GB"/>
              </w:rPr>
              <w:t>a</w:t>
            </w:r>
          </w:p>
        </w:tc>
        <w:tc>
          <w:tcPr>
            <w:tcW w:w="1250" w:type="dxa"/>
            <w:tcBorders>
              <w:top w:val="double" w:sz="4" w:space="0" w:color="auto"/>
            </w:tcBorders>
          </w:tcPr>
          <w:p w14:paraId="489883BA" w14:textId="77777777" w:rsidR="00B0657A" w:rsidRPr="00813ACC" w:rsidRDefault="00B0657A" w:rsidP="00141231">
            <w:pPr>
              <w:pStyle w:val="NoSpacing"/>
              <w:rPr>
                <w:rFonts w:ascii="Times New Roman" w:hAnsi="Times New Roman" w:cs="Times New Roman"/>
                <w:sz w:val="20"/>
                <w:szCs w:val="20"/>
              </w:rPr>
            </w:pPr>
          </w:p>
        </w:tc>
        <w:tc>
          <w:tcPr>
            <w:tcW w:w="1125" w:type="dxa"/>
            <w:tcBorders>
              <w:top w:val="double" w:sz="4" w:space="0" w:color="auto"/>
            </w:tcBorders>
          </w:tcPr>
          <w:p w14:paraId="1E024B3E" w14:textId="77777777" w:rsidR="00B0657A" w:rsidRPr="00813ACC" w:rsidRDefault="00B0657A" w:rsidP="00141231">
            <w:pPr>
              <w:pStyle w:val="NoSpacing"/>
              <w:rPr>
                <w:rFonts w:ascii="Times New Roman" w:hAnsi="Times New Roman" w:cs="Times New Roman"/>
                <w:sz w:val="20"/>
                <w:szCs w:val="20"/>
              </w:rPr>
            </w:pPr>
          </w:p>
        </w:tc>
        <w:tc>
          <w:tcPr>
            <w:tcW w:w="986" w:type="dxa"/>
            <w:tcBorders>
              <w:top w:val="double" w:sz="4" w:space="0" w:color="auto"/>
            </w:tcBorders>
          </w:tcPr>
          <w:p w14:paraId="590D46BD" w14:textId="77777777" w:rsidR="00B0657A" w:rsidRPr="00813ACC" w:rsidRDefault="00B0657A" w:rsidP="00141231">
            <w:pPr>
              <w:pStyle w:val="NoSpacing"/>
              <w:rPr>
                <w:rFonts w:ascii="Times New Roman" w:hAnsi="Times New Roman" w:cs="Times New Roman"/>
                <w:sz w:val="20"/>
                <w:szCs w:val="20"/>
              </w:rPr>
            </w:pPr>
          </w:p>
        </w:tc>
        <w:tc>
          <w:tcPr>
            <w:tcW w:w="847" w:type="dxa"/>
            <w:tcBorders>
              <w:top w:val="double" w:sz="4" w:space="0" w:color="auto"/>
            </w:tcBorders>
          </w:tcPr>
          <w:p w14:paraId="6D5FA9DB" w14:textId="77777777" w:rsidR="00B0657A" w:rsidRPr="00813ACC" w:rsidRDefault="00B0657A" w:rsidP="00141231">
            <w:pPr>
              <w:pStyle w:val="NoSpacing"/>
              <w:rPr>
                <w:rFonts w:ascii="Times New Roman" w:hAnsi="Times New Roman" w:cs="Times New Roman"/>
                <w:sz w:val="20"/>
                <w:szCs w:val="20"/>
              </w:rPr>
            </w:pPr>
          </w:p>
        </w:tc>
      </w:tr>
      <w:tr w:rsidR="00B0657A" w:rsidRPr="00813ACC" w14:paraId="7769160C" w14:textId="77777777" w:rsidTr="000E3CB6">
        <w:tc>
          <w:tcPr>
            <w:tcW w:w="5285" w:type="dxa"/>
          </w:tcPr>
          <w:p w14:paraId="5ED82708" w14:textId="77777777" w:rsidR="00B0657A" w:rsidRPr="00813ACC" w:rsidRDefault="00B0657A" w:rsidP="00141231">
            <w:pPr>
              <w:pStyle w:val="NoSpacing"/>
              <w:rPr>
                <w:rFonts w:ascii="Times New Roman" w:hAnsi="Times New Roman" w:cs="Times New Roman"/>
                <w:noProof/>
                <w:sz w:val="20"/>
                <w:szCs w:val="20"/>
                <w:lang w:eastAsia="en-GB"/>
              </w:rPr>
            </w:pPr>
            <w:r w:rsidRPr="008D1FDB">
              <w:rPr>
                <w:rFonts w:ascii="Times New Roman" w:hAnsi="Times New Roman" w:cs="Times New Roman"/>
                <w:noProof/>
                <w:sz w:val="20"/>
                <w:szCs w:val="20"/>
                <w:lang w:eastAsia="en-GB"/>
              </w:rPr>
              <mc:AlternateContent>
                <mc:Choice Requires="wps">
                  <w:drawing>
                    <wp:anchor distT="0" distB="0" distL="114300" distR="114300" simplePos="0" relativeHeight="251741184" behindDoc="0" locked="0" layoutInCell="1" allowOverlap="1" wp14:anchorId="65B552BB" wp14:editId="7833AD97">
                      <wp:simplePos x="0" y="0"/>
                      <wp:positionH relativeFrom="column">
                        <wp:posOffset>1028065</wp:posOffset>
                      </wp:positionH>
                      <wp:positionV relativeFrom="paragraph">
                        <wp:posOffset>65837</wp:posOffset>
                      </wp:positionV>
                      <wp:extent cx="542925" cy="9525"/>
                      <wp:effectExtent l="0" t="50800" r="0" b="79375"/>
                      <wp:wrapNone/>
                      <wp:docPr id="46" name="Straight Arrow Connector 46"/>
                      <wp:cNvGraphicFramePr/>
                      <a:graphic xmlns:a="http://schemas.openxmlformats.org/drawingml/2006/main">
                        <a:graphicData uri="http://schemas.microsoft.com/office/word/2010/wordprocessingShape">
                          <wps:wsp>
                            <wps:cNvCnPr/>
                            <wps:spPr>
                              <a:xfrm>
                                <a:off x="0" y="0"/>
                                <a:ext cx="5429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3EDE08E3" id="Straight Arrow Connector 46" o:spid="_x0000_s1026" type="#_x0000_t32" style="position:absolute;margin-left:80.95pt;margin-top:5.2pt;width:42.75pt;height:.7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" strokecolor="black [3213]" strokeweight=".5pt">
                      <v:stroke endarrow="block" joinstyle="miter"/>
                    </v:shape>
                  </w:pict>
                </mc:Fallback>
              </mc:AlternateContent>
            </w:r>
            <w:r w:rsidRPr="00813ACC">
              <w:rPr>
                <w:rFonts w:ascii="Times New Roman" w:hAnsi="Times New Roman" w:cs="Times New Roman"/>
                <w:sz w:val="20"/>
                <w:szCs w:val="20"/>
              </w:rPr>
              <w:t>TTO Support                                  TT effectiveness</w:t>
            </w:r>
          </w:p>
        </w:tc>
        <w:tc>
          <w:tcPr>
            <w:tcW w:w="1250" w:type="dxa"/>
          </w:tcPr>
          <w:p w14:paraId="255E598A" w14:textId="77777777" w:rsidR="00B0657A" w:rsidRPr="00813ACC" w:rsidRDefault="00B0657A" w:rsidP="00141231">
            <w:pPr>
              <w:pStyle w:val="NoSpacing"/>
              <w:rPr>
                <w:rFonts w:ascii="Times New Roman" w:hAnsi="Times New Roman" w:cs="Times New Roman"/>
                <w:sz w:val="20"/>
                <w:szCs w:val="20"/>
              </w:rPr>
            </w:pPr>
            <w:r>
              <w:rPr>
                <w:rFonts w:ascii="Times New Roman" w:hAnsi="Times New Roman" w:cs="Times New Roman"/>
                <w:sz w:val="20"/>
                <w:szCs w:val="20"/>
              </w:rPr>
              <w:t>-0.069</w:t>
            </w:r>
          </w:p>
        </w:tc>
        <w:tc>
          <w:tcPr>
            <w:tcW w:w="1125" w:type="dxa"/>
          </w:tcPr>
          <w:p w14:paraId="2F9DD1BC"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w:t>
            </w:r>
            <w:r>
              <w:rPr>
                <w:rFonts w:ascii="Times New Roman" w:hAnsi="Times New Roman" w:cs="Times New Roman"/>
                <w:sz w:val="20"/>
                <w:szCs w:val="20"/>
              </w:rPr>
              <w:t>698</w:t>
            </w:r>
          </w:p>
        </w:tc>
        <w:tc>
          <w:tcPr>
            <w:tcW w:w="986" w:type="dxa"/>
          </w:tcPr>
          <w:p w14:paraId="5483E187"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0.2</w:t>
            </w:r>
            <w:r>
              <w:rPr>
                <w:rFonts w:ascii="Times New Roman" w:hAnsi="Times New Roman" w:cs="Times New Roman"/>
                <w:sz w:val="20"/>
                <w:szCs w:val="20"/>
              </w:rPr>
              <w:t>27</w:t>
            </w:r>
          </w:p>
        </w:tc>
        <w:tc>
          <w:tcPr>
            <w:tcW w:w="847" w:type="dxa"/>
          </w:tcPr>
          <w:p w14:paraId="626FD5C7" w14:textId="77777777" w:rsidR="00B0657A" w:rsidRPr="00813ACC" w:rsidRDefault="00B0657A" w:rsidP="00141231">
            <w:pPr>
              <w:pStyle w:val="NoSpacing"/>
              <w:rPr>
                <w:rFonts w:ascii="Times New Roman" w:hAnsi="Times New Roman" w:cs="Times New Roman"/>
                <w:sz w:val="20"/>
                <w:szCs w:val="20"/>
              </w:rPr>
            </w:pPr>
            <w:r w:rsidRPr="00813ACC">
              <w:rPr>
                <w:rFonts w:ascii="Times New Roman" w:hAnsi="Times New Roman" w:cs="Times New Roman"/>
                <w:sz w:val="20"/>
                <w:szCs w:val="20"/>
              </w:rPr>
              <w:t>0.7</w:t>
            </w:r>
            <w:r>
              <w:rPr>
                <w:rFonts w:ascii="Times New Roman" w:hAnsi="Times New Roman" w:cs="Times New Roman"/>
                <w:sz w:val="20"/>
                <w:szCs w:val="20"/>
              </w:rPr>
              <w:t>24</w:t>
            </w:r>
          </w:p>
        </w:tc>
      </w:tr>
      <w:tr w:rsidR="00B0657A" w:rsidRPr="00813ACC" w14:paraId="57B11A50" w14:textId="77777777" w:rsidTr="000E3CB6">
        <w:trPr>
          <w:trHeight w:val="80"/>
        </w:trPr>
        <w:tc>
          <w:tcPr>
            <w:tcW w:w="5285" w:type="dxa"/>
          </w:tcPr>
          <w:p w14:paraId="157FB3A3" w14:textId="77777777" w:rsidR="00B0657A" w:rsidRPr="00813ACC" w:rsidRDefault="00B0657A" w:rsidP="00141231">
            <w:pPr>
              <w:pStyle w:val="NoSpacing"/>
              <w:rPr>
                <w:rFonts w:ascii="Times New Roman" w:hAnsi="Times New Roman" w:cs="Times New Roman"/>
                <w:noProof/>
                <w:sz w:val="20"/>
                <w:szCs w:val="20"/>
                <w:lang w:eastAsia="en-GB"/>
              </w:rPr>
            </w:pPr>
          </w:p>
        </w:tc>
        <w:tc>
          <w:tcPr>
            <w:tcW w:w="1250" w:type="dxa"/>
          </w:tcPr>
          <w:p w14:paraId="5F1B2FA2" w14:textId="77777777" w:rsidR="00B0657A" w:rsidRPr="00813ACC" w:rsidRDefault="00B0657A" w:rsidP="00141231">
            <w:pPr>
              <w:pStyle w:val="NoSpacing"/>
              <w:rPr>
                <w:rFonts w:ascii="Times New Roman" w:hAnsi="Times New Roman" w:cs="Times New Roman"/>
                <w:sz w:val="20"/>
                <w:szCs w:val="20"/>
              </w:rPr>
            </w:pPr>
          </w:p>
        </w:tc>
        <w:tc>
          <w:tcPr>
            <w:tcW w:w="1125" w:type="dxa"/>
          </w:tcPr>
          <w:p w14:paraId="30FF3544" w14:textId="77777777" w:rsidR="00B0657A" w:rsidRPr="00813ACC" w:rsidRDefault="00B0657A" w:rsidP="00141231">
            <w:pPr>
              <w:pStyle w:val="NoSpacing"/>
              <w:rPr>
                <w:rFonts w:ascii="Times New Roman" w:hAnsi="Times New Roman" w:cs="Times New Roman"/>
                <w:sz w:val="20"/>
                <w:szCs w:val="20"/>
              </w:rPr>
            </w:pPr>
          </w:p>
        </w:tc>
        <w:tc>
          <w:tcPr>
            <w:tcW w:w="986" w:type="dxa"/>
          </w:tcPr>
          <w:p w14:paraId="49AB3C42" w14:textId="77777777" w:rsidR="00B0657A" w:rsidRPr="00813ACC" w:rsidRDefault="00B0657A" w:rsidP="00141231">
            <w:pPr>
              <w:pStyle w:val="NoSpacing"/>
              <w:rPr>
                <w:rFonts w:ascii="Times New Roman" w:hAnsi="Times New Roman" w:cs="Times New Roman"/>
                <w:sz w:val="20"/>
                <w:szCs w:val="20"/>
              </w:rPr>
            </w:pPr>
          </w:p>
        </w:tc>
        <w:tc>
          <w:tcPr>
            <w:tcW w:w="847" w:type="dxa"/>
          </w:tcPr>
          <w:p w14:paraId="49337F8D" w14:textId="77777777" w:rsidR="00B0657A" w:rsidRPr="00813ACC" w:rsidRDefault="00B0657A" w:rsidP="00141231">
            <w:pPr>
              <w:pStyle w:val="NoSpacing"/>
              <w:rPr>
                <w:rFonts w:ascii="Times New Roman" w:hAnsi="Times New Roman" w:cs="Times New Roman"/>
                <w:sz w:val="20"/>
                <w:szCs w:val="20"/>
              </w:rPr>
            </w:pPr>
          </w:p>
        </w:tc>
      </w:tr>
    </w:tbl>
    <w:p w14:paraId="28FE4BFF" w14:textId="5E4E7A14" w:rsidR="001A3E4C" w:rsidRPr="00C51B52" w:rsidRDefault="001A3E4C" w:rsidP="00141231">
      <w:pPr>
        <w:pStyle w:val="NoSpacing"/>
        <w:rPr>
          <w:rFonts w:ascii="Times New Roman" w:hAnsi="Times New Roman" w:cs="Times New Roman"/>
          <w:sz w:val="20"/>
          <w:szCs w:val="20"/>
        </w:rPr>
      </w:pPr>
      <w:proofErr w:type="spellStart"/>
      <w:r w:rsidRPr="00B4456C">
        <w:rPr>
          <w:rFonts w:ascii="Times New Roman" w:hAnsi="Times New Roman" w:cs="Times New Roman"/>
          <w:sz w:val="20"/>
          <w:szCs w:val="20"/>
          <w:vertAlign w:val="superscript"/>
        </w:rPr>
        <w:t>a</w:t>
      </w:r>
      <w:proofErr w:type="spellEnd"/>
      <w:r w:rsidRPr="00B4456C">
        <w:rPr>
          <w:rFonts w:ascii="Times New Roman" w:hAnsi="Times New Roman" w:cs="Times New Roman"/>
          <w:sz w:val="20"/>
          <w:szCs w:val="20"/>
          <w:vertAlign w:val="superscript"/>
        </w:rPr>
        <w:t xml:space="preserve"> </w:t>
      </w:r>
      <w:r w:rsidRPr="00C51B52">
        <w:rPr>
          <w:rFonts w:ascii="Times New Roman" w:hAnsi="Times New Roman" w:cs="Times New Roman"/>
          <w:sz w:val="20"/>
          <w:szCs w:val="20"/>
        </w:rPr>
        <w:t>estimates from this model were only used to show the negative non-significant direct path between TT officers and TT effectiveness; ^p&lt;0.10; *p&lt;0.05; **p&lt;0.01; ***p&lt;0.000</w:t>
      </w:r>
    </w:p>
    <w:p w14:paraId="7676AF2E" w14:textId="48EBB02D" w:rsidR="008F2687" w:rsidRDefault="001A3E4C" w:rsidP="00141231">
      <w:pPr>
        <w:autoSpaceDE w:val="0"/>
        <w:autoSpaceDN w:val="0"/>
        <w:adjustRightInd w:val="0"/>
        <w:spacing w:line="360" w:lineRule="auto"/>
        <w:rPr>
          <w:rFonts w:ascii="Times New Roman" w:hAnsi="Times New Roman" w:cs="Times New Roman"/>
        </w:rPr>
      </w:pPr>
      <w:r w:rsidRPr="00EF66BB">
        <w:rPr>
          <w:rFonts w:ascii="Times New Roman" w:hAnsi="Times New Roman" w:cs="Times New Roman"/>
        </w:rPr>
        <w:t xml:space="preserve"> </w:t>
      </w:r>
    </w:p>
    <w:p w14:paraId="70B82826" w14:textId="4E5B6717" w:rsidR="001A3E4C" w:rsidRPr="008F2687" w:rsidRDefault="001A3E4C" w:rsidP="00141231">
      <w:pPr>
        <w:autoSpaceDE w:val="0"/>
        <w:autoSpaceDN w:val="0"/>
        <w:adjustRightInd w:val="0"/>
        <w:spacing w:line="360" w:lineRule="auto"/>
        <w:rPr>
          <w:rFonts w:ascii="Times New Roman" w:hAnsi="Times New Roman" w:cs="Times New Roman"/>
        </w:rPr>
      </w:pPr>
      <w:r w:rsidRPr="00EF66BB">
        <w:rPr>
          <w:rFonts w:ascii="Times New Roman" w:hAnsi="Times New Roman" w:cs="Times New Roman"/>
        </w:rPr>
        <w:t xml:space="preserve">Table </w:t>
      </w:r>
      <w:r w:rsidR="00B4456C">
        <w:rPr>
          <w:rFonts w:ascii="Times New Roman" w:hAnsi="Times New Roman" w:cs="Times New Roman"/>
        </w:rPr>
        <w:t>2</w:t>
      </w:r>
      <w:r w:rsidRPr="00EF66BB">
        <w:rPr>
          <w:rFonts w:ascii="Times New Roman" w:hAnsi="Times New Roman" w:cs="Times New Roman"/>
        </w:rPr>
        <w:t xml:space="preserve"> provides results </w:t>
      </w:r>
      <w:r w:rsidRPr="00EF66BB">
        <w:rPr>
          <w:rFonts w:ascii="Times New Roman" w:eastAsia="TimesNewRoman" w:hAnsi="Times New Roman" w:cs="Times New Roman"/>
        </w:rPr>
        <w:t xml:space="preserve">of the </w:t>
      </w:r>
      <w:r w:rsidR="00C93899">
        <w:rPr>
          <w:rFonts w:ascii="Times New Roman" w:eastAsia="TimesNewRoman" w:hAnsi="Times New Roman" w:cs="Times New Roman"/>
        </w:rPr>
        <w:t>standardised</w:t>
      </w:r>
      <w:r w:rsidRPr="00EF66BB">
        <w:rPr>
          <w:rFonts w:ascii="Times New Roman" w:eastAsia="TimesNewRoman" w:hAnsi="Times New Roman" w:cs="Times New Roman"/>
        </w:rPr>
        <w:t xml:space="preserve"> parameter estimates of the structural </w:t>
      </w:r>
      <w:r w:rsidR="00FF2D2E" w:rsidRPr="00EF66BB">
        <w:rPr>
          <w:rFonts w:ascii="Times New Roman" w:eastAsia="TimesNewRoman" w:hAnsi="Times New Roman" w:cs="Times New Roman"/>
        </w:rPr>
        <w:t>M</w:t>
      </w:r>
      <w:r w:rsidRPr="00EF66BB">
        <w:rPr>
          <w:rFonts w:ascii="Times New Roman" w:eastAsia="TimesNewRoman" w:hAnsi="Times New Roman" w:cs="Times New Roman"/>
        </w:rPr>
        <w:t>odels</w:t>
      </w:r>
      <w:r w:rsidRPr="00EF66BB">
        <w:rPr>
          <w:rFonts w:ascii="Times New Roman" w:hAnsi="Times New Roman" w:cs="Times New Roman"/>
        </w:rPr>
        <w:t xml:space="preserve"> 4 and 5. F</w:t>
      </w:r>
      <w:r w:rsidRPr="00EF66BB">
        <w:rPr>
          <w:rFonts w:ascii="Times New Roman" w:eastAsia="TimesNewRoman" w:hAnsi="Times New Roman" w:cs="Times New Roman"/>
        </w:rPr>
        <w:t xml:space="preserve">ollowing the recommendations of </w:t>
      </w:r>
      <w:r w:rsidR="007F03FF">
        <w:rPr>
          <w:rFonts w:ascii="Times New Roman" w:eastAsia="TimesNewRoman" w:hAnsi="Times New Roman" w:cs="Times New Roman"/>
        </w:rPr>
        <w:fldChar w:fldCharType="begin" w:fldLock="1"/>
      </w:r>
      <w:r w:rsidR="007F03FF">
        <w:rPr>
          <w:rFonts w:ascii="Times New Roman" w:eastAsia="TimesNewRoman" w:hAnsi="Times New Roman" w:cs="Times New Roman"/>
        </w:rPr>
        <w:instrText>ADDIN CSL_CITATION {"citationItems":[{"id":"ITEM-1","itemData":{"DOI":"10.3758/BF03206553","ISBN":"0743-3808","ISSN":"0743-3808","PMID":"15641418","author":[{"dropping-particle":"","family":"Preacher","given":"K.J","non-dropping-particle":"","parse-names":false,"suffix":""},{"dropping-particle":"","family":"Hayes","given":"A.F","non-dropping-particle":"","parse-names":false,"suffix":""}],"container-title":"Bahaviour Research Methods, Instruments &amp; Computers","id":"ITEM-1","issue":"4","issued":{"date-parts":[["2004"]]},"page":"717-731","title":"SPSS and SAS procedures for estimating indirect effects in simple mediation models","type":"article-journal","volume":"36"},"uris":["http://www.mendeley.com/documents/?uuid=b629f50d-40c7-408c-a522-a3c3fb95f54f"]},{"id":"ITEM-2","itemData":{"author":[{"dropping-particle":"","family":"Preacher","given":"K.J","non-dropping-particle":"","parse-names":false,"suffix":""},{"dropping-particle":"","family":"Hayes","given":"A.F","non-dropping-particle":"","parse-names":false,"suffix":""}],"container-title":"Behavior Research Methods","id":"ITEM-2","issue":"3","issued":{"date-parts":[["2008"]]},"page":"879-891","title":"Asymptotic and resampling strategies for assessing and comparing indirect effects in multilpe indicator models","type":"article-journal","volume":"40"},"uris":["http://www.mendeley.com/documents/?uuid=73c478e3-09f8-49c7-85d0-cd14f825173d"]}],"mendeley":{"formattedCitation":"(Preacher and Hayes, 2008, 2004)","manualFormatting":"Preacher and Hayes (2008, 2004)","plainTextFormattedCitation":"(Preacher and Hayes, 2008, 2004)","previouslyFormattedCitation":"(Preacher and Hayes, 2008, 2004)"},"properties":{"noteIndex":0},"schema":"https://github.com/citation-style-language/schema/raw/master/csl-citation.json"}</w:instrText>
      </w:r>
      <w:r w:rsidR="007F03FF">
        <w:rPr>
          <w:rFonts w:ascii="Times New Roman" w:eastAsia="TimesNewRoman" w:hAnsi="Times New Roman" w:cs="Times New Roman"/>
        </w:rPr>
        <w:fldChar w:fldCharType="separate"/>
      </w:r>
      <w:r w:rsidR="007F03FF" w:rsidRPr="007F03FF">
        <w:rPr>
          <w:rFonts w:ascii="Times New Roman" w:eastAsia="TimesNewRoman" w:hAnsi="Times New Roman" w:cs="Times New Roman"/>
          <w:noProof/>
        </w:rPr>
        <w:t>Preacher and Ha</w:t>
      </w:r>
      <w:r w:rsidR="007F03FF">
        <w:rPr>
          <w:rFonts w:ascii="Times New Roman" w:eastAsia="TimesNewRoman" w:hAnsi="Times New Roman" w:cs="Times New Roman"/>
          <w:noProof/>
        </w:rPr>
        <w:t>yes</w:t>
      </w:r>
      <w:r w:rsidR="007F03FF" w:rsidRPr="007F03FF">
        <w:rPr>
          <w:rFonts w:ascii="Times New Roman" w:eastAsia="TimesNewRoman" w:hAnsi="Times New Roman" w:cs="Times New Roman"/>
          <w:noProof/>
        </w:rPr>
        <w:t xml:space="preserve"> </w:t>
      </w:r>
      <w:r w:rsidR="007F03FF">
        <w:rPr>
          <w:rFonts w:ascii="Times New Roman" w:eastAsia="TimesNewRoman" w:hAnsi="Times New Roman" w:cs="Times New Roman"/>
          <w:noProof/>
        </w:rPr>
        <w:t>(</w:t>
      </w:r>
      <w:r w:rsidR="007F03FF" w:rsidRPr="007F03FF">
        <w:rPr>
          <w:rFonts w:ascii="Times New Roman" w:eastAsia="TimesNewRoman" w:hAnsi="Times New Roman" w:cs="Times New Roman"/>
          <w:noProof/>
        </w:rPr>
        <w:t>2008, 2004)</w:t>
      </w:r>
      <w:r w:rsidR="007F03FF">
        <w:rPr>
          <w:rFonts w:ascii="Times New Roman" w:eastAsia="TimesNewRoman" w:hAnsi="Times New Roman" w:cs="Times New Roman"/>
        </w:rPr>
        <w:fldChar w:fldCharType="end"/>
      </w:r>
      <w:r w:rsidRPr="00EF66BB">
        <w:rPr>
          <w:rFonts w:ascii="Times New Roman" w:eastAsia="TimesNewRoman" w:hAnsi="Times New Roman" w:cs="Times New Roman"/>
        </w:rPr>
        <w:t>, we conducted additional mediation analys</w:t>
      </w:r>
      <w:r w:rsidR="007E5C20" w:rsidRPr="00EF66BB">
        <w:rPr>
          <w:rFonts w:ascii="Times New Roman" w:eastAsia="TimesNewRoman" w:hAnsi="Times New Roman" w:cs="Times New Roman"/>
        </w:rPr>
        <w:t>e</w:t>
      </w:r>
      <w:r w:rsidRPr="00EF66BB">
        <w:rPr>
          <w:rFonts w:ascii="Times New Roman" w:eastAsia="TimesNewRoman" w:hAnsi="Times New Roman" w:cs="Times New Roman"/>
        </w:rPr>
        <w:t>s with a bootstrap method,</w:t>
      </w:r>
      <w:r w:rsidR="00F43D3D">
        <w:rPr>
          <w:rStyle w:val="FootnoteReference"/>
          <w:rFonts w:ascii="Times New Roman" w:eastAsia="TimesNewRoman" w:hAnsi="Times New Roman" w:cs="Times New Roman"/>
        </w:rPr>
        <w:footnoteReference w:id="7"/>
      </w:r>
      <w:r w:rsidRPr="00EF66BB">
        <w:rPr>
          <w:rFonts w:ascii="Times New Roman" w:eastAsia="TimesNewRoman" w:hAnsi="Times New Roman" w:cs="Times New Roman"/>
        </w:rPr>
        <w:t xml:space="preserve"> In H1, </w:t>
      </w:r>
      <w:r w:rsidR="008747C5" w:rsidRPr="00EF66BB">
        <w:rPr>
          <w:rFonts w:ascii="Times New Roman" w:eastAsia="TimesNewRoman" w:hAnsi="Times New Roman" w:cs="Times New Roman"/>
        </w:rPr>
        <w:t>we suggest</w:t>
      </w:r>
      <w:r w:rsidRPr="00EF66BB">
        <w:rPr>
          <w:rFonts w:ascii="Times New Roman" w:eastAsia="TimesNewRoman" w:hAnsi="Times New Roman" w:cs="Times New Roman"/>
        </w:rPr>
        <w:t xml:space="preserve"> that technology </w:t>
      </w:r>
      <w:r w:rsidRPr="00EF66BB">
        <w:rPr>
          <w:rFonts w:ascii="Times New Roman" w:eastAsia="TimesNewRoman" w:hAnsi="Times New Roman" w:cs="Times New Roman"/>
        </w:rPr>
        <w:lastRenderedPageBreak/>
        <w:t xml:space="preserve">transfer </w:t>
      </w:r>
      <w:r w:rsidR="0030131C" w:rsidRPr="00EF66BB">
        <w:rPr>
          <w:rFonts w:ascii="Times New Roman" w:eastAsia="TimesNewRoman" w:hAnsi="Times New Roman" w:cs="Times New Roman"/>
        </w:rPr>
        <w:t xml:space="preserve">priority </w:t>
      </w:r>
      <w:r w:rsidRPr="00EF66BB">
        <w:rPr>
          <w:rFonts w:ascii="Times New Roman" w:eastAsia="TimesNewRoman" w:hAnsi="Times New Roman" w:cs="Times New Roman"/>
        </w:rPr>
        <w:t xml:space="preserve">mediates the relationship between TTO support and </w:t>
      </w:r>
      <w:r w:rsidR="00950DDD" w:rsidRPr="00EF66BB">
        <w:rPr>
          <w:rFonts w:ascii="Times New Roman" w:eastAsia="TimesNewRoman" w:hAnsi="Times New Roman" w:cs="Times New Roman"/>
        </w:rPr>
        <w:t>TT</w:t>
      </w:r>
      <w:r w:rsidRPr="00EF66BB">
        <w:rPr>
          <w:rFonts w:ascii="Times New Roman" w:eastAsia="TimesNewRoman" w:hAnsi="Times New Roman" w:cs="Times New Roman"/>
        </w:rPr>
        <w:t xml:space="preserve"> effectiveness. The results from both models show that TT </w:t>
      </w:r>
      <w:r w:rsidR="00576A34" w:rsidRPr="00EF66BB">
        <w:rPr>
          <w:rFonts w:ascii="Times New Roman" w:eastAsia="TimesNewRoman" w:hAnsi="Times New Roman" w:cs="Times New Roman"/>
        </w:rPr>
        <w:t>support</w:t>
      </w:r>
      <w:r w:rsidRPr="00EF66BB">
        <w:rPr>
          <w:rFonts w:ascii="Times New Roman" w:eastAsia="TimesNewRoman" w:hAnsi="Times New Roman" w:cs="Times New Roman"/>
        </w:rPr>
        <w:t xml:space="preserve"> is positively associated with TT strategy (model 5: </w:t>
      </w:r>
      <w:r w:rsidRPr="00EF66BB">
        <w:rPr>
          <w:rFonts w:ascii="Times New Roman" w:eastAsia="TimesNewRoman" w:hAnsi="Times New Roman" w:cs="Times New Roman"/>
          <w:i/>
          <w:iCs/>
        </w:rPr>
        <w:t xml:space="preserve">β </w:t>
      </w:r>
      <w:r w:rsidRPr="00EF66BB">
        <w:rPr>
          <w:rFonts w:ascii="Times New Roman" w:eastAsia="TimesNewRoman" w:hAnsi="Times New Roman" w:cs="Times New Roman"/>
        </w:rPr>
        <w:t xml:space="preserve">= </w:t>
      </w:r>
      <w:r w:rsidRPr="00EF66BB">
        <w:rPr>
          <w:rFonts w:ascii="Times New Roman" w:hAnsi="Times New Roman" w:cs="Times New Roman"/>
        </w:rPr>
        <w:t>0.435</w:t>
      </w:r>
      <w:r w:rsidRPr="00EF66BB">
        <w:rPr>
          <w:rFonts w:ascii="Times New Roman" w:eastAsia="TimesNewRoman" w:hAnsi="Times New Roman" w:cs="Times New Roman"/>
        </w:rPr>
        <w:t xml:space="preserve">; </w:t>
      </w:r>
      <w:r w:rsidRPr="00EF66BB">
        <w:rPr>
          <w:rFonts w:ascii="Times New Roman" w:eastAsia="TimesNewRoman" w:hAnsi="Times New Roman" w:cs="Times New Roman"/>
          <w:i/>
          <w:iCs/>
        </w:rPr>
        <w:t xml:space="preserve">p </w:t>
      </w:r>
      <w:r w:rsidRPr="00EF66BB">
        <w:rPr>
          <w:rFonts w:ascii="Times New Roman" w:eastAsia="TimesNewRoman" w:hAnsi="Times New Roman" w:cs="Times New Roman"/>
        </w:rPr>
        <w:t>&lt; .01)</w:t>
      </w:r>
      <w:r w:rsidR="00FF2D2E" w:rsidRPr="00EF66BB">
        <w:rPr>
          <w:rFonts w:ascii="Times New Roman" w:eastAsia="TimesNewRoman" w:hAnsi="Times New Roman" w:cs="Times New Roman"/>
        </w:rPr>
        <w:t>;</w:t>
      </w:r>
      <w:r w:rsidRPr="00EF66BB">
        <w:rPr>
          <w:rFonts w:ascii="Times New Roman" w:eastAsia="TimesNewRoman" w:hAnsi="Times New Roman" w:cs="Times New Roman"/>
        </w:rPr>
        <w:t xml:space="preserve"> the relationship between TT strategy and TT effectiveness is significant at 99% level (Model 5: </w:t>
      </w:r>
      <w:r w:rsidRPr="00EF66BB">
        <w:rPr>
          <w:rFonts w:ascii="Times New Roman" w:eastAsia="TimesNewRoman" w:hAnsi="Times New Roman" w:cs="Times New Roman"/>
          <w:i/>
          <w:iCs/>
        </w:rPr>
        <w:t xml:space="preserve">β </w:t>
      </w:r>
      <w:r w:rsidRPr="00EF66BB">
        <w:rPr>
          <w:rFonts w:ascii="Times New Roman" w:eastAsia="TimesNewRoman" w:hAnsi="Times New Roman" w:cs="Times New Roman"/>
        </w:rPr>
        <w:t xml:space="preserve">= </w:t>
      </w:r>
      <w:r w:rsidRPr="00EF66BB">
        <w:rPr>
          <w:rFonts w:ascii="Times New Roman" w:hAnsi="Times New Roman" w:cs="Times New Roman"/>
        </w:rPr>
        <w:t>0.700</w:t>
      </w:r>
      <w:r w:rsidRPr="00EF66BB">
        <w:rPr>
          <w:rFonts w:ascii="Times New Roman" w:eastAsia="TimesNewRoman" w:hAnsi="Times New Roman" w:cs="Times New Roman"/>
        </w:rPr>
        <w:t xml:space="preserve">; </w:t>
      </w:r>
      <w:r w:rsidRPr="00EF66BB">
        <w:rPr>
          <w:rFonts w:ascii="Times New Roman" w:eastAsia="TimesNewRoman" w:hAnsi="Times New Roman" w:cs="Times New Roman"/>
          <w:i/>
          <w:iCs/>
        </w:rPr>
        <w:t xml:space="preserve">p </w:t>
      </w:r>
      <w:r w:rsidRPr="00EF66BB">
        <w:rPr>
          <w:rFonts w:ascii="Times New Roman" w:eastAsia="TimesNewRoman" w:hAnsi="Times New Roman" w:cs="Times New Roman"/>
        </w:rPr>
        <w:t>&lt; .001)</w:t>
      </w:r>
      <w:r w:rsidR="00FF2D2E" w:rsidRPr="00EF66BB">
        <w:rPr>
          <w:rFonts w:ascii="Times New Roman" w:eastAsia="TimesNewRoman" w:hAnsi="Times New Roman" w:cs="Times New Roman"/>
        </w:rPr>
        <w:t>;</w:t>
      </w:r>
      <w:r w:rsidRPr="00EF66BB">
        <w:rPr>
          <w:rFonts w:ascii="Times New Roman" w:eastAsia="TimesNewRoman" w:hAnsi="Times New Roman" w:cs="Times New Roman"/>
        </w:rPr>
        <w:t xml:space="preserve"> and the positive relationship found between TTO support and </w:t>
      </w:r>
      <w:r w:rsidR="00950DDD" w:rsidRPr="00EF66BB">
        <w:rPr>
          <w:rFonts w:ascii="Times New Roman" w:eastAsia="TimesNewRoman" w:hAnsi="Times New Roman" w:cs="Times New Roman"/>
        </w:rPr>
        <w:t>TT</w:t>
      </w:r>
      <w:r w:rsidRPr="00EF66BB">
        <w:rPr>
          <w:rFonts w:ascii="Times New Roman" w:eastAsia="TimesNewRoman" w:hAnsi="Times New Roman" w:cs="Times New Roman"/>
        </w:rPr>
        <w:t xml:space="preserve"> effectiveness (Model 3:</w:t>
      </w:r>
      <w:r w:rsidRPr="00EF66BB">
        <w:rPr>
          <w:rFonts w:ascii="Times New Roman" w:eastAsia="TimesNewRoman" w:hAnsi="Times New Roman" w:cs="Times New Roman"/>
          <w:i/>
          <w:iCs/>
        </w:rPr>
        <w:t xml:space="preserve"> β </w:t>
      </w:r>
      <w:r w:rsidRPr="00EF66BB">
        <w:rPr>
          <w:rFonts w:ascii="Times New Roman" w:eastAsia="TimesNewRoman" w:hAnsi="Times New Roman" w:cs="Times New Roman"/>
        </w:rPr>
        <w:t xml:space="preserve">= </w:t>
      </w:r>
      <w:r w:rsidRPr="00EF66BB">
        <w:rPr>
          <w:rFonts w:ascii="Times New Roman" w:hAnsi="Times New Roman" w:cs="Times New Roman"/>
        </w:rPr>
        <w:t xml:space="preserve">-0.073; </w:t>
      </w:r>
      <w:r w:rsidRPr="00EF66BB">
        <w:rPr>
          <w:rFonts w:ascii="Times New Roman" w:eastAsia="TimesNewRoman" w:hAnsi="Times New Roman" w:cs="Times New Roman"/>
          <w:i/>
          <w:iCs/>
        </w:rPr>
        <w:t xml:space="preserve">p </w:t>
      </w:r>
      <w:r w:rsidRPr="00EF66BB">
        <w:rPr>
          <w:rFonts w:ascii="Times New Roman" w:eastAsia="TimesNewRoman" w:hAnsi="Times New Roman" w:cs="Times New Roman"/>
        </w:rPr>
        <w:t xml:space="preserve">= 0.711) is negligible in the presence of the </w:t>
      </w:r>
      <w:r w:rsidR="00950DDD" w:rsidRPr="00EF66BB">
        <w:rPr>
          <w:rFonts w:ascii="Times New Roman" w:eastAsia="TimesNewRoman" w:hAnsi="Times New Roman" w:cs="Times New Roman"/>
        </w:rPr>
        <w:t>TT</w:t>
      </w:r>
      <w:r w:rsidRPr="00EF66BB">
        <w:rPr>
          <w:rFonts w:ascii="Times New Roman" w:eastAsia="TimesNewRoman" w:hAnsi="Times New Roman" w:cs="Times New Roman"/>
        </w:rPr>
        <w:t xml:space="preserve"> strategy mediator. As</w:t>
      </w:r>
      <w:r w:rsidRPr="00EF66BB">
        <w:rPr>
          <w:rFonts w:ascii="Times New Roman" w:hAnsi="Times New Roman" w:cs="Times New Roman"/>
        </w:rPr>
        <w:t xml:space="preserve"> shown in the </w:t>
      </w:r>
      <w:r w:rsidR="00FF2D2E" w:rsidRPr="00EF66BB">
        <w:rPr>
          <w:rFonts w:ascii="Times New Roman" w:hAnsi="Times New Roman" w:cs="Times New Roman"/>
        </w:rPr>
        <w:t>T</w:t>
      </w:r>
      <w:r w:rsidRPr="00EF66BB">
        <w:rPr>
          <w:rFonts w:ascii="Times New Roman" w:hAnsi="Times New Roman" w:cs="Times New Roman"/>
        </w:rPr>
        <w:t xml:space="preserve">able, 95% CI of the indirect effects of TT </w:t>
      </w:r>
      <w:r w:rsidR="00576A34" w:rsidRPr="00EF66BB">
        <w:rPr>
          <w:rFonts w:ascii="Times New Roman" w:hAnsi="Times New Roman" w:cs="Times New Roman"/>
        </w:rPr>
        <w:t>support</w:t>
      </w:r>
      <w:r w:rsidRPr="00EF66BB">
        <w:rPr>
          <w:rFonts w:ascii="Times New Roman" w:hAnsi="Times New Roman" w:cs="Times New Roman"/>
        </w:rPr>
        <w:t xml:space="preserve"> and TT effectiveness did not include zero, showing that this indirect effect </w:t>
      </w:r>
      <w:r w:rsidR="00FF2D2E" w:rsidRPr="00EF66BB">
        <w:rPr>
          <w:rFonts w:ascii="Times New Roman" w:hAnsi="Times New Roman" w:cs="Times New Roman"/>
        </w:rPr>
        <w:t xml:space="preserve">was </w:t>
      </w:r>
      <w:r w:rsidRPr="00EF66BB">
        <w:rPr>
          <w:rFonts w:ascii="Times New Roman" w:hAnsi="Times New Roman" w:cs="Times New Roman"/>
        </w:rPr>
        <w:t xml:space="preserve">statistically significant, </w:t>
      </w:r>
      <w:r w:rsidRPr="00EF66BB">
        <w:rPr>
          <w:rFonts w:ascii="Times New Roman" w:eastAsia="TimesNewRoman" w:hAnsi="Times New Roman" w:cs="Times New Roman"/>
        </w:rPr>
        <w:t xml:space="preserve">providing further support for a fully mediated relationship in H1. </w:t>
      </w:r>
      <w:r w:rsidR="00FF2D2E" w:rsidRPr="00EF66BB">
        <w:rPr>
          <w:rFonts w:ascii="Times New Roman" w:eastAsia="TimesNewRoman" w:hAnsi="Times New Roman" w:cs="Times New Roman"/>
        </w:rPr>
        <w:t xml:space="preserve">Regarding </w:t>
      </w:r>
      <w:r w:rsidRPr="00EF66BB">
        <w:rPr>
          <w:rFonts w:ascii="Times New Roman" w:eastAsia="TimesNewRoman" w:hAnsi="Times New Roman" w:cs="Times New Roman"/>
        </w:rPr>
        <w:t xml:space="preserve">H2, while the results show that the relationship between TT strategy and TT effectiveness is significant at 99% level (Model 5: </w:t>
      </w:r>
      <w:r w:rsidRPr="00EF66BB">
        <w:rPr>
          <w:rFonts w:ascii="Times New Roman" w:eastAsia="TimesNewRoman" w:hAnsi="Times New Roman" w:cs="Times New Roman"/>
          <w:i/>
          <w:iCs/>
        </w:rPr>
        <w:t xml:space="preserve">β </w:t>
      </w:r>
      <w:r w:rsidRPr="00EF66BB">
        <w:rPr>
          <w:rFonts w:ascii="Times New Roman" w:eastAsia="TimesNewRoman" w:hAnsi="Times New Roman" w:cs="Times New Roman"/>
        </w:rPr>
        <w:t xml:space="preserve">= </w:t>
      </w:r>
      <w:r w:rsidRPr="00EF66BB">
        <w:rPr>
          <w:rFonts w:ascii="Times New Roman" w:hAnsi="Times New Roman" w:cs="Times New Roman"/>
        </w:rPr>
        <w:t>0.700</w:t>
      </w:r>
      <w:r w:rsidRPr="00EF66BB">
        <w:rPr>
          <w:rFonts w:ascii="Times New Roman" w:eastAsia="TimesNewRoman" w:hAnsi="Times New Roman" w:cs="Times New Roman"/>
        </w:rPr>
        <w:t xml:space="preserve">; </w:t>
      </w:r>
      <w:r w:rsidRPr="00EF66BB">
        <w:rPr>
          <w:rFonts w:ascii="Times New Roman" w:eastAsia="TimesNewRoman" w:hAnsi="Times New Roman" w:cs="Times New Roman"/>
          <w:i/>
          <w:iCs/>
        </w:rPr>
        <w:t xml:space="preserve">p </w:t>
      </w:r>
      <w:r w:rsidRPr="00EF66BB">
        <w:rPr>
          <w:rFonts w:ascii="Times New Roman" w:eastAsia="TimesNewRoman" w:hAnsi="Times New Roman" w:cs="Times New Roman"/>
        </w:rPr>
        <w:t xml:space="preserve">&lt; .001) and the positive relationships found between </w:t>
      </w:r>
      <w:r w:rsidR="00112F1D" w:rsidRPr="00EF66BB">
        <w:rPr>
          <w:rFonts w:ascii="Times New Roman" w:eastAsia="TimesNewRoman" w:hAnsi="Times New Roman" w:cs="Times New Roman"/>
        </w:rPr>
        <w:t>incentiv</w:t>
      </w:r>
      <w:r w:rsidR="00576A34" w:rsidRPr="00EF66BB">
        <w:rPr>
          <w:rFonts w:ascii="Times New Roman" w:eastAsia="TimesNewRoman" w:hAnsi="Times New Roman" w:cs="Times New Roman"/>
        </w:rPr>
        <w:t>es</w:t>
      </w:r>
      <w:r w:rsidRPr="00EF66BB">
        <w:rPr>
          <w:rFonts w:ascii="Times New Roman" w:eastAsia="TimesNewRoman" w:hAnsi="Times New Roman" w:cs="Times New Roman"/>
        </w:rPr>
        <w:t xml:space="preserve"> and TT effectiveness relation is no</w:t>
      </w:r>
      <w:r w:rsidR="00112F1D" w:rsidRPr="00EF66BB">
        <w:rPr>
          <w:rFonts w:ascii="Times New Roman" w:eastAsia="TimesNewRoman" w:hAnsi="Times New Roman" w:cs="Times New Roman"/>
        </w:rPr>
        <w:t>t</w:t>
      </w:r>
      <w:r w:rsidRPr="00EF66BB">
        <w:rPr>
          <w:rFonts w:ascii="Times New Roman" w:eastAsia="TimesNewRoman" w:hAnsi="Times New Roman" w:cs="Times New Roman"/>
        </w:rPr>
        <w:t xml:space="preserve"> significant in </w:t>
      </w:r>
      <w:r w:rsidR="00FF2D2E" w:rsidRPr="00EF66BB">
        <w:rPr>
          <w:rFonts w:ascii="Times New Roman" w:eastAsia="TimesNewRoman" w:hAnsi="Times New Roman" w:cs="Times New Roman"/>
        </w:rPr>
        <w:t xml:space="preserve">the </w:t>
      </w:r>
      <w:r w:rsidRPr="00EF66BB">
        <w:rPr>
          <w:rFonts w:ascii="Times New Roman" w:eastAsia="TimesNewRoman" w:hAnsi="Times New Roman" w:cs="Times New Roman"/>
        </w:rPr>
        <w:t xml:space="preserve">presence of the mediator (Model 5: </w:t>
      </w:r>
      <w:r w:rsidRPr="00EF66BB">
        <w:rPr>
          <w:rFonts w:ascii="Times New Roman" w:eastAsia="TimesNewRoman" w:hAnsi="Times New Roman" w:cs="Times New Roman"/>
          <w:i/>
          <w:iCs/>
        </w:rPr>
        <w:t xml:space="preserve">β </w:t>
      </w:r>
      <w:r w:rsidRPr="00EF66BB">
        <w:rPr>
          <w:rFonts w:ascii="Times New Roman" w:eastAsia="TimesNewRoman" w:hAnsi="Times New Roman" w:cs="Times New Roman"/>
        </w:rPr>
        <w:t xml:space="preserve">= </w:t>
      </w:r>
      <w:r w:rsidRPr="00EF66BB">
        <w:rPr>
          <w:rFonts w:ascii="Times New Roman" w:hAnsi="Times New Roman" w:cs="Times New Roman"/>
        </w:rPr>
        <w:t>-0.120</w:t>
      </w:r>
      <w:r w:rsidRPr="00EF66BB">
        <w:rPr>
          <w:rFonts w:ascii="Times New Roman" w:eastAsia="TimesNewRoman" w:hAnsi="Times New Roman" w:cs="Times New Roman"/>
        </w:rPr>
        <w:t xml:space="preserve">; </w:t>
      </w:r>
      <w:r w:rsidRPr="00EF66BB">
        <w:rPr>
          <w:rFonts w:ascii="Times New Roman" w:eastAsia="TimesNewRoman" w:hAnsi="Times New Roman" w:cs="Times New Roman"/>
          <w:i/>
          <w:iCs/>
        </w:rPr>
        <w:t xml:space="preserve">p </w:t>
      </w:r>
      <w:r w:rsidRPr="00EF66BB">
        <w:rPr>
          <w:rFonts w:ascii="Times New Roman" w:eastAsia="TimesNewRoman" w:hAnsi="Times New Roman" w:cs="Times New Roman"/>
        </w:rPr>
        <w:t>=0.323)</w:t>
      </w:r>
      <w:r w:rsidR="00FF2D2E" w:rsidRPr="00EF66BB">
        <w:rPr>
          <w:rFonts w:ascii="Times New Roman" w:eastAsia="TimesNewRoman" w:hAnsi="Times New Roman" w:cs="Times New Roman"/>
        </w:rPr>
        <w:t>;</w:t>
      </w:r>
      <w:r w:rsidRPr="00EF66BB">
        <w:rPr>
          <w:rFonts w:ascii="Times New Roman" w:eastAsia="TimesNewRoman" w:hAnsi="Times New Roman" w:cs="Times New Roman"/>
        </w:rPr>
        <w:t xml:space="preserve"> </w:t>
      </w:r>
      <w:r w:rsidR="00112F1D" w:rsidRPr="00EF66BB">
        <w:rPr>
          <w:rFonts w:ascii="Times New Roman" w:eastAsia="TimesNewRoman" w:hAnsi="Times New Roman" w:cs="Times New Roman"/>
        </w:rPr>
        <w:t>incentivising</w:t>
      </w:r>
      <w:r w:rsidRPr="00EF66BB">
        <w:rPr>
          <w:rFonts w:ascii="Times New Roman" w:eastAsia="TimesNewRoman" w:hAnsi="Times New Roman" w:cs="Times New Roman"/>
        </w:rPr>
        <w:t xml:space="preserve"> is not positively associated at the conventional level of significance with TT strategy (model 5: </w:t>
      </w:r>
      <w:r w:rsidRPr="00EF66BB">
        <w:rPr>
          <w:rFonts w:ascii="Times New Roman" w:eastAsia="TimesNewRoman" w:hAnsi="Times New Roman" w:cs="Times New Roman"/>
          <w:i/>
          <w:iCs/>
        </w:rPr>
        <w:t xml:space="preserve">β </w:t>
      </w:r>
      <w:r w:rsidRPr="00EF66BB">
        <w:rPr>
          <w:rFonts w:ascii="Times New Roman" w:eastAsia="TimesNewRoman" w:hAnsi="Times New Roman" w:cs="Times New Roman"/>
        </w:rPr>
        <w:t xml:space="preserve">= </w:t>
      </w:r>
      <w:r w:rsidRPr="00EF66BB">
        <w:rPr>
          <w:rFonts w:ascii="Times New Roman" w:hAnsi="Times New Roman" w:cs="Times New Roman"/>
        </w:rPr>
        <w:t>0.279</w:t>
      </w:r>
      <w:r w:rsidRPr="00EF66BB">
        <w:rPr>
          <w:rFonts w:ascii="Times New Roman" w:eastAsia="TimesNewRoman" w:hAnsi="Times New Roman" w:cs="Times New Roman"/>
        </w:rPr>
        <w:t xml:space="preserve">; </w:t>
      </w:r>
      <w:r w:rsidRPr="00EF66BB">
        <w:rPr>
          <w:rFonts w:ascii="Times New Roman" w:eastAsia="TimesNewRoman" w:hAnsi="Times New Roman" w:cs="Times New Roman"/>
          <w:i/>
          <w:iCs/>
        </w:rPr>
        <w:t xml:space="preserve">p </w:t>
      </w:r>
      <w:r w:rsidRPr="00EF66BB">
        <w:rPr>
          <w:rFonts w:ascii="Times New Roman" w:eastAsia="TimesNewRoman" w:hAnsi="Times New Roman" w:cs="Times New Roman"/>
        </w:rPr>
        <w:t>=0.076). Upon a closer look at the bootstrapping results, we also found that the</w:t>
      </w:r>
      <w:r w:rsidRPr="00EF66BB">
        <w:rPr>
          <w:rFonts w:ascii="Times New Roman" w:hAnsi="Times New Roman" w:cs="Times New Roman"/>
        </w:rPr>
        <w:t xml:space="preserve"> 95% CI </w:t>
      </w:r>
      <w:r w:rsidRPr="00EF66BB">
        <w:rPr>
          <w:rFonts w:ascii="Times New Roman" w:eastAsia="TimesNewRoman" w:hAnsi="Times New Roman" w:cs="Times New Roman"/>
        </w:rPr>
        <w:t xml:space="preserve">of the indirect effects of the </w:t>
      </w:r>
      <w:r w:rsidR="00112F1D" w:rsidRPr="00EF66BB">
        <w:rPr>
          <w:rFonts w:ascii="Times New Roman" w:eastAsia="TimesNewRoman" w:hAnsi="Times New Roman" w:cs="Times New Roman"/>
        </w:rPr>
        <w:t>incentivising</w:t>
      </w:r>
      <w:r w:rsidRPr="00EF66BB">
        <w:rPr>
          <w:rFonts w:ascii="Times New Roman" w:eastAsia="TimesNewRoman" w:hAnsi="Times New Roman" w:cs="Times New Roman"/>
        </w:rPr>
        <w:t xml:space="preserve"> and TT effectiveness did not include zero, confirming partial mediation in H2.  </w:t>
      </w:r>
    </w:p>
    <w:p w14:paraId="02C84E7B" w14:textId="77777777" w:rsidR="008747C5" w:rsidRPr="00EF66BB" w:rsidRDefault="008747C5" w:rsidP="00141231">
      <w:pPr>
        <w:autoSpaceDE w:val="0"/>
        <w:autoSpaceDN w:val="0"/>
        <w:adjustRightInd w:val="0"/>
        <w:spacing w:line="360" w:lineRule="auto"/>
        <w:rPr>
          <w:rFonts w:ascii="Times New Roman" w:hAnsi="Times New Roman" w:cs="Times New Roman"/>
        </w:rPr>
      </w:pPr>
    </w:p>
    <w:p w14:paraId="28652D08" w14:textId="3361DE7F" w:rsidR="007E5C20" w:rsidRPr="00EF66BB" w:rsidRDefault="001A3E4C" w:rsidP="00141231">
      <w:pPr>
        <w:autoSpaceDE w:val="0"/>
        <w:autoSpaceDN w:val="0"/>
        <w:adjustRightInd w:val="0"/>
        <w:spacing w:line="360" w:lineRule="auto"/>
        <w:rPr>
          <w:rFonts w:ascii="Times New Roman" w:hAnsi="Times New Roman" w:cs="Times New Roman"/>
        </w:rPr>
      </w:pPr>
      <w:r w:rsidRPr="00EF66BB">
        <w:rPr>
          <w:rFonts w:ascii="Times New Roman" w:hAnsi="Times New Roman" w:cs="Times New Roman"/>
          <w:color w:val="000000"/>
        </w:rPr>
        <w:t>To test H3</w:t>
      </w:r>
      <w:r w:rsidR="00B4456C">
        <w:rPr>
          <w:rFonts w:ascii="Times New Roman" w:hAnsi="Times New Roman" w:cs="Times New Roman"/>
          <w:color w:val="000000"/>
        </w:rPr>
        <w:t>,</w:t>
      </w:r>
      <w:r w:rsidRPr="00EF66BB">
        <w:rPr>
          <w:rFonts w:ascii="Times New Roman" w:hAnsi="Times New Roman" w:cs="Times New Roman"/>
          <w:color w:val="000000"/>
        </w:rPr>
        <w:t xml:space="preserve"> that the indirect effect of the enablers of technology transfer (TTO </w:t>
      </w:r>
      <w:r w:rsidR="00B4456C">
        <w:rPr>
          <w:rFonts w:ascii="Times New Roman" w:hAnsi="Times New Roman" w:cs="Times New Roman"/>
          <w:color w:val="000000"/>
        </w:rPr>
        <w:t>s</w:t>
      </w:r>
      <w:r w:rsidRPr="00EF66BB">
        <w:rPr>
          <w:rFonts w:ascii="Times New Roman" w:hAnsi="Times New Roman" w:cs="Times New Roman"/>
          <w:color w:val="000000"/>
        </w:rPr>
        <w:t xml:space="preserve">upport and the provision of incentives) on </w:t>
      </w:r>
      <w:r w:rsidR="000C0557" w:rsidRPr="00EF66BB">
        <w:rPr>
          <w:rFonts w:ascii="Times New Roman" w:hAnsi="Times New Roman" w:cs="Times New Roman"/>
          <w:color w:val="000000"/>
        </w:rPr>
        <w:t>TT</w:t>
      </w:r>
      <w:r w:rsidRPr="00EF66BB">
        <w:rPr>
          <w:rFonts w:ascii="Times New Roman" w:hAnsi="Times New Roman" w:cs="Times New Roman"/>
          <w:color w:val="000000"/>
        </w:rPr>
        <w:t xml:space="preserve"> </w:t>
      </w:r>
      <w:r w:rsidR="00B4456C">
        <w:rPr>
          <w:rFonts w:ascii="Times New Roman" w:hAnsi="Times New Roman" w:cs="Times New Roman"/>
          <w:color w:val="000000"/>
        </w:rPr>
        <w:t>e</w:t>
      </w:r>
      <w:r w:rsidRPr="00EF66BB">
        <w:rPr>
          <w:rFonts w:ascii="Times New Roman" w:hAnsi="Times New Roman" w:cs="Times New Roman"/>
          <w:color w:val="000000"/>
        </w:rPr>
        <w:t xml:space="preserve">ffectiveness through strategy is conditioned by the </w:t>
      </w:r>
      <w:r w:rsidR="00112F1D" w:rsidRPr="00EF66BB">
        <w:rPr>
          <w:rFonts w:ascii="Times New Roman" w:hAnsi="Times New Roman" w:cs="Times New Roman"/>
          <w:color w:val="000000"/>
        </w:rPr>
        <w:t>breadth</w:t>
      </w:r>
      <w:r w:rsidRPr="00EF66BB">
        <w:rPr>
          <w:rFonts w:ascii="Times New Roman" w:hAnsi="Times New Roman" w:cs="Times New Roman"/>
          <w:color w:val="000000"/>
        </w:rPr>
        <w:t xml:space="preserve"> of </w:t>
      </w:r>
      <w:r w:rsidR="00112F1D" w:rsidRPr="00EF66BB">
        <w:rPr>
          <w:rFonts w:ascii="Times New Roman" w:hAnsi="Times New Roman" w:cs="Times New Roman"/>
          <w:color w:val="000000"/>
        </w:rPr>
        <w:t xml:space="preserve">strategic </w:t>
      </w:r>
      <w:r w:rsidRPr="00EF66BB">
        <w:rPr>
          <w:rFonts w:ascii="Times New Roman" w:hAnsi="Times New Roman" w:cs="Times New Roman"/>
          <w:color w:val="000000"/>
        </w:rPr>
        <w:t xml:space="preserve">planning, we conducted a moderated mediation analysis with strategic planning as a moderator of the two mediated relationships found above. </w:t>
      </w:r>
      <w:r w:rsidRPr="00EF66BB">
        <w:rPr>
          <w:rFonts w:ascii="Times New Roman" w:hAnsi="Times New Roman" w:cs="Times New Roman"/>
        </w:rPr>
        <w:t xml:space="preserve">Moderated mediation occurs when the mediating process that links an independent variable to an outcome variable varies because the moderating variable accentuates or attenuates the relationship between independent variables and the mediator </w:t>
      </w:r>
      <w:r w:rsidR="007F03FF">
        <w:rPr>
          <w:rFonts w:ascii="Times New Roman" w:hAnsi="Times New Roman" w:cs="Times New Roman"/>
        </w:rPr>
        <w:fldChar w:fldCharType="begin" w:fldLock="1"/>
      </w:r>
      <w:r w:rsidR="007F03FF">
        <w:rPr>
          <w:rFonts w:ascii="Times New Roman" w:hAnsi="Times New Roman" w:cs="Times New Roman"/>
        </w:rPr>
        <w:instrText>ADDIN CSL_CITATION {"citationItems":[{"id":"ITEM-1","itemData":{"DOI":"10.1037/1082-989X.12.1.1","ISBN":"1082-989X (Print)\\r1082-989X (Linking)","ISSN":"1082989X","PMID":"17402809","abstract":"Studies that combine moderation and mediation are prevalent in basic and applied psychology research. Typically, these studies are framed in terms of moderated mediation or mediated moderation, both of which involve similar analytical approaches. Unfortunately, these approaches have important shortcomings that conceal the nature of the moderated and the mediated effects under investigation. This article presents a general analytical framework for combining moderation and mediation that integrates moderated regression analysis and path analysis. This framework clarifies how moderator variables influence the paths that constitute the direct, indirect, and total effects of mediated models. The authors empirically illustrate this framework and give step-by-step instructions for estimation and interpretation. They summarize the advantages of their framework over current approaches, explain how it subsumes moderated mediation and mediated moderation, and describe how it can accommodate additional moderator and mediator variables, curvilinear relationships, and structural equation models with latent variables.","author":[{"dropping-particle":"","family":"Edwards","given":"Jeffrey R.","non-dropping-particle":"","parse-names":false,"suffix":""},{"dropping-particle":"","family":"Lambert","given":"Lisa Schurer","non-dropping-particle":"","parse-names":false,"suffix":""}],"container-title":"Psychological Methods","id":"ITEM-1","issue":"1","issued":{"date-parts":[["2007"]]},"page":"1-22","title":"Methods for integrating moderation and mediation: A general analytical framework using moderated path analysis","type":"article-journal","volume":"12"},"uris":["http://www.mendeley.com/documents/?uuid=ac4b5fbb-2ff4-4700-a6a4-34dad8d0a100"]},{"id":"ITEM-2","itemData":{"DOI":"10.1037/0022-3514.89.6.852","ISBN":"0022-3514 (Print)\\r0022-3514 (Linking)","ISSN":"00223514","PMID":"16393020","abstract":"Procedures for examining whether treatment effects on an outcome are mediated and/or moderated have been well developed and are routinely applied. The mediation question focuses on the intervening mechanism that produces the treatment effect. The moderation question focuses on factors that affect the magnitude of the treatment effect. It is important to note that these two processes may be combined in informative ways, such that moderation is mediated or mediation is moderated. Although some prior literature has discussed these possibilities, their exact definitions and analytic procedures have not been completely articulated. The purpose of this article is to define precisely both mediated moderation and moderated mediation and provide analytic strategies for assessing each.","author":[{"dropping-particle":"","family":"Muller","given":"Dominique","non-dropping-particle":"","parse-names":false,"suffix":""},{"dropping-particle":"","family":"Judd","given":"Charles M.","non-dropping-particle":"","parse-names":false,"suffix":""},{"dropping-particle":"","family":"Yzerbyt","given":"Vincent Y.","non-dropping-particle":"","parse-names":false,"suffix":""}],"container-title":"Journal of Personality and Social Psychology","id":"ITEM-2","issue":"6","issued":{"date-parts":[["2005"]]},"page":"852-863","title":"When moderation is mediated and mediation is moderated","type":"article-journal","volume":"89"},"uris":["http://www.mendeley.com/documents/?uuid=538717b3-506f-4529-911d-4b122328f566"]}],"mendeley":{"formattedCitation":"(Edwards and Lambert, 2007; Muller et al., 2005)","plainTextFormattedCitation":"(Edwards and Lambert, 2007; Muller et al., 2005)","previouslyFormattedCitation":"(Edwards and Lambert, 2007; Muller et al., 2005)"},"properties":{"noteIndex":0},"schema":"https://github.com/citation-style-language/schema/raw/master/csl-citation.json"}</w:instrText>
      </w:r>
      <w:r w:rsidR="007F03FF">
        <w:rPr>
          <w:rFonts w:ascii="Times New Roman" w:hAnsi="Times New Roman" w:cs="Times New Roman"/>
        </w:rPr>
        <w:fldChar w:fldCharType="separate"/>
      </w:r>
      <w:r w:rsidR="007F03FF" w:rsidRPr="007F03FF">
        <w:rPr>
          <w:rFonts w:ascii="Times New Roman" w:hAnsi="Times New Roman" w:cs="Times New Roman"/>
          <w:noProof/>
        </w:rPr>
        <w:t>(Edwards and Lambert, 2007; Muller et al., 2005)</w:t>
      </w:r>
      <w:r w:rsidR="007F03FF">
        <w:rPr>
          <w:rFonts w:ascii="Times New Roman" w:hAnsi="Times New Roman" w:cs="Times New Roman"/>
        </w:rPr>
        <w:fldChar w:fldCharType="end"/>
      </w:r>
      <w:r w:rsidR="007F03FF">
        <w:rPr>
          <w:rFonts w:ascii="Times New Roman" w:hAnsi="Times New Roman" w:cs="Times New Roman"/>
        </w:rPr>
        <w:t>.</w:t>
      </w:r>
      <w:r w:rsidRPr="00EF66BB">
        <w:rPr>
          <w:rFonts w:ascii="Times New Roman" w:hAnsi="Times New Roman" w:cs="Times New Roman"/>
        </w:rPr>
        <w:t xml:space="preserve"> </w:t>
      </w:r>
      <w:r w:rsidR="005D3317">
        <w:rPr>
          <w:rFonts w:ascii="Times New Roman" w:hAnsi="Times New Roman" w:cs="Times New Roman"/>
        </w:rPr>
        <w:t>We used multi-group SEM analysis</w:t>
      </w:r>
      <w:r w:rsidR="005D3317">
        <w:rPr>
          <w:rStyle w:val="FootnoteReference"/>
          <w:rFonts w:ascii="Times New Roman" w:hAnsi="Times New Roman" w:cs="Times New Roman"/>
        </w:rPr>
        <w:footnoteReference w:id="8"/>
      </w:r>
      <w:r w:rsidR="005D3317">
        <w:rPr>
          <w:rFonts w:ascii="Times New Roman" w:hAnsi="Times New Roman" w:cs="Times New Roman"/>
        </w:rPr>
        <w:t xml:space="preserve"> </w:t>
      </w:r>
      <w:r w:rsidR="00253CDC">
        <w:rPr>
          <w:rFonts w:ascii="Times New Roman" w:hAnsi="Times New Roman" w:cs="Times New Roman"/>
        </w:rPr>
        <w:t>that</w:t>
      </w:r>
      <w:r w:rsidR="00B4456C">
        <w:rPr>
          <w:rFonts w:ascii="Times New Roman" w:hAnsi="Times New Roman" w:cs="Times New Roman"/>
        </w:rPr>
        <w:t xml:space="preserve"> </w:t>
      </w:r>
      <w:r w:rsidRPr="00EF66BB">
        <w:rPr>
          <w:rFonts w:ascii="Times New Roman" w:hAnsi="Times New Roman" w:cs="Times New Roman"/>
        </w:rPr>
        <w:t>entails dividing the sample into groups according to the moderator variable</w:t>
      </w:r>
      <w:r w:rsidR="00253CDC">
        <w:rPr>
          <w:rFonts w:ascii="Times New Roman" w:hAnsi="Times New Roman" w:cs="Times New Roman"/>
        </w:rPr>
        <w:t xml:space="preserve"> and perform</w:t>
      </w:r>
      <w:r w:rsidR="00B4456C">
        <w:rPr>
          <w:rFonts w:ascii="Times New Roman" w:hAnsi="Times New Roman" w:cs="Times New Roman"/>
        </w:rPr>
        <w:t>ing</w:t>
      </w:r>
      <w:r w:rsidR="00253CDC">
        <w:rPr>
          <w:rFonts w:ascii="Times New Roman" w:hAnsi="Times New Roman" w:cs="Times New Roman"/>
        </w:rPr>
        <w:t xml:space="preserve"> multi-group comparisons</w:t>
      </w:r>
      <w:r w:rsidRPr="00EF66BB">
        <w:rPr>
          <w:rFonts w:ascii="Times New Roman" w:hAnsi="Times New Roman" w:cs="Times New Roman"/>
        </w:rPr>
        <w:t>. The moderating variable was divided into the high</w:t>
      </w:r>
      <w:r w:rsidR="00112F1D" w:rsidRPr="00EF66BB">
        <w:rPr>
          <w:rFonts w:ascii="Times New Roman" w:hAnsi="Times New Roman" w:cs="Times New Roman"/>
        </w:rPr>
        <w:t>-breadth</w:t>
      </w:r>
      <w:r w:rsidRPr="00EF66BB">
        <w:rPr>
          <w:rFonts w:ascii="Times New Roman" w:hAnsi="Times New Roman" w:cs="Times New Roman"/>
        </w:rPr>
        <w:t xml:space="preserve"> planning and the low-</w:t>
      </w:r>
      <w:r w:rsidR="00206E5D" w:rsidRPr="00EF66BB">
        <w:rPr>
          <w:rFonts w:ascii="Times New Roman" w:hAnsi="Times New Roman" w:cs="Times New Roman"/>
        </w:rPr>
        <w:t>breadth</w:t>
      </w:r>
      <w:r w:rsidRPr="00EF66BB">
        <w:rPr>
          <w:rFonts w:ascii="Times New Roman" w:hAnsi="Times New Roman" w:cs="Times New Roman"/>
        </w:rPr>
        <w:t xml:space="preserve"> planning using the median split. The two models for the two levels of the moderator were tested simultaneously, after imposing constraints on the mediation paths in each structural model for the two levels of the moderator</w:t>
      </w:r>
      <w:r w:rsidR="00687AE1">
        <w:rPr>
          <w:rStyle w:val="FootnoteReference"/>
          <w:rFonts w:ascii="Times New Roman" w:hAnsi="Times New Roman" w:cs="Times New Roman"/>
        </w:rPr>
        <w:footnoteReference w:id="9"/>
      </w:r>
      <w:r w:rsidRPr="00EF66BB">
        <w:rPr>
          <w:rFonts w:ascii="Times New Roman" w:hAnsi="Times New Roman" w:cs="Times New Roman"/>
        </w:rPr>
        <w:t xml:space="preserve"> </w:t>
      </w:r>
    </w:p>
    <w:p w14:paraId="1679CBDB" w14:textId="77777777" w:rsidR="00E45B28" w:rsidRDefault="00E45B28" w:rsidP="00141231">
      <w:pPr>
        <w:autoSpaceDE w:val="0"/>
        <w:autoSpaceDN w:val="0"/>
        <w:adjustRightInd w:val="0"/>
        <w:spacing w:line="360" w:lineRule="auto"/>
        <w:rPr>
          <w:rFonts w:ascii="Times New Roman" w:hAnsi="Times New Roman" w:cs="Times New Roman"/>
        </w:rPr>
      </w:pPr>
    </w:p>
    <w:p w14:paraId="0BD616AD" w14:textId="64D9E6D8" w:rsidR="00E45B28" w:rsidRDefault="001A3E4C" w:rsidP="00141231">
      <w:pPr>
        <w:autoSpaceDE w:val="0"/>
        <w:autoSpaceDN w:val="0"/>
        <w:adjustRightInd w:val="0"/>
        <w:spacing w:line="360" w:lineRule="auto"/>
        <w:rPr>
          <w:rFonts w:ascii="Times New Roman" w:hAnsi="Times New Roman" w:cs="Times New Roman"/>
          <w:color w:val="000000"/>
        </w:rPr>
      </w:pPr>
      <w:r w:rsidRPr="00EF66BB">
        <w:rPr>
          <w:rFonts w:ascii="Times New Roman" w:hAnsi="Times New Roman" w:cs="Times New Roman"/>
        </w:rPr>
        <w:t xml:space="preserve">Table </w:t>
      </w:r>
      <w:r w:rsidR="00B4456C">
        <w:rPr>
          <w:rFonts w:ascii="Times New Roman" w:hAnsi="Times New Roman" w:cs="Times New Roman"/>
        </w:rPr>
        <w:t>3</w:t>
      </w:r>
      <w:r w:rsidRPr="00EF66BB">
        <w:rPr>
          <w:rFonts w:ascii="Times New Roman" w:hAnsi="Times New Roman" w:cs="Times New Roman"/>
        </w:rPr>
        <w:t xml:space="preserve"> presents the estimates and bootstrap CIs for the conditional indirect effects of strategy across low and high levels of planning. </w:t>
      </w:r>
      <w:r w:rsidR="00B4456C">
        <w:rPr>
          <w:rFonts w:ascii="Times New Roman" w:hAnsi="Times New Roman" w:cs="Times New Roman"/>
        </w:rPr>
        <w:t>It shows</w:t>
      </w:r>
      <w:r w:rsidRPr="00EF66BB">
        <w:rPr>
          <w:rFonts w:ascii="Times New Roman" w:hAnsi="Times New Roman" w:cs="Times New Roman"/>
        </w:rPr>
        <w:t xml:space="preserve"> a strong moderated mediation is proposed for the mediation relationships between TT offices/support and TT effectiveness (</w:t>
      </w:r>
      <w:r w:rsidRPr="00EF66BB">
        <w:rPr>
          <w:rFonts w:ascii="Times New Roman" w:eastAsia="TimesNewRoman" w:hAnsi="Times New Roman" w:cs="Times New Roman"/>
          <w:i/>
          <w:iCs/>
        </w:rPr>
        <w:t xml:space="preserve">β </w:t>
      </w:r>
      <w:r w:rsidRPr="00EF66BB">
        <w:rPr>
          <w:rFonts w:ascii="Times New Roman" w:eastAsia="TimesNewRoman" w:hAnsi="Times New Roman" w:cs="Times New Roman"/>
        </w:rPr>
        <w:t xml:space="preserve">= </w:t>
      </w:r>
      <w:r w:rsidRPr="00EF66BB">
        <w:rPr>
          <w:rFonts w:ascii="Times New Roman" w:hAnsi="Times New Roman" w:cs="Times New Roman"/>
        </w:rPr>
        <w:t>0.44</w:t>
      </w:r>
      <w:r w:rsidRPr="00EF66BB">
        <w:rPr>
          <w:rFonts w:ascii="Times New Roman" w:eastAsia="TimesNewRoman" w:hAnsi="Times New Roman" w:cs="Times New Roman"/>
        </w:rPr>
        <w:t xml:space="preserve">; </w:t>
      </w:r>
      <w:r w:rsidRPr="00EF66BB">
        <w:rPr>
          <w:rFonts w:ascii="Times New Roman" w:eastAsia="TimesNewRoman" w:hAnsi="Times New Roman" w:cs="Times New Roman"/>
          <w:i/>
          <w:iCs/>
        </w:rPr>
        <w:t xml:space="preserve">p </w:t>
      </w:r>
      <w:r w:rsidRPr="00EF66BB">
        <w:rPr>
          <w:rFonts w:ascii="Times New Roman" w:eastAsia="TimesNewRoman" w:hAnsi="Times New Roman" w:cs="Times New Roman"/>
        </w:rPr>
        <w:t>&lt; .01</w:t>
      </w:r>
      <w:r w:rsidRPr="00EF66BB">
        <w:rPr>
          <w:rFonts w:ascii="Times New Roman" w:hAnsi="Times New Roman" w:cs="Times New Roman"/>
        </w:rPr>
        <w:t xml:space="preserve">). </w:t>
      </w:r>
      <w:r w:rsidR="00FF48A3" w:rsidRPr="00EF66BB">
        <w:rPr>
          <w:rFonts w:ascii="Times New Roman" w:hAnsi="Times New Roman" w:cs="Times New Roman"/>
        </w:rPr>
        <w:t>T</w:t>
      </w:r>
      <w:r w:rsidRPr="00EF66BB">
        <w:rPr>
          <w:rFonts w:ascii="Times New Roman" w:hAnsi="Times New Roman" w:cs="Times New Roman"/>
        </w:rPr>
        <w:t xml:space="preserve">he indirect effect of TTO support via strategy on </w:t>
      </w:r>
      <w:r w:rsidR="000C0557" w:rsidRPr="00EF66BB">
        <w:rPr>
          <w:rFonts w:ascii="Times New Roman" w:hAnsi="Times New Roman" w:cs="Times New Roman"/>
        </w:rPr>
        <w:t>TT</w:t>
      </w:r>
      <w:r w:rsidRPr="00EF66BB">
        <w:rPr>
          <w:rFonts w:ascii="Times New Roman" w:hAnsi="Times New Roman" w:cs="Times New Roman"/>
        </w:rPr>
        <w:t xml:space="preserve"> effectiveness differ</w:t>
      </w:r>
      <w:r w:rsidR="00FF48A3" w:rsidRPr="00EF66BB">
        <w:rPr>
          <w:rFonts w:ascii="Times New Roman" w:hAnsi="Times New Roman" w:cs="Times New Roman"/>
        </w:rPr>
        <w:t>s</w:t>
      </w:r>
      <w:r w:rsidRPr="00EF66BB">
        <w:rPr>
          <w:rFonts w:ascii="Times New Roman" w:hAnsi="Times New Roman" w:cs="Times New Roman"/>
        </w:rPr>
        <w:t xml:space="preserve"> significantly when strategic planning </w:t>
      </w:r>
      <w:r w:rsidR="00F377DE" w:rsidRPr="00EF66BB">
        <w:rPr>
          <w:rFonts w:ascii="Times New Roman" w:hAnsi="Times New Roman" w:cs="Times New Roman"/>
        </w:rPr>
        <w:t>breadth is high</w:t>
      </w:r>
      <w:r w:rsidRPr="00EF66BB">
        <w:rPr>
          <w:rFonts w:ascii="Times New Roman" w:hAnsi="Times New Roman" w:cs="Times New Roman"/>
        </w:rPr>
        <w:t xml:space="preserve"> versus low (</w:t>
      </w:r>
      <w:r w:rsidRPr="00EF66BB">
        <w:rPr>
          <w:rFonts w:ascii="Times New Roman" w:eastAsia="TimesNewRoman" w:hAnsi="Times New Roman" w:cs="Times New Roman"/>
          <w:i/>
          <w:iCs/>
        </w:rPr>
        <w:t xml:space="preserve">β </w:t>
      </w:r>
      <w:r w:rsidRPr="00EF66BB">
        <w:rPr>
          <w:rFonts w:ascii="Times New Roman" w:eastAsia="TimesNewRoman" w:hAnsi="Times New Roman" w:cs="Times New Roman"/>
        </w:rPr>
        <w:t xml:space="preserve">= </w:t>
      </w:r>
      <w:r w:rsidRPr="00EF66BB">
        <w:rPr>
          <w:rFonts w:ascii="Times New Roman" w:hAnsi="Times New Roman" w:cs="Times New Roman"/>
        </w:rPr>
        <w:t>0.23</w:t>
      </w:r>
      <w:r w:rsidRPr="00EF66BB">
        <w:rPr>
          <w:rFonts w:ascii="Times New Roman" w:eastAsia="TimesNewRoman" w:hAnsi="Times New Roman" w:cs="Times New Roman"/>
        </w:rPr>
        <w:t xml:space="preserve">; </w:t>
      </w:r>
      <w:r w:rsidRPr="00EF66BB">
        <w:rPr>
          <w:rFonts w:ascii="Times New Roman" w:eastAsia="TimesNewRoman" w:hAnsi="Times New Roman" w:cs="Times New Roman"/>
          <w:i/>
          <w:iCs/>
        </w:rPr>
        <w:t xml:space="preserve">p </w:t>
      </w:r>
      <w:r w:rsidRPr="00EF66BB">
        <w:rPr>
          <w:rFonts w:ascii="Times New Roman" w:eastAsia="TimesNewRoman" w:hAnsi="Times New Roman" w:cs="Times New Roman"/>
        </w:rPr>
        <w:t>&lt; .01</w:t>
      </w:r>
      <w:r w:rsidRPr="00EF66BB">
        <w:rPr>
          <w:rFonts w:ascii="Times New Roman" w:hAnsi="Times New Roman" w:cs="Times New Roman"/>
        </w:rPr>
        <w:t xml:space="preserve">). The indirect effects of provision of incentives via strategy do not differ significantly when planning </w:t>
      </w:r>
      <w:r w:rsidR="00F377DE" w:rsidRPr="00EF66BB">
        <w:rPr>
          <w:rFonts w:ascii="Times New Roman" w:hAnsi="Times New Roman" w:cs="Times New Roman"/>
        </w:rPr>
        <w:t>breadth is</w:t>
      </w:r>
      <w:r w:rsidRPr="00EF66BB">
        <w:rPr>
          <w:rFonts w:ascii="Times New Roman" w:hAnsi="Times New Roman" w:cs="Times New Roman"/>
        </w:rPr>
        <w:t xml:space="preserve"> high versus low values (</w:t>
      </w:r>
      <w:r w:rsidRPr="00EF66BB">
        <w:rPr>
          <w:rFonts w:ascii="Times New Roman" w:eastAsia="TimesNewRoman" w:hAnsi="Times New Roman" w:cs="Times New Roman"/>
          <w:i/>
          <w:iCs/>
        </w:rPr>
        <w:t xml:space="preserve">β </w:t>
      </w:r>
      <w:r w:rsidRPr="00EF66BB">
        <w:rPr>
          <w:rFonts w:ascii="Times New Roman" w:eastAsia="TimesNewRoman" w:hAnsi="Times New Roman" w:cs="Times New Roman"/>
        </w:rPr>
        <w:t xml:space="preserve">= </w:t>
      </w:r>
      <w:r w:rsidRPr="00EF66BB">
        <w:rPr>
          <w:rFonts w:ascii="Times New Roman" w:hAnsi="Times New Roman" w:cs="Times New Roman"/>
        </w:rPr>
        <w:t>-0.106</w:t>
      </w:r>
      <w:r w:rsidRPr="00EF66BB">
        <w:rPr>
          <w:rFonts w:ascii="Times New Roman" w:eastAsia="TimesNewRoman" w:hAnsi="Times New Roman" w:cs="Times New Roman"/>
        </w:rPr>
        <w:t xml:space="preserve">; </w:t>
      </w:r>
      <w:r w:rsidRPr="00EF66BB">
        <w:rPr>
          <w:rFonts w:ascii="Times New Roman" w:eastAsia="TimesNewRoman" w:hAnsi="Times New Roman" w:cs="Times New Roman"/>
          <w:i/>
          <w:iCs/>
        </w:rPr>
        <w:t xml:space="preserve">p </w:t>
      </w:r>
      <w:r w:rsidRPr="00EF66BB">
        <w:rPr>
          <w:rFonts w:ascii="Times New Roman" w:eastAsia="TimesNewRoman" w:hAnsi="Times New Roman" w:cs="Times New Roman"/>
        </w:rPr>
        <w:t>=0.681</w:t>
      </w:r>
      <w:r w:rsidRPr="00EF66BB">
        <w:rPr>
          <w:rFonts w:ascii="Times New Roman" w:hAnsi="Times New Roman" w:cs="Times New Roman"/>
        </w:rPr>
        <w:t xml:space="preserve">). </w:t>
      </w:r>
      <w:r w:rsidRPr="00EF66BB">
        <w:rPr>
          <w:rFonts w:ascii="Times New Roman" w:hAnsi="Times New Roman" w:cs="Times New Roman"/>
          <w:color w:val="000000"/>
        </w:rPr>
        <w:t xml:space="preserve">To determine whether the above conditional and indirect relationships were influenced by our control variables, the analyses were repeated with all control variables. Although the indirect and conditional relationships were somewhat attenuated, the findings provided support for unconditional indirect effects for all these variables. </w:t>
      </w:r>
    </w:p>
    <w:p w14:paraId="5345D2FA" w14:textId="482D45A8" w:rsidR="00FF2D2E" w:rsidRPr="00E45B28" w:rsidRDefault="008F29B6" w:rsidP="00141231">
      <w:pPr>
        <w:autoSpaceDE w:val="0"/>
        <w:autoSpaceDN w:val="0"/>
        <w:adjustRightInd w:val="0"/>
        <w:spacing w:line="360" w:lineRule="auto"/>
        <w:rPr>
          <w:rFonts w:ascii="Times New Roman" w:hAnsi="Times New Roman" w:cs="Times New Roman"/>
          <w:color w:val="000000"/>
        </w:rPr>
      </w:pPr>
      <w:r w:rsidRPr="00EF66BB">
        <w:rPr>
          <w:rFonts w:ascii="Times New Roman" w:hAnsi="Times New Roman" w:cs="Times New Roman"/>
        </w:rPr>
        <w:t xml:space="preserve">Table </w:t>
      </w:r>
      <w:r w:rsidR="00A05DC7">
        <w:rPr>
          <w:rFonts w:ascii="Times New Roman" w:hAnsi="Times New Roman" w:cs="Times New Roman"/>
        </w:rPr>
        <w:t>3</w:t>
      </w:r>
      <w:r w:rsidRPr="00EF66BB">
        <w:rPr>
          <w:rFonts w:ascii="Times New Roman" w:hAnsi="Times New Roman" w:cs="Times New Roman"/>
        </w:rPr>
        <w:t>: Moderated mediation</w:t>
      </w:r>
    </w:p>
    <w:tbl>
      <w:tblPr>
        <w:tblStyle w:val="TableGrid"/>
        <w:tblW w:w="9928" w:type="dxa"/>
        <w:tblBorders>
          <w:insideH w:val="none" w:sz="0" w:space="0" w:color="auto"/>
          <w:insideV w:val="none" w:sz="0" w:space="0" w:color="auto"/>
        </w:tblBorders>
        <w:tblLayout w:type="fixed"/>
        <w:tblLook w:val="04A0" w:firstRow="1" w:lastRow="0" w:firstColumn="1" w:lastColumn="0" w:noHBand="0" w:noVBand="1"/>
      </w:tblPr>
      <w:tblGrid>
        <w:gridCol w:w="3155"/>
        <w:gridCol w:w="1354"/>
        <w:gridCol w:w="1053"/>
        <w:gridCol w:w="904"/>
        <w:gridCol w:w="3462"/>
      </w:tblGrid>
      <w:tr w:rsidR="008F29B6" w:rsidRPr="003E306B" w14:paraId="1283502A" w14:textId="77777777" w:rsidTr="00E45B28">
        <w:trPr>
          <w:trHeight w:val="409"/>
        </w:trPr>
        <w:tc>
          <w:tcPr>
            <w:tcW w:w="3155" w:type="dxa"/>
            <w:tcBorders>
              <w:bottom w:val="single" w:sz="4" w:space="0" w:color="auto"/>
              <w:right w:val="single" w:sz="4" w:space="0" w:color="auto"/>
            </w:tcBorders>
          </w:tcPr>
          <w:p w14:paraId="580045E4"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 xml:space="preserve">Strategic Planning – moderator </w:t>
            </w:r>
          </w:p>
        </w:tc>
        <w:tc>
          <w:tcPr>
            <w:tcW w:w="1354" w:type="dxa"/>
            <w:tcBorders>
              <w:left w:val="single" w:sz="4" w:space="0" w:color="auto"/>
              <w:bottom w:val="single" w:sz="4" w:space="0" w:color="auto"/>
              <w:right w:val="single" w:sz="4" w:space="0" w:color="auto"/>
            </w:tcBorders>
          </w:tcPr>
          <w:p w14:paraId="1D861BAA" w14:textId="77777777" w:rsidR="008F29B6" w:rsidRPr="003E306B" w:rsidRDefault="008F29B6" w:rsidP="00141231">
            <w:pPr>
              <w:pStyle w:val="NoSpacing"/>
              <w:rPr>
                <w:rFonts w:ascii="Times New Roman" w:hAnsi="Times New Roman" w:cs="Times New Roman"/>
                <w:sz w:val="20"/>
                <w:szCs w:val="20"/>
              </w:rPr>
            </w:pPr>
          </w:p>
        </w:tc>
        <w:tc>
          <w:tcPr>
            <w:tcW w:w="1957" w:type="dxa"/>
            <w:gridSpan w:val="2"/>
            <w:tcBorders>
              <w:left w:val="single" w:sz="4" w:space="0" w:color="auto"/>
              <w:bottom w:val="single" w:sz="4" w:space="0" w:color="auto"/>
              <w:right w:val="single" w:sz="4" w:space="0" w:color="auto"/>
            </w:tcBorders>
          </w:tcPr>
          <w:p w14:paraId="3CE00873"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 xml:space="preserve">Bootstrap confidence intervals </w:t>
            </w:r>
          </w:p>
        </w:tc>
        <w:tc>
          <w:tcPr>
            <w:tcW w:w="3462" w:type="dxa"/>
            <w:tcBorders>
              <w:left w:val="single" w:sz="4" w:space="0" w:color="auto"/>
              <w:bottom w:val="single" w:sz="4" w:space="0" w:color="auto"/>
            </w:tcBorders>
          </w:tcPr>
          <w:p w14:paraId="79B0E663"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 xml:space="preserve">Model </w:t>
            </w:r>
          </w:p>
        </w:tc>
      </w:tr>
      <w:tr w:rsidR="008F29B6" w:rsidRPr="003E306B" w14:paraId="1A06A0F8" w14:textId="77777777" w:rsidTr="00E45B28">
        <w:trPr>
          <w:trHeight w:val="190"/>
        </w:trPr>
        <w:tc>
          <w:tcPr>
            <w:tcW w:w="3155" w:type="dxa"/>
            <w:tcBorders>
              <w:top w:val="single" w:sz="4" w:space="0" w:color="auto"/>
              <w:right w:val="single" w:sz="4" w:space="0" w:color="auto"/>
            </w:tcBorders>
          </w:tcPr>
          <w:p w14:paraId="52A719D2" w14:textId="18EE5557" w:rsidR="008F29B6" w:rsidRPr="003E306B" w:rsidRDefault="008F29B6" w:rsidP="00141231">
            <w:pPr>
              <w:pStyle w:val="NoSpacing"/>
              <w:rPr>
                <w:rFonts w:ascii="Times New Roman" w:hAnsi="Times New Roman" w:cs="Times New Roman"/>
                <w:sz w:val="20"/>
                <w:szCs w:val="20"/>
              </w:rPr>
            </w:pPr>
          </w:p>
        </w:tc>
        <w:tc>
          <w:tcPr>
            <w:tcW w:w="1354" w:type="dxa"/>
            <w:tcBorders>
              <w:top w:val="single" w:sz="4" w:space="0" w:color="auto"/>
              <w:left w:val="single" w:sz="4" w:space="0" w:color="auto"/>
              <w:right w:val="single" w:sz="4" w:space="0" w:color="auto"/>
            </w:tcBorders>
          </w:tcPr>
          <w:p w14:paraId="6F9680D3"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 xml:space="preserve">Β (sig) </w:t>
            </w:r>
          </w:p>
        </w:tc>
        <w:tc>
          <w:tcPr>
            <w:tcW w:w="1053" w:type="dxa"/>
            <w:tcBorders>
              <w:top w:val="single" w:sz="4" w:space="0" w:color="auto"/>
              <w:left w:val="single" w:sz="4" w:space="0" w:color="auto"/>
            </w:tcBorders>
          </w:tcPr>
          <w:p w14:paraId="7BD9224C"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 xml:space="preserve">Upper </w:t>
            </w:r>
          </w:p>
        </w:tc>
        <w:tc>
          <w:tcPr>
            <w:tcW w:w="903" w:type="dxa"/>
            <w:tcBorders>
              <w:top w:val="single" w:sz="4" w:space="0" w:color="auto"/>
              <w:right w:val="single" w:sz="4" w:space="0" w:color="auto"/>
            </w:tcBorders>
          </w:tcPr>
          <w:p w14:paraId="5405C35B"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Lower</w:t>
            </w:r>
          </w:p>
        </w:tc>
        <w:tc>
          <w:tcPr>
            <w:tcW w:w="3462" w:type="dxa"/>
            <w:vMerge w:val="restart"/>
            <w:tcBorders>
              <w:top w:val="single" w:sz="4" w:space="0" w:color="auto"/>
              <w:left w:val="single" w:sz="4" w:space="0" w:color="auto"/>
            </w:tcBorders>
          </w:tcPr>
          <w:p w14:paraId="7C245CBC" w14:textId="56535043" w:rsidR="008F29B6" w:rsidRPr="003E306B" w:rsidRDefault="003E306B" w:rsidP="00141231">
            <w:pPr>
              <w:pStyle w:val="NoSpacing"/>
              <w:rPr>
                <w:rFonts w:ascii="Times New Roman" w:hAnsi="Times New Roman" w:cs="Times New Roman"/>
                <w:sz w:val="20"/>
                <w:szCs w:val="20"/>
              </w:rPr>
            </w:pPr>
            <w:r w:rsidRPr="003E306B">
              <w:rPr>
                <w:rFonts w:ascii="Times New Roman" w:hAnsi="Times New Roman" w:cs="Times New Roman"/>
                <w:noProof/>
                <w:sz w:val="20"/>
                <w:szCs w:val="20"/>
                <w:lang w:eastAsia="en-GB"/>
              </w:rPr>
              <mc:AlternateContent>
                <mc:Choice Requires="wps">
                  <w:drawing>
                    <wp:anchor distT="0" distB="0" distL="114300" distR="114300" simplePos="0" relativeHeight="251708416" behindDoc="0" locked="0" layoutInCell="1" allowOverlap="1" wp14:anchorId="61450D83" wp14:editId="3D3C0705">
                      <wp:simplePos x="0" y="0"/>
                      <wp:positionH relativeFrom="column">
                        <wp:posOffset>1235867</wp:posOffset>
                      </wp:positionH>
                      <wp:positionV relativeFrom="paragraph">
                        <wp:posOffset>266669</wp:posOffset>
                      </wp:positionV>
                      <wp:extent cx="190500" cy="1428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90500" cy="142875"/>
                              </a:xfrm>
                              <a:prstGeom prst="rect">
                                <a:avLst/>
                              </a:prstGeom>
                              <a:solidFill>
                                <a:sysClr val="window" lastClr="FFFFFF"/>
                              </a:solidFill>
                              <a:ln w="6350">
                                <a:noFill/>
                              </a:ln>
                            </wps:spPr>
                            <wps:txbx>
                              <w:txbxContent>
                                <w:p w14:paraId="6501BE5A" w14:textId="77777777" w:rsidR="007B4FF2" w:rsidRPr="00E264F2" w:rsidRDefault="007B4FF2" w:rsidP="008F29B6">
                                  <w:pPr>
                                    <w:rPr>
                                      <w:sz w:val="16"/>
                                      <w:szCs w:val="16"/>
                                    </w:rPr>
                                  </w:pPr>
                                  <w:r w:rsidRPr="00E264F2">
                                    <w:rPr>
                                      <w:sz w:val="16"/>
                                      <w:szCs w:val="16"/>
                                    </w:rPr>
                                    <w:t xml:space="preserve"> </w:t>
                                  </w:r>
                                  <w:r>
                                    <w:rPr>
                                      <w:sz w:val="16"/>
                                      <w:szCs w:val="16"/>
                                    </w:rPr>
                                    <w:t>b</w:t>
                                  </w:r>
                                  <w:r w:rsidRPr="00E264F2">
                                    <w:rPr>
                                      <w:sz w:val="16"/>
                                      <w:szCs w:val="16"/>
                                    </w:rPr>
                                    <w:t>/</w:t>
                                  </w:r>
                                  <w:r>
                                    <w:rPr>
                                      <w:sz w:val="16"/>
                                      <w:szCs w:val="16"/>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1450D83" id="Text Box 10" o:spid="_x0000_s1027" type="#_x0000_t202" style="position:absolute;margin-left:97.3pt;margin-top:21pt;width:15pt;height:11.2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" fillcolor="window" stroked="f" strokeweight=".5pt">
                      <v:textbox inset="0,0,0,0">
                        <w:txbxContent>
                          <w:p w14:paraId="6501BE5A" w14:textId="77777777" w:rsidR="007B4FF2" w:rsidRPr="00E264F2" w:rsidRDefault="007B4FF2" w:rsidP="008F29B6">
                            <w:pPr>
                              <w:rPr>
                                <w:sz w:val="16"/>
                                <w:szCs w:val="16"/>
                              </w:rPr>
                            </w:pPr>
                            <w:r w:rsidRPr="00E264F2">
                              <w:rPr>
                                <w:sz w:val="16"/>
                                <w:szCs w:val="16"/>
                              </w:rPr>
                              <w:t xml:space="preserve"> </w:t>
                            </w:r>
                            <w:r>
                              <w:rPr>
                                <w:sz w:val="16"/>
                                <w:szCs w:val="16"/>
                              </w:rPr>
                              <w:t>b</w:t>
                            </w:r>
                            <w:r w:rsidRPr="00E264F2">
                              <w:rPr>
                                <w:sz w:val="16"/>
                                <w:szCs w:val="16"/>
                              </w:rPr>
                              <w:t>/</w:t>
                            </w:r>
                            <w:r>
                              <w:rPr>
                                <w:sz w:val="16"/>
                                <w:szCs w:val="16"/>
                              </w:rPr>
                              <w:t>d</w:t>
                            </w:r>
                          </w:p>
                        </w:txbxContent>
                      </v:textbox>
                    </v:shape>
                  </w:pict>
                </mc:Fallback>
              </mc:AlternateContent>
            </w:r>
            <w:r w:rsidRPr="003E306B">
              <w:rPr>
                <w:rFonts w:ascii="Times New Roman" w:hAnsi="Times New Roman" w:cs="Times New Roman"/>
                <w:noProof/>
                <w:sz w:val="20"/>
                <w:szCs w:val="20"/>
                <w:lang w:eastAsia="en-GB"/>
              </w:rPr>
              <mc:AlternateContent>
                <mc:Choice Requires="wps">
                  <w:drawing>
                    <wp:anchor distT="0" distB="0" distL="114300" distR="114300" simplePos="0" relativeHeight="251703296" behindDoc="0" locked="0" layoutInCell="1" allowOverlap="1" wp14:anchorId="3D16E37D" wp14:editId="0F11B8A9">
                      <wp:simplePos x="0" y="0"/>
                      <wp:positionH relativeFrom="column">
                        <wp:posOffset>1436894</wp:posOffset>
                      </wp:positionH>
                      <wp:positionV relativeFrom="paragraph">
                        <wp:posOffset>320360</wp:posOffset>
                      </wp:positionV>
                      <wp:extent cx="540264" cy="268274"/>
                      <wp:effectExtent l="0" t="0" r="12700" b="17780"/>
                      <wp:wrapNone/>
                      <wp:docPr id="9" name="Text Box 9"/>
                      <wp:cNvGraphicFramePr/>
                      <a:graphic xmlns:a="http://schemas.openxmlformats.org/drawingml/2006/main">
                        <a:graphicData uri="http://schemas.microsoft.com/office/word/2010/wordprocessingShape">
                          <wps:wsp>
                            <wps:cNvSpPr txBox="1"/>
                            <wps:spPr>
                              <a:xfrm>
                                <a:off x="0" y="0"/>
                                <a:ext cx="540264" cy="268274"/>
                              </a:xfrm>
                              <a:prstGeom prst="rect">
                                <a:avLst/>
                              </a:prstGeom>
                              <a:solidFill>
                                <a:sysClr val="window" lastClr="FFFFFF"/>
                              </a:solidFill>
                              <a:ln w="6350">
                                <a:solidFill>
                                  <a:prstClr val="black"/>
                                </a:solidFill>
                              </a:ln>
                            </wps:spPr>
                            <wps:txbx>
                              <w:txbxContent>
                                <w:p w14:paraId="2DA37391" w14:textId="77777777" w:rsidR="007B4FF2" w:rsidRPr="003E306B" w:rsidRDefault="007B4FF2" w:rsidP="008F29B6">
                                  <w:pPr>
                                    <w:pStyle w:val="NoSpacing"/>
                                    <w:jc w:val="center"/>
                                    <w:rPr>
                                      <w:rFonts w:ascii="Times New Roman" w:hAnsi="Times New Roman" w:cs="Times New Roman"/>
                                      <w:sz w:val="16"/>
                                      <w:szCs w:val="16"/>
                                    </w:rPr>
                                  </w:pPr>
                                  <w:r w:rsidRPr="003E306B">
                                    <w:rPr>
                                      <w:rFonts w:ascii="Times New Roman" w:hAnsi="Times New Roman" w:cs="Times New Roman"/>
                                      <w:sz w:val="16"/>
                                      <w:szCs w:val="16"/>
                                    </w:rPr>
                                    <w:t>TT effectiveness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6E37D" id="Text Box 9" o:spid="_x0000_s1028" type="#_x0000_t202" style="position:absolute;margin-left:113.15pt;margin-top:25.25pt;width:42.55pt;height:21.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" fillcolor="window" strokeweight=".5pt">
                      <v:textbox inset="0,0,0,0">
                        <w:txbxContent>
                          <w:p w14:paraId="2DA37391" w14:textId="77777777" w:rsidR="007B4FF2" w:rsidRPr="003E306B" w:rsidRDefault="007B4FF2" w:rsidP="008F29B6">
                            <w:pPr>
                              <w:pStyle w:val="NoSpacing"/>
                              <w:jc w:val="center"/>
                              <w:rPr>
                                <w:rFonts w:ascii="Times New Roman" w:hAnsi="Times New Roman" w:cs="Times New Roman"/>
                                <w:sz w:val="16"/>
                                <w:szCs w:val="16"/>
                              </w:rPr>
                            </w:pPr>
                            <w:r w:rsidRPr="003E306B">
                              <w:rPr>
                                <w:rFonts w:ascii="Times New Roman" w:hAnsi="Times New Roman" w:cs="Times New Roman"/>
                                <w:sz w:val="16"/>
                                <w:szCs w:val="16"/>
                              </w:rPr>
                              <w:t>TT effectiveness</w:t>
                            </w:r>
                          </w:p>
                        </w:txbxContent>
                      </v:textbox>
                    </v:shape>
                  </w:pict>
                </mc:Fallback>
              </mc:AlternateContent>
            </w:r>
            <w:r w:rsidRPr="003E306B">
              <w:rPr>
                <w:rFonts w:ascii="Times New Roman" w:hAnsi="Times New Roman" w:cs="Times New Roman"/>
                <w:noProof/>
                <w:sz w:val="20"/>
                <w:szCs w:val="20"/>
                <w:lang w:eastAsia="en-GB"/>
              </w:rPr>
              <mc:AlternateContent>
                <mc:Choice Requires="wps">
                  <w:drawing>
                    <wp:anchor distT="0" distB="0" distL="114300" distR="114300" simplePos="0" relativeHeight="251705344" behindDoc="0" locked="0" layoutInCell="1" allowOverlap="1" wp14:anchorId="4FCF5764" wp14:editId="5D47B381">
                      <wp:simplePos x="0" y="0"/>
                      <wp:positionH relativeFrom="column">
                        <wp:posOffset>1225550</wp:posOffset>
                      </wp:positionH>
                      <wp:positionV relativeFrom="paragraph">
                        <wp:posOffset>453064</wp:posOffset>
                      </wp:positionV>
                      <wp:extent cx="211597" cy="6177"/>
                      <wp:effectExtent l="0" t="76200" r="17145" b="89535"/>
                      <wp:wrapNone/>
                      <wp:docPr id="6" name="Straight Arrow Connector 6"/>
                      <wp:cNvGraphicFramePr/>
                      <a:graphic xmlns:a="http://schemas.openxmlformats.org/drawingml/2006/main">
                        <a:graphicData uri="http://schemas.microsoft.com/office/word/2010/wordprocessingShape">
                          <wps:wsp>
                            <wps:cNvCnPr/>
                            <wps:spPr>
                              <a:xfrm flipV="1">
                                <a:off x="0" y="0"/>
                                <a:ext cx="211597" cy="617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C309AC1" id="Straight Arrow Connector 6" o:spid="_x0000_s1026" type="#_x0000_t32" style="position:absolute;margin-left:96.5pt;margin-top:35.65pt;width:16.65pt;height:.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" strokecolor="windowText" strokeweight=".5pt">
                      <v:stroke endarrow="block" joinstyle="miter"/>
                    </v:shape>
                  </w:pict>
                </mc:Fallback>
              </mc:AlternateContent>
            </w:r>
            <w:r w:rsidR="00813ACC" w:rsidRPr="003E306B">
              <w:rPr>
                <w:rFonts w:ascii="Times New Roman" w:hAnsi="Times New Roman" w:cs="Times New Roman"/>
                <w:noProof/>
                <w:sz w:val="20"/>
                <w:szCs w:val="20"/>
                <w:lang w:eastAsia="en-GB"/>
              </w:rPr>
              <mc:AlternateContent>
                <mc:Choice Requires="wps">
                  <w:drawing>
                    <wp:anchor distT="0" distB="0" distL="114300" distR="114300" simplePos="0" relativeHeight="251706368" behindDoc="0" locked="0" layoutInCell="1" allowOverlap="1" wp14:anchorId="7415E1D5" wp14:editId="57467696">
                      <wp:simplePos x="0" y="0"/>
                      <wp:positionH relativeFrom="column">
                        <wp:posOffset>533448</wp:posOffset>
                      </wp:positionH>
                      <wp:positionV relativeFrom="paragraph">
                        <wp:posOffset>624981</wp:posOffset>
                      </wp:positionV>
                      <wp:extent cx="337803" cy="153593"/>
                      <wp:effectExtent l="0" t="38100" r="62865" b="18415"/>
                      <wp:wrapNone/>
                      <wp:docPr id="4" name="Straight Arrow Connector 4"/>
                      <wp:cNvGraphicFramePr/>
                      <a:graphic xmlns:a="http://schemas.openxmlformats.org/drawingml/2006/main">
                        <a:graphicData uri="http://schemas.microsoft.com/office/word/2010/wordprocessingShape">
                          <wps:wsp>
                            <wps:cNvCnPr/>
                            <wps:spPr>
                              <a:xfrm flipV="1">
                                <a:off x="0" y="0"/>
                                <a:ext cx="337803" cy="153593"/>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3484CC9" id="Straight Arrow Connector 4" o:spid="_x0000_s1026" type="#_x0000_t32" style="position:absolute;margin-left:42pt;margin-top:49.2pt;width:26.6pt;height:12.1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" strokecolor="windowText" strokeweight=".5pt">
                      <v:stroke dashstyle="dash" endarrow="block" joinstyle="miter"/>
                    </v:shape>
                  </w:pict>
                </mc:Fallback>
              </mc:AlternateContent>
            </w:r>
            <w:r w:rsidR="00813ACC" w:rsidRPr="003E306B">
              <w:rPr>
                <w:rFonts w:ascii="Times New Roman" w:hAnsi="Times New Roman" w:cs="Times New Roman"/>
                <w:noProof/>
                <w:sz w:val="20"/>
                <w:szCs w:val="20"/>
                <w:lang w:eastAsia="en-GB"/>
              </w:rPr>
              <mc:AlternateContent>
                <mc:Choice Requires="wps">
                  <w:drawing>
                    <wp:anchor distT="0" distB="0" distL="114300" distR="114300" simplePos="0" relativeHeight="251704320" behindDoc="0" locked="0" layoutInCell="1" allowOverlap="1" wp14:anchorId="6A9831BC" wp14:editId="78D9CCDB">
                      <wp:simplePos x="0" y="0"/>
                      <wp:positionH relativeFrom="column">
                        <wp:posOffset>498503</wp:posOffset>
                      </wp:positionH>
                      <wp:positionV relativeFrom="paragraph">
                        <wp:posOffset>177096</wp:posOffset>
                      </wp:positionV>
                      <wp:extent cx="396046" cy="180551"/>
                      <wp:effectExtent l="0" t="0" r="80645" b="67310"/>
                      <wp:wrapNone/>
                      <wp:docPr id="13" name="Straight Arrow Connector 13"/>
                      <wp:cNvGraphicFramePr/>
                      <a:graphic xmlns:a="http://schemas.openxmlformats.org/drawingml/2006/main">
                        <a:graphicData uri="http://schemas.microsoft.com/office/word/2010/wordprocessingShape">
                          <wps:wsp>
                            <wps:cNvCnPr/>
                            <wps:spPr>
                              <a:xfrm>
                                <a:off x="0" y="0"/>
                                <a:ext cx="396046" cy="18055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966B7F0" id="Straight Arrow Connector 13" o:spid="_x0000_s1026" type="#_x0000_t32" style="position:absolute;margin-left:39.25pt;margin-top:13.95pt;width:31.2pt;height:1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" strokecolor="windowText" strokeweight=".5pt">
                      <v:stroke endarrow="block" joinstyle="miter"/>
                    </v:shape>
                  </w:pict>
                </mc:Fallback>
              </mc:AlternateContent>
            </w:r>
            <w:r w:rsidR="00813ACC" w:rsidRPr="003E306B">
              <w:rPr>
                <w:rFonts w:ascii="Times New Roman" w:hAnsi="Times New Roman" w:cs="Times New Roman"/>
                <w:noProof/>
                <w:sz w:val="20"/>
                <w:szCs w:val="20"/>
                <w:lang w:eastAsia="en-GB"/>
              </w:rPr>
              <mc:AlternateContent>
                <mc:Choice Requires="wps">
                  <w:drawing>
                    <wp:anchor distT="0" distB="0" distL="114300" distR="114300" simplePos="0" relativeHeight="251702272" behindDoc="0" locked="0" layoutInCell="1" allowOverlap="1" wp14:anchorId="0BAD9A53" wp14:editId="7C115E69">
                      <wp:simplePos x="0" y="0"/>
                      <wp:positionH relativeFrom="column">
                        <wp:posOffset>614461</wp:posOffset>
                      </wp:positionH>
                      <wp:positionV relativeFrom="paragraph">
                        <wp:posOffset>357108</wp:posOffset>
                      </wp:positionV>
                      <wp:extent cx="600075" cy="267913"/>
                      <wp:effectExtent l="0" t="0" r="28575" b="18415"/>
                      <wp:wrapNone/>
                      <wp:docPr id="12" name="Text Box 12"/>
                      <wp:cNvGraphicFramePr/>
                      <a:graphic xmlns:a="http://schemas.openxmlformats.org/drawingml/2006/main">
                        <a:graphicData uri="http://schemas.microsoft.com/office/word/2010/wordprocessingShape">
                          <wps:wsp>
                            <wps:cNvSpPr txBox="1"/>
                            <wps:spPr>
                              <a:xfrm>
                                <a:off x="0" y="0"/>
                                <a:ext cx="600075" cy="267913"/>
                              </a:xfrm>
                              <a:prstGeom prst="rect">
                                <a:avLst/>
                              </a:prstGeom>
                              <a:solidFill>
                                <a:sysClr val="window" lastClr="FFFFFF"/>
                              </a:solidFill>
                              <a:ln w="6350">
                                <a:solidFill>
                                  <a:prstClr val="black"/>
                                </a:solidFill>
                              </a:ln>
                            </wps:spPr>
                            <wps:txbx>
                              <w:txbxContent>
                                <w:p w14:paraId="5C0B5654" w14:textId="7D5915A7" w:rsidR="007B4FF2" w:rsidRPr="00813ACC" w:rsidRDefault="007B4FF2" w:rsidP="00813ACC">
                                  <w:pPr>
                                    <w:pStyle w:val="NoSpacing"/>
                                    <w:jc w:val="center"/>
                                    <w:rPr>
                                      <w:rFonts w:ascii="Times New Roman" w:hAnsi="Times New Roman" w:cs="Times New Roman"/>
                                      <w:sz w:val="16"/>
                                      <w:szCs w:val="16"/>
                                    </w:rPr>
                                  </w:pPr>
                                  <w:r w:rsidRPr="00813ACC">
                                    <w:rPr>
                                      <w:rFonts w:ascii="Times New Roman" w:hAnsi="Times New Roman" w:cs="Times New Roman"/>
                                      <w:sz w:val="16"/>
                                      <w:szCs w:val="16"/>
                                    </w:rPr>
                                    <w:t>TT strategic</w:t>
                                  </w:r>
                                  <w:r>
                                    <w:rPr>
                                      <w:rFonts w:ascii="Times New Roman" w:hAnsi="Times New Roman" w:cs="Times New Roman"/>
                                      <w:sz w:val="16"/>
                                      <w:szCs w:val="16"/>
                                    </w:rPr>
                                    <w:t xml:space="preserve"> priority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D9A53" id="Text Box 12" o:spid="_x0000_s1029" type="#_x0000_t202" style="position:absolute;margin-left:48.4pt;margin-top:28.1pt;width:47.25pt;height:21.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" fillcolor="window" strokeweight=".5pt">
                      <v:textbox inset="0,0,0,0">
                        <w:txbxContent>
                          <w:p w14:paraId="5C0B5654" w14:textId="7D5915A7" w:rsidR="007B4FF2" w:rsidRPr="00813ACC" w:rsidRDefault="007B4FF2" w:rsidP="00813ACC">
                            <w:pPr>
                              <w:pStyle w:val="NoSpacing"/>
                              <w:jc w:val="center"/>
                              <w:rPr>
                                <w:rFonts w:ascii="Times New Roman" w:hAnsi="Times New Roman" w:cs="Times New Roman"/>
                                <w:sz w:val="16"/>
                                <w:szCs w:val="16"/>
                              </w:rPr>
                            </w:pPr>
                            <w:r w:rsidRPr="00813ACC">
                              <w:rPr>
                                <w:rFonts w:ascii="Times New Roman" w:hAnsi="Times New Roman" w:cs="Times New Roman"/>
                                <w:sz w:val="16"/>
                                <w:szCs w:val="16"/>
                              </w:rPr>
                              <w:t>TT strategic</w:t>
                            </w:r>
                            <w:r>
                              <w:rPr>
                                <w:rFonts w:ascii="Times New Roman" w:hAnsi="Times New Roman" w:cs="Times New Roman"/>
                                <w:sz w:val="16"/>
                                <w:szCs w:val="16"/>
                              </w:rPr>
                              <w:t xml:space="preserve"> priority</w:t>
                            </w:r>
                          </w:p>
                        </w:txbxContent>
                      </v:textbox>
                    </v:shape>
                  </w:pict>
                </mc:Fallback>
              </mc:AlternateContent>
            </w:r>
            <w:r w:rsidR="00813ACC" w:rsidRPr="003E306B">
              <w:rPr>
                <w:rFonts w:ascii="Times New Roman" w:hAnsi="Times New Roman" w:cs="Times New Roman"/>
                <w:noProof/>
                <w:sz w:val="20"/>
                <w:szCs w:val="20"/>
                <w:lang w:eastAsia="en-GB"/>
              </w:rPr>
              <mc:AlternateContent>
                <mc:Choice Requires="wps">
                  <w:drawing>
                    <wp:anchor distT="0" distB="0" distL="114300" distR="114300" simplePos="0" relativeHeight="251701248" behindDoc="0" locked="0" layoutInCell="1" allowOverlap="1" wp14:anchorId="312BE1FA" wp14:editId="34C056D4">
                      <wp:simplePos x="0" y="0"/>
                      <wp:positionH relativeFrom="column">
                        <wp:posOffset>-13861</wp:posOffset>
                      </wp:positionH>
                      <wp:positionV relativeFrom="paragraph">
                        <wp:posOffset>677735</wp:posOffset>
                      </wp:positionV>
                      <wp:extent cx="533400" cy="2000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33400" cy="200025"/>
                              </a:xfrm>
                              <a:prstGeom prst="rect">
                                <a:avLst/>
                              </a:prstGeom>
                              <a:solidFill>
                                <a:sysClr val="window" lastClr="FFFFFF"/>
                              </a:solidFill>
                              <a:ln w="6350">
                                <a:solidFill>
                                  <a:prstClr val="black"/>
                                </a:solidFill>
                              </a:ln>
                            </wps:spPr>
                            <wps:txbx>
                              <w:txbxContent>
                                <w:p w14:paraId="0BF175F8" w14:textId="77777777" w:rsidR="007B4FF2" w:rsidRPr="00813ACC" w:rsidRDefault="007B4FF2" w:rsidP="00813ACC">
                                  <w:pPr>
                                    <w:pStyle w:val="NoSpacing"/>
                                    <w:rPr>
                                      <w:rFonts w:ascii="Times New Roman" w:hAnsi="Times New Roman" w:cs="Times New Roman"/>
                                      <w:sz w:val="18"/>
                                      <w:szCs w:val="18"/>
                                    </w:rPr>
                                  </w:pPr>
                                  <w:r w:rsidRPr="00813ACC">
                                    <w:rPr>
                                      <w:rFonts w:ascii="Times New Roman" w:hAnsi="Times New Roman" w:cs="Times New Roman"/>
                                      <w:sz w:val="18"/>
                                      <w:szCs w:val="18"/>
                                    </w:rPr>
                                    <w:t xml:space="preserve">Incentives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BE1FA" id="Text Box 14" o:spid="_x0000_s1030" type="#_x0000_t202" style="position:absolute;margin-left:-1.1pt;margin-top:53.35pt;width:42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" fillcolor="window" strokeweight=".5pt">
                      <v:textbox inset="0,0,0,0">
                        <w:txbxContent>
                          <w:p w14:paraId="0BF175F8" w14:textId="77777777" w:rsidR="007B4FF2" w:rsidRPr="00813ACC" w:rsidRDefault="007B4FF2" w:rsidP="00813ACC">
                            <w:pPr>
                              <w:pStyle w:val="NoSpacing"/>
                              <w:rPr>
                                <w:rFonts w:ascii="Times New Roman" w:hAnsi="Times New Roman" w:cs="Times New Roman"/>
                                <w:sz w:val="18"/>
                                <w:szCs w:val="18"/>
                              </w:rPr>
                            </w:pPr>
                            <w:r w:rsidRPr="00813ACC">
                              <w:rPr>
                                <w:rFonts w:ascii="Times New Roman" w:hAnsi="Times New Roman" w:cs="Times New Roman"/>
                                <w:sz w:val="18"/>
                                <w:szCs w:val="18"/>
                              </w:rPr>
                              <w:t xml:space="preserve">Incentives </w:t>
                            </w:r>
                          </w:p>
                        </w:txbxContent>
                      </v:textbox>
                    </v:shape>
                  </w:pict>
                </mc:Fallback>
              </mc:AlternateContent>
            </w:r>
            <w:r w:rsidR="00813ACC" w:rsidRPr="003E306B">
              <w:rPr>
                <w:rFonts w:ascii="Times New Roman" w:hAnsi="Times New Roman" w:cs="Times New Roman"/>
                <w:noProof/>
                <w:sz w:val="20"/>
                <w:szCs w:val="20"/>
                <w:lang w:eastAsia="en-GB"/>
              </w:rPr>
              <mc:AlternateContent>
                <mc:Choice Requires="wps">
                  <w:drawing>
                    <wp:anchor distT="0" distB="0" distL="114300" distR="114300" simplePos="0" relativeHeight="251700224" behindDoc="0" locked="0" layoutInCell="1" allowOverlap="1" wp14:anchorId="51B5F6E5" wp14:editId="1DECB9C8">
                      <wp:simplePos x="0" y="0"/>
                      <wp:positionH relativeFrom="column">
                        <wp:posOffset>-8202</wp:posOffset>
                      </wp:positionH>
                      <wp:positionV relativeFrom="paragraph">
                        <wp:posOffset>66435</wp:posOffset>
                      </wp:positionV>
                      <wp:extent cx="495300" cy="244617"/>
                      <wp:effectExtent l="0" t="0" r="19050" b="22225"/>
                      <wp:wrapNone/>
                      <wp:docPr id="26" name="Text Box 26"/>
                      <wp:cNvGraphicFramePr/>
                      <a:graphic xmlns:a="http://schemas.openxmlformats.org/drawingml/2006/main">
                        <a:graphicData uri="http://schemas.microsoft.com/office/word/2010/wordprocessingShape">
                          <wps:wsp>
                            <wps:cNvSpPr txBox="1"/>
                            <wps:spPr>
                              <a:xfrm>
                                <a:off x="0" y="0"/>
                                <a:ext cx="495300" cy="244617"/>
                              </a:xfrm>
                              <a:prstGeom prst="rect">
                                <a:avLst/>
                              </a:prstGeom>
                              <a:solidFill>
                                <a:schemeClr val="lt1"/>
                              </a:solidFill>
                              <a:ln w="6350">
                                <a:solidFill>
                                  <a:prstClr val="black"/>
                                </a:solidFill>
                              </a:ln>
                            </wps:spPr>
                            <wps:txbx>
                              <w:txbxContent>
                                <w:p w14:paraId="52EF8E1B" w14:textId="38272072" w:rsidR="007B4FF2" w:rsidRPr="00813ACC" w:rsidRDefault="007B4FF2" w:rsidP="00813ACC">
                                  <w:pPr>
                                    <w:pStyle w:val="NoSpacing"/>
                                    <w:jc w:val="center"/>
                                    <w:rPr>
                                      <w:rFonts w:ascii="Times New Roman" w:hAnsi="Times New Roman" w:cs="Times New Roman"/>
                                      <w:sz w:val="17"/>
                                      <w:szCs w:val="17"/>
                                    </w:rPr>
                                  </w:pPr>
                                  <w:r w:rsidRPr="00813ACC">
                                    <w:rPr>
                                      <w:rFonts w:ascii="Times New Roman" w:hAnsi="Times New Roman" w:cs="Times New Roman"/>
                                      <w:sz w:val="17"/>
                                      <w:szCs w:val="17"/>
                                    </w:rPr>
                                    <w:t xml:space="preserve">TTO support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5F6E5" id="Text Box 26" o:spid="_x0000_s1031" type="#_x0000_t202" style="position:absolute;margin-left:-.65pt;margin-top:5.25pt;width:39pt;height:1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" fillcolor="white [3201]" strokeweight=".5pt">
                      <v:textbox inset="0,0,0,0">
                        <w:txbxContent>
                          <w:p w14:paraId="52EF8E1B" w14:textId="38272072" w:rsidR="007B4FF2" w:rsidRPr="00813ACC" w:rsidRDefault="007B4FF2" w:rsidP="00813ACC">
                            <w:pPr>
                              <w:pStyle w:val="NoSpacing"/>
                              <w:jc w:val="center"/>
                              <w:rPr>
                                <w:rFonts w:ascii="Times New Roman" w:hAnsi="Times New Roman" w:cs="Times New Roman"/>
                                <w:sz w:val="17"/>
                                <w:szCs w:val="17"/>
                              </w:rPr>
                            </w:pPr>
                            <w:r w:rsidRPr="00813ACC">
                              <w:rPr>
                                <w:rFonts w:ascii="Times New Roman" w:hAnsi="Times New Roman" w:cs="Times New Roman"/>
                                <w:sz w:val="17"/>
                                <w:szCs w:val="17"/>
                              </w:rPr>
                              <w:t xml:space="preserve">TTO support </w:t>
                            </w:r>
                          </w:p>
                        </w:txbxContent>
                      </v:textbox>
                    </v:shape>
                  </w:pict>
                </mc:Fallback>
              </mc:AlternateContent>
            </w:r>
            <w:r w:rsidR="008F29B6" w:rsidRPr="003E306B">
              <w:rPr>
                <w:rFonts w:ascii="Times New Roman" w:hAnsi="Times New Roman" w:cs="Times New Roman"/>
                <w:noProof/>
                <w:sz w:val="20"/>
                <w:szCs w:val="20"/>
                <w:lang w:eastAsia="en-GB"/>
              </w:rPr>
              <mc:AlternateContent>
                <mc:Choice Requires="wps">
                  <w:drawing>
                    <wp:anchor distT="0" distB="0" distL="114300" distR="114300" simplePos="0" relativeHeight="251707392" behindDoc="0" locked="0" layoutInCell="1" allowOverlap="1" wp14:anchorId="581E2D8D" wp14:editId="78FB92B5">
                      <wp:simplePos x="0" y="0"/>
                      <wp:positionH relativeFrom="column">
                        <wp:posOffset>627380</wp:posOffset>
                      </wp:positionH>
                      <wp:positionV relativeFrom="paragraph">
                        <wp:posOffset>74930</wp:posOffset>
                      </wp:positionV>
                      <wp:extent cx="190500" cy="1428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90500" cy="142875"/>
                              </a:xfrm>
                              <a:prstGeom prst="rect">
                                <a:avLst/>
                              </a:prstGeom>
                              <a:solidFill>
                                <a:schemeClr val="lt1"/>
                              </a:solidFill>
                              <a:ln w="6350">
                                <a:noFill/>
                              </a:ln>
                            </wps:spPr>
                            <wps:txbx>
                              <w:txbxContent>
                                <w:p w14:paraId="365442DB" w14:textId="77777777" w:rsidR="007B4FF2" w:rsidRPr="00E264F2" w:rsidRDefault="007B4FF2" w:rsidP="008F29B6">
                                  <w:pPr>
                                    <w:rPr>
                                      <w:sz w:val="16"/>
                                      <w:szCs w:val="16"/>
                                    </w:rPr>
                                  </w:pPr>
                                  <w:r w:rsidRPr="00E264F2">
                                    <w:rPr>
                                      <w:sz w:val="16"/>
                                      <w:szCs w:val="16"/>
                                    </w:rPr>
                                    <w:t xml:space="preserve"> a/c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81E2D8D" id="Text Box 11" o:spid="_x0000_s1032" type="#_x0000_t202" style="position:absolute;margin-left:49.4pt;margin-top:5.9pt;width:15pt;height:11.2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" fillcolor="white [3201]" stroked="f" strokeweight=".5pt">
                      <v:textbox inset="0,0,0,0">
                        <w:txbxContent>
                          <w:p w14:paraId="365442DB" w14:textId="77777777" w:rsidR="007B4FF2" w:rsidRPr="00E264F2" w:rsidRDefault="007B4FF2" w:rsidP="008F29B6">
                            <w:pPr>
                              <w:rPr>
                                <w:sz w:val="16"/>
                                <w:szCs w:val="16"/>
                              </w:rPr>
                            </w:pPr>
                            <w:r w:rsidRPr="00E264F2">
                              <w:rPr>
                                <w:sz w:val="16"/>
                                <w:szCs w:val="16"/>
                              </w:rPr>
                              <w:t xml:space="preserve"> a/c</w:t>
                            </w:r>
                          </w:p>
                        </w:txbxContent>
                      </v:textbox>
                    </v:shape>
                  </w:pict>
                </mc:Fallback>
              </mc:AlternateContent>
            </w:r>
          </w:p>
        </w:tc>
      </w:tr>
      <w:tr w:rsidR="008F29B6" w:rsidRPr="003E306B" w14:paraId="2108BE34" w14:textId="77777777" w:rsidTr="00E45B28">
        <w:trPr>
          <w:trHeight w:val="409"/>
        </w:trPr>
        <w:tc>
          <w:tcPr>
            <w:tcW w:w="3155" w:type="dxa"/>
            <w:tcBorders>
              <w:right w:val="single" w:sz="4" w:space="0" w:color="auto"/>
            </w:tcBorders>
          </w:tcPr>
          <w:p w14:paraId="0B5A0990" w14:textId="0A4C97A4" w:rsidR="008F29B6" w:rsidRPr="003E306B" w:rsidRDefault="003E306B" w:rsidP="00141231">
            <w:pPr>
              <w:pStyle w:val="NoSpacing"/>
              <w:rPr>
                <w:rFonts w:ascii="Times New Roman" w:hAnsi="Times New Roman" w:cs="Times New Roman"/>
                <w:i/>
                <w:sz w:val="20"/>
                <w:szCs w:val="20"/>
              </w:rPr>
            </w:pPr>
            <w:r w:rsidRPr="003E306B">
              <w:rPr>
                <w:rFonts w:ascii="Times New Roman" w:hAnsi="Times New Roman" w:cs="Times New Roman"/>
                <w:i/>
                <w:noProof/>
                <w:sz w:val="20"/>
                <w:szCs w:val="20"/>
                <w:lang w:eastAsia="en-GB"/>
              </w:rPr>
              <mc:AlternateContent>
                <mc:Choice Requires="wps">
                  <w:drawing>
                    <wp:anchor distT="0" distB="0" distL="114300" distR="114300" simplePos="0" relativeHeight="251699200" behindDoc="0" locked="0" layoutInCell="1" allowOverlap="1" wp14:anchorId="079B20B7" wp14:editId="7DC16AAF">
                      <wp:simplePos x="0" y="0"/>
                      <wp:positionH relativeFrom="column">
                        <wp:posOffset>737870</wp:posOffset>
                      </wp:positionH>
                      <wp:positionV relativeFrom="paragraph">
                        <wp:posOffset>85725</wp:posOffset>
                      </wp:positionV>
                      <wp:extent cx="333375" cy="8223"/>
                      <wp:effectExtent l="0" t="76200" r="28575" b="87630"/>
                      <wp:wrapNone/>
                      <wp:docPr id="27" name="Straight Arrow Connector 27"/>
                      <wp:cNvGraphicFramePr/>
                      <a:graphic xmlns:a="http://schemas.openxmlformats.org/drawingml/2006/main">
                        <a:graphicData uri="http://schemas.microsoft.com/office/word/2010/wordprocessingShape">
                          <wps:wsp>
                            <wps:cNvCnPr/>
                            <wps:spPr>
                              <a:xfrm flipV="1">
                                <a:off x="0" y="0"/>
                                <a:ext cx="333375" cy="82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637590B" id="Straight Arrow Connector 27" o:spid="_x0000_s1026" type="#_x0000_t32" style="position:absolute;margin-left:58.1pt;margin-top:6.75pt;width:26.25pt;height:.6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" strokecolor="black [3213]" strokeweight=".5pt">
                      <v:stroke endarrow="block" joinstyle="miter"/>
                    </v:shape>
                  </w:pict>
                </mc:Fallback>
              </mc:AlternateContent>
            </w:r>
            <w:r w:rsidR="008F29B6" w:rsidRPr="003E306B">
              <w:rPr>
                <w:rFonts w:ascii="Times New Roman" w:hAnsi="Times New Roman" w:cs="Times New Roman"/>
                <w:i/>
                <w:sz w:val="20"/>
                <w:szCs w:val="20"/>
              </w:rPr>
              <w:t>TT</w:t>
            </w:r>
            <w:r w:rsidR="008F61BC" w:rsidRPr="003E306B">
              <w:rPr>
                <w:rFonts w:ascii="Times New Roman" w:hAnsi="Times New Roman" w:cs="Times New Roman"/>
                <w:i/>
                <w:sz w:val="20"/>
                <w:szCs w:val="20"/>
              </w:rPr>
              <w:t>O support</w:t>
            </w:r>
            <w:r w:rsidR="008F29B6" w:rsidRPr="003E306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8F29B6" w:rsidRPr="003E306B">
              <w:rPr>
                <w:rFonts w:ascii="Times New Roman" w:hAnsi="Times New Roman" w:cs="Times New Roman"/>
                <w:i/>
                <w:sz w:val="20"/>
                <w:szCs w:val="20"/>
              </w:rPr>
              <w:t xml:space="preserve"> TT effectiveness </w:t>
            </w:r>
          </w:p>
        </w:tc>
        <w:tc>
          <w:tcPr>
            <w:tcW w:w="1354" w:type="dxa"/>
            <w:tcBorders>
              <w:left w:val="single" w:sz="4" w:space="0" w:color="auto"/>
              <w:right w:val="single" w:sz="4" w:space="0" w:color="auto"/>
            </w:tcBorders>
          </w:tcPr>
          <w:p w14:paraId="182D8706" w14:textId="77777777" w:rsidR="008F29B6" w:rsidRPr="003E306B" w:rsidRDefault="008F29B6" w:rsidP="00141231">
            <w:pPr>
              <w:pStyle w:val="NoSpacing"/>
              <w:rPr>
                <w:rFonts w:ascii="Times New Roman" w:hAnsi="Times New Roman" w:cs="Times New Roman"/>
                <w:sz w:val="20"/>
                <w:szCs w:val="20"/>
              </w:rPr>
            </w:pPr>
          </w:p>
        </w:tc>
        <w:tc>
          <w:tcPr>
            <w:tcW w:w="1053" w:type="dxa"/>
            <w:tcBorders>
              <w:left w:val="single" w:sz="4" w:space="0" w:color="auto"/>
            </w:tcBorders>
          </w:tcPr>
          <w:p w14:paraId="25A19D04" w14:textId="77777777" w:rsidR="008F29B6" w:rsidRPr="003E306B" w:rsidRDefault="008F29B6" w:rsidP="00141231">
            <w:pPr>
              <w:pStyle w:val="NoSpacing"/>
              <w:rPr>
                <w:rFonts w:ascii="Times New Roman" w:hAnsi="Times New Roman" w:cs="Times New Roman"/>
                <w:sz w:val="20"/>
                <w:szCs w:val="20"/>
              </w:rPr>
            </w:pPr>
          </w:p>
        </w:tc>
        <w:tc>
          <w:tcPr>
            <w:tcW w:w="903" w:type="dxa"/>
            <w:tcBorders>
              <w:right w:val="single" w:sz="4" w:space="0" w:color="auto"/>
            </w:tcBorders>
          </w:tcPr>
          <w:p w14:paraId="44115FE5" w14:textId="77777777" w:rsidR="008F29B6" w:rsidRPr="003E306B" w:rsidRDefault="008F29B6" w:rsidP="00141231">
            <w:pPr>
              <w:pStyle w:val="NoSpacing"/>
              <w:rPr>
                <w:rFonts w:ascii="Times New Roman" w:hAnsi="Times New Roman" w:cs="Times New Roman"/>
                <w:sz w:val="20"/>
                <w:szCs w:val="20"/>
              </w:rPr>
            </w:pPr>
          </w:p>
        </w:tc>
        <w:tc>
          <w:tcPr>
            <w:tcW w:w="3462" w:type="dxa"/>
            <w:vMerge/>
            <w:tcBorders>
              <w:left w:val="single" w:sz="4" w:space="0" w:color="auto"/>
            </w:tcBorders>
          </w:tcPr>
          <w:p w14:paraId="6998ABEE" w14:textId="77777777" w:rsidR="008F29B6" w:rsidRPr="003E306B" w:rsidRDefault="008F29B6" w:rsidP="00141231">
            <w:pPr>
              <w:pStyle w:val="NoSpacing"/>
              <w:rPr>
                <w:rFonts w:ascii="Times New Roman" w:hAnsi="Times New Roman" w:cs="Times New Roman"/>
                <w:sz w:val="20"/>
                <w:szCs w:val="20"/>
              </w:rPr>
            </w:pPr>
          </w:p>
        </w:tc>
      </w:tr>
      <w:tr w:rsidR="008F29B6" w:rsidRPr="003E306B" w14:paraId="37740237" w14:textId="77777777" w:rsidTr="00E45B28">
        <w:trPr>
          <w:trHeight w:val="204"/>
        </w:trPr>
        <w:tc>
          <w:tcPr>
            <w:tcW w:w="3155" w:type="dxa"/>
            <w:tcBorders>
              <w:right w:val="single" w:sz="4" w:space="0" w:color="auto"/>
            </w:tcBorders>
          </w:tcPr>
          <w:p w14:paraId="67758437"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(A X B) – ( C X D)</w:t>
            </w:r>
          </w:p>
        </w:tc>
        <w:tc>
          <w:tcPr>
            <w:tcW w:w="1354" w:type="dxa"/>
            <w:tcBorders>
              <w:left w:val="single" w:sz="4" w:space="0" w:color="auto"/>
              <w:right w:val="single" w:sz="4" w:space="0" w:color="auto"/>
            </w:tcBorders>
          </w:tcPr>
          <w:p w14:paraId="225E1C15"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0.44**(.006)</w:t>
            </w:r>
          </w:p>
        </w:tc>
        <w:tc>
          <w:tcPr>
            <w:tcW w:w="1053" w:type="dxa"/>
            <w:tcBorders>
              <w:left w:val="single" w:sz="4" w:space="0" w:color="auto"/>
            </w:tcBorders>
          </w:tcPr>
          <w:p w14:paraId="0F680CE7"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0.771</w:t>
            </w:r>
          </w:p>
        </w:tc>
        <w:tc>
          <w:tcPr>
            <w:tcW w:w="903" w:type="dxa"/>
            <w:tcBorders>
              <w:right w:val="single" w:sz="4" w:space="0" w:color="auto"/>
            </w:tcBorders>
          </w:tcPr>
          <w:p w14:paraId="25C3A108"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0.168</w:t>
            </w:r>
          </w:p>
        </w:tc>
        <w:tc>
          <w:tcPr>
            <w:tcW w:w="3462" w:type="dxa"/>
            <w:vMerge/>
            <w:tcBorders>
              <w:left w:val="single" w:sz="4" w:space="0" w:color="auto"/>
            </w:tcBorders>
          </w:tcPr>
          <w:p w14:paraId="5D0582B3" w14:textId="77777777" w:rsidR="008F29B6" w:rsidRPr="003E306B" w:rsidRDefault="008F29B6" w:rsidP="00141231">
            <w:pPr>
              <w:pStyle w:val="NoSpacing"/>
              <w:rPr>
                <w:rFonts w:ascii="Times New Roman" w:hAnsi="Times New Roman" w:cs="Times New Roman"/>
                <w:sz w:val="20"/>
                <w:szCs w:val="20"/>
              </w:rPr>
            </w:pPr>
          </w:p>
        </w:tc>
      </w:tr>
      <w:tr w:rsidR="008F29B6" w:rsidRPr="003E306B" w14:paraId="1E3D8CB6" w14:textId="77777777" w:rsidTr="00E45B28">
        <w:trPr>
          <w:trHeight w:val="409"/>
        </w:trPr>
        <w:tc>
          <w:tcPr>
            <w:tcW w:w="3155" w:type="dxa"/>
            <w:tcBorders>
              <w:right w:val="single" w:sz="4" w:space="0" w:color="auto"/>
            </w:tcBorders>
          </w:tcPr>
          <w:p w14:paraId="7885D51D"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 xml:space="preserve">At a High level of Strategic Planning </w:t>
            </w:r>
          </w:p>
        </w:tc>
        <w:tc>
          <w:tcPr>
            <w:tcW w:w="1354" w:type="dxa"/>
            <w:tcBorders>
              <w:left w:val="single" w:sz="4" w:space="0" w:color="auto"/>
              <w:right w:val="single" w:sz="4" w:space="0" w:color="auto"/>
            </w:tcBorders>
          </w:tcPr>
          <w:p w14:paraId="414DB145" w14:textId="46096702"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0.23**(.007)</w:t>
            </w:r>
          </w:p>
        </w:tc>
        <w:tc>
          <w:tcPr>
            <w:tcW w:w="1053" w:type="dxa"/>
            <w:tcBorders>
              <w:left w:val="single" w:sz="4" w:space="0" w:color="auto"/>
            </w:tcBorders>
          </w:tcPr>
          <w:p w14:paraId="5C968818"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0.128</w:t>
            </w:r>
          </w:p>
        </w:tc>
        <w:tc>
          <w:tcPr>
            <w:tcW w:w="903" w:type="dxa"/>
            <w:tcBorders>
              <w:right w:val="single" w:sz="4" w:space="0" w:color="auto"/>
            </w:tcBorders>
          </w:tcPr>
          <w:p w14:paraId="15EFED5E"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0.329</w:t>
            </w:r>
          </w:p>
        </w:tc>
        <w:tc>
          <w:tcPr>
            <w:tcW w:w="3462" w:type="dxa"/>
            <w:vMerge/>
            <w:tcBorders>
              <w:left w:val="single" w:sz="4" w:space="0" w:color="auto"/>
            </w:tcBorders>
          </w:tcPr>
          <w:p w14:paraId="3071F129" w14:textId="77777777" w:rsidR="008F29B6" w:rsidRPr="003E306B" w:rsidRDefault="008F29B6" w:rsidP="00141231">
            <w:pPr>
              <w:pStyle w:val="NoSpacing"/>
              <w:rPr>
                <w:rFonts w:ascii="Times New Roman" w:hAnsi="Times New Roman" w:cs="Times New Roman"/>
                <w:sz w:val="20"/>
                <w:szCs w:val="20"/>
              </w:rPr>
            </w:pPr>
          </w:p>
        </w:tc>
      </w:tr>
      <w:tr w:rsidR="008F29B6" w:rsidRPr="003E306B" w14:paraId="4A182F9D" w14:textId="77777777" w:rsidTr="00E45B28">
        <w:trPr>
          <w:trHeight w:val="409"/>
        </w:trPr>
        <w:tc>
          <w:tcPr>
            <w:tcW w:w="3155" w:type="dxa"/>
            <w:tcBorders>
              <w:bottom w:val="double" w:sz="4" w:space="0" w:color="auto"/>
              <w:right w:val="single" w:sz="4" w:space="0" w:color="auto"/>
            </w:tcBorders>
          </w:tcPr>
          <w:p w14:paraId="3A4BDB4A"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 xml:space="preserve">At a Low level of Strategic Planning </w:t>
            </w:r>
          </w:p>
        </w:tc>
        <w:tc>
          <w:tcPr>
            <w:tcW w:w="1354" w:type="dxa"/>
            <w:tcBorders>
              <w:left w:val="single" w:sz="4" w:space="0" w:color="auto"/>
              <w:bottom w:val="double" w:sz="4" w:space="0" w:color="auto"/>
              <w:right w:val="single" w:sz="4" w:space="0" w:color="auto"/>
            </w:tcBorders>
          </w:tcPr>
          <w:p w14:paraId="0B287011"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-0.02 (0.718)</w:t>
            </w:r>
          </w:p>
        </w:tc>
        <w:tc>
          <w:tcPr>
            <w:tcW w:w="1053" w:type="dxa"/>
            <w:tcBorders>
              <w:left w:val="single" w:sz="4" w:space="0" w:color="auto"/>
              <w:bottom w:val="double" w:sz="4" w:space="0" w:color="auto"/>
            </w:tcBorders>
          </w:tcPr>
          <w:p w14:paraId="295FE8E9"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-0.154</w:t>
            </w:r>
          </w:p>
        </w:tc>
        <w:tc>
          <w:tcPr>
            <w:tcW w:w="903" w:type="dxa"/>
            <w:tcBorders>
              <w:bottom w:val="double" w:sz="4" w:space="0" w:color="auto"/>
              <w:right w:val="single" w:sz="4" w:space="0" w:color="auto"/>
            </w:tcBorders>
          </w:tcPr>
          <w:p w14:paraId="5F76F6FA"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0.096</w:t>
            </w:r>
          </w:p>
        </w:tc>
        <w:tc>
          <w:tcPr>
            <w:tcW w:w="3462" w:type="dxa"/>
            <w:vMerge/>
            <w:tcBorders>
              <w:left w:val="single" w:sz="4" w:space="0" w:color="auto"/>
            </w:tcBorders>
          </w:tcPr>
          <w:p w14:paraId="71EDC7D5" w14:textId="77777777" w:rsidR="008F29B6" w:rsidRPr="003E306B" w:rsidRDefault="008F29B6" w:rsidP="00141231">
            <w:pPr>
              <w:pStyle w:val="NoSpacing"/>
              <w:rPr>
                <w:rFonts w:ascii="Times New Roman" w:hAnsi="Times New Roman" w:cs="Times New Roman"/>
                <w:sz w:val="20"/>
                <w:szCs w:val="20"/>
              </w:rPr>
            </w:pPr>
          </w:p>
        </w:tc>
      </w:tr>
      <w:tr w:rsidR="008F29B6" w:rsidRPr="003E306B" w14:paraId="6CD22EBD" w14:textId="77777777" w:rsidTr="00E45B28">
        <w:trPr>
          <w:trHeight w:val="409"/>
        </w:trPr>
        <w:tc>
          <w:tcPr>
            <w:tcW w:w="3155" w:type="dxa"/>
            <w:tcBorders>
              <w:right w:val="single" w:sz="4" w:space="0" w:color="auto"/>
            </w:tcBorders>
          </w:tcPr>
          <w:p w14:paraId="1210837C" w14:textId="094245A2" w:rsidR="008F29B6" w:rsidRPr="003E306B" w:rsidRDefault="008F29B6" w:rsidP="00141231">
            <w:pPr>
              <w:pStyle w:val="NoSpacing"/>
              <w:rPr>
                <w:rFonts w:ascii="Times New Roman" w:hAnsi="Times New Roman" w:cs="Times New Roman"/>
                <w:i/>
                <w:sz w:val="20"/>
                <w:szCs w:val="20"/>
              </w:rPr>
            </w:pPr>
            <w:r w:rsidRPr="003E306B">
              <w:rPr>
                <w:rFonts w:ascii="Times New Roman" w:hAnsi="Times New Roman" w:cs="Times New Roman"/>
                <w:i/>
                <w:noProof/>
                <w:sz w:val="20"/>
                <w:szCs w:val="20"/>
                <w:lang w:eastAsia="en-GB"/>
              </w:rPr>
              <mc:AlternateContent>
                <mc:Choice Requires="wps">
                  <w:drawing>
                    <wp:anchor distT="0" distB="0" distL="114300" distR="114300" simplePos="0" relativeHeight="251709440" behindDoc="0" locked="0" layoutInCell="1" allowOverlap="1" wp14:anchorId="4D0A28D5" wp14:editId="300E6AD5">
                      <wp:simplePos x="0" y="0"/>
                      <wp:positionH relativeFrom="column">
                        <wp:posOffset>709295</wp:posOffset>
                      </wp:positionH>
                      <wp:positionV relativeFrom="paragraph">
                        <wp:posOffset>47442</wp:posOffset>
                      </wp:positionV>
                      <wp:extent cx="361950" cy="9045"/>
                      <wp:effectExtent l="0" t="76200" r="19050" b="86360"/>
                      <wp:wrapNone/>
                      <wp:docPr id="28" name="Straight Arrow Connector 28"/>
                      <wp:cNvGraphicFramePr/>
                      <a:graphic xmlns:a="http://schemas.openxmlformats.org/drawingml/2006/main">
                        <a:graphicData uri="http://schemas.microsoft.com/office/word/2010/wordprocessingShape">
                          <wps:wsp>
                            <wps:cNvCnPr/>
                            <wps:spPr>
                              <a:xfrm flipV="1">
                                <a:off x="0" y="0"/>
                                <a:ext cx="361950" cy="90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8C0D1B7" id="Straight Arrow Connector 28" o:spid="_x0000_s1026" type="#_x0000_t32" style="position:absolute;margin-left:55.85pt;margin-top:3.75pt;width:28.5pt;height:.7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" strokecolor="black [3213]" strokeweight=".5pt">
                      <v:stroke endarrow="block" joinstyle="miter"/>
                    </v:shape>
                  </w:pict>
                </mc:Fallback>
              </mc:AlternateContent>
            </w:r>
            <w:r w:rsidRPr="003E306B">
              <w:rPr>
                <w:rFonts w:ascii="Times New Roman" w:hAnsi="Times New Roman" w:cs="Times New Roman"/>
                <w:i/>
                <w:sz w:val="20"/>
                <w:szCs w:val="20"/>
              </w:rPr>
              <w:t xml:space="preserve">Incentivising         </w:t>
            </w:r>
            <w:r w:rsidR="003E306B">
              <w:rPr>
                <w:rFonts w:ascii="Times New Roman" w:hAnsi="Times New Roman" w:cs="Times New Roman"/>
                <w:i/>
                <w:sz w:val="20"/>
                <w:szCs w:val="20"/>
              </w:rPr>
              <w:t xml:space="preserve">      </w:t>
            </w:r>
            <w:r w:rsidRPr="003E306B">
              <w:rPr>
                <w:rFonts w:ascii="Times New Roman" w:hAnsi="Times New Roman" w:cs="Times New Roman"/>
                <w:i/>
                <w:sz w:val="20"/>
                <w:szCs w:val="20"/>
              </w:rPr>
              <w:t xml:space="preserve">TT effectiveness </w:t>
            </w:r>
          </w:p>
        </w:tc>
        <w:tc>
          <w:tcPr>
            <w:tcW w:w="1354" w:type="dxa"/>
            <w:tcBorders>
              <w:left w:val="single" w:sz="4" w:space="0" w:color="auto"/>
              <w:right w:val="single" w:sz="4" w:space="0" w:color="auto"/>
            </w:tcBorders>
          </w:tcPr>
          <w:p w14:paraId="1E90DA94" w14:textId="77777777" w:rsidR="008F29B6" w:rsidRPr="003E306B" w:rsidRDefault="008F29B6" w:rsidP="00141231">
            <w:pPr>
              <w:pStyle w:val="NoSpacing"/>
              <w:rPr>
                <w:rFonts w:ascii="Times New Roman" w:hAnsi="Times New Roman" w:cs="Times New Roman"/>
                <w:sz w:val="20"/>
                <w:szCs w:val="20"/>
              </w:rPr>
            </w:pPr>
          </w:p>
        </w:tc>
        <w:tc>
          <w:tcPr>
            <w:tcW w:w="1053" w:type="dxa"/>
            <w:tcBorders>
              <w:left w:val="single" w:sz="4" w:space="0" w:color="auto"/>
            </w:tcBorders>
          </w:tcPr>
          <w:p w14:paraId="361E31E3" w14:textId="77777777" w:rsidR="008F29B6" w:rsidRPr="003E306B" w:rsidRDefault="008F29B6" w:rsidP="00141231">
            <w:pPr>
              <w:pStyle w:val="NoSpacing"/>
              <w:rPr>
                <w:rFonts w:ascii="Times New Roman" w:hAnsi="Times New Roman" w:cs="Times New Roman"/>
                <w:sz w:val="20"/>
                <w:szCs w:val="20"/>
              </w:rPr>
            </w:pPr>
          </w:p>
        </w:tc>
        <w:tc>
          <w:tcPr>
            <w:tcW w:w="903" w:type="dxa"/>
            <w:tcBorders>
              <w:right w:val="single" w:sz="4" w:space="0" w:color="auto"/>
            </w:tcBorders>
          </w:tcPr>
          <w:p w14:paraId="3F6CAE4D" w14:textId="77777777" w:rsidR="008F29B6" w:rsidRPr="003E306B" w:rsidRDefault="008F29B6" w:rsidP="00141231">
            <w:pPr>
              <w:pStyle w:val="NoSpacing"/>
              <w:rPr>
                <w:rFonts w:ascii="Times New Roman" w:hAnsi="Times New Roman" w:cs="Times New Roman"/>
                <w:sz w:val="20"/>
                <w:szCs w:val="20"/>
              </w:rPr>
            </w:pPr>
          </w:p>
        </w:tc>
        <w:tc>
          <w:tcPr>
            <w:tcW w:w="3462" w:type="dxa"/>
            <w:vMerge w:val="restart"/>
            <w:tcBorders>
              <w:left w:val="single" w:sz="4" w:space="0" w:color="auto"/>
            </w:tcBorders>
          </w:tcPr>
          <w:p w14:paraId="47679BD6" w14:textId="311BEA04" w:rsidR="008F29B6" w:rsidRPr="003E306B" w:rsidRDefault="003E306B" w:rsidP="00141231">
            <w:pPr>
              <w:pStyle w:val="NoSpacing"/>
              <w:rPr>
                <w:rFonts w:ascii="Times New Roman" w:hAnsi="Times New Roman" w:cs="Times New Roman"/>
                <w:sz w:val="20"/>
                <w:szCs w:val="20"/>
              </w:rPr>
            </w:pPr>
            <w:r w:rsidRPr="003E306B">
              <w:rPr>
                <w:rFonts w:ascii="Times New Roman" w:hAnsi="Times New Roman" w:cs="Times New Roman"/>
                <w:noProof/>
                <w:sz w:val="20"/>
                <w:szCs w:val="20"/>
                <w:lang w:eastAsia="en-GB"/>
              </w:rPr>
              <mc:AlternateContent>
                <mc:Choice Requires="wps">
                  <w:drawing>
                    <wp:anchor distT="0" distB="0" distL="114300" distR="114300" simplePos="0" relativeHeight="251718656" behindDoc="0" locked="0" layoutInCell="1" allowOverlap="1" wp14:anchorId="076F56D7" wp14:editId="3C88766D">
                      <wp:simplePos x="0" y="0"/>
                      <wp:positionH relativeFrom="column">
                        <wp:posOffset>1253500</wp:posOffset>
                      </wp:positionH>
                      <wp:positionV relativeFrom="paragraph">
                        <wp:posOffset>146685</wp:posOffset>
                      </wp:positionV>
                      <wp:extent cx="190500" cy="142875"/>
                      <wp:effectExtent l="0" t="0" r="0" b="9525"/>
                      <wp:wrapNone/>
                      <wp:docPr id="49" name="Text Box 49"/>
                      <wp:cNvGraphicFramePr/>
                      <a:graphic xmlns:a="http://schemas.openxmlformats.org/drawingml/2006/main">
                        <a:graphicData uri="http://schemas.microsoft.com/office/word/2010/wordprocessingShape">
                          <wps:wsp>
                            <wps:cNvSpPr txBox="1"/>
                            <wps:spPr>
                              <a:xfrm>
                                <a:off x="0" y="0"/>
                                <a:ext cx="190500" cy="142875"/>
                              </a:xfrm>
                              <a:prstGeom prst="rect">
                                <a:avLst/>
                              </a:prstGeom>
                              <a:solidFill>
                                <a:sysClr val="window" lastClr="FFFFFF"/>
                              </a:solidFill>
                              <a:ln w="6350">
                                <a:noFill/>
                              </a:ln>
                            </wps:spPr>
                            <wps:txbx>
                              <w:txbxContent>
                                <w:p w14:paraId="27DF2880" w14:textId="77777777" w:rsidR="007B4FF2" w:rsidRPr="00E264F2" w:rsidRDefault="007B4FF2" w:rsidP="008F29B6">
                                  <w:pPr>
                                    <w:rPr>
                                      <w:sz w:val="16"/>
                                      <w:szCs w:val="16"/>
                                    </w:rPr>
                                  </w:pPr>
                                  <w:r w:rsidRPr="00E264F2">
                                    <w:rPr>
                                      <w:sz w:val="16"/>
                                      <w:szCs w:val="16"/>
                                    </w:rPr>
                                    <w:t xml:space="preserve"> </w:t>
                                  </w:r>
                                  <w:r>
                                    <w:rPr>
                                      <w:sz w:val="16"/>
                                      <w:szCs w:val="16"/>
                                    </w:rPr>
                                    <w:t>f</w:t>
                                  </w:r>
                                  <w:r w:rsidRPr="00E264F2">
                                    <w:rPr>
                                      <w:sz w:val="16"/>
                                      <w:szCs w:val="16"/>
                                    </w:rPr>
                                    <w:t>/</w:t>
                                  </w:r>
                                  <w:r>
                                    <w:rPr>
                                      <w:sz w:val="16"/>
                                      <w:szCs w:val="16"/>
                                    </w:rPr>
                                    <w: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76F56D7" id="Text Box 49" o:spid="_x0000_s1033" type="#_x0000_t202" style="position:absolute;margin-left:98.7pt;margin-top:11.55pt;width:15pt;height:11.2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" fillcolor="window" stroked="f" strokeweight=".5pt">
                      <v:textbox inset="0,0,0,0">
                        <w:txbxContent>
                          <w:p w14:paraId="27DF2880" w14:textId="77777777" w:rsidR="007B4FF2" w:rsidRPr="00E264F2" w:rsidRDefault="007B4FF2" w:rsidP="008F29B6">
                            <w:pPr>
                              <w:rPr>
                                <w:sz w:val="16"/>
                                <w:szCs w:val="16"/>
                              </w:rPr>
                            </w:pPr>
                            <w:r w:rsidRPr="00E264F2">
                              <w:rPr>
                                <w:sz w:val="16"/>
                                <w:szCs w:val="16"/>
                              </w:rPr>
                              <w:t xml:space="preserve"> </w:t>
                            </w:r>
                            <w:proofErr w:type="gramStart"/>
                            <w:r>
                              <w:rPr>
                                <w:sz w:val="16"/>
                                <w:szCs w:val="16"/>
                              </w:rPr>
                              <w:t>f</w:t>
                            </w:r>
                            <w:r w:rsidRPr="00E264F2">
                              <w:rPr>
                                <w:sz w:val="16"/>
                                <w:szCs w:val="16"/>
                              </w:rPr>
                              <w:t>/</w:t>
                            </w:r>
                            <w:r>
                              <w:rPr>
                                <w:sz w:val="16"/>
                                <w:szCs w:val="16"/>
                              </w:rPr>
                              <w:t>h</w:t>
                            </w:r>
                            <w:proofErr w:type="gramEnd"/>
                          </w:p>
                        </w:txbxContent>
                      </v:textbox>
                    </v:shape>
                  </w:pict>
                </mc:Fallback>
              </mc:AlternateContent>
            </w:r>
            <w:r w:rsidRPr="003E306B">
              <w:rPr>
                <w:rFonts w:ascii="Times New Roman" w:hAnsi="Times New Roman" w:cs="Times New Roman"/>
                <w:noProof/>
                <w:sz w:val="20"/>
                <w:szCs w:val="20"/>
                <w:lang w:eastAsia="en-GB"/>
              </w:rPr>
              <mc:AlternateContent>
                <mc:Choice Requires="wps">
                  <w:drawing>
                    <wp:anchor distT="0" distB="0" distL="114300" distR="114300" simplePos="0" relativeHeight="251715584" behindDoc="0" locked="0" layoutInCell="1" allowOverlap="1" wp14:anchorId="76DC8DC3" wp14:editId="6FE3140B">
                      <wp:simplePos x="0" y="0"/>
                      <wp:positionH relativeFrom="column">
                        <wp:posOffset>1221834</wp:posOffset>
                      </wp:positionH>
                      <wp:positionV relativeFrom="paragraph">
                        <wp:posOffset>392592</wp:posOffset>
                      </wp:positionV>
                      <wp:extent cx="211597" cy="6177"/>
                      <wp:effectExtent l="0" t="76200" r="17145" b="89535"/>
                      <wp:wrapNone/>
                      <wp:docPr id="53" name="Straight Arrow Connector 53"/>
                      <wp:cNvGraphicFramePr/>
                      <a:graphic xmlns:a="http://schemas.openxmlformats.org/drawingml/2006/main">
                        <a:graphicData uri="http://schemas.microsoft.com/office/word/2010/wordprocessingShape">
                          <wps:wsp>
                            <wps:cNvCnPr/>
                            <wps:spPr>
                              <a:xfrm flipV="1">
                                <a:off x="0" y="0"/>
                                <a:ext cx="211597" cy="617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6EBFFE5" id="Straight Arrow Connector 53" o:spid="_x0000_s1026" type="#_x0000_t32" style="position:absolute;margin-left:96.2pt;margin-top:30.9pt;width:16.65pt;height:.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" strokecolor="windowText" strokeweight=".5pt">
                      <v:stroke endarrow="block" joinstyle="miter"/>
                    </v:shape>
                  </w:pict>
                </mc:Fallback>
              </mc:AlternateContent>
            </w:r>
            <w:r w:rsidRPr="003E306B">
              <w:rPr>
                <w:rFonts w:ascii="Times New Roman" w:hAnsi="Times New Roman" w:cs="Times New Roman"/>
                <w:noProof/>
                <w:sz w:val="20"/>
                <w:szCs w:val="20"/>
                <w:lang w:eastAsia="en-GB"/>
              </w:rPr>
              <mc:AlternateContent>
                <mc:Choice Requires="wps">
                  <w:drawing>
                    <wp:anchor distT="0" distB="0" distL="114300" distR="114300" simplePos="0" relativeHeight="251724800" behindDoc="0" locked="0" layoutInCell="1" allowOverlap="1" wp14:anchorId="04E8B880" wp14:editId="580F3BA6">
                      <wp:simplePos x="0" y="0"/>
                      <wp:positionH relativeFrom="column">
                        <wp:posOffset>1445859</wp:posOffset>
                      </wp:positionH>
                      <wp:positionV relativeFrom="paragraph">
                        <wp:posOffset>260224</wp:posOffset>
                      </wp:positionV>
                      <wp:extent cx="540264" cy="268274"/>
                      <wp:effectExtent l="0" t="0" r="12700" b="17780"/>
                      <wp:wrapNone/>
                      <wp:docPr id="29" name="Text Box 29"/>
                      <wp:cNvGraphicFramePr/>
                      <a:graphic xmlns:a="http://schemas.openxmlformats.org/drawingml/2006/main">
                        <a:graphicData uri="http://schemas.microsoft.com/office/word/2010/wordprocessingShape">
                          <wps:wsp>
                            <wps:cNvSpPr txBox="1"/>
                            <wps:spPr>
                              <a:xfrm>
                                <a:off x="0" y="0"/>
                                <a:ext cx="540264" cy="268274"/>
                              </a:xfrm>
                              <a:prstGeom prst="rect">
                                <a:avLst/>
                              </a:prstGeom>
                              <a:solidFill>
                                <a:sysClr val="window" lastClr="FFFFFF"/>
                              </a:solidFill>
                              <a:ln w="6350">
                                <a:solidFill>
                                  <a:prstClr val="black"/>
                                </a:solidFill>
                              </a:ln>
                            </wps:spPr>
                            <wps:txbx>
                              <w:txbxContent>
                                <w:p w14:paraId="7F827783" w14:textId="77777777" w:rsidR="007B4FF2" w:rsidRPr="003E306B" w:rsidRDefault="007B4FF2" w:rsidP="003E306B">
                                  <w:pPr>
                                    <w:pStyle w:val="NoSpacing"/>
                                    <w:jc w:val="center"/>
                                    <w:rPr>
                                      <w:rFonts w:ascii="Times New Roman" w:hAnsi="Times New Roman" w:cs="Times New Roman"/>
                                      <w:sz w:val="16"/>
                                      <w:szCs w:val="16"/>
                                    </w:rPr>
                                  </w:pPr>
                                  <w:r w:rsidRPr="003E306B">
                                    <w:rPr>
                                      <w:rFonts w:ascii="Times New Roman" w:hAnsi="Times New Roman" w:cs="Times New Roman"/>
                                      <w:sz w:val="16"/>
                                      <w:szCs w:val="16"/>
                                    </w:rPr>
                                    <w:t>TT effectiveness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8B880" id="Text Box 29" o:spid="_x0000_s1034" type="#_x0000_t202" style="position:absolute;margin-left:113.85pt;margin-top:20.5pt;width:42.55pt;height:2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" fillcolor="window" strokeweight=".5pt">
                      <v:textbox inset="0,0,0,0">
                        <w:txbxContent>
                          <w:p w14:paraId="7F827783" w14:textId="77777777" w:rsidR="007B4FF2" w:rsidRPr="003E306B" w:rsidRDefault="007B4FF2" w:rsidP="003E306B">
                            <w:pPr>
                              <w:pStyle w:val="NoSpacing"/>
                              <w:jc w:val="center"/>
                              <w:rPr>
                                <w:rFonts w:ascii="Times New Roman" w:hAnsi="Times New Roman" w:cs="Times New Roman"/>
                                <w:sz w:val="16"/>
                                <w:szCs w:val="16"/>
                              </w:rPr>
                            </w:pPr>
                            <w:r w:rsidRPr="003E306B">
                              <w:rPr>
                                <w:rFonts w:ascii="Times New Roman" w:hAnsi="Times New Roman" w:cs="Times New Roman"/>
                                <w:sz w:val="16"/>
                                <w:szCs w:val="16"/>
                              </w:rPr>
                              <w:t>TT effectiveness</w:t>
                            </w:r>
                          </w:p>
                        </w:txbxContent>
                      </v:textbox>
                    </v:shape>
                  </w:pict>
                </mc:Fallback>
              </mc:AlternateContent>
            </w:r>
            <w:r w:rsidRPr="003E306B">
              <w:rPr>
                <w:rFonts w:ascii="Times New Roman" w:hAnsi="Times New Roman" w:cs="Times New Roman"/>
                <w:noProof/>
                <w:sz w:val="20"/>
                <w:szCs w:val="20"/>
                <w:lang w:eastAsia="en-GB"/>
              </w:rPr>
              <mc:AlternateContent>
                <mc:Choice Requires="wps">
                  <w:drawing>
                    <wp:anchor distT="0" distB="0" distL="114300" distR="114300" simplePos="0" relativeHeight="251722752" behindDoc="0" locked="0" layoutInCell="1" allowOverlap="1" wp14:anchorId="210C65F8" wp14:editId="715FD0F7">
                      <wp:simplePos x="0" y="0"/>
                      <wp:positionH relativeFrom="column">
                        <wp:posOffset>633121</wp:posOffset>
                      </wp:positionH>
                      <wp:positionV relativeFrom="paragraph">
                        <wp:posOffset>271114</wp:posOffset>
                      </wp:positionV>
                      <wp:extent cx="600075" cy="267913"/>
                      <wp:effectExtent l="0" t="0" r="28575" b="18415"/>
                      <wp:wrapNone/>
                      <wp:docPr id="25" name="Text Box 25"/>
                      <wp:cNvGraphicFramePr/>
                      <a:graphic xmlns:a="http://schemas.openxmlformats.org/drawingml/2006/main">
                        <a:graphicData uri="http://schemas.microsoft.com/office/word/2010/wordprocessingShape">
                          <wps:wsp>
                            <wps:cNvSpPr txBox="1"/>
                            <wps:spPr>
                              <a:xfrm>
                                <a:off x="0" y="0"/>
                                <a:ext cx="600075" cy="267913"/>
                              </a:xfrm>
                              <a:prstGeom prst="rect">
                                <a:avLst/>
                              </a:prstGeom>
                              <a:solidFill>
                                <a:sysClr val="window" lastClr="FFFFFF"/>
                              </a:solidFill>
                              <a:ln w="6350">
                                <a:solidFill>
                                  <a:prstClr val="black"/>
                                </a:solidFill>
                              </a:ln>
                            </wps:spPr>
                            <wps:txbx>
                              <w:txbxContent>
                                <w:p w14:paraId="26693461" w14:textId="77777777" w:rsidR="007B4FF2" w:rsidRPr="00813ACC" w:rsidRDefault="007B4FF2" w:rsidP="003E306B">
                                  <w:pPr>
                                    <w:pStyle w:val="NoSpacing"/>
                                    <w:jc w:val="center"/>
                                    <w:rPr>
                                      <w:rFonts w:ascii="Times New Roman" w:hAnsi="Times New Roman" w:cs="Times New Roman"/>
                                      <w:sz w:val="16"/>
                                      <w:szCs w:val="16"/>
                                    </w:rPr>
                                  </w:pPr>
                                  <w:r w:rsidRPr="00813ACC">
                                    <w:rPr>
                                      <w:rFonts w:ascii="Times New Roman" w:hAnsi="Times New Roman" w:cs="Times New Roman"/>
                                      <w:sz w:val="16"/>
                                      <w:szCs w:val="16"/>
                                    </w:rPr>
                                    <w:t>TT strategic</w:t>
                                  </w:r>
                                  <w:r>
                                    <w:rPr>
                                      <w:rFonts w:ascii="Times New Roman" w:hAnsi="Times New Roman" w:cs="Times New Roman"/>
                                      <w:sz w:val="16"/>
                                      <w:szCs w:val="16"/>
                                    </w:rPr>
                                    <w:t xml:space="preserve"> priority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C65F8" id="Text Box 25" o:spid="_x0000_s1035" type="#_x0000_t202" style="position:absolute;margin-left:49.85pt;margin-top:21.35pt;width:47.25pt;height:21.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" fillcolor="window" strokeweight=".5pt">
                      <v:textbox inset="0,0,0,0">
                        <w:txbxContent>
                          <w:p w14:paraId="26693461" w14:textId="77777777" w:rsidR="007B4FF2" w:rsidRPr="00813ACC" w:rsidRDefault="007B4FF2" w:rsidP="003E306B">
                            <w:pPr>
                              <w:pStyle w:val="NoSpacing"/>
                              <w:jc w:val="center"/>
                              <w:rPr>
                                <w:rFonts w:ascii="Times New Roman" w:hAnsi="Times New Roman" w:cs="Times New Roman"/>
                                <w:sz w:val="16"/>
                                <w:szCs w:val="16"/>
                              </w:rPr>
                            </w:pPr>
                            <w:r w:rsidRPr="00813ACC">
                              <w:rPr>
                                <w:rFonts w:ascii="Times New Roman" w:hAnsi="Times New Roman" w:cs="Times New Roman"/>
                                <w:sz w:val="16"/>
                                <w:szCs w:val="16"/>
                              </w:rPr>
                              <w:t>TT strategic</w:t>
                            </w:r>
                            <w:r>
                              <w:rPr>
                                <w:rFonts w:ascii="Times New Roman" w:hAnsi="Times New Roman" w:cs="Times New Roman"/>
                                <w:sz w:val="16"/>
                                <w:szCs w:val="16"/>
                              </w:rPr>
                              <w:t xml:space="preserve"> priority</w:t>
                            </w:r>
                          </w:p>
                        </w:txbxContent>
                      </v:textbox>
                    </v:shape>
                  </w:pict>
                </mc:Fallback>
              </mc:AlternateContent>
            </w:r>
            <w:r w:rsidRPr="003E306B">
              <w:rPr>
                <w:rFonts w:ascii="Times New Roman" w:hAnsi="Times New Roman" w:cs="Times New Roman"/>
                <w:noProof/>
                <w:sz w:val="20"/>
                <w:szCs w:val="20"/>
                <w:lang w:eastAsia="en-GB"/>
              </w:rPr>
              <mc:AlternateContent>
                <mc:Choice Requires="wps">
                  <w:drawing>
                    <wp:anchor distT="0" distB="0" distL="114300" distR="114300" simplePos="0" relativeHeight="251717632" behindDoc="0" locked="0" layoutInCell="1" allowOverlap="1" wp14:anchorId="71F047D8" wp14:editId="2D2AC858">
                      <wp:simplePos x="0" y="0"/>
                      <wp:positionH relativeFrom="column">
                        <wp:posOffset>693451</wp:posOffset>
                      </wp:positionH>
                      <wp:positionV relativeFrom="paragraph">
                        <wp:posOffset>632298</wp:posOffset>
                      </wp:positionV>
                      <wp:extent cx="190500" cy="142875"/>
                      <wp:effectExtent l="0" t="0" r="0" b="9525"/>
                      <wp:wrapNone/>
                      <wp:docPr id="36" name="Text Box 36"/>
                      <wp:cNvGraphicFramePr/>
                      <a:graphic xmlns:a="http://schemas.openxmlformats.org/drawingml/2006/main">
                        <a:graphicData uri="http://schemas.microsoft.com/office/word/2010/wordprocessingShape">
                          <wps:wsp>
                            <wps:cNvSpPr txBox="1"/>
                            <wps:spPr>
                              <a:xfrm>
                                <a:off x="0" y="0"/>
                                <a:ext cx="190500" cy="142875"/>
                              </a:xfrm>
                              <a:prstGeom prst="rect">
                                <a:avLst/>
                              </a:prstGeom>
                              <a:solidFill>
                                <a:sysClr val="window" lastClr="FFFFFF"/>
                              </a:solidFill>
                              <a:ln w="6350">
                                <a:noFill/>
                              </a:ln>
                            </wps:spPr>
                            <wps:txbx>
                              <w:txbxContent>
                                <w:p w14:paraId="5F3BD514" w14:textId="77777777" w:rsidR="007B4FF2" w:rsidRPr="00E264F2" w:rsidRDefault="007B4FF2" w:rsidP="008F29B6">
                                  <w:pPr>
                                    <w:rPr>
                                      <w:sz w:val="16"/>
                                      <w:szCs w:val="16"/>
                                    </w:rPr>
                                  </w:pPr>
                                  <w:r w:rsidRPr="00E264F2">
                                    <w:rPr>
                                      <w:sz w:val="16"/>
                                      <w:szCs w:val="16"/>
                                    </w:rPr>
                                    <w:t xml:space="preserve"> </w:t>
                                  </w:r>
                                  <w:r>
                                    <w:rPr>
                                      <w:sz w:val="16"/>
                                      <w:szCs w:val="16"/>
                                    </w:rPr>
                                    <w:t>e</w:t>
                                  </w:r>
                                  <w:r w:rsidRPr="00E264F2">
                                    <w:rPr>
                                      <w:sz w:val="16"/>
                                      <w:szCs w:val="16"/>
                                    </w:rPr>
                                    <w:t>/</w:t>
                                  </w:r>
                                  <w:r>
                                    <w:rPr>
                                      <w:sz w:val="16"/>
                                      <w:szCs w:val="16"/>
                                    </w:rPr>
                                    <w:t>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1F047D8" id="Text Box 36" o:spid="_x0000_s1036" type="#_x0000_t202" style="position:absolute;margin-left:54.6pt;margin-top:49.8pt;width:15pt;height:11.2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" fillcolor="window" stroked="f" strokeweight=".5pt">
                      <v:textbox inset="0,0,0,0">
                        <w:txbxContent>
                          <w:p w14:paraId="5F3BD514" w14:textId="77777777" w:rsidR="007B4FF2" w:rsidRPr="00E264F2" w:rsidRDefault="007B4FF2" w:rsidP="008F29B6">
                            <w:pPr>
                              <w:rPr>
                                <w:sz w:val="16"/>
                                <w:szCs w:val="16"/>
                              </w:rPr>
                            </w:pPr>
                            <w:r w:rsidRPr="00E264F2">
                              <w:rPr>
                                <w:sz w:val="16"/>
                                <w:szCs w:val="16"/>
                              </w:rPr>
                              <w:t xml:space="preserve"> </w:t>
                            </w:r>
                            <w:proofErr w:type="gramStart"/>
                            <w:r>
                              <w:rPr>
                                <w:sz w:val="16"/>
                                <w:szCs w:val="16"/>
                              </w:rPr>
                              <w:t>e</w:t>
                            </w:r>
                            <w:r w:rsidRPr="00E264F2">
                              <w:rPr>
                                <w:sz w:val="16"/>
                                <w:szCs w:val="16"/>
                              </w:rPr>
                              <w:t>/</w:t>
                            </w:r>
                            <w:r>
                              <w:rPr>
                                <w:sz w:val="16"/>
                                <w:szCs w:val="16"/>
                              </w:rPr>
                              <w:t>g</w:t>
                            </w:r>
                            <w:proofErr w:type="gramEnd"/>
                          </w:p>
                        </w:txbxContent>
                      </v:textbox>
                    </v:shape>
                  </w:pict>
                </mc:Fallback>
              </mc:AlternateContent>
            </w:r>
            <w:r w:rsidRPr="003E306B">
              <w:rPr>
                <w:rFonts w:ascii="Times New Roman" w:hAnsi="Times New Roman" w:cs="Times New Roman"/>
                <w:noProof/>
                <w:sz w:val="20"/>
                <w:szCs w:val="20"/>
                <w:lang w:eastAsia="en-GB"/>
              </w:rPr>
              <mc:AlternateContent>
                <mc:Choice Requires="wps">
                  <w:drawing>
                    <wp:anchor distT="0" distB="0" distL="114300" distR="114300" simplePos="0" relativeHeight="251716608" behindDoc="0" locked="0" layoutInCell="1" allowOverlap="1" wp14:anchorId="5AC5CDB3" wp14:editId="710A46E4">
                      <wp:simplePos x="0" y="0"/>
                      <wp:positionH relativeFrom="column">
                        <wp:posOffset>519105</wp:posOffset>
                      </wp:positionH>
                      <wp:positionV relativeFrom="paragraph">
                        <wp:posOffset>535756</wp:posOffset>
                      </wp:positionV>
                      <wp:extent cx="404300" cy="152867"/>
                      <wp:effectExtent l="0" t="38100" r="53340" b="19050"/>
                      <wp:wrapNone/>
                      <wp:docPr id="50" name="Straight Arrow Connector 50"/>
                      <wp:cNvGraphicFramePr/>
                      <a:graphic xmlns:a="http://schemas.openxmlformats.org/drawingml/2006/main">
                        <a:graphicData uri="http://schemas.microsoft.com/office/word/2010/wordprocessingShape">
                          <wps:wsp>
                            <wps:cNvCnPr/>
                            <wps:spPr>
                              <a:xfrm flipV="1">
                                <a:off x="0" y="0"/>
                                <a:ext cx="404300" cy="15286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D504D31" id="Straight Arrow Connector 50" o:spid="_x0000_s1026" type="#_x0000_t32" style="position:absolute;margin-left:40.85pt;margin-top:42.2pt;width:31.85pt;height:12.0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" strokecolor="windowText" strokeweight=".5pt">
                      <v:stroke endarrow="block" joinstyle="miter"/>
                    </v:shape>
                  </w:pict>
                </mc:Fallback>
              </mc:AlternateContent>
            </w:r>
            <w:r w:rsidRPr="003E306B">
              <w:rPr>
                <w:rFonts w:ascii="Times New Roman" w:hAnsi="Times New Roman" w:cs="Times New Roman"/>
                <w:noProof/>
                <w:sz w:val="20"/>
                <w:szCs w:val="20"/>
                <w:lang w:eastAsia="en-GB"/>
              </w:rPr>
              <mc:AlternateContent>
                <mc:Choice Requires="wps">
                  <w:drawing>
                    <wp:anchor distT="0" distB="0" distL="114300" distR="114300" simplePos="0" relativeHeight="251711488" behindDoc="0" locked="0" layoutInCell="1" allowOverlap="1" wp14:anchorId="3853D190" wp14:editId="1253C9A6">
                      <wp:simplePos x="0" y="0"/>
                      <wp:positionH relativeFrom="column">
                        <wp:posOffset>-20409</wp:posOffset>
                      </wp:positionH>
                      <wp:positionV relativeFrom="paragraph">
                        <wp:posOffset>599319</wp:posOffset>
                      </wp:positionV>
                      <wp:extent cx="533400" cy="200025"/>
                      <wp:effectExtent l="0" t="0" r="19050" b="28575"/>
                      <wp:wrapNone/>
                      <wp:docPr id="56" name="Text Box 56"/>
                      <wp:cNvGraphicFramePr/>
                      <a:graphic xmlns:a="http://schemas.openxmlformats.org/drawingml/2006/main">
                        <a:graphicData uri="http://schemas.microsoft.com/office/word/2010/wordprocessingShape">
                          <wps:wsp>
                            <wps:cNvSpPr txBox="1"/>
                            <wps:spPr>
                              <a:xfrm>
                                <a:off x="0" y="0"/>
                                <a:ext cx="533400" cy="200025"/>
                              </a:xfrm>
                              <a:prstGeom prst="rect">
                                <a:avLst/>
                              </a:prstGeom>
                              <a:solidFill>
                                <a:sysClr val="window" lastClr="FFFFFF"/>
                              </a:solidFill>
                              <a:ln w="6350">
                                <a:solidFill>
                                  <a:prstClr val="black"/>
                                </a:solidFill>
                              </a:ln>
                            </wps:spPr>
                            <wps:txbx>
                              <w:txbxContent>
                                <w:p w14:paraId="1963C079" w14:textId="77777777" w:rsidR="007B4FF2" w:rsidRPr="003E306B" w:rsidRDefault="007B4FF2" w:rsidP="003E306B">
                                  <w:pPr>
                                    <w:pStyle w:val="NoSpacing"/>
                                    <w:rPr>
                                      <w:rFonts w:ascii="Times New Roman" w:hAnsi="Times New Roman" w:cs="Times New Roman"/>
                                      <w:sz w:val="18"/>
                                      <w:szCs w:val="18"/>
                                    </w:rPr>
                                  </w:pPr>
                                  <w:r w:rsidRPr="003E306B">
                                    <w:rPr>
                                      <w:rFonts w:ascii="Times New Roman" w:hAnsi="Times New Roman" w:cs="Times New Roman"/>
                                      <w:sz w:val="18"/>
                                      <w:szCs w:val="18"/>
                                    </w:rPr>
                                    <w:t xml:space="preserve">Incentives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3D190" id="Text Box 56" o:spid="_x0000_s1037" type="#_x0000_t202" style="position:absolute;margin-left:-1.6pt;margin-top:47.2pt;width:42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" fillcolor="window" strokeweight=".5pt">
                      <v:textbox inset="0,0,0,0">
                        <w:txbxContent>
                          <w:p w14:paraId="1963C079" w14:textId="77777777" w:rsidR="007B4FF2" w:rsidRPr="003E306B" w:rsidRDefault="007B4FF2" w:rsidP="003E306B">
                            <w:pPr>
                              <w:pStyle w:val="NoSpacing"/>
                              <w:rPr>
                                <w:rFonts w:ascii="Times New Roman" w:hAnsi="Times New Roman" w:cs="Times New Roman"/>
                                <w:sz w:val="18"/>
                                <w:szCs w:val="18"/>
                              </w:rPr>
                            </w:pPr>
                            <w:r w:rsidRPr="003E306B">
                              <w:rPr>
                                <w:rFonts w:ascii="Times New Roman" w:hAnsi="Times New Roman" w:cs="Times New Roman"/>
                                <w:sz w:val="18"/>
                                <w:szCs w:val="18"/>
                              </w:rPr>
                              <w:t xml:space="preserve">Incentives </w:t>
                            </w:r>
                          </w:p>
                        </w:txbxContent>
                      </v:textbox>
                    </v:shape>
                  </w:pict>
                </mc:Fallback>
              </mc:AlternateContent>
            </w:r>
            <w:r w:rsidRPr="003E306B">
              <w:rPr>
                <w:rFonts w:ascii="Times New Roman" w:hAnsi="Times New Roman" w:cs="Times New Roman"/>
                <w:noProof/>
                <w:sz w:val="20"/>
                <w:szCs w:val="20"/>
                <w:lang w:eastAsia="en-GB"/>
              </w:rPr>
              <mc:AlternateContent>
                <mc:Choice Requires="wps">
                  <w:drawing>
                    <wp:anchor distT="0" distB="0" distL="114300" distR="114300" simplePos="0" relativeHeight="251714560" behindDoc="0" locked="0" layoutInCell="1" allowOverlap="1" wp14:anchorId="217AF123" wp14:editId="24046CAC">
                      <wp:simplePos x="0" y="0"/>
                      <wp:positionH relativeFrom="column">
                        <wp:posOffset>511716</wp:posOffset>
                      </wp:positionH>
                      <wp:positionV relativeFrom="paragraph">
                        <wp:posOffset>116992</wp:posOffset>
                      </wp:positionV>
                      <wp:extent cx="401231" cy="138624"/>
                      <wp:effectExtent l="0" t="0" r="75565" b="71120"/>
                      <wp:wrapNone/>
                      <wp:docPr id="51" name="Straight Arrow Connector 51"/>
                      <wp:cNvGraphicFramePr/>
                      <a:graphic xmlns:a="http://schemas.openxmlformats.org/drawingml/2006/main">
                        <a:graphicData uri="http://schemas.microsoft.com/office/word/2010/wordprocessingShape">
                          <wps:wsp>
                            <wps:cNvCnPr/>
                            <wps:spPr>
                              <a:xfrm>
                                <a:off x="0" y="0"/>
                                <a:ext cx="401231" cy="138624"/>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9E5494A" id="Straight Arrow Connector 51" o:spid="_x0000_s1026" type="#_x0000_t32" style="position:absolute;margin-left:40.3pt;margin-top:9.2pt;width:31.6pt;height:10.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" strokecolor="windowText" strokeweight=".5pt">
                      <v:stroke dashstyle="dash" endarrow="block" joinstyle="miter"/>
                    </v:shape>
                  </w:pict>
                </mc:Fallback>
              </mc:AlternateContent>
            </w:r>
            <w:r w:rsidRPr="003E306B">
              <w:rPr>
                <w:rFonts w:ascii="Times New Roman" w:hAnsi="Times New Roman" w:cs="Times New Roman"/>
                <w:noProof/>
                <w:sz w:val="20"/>
                <w:szCs w:val="20"/>
                <w:lang w:eastAsia="en-GB"/>
              </w:rPr>
              <mc:AlternateContent>
                <mc:Choice Requires="wps">
                  <w:drawing>
                    <wp:anchor distT="0" distB="0" distL="114300" distR="114300" simplePos="0" relativeHeight="251720704" behindDoc="0" locked="0" layoutInCell="1" allowOverlap="1" wp14:anchorId="157464C4" wp14:editId="070CC7F5">
                      <wp:simplePos x="0" y="0"/>
                      <wp:positionH relativeFrom="column">
                        <wp:posOffset>-32558</wp:posOffset>
                      </wp:positionH>
                      <wp:positionV relativeFrom="paragraph">
                        <wp:posOffset>11482</wp:posOffset>
                      </wp:positionV>
                      <wp:extent cx="533085" cy="244617"/>
                      <wp:effectExtent l="0" t="0" r="19685" b="22225"/>
                      <wp:wrapNone/>
                      <wp:docPr id="1" name="Text Box 1"/>
                      <wp:cNvGraphicFramePr/>
                      <a:graphic xmlns:a="http://schemas.openxmlformats.org/drawingml/2006/main">
                        <a:graphicData uri="http://schemas.microsoft.com/office/word/2010/wordprocessingShape">
                          <wps:wsp>
                            <wps:cNvSpPr txBox="1"/>
                            <wps:spPr>
                              <a:xfrm>
                                <a:off x="0" y="0"/>
                                <a:ext cx="533085" cy="244617"/>
                              </a:xfrm>
                              <a:prstGeom prst="rect">
                                <a:avLst/>
                              </a:prstGeom>
                              <a:solidFill>
                                <a:schemeClr val="lt1"/>
                              </a:solidFill>
                              <a:ln w="6350">
                                <a:solidFill>
                                  <a:prstClr val="black"/>
                                </a:solidFill>
                              </a:ln>
                            </wps:spPr>
                            <wps:txbx>
                              <w:txbxContent>
                                <w:p w14:paraId="2766F647" w14:textId="77777777" w:rsidR="007B4FF2" w:rsidRPr="00813ACC" w:rsidRDefault="007B4FF2" w:rsidP="003E306B">
                                  <w:pPr>
                                    <w:pStyle w:val="NoSpacing"/>
                                    <w:jc w:val="center"/>
                                    <w:rPr>
                                      <w:rFonts w:ascii="Times New Roman" w:hAnsi="Times New Roman" w:cs="Times New Roman"/>
                                      <w:sz w:val="17"/>
                                      <w:szCs w:val="17"/>
                                    </w:rPr>
                                  </w:pPr>
                                  <w:r w:rsidRPr="00813ACC">
                                    <w:rPr>
                                      <w:rFonts w:ascii="Times New Roman" w:hAnsi="Times New Roman" w:cs="Times New Roman"/>
                                      <w:sz w:val="17"/>
                                      <w:szCs w:val="17"/>
                                    </w:rPr>
                                    <w:t xml:space="preserve">TTO support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464C4" id="Text Box 1" o:spid="_x0000_s1038" type="#_x0000_t202" style="position:absolute;margin-left:-2.55pt;margin-top:.9pt;width:42pt;height:1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" fillcolor="white [3201]" strokeweight=".5pt">
                      <v:textbox inset="0,0,0,0">
                        <w:txbxContent>
                          <w:p w14:paraId="2766F647" w14:textId="77777777" w:rsidR="007B4FF2" w:rsidRPr="00813ACC" w:rsidRDefault="007B4FF2" w:rsidP="003E306B">
                            <w:pPr>
                              <w:pStyle w:val="NoSpacing"/>
                              <w:jc w:val="center"/>
                              <w:rPr>
                                <w:rFonts w:ascii="Times New Roman" w:hAnsi="Times New Roman" w:cs="Times New Roman"/>
                                <w:sz w:val="17"/>
                                <w:szCs w:val="17"/>
                              </w:rPr>
                            </w:pPr>
                            <w:r w:rsidRPr="00813ACC">
                              <w:rPr>
                                <w:rFonts w:ascii="Times New Roman" w:hAnsi="Times New Roman" w:cs="Times New Roman"/>
                                <w:sz w:val="17"/>
                                <w:szCs w:val="17"/>
                              </w:rPr>
                              <w:t xml:space="preserve">TTO support </w:t>
                            </w:r>
                          </w:p>
                        </w:txbxContent>
                      </v:textbox>
                    </v:shape>
                  </w:pict>
                </mc:Fallback>
              </mc:AlternateContent>
            </w:r>
          </w:p>
        </w:tc>
      </w:tr>
      <w:tr w:rsidR="008F29B6" w:rsidRPr="003E306B" w14:paraId="50911843" w14:textId="77777777" w:rsidTr="00E45B28">
        <w:trPr>
          <w:trHeight w:val="204"/>
        </w:trPr>
        <w:tc>
          <w:tcPr>
            <w:tcW w:w="3155" w:type="dxa"/>
            <w:tcBorders>
              <w:right w:val="single" w:sz="4" w:space="0" w:color="auto"/>
            </w:tcBorders>
          </w:tcPr>
          <w:p w14:paraId="56580C3C"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(E X F) – ( G X H)</w:t>
            </w:r>
          </w:p>
        </w:tc>
        <w:tc>
          <w:tcPr>
            <w:tcW w:w="1354" w:type="dxa"/>
            <w:tcBorders>
              <w:left w:val="single" w:sz="4" w:space="0" w:color="auto"/>
              <w:right w:val="single" w:sz="4" w:space="0" w:color="auto"/>
            </w:tcBorders>
          </w:tcPr>
          <w:p w14:paraId="0ADA3224"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-0.106 (.681)</w:t>
            </w:r>
          </w:p>
        </w:tc>
        <w:tc>
          <w:tcPr>
            <w:tcW w:w="1053" w:type="dxa"/>
            <w:tcBorders>
              <w:left w:val="single" w:sz="4" w:space="0" w:color="auto"/>
            </w:tcBorders>
          </w:tcPr>
          <w:p w14:paraId="6FC24878"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-0.493</w:t>
            </w:r>
          </w:p>
        </w:tc>
        <w:tc>
          <w:tcPr>
            <w:tcW w:w="903" w:type="dxa"/>
            <w:tcBorders>
              <w:right w:val="single" w:sz="4" w:space="0" w:color="auto"/>
            </w:tcBorders>
          </w:tcPr>
          <w:p w14:paraId="0B63290B"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0.301</w:t>
            </w:r>
          </w:p>
        </w:tc>
        <w:tc>
          <w:tcPr>
            <w:tcW w:w="3462" w:type="dxa"/>
            <w:vMerge/>
            <w:tcBorders>
              <w:left w:val="single" w:sz="4" w:space="0" w:color="auto"/>
            </w:tcBorders>
          </w:tcPr>
          <w:p w14:paraId="762A51CD" w14:textId="77777777" w:rsidR="008F29B6" w:rsidRPr="003E306B" w:rsidRDefault="008F29B6" w:rsidP="00141231">
            <w:pPr>
              <w:pStyle w:val="NoSpacing"/>
              <w:rPr>
                <w:rFonts w:ascii="Times New Roman" w:hAnsi="Times New Roman" w:cs="Times New Roman"/>
                <w:sz w:val="20"/>
                <w:szCs w:val="20"/>
              </w:rPr>
            </w:pPr>
          </w:p>
        </w:tc>
      </w:tr>
      <w:tr w:rsidR="008F29B6" w:rsidRPr="003E306B" w14:paraId="57FAEA91" w14:textId="77777777" w:rsidTr="00E45B28">
        <w:trPr>
          <w:trHeight w:val="409"/>
        </w:trPr>
        <w:tc>
          <w:tcPr>
            <w:tcW w:w="3155" w:type="dxa"/>
            <w:tcBorders>
              <w:right w:val="single" w:sz="4" w:space="0" w:color="auto"/>
            </w:tcBorders>
          </w:tcPr>
          <w:p w14:paraId="695CA6AB"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 xml:space="preserve">At a High level of Strategic Planning </w:t>
            </w:r>
          </w:p>
        </w:tc>
        <w:tc>
          <w:tcPr>
            <w:tcW w:w="1354" w:type="dxa"/>
            <w:tcBorders>
              <w:left w:val="single" w:sz="4" w:space="0" w:color="auto"/>
              <w:right w:val="single" w:sz="4" w:space="0" w:color="auto"/>
            </w:tcBorders>
          </w:tcPr>
          <w:p w14:paraId="2272D047"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0.03 (0.589)</w:t>
            </w:r>
          </w:p>
        </w:tc>
        <w:tc>
          <w:tcPr>
            <w:tcW w:w="1053" w:type="dxa"/>
            <w:tcBorders>
              <w:left w:val="single" w:sz="4" w:space="0" w:color="auto"/>
            </w:tcBorders>
          </w:tcPr>
          <w:p w14:paraId="29AD0BAF"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-0.073</w:t>
            </w:r>
          </w:p>
        </w:tc>
        <w:tc>
          <w:tcPr>
            <w:tcW w:w="903" w:type="dxa"/>
            <w:tcBorders>
              <w:right w:val="single" w:sz="4" w:space="0" w:color="auto"/>
            </w:tcBorders>
          </w:tcPr>
          <w:p w14:paraId="6EA614E2"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0.128</w:t>
            </w:r>
          </w:p>
        </w:tc>
        <w:tc>
          <w:tcPr>
            <w:tcW w:w="3462" w:type="dxa"/>
            <w:vMerge/>
            <w:tcBorders>
              <w:left w:val="single" w:sz="4" w:space="0" w:color="auto"/>
            </w:tcBorders>
          </w:tcPr>
          <w:p w14:paraId="747C19E9" w14:textId="77777777" w:rsidR="008F29B6" w:rsidRPr="003E306B" w:rsidRDefault="008F29B6" w:rsidP="00141231">
            <w:pPr>
              <w:pStyle w:val="NoSpacing"/>
              <w:rPr>
                <w:rFonts w:ascii="Times New Roman" w:hAnsi="Times New Roman" w:cs="Times New Roman"/>
                <w:sz w:val="20"/>
                <w:szCs w:val="20"/>
              </w:rPr>
            </w:pPr>
          </w:p>
        </w:tc>
      </w:tr>
      <w:tr w:rsidR="008F29B6" w:rsidRPr="003E306B" w14:paraId="4BC9C3A5" w14:textId="77777777" w:rsidTr="00E45B28">
        <w:trPr>
          <w:trHeight w:val="409"/>
        </w:trPr>
        <w:tc>
          <w:tcPr>
            <w:tcW w:w="3155" w:type="dxa"/>
            <w:tcBorders>
              <w:right w:val="single" w:sz="4" w:space="0" w:color="auto"/>
            </w:tcBorders>
          </w:tcPr>
          <w:p w14:paraId="50059E4F"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 xml:space="preserve">At a Low level of Strategic Planning </w:t>
            </w:r>
          </w:p>
        </w:tc>
        <w:tc>
          <w:tcPr>
            <w:tcW w:w="1354" w:type="dxa"/>
            <w:tcBorders>
              <w:left w:val="single" w:sz="4" w:space="0" w:color="auto"/>
              <w:right w:val="single" w:sz="4" w:space="0" w:color="auto"/>
            </w:tcBorders>
          </w:tcPr>
          <w:p w14:paraId="02970A2E"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0.114 (0.21)</w:t>
            </w:r>
          </w:p>
        </w:tc>
        <w:tc>
          <w:tcPr>
            <w:tcW w:w="1053" w:type="dxa"/>
            <w:tcBorders>
              <w:left w:val="single" w:sz="4" w:space="0" w:color="auto"/>
            </w:tcBorders>
          </w:tcPr>
          <w:p w14:paraId="776E3324"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-0.044</w:t>
            </w:r>
          </w:p>
        </w:tc>
        <w:tc>
          <w:tcPr>
            <w:tcW w:w="903" w:type="dxa"/>
            <w:tcBorders>
              <w:right w:val="single" w:sz="4" w:space="0" w:color="auto"/>
            </w:tcBorders>
          </w:tcPr>
          <w:p w14:paraId="59ACE144" w14:textId="77777777" w:rsidR="008F29B6" w:rsidRPr="003E306B" w:rsidRDefault="008F29B6" w:rsidP="00141231">
            <w:pPr>
              <w:pStyle w:val="NoSpacing"/>
              <w:rPr>
                <w:rFonts w:ascii="Times New Roman" w:hAnsi="Times New Roman" w:cs="Times New Roman"/>
                <w:sz w:val="20"/>
                <w:szCs w:val="20"/>
              </w:rPr>
            </w:pPr>
            <w:r w:rsidRPr="003E306B">
              <w:rPr>
                <w:rFonts w:ascii="Times New Roman" w:hAnsi="Times New Roman" w:cs="Times New Roman"/>
                <w:sz w:val="20"/>
                <w:szCs w:val="20"/>
              </w:rPr>
              <w:t>0.236</w:t>
            </w:r>
          </w:p>
        </w:tc>
        <w:tc>
          <w:tcPr>
            <w:tcW w:w="3462" w:type="dxa"/>
            <w:vMerge/>
            <w:tcBorders>
              <w:left w:val="single" w:sz="4" w:space="0" w:color="auto"/>
            </w:tcBorders>
          </w:tcPr>
          <w:p w14:paraId="584AE1EA" w14:textId="77777777" w:rsidR="008F29B6" w:rsidRPr="003E306B" w:rsidRDefault="008F29B6" w:rsidP="00141231">
            <w:pPr>
              <w:pStyle w:val="NoSpacing"/>
              <w:rPr>
                <w:rFonts w:ascii="Times New Roman" w:hAnsi="Times New Roman" w:cs="Times New Roman"/>
                <w:sz w:val="20"/>
                <w:szCs w:val="20"/>
              </w:rPr>
            </w:pPr>
          </w:p>
        </w:tc>
      </w:tr>
      <w:tr w:rsidR="008F29B6" w:rsidRPr="003E306B" w14:paraId="6BBF5E47" w14:textId="77777777" w:rsidTr="00E45B28">
        <w:trPr>
          <w:trHeight w:val="70"/>
        </w:trPr>
        <w:tc>
          <w:tcPr>
            <w:tcW w:w="3155" w:type="dxa"/>
            <w:tcBorders>
              <w:right w:val="single" w:sz="4" w:space="0" w:color="auto"/>
            </w:tcBorders>
          </w:tcPr>
          <w:p w14:paraId="16637187" w14:textId="77777777" w:rsidR="008F29B6" w:rsidRPr="003E306B" w:rsidRDefault="008F29B6" w:rsidP="00141231">
            <w:pPr>
              <w:pStyle w:val="NoSpacing"/>
              <w:rPr>
                <w:rFonts w:ascii="Times New Roman" w:hAnsi="Times New Roman" w:cs="Times New Roman"/>
                <w:sz w:val="20"/>
                <w:szCs w:val="20"/>
              </w:rPr>
            </w:pPr>
          </w:p>
        </w:tc>
        <w:tc>
          <w:tcPr>
            <w:tcW w:w="1354" w:type="dxa"/>
            <w:tcBorders>
              <w:left w:val="single" w:sz="4" w:space="0" w:color="auto"/>
              <w:right w:val="single" w:sz="4" w:space="0" w:color="auto"/>
            </w:tcBorders>
          </w:tcPr>
          <w:p w14:paraId="000700B1" w14:textId="77777777" w:rsidR="008F29B6" w:rsidRPr="003E306B" w:rsidRDefault="008F29B6" w:rsidP="00141231">
            <w:pPr>
              <w:pStyle w:val="NoSpacing"/>
              <w:rPr>
                <w:rFonts w:ascii="Times New Roman" w:hAnsi="Times New Roman" w:cs="Times New Roman"/>
                <w:sz w:val="20"/>
                <w:szCs w:val="20"/>
              </w:rPr>
            </w:pPr>
          </w:p>
        </w:tc>
        <w:tc>
          <w:tcPr>
            <w:tcW w:w="1053" w:type="dxa"/>
            <w:tcBorders>
              <w:left w:val="single" w:sz="4" w:space="0" w:color="auto"/>
            </w:tcBorders>
          </w:tcPr>
          <w:p w14:paraId="27B24611" w14:textId="77777777" w:rsidR="008F29B6" w:rsidRPr="003E306B" w:rsidRDefault="008F29B6" w:rsidP="00141231">
            <w:pPr>
              <w:pStyle w:val="NoSpacing"/>
              <w:rPr>
                <w:rFonts w:ascii="Times New Roman" w:hAnsi="Times New Roman" w:cs="Times New Roman"/>
                <w:sz w:val="20"/>
                <w:szCs w:val="20"/>
              </w:rPr>
            </w:pPr>
          </w:p>
        </w:tc>
        <w:tc>
          <w:tcPr>
            <w:tcW w:w="903" w:type="dxa"/>
            <w:tcBorders>
              <w:right w:val="single" w:sz="4" w:space="0" w:color="auto"/>
            </w:tcBorders>
          </w:tcPr>
          <w:p w14:paraId="7D36C3C1" w14:textId="77777777" w:rsidR="008F29B6" w:rsidRPr="003E306B" w:rsidRDefault="008F29B6" w:rsidP="00141231">
            <w:pPr>
              <w:pStyle w:val="NoSpacing"/>
              <w:rPr>
                <w:rFonts w:ascii="Times New Roman" w:hAnsi="Times New Roman" w:cs="Times New Roman"/>
                <w:sz w:val="20"/>
                <w:szCs w:val="20"/>
              </w:rPr>
            </w:pPr>
          </w:p>
        </w:tc>
        <w:tc>
          <w:tcPr>
            <w:tcW w:w="3462" w:type="dxa"/>
            <w:vMerge/>
            <w:tcBorders>
              <w:left w:val="single" w:sz="4" w:space="0" w:color="auto"/>
            </w:tcBorders>
          </w:tcPr>
          <w:p w14:paraId="3900B8D4" w14:textId="77777777" w:rsidR="008F29B6" w:rsidRPr="003E306B" w:rsidRDefault="008F29B6" w:rsidP="00141231">
            <w:pPr>
              <w:pStyle w:val="NoSpacing"/>
              <w:rPr>
                <w:rFonts w:ascii="Times New Roman" w:hAnsi="Times New Roman" w:cs="Times New Roman"/>
                <w:sz w:val="20"/>
                <w:szCs w:val="20"/>
              </w:rPr>
            </w:pPr>
          </w:p>
        </w:tc>
      </w:tr>
    </w:tbl>
    <w:p w14:paraId="2790ABA7" w14:textId="77777777" w:rsidR="008F29B6" w:rsidRPr="003E306B" w:rsidRDefault="008F29B6" w:rsidP="00141231">
      <w:pPr>
        <w:autoSpaceDE w:val="0"/>
        <w:autoSpaceDN w:val="0"/>
        <w:adjustRightInd w:val="0"/>
        <w:spacing w:line="360" w:lineRule="auto"/>
        <w:rPr>
          <w:rFonts w:ascii="Times New Roman" w:hAnsi="Times New Roman" w:cs="Times New Roman"/>
          <w:sz w:val="18"/>
          <w:szCs w:val="18"/>
        </w:rPr>
      </w:pPr>
      <w:r w:rsidRPr="003E306B">
        <w:rPr>
          <w:rFonts w:ascii="Times New Roman" w:hAnsi="Times New Roman" w:cs="Times New Roman"/>
          <w:sz w:val="18"/>
          <w:szCs w:val="18"/>
        </w:rPr>
        <w:t>**p&lt;0.01</w:t>
      </w:r>
    </w:p>
    <w:p w14:paraId="06DF5E22" w14:textId="77777777" w:rsidR="00FF2D2E" w:rsidRPr="00EF66BB" w:rsidRDefault="00FF2D2E" w:rsidP="00141231">
      <w:pPr>
        <w:spacing w:line="360" w:lineRule="auto"/>
        <w:rPr>
          <w:rFonts w:ascii="Times New Roman" w:hAnsi="Times New Roman" w:cs="Times New Roman"/>
        </w:rPr>
      </w:pPr>
    </w:p>
    <w:p w14:paraId="364BC702" w14:textId="3E4A31B9" w:rsidR="00565426" w:rsidRPr="00CD79CD" w:rsidRDefault="00FE60AB" w:rsidP="00141231">
      <w:pPr>
        <w:spacing w:line="360" w:lineRule="auto"/>
        <w:rPr>
          <w:rFonts w:ascii="Times New Roman" w:hAnsi="Times New Roman" w:cs="Times New Roman"/>
        </w:rPr>
      </w:pPr>
      <w:r w:rsidRPr="00FE60AB">
        <w:rPr>
          <w:rFonts w:ascii="Times New Roman" w:hAnsi="Times New Roman" w:cs="Times New Roman"/>
        </w:rPr>
        <w:t>We also used graphical methods</w:t>
      </w:r>
      <w:r w:rsidR="007B4FF2">
        <w:rPr>
          <w:rFonts w:ascii="Times New Roman" w:hAnsi="Times New Roman" w:cs="Times New Roman"/>
        </w:rPr>
        <w:t xml:space="preserve"> </w:t>
      </w:r>
      <w:r w:rsidRPr="00FE60AB">
        <w:rPr>
          <w:rFonts w:ascii="Times New Roman" w:hAnsi="Times New Roman" w:cs="Times New Roman"/>
        </w:rPr>
        <w:t xml:space="preserve">to clarify the moderation effect as suggested by data in table </w:t>
      </w:r>
      <w:r w:rsidR="00A05DC7">
        <w:rPr>
          <w:rFonts w:ascii="Times New Roman" w:hAnsi="Times New Roman" w:cs="Times New Roman"/>
        </w:rPr>
        <w:t>3</w:t>
      </w:r>
      <w:r w:rsidRPr="00FE60AB">
        <w:rPr>
          <w:rFonts w:ascii="Times New Roman" w:hAnsi="Times New Roman" w:cs="Times New Roman"/>
        </w:rPr>
        <w:t xml:space="preserve">. The </w:t>
      </w:r>
      <w:r w:rsidR="001A3E4C" w:rsidRPr="00FE60AB">
        <w:rPr>
          <w:rFonts w:ascii="Times New Roman" w:hAnsi="Times New Roman" w:cs="Times New Roman"/>
        </w:rPr>
        <w:t xml:space="preserve">interaction shown in Figure 2, suggests that, for institutions where planning </w:t>
      </w:r>
      <w:r w:rsidR="00D44A2A" w:rsidRPr="00FE60AB">
        <w:rPr>
          <w:rFonts w:ascii="Times New Roman" w:hAnsi="Times New Roman" w:cs="Times New Roman"/>
        </w:rPr>
        <w:t>involves greater engagement with the entire university</w:t>
      </w:r>
      <w:r w:rsidR="001A3E4C" w:rsidRPr="00FE60AB">
        <w:rPr>
          <w:rFonts w:ascii="Times New Roman" w:hAnsi="Times New Roman" w:cs="Times New Roman"/>
        </w:rPr>
        <w:t xml:space="preserve">, TTO support more positively relates to </w:t>
      </w:r>
      <w:r w:rsidR="000C0557" w:rsidRPr="00FE60AB">
        <w:rPr>
          <w:rFonts w:ascii="Times New Roman" w:hAnsi="Times New Roman" w:cs="Times New Roman"/>
        </w:rPr>
        <w:t>TT</w:t>
      </w:r>
      <w:r w:rsidR="001A3E4C" w:rsidRPr="00FE60AB">
        <w:rPr>
          <w:rFonts w:ascii="Times New Roman" w:hAnsi="Times New Roman" w:cs="Times New Roman"/>
        </w:rPr>
        <w:t xml:space="preserve"> effectiveness than for institutions where planning </w:t>
      </w:r>
      <w:r w:rsidR="00D44A2A" w:rsidRPr="00FE60AB">
        <w:rPr>
          <w:rFonts w:ascii="Times New Roman" w:hAnsi="Times New Roman" w:cs="Times New Roman"/>
        </w:rPr>
        <w:t>efforts are limited</w:t>
      </w:r>
      <w:r w:rsidR="007B4FF2">
        <w:rPr>
          <w:rStyle w:val="FootnoteReference"/>
          <w:rFonts w:ascii="Times New Roman" w:hAnsi="Times New Roman" w:cs="Times New Roman"/>
        </w:rPr>
        <w:footnoteReference w:id="10"/>
      </w:r>
      <w:r w:rsidR="001A3E4C" w:rsidRPr="00FE60AB">
        <w:rPr>
          <w:rFonts w:ascii="Times New Roman" w:hAnsi="Times New Roman" w:cs="Times New Roman"/>
        </w:rPr>
        <w:t xml:space="preserve">. </w:t>
      </w:r>
      <w:r w:rsidRPr="00FE60AB">
        <w:rPr>
          <w:rFonts w:ascii="Times New Roman" w:hAnsi="Times New Roman" w:cs="Times New Roman"/>
        </w:rPr>
        <w:t xml:space="preserve">This along with the results from table </w:t>
      </w:r>
      <w:r w:rsidR="00A05DC7">
        <w:rPr>
          <w:rFonts w:ascii="Times New Roman" w:hAnsi="Times New Roman" w:cs="Times New Roman"/>
        </w:rPr>
        <w:t>3</w:t>
      </w:r>
      <w:r w:rsidRPr="00FE60AB">
        <w:rPr>
          <w:rFonts w:ascii="Times New Roman" w:hAnsi="Times New Roman" w:cs="Times New Roman"/>
        </w:rPr>
        <w:t xml:space="preserve">, offer full support for Hypothesis 3a. </w:t>
      </w:r>
      <w:r w:rsidRPr="008E63E5">
        <w:rPr>
          <w:rFonts w:ascii="Times New Roman" w:hAnsi="Times New Roman" w:cs="Times New Roman"/>
        </w:rPr>
        <w:t xml:space="preserve"> </w:t>
      </w:r>
      <w:r w:rsidR="001A3E4C" w:rsidRPr="00CD79CD">
        <w:rPr>
          <w:rFonts w:ascii="Times New Roman" w:hAnsi="Times New Roman" w:cs="Times New Roman"/>
        </w:rPr>
        <w:t xml:space="preserve">Such a moderation was not visible </w:t>
      </w:r>
      <w:r w:rsidR="001A3E4C" w:rsidRPr="00CD79CD">
        <w:rPr>
          <w:rFonts w:ascii="Times New Roman" w:hAnsi="Times New Roman" w:cs="Times New Roman"/>
        </w:rPr>
        <w:lastRenderedPageBreak/>
        <w:t xml:space="preserve">for the mediation effect of strategy on provision of incentives and </w:t>
      </w:r>
      <w:r w:rsidR="000C0557" w:rsidRPr="00CD79CD">
        <w:rPr>
          <w:rFonts w:ascii="Times New Roman" w:hAnsi="Times New Roman" w:cs="Times New Roman"/>
        </w:rPr>
        <w:t>TT</w:t>
      </w:r>
      <w:r w:rsidR="001A3E4C" w:rsidRPr="00CD79CD">
        <w:rPr>
          <w:rFonts w:ascii="Times New Roman" w:hAnsi="Times New Roman" w:cs="Times New Roman"/>
        </w:rPr>
        <w:t xml:space="preserve"> effectiveness</w:t>
      </w:r>
      <w:r w:rsidRPr="00CD79CD">
        <w:rPr>
          <w:rFonts w:ascii="Times New Roman" w:hAnsi="Times New Roman" w:cs="Times New Roman"/>
        </w:rPr>
        <w:t xml:space="preserve"> Thus, Hypothesis 3b is not supported.  </w:t>
      </w:r>
    </w:p>
    <w:p w14:paraId="0E226418" w14:textId="77777777" w:rsidR="0056327E" w:rsidRDefault="0056327E" w:rsidP="00141231">
      <w:pPr>
        <w:spacing w:line="360" w:lineRule="auto"/>
        <w:rPr>
          <w:rFonts w:ascii="Times New Roman" w:hAnsi="Times New Roman" w:cs="Times New Roman"/>
        </w:rPr>
      </w:pPr>
    </w:p>
    <w:p w14:paraId="3D90DD97" w14:textId="4E3260FC" w:rsidR="004D0066" w:rsidRPr="00EF66BB" w:rsidRDefault="00EC3549" w:rsidP="00141231">
      <w:pPr>
        <w:spacing w:line="360" w:lineRule="auto"/>
        <w:rPr>
          <w:rFonts w:ascii="Times New Roman" w:hAnsi="Times New Roman" w:cs="Times New Roman"/>
        </w:rPr>
      </w:pPr>
      <w:r w:rsidRPr="00EF66BB">
        <w:rPr>
          <w:rFonts w:ascii="Times New Roman" w:hAnsi="Times New Roman" w:cs="Times New Roman"/>
          <w:noProof/>
          <w:lang w:eastAsia="en-GB"/>
        </w:rPr>
        <w:drawing>
          <wp:anchor distT="0" distB="0" distL="114300" distR="114300" simplePos="0" relativeHeight="251742208" behindDoc="1" locked="0" layoutInCell="1" allowOverlap="1" wp14:anchorId="11659953" wp14:editId="0543536A">
            <wp:simplePos x="0" y="0"/>
            <wp:positionH relativeFrom="column">
              <wp:posOffset>13821</wp:posOffset>
            </wp:positionH>
            <wp:positionV relativeFrom="paragraph">
              <wp:posOffset>342616</wp:posOffset>
            </wp:positionV>
            <wp:extent cx="5447665" cy="2999740"/>
            <wp:effectExtent l="0" t="0" r="13335" b="10160"/>
            <wp:wrapTight wrapText="bothSides">
              <wp:wrapPolygon edited="0">
                <wp:start x="0" y="0"/>
                <wp:lineTo x="0" y="21582"/>
                <wp:lineTo x="21603" y="21582"/>
                <wp:lineTo x="21603" y="0"/>
                <wp:lineTo x="0" y="0"/>
              </wp:wrapPolygon>
            </wp:wrapTight>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950DDD" w:rsidRPr="00EF66BB">
        <w:rPr>
          <w:rFonts w:ascii="Times New Roman" w:hAnsi="Times New Roman" w:cs="Times New Roman"/>
        </w:rPr>
        <w:t xml:space="preserve">Figure 2: Moderated Mediation on Technology Transfer Effectiveness </w:t>
      </w:r>
    </w:p>
    <w:p w14:paraId="2B5BDA12" w14:textId="0B7CCF89" w:rsidR="004D0066" w:rsidRPr="00EF66BB" w:rsidRDefault="004D0066" w:rsidP="00141231">
      <w:pPr>
        <w:spacing w:line="360" w:lineRule="auto"/>
        <w:ind w:left="851"/>
        <w:rPr>
          <w:rFonts w:ascii="Times New Roman" w:hAnsi="Times New Roman" w:cs="Times New Roman"/>
        </w:rPr>
      </w:pPr>
    </w:p>
    <w:p w14:paraId="705089D3" w14:textId="06D66700" w:rsidR="006852D0" w:rsidRPr="00EF66BB" w:rsidRDefault="00950DDD" w:rsidP="00141231">
      <w:pPr>
        <w:pStyle w:val="Heading2"/>
        <w:spacing w:line="360" w:lineRule="auto"/>
        <w:rPr>
          <w:rFonts w:ascii="Times New Roman" w:hAnsi="Times New Roman" w:cs="Times New Roman"/>
          <w:sz w:val="24"/>
          <w:szCs w:val="24"/>
        </w:rPr>
      </w:pPr>
      <w:r w:rsidRPr="00EF66BB">
        <w:rPr>
          <w:rFonts w:ascii="Times New Roman" w:hAnsi="Times New Roman" w:cs="Times New Roman"/>
          <w:sz w:val="24"/>
          <w:szCs w:val="24"/>
        </w:rPr>
        <w:t>5</w:t>
      </w:r>
      <w:r w:rsidR="006852D0" w:rsidRPr="00EF66BB">
        <w:rPr>
          <w:rFonts w:ascii="Times New Roman" w:hAnsi="Times New Roman" w:cs="Times New Roman"/>
          <w:sz w:val="24"/>
          <w:szCs w:val="24"/>
        </w:rPr>
        <w:t xml:space="preserve">.0 Discussion </w:t>
      </w:r>
    </w:p>
    <w:p w14:paraId="75C753D6" w14:textId="1E725CEE" w:rsidR="006852D0" w:rsidRPr="00EF66BB" w:rsidRDefault="007E5C20" w:rsidP="00141231">
      <w:pPr>
        <w:spacing w:line="360" w:lineRule="auto"/>
        <w:rPr>
          <w:rFonts w:ascii="Times New Roman" w:hAnsi="Times New Roman" w:cs="Times New Roman"/>
        </w:rPr>
      </w:pPr>
      <w:r w:rsidRPr="00EF66BB">
        <w:rPr>
          <w:rFonts w:ascii="Times New Roman" w:hAnsi="Times New Roman" w:cs="Times New Roman"/>
        </w:rPr>
        <w:t xml:space="preserve">Although </w:t>
      </w:r>
      <w:r w:rsidR="00145115" w:rsidRPr="00EF66BB">
        <w:rPr>
          <w:rFonts w:ascii="Times New Roman" w:hAnsi="Times New Roman" w:cs="Times New Roman"/>
        </w:rPr>
        <w:t>there are “surprisingly few academic studies examining data pertaining to technology transfer success”</w:t>
      </w:r>
      <w:r w:rsidR="006852D0" w:rsidRPr="00EF66BB">
        <w:rPr>
          <w:rFonts w:ascii="Times New Roman" w:hAnsi="Times New Roman" w:cs="Times New Roman"/>
        </w:rPr>
        <w:t xml:space="preserve"> </w:t>
      </w:r>
      <w:r w:rsidR="008F2687">
        <w:rPr>
          <w:rFonts w:ascii="Times New Roman" w:hAnsi="Times New Roman" w:cs="Times New Roman"/>
        </w:rPr>
        <w:fldChar w:fldCharType="begin" w:fldLock="1"/>
      </w:r>
      <w:r w:rsidR="008F2687">
        <w:rPr>
          <w:rFonts w:ascii="Times New Roman" w:hAnsi="Times New Roman" w:cs="Times New Roman"/>
        </w:rPr>
        <w:instrText>ADDIN CSL_CITATION {"citationItems":[{"id":"ITEM-1","itemData":{"DOI":"10.1016/j.respol.2014.06.008","ISBN":"00487333","ISSN":"00487333","PMID":"1478595","abstract":"The purpose of our study is to review and synthesize the rapidly evolving literature on technology transfer effectiveness. Our paper provides a lens into relatively recent work, focusing particularly on empirical studies of US technology transfer conducted within the last 15 years. In doing so, we update and extend the Contingent Effectiveness Model of Technology Transfer developed by Bozeman (2000). Specifically, we include the growing interest in social and public value oriented technology transfer and, thus, the contingent effectiveness model is expanded to consider this literature. We categorize studies according their approaches to measuring effectiveness, draw conclusions regarding the current state of technology transfer evaluation, and offer recommendations for future studies.","author":[{"dropping-particle":"","family":"Bozeman","given":"Barry","non-dropping-particle":"","parse-names":false,"suffix":""},{"dropping-particle":"","family":"Rimes","given":"Heather","non-dropping-particle":"","parse-names":false,"suffix":""},{"dropping-particle":"","family":"Youtie","given":"Jan","non-dropping-particle":"","parse-names":false,"suffix":""}],"container-title":"Research Policy","id":"ITEM-1","issue":"1","issued":{"date-parts":[["2015"]]},"page":"34-49","publisher":"Elsevier B.V.","title":"The evolving state-of-the-art in technology transfer research: Revisiting the contingent effectiveness model","type":"article-journal","volume":"44"},"locator":"37","uris":["http://www.mendeley.com/documents/?uuid=245549ef-970b-4ea4-984e-4a869649a3c5"]}],"mendeley":{"formattedCitation":"(Bozeman et al., 2015, p. 37)","plainTextFormattedCitation":"(Bozeman et al., 2015, p. 37)","previouslyFormattedCitation":"(Bozeman et al., 2015, p. 37)"},"properties":{"noteIndex":0},"schema":"https://github.com/citation-style-language/schema/raw/master/csl-citation.json"}</w:instrText>
      </w:r>
      <w:r w:rsidR="008F2687">
        <w:rPr>
          <w:rFonts w:ascii="Times New Roman" w:hAnsi="Times New Roman" w:cs="Times New Roman"/>
        </w:rPr>
        <w:fldChar w:fldCharType="separate"/>
      </w:r>
      <w:r w:rsidR="008F2687" w:rsidRPr="008F2687">
        <w:rPr>
          <w:rFonts w:ascii="Times New Roman" w:hAnsi="Times New Roman" w:cs="Times New Roman"/>
          <w:noProof/>
        </w:rPr>
        <w:t>(Bozeman et al., 2015, p. 37)</w:t>
      </w:r>
      <w:r w:rsidR="008F2687">
        <w:rPr>
          <w:rFonts w:ascii="Times New Roman" w:hAnsi="Times New Roman" w:cs="Times New Roman"/>
        </w:rPr>
        <w:fldChar w:fldCharType="end"/>
      </w:r>
      <w:r w:rsidR="00145115" w:rsidRPr="00EF66BB">
        <w:rPr>
          <w:rFonts w:ascii="Times New Roman" w:hAnsi="Times New Roman" w:cs="Times New Roman"/>
        </w:rPr>
        <w:t>, existing research</w:t>
      </w:r>
      <w:r w:rsidR="006852D0" w:rsidRPr="00EF66BB">
        <w:rPr>
          <w:rFonts w:ascii="Times New Roman" w:hAnsi="Times New Roman" w:cs="Times New Roman"/>
        </w:rPr>
        <w:t xml:space="preserve"> has successful</w:t>
      </w:r>
      <w:r w:rsidRPr="00EF66BB">
        <w:rPr>
          <w:rFonts w:ascii="Times New Roman" w:hAnsi="Times New Roman" w:cs="Times New Roman"/>
        </w:rPr>
        <w:t>ly</w:t>
      </w:r>
      <w:r w:rsidR="006852D0" w:rsidRPr="00EF66BB">
        <w:rPr>
          <w:rFonts w:ascii="Times New Roman" w:hAnsi="Times New Roman" w:cs="Times New Roman"/>
        </w:rPr>
        <w:t xml:space="preserve"> illuminat</w:t>
      </w:r>
      <w:r w:rsidRPr="00EF66BB">
        <w:rPr>
          <w:rFonts w:ascii="Times New Roman" w:hAnsi="Times New Roman" w:cs="Times New Roman"/>
        </w:rPr>
        <w:t xml:space="preserve">ed </w:t>
      </w:r>
      <w:r w:rsidR="006852D0" w:rsidRPr="00EF66BB">
        <w:rPr>
          <w:rFonts w:ascii="Times New Roman" w:hAnsi="Times New Roman" w:cs="Times New Roman"/>
        </w:rPr>
        <w:t>several factors  impact</w:t>
      </w:r>
      <w:r w:rsidRPr="00EF66BB">
        <w:rPr>
          <w:rFonts w:ascii="Times New Roman" w:hAnsi="Times New Roman" w:cs="Times New Roman"/>
        </w:rPr>
        <w:t>ing</w:t>
      </w:r>
      <w:r w:rsidR="006852D0" w:rsidRPr="00EF66BB">
        <w:rPr>
          <w:rFonts w:ascii="Times New Roman" w:hAnsi="Times New Roman" w:cs="Times New Roman"/>
        </w:rPr>
        <w:t xml:space="preserve"> the effectiveness of academic institutions in transferring technology. </w:t>
      </w:r>
      <w:r w:rsidRPr="00EF66BB">
        <w:rPr>
          <w:rFonts w:ascii="Times New Roman" w:hAnsi="Times New Roman" w:cs="Times New Roman"/>
        </w:rPr>
        <w:t xml:space="preserve"> </w:t>
      </w:r>
      <w:r w:rsidR="00145115" w:rsidRPr="00EF66BB">
        <w:rPr>
          <w:rFonts w:ascii="Times New Roman" w:hAnsi="Times New Roman" w:cs="Times New Roman"/>
        </w:rPr>
        <w:t>T</w:t>
      </w:r>
      <w:r w:rsidR="006852D0" w:rsidRPr="00EF66BB">
        <w:rPr>
          <w:rFonts w:ascii="Times New Roman" w:hAnsi="Times New Roman" w:cs="Times New Roman"/>
        </w:rPr>
        <w:t xml:space="preserve">he </w:t>
      </w:r>
      <w:r w:rsidR="00FF48A3" w:rsidRPr="00EF66BB">
        <w:rPr>
          <w:rFonts w:ascii="Times New Roman" w:hAnsi="Times New Roman" w:cs="Times New Roman"/>
        </w:rPr>
        <w:t>Contingency Effectiveness Model</w:t>
      </w:r>
      <w:r w:rsidR="006852D0" w:rsidRPr="00EF66BB">
        <w:rPr>
          <w:rFonts w:ascii="Times New Roman" w:hAnsi="Times New Roman" w:cs="Times New Roman"/>
        </w:rPr>
        <w:t xml:space="preserve"> draws attention to organisational characteristics and structures that contribute to variations in university technology transfer effectiveness</w:t>
      </w:r>
      <w:r w:rsidR="00A05DC7">
        <w:rPr>
          <w:rFonts w:ascii="Times New Roman" w:hAnsi="Times New Roman" w:cs="Times New Roman"/>
        </w:rPr>
        <w:t>, under the label of ‘agent characteristics’</w:t>
      </w:r>
      <w:r w:rsidR="006852D0" w:rsidRPr="00EF66BB">
        <w:rPr>
          <w:rFonts w:ascii="Times New Roman" w:hAnsi="Times New Roman" w:cs="Times New Roman"/>
        </w:rPr>
        <w:t>. The most commonly identified</w:t>
      </w:r>
      <w:r w:rsidR="00BF247C">
        <w:rPr>
          <w:rFonts w:ascii="Times New Roman" w:hAnsi="Times New Roman" w:cs="Times New Roman"/>
        </w:rPr>
        <w:t xml:space="preserve"> agent characteristics for universities </w:t>
      </w:r>
      <w:r w:rsidR="006852D0" w:rsidRPr="00EF66BB">
        <w:rPr>
          <w:rFonts w:ascii="Times New Roman" w:hAnsi="Times New Roman" w:cs="Times New Roman"/>
        </w:rPr>
        <w:t xml:space="preserve"> are TTO support and</w:t>
      </w:r>
      <w:r w:rsidR="0074357A" w:rsidRPr="00EF66BB">
        <w:rPr>
          <w:rFonts w:ascii="Times New Roman" w:hAnsi="Times New Roman" w:cs="Times New Roman"/>
        </w:rPr>
        <w:t xml:space="preserve"> the provision of</w:t>
      </w:r>
      <w:r w:rsidR="006852D0" w:rsidRPr="00EF66BB">
        <w:rPr>
          <w:rFonts w:ascii="Times New Roman" w:hAnsi="Times New Roman" w:cs="Times New Roman"/>
        </w:rPr>
        <w:t xml:space="preserve"> incentives </w:t>
      </w:r>
      <w:r w:rsidR="008F2687">
        <w:rPr>
          <w:rFonts w:ascii="Times New Roman" w:hAnsi="Times New Roman" w:cs="Times New Roman"/>
        </w:rPr>
        <w:fldChar w:fldCharType="begin" w:fldLock="1"/>
      </w:r>
      <w:r w:rsidR="005F1251">
        <w:rPr>
          <w:rFonts w:ascii="Times New Roman" w:hAnsi="Times New Roman" w:cs="Times New Roman"/>
        </w:rPr>
        <w:instrText>ADDIN CSL_CITATION {"citationItems":[{"id":"ITEM-1","itemData":{"DOI":"10.1016/j.respol.2011.02.001","ISBN":"0048-7333","ISSN":"00487333","PMID":"2891","abstract":"The phenomenon of entrepreneurial universities has received considerable attention over the last decades. An entrepreneurial orientation by academia might put regions and nations in an advantageous position in emerging knowledge-intensive fields of economic activity. At the same time, such entrepreneurial orientation requires reconciliation with the scientific missions of academia. Large-scale empirical research on antecedents of the entrepreneurial effectiveness of universities is scarce. This contribution examines the extent to which scientific productivity affect entrepreneurial effectiveness, taking into account the size of universities and the presence of disciplines, as well as the R&amp;D intensity of the regional business environment (BERD). In addition, we assess the occurrence of trade-offs between different transfer mechanisms (contract research, patenting and spin off activity). The data used pertain to 105 European universities. Our findings reveal that scientific productivity is positively associated with entrepreneurial effectiveness. Trade-offs between transfer mechanisms do not reveal themselves; on the contrary, contract research and spin off activities tend to facilitate each other. Limitations and implications for future research are discussed. © 2011 Elsevier B.V. All rights reserved.","author":[{"dropping-particle":"","family":"Looy","given":"Bart","non-dropping-particle":"Van","parse-names":false,"suffix":""},{"dropping-particle":"","family":"Landoni","given":"Paolo","non-dropping-particle":"","parse-names":false,"suffix":""},{"dropping-particle":"","family":"Callaert","given":"Julie","non-dropping-particle":"","parse-names":false,"suffix":""},{"dropping-particle":"","family":"Pottelsberghe","given":"Bruno","non-dropping-particle":"Van","parse-names":false,"suffix":""},{"dropping-particle":"","family":"Sapsalis","given":"Eleftherios","non-dropping-particle":"","parse-names":false,"suffix":""},{"dropping-particle":"","family":"Debackere","given":"Koenraad","non-dropping-particle":"","parse-names":false,"suffix":""}],"container-title":"Research Policy","id":"ITEM-1","issue":"4","issued":{"date-parts":[["2011"]]},"page":"553-564","publisher":"Elsevier B.V.","title":"Entrepreneurial effectiveness of European universities: An empirical assessment of antecedents and trade-offs","type":"article-journal","volume":"40"},"uris":["http://www.mendeley.com/documents/?uuid=efca2164-cee4-4742-ab17-7b8416ace40b"]},{"id":"ITEM-2","itemData":{"DOI":"10.1016/j.respol.2010.05.016","ISBN":"00487333","ISSN":"00487333","PMID":"53969080","abstract":"This paper investigates the performance of universities in the transfer of technology using a unique university-level dataset for Spain. The results suggest that universities with established policies and procedures for the management of technology transfer perform better. Universities with large and experienced technology transfer offices (TTOs) generate higher volumes of contract research, but the TTO characteristics appear to matter less for university performance in terms of licensing and creation of spin-offs. Furthermore, universities with a science park perform better than those without, which suggests that the agglomeration of knowledge close to universities has a positive effect on universities' technology transfer performance. ?? 2010 Elsevier B.V. All rights reserved.","author":[{"dropping-particle":"","family":"Caldera","given":"Aida","non-dropping-particle":"","parse-names":false,"suffix":""},{"dropping-particle":"","family":"Debande","given":"Olivier","non-dropping-particle":"","parse-names":false,"suffix":""}],"container-title":"Research Policy","id":"ITEM-2","issue":"9","issued":{"date-parts":[["2010"]]},"page":"1160-1173","publisher":"Elsevier B.V.","title":"Performance of Spanish universities in technology transfer: An empirical analysis","type":"article-journal","volume":"39"},"uris":["http://www.mendeley.com/documents/?uuid=d43816cf-2ca3-4387-aef7-64719dd222a6"]},{"id":"ITEM-3","itemData":{"DOI":"10.1093/icc/dtm023","ISBN":"0960-6491","ISSN":"09606491","abstract":"The literature on university entrepreneurship is rapidly expanding, in both the United States and Europe. Since the literature is also fairly fragmented, however, we submit that it is time to take stock of the current knowledge to provide directions for future research and guideposts for policy makers. To accomplish this, we present an unusually comprehensive and detailed literature analysis of the stream of research on university entrepreneurship, now encompassing 173 articles published in a variety of academic journals. Four major research streams emerge in this area of study: (i) entrepreneurial research university, (ii) productivity of technology transfer offices, (iii) new firm creation, and (iv) environmental context including networks of innovation. We inductively derive a framework describing the dynamic process of university entrepreneurship based on a synthesis of the literature. We submit that this framework is useful in guiding future research on this important, yet complex and under-researched topic.","author":[{"dropping-particle":"","family":"Rothaermel","given":"Frank T.","non-dropping-particle":"","parse-names":false,"suffix":""},{"dropping-particle":"","family":"Agung","given":"Shanti D.","non-dropping-particle":"","parse-names":false,"suffix":""},{"dropping-particle":"","family":"Jiang","given":"Lin","non-dropping-particle":"","parse-names":false,"suffix":""}],"container-title":"Industrial and Corporate Change","id":"ITEM-3","issue":"4","issued":{"date-parts":[["2007"]]},"page":"691-791","title":"University entrepreneurship: A taxonomy of the literature","type":"article-journal","volume":"16"},"uris":["http://www.mendeley.com/documents/?uuid=5357c8bd-4f94-4314-8ab0-1173b7db7f62"]},{"id":"ITEM-4","itemData":{"DOI":"10.1007/s10961-009-9129-z","ISBN":"1096100991","author":[{"dropping-particle":"","family":"Heisey","given":"Paul W","non-dropping-particle":"","parse-names":false,"suffix":""},{"dropping-particle":"","family":"Adelman","given":"Æ Sarah W","non-dropping-particle":"","parse-names":false,"suffix":""}],"id":"ITEM-4","issued":{"date-parts":[["2011"]]},"page":"38-60","title":"and university licensing revenue","type":"article-journal"},"uris":["http://www.mendeley.com/documents/?uuid=c4ddc740-e8bb-478b-be69-e1d8a02e8d39"]},{"id":"ITEM-5","itemData":{"DOI":"10.1016/S0048-7333(01)00196-2","ISSN":"00487333","author":[{"dropping-particle":"","family":"Siegel","given":"Donald","non-dropping-particle":"","parse-names":false,"suffix":""},{"dropping-particle":"","family":"Waldman","given":"David","non-dropping-particle":"","parse-names":false,"suffix":""},{"dropping-particle":"","family":"Link","given":"Albert","non-dropping-particle":"","parse-names":false,"suffix":""}],"container-title":"Research Policy","id":"ITEM-5","issue":"1","issued":{"date-parts":[["2003","1"]]},"page":"27-48","title":"Assessing the impact of organizational practices on the relative productivity of university technology transfer offices: an exploratory study","type":"article-journal","volume":"32"},"uris":["http://www.mendeley.com/documents/?uuid=e46987f6-89c5-3b6f-b14b-8fc764f55f9f"]},{"id":"ITEM-6","itemData":{"DOI":"10.1016/j.respol.2016.06.006","ISBN":"00487333 (ISSN)","ISSN":"00487333","abstract":"Portuguese and Spanish universities have adopted well-defined royalty sharing arrangements over the last fifteen years. We investigate whether such royalty sharing arrangements have been effective in stimulating inventors’ efforts and in ultimately improving university outcomes. We base our empirical analysis on university-level data and two new self-collected surveys for both inventors and Technology Transfer Offices (TTOs). Evidence from the inventors’ survey indicates that one third of respondents are incentivised by current royalty sharing arrangements, one third could be incentivised by higher royalty shares, and the remaining third is totally insensitive to royalty sharing. Plain regressions on university level datasets suggest that the incentive effects documented by the inventors’ survey fail to translate into increased patenting or licensing income. It would seem that inventor royalty shares are not as influential as they could be, due to the poor commercial prospects of university inventions. Among other possible reasons, these poor prospects appear to reflect the fact that inventors are unable to produce potentially licensable inventions, or that eventually TTOs may not be focussing enough on commercialising their inventions.","author":[{"dropping-particle":"","family":"Arqué-Castells","given":"Pere","non-dropping-particle":"","parse-names":false,"suffix":""},{"dropping-particle":"","family":"Cartaxo","given":"Rui M.","non-dropping-particle":"","parse-names":false,"suffix":""},{"dropping-particle":"","family":"García-Quevedo","given":"Jose","non-dropping-particle":"","parse-names":false,"suffix":""},{"dropping-particle":"","family":"Godinho","given":"Manuel Mira","non-dropping-particle":"","parse-names":false,"suffix":""}],"container-title":"Research Policy","id":"ITEM-6","issue":"9","issued":{"date-parts":[["2016"]]},"page":"1858-1872","publisher":"Elsevier B.V.","title":"Royalty sharing, effort and invention in universities: Evidence from Portugal and Spain","type":"article-journal","volume":"45"},"uris":["http://www.mendeley.com/documents/?uuid=9dc55724-30e7-4819-98fd-32f02e1caf8d"]},{"id":"ITEM-7","itemData":{"DOI":"10.1111/j.0741-6261.2008.00020.x","ISBN":"0741-6261","ISSN":"07416261","PMID":"2877","abstract":"We show that universities in the United States that provide stronger royalty incentives to faculty scientists generate greater license income, controlling for university characteristics. We use pre-sample data on university patenting to control for the potential endogeneity of royalty shares. Faculty responds to royalties both in the form of cash and research lab support, indicating both pecuniary and intrinsic research motivations. The impact of incentives is larger in private than in public universities, and we provide new survey evidence on the organization and objectives of university licensing offices to explain this difference. Royalty incentives work both by raising faculty effort and sorting scientists across universities. The primary impact of incentives is to increase the quality rather than the quantity of inventions.","author":[{"dropping-particle":"","family":"Lach","given":"Saul","non-dropping-particle":"","parse-names":false,"suffix":""},{"dropping-particle":"","family":"Schankerman","given":"Mark","non-dropping-particle":"","parse-names":false,"suffix":""}],"container-title":"RAND Journal of Economics","id":"ITEM-7","issue":"2","issued":{"date-parts":[["2008"]]},"page":"403-433","title":"Incentives and invention in universities","type":"article-journal","volume":"39"},"uris":["http://www.mendeley.com/documents/?uuid=5cc5deac-babe-4731-9ce4-35098d057334"]},{"id":"ITEM-8","itemData":{"DOI":"10.1016/j.respol.2004.12.003","ISBN":"0048-7333","ISSN":"00487333","abstract":"The transfer of scientific and technological know-how into valuable economic activity has become a high priority on many policy agendas. Industry Science Links (ISLs) are an important dimension of this policy orientation. Over the last decades, multiple insights have been gained (both theoretical and empirical) as to how \"effective\" ISLs can be fostered through the design and the development of university-based technology transfer organizations (TTOs). In this paper, we document and analyze the evolution of \"effective\" university-based technology transfer mechanisms. We describe how decentralized organizational approaches and incentives that stimulate the active involvement of the research groups in the exploitation of their research findings might be combined with specialized central services offering intellectual property management and spin-off support. More particularly, we analyze how the creation of:an appropriate balance between centralization and decentralization within academia;the design of appropriate incentive structures for academic research groups;the implementation of appropriate decision and monitoring processes within the TTOhas brought about critical elements in fostering an \"effective\" commercialization of the academic science base. © 2005 Elsevier B.V. All rights reserved.","author":[{"dropping-particle":"","family":"Debackere","given":"Koenraad","non-dropping-particle":"","parse-names":false,"suffix":""},{"dropping-particle":"","family":"Veugelers","given":"Reinhilde","non-dropping-particle":"","parse-names":false,"suffix":""}],"container-title":"Research Policy","id":"ITEM-8","issue":"3","issued":{"date-parts":[["2005"]]},"page":"321-342","title":"The role of academic technology transfer organizations in improving industry science links","type":"article-journal","volume":"34"},"uris":["http://www.mendeley.com/documents/?uuid=b5a14a0c-13b9-4989-9bde-f10ce2613421"]},{"id":"ITEM-9","itemData":{"DOI":"10.1023/B:JOTT.0000034127.01889.86","ISBN":"0892-9912","ISSN":"0892-9912","PMID":"2873","abstract":"There has been a paucity of research to date that has explored whether incentive systems—in the form of monetary payments to inventors, their department or institution, or to university technology transfer office (UTTO) personnel—affect entrepreneurial activities at U.S. universities. To shed light on whether financial incentives to scientists, their departments, and UTTO personnel effect entrepreneurial activity, we used both qualitative data (structured interviews with 128 UTTO directors) and quantitative data from surveys and databases available on the web. Our results show surprisingly and opposite to our theoretical predictions that incentives to scientists and to their departments are negatively related to entrepreneurial activity. In addition and consistent with theory-based predictions, pay to UTTO personnel is positively related to entrepreneurial activity. We conclude with a discussion that offers some implications to research, practice, and theory in the field of technology transfer.","author":[{"dropping-particle":"","family":"Markman","given":"Gideon D.","non-dropping-particle":"","parse-names":false,"suffix":""},{"dropping-particle":"","family":"Gianiodis","given":"Peter T.","non-dropping-particle":"","parse-names":false,"suffix":""},{"dropping-particle":"","family":"Phan","given":"Phillip H.","non-dropping-particle":"","parse-names":false,"suffix":""},{"dropping-particle":"","family":"Balkin","given":"David B.","non-dropping-particle":"","parse-names":false,"suffix":""}],"container-title":"The Journal of Technology Transfer","id":"ITEM-9","issue":"3/4","issued":{"date-parts":[["2004"]]},"page":"353-364","title":"Entrepreneurship from the Ivory Tower: Do Incentive Systems Matter?","type":"article-journal","volume":"29"},"uris":["http://www.mendeley.com/documents/?uuid=c689f362-be7c-4b60-98da-458f4226733a"]}],"mendeley":{"formattedCitation":"(Arqué-Castells et al., 2016; Caldera and Debande, 2010a; Debackere and Veugelers, 2005; Heisey and Adelman, 2011; Lach and Schankerman, 2008; Markman et al., 2004; Rothaermel et al., 2007; Siegel et al., 2003; Van Looy et al., 2011)","plainTextFormattedCitation":"(Arqué-Castells et al., 2016; Caldera and Debande, 2010a; Debackere and Veugelers, 2005; Heisey and Adelman, 2011; Lach and Schankerman, 2008; Markman et al., 2004; Rothaermel et al., 2007; Siegel et al., 2003; Van Looy et al., 2011)","previouslyFormattedCitation":"(Arqué-Castells et al., 2016; Caldera and Debande, 2010a; Debackere and Veugelers, 2005; Heisey and Adelman, 2011; Lach and Schankerman, 2008; Markman et al., 2004; Rothaermel et al., 2007; Siegel et al., 2003; Van Looy et al., 2011)"},"properties":{"noteIndex":0},"schema":"https://github.com/citation-style-language/schema/raw/master/csl-citation.json"}</w:instrText>
      </w:r>
      <w:r w:rsidR="008F2687">
        <w:rPr>
          <w:rFonts w:ascii="Times New Roman" w:hAnsi="Times New Roman" w:cs="Times New Roman"/>
        </w:rPr>
        <w:fldChar w:fldCharType="separate"/>
      </w:r>
      <w:r w:rsidR="008F2687" w:rsidRPr="008F2687">
        <w:rPr>
          <w:rFonts w:ascii="Times New Roman" w:hAnsi="Times New Roman" w:cs="Times New Roman"/>
          <w:noProof/>
        </w:rPr>
        <w:t>(Arqué-Castells et al., 2016; Caldera and Debande, 2010a; Debackere and Veugelers, 2005; Heisey and Adelman, 2011; Lach and Schankerman, 2008; Markman et al., 2004; Rothaermel et al., 2007; Siegel et al., 2003; Van Looy et al., 2011)</w:t>
      </w:r>
      <w:r w:rsidR="008F2687">
        <w:rPr>
          <w:rFonts w:ascii="Times New Roman" w:hAnsi="Times New Roman" w:cs="Times New Roman"/>
        </w:rPr>
        <w:fldChar w:fldCharType="end"/>
      </w:r>
      <w:r w:rsidR="008F2687">
        <w:rPr>
          <w:rFonts w:ascii="Times New Roman" w:hAnsi="Times New Roman" w:cs="Times New Roman"/>
        </w:rPr>
        <w:t xml:space="preserve">. </w:t>
      </w:r>
      <w:r w:rsidR="006852D0" w:rsidRPr="00EF66BB">
        <w:rPr>
          <w:rFonts w:ascii="Times New Roman" w:hAnsi="Times New Roman" w:cs="Times New Roman"/>
        </w:rPr>
        <w:t xml:space="preserve">Although previous research has drawn attention to the significance of these </w:t>
      </w:r>
      <w:r w:rsidR="0092045A" w:rsidRPr="00EF66BB">
        <w:rPr>
          <w:rFonts w:ascii="Times New Roman" w:hAnsi="Times New Roman" w:cs="Times New Roman"/>
        </w:rPr>
        <w:t xml:space="preserve">two </w:t>
      </w:r>
      <w:r w:rsidR="006852D0" w:rsidRPr="00EF66BB">
        <w:rPr>
          <w:rFonts w:ascii="Times New Roman" w:hAnsi="Times New Roman" w:cs="Times New Roman"/>
        </w:rPr>
        <w:t xml:space="preserve">organisational </w:t>
      </w:r>
      <w:r w:rsidR="0092045A" w:rsidRPr="00EF66BB">
        <w:rPr>
          <w:rFonts w:ascii="Times New Roman" w:hAnsi="Times New Roman" w:cs="Times New Roman"/>
        </w:rPr>
        <w:t xml:space="preserve">factors, </w:t>
      </w:r>
      <w:r w:rsidR="006852D0" w:rsidRPr="00EF66BB">
        <w:rPr>
          <w:rFonts w:ascii="Times New Roman" w:hAnsi="Times New Roman" w:cs="Times New Roman"/>
        </w:rPr>
        <w:t xml:space="preserve">results concerning their impact on technology transfer effectiveness are ambiguous. Concurrently, recent research and policy reviews have identified the potential significance of university-level strategic choices in the effectiveness of technology transfer activity </w:t>
      </w:r>
      <w:r w:rsidR="008F2687">
        <w:rPr>
          <w:rFonts w:ascii="Times New Roman" w:hAnsi="Times New Roman" w:cs="Times New Roman"/>
        </w:rPr>
        <w:fldChar w:fldCharType="begin" w:fldLock="1"/>
      </w:r>
      <w:r w:rsidR="00CD0532">
        <w:rPr>
          <w:rFonts w:ascii="Times New Roman" w:hAnsi="Times New Roman" w:cs="Times New Roman"/>
        </w:rPr>
        <w:instrText>ADDIN CSL_CITATION {"citationItems":[{"id":"ITEM-1","itemData":{"DOI":"10.1016/j.respol.2014.06.001","ISBN":"00487333","ISSN":"00487333","abstract":"The present paper elaborates a critical reflection on the 'one-size-fits-all' model which conceptualizes universities as centres of excellence in education, research and third mission. It is argued that the shortcomings of this perspective are twofold: first, HEIs are treated as homogeneous institutions with equal capacity to perform and contribute to social engagement; and second, missions are undistinguishable from each other. Both features lead to mischaracterizations concerning the role of universities and their contribution to society. In the view proposed here missions are university strategies linked by complex relationship of compatibility, and the paper puts in perspective the persisting gap concerning the nature of and the relations across them.","author":[{"dropping-particle":"","family":"Sánchez-Barrioluengo","given":"Mabel","non-dropping-particle":"","parse-names":false,"suffix":""}],"container-title":"Research Policy","id":"ITEM-1","issue":"10","issued":{"date-parts":[["2014"]]},"page":"1760-1773","publisher":"Elsevier B.V.","title":"Articulating the 'three-missions' in Spanish universities","type":"article-journal","volume":"43"},"uris":["http://www.mendeley.com/documents/?uuid=5fc5b121-26c5-4366-86b8-d942c7ffea40"]},{"id":"ITEM-2","itemData":{"DOI":"10.1016/j.respol.2011.10.010","ISSN":"00487333","abstract":"As the innovation process has become more open and networked, Government policy in the UK has sought to promote both research excellence in the university sector and the translation of this into economic benefit through university–business engagement. However, this policy approach has tended to be applied uniformly with little account for organisational differences within the sector. In this paper we consider if differences between universities in their research performance is reflected in their knowledge transfer activity. Specifically, as universities develop a commercialization agenda are the strategic priorities for knowledge transfer, the organisational supports in place to facilitate knowledge transfer and the scale and scope of knowledge transfer activity different for high research intensive (HRI) and low research intensive (LRI) universities? The findings demonstrate that universities’ approach to knowledge transfer is shaped by institutional and organisational resources, in particular their ethos and research quality, rather than the capability to undertake knowledge transfer through a Technology Transfer Office (TTO). Strategic priorities for knowledge transfer are reflected in activity, in terms of the dominance of specific knowledge transfer channels, the partners with which universities engage and the geography of business engagement.","author":[{"dropping-particle":"","family":"Hewitt-Dundas","given":"Nola","non-dropping-particle":"","parse-names":false,"suffix":""}],"container-title":"Research Policy","id":"ITEM-2","issue":"2","issued":{"date-parts":[["2012","3"]]},"page":"262-275","title":"Research intensity and knowledge transfer activity in UK universities","type":"article-journal","volume":"41"},"uris":["http://www.mendeley.com/documents/?uuid=dfda44a2-56de-4343-aba6-7ecd31ff1890"]},{"id":"ITEM-3","itemData":{"DOI":"10.1016/j.respol.2017.03.008","ISSN":"00487333","abstract":"This paper examines the dynamic interlinkages between the two pillars of ambidexterity in universities, research and knowledge transfer. We propose a theoretical model linking these two pillars at the organisational level. The model is tested using the longitudinal HE-BCI survey data juxtaposed against two consecutive rounds of research evaluation in the UK higher education sector. Results indicate that a university's past performance along the research pillar strengthens the knowledge transfer pillar over time, through both commercialisation and academic engagement channels. This positive impact is negatively moderated by the university's size and reputation, in the sense that in larger or more reputed universities, the marginal impact of research on knowledge transfer declines significantly. Additionally, we find that knowledge transfer reinforces the research pillar through positive mediation between past and future research, but only through academic engagement channels. The results also indicate that contract research routes provide the maximum benefit for most universities in enhancing their ambidexterity framework, both in the short and the long run. For the relatively more reputed universities, it is the collaboration route which provides the maximum benefit. Interestingly, no such reinforcement could be detected in the case of the research commercialisation channels.","author":[{"dropping-particle":"","family":"Sengupta","given":"Abhijit","non-dropping-particle":"","parse-names":false,"suffix":""},{"dropping-particle":"","family":"Ray","given":"Amit S.","non-dropping-particle":"","parse-names":false,"suffix":""}],"container-title":"Research Policy","id":"ITEM-3","issue":"5","issued":{"date-parts":[["2017"]]},"page":"881-897","publisher":"Elsevier B.V.","title":"University research and knowledge transfer: A dynamic view of ambidexterity in british universities","type":"article-journal","volume":"46"},"uris":["http://www.mendeley.com/documents/?uuid=1bae52b2-2b76-4a4b-9383-c1e21964cb01"]},{"id":"ITEM-4","itemData":{"author":[{"dropping-particle":"","family":"HEFCE","given":"","non-dropping-particle":"","parse-names":false,"suffix":""}],"id":"ITEM-4","issue":"September","issued":{"date-parts":[["2016"]]},"title":"University Knowledge Exchange ( KE ) Framework : good practice in technology transfer Report to the UK higher education sector and HEFCE by the McMillan group","type":"article-journal"},"uris":["http://www.mendeley.com/documents/?uuid=e01e49b0-972c-4051-9586-9f43880fda49"]},{"id":"ITEM-5","itemData":{"author":[{"dropping-particle":"","family":"Association of American Universities","given":"","non-dropping-particle":"","parse-names":false,"suffix":""}],"id":"ITEM-5","issue":"March","issued":{"date-parts":[["2015"]]},"title":"Statement to the AAU Membership on University Technology Transfer and Managing Intellectual Property in the Public Interest","type":"article-journal"},"uris":["http://www.mendeley.com/documents/?uuid=4ba59336-d6b0-452e-afea-6c1670354ab7"]}],"mendeley":{"formattedCitation":"(Association of American Universities, 2015; HEFCE, 2016; Hewitt-Dundas, 2012; Sánchez-Barrioluengo, 2014; Sengupta and Ray, 2017a)","plainTextFormattedCitation":"(Association of American Universities, 2015; HEFCE, 2016; Hewitt-Dundas, 2012; Sánchez-Barrioluengo, 2014; Sengupta and Ray, 2017a)","previouslyFormattedCitation":"(HEFCE, 2016; Hewitt-Dundas, 2012; Sánchez-Barrioluengo, 2014; Sengupta and Ray, 2017a)"},"properties":{"noteIndex":0},"schema":"https://github.com/citation-style-language/schema/raw/master/csl-citation.json"}</w:instrText>
      </w:r>
      <w:r w:rsidR="008F2687">
        <w:rPr>
          <w:rFonts w:ascii="Times New Roman" w:hAnsi="Times New Roman" w:cs="Times New Roman"/>
        </w:rPr>
        <w:fldChar w:fldCharType="separate"/>
      </w:r>
      <w:r w:rsidR="00CD0532" w:rsidRPr="00CD0532">
        <w:rPr>
          <w:rFonts w:ascii="Times New Roman" w:hAnsi="Times New Roman" w:cs="Times New Roman"/>
          <w:noProof/>
        </w:rPr>
        <w:t>(Association of American Universities, 2015; HEFCE, 2016; Hewitt-Dundas, 2012; Sánchez-Barrioluengo, 2014; Sengupta and Ray, 2017a)</w:t>
      </w:r>
      <w:r w:rsidR="008F2687">
        <w:rPr>
          <w:rFonts w:ascii="Times New Roman" w:hAnsi="Times New Roman" w:cs="Times New Roman"/>
        </w:rPr>
        <w:fldChar w:fldCharType="end"/>
      </w:r>
      <w:r w:rsidR="006852D0" w:rsidRPr="00EF66BB">
        <w:rPr>
          <w:rFonts w:ascii="Times New Roman" w:hAnsi="Times New Roman" w:cs="Times New Roman"/>
        </w:rPr>
        <w:t>, drawing attention to the fact that universities can</w:t>
      </w:r>
      <w:r w:rsidR="00FF2D2E" w:rsidRPr="00EF66BB">
        <w:rPr>
          <w:rFonts w:ascii="Times New Roman" w:hAnsi="Times New Roman" w:cs="Times New Roman"/>
        </w:rPr>
        <w:t>,</w:t>
      </w:r>
      <w:r w:rsidR="006852D0" w:rsidRPr="00EF66BB">
        <w:rPr>
          <w:rFonts w:ascii="Times New Roman" w:hAnsi="Times New Roman" w:cs="Times New Roman"/>
        </w:rPr>
        <w:t xml:space="preserve"> and </w:t>
      </w:r>
      <w:r w:rsidR="006852D0" w:rsidRPr="00EF66BB">
        <w:rPr>
          <w:rFonts w:ascii="Times New Roman" w:hAnsi="Times New Roman" w:cs="Times New Roman"/>
        </w:rPr>
        <w:lastRenderedPageBreak/>
        <w:t>should</w:t>
      </w:r>
      <w:r w:rsidR="00FF2D2E" w:rsidRPr="00EF66BB">
        <w:rPr>
          <w:rFonts w:ascii="Times New Roman" w:hAnsi="Times New Roman" w:cs="Times New Roman"/>
        </w:rPr>
        <w:t>,</w:t>
      </w:r>
      <w:r w:rsidR="006852D0" w:rsidRPr="00EF66BB">
        <w:rPr>
          <w:rFonts w:ascii="Times New Roman" w:hAnsi="Times New Roman" w:cs="Times New Roman"/>
        </w:rPr>
        <w:t xml:space="preserve"> adopt different strategic priorities. Here, we build on these emerging insights to offer a novel contribution to the CEMTT perspective. Specifically, we integrate insight</w:t>
      </w:r>
      <w:r w:rsidR="007C21F4" w:rsidRPr="00EF66BB">
        <w:rPr>
          <w:rFonts w:ascii="Times New Roman" w:hAnsi="Times New Roman" w:cs="Times New Roman"/>
        </w:rPr>
        <w:t>s</w:t>
      </w:r>
      <w:r w:rsidR="006852D0" w:rsidRPr="00EF66BB">
        <w:rPr>
          <w:rFonts w:ascii="Times New Roman" w:hAnsi="Times New Roman" w:cs="Times New Roman"/>
        </w:rPr>
        <w:t xml:space="preserve"> from studies of technology transfer effectiveness with strategic choice theory to suggest that it the </w:t>
      </w:r>
      <w:r w:rsidR="006852D0" w:rsidRPr="00EF66BB">
        <w:rPr>
          <w:rFonts w:ascii="Times New Roman" w:hAnsi="Times New Roman" w:cs="Times New Roman"/>
          <w:i/>
        </w:rPr>
        <w:t>alignment</w:t>
      </w:r>
      <w:r w:rsidR="006852D0" w:rsidRPr="00EF66BB">
        <w:rPr>
          <w:rFonts w:ascii="Times New Roman" w:hAnsi="Times New Roman" w:cs="Times New Roman"/>
        </w:rPr>
        <w:t xml:space="preserve"> between university-level strategic choices and enabling organisational </w:t>
      </w:r>
      <w:r w:rsidR="00BF247C">
        <w:rPr>
          <w:rFonts w:ascii="Times New Roman" w:hAnsi="Times New Roman" w:cs="Times New Roman"/>
        </w:rPr>
        <w:t>characteristics</w:t>
      </w:r>
      <w:r w:rsidR="006852D0" w:rsidRPr="00EF66BB">
        <w:rPr>
          <w:rFonts w:ascii="Times New Roman" w:hAnsi="Times New Roman" w:cs="Times New Roman"/>
        </w:rPr>
        <w:t xml:space="preserve"> that determine technology transfer effectiveness. Thus, we highlight strategic choice as </w:t>
      </w:r>
      <w:r w:rsidR="003355CA">
        <w:rPr>
          <w:rFonts w:ascii="Times New Roman" w:hAnsi="Times New Roman" w:cs="Times New Roman"/>
        </w:rPr>
        <w:t>the</w:t>
      </w:r>
      <w:r w:rsidR="006852D0" w:rsidRPr="00EF66BB">
        <w:rPr>
          <w:rFonts w:ascii="Times New Roman" w:hAnsi="Times New Roman" w:cs="Times New Roman"/>
        </w:rPr>
        <w:t xml:space="preserve"> key underlying variable that accounts for performance variation amongst universities in terms of technology transfer activity, accounting for the mixed results regarding the role of TTO support and staff incentives.  </w:t>
      </w:r>
    </w:p>
    <w:p w14:paraId="7AE83139" w14:textId="77777777" w:rsidR="006852D0" w:rsidRPr="00EF66BB" w:rsidRDefault="006852D0" w:rsidP="00141231">
      <w:pPr>
        <w:spacing w:line="360" w:lineRule="auto"/>
        <w:rPr>
          <w:rFonts w:ascii="Times New Roman" w:hAnsi="Times New Roman" w:cs="Times New Roman"/>
        </w:rPr>
      </w:pPr>
    </w:p>
    <w:p w14:paraId="38B55AE8" w14:textId="51DA7919" w:rsidR="006852D0" w:rsidRPr="00EF66BB" w:rsidRDefault="006852D0" w:rsidP="00141231">
      <w:pPr>
        <w:spacing w:line="360" w:lineRule="auto"/>
        <w:rPr>
          <w:rFonts w:ascii="Times New Roman" w:hAnsi="Times New Roman" w:cs="Times New Roman"/>
        </w:rPr>
      </w:pPr>
      <w:r w:rsidRPr="00EF66BB">
        <w:rPr>
          <w:rFonts w:ascii="Times New Roman" w:hAnsi="Times New Roman" w:cs="Times New Roman"/>
        </w:rPr>
        <w:t xml:space="preserve">The scale of TTO </w:t>
      </w:r>
      <w:r w:rsidR="0080772B">
        <w:rPr>
          <w:rFonts w:ascii="Times New Roman" w:hAnsi="Times New Roman" w:cs="Times New Roman"/>
        </w:rPr>
        <w:t>operations</w:t>
      </w:r>
      <w:r w:rsidRPr="00EF66BB">
        <w:rPr>
          <w:rFonts w:ascii="Times New Roman" w:hAnsi="Times New Roman" w:cs="Times New Roman"/>
        </w:rPr>
        <w:t xml:space="preserve"> has been identified as a key determinant of technology transfer effectiveness </w:t>
      </w:r>
      <w:r w:rsidR="008F2687">
        <w:rPr>
          <w:rFonts w:ascii="Times New Roman" w:hAnsi="Times New Roman" w:cs="Times New Roman"/>
        </w:rPr>
        <w:fldChar w:fldCharType="begin" w:fldLock="1"/>
      </w:r>
      <w:r w:rsidR="005C76D1">
        <w:rPr>
          <w:rFonts w:ascii="Times New Roman" w:hAnsi="Times New Roman" w:cs="Times New Roman"/>
        </w:rPr>
        <w:instrText>ADDIN CSL_CITATION {"citationItems":[{"id":"ITEM-1","itemData":{"DOI":"10.1016/j.respol.2011.02.001","ISBN":"0048-7333","ISSN":"00487333","PMID":"2891","abstract":"The phenomenon of entrepreneurial universities has received considerable attention over the last decades. An entrepreneurial orientation by academia might put regions and nations in an advantageous position in emerging knowledge-intensive fields of economic activity. At the same time, such entrepreneurial orientation requires reconciliation with the scientific missions of academia. Large-scale empirical research on antecedents of the entrepreneurial effectiveness of universities is scarce. This contribution examines the extent to which scientific productivity affect entrepreneurial effectiveness, taking into account the size of universities and the presence of disciplines, as well as the R&amp;D intensity of the regional business environment (BERD). In addition, we assess the occurrence of trade-offs between different transfer mechanisms (contract research, patenting and spin off activity). The data used pertain to 105 European universities. Our findings reveal that scientific productivity is positively associated with entrepreneurial effectiveness. Trade-offs between transfer mechanisms do not reveal themselves; on the contrary, contract research and spin off activities tend to facilitate each other. Limitations and implications for future research are discussed. © 2011 Elsevier B.V. All rights reserved.","author":[{"dropping-particle":"","family":"Looy","given":"Bart","non-dropping-particle":"Van","parse-names":false,"suffix":""},{"dropping-particle":"","family":"Landoni","given":"Paolo","non-dropping-particle":"","parse-names":false,"suffix":""},{"dropping-particle":"","family":"Callaert","given":"Julie","non-dropping-particle":"","parse-names":false,"suffix":""},{"dropping-particle":"","family":"Pottelsberghe","given":"Bruno","non-dropping-particle":"Van","parse-names":false,"suffix":""},{"dropping-particle":"","family":"Sapsalis","given":"Eleftherios","non-dropping-particle":"","parse-names":false,"suffix":""},{"dropping-particle":"","family":"Debackere","given":"Koenraad","non-dropping-particle":"","parse-names":false,"suffix":""}],"container-title":"Research Policy","id":"ITEM-1","issue":"4","issued":{"date-parts":[["2011"]]},"page":"553-564","publisher":"Elsevier B.V.","title":"Entrepreneurial effectiveness of European universities: An empirical assessment of antecedents and trade-offs","type":"article-journal","volume":"40"},"uris":["http://www.mendeley.com/documents/?uuid=efca2164-cee4-4742-ab17-7b8416ace40b"]},{"id":"ITEM-2","itemData":{"DOI":"10.1016/j.respol.2010.05.016","ISBN":"00487333","ISSN":"00487333","PMID":"53969080","abstract":"This paper investigates the performance of universities in the transfer of technology using a unique university-level dataset for Spain. The results suggest that universities with established policies and procedures for the management of technology transfer perform better. Universities with large and experienced technology transfer offices (TTOs) generate higher volumes of contract research, but the TTO characteristics appear to matter less for university performance in terms of licensing and creation of spin-offs. Furthermore, universities with a science park perform better than those without, which suggests that the agglomeration of knowledge close to universities has a positive effect on universities' technology transfer performance. ?? 2010 Elsevier B.V. All rights reserved.","author":[{"dropping-particle":"","family":"Caldera","given":"Aida","non-dropping-particle":"","parse-names":false,"suffix":""},{"dropping-particle":"","family":"Debande","given":"Olivier","non-dropping-particle":"","parse-names":false,"suffix":""}],"container-title":"Research Policy","id":"ITEM-2","issue":"9","issued":{"date-parts":[["2010"]]},"page":"1160-1173","publisher":"Elsevier B.V.","title":"Performance of Spanish universities in technology transfer: An empirical analysis","type":"article-journal","volume":"39"},"uris":["http://www.mendeley.com/documents/?uuid=d43816cf-2ca3-4387-aef7-64719dd222a6"]},{"id":"ITEM-3","itemData":{"DOI":"10.1093/icc/dtm023","ISBN":"0960-6491","ISSN":"09606491","abstract":"The literature on university entrepreneurship is rapidly expanding, in both the United States and Europe. Since the literature is also fairly fragmented, however, we submit that it is time to take stock of the current knowledge to provide directions for future research and guideposts for policy makers. To accomplish this, we present an unusually comprehensive and detailed literature analysis of the stream of research on university entrepreneurship, now encompassing 173 articles published in a variety of academic journals. Four major research streams emerge in this area of study: (i) entrepreneurial research university, (ii) productivity of technology transfer offices, (iii) new firm creation, and (iv) environmental context including networks of innovation. We inductively derive a framework describing the dynamic process of university entrepreneurship based on a synthesis of the literature. We submit that this framework is useful in guiding future research on this important, yet complex and under-researched topic.","author":[{"dropping-particle":"","family":"Rothaermel","given":"Frank T.","non-dropping-particle":"","parse-names":false,"suffix":""},{"dropping-particle":"","family":"Agung","given":"Shanti D.","non-dropping-particle":"","parse-names":false,"suffix":""},{"dropping-particle":"","family":"Jiang","given":"Lin","non-dropping-particle":"","parse-names":false,"suffix":""}],"container-title":"Industrial and Corporate Change","id":"ITEM-3","issue":"4","issued":{"date-parts":[["2007"]]},"page":"691-791","title":"University entrepreneurship: A taxonomy of the literature","type":"article-journal","volume":"16"},"uris":["http://www.mendeley.com/documents/?uuid=5357c8bd-4f94-4314-8ab0-1173b7db7f62"]},{"id":"ITEM-4","itemData":{"author":[{"dropping-particle":"","family":"Siegel","given":"Donald","non-dropping-particle":"","parse-names":false,"suffix":""},{"dropping-particle":"","family":"Wright","given":"Mike","non-dropping-particle":"","parse-names":false,"suffix":""}],"container-title":"The Chicago Handbook of University Technology Transfer and Academic Entrepreneurship","id":"ITEM-4","issued":{"date-parts":[["2015"]]},"page":"1-40","title":"University Technology Transfer Offices, Licensing and Start-Ups","type":"article-journal"},"uris":["http://www.mendeley.com/documents/?uuid=fe76100e-4794-40f5-abd9-8ecf8418b924"]}],"mendeley":{"formattedCitation":"(Caldera and Debande, 2010a; Rothaermel et al., 2007; Siegel and Wright, 2015b; Van Looy et al., 2011)","plainTextFormattedCitation":"(Caldera and Debande, 2010a; Rothaermel et al., 2007; Siegel and Wright, 2015b; Van Looy et al., 2011)","previouslyFormattedCitation":"(Caldera and Debande, 2010a; Rothaermel et al., 2007; Siegel and Wright, 2015b; Van Looy et al., 2011)"},"properties":{"noteIndex":0},"schema":"https://github.com/citation-style-language/schema/raw/master/csl-citation.json"}</w:instrText>
      </w:r>
      <w:r w:rsidR="008F2687">
        <w:rPr>
          <w:rFonts w:ascii="Times New Roman" w:hAnsi="Times New Roman" w:cs="Times New Roman"/>
        </w:rPr>
        <w:fldChar w:fldCharType="separate"/>
      </w:r>
      <w:r w:rsidR="005C76D1" w:rsidRPr="005C76D1">
        <w:rPr>
          <w:rFonts w:ascii="Times New Roman" w:hAnsi="Times New Roman" w:cs="Times New Roman"/>
          <w:noProof/>
        </w:rPr>
        <w:t>(Caldera and Debande, 2010a; Rothaermel et al., 2007; Siegel and Wright, 2015b; Van Looy et al., 2011)</w:t>
      </w:r>
      <w:r w:rsidR="008F2687">
        <w:rPr>
          <w:rFonts w:ascii="Times New Roman" w:hAnsi="Times New Roman" w:cs="Times New Roman"/>
        </w:rPr>
        <w:fldChar w:fldCharType="end"/>
      </w:r>
      <w:r w:rsidR="008F2687">
        <w:rPr>
          <w:rFonts w:ascii="Times New Roman" w:hAnsi="Times New Roman" w:cs="Times New Roman"/>
        </w:rPr>
        <w:t>.</w:t>
      </w:r>
      <w:r w:rsidRPr="00EF66BB">
        <w:rPr>
          <w:rFonts w:ascii="Times New Roman" w:hAnsi="Times New Roman" w:cs="Times New Roman"/>
        </w:rPr>
        <w:t xml:space="preserve"> </w:t>
      </w:r>
      <w:r w:rsidR="002701F0">
        <w:rPr>
          <w:rFonts w:ascii="Times New Roman" w:hAnsi="Times New Roman" w:cs="Times New Roman"/>
        </w:rPr>
        <w:t xml:space="preserve">Following the logic of strategic choice theory, </w:t>
      </w:r>
      <w:r w:rsidRPr="00EF66BB">
        <w:rPr>
          <w:rFonts w:ascii="Times New Roman" w:hAnsi="Times New Roman" w:cs="Times New Roman"/>
        </w:rPr>
        <w:t xml:space="preserve">we hypothesise that TTO support is necessary but not sufficient for </w:t>
      </w:r>
      <w:r w:rsidR="0080772B">
        <w:rPr>
          <w:rFonts w:ascii="Times New Roman" w:hAnsi="Times New Roman" w:cs="Times New Roman"/>
        </w:rPr>
        <w:t>effective</w:t>
      </w:r>
      <w:r w:rsidRPr="00EF66BB">
        <w:rPr>
          <w:rFonts w:ascii="Times New Roman" w:hAnsi="Times New Roman" w:cs="Times New Roman"/>
        </w:rPr>
        <w:t xml:space="preserve"> technology transfer. Instead</w:t>
      </w:r>
      <w:r w:rsidR="007C21F4" w:rsidRPr="00EF66BB">
        <w:rPr>
          <w:rFonts w:ascii="Times New Roman" w:hAnsi="Times New Roman" w:cs="Times New Roman"/>
        </w:rPr>
        <w:t>,</w:t>
      </w:r>
      <w:r w:rsidRPr="00EF66BB">
        <w:rPr>
          <w:rFonts w:ascii="Times New Roman" w:hAnsi="Times New Roman" w:cs="Times New Roman"/>
        </w:rPr>
        <w:t xml:space="preserve"> </w:t>
      </w:r>
      <w:r w:rsidR="0080772B">
        <w:rPr>
          <w:rFonts w:ascii="Times New Roman" w:hAnsi="Times New Roman" w:cs="Times New Roman"/>
        </w:rPr>
        <w:t>we</w:t>
      </w:r>
      <w:r w:rsidR="00FF48A3" w:rsidRPr="00EF66BB">
        <w:rPr>
          <w:rFonts w:ascii="Times New Roman" w:hAnsi="Times New Roman" w:cs="Times New Roman"/>
        </w:rPr>
        <w:t xml:space="preserve"> suggested</w:t>
      </w:r>
      <w:r w:rsidRPr="00EF66BB">
        <w:rPr>
          <w:rFonts w:ascii="Times New Roman" w:hAnsi="Times New Roman" w:cs="Times New Roman"/>
        </w:rPr>
        <w:t xml:space="preserve"> that the relationship between TTO support and technology transfer effectiveness is mediated by the strategic choice</w:t>
      </w:r>
      <w:r w:rsidR="0092045A" w:rsidRPr="00EF66BB">
        <w:rPr>
          <w:rFonts w:ascii="Times New Roman" w:hAnsi="Times New Roman" w:cs="Times New Roman"/>
        </w:rPr>
        <w:t>s</w:t>
      </w:r>
      <w:r w:rsidRPr="00EF66BB">
        <w:rPr>
          <w:rFonts w:ascii="Times New Roman" w:hAnsi="Times New Roman" w:cs="Times New Roman"/>
        </w:rPr>
        <w:t xml:space="preserve"> made by</w:t>
      </w:r>
      <w:r w:rsidR="0080772B">
        <w:rPr>
          <w:rFonts w:ascii="Times New Roman" w:hAnsi="Times New Roman" w:cs="Times New Roman"/>
        </w:rPr>
        <w:t xml:space="preserve"> senior</w:t>
      </w:r>
      <w:r w:rsidRPr="00EF66BB">
        <w:rPr>
          <w:rFonts w:ascii="Times New Roman" w:hAnsi="Times New Roman" w:cs="Times New Roman"/>
        </w:rPr>
        <w:t xml:space="preserve"> universit</w:t>
      </w:r>
      <w:r w:rsidR="00FF48A3" w:rsidRPr="00EF66BB">
        <w:rPr>
          <w:rFonts w:ascii="Times New Roman" w:hAnsi="Times New Roman" w:cs="Times New Roman"/>
        </w:rPr>
        <w:t>y managers</w:t>
      </w:r>
      <w:r w:rsidRPr="00EF66BB">
        <w:rPr>
          <w:rFonts w:ascii="Times New Roman" w:hAnsi="Times New Roman" w:cs="Times New Roman"/>
        </w:rPr>
        <w:t xml:space="preserve"> to prioritise technology transfer. The results of our structural modelling provide</w:t>
      </w:r>
      <w:r w:rsidR="0080772B">
        <w:rPr>
          <w:rFonts w:ascii="Times New Roman" w:hAnsi="Times New Roman" w:cs="Times New Roman"/>
        </w:rPr>
        <w:t>s</w:t>
      </w:r>
      <w:r w:rsidRPr="00EF66BB">
        <w:rPr>
          <w:rFonts w:ascii="Times New Roman" w:hAnsi="Times New Roman" w:cs="Times New Roman"/>
        </w:rPr>
        <w:t xml:space="preserve"> strong support for this postulat</w:t>
      </w:r>
      <w:r w:rsidR="00B72A19" w:rsidRPr="00EF66BB">
        <w:rPr>
          <w:rFonts w:ascii="Times New Roman" w:hAnsi="Times New Roman" w:cs="Times New Roman"/>
        </w:rPr>
        <w:t>ion</w:t>
      </w:r>
      <w:r w:rsidR="0080772B">
        <w:rPr>
          <w:rFonts w:ascii="Times New Roman" w:hAnsi="Times New Roman" w:cs="Times New Roman"/>
        </w:rPr>
        <w:t>,</w:t>
      </w:r>
      <w:r w:rsidR="00B72A19" w:rsidRPr="00EF66BB">
        <w:rPr>
          <w:rFonts w:ascii="Times New Roman" w:hAnsi="Times New Roman" w:cs="Times New Roman"/>
        </w:rPr>
        <w:t xml:space="preserve"> which is significant </w:t>
      </w:r>
      <w:r w:rsidR="005F2294" w:rsidRPr="00EF66BB">
        <w:rPr>
          <w:rFonts w:ascii="Times New Roman" w:hAnsi="Times New Roman" w:cs="Times New Roman"/>
        </w:rPr>
        <w:t>because</w:t>
      </w:r>
      <w:r w:rsidRPr="00EF66BB">
        <w:rPr>
          <w:rFonts w:ascii="Times New Roman" w:hAnsi="Times New Roman" w:cs="Times New Roman"/>
        </w:rPr>
        <w:t xml:space="preserve"> existing research examining the relationship between the scale of TTO support and the effectiveness of technology transfer broadly indicates a positive relationship between scale and effectiveness </w:t>
      </w:r>
      <w:r w:rsidR="008F2687">
        <w:rPr>
          <w:rFonts w:ascii="Times New Roman" w:hAnsi="Times New Roman" w:cs="Times New Roman"/>
        </w:rPr>
        <w:fldChar w:fldCharType="begin" w:fldLock="1"/>
      </w:r>
      <w:r w:rsidR="005F1251">
        <w:rPr>
          <w:rFonts w:ascii="Times New Roman" w:hAnsi="Times New Roman" w:cs="Times New Roman"/>
        </w:rPr>
        <w:instrText>ADDIN CSL_CITATION {"citationItems":[{"id":"ITEM-1","itemData":{"DOI":"10.1016/S0048-7333(01)00196-2","ISSN":"00487333","author":[{"dropping-particle":"","family":"Siegel","given":"Donald","non-dropping-particle":"","parse-names":false,"suffix":""},{"dropping-particle":"","family":"Waldman","given":"David","non-dropping-particle":"","parse-names":false,"suffix":""},{"dropping-particle":"","family":"Link","given":"Albert","non-dropping-particle":"","parse-names":false,"suffix":""}],"container-title":"Research Policy","id":"ITEM-1","issue":"1","issued":{"date-parts":[["2003","1"]]},"page":"27-48","title":"Assessing the impact of organizational practices on the relative productivity of university technology transfer offices: an exploratory study","type":"article-journal","volume":"32"},"uris":["http://www.mendeley.com/documents/?uuid=e46987f6-89c5-3b6f-b14b-8fc764f55f9f"]},{"id":"ITEM-2","itemData":{"DOI":"10.1111/j.0741-6261.2008.00020.x","ISBN":"0741-6261","ISSN":"07416261","PMID":"2877","abstract":"We show that universities in the United States that provide stronger royalty incentives to faculty scientists generate greater license income, controlling for university characteristics. We use pre-sample data on university patenting to control for the potential endogeneity of royalty shares. Faculty responds to royalties both in the form of cash and research lab support, indicating both pecuniary and intrinsic research motivations. The impact of incentives is larger in private than in public universities, and we provide new survey evidence on the organization and objectives of university licensing offices to explain this difference. Royalty incentives work both by raising faculty effort and sorting scientists across universities. The primary impact of incentives is to increase the quality rather than the quantity of inventions.","author":[{"dropping-particle":"","family":"Lach","given":"Saul","non-dropping-particle":"","parse-names":false,"suffix":""},{"dropping-particle":"","family":"Schankerman","given":"Mark","non-dropping-particle":"","parse-names":false,"suffix":""}],"container-title":"RAND Journal of Economics","id":"ITEM-2","issue":"2","issued":{"date-parts":[["2008"]]},"page":"403-433","title":"Incentives and invention in universities","type":"article-journal","volume":"39"},"uris":["http://www.mendeley.com/documents/?uuid=5cc5deac-babe-4731-9ce4-35098d057334"]},{"id":"ITEM-3","itemData":{"DOI":"10.1007/s10961-009-9129-z","ISBN":"1096100991","author":[{"dropping-particle":"","family":"Heisey","given":"Paul W","non-dropping-particle":"","parse-names":false,"suffix":""},{"dropping-particle":"","family":"Adelman","given":"Æ Sarah W","non-dropping-particle":"","parse-names":false,"suffix":""}],"id":"ITEM-3","issued":{"date-parts":[["2011"]]},"page":"38-60","title":"and university licensing revenue","type":"article-journal"},"uris":["http://www.mendeley.com/documents/?uuid=c4ddc740-e8bb-478b-be69-e1d8a02e8d39"]}],"mendeley":{"formattedCitation":"(Heisey and Adelman, 2011; Lach and Schankerman, 2008; Siegel et al., 2003)","plainTextFormattedCitation":"(Heisey and Adelman, 2011; Lach and Schankerman, 2008; Siegel et al., 2003)","previouslyFormattedCitation":"(Heisey and Adelman, 2011; Lach and Schankerman, 2008; Siegel et al., 2003)"},"properties":{"noteIndex":0},"schema":"https://github.com/citation-style-language/schema/raw/master/csl-citation.json"}</w:instrText>
      </w:r>
      <w:r w:rsidR="008F2687">
        <w:rPr>
          <w:rFonts w:ascii="Times New Roman" w:hAnsi="Times New Roman" w:cs="Times New Roman"/>
        </w:rPr>
        <w:fldChar w:fldCharType="separate"/>
      </w:r>
      <w:r w:rsidR="008F2687" w:rsidRPr="008F2687">
        <w:rPr>
          <w:rFonts w:ascii="Times New Roman" w:hAnsi="Times New Roman" w:cs="Times New Roman"/>
          <w:noProof/>
        </w:rPr>
        <w:t>(Heisey and Adelman, 2011; Lach and Schankerman, 2008; Siegel et al., 2003)</w:t>
      </w:r>
      <w:r w:rsidR="008F2687">
        <w:rPr>
          <w:rFonts w:ascii="Times New Roman" w:hAnsi="Times New Roman" w:cs="Times New Roman"/>
        </w:rPr>
        <w:fldChar w:fldCharType="end"/>
      </w:r>
      <w:r w:rsidR="008F2687">
        <w:rPr>
          <w:rFonts w:ascii="Times New Roman" w:hAnsi="Times New Roman" w:cs="Times New Roman"/>
        </w:rPr>
        <w:t>.</w:t>
      </w:r>
      <w:r w:rsidRPr="00EF66BB">
        <w:rPr>
          <w:rFonts w:ascii="Times New Roman" w:hAnsi="Times New Roman" w:cs="Times New Roman"/>
        </w:rPr>
        <w:t xml:space="preserve"> </w:t>
      </w:r>
    </w:p>
    <w:p w14:paraId="206D5238" w14:textId="77777777" w:rsidR="006852D0" w:rsidRPr="00EF66BB" w:rsidRDefault="006852D0" w:rsidP="00141231">
      <w:pPr>
        <w:spacing w:line="360" w:lineRule="auto"/>
        <w:rPr>
          <w:rFonts w:ascii="Times New Roman" w:hAnsi="Times New Roman" w:cs="Times New Roman"/>
        </w:rPr>
      </w:pPr>
    </w:p>
    <w:p w14:paraId="6E665474" w14:textId="29FA0CEA" w:rsidR="00CA76BE" w:rsidRDefault="006852D0" w:rsidP="00141231">
      <w:pPr>
        <w:spacing w:line="360" w:lineRule="auto"/>
        <w:rPr>
          <w:rFonts w:ascii="Times New Roman" w:hAnsi="Times New Roman" w:cs="Times New Roman"/>
        </w:rPr>
      </w:pPr>
      <w:r w:rsidRPr="00EF66BB">
        <w:rPr>
          <w:rFonts w:ascii="Times New Roman" w:hAnsi="Times New Roman" w:cs="Times New Roman"/>
        </w:rPr>
        <w:t>However</w:t>
      </w:r>
      <w:r w:rsidR="004A3A5B" w:rsidRPr="00EF66BB">
        <w:rPr>
          <w:rFonts w:ascii="Times New Roman" w:hAnsi="Times New Roman" w:cs="Times New Roman"/>
        </w:rPr>
        <w:t>,</w:t>
      </w:r>
      <w:r w:rsidRPr="00EF66BB">
        <w:rPr>
          <w:rFonts w:ascii="Times New Roman" w:hAnsi="Times New Roman" w:cs="Times New Roman"/>
        </w:rPr>
        <w:t xml:space="preserve"> some studies, notably </w:t>
      </w:r>
      <w:r w:rsidR="008F2687">
        <w:rPr>
          <w:rFonts w:ascii="Times New Roman" w:hAnsi="Times New Roman" w:cs="Times New Roman"/>
        </w:rPr>
        <w:fldChar w:fldCharType="begin" w:fldLock="1"/>
      </w:r>
      <w:r w:rsidR="008F2687">
        <w:rPr>
          <w:rFonts w:ascii="Times New Roman" w:hAnsi="Times New Roman" w:cs="Times New Roman"/>
        </w:rPr>
        <w:instrText>ADDIN CSL_CITATION {"citationItems":[{"id":"ITEM-1","itemData":{"DOI":"10.1016/j.respol.2005.01.007","ISBN":"0048-7333","ISSN":"00487333","PMID":"2878","abstract":"We present evidence on the relative performance of U.K. university technology transfer offices (TTOs) using data envelopment analysis (DEA) and stochastic frontier estimation (SFE). U.K. TTOs are found to exhibit low-levels of absolute efficiency. There also appear to be decreasing returns to scale, implying that TTOs may need to be reconfigured into smaller units. The development of regionally-based sector focused TTOs is also advised. Consistent with qualitative evidence from U.S. TTOs, we find that there is a need to upgrade the business skills and capabilities of U.K. TTO managers and licensing officers. © 2005 Elsevier B.V. All rights reserved.","author":[{"dropping-particle":"","family":"Chapple","given":"Wendy","non-dropping-particle":"","parse-names":false,"suffix":""},{"dropping-particle":"","family":"Lockett","given":"Andy","non-dropping-particle":"","parse-names":false,"suffix":""},{"dropping-particle":"","family":"Siegel","given":"Donald","non-dropping-particle":"","parse-names":false,"suffix":""},{"dropping-particle":"","family":"Wright","given":"Mike","non-dropping-particle":"","parse-names":false,"suffix":""}],"container-title":"Research Policy","id":"ITEM-1","issue":"3","issued":{"date-parts":[["2005"]]},"page":"369-384","title":"Assessing the relative performance of U.K. university technology transfer offices: Parametric and non-parametric evidence","type":"article-journal","volume":"34"},"uris":["http://www.mendeley.com/documents/?uuid=79f66bd1-a68a-42e0-a3e7-f5910e5a9097"]}],"mendeley":{"formattedCitation":"(Chapple et al., 2005)","manualFormatting":"Chapple et al (2005)","plainTextFormattedCitation":"(Chapple et al., 2005)","previouslyFormattedCitation":"(Chapple et al., 2005)"},"properties":{"noteIndex":0},"schema":"https://github.com/citation-style-language/schema/raw/master/csl-citation.json"}</w:instrText>
      </w:r>
      <w:r w:rsidR="008F2687">
        <w:rPr>
          <w:rFonts w:ascii="Times New Roman" w:hAnsi="Times New Roman" w:cs="Times New Roman"/>
        </w:rPr>
        <w:fldChar w:fldCharType="separate"/>
      </w:r>
      <w:r w:rsidR="008F2687">
        <w:rPr>
          <w:rFonts w:ascii="Times New Roman" w:hAnsi="Times New Roman" w:cs="Times New Roman"/>
          <w:noProof/>
        </w:rPr>
        <w:t>Chapple et al (</w:t>
      </w:r>
      <w:r w:rsidR="008F2687" w:rsidRPr="008F2687">
        <w:rPr>
          <w:rFonts w:ascii="Times New Roman" w:hAnsi="Times New Roman" w:cs="Times New Roman"/>
          <w:noProof/>
        </w:rPr>
        <w:t>2005)</w:t>
      </w:r>
      <w:r w:rsidR="008F2687">
        <w:rPr>
          <w:rFonts w:ascii="Times New Roman" w:hAnsi="Times New Roman" w:cs="Times New Roman"/>
        </w:rPr>
        <w:fldChar w:fldCharType="end"/>
      </w:r>
      <w:r w:rsidRPr="00EF66BB">
        <w:rPr>
          <w:rFonts w:ascii="Times New Roman" w:hAnsi="Times New Roman" w:cs="Times New Roman"/>
        </w:rPr>
        <w:t xml:space="preserve"> and </w:t>
      </w:r>
      <w:r w:rsidR="008F2687">
        <w:rPr>
          <w:rFonts w:ascii="Times New Roman" w:hAnsi="Times New Roman" w:cs="Times New Roman"/>
        </w:rPr>
        <w:fldChar w:fldCharType="begin" w:fldLock="1"/>
      </w:r>
      <w:r w:rsidR="008F2687">
        <w:rPr>
          <w:rFonts w:ascii="Times New Roman" w:hAnsi="Times New Roman" w:cs="Times New Roman"/>
        </w:rPr>
        <w:instrText>ADDIN CSL_CITATION {"citationItems":[{"id":"ITEM-1","itemData":{"DOI":"10.1016/j.jbusres.2015.01.023","ISBN":"0148-2963","ISSN":"01482963","abstract":"Technology Transfer Offices (TTOs) are the main institutions responsible for the establishment of university-industry partnerships. R&amp;D contracts exemplify the indirect mechanisms through which enterprises and universities collaborate on a win-win basis. This study addresses organizational and institutional aspects that act as drivers for the establishment of successful university-industry partnerships. First, a series of regression models explain the determinants of R&amp;D contracts. These models include two main dimensions: the university and the technology transfer office. Second, further analysis empirically explores whether universities in regions with a favorable environment enjoy greater active involvement in this particular knowledge transfer mechanism. The empirical study analyzes 2010 data for Spanish public universities. Results indicate that successful R&amp;D contracts depend on university and TTO characteristics, and the university's location. The paper also presents a set of managerial implications for improving the establishment of university-industry partnerships.","author":[{"dropping-particle":"","family":"Berbegal-Mirabent","given":"Jasmina","non-dropping-particle":"","parse-names":false,"suffix":""},{"dropping-particle":"","family":"Sánchez García","given":"José Luís","non-dropping-particle":"","parse-names":false,"suffix":""},{"dropping-particle":"","family":"Ribeiro-Soriano","given":"D. Enrique","non-dropping-particle":"","parse-names":false,"suffix":""}],"container-title":"Journal of Business Research","id":"ITEM-1","issue":"7","issued":{"date-parts":[["2015"]]},"page":"1407-1413","publisher":"Elsevier Inc.","title":"University-industry partnerships for the provision of R&amp;D services","type":"article-journal","volume":"68"},"uris":["http://www.mendeley.com/documents/?uuid=247f400b-c1b7-4b23-a7f3-aeb68a8f8dc3"]}],"mendeley":{"formattedCitation":"(Berbegal-Mirabent et al., 2015)","manualFormatting":"Berbegal-Mirabent et al (2015)","plainTextFormattedCitation":"(Berbegal-Mirabent et al., 2015)","previouslyFormattedCitation":"(Berbegal-Mirabent et al., 2015)"},"properties":{"noteIndex":0},"schema":"https://github.com/citation-style-language/schema/raw/master/csl-citation.json"}</w:instrText>
      </w:r>
      <w:r w:rsidR="008F2687">
        <w:rPr>
          <w:rFonts w:ascii="Times New Roman" w:hAnsi="Times New Roman" w:cs="Times New Roman"/>
        </w:rPr>
        <w:fldChar w:fldCharType="separate"/>
      </w:r>
      <w:r w:rsidR="008F2687">
        <w:rPr>
          <w:rFonts w:ascii="Times New Roman" w:hAnsi="Times New Roman" w:cs="Times New Roman"/>
          <w:noProof/>
        </w:rPr>
        <w:t>Berbegal-Mirabent et al (</w:t>
      </w:r>
      <w:r w:rsidR="008F2687" w:rsidRPr="008F2687">
        <w:rPr>
          <w:rFonts w:ascii="Times New Roman" w:hAnsi="Times New Roman" w:cs="Times New Roman"/>
          <w:noProof/>
        </w:rPr>
        <w:t>2015)</w:t>
      </w:r>
      <w:r w:rsidR="008F2687">
        <w:rPr>
          <w:rFonts w:ascii="Times New Roman" w:hAnsi="Times New Roman" w:cs="Times New Roman"/>
        </w:rPr>
        <w:fldChar w:fldCharType="end"/>
      </w:r>
      <w:r w:rsidRPr="00EF66BB">
        <w:rPr>
          <w:rFonts w:ascii="Times New Roman" w:hAnsi="Times New Roman" w:cs="Times New Roman"/>
        </w:rPr>
        <w:t xml:space="preserve"> have  </w:t>
      </w:r>
      <w:r w:rsidR="00D95C01">
        <w:rPr>
          <w:rFonts w:ascii="Times New Roman" w:hAnsi="Times New Roman" w:cs="Times New Roman"/>
        </w:rPr>
        <w:t xml:space="preserve">identified </w:t>
      </w:r>
      <w:r w:rsidR="00C51B52">
        <w:rPr>
          <w:rFonts w:ascii="Times New Roman" w:hAnsi="Times New Roman" w:cs="Times New Roman"/>
        </w:rPr>
        <w:t>a negative</w:t>
      </w:r>
      <w:r w:rsidRPr="00EF66BB">
        <w:rPr>
          <w:rFonts w:ascii="Times New Roman" w:hAnsi="Times New Roman" w:cs="Times New Roman"/>
        </w:rPr>
        <w:t xml:space="preserve"> relationship between</w:t>
      </w:r>
      <w:r w:rsidR="0092045A" w:rsidRPr="00EF66BB">
        <w:rPr>
          <w:rFonts w:ascii="Times New Roman" w:hAnsi="Times New Roman" w:cs="Times New Roman"/>
        </w:rPr>
        <w:t xml:space="preserve"> the</w:t>
      </w:r>
      <w:r w:rsidRPr="00EF66BB">
        <w:rPr>
          <w:rFonts w:ascii="Times New Roman" w:hAnsi="Times New Roman" w:cs="Times New Roman"/>
        </w:rPr>
        <w:t xml:space="preserve"> scale of TTO support and technology transfer effectiveness. Based on our findings</w:t>
      </w:r>
      <w:r w:rsidR="007C21F4" w:rsidRPr="00EF66BB">
        <w:rPr>
          <w:rFonts w:ascii="Times New Roman" w:hAnsi="Times New Roman" w:cs="Times New Roman"/>
        </w:rPr>
        <w:t>,</w:t>
      </w:r>
      <w:r w:rsidRPr="00EF66BB">
        <w:rPr>
          <w:rFonts w:ascii="Times New Roman" w:hAnsi="Times New Roman" w:cs="Times New Roman"/>
        </w:rPr>
        <w:t xml:space="preserve"> </w:t>
      </w:r>
      <w:r w:rsidR="007C21F4" w:rsidRPr="00EF66BB">
        <w:rPr>
          <w:rFonts w:ascii="Times New Roman" w:hAnsi="Times New Roman" w:cs="Times New Roman"/>
        </w:rPr>
        <w:t xml:space="preserve">we </w:t>
      </w:r>
      <w:r w:rsidR="00D95C01">
        <w:rPr>
          <w:rFonts w:ascii="Times New Roman" w:hAnsi="Times New Roman" w:cs="Times New Roman"/>
        </w:rPr>
        <w:t>demonstrate</w:t>
      </w:r>
      <w:r w:rsidR="007C21F4" w:rsidRPr="00EF66BB">
        <w:rPr>
          <w:rFonts w:ascii="Times New Roman" w:hAnsi="Times New Roman" w:cs="Times New Roman"/>
        </w:rPr>
        <w:t xml:space="preserve"> </w:t>
      </w:r>
      <w:r w:rsidRPr="00EF66BB">
        <w:rPr>
          <w:rFonts w:ascii="Times New Roman" w:hAnsi="Times New Roman" w:cs="Times New Roman"/>
        </w:rPr>
        <w:t>that these inverse relationships can be explained by</w:t>
      </w:r>
      <w:r w:rsidR="00B72A19" w:rsidRPr="00EF66BB">
        <w:rPr>
          <w:rFonts w:ascii="Times New Roman" w:hAnsi="Times New Roman" w:cs="Times New Roman"/>
        </w:rPr>
        <w:t xml:space="preserve"> mis</w:t>
      </w:r>
      <w:r w:rsidRPr="00EF66BB">
        <w:rPr>
          <w:rFonts w:ascii="Times New Roman" w:hAnsi="Times New Roman" w:cs="Times New Roman"/>
        </w:rPr>
        <w:t xml:space="preserve">alignment between TTO support and university strategic priorities. This may be particularly useful in </w:t>
      </w:r>
      <w:r w:rsidR="00D95C01">
        <w:rPr>
          <w:rFonts w:ascii="Times New Roman" w:hAnsi="Times New Roman" w:cs="Times New Roman"/>
        </w:rPr>
        <w:t>clarifying</w:t>
      </w:r>
      <w:r w:rsidRPr="00EF66BB">
        <w:rPr>
          <w:rFonts w:ascii="Times New Roman" w:hAnsi="Times New Roman" w:cs="Times New Roman"/>
        </w:rPr>
        <w:t xml:space="preserve"> the negative relationship found by </w:t>
      </w:r>
      <w:r w:rsidR="008F2687">
        <w:rPr>
          <w:rFonts w:ascii="Times New Roman" w:hAnsi="Times New Roman" w:cs="Times New Roman"/>
        </w:rPr>
        <w:fldChar w:fldCharType="begin" w:fldLock="1"/>
      </w:r>
      <w:r w:rsidR="008F2687">
        <w:rPr>
          <w:rFonts w:ascii="Times New Roman" w:hAnsi="Times New Roman" w:cs="Times New Roman"/>
        </w:rPr>
        <w:instrText>ADDIN CSL_CITATION {"citationItems":[{"id":"ITEM-1","itemData":{"DOI":"10.1016/j.respol.2005.01.007","ISBN":"0048-7333","ISSN":"00487333","PMID":"2878","abstract":"We present evidence on the relative performance of U.K. university technology transfer offices (TTOs) using data envelopment analysis (DEA) and stochastic frontier estimation (SFE). U.K. TTOs are found to exhibit low-levels of absolute efficiency. There also appear to be decreasing returns to scale, implying that TTOs may need to be reconfigured into smaller units. The development of regionally-based sector focused TTOs is also advised. Consistent with qualitative evidence from U.S. TTOs, we find that there is a need to upgrade the business skills and capabilities of U.K. TTO managers and licensing officers. © 2005 Elsevier B.V. All rights reserved.","author":[{"dropping-particle":"","family":"Chapple","given":"Wendy","non-dropping-particle":"","parse-names":false,"suffix":""},{"dropping-particle":"","family":"Lockett","given":"Andy","non-dropping-particle":"","parse-names":false,"suffix":""},{"dropping-particle":"","family":"Siegel","given":"Donald","non-dropping-particle":"","parse-names":false,"suffix":""},{"dropping-particle":"","family":"Wright","given":"Mike","non-dropping-particle":"","parse-names":false,"suffix":""}],"container-title":"Research Policy","id":"ITEM-1","issue":"3","issued":{"date-parts":[["2005"]]},"page":"369-384","title":"Assessing the relative performance of U.K. university technology transfer offices: Parametric and non-parametric evidence","type":"article-journal","volume":"34"},"uris":["http://www.mendeley.com/documents/?uuid=79f66bd1-a68a-42e0-a3e7-f5910e5a9097"]}],"mendeley":{"formattedCitation":"(Chapple et al., 2005)","manualFormatting":"Chapple et al (2005)","plainTextFormattedCitation":"(Chapple et al., 2005)","previouslyFormattedCitation":"(Chapple et al., 2005)"},"properties":{"noteIndex":0},"schema":"https://github.com/citation-style-language/schema/raw/master/csl-citation.json"}</w:instrText>
      </w:r>
      <w:r w:rsidR="008F2687">
        <w:rPr>
          <w:rFonts w:ascii="Times New Roman" w:hAnsi="Times New Roman" w:cs="Times New Roman"/>
        </w:rPr>
        <w:fldChar w:fldCharType="separate"/>
      </w:r>
      <w:r w:rsidR="008F2687">
        <w:rPr>
          <w:rFonts w:ascii="Times New Roman" w:hAnsi="Times New Roman" w:cs="Times New Roman"/>
          <w:noProof/>
        </w:rPr>
        <w:t>Chapple et al (</w:t>
      </w:r>
      <w:r w:rsidR="008F2687" w:rsidRPr="008F2687">
        <w:rPr>
          <w:rFonts w:ascii="Times New Roman" w:hAnsi="Times New Roman" w:cs="Times New Roman"/>
          <w:noProof/>
        </w:rPr>
        <w:t>2005)</w:t>
      </w:r>
      <w:r w:rsidR="008F2687">
        <w:rPr>
          <w:rFonts w:ascii="Times New Roman" w:hAnsi="Times New Roman" w:cs="Times New Roman"/>
        </w:rPr>
        <w:fldChar w:fldCharType="end"/>
      </w:r>
      <w:r w:rsidR="00E307C7">
        <w:rPr>
          <w:rFonts w:ascii="Times New Roman" w:hAnsi="Times New Roman" w:cs="Times New Roman"/>
        </w:rPr>
        <w:t xml:space="preserve"> in their</w:t>
      </w:r>
      <w:r w:rsidR="0092045A" w:rsidRPr="00EF66BB">
        <w:rPr>
          <w:rFonts w:ascii="Times New Roman" w:hAnsi="Times New Roman" w:cs="Times New Roman"/>
        </w:rPr>
        <w:t xml:space="preserve"> </w:t>
      </w:r>
      <w:r w:rsidRPr="00EF66BB">
        <w:rPr>
          <w:rFonts w:ascii="Times New Roman" w:hAnsi="Times New Roman" w:cs="Times New Roman"/>
        </w:rPr>
        <w:t xml:space="preserve">analysis of UK </w:t>
      </w:r>
      <w:r w:rsidR="00D213AA" w:rsidRPr="00EF66BB">
        <w:rPr>
          <w:rFonts w:ascii="Times New Roman" w:hAnsi="Times New Roman" w:cs="Times New Roman"/>
        </w:rPr>
        <w:t>universities</w:t>
      </w:r>
      <w:r w:rsidRPr="00EF66BB">
        <w:rPr>
          <w:rFonts w:ascii="Times New Roman" w:hAnsi="Times New Roman" w:cs="Times New Roman"/>
        </w:rPr>
        <w:t xml:space="preserve">. </w:t>
      </w:r>
      <w:r w:rsidR="00B72A19" w:rsidRPr="00EF66BB">
        <w:rPr>
          <w:rFonts w:ascii="Times New Roman" w:hAnsi="Times New Roman" w:cs="Times New Roman"/>
        </w:rPr>
        <w:t>Lockett et al (2015) show that</w:t>
      </w:r>
      <w:r w:rsidRPr="00EF66BB">
        <w:rPr>
          <w:rFonts w:ascii="Times New Roman" w:hAnsi="Times New Roman" w:cs="Times New Roman"/>
        </w:rPr>
        <w:t xml:space="preserve"> during the late 1990s and early 2000s technology transfer </w:t>
      </w:r>
      <w:r w:rsidR="007C21F4" w:rsidRPr="00EF66BB">
        <w:rPr>
          <w:rFonts w:ascii="Times New Roman" w:hAnsi="Times New Roman" w:cs="Times New Roman"/>
        </w:rPr>
        <w:t xml:space="preserve">became more </w:t>
      </w:r>
      <w:r w:rsidRPr="00EF66BB">
        <w:rPr>
          <w:rFonts w:ascii="Times New Roman" w:hAnsi="Times New Roman" w:cs="Times New Roman"/>
        </w:rPr>
        <w:t xml:space="preserve">institutionalised within UK universities, with isomorphic and regulatory pressures driving the formation and resourcing of </w:t>
      </w:r>
      <w:r w:rsidR="007C21F4" w:rsidRPr="00EF66BB">
        <w:rPr>
          <w:rFonts w:ascii="Times New Roman" w:hAnsi="Times New Roman" w:cs="Times New Roman"/>
        </w:rPr>
        <w:t>TTOs</w:t>
      </w:r>
      <w:r w:rsidRPr="00EF66BB">
        <w:rPr>
          <w:rFonts w:ascii="Times New Roman" w:hAnsi="Times New Roman" w:cs="Times New Roman"/>
        </w:rPr>
        <w:t xml:space="preserve">. </w:t>
      </w:r>
      <w:r w:rsidR="007C21F4" w:rsidRPr="00EF66BB">
        <w:rPr>
          <w:rFonts w:ascii="Times New Roman" w:hAnsi="Times New Roman" w:cs="Times New Roman"/>
        </w:rPr>
        <w:t xml:space="preserve">Following </w:t>
      </w:r>
      <w:r w:rsidRPr="00EF66BB">
        <w:rPr>
          <w:rFonts w:ascii="Times New Roman" w:hAnsi="Times New Roman" w:cs="Times New Roman"/>
        </w:rPr>
        <w:t xml:space="preserve">Chapple et al (2005) </w:t>
      </w:r>
      <w:r w:rsidR="007C21F4" w:rsidRPr="00EF66BB">
        <w:rPr>
          <w:rFonts w:ascii="Times New Roman" w:hAnsi="Times New Roman" w:cs="Times New Roman"/>
        </w:rPr>
        <w:t xml:space="preserve">and </w:t>
      </w:r>
      <w:r w:rsidRPr="00EF66BB">
        <w:rPr>
          <w:rFonts w:ascii="Times New Roman" w:hAnsi="Times New Roman" w:cs="Times New Roman"/>
        </w:rPr>
        <w:t>in light of our results, it may be concluded that UK TTO’s exhibit decreasing returns to scale due to misalignment between the strategic priorities of UK universities and the</w:t>
      </w:r>
      <w:r w:rsidR="00D95C01">
        <w:rPr>
          <w:rFonts w:ascii="Times New Roman" w:hAnsi="Times New Roman" w:cs="Times New Roman"/>
        </w:rPr>
        <w:t xml:space="preserve"> level of</w:t>
      </w:r>
      <w:r w:rsidRPr="00EF66BB">
        <w:rPr>
          <w:rFonts w:ascii="Times New Roman" w:hAnsi="Times New Roman" w:cs="Times New Roman"/>
        </w:rPr>
        <w:t xml:space="preserve"> technology transfer support </w:t>
      </w:r>
      <w:r w:rsidR="00D95C01">
        <w:rPr>
          <w:rFonts w:ascii="Times New Roman" w:hAnsi="Times New Roman" w:cs="Times New Roman"/>
        </w:rPr>
        <w:t>resulting from</w:t>
      </w:r>
      <w:r w:rsidRPr="00EF66BB">
        <w:rPr>
          <w:rFonts w:ascii="Times New Roman" w:hAnsi="Times New Roman" w:cs="Times New Roman"/>
        </w:rPr>
        <w:t xml:space="preserve"> these institutional pressures.</w:t>
      </w:r>
    </w:p>
    <w:p w14:paraId="7882B6B7" w14:textId="77777777" w:rsidR="00957CF9" w:rsidRDefault="00957CF9" w:rsidP="00141231">
      <w:pPr>
        <w:spacing w:line="360" w:lineRule="auto"/>
        <w:rPr>
          <w:rFonts w:ascii="Times New Roman" w:hAnsi="Times New Roman" w:cs="Times New Roman"/>
        </w:rPr>
      </w:pPr>
    </w:p>
    <w:p w14:paraId="1CF80351" w14:textId="742ECCCE" w:rsidR="006852D0" w:rsidRPr="00EF66BB" w:rsidRDefault="00D95C01" w:rsidP="00141231">
      <w:pPr>
        <w:spacing w:line="360" w:lineRule="auto"/>
        <w:rPr>
          <w:rFonts w:ascii="Times New Roman" w:hAnsi="Times New Roman" w:cs="Times New Roman"/>
        </w:rPr>
      </w:pPr>
      <w:r>
        <w:rPr>
          <w:rFonts w:ascii="Times New Roman" w:hAnsi="Times New Roman" w:cs="Times New Roman"/>
        </w:rPr>
        <w:lastRenderedPageBreak/>
        <w:t xml:space="preserve">Consequently, it is the </w:t>
      </w:r>
      <w:r w:rsidR="006852D0" w:rsidRPr="00EF66BB">
        <w:rPr>
          <w:rFonts w:ascii="Times New Roman" w:hAnsi="Times New Roman" w:cs="Times New Roman"/>
        </w:rPr>
        <w:t>strategic commitment to technology transfer which is the key underlying determinant of technology transfer effectiveness rather than</w:t>
      </w:r>
      <w:r w:rsidR="00A33DC8">
        <w:rPr>
          <w:rFonts w:ascii="Times New Roman" w:hAnsi="Times New Roman" w:cs="Times New Roman"/>
        </w:rPr>
        <w:t xml:space="preserve"> the scale of TTO.</w:t>
      </w:r>
      <w:r w:rsidR="006852D0" w:rsidRPr="00EF66BB">
        <w:rPr>
          <w:rFonts w:ascii="Times New Roman" w:hAnsi="Times New Roman" w:cs="Times New Roman"/>
        </w:rPr>
        <w:t xml:space="preserve"> </w:t>
      </w:r>
      <w:r w:rsidR="00D213AA" w:rsidRPr="00EF66BB">
        <w:rPr>
          <w:rFonts w:ascii="Times New Roman" w:hAnsi="Times New Roman" w:cs="Times New Roman"/>
        </w:rPr>
        <w:t>In a practical sense</w:t>
      </w:r>
      <w:r w:rsidR="006852D0" w:rsidRPr="00EF66BB">
        <w:rPr>
          <w:rFonts w:ascii="Times New Roman" w:hAnsi="Times New Roman" w:cs="Times New Roman"/>
        </w:rPr>
        <w:t>, support for H1 suggests that universities should not increase the scale of their TTO infrastructure</w:t>
      </w:r>
      <w:r w:rsidR="007C21F4" w:rsidRPr="00EF66BB">
        <w:rPr>
          <w:rFonts w:ascii="Times New Roman" w:hAnsi="Times New Roman" w:cs="Times New Roman"/>
        </w:rPr>
        <w:t>,</w:t>
      </w:r>
      <w:r w:rsidR="006852D0" w:rsidRPr="00EF66BB">
        <w:rPr>
          <w:rFonts w:ascii="Times New Roman" w:hAnsi="Times New Roman" w:cs="Times New Roman"/>
        </w:rPr>
        <w:t xml:space="preserve"> if technology transfer is not a primary strategic objective of the institution</w:t>
      </w:r>
      <w:r w:rsidR="00CE0F15">
        <w:rPr>
          <w:rFonts w:ascii="Times New Roman" w:hAnsi="Times New Roman" w:cs="Times New Roman"/>
        </w:rPr>
        <w:t>.</w:t>
      </w:r>
      <w:r w:rsidR="00677415">
        <w:rPr>
          <w:rFonts w:ascii="Times New Roman" w:hAnsi="Times New Roman" w:cs="Times New Roman"/>
        </w:rPr>
        <w:t xml:space="preserve"> This follows the recent analysis of</w:t>
      </w:r>
      <w:r w:rsidR="006E45CA">
        <w:rPr>
          <w:rFonts w:ascii="Times New Roman" w:hAnsi="Times New Roman" w:cs="Times New Roman"/>
        </w:rPr>
        <w:t xml:space="preserve"> university</w:t>
      </w:r>
      <w:r w:rsidR="00677415">
        <w:rPr>
          <w:rFonts w:ascii="Times New Roman" w:hAnsi="Times New Roman" w:cs="Times New Roman"/>
        </w:rPr>
        <w:t xml:space="preserve"> knowledge transfer organi</w:t>
      </w:r>
      <w:r w:rsidR="00CE1EC1">
        <w:rPr>
          <w:rFonts w:ascii="Times New Roman" w:hAnsi="Times New Roman" w:cs="Times New Roman"/>
        </w:rPr>
        <w:t>s</w:t>
      </w:r>
      <w:r w:rsidR="00677415">
        <w:rPr>
          <w:rFonts w:ascii="Times New Roman" w:hAnsi="Times New Roman" w:cs="Times New Roman"/>
        </w:rPr>
        <w:t xml:space="preserve">ations by Sengupta </w:t>
      </w:r>
      <w:r w:rsidR="00A33DC8">
        <w:rPr>
          <w:rFonts w:ascii="Times New Roman" w:hAnsi="Times New Roman" w:cs="Times New Roman"/>
        </w:rPr>
        <w:t>and</w:t>
      </w:r>
      <w:r w:rsidR="00677415">
        <w:rPr>
          <w:rFonts w:ascii="Times New Roman" w:hAnsi="Times New Roman" w:cs="Times New Roman"/>
        </w:rPr>
        <w:t xml:space="preserve"> Ray (2017b), </w:t>
      </w:r>
      <w:r w:rsidR="00CE0F15">
        <w:rPr>
          <w:rFonts w:ascii="Times New Roman" w:hAnsi="Times New Roman" w:cs="Times New Roman"/>
        </w:rPr>
        <w:t xml:space="preserve">who suggest </w:t>
      </w:r>
      <w:r w:rsidR="00677415">
        <w:rPr>
          <w:rFonts w:ascii="Times New Roman" w:hAnsi="Times New Roman" w:cs="Times New Roman"/>
        </w:rPr>
        <w:t xml:space="preserve">that </w:t>
      </w:r>
      <w:r w:rsidR="00A33DC8">
        <w:rPr>
          <w:rFonts w:ascii="Times New Roman" w:hAnsi="Times New Roman" w:cs="Times New Roman"/>
        </w:rPr>
        <w:t xml:space="preserve">TTO </w:t>
      </w:r>
      <w:r w:rsidR="00677415">
        <w:rPr>
          <w:rFonts w:ascii="Times New Roman" w:hAnsi="Times New Roman" w:cs="Times New Roman"/>
        </w:rPr>
        <w:t>structure should be concordant with university strategic</w:t>
      </w:r>
      <w:r w:rsidR="001E1E6D">
        <w:rPr>
          <w:rFonts w:ascii="Times New Roman" w:hAnsi="Times New Roman" w:cs="Times New Roman"/>
        </w:rPr>
        <w:t xml:space="preserve"> priorities. </w:t>
      </w:r>
      <w:r w:rsidR="00CE0F15">
        <w:rPr>
          <w:rFonts w:ascii="Times New Roman" w:hAnsi="Times New Roman" w:cs="Times New Roman"/>
        </w:rPr>
        <w:t xml:space="preserve">Specifically, </w:t>
      </w:r>
      <w:r w:rsidR="001E1E6D">
        <w:rPr>
          <w:rFonts w:ascii="Times New Roman" w:hAnsi="Times New Roman" w:cs="Times New Roman"/>
        </w:rPr>
        <w:t xml:space="preserve">Sengupta </w:t>
      </w:r>
      <w:r w:rsidR="00A33DC8">
        <w:rPr>
          <w:rFonts w:ascii="Times New Roman" w:hAnsi="Times New Roman" w:cs="Times New Roman"/>
        </w:rPr>
        <w:t>and</w:t>
      </w:r>
      <w:r w:rsidR="001E1E6D">
        <w:rPr>
          <w:rFonts w:ascii="Times New Roman" w:hAnsi="Times New Roman" w:cs="Times New Roman"/>
        </w:rPr>
        <w:t xml:space="preserve"> Ray (2017b) highlight </w:t>
      </w:r>
      <w:r w:rsidR="00CE0F15">
        <w:rPr>
          <w:rFonts w:ascii="Times New Roman" w:hAnsi="Times New Roman" w:cs="Times New Roman"/>
        </w:rPr>
        <w:t>that most UK universities perform poorly in terms of research commerciali</w:t>
      </w:r>
      <w:r w:rsidR="00CE1EC1">
        <w:rPr>
          <w:rFonts w:ascii="Times New Roman" w:hAnsi="Times New Roman" w:cs="Times New Roman"/>
        </w:rPr>
        <w:t>s</w:t>
      </w:r>
      <w:r w:rsidR="00CE0F15">
        <w:rPr>
          <w:rFonts w:ascii="Times New Roman" w:hAnsi="Times New Roman" w:cs="Times New Roman"/>
        </w:rPr>
        <w:t>ation and have therefore moved to outsource commerciali</w:t>
      </w:r>
      <w:r w:rsidR="00CE1EC1">
        <w:rPr>
          <w:rFonts w:ascii="Times New Roman" w:hAnsi="Times New Roman" w:cs="Times New Roman"/>
        </w:rPr>
        <w:t>s</w:t>
      </w:r>
      <w:r w:rsidR="00CE0F15">
        <w:rPr>
          <w:rFonts w:ascii="Times New Roman" w:hAnsi="Times New Roman" w:cs="Times New Roman"/>
        </w:rPr>
        <w:t>ation functions of their TTOs. Importantly, they draw attention to the significance of strategic responses by UK universities as a key influence on the structure of TTOs. Our analysis, combined with the insights of Sengupta &amp; Ray (2017b) suggests that only those universities that prioritise technology transfer should retain commerciali</w:t>
      </w:r>
      <w:r w:rsidR="00CE1EC1">
        <w:rPr>
          <w:rFonts w:ascii="Times New Roman" w:hAnsi="Times New Roman" w:cs="Times New Roman"/>
        </w:rPr>
        <w:t>s</w:t>
      </w:r>
      <w:r w:rsidR="00CE0F15">
        <w:rPr>
          <w:rFonts w:ascii="Times New Roman" w:hAnsi="Times New Roman" w:cs="Times New Roman"/>
        </w:rPr>
        <w:t xml:space="preserve">ation functions in-house. Conversely, those institutions that do not place strategic emphasis on technology transfer would be advised to move towards outsourcing models in order to improve the overall efficiency of their knowledge transfer operations. </w:t>
      </w:r>
    </w:p>
    <w:p w14:paraId="71A3ED26" w14:textId="77777777" w:rsidR="006852D0" w:rsidRPr="00EF66BB" w:rsidRDefault="006852D0" w:rsidP="00141231">
      <w:pPr>
        <w:spacing w:line="360" w:lineRule="auto"/>
        <w:rPr>
          <w:rFonts w:ascii="Times New Roman" w:hAnsi="Times New Roman" w:cs="Times New Roman"/>
        </w:rPr>
      </w:pPr>
    </w:p>
    <w:p w14:paraId="38CDC9E2" w14:textId="21ED4D20" w:rsidR="006852D0" w:rsidRPr="00EF66BB" w:rsidRDefault="006852D0" w:rsidP="00141231">
      <w:pPr>
        <w:spacing w:line="360" w:lineRule="auto"/>
        <w:rPr>
          <w:rFonts w:ascii="Times New Roman" w:hAnsi="Times New Roman" w:cs="Times New Roman"/>
        </w:rPr>
      </w:pPr>
      <w:r w:rsidRPr="00EF66BB">
        <w:rPr>
          <w:rFonts w:ascii="Times New Roman" w:hAnsi="Times New Roman" w:cs="Times New Roman"/>
        </w:rPr>
        <w:t>In H2, we suggest</w:t>
      </w:r>
      <w:r w:rsidR="00A33DC8">
        <w:rPr>
          <w:rFonts w:ascii="Times New Roman" w:hAnsi="Times New Roman" w:cs="Times New Roman"/>
        </w:rPr>
        <w:t>ed</w:t>
      </w:r>
      <w:r w:rsidRPr="00EF66BB">
        <w:rPr>
          <w:rFonts w:ascii="Times New Roman" w:hAnsi="Times New Roman" w:cs="Times New Roman"/>
        </w:rPr>
        <w:t xml:space="preserve"> that the provision </w:t>
      </w:r>
      <w:r w:rsidR="00E307C7">
        <w:rPr>
          <w:rFonts w:ascii="Times New Roman" w:hAnsi="Times New Roman" w:cs="Times New Roman"/>
        </w:rPr>
        <w:t>of</w:t>
      </w:r>
      <w:r w:rsidRPr="00EF66BB">
        <w:rPr>
          <w:rFonts w:ascii="Times New Roman" w:hAnsi="Times New Roman" w:cs="Times New Roman"/>
        </w:rPr>
        <w:t xml:space="preserve"> incentives </w:t>
      </w:r>
      <w:r w:rsidR="00E307C7">
        <w:rPr>
          <w:rFonts w:ascii="Times New Roman" w:hAnsi="Times New Roman" w:cs="Times New Roman"/>
        </w:rPr>
        <w:t>for</w:t>
      </w:r>
      <w:r w:rsidRPr="00EF66BB">
        <w:rPr>
          <w:rFonts w:ascii="Times New Roman" w:hAnsi="Times New Roman" w:cs="Times New Roman"/>
        </w:rPr>
        <w:t xml:space="preserve"> staff to engage in technology transfer activity is necessary but not sufficient to explain variation in technology transfer effectiveness</w:t>
      </w:r>
      <w:r w:rsidR="008F2687">
        <w:rPr>
          <w:rFonts w:ascii="Times New Roman" w:hAnsi="Times New Roman" w:cs="Times New Roman"/>
        </w:rPr>
        <w:t>.</w:t>
      </w:r>
      <w:r w:rsidRPr="00EF66BB">
        <w:rPr>
          <w:rFonts w:ascii="Times New Roman" w:hAnsi="Times New Roman" w:cs="Times New Roman"/>
        </w:rPr>
        <w:t xml:space="preserve"> </w:t>
      </w:r>
      <w:r w:rsidR="00CD0532">
        <w:rPr>
          <w:rFonts w:ascii="Times New Roman" w:hAnsi="Times New Roman" w:cs="Times New Roman"/>
        </w:rPr>
        <w:t>M</w:t>
      </w:r>
      <w:r w:rsidRPr="00EF66BB">
        <w:rPr>
          <w:rFonts w:ascii="Times New Roman" w:hAnsi="Times New Roman" w:cs="Times New Roman"/>
        </w:rPr>
        <w:t xml:space="preserve">ost studies demonstrate a positive relationship between incentives (usually in the form of royalty shares) and technology transfer revenue </w:t>
      </w:r>
      <w:r w:rsidR="008F2687">
        <w:rPr>
          <w:rFonts w:ascii="Times New Roman" w:hAnsi="Times New Roman" w:cs="Times New Roman"/>
        </w:rPr>
        <w:fldChar w:fldCharType="begin" w:fldLock="1"/>
      </w:r>
      <w:r w:rsidR="005F1251">
        <w:rPr>
          <w:rFonts w:ascii="Times New Roman" w:hAnsi="Times New Roman" w:cs="Times New Roman"/>
        </w:rPr>
        <w:instrText>ADDIN CSL_CITATION {"citationItems":[{"id":"ITEM-1","itemData":{"DOI":"10.1016/j.respol.2010.05.016","ISBN":"00487333","ISSN":"00487333","PMID":"53969080","abstract":"This paper investigates the performance of universities in the transfer of technology using a unique university-level dataset for Spain. The results suggest that universities with established policies and procedures for the management of technology transfer perform better. Universities with large and experienced technology transfer offices (TTOs) generate higher volumes of contract research, but the TTO characteristics appear to matter less for university performance in terms of licensing and creation of spin-offs. Furthermore, universities with a science park perform better than those without, which suggests that the agglomeration of knowledge close to universities has a positive effect on universities' technology transfer performance. ?? 2010 Elsevier B.V. All rights reserved.","author":[{"dropping-particle":"","family":"Caldera","given":"Aida","non-dropping-particle":"","parse-names":false,"suffix":""},{"dropping-particle":"","family":"Debande","given":"Olivier","non-dropping-particle":"","parse-names":false,"suffix":""}],"container-title":"Research Policy","id":"ITEM-1","issue":"9","issued":{"date-parts":[["2010"]]},"page":"1160-1173","publisher":"Elsevier B.V.","title":"Performance of Spanish universities in technology transfer: An empirical analysis","type":"article-journal","volume":"39"},"uris":["http://www.mendeley.com/documents/?uuid=b6187140-2655-46fb-9e1d-b798bf9c6104"]},{"id":"ITEM-2","itemData":{"DOI":"10.1016/j.respol.2005.01.005","ISBN":"0048-7333","ISSN":"00487333","PMID":"599","abstract":"This article discusses salient trends in university-based technology initiatives in the United States and Europe, and it summarizes the papers contained in this special issue.","author":[{"dropping-particle":"","family":"Link","given":"Albert N.","non-dropping-particle":"","parse-names":false,"suffix":""},{"dropping-particle":"","family":"Siegel","given":"Donald","non-dropping-particle":"","parse-names":false,"suffix":""}],"container-title":"Research Policy","id":"ITEM-2","issue":"3","issued":{"date-parts":[["2005"]]},"page":"253-257","title":"University-based technology initiatives: Quantitative and qualitative evidence","type":"article-journal","volume":"34"},"uris":["http://www.mendeley.com/documents/?uuid=898545c9-834c-423a-aa3f-4da3b3627a38"]},{"id":"ITEM-3","itemData":{"DOI":"10.1023/A:1021674618658","ISBN":"0892-9912","ISSN":"0892-9912","abstract":"University technology transfer activities are increasingly important as a source of regional economic development and revenue for the university. We use regression analysis, a two-stage model and the most recent data to examine the determinants of technology transfer. Our analysis strongly support four factors, not previously examined in the literature, enhancing university technology transfer: greater rewards for faculty involvement in technology transfer, location of the university in a region with a concentration of high technology firms, a clear university mission in support of technology transfer and the experience of the university's technology transfer office.","author":[{"dropping-particle":"","family":"Friedman","given":"Joseph","non-dropping-particle":"","parse-names":false,"suffix":""},{"dropping-particle":"","family":"Silberman","given":"Jonathan","non-dropping-particle":"","parse-names":false,"suffix":""}],"container-title":"The Journal of Technology Transfer","id":"ITEM-3","issue":"1","issued":{"date-parts":[["2003"]]},"page":"17-30","title":"University Technology Transfer: Do Incentives, Management, and Location Matter?","type":"article-journal","volume":"28"},"uris":["http://www.mendeley.com/documents/?uuid=374e8e75-56c8-4c4e-a6bd-e5796bfc2ca5"]},{"id":"ITEM-4","itemData":{"DOI":"10.1086/595763","ISBN":"0022-2186","ISSN":"0022-2186","PMID":"2889","abstract":"We study the impact of private ownership, incentive pay, and local development objectives on university licensing performance. We develop and test a simple contracting model of technology-licensing offices using new survey information together with panel data on U.S. universities for 1995–99. We find that private universities are much more likely to adopt incentive pay than public ones but that ownership does not affect licensing performance conditional on the use of incentive pay. Adopting incentive pay is associated with about 30–40 percent more income per license. Universities with strong local development objectives generate about 30 percent less income per license but are more likely to license to local (in-state) start-up companies. In addition, we show that government constraints on university licensing activity are costly in terms of forgone license income and the creation of start-up companies. These results are robust to controls for observed and unobserved heterogeneity. 1.","author":[{"dropping-particle":"","family":"Belenzon","given":"Sharon","non-dropping-particle":"","parse-names":false,"suffix":""},{"dropping-particle":"","family":"Schankerman","given":"Mark","non-dropping-particle":"","parse-names":false,"suffix":""}],"container-title":"Journal of Law and Economics","id":"ITEM-4","issue":"52","issued":{"date-parts":[["2009"]]},"page":"111-144","title":"University Knowledge Transfer: Private Ownership, Incentives, and Local Development Objectives","type":"article-journal","volume":"52"},"uris":["http://www.mendeley.com/documents/?uuid=7345fea5-4d57-47e5-8f88-6fa68b47799f"]}],"mendeley":{"formattedCitation":"(Belenzon and Schankerman, 2009; Caldera and Debande, 2010b; Friedman and Silberman, 2003; Link and Siegel, 2005)","plainTextFormattedCitation":"(Belenzon and Schankerman, 2009; Caldera and Debande, 2010b; Friedman and Silberman, 2003; Link and Siegel, 2005)","previouslyFormattedCitation":"(Belenzon and Schankerman, 2009; Caldera and Debande, 2010b; Friedman and Silberman, 2003; Link and Siegel, 2005)"},"properties":{"noteIndex":0},"schema":"https://github.com/citation-style-language/schema/raw/master/csl-citation.json"}</w:instrText>
      </w:r>
      <w:r w:rsidR="008F2687">
        <w:rPr>
          <w:rFonts w:ascii="Times New Roman" w:hAnsi="Times New Roman" w:cs="Times New Roman"/>
        </w:rPr>
        <w:fldChar w:fldCharType="separate"/>
      </w:r>
      <w:r w:rsidR="008F2687" w:rsidRPr="008F2687">
        <w:rPr>
          <w:rFonts w:ascii="Times New Roman" w:hAnsi="Times New Roman" w:cs="Times New Roman"/>
          <w:noProof/>
        </w:rPr>
        <w:t>(Belenzon and Schankerman, 2009; Caldera and Debande, 2010b; Friedman and Silberman, 2003; Link and Siegel, 2005)</w:t>
      </w:r>
      <w:r w:rsidR="008F2687">
        <w:rPr>
          <w:rFonts w:ascii="Times New Roman" w:hAnsi="Times New Roman" w:cs="Times New Roman"/>
        </w:rPr>
        <w:fldChar w:fldCharType="end"/>
      </w:r>
      <w:r w:rsidR="008F2687">
        <w:rPr>
          <w:rFonts w:ascii="Times New Roman" w:hAnsi="Times New Roman" w:cs="Times New Roman"/>
        </w:rPr>
        <w:t>.</w:t>
      </w:r>
      <w:r w:rsidRPr="00EF66BB">
        <w:rPr>
          <w:rFonts w:ascii="Times New Roman" w:hAnsi="Times New Roman" w:cs="Times New Roman"/>
        </w:rPr>
        <w:t xml:space="preserve"> However, some suggest</w:t>
      </w:r>
      <w:r w:rsidR="00EC71AC" w:rsidRPr="00EF66BB">
        <w:rPr>
          <w:rFonts w:ascii="Times New Roman" w:hAnsi="Times New Roman" w:cs="Times New Roman"/>
        </w:rPr>
        <w:t xml:space="preserve"> </w:t>
      </w:r>
      <w:r w:rsidRPr="00EF66BB">
        <w:rPr>
          <w:rFonts w:ascii="Times New Roman" w:hAnsi="Times New Roman" w:cs="Times New Roman"/>
        </w:rPr>
        <w:t xml:space="preserve">that the provision of incentives to staff has no effect on the level of technology transfer </w:t>
      </w:r>
      <w:r w:rsidR="008F2687">
        <w:rPr>
          <w:rFonts w:ascii="Times New Roman" w:hAnsi="Times New Roman" w:cs="Times New Roman"/>
        </w:rPr>
        <w:fldChar w:fldCharType="begin" w:fldLock="1"/>
      </w:r>
      <w:r w:rsidR="008F2687">
        <w:rPr>
          <w:rFonts w:ascii="Times New Roman" w:hAnsi="Times New Roman" w:cs="Times New Roman"/>
        </w:rPr>
        <w:instrText>ADDIN CSL_CITATION {"citationItems":[{"id":"ITEM-1","itemData":{"DOI":"10.1016/j.respol.2016.06.006","ISBN":"00487333 (ISSN)","ISSN":"00487333","abstract":"Portuguese and Spanish universities have adopted well-defined royalty sharing arrangements over the last fifteen years. We investigate whether such royalty sharing arrangements have been effective in stimulating inventors’ efforts and in ultimately improving university outcomes. We base our empirical analysis on university-level data and two new self-collected surveys for both inventors and Technology Transfer Offices (TTOs). Evidence from the inventors’ survey indicates that one third of respondents are incentivised by current royalty sharing arrangements, one third could be incentivised by higher royalty shares, and the remaining third is totally insensitive to royalty sharing. Plain regressions on university level datasets suggest that the incentive effects documented by the inventors’ survey fail to translate into increased patenting or licensing income. It would seem that inventor royalty shares are not as influential as they could be, due to the poor commercial prospects of university inventions. Among other possible reasons, these poor prospects appear to reflect the fact that inventors are unable to produce potentially licensable inventions, or that eventually TTOs may not be focussing enough on commercialising their inventions.","author":[{"dropping-particle":"","family":"Arqué-Castells","given":"Pere","non-dropping-particle":"","parse-names":false,"suffix":""},{"dropping-particle":"","family":"Cartaxo","given":"Rui M.","non-dropping-particle":"","parse-names":false,"suffix":""},{"dropping-particle":"","family":"García-Quevedo","given":"Jose","non-dropping-particle":"","parse-names":false,"suffix":""},{"dropping-particle":"","family":"Godinho","given":"Manuel Mira","non-dropping-particle":"","parse-names":false,"suffix":""}],"container-title":"Research Policy","id":"ITEM-1","issue":"9","issued":{"date-parts":[["2016"]]},"page":"1858-1872","publisher":"Elsevier B.V.","title":"Royalty sharing, effort and invention in universities: Evidence from Portugal and Spain","type":"article-journal","volume":"45"},"uris":["http://www.mendeley.com/documents/?uuid=9dc55724-30e7-4819-98fd-32f02e1caf8d"]}],"mendeley":{"formattedCitation":"(Arqué-Castells et al., 2016)","plainTextFormattedCitation":"(Arqué-Castells et al., 2016)","previouslyFormattedCitation":"(Arqué-Castells et al., 2016)"},"properties":{"noteIndex":0},"schema":"https://github.com/citation-style-language/schema/raw/master/csl-citation.json"}</w:instrText>
      </w:r>
      <w:r w:rsidR="008F2687">
        <w:rPr>
          <w:rFonts w:ascii="Times New Roman" w:hAnsi="Times New Roman" w:cs="Times New Roman"/>
        </w:rPr>
        <w:fldChar w:fldCharType="separate"/>
      </w:r>
      <w:r w:rsidR="008F2687" w:rsidRPr="008F2687">
        <w:rPr>
          <w:rFonts w:ascii="Times New Roman" w:hAnsi="Times New Roman" w:cs="Times New Roman"/>
          <w:noProof/>
        </w:rPr>
        <w:t>(Arqué-Castells et al., 2016)</w:t>
      </w:r>
      <w:r w:rsidR="008F2687">
        <w:rPr>
          <w:rFonts w:ascii="Times New Roman" w:hAnsi="Times New Roman" w:cs="Times New Roman"/>
        </w:rPr>
        <w:fldChar w:fldCharType="end"/>
      </w:r>
      <w:r w:rsidRPr="00EF66BB">
        <w:rPr>
          <w:rFonts w:ascii="Times New Roman" w:hAnsi="Times New Roman" w:cs="Times New Roman"/>
        </w:rPr>
        <w:t xml:space="preserve"> or even  a negative effect (Markman et al, 2004). The result</w:t>
      </w:r>
      <w:r w:rsidR="00EC71AC" w:rsidRPr="00EF66BB">
        <w:rPr>
          <w:rFonts w:ascii="Times New Roman" w:hAnsi="Times New Roman" w:cs="Times New Roman"/>
        </w:rPr>
        <w:t>s</w:t>
      </w:r>
      <w:r w:rsidRPr="00EF66BB">
        <w:rPr>
          <w:rFonts w:ascii="Times New Roman" w:hAnsi="Times New Roman" w:cs="Times New Roman"/>
        </w:rPr>
        <w:t xml:space="preserve"> of our structural modelling show that the provision of</w:t>
      </w:r>
      <w:r w:rsidR="00A33DC8">
        <w:rPr>
          <w:rFonts w:ascii="Times New Roman" w:hAnsi="Times New Roman" w:cs="Times New Roman"/>
        </w:rPr>
        <w:t xml:space="preserve"> staff</w:t>
      </w:r>
      <w:r w:rsidRPr="00EF66BB">
        <w:rPr>
          <w:rFonts w:ascii="Times New Roman" w:hAnsi="Times New Roman" w:cs="Times New Roman"/>
        </w:rPr>
        <w:t xml:space="preserve"> incentives results in greater technology transfer activity when there is alignment with university strategic priorities. This finding echoes </w:t>
      </w:r>
      <w:r w:rsidR="00E307C7">
        <w:rPr>
          <w:rFonts w:ascii="Times New Roman" w:hAnsi="Times New Roman" w:cs="Times New Roman"/>
        </w:rPr>
        <w:t>research by</w:t>
      </w:r>
      <w:r w:rsidRPr="00EF66BB">
        <w:rPr>
          <w:rFonts w:ascii="Times New Roman" w:hAnsi="Times New Roman" w:cs="Times New Roman"/>
        </w:rPr>
        <w:t xml:space="preserve"> </w:t>
      </w:r>
      <w:r w:rsidR="008F2687">
        <w:rPr>
          <w:rFonts w:ascii="Times New Roman" w:hAnsi="Times New Roman" w:cs="Times New Roman"/>
        </w:rPr>
        <w:fldChar w:fldCharType="begin" w:fldLock="1"/>
      </w:r>
      <w:r w:rsidR="004339CF">
        <w:rPr>
          <w:rFonts w:ascii="Times New Roman" w:hAnsi="Times New Roman" w:cs="Times New Roman"/>
        </w:rPr>
        <w:instrText>ADDIN CSL_CITATION {"citationItems":[{"id":"ITEM-1","itemData":{"DOI":"10.1016/j.respol.2016.06.006","ISBN":"00487333 (ISSN)","ISSN":"00487333","abstract":"Portuguese and Spanish universities have adopted well-defined royalty sharing arrangements over the last fifteen years. We investigate whether such royalty sharing arrangements have been effective in stimulating inventors’ efforts and in ultimately improving university outcomes. We base our empirical analysis on university-level data and two new self-collected surveys for both inventors and Technology Transfer Offices (TTOs). Evidence from the inventors’ survey indicates that one third of respondents are incentivised by current royalty sharing arrangements, one third could be incentivised by higher royalty shares, and the remaining third is totally insensitive to royalty sharing. Plain regressions on university level datasets suggest that the incentive effects documented by the inventors’ survey fail to translate into increased patenting or licensing income. It would seem that inventor royalty shares are not as influential as they could be, due to the poor commercial prospects of university inventions. Among other possible reasons, these poor prospects appear to reflect the fact that inventors are unable to produce potentially licensable inventions, or that eventually TTOs may not be focussing enough on commercialising their inventions.","author":[{"dropping-particle":"","family":"Arqué-Castells","given":"Pere","non-dropping-particle":"","parse-names":false,"suffix":""},{"dropping-particle":"","family":"Cartaxo","given":"Rui M.","non-dropping-particle":"","parse-names":false,"suffix":""},{"dropping-particle":"","family":"García-Quevedo","given":"Jose","non-dropping-particle":"","parse-names":false,"suffix":""},{"dropping-particle":"","family":"Godinho","given":"Manuel Mira","non-dropping-particle":"","parse-names":false,"suffix":""}],"container-title":"Research Policy","id":"ITEM-1","issue":"9","issued":{"date-parts":[["2016"]]},"page":"1858-1872","publisher":"Elsevier B.V.","title":"Royalty sharing, effort and invention in universities: Evidence from Portugal and Spain","type":"article-journal","volume":"45"},"uris":["http://www.mendeley.com/documents/?uuid=9dc55724-30e7-4819-98fd-32f02e1caf8d"]}],"mendeley":{"formattedCitation":"(Arqué-Castells et al., 2016)","manualFormatting":"Arqué-Castells et al (2016)","plainTextFormattedCitation":"(Arqué-Castells et al., 2016)","previouslyFormattedCitation":"(Arqué-Castells et al., 2016)"},"properties":{"noteIndex":0},"schema":"https://github.com/citation-style-language/schema/raw/master/csl-citation.json"}</w:instrText>
      </w:r>
      <w:r w:rsidR="008F2687">
        <w:rPr>
          <w:rFonts w:ascii="Times New Roman" w:hAnsi="Times New Roman" w:cs="Times New Roman"/>
        </w:rPr>
        <w:fldChar w:fldCharType="separate"/>
      </w:r>
      <w:r w:rsidR="008F2687">
        <w:rPr>
          <w:rFonts w:ascii="Times New Roman" w:hAnsi="Times New Roman" w:cs="Times New Roman"/>
          <w:noProof/>
        </w:rPr>
        <w:t>Arqué-Castells et al</w:t>
      </w:r>
      <w:r w:rsidR="008F2687" w:rsidRPr="008F2687">
        <w:rPr>
          <w:rFonts w:ascii="Times New Roman" w:hAnsi="Times New Roman" w:cs="Times New Roman"/>
          <w:noProof/>
        </w:rPr>
        <w:t xml:space="preserve"> </w:t>
      </w:r>
      <w:r w:rsidR="008F2687">
        <w:rPr>
          <w:rFonts w:ascii="Times New Roman" w:hAnsi="Times New Roman" w:cs="Times New Roman"/>
          <w:noProof/>
        </w:rPr>
        <w:t>(</w:t>
      </w:r>
      <w:r w:rsidR="008F2687" w:rsidRPr="008F2687">
        <w:rPr>
          <w:rFonts w:ascii="Times New Roman" w:hAnsi="Times New Roman" w:cs="Times New Roman"/>
          <w:noProof/>
        </w:rPr>
        <w:t>2016)</w:t>
      </w:r>
      <w:r w:rsidR="008F2687">
        <w:rPr>
          <w:rFonts w:ascii="Times New Roman" w:hAnsi="Times New Roman" w:cs="Times New Roman"/>
        </w:rPr>
        <w:fldChar w:fldCharType="end"/>
      </w:r>
      <w:r w:rsidR="002D0426" w:rsidRPr="00EF66BB">
        <w:rPr>
          <w:rFonts w:ascii="Times New Roman" w:hAnsi="Times New Roman" w:cs="Times New Roman"/>
        </w:rPr>
        <w:t>, who</w:t>
      </w:r>
      <w:r w:rsidR="00EC71AC" w:rsidRPr="00EF66BB">
        <w:rPr>
          <w:rFonts w:ascii="Times New Roman" w:hAnsi="Times New Roman" w:cs="Times New Roman"/>
        </w:rPr>
        <w:t xml:space="preserve"> found</w:t>
      </w:r>
      <w:r w:rsidRPr="00EF66BB">
        <w:rPr>
          <w:rFonts w:ascii="Times New Roman" w:hAnsi="Times New Roman" w:cs="Times New Roman"/>
        </w:rPr>
        <w:t xml:space="preserve"> that the influence of incentives (or lack thereof) on technology transfer effectiveness in Spanish a</w:t>
      </w:r>
      <w:r w:rsidR="002D0426" w:rsidRPr="00EF66BB">
        <w:rPr>
          <w:rFonts w:ascii="Times New Roman" w:hAnsi="Times New Roman" w:cs="Times New Roman"/>
        </w:rPr>
        <w:t>nd Portuguese universities was potentially a</w:t>
      </w:r>
      <w:r w:rsidRPr="00EF66BB">
        <w:rPr>
          <w:rFonts w:ascii="Times New Roman" w:hAnsi="Times New Roman" w:cs="Times New Roman"/>
        </w:rPr>
        <w:t xml:space="preserve"> consequence of incongruence between incentive structures and </w:t>
      </w:r>
      <w:r w:rsidR="00A33DC8">
        <w:rPr>
          <w:rFonts w:ascii="Times New Roman" w:hAnsi="Times New Roman" w:cs="Times New Roman"/>
        </w:rPr>
        <w:t>TTO</w:t>
      </w:r>
      <w:r w:rsidRPr="00EF66BB">
        <w:rPr>
          <w:rFonts w:ascii="Times New Roman" w:hAnsi="Times New Roman" w:cs="Times New Roman"/>
        </w:rPr>
        <w:t xml:space="preserve"> objectives. </w:t>
      </w:r>
    </w:p>
    <w:p w14:paraId="49C6BF57" w14:textId="77777777" w:rsidR="006852D0" w:rsidRPr="00EF66BB" w:rsidRDefault="006852D0" w:rsidP="00141231">
      <w:pPr>
        <w:spacing w:line="360" w:lineRule="auto"/>
        <w:rPr>
          <w:rFonts w:ascii="Times New Roman" w:hAnsi="Times New Roman" w:cs="Times New Roman"/>
        </w:rPr>
      </w:pPr>
    </w:p>
    <w:p w14:paraId="68A73715" w14:textId="7D2455CE" w:rsidR="006852D0" w:rsidRPr="00EF66BB" w:rsidRDefault="006852D0" w:rsidP="00141231">
      <w:pPr>
        <w:spacing w:line="360" w:lineRule="auto"/>
        <w:rPr>
          <w:rFonts w:ascii="Times New Roman" w:hAnsi="Times New Roman" w:cs="Times New Roman"/>
        </w:rPr>
      </w:pPr>
      <w:r w:rsidRPr="00EF66BB">
        <w:rPr>
          <w:rFonts w:ascii="Times New Roman" w:hAnsi="Times New Roman" w:cs="Times New Roman"/>
        </w:rPr>
        <w:t xml:space="preserve">The fact that </w:t>
      </w:r>
      <w:r w:rsidR="00E307C7">
        <w:rPr>
          <w:rFonts w:ascii="Times New Roman" w:hAnsi="Times New Roman" w:cs="Times New Roman"/>
        </w:rPr>
        <w:t xml:space="preserve">our model shows only partial </w:t>
      </w:r>
      <w:r w:rsidRPr="00EF66BB">
        <w:rPr>
          <w:rFonts w:ascii="Times New Roman" w:hAnsi="Times New Roman" w:cs="Times New Roman"/>
        </w:rPr>
        <w:t xml:space="preserve">mediation </w:t>
      </w:r>
      <w:r w:rsidR="00F05305">
        <w:rPr>
          <w:rFonts w:ascii="Times New Roman" w:hAnsi="Times New Roman" w:cs="Times New Roman"/>
        </w:rPr>
        <w:t>indicates</w:t>
      </w:r>
      <w:r w:rsidRPr="00EF66BB">
        <w:rPr>
          <w:rFonts w:ascii="Times New Roman" w:hAnsi="Times New Roman" w:cs="Times New Roman"/>
        </w:rPr>
        <w:t xml:space="preserve"> that the degree to which incentives are aligned with university strategic priorities does not fully account for variations in technology transfer effectiveness. One reason could be that engagement in technology transfer activity is also an individualised phenomenon </w:t>
      </w:r>
      <w:r w:rsidR="004339CF">
        <w:rPr>
          <w:rFonts w:ascii="Times New Roman" w:hAnsi="Times New Roman" w:cs="Times New Roman"/>
        </w:rPr>
        <w:fldChar w:fldCharType="begin" w:fldLock="1"/>
      </w:r>
      <w:r w:rsidR="004339CF">
        <w:rPr>
          <w:rFonts w:ascii="Times New Roman" w:hAnsi="Times New Roman" w:cs="Times New Roman"/>
        </w:rPr>
        <w:instrText>ADDIN CSL_CITATION {"citationItems":[{"id":"ITEM-1","itemData":{"DOI":"10.1016/j.respol.2011.09.002","ISBN":"00487333","ISSN":"00487333","PMID":"26053391","abstract":"This paper employs the three concepts of 'gold' (financial rewards), 'ribbon' (reputational/career rewards) and 'puzzle' (intrinsic satisfaction) to examine the extrinsic and intrinsic aspects of scientists' motivation for pursuing commercial activities. The study is based on 36 individual interviews and an on-line questionnaire survey of 735 scientists from five major UK research universities. It finds that there is a diversity of motivations for commercial engagement, and that many do so for reputational and intrinsic reasons and that financial rewards play a relatively small part. The paper draws on self-determination theory in social psychology to analyse the relationship between scientists' value orientations with regard to commercial engagement and their personal motivations. It finds that those with traditional beliefs about the separation of science from commerce are more likely to be extrinsically motivated, using commercialization as a means to obtain resources to support their quest for the 'ribbon'. In contrast, those identify closely with entrepreneurial norms are intrinsically motivated by the autonomy and 'puzzle-solving' involved in applied commercial research while also motivated by the 'gold'. The study highlights the primacy of scientists' self-motivation, and suggests that a fuller explanation of their commercial behaviour will need to consider a broader mix of motives to include the social and affective aspects of intrinsic motivation. In conclusion, the paper argues that policy to encourage commercial engagement should build on reputational and intrinsic rather than purely financial motivations. © 2011 Elsevier B.V. All rights reserved.","author":[{"dropping-particle":"","family":"Lam","given":"Alice","non-dropping-particle":"","parse-names":false,"suffix":""}],"container-title":"Research Policy","id":"ITEM-1","issue":"10","issued":{"date-parts":[["2011"]]},"page":"1354-1368","title":"What motivates academic scientists to engage in research commercialization: 'Gold', 'ribbon' or 'puzzle'?","type":"article-journal","volume":"40"},"uris":["http://www.mendeley.com/documents/?uuid=7ffd5fa0-3822-435f-8e79-8bf2dc7f9b34"]},{"id":"ITEM-2","itemData":{"DOI":"10.1007/s10961-010-9153-z","ISBN":"0892-9912","ISSN":"08929912","abstract":"The debate on the entrepreneurial university has raised questions about what motivates academic scientists to engage with industry. This paper provides evidence based on survey data for a large sample of UK investigators in the physical and engineering sciences. The results suggest that most academics engage with industry to further their research rather than to commercialize their knowledge. However, there are differences in terms of the channels of engagement. Patenting and spin-off company formation are motivated exclusively by commercialization whilst joint research, contract research and consulting are strongly informed by research-related motives. We conclude that policy should refrain from overly focusing on monetary incentives for industry engagement and consider a broader range of incentives for promoting interaction between academia and industry.","author":[{"dropping-particle":"","family":"D'Este","given":"Pablo","non-dropping-particle":"","parse-names":false,"suffix":""},{"dropping-particle":"","family":"Perkmann","given":"Markus","non-dropping-particle":"","parse-names":false,"suffix":""}],"container-title":"Journal of Technology Transfer","id":"ITEM-2","issue":"3","issued":{"date-parts":[["2011"]]},"page":"316-339","title":"Why do academics engage with industry? The entrepreneurial university and individual motivations","type":"article-journal","volume":"36"},"uris":["http://www.mendeley.com/documents/?uuid=47fcbd90-c6f5-4186-bfa4-f494688fac06"]},{"id":"ITEM-3","itemData":{"DOI":"10.1016/j.respol.2012.09.007","ISBN":"0048-7333","ISSN":"00487333","abstract":"A considerable body of work highlights the relevance of collaborative research, contract research, consulting and informal relationships for university-industry knowledge transfer. We present a systematic review of research on academic scientists' involvement in these activities to which we refer as 'academic engagement'. Apart from extracting findings that are generalisable across studies, we ask how academic engagement differs from commercialisation, defined as intellectual property creation and academic entrepreneurship. We identify the individual, organisational and institutional antecedents and consequences of academic engagement, and then compare these findings with the antecedents and consequences of commercialisation. Apart from being more widely practiced, academic engagement is distinct from commercialisation in that it is closely aligned with traditional academic research activities, and pursued by academics to access resources supporting their research agendas. We conclude by identifying future research needs, opportunities for methodological improvement and policy interventions. © 2012 Elsevier B.V.","author":[{"dropping-particle":"","family":"Perkmann","given":"Markus","non-dropping-particle":"","parse-names":false,"suffix":""},{"dropping-particle":"","family":"Tartari","given":"Valentina","non-dropping-particle":"","parse-names":false,"suffix":""},{"dropping-particle":"","family":"McKelvey","given":"Maureen","non-dropping-particle":"","parse-names":false,"suffix":""},{"dropping-particle":"","family":"Autio","given":"Erkko","non-dropping-particle":"","parse-names":false,"suffix":""},{"dropping-particle":"","family":"Broström","given":"Anders","non-dropping-particle":"","parse-names":false,"suffix":""},{"dropping-particle":"","family":"D'Este","given":"Pablo","non-dropping-particle":"","parse-names":false,"suffix":""},{"dropping-particle":"","family":"Fini","given":"Riccardo","non-dropping-particle":"","parse-names":false,"suffix":""},{"dropping-particle":"","family":"Geuna","given":"Aldo","non-dropping-particle":"","parse-names":false,"suffix":""},{"dropping-particle":"","family":"Grimaldi","given":"Rosa","non-dropping-particle":"","parse-names":false,"suffix":""},{"dropping-particle":"","family":"Hughes","given":"Alan","non-dropping-particle":"","parse-names":false,"suffix":""},{"dropping-particle":"","family":"Krabel","given":"Stefan","non-dropping-particle":"","parse-names":false,"suffix":""},{"dropping-particle":"","family":"Kitson","given":"Michael","non-dropping-particle":"","parse-names":false,"suffix":""},{"dropping-particle":"","family":"Llerena","given":"Patrick","non-dropping-particle":"","parse-names":false,"suffix":""},{"dropping-particle":"","family":"Lissoni","given":"Franceso","non-dropping-particle":"","parse-names":false,"suffix":""},{"dropping-particle":"","family":"Salter","given":"Ammon","non-dropping-particle":"","parse-names":false,"suffix":""},{"dropping-particle":"","family":"Sobrero","given":"Maurizio","non-dropping-particle":"","parse-names":false,"suffix":""}],"container-title":"Research Policy","id":"ITEM-3","issue":"2","issued":{"date-parts":[["2013"]]},"page":"423-442","publisher":"Elsevier B.V.","title":"Academic engagement and commercialisation: A review of the literature on university-industry relations","type":"article-journal","volume":"42"},"uris":["http://www.mendeley.com/documents/?uuid=f40c6ec3-7d7a-4995-902e-d99cab391c98"]}],"mendeley":{"formattedCitation":"(D’Este and Perkmann, 2011; Lam, 2011; Perkmann et al., 2013)","plainTextFormattedCitation":"(D’Este and Perkmann, 2011; Lam, 2011; Perkmann et al., 2013)","previouslyFormattedCitation":"(D’Este and Perkmann, 2011; Lam, 2011; Perkmann et al., 2013)"},"properties":{"noteIndex":0},"schema":"https://github.com/citation-style-language/schema/raw/master/csl-citation.json"}</w:instrText>
      </w:r>
      <w:r w:rsidR="004339CF">
        <w:rPr>
          <w:rFonts w:ascii="Times New Roman" w:hAnsi="Times New Roman" w:cs="Times New Roman"/>
        </w:rPr>
        <w:fldChar w:fldCharType="separate"/>
      </w:r>
      <w:r w:rsidR="004339CF" w:rsidRPr="004339CF">
        <w:rPr>
          <w:rFonts w:ascii="Times New Roman" w:hAnsi="Times New Roman" w:cs="Times New Roman"/>
          <w:noProof/>
        </w:rPr>
        <w:t xml:space="preserve">(D’Este and Perkmann, 2011; Lam, </w:t>
      </w:r>
      <w:r w:rsidR="004339CF" w:rsidRPr="004339CF">
        <w:rPr>
          <w:rFonts w:ascii="Times New Roman" w:hAnsi="Times New Roman" w:cs="Times New Roman"/>
          <w:noProof/>
        </w:rPr>
        <w:lastRenderedPageBreak/>
        <w:t>2011; Perkmann et al., 2013)</w:t>
      </w:r>
      <w:r w:rsidR="004339CF">
        <w:rPr>
          <w:rFonts w:ascii="Times New Roman" w:hAnsi="Times New Roman" w:cs="Times New Roman"/>
        </w:rPr>
        <w:fldChar w:fldCharType="end"/>
      </w:r>
      <w:r w:rsidRPr="00EF66BB">
        <w:rPr>
          <w:rFonts w:ascii="Times New Roman" w:hAnsi="Times New Roman" w:cs="Times New Roman"/>
        </w:rPr>
        <w:t xml:space="preserve">. Therefore, while </w:t>
      </w:r>
      <w:r w:rsidR="00E307C7">
        <w:rPr>
          <w:rFonts w:ascii="Times New Roman" w:hAnsi="Times New Roman" w:cs="Times New Roman"/>
        </w:rPr>
        <w:t>a</w:t>
      </w:r>
      <w:r w:rsidRPr="00EF66BB">
        <w:rPr>
          <w:rFonts w:ascii="Times New Roman" w:hAnsi="Times New Roman" w:cs="Times New Roman"/>
        </w:rPr>
        <w:t>lignment between organisational strategic priorities and incentive systems i</w:t>
      </w:r>
      <w:r w:rsidR="00F05305">
        <w:rPr>
          <w:rFonts w:ascii="Times New Roman" w:hAnsi="Times New Roman" w:cs="Times New Roman"/>
        </w:rPr>
        <w:t>nfluence</w:t>
      </w:r>
      <w:r w:rsidRPr="00EF66BB">
        <w:rPr>
          <w:rFonts w:ascii="Times New Roman" w:hAnsi="Times New Roman" w:cs="Times New Roman"/>
        </w:rPr>
        <w:t xml:space="preserve"> the level of</w:t>
      </w:r>
      <w:r w:rsidR="00F05305">
        <w:rPr>
          <w:rFonts w:ascii="Times New Roman" w:hAnsi="Times New Roman" w:cs="Times New Roman"/>
        </w:rPr>
        <w:t xml:space="preserve"> </w:t>
      </w:r>
      <w:r w:rsidR="005F47D8">
        <w:rPr>
          <w:rFonts w:ascii="Times New Roman" w:hAnsi="Times New Roman" w:cs="Times New Roman"/>
        </w:rPr>
        <w:t xml:space="preserve">technology transfer </w:t>
      </w:r>
      <w:r w:rsidRPr="00EF66BB">
        <w:rPr>
          <w:rFonts w:ascii="Times New Roman" w:hAnsi="Times New Roman" w:cs="Times New Roman"/>
        </w:rPr>
        <w:t xml:space="preserve">activity, the overall impact </w:t>
      </w:r>
      <w:r w:rsidR="00F05305">
        <w:rPr>
          <w:rFonts w:ascii="Times New Roman" w:hAnsi="Times New Roman" w:cs="Times New Roman"/>
        </w:rPr>
        <w:t>depends on the</w:t>
      </w:r>
      <w:r w:rsidR="004832EA">
        <w:rPr>
          <w:rFonts w:ascii="Times New Roman" w:hAnsi="Times New Roman" w:cs="Times New Roman"/>
        </w:rPr>
        <w:t xml:space="preserve"> nature</w:t>
      </w:r>
      <w:r w:rsidR="00F05305">
        <w:rPr>
          <w:rFonts w:ascii="Times New Roman" w:hAnsi="Times New Roman" w:cs="Times New Roman"/>
        </w:rPr>
        <w:t xml:space="preserve"> of </w:t>
      </w:r>
      <w:r w:rsidRPr="00EF66BB">
        <w:rPr>
          <w:rFonts w:ascii="Times New Roman" w:hAnsi="Times New Roman" w:cs="Times New Roman"/>
        </w:rPr>
        <w:t xml:space="preserve">organisational support </w:t>
      </w:r>
      <w:r w:rsidR="00F05305">
        <w:rPr>
          <w:rFonts w:ascii="Times New Roman" w:hAnsi="Times New Roman" w:cs="Times New Roman"/>
        </w:rPr>
        <w:t xml:space="preserve">designed </w:t>
      </w:r>
      <w:r w:rsidRPr="00EF66BB">
        <w:rPr>
          <w:rFonts w:ascii="Times New Roman" w:hAnsi="Times New Roman" w:cs="Times New Roman"/>
        </w:rPr>
        <w:t>to</w:t>
      </w:r>
      <w:r w:rsidR="00F05305">
        <w:rPr>
          <w:rFonts w:ascii="Times New Roman" w:hAnsi="Times New Roman" w:cs="Times New Roman"/>
        </w:rPr>
        <w:t xml:space="preserve"> influence</w:t>
      </w:r>
      <w:r w:rsidRPr="00EF66BB">
        <w:rPr>
          <w:rFonts w:ascii="Times New Roman" w:hAnsi="Times New Roman" w:cs="Times New Roman"/>
        </w:rPr>
        <w:t xml:space="preserve"> individual-level motivational factors. Broadly, our result</w:t>
      </w:r>
      <w:r w:rsidR="009E7EDB" w:rsidRPr="00EF66BB">
        <w:rPr>
          <w:rFonts w:ascii="Times New Roman" w:hAnsi="Times New Roman" w:cs="Times New Roman"/>
        </w:rPr>
        <w:t>s</w:t>
      </w:r>
      <w:r w:rsidRPr="00EF66BB">
        <w:rPr>
          <w:rFonts w:ascii="Times New Roman" w:hAnsi="Times New Roman" w:cs="Times New Roman"/>
        </w:rPr>
        <w:t xml:space="preserve"> indicate that incentives have a greater impact on the effectiveness of technology transfer when they are aligned to the </w:t>
      </w:r>
      <w:r w:rsidR="004832EA">
        <w:rPr>
          <w:rFonts w:ascii="Times New Roman" w:hAnsi="Times New Roman" w:cs="Times New Roman"/>
        </w:rPr>
        <w:t>organi</w:t>
      </w:r>
      <w:r w:rsidR="00CE1EC1">
        <w:rPr>
          <w:rFonts w:ascii="Times New Roman" w:hAnsi="Times New Roman" w:cs="Times New Roman"/>
        </w:rPr>
        <w:t>s</w:t>
      </w:r>
      <w:r w:rsidR="004832EA">
        <w:rPr>
          <w:rFonts w:ascii="Times New Roman" w:hAnsi="Times New Roman" w:cs="Times New Roman"/>
        </w:rPr>
        <w:t xml:space="preserve">ation’s </w:t>
      </w:r>
      <w:r w:rsidRPr="00EF66BB">
        <w:rPr>
          <w:rFonts w:ascii="Times New Roman" w:hAnsi="Times New Roman" w:cs="Times New Roman"/>
        </w:rPr>
        <w:t>strategic priorities</w:t>
      </w:r>
      <w:r w:rsidR="009E7EDB" w:rsidRPr="00EF66BB">
        <w:rPr>
          <w:rFonts w:ascii="Times New Roman" w:hAnsi="Times New Roman" w:cs="Times New Roman"/>
        </w:rPr>
        <w:t xml:space="preserve">. This is line with </w:t>
      </w:r>
      <w:r w:rsidRPr="00EF66BB">
        <w:rPr>
          <w:rFonts w:ascii="Times New Roman" w:hAnsi="Times New Roman" w:cs="Times New Roman"/>
        </w:rPr>
        <w:t>previous work that indicate</w:t>
      </w:r>
      <w:r w:rsidR="004832EA">
        <w:rPr>
          <w:rFonts w:ascii="Times New Roman" w:hAnsi="Times New Roman" w:cs="Times New Roman"/>
        </w:rPr>
        <w:t>s</w:t>
      </w:r>
      <w:r w:rsidRPr="00EF66BB">
        <w:rPr>
          <w:rFonts w:ascii="Times New Roman" w:hAnsi="Times New Roman" w:cs="Times New Roman"/>
        </w:rPr>
        <w:t xml:space="preserve"> a one-to-one relationship between incentives and technology transfer effectiveness </w:t>
      </w:r>
      <w:r w:rsidR="004339CF">
        <w:rPr>
          <w:rFonts w:ascii="Times New Roman" w:hAnsi="Times New Roman" w:cs="Times New Roman"/>
        </w:rPr>
        <w:fldChar w:fldCharType="begin" w:fldLock="1"/>
      </w:r>
      <w:r w:rsidR="00055EE7">
        <w:rPr>
          <w:rFonts w:ascii="Times New Roman" w:hAnsi="Times New Roman" w:cs="Times New Roman"/>
        </w:rPr>
        <w:instrText>ADDIN CSL_CITATION {"citationItems":[{"id":"ITEM-1","itemData":{"DOI":"10.1016/j.respol.2010.05.016","ISBN":"00487333","ISSN":"00487333","PMID":"53969080","abstract":"This paper investigates the performance of universities in the transfer of technology using a unique university-level dataset for Spain. The results suggest that universities with established policies and procedures for the management of technology transfer perform better. Universities with large and experienced technology transfer offices (TTOs) generate higher volumes of contract research, but the TTO characteristics appear to matter less for university performance in terms of licensing and creation of spin-offs. Furthermore, universities with a science park perform better than those without, which suggests that the agglomeration of knowledge close to universities has a positive effect on universities' technology transfer performance. ?? 2010 Elsevier B.V. All rights reserved.","author":[{"dropping-particle":"","family":"Caldera","given":"Aida","non-dropping-particle":"","parse-names":false,"suffix":""},{"dropping-particle":"","family":"Debande","given":"Olivier","non-dropping-particle":"","parse-names":false,"suffix":""}],"container-title":"Research Policy","id":"ITEM-1","issue":"9","issued":{"date-parts":[["2010"]]},"page":"1160-1173","publisher":"Elsevier B.V.","title":"Performance of Spanish universities in technology transfer: An empirical analysis","type":"article-journal","volume":"39"},"uris":["http://www.mendeley.com/documents/?uuid=d43816cf-2ca3-4387-aef7-64719dd222a6"]},{"id":"ITEM-2","itemData":{"DOI":"10.1086/595763","ISBN":"0022-2186","ISSN":"0022-2186","PMID":"2889","abstract":"We study the impact of private ownership, incentive pay, and local development objectives on university licensing performance. We develop and test a simple contracting model of technology-licensing offices using new survey information together with panel data on U.S. universities for 1995–99. We find that private universities are much more likely to adopt incentive pay than public ones but that ownership does not affect licensing performance conditional on the use of incentive pay. Adopting incentive pay is associated with about 30–40 percent more income per license. Universities with strong local development objectives generate about 30 percent less income per license but are more likely to license to local (in-state) start-up companies. In addition, we show that government constraints on university licensing activity are costly in terms of forgone license income and the creation of start-up companies. These results are robust to controls for observed and unobserved heterogeneity. 1.","author":[{"dropping-particle":"","family":"Belenzon","given":"Sharon","non-dropping-particle":"","parse-names":false,"suffix":""},{"dropping-particle":"","family":"Schankerman","given":"Mark","non-dropping-particle":"","parse-names":false,"suffix":""}],"container-title":"Journal of Law and Economics","id":"ITEM-2","issue":"52","issued":{"date-parts":[["2009"]]},"page":"111-144","title":"University Knowledge Transfer: Private Ownership, Incentives, and Local Development Objectives","type":"article-journal","volume":"52"},"uris":["http://www.mendeley.com/documents/?uuid=7345fea5-4d57-47e5-8f88-6fa68b47799f"]}],"mendeley":{"formattedCitation":"(Belenzon and Schankerman, 2009; Caldera and Debande, 2010a)","plainTextFormattedCitation":"(Belenzon and Schankerman, 2009; Caldera and Debande, 2010a)","previouslyFormattedCitation":"(Belenzon and Schankerman, 2009; Caldera and Debande, 2010a)"},"properties":{"noteIndex":0},"schema":"https://github.com/citation-style-language/schema/raw/master/csl-citation.json"}</w:instrText>
      </w:r>
      <w:r w:rsidR="004339CF">
        <w:rPr>
          <w:rFonts w:ascii="Times New Roman" w:hAnsi="Times New Roman" w:cs="Times New Roman"/>
        </w:rPr>
        <w:fldChar w:fldCharType="separate"/>
      </w:r>
      <w:r w:rsidR="00055EE7" w:rsidRPr="00055EE7">
        <w:rPr>
          <w:rFonts w:ascii="Times New Roman" w:hAnsi="Times New Roman" w:cs="Times New Roman"/>
          <w:noProof/>
        </w:rPr>
        <w:t>(Belenzon and Schankerman, 2009; Caldera and Debande, 2010a)</w:t>
      </w:r>
      <w:r w:rsidR="004339CF">
        <w:rPr>
          <w:rFonts w:ascii="Times New Roman" w:hAnsi="Times New Roman" w:cs="Times New Roman"/>
        </w:rPr>
        <w:fldChar w:fldCharType="end"/>
      </w:r>
      <w:r w:rsidR="000445A8" w:rsidRPr="00EF66BB">
        <w:rPr>
          <w:rFonts w:ascii="Times New Roman" w:hAnsi="Times New Roman" w:cs="Times New Roman"/>
        </w:rPr>
        <w:t xml:space="preserve">. </w:t>
      </w:r>
      <w:r w:rsidRPr="00EF66BB">
        <w:rPr>
          <w:rFonts w:ascii="Times New Roman" w:hAnsi="Times New Roman" w:cs="Times New Roman"/>
        </w:rPr>
        <w:t xml:space="preserve">On a practical level, </w:t>
      </w:r>
      <w:r w:rsidR="00F8702A">
        <w:rPr>
          <w:rFonts w:ascii="Times New Roman" w:hAnsi="Times New Roman" w:cs="Times New Roman"/>
        </w:rPr>
        <w:t>o</w:t>
      </w:r>
      <w:r w:rsidRPr="00EF66BB">
        <w:rPr>
          <w:rFonts w:ascii="Times New Roman" w:hAnsi="Times New Roman" w:cs="Times New Roman"/>
        </w:rPr>
        <w:t>ur result</w:t>
      </w:r>
      <w:r w:rsidR="00EC71AC" w:rsidRPr="00EF66BB">
        <w:rPr>
          <w:rFonts w:ascii="Times New Roman" w:hAnsi="Times New Roman" w:cs="Times New Roman"/>
        </w:rPr>
        <w:t>s</w:t>
      </w:r>
      <w:r w:rsidRPr="00EF66BB">
        <w:rPr>
          <w:rFonts w:ascii="Times New Roman" w:hAnsi="Times New Roman" w:cs="Times New Roman"/>
        </w:rPr>
        <w:t xml:space="preserve"> </w:t>
      </w:r>
      <w:r w:rsidR="004832EA">
        <w:rPr>
          <w:rFonts w:ascii="Times New Roman" w:hAnsi="Times New Roman" w:cs="Times New Roman"/>
        </w:rPr>
        <w:t>related to</w:t>
      </w:r>
      <w:r w:rsidRPr="00EF66BB">
        <w:rPr>
          <w:rFonts w:ascii="Times New Roman" w:hAnsi="Times New Roman" w:cs="Times New Roman"/>
        </w:rPr>
        <w:t xml:space="preserve"> H2 suggest that the provision of incentives for staff </w:t>
      </w:r>
      <w:r w:rsidR="00EC71AC" w:rsidRPr="00EF66BB">
        <w:rPr>
          <w:rFonts w:ascii="Times New Roman" w:hAnsi="Times New Roman" w:cs="Times New Roman"/>
        </w:rPr>
        <w:t xml:space="preserve">are not </w:t>
      </w:r>
      <w:r w:rsidRPr="00EF66BB">
        <w:rPr>
          <w:rFonts w:ascii="Times New Roman" w:hAnsi="Times New Roman" w:cs="Times New Roman"/>
        </w:rPr>
        <w:t>sufficient to develop greater levels of technology transfer effectiveness as pre</w:t>
      </w:r>
      <w:r w:rsidR="00881526" w:rsidRPr="00EF66BB">
        <w:rPr>
          <w:rFonts w:ascii="Times New Roman" w:hAnsi="Times New Roman" w:cs="Times New Roman"/>
        </w:rPr>
        <w:t>vious studies examin</w:t>
      </w:r>
      <w:r w:rsidR="004832EA">
        <w:rPr>
          <w:rFonts w:ascii="Times New Roman" w:hAnsi="Times New Roman" w:cs="Times New Roman"/>
        </w:rPr>
        <w:t>ing</w:t>
      </w:r>
      <w:r w:rsidRPr="00EF66BB">
        <w:rPr>
          <w:rFonts w:ascii="Times New Roman" w:hAnsi="Times New Roman" w:cs="Times New Roman"/>
        </w:rPr>
        <w:t xml:space="preserve"> this relationship have</w:t>
      </w:r>
      <w:r w:rsidR="00EC71AC" w:rsidRPr="00EF66BB">
        <w:rPr>
          <w:rFonts w:ascii="Times New Roman" w:hAnsi="Times New Roman" w:cs="Times New Roman"/>
        </w:rPr>
        <w:t xml:space="preserve"> indicated </w:t>
      </w:r>
      <w:r w:rsidR="00055EE7">
        <w:rPr>
          <w:rFonts w:ascii="Times New Roman" w:hAnsi="Times New Roman" w:cs="Times New Roman"/>
        </w:rPr>
        <w:fldChar w:fldCharType="begin" w:fldLock="1"/>
      </w:r>
      <w:r w:rsidR="00055EE7">
        <w:rPr>
          <w:rFonts w:ascii="Times New Roman" w:hAnsi="Times New Roman" w:cs="Times New Roman"/>
        </w:rPr>
        <w:instrText>ADDIN CSL_CITATION {"citationItems":[{"id":"ITEM-1","itemData":{"DOI":"10.1023/B:JOTT.0000034127.01889.86","ISBN":"0892-9912","ISSN":"0892-9912","PMID":"2873","abstract":"There has been a paucity of research to date that has explored whether incentive systems—in the form of monetary payments to inventors, their department or institution, or to university technology transfer office (UTTO) personnel—affect entrepreneurial activities at U.S. universities. To shed light on whether financial incentives to scientists, their departments, and UTTO personnel effect entrepreneurial activity, we used both qualitative data (structured interviews with 128 UTTO directors) and quantitative data from surveys and databases available on the web. Our results show surprisingly and opposite to our theoretical predictions that incentives to scientists and to their departments are negatively related to entrepreneurial activity. In addition and consistent with theory-based predictions, pay to UTTO personnel is positively related to entrepreneurial activity. We conclude with a discussion that offers some implications to research, practice, and theory in the field of technology transfer.","author":[{"dropping-particle":"","family":"Markman","given":"Gideon D.","non-dropping-particle":"","parse-names":false,"suffix":""},{"dropping-particle":"","family":"Gianiodis","given":"Peter T.","non-dropping-particle":"","parse-names":false,"suffix":""},{"dropping-particle":"","family":"Phan","given":"Phillip H.","non-dropping-particle":"","parse-names":false,"suffix":""},{"dropping-particle":"","family":"Balkin","given":"David B.","non-dropping-particle":"","parse-names":false,"suffix":""}],"container-title":"The Journal of Technology Transfer","id":"ITEM-1","issue":"3/4","issued":{"date-parts":[["2004"]]},"page":"353-364","title":"Entrepreneurship from the Ivory Tower: Do Incentive Systems Matter?","type":"article-journal","volume":"29"},"uris":["http://www.mendeley.com/documents/?uuid=c689f362-be7c-4b60-98da-458f4226733a"]},{"id":"ITEM-2","itemData":{"DOI":"10.1016/j.respol.2016.06.006","ISBN":"00487333 (ISSN)","ISSN":"00487333","abstract":"Portuguese and Spanish universities have adopted well-defined royalty sharing arrangements over the last fifteen years. We investigate whether such royalty sharing arrangements have been effective in stimulating inventors’ efforts and in ultimately improving university outcomes. We base our empirical analysis on university-level data and two new self-collected surveys for both inventors and Technology Transfer Offices (TTOs). Evidence from the inventors’ survey indicates that one third of respondents are incentivised by current royalty sharing arrangements, one third could be incentivised by higher royalty shares, and the remaining third is totally insensitive to royalty sharing. Plain regressions on university level datasets suggest that the incentive effects documented by the inventors’ survey fail to translate into increased patenting or licensing income. It would seem that inventor royalty shares are not as influential as they could be, due to the poor commercial prospects of university inventions. Among other possible reasons, these poor prospects appear to reflect the fact that inventors are unable to produce potentially licensable inventions, or that eventually TTOs may not be focussing enough on commercialising their inventions.","author":[{"dropping-particle":"","family":"Arqué-Castells","given":"Pere","non-dropping-particle":"","parse-names":false,"suffix":""},{"dropping-particle":"","family":"Cartaxo","given":"Rui M.","non-dropping-particle":"","parse-names":false,"suffix":""},{"dropping-particle":"","family":"García-Quevedo","given":"Jose","non-dropping-particle":"","parse-names":false,"suffix":""},{"dropping-particle":"","family":"Godinho","given":"Manuel Mira","non-dropping-particle":"","parse-names":false,"suffix":""}],"container-title":"Research Policy","id":"ITEM-2","issue":"9","issued":{"date-parts":[["2016"]]},"page":"1858-1872","publisher":"Elsevier B.V.","title":"Royalty sharing, effort and invention in universities: Evidence from Portugal and Spain","type":"article-journal","volume":"45"},"uris":["http://www.mendeley.com/documents/?uuid=9dc55724-30e7-4819-98fd-32f02e1caf8d"]}],"mendeley":{"formattedCitation":"(Arqué-Castells et al., 2016; Markman et al., 2004)","plainTextFormattedCitation":"(Arqué-Castells et al., 2016; Markman et al., 2004)","previouslyFormattedCitation":"(Arqué-Castells et al., 2016; Markman et al., 2004)"},"properties":{"noteIndex":0},"schema":"https://github.com/citation-style-language/schema/raw/master/csl-citation.json"}</w:instrText>
      </w:r>
      <w:r w:rsidR="00055EE7">
        <w:rPr>
          <w:rFonts w:ascii="Times New Roman" w:hAnsi="Times New Roman" w:cs="Times New Roman"/>
        </w:rPr>
        <w:fldChar w:fldCharType="separate"/>
      </w:r>
      <w:r w:rsidR="00055EE7" w:rsidRPr="00055EE7">
        <w:rPr>
          <w:rFonts w:ascii="Times New Roman" w:hAnsi="Times New Roman" w:cs="Times New Roman"/>
          <w:noProof/>
        </w:rPr>
        <w:t>(Arqué-Castells et al., 2016; Markman et al., 2004)</w:t>
      </w:r>
      <w:r w:rsidR="00055EE7">
        <w:rPr>
          <w:rFonts w:ascii="Times New Roman" w:hAnsi="Times New Roman" w:cs="Times New Roman"/>
        </w:rPr>
        <w:fldChar w:fldCharType="end"/>
      </w:r>
      <w:r w:rsidRPr="00EF66BB">
        <w:rPr>
          <w:rFonts w:ascii="Times New Roman" w:hAnsi="Times New Roman" w:cs="Times New Roman"/>
        </w:rPr>
        <w:t>. Rather, we argue that to enhance organisational effectiveness in technology transfer, it is critical that incentive structures are aligned with the</w:t>
      </w:r>
      <w:r w:rsidR="004832EA">
        <w:rPr>
          <w:rFonts w:ascii="Times New Roman" w:hAnsi="Times New Roman" w:cs="Times New Roman"/>
        </w:rPr>
        <w:t xml:space="preserve"> </w:t>
      </w:r>
      <w:r w:rsidR="00A66AB9">
        <w:rPr>
          <w:rFonts w:ascii="Times New Roman" w:hAnsi="Times New Roman" w:cs="Times New Roman"/>
        </w:rPr>
        <w:t>u</w:t>
      </w:r>
      <w:r w:rsidR="004832EA">
        <w:rPr>
          <w:rFonts w:ascii="Times New Roman" w:hAnsi="Times New Roman" w:cs="Times New Roman"/>
        </w:rPr>
        <w:t>niversity’s</w:t>
      </w:r>
      <w:r w:rsidRPr="00EF66BB">
        <w:rPr>
          <w:rFonts w:ascii="Times New Roman" w:hAnsi="Times New Roman" w:cs="Times New Roman"/>
        </w:rPr>
        <w:t xml:space="preserve"> strategic priorities to yield greater technology transfer effectiveness. </w:t>
      </w:r>
    </w:p>
    <w:p w14:paraId="71F90F98" w14:textId="77777777" w:rsidR="006852D0" w:rsidRPr="00EF66BB" w:rsidRDefault="006852D0" w:rsidP="00141231">
      <w:pPr>
        <w:spacing w:line="360" w:lineRule="auto"/>
        <w:rPr>
          <w:rFonts w:ascii="Times New Roman" w:hAnsi="Times New Roman" w:cs="Times New Roman"/>
        </w:rPr>
      </w:pPr>
    </w:p>
    <w:p w14:paraId="7AD83ACB" w14:textId="295272FF" w:rsidR="006852D0" w:rsidRPr="00EF66BB" w:rsidRDefault="006852D0" w:rsidP="00141231">
      <w:pPr>
        <w:spacing w:line="360" w:lineRule="auto"/>
        <w:rPr>
          <w:rFonts w:ascii="Times New Roman" w:hAnsi="Times New Roman" w:cs="Times New Roman"/>
        </w:rPr>
      </w:pPr>
      <w:r w:rsidRPr="00EF66BB">
        <w:rPr>
          <w:rFonts w:ascii="Times New Roman" w:hAnsi="Times New Roman" w:cs="Times New Roman"/>
        </w:rPr>
        <w:t>In p</w:t>
      </w:r>
      <w:r w:rsidR="00E307C7">
        <w:rPr>
          <w:rFonts w:ascii="Times New Roman" w:hAnsi="Times New Roman" w:cs="Times New Roman"/>
        </w:rPr>
        <w:t>r</w:t>
      </w:r>
      <w:r w:rsidRPr="00EF66BB">
        <w:rPr>
          <w:rFonts w:ascii="Times New Roman" w:hAnsi="Times New Roman" w:cs="Times New Roman"/>
        </w:rPr>
        <w:t>o</w:t>
      </w:r>
      <w:r w:rsidR="00E307C7">
        <w:rPr>
          <w:rFonts w:ascii="Times New Roman" w:hAnsi="Times New Roman" w:cs="Times New Roman"/>
        </w:rPr>
        <w:t>po</w:t>
      </w:r>
      <w:r w:rsidRPr="00EF66BB">
        <w:rPr>
          <w:rFonts w:ascii="Times New Roman" w:hAnsi="Times New Roman" w:cs="Times New Roman"/>
        </w:rPr>
        <w:t>sing H3a and H3b, we suggest</w:t>
      </w:r>
      <w:r w:rsidR="00E307C7">
        <w:rPr>
          <w:rFonts w:ascii="Times New Roman" w:hAnsi="Times New Roman" w:cs="Times New Roman"/>
        </w:rPr>
        <w:t>ed</w:t>
      </w:r>
      <w:r w:rsidRPr="00EF66BB">
        <w:rPr>
          <w:rFonts w:ascii="Times New Roman" w:hAnsi="Times New Roman" w:cs="Times New Roman"/>
        </w:rPr>
        <w:t xml:space="preserve"> that the strategic choices made by</w:t>
      </w:r>
      <w:r w:rsidR="004832EA">
        <w:rPr>
          <w:rFonts w:ascii="Times New Roman" w:hAnsi="Times New Roman" w:cs="Times New Roman"/>
        </w:rPr>
        <w:t xml:space="preserve"> senior</w:t>
      </w:r>
      <w:r w:rsidRPr="00EF66BB">
        <w:rPr>
          <w:rFonts w:ascii="Times New Roman" w:hAnsi="Times New Roman" w:cs="Times New Roman"/>
        </w:rPr>
        <w:t xml:space="preserve"> university manage</w:t>
      </w:r>
      <w:r w:rsidR="00E307C7">
        <w:rPr>
          <w:rFonts w:ascii="Times New Roman" w:hAnsi="Times New Roman" w:cs="Times New Roman"/>
        </w:rPr>
        <w:t>rs</w:t>
      </w:r>
      <w:r w:rsidRPr="00EF66BB">
        <w:rPr>
          <w:rFonts w:ascii="Times New Roman" w:hAnsi="Times New Roman" w:cs="Times New Roman"/>
        </w:rPr>
        <w:t xml:space="preserve"> impact the relationship between TTO support and technology transfer effectiveness</w:t>
      </w:r>
      <w:r w:rsidR="00E307C7">
        <w:rPr>
          <w:rFonts w:ascii="Times New Roman" w:hAnsi="Times New Roman" w:cs="Times New Roman"/>
        </w:rPr>
        <w:t>.</w:t>
      </w:r>
      <w:r w:rsidRPr="00EF66BB">
        <w:rPr>
          <w:rFonts w:ascii="Times New Roman" w:hAnsi="Times New Roman" w:cs="Times New Roman"/>
        </w:rPr>
        <w:t xml:space="preserve"> </w:t>
      </w:r>
      <w:r w:rsidR="00E307C7">
        <w:rPr>
          <w:rFonts w:ascii="Times New Roman" w:hAnsi="Times New Roman" w:cs="Times New Roman"/>
        </w:rPr>
        <w:t>Although</w:t>
      </w:r>
      <w:r w:rsidRPr="00EF66BB">
        <w:rPr>
          <w:rFonts w:ascii="Times New Roman" w:hAnsi="Times New Roman" w:cs="Times New Roman"/>
        </w:rPr>
        <w:t xml:space="preserve"> the impact of managerial strategic choices in determining technology transfer effectiveness is accentuated by the degree to which these strategic choices are operationalised. Simply, it is not enough for strategic choices to </w:t>
      </w:r>
      <w:r w:rsidR="004832EA">
        <w:rPr>
          <w:rFonts w:ascii="Times New Roman" w:hAnsi="Times New Roman" w:cs="Times New Roman"/>
        </w:rPr>
        <w:t>pr</w:t>
      </w:r>
      <w:r w:rsidRPr="00EF66BB">
        <w:rPr>
          <w:rFonts w:ascii="Times New Roman" w:hAnsi="Times New Roman" w:cs="Times New Roman"/>
        </w:rPr>
        <w:t xml:space="preserve">ioritise technology transfer, they must be implemented at department level. </w:t>
      </w:r>
      <w:bookmarkStart w:id="0" w:name="_Hlk530057493"/>
      <w:r w:rsidRPr="00EF66BB">
        <w:rPr>
          <w:rFonts w:ascii="Times New Roman" w:hAnsi="Times New Roman" w:cs="Times New Roman"/>
        </w:rPr>
        <w:t>This argument is supported by recent research that highlight</w:t>
      </w:r>
      <w:r w:rsidR="004832EA">
        <w:rPr>
          <w:rFonts w:ascii="Times New Roman" w:hAnsi="Times New Roman" w:cs="Times New Roman"/>
        </w:rPr>
        <w:t>s</w:t>
      </w:r>
      <w:r w:rsidRPr="00EF66BB">
        <w:rPr>
          <w:rFonts w:ascii="Times New Roman" w:hAnsi="Times New Roman" w:cs="Times New Roman"/>
        </w:rPr>
        <w:t xml:space="preserve"> the limitations of centralised decision making without wider departmental considerations in the context of university strategy </w:t>
      </w:r>
      <w:r w:rsidR="00055EE7">
        <w:rPr>
          <w:rFonts w:ascii="Times New Roman" w:hAnsi="Times New Roman" w:cs="Times New Roman"/>
        </w:rPr>
        <w:fldChar w:fldCharType="begin" w:fldLock="1"/>
      </w:r>
      <w:r w:rsidR="00055EE7">
        <w:rPr>
          <w:rFonts w:ascii="Times New Roman" w:hAnsi="Times New Roman" w:cs="Times New Roman"/>
        </w:rPr>
        <w:instrText>ADDIN CSL_CITATION {"citationItems":[{"id":"ITEM-1","itemData":{"DOI":"10.1080/03075079.2012.754858","ISBN":"03075079 (ISSN)","ISSN":"1470174X","abstract":"In this paper we examine the creation and expansion of the English university system. We show how the enormous increase in student numbers, which began with the Robbins Report (1963), led to successive governments cutting universities’ funding and compelling them to act more like business enterprises than educational institutions. In turn, vice-chancellors have become more similar to powerful chief executives, collegial forms of control have been significantly reduced and academic staff increasingly work in an environment in which they are told what to teach, how to teach, what research to conduct and where to publish. However, we show that this can be dysfunctional not only for staff, but also for senior managers. In place of this dysfunctional centralism, we argue for a win-win form of collegiality, which is compatible with rapid decision-making at the university centre and effective execution of change at the local/ departmental level.","author":[{"dropping-particle":"","family":"Burnes","given":"Bernard","non-dropping-particle":"","parse-names":false,"suffix":""},{"dropping-particle":"","family":"Wend","given":"Petra","non-dropping-particle":"","parse-names":false,"suffix":""},{"dropping-particle":"","family":"By","given":"Rune Todnem","non-dropping-particle":"","parse-names":false,"suffix":""}],"container-title":"Studies in Higher Education","id":"ITEM-1","issue":"6","issued":{"date-parts":[["2014"]]},"page":"905-926","title":"The changing face of English universities: reinventing collegiality for the twenty-first century","type":"article-journal","volume":"39"},"uris":["http://www.mendeley.com/documents/?uuid=24152560-a926-4d23-9fe1-dc68becea4bb"]},{"id":"ITEM-2","itemData":{"DOI":"10.1080/03075070701685114","ISBN":"0307-5079","ISSN":"03075079","PMID":"27342569","abstract":"This article is a review of the literature concerned with leadership effectiveness in higher education at departmental level. The literature derives from publications from three countries: the UK, the USA and Australia. Surprisingly little systematic research has been conducted on the question of which forms of leadership are associated with departmental effectiveness. The analysis of the studies selected resulted in the identification of 13 forms of leader behaviour that are associated with departmental effectiveness. The findings are considered in relation to the notion of competency frameworks and, in the conclusion, their general implications are explored in relation to the notion of substitutes for leadership.","author":[{"dropping-particle":"","family":"Bryman","given":"Alan","non-dropping-particle":"","parse-names":false,"suffix":""}],"container-title":"Studies in Higher Education","id":"ITEM-2","issue":"6","issued":{"date-parts":[["2007"]]},"page":"693-710","title":"Effective leadership in higher education: A literature review","type":"article-journal","volume":"32"},"uris":["http://www.mendeley.com/documents/?uuid=67962623-f4f7-4dca-8060-74b92e8090f3"]},{"id":"ITEM-3","itemData":{"DOI":"10.1080/1360080X.2017.1354754","ISSN":"14699508","abstract":"This paper considers the case for reform of management structures in UK universities and offers proposals for change. The model of top-down, performance-led management that characterises many institutions is both outmoded and ill-suited to the challenges of an increasingly turbulent higher education sector. Drawing on the experiences of a university that introduced a new scheme of performance management, I explore alternative approaches to leadership and management, collaborative or partnership working designed to improve employee voice and the need to re-evaluate approaches to Human Resource Management. I conclude with a five-point model for change.","author":[{"dropping-particle":"","family":"Waring","given":"Matt","non-dropping-particle":"","parse-names":false,"suffix":""}],"container-title":"Journal of Higher Education Policy and Management","id":"ITEM-3","issue":"5","issued":{"date-parts":[["2017"]]},"page":"540-558","publisher":"Routledge","title":"Management and leadership in UK universities: exploring the possibilities of change","type":"article-journal","volume":"39"},"uris":["http://www.mendeley.com/documents/?uuid=53ffff0f-fb1a-477d-aae5-a1036f8cdc58"]}],"mendeley":{"formattedCitation":"(Bryman, 2007; Burnes et al., 2014; Waring, 2017)","plainTextFormattedCitation":"(Bryman, 2007; Burnes et al., 2014; Waring, 2017)","previouslyFormattedCitation":"(Bryman, 2007; Burnes et al., 2014; Waring, 2017)"},"properties":{"noteIndex":0},"schema":"https://github.com/citation-style-language/schema/raw/master/csl-citation.json"}</w:instrText>
      </w:r>
      <w:r w:rsidR="00055EE7">
        <w:rPr>
          <w:rFonts w:ascii="Times New Roman" w:hAnsi="Times New Roman" w:cs="Times New Roman"/>
        </w:rPr>
        <w:fldChar w:fldCharType="separate"/>
      </w:r>
      <w:r w:rsidR="00055EE7" w:rsidRPr="00055EE7">
        <w:rPr>
          <w:rFonts w:ascii="Times New Roman" w:hAnsi="Times New Roman" w:cs="Times New Roman"/>
          <w:noProof/>
        </w:rPr>
        <w:t>(Bryman, 2007; Burnes et al., 2014; Waring, 2017)</w:t>
      </w:r>
      <w:r w:rsidR="00055EE7">
        <w:rPr>
          <w:rFonts w:ascii="Times New Roman" w:hAnsi="Times New Roman" w:cs="Times New Roman"/>
        </w:rPr>
        <w:fldChar w:fldCharType="end"/>
      </w:r>
      <w:r w:rsidR="00055EE7">
        <w:rPr>
          <w:rFonts w:ascii="Times New Roman" w:hAnsi="Times New Roman" w:cs="Times New Roman"/>
        </w:rPr>
        <w:t xml:space="preserve">. </w:t>
      </w:r>
      <w:r w:rsidRPr="00EF66BB">
        <w:rPr>
          <w:rFonts w:ascii="Times New Roman" w:hAnsi="Times New Roman" w:cs="Times New Roman"/>
        </w:rPr>
        <w:t xml:space="preserve">In finding support for H3a, we show that the alignment between university strategic choices and </w:t>
      </w:r>
      <w:r w:rsidR="004832EA">
        <w:rPr>
          <w:rFonts w:ascii="Times New Roman" w:hAnsi="Times New Roman" w:cs="Times New Roman"/>
        </w:rPr>
        <w:t xml:space="preserve">the </w:t>
      </w:r>
      <w:r w:rsidRPr="00EF66BB">
        <w:rPr>
          <w:rFonts w:ascii="Times New Roman" w:hAnsi="Times New Roman" w:cs="Times New Roman"/>
        </w:rPr>
        <w:t xml:space="preserve">scale of TTO support </w:t>
      </w:r>
      <w:r w:rsidR="004832EA">
        <w:rPr>
          <w:rFonts w:ascii="Times New Roman" w:hAnsi="Times New Roman" w:cs="Times New Roman"/>
        </w:rPr>
        <w:t>influences</w:t>
      </w:r>
      <w:r w:rsidRPr="00EF66BB">
        <w:rPr>
          <w:rFonts w:ascii="Times New Roman" w:hAnsi="Times New Roman" w:cs="Times New Roman"/>
        </w:rPr>
        <w:t xml:space="preserve"> the effectiveness of technology transfer activity</w:t>
      </w:r>
      <w:r w:rsidR="004832EA">
        <w:rPr>
          <w:rFonts w:ascii="Times New Roman" w:hAnsi="Times New Roman" w:cs="Times New Roman"/>
        </w:rPr>
        <w:t xml:space="preserve">. However, </w:t>
      </w:r>
      <w:r w:rsidRPr="00EF66BB">
        <w:rPr>
          <w:rFonts w:ascii="Times New Roman" w:hAnsi="Times New Roman" w:cs="Times New Roman"/>
        </w:rPr>
        <w:t xml:space="preserve"> the impact of university strategic choices on technology tr</w:t>
      </w:r>
      <w:r w:rsidR="00881526" w:rsidRPr="00EF66BB">
        <w:rPr>
          <w:rFonts w:ascii="Times New Roman" w:hAnsi="Times New Roman" w:cs="Times New Roman"/>
        </w:rPr>
        <w:t>ansfer effectiveness is enhanced</w:t>
      </w:r>
      <w:r w:rsidRPr="00EF66BB">
        <w:rPr>
          <w:rFonts w:ascii="Times New Roman" w:hAnsi="Times New Roman" w:cs="Times New Roman"/>
        </w:rPr>
        <w:t xml:space="preserve"> when plans are comprehensively implemented at department level. </w:t>
      </w:r>
      <w:bookmarkEnd w:id="0"/>
      <w:r w:rsidRPr="00EF66BB">
        <w:rPr>
          <w:rFonts w:ascii="Times New Roman" w:hAnsi="Times New Roman" w:cs="Times New Roman"/>
        </w:rPr>
        <w:t>Conversely, our result</w:t>
      </w:r>
      <w:r w:rsidR="00E307C7">
        <w:rPr>
          <w:rFonts w:ascii="Times New Roman" w:hAnsi="Times New Roman" w:cs="Times New Roman"/>
        </w:rPr>
        <w:t>s</w:t>
      </w:r>
      <w:r w:rsidRPr="00EF66BB">
        <w:rPr>
          <w:rFonts w:ascii="Times New Roman" w:hAnsi="Times New Roman" w:cs="Times New Roman"/>
        </w:rPr>
        <w:t xml:space="preserve"> for H3a suggests that if universities make technology transfer a strategic priority and establish appropriate TTO support, the effectiveness of their technology transfer efforts may be limited if they fail to adequately operationalise strategic priorities at department level. This finding lends evidence to argument</w:t>
      </w:r>
      <w:r w:rsidR="00EC71AC" w:rsidRPr="00EF66BB">
        <w:rPr>
          <w:rFonts w:ascii="Times New Roman" w:hAnsi="Times New Roman" w:cs="Times New Roman"/>
        </w:rPr>
        <w:t>s</w:t>
      </w:r>
      <w:r w:rsidRPr="00EF66BB">
        <w:rPr>
          <w:rFonts w:ascii="Times New Roman" w:hAnsi="Times New Roman" w:cs="Times New Roman"/>
        </w:rPr>
        <w:t xml:space="preserve"> that advocate a move away from hierarchical decision making within </w:t>
      </w:r>
      <w:r w:rsidR="009E7EDB" w:rsidRPr="00EF66BB">
        <w:rPr>
          <w:rFonts w:ascii="Times New Roman" w:hAnsi="Times New Roman" w:cs="Times New Roman"/>
        </w:rPr>
        <w:t>universities towards</w:t>
      </w:r>
      <w:r w:rsidR="00EC71AC" w:rsidRPr="00EF66BB">
        <w:rPr>
          <w:rFonts w:ascii="Times New Roman" w:hAnsi="Times New Roman" w:cs="Times New Roman"/>
        </w:rPr>
        <w:t xml:space="preserve"> a</w:t>
      </w:r>
      <w:r w:rsidRPr="00EF66BB">
        <w:rPr>
          <w:rFonts w:ascii="Times New Roman" w:hAnsi="Times New Roman" w:cs="Times New Roman"/>
        </w:rPr>
        <w:t xml:space="preserve"> more ‘collegiate’ mode of governance whereby strategic priori</w:t>
      </w:r>
      <w:r w:rsidR="00881526" w:rsidRPr="00EF66BB">
        <w:rPr>
          <w:rFonts w:ascii="Times New Roman" w:hAnsi="Times New Roman" w:cs="Times New Roman"/>
        </w:rPr>
        <w:t>ties are established through engagement with departments</w:t>
      </w:r>
      <w:r w:rsidRPr="00EF66BB">
        <w:rPr>
          <w:rFonts w:ascii="Times New Roman" w:hAnsi="Times New Roman" w:cs="Times New Roman"/>
        </w:rPr>
        <w:t xml:space="preserve"> </w:t>
      </w:r>
      <w:r w:rsidR="00055EE7">
        <w:rPr>
          <w:rFonts w:ascii="Times New Roman" w:hAnsi="Times New Roman" w:cs="Times New Roman"/>
        </w:rPr>
        <w:fldChar w:fldCharType="begin" w:fldLock="1"/>
      </w:r>
      <w:r w:rsidR="00055EE7">
        <w:rPr>
          <w:rFonts w:ascii="Times New Roman" w:hAnsi="Times New Roman" w:cs="Times New Roman"/>
        </w:rPr>
        <w:instrText>ADDIN CSL_CITATION {"citationItems":[{"id":"ITEM-1","itemData":{"DOI":"10.1080/03075079.2012.754858","ISBN":"03075079 (ISSN)","ISSN":"1470174X","abstract":"In this paper we examine the creation and expansion of the English university system. We show how the enormous increase in student numbers, which began with the Robbins Report (1963), led to successive governments cutting universities’ funding and compelling them to act more like business enterprises than educational institutions. In turn, vice-chancellors have become more similar to powerful chief executives, collegial forms of control have been significantly reduced and academic staff increasingly work in an environment in which they are told what to teach, how to teach, what research to conduct and where to publish. However, we show that this can be dysfunctional not only for staff, but also for senior managers. In place of this dysfunctional centralism, we argue for a win-win form of collegiality, which is compatible with rapid decision-making at the university centre and effective execution of change at the local/ departmental level.","author":[{"dropping-particle":"","family":"Burnes","given":"Bernard","non-dropping-particle":"","parse-names":false,"suffix":""},{"dropping-particle":"","family":"Wend","given":"Petra","non-dropping-particle":"","parse-names":false,"suffix":""},{"dropping-particle":"","family":"By","given":"Rune Todnem","non-dropping-particle":"","parse-names":false,"suffix":""}],"container-title":"Studies in Higher Education","id":"ITEM-1","issue":"6","issued":{"date-parts":[["2014"]]},"page":"905-926","title":"The changing face of English universities: reinventing collegiality for the twenty-first century","type":"article-journal","volume":"39"},"uris":["http://www.mendeley.com/documents/?uuid=24152560-a926-4d23-9fe1-dc68becea4bb"]},{"id":"ITEM-2","itemData":{"DOI":"10.1080/03075070701685114","ISBN":"0307-5079","ISSN":"03075079","PMID":"27342569","abstract":"This article is a review of the literature concerned with leadership effectiveness in higher education at departmental level. The literature derives from publications from three countries: the UK, the USA and Australia. Surprisingly little systematic research has been conducted on the question of which forms of leadership are associated with departmental effectiveness. The analysis of the studies selected resulted in the identification of 13 forms of leader behaviour that are associated with departmental effectiveness. The findings are considered in relation to the notion of competency frameworks and, in the conclusion, their general implications are explored in relation to the notion of substitutes for leadership.","author":[{"dropping-particle":"","family":"Bryman","given":"Alan","non-dropping-particle":"","parse-names":false,"suffix":""}],"container-title":"Studies in Higher Education","id":"ITEM-2","issue":"6","issued":{"date-parts":[["2007"]]},"page":"693-710","title":"Effective leadership in higher education: A literature review","type":"article-journal","volume":"32"},"uris":["http://www.mendeley.com/documents/?uuid=67962623-f4f7-4dca-8060-74b92e8090f3"]},{"id":"ITEM-3","itemData":{"DOI":"10.1080/1360080X.2017.1354754","ISSN":"14699508","abstract":"This paper considers the case for reform of management structures in UK universities and offers proposals for change. The model of top-down, performance-led management that characterises many institutions is both outmoded and ill-suited to the challenges of an increasingly turbulent higher education sector. Drawing on the experiences of a university that introduced a new scheme of performance management, I explore alternative approaches to leadership and management, collaborative or partnership working designed to improve employee voice and the need to re-evaluate approaches to Human Resource Management. I conclude with a five-point model for change.","author":[{"dropping-particle":"","family":"Waring","given":"Matt","non-dropping-particle":"","parse-names":false,"suffix":""}],"container-title":"Journal of Higher Education Policy and Management","id":"ITEM-3","issue":"5","issued":{"date-parts":[["2017"]]},"page":"540-558","publisher":"Routledge","title":"Management and leadership in UK universities: exploring the possibilities of change","type":"article-journal","volume":"39"},"uris":["http://www.mendeley.com/documents/?uuid=53ffff0f-fb1a-477d-aae5-a1036f8cdc58"]}],"mendeley":{"formattedCitation":"(Bryman, 2007; Burnes et al., 2014; Waring, 2017)","plainTextFormattedCitation":"(Bryman, 2007; Burnes et al., 2014; Waring, 2017)","previouslyFormattedCitation":"(Bryman, 2007; Burnes et al., 2014; Waring, 2017)"},"properties":{"noteIndex":0},"schema":"https://github.com/citation-style-language/schema/raw/master/csl-citation.json"}</w:instrText>
      </w:r>
      <w:r w:rsidR="00055EE7">
        <w:rPr>
          <w:rFonts w:ascii="Times New Roman" w:hAnsi="Times New Roman" w:cs="Times New Roman"/>
        </w:rPr>
        <w:fldChar w:fldCharType="separate"/>
      </w:r>
      <w:r w:rsidR="00055EE7" w:rsidRPr="00055EE7">
        <w:rPr>
          <w:rFonts w:ascii="Times New Roman" w:hAnsi="Times New Roman" w:cs="Times New Roman"/>
          <w:noProof/>
        </w:rPr>
        <w:t>(Bryman, 2007; Burnes et al., 2014; Waring, 2017)</w:t>
      </w:r>
      <w:r w:rsidR="00055EE7">
        <w:rPr>
          <w:rFonts w:ascii="Times New Roman" w:hAnsi="Times New Roman" w:cs="Times New Roman"/>
        </w:rPr>
        <w:fldChar w:fldCharType="end"/>
      </w:r>
      <w:r w:rsidR="00055EE7">
        <w:rPr>
          <w:rFonts w:ascii="Times New Roman" w:hAnsi="Times New Roman" w:cs="Times New Roman"/>
        </w:rPr>
        <w:t>.</w:t>
      </w:r>
      <w:r w:rsidRPr="00EF66BB">
        <w:rPr>
          <w:rFonts w:ascii="Times New Roman" w:hAnsi="Times New Roman" w:cs="Times New Roman"/>
        </w:rPr>
        <w:t xml:space="preserve"> </w:t>
      </w:r>
    </w:p>
    <w:p w14:paraId="54547242" w14:textId="77777777" w:rsidR="006852D0" w:rsidRPr="00EF66BB" w:rsidRDefault="006852D0" w:rsidP="00141231">
      <w:pPr>
        <w:spacing w:line="360" w:lineRule="auto"/>
        <w:rPr>
          <w:rFonts w:ascii="Times New Roman" w:hAnsi="Times New Roman" w:cs="Times New Roman"/>
        </w:rPr>
      </w:pPr>
    </w:p>
    <w:p w14:paraId="46B03933" w14:textId="348CEA6A" w:rsidR="006852D0" w:rsidRPr="00EF66BB" w:rsidRDefault="009E7EDB" w:rsidP="00141231">
      <w:pPr>
        <w:spacing w:line="360" w:lineRule="auto"/>
        <w:rPr>
          <w:rFonts w:ascii="Times New Roman" w:hAnsi="Times New Roman" w:cs="Times New Roman"/>
        </w:rPr>
      </w:pPr>
      <w:r w:rsidRPr="00EF66BB">
        <w:rPr>
          <w:rFonts w:ascii="Times New Roman" w:hAnsi="Times New Roman" w:cs="Times New Roman"/>
        </w:rPr>
        <w:lastRenderedPageBreak/>
        <w:t>S</w:t>
      </w:r>
      <w:r w:rsidR="006852D0" w:rsidRPr="00EF66BB">
        <w:rPr>
          <w:rFonts w:ascii="Times New Roman" w:hAnsi="Times New Roman" w:cs="Times New Roman"/>
        </w:rPr>
        <w:t xml:space="preserve">urprisingly, we find no support for H3b, which suggests that the mediation effect of strategic choice on the relationship between incentives and technology transfer effectiveness will be accentuated by </w:t>
      </w:r>
      <w:r w:rsidRPr="00EF66BB">
        <w:rPr>
          <w:rFonts w:ascii="Times New Roman" w:hAnsi="Times New Roman" w:cs="Times New Roman"/>
        </w:rPr>
        <w:t xml:space="preserve">the </w:t>
      </w:r>
      <w:r w:rsidR="006852D0" w:rsidRPr="00EF66BB">
        <w:rPr>
          <w:rFonts w:ascii="Times New Roman" w:hAnsi="Times New Roman" w:cs="Times New Roman"/>
        </w:rPr>
        <w:t>operationalisation of strategic priorities at department level.  However, when we consider this result in light of our result</w:t>
      </w:r>
      <w:r w:rsidR="00E307C7">
        <w:rPr>
          <w:rFonts w:ascii="Times New Roman" w:hAnsi="Times New Roman" w:cs="Times New Roman"/>
        </w:rPr>
        <w:t>s</w:t>
      </w:r>
      <w:r w:rsidR="006852D0" w:rsidRPr="00EF66BB">
        <w:rPr>
          <w:rFonts w:ascii="Times New Roman" w:hAnsi="Times New Roman" w:cs="Times New Roman"/>
        </w:rPr>
        <w:t xml:space="preserve"> for H2, which shows that university strategic choices only partially mediate the relationship between incentives and technology transfer effectiveness, the implication of this result becomes clearer. As highlighted above, engagement in technology transfer activity is an individual as well as an organisational phenomenon, decision</w:t>
      </w:r>
      <w:r w:rsidR="00EC71AC" w:rsidRPr="00EF66BB">
        <w:rPr>
          <w:rFonts w:ascii="Times New Roman" w:hAnsi="Times New Roman" w:cs="Times New Roman"/>
        </w:rPr>
        <w:t>s</w:t>
      </w:r>
      <w:r w:rsidR="006852D0" w:rsidRPr="00EF66BB">
        <w:rPr>
          <w:rFonts w:ascii="Times New Roman" w:hAnsi="Times New Roman" w:cs="Times New Roman"/>
        </w:rPr>
        <w:t xml:space="preserve"> to commercialise research findings </w:t>
      </w:r>
      <w:r w:rsidR="00EC71AC" w:rsidRPr="00EF66BB">
        <w:rPr>
          <w:rFonts w:ascii="Times New Roman" w:hAnsi="Times New Roman" w:cs="Times New Roman"/>
        </w:rPr>
        <w:t xml:space="preserve">are </w:t>
      </w:r>
      <w:r w:rsidR="006852D0" w:rsidRPr="00EF66BB">
        <w:rPr>
          <w:rFonts w:ascii="Times New Roman" w:hAnsi="Times New Roman" w:cs="Times New Roman"/>
        </w:rPr>
        <w:t xml:space="preserve">largely individually driven </w:t>
      </w:r>
      <w:r w:rsidR="00055EE7">
        <w:rPr>
          <w:rFonts w:ascii="Times New Roman" w:hAnsi="Times New Roman" w:cs="Times New Roman"/>
        </w:rPr>
        <w:fldChar w:fldCharType="begin" w:fldLock="1"/>
      </w:r>
      <w:r w:rsidR="00055EE7">
        <w:rPr>
          <w:rFonts w:ascii="Times New Roman" w:hAnsi="Times New Roman" w:cs="Times New Roman"/>
        </w:rPr>
        <w:instrText>ADDIN CSL_CITATION {"citationItems":[{"id":"ITEM-1","itemData":{"DOI":"10.1007/s10961-010-9153-z","ISBN":"0892-9912","ISSN":"08929912","abstract":"The debate on the entrepreneurial university has raised questions about what motivates academic scientists to engage with industry. This paper provides evidence based on survey data for a large sample of UK investigators in the physical and engineering sciences. The results suggest that most academics engage with industry to further their research rather than to commercialize their knowledge. However, there are differences in terms of the channels of engagement. Patenting and spin-off company formation are motivated exclusively by commercialization whilst joint research, contract research and consulting are strongly informed by research-related motives. We conclude that policy should refrain from overly focusing on monetary incentives for industry engagement and consider a broader range of incentives for promoting interaction between academia and industry.","author":[{"dropping-particle":"","family":"D'Este","given":"Pablo","non-dropping-particle":"","parse-names":false,"suffix":""},{"dropping-particle":"","family":"Perkmann","given":"Markus","non-dropping-particle":"","parse-names":false,"suffix":""}],"container-title":"Journal of Technology Transfer","id":"ITEM-1","issue":"3","issued":{"date-parts":[["2011"]]},"page":"316-339","title":"Why do academics engage with industry? The entrepreneurial university and individual motivations","type":"article-journal","volume":"36"},"uris":["http://www.mendeley.com/documents/?uuid=47fcbd90-c6f5-4186-bfa4-f494688fac06"]},{"id":"ITEM-2","itemData":{"DOI":"10.1016/j.respol.2011.09.002","ISBN":"00487333","ISSN":"00487333","PMID":"26053391","abstract":"This paper employs the three concepts of 'gold' (financial rewards), 'ribbon' (reputational/career rewards) and 'puzzle' (intrinsic satisfaction) to examine the extrinsic and intrinsic aspects of scientists' motivation for pursuing commercial activities. The study is based on 36 individual interviews and an on-line questionnaire survey of 735 scientists from five major UK research universities. It finds that there is a diversity of motivations for commercial engagement, and that many do so for reputational and intrinsic reasons and that financial rewards play a relatively small part. The paper draws on self-determination theory in social psychology to analyse the relationship between scientists' value orientations with regard to commercial engagement and their personal motivations. It finds that those with traditional beliefs about the separation of science from commerce are more likely to be extrinsically motivated, using commercialization as a means to obtain resources to support their quest for the 'ribbon'. In contrast, those identify closely with entrepreneurial norms are intrinsically motivated by the autonomy and 'puzzle-solving' involved in applied commercial research while also motivated by the 'gold'. The study highlights the primacy of scientists' self-motivation, and suggests that a fuller explanation of their commercial behaviour will need to consider a broader mix of motives to include the social and affective aspects of intrinsic motivation. In conclusion, the paper argues that policy to encourage commercial engagement should build on reputational and intrinsic rather than purely financial motivations. © 2011 Elsevier B.V. All rights reserved.","author":[{"dropping-particle":"","family":"Lam","given":"Alice","non-dropping-particle":"","parse-names":false,"suffix":""}],"container-title":"Research Policy","id":"ITEM-2","issue":"10","issued":{"date-parts":[["2011"]]},"page":"1354-1368","title":"What motivates academic scientists to engage in research commercialization: 'Gold', 'ribbon' or 'puzzle'?","type":"article-journal","volume":"40"},"uris":["http://www.mendeley.com/documents/?uuid=7ffd5fa0-3822-435f-8e79-8bf2dc7f9b34"]}],"mendeley":{"formattedCitation":"(D’Este and Perkmann, 2011; Lam, 2011)","plainTextFormattedCitation":"(D’Este and Perkmann, 2011; Lam, 2011)","previouslyFormattedCitation":"(D’Este and Perkmann, 2011; Lam, 2011)"},"properties":{"noteIndex":0},"schema":"https://github.com/citation-style-language/schema/raw/master/csl-citation.json"}</w:instrText>
      </w:r>
      <w:r w:rsidR="00055EE7">
        <w:rPr>
          <w:rFonts w:ascii="Times New Roman" w:hAnsi="Times New Roman" w:cs="Times New Roman"/>
        </w:rPr>
        <w:fldChar w:fldCharType="separate"/>
      </w:r>
      <w:r w:rsidR="00055EE7" w:rsidRPr="00055EE7">
        <w:rPr>
          <w:rFonts w:ascii="Times New Roman" w:hAnsi="Times New Roman" w:cs="Times New Roman"/>
          <w:noProof/>
        </w:rPr>
        <w:t>(D’Este and Perkmann, 2011; Lam, 2011)</w:t>
      </w:r>
      <w:r w:rsidR="00055EE7">
        <w:rPr>
          <w:rFonts w:ascii="Times New Roman" w:hAnsi="Times New Roman" w:cs="Times New Roman"/>
        </w:rPr>
        <w:fldChar w:fldCharType="end"/>
      </w:r>
      <w:r w:rsidR="006852D0" w:rsidRPr="00EF66BB">
        <w:rPr>
          <w:rFonts w:ascii="Times New Roman" w:hAnsi="Times New Roman" w:cs="Times New Roman"/>
        </w:rPr>
        <w:t xml:space="preserve">. Therefore, </w:t>
      </w:r>
      <w:r w:rsidR="00E9682A" w:rsidRPr="00EF66BB">
        <w:rPr>
          <w:rFonts w:ascii="Times New Roman" w:hAnsi="Times New Roman" w:cs="Times New Roman"/>
        </w:rPr>
        <w:t xml:space="preserve">arguably </w:t>
      </w:r>
      <w:r w:rsidR="006852D0" w:rsidRPr="00EF66BB">
        <w:rPr>
          <w:rFonts w:ascii="Times New Roman" w:hAnsi="Times New Roman" w:cs="Times New Roman"/>
        </w:rPr>
        <w:t>the role of incentives in enhancing technology transfer effectiveness is less sensitive to organisational influences such as university strategic priorities (as highlighted in H2) and their operationalisation (as highlighted by the lack of support for H3b). In other words, the role of incentives in promoting technology transfer effectiveness will be more sensitive to individual-level motivational factors than other forms of organisational supports for technology transfer, such as the scale of TTO support, over which</w:t>
      </w:r>
      <w:r w:rsidR="007043EE" w:rsidRPr="00EF66BB">
        <w:rPr>
          <w:rFonts w:ascii="Times New Roman" w:hAnsi="Times New Roman" w:cs="Times New Roman"/>
        </w:rPr>
        <w:t xml:space="preserve"> university management have</w:t>
      </w:r>
      <w:r w:rsidR="006852D0" w:rsidRPr="00EF66BB">
        <w:rPr>
          <w:rFonts w:ascii="Times New Roman" w:hAnsi="Times New Roman" w:cs="Times New Roman"/>
        </w:rPr>
        <w:t xml:space="preserve"> more control.</w:t>
      </w:r>
    </w:p>
    <w:p w14:paraId="718F3097" w14:textId="5F02C939" w:rsidR="006852D0" w:rsidRPr="00EF66BB" w:rsidRDefault="006852D0" w:rsidP="00141231">
      <w:pPr>
        <w:spacing w:line="360" w:lineRule="auto"/>
        <w:rPr>
          <w:rFonts w:ascii="Times New Roman" w:hAnsi="Times New Roman" w:cs="Times New Roman"/>
        </w:rPr>
      </w:pPr>
    </w:p>
    <w:p w14:paraId="601CE437" w14:textId="77777777" w:rsidR="00785349" w:rsidRPr="00414FA4" w:rsidRDefault="00785349" w:rsidP="00141231">
      <w:pPr>
        <w:pStyle w:val="Heading2"/>
        <w:rPr>
          <w:rFonts w:ascii="Times New Roman" w:hAnsi="Times New Roman" w:cs="Times New Roman"/>
        </w:rPr>
      </w:pPr>
      <w:r w:rsidRPr="00414FA4">
        <w:rPr>
          <w:rFonts w:ascii="Times New Roman" w:hAnsi="Times New Roman" w:cs="Times New Roman"/>
        </w:rPr>
        <w:t xml:space="preserve">6.0 Limitations and Directions for Future Research </w:t>
      </w:r>
    </w:p>
    <w:p w14:paraId="7DDA7F93" w14:textId="2AEC9BB5" w:rsidR="00785349" w:rsidRDefault="00785349" w:rsidP="00141231">
      <w:pPr>
        <w:spacing w:line="360" w:lineRule="auto"/>
        <w:rPr>
          <w:rFonts w:ascii="Times New Roman" w:hAnsi="Times New Roman" w:cs="Times New Roman"/>
        </w:rPr>
      </w:pPr>
      <w:r w:rsidRPr="004D3D1C">
        <w:rPr>
          <w:rFonts w:ascii="Times New Roman" w:eastAsia="TimesNewRoman" w:hAnsi="Times New Roman" w:cs="Times New Roman"/>
        </w:rPr>
        <w:t xml:space="preserve">Despite its </w:t>
      </w:r>
      <w:r w:rsidRPr="004D3D1C">
        <w:rPr>
          <w:rFonts w:ascii="Times New Roman" w:hAnsi="Times New Roman" w:cs="Times New Roman"/>
          <w:color w:val="000000"/>
        </w:rPr>
        <w:t xml:space="preserve">theoretical and methodological strengths this research has limitations that highlight opportunities for meaningful future research. </w:t>
      </w:r>
      <w:r w:rsidRPr="004D3D1C">
        <w:rPr>
          <w:rFonts w:ascii="Times New Roman" w:hAnsi="Times New Roman" w:cs="Times New Roman"/>
        </w:rPr>
        <w:t xml:space="preserve">First, the validity of structural modelling depends on theoretical sophistication, measurement accuracy, data distributions, variable selection and the size of the database (Shook et al., 2004). Specific to this study is the size of the database and </w:t>
      </w:r>
      <w:r>
        <w:rPr>
          <w:rFonts w:ascii="Times New Roman" w:hAnsi="Times New Roman" w:cs="Times New Roman"/>
        </w:rPr>
        <w:t xml:space="preserve">the use of some </w:t>
      </w:r>
      <w:r w:rsidRPr="004D3D1C">
        <w:rPr>
          <w:rFonts w:ascii="Times New Roman" w:hAnsi="Times New Roman" w:cs="Times New Roman"/>
        </w:rPr>
        <w:t xml:space="preserve">single item observed variables </w:t>
      </w:r>
      <w:r>
        <w:rPr>
          <w:rFonts w:ascii="Times New Roman" w:hAnsi="Times New Roman" w:cs="Times New Roman"/>
        </w:rPr>
        <w:t xml:space="preserve">(instead of latent variables) </w:t>
      </w:r>
      <w:r w:rsidRPr="004D3D1C">
        <w:rPr>
          <w:rFonts w:ascii="Times New Roman" w:hAnsi="Times New Roman" w:cs="Times New Roman"/>
        </w:rPr>
        <w:t xml:space="preserve">which </w:t>
      </w:r>
      <w:r>
        <w:rPr>
          <w:rFonts w:ascii="Times New Roman" w:hAnsi="Times New Roman" w:cs="Times New Roman"/>
        </w:rPr>
        <w:t>limits</w:t>
      </w:r>
      <w:r w:rsidRPr="004D3D1C">
        <w:rPr>
          <w:rFonts w:ascii="Times New Roman" w:hAnsi="Times New Roman" w:cs="Times New Roman"/>
        </w:rPr>
        <w:t xml:space="preserve"> </w:t>
      </w:r>
      <w:r>
        <w:rPr>
          <w:rFonts w:ascii="Times New Roman" w:hAnsi="Times New Roman" w:cs="Times New Roman"/>
        </w:rPr>
        <w:t>our understanding</w:t>
      </w:r>
      <w:r w:rsidRPr="004D3D1C">
        <w:rPr>
          <w:rFonts w:ascii="Times New Roman" w:hAnsi="Times New Roman" w:cs="Times New Roman"/>
        </w:rPr>
        <w:t xml:space="preserve"> of the enabling conditions fo</w:t>
      </w:r>
      <w:r>
        <w:rPr>
          <w:rFonts w:ascii="Times New Roman" w:hAnsi="Times New Roman" w:cs="Times New Roman"/>
        </w:rPr>
        <w:t xml:space="preserve">r effective technology transfer. </w:t>
      </w:r>
      <w:r w:rsidRPr="004D3D1C">
        <w:rPr>
          <w:rFonts w:ascii="Times New Roman" w:hAnsi="Times New Roman" w:cs="Times New Roman"/>
        </w:rPr>
        <w:t>F</w:t>
      </w:r>
      <w:r w:rsidRPr="004D3D1C">
        <w:rPr>
          <w:rFonts w:ascii="Times New Roman" w:eastAsia="TimesNewRoman" w:hAnsi="Times New Roman" w:cs="Times New Roman"/>
        </w:rPr>
        <w:t xml:space="preserve">urther research should explore the relevance of other constructs in the assessment of these relationships using </w:t>
      </w:r>
      <w:r w:rsidRPr="004D3D1C">
        <w:rPr>
          <w:rFonts w:ascii="Times New Roman" w:hAnsi="Times New Roman" w:cs="Times New Roman"/>
        </w:rPr>
        <w:t>more fine-grained multi-item measures not only to look at the extent, sequencing, and effectiveness of technology transfer strategy but also to study the relationships at a more exploratory level.</w:t>
      </w:r>
      <w:r>
        <w:rPr>
          <w:rFonts w:ascii="Times New Roman" w:hAnsi="Times New Roman" w:cs="Times New Roman"/>
        </w:rPr>
        <w:t xml:space="preserve"> For example, </w:t>
      </w:r>
      <w:r w:rsidRPr="00EF66BB">
        <w:rPr>
          <w:rFonts w:ascii="Times New Roman" w:hAnsi="Times New Roman" w:cs="Times New Roman"/>
        </w:rPr>
        <w:t>process-oriented research could build on our insights by exploring how departmental managers operationalise university level strategic choices and how these operationalisations impact technology transfer effectiveness. Alternatively, further research could focus more explicitly on the role that university top-management teams (TMTs) as key strategy participants play in technology transfer effectiveness, by examining how TMT composition impacts the per</w:t>
      </w:r>
      <w:r>
        <w:rPr>
          <w:rFonts w:ascii="Times New Roman" w:hAnsi="Times New Roman" w:cs="Times New Roman"/>
        </w:rPr>
        <w:t xml:space="preserve">formance of technology transfer, perhaps drawing upon Upper Echelons Theory and the Attention-Based View </w:t>
      </w:r>
      <w:r>
        <w:rPr>
          <w:rFonts w:ascii="Times New Roman" w:hAnsi="Times New Roman" w:cs="Times New Roman"/>
        </w:rPr>
        <w:fldChar w:fldCharType="begin" w:fldLock="1"/>
      </w:r>
      <w:r w:rsidR="00A661B2">
        <w:rPr>
          <w:rFonts w:ascii="Times New Roman" w:hAnsi="Times New Roman" w:cs="Times New Roman"/>
        </w:rPr>
        <w:instrText>ADDIN CSL_CITATION {"citationItems":[{"id":"ITEM-1","itemData":{"DOI":"10.5465/AMR.2007.24345254","ISBN":"0167-4544","ISSN":"0167-4544","PMID":"22582726","author":[{"dropping-particle":"","family":"Hambrick","given":"Donald C.","non-dropping-particle":"","parse-names":false,"suffix":""}],"container-title":"Academy of Management Review","id":"ITEM-1","issue":"2","issued":{"date-parts":[["2007"]]},"page":"334-343","title":"Upper Echelons Theory: An Update","type":"article-journal","volume":"32"},"uris":["http://www.mendeley.com/documents/?uuid=53fa3388-cd68-41e6-92e3-5e0e72cc9f54"]},{"id":"ITEM-2","itemData":{"DOI":"10.1287/orsc.1100.0602","ISBN":"10477039","ISSN":"1047-7039","PMID":"65872004","abstract":"Organizational theory and research has increased attention to the determinants and consequences of attention in orga-nizations. Attention is not, however, a unitary concept but is used differently in various metatheories: the behavioral O rganizational theory and research has increased attention to the determinants and consequences of attention in orga- nizations. Attention is not, however, a unitary concept but is used differently in various metatheories: the behavioral theory O rganizational theory and research has increased attention to the determinants and consequences of attention in orga- nizations. Attention is not, however, a unitary concept but is used differently in various metatheories: the behavioral theory of the firm, managerial cognition, issue selling, attention-based view, and ecology. At the level of the brain, neurosci-entists have identified three varieties of attention: selective attention, executive attention, and vigilance. Attention is shaped by both top-down (i.e., schema-driven) and bottom-up (i.e., stimulus-driven) processes. Inspired by neuroscience research, I classify and compare three varieties of attention studied in organization science: attentional perspective (top-down), atten-tional engagement (combining top-down and bottom-up executive attention and vigilance), and attentional selection (the outcome of attentional processes). Based on research findings, I develop five propositions on how the varieties of attention in organization provide a theoretical alternative to theories of structural determinism or strategic choice, with a particular focus on the role of attention in explaining organizational adaptation and change.","author":[{"dropping-particle":"","family":"Ocasio","given":"William","non-dropping-particle":"","parse-names":false,"suffix":""}],"container-title":"Organization Science","id":"ITEM-2","issue":"5","issued":{"date-parts":[["2011"]]},"page":"1286-1296","title":"Attention to Attention","type":"article-journal","volume":"22"},"uris":["http://www.mendeley.com/documents/?uuid=896d0662-a6c5-46ef-8b5c-e70f366dd0e0"]}],"mendeley":{"formattedCitation":"(Hambrick, 2007; Ocasio, 2011)","plainTextFormattedCitation":"(Hambrick, 2007; Ocasio, 2011)","previouslyFormattedCitation":"(Hambrick, 2007; Ocasio, 2011)"},"properties":{"noteIndex":0},"schema":"https://github.com/citation-style-language/schema/raw/master/csl-citation.json"}</w:instrText>
      </w:r>
      <w:r>
        <w:rPr>
          <w:rFonts w:ascii="Times New Roman" w:hAnsi="Times New Roman" w:cs="Times New Roman"/>
        </w:rPr>
        <w:fldChar w:fldCharType="separate"/>
      </w:r>
      <w:r w:rsidRPr="00504EBA">
        <w:rPr>
          <w:rFonts w:ascii="Times New Roman" w:hAnsi="Times New Roman" w:cs="Times New Roman"/>
          <w:noProof/>
        </w:rPr>
        <w:t>(Hambrick, 2007; Ocasio, 2011)</w:t>
      </w:r>
      <w:r>
        <w:rPr>
          <w:rFonts w:ascii="Times New Roman" w:hAnsi="Times New Roman" w:cs="Times New Roman"/>
        </w:rPr>
        <w:fldChar w:fldCharType="end"/>
      </w:r>
    </w:p>
    <w:p w14:paraId="425D1BC5" w14:textId="77777777" w:rsidR="00785349" w:rsidRDefault="00785349" w:rsidP="00141231">
      <w:pPr>
        <w:spacing w:line="360" w:lineRule="auto"/>
        <w:rPr>
          <w:rFonts w:ascii="Times New Roman" w:hAnsi="Times New Roman" w:cs="Times New Roman"/>
        </w:rPr>
      </w:pPr>
    </w:p>
    <w:p w14:paraId="08FF27AA" w14:textId="75FCCAC0" w:rsidR="00785349" w:rsidRPr="00850E84" w:rsidRDefault="00785349" w:rsidP="00141231">
      <w:pPr>
        <w:spacing w:line="360" w:lineRule="auto"/>
        <w:rPr>
          <w:rFonts w:ascii="Times New Roman" w:hAnsi="Times New Roman" w:cs="Times New Roman"/>
        </w:rPr>
      </w:pPr>
      <w:r w:rsidRPr="004D3D1C">
        <w:rPr>
          <w:rFonts w:ascii="Times New Roman" w:hAnsi="Times New Roman" w:cs="Times New Roman"/>
        </w:rPr>
        <w:t xml:space="preserve">Second </w:t>
      </w:r>
      <w:r w:rsidRPr="004D3D1C">
        <w:rPr>
          <w:rFonts w:ascii="Times New Roman" w:hAnsi="Times New Roman" w:cs="Times New Roman"/>
          <w:color w:val="231F20"/>
        </w:rPr>
        <w:t xml:space="preserve">while we </w:t>
      </w:r>
      <w:r>
        <w:rPr>
          <w:rFonts w:ascii="Times New Roman" w:hAnsi="Times New Roman" w:cs="Times New Roman"/>
          <w:color w:val="231F20"/>
        </w:rPr>
        <w:t>confirm that strategic choices</w:t>
      </w:r>
      <w:r w:rsidRPr="004D3D1C">
        <w:rPr>
          <w:rFonts w:ascii="Times New Roman" w:hAnsi="Times New Roman" w:cs="Times New Roman"/>
          <w:color w:val="231F20"/>
        </w:rPr>
        <w:t xml:space="preserve"> influence effectiveness (not vice versa), </w:t>
      </w:r>
      <w:r w:rsidRPr="004D3D1C">
        <w:rPr>
          <w:rFonts w:ascii="Times New Roman" w:hAnsi="Times New Roman" w:cs="Times New Roman"/>
        </w:rPr>
        <w:t>the cross-sectional research design set limitations in terms of making strong inference of causality. However</w:t>
      </w:r>
      <w:r>
        <w:rPr>
          <w:rFonts w:ascii="Times New Roman" w:hAnsi="Times New Roman" w:cs="Times New Roman"/>
        </w:rPr>
        <w:t>,</w:t>
      </w:r>
      <w:r w:rsidRPr="004D3D1C">
        <w:rPr>
          <w:rFonts w:ascii="Times New Roman" w:hAnsi="Times New Roman" w:cs="Times New Roman"/>
        </w:rPr>
        <w:t xml:space="preserve"> in this study we used data from various waves to ensure temporal ordering of variables in our model to make causal attribution of relationships possible.</w:t>
      </w:r>
      <w:r>
        <w:rPr>
          <w:rFonts w:ascii="Times New Roman" w:hAnsi="Times New Roman" w:cs="Times New Roman"/>
        </w:rPr>
        <w:t xml:space="preserve"> Furthermore, t</w:t>
      </w:r>
      <w:r w:rsidRPr="004D3D1C">
        <w:rPr>
          <w:rFonts w:ascii="Times New Roman" w:hAnsi="Times New Roman" w:cs="Times New Roman"/>
        </w:rPr>
        <w:t>he measurement limitations resulted from the observed exogenous variables has to a certain extent overcome by studying various measurement models using nested modelling. Although the small sample size set limitations in relation to the number of control variables included in the model and the number of causal relationships assumed, the data from a population</w:t>
      </w:r>
      <w:r w:rsidR="001B367E">
        <w:rPr>
          <w:rFonts w:ascii="Times New Roman" w:hAnsi="Times New Roman" w:cs="Times New Roman"/>
        </w:rPr>
        <w:t>-</w:t>
      </w:r>
      <w:r w:rsidRPr="004D3D1C">
        <w:rPr>
          <w:rFonts w:ascii="Times New Roman" w:hAnsi="Times New Roman" w:cs="Times New Roman"/>
        </w:rPr>
        <w:t xml:space="preserve">based study of all UK </w:t>
      </w:r>
      <w:r w:rsidR="00A66AB9">
        <w:rPr>
          <w:rFonts w:ascii="Times New Roman" w:hAnsi="Times New Roman" w:cs="Times New Roman"/>
        </w:rPr>
        <w:t>u</w:t>
      </w:r>
      <w:r w:rsidRPr="004D3D1C">
        <w:rPr>
          <w:rFonts w:ascii="Times New Roman" w:hAnsi="Times New Roman" w:cs="Times New Roman"/>
        </w:rPr>
        <w:t xml:space="preserve">niversities gave it a unique advantage. </w:t>
      </w:r>
      <w:r w:rsidRPr="004D3D1C">
        <w:rPr>
          <w:rFonts w:ascii="Times New Roman" w:eastAsia="TimesNewRoman" w:hAnsi="Times New Roman" w:cs="Times New Roman"/>
        </w:rPr>
        <w:t xml:space="preserve">Future research could add greater rigor to our results by adopting a longitudinal approach, making use of the panel data in the study of the relationships. </w:t>
      </w:r>
    </w:p>
    <w:p w14:paraId="3FA16918" w14:textId="77777777" w:rsidR="00785349" w:rsidRPr="004D3D1C" w:rsidRDefault="00785349" w:rsidP="00141231">
      <w:pPr>
        <w:autoSpaceDE w:val="0"/>
        <w:autoSpaceDN w:val="0"/>
        <w:adjustRightInd w:val="0"/>
        <w:spacing w:line="360" w:lineRule="auto"/>
        <w:rPr>
          <w:rFonts w:ascii="Times New Roman" w:eastAsia="TimesNewRoman" w:hAnsi="Times New Roman" w:cs="Times New Roman"/>
        </w:rPr>
      </w:pPr>
    </w:p>
    <w:p w14:paraId="2E498A5F" w14:textId="7DFB1EF5" w:rsidR="00785349" w:rsidRDefault="00785349" w:rsidP="00141231">
      <w:pPr>
        <w:autoSpaceDE w:val="0"/>
        <w:autoSpaceDN w:val="0"/>
        <w:adjustRightInd w:val="0"/>
        <w:spacing w:line="360" w:lineRule="auto"/>
        <w:rPr>
          <w:rFonts w:ascii="Times New Roman" w:eastAsia="TimesNewRoman" w:hAnsi="Times New Roman" w:cs="Times New Roman"/>
        </w:rPr>
      </w:pPr>
      <w:r w:rsidRPr="004D3D1C">
        <w:rPr>
          <w:rFonts w:ascii="Times New Roman" w:eastAsia="TimesNewRoman" w:hAnsi="Times New Roman" w:cs="Times New Roman"/>
        </w:rPr>
        <w:t>Third, we conducted the study w</w:t>
      </w:r>
      <w:r>
        <w:rPr>
          <w:rFonts w:ascii="Times New Roman" w:eastAsia="TimesNewRoman" w:hAnsi="Times New Roman" w:cs="Times New Roman"/>
        </w:rPr>
        <w:t>ithin the single context of the United Kingdom</w:t>
      </w:r>
      <w:r w:rsidRPr="004D3D1C">
        <w:rPr>
          <w:rFonts w:ascii="Times New Roman" w:eastAsia="TimesNewRoman" w:hAnsi="Times New Roman" w:cs="Times New Roman"/>
        </w:rPr>
        <w:t xml:space="preserve">. While there are good theoretical reasons to believe that </w:t>
      </w:r>
      <w:r>
        <w:rPr>
          <w:rFonts w:ascii="Times New Roman" w:eastAsia="TimesNewRoman" w:hAnsi="Times New Roman" w:cs="Times New Roman"/>
        </w:rPr>
        <w:t>u</w:t>
      </w:r>
      <w:r w:rsidRPr="004D3D1C">
        <w:rPr>
          <w:rFonts w:ascii="Times New Roman" w:eastAsia="TimesNewRoman" w:hAnsi="Times New Roman" w:cs="Times New Roman"/>
        </w:rPr>
        <w:t>niversities in other countries may experience similar dynamics,</w:t>
      </w:r>
      <w:r>
        <w:rPr>
          <w:rFonts w:ascii="Times New Roman" w:eastAsia="TimesNewRoman" w:hAnsi="Times New Roman" w:cs="Times New Roman"/>
        </w:rPr>
        <w:t xml:space="preserve"> namely the widespread adoption of </w:t>
      </w:r>
      <w:proofErr w:type="spellStart"/>
      <w:r>
        <w:rPr>
          <w:rFonts w:ascii="Times New Roman" w:eastAsia="TimesNewRoman" w:hAnsi="Times New Roman" w:cs="Times New Roman"/>
        </w:rPr>
        <w:t>mangerialst</w:t>
      </w:r>
      <w:proofErr w:type="spellEnd"/>
      <w:r>
        <w:rPr>
          <w:rFonts w:ascii="Times New Roman" w:eastAsia="TimesNewRoman" w:hAnsi="Times New Roman" w:cs="Times New Roman"/>
        </w:rPr>
        <w:t xml:space="preserve"> modes of organisation in Higher Education Institutions </w:t>
      </w:r>
      <w:r>
        <w:rPr>
          <w:rFonts w:ascii="Times New Roman" w:eastAsia="TimesNewRoman" w:hAnsi="Times New Roman" w:cs="Times New Roman"/>
        </w:rPr>
        <w:fldChar w:fldCharType="begin" w:fldLock="1"/>
      </w:r>
      <w:r w:rsidR="00A661B2">
        <w:rPr>
          <w:rFonts w:ascii="Times New Roman" w:eastAsia="TimesNewRoman" w:hAnsi="Times New Roman" w:cs="Times New Roman"/>
        </w:rPr>
        <w:instrText>ADDIN CSL_CITATION {"citationItems":[{"id":"ITEM-1","itemData":{"author":[{"dropping-particle":"","family":"Teelken","given":"Christine","non-dropping-particle":"","parse-names":false,"suffix":""}],"container-title":"Studies in Higher Education","id":"ITEM-1","issue":"3","issued":{"date-parts":[["2012"]]},"page":"271-290","title":"Compliance or pragmatism: how do academics deal with managerialism in higher education? A comparative study in three countries","type":"article-journal","volume":"37"},"uris":["http://www.mendeley.com/documents/?uuid=49018ecf-c98e-4d7f-b213-7f6a22b7041d"]},{"id":"ITEM-2","itemData":{"author":[{"dropping-particle":"","family":"Marginson","given":"S","non-dropping-particle":"","parse-names":false,"suffix":""}],"container-title":"Prospects of higher educations. Globalization, market competition, public goods and the future of the university","editor":[{"dropping-particle":"","family":"Marginson","given":"S","non-dropping-particle":"","parse-names":false,"suffix":""}],"id":"ITEM-2","issued":{"date-parts":[["2007"]]},"page":"29-77","publisher":"Sense","publisher-place":"Rotterdam","title":"The new higher education landscape: Public and private goods, in global/ national/local settings","type":"chapter"},"uris":["http://www.mendeley.com/documents/?uuid=17782da5-d21c-4297-afa2-708159b7483f"]}],"mendeley":{"formattedCitation":"(Marginson, 2007; Teelken, 2012)","plainTextFormattedCitation":"(Marginson, 2007; Teelken, 2012)","previouslyFormattedCitation":"(Marginson, 2007; Teelken, 2012)"},"properties":{"noteIndex":0},"schema":"https://github.com/citation-style-language/schema/raw/master/csl-citation.json"}</w:instrText>
      </w:r>
      <w:r>
        <w:rPr>
          <w:rFonts w:ascii="Times New Roman" w:eastAsia="TimesNewRoman" w:hAnsi="Times New Roman" w:cs="Times New Roman"/>
        </w:rPr>
        <w:fldChar w:fldCharType="separate"/>
      </w:r>
      <w:r w:rsidRPr="000F3CAC">
        <w:rPr>
          <w:rFonts w:ascii="Times New Roman" w:eastAsia="TimesNewRoman" w:hAnsi="Times New Roman" w:cs="Times New Roman"/>
          <w:noProof/>
        </w:rPr>
        <w:t>(Marginson, 2007; Teelken, 2012)</w:t>
      </w:r>
      <w:r>
        <w:rPr>
          <w:rFonts w:ascii="Times New Roman" w:eastAsia="TimesNewRoman" w:hAnsi="Times New Roman" w:cs="Times New Roman"/>
        </w:rPr>
        <w:fldChar w:fldCharType="end"/>
      </w:r>
      <w:r>
        <w:rPr>
          <w:rFonts w:ascii="Times New Roman" w:eastAsia="TimesNewRoman" w:hAnsi="Times New Roman" w:cs="Times New Roman"/>
        </w:rPr>
        <w:t xml:space="preserve">, </w:t>
      </w:r>
      <w:r w:rsidRPr="004D3D1C">
        <w:rPr>
          <w:rFonts w:ascii="Times New Roman" w:eastAsia="TimesNewRoman" w:hAnsi="Times New Roman" w:cs="Times New Roman"/>
        </w:rPr>
        <w:t xml:space="preserve">the focus on a single country context may limit the generalizability of the results to some degree. Thus, a useful extension would be to extract data from other developed nations and conduct a multi-level analysis using </w:t>
      </w:r>
      <w:r w:rsidR="00A66AB9">
        <w:rPr>
          <w:rFonts w:ascii="Times New Roman" w:eastAsia="TimesNewRoman" w:hAnsi="Times New Roman" w:cs="Times New Roman"/>
        </w:rPr>
        <w:t>u</w:t>
      </w:r>
      <w:r w:rsidRPr="004D3D1C">
        <w:rPr>
          <w:rFonts w:ascii="Times New Roman" w:eastAsia="TimesNewRoman" w:hAnsi="Times New Roman" w:cs="Times New Roman"/>
        </w:rPr>
        <w:t xml:space="preserve">niversities nested within a country to learn the conditions set by the objective environment and its institutional context. </w:t>
      </w:r>
    </w:p>
    <w:p w14:paraId="564E3162" w14:textId="77777777" w:rsidR="00785349" w:rsidRDefault="00785349" w:rsidP="00141231">
      <w:pPr>
        <w:autoSpaceDE w:val="0"/>
        <w:autoSpaceDN w:val="0"/>
        <w:adjustRightInd w:val="0"/>
        <w:spacing w:line="360" w:lineRule="auto"/>
        <w:rPr>
          <w:rFonts w:ascii="Times New Roman" w:eastAsia="TimesNewRoman" w:hAnsi="Times New Roman" w:cs="Times New Roman"/>
        </w:rPr>
      </w:pPr>
    </w:p>
    <w:p w14:paraId="10C95266" w14:textId="77777777" w:rsidR="00785349" w:rsidRPr="00414FA4" w:rsidRDefault="00785349" w:rsidP="00141231">
      <w:pPr>
        <w:pStyle w:val="Heading2"/>
        <w:rPr>
          <w:rFonts w:ascii="Times New Roman" w:hAnsi="Times New Roman" w:cs="Times New Roman"/>
        </w:rPr>
      </w:pPr>
      <w:r w:rsidRPr="00414FA4">
        <w:rPr>
          <w:rFonts w:ascii="Times New Roman" w:hAnsi="Times New Roman" w:cs="Times New Roman"/>
        </w:rPr>
        <w:t xml:space="preserve">7.0 Conclusion and Policy Considerations </w:t>
      </w:r>
    </w:p>
    <w:p w14:paraId="166AC5B6" w14:textId="317F0FA9" w:rsidR="00785349" w:rsidRPr="00EF66BB" w:rsidRDefault="00785349" w:rsidP="00141231">
      <w:pPr>
        <w:spacing w:line="360" w:lineRule="auto"/>
        <w:rPr>
          <w:rFonts w:ascii="Times New Roman" w:hAnsi="Times New Roman" w:cs="Times New Roman"/>
        </w:rPr>
      </w:pPr>
      <w:r w:rsidRPr="00EF66BB">
        <w:rPr>
          <w:rFonts w:ascii="Times New Roman" w:hAnsi="Times New Roman" w:cs="Times New Roman"/>
        </w:rPr>
        <w:t xml:space="preserve">In summary, our results offer several new academic and policy insights relating to technology transfer effectiveness </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{"citationItems":[{"id":"ITEM-1","itemData":{"DOI":"10.1016/j.respol.2014.06.008","ISBN":"00487333","ISSN":"00487333","PMID":"1478595","abstract":"The purpose of our study is to review and synthesize the rapidly evolving literature on technology transfer effectiveness. Our paper provides a lens into relatively recent work, focusing particularly on empirical studies of US technology transfer conducted within the last 15 years. In doing so, we update and extend the Contingent Effectiveness Model of Technology Transfer developed by Bozeman (2000). Specifically, we include the growing interest in social and public value oriented technology transfer and, thus, the contingent effectiveness model is expanded to consider this literature. We categorize studies according their approaches to measuring effectiveness, draw conclusions regarding the current state of technology transfer evaluation, and offer recommendations for future studies.","author":[{"dropping-particle":"","family":"Bozeman","given":"Barry","non-dropping-particle":"","parse-names":false,"suffix":""},{"dropping-particle":"","family":"Rimes","given":"Heather","non-dropping-particle":"","parse-names":false,"suffix":""},{"dropping-particle":"","family":"Youtie","given":"Jan","non-dropping-particle":"","parse-names":false,"suffix":""}],"container-title":"Research Policy","id":"ITEM-1","issue":"1","issued":{"date-parts":[["2015"]]},"page":"34-49","publisher":"Elsevier B.V.","title":"The evolving state-of-the-art in technology transfer research: Revisiting the contingent effectiveness model","type":"article-journal","volume":"44"},"uris":["http://www.mendeley.com/documents/?uuid=245549ef-970b-4ea4-984e-4a869649a3c5"]}],"mendeley":{"formattedCitation":"(Bozeman et al., 2015)","plainTextFormattedCitation":"(Bozeman et al., 2015)","previouslyFormattedCitation":"(Bozeman et al., 2015)"},"properties":{"noteIndex":0},"schema":"https://github.com/citation-style-language/schema/raw/master/csl-citation.json"}</w:instrText>
      </w:r>
      <w:r>
        <w:rPr>
          <w:rFonts w:ascii="Times New Roman" w:hAnsi="Times New Roman" w:cs="Times New Roman"/>
        </w:rPr>
        <w:fldChar w:fldCharType="separate"/>
      </w:r>
      <w:r w:rsidRPr="00055EE7">
        <w:rPr>
          <w:rFonts w:ascii="Times New Roman" w:hAnsi="Times New Roman" w:cs="Times New Roman"/>
          <w:noProof/>
        </w:rPr>
        <w:t>(Bozeman et al., 2015)</w:t>
      </w:r>
      <w:r>
        <w:rPr>
          <w:rFonts w:ascii="Times New Roman" w:hAnsi="Times New Roman" w:cs="Times New Roman"/>
        </w:rPr>
        <w:fldChar w:fldCharType="end"/>
      </w:r>
      <w:r>
        <w:rPr>
          <w:rFonts w:ascii="Times New Roman" w:hAnsi="Times New Roman" w:cs="Times New Roman"/>
        </w:rPr>
        <w:t>.</w:t>
      </w:r>
      <w:r w:rsidRPr="00EF66BB">
        <w:rPr>
          <w:rFonts w:ascii="Times New Roman" w:hAnsi="Times New Roman" w:cs="Times New Roman"/>
        </w:rPr>
        <w:t xml:space="preserve"> First, we highlight the significance of strategic choice as a key underlying determinant of technology transfer effectiveness. Specifically, we show that it is not enough for universities to invest in TTO support and provide incentives for engagement in technology transfer if they are aiming to enhance the effectiveness of their technology transfer activity. Previous research, grounded within the CEMTT framework has highlighted these agent (university) characteristics as key determinates of technology transfer effectiveness, yet the role of managerial strategic choice is often overlooked in analysis </w:t>
      </w:r>
      <w:r>
        <w:rPr>
          <w:rFonts w:ascii="Times New Roman" w:hAnsi="Times New Roman" w:cs="Times New Roman"/>
        </w:rPr>
        <w:fldChar w:fldCharType="begin" w:fldLock="1"/>
      </w:r>
      <w:r>
        <w:rPr>
          <w:rFonts w:ascii="Times New Roman" w:hAnsi="Times New Roman" w:cs="Times New Roman"/>
        </w:rPr>
        <w:instrText>ADDIN CSL_CITATION {"citationItems":[{"id":"ITEM-1","itemData":{"DOI":"10.1111/1467-8551.12116","ISBN":"1467-8551","ISSN":"14678551","PMID":"3749","abstract":"Academic entrepreneurship, which refers to efforts undertaken by universities to promote commercialization on campus and in surrounding regions of the university, has changed dramatically in recent years. Two key consequences of this change are that more stakeholders have become involved in academic entrepreneurship and that universities have become more ‘strategic’ in their approach to this activity. The authors assert that the time is ripe to rethink academic entrepreneurship. Specifically, theoretical and empirical research on academic entrepreneurship needs to take account of these changes, so as to improve the rigour and relevance of future studies on this topic. We outline such a framework and provide examples of key research questions that need to be addressed to broaden understanding of academic entrepreneurship.","author":[{"dropping-particle":"","family":"Siegel","given":"Donald","non-dropping-particle":"","parse-names":false,"suffix":""},{"dropping-particle":"","family":"Wright","given":"Mike","non-dropping-particle":"","parse-names":false,"suffix":""}],"container-title":"British Journal of Management","id":"ITEM-1","issue":"4","issued":{"date-parts":[["2015"]]},"page":"582-595","title":"Academic Entrepreneurship: Time for a Rethink?","type":"article-journal","volume":"26"},"uris":["http://www.mendeley.com/documents/?uuid=fd36b1d1-c4c9-405f-8f53-67de72694463"]},{"id":"ITEM-2","itemData":{"DOI":"10.1016/j.respol.2008.04.021","ISBN":"0048-7333","ISSN":"00487333","PMID":"2985","abstract":"We analyze how mid-range universities can contribute to industrial change through the transfer of tacit and codified knowledge in the areas of spin-offs; licensing and patents; contract research, consultancy and reach-out; and graduate and researcher mobility. We use archival, survey and interview data relating to mid-range universities in mid-range environments in the UK, Belgium, Germany and Sweden. Our findings suggest that mid-range universities primarily need to focus on generating world-class research and critical mass in areas of expertise, as well as developing different types of intermediaries. Mid-range universities may need to develop a portfolio of university-industry linkages in terms of the scope of activities and the types of firms with which they interact. We also show that different intermediaries have important roles to play in developing university-industry linkages for mid-range universities. © 2008.","author":[{"dropping-particle":"","family":"Wright","given":"Mike","non-dropping-particle":"","parse-names":false,"suffix":""},{"dropping-particle":"","family":"Clarysse","given":"Bart","non-dropping-particle":"","parse-names":false,"suffix":""},{"dropping-particle":"","family":"Lockett","given":"Andy","non-dropping-particle":"","parse-names":false,"suffix":""},{"dropping-particle":"","family":"Knockaert","given":"Mirjam","non-dropping-particle":"","parse-names":false,"suffix":""}],"container-title":"Research Policy","id":"ITEM-2","issue":"8","issued":{"date-parts":[["2008"]]},"page":"1205-1223","title":"Mid-range universities' linkages with industry: Knowledge types and the role of intermediaries","type":"article-journal","volume":"37"},"uris":["http://www.mendeley.com/documents/?uuid=4ad24ced-5185-432e-a5f4-697ce97472d8"]}],"mendeley":{"formattedCitation":"(Siegel and Wright, 2015a; Wright et al., 2008)","plainTextFormattedCitation":"(Siegel and Wright, 2015a; Wright et al., 2008)","previouslyFormattedCitation":"(Siegel and Wright, 2015a; Wright et al., 2008)"},"properties":{"noteIndex":0},"schema":"https://github.com/citation-style-language/schema/raw/master/csl-citation.json"}</w:instrText>
      </w:r>
      <w:r>
        <w:rPr>
          <w:rFonts w:ascii="Times New Roman" w:hAnsi="Times New Roman" w:cs="Times New Roman"/>
        </w:rPr>
        <w:fldChar w:fldCharType="separate"/>
      </w:r>
      <w:r w:rsidRPr="005C76D1">
        <w:rPr>
          <w:rFonts w:ascii="Times New Roman" w:hAnsi="Times New Roman" w:cs="Times New Roman"/>
          <w:noProof/>
        </w:rPr>
        <w:t>(Siegel and Wright, 2015a; Wright et al., 2008)</w:t>
      </w:r>
      <w:r>
        <w:rPr>
          <w:rFonts w:ascii="Times New Roman" w:hAnsi="Times New Roman" w:cs="Times New Roman"/>
        </w:rPr>
        <w:fldChar w:fldCharType="end"/>
      </w:r>
      <w:r>
        <w:rPr>
          <w:rFonts w:ascii="Times New Roman" w:hAnsi="Times New Roman" w:cs="Times New Roman"/>
        </w:rPr>
        <w:t>.</w:t>
      </w:r>
      <w:r w:rsidRPr="00EF66BB">
        <w:rPr>
          <w:rFonts w:ascii="Times New Roman" w:hAnsi="Times New Roman" w:cs="Times New Roman"/>
        </w:rPr>
        <w:t xml:space="preserve"> Drawing on insights from strategic choice theory </w:t>
      </w:r>
      <w:r>
        <w:rPr>
          <w:rFonts w:ascii="Times New Roman" w:hAnsi="Times New Roman" w:cs="Times New Roman"/>
        </w:rPr>
        <w:fldChar w:fldCharType="begin" w:fldLock="1"/>
      </w:r>
      <w:r>
        <w:rPr>
          <w:rFonts w:ascii="Times New Roman" w:hAnsi="Times New Roman" w:cs="Times New Roman"/>
        </w:rPr>
        <w:instrText>ADDIN CSL_CITATION {"citationItems":[{"id":"ITEM-1","itemData":{"DOI":"10.1177/017084069701800104","ISBN":"0170840697","ISSN":"0170-8406","PMID":"9709106242","abstract":"This paper examines the place of the strategic choice perspective in the study of organizations and considers its contemporary contribution. The main features of the original analysis are summarized, followed by a review of the key issues which arise from it. The paper discusses the integrative potential of strategic choice theory within organization studies and examines its contribution to an evolutionary perspective on the subject. [ABSTRACT FROM AUTHOR]","author":[{"dropping-particle":"","family":"Child","given":"John","non-dropping-particle":"","parse-names":false,"suffix":""}],"container-title":"Organization Studies","id":"ITEM-1","issue":"1","issued":{"date-parts":[["1997"]]},"page":"43-76","title":"Strategic Choice in the Analysis of Action, Structure, Organizations and Environment: Retrospect and Prospect","type":"article-journal","volume":"18"},"uris":["http://www.mendeley.com/documents/?uuid=567c0ecc-17f0-4a38-9892-c98cb98a9e33"]},{"id":"ITEM-2","itemData":{"author":[{"dropping-particle":"","family":"Child","given":"John","non-dropping-particle":"","parse-names":false,"suffix":""}],"container-title":"Sociology","id":"ITEM-2","issue":"1","issued":{"date-parts":[["1972"]]},"page":"1-22","title":"Organizational Structure, Environment and Performance: The Role of Strategic Choice","type":"article-journal","volume":"6"},"uris":["http://www.mendeley.com/documents/?uuid=8d8d803e-eaf2-4353-8bda-269822284514"]}],"mendeley":{"formattedCitation":"(Child, 1997, 1972)","plainTextFormattedCitation":"(Child, 1997, 1972)","previouslyFormattedCitation":"(Child, 1997, 1972)"},"properties":{"noteIndex":0},"schema":"https://github.com/citation-style-language/schema/raw/master/csl-citation.json"}</w:instrText>
      </w:r>
      <w:r>
        <w:rPr>
          <w:rFonts w:ascii="Times New Roman" w:hAnsi="Times New Roman" w:cs="Times New Roman"/>
        </w:rPr>
        <w:fldChar w:fldCharType="separate"/>
      </w:r>
      <w:r w:rsidRPr="00055EE7">
        <w:rPr>
          <w:rFonts w:ascii="Times New Roman" w:hAnsi="Times New Roman" w:cs="Times New Roman"/>
          <w:noProof/>
        </w:rPr>
        <w:t>(Child, 1997, 1972)</w:t>
      </w:r>
      <w:r>
        <w:rPr>
          <w:rFonts w:ascii="Times New Roman" w:hAnsi="Times New Roman" w:cs="Times New Roman"/>
        </w:rPr>
        <w:fldChar w:fldCharType="end"/>
      </w:r>
      <w:r w:rsidRPr="00EF66BB">
        <w:rPr>
          <w:rFonts w:ascii="Times New Roman" w:hAnsi="Times New Roman" w:cs="Times New Roman"/>
        </w:rPr>
        <w:t xml:space="preserve">, we argue that these ‘internal variations’ are not the only determinates of organisational effectiveness but it is their alignment with strategic choices </w:t>
      </w:r>
      <w:r w:rsidRPr="00EF66BB">
        <w:rPr>
          <w:rFonts w:ascii="Times New Roman" w:hAnsi="Times New Roman" w:cs="Times New Roman"/>
        </w:rPr>
        <w:lastRenderedPageBreak/>
        <w:t>that actually impacts technology transfer effectiveness. Second, we show that the alignment of strategic choice and supporting organisational infrastructure is not sufficient to ensure greater technology transfer effectiveness by highlighting the degree to which this alignment is moderated by the operationalisation of strategic priorities throughout the university. This is the first study, to our knowledge, that has explicitly investigated the relationship between university strategy implementation and technology transfer effectiveness. Our results suggest that for strategic priorities to be realised and for organisational supports to be effective in enhancing performance, senior university managers should ensure that strategic plans are operationalised through engaging middle management in strategic planning.</w:t>
      </w:r>
      <w:r w:rsidR="00C64CDD" w:rsidRPr="00C64CDD">
        <w:rPr>
          <w:rFonts w:ascii="Times New Roman" w:hAnsi="Times New Roman" w:cs="Times New Roman"/>
        </w:rPr>
        <w:t xml:space="preserve"> </w:t>
      </w:r>
      <w:r w:rsidR="00C64CDD">
        <w:rPr>
          <w:rFonts w:ascii="Times New Roman" w:hAnsi="Times New Roman" w:cs="Times New Roman"/>
        </w:rPr>
        <w:t>Clearly, this finding has implications for the need to broaden the influence on strategic planning beyond senior university managers, suggesting that a move towards more ‘collegiate’ modes of governance might enhance the effectiveness of strategic decision making in universities.</w:t>
      </w:r>
      <w:r w:rsidRPr="00EF66BB">
        <w:rPr>
          <w:rFonts w:ascii="Times New Roman" w:hAnsi="Times New Roman" w:cs="Times New Roman"/>
        </w:rPr>
        <w:t xml:space="preserve">  Third, our findings show that there are limits to the impact of managerial strategic choices on technology transfer effectiveness</w:t>
      </w:r>
      <w:r>
        <w:rPr>
          <w:rFonts w:ascii="Times New Roman" w:hAnsi="Times New Roman" w:cs="Times New Roman"/>
        </w:rPr>
        <w:t>. I</w:t>
      </w:r>
      <w:r w:rsidRPr="00EF66BB">
        <w:rPr>
          <w:rFonts w:ascii="Times New Roman" w:hAnsi="Times New Roman" w:cs="Times New Roman"/>
        </w:rPr>
        <w:t xml:space="preserve">t is clear that the relationship between strategic choices and incentives as an organisational support for technology transfer has a weaker influence on technology transfer effectiveness than the relationship between strategic choices and TTO support. We suggest that this relatively weaker relationship is due to the fact the impact of incentives on technology transfer effectiveness will always be subject to individual-level motivational factors that are beyond the control of university managers. </w:t>
      </w:r>
    </w:p>
    <w:p w14:paraId="192F8281" w14:textId="77777777" w:rsidR="00785349" w:rsidRDefault="00785349" w:rsidP="00141231">
      <w:pPr>
        <w:spacing w:line="360" w:lineRule="auto"/>
        <w:rPr>
          <w:rFonts w:ascii="Times New Roman" w:hAnsi="Times New Roman" w:cs="Times New Roman"/>
        </w:rPr>
      </w:pPr>
    </w:p>
    <w:p w14:paraId="4EAE48DB" w14:textId="3095270B" w:rsidR="00785349" w:rsidRDefault="00785349" w:rsidP="00141231">
      <w:pPr>
        <w:spacing w:line="360" w:lineRule="auto"/>
        <w:rPr>
          <w:rFonts w:ascii="Times New Roman" w:hAnsi="Times New Roman" w:cs="Times New Roman"/>
        </w:rPr>
      </w:pPr>
      <w:r w:rsidRPr="00EF66BB">
        <w:rPr>
          <w:rFonts w:ascii="Times New Roman" w:hAnsi="Times New Roman" w:cs="Times New Roman"/>
        </w:rPr>
        <w:t>With regards to policy, our findings provide evidence to support recent policy reviews that have highlighted the potential significance of</w:t>
      </w:r>
      <w:r w:rsidR="00DC7939">
        <w:rPr>
          <w:rFonts w:ascii="Times New Roman" w:hAnsi="Times New Roman" w:cs="Times New Roman"/>
        </w:rPr>
        <w:t xml:space="preserve"> senior</w:t>
      </w:r>
      <w:r w:rsidRPr="00EF66BB">
        <w:rPr>
          <w:rFonts w:ascii="Times New Roman" w:hAnsi="Times New Roman" w:cs="Times New Roman"/>
        </w:rPr>
        <w:t xml:space="preserve"> university manage</w:t>
      </w:r>
      <w:r w:rsidR="00DC7939">
        <w:rPr>
          <w:rFonts w:ascii="Times New Roman" w:hAnsi="Times New Roman" w:cs="Times New Roman"/>
        </w:rPr>
        <w:t>rs</w:t>
      </w:r>
      <w:r w:rsidRPr="00EF66BB">
        <w:rPr>
          <w:rFonts w:ascii="Times New Roman" w:hAnsi="Times New Roman" w:cs="Times New Roman"/>
        </w:rPr>
        <w:t xml:space="preserve"> in the effectiveness of technology transfer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{"citationItems":[{"id":"ITEM-1","itemData":{"author":[{"dropping-particle":"","family":"HEFCE","given":"","non-dropping-particle":"","parse-names":false,"suffix":""}],"id":"ITEM-1","issue":"September","issued":{"date-parts":[["2016"]]},"title":"University Knowledge Exchange ( KE ) Framework : good practice in technology transfer Report to the UK higher education sector and HEFCE by the McMillan group","type":"article-journal"},"uris":["http://www.mendeley.com/documents/?uuid=e01e49b0-972c-4051-9586-9f43880fda49"]}],"mendeley":{"formattedCitation":"(HEFCE, 2016)","plainTextFormattedCitation":"(HEFCE, 2016)","previouslyFormattedCitation":"(HEFCE, 2016)"},"properties":{"noteIndex":0},"schema":"https://github.com/citation-style-language/schema/raw/master/csl-citation.json"}</w:instrText>
      </w:r>
      <w:r>
        <w:rPr>
          <w:rFonts w:ascii="Times New Roman" w:hAnsi="Times New Roman" w:cs="Times New Roman"/>
        </w:rPr>
        <w:fldChar w:fldCharType="separate"/>
      </w:r>
      <w:r w:rsidRPr="00055EE7">
        <w:rPr>
          <w:rFonts w:ascii="Times New Roman" w:hAnsi="Times New Roman" w:cs="Times New Roman"/>
          <w:noProof/>
        </w:rPr>
        <w:t>(HEFCE, 2016)</w:t>
      </w:r>
      <w:r>
        <w:rPr>
          <w:rFonts w:ascii="Times New Roman" w:hAnsi="Times New Roman" w:cs="Times New Roman"/>
        </w:rPr>
        <w:fldChar w:fldCharType="end"/>
      </w:r>
      <w:r>
        <w:rPr>
          <w:rFonts w:ascii="Times New Roman" w:hAnsi="Times New Roman" w:cs="Times New Roman"/>
        </w:rPr>
        <w:t>.</w:t>
      </w:r>
      <w:r w:rsidRPr="00EF66BB">
        <w:rPr>
          <w:rFonts w:ascii="Times New Roman" w:hAnsi="Times New Roman" w:cs="Times New Roman"/>
        </w:rPr>
        <w:t xml:space="preserve"> Our findings also </w:t>
      </w:r>
      <w:r w:rsidR="00DC7939">
        <w:rPr>
          <w:rFonts w:ascii="Times New Roman" w:hAnsi="Times New Roman" w:cs="Times New Roman"/>
        </w:rPr>
        <w:t>indicate</w:t>
      </w:r>
      <w:r w:rsidRPr="00EF66BB">
        <w:rPr>
          <w:rFonts w:ascii="Times New Roman" w:hAnsi="Times New Roman" w:cs="Times New Roman"/>
        </w:rPr>
        <w:t xml:space="preserve"> that there needs to be careful consideration of the metrics and evaluation frameworks for technology transfer effectiveness. Current frameworks precipitate institutional pressures to adopt certain organisational configurations </w:t>
      </w:r>
      <w:r>
        <w:rPr>
          <w:rFonts w:ascii="Times New Roman" w:hAnsi="Times New Roman" w:cs="Times New Roman"/>
        </w:rPr>
        <w:fldChar w:fldCharType="begin" w:fldLock="1"/>
      </w:r>
      <w:r>
        <w:rPr>
          <w:rFonts w:ascii="Times New Roman" w:hAnsi="Times New Roman" w:cs="Times New Roman"/>
        </w:rPr>
        <w:instrText>ADDIN CSL_CITATION {"citationItems":[{"id":"ITEM-1","itemData":{"DOI":"10.1111/1467-8551.12069","ISBN":"1045-3172","ISSN":"14678551","abstract":"In this paper we examine the institutionalization of a new organizational practice around third stream activities in UK higher education from 1994 to 2008. Employing a longi- tudinal research design, involving archival, survey and contemporary interview data, we show how a new organizational practice diffused through the use of discourse and metrics around commercialization but over time was threatened on pure economic criteria. In response to the threat we explore how actors worked to institutionalize the new practice, reshaping both discourse and metrics to ensure that they were robust so that they could align with the interests and values of major stakeholders. In addition, actors worked to align discourse and metrics, as any misalignment between the two would have under- mined the institutionalization of the new organizational practice. Institutional","author":[{"dropping-particle":"","family":"Lockett","given":"Andy","non-dropping-particle":"","parse-names":false,"suffix":""},{"dropping-particle":"","family":"Wright","given":"Mike","non-dropping-particle":"","parse-names":false,"suffix":""},{"dropping-particle":"","family":"Wild","given":"Andrew","non-dropping-particle":"","parse-names":false,"suffix":""}],"container-title":"British Journal of Management","id":"ITEM-1","issue":"1","issued":{"date-parts":[["2015"]]},"page":"78-92","title":"The institutionalization of third stream activities in UK higher education: The role of discourse and metrics","type":"article-journal","volume":"26"},"uris":["http://www.mendeley.com/documents/?uuid=a4cc6f22-23a6-4758-8258-e247adeba6ea"]}],"mendeley":{"formattedCitation":"(Lockett et al., 2015)","plainTextFormattedCitation":"(Lockett et al., 2015)","previouslyFormattedCitation":"(Lockett et al., 2015)"},"properties":{"noteIndex":0},"schema":"https://github.com/citation-style-language/schema/raw/master/csl-citation.json"}</w:instrText>
      </w:r>
      <w:r>
        <w:rPr>
          <w:rFonts w:ascii="Times New Roman" w:hAnsi="Times New Roman" w:cs="Times New Roman"/>
        </w:rPr>
        <w:fldChar w:fldCharType="separate"/>
      </w:r>
      <w:r w:rsidRPr="00055EE7">
        <w:rPr>
          <w:rFonts w:ascii="Times New Roman" w:hAnsi="Times New Roman" w:cs="Times New Roman"/>
          <w:noProof/>
        </w:rPr>
        <w:t>(Lockett et al., 2015)</w:t>
      </w:r>
      <w:r>
        <w:rPr>
          <w:rFonts w:ascii="Times New Roman" w:hAnsi="Times New Roman" w:cs="Times New Roman"/>
        </w:rPr>
        <w:fldChar w:fldCharType="end"/>
      </w:r>
      <w:r w:rsidRPr="00EF66BB">
        <w:rPr>
          <w:rFonts w:ascii="Times New Roman" w:hAnsi="Times New Roman" w:cs="Times New Roman"/>
        </w:rPr>
        <w:t xml:space="preserve"> by focusing on binary input/output measures. Instead, our findings highlight that these organisational inputs are not sufficient to stimulate technology transfer effectiveness</w:t>
      </w:r>
      <w:r w:rsidR="00DC7939">
        <w:rPr>
          <w:rFonts w:ascii="Times New Roman" w:hAnsi="Times New Roman" w:cs="Times New Roman"/>
        </w:rPr>
        <w:t>.</w:t>
      </w:r>
      <w:r w:rsidRPr="00EF66BB">
        <w:rPr>
          <w:rFonts w:ascii="Times New Roman" w:hAnsi="Times New Roman" w:cs="Times New Roman"/>
        </w:rPr>
        <w:t xml:space="preserve"> </w:t>
      </w:r>
      <w:r w:rsidR="00DC7939">
        <w:rPr>
          <w:rFonts w:ascii="Times New Roman" w:hAnsi="Times New Roman" w:cs="Times New Roman"/>
        </w:rPr>
        <w:t>T</w:t>
      </w:r>
      <w:r w:rsidRPr="00EF66BB">
        <w:rPr>
          <w:rFonts w:ascii="Times New Roman" w:hAnsi="Times New Roman" w:cs="Times New Roman"/>
        </w:rPr>
        <w:t xml:space="preserve">herefore, frameworks for policy evaluation should be more attentive to the alignment between organisational strategy and supporting organisational infrastructure.  In other words, </w:t>
      </w:r>
      <w:r w:rsidR="00DC7939">
        <w:rPr>
          <w:rFonts w:ascii="Times New Roman" w:hAnsi="Times New Roman" w:cs="Times New Roman"/>
        </w:rPr>
        <w:t>it is important to</w:t>
      </w:r>
      <w:r w:rsidRPr="00EF66BB">
        <w:rPr>
          <w:rFonts w:ascii="Times New Roman" w:hAnsi="Times New Roman" w:cs="Times New Roman"/>
        </w:rPr>
        <w:t xml:space="preserve"> avoid the current “one-size-fits-all” approach to encouraging technology transfer. Evaluating this ‘alignment’ rather than simple inputs and outputs would encourage universities to clearly define strategic priorities regarding technology transfer. It would also encourage universities to focus on establishing a bespoke suite of strategic </w:t>
      </w:r>
      <w:r w:rsidR="00C93899">
        <w:rPr>
          <w:rFonts w:ascii="Times New Roman" w:hAnsi="Times New Roman" w:cs="Times New Roman"/>
        </w:rPr>
        <w:t>organisational</w:t>
      </w:r>
      <w:r w:rsidRPr="00EF66BB">
        <w:rPr>
          <w:rFonts w:ascii="Times New Roman" w:hAnsi="Times New Roman" w:cs="Times New Roman"/>
        </w:rPr>
        <w:t xml:space="preserve"> support and incentives, more closely aligned to </w:t>
      </w:r>
      <w:r w:rsidRPr="00EF66BB">
        <w:rPr>
          <w:rFonts w:ascii="Times New Roman" w:hAnsi="Times New Roman" w:cs="Times New Roman"/>
        </w:rPr>
        <w:lastRenderedPageBreak/>
        <w:t>specific university contexts and research specialisms in order to reduce some of the current inefficiencies and encourage greater technology transfer effectiveness.</w:t>
      </w:r>
    </w:p>
    <w:p w14:paraId="69D6884B" w14:textId="77777777" w:rsidR="000A2247" w:rsidRDefault="000A2247" w:rsidP="00141231">
      <w:pPr>
        <w:spacing w:line="360" w:lineRule="auto"/>
        <w:rPr>
          <w:rFonts w:ascii="Times New Roman" w:hAnsi="Times New Roman" w:cs="Times New Roman"/>
        </w:rPr>
      </w:pPr>
    </w:p>
    <w:p w14:paraId="09EBCEAE" w14:textId="5AD6EFC8" w:rsidR="00CD0532" w:rsidRDefault="00141231" w:rsidP="00141231">
      <w:pPr>
        <w:widowControl w:val="0"/>
        <w:autoSpaceDE w:val="0"/>
        <w:autoSpaceDN w:val="0"/>
        <w:adjustRightInd w:val="0"/>
        <w:spacing w:line="360" w:lineRule="auto"/>
        <w:rPr>
          <w:rFonts w:ascii="Times New Roman" w:hAnsi="Times New Roman" w:cs="Times New Roman"/>
          <w:b/>
        </w:rPr>
      </w:pPr>
      <w:r>
        <w:rPr>
          <w:rFonts w:ascii="Times New Roman" w:hAnsi="Times New Roman" w:cs="Times New Roman"/>
          <w:b/>
        </w:rPr>
        <w:t xml:space="preserve">Acknowledgements </w:t>
      </w:r>
    </w:p>
    <w:p w14:paraId="02B9C0EC" w14:textId="45A638FE" w:rsidR="00141231" w:rsidRPr="00141231" w:rsidRDefault="00141231" w:rsidP="00141231">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The authors would like to thank colleagues at the University of Liverpool Management School for feedback on earlier versions of this paper. In particular we would like to thank </w:t>
      </w:r>
      <w:proofErr w:type="spellStart"/>
      <w:r>
        <w:rPr>
          <w:rFonts w:ascii="Times New Roman" w:hAnsi="Times New Roman" w:cs="Times New Roman"/>
        </w:rPr>
        <w:t>Dr.</w:t>
      </w:r>
      <w:proofErr w:type="spellEnd"/>
      <w:r>
        <w:rPr>
          <w:rFonts w:ascii="Times New Roman" w:hAnsi="Times New Roman" w:cs="Times New Roman"/>
        </w:rPr>
        <w:t xml:space="preserve"> Julia </w:t>
      </w:r>
      <w:proofErr w:type="spellStart"/>
      <w:r>
        <w:rPr>
          <w:rFonts w:ascii="Times New Roman" w:hAnsi="Times New Roman" w:cs="Times New Roman"/>
        </w:rPr>
        <w:t>Brennecke</w:t>
      </w:r>
      <w:proofErr w:type="spellEnd"/>
      <w:r>
        <w:rPr>
          <w:rFonts w:ascii="Times New Roman" w:hAnsi="Times New Roman" w:cs="Times New Roman"/>
        </w:rPr>
        <w:t xml:space="preserve">, </w:t>
      </w:r>
      <w:proofErr w:type="spellStart"/>
      <w:r>
        <w:rPr>
          <w:rFonts w:ascii="Times New Roman" w:hAnsi="Times New Roman" w:cs="Times New Roman"/>
        </w:rPr>
        <w:t>Dr.</w:t>
      </w:r>
      <w:proofErr w:type="spellEnd"/>
      <w:r>
        <w:rPr>
          <w:rFonts w:ascii="Times New Roman" w:hAnsi="Times New Roman" w:cs="Times New Roman"/>
        </w:rPr>
        <w:t xml:space="preserve"> Adriana Nilsson</w:t>
      </w:r>
      <w:r w:rsidR="00E806A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Prof.</w:t>
      </w:r>
      <w:proofErr w:type="spellEnd"/>
      <w:r>
        <w:rPr>
          <w:rFonts w:ascii="Times New Roman" w:hAnsi="Times New Roman" w:cs="Times New Roman"/>
        </w:rPr>
        <w:t xml:space="preserve"> Wolfgang </w:t>
      </w:r>
      <w:proofErr w:type="spellStart"/>
      <w:r>
        <w:rPr>
          <w:rFonts w:ascii="Times New Roman" w:hAnsi="Times New Roman" w:cs="Times New Roman"/>
        </w:rPr>
        <w:t>Sofka</w:t>
      </w:r>
      <w:proofErr w:type="spellEnd"/>
      <w:r w:rsidR="00E806AB">
        <w:rPr>
          <w:rFonts w:ascii="Times New Roman" w:hAnsi="Times New Roman" w:cs="Times New Roman"/>
        </w:rPr>
        <w:t xml:space="preserve"> and Leighann Spencer</w:t>
      </w:r>
      <w:bookmarkStart w:id="1" w:name="_GoBack"/>
      <w:bookmarkEnd w:id="1"/>
      <w:r>
        <w:rPr>
          <w:rFonts w:ascii="Times New Roman" w:hAnsi="Times New Roman" w:cs="Times New Roman"/>
        </w:rPr>
        <w:t xml:space="preserve"> for their comments on the first draft of this manuscript. We would also like to express our gratitude to the three anonymous reviewers, whose timely and comprehensive reviews contributed greatly towards the development of both the manuscript and our broader understanding of university technology transfer. </w:t>
      </w:r>
      <w:r w:rsidR="009D3EB7">
        <w:rPr>
          <w:rFonts w:ascii="Times New Roman" w:hAnsi="Times New Roman" w:cs="Times New Roman"/>
        </w:rPr>
        <w:t>This work was supported by an ESRC CASE Studentship, sponsored by Unilever Central Resources UK Ltd (Grant No. ES/J500094/1).</w:t>
      </w:r>
    </w:p>
    <w:p w14:paraId="4430FB34" w14:textId="64827861" w:rsidR="000E3CB6" w:rsidRDefault="000E3CB6" w:rsidP="00141231">
      <w:pPr>
        <w:widowControl w:val="0"/>
        <w:autoSpaceDE w:val="0"/>
        <w:autoSpaceDN w:val="0"/>
        <w:adjustRightInd w:val="0"/>
        <w:spacing w:line="360" w:lineRule="auto"/>
        <w:rPr>
          <w:rFonts w:ascii="Times New Roman" w:hAnsi="Times New Roman" w:cs="Times New Roman"/>
          <w:b/>
        </w:rPr>
      </w:pPr>
    </w:p>
    <w:p w14:paraId="7C5117C6" w14:textId="4E09F9DF" w:rsidR="00A00152" w:rsidRDefault="00A00152" w:rsidP="00141231">
      <w:pPr>
        <w:widowControl w:val="0"/>
        <w:autoSpaceDE w:val="0"/>
        <w:autoSpaceDN w:val="0"/>
        <w:adjustRightInd w:val="0"/>
        <w:spacing w:line="360" w:lineRule="auto"/>
        <w:rPr>
          <w:rFonts w:ascii="Times New Roman" w:hAnsi="Times New Roman" w:cs="Times New Roman"/>
          <w:b/>
        </w:rPr>
      </w:pPr>
    </w:p>
    <w:p w14:paraId="6FC3AC10" w14:textId="40ACC9AA" w:rsidR="00A00152" w:rsidRDefault="00A00152" w:rsidP="00141231">
      <w:pPr>
        <w:widowControl w:val="0"/>
        <w:autoSpaceDE w:val="0"/>
        <w:autoSpaceDN w:val="0"/>
        <w:adjustRightInd w:val="0"/>
        <w:spacing w:line="360" w:lineRule="auto"/>
        <w:rPr>
          <w:rFonts w:ascii="Times New Roman" w:hAnsi="Times New Roman" w:cs="Times New Roman"/>
          <w:b/>
        </w:rPr>
      </w:pPr>
    </w:p>
    <w:p w14:paraId="3FC14F4E" w14:textId="760C474A" w:rsidR="00A00152" w:rsidRDefault="00A00152" w:rsidP="00141231">
      <w:pPr>
        <w:widowControl w:val="0"/>
        <w:autoSpaceDE w:val="0"/>
        <w:autoSpaceDN w:val="0"/>
        <w:adjustRightInd w:val="0"/>
        <w:spacing w:line="360" w:lineRule="auto"/>
        <w:rPr>
          <w:rFonts w:ascii="Times New Roman" w:hAnsi="Times New Roman" w:cs="Times New Roman"/>
          <w:b/>
        </w:rPr>
      </w:pPr>
    </w:p>
    <w:p w14:paraId="5017C78F" w14:textId="3B4FA585" w:rsidR="00A00152" w:rsidRDefault="00A00152" w:rsidP="00141231">
      <w:pPr>
        <w:widowControl w:val="0"/>
        <w:autoSpaceDE w:val="0"/>
        <w:autoSpaceDN w:val="0"/>
        <w:adjustRightInd w:val="0"/>
        <w:spacing w:line="360" w:lineRule="auto"/>
        <w:rPr>
          <w:rFonts w:ascii="Times New Roman" w:hAnsi="Times New Roman" w:cs="Times New Roman"/>
          <w:b/>
        </w:rPr>
      </w:pPr>
    </w:p>
    <w:p w14:paraId="798DC0B8" w14:textId="4E275824" w:rsidR="00A00152" w:rsidRDefault="00A00152" w:rsidP="00141231">
      <w:pPr>
        <w:widowControl w:val="0"/>
        <w:autoSpaceDE w:val="0"/>
        <w:autoSpaceDN w:val="0"/>
        <w:adjustRightInd w:val="0"/>
        <w:spacing w:line="360" w:lineRule="auto"/>
        <w:rPr>
          <w:rFonts w:ascii="Times New Roman" w:hAnsi="Times New Roman" w:cs="Times New Roman"/>
          <w:b/>
        </w:rPr>
      </w:pPr>
    </w:p>
    <w:p w14:paraId="566D3C50" w14:textId="37AF9DBB" w:rsidR="00A00152" w:rsidRDefault="00A00152" w:rsidP="00141231">
      <w:pPr>
        <w:widowControl w:val="0"/>
        <w:autoSpaceDE w:val="0"/>
        <w:autoSpaceDN w:val="0"/>
        <w:adjustRightInd w:val="0"/>
        <w:spacing w:line="360" w:lineRule="auto"/>
        <w:rPr>
          <w:rFonts w:ascii="Times New Roman" w:hAnsi="Times New Roman" w:cs="Times New Roman"/>
          <w:b/>
        </w:rPr>
      </w:pPr>
    </w:p>
    <w:p w14:paraId="6742F283" w14:textId="0E5E74CB" w:rsidR="00A00152" w:rsidRDefault="00A00152" w:rsidP="00141231">
      <w:pPr>
        <w:widowControl w:val="0"/>
        <w:autoSpaceDE w:val="0"/>
        <w:autoSpaceDN w:val="0"/>
        <w:adjustRightInd w:val="0"/>
        <w:spacing w:line="360" w:lineRule="auto"/>
        <w:rPr>
          <w:rFonts w:ascii="Times New Roman" w:hAnsi="Times New Roman" w:cs="Times New Roman"/>
          <w:b/>
        </w:rPr>
      </w:pPr>
    </w:p>
    <w:p w14:paraId="58B3441F" w14:textId="704931D3" w:rsidR="00A00152" w:rsidRDefault="00A00152" w:rsidP="00141231">
      <w:pPr>
        <w:widowControl w:val="0"/>
        <w:autoSpaceDE w:val="0"/>
        <w:autoSpaceDN w:val="0"/>
        <w:adjustRightInd w:val="0"/>
        <w:spacing w:line="360" w:lineRule="auto"/>
        <w:rPr>
          <w:rFonts w:ascii="Times New Roman" w:hAnsi="Times New Roman" w:cs="Times New Roman"/>
          <w:b/>
        </w:rPr>
      </w:pPr>
    </w:p>
    <w:p w14:paraId="43096051" w14:textId="59C0D638" w:rsidR="00A00152" w:rsidRDefault="00A00152" w:rsidP="00141231">
      <w:pPr>
        <w:widowControl w:val="0"/>
        <w:autoSpaceDE w:val="0"/>
        <w:autoSpaceDN w:val="0"/>
        <w:adjustRightInd w:val="0"/>
        <w:spacing w:line="360" w:lineRule="auto"/>
        <w:rPr>
          <w:rFonts w:ascii="Times New Roman" w:hAnsi="Times New Roman" w:cs="Times New Roman"/>
          <w:b/>
        </w:rPr>
      </w:pPr>
    </w:p>
    <w:p w14:paraId="55E71788" w14:textId="1D7E998B" w:rsidR="00A00152" w:rsidRDefault="00A00152" w:rsidP="00141231">
      <w:pPr>
        <w:widowControl w:val="0"/>
        <w:autoSpaceDE w:val="0"/>
        <w:autoSpaceDN w:val="0"/>
        <w:adjustRightInd w:val="0"/>
        <w:spacing w:line="360" w:lineRule="auto"/>
        <w:rPr>
          <w:rFonts w:ascii="Times New Roman" w:hAnsi="Times New Roman" w:cs="Times New Roman"/>
          <w:b/>
        </w:rPr>
      </w:pPr>
    </w:p>
    <w:p w14:paraId="1CD53ADF" w14:textId="3B403A87" w:rsidR="00A00152" w:rsidRDefault="00A00152" w:rsidP="00141231">
      <w:pPr>
        <w:widowControl w:val="0"/>
        <w:autoSpaceDE w:val="0"/>
        <w:autoSpaceDN w:val="0"/>
        <w:adjustRightInd w:val="0"/>
        <w:spacing w:line="360" w:lineRule="auto"/>
        <w:rPr>
          <w:rFonts w:ascii="Times New Roman" w:hAnsi="Times New Roman" w:cs="Times New Roman"/>
          <w:b/>
        </w:rPr>
      </w:pPr>
    </w:p>
    <w:p w14:paraId="2A122BC1" w14:textId="1625555F" w:rsidR="00A00152" w:rsidRDefault="00A00152" w:rsidP="00141231">
      <w:pPr>
        <w:widowControl w:val="0"/>
        <w:autoSpaceDE w:val="0"/>
        <w:autoSpaceDN w:val="0"/>
        <w:adjustRightInd w:val="0"/>
        <w:spacing w:line="360" w:lineRule="auto"/>
        <w:rPr>
          <w:rFonts w:ascii="Times New Roman" w:hAnsi="Times New Roman" w:cs="Times New Roman"/>
          <w:b/>
        </w:rPr>
      </w:pPr>
    </w:p>
    <w:p w14:paraId="3148D137" w14:textId="518EEB31" w:rsidR="00A00152" w:rsidRDefault="00A00152" w:rsidP="00141231">
      <w:pPr>
        <w:widowControl w:val="0"/>
        <w:autoSpaceDE w:val="0"/>
        <w:autoSpaceDN w:val="0"/>
        <w:adjustRightInd w:val="0"/>
        <w:spacing w:line="360" w:lineRule="auto"/>
        <w:rPr>
          <w:rFonts w:ascii="Times New Roman" w:hAnsi="Times New Roman" w:cs="Times New Roman"/>
          <w:b/>
        </w:rPr>
      </w:pPr>
    </w:p>
    <w:p w14:paraId="72E1AA30" w14:textId="564AE926" w:rsidR="00A00152" w:rsidRDefault="00A00152" w:rsidP="00141231">
      <w:pPr>
        <w:widowControl w:val="0"/>
        <w:autoSpaceDE w:val="0"/>
        <w:autoSpaceDN w:val="0"/>
        <w:adjustRightInd w:val="0"/>
        <w:spacing w:line="360" w:lineRule="auto"/>
        <w:rPr>
          <w:rFonts w:ascii="Times New Roman" w:hAnsi="Times New Roman" w:cs="Times New Roman"/>
          <w:b/>
        </w:rPr>
      </w:pPr>
    </w:p>
    <w:p w14:paraId="12DF3E6F" w14:textId="196AE3D2" w:rsidR="00A00152" w:rsidRDefault="00A00152" w:rsidP="00141231">
      <w:pPr>
        <w:widowControl w:val="0"/>
        <w:autoSpaceDE w:val="0"/>
        <w:autoSpaceDN w:val="0"/>
        <w:adjustRightInd w:val="0"/>
        <w:spacing w:line="360" w:lineRule="auto"/>
        <w:rPr>
          <w:rFonts w:ascii="Times New Roman" w:hAnsi="Times New Roman" w:cs="Times New Roman"/>
          <w:b/>
        </w:rPr>
      </w:pPr>
    </w:p>
    <w:p w14:paraId="34B2AB4F" w14:textId="4562BC22" w:rsidR="00A00152" w:rsidRDefault="00A00152" w:rsidP="00141231">
      <w:pPr>
        <w:widowControl w:val="0"/>
        <w:autoSpaceDE w:val="0"/>
        <w:autoSpaceDN w:val="0"/>
        <w:adjustRightInd w:val="0"/>
        <w:spacing w:line="360" w:lineRule="auto"/>
        <w:rPr>
          <w:rFonts w:ascii="Times New Roman" w:hAnsi="Times New Roman" w:cs="Times New Roman"/>
          <w:b/>
        </w:rPr>
      </w:pPr>
    </w:p>
    <w:p w14:paraId="77D8344C" w14:textId="3C5B408B" w:rsidR="00A00152" w:rsidRDefault="00A00152" w:rsidP="00141231">
      <w:pPr>
        <w:widowControl w:val="0"/>
        <w:autoSpaceDE w:val="0"/>
        <w:autoSpaceDN w:val="0"/>
        <w:adjustRightInd w:val="0"/>
        <w:spacing w:line="360" w:lineRule="auto"/>
        <w:rPr>
          <w:rFonts w:ascii="Times New Roman" w:hAnsi="Times New Roman" w:cs="Times New Roman"/>
          <w:b/>
        </w:rPr>
      </w:pPr>
    </w:p>
    <w:p w14:paraId="13C7F4EF" w14:textId="790C1F88" w:rsidR="00A00152" w:rsidRDefault="00A00152" w:rsidP="00141231">
      <w:pPr>
        <w:widowControl w:val="0"/>
        <w:autoSpaceDE w:val="0"/>
        <w:autoSpaceDN w:val="0"/>
        <w:adjustRightInd w:val="0"/>
        <w:spacing w:line="360" w:lineRule="auto"/>
        <w:rPr>
          <w:rFonts w:ascii="Times New Roman" w:hAnsi="Times New Roman" w:cs="Times New Roman"/>
          <w:b/>
        </w:rPr>
      </w:pPr>
    </w:p>
    <w:p w14:paraId="612292C6" w14:textId="0665A534" w:rsidR="00A00152" w:rsidRDefault="00A00152" w:rsidP="00141231">
      <w:pPr>
        <w:widowControl w:val="0"/>
        <w:autoSpaceDE w:val="0"/>
        <w:autoSpaceDN w:val="0"/>
        <w:adjustRightInd w:val="0"/>
        <w:spacing w:line="360" w:lineRule="auto"/>
        <w:rPr>
          <w:rFonts w:ascii="Times New Roman" w:hAnsi="Times New Roman" w:cs="Times New Roman"/>
          <w:b/>
        </w:rPr>
      </w:pPr>
    </w:p>
    <w:p w14:paraId="047F6541" w14:textId="265C2C48" w:rsidR="00A00152" w:rsidRDefault="00A00152" w:rsidP="00141231">
      <w:pPr>
        <w:widowControl w:val="0"/>
        <w:autoSpaceDE w:val="0"/>
        <w:autoSpaceDN w:val="0"/>
        <w:adjustRightInd w:val="0"/>
        <w:spacing w:line="360" w:lineRule="auto"/>
        <w:rPr>
          <w:rFonts w:ascii="Times New Roman" w:hAnsi="Times New Roman" w:cs="Times New Roman"/>
          <w:b/>
        </w:rPr>
      </w:pPr>
    </w:p>
    <w:p w14:paraId="391B8C71" w14:textId="70E78D0F" w:rsidR="00A00152" w:rsidRDefault="00A00152" w:rsidP="00141231">
      <w:pPr>
        <w:widowControl w:val="0"/>
        <w:autoSpaceDE w:val="0"/>
        <w:autoSpaceDN w:val="0"/>
        <w:adjustRightInd w:val="0"/>
        <w:spacing w:line="360" w:lineRule="auto"/>
        <w:rPr>
          <w:rFonts w:ascii="Times New Roman" w:hAnsi="Times New Roman" w:cs="Times New Roman"/>
          <w:b/>
        </w:rPr>
      </w:pPr>
    </w:p>
    <w:p w14:paraId="7E1B799F" w14:textId="77777777" w:rsidR="00A00152" w:rsidRDefault="00A00152" w:rsidP="00141231">
      <w:pPr>
        <w:widowControl w:val="0"/>
        <w:autoSpaceDE w:val="0"/>
        <w:autoSpaceDN w:val="0"/>
        <w:adjustRightInd w:val="0"/>
        <w:spacing w:line="360" w:lineRule="auto"/>
        <w:rPr>
          <w:rFonts w:ascii="Times New Roman" w:hAnsi="Times New Roman" w:cs="Times New Roman"/>
          <w:b/>
        </w:rPr>
      </w:pPr>
    </w:p>
    <w:p w14:paraId="40F5CD17" w14:textId="77777777" w:rsidR="000E3CB6" w:rsidRDefault="000E3CB6" w:rsidP="00141231">
      <w:pPr>
        <w:widowControl w:val="0"/>
        <w:autoSpaceDE w:val="0"/>
        <w:autoSpaceDN w:val="0"/>
        <w:adjustRightInd w:val="0"/>
        <w:spacing w:line="360" w:lineRule="auto"/>
        <w:rPr>
          <w:rFonts w:ascii="Times New Roman" w:hAnsi="Times New Roman" w:cs="Times New Roman"/>
          <w:b/>
        </w:rPr>
      </w:pPr>
    </w:p>
    <w:p w14:paraId="0E934C85" w14:textId="77777777" w:rsidR="003B16AA" w:rsidRDefault="003B16AA" w:rsidP="00141231">
      <w:pPr>
        <w:widowControl w:val="0"/>
        <w:autoSpaceDE w:val="0"/>
        <w:autoSpaceDN w:val="0"/>
        <w:adjustRightInd w:val="0"/>
        <w:spacing w:line="360" w:lineRule="auto"/>
        <w:rPr>
          <w:rFonts w:ascii="Times New Roman" w:hAnsi="Times New Roman" w:cs="Times New Roman"/>
          <w:b/>
        </w:rPr>
      </w:pPr>
    </w:p>
    <w:p w14:paraId="3620DEB7" w14:textId="77777777" w:rsidR="003B16AA" w:rsidRDefault="003B16AA" w:rsidP="00141231">
      <w:pPr>
        <w:widowControl w:val="0"/>
        <w:autoSpaceDE w:val="0"/>
        <w:autoSpaceDN w:val="0"/>
        <w:adjustRightInd w:val="0"/>
        <w:spacing w:line="360" w:lineRule="auto"/>
        <w:rPr>
          <w:rFonts w:ascii="Times New Roman" w:hAnsi="Times New Roman" w:cs="Times New Roman"/>
          <w:b/>
        </w:rPr>
      </w:pPr>
    </w:p>
    <w:p w14:paraId="58E136D0" w14:textId="77777777" w:rsidR="003B16AA" w:rsidRDefault="003B16AA" w:rsidP="00141231">
      <w:pPr>
        <w:widowControl w:val="0"/>
        <w:autoSpaceDE w:val="0"/>
        <w:autoSpaceDN w:val="0"/>
        <w:adjustRightInd w:val="0"/>
        <w:spacing w:line="360" w:lineRule="auto"/>
        <w:rPr>
          <w:rFonts w:ascii="Times New Roman" w:hAnsi="Times New Roman" w:cs="Times New Roman"/>
          <w:b/>
        </w:rPr>
      </w:pPr>
    </w:p>
    <w:p w14:paraId="5D217A37" w14:textId="77777777" w:rsidR="003B16AA" w:rsidRDefault="003B16AA" w:rsidP="00141231">
      <w:pPr>
        <w:widowControl w:val="0"/>
        <w:autoSpaceDE w:val="0"/>
        <w:autoSpaceDN w:val="0"/>
        <w:adjustRightInd w:val="0"/>
        <w:spacing w:line="360" w:lineRule="auto"/>
        <w:rPr>
          <w:rFonts w:ascii="Times New Roman" w:hAnsi="Times New Roman" w:cs="Times New Roman"/>
          <w:b/>
        </w:rPr>
      </w:pPr>
    </w:p>
    <w:p w14:paraId="709A4373" w14:textId="77777777" w:rsidR="003B16AA" w:rsidRDefault="003B16AA" w:rsidP="00141231">
      <w:pPr>
        <w:widowControl w:val="0"/>
        <w:autoSpaceDE w:val="0"/>
        <w:autoSpaceDN w:val="0"/>
        <w:adjustRightInd w:val="0"/>
        <w:spacing w:line="360" w:lineRule="auto"/>
        <w:rPr>
          <w:rFonts w:ascii="Times New Roman" w:hAnsi="Times New Roman" w:cs="Times New Roman"/>
          <w:b/>
        </w:rPr>
      </w:pPr>
    </w:p>
    <w:p w14:paraId="383B3EE6" w14:textId="77777777" w:rsidR="003B16AA" w:rsidRDefault="003B16AA" w:rsidP="00141231">
      <w:pPr>
        <w:widowControl w:val="0"/>
        <w:autoSpaceDE w:val="0"/>
        <w:autoSpaceDN w:val="0"/>
        <w:adjustRightInd w:val="0"/>
        <w:spacing w:line="360" w:lineRule="auto"/>
        <w:rPr>
          <w:rFonts w:ascii="Times New Roman" w:hAnsi="Times New Roman" w:cs="Times New Roman"/>
          <w:b/>
        </w:rPr>
      </w:pPr>
    </w:p>
    <w:p w14:paraId="613A65E3" w14:textId="691A7D06" w:rsidR="005F1251" w:rsidRPr="005F1251" w:rsidRDefault="005F1251" w:rsidP="00141231">
      <w:pPr>
        <w:widowControl w:val="0"/>
        <w:autoSpaceDE w:val="0"/>
        <w:autoSpaceDN w:val="0"/>
        <w:adjustRightInd w:val="0"/>
        <w:spacing w:line="360" w:lineRule="auto"/>
        <w:rPr>
          <w:rFonts w:ascii="Times New Roman" w:hAnsi="Times New Roman" w:cs="Times New Roman"/>
          <w:b/>
        </w:rPr>
      </w:pPr>
      <w:r>
        <w:rPr>
          <w:rFonts w:ascii="Times New Roman" w:hAnsi="Times New Roman" w:cs="Times New Roman"/>
          <w:b/>
        </w:rPr>
        <w:t>References</w:t>
      </w:r>
    </w:p>
    <w:p w14:paraId="6607FE6B" w14:textId="404614DA" w:rsidR="00CD0532" w:rsidRPr="00CD0532" w:rsidRDefault="005C76D1" w:rsidP="00141231">
      <w:pPr>
        <w:widowControl w:val="0"/>
        <w:autoSpaceDE w:val="0"/>
        <w:autoSpaceDN w:val="0"/>
        <w:adjustRightInd w:val="0"/>
        <w:spacing w:line="360" w:lineRule="auto"/>
        <w:ind w:left="480" w:hanging="480"/>
        <w:rPr>
          <w:rFonts w:ascii="Times New Roman" w:hAnsi="Times New Roman" w:cs="Times New Roman"/>
          <w:noProof/>
          <w:lang w:val="en-US"/>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CD0532" w:rsidRPr="00CD0532">
        <w:rPr>
          <w:rFonts w:ascii="Times New Roman" w:hAnsi="Times New Roman" w:cs="Times New Roman"/>
          <w:noProof/>
          <w:lang w:val="en-US"/>
        </w:rPr>
        <w:t>Ambos, T., Mäkelä, K., Birkinshaw, J., D’Este, P., 2008. When Does University Research Get Commercialized? Creating Ambidexterity in Research Institutions. J. Manag. Stud. 45, 1424–1447. doi:10.1111/j.1467-6486.2008.00804.x</w:t>
      </w:r>
    </w:p>
    <w:p w14:paraId="5BB849E7"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Anderson, J., Gerbing, D., 1988. Structural Equation Modeling in Practice: A Review and Recommended Two-Step Approach. Psychol. Bull. 103, 411–423. doi:10.1037/0033-2909.103.3.411</w:t>
      </w:r>
    </w:p>
    <w:p w14:paraId="47F8067F"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Anderson, T.R., Daim, T.U., Lavoie, F.F., 2007. Measuring the efficiency of university technology transfer. Technovation 27, 306–318. doi:10.1016/j.technovation.2006.10.003</w:t>
      </w:r>
    </w:p>
    <w:p w14:paraId="111E1F57"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Arend, R.J., Zhao, Y.., Song, M., Im, S., 2017. Strategic Planning as a Complex and Enabling Managerial Tool. Strateg. Manag. J. 38, 1741–1752. doi:10.1002/smj</w:t>
      </w:r>
    </w:p>
    <w:p w14:paraId="4BA500FB"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Arqué-Castells, P., Cartaxo, R.M., García-Quevedo, J., Godinho, M.M., 2016. Royalty sharing, effort and invention in universities: Evidence from Portugal and Spain. Res. Policy 45, 1858–1872. doi:10.1016/j.respol.2016.06.006</w:t>
      </w:r>
    </w:p>
    <w:p w14:paraId="142375C0"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Association of American Universities, 2015. Statement to the AAU Membership on University Technology Transfer and Managing Intellectual Property in the Public Interest.</w:t>
      </w:r>
    </w:p>
    <w:p w14:paraId="2F69150D"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Bagozzi, R.P., Yi, Y., 2012. Specification, evaluation, and interpretation of structural equation models. J. Acad. Mark. Sci. 40, 8–34. doi:10.1007/s11747-011-0278-x</w:t>
      </w:r>
    </w:p>
    <w:p w14:paraId="6D596671"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Baron, R., Kenny, D., 1986. The moderator-mediator variable distinction in social psychological research. J. Pers. Soc. Psychol. 51, 1173–1182. doi:10.1037/0022-3514.51.6.1173</w:t>
      </w:r>
    </w:p>
    <w:p w14:paraId="19BBEB46"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Belenzon, S., Schankerman, M., 2009. University Knowledge Transfer: Private Ownership, Incentives, and Local Development Objectives. J. Law Econ. 52, 111–144. doi:10.1086/595763</w:t>
      </w:r>
    </w:p>
    <w:p w14:paraId="593D9766"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 xml:space="preserve">Berbegal-Mirabent, J., Sánchez García, J.L., Ribeiro-Soriano, D.E., 2015. University-industry </w:t>
      </w:r>
      <w:r w:rsidRPr="00CD0532">
        <w:rPr>
          <w:rFonts w:ascii="Times New Roman" w:hAnsi="Times New Roman" w:cs="Times New Roman"/>
          <w:noProof/>
          <w:lang w:val="en-US"/>
        </w:rPr>
        <w:lastRenderedPageBreak/>
        <w:t>partnerships for the provision of R&amp;D services. J. Bus. Res. 68, 1407–1413. doi:10.1016/j.jbusres.2015.01.023</w:t>
      </w:r>
    </w:p>
    <w:p w14:paraId="2AE5FC06"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Bozeman, B., 2000. Technology transfer and public policy: a review of research and theory. Res. Policy 29, 627–655. doi:10.1016/S0048-7333(99)00093-1</w:t>
      </w:r>
    </w:p>
    <w:p w14:paraId="54022F18"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Bozeman, B., Rimes, H., Youtie, J., 2015. The evolving state-of-the-art in technology transfer research: Revisiting the contingent effectiveness model. Res. Policy 44, 34–49. doi:10.1016/j.respol.2014.06.008</w:t>
      </w:r>
    </w:p>
    <w:p w14:paraId="72D59F68"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Brews, P., Hunt, J., 1999. Learning to plan and planning to learn: Strateg. Manag. J. 913, 889–913. doi:10.1080/13540602.2011.580516</w:t>
      </w:r>
    </w:p>
    <w:p w14:paraId="08514402"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Bryman, A., 2007. Effective leadership in higher education: A literature review. Stud. High. Educ. 32, 693–710. doi:10.1080/03075070701685114</w:t>
      </w:r>
    </w:p>
    <w:p w14:paraId="30AAB182"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Burnes, B., Wend, P., By, R.T., 2014. The changing face of English universities: reinventing collegiality for the twenty-first century. Stud. High. Educ. 39, 905–926. doi:10.1080/03075079.2012.754858</w:t>
      </w:r>
    </w:p>
    <w:p w14:paraId="1F688538"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Caldera, A., Debande, O., 2010a. Performance of Spanish universities in technology transfer: An empirical analysis. Res. Policy 39, 1160–1173. doi:10.1016/j.respol.2010.05.016</w:t>
      </w:r>
    </w:p>
    <w:p w14:paraId="07CB89A4"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Caldera, A., Debande, O., 2010b. Performance of Spanish universities in technology transfer: An empirical analysis. Res. Policy 39, 1160–1173. doi:10.1016/j.respol.2010.05.016</w:t>
      </w:r>
    </w:p>
    <w:p w14:paraId="266C1951"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Chapple, W., Lockett, A., Siegel, D., Wright, M., 2005. Assessing the relative performance of U.K. university technology transfer offices: Parametric and non-parametric evidence. Res. Policy 34, 369–384. doi:10.1016/j.respol.2005.01.007</w:t>
      </w:r>
    </w:p>
    <w:p w14:paraId="1C140FDF"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Child, J., 1997. Strategic Choice in the Analysis of Action, Structure, Organizations and Environment: Retrospect and Prospect. Organ. Stud. 18, 43–76. doi:10.1177/017084069701800104</w:t>
      </w:r>
    </w:p>
    <w:p w14:paraId="48B19083"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Child, J., 1972. Organizational Structure, Environment and Performance: The Role of Strategic Choice. Sociology 6, 1–22.</w:t>
      </w:r>
    </w:p>
    <w:p w14:paraId="5F01DBC3"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D’Este, P., Perkmann, M., 2011. Why do academics engage with industry? The entrepreneurial university and individual motivations. J. Technol. Transf. 36, 316–339. doi:10.1007/s10961-010-9153-z</w:t>
      </w:r>
    </w:p>
    <w:p w14:paraId="6558B070"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De Rond, M., Thietart, R.-A., 2007. Choice, Chance and Inevitability in Strategy. Strateg. Manag. J. 28, 535–551. doi:10.1002/smj</w:t>
      </w:r>
    </w:p>
    <w:p w14:paraId="1675A869"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Dearlove, J., 1995. Collegiality, managerialism and leadership in English universities. Tert. Educ. Manag. 1, 161–169. doi:10.1007/BF02354082</w:t>
      </w:r>
    </w:p>
    <w:p w14:paraId="3ACA70F4"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 xml:space="preserve">Debackere, K., Veugelers, R., 2005. The role of academic technology transfer organizations </w:t>
      </w:r>
      <w:r w:rsidRPr="00CD0532">
        <w:rPr>
          <w:rFonts w:ascii="Times New Roman" w:hAnsi="Times New Roman" w:cs="Times New Roman"/>
          <w:noProof/>
          <w:lang w:val="en-US"/>
        </w:rPr>
        <w:lastRenderedPageBreak/>
        <w:t>in improving industry science links. Res. Policy 34, 321–342. doi:10.1016/j.respol.2004.12.003</w:t>
      </w:r>
    </w:p>
    <w:p w14:paraId="035C0BF3"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Donaldson, L., Luo, B.N., 2014. The Aston Programme Contribution to Organizational Research: A Literature Review. Int. J. Manag. Rev. 16, 84–104. doi:10.1111/ijmr.12010</w:t>
      </w:r>
    </w:p>
    <w:p w14:paraId="7D430B71"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Edwards, J.R., Lambert, L.S., 2007. Methods for integrating moderation and mediation: A general analytical framework using moderated path analysis. Psychol. Methods 12, 1–22. doi:10.1037/1082-989X.12.1.1</w:t>
      </w:r>
    </w:p>
    <w:p w14:paraId="101AE7AA"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Etzkowitz, H., 2003. Innovation in Innovation: The Triple Helix of university-industry-government relations. Soc. Sci. Inf. 42, 293–337. doi:10.1023/A:1026276308287</w:t>
      </w:r>
    </w:p>
    <w:p w14:paraId="733610BD"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Fornell, C., Larcker, D., 1981. Evaluating structural equation models with unobservable variables and measurement error. J. Mark. Res. 18, 39–50. doi:10.2307/3151312</w:t>
      </w:r>
    </w:p>
    <w:p w14:paraId="7C2D1466"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Friedman, J., Silberman, J., 2003. University Technology Transfer: Do Incentives, Management, and Location Matter? J. Technol. Transf. 28, 17–30. doi:10.1023/A:1021674618658</w:t>
      </w:r>
    </w:p>
    <w:p w14:paraId="68748311"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Göktepe-Hulten, D., Mahagaonkar, P., 2010. Inventing and patenting activities of scientists: In the expectation of money or reputation? J. Technol. Transf. 35, 401–423. doi:10.1007/s10961-009-9126-2</w:t>
      </w:r>
    </w:p>
    <w:p w14:paraId="58D5004F"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Grimaldi, R., Kenney, M., Siegel, D., Wright, M., 2011. 30 years after Bayh-Dole: Reassessing academic entrepreneurship. Res. Policy 40, 1045–1057. doi:10.1016/j.respol.2011.04.005</w:t>
      </w:r>
    </w:p>
    <w:p w14:paraId="7E79CE6E"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Hambrick, D.C., 2007. Upper Echelons Theory: An Update. Acad. Manag. Rev. 32, 334–343. doi:10.5465/AMR.2007.24345254</w:t>
      </w:r>
    </w:p>
    <w:p w14:paraId="21F15C35"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Hayes, A.., 2013. Methodology in the Social Sciences. Introduction to mediation, moderation and conditional process analysis: A regression-based approach. Guildford Press, New York: USA.</w:t>
      </w:r>
    </w:p>
    <w:p w14:paraId="436B15AD"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HEFCE, 2016. University Knowledge Exchange ( KE ) Framework : good practice in technology transfer Report to the UK higher education sector and HEFCE by the McMillan group.</w:t>
      </w:r>
    </w:p>
    <w:p w14:paraId="7E2B5F11"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Heisey, P.W., Adelman, Æ.S.W., 2011. and university licensing revenue 38–60. doi:10.1007/s10961-009-9129-z</w:t>
      </w:r>
    </w:p>
    <w:p w14:paraId="60EB0B7B"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Hewitt-Dundas, N., 2012. Research intensity and knowledge transfer activity in UK universities. Res. Policy 41, 262–275. doi:10.1016/j.respol.2011.10.010</w:t>
      </w:r>
    </w:p>
    <w:p w14:paraId="342454B6" w14:textId="7FD16DDF" w:rsid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 xml:space="preserve">Hewitt-Dundas, N., Roper, S., 2018. Innovation in UK higher education: A panel data analysis of undergraduate degree programmes. Res. Policy 47, 121–138. </w:t>
      </w:r>
      <w:r w:rsidRPr="00CD0532">
        <w:rPr>
          <w:rFonts w:ascii="Times New Roman" w:hAnsi="Times New Roman" w:cs="Times New Roman"/>
          <w:noProof/>
          <w:lang w:val="en-US"/>
        </w:rPr>
        <w:lastRenderedPageBreak/>
        <w:t>doi:10.1016/j.respol.2017.10.003</w:t>
      </w:r>
    </w:p>
    <w:p w14:paraId="20710664" w14:textId="74B075E2"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Pr>
          <w:rFonts w:ascii="Times New Roman" w:eastAsia="Times New Roman" w:hAnsi="Times New Roman" w:cs="Times New Roman"/>
          <w:noProof/>
        </w:rPr>
        <w:t>Hu, L., Bentler, P., 1999. Cutoff criteria for fit indices in covariance structural analysis: conventional criteria versus new alternatives. Structural Equation Modelling. 6, 1-55</w:t>
      </w:r>
    </w:p>
    <w:p w14:paraId="70D29A96"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Jarratt, A., 1985. Steering Committee for Efficiency Studies in Universities.</w:t>
      </w:r>
    </w:p>
    <w:p w14:paraId="5A816FD7"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Kelloway, E., 1995. Structural equation modelling in perspective. J. Organ. Behav. 16, 215–224. doi:10.1002/job.4030160304</w:t>
      </w:r>
    </w:p>
    <w:p w14:paraId="32AC74FB"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Kline, R.B., 2016. Principles and Practice of Structural Equation Modelling. The Guildford Press, London.</w:t>
      </w:r>
    </w:p>
    <w:p w14:paraId="1D108DEA"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Lach, S., Schankerman, M., 2008. Incentives and invention in universities. RAND J. Econ. 39, 403–433. doi:10.1111/j.0741-6261.2008.00020.x</w:t>
      </w:r>
    </w:p>
    <w:p w14:paraId="1F20FD7C"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Lach, S., Schankerman, M., 2004. Royalty sharing and technology licensing in universities. J. Eur. Econ. Assoc. 2, 252–264. doi:10.1162/154247604323067961</w:t>
      </w:r>
    </w:p>
    <w:p w14:paraId="4FA94FB8"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Lam, A., 2011. What motivates academic scientists to engage in research commercialization: “Gold”, “ribbon” or “puzzle”? Res. Policy 40, 1354–1368. doi:10.1016/j.respol.2011.09.002</w:t>
      </w:r>
    </w:p>
    <w:p w14:paraId="2D641F3C"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Link, A.N., Siegel, D., 2005. University-based technology initiatives: Quantitative and qualitative evidence. Res. Policy 34, 253–257. doi:10.1016/j.respol.2005.01.005</w:t>
      </w:r>
    </w:p>
    <w:p w14:paraId="750F0F05"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Lockett, A., Wright, M., Wild, A., 2015. The institutionalization of third stream activities in UK higher education: The role of discourse and metrics. Br. J. Manag. 26, 78–92. doi:10.1111/1467-8551.12069</w:t>
      </w:r>
    </w:p>
    <w:p w14:paraId="5DC024EE"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Macho-Stadler, I., Pérez-Castrillo, D., Veugelers, R., 2007. Licensing of university inventions: The role of a technology transfer office. Int. J. Ind. Organ. 25, 483–510. doi:10.1016/j.ijindorg.2006.06.001</w:t>
      </w:r>
    </w:p>
    <w:p w14:paraId="2F55B0E1"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Marginson, S., 2007. The new higher education landscape: Public and private goods, in global/ national/local settings, in: Marginson, S. (Ed.), Prospects of Higher Educations. Globalization, Market Competition, Public Goods and the Future of the University. Sense, Rotterdam, pp. 29–77.</w:t>
      </w:r>
    </w:p>
    <w:p w14:paraId="056F693B"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Markman, G.D., Gianiodis, P.T., Phan, P.H., Balkin, D.B., 2004. Entrepreneurship from the Ivory Tower: Do Incentive Systems Matter? J. Technol. Transf. 29, 353–364. doi:10.1023/B:JOTT.0000034127.01889.86</w:t>
      </w:r>
    </w:p>
    <w:p w14:paraId="1E24A679"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Merrill, S.A., Mazza, A., 2010. Managing University Intellectual Property in the Public Interest. National Research Council. doi:10.17226/13001</w:t>
      </w:r>
    </w:p>
    <w:p w14:paraId="7F131F9C"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Mintzberg, H., 1994. Rethinking strategic planning part I: Pitfalls and fallacies. Long Range Plann. 27, 12–21. doi:10.1016/0024-6301(94)90185-6</w:t>
      </w:r>
    </w:p>
    <w:p w14:paraId="1BB09198"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lastRenderedPageBreak/>
        <w:t>Muller, D., Judd, C.M., Yzerbyt, V.Y., 2005. When moderation is mediated and mediation is moderated. J. Pers. Soc. Psychol. 89, 852–863. doi:10.1037/0022-3514.89.6.852</w:t>
      </w:r>
    </w:p>
    <w:p w14:paraId="5FCE39AD"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Nunally, J.., 1978. Psychometric Theory, 2nd ed. McGraw-Hill, New York: USA.</w:t>
      </w:r>
    </w:p>
    <w:p w14:paraId="05878A4D"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Ocasio, W., 2011. Attention to Attention. Organ. Sci. 22, 1286–1296. doi:10.1287/orsc.1100.0602</w:t>
      </w:r>
    </w:p>
    <w:p w14:paraId="3BD16764"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Perkmann, M., King, Z., Pavelin, S., 2011. Engaging excellence? Effects of faculty quality on university engagement with industry. Res. Policy 40, 539–552. doi:10.1016/j.respol.2011.01.007</w:t>
      </w:r>
    </w:p>
    <w:p w14:paraId="6B7842BD"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Perkmann, M., Tartari, V., McKelvey, M., Autio, E., Broström, A., D’Este, P., Fini, R., Geuna, A., Grimaldi, R., Hughes, A., Krabel, S., Kitson, M., Llerena, P., Lissoni, F., Salter, A., Sobrero, M., 2013. Academic engagement and commercialisation: A review of the literature on university-industry relations. Res. Policy 42, 423–442. doi:10.1016/j.respol.2012.09.007</w:t>
      </w:r>
    </w:p>
    <w:p w14:paraId="7FA53D93"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Pounder, J.S., 2001. “New leadership” and university organisational effectiveness : exploring the relationship. Leadersh. Organ. Dev. J. 22, 281–290.</w:t>
      </w:r>
    </w:p>
    <w:p w14:paraId="0138266B"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Powers, J.., 2003. Commercializing Academic Research Results . J. Higher Educ. 74, 1–24.</w:t>
      </w:r>
    </w:p>
    <w:p w14:paraId="62268DA4"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Preacher, K.., Hayes, A.., 2008. Asymptotic and resampling strategies for assessing and comparing indirect effects in multilpe indicator models. Behav. Res. Methods 40, 879–891.</w:t>
      </w:r>
    </w:p>
    <w:p w14:paraId="7C14C450"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Preacher, K.., Hayes, A.., 2004. SPSS and SAS procedures for estimating indirect effects in simple mediation models. Bahaviour Res. Methods, Instruments Comput. 36, 717–731. doi:10.3758/BF03206553</w:t>
      </w:r>
    </w:p>
    <w:p w14:paraId="43BC2068"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Rossi, F., Rosli, A., 2014. Indicators of university???industry knowledge transfer performance and their implications for universities: Evidence from the United Kingdom. Stud. High. Educ. 40, 1970–1991. doi:10.1080/03075079.2014.914914</w:t>
      </w:r>
    </w:p>
    <w:p w14:paraId="23340CA0"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Rothaermel, F.T., Agung, S.D., Jiang, L., 2007. University entrepreneurship: A taxonomy of the literature. Ind. Corp. Chang. 16, 691–791. doi:10.1093/icc/dtm023</w:t>
      </w:r>
    </w:p>
    <w:p w14:paraId="1ED51D9C"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Sánchez-Barrioluengo, M., 2014. Articulating the “three-missions” in Spanish universities. Res. Policy 43, 1760–1773. doi:10.1016/j.respol.2014.06.001</w:t>
      </w:r>
    </w:p>
    <w:p w14:paraId="70DDA816"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Selig, J.., Preacher, K.., 2008. Monte Carlo method for assessing mediation: An interactive tool for creating confidence intervals for indirect effects.</w:t>
      </w:r>
    </w:p>
    <w:p w14:paraId="02863999"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Sengupta, A., Ray, A.S., 2017a. University research and knowledge transfer: A dynamic view of ambidexterity in british universities. Res. Policy 46, 881–897. doi:10.1016/j.respol.2017.03.008</w:t>
      </w:r>
    </w:p>
    <w:p w14:paraId="725C61BE"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lastRenderedPageBreak/>
        <w:t>Sengupta, A., Ray, A.S., 2017b. Choice of Structure, Business Model and Portfolio: Organizational Models of Knowledge Transfer Offices in British Universities. Br. J. Manag. 28, 687–710. doi:10.1111/1467-8551.12224</w:t>
      </w:r>
    </w:p>
    <w:p w14:paraId="5D1EBAF2"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Siegel, D., Veugelers, R., Wright, M., 2007. Technology transfer offices and commercialization of university intellectual property: Performance and policy implications. Oxford Rev. Econ. Policy 23, 640–660. doi:10.1093/oxrep/grm036</w:t>
      </w:r>
    </w:p>
    <w:p w14:paraId="7EF6CFAB"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Siegel, D., Waldman, D., Link, A., 2003. Assessing the impact of organizational practices on the relative productivity of university technology transfer offices: an exploratory study. Res. Policy 32, 27–48. doi:10.1016/S0048-7333(01)00196-2</w:t>
      </w:r>
    </w:p>
    <w:p w14:paraId="5D89D9B1"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Siegel, D., Wright, M., 2015a. Academic Entrepreneurship: Time for a Rethink? Br. J. Manag. 26, 582–595. doi:10.1111/1467-8551.12116</w:t>
      </w:r>
    </w:p>
    <w:p w14:paraId="0C713DD6"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Siegel, D., Wright, M., 2015b. University Technology Transfer Offices, Licensing and Start-Ups. Chicago Handb. Univ. Technol. Transf. Acad. Entrep. 1–40.</w:t>
      </w:r>
    </w:p>
    <w:p w14:paraId="6F5DE8BF"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Smith, D., Adams, J., Mount, D., 2007. UK Universities and executive officers: The changing role of pro-vice chancellors- final report.</w:t>
      </w:r>
    </w:p>
    <w:p w14:paraId="00B6D576"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Steiger, J.H., Shapiro, A., Browne, M.W., 1985. On the Multivariate Asymptotic Distribution of Sequential Chi Square Statistics. Psychometrika 50, 253–264.</w:t>
      </w:r>
    </w:p>
    <w:p w14:paraId="0127BCE7"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Stine, W.W., 1989. Meaningful Inference: The Role of Measurement in Statistics. Psychol. Bull. 105, 147–155. doi:10.1037/0033-2909.105.1.147</w:t>
      </w:r>
    </w:p>
    <w:p w14:paraId="6C86A3C3"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Teelken, C., 2012. Compliance or pragmatism: how do academics deal with managerialism in higher education? A comparative study in three countries. Stud. High. Educ. 37, 271–290.</w:t>
      </w:r>
    </w:p>
    <w:p w14:paraId="04455DE0"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Thursby, J.G., Kemp, S., 2002. Growth and productive efficiency of university intellectual property licensing. Res. Policy 31, 109–124. doi:10.1016/S0048-7333(00)00160-8</w:t>
      </w:r>
    </w:p>
    <w:p w14:paraId="742F0010"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Van Looy, B., Landoni, P., Callaert, J., Van Pottelsberghe, B., Sapsalis, E., Debackere, K., 2011. Entrepreneurial effectiveness of European universities: An empirical assessment of antecedents and trade-offs. Res. Policy 40, 553–564. doi:10.1016/j.respol.2011.02.001</w:t>
      </w:r>
    </w:p>
    <w:p w14:paraId="4A224DAA"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Voorhees, C.M., Brady, M.K., Calantone, R., Ramirez, E., 2016. Discriminant validity testing in marketing: an analysis, causes for concern, and proposed remedies. J. Acad. Mark. Sci. 44, 119–134. doi:10.1007/s11747-015-0455-4</w:t>
      </w:r>
    </w:p>
    <w:p w14:paraId="210A434F"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Waring, M., 2017. Management and leadership in UK universities: exploring the possibilities of change. J. High. Educ. Policy Manag. 39, 540–558. doi:10.1080/1360080X.2017.1354754</w:t>
      </w:r>
    </w:p>
    <w:p w14:paraId="21C4EB4B"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 xml:space="preserve">Wolf, C., Floyd, S.W., 2017. Strategic Planning Research: Toward a Theory-Driven Agenda, </w:t>
      </w:r>
      <w:r w:rsidRPr="00CD0532">
        <w:rPr>
          <w:rFonts w:ascii="Times New Roman" w:hAnsi="Times New Roman" w:cs="Times New Roman"/>
          <w:noProof/>
          <w:lang w:val="en-US"/>
        </w:rPr>
        <w:lastRenderedPageBreak/>
        <w:t>Journal of Management. doi:10.1177/0149206313478185</w:t>
      </w:r>
    </w:p>
    <w:p w14:paraId="1A835B90"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lang w:val="en-US"/>
        </w:rPr>
      </w:pPr>
      <w:r w:rsidRPr="00CD0532">
        <w:rPr>
          <w:rFonts w:ascii="Times New Roman" w:hAnsi="Times New Roman" w:cs="Times New Roman"/>
          <w:noProof/>
          <w:lang w:val="en-US"/>
        </w:rPr>
        <w:t>Wright, M., Clarysse, B., Lockett, A., Knockaert, M., 2008. Mid-range universities’ linkages with industry: Knowledge types and the role of intermediaries. Res. Policy 37, 1205–1223. doi:10.1016/j.respol.2008.04.021</w:t>
      </w:r>
    </w:p>
    <w:p w14:paraId="3C5C6972" w14:textId="77777777" w:rsidR="00CD0532" w:rsidRPr="00CD0532" w:rsidRDefault="00CD0532" w:rsidP="00141231">
      <w:pPr>
        <w:widowControl w:val="0"/>
        <w:autoSpaceDE w:val="0"/>
        <w:autoSpaceDN w:val="0"/>
        <w:adjustRightInd w:val="0"/>
        <w:spacing w:line="360" w:lineRule="auto"/>
        <w:ind w:left="480" w:hanging="480"/>
        <w:rPr>
          <w:rFonts w:ascii="Times New Roman" w:hAnsi="Times New Roman" w:cs="Times New Roman"/>
          <w:noProof/>
        </w:rPr>
      </w:pPr>
      <w:r w:rsidRPr="00CD0532">
        <w:rPr>
          <w:rFonts w:ascii="Times New Roman" w:hAnsi="Times New Roman" w:cs="Times New Roman"/>
          <w:noProof/>
          <w:lang w:val="en-US"/>
        </w:rPr>
        <w:t>Wu, W., 2010. Managing and incentivizing research commercialization in Chinese Universities. J. Technol. Transf. 35, 203–224. doi:10.1007/s10961-009-9116-4</w:t>
      </w:r>
    </w:p>
    <w:p w14:paraId="0275F8A7" w14:textId="53A31D16" w:rsidR="002745B6" w:rsidRDefault="005C76D1" w:rsidP="00141231">
      <w:pPr>
        <w:widowControl w:val="0"/>
        <w:autoSpaceDE w:val="0"/>
        <w:autoSpaceDN w:val="0"/>
        <w:adjustRightInd w:val="0"/>
        <w:spacing w:line="360" w:lineRule="auto"/>
        <w:ind w:left="480" w:hanging="480"/>
        <w:rPr>
          <w:rFonts w:ascii="Times New Roman" w:hAnsi="Times New Roman" w:cs="Times New Roman"/>
        </w:rPr>
      </w:pPr>
      <w:r>
        <w:rPr>
          <w:rFonts w:ascii="Times New Roman" w:hAnsi="Times New Roman" w:cs="Times New Roman"/>
        </w:rPr>
        <w:fldChar w:fldCharType="end"/>
      </w:r>
    </w:p>
    <w:p w14:paraId="1CECEC2F" w14:textId="7C1BDABA" w:rsidR="002745B6" w:rsidRDefault="002745B6" w:rsidP="00141231">
      <w:pPr>
        <w:widowControl w:val="0"/>
        <w:autoSpaceDE w:val="0"/>
        <w:autoSpaceDN w:val="0"/>
        <w:adjustRightInd w:val="0"/>
        <w:spacing w:line="360" w:lineRule="auto"/>
        <w:rPr>
          <w:rFonts w:ascii="Times New Roman" w:eastAsia="Times New Roman" w:hAnsi="Times New Roman" w:cs="Times New Roman"/>
          <w:noProof/>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eastAsia="Times New Roman" w:hAnsi="Times New Roman" w:cs="Times New Roman"/>
          <w:noProof/>
        </w:rPr>
        <w:br w:type="column"/>
      </w:r>
      <w:r>
        <w:rPr>
          <w:rFonts w:ascii="Times New Roman" w:eastAsia="Times New Roman" w:hAnsi="Times New Roman" w:cs="Times New Roman"/>
          <w:noProof/>
        </w:rPr>
        <w:lastRenderedPageBreak/>
        <w:t xml:space="preserve">Appendix 1: Confirmatory Factor Analysis - nested modelling  </w:t>
      </w:r>
    </w:p>
    <w:p w14:paraId="05E6EF84" w14:textId="339FB739" w:rsidR="00E31E9F" w:rsidRDefault="002745B6" w:rsidP="00141231">
      <w:pPr>
        <w:autoSpaceDE w:val="0"/>
        <w:autoSpaceDN w:val="0"/>
        <w:adjustRightInd w:val="0"/>
        <w:spacing w:line="360" w:lineRule="auto"/>
        <w:outlineLvl w:val="0"/>
        <w:rPr>
          <w:rFonts w:ascii="Times New Roman" w:hAnsi="Times New Roman" w:cs="Times New Roman"/>
        </w:rPr>
      </w:pPr>
      <w:r w:rsidRPr="009C79C2">
        <w:rPr>
          <w:rFonts w:ascii="Times New Roman" w:hAnsi="Times New Roman" w:cs="Times New Roman"/>
        </w:rPr>
        <w:t xml:space="preserve">Model 1 included all measurement items as one latent variable. This one factor model did not fit the data. We then tested a two-factor model (M2), and a three-factor (M3) model consists of mediator variable, output variable and the two attributes of technology transfer enablers (TTO support and provision of incentives) as a single factor to find out whether the two latter exogenous variables are part of a latent factor or are two correlated observed variables. </w:t>
      </w:r>
    </w:p>
    <w:p w14:paraId="3C212A6A" w14:textId="77777777" w:rsidR="00E31E9F" w:rsidRDefault="00E31E9F" w:rsidP="00141231">
      <w:pPr>
        <w:autoSpaceDE w:val="0"/>
        <w:autoSpaceDN w:val="0"/>
        <w:adjustRightInd w:val="0"/>
        <w:spacing w:line="360" w:lineRule="auto"/>
        <w:outlineLvl w:val="0"/>
        <w:rPr>
          <w:rFonts w:ascii="Times New Roman" w:hAnsi="Times New Roman" w:cs="Times New Roman"/>
        </w:rPr>
      </w:pPr>
    </w:p>
    <w:p w14:paraId="449B4D0C" w14:textId="77777777" w:rsidR="002745B6" w:rsidRPr="00EF66BB" w:rsidRDefault="002745B6" w:rsidP="00141231">
      <w:pPr>
        <w:autoSpaceDE w:val="0"/>
        <w:autoSpaceDN w:val="0"/>
        <w:adjustRightInd w:val="0"/>
        <w:spacing w:line="360" w:lineRule="auto"/>
        <w:outlineLvl w:val="0"/>
        <w:rPr>
          <w:rFonts w:ascii="Times New Roman" w:hAnsi="Times New Roman" w:cs="Times New Roman"/>
        </w:rPr>
      </w:pPr>
      <w:r>
        <w:rPr>
          <w:rFonts w:ascii="Times New Roman" w:hAnsi="Times New Roman" w:cs="Times New Roman"/>
        </w:rPr>
        <w:t xml:space="preserve">Table A: </w:t>
      </w:r>
      <w:r w:rsidRPr="00EF66BB">
        <w:rPr>
          <w:rFonts w:ascii="Times New Roman" w:hAnsi="Times New Roman" w:cs="Times New Roman"/>
        </w:rPr>
        <w:t xml:space="preserve">Confirmatory factor analysis: nested modelling </w:t>
      </w:r>
    </w:p>
    <w:tbl>
      <w:tblPr>
        <w:tblStyle w:val="TableGrid"/>
        <w:tblW w:w="0" w:type="auto"/>
        <w:tblLook w:val="04A0" w:firstRow="1" w:lastRow="0" w:firstColumn="1" w:lastColumn="0" w:noHBand="0" w:noVBand="1"/>
      </w:tblPr>
      <w:tblGrid>
        <w:gridCol w:w="2577"/>
        <w:gridCol w:w="1000"/>
        <w:gridCol w:w="832"/>
        <w:gridCol w:w="708"/>
        <w:gridCol w:w="708"/>
        <w:gridCol w:w="708"/>
        <w:gridCol w:w="765"/>
        <w:gridCol w:w="708"/>
        <w:gridCol w:w="1004"/>
      </w:tblGrid>
      <w:tr w:rsidR="002745B6" w:rsidRPr="00A151A5" w14:paraId="4D70C8C6" w14:textId="77777777" w:rsidTr="007B4FF2">
        <w:tc>
          <w:tcPr>
            <w:tcW w:w="2577" w:type="dxa"/>
          </w:tcPr>
          <w:p w14:paraId="14E79A42"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 xml:space="preserve">Model </w:t>
            </w:r>
          </w:p>
        </w:tc>
        <w:tc>
          <w:tcPr>
            <w:tcW w:w="1000" w:type="dxa"/>
          </w:tcPr>
          <w:p w14:paraId="141581BD"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eastAsia="TimesNewRoman" w:hAnsi="Times New Roman" w:cs="Times New Roman"/>
                <w:sz w:val="20"/>
                <w:szCs w:val="20"/>
              </w:rPr>
              <w:t>χ</w:t>
            </w:r>
            <w:r w:rsidRPr="00A151A5">
              <w:rPr>
                <w:rFonts w:ascii="Times New Roman" w:eastAsia="TimesNewRoman" w:hAnsi="Times New Roman" w:cs="Times New Roman"/>
                <w:sz w:val="20"/>
                <w:szCs w:val="20"/>
                <w:vertAlign w:val="superscript"/>
              </w:rPr>
              <w:t xml:space="preserve">2 </w:t>
            </w:r>
            <w:r w:rsidRPr="00A151A5">
              <w:rPr>
                <w:rFonts w:ascii="Times New Roman" w:eastAsia="TimesNewRoman" w:hAnsi="Times New Roman" w:cs="Times New Roman"/>
                <w:sz w:val="20"/>
                <w:szCs w:val="20"/>
              </w:rPr>
              <w:t>(</w:t>
            </w:r>
            <w:r w:rsidRPr="00A151A5">
              <w:rPr>
                <w:rFonts w:ascii="Times New Roman" w:eastAsia="TimesNewRoman" w:hAnsi="Times New Roman" w:cs="Times New Roman"/>
                <w:i/>
                <w:sz w:val="20"/>
                <w:szCs w:val="20"/>
              </w:rPr>
              <w:t>df</w:t>
            </w:r>
            <w:r w:rsidRPr="00A151A5">
              <w:rPr>
                <w:rFonts w:ascii="Times New Roman" w:eastAsia="TimesNewRoman" w:hAnsi="Times New Roman" w:cs="Times New Roman"/>
                <w:sz w:val="20"/>
                <w:szCs w:val="20"/>
              </w:rPr>
              <w:t>)</w:t>
            </w:r>
          </w:p>
        </w:tc>
        <w:tc>
          <w:tcPr>
            <w:tcW w:w="832" w:type="dxa"/>
          </w:tcPr>
          <w:p w14:paraId="181EE623"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eastAsia="TimesNewRoman" w:hAnsi="Times New Roman" w:cs="Times New Roman"/>
                <w:sz w:val="20"/>
                <w:szCs w:val="20"/>
              </w:rPr>
              <w:t>χ</w:t>
            </w:r>
            <w:r w:rsidRPr="00A151A5">
              <w:rPr>
                <w:rFonts w:ascii="Times New Roman" w:eastAsia="TimesNewRoman" w:hAnsi="Times New Roman" w:cs="Times New Roman"/>
                <w:sz w:val="20"/>
                <w:szCs w:val="20"/>
                <w:vertAlign w:val="superscript"/>
              </w:rPr>
              <w:t>2</w:t>
            </w:r>
            <w:r w:rsidRPr="00A151A5">
              <w:rPr>
                <w:rFonts w:ascii="Times New Roman" w:eastAsia="TimesNewRoman" w:hAnsi="Times New Roman" w:cs="Times New Roman"/>
                <w:sz w:val="20"/>
                <w:szCs w:val="20"/>
              </w:rPr>
              <w:t>/</w:t>
            </w:r>
            <w:r w:rsidRPr="00A151A5">
              <w:rPr>
                <w:rFonts w:ascii="Times New Roman" w:eastAsia="TimesNewRoman" w:hAnsi="Times New Roman" w:cs="Times New Roman"/>
                <w:i/>
                <w:sz w:val="20"/>
                <w:szCs w:val="20"/>
              </w:rPr>
              <w:t xml:space="preserve"> df</w:t>
            </w:r>
          </w:p>
        </w:tc>
        <w:tc>
          <w:tcPr>
            <w:tcW w:w="708" w:type="dxa"/>
          </w:tcPr>
          <w:p w14:paraId="746F8236" w14:textId="77777777" w:rsidR="002745B6" w:rsidRPr="00A151A5" w:rsidRDefault="002745B6" w:rsidP="00141231">
            <w:pPr>
              <w:pStyle w:val="NoSpacing"/>
              <w:rPr>
                <w:rFonts w:ascii="Times New Roman" w:hAnsi="Times New Roman" w:cs="Times New Roman"/>
                <w:i/>
                <w:sz w:val="20"/>
                <w:szCs w:val="20"/>
              </w:rPr>
            </w:pPr>
            <w:r w:rsidRPr="00A151A5">
              <w:rPr>
                <w:rFonts w:ascii="Times New Roman" w:hAnsi="Times New Roman" w:cs="Times New Roman"/>
                <w:i/>
                <w:sz w:val="20"/>
                <w:szCs w:val="20"/>
              </w:rPr>
              <w:t>p</w:t>
            </w:r>
          </w:p>
        </w:tc>
        <w:tc>
          <w:tcPr>
            <w:tcW w:w="708" w:type="dxa"/>
          </w:tcPr>
          <w:p w14:paraId="74E345FA"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CFI</w:t>
            </w:r>
          </w:p>
        </w:tc>
        <w:tc>
          <w:tcPr>
            <w:tcW w:w="708" w:type="dxa"/>
          </w:tcPr>
          <w:p w14:paraId="4E008B78"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IFI</w:t>
            </w:r>
          </w:p>
        </w:tc>
        <w:tc>
          <w:tcPr>
            <w:tcW w:w="765" w:type="dxa"/>
          </w:tcPr>
          <w:p w14:paraId="05F359FB"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TLI</w:t>
            </w:r>
          </w:p>
        </w:tc>
        <w:tc>
          <w:tcPr>
            <w:tcW w:w="708" w:type="dxa"/>
          </w:tcPr>
          <w:p w14:paraId="63CFAE6D"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 xml:space="preserve">GFI </w:t>
            </w:r>
          </w:p>
        </w:tc>
        <w:tc>
          <w:tcPr>
            <w:tcW w:w="1004" w:type="dxa"/>
          </w:tcPr>
          <w:p w14:paraId="316366F0"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RMSEA</w:t>
            </w:r>
          </w:p>
        </w:tc>
      </w:tr>
      <w:tr w:rsidR="002745B6" w:rsidRPr="00A151A5" w14:paraId="363826F6" w14:textId="77777777" w:rsidTr="007B4FF2">
        <w:tc>
          <w:tcPr>
            <w:tcW w:w="2577" w:type="dxa"/>
          </w:tcPr>
          <w:p w14:paraId="7AD3279F"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M1: one factor model (all items as one latent)</w:t>
            </w:r>
          </w:p>
        </w:tc>
        <w:tc>
          <w:tcPr>
            <w:tcW w:w="1000" w:type="dxa"/>
          </w:tcPr>
          <w:p w14:paraId="11A3FAD9"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45.14(20)</w:t>
            </w:r>
          </w:p>
        </w:tc>
        <w:tc>
          <w:tcPr>
            <w:tcW w:w="832" w:type="dxa"/>
          </w:tcPr>
          <w:p w14:paraId="5ADB0284"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2.257</w:t>
            </w:r>
          </w:p>
        </w:tc>
        <w:tc>
          <w:tcPr>
            <w:tcW w:w="708" w:type="dxa"/>
          </w:tcPr>
          <w:p w14:paraId="1EFC57D3"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0.001</w:t>
            </w:r>
          </w:p>
        </w:tc>
        <w:tc>
          <w:tcPr>
            <w:tcW w:w="708" w:type="dxa"/>
          </w:tcPr>
          <w:p w14:paraId="51C1F345"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0.895</w:t>
            </w:r>
          </w:p>
        </w:tc>
        <w:tc>
          <w:tcPr>
            <w:tcW w:w="708" w:type="dxa"/>
          </w:tcPr>
          <w:p w14:paraId="189E920F"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0.899</w:t>
            </w:r>
          </w:p>
        </w:tc>
        <w:tc>
          <w:tcPr>
            <w:tcW w:w="765" w:type="dxa"/>
          </w:tcPr>
          <w:p w14:paraId="165603D2"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0.853</w:t>
            </w:r>
          </w:p>
        </w:tc>
        <w:tc>
          <w:tcPr>
            <w:tcW w:w="708" w:type="dxa"/>
          </w:tcPr>
          <w:p w14:paraId="7CDD55DE"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0.915</w:t>
            </w:r>
          </w:p>
        </w:tc>
        <w:tc>
          <w:tcPr>
            <w:tcW w:w="1004" w:type="dxa"/>
          </w:tcPr>
          <w:p w14:paraId="523429E5"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0.102</w:t>
            </w:r>
          </w:p>
        </w:tc>
      </w:tr>
      <w:tr w:rsidR="002745B6" w:rsidRPr="00A151A5" w14:paraId="542CEF97" w14:textId="77777777" w:rsidTr="007B4FF2">
        <w:tc>
          <w:tcPr>
            <w:tcW w:w="2577" w:type="dxa"/>
          </w:tcPr>
          <w:p w14:paraId="233B6D02"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M2: two factor model</w:t>
            </w:r>
          </w:p>
          <w:p w14:paraId="39D19DB3"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(Mediator &amp; Outcome as latent factors)</w:t>
            </w:r>
          </w:p>
        </w:tc>
        <w:tc>
          <w:tcPr>
            <w:tcW w:w="1000" w:type="dxa"/>
          </w:tcPr>
          <w:p w14:paraId="399BA9CE"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14.23(8)</w:t>
            </w:r>
          </w:p>
        </w:tc>
        <w:tc>
          <w:tcPr>
            <w:tcW w:w="832" w:type="dxa"/>
          </w:tcPr>
          <w:p w14:paraId="23CE0C25"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1.779</w:t>
            </w:r>
          </w:p>
        </w:tc>
        <w:tc>
          <w:tcPr>
            <w:tcW w:w="708" w:type="dxa"/>
          </w:tcPr>
          <w:p w14:paraId="32B4A5C8"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0.076</w:t>
            </w:r>
          </w:p>
        </w:tc>
        <w:tc>
          <w:tcPr>
            <w:tcW w:w="708" w:type="dxa"/>
          </w:tcPr>
          <w:p w14:paraId="5748C84A"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0.969</w:t>
            </w:r>
          </w:p>
        </w:tc>
        <w:tc>
          <w:tcPr>
            <w:tcW w:w="708" w:type="dxa"/>
          </w:tcPr>
          <w:p w14:paraId="1E38A889"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0.970</w:t>
            </w:r>
          </w:p>
        </w:tc>
        <w:tc>
          <w:tcPr>
            <w:tcW w:w="765" w:type="dxa"/>
          </w:tcPr>
          <w:p w14:paraId="7EA64796"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0.942</w:t>
            </w:r>
          </w:p>
        </w:tc>
        <w:tc>
          <w:tcPr>
            <w:tcW w:w="708" w:type="dxa"/>
          </w:tcPr>
          <w:p w14:paraId="4C15520F"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0.964</w:t>
            </w:r>
          </w:p>
        </w:tc>
        <w:tc>
          <w:tcPr>
            <w:tcW w:w="1004" w:type="dxa"/>
          </w:tcPr>
          <w:p w14:paraId="68F9D9FF"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0.071</w:t>
            </w:r>
          </w:p>
        </w:tc>
      </w:tr>
      <w:tr w:rsidR="002745B6" w:rsidRPr="00A151A5" w14:paraId="2369E773" w14:textId="77777777" w:rsidTr="007B4FF2">
        <w:tc>
          <w:tcPr>
            <w:tcW w:w="2577" w:type="dxa"/>
          </w:tcPr>
          <w:p w14:paraId="5AF05988"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 xml:space="preserve">M3: three factor model (Mediator, Output &amp; exogenous as 3 latent variables) </w:t>
            </w:r>
          </w:p>
        </w:tc>
        <w:tc>
          <w:tcPr>
            <w:tcW w:w="1000" w:type="dxa"/>
          </w:tcPr>
          <w:p w14:paraId="51A7A2E7"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40.27(17)</w:t>
            </w:r>
          </w:p>
        </w:tc>
        <w:tc>
          <w:tcPr>
            <w:tcW w:w="832" w:type="dxa"/>
          </w:tcPr>
          <w:p w14:paraId="2721525C"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2.369</w:t>
            </w:r>
          </w:p>
        </w:tc>
        <w:tc>
          <w:tcPr>
            <w:tcW w:w="708" w:type="dxa"/>
          </w:tcPr>
          <w:p w14:paraId="4461501D"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0.001</w:t>
            </w:r>
          </w:p>
        </w:tc>
        <w:tc>
          <w:tcPr>
            <w:tcW w:w="708" w:type="dxa"/>
          </w:tcPr>
          <w:p w14:paraId="644B4751"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0.903</w:t>
            </w:r>
          </w:p>
        </w:tc>
        <w:tc>
          <w:tcPr>
            <w:tcW w:w="708" w:type="dxa"/>
          </w:tcPr>
          <w:p w14:paraId="36FBE603"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0.907</w:t>
            </w:r>
          </w:p>
        </w:tc>
        <w:tc>
          <w:tcPr>
            <w:tcW w:w="765" w:type="dxa"/>
          </w:tcPr>
          <w:p w14:paraId="78B3D708"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0.840</w:t>
            </w:r>
          </w:p>
        </w:tc>
        <w:tc>
          <w:tcPr>
            <w:tcW w:w="708" w:type="dxa"/>
          </w:tcPr>
          <w:p w14:paraId="264D34DC"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0.929</w:t>
            </w:r>
          </w:p>
        </w:tc>
        <w:tc>
          <w:tcPr>
            <w:tcW w:w="1004" w:type="dxa"/>
          </w:tcPr>
          <w:p w14:paraId="7AF1A593"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0.107</w:t>
            </w:r>
          </w:p>
        </w:tc>
      </w:tr>
      <w:tr w:rsidR="002745B6" w:rsidRPr="00A151A5" w14:paraId="2E769B26" w14:textId="77777777" w:rsidTr="007B4FF2">
        <w:trPr>
          <w:trHeight w:val="754"/>
        </w:trPr>
        <w:tc>
          <w:tcPr>
            <w:tcW w:w="9010" w:type="dxa"/>
            <w:gridSpan w:val="9"/>
          </w:tcPr>
          <w:p w14:paraId="30E0E1BF" w14:textId="77777777" w:rsidR="002745B6" w:rsidRPr="00A151A5" w:rsidRDefault="002745B6" w:rsidP="00141231">
            <w:pPr>
              <w:pStyle w:val="NoSpacing"/>
              <w:rPr>
                <w:rFonts w:ascii="Times New Roman" w:hAnsi="Times New Roman" w:cs="Times New Roman"/>
                <w:sz w:val="20"/>
                <w:szCs w:val="20"/>
              </w:rPr>
            </w:pPr>
            <w:r w:rsidRPr="00A151A5">
              <w:rPr>
                <w:rFonts w:ascii="Times New Roman" w:hAnsi="Times New Roman" w:cs="Times New Roman"/>
                <w:sz w:val="20"/>
                <w:szCs w:val="20"/>
              </w:rPr>
              <w:t xml:space="preserve">M2: </w:t>
            </w:r>
          </w:p>
          <w:p w14:paraId="3E41345A"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Factor 1(</w:t>
            </w:r>
            <w:r>
              <w:rPr>
                <w:rFonts w:ascii="Times New Roman" w:hAnsi="Times New Roman" w:cs="Times New Roman"/>
                <w:sz w:val="20"/>
                <w:szCs w:val="20"/>
              </w:rPr>
              <w:t>Technology Transfer Strategic Priority</w:t>
            </w:r>
            <w:r w:rsidRPr="00F97854">
              <w:rPr>
                <w:rFonts w:ascii="Times New Roman" w:hAnsi="Times New Roman" w:cs="Times New Roman"/>
                <w:sz w:val="20"/>
                <w:szCs w:val="20"/>
              </w:rPr>
              <w:t xml:space="preserve"> - Mediator): 3 items, Cronbach α = 0.62; composite reliability = 0.692; AVE = 0.49</w:t>
            </w:r>
          </w:p>
          <w:p w14:paraId="668243F9"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 xml:space="preserve">Factor 2 (Technology Transfer Effectiveness – Outcome): 3 items, Cronbach α = 0.83; composite reliability = 0.91; AVE = 7.1 </w:t>
            </w:r>
          </w:p>
        </w:tc>
      </w:tr>
    </w:tbl>
    <w:p w14:paraId="172AC5AB" w14:textId="77777777" w:rsidR="002745B6" w:rsidRPr="009C79C2" w:rsidRDefault="002745B6" w:rsidP="00141231">
      <w:pPr>
        <w:pStyle w:val="FootnoteText"/>
        <w:rPr>
          <w:rFonts w:ascii="Times New Roman" w:hAnsi="Times New Roman" w:cs="Times New Roman"/>
        </w:rPr>
      </w:pPr>
      <w:r w:rsidRPr="009C79C2">
        <w:rPr>
          <w:rFonts w:ascii="Times New Roman" w:hAnsi="Times New Roman" w:cs="Times New Roman"/>
        </w:rPr>
        <w:t xml:space="preserve">Common method variance – as all items in the SEM model were not collected from the same source, common method variance is not a major problem in this study. However, we used the nested modelling to test any potential common method variance following </w:t>
      </w:r>
      <w:r w:rsidRPr="009C79C2">
        <w:rPr>
          <w:rFonts w:ascii="Times New Roman" w:hAnsi="Times New Roman" w:cs="Times New Roman"/>
          <w:color w:val="000000"/>
        </w:rPr>
        <w:t>Malhotra et al’s recommendations. Here all items in the SEM model are recoded to allow similar scaling across measures and used a single latent variable model as the base model in our nested modelling (model 1). The fit indexes indicated that the model consisting of a single latent variable has a very poor fit.</w:t>
      </w:r>
    </w:p>
    <w:p w14:paraId="5EEDE1D3" w14:textId="77777777" w:rsidR="002745B6" w:rsidRPr="005A4025" w:rsidRDefault="002745B6" w:rsidP="00141231">
      <w:pPr>
        <w:widowControl w:val="0"/>
        <w:autoSpaceDE w:val="0"/>
        <w:autoSpaceDN w:val="0"/>
        <w:adjustRightInd w:val="0"/>
        <w:spacing w:line="360" w:lineRule="auto"/>
        <w:ind w:left="480" w:hanging="480"/>
        <w:rPr>
          <w:rFonts w:ascii="Times New Roman" w:hAnsi="Times New Roman" w:cs="Times New Roman"/>
          <w:noProof/>
        </w:rPr>
      </w:pPr>
    </w:p>
    <w:p w14:paraId="66FD3809" w14:textId="5DB902AB" w:rsidR="002745B6" w:rsidRDefault="002745B6" w:rsidP="00141231">
      <w:pPr>
        <w:autoSpaceDE w:val="0"/>
        <w:autoSpaceDN w:val="0"/>
        <w:adjustRightInd w:val="0"/>
        <w:spacing w:line="360" w:lineRule="auto"/>
        <w:outlineLvl w:val="0"/>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t>Appendix 2: Structural Equation Model: nested models</w:t>
      </w:r>
    </w:p>
    <w:p w14:paraId="1B5BB00D" w14:textId="77777777" w:rsidR="002745B6" w:rsidRPr="00D21852" w:rsidRDefault="002745B6" w:rsidP="00141231">
      <w:pPr>
        <w:pStyle w:val="FootnoteText"/>
        <w:spacing w:line="360" w:lineRule="auto"/>
        <w:rPr>
          <w:rFonts w:ascii="Times New Roman" w:hAnsi="Times New Roman" w:cs="Times New Roman"/>
          <w:sz w:val="22"/>
          <w:szCs w:val="22"/>
        </w:rPr>
      </w:pPr>
      <w:r w:rsidRPr="00D21852">
        <w:rPr>
          <w:rFonts w:ascii="Times New Roman" w:hAnsi="Times New Roman" w:cs="Times New Roman"/>
          <w:sz w:val="22"/>
          <w:szCs w:val="22"/>
        </w:rPr>
        <w:t xml:space="preserve"> In the null model (Model 1)no relationships are posited; in the direct model (Model 2) the direct effects of the two exogenous variables and the direct effect of the mediator on the output variable are tested; the partial mediation model (Model 3) includes both direct and mediated effects of the TTO support and the provision of incentives; the hypothesised full mediation model (Model 4) includes indirect effects of the TTO support on TT effectiveness (H1) and the indirect effects of the provision of incentives and TT effectiveness (H2).</w:t>
      </w:r>
    </w:p>
    <w:p w14:paraId="277DA316" w14:textId="77777777" w:rsidR="002745B6" w:rsidRPr="00EF66BB" w:rsidRDefault="002745B6" w:rsidP="00141231">
      <w:pPr>
        <w:autoSpaceDE w:val="0"/>
        <w:autoSpaceDN w:val="0"/>
        <w:adjustRightInd w:val="0"/>
        <w:spacing w:line="360" w:lineRule="auto"/>
        <w:outlineLvl w:val="0"/>
        <w:rPr>
          <w:rFonts w:ascii="Times New Roman" w:hAnsi="Times New Roman" w:cs="Times New Roman"/>
        </w:rPr>
      </w:pPr>
    </w:p>
    <w:p w14:paraId="6EFB325F" w14:textId="77777777" w:rsidR="00BA1F27" w:rsidRDefault="00BA1F27" w:rsidP="00141231">
      <w:pPr>
        <w:autoSpaceDE w:val="0"/>
        <w:autoSpaceDN w:val="0"/>
        <w:adjustRightInd w:val="0"/>
        <w:spacing w:line="360" w:lineRule="auto"/>
        <w:outlineLvl w:val="0"/>
        <w:rPr>
          <w:rFonts w:ascii="Times New Roman" w:hAnsi="Times New Roman" w:cs="Times New Roman"/>
        </w:rPr>
      </w:pPr>
    </w:p>
    <w:p w14:paraId="64D703B1" w14:textId="77777777" w:rsidR="00BA1F27" w:rsidRDefault="00BA1F27" w:rsidP="00141231">
      <w:pPr>
        <w:autoSpaceDE w:val="0"/>
        <w:autoSpaceDN w:val="0"/>
        <w:adjustRightInd w:val="0"/>
        <w:spacing w:line="360" w:lineRule="auto"/>
        <w:outlineLvl w:val="0"/>
        <w:rPr>
          <w:rFonts w:ascii="Times New Roman" w:hAnsi="Times New Roman" w:cs="Times New Roman"/>
        </w:rPr>
      </w:pPr>
    </w:p>
    <w:p w14:paraId="781E4C72" w14:textId="77777777" w:rsidR="00BA1F27" w:rsidRDefault="00BA1F27" w:rsidP="00141231">
      <w:pPr>
        <w:autoSpaceDE w:val="0"/>
        <w:autoSpaceDN w:val="0"/>
        <w:adjustRightInd w:val="0"/>
        <w:spacing w:line="360" w:lineRule="auto"/>
        <w:outlineLvl w:val="0"/>
        <w:rPr>
          <w:rFonts w:ascii="Times New Roman" w:hAnsi="Times New Roman" w:cs="Times New Roman"/>
        </w:rPr>
      </w:pPr>
    </w:p>
    <w:p w14:paraId="4BB187C4" w14:textId="77777777" w:rsidR="00BA1F27" w:rsidRDefault="00BA1F27" w:rsidP="00141231">
      <w:pPr>
        <w:autoSpaceDE w:val="0"/>
        <w:autoSpaceDN w:val="0"/>
        <w:adjustRightInd w:val="0"/>
        <w:spacing w:line="360" w:lineRule="auto"/>
        <w:outlineLvl w:val="0"/>
        <w:rPr>
          <w:rFonts w:ascii="Times New Roman" w:hAnsi="Times New Roman" w:cs="Times New Roman"/>
        </w:rPr>
      </w:pPr>
    </w:p>
    <w:p w14:paraId="773F3C46" w14:textId="77777777" w:rsidR="00BA1F27" w:rsidRDefault="00BA1F27" w:rsidP="00141231">
      <w:pPr>
        <w:autoSpaceDE w:val="0"/>
        <w:autoSpaceDN w:val="0"/>
        <w:adjustRightInd w:val="0"/>
        <w:spacing w:line="360" w:lineRule="auto"/>
        <w:outlineLvl w:val="0"/>
        <w:rPr>
          <w:rFonts w:ascii="Times New Roman" w:hAnsi="Times New Roman" w:cs="Times New Roman"/>
        </w:rPr>
      </w:pPr>
    </w:p>
    <w:p w14:paraId="19E65DF5" w14:textId="74B24CF5" w:rsidR="002745B6" w:rsidRPr="00EF66BB" w:rsidRDefault="002745B6" w:rsidP="00141231">
      <w:pPr>
        <w:autoSpaceDE w:val="0"/>
        <w:autoSpaceDN w:val="0"/>
        <w:adjustRightInd w:val="0"/>
        <w:spacing w:line="360" w:lineRule="auto"/>
        <w:outlineLvl w:val="0"/>
        <w:rPr>
          <w:rFonts w:ascii="Times New Roman" w:hAnsi="Times New Roman" w:cs="Times New Roman"/>
        </w:rPr>
      </w:pPr>
      <w:r w:rsidRPr="00EF66BB">
        <w:rPr>
          <w:rFonts w:ascii="Times New Roman" w:hAnsi="Times New Roman" w:cs="Times New Roman"/>
        </w:rPr>
        <w:lastRenderedPageBreak/>
        <w:t xml:space="preserve">Table </w:t>
      </w:r>
      <w:r>
        <w:rPr>
          <w:rFonts w:ascii="Times New Roman" w:hAnsi="Times New Roman" w:cs="Times New Roman"/>
        </w:rPr>
        <w:t>B</w:t>
      </w:r>
      <w:r w:rsidRPr="00EF66BB">
        <w:rPr>
          <w:rFonts w:ascii="Times New Roman" w:hAnsi="Times New Roman" w:cs="Times New Roman"/>
        </w:rPr>
        <w:t xml:space="preserve">: Structural Equation model: nested modelling </w:t>
      </w:r>
    </w:p>
    <w:tbl>
      <w:tblPr>
        <w:tblStyle w:val="TableGrid"/>
        <w:tblW w:w="0" w:type="auto"/>
        <w:tblLook w:val="04A0" w:firstRow="1" w:lastRow="0" w:firstColumn="1" w:lastColumn="0" w:noHBand="0" w:noVBand="1"/>
      </w:tblPr>
      <w:tblGrid>
        <w:gridCol w:w="1825"/>
        <w:gridCol w:w="1168"/>
        <w:gridCol w:w="795"/>
        <w:gridCol w:w="796"/>
        <w:gridCol w:w="842"/>
        <w:gridCol w:w="842"/>
        <w:gridCol w:w="843"/>
        <w:gridCol w:w="830"/>
        <w:gridCol w:w="1075"/>
      </w:tblGrid>
      <w:tr w:rsidR="002745B6" w:rsidRPr="00813ACC" w14:paraId="4D24CC07" w14:textId="77777777" w:rsidTr="007B4FF2">
        <w:tc>
          <w:tcPr>
            <w:tcW w:w="1825" w:type="dxa"/>
          </w:tcPr>
          <w:p w14:paraId="35AF471D"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 xml:space="preserve">Model </w:t>
            </w:r>
          </w:p>
        </w:tc>
        <w:tc>
          <w:tcPr>
            <w:tcW w:w="1168" w:type="dxa"/>
          </w:tcPr>
          <w:p w14:paraId="2047E579"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eastAsia="TimesNewRoman" w:hAnsi="Times New Roman" w:cs="Times New Roman"/>
                <w:sz w:val="20"/>
                <w:szCs w:val="20"/>
              </w:rPr>
              <w:t>χ</w:t>
            </w:r>
            <w:r w:rsidRPr="00F97854">
              <w:rPr>
                <w:rFonts w:ascii="Times New Roman" w:eastAsia="TimesNewRoman" w:hAnsi="Times New Roman" w:cs="Times New Roman"/>
                <w:sz w:val="20"/>
                <w:szCs w:val="20"/>
                <w:vertAlign w:val="superscript"/>
              </w:rPr>
              <w:t xml:space="preserve">2 </w:t>
            </w:r>
            <w:r w:rsidRPr="00F97854">
              <w:rPr>
                <w:rFonts w:ascii="Times New Roman" w:eastAsia="TimesNewRoman" w:hAnsi="Times New Roman" w:cs="Times New Roman"/>
                <w:sz w:val="20"/>
                <w:szCs w:val="20"/>
              </w:rPr>
              <w:t>(</w:t>
            </w:r>
            <w:proofErr w:type="spellStart"/>
            <w:r w:rsidRPr="00F97854">
              <w:rPr>
                <w:rFonts w:ascii="Times New Roman" w:eastAsia="TimesNewRoman" w:hAnsi="Times New Roman" w:cs="Times New Roman"/>
                <w:i/>
                <w:sz w:val="20"/>
                <w:szCs w:val="20"/>
              </w:rPr>
              <w:t>df</w:t>
            </w:r>
            <w:proofErr w:type="spellEnd"/>
            <w:r w:rsidRPr="00F97854">
              <w:rPr>
                <w:rFonts w:ascii="Times New Roman" w:eastAsia="TimesNewRoman" w:hAnsi="Times New Roman" w:cs="Times New Roman"/>
                <w:sz w:val="20"/>
                <w:szCs w:val="20"/>
              </w:rPr>
              <w:t>)</w:t>
            </w:r>
          </w:p>
        </w:tc>
        <w:tc>
          <w:tcPr>
            <w:tcW w:w="795" w:type="dxa"/>
          </w:tcPr>
          <w:p w14:paraId="013B26CE"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eastAsia="TimesNewRoman" w:hAnsi="Times New Roman" w:cs="Times New Roman"/>
                <w:sz w:val="20"/>
                <w:szCs w:val="20"/>
              </w:rPr>
              <w:t>χ</w:t>
            </w:r>
            <w:r w:rsidRPr="00F97854">
              <w:rPr>
                <w:rFonts w:ascii="Times New Roman" w:eastAsia="TimesNewRoman" w:hAnsi="Times New Roman" w:cs="Times New Roman"/>
                <w:sz w:val="20"/>
                <w:szCs w:val="20"/>
                <w:vertAlign w:val="superscript"/>
              </w:rPr>
              <w:t>2</w:t>
            </w:r>
            <w:r w:rsidRPr="00F97854">
              <w:rPr>
                <w:rFonts w:ascii="Times New Roman" w:eastAsia="TimesNewRoman" w:hAnsi="Times New Roman" w:cs="Times New Roman"/>
                <w:sz w:val="20"/>
                <w:szCs w:val="20"/>
              </w:rPr>
              <w:t>/</w:t>
            </w:r>
            <w:r w:rsidRPr="00F97854">
              <w:rPr>
                <w:rFonts w:ascii="Times New Roman" w:eastAsia="TimesNewRoman" w:hAnsi="Times New Roman" w:cs="Times New Roman"/>
                <w:i/>
                <w:sz w:val="20"/>
                <w:szCs w:val="20"/>
              </w:rPr>
              <w:t xml:space="preserve"> </w:t>
            </w:r>
            <w:proofErr w:type="spellStart"/>
            <w:r w:rsidRPr="00F97854">
              <w:rPr>
                <w:rFonts w:ascii="Times New Roman" w:eastAsia="TimesNewRoman" w:hAnsi="Times New Roman" w:cs="Times New Roman"/>
                <w:i/>
                <w:sz w:val="20"/>
                <w:szCs w:val="20"/>
              </w:rPr>
              <w:t>df</w:t>
            </w:r>
            <w:proofErr w:type="spellEnd"/>
          </w:p>
        </w:tc>
        <w:tc>
          <w:tcPr>
            <w:tcW w:w="796" w:type="dxa"/>
          </w:tcPr>
          <w:p w14:paraId="554C6A20" w14:textId="77777777" w:rsidR="002745B6" w:rsidRPr="00F97854" w:rsidRDefault="002745B6" w:rsidP="00141231">
            <w:pPr>
              <w:pStyle w:val="NoSpacing"/>
              <w:rPr>
                <w:rFonts w:ascii="Times New Roman" w:hAnsi="Times New Roman" w:cs="Times New Roman"/>
                <w:i/>
                <w:sz w:val="20"/>
                <w:szCs w:val="20"/>
              </w:rPr>
            </w:pPr>
            <w:r w:rsidRPr="00F97854">
              <w:rPr>
                <w:rFonts w:ascii="Times New Roman" w:hAnsi="Times New Roman" w:cs="Times New Roman"/>
                <w:i/>
                <w:sz w:val="20"/>
                <w:szCs w:val="20"/>
              </w:rPr>
              <w:t>p</w:t>
            </w:r>
          </w:p>
        </w:tc>
        <w:tc>
          <w:tcPr>
            <w:tcW w:w="842" w:type="dxa"/>
          </w:tcPr>
          <w:p w14:paraId="6F903DCB"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CFI</w:t>
            </w:r>
          </w:p>
        </w:tc>
        <w:tc>
          <w:tcPr>
            <w:tcW w:w="842" w:type="dxa"/>
          </w:tcPr>
          <w:p w14:paraId="0B9F76D5"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IFI</w:t>
            </w:r>
          </w:p>
        </w:tc>
        <w:tc>
          <w:tcPr>
            <w:tcW w:w="843" w:type="dxa"/>
          </w:tcPr>
          <w:p w14:paraId="7F9E7402"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TLI</w:t>
            </w:r>
          </w:p>
        </w:tc>
        <w:tc>
          <w:tcPr>
            <w:tcW w:w="830" w:type="dxa"/>
          </w:tcPr>
          <w:p w14:paraId="7CD57E7D"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GFI</w:t>
            </w:r>
          </w:p>
        </w:tc>
        <w:tc>
          <w:tcPr>
            <w:tcW w:w="1075" w:type="dxa"/>
          </w:tcPr>
          <w:p w14:paraId="256274BA"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RMSEA</w:t>
            </w:r>
          </w:p>
        </w:tc>
      </w:tr>
      <w:tr w:rsidR="002745B6" w:rsidRPr="00813ACC" w14:paraId="7DBC1C7A" w14:textId="77777777" w:rsidTr="007B4FF2">
        <w:tc>
          <w:tcPr>
            <w:tcW w:w="1825" w:type="dxa"/>
          </w:tcPr>
          <w:p w14:paraId="17B3F4D3"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M1: Null model</w:t>
            </w:r>
          </w:p>
        </w:tc>
        <w:tc>
          <w:tcPr>
            <w:tcW w:w="1168" w:type="dxa"/>
          </w:tcPr>
          <w:p w14:paraId="6DC3F2AE"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109.09(37)</w:t>
            </w:r>
          </w:p>
        </w:tc>
        <w:tc>
          <w:tcPr>
            <w:tcW w:w="795" w:type="dxa"/>
          </w:tcPr>
          <w:p w14:paraId="1141E79D"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2.948</w:t>
            </w:r>
          </w:p>
        </w:tc>
        <w:tc>
          <w:tcPr>
            <w:tcW w:w="796" w:type="dxa"/>
          </w:tcPr>
          <w:p w14:paraId="285F22D1"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0.000</w:t>
            </w:r>
          </w:p>
        </w:tc>
        <w:tc>
          <w:tcPr>
            <w:tcW w:w="842" w:type="dxa"/>
          </w:tcPr>
          <w:p w14:paraId="64C768EA"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.678</w:t>
            </w:r>
          </w:p>
        </w:tc>
        <w:tc>
          <w:tcPr>
            <w:tcW w:w="842" w:type="dxa"/>
          </w:tcPr>
          <w:p w14:paraId="5110D3AA"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.689</w:t>
            </w:r>
          </w:p>
        </w:tc>
        <w:tc>
          <w:tcPr>
            <w:tcW w:w="843" w:type="dxa"/>
          </w:tcPr>
          <w:p w14:paraId="0D9507DD"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.608</w:t>
            </w:r>
          </w:p>
        </w:tc>
        <w:tc>
          <w:tcPr>
            <w:tcW w:w="830" w:type="dxa"/>
          </w:tcPr>
          <w:p w14:paraId="295B5A5D"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.830</w:t>
            </w:r>
          </w:p>
        </w:tc>
        <w:tc>
          <w:tcPr>
            <w:tcW w:w="1075" w:type="dxa"/>
          </w:tcPr>
          <w:p w14:paraId="30A67AA7"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0.127</w:t>
            </w:r>
          </w:p>
        </w:tc>
      </w:tr>
      <w:tr w:rsidR="002745B6" w:rsidRPr="00813ACC" w14:paraId="78FD3059" w14:textId="77777777" w:rsidTr="007B4FF2">
        <w:tc>
          <w:tcPr>
            <w:tcW w:w="1825" w:type="dxa"/>
          </w:tcPr>
          <w:p w14:paraId="349D5CEC"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M2: Direct model</w:t>
            </w:r>
          </w:p>
        </w:tc>
        <w:tc>
          <w:tcPr>
            <w:tcW w:w="1168" w:type="dxa"/>
          </w:tcPr>
          <w:p w14:paraId="14029318"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60.57(32)</w:t>
            </w:r>
          </w:p>
        </w:tc>
        <w:tc>
          <w:tcPr>
            <w:tcW w:w="795" w:type="dxa"/>
          </w:tcPr>
          <w:p w14:paraId="41D1AC87"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1.893</w:t>
            </w:r>
          </w:p>
        </w:tc>
        <w:tc>
          <w:tcPr>
            <w:tcW w:w="796" w:type="dxa"/>
          </w:tcPr>
          <w:p w14:paraId="23D48259"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0.002</w:t>
            </w:r>
          </w:p>
        </w:tc>
        <w:tc>
          <w:tcPr>
            <w:tcW w:w="842" w:type="dxa"/>
          </w:tcPr>
          <w:p w14:paraId="2A9958DD"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.872</w:t>
            </w:r>
          </w:p>
        </w:tc>
        <w:tc>
          <w:tcPr>
            <w:tcW w:w="842" w:type="dxa"/>
          </w:tcPr>
          <w:p w14:paraId="57F2E988"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.879</w:t>
            </w:r>
          </w:p>
        </w:tc>
        <w:tc>
          <w:tcPr>
            <w:tcW w:w="843" w:type="dxa"/>
          </w:tcPr>
          <w:p w14:paraId="1CF5D8AE"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.820</w:t>
            </w:r>
          </w:p>
        </w:tc>
        <w:tc>
          <w:tcPr>
            <w:tcW w:w="830" w:type="dxa"/>
          </w:tcPr>
          <w:p w14:paraId="1E864F9F"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.914</w:t>
            </w:r>
          </w:p>
        </w:tc>
        <w:tc>
          <w:tcPr>
            <w:tcW w:w="1075" w:type="dxa"/>
          </w:tcPr>
          <w:p w14:paraId="21A95A62"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0.086</w:t>
            </w:r>
          </w:p>
        </w:tc>
      </w:tr>
      <w:tr w:rsidR="002745B6" w:rsidRPr="00813ACC" w14:paraId="3D7588DA" w14:textId="77777777" w:rsidTr="007B4FF2">
        <w:tc>
          <w:tcPr>
            <w:tcW w:w="1825" w:type="dxa"/>
          </w:tcPr>
          <w:p w14:paraId="2434C2DD"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 xml:space="preserve">M3: Partial mediation </w:t>
            </w:r>
          </w:p>
        </w:tc>
        <w:tc>
          <w:tcPr>
            <w:tcW w:w="1168" w:type="dxa"/>
          </w:tcPr>
          <w:p w14:paraId="17246DEE"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35.06(29)</w:t>
            </w:r>
          </w:p>
        </w:tc>
        <w:tc>
          <w:tcPr>
            <w:tcW w:w="795" w:type="dxa"/>
          </w:tcPr>
          <w:p w14:paraId="6B9A0E89"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1.209</w:t>
            </w:r>
          </w:p>
        </w:tc>
        <w:tc>
          <w:tcPr>
            <w:tcW w:w="796" w:type="dxa"/>
          </w:tcPr>
          <w:p w14:paraId="102C9E20"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0.203</w:t>
            </w:r>
          </w:p>
        </w:tc>
        <w:tc>
          <w:tcPr>
            <w:tcW w:w="842" w:type="dxa"/>
          </w:tcPr>
          <w:p w14:paraId="1ABAEAF3"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.973</w:t>
            </w:r>
          </w:p>
        </w:tc>
        <w:tc>
          <w:tcPr>
            <w:tcW w:w="842" w:type="dxa"/>
          </w:tcPr>
          <w:p w14:paraId="0FD41E08"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.975</w:t>
            </w:r>
          </w:p>
        </w:tc>
        <w:tc>
          <w:tcPr>
            <w:tcW w:w="843" w:type="dxa"/>
          </w:tcPr>
          <w:p w14:paraId="5790E3C2"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.958</w:t>
            </w:r>
          </w:p>
        </w:tc>
        <w:tc>
          <w:tcPr>
            <w:tcW w:w="830" w:type="dxa"/>
          </w:tcPr>
          <w:p w14:paraId="6C7E74EC"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.948</w:t>
            </w:r>
          </w:p>
        </w:tc>
        <w:tc>
          <w:tcPr>
            <w:tcW w:w="1075" w:type="dxa"/>
          </w:tcPr>
          <w:p w14:paraId="4A586DB5"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0.042</w:t>
            </w:r>
          </w:p>
        </w:tc>
      </w:tr>
      <w:tr w:rsidR="002745B6" w:rsidRPr="00813ACC" w14:paraId="52BC542A" w14:textId="77777777" w:rsidTr="007B4FF2">
        <w:tc>
          <w:tcPr>
            <w:tcW w:w="1825" w:type="dxa"/>
          </w:tcPr>
          <w:p w14:paraId="610FF3B4"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M4: Full mediation</w:t>
            </w:r>
          </w:p>
        </w:tc>
        <w:tc>
          <w:tcPr>
            <w:tcW w:w="1168" w:type="dxa"/>
          </w:tcPr>
          <w:p w14:paraId="3C05186F"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36.37(31)</w:t>
            </w:r>
          </w:p>
        </w:tc>
        <w:tc>
          <w:tcPr>
            <w:tcW w:w="795" w:type="dxa"/>
          </w:tcPr>
          <w:p w14:paraId="2A871E36"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1.173</w:t>
            </w:r>
          </w:p>
        </w:tc>
        <w:tc>
          <w:tcPr>
            <w:tcW w:w="796" w:type="dxa"/>
          </w:tcPr>
          <w:p w14:paraId="1C9EC6D3"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0.233</w:t>
            </w:r>
          </w:p>
        </w:tc>
        <w:tc>
          <w:tcPr>
            <w:tcW w:w="842" w:type="dxa"/>
          </w:tcPr>
          <w:p w14:paraId="123E51E4"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.976</w:t>
            </w:r>
          </w:p>
        </w:tc>
        <w:tc>
          <w:tcPr>
            <w:tcW w:w="842" w:type="dxa"/>
          </w:tcPr>
          <w:p w14:paraId="7BD84502"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.977</w:t>
            </w:r>
          </w:p>
        </w:tc>
        <w:tc>
          <w:tcPr>
            <w:tcW w:w="843" w:type="dxa"/>
          </w:tcPr>
          <w:p w14:paraId="32DC4BDF"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.965</w:t>
            </w:r>
          </w:p>
        </w:tc>
        <w:tc>
          <w:tcPr>
            <w:tcW w:w="830" w:type="dxa"/>
          </w:tcPr>
          <w:p w14:paraId="48578473"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.946</w:t>
            </w:r>
          </w:p>
        </w:tc>
        <w:tc>
          <w:tcPr>
            <w:tcW w:w="1075" w:type="dxa"/>
          </w:tcPr>
          <w:p w14:paraId="608112D5"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0.038</w:t>
            </w:r>
          </w:p>
        </w:tc>
      </w:tr>
      <w:tr w:rsidR="002745B6" w:rsidRPr="00813ACC" w14:paraId="3104B3BA" w14:textId="77777777" w:rsidTr="007B4FF2">
        <w:tc>
          <w:tcPr>
            <w:tcW w:w="1825" w:type="dxa"/>
          </w:tcPr>
          <w:p w14:paraId="1DF5A07C"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 xml:space="preserve">M5: H1- full &amp; H2: partial mediation </w:t>
            </w:r>
          </w:p>
        </w:tc>
        <w:tc>
          <w:tcPr>
            <w:tcW w:w="1168" w:type="dxa"/>
          </w:tcPr>
          <w:p w14:paraId="731A64A0"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35.28(30)</w:t>
            </w:r>
          </w:p>
        </w:tc>
        <w:tc>
          <w:tcPr>
            <w:tcW w:w="795" w:type="dxa"/>
          </w:tcPr>
          <w:p w14:paraId="56933513"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1.176</w:t>
            </w:r>
          </w:p>
        </w:tc>
        <w:tc>
          <w:tcPr>
            <w:tcW w:w="796" w:type="dxa"/>
          </w:tcPr>
          <w:p w14:paraId="686809EB"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0.233</w:t>
            </w:r>
          </w:p>
        </w:tc>
        <w:tc>
          <w:tcPr>
            <w:tcW w:w="842" w:type="dxa"/>
          </w:tcPr>
          <w:p w14:paraId="7A516B69"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.976</w:t>
            </w:r>
          </w:p>
        </w:tc>
        <w:tc>
          <w:tcPr>
            <w:tcW w:w="842" w:type="dxa"/>
          </w:tcPr>
          <w:p w14:paraId="2092A2B1"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.978</w:t>
            </w:r>
          </w:p>
        </w:tc>
        <w:tc>
          <w:tcPr>
            <w:tcW w:w="843" w:type="dxa"/>
          </w:tcPr>
          <w:p w14:paraId="34782A68"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.965</w:t>
            </w:r>
          </w:p>
        </w:tc>
        <w:tc>
          <w:tcPr>
            <w:tcW w:w="830" w:type="dxa"/>
          </w:tcPr>
          <w:p w14:paraId="00FFA3EA"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.948</w:t>
            </w:r>
          </w:p>
        </w:tc>
        <w:tc>
          <w:tcPr>
            <w:tcW w:w="1075" w:type="dxa"/>
          </w:tcPr>
          <w:p w14:paraId="6A3FEA19"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0.038</w:t>
            </w:r>
          </w:p>
        </w:tc>
      </w:tr>
      <w:tr w:rsidR="002745B6" w:rsidRPr="00813ACC" w14:paraId="738147A9" w14:textId="77777777" w:rsidTr="007B4FF2">
        <w:tc>
          <w:tcPr>
            <w:tcW w:w="1825" w:type="dxa"/>
          </w:tcPr>
          <w:p w14:paraId="1C6FA211"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 xml:space="preserve">M6: H1- partial &amp; H2: full mediation </w:t>
            </w:r>
          </w:p>
        </w:tc>
        <w:tc>
          <w:tcPr>
            <w:tcW w:w="1168" w:type="dxa"/>
          </w:tcPr>
          <w:p w14:paraId="01A92233"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36.29(30)</w:t>
            </w:r>
          </w:p>
        </w:tc>
        <w:tc>
          <w:tcPr>
            <w:tcW w:w="795" w:type="dxa"/>
          </w:tcPr>
          <w:p w14:paraId="50919E99"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1.210</w:t>
            </w:r>
          </w:p>
        </w:tc>
        <w:tc>
          <w:tcPr>
            <w:tcW w:w="796" w:type="dxa"/>
          </w:tcPr>
          <w:p w14:paraId="7D7E2387"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0.198</w:t>
            </w:r>
          </w:p>
        </w:tc>
        <w:tc>
          <w:tcPr>
            <w:tcW w:w="842" w:type="dxa"/>
          </w:tcPr>
          <w:p w14:paraId="6B25F670"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.972</w:t>
            </w:r>
          </w:p>
        </w:tc>
        <w:tc>
          <w:tcPr>
            <w:tcW w:w="842" w:type="dxa"/>
          </w:tcPr>
          <w:p w14:paraId="2A6C2565"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.974</w:t>
            </w:r>
          </w:p>
        </w:tc>
        <w:tc>
          <w:tcPr>
            <w:tcW w:w="843" w:type="dxa"/>
          </w:tcPr>
          <w:p w14:paraId="11E34D2A"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.958</w:t>
            </w:r>
          </w:p>
        </w:tc>
        <w:tc>
          <w:tcPr>
            <w:tcW w:w="830" w:type="dxa"/>
          </w:tcPr>
          <w:p w14:paraId="581403F2"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.946</w:t>
            </w:r>
          </w:p>
        </w:tc>
        <w:tc>
          <w:tcPr>
            <w:tcW w:w="1075" w:type="dxa"/>
          </w:tcPr>
          <w:p w14:paraId="12E843E4" w14:textId="77777777" w:rsidR="002745B6" w:rsidRPr="00F97854" w:rsidRDefault="002745B6" w:rsidP="00141231">
            <w:pPr>
              <w:pStyle w:val="NoSpacing"/>
              <w:rPr>
                <w:rFonts w:ascii="Times New Roman" w:hAnsi="Times New Roman" w:cs="Times New Roman"/>
                <w:sz w:val="20"/>
                <w:szCs w:val="20"/>
              </w:rPr>
            </w:pPr>
            <w:r w:rsidRPr="00F97854">
              <w:rPr>
                <w:rFonts w:ascii="Times New Roman" w:hAnsi="Times New Roman" w:cs="Times New Roman"/>
                <w:sz w:val="20"/>
                <w:szCs w:val="20"/>
              </w:rPr>
              <w:t>0.042</w:t>
            </w:r>
          </w:p>
        </w:tc>
      </w:tr>
    </w:tbl>
    <w:p w14:paraId="41A70353" w14:textId="77777777" w:rsidR="002745B6" w:rsidRPr="00EF66BB" w:rsidRDefault="002745B6" w:rsidP="00141231">
      <w:pPr>
        <w:autoSpaceDE w:val="0"/>
        <w:autoSpaceDN w:val="0"/>
        <w:adjustRightInd w:val="0"/>
        <w:spacing w:line="360" w:lineRule="auto"/>
        <w:rPr>
          <w:rFonts w:ascii="Times New Roman" w:hAnsi="Times New Roman" w:cs="Times New Roman"/>
          <w:b/>
          <w:u w:val="single"/>
        </w:rPr>
      </w:pPr>
    </w:p>
    <w:p w14:paraId="3F375467" w14:textId="77777777" w:rsidR="002745B6" w:rsidRPr="00EF66BB" w:rsidRDefault="002745B6" w:rsidP="00141231">
      <w:pPr>
        <w:widowControl w:val="0"/>
        <w:autoSpaceDE w:val="0"/>
        <w:autoSpaceDN w:val="0"/>
        <w:adjustRightInd w:val="0"/>
        <w:spacing w:line="360" w:lineRule="auto"/>
        <w:ind w:left="480" w:hanging="480"/>
        <w:rPr>
          <w:rFonts w:ascii="Times New Roman" w:hAnsi="Times New Roman" w:cs="Times New Roman"/>
        </w:rPr>
      </w:pPr>
    </w:p>
    <w:p w14:paraId="204B84EB" w14:textId="77777777" w:rsidR="002745B6" w:rsidRDefault="002745B6" w:rsidP="00141231">
      <w:pPr>
        <w:widowControl w:val="0"/>
        <w:autoSpaceDE w:val="0"/>
        <w:autoSpaceDN w:val="0"/>
        <w:adjustRightInd w:val="0"/>
        <w:spacing w:line="360" w:lineRule="auto"/>
        <w:ind w:left="480" w:hanging="480"/>
        <w:rPr>
          <w:rFonts w:ascii="Times New Roman" w:hAnsi="Times New Roman" w:cs="Times New Roman"/>
        </w:rPr>
      </w:pPr>
    </w:p>
    <w:sectPr w:rsidR="002745B6" w:rsidSect="00E45B28">
      <w:footerReference w:type="even" r:id="rId15"/>
      <w:footerReference w:type="default" r:id="rId16"/>
      <w:pgSz w:w="11900" w:h="16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9CC47" w14:textId="77777777" w:rsidR="00B92CF2" w:rsidRDefault="00B92CF2" w:rsidP="001A3E4C">
      <w:r>
        <w:separator/>
      </w:r>
    </w:p>
  </w:endnote>
  <w:endnote w:type="continuationSeparator" w:id="0">
    <w:p w14:paraId="0C420FFC" w14:textId="77777777" w:rsidR="00B92CF2" w:rsidRDefault="00B92CF2" w:rsidP="001A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dvTNR_RM">
    <w:altName w:val="Cambria"/>
    <w:panose1 w:val="020B0604020202020204"/>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NewRoman">
    <w:panose1 w:val="020B0604020202020204"/>
    <w:charset w:val="80"/>
    <w:family w:val="auto"/>
    <w:notTrueType/>
    <w:pitch w:val="default"/>
    <w:sig w:usb0="00000001" w:usb1="08070000" w:usb2="00000010" w:usb3="00000000" w:csb0="00020000" w:csb1="00000000"/>
  </w:font>
  <w:font w:name="Bell MT">
    <w:panose1 w:val="020205030603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3366895"/>
      <w:docPartObj>
        <w:docPartGallery w:val="Page Numbers (Bottom of Page)"/>
        <w:docPartUnique/>
      </w:docPartObj>
    </w:sdtPr>
    <w:sdtEndPr>
      <w:rPr>
        <w:rStyle w:val="PageNumber"/>
      </w:rPr>
    </w:sdtEndPr>
    <w:sdtContent>
      <w:p w14:paraId="65A73C57" w14:textId="77777777" w:rsidR="007B4FF2" w:rsidRDefault="007B4FF2" w:rsidP="006852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C2C612" w14:textId="77777777" w:rsidR="007B4FF2" w:rsidRDefault="007B4FF2" w:rsidP="007B68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740593"/>
      <w:docPartObj>
        <w:docPartGallery w:val="Page Numbers (Bottom of Page)"/>
        <w:docPartUnique/>
      </w:docPartObj>
    </w:sdtPr>
    <w:sdtEndPr>
      <w:rPr>
        <w:noProof/>
      </w:rPr>
    </w:sdtEndPr>
    <w:sdtContent>
      <w:p w14:paraId="3DB53875" w14:textId="4C54082C" w:rsidR="007B4FF2" w:rsidRDefault="007B4FF2">
        <w:pPr>
          <w:pStyle w:val="Footer"/>
          <w:jc w:val="center"/>
        </w:pPr>
        <w:r>
          <w:fldChar w:fldCharType="begin"/>
        </w:r>
        <w:r>
          <w:instrText xml:space="preserve"> PAGE   \* MERGEFORMAT </w:instrText>
        </w:r>
        <w:r>
          <w:fldChar w:fldCharType="separate"/>
        </w:r>
        <w:r w:rsidR="00AA436D">
          <w:rPr>
            <w:noProof/>
          </w:rPr>
          <w:t>22</w:t>
        </w:r>
        <w:r>
          <w:rPr>
            <w:noProof/>
          </w:rPr>
          <w:fldChar w:fldCharType="end"/>
        </w:r>
      </w:p>
    </w:sdtContent>
  </w:sdt>
  <w:p w14:paraId="11085611" w14:textId="4EA90B43" w:rsidR="007B4FF2" w:rsidRDefault="007B4FF2" w:rsidP="00141231">
    <w:pPr>
      <w:pStyle w:val="Footer"/>
      <w:tabs>
        <w:tab w:val="clear" w:pos="4513"/>
        <w:tab w:val="clear" w:pos="9026"/>
        <w:tab w:val="left" w:pos="934"/>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8F0A6" w14:textId="77777777" w:rsidR="00B92CF2" w:rsidRDefault="00B92CF2" w:rsidP="001A3E4C">
      <w:r>
        <w:separator/>
      </w:r>
    </w:p>
  </w:footnote>
  <w:footnote w:type="continuationSeparator" w:id="0">
    <w:p w14:paraId="32E7127F" w14:textId="77777777" w:rsidR="00B92CF2" w:rsidRDefault="00B92CF2" w:rsidP="001A3E4C">
      <w:r>
        <w:continuationSeparator/>
      </w:r>
    </w:p>
  </w:footnote>
  <w:footnote w:id="1">
    <w:p w14:paraId="73AED320" w14:textId="4C240150" w:rsidR="007B4FF2" w:rsidRPr="00A65A21" w:rsidRDefault="007B4FF2" w:rsidP="00844C46">
      <w:pPr>
        <w:pStyle w:val="FootnoteText"/>
        <w:rPr>
          <w:rFonts w:ascii="Times New Roman" w:hAnsi="Times New Roman" w:cs="Times New Roman"/>
        </w:rPr>
      </w:pPr>
      <w:r w:rsidRPr="00CD0532">
        <w:rPr>
          <w:rStyle w:val="FootnoteReference"/>
          <w:rFonts w:ascii="Times New Roman" w:hAnsi="Times New Roman" w:cs="Times New Roman"/>
        </w:rPr>
        <w:footnoteRef/>
      </w:r>
      <w:r w:rsidRPr="00A65A21">
        <w:rPr>
          <w:rFonts w:ascii="Times New Roman" w:hAnsi="Times New Roman" w:cs="Times New Roman"/>
        </w:rPr>
        <w:t xml:space="preserve"> Child uses the term objectives whereas we refer to priorities. </w:t>
      </w:r>
    </w:p>
  </w:footnote>
  <w:footnote w:id="2">
    <w:p w14:paraId="09DBCE1A" w14:textId="298A9B13" w:rsidR="007B4FF2" w:rsidRDefault="007B4FF2">
      <w:pPr>
        <w:pStyle w:val="FootnoteText"/>
      </w:pPr>
      <w:r>
        <w:rPr>
          <w:rStyle w:val="FootnoteReference"/>
        </w:rPr>
        <w:footnoteRef/>
      </w:r>
      <w:r>
        <w:t xml:space="preserve"> </w:t>
      </w:r>
      <w:r w:rsidRPr="004D0066">
        <w:rPr>
          <w:rFonts w:ascii="Times New Roman" w:hAnsi="Times New Roman" w:cs="Times New Roman"/>
          <w:sz w:val="18"/>
          <w:szCs w:val="18"/>
        </w:rPr>
        <w:t>In this study the measurements were collected at four time points, giving a reasonable time lag between exogenous variables, mediator, moderator and the outcome variables. This was done to overcome the potential measurement errors due to simultaneity bias often associated with cross sectional estimates.</w:t>
      </w:r>
    </w:p>
  </w:footnote>
  <w:footnote w:id="3">
    <w:p w14:paraId="4EEE6440" w14:textId="13F6F38F" w:rsidR="007B4FF2" w:rsidRPr="000A2247" w:rsidRDefault="007B4FF2" w:rsidP="007B7879">
      <w:pPr>
        <w:autoSpaceDE w:val="0"/>
        <w:autoSpaceDN w:val="0"/>
        <w:adjustRightInd w:val="0"/>
        <w:rPr>
          <w:rFonts w:ascii="Times New Roman" w:eastAsia="Times New Roman" w:hAnsi="Times New Roman" w:cs="Times New Roman"/>
          <w:color w:val="000000"/>
          <w:sz w:val="18"/>
          <w:szCs w:val="18"/>
        </w:rPr>
      </w:pPr>
      <w:r>
        <w:rPr>
          <w:rStyle w:val="FootnoteReference"/>
        </w:rPr>
        <w:footnoteRef/>
      </w:r>
      <w:r>
        <w:t xml:space="preserve"> </w:t>
      </w:r>
      <w:r w:rsidRPr="0041026D">
        <w:rPr>
          <w:rFonts w:ascii="Times New Roman" w:hAnsi="Times New Roman" w:cs="Times New Roman"/>
          <w:sz w:val="18"/>
          <w:szCs w:val="18"/>
        </w:rPr>
        <w:t>Accepting the fact that overfitting could produce unreliable results (Babyak, 2004)</w:t>
      </w:r>
      <w:r w:rsidRPr="0041026D">
        <w:rPr>
          <w:rFonts w:ascii="Times New Roman" w:eastAsia="Times New Roman" w:hAnsi="Times New Roman" w:cs="Times New Roman"/>
          <w:color w:val="000000"/>
          <w:sz w:val="18"/>
          <w:szCs w:val="18"/>
        </w:rPr>
        <w:t xml:space="preserve"> and that performing EFA and CFA on the same data set often results in model overfitting </w:t>
      </w:r>
      <w:r w:rsidRPr="0041026D">
        <w:rPr>
          <w:rFonts w:ascii="Times New Roman" w:hAnsi="Times New Roman" w:cs="Times New Roman"/>
          <w:sz w:val="18"/>
          <w:szCs w:val="18"/>
        </w:rPr>
        <w:t>(</w:t>
      </w:r>
      <w:r w:rsidRPr="0041026D">
        <w:rPr>
          <w:rFonts w:ascii="Times New Roman" w:eastAsia="Times New Roman" w:hAnsi="Times New Roman" w:cs="Times New Roman"/>
          <w:color w:val="000000"/>
          <w:sz w:val="18"/>
          <w:szCs w:val="18"/>
        </w:rPr>
        <w:t xml:space="preserve">Fokkema and Greiff, 2017), as a robustness test, we split the sample into two groups on a random basis and performed EFA on one set and CFA on the other. We repeated the same analysis by switching the samples. Although the factor loadings did not show an exact match, the items loaded on to each factor remained same in the two instances. Model fit statistics and validity and reliability criteria (using factor loadings, factor covariances and associated standard errors) followed as part of the CFA were also found to be very close in values in the two models tested. Furthermore, </w:t>
      </w:r>
      <w:r w:rsidRPr="0041026D">
        <w:rPr>
          <w:rFonts w:ascii="Times New Roman" w:hAnsi="Times New Roman" w:cs="Times New Roman"/>
          <w:sz w:val="18"/>
          <w:szCs w:val="18"/>
        </w:rPr>
        <w:t xml:space="preserve">prior to formulating the hypotheses, we were unsure of what items to be loaded together as both strategic choice and the TT effectiveness  items were selected from a range of items included in the questionnaire, some of which are theoretically related while others are not so but hold valid given the broader definitions to technology transfer used in the literature. As suggested by Fokkema and Greiff, (2017), “an exploratory approach is appropriate when the number of factors and the allocation of items to factors are unknown”. Taken together, we are confident that </w:t>
      </w:r>
      <w:r w:rsidRPr="0041026D">
        <w:rPr>
          <w:rFonts w:ascii="Times New Roman" w:eastAsia="Times New Roman" w:hAnsi="Times New Roman" w:cs="Times New Roman"/>
          <w:color w:val="000000"/>
          <w:sz w:val="18"/>
          <w:szCs w:val="18"/>
        </w:rPr>
        <w:t>utilising EFA and CFA on the same sample has in fact not inflated our results.</w:t>
      </w:r>
    </w:p>
    <w:p w14:paraId="2A0AC714" w14:textId="0AFE0ABB" w:rsidR="007B4FF2" w:rsidRPr="00D01C80" w:rsidRDefault="007B4FF2" w:rsidP="00D01C80">
      <w:pPr>
        <w:autoSpaceDE w:val="0"/>
        <w:autoSpaceDN w:val="0"/>
        <w:adjustRightInd w:val="0"/>
        <w:rPr>
          <w:rFonts w:ascii="Times New Roman" w:hAnsi="Times New Roman" w:cs="Times New Roman"/>
          <w:sz w:val="20"/>
          <w:szCs w:val="20"/>
        </w:rPr>
      </w:pPr>
    </w:p>
    <w:p w14:paraId="604AE7BB" w14:textId="202DA6BF" w:rsidR="007B4FF2" w:rsidRDefault="007B4FF2" w:rsidP="00742C6B">
      <w:pPr>
        <w:autoSpaceDE w:val="0"/>
        <w:autoSpaceDN w:val="0"/>
        <w:adjustRightInd w:val="0"/>
        <w:rPr>
          <w:rFonts w:ascii="AdvTNR_RM" w:hAnsi="AdvTNR_RM" w:cs="AdvTNR_RM"/>
          <w:sz w:val="20"/>
          <w:szCs w:val="20"/>
        </w:rPr>
      </w:pPr>
    </w:p>
    <w:p w14:paraId="0208A012" w14:textId="10AEED9F" w:rsidR="007B4FF2" w:rsidRDefault="007B4FF2">
      <w:pPr>
        <w:pStyle w:val="FootnoteText"/>
      </w:pPr>
    </w:p>
  </w:footnote>
  <w:footnote w:id="4">
    <w:p w14:paraId="4E341B6C" w14:textId="77777777" w:rsidR="007B4FF2" w:rsidRPr="006E0FED" w:rsidRDefault="007B4FF2" w:rsidP="00EF16DD">
      <w:pPr>
        <w:pStyle w:val="FootnoteText"/>
        <w:rPr>
          <w:rFonts w:ascii="Candara" w:hAnsi="Candara" w:cs="Times New Roman"/>
          <w:sz w:val="24"/>
          <w:szCs w:val="24"/>
        </w:rPr>
      </w:pPr>
      <w:r w:rsidRPr="008F29B6">
        <w:rPr>
          <w:rStyle w:val="FootnoteReference"/>
          <w:rFonts w:ascii="Times New Roman" w:hAnsi="Times New Roman" w:cs="Times New Roman"/>
          <w:sz w:val="18"/>
          <w:szCs w:val="18"/>
        </w:rPr>
        <w:footnoteRef/>
      </w:r>
      <w:r w:rsidRPr="008F29B6">
        <w:rPr>
          <w:rFonts w:ascii="Times New Roman" w:hAnsi="Times New Roman" w:cs="Times New Roman"/>
          <w:sz w:val="18"/>
          <w:szCs w:val="18"/>
        </w:rPr>
        <w:t xml:space="preserve"> </w:t>
      </w:r>
      <w:r w:rsidRPr="00EF16DD">
        <w:rPr>
          <w:rFonts w:ascii="Times New Roman" w:hAnsi="Times New Roman" w:cs="Times New Roman"/>
          <w:sz w:val="18"/>
          <w:szCs w:val="18"/>
        </w:rPr>
        <w:t>the latent variable approach where a group of individual measures represent each latent variable (as is the case with our mediation models) was not appropriate for testing moderated mediation when estimand plug-in in AMOS 24 is used due to the set restrictions in degrees of freedom and the sample size . The relatively small sample size in relation to the number of study variables in our models required that weighted composites of the measured indicators to be used as observed variables rather than individual measurements representing latent constructs in the moderated mediation SEM analysis using the estimand plug-in in AMOS 24. The estimand plug-in in AMOS is recommended as the most reliable technique to test moderated mediation even though it sets limits to the data structure when using smaller samples in SEM analysis.</w:t>
      </w:r>
      <w:r w:rsidRPr="006E0FED">
        <w:rPr>
          <w:rFonts w:ascii="Candara" w:hAnsi="Candara" w:cs="Times New Roman"/>
          <w:sz w:val="24"/>
          <w:szCs w:val="24"/>
        </w:rPr>
        <w:t xml:space="preserve"> </w:t>
      </w:r>
    </w:p>
    <w:p w14:paraId="01177907" w14:textId="2288515B" w:rsidR="007B4FF2" w:rsidRPr="008F29B6" w:rsidRDefault="007B4FF2" w:rsidP="001A3E4C">
      <w:pPr>
        <w:pStyle w:val="FootnoteText"/>
        <w:rPr>
          <w:rFonts w:ascii="Times New Roman" w:hAnsi="Times New Roman" w:cs="Times New Roman"/>
          <w:sz w:val="18"/>
          <w:szCs w:val="18"/>
        </w:rPr>
      </w:pPr>
      <w:r w:rsidRPr="008F29B6">
        <w:rPr>
          <w:rFonts w:ascii="Times New Roman" w:hAnsi="Times New Roman" w:cs="Times New Roman"/>
          <w:sz w:val="18"/>
          <w:szCs w:val="18"/>
        </w:rPr>
        <w:t xml:space="preserve"> </w:t>
      </w:r>
    </w:p>
  </w:footnote>
  <w:footnote w:id="5">
    <w:p w14:paraId="1500378A" w14:textId="18332936" w:rsidR="007B4FF2" w:rsidRPr="001D1B15" w:rsidRDefault="007B4FF2" w:rsidP="001D1B15">
      <w:pPr>
        <w:pStyle w:val="NoSpacing"/>
        <w:rPr>
          <w:rFonts w:ascii="Times New Roman" w:hAnsi="Times New Roman" w:cs="Times New Roman"/>
          <w:i/>
          <w:iCs/>
          <w:sz w:val="20"/>
          <w:szCs w:val="20"/>
        </w:rPr>
      </w:pPr>
      <w:r w:rsidRPr="001D1B15">
        <w:rPr>
          <w:rStyle w:val="FootnoteReference"/>
          <w:rFonts w:ascii="Times New Roman" w:hAnsi="Times New Roman" w:cs="Times New Roman"/>
          <w:sz w:val="20"/>
          <w:szCs w:val="20"/>
        </w:rPr>
        <w:footnoteRef/>
      </w:r>
      <w:r w:rsidRPr="001D1B15">
        <w:rPr>
          <w:rFonts w:ascii="Times New Roman" w:hAnsi="Times New Roman" w:cs="Times New Roman"/>
          <w:sz w:val="20"/>
          <w:szCs w:val="20"/>
        </w:rPr>
        <w:t xml:space="preserve"> Additionally, for discriminant validity, we followed </w:t>
      </w:r>
      <w:r w:rsidRPr="001D1B15">
        <w:rPr>
          <w:rFonts w:ascii="Times New Roman" w:hAnsi="Times New Roman" w:cs="Times New Roman"/>
          <w:sz w:val="20"/>
          <w:szCs w:val="20"/>
        </w:rPr>
        <w:fldChar w:fldCharType="begin" w:fldLock="1"/>
      </w:r>
      <w:r w:rsidRPr="001D1B15">
        <w:rPr>
          <w:rFonts w:ascii="Times New Roman" w:hAnsi="Times New Roman" w:cs="Times New Roman"/>
          <w:sz w:val="20"/>
          <w:szCs w:val="20"/>
        </w:rPr>
        <w:instrText>ADDIN CSL_CITATION {"citationItems":[{"id":"ITEM-1","itemData":{"DOI":"10.1007/s11747-015-0455-4","ISBN":"0092-0703","ISSN":"00920703","abstract":"The results of this research suggest a new mandate for discriminant validity testing in marketing. Specifically, the authors demonstrate that the AVE-SV comparison (Fornell and Larcker 1981) and HTMT ratio (Henseler et al. 2015) with 0.85 cutoff provide the best assessment of discriminant validity and should be the standard for publication in marketing. These conclusions are based on a thorough assessment of the literature and the results of a Monte Carlo simulation. First, based on a content analysis of articles published in seven leading marketing journals from 1996 to 2012, the authors demonstrate that three tests—the constrained phi (Jöreskog 1971), AVE-SV (Fornell and Larcker 1981), and overlapping confidence intervals (Anderson and Gerbing 1988)—are by far most common. Further review reveals that (1) more than 20% of survey-based and over 80% of non-survey-based marketing studies fail to document tests for discriminant validity, (2) there is wide variance across journals and research streams in terms of whether discriminant validity tests are performed, (3) conclusions have already been drawn about the relative stringency of the three most common methods, and (4) the method that is generally perceived to be most generous is being consistently misapplied in a way that erodes its stringency. Second, a Monte Carlo simulation is conducted to assess the relative rigor of the three most common tests, as well as an emerging technique (HTMT). Results reveal that (1) on average, the four discriminant validity testing methods detect violations approximately 50% of the time, (2) the constrained phi and overlapping confidence interval approaches perform very poorly in detecting violations whereas the AVE-SV test and HTMT (with a ratio cutoff of 0.85) methods perform well, and (3) the HTMT&lt;inf&gt;.85&lt;/inf&gt; method offers the best balance between high detection and low arbitrary violation (i.e., false positive) rates.","author":[{"dropping-particle":"","family":"Voorhees","given":"Clay M.","non-dropping-particle":"","parse-names":false,"suffix":""},{"dropping-particle":"","family":"Brady","given":"Michael K.","non-dropping-particle":"","parse-names":false,"suffix":""},{"dropping-particle":"","family":"Calantone","given":"Roger","non-dropping-particle":"","parse-names":false,"suffix":""},{"dropping-particle":"","family":"Ramirez","given":"Edward","non-dropping-particle":"","parse-names":false,"suffix":""}],"container-title":"Journal of the Academy of Marketing Science","id":"ITEM-1","issue":"1","issued":{"date-parts":[["2016"]]},"page":"119-134","title":"Discriminant validity testing in marketing: an analysis, causes for concern, and proposed remedies","type":"article-journal","volume":"44"},"uris":["http://www.mendeley.com/documents/?uuid=7d5e2f3a-d069-4e7d-93d0-337d1b316f89"]}],"mendeley":{"formattedCitation":"(Voorhees et al., 2016)","manualFormatting":"Voorhees et al's (2016)","plainTextFormattedCitation":"(Voorhees et al., 2016)","previouslyFormattedCitation":"(Voorhees et al., 2016)"},"properties":{"noteIndex":0},"schema":"https://github.com/citation-style-language/schema/raw/master/csl-citation.json"}</w:instrText>
      </w:r>
      <w:r w:rsidRPr="001D1B15">
        <w:rPr>
          <w:rFonts w:ascii="Times New Roman" w:hAnsi="Times New Roman" w:cs="Times New Roman"/>
          <w:sz w:val="20"/>
          <w:szCs w:val="20"/>
        </w:rPr>
        <w:fldChar w:fldCharType="separate"/>
      </w:r>
      <w:r w:rsidRPr="001D1B15">
        <w:rPr>
          <w:rFonts w:ascii="Times New Roman" w:hAnsi="Times New Roman" w:cs="Times New Roman"/>
          <w:noProof/>
          <w:sz w:val="20"/>
          <w:szCs w:val="20"/>
        </w:rPr>
        <w:t>Voorhees et al's (2016)</w:t>
      </w:r>
      <w:r w:rsidRPr="001D1B15">
        <w:rPr>
          <w:rFonts w:ascii="Times New Roman" w:hAnsi="Times New Roman" w:cs="Times New Roman"/>
          <w:sz w:val="20"/>
          <w:szCs w:val="20"/>
        </w:rPr>
        <w:fldChar w:fldCharType="end"/>
      </w:r>
      <w:r w:rsidRPr="001D1B15">
        <w:rPr>
          <w:rFonts w:ascii="Times New Roman" w:hAnsi="Times New Roman" w:cs="Times New Roman"/>
          <w:sz w:val="20"/>
          <w:szCs w:val="20"/>
        </w:rPr>
        <w:t xml:space="preserve"> recommendations and employed the AVE-shared variance comparison </w:t>
      </w:r>
      <w:r w:rsidRPr="001D1B15">
        <w:rPr>
          <w:rFonts w:ascii="Times New Roman" w:hAnsi="Times New Roman" w:cs="Times New Roman"/>
          <w:sz w:val="20"/>
          <w:szCs w:val="20"/>
        </w:rPr>
        <w:fldChar w:fldCharType="begin" w:fldLock="1"/>
      </w:r>
      <w:r w:rsidRPr="001D1B15">
        <w:rPr>
          <w:rFonts w:ascii="Times New Roman" w:hAnsi="Times New Roman" w:cs="Times New Roman"/>
          <w:sz w:val="20"/>
          <w:szCs w:val="20"/>
        </w:rPr>
        <w:instrText>ADDIN CSL_CITATION {"citationItems":[{"id":"ITEM-1","itemData":{"DOI":"10.2307/3151312","ISBN":"00222437","ISSN":"0022-2437","PMID":"5015357","abstract":"The statistical tests used in the analysis of structural equation models with unobservable variables and measurement error are examined. A drawback of the commonly applied chi square test, in addition to the known problems related to sample size and power, is that it may indicate an increasing correspondence between the hypothesized model and the observed data as both the measurement properties and the relationship between constructs decline. Further, and contrary to common assertion, the risk of making a Type II error can be substantial even when the sample size is large. Moreover, the present testing methods are unable to assess a model's explanatory power. To overcome these problems, the authors develop and apply a testing system based on measures of shared variance within the structural model, measurement model, and overall model.","author":[{"dropping-particle":"","family":"Fornell","given":"Claes","non-dropping-particle":"","parse-names":false,"suffix":""},{"dropping-particle":"","family":"Larcker","given":"DF","non-dropping-particle":"","parse-names":false,"suffix":""}],"container-title":"Journal of marketing research","id":"ITEM-1","issue":"3","issued":{"date-parts":[["1981"]]},"page":"39-50","title":"Evaluating structural equation models with unobservable variables and measurement error","type":"article-journal","volume":"18"},"uris":["http://www.mendeley.com/documents/?uuid=e06e88cd-08d1-4b3b-af26-5d011aaed5a8"]}],"mendeley":{"formattedCitation":"(Fornell and Larcker, 1981)","plainTextFormattedCitation":"(Fornell and Larcker, 1981)","previouslyFormattedCitation":"(Fornell and Larcker, 1981)"},"properties":{"noteIndex":0},"schema":"https://github.com/citation-style-language/schema/raw/master/csl-citation.json"}</w:instrText>
      </w:r>
      <w:r w:rsidRPr="001D1B15">
        <w:rPr>
          <w:rFonts w:ascii="Times New Roman" w:hAnsi="Times New Roman" w:cs="Times New Roman"/>
          <w:sz w:val="20"/>
          <w:szCs w:val="20"/>
        </w:rPr>
        <w:fldChar w:fldCharType="separate"/>
      </w:r>
      <w:r w:rsidRPr="001D1B15">
        <w:rPr>
          <w:rFonts w:ascii="Times New Roman" w:hAnsi="Times New Roman" w:cs="Times New Roman"/>
          <w:noProof/>
          <w:sz w:val="20"/>
          <w:szCs w:val="20"/>
        </w:rPr>
        <w:t>(Fornell and Larcker, 1981)</w:t>
      </w:r>
      <w:r w:rsidRPr="001D1B15">
        <w:rPr>
          <w:rFonts w:ascii="Times New Roman" w:hAnsi="Times New Roman" w:cs="Times New Roman"/>
          <w:sz w:val="20"/>
          <w:szCs w:val="20"/>
        </w:rPr>
        <w:fldChar w:fldCharType="end"/>
      </w:r>
      <w:r w:rsidRPr="001D1B15">
        <w:rPr>
          <w:rFonts w:ascii="Times New Roman" w:hAnsi="Times New Roman" w:cs="Times New Roman"/>
          <w:sz w:val="20"/>
          <w:szCs w:val="20"/>
        </w:rPr>
        <w:t xml:space="preserve">, and found that, on average, each construct relates more strongly to its own measures than to others. </w:t>
      </w:r>
    </w:p>
    <w:p w14:paraId="445F65D3" w14:textId="77777777" w:rsidR="007B4FF2" w:rsidRPr="00EF66BB" w:rsidRDefault="007B4FF2" w:rsidP="009C79C2">
      <w:pPr>
        <w:autoSpaceDE w:val="0"/>
        <w:autoSpaceDN w:val="0"/>
        <w:adjustRightInd w:val="0"/>
        <w:spacing w:line="360" w:lineRule="auto"/>
        <w:jc w:val="both"/>
        <w:rPr>
          <w:rFonts w:ascii="Times New Roman" w:hAnsi="Times New Roman" w:cs="Times New Roman"/>
        </w:rPr>
      </w:pPr>
    </w:p>
    <w:p w14:paraId="17DDA77D" w14:textId="1BB3BA75" w:rsidR="007B4FF2" w:rsidRDefault="007B4FF2">
      <w:pPr>
        <w:pStyle w:val="FootnoteText"/>
      </w:pPr>
    </w:p>
  </w:footnote>
  <w:footnote w:id="6">
    <w:p w14:paraId="71BC6210" w14:textId="733035A7" w:rsidR="007B4FF2" w:rsidRPr="00BE2F03" w:rsidRDefault="007B4FF2" w:rsidP="001A3E4C">
      <w:pPr>
        <w:pStyle w:val="FootnoteText"/>
      </w:pPr>
      <w:r w:rsidRPr="00BE2F03">
        <w:rPr>
          <w:rStyle w:val="FootnoteReference"/>
        </w:rPr>
        <w:footnoteRef/>
      </w:r>
      <w:r w:rsidRPr="00BE2F03">
        <w:t xml:space="preserve"> </w:t>
      </w:r>
      <w:r w:rsidRPr="008F29B6">
        <w:rPr>
          <w:rFonts w:ascii="Times New Roman" w:eastAsia="TimesNewRoman" w:hAnsi="Times New Roman" w:cs="Times New Roman"/>
          <w:color w:val="000000"/>
          <w:sz w:val="18"/>
          <w:szCs w:val="18"/>
        </w:rPr>
        <w:t>To exclude a potential reverse causality argument on the basis of a competing argument that the pr</w:t>
      </w:r>
      <w:r>
        <w:rPr>
          <w:rFonts w:ascii="Times New Roman" w:eastAsia="TimesNewRoman" w:hAnsi="Times New Roman" w:cs="Times New Roman"/>
          <w:color w:val="000000"/>
          <w:sz w:val="18"/>
          <w:szCs w:val="18"/>
        </w:rPr>
        <w:t>ioritisation of technology transfer</w:t>
      </w:r>
      <w:r w:rsidRPr="008F29B6">
        <w:rPr>
          <w:rFonts w:ascii="Times New Roman" w:eastAsia="TimesNewRoman" w:hAnsi="Times New Roman" w:cs="Times New Roman"/>
          <w:color w:val="000000"/>
          <w:sz w:val="18"/>
          <w:szCs w:val="18"/>
        </w:rPr>
        <w:t xml:space="preserve"> may cause universities to build their technology transfer capabilities, including provision of more human resource in the technology transfer office and provision of more incentives to drive technology transfer performance. To counter this contention, we modelled technology transfer </w:t>
      </w:r>
      <w:r>
        <w:rPr>
          <w:rFonts w:ascii="Times New Roman" w:eastAsia="TimesNewRoman" w:hAnsi="Times New Roman" w:cs="Times New Roman"/>
          <w:color w:val="000000"/>
          <w:sz w:val="18"/>
          <w:szCs w:val="18"/>
        </w:rPr>
        <w:t>prioritisation</w:t>
      </w:r>
      <w:r w:rsidRPr="008F29B6">
        <w:rPr>
          <w:rFonts w:ascii="Times New Roman" w:eastAsia="TimesNewRoman" w:hAnsi="Times New Roman" w:cs="Times New Roman"/>
          <w:color w:val="000000"/>
          <w:sz w:val="18"/>
          <w:szCs w:val="18"/>
        </w:rPr>
        <w:t xml:space="preserve"> as an antecedent variable impacting on TTO support and provision of incentives, and with strategy directly linked to technology transfer effectiveness. The overall fit indices show that this alternative model is significantly worse than our proposed conceptual model</w:t>
      </w:r>
      <w:r w:rsidRPr="00BE2F03">
        <w:rPr>
          <w:rFonts w:ascii="Bell MT" w:eastAsia="TimesNewRoman" w:hAnsi="Bell MT" w:cs="TimesNewRoman"/>
          <w:color w:val="000000"/>
        </w:rPr>
        <w:t>.</w:t>
      </w:r>
    </w:p>
  </w:footnote>
  <w:footnote w:id="7">
    <w:p w14:paraId="7280FA9D" w14:textId="1F38BAEF" w:rsidR="007B4FF2" w:rsidRDefault="007B4FF2" w:rsidP="00F43D3D">
      <w:pPr>
        <w:pStyle w:val="FootnoteText"/>
      </w:pPr>
      <w:r>
        <w:rPr>
          <w:rStyle w:val="FootnoteReference"/>
        </w:rPr>
        <w:footnoteRef/>
      </w:r>
      <w:r>
        <w:t xml:space="preserve"> </w:t>
      </w:r>
      <w:r>
        <w:rPr>
          <w:rFonts w:ascii="Times New Roman" w:hAnsi="Times New Roman" w:cs="Times New Roman"/>
        </w:rPr>
        <w:t xml:space="preserve">Bootstrapping follows </w:t>
      </w:r>
      <w:r w:rsidRPr="00EF66BB">
        <w:rPr>
          <w:rFonts w:ascii="Times New Roman" w:hAnsi="Times New Roman" w:cs="Times New Roman"/>
        </w:rPr>
        <w:t xml:space="preserve">a non-parametric resampling procedure that does not impose the assumption of normality on the sampling distribution. </w:t>
      </w:r>
      <w:r>
        <w:rPr>
          <w:rFonts w:ascii="Times New Roman" w:hAnsi="Times New Roman" w:cs="Times New Roman"/>
        </w:rPr>
        <w:t xml:space="preserve">We used </w:t>
      </w:r>
      <w:r w:rsidRPr="00EF66BB">
        <w:rPr>
          <w:rFonts w:ascii="Times New Roman" w:hAnsi="Times New Roman" w:cs="Times New Roman"/>
        </w:rPr>
        <w:t xml:space="preserve">95% confidence intervals for the indirect effects, drawing 2,000 random samples with replacement from the full sample </w:t>
      </w:r>
      <w:r>
        <w:rPr>
          <w:rFonts w:ascii="Times New Roman" w:hAnsi="Times New Roman" w:cs="Times New Roman"/>
        </w:rPr>
        <w:fldChar w:fldCharType="begin" w:fldLock="1"/>
      </w:r>
      <w:r>
        <w:rPr>
          <w:rFonts w:ascii="Times New Roman" w:hAnsi="Times New Roman" w:cs="Times New Roman"/>
        </w:rPr>
        <w:instrText>ADDIN CSL_CITATION {"citationItems":[{"id":"ITEM-1","itemData":{"DOI":"10.1037/0033-2909.105.1.147","ISSN":"00332909","abstract":"Stevens (1946) asserted that (a) consistency between the scale of measurement that generates a data set and the statistical/mathematical treatment that the data receive is necessary for interpretable results and (b) scale-analysis consistency is achievable by using techniques that are invariant with respect to admissible transformations. A number of individuals have argued for an alternative view that implies little or no relationship between scale of measurement and proper analytical techniques. These counterarguments are criticized. Stevens' original thesis is then reexamined in light of recent work on meaningfulness issues in measurement. The importance of measurement issues for an interpretable analysis is confirmed. However, the invariance criterion for selecting analytical techniques has severe problems, even though it is usually the only practicable criterion available. (PsycINFO Database Record (c) 2016 APA, all rights reserved)","author":[{"dropping-particle":"","family":"Stine","given":"Wm Wren","non-dropping-particle":"","parse-names":false,"suffix":""}],"container-title":"Psychological Bulletin","id":"ITEM-1","issue":"1","issued":{"date-parts":[["1989"]]},"page":"147-155","title":"Meaningful Inference: The Role of Measurement in Statistics","type":"article-journal","volume":"105"},"uris":["http://www.mendeley.com/documents/?uuid=9f8da2db-2fcf-41c6-9aa6-c69913dfd590"]}],"mendeley":{"formattedCitation":"(Stine, 1989)","plainTextFormattedCitation":"(Stine, 1989)","previouslyFormattedCitation":"(Stine, 1989)"},"properties":{"noteIndex":0},"schema":"https://github.com/citation-style-language/schema/raw/master/csl-citation.json"}</w:instrText>
      </w:r>
      <w:r>
        <w:rPr>
          <w:rFonts w:ascii="Times New Roman" w:hAnsi="Times New Roman" w:cs="Times New Roman"/>
        </w:rPr>
        <w:fldChar w:fldCharType="separate"/>
      </w:r>
      <w:r w:rsidRPr="007F03FF">
        <w:rPr>
          <w:rFonts w:ascii="Times New Roman" w:hAnsi="Times New Roman" w:cs="Times New Roman"/>
          <w:noProof/>
        </w:rPr>
        <w:t>(Stine, 1989)</w:t>
      </w:r>
      <w:r>
        <w:rPr>
          <w:rFonts w:ascii="Times New Roman" w:hAnsi="Times New Roman" w:cs="Times New Roman"/>
        </w:rPr>
        <w:fldChar w:fldCharType="end"/>
      </w:r>
      <w:r w:rsidRPr="00EF66BB">
        <w:rPr>
          <w:rFonts w:ascii="Times New Roman" w:hAnsi="Times New Roman" w:cs="Times New Roman"/>
        </w:rPr>
        <w:t>.</w:t>
      </w:r>
    </w:p>
  </w:footnote>
  <w:footnote w:id="8">
    <w:p w14:paraId="7045B393" w14:textId="059466A1" w:rsidR="007B4FF2" w:rsidRDefault="007B4FF2" w:rsidP="005D3317">
      <w:pPr>
        <w:pStyle w:val="FootnoteText"/>
      </w:pPr>
      <w:r>
        <w:rPr>
          <w:rStyle w:val="FootnoteReference"/>
        </w:rPr>
        <w:footnoteRef/>
      </w:r>
      <w:r>
        <w:rPr>
          <w:rFonts w:ascii="Times New Roman" w:hAnsi="Times New Roman" w:cs="Times New Roman"/>
          <w:color w:val="000000"/>
        </w:rPr>
        <w:t>T</w:t>
      </w:r>
      <w:r w:rsidRPr="00EF66BB">
        <w:rPr>
          <w:rFonts w:ascii="Times New Roman" w:hAnsi="Times New Roman" w:cs="Times New Roman"/>
          <w:color w:val="000000"/>
        </w:rPr>
        <w:t>o determine the values of the moderator at which the conditional indirect effect was significant</w:t>
      </w:r>
      <w:r>
        <w:rPr>
          <w:rFonts w:ascii="Times New Roman" w:hAnsi="Times New Roman" w:cs="Times New Roman"/>
          <w:color w:val="000000"/>
        </w:rPr>
        <w:t>, m</w:t>
      </w:r>
      <w:r w:rsidRPr="00EF66BB">
        <w:rPr>
          <w:rFonts w:ascii="Times New Roman" w:hAnsi="Times New Roman" w:cs="Times New Roman"/>
        </w:rPr>
        <w:t xml:space="preserve">ultiple group SEM analysis using MyModMed estimand plug-in in AMOS 24 </w:t>
      </w:r>
      <w:r>
        <w:rPr>
          <w:rFonts w:ascii="Times New Roman" w:hAnsi="Times New Roman" w:cs="Times New Roman"/>
        </w:rPr>
        <w:t xml:space="preserve">was used. This method provides </w:t>
      </w:r>
      <w:r w:rsidRPr="00EF66BB">
        <w:rPr>
          <w:rFonts w:ascii="Times New Roman" w:hAnsi="Times New Roman" w:cs="Times New Roman"/>
        </w:rPr>
        <w:t xml:space="preserve">effect sizes and bias-corrected </w:t>
      </w:r>
      <w:r w:rsidRPr="00EF66BB">
        <w:rPr>
          <w:rFonts w:ascii="Times New Roman" w:hAnsi="Times New Roman" w:cs="Times New Roman"/>
          <w:color w:val="000000"/>
        </w:rPr>
        <w:t xml:space="preserve">95% confidence interval with 2000 bootstrapping samples </w:t>
      </w: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author":[{"dropping-particle":"","family":"Selig","given":"J.P","non-dropping-particle":"","parse-names":false,"suffix":""},{"dropping-particle":"","family":"Preacher","given":"K.J","non-dropping-particle":"","parse-names":false,"suffix":""}],"id":"ITEM-1","issued":{"date-parts":[["2008"]]},"title":"Monte Carlo method for assessing mediation: An interactive tool for creating confidence intervals for indirect effects","type":"article"},"uris":["http://www.mendeley.com/documents/?uuid=e85bd942-0f9c-4acf-a0d2-e1488701afef"]}],"mendeley":{"formattedCitation":"(Selig and Preacher, 2008)","plainTextFormattedCitation":"(Selig and Preacher, 2008)","previouslyFormattedCitation":"(Selig and Preacher, 2008)"},"properties":{"noteIndex":0},"schema":"https://github.com/citation-style-language/schema/raw/master/csl-citation.json"}</w:instrText>
      </w:r>
      <w:r>
        <w:rPr>
          <w:rFonts w:ascii="Times New Roman" w:hAnsi="Times New Roman" w:cs="Times New Roman"/>
          <w:color w:val="000000"/>
        </w:rPr>
        <w:fldChar w:fldCharType="separate"/>
      </w:r>
      <w:r w:rsidRPr="007F03FF">
        <w:rPr>
          <w:rFonts w:ascii="Times New Roman" w:hAnsi="Times New Roman" w:cs="Times New Roman"/>
          <w:noProof/>
          <w:color w:val="000000"/>
        </w:rPr>
        <w:t>(Selig and Preacher, 2008)</w:t>
      </w:r>
      <w:r>
        <w:rPr>
          <w:rFonts w:ascii="Times New Roman" w:hAnsi="Times New Roman" w:cs="Times New Roman"/>
          <w:color w:val="000000"/>
        </w:rPr>
        <w:fldChar w:fldCharType="end"/>
      </w:r>
      <w:r w:rsidRPr="00EF66BB">
        <w:rPr>
          <w:rFonts w:ascii="Times New Roman" w:hAnsi="Times New Roman" w:cs="Times New Roman"/>
          <w:color w:val="000000"/>
        </w:rPr>
        <w:t xml:space="preserve"> </w:t>
      </w:r>
    </w:p>
  </w:footnote>
  <w:footnote w:id="9">
    <w:p w14:paraId="6623F5D7" w14:textId="7C97B999" w:rsidR="007B4FF2" w:rsidRPr="00EF66BB" w:rsidRDefault="007B4FF2" w:rsidP="00687AE1">
      <w:pPr>
        <w:pStyle w:val="NoSpacing"/>
      </w:pPr>
      <w:r>
        <w:rPr>
          <w:rStyle w:val="FootnoteReference"/>
        </w:rPr>
        <w:footnoteRef/>
      </w:r>
      <w:r>
        <w:t xml:space="preserve"> </w:t>
      </w:r>
      <w:r w:rsidRPr="00687AE1">
        <w:rPr>
          <w:rFonts w:ascii="Times New Roman" w:hAnsi="Times New Roman" w:cs="Times New Roman"/>
          <w:sz w:val="18"/>
          <w:szCs w:val="18"/>
        </w:rPr>
        <w:t xml:space="preserve"> </w:t>
      </w:r>
      <w:r>
        <w:rPr>
          <w:rFonts w:ascii="Times New Roman" w:hAnsi="Times New Roman" w:cs="Times New Roman"/>
          <w:sz w:val="18"/>
          <w:szCs w:val="18"/>
        </w:rPr>
        <w:t>A</w:t>
      </w:r>
      <w:r w:rsidRPr="00687AE1">
        <w:rPr>
          <w:rFonts w:ascii="Times New Roman" w:hAnsi="Times New Roman" w:cs="Times New Roman"/>
          <w:sz w:val="18"/>
          <w:szCs w:val="18"/>
        </w:rPr>
        <w:t xml:space="preserve"> reduction in the estimated path coefficients between sub- samples evidenced by the CI in bootstrapping tests would verify a significant difference between two models: high breadth planning versus low breadth planning.</w:t>
      </w:r>
      <w:r w:rsidRPr="00EF66BB">
        <w:t xml:space="preserve"> </w:t>
      </w:r>
    </w:p>
    <w:p w14:paraId="4A03D37C" w14:textId="7D67AF1D" w:rsidR="007B4FF2" w:rsidRDefault="007B4FF2">
      <w:pPr>
        <w:pStyle w:val="FootnoteText"/>
      </w:pPr>
    </w:p>
  </w:footnote>
  <w:footnote w:id="10">
    <w:p w14:paraId="3F6266CA" w14:textId="5526AC07" w:rsidR="007B4FF2" w:rsidRPr="007B4FF2" w:rsidRDefault="007B4FF2">
      <w:pPr>
        <w:pStyle w:val="FootnoteText"/>
        <w:rPr>
          <w:rFonts w:ascii="Times New Roman" w:hAnsi="Times New Roman" w:cs="Times New Roman"/>
          <w:sz w:val="18"/>
          <w:szCs w:val="18"/>
        </w:rPr>
      </w:pPr>
      <w:r w:rsidRPr="007B4FF2">
        <w:rPr>
          <w:rStyle w:val="FootnoteReference"/>
          <w:rFonts w:ascii="Times New Roman" w:hAnsi="Times New Roman" w:cs="Times New Roman"/>
          <w:sz w:val="18"/>
          <w:szCs w:val="18"/>
        </w:rPr>
        <w:footnoteRef/>
      </w:r>
      <w:r w:rsidRPr="007B4FF2">
        <w:rPr>
          <w:rFonts w:ascii="Times New Roman" w:hAnsi="Times New Roman" w:cs="Times New Roman"/>
          <w:sz w:val="18"/>
          <w:szCs w:val="18"/>
        </w:rPr>
        <w:t xml:space="preserve"> The start and end points of the two lines represent the lowest and the highest scores for technology transfer effectiveness measure in logarithmic scale.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7621"/>
    <w:multiLevelType w:val="hybridMultilevel"/>
    <w:tmpl w:val="6830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2B7113"/>
    <w:multiLevelType w:val="hybridMultilevel"/>
    <w:tmpl w:val="AF469394"/>
    <w:lvl w:ilvl="0" w:tplc="1488F72A">
      <w:start w:val="1"/>
      <w:numFmt w:val="bullet"/>
      <w:lvlText w:val=""/>
      <w:lvlJc w:val="left"/>
      <w:pPr>
        <w:ind w:left="1300" w:hanging="360"/>
      </w:pPr>
      <w:rPr>
        <w:rFonts w:ascii="Symbol" w:eastAsiaTheme="minorHAnsi" w:hAnsi="Symbol" w:cstheme="minorBidi"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 w15:restartNumberingAfterBreak="0">
    <w:nsid w:val="62AE7CAB"/>
    <w:multiLevelType w:val="hybridMultilevel"/>
    <w:tmpl w:val="14EA95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E6F37BF"/>
    <w:multiLevelType w:val="multilevel"/>
    <w:tmpl w:val="A620AE8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E4C"/>
    <w:rsid w:val="000035D2"/>
    <w:rsid w:val="0000678C"/>
    <w:rsid w:val="00014374"/>
    <w:rsid w:val="00023628"/>
    <w:rsid w:val="000246A7"/>
    <w:rsid w:val="000445A8"/>
    <w:rsid w:val="00051EBF"/>
    <w:rsid w:val="000539CE"/>
    <w:rsid w:val="00054641"/>
    <w:rsid w:val="00055EE7"/>
    <w:rsid w:val="000676BB"/>
    <w:rsid w:val="00073C0F"/>
    <w:rsid w:val="00082A02"/>
    <w:rsid w:val="00086A92"/>
    <w:rsid w:val="00086C13"/>
    <w:rsid w:val="000A1691"/>
    <w:rsid w:val="000A2247"/>
    <w:rsid w:val="000A4B60"/>
    <w:rsid w:val="000A56DC"/>
    <w:rsid w:val="000A6454"/>
    <w:rsid w:val="000A6673"/>
    <w:rsid w:val="000B325D"/>
    <w:rsid w:val="000B4B60"/>
    <w:rsid w:val="000C0557"/>
    <w:rsid w:val="000C0C13"/>
    <w:rsid w:val="000C1A49"/>
    <w:rsid w:val="000D3673"/>
    <w:rsid w:val="000D57A9"/>
    <w:rsid w:val="000E3CB6"/>
    <w:rsid w:val="000F3CAC"/>
    <w:rsid w:val="000F4749"/>
    <w:rsid w:val="000F5C9A"/>
    <w:rsid w:val="0011158B"/>
    <w:rsid w:val="00112F1D"/>
    <w:rsid w:val="001174AC"/>
    <w:rsid w:val="001225D2"/>
    <w:rsid w:val="00123EF6"/>
    <w:rsid w:val="001254A1"/>
    <w:rsid w:val="00130700"/>
    <w:rsid w:val="00132A14"/>
    <w:rsid w:val="00141231"/>
    <w:rsid w:val="00142284"/>
    <w:rsid w:val="00145115"/>
    <w:rsid w:val="00150162"/>
    <w:rsid w:val="00155FCE"/>
    <w:rsid w:val="001617E6"/>
    <w:rsid w:val="00162790"/>
    <w:rsid w:val="00180617"/>
    <w:rsid w:val="00187681"/>
    <w:rsid w:val="001A1012"/>
    <w:rsid w:val="001A25F9"/>
    <w:rsid w:val="001A2659"/>
    <w:rsid w:val="001A3E4C"/>
    <w:rsid w:val="001B367E"/>
    <w:rsid w:val="001B788A"/>
    <w:rsid w:val="001C1750"/>
    <w:rsid w:val="001C1CBC"/>
    <w:rsid w:val="001C5569"/>
    <w:rsid w:val="001C6094"/>
    <w:rsid w:val="001D1B15"/>
    <w:rsid w:val="001E1706"/>
    <w:rsid w:val="001E1E6D"/>
    <w:rsid w:val="001E5F2C"/>
    <w:rsid w:val="001E6098"/>
    <w:rsid w:val="001E7A1E"/>
    <w:rsid w:val="001F0D94"/>
    <w:rsid w:val="002008FC"/>
    <w:rsid w:val="00205047"/>
    <w:rsid w:val="00206E5D"/>
    <w:rsid w:val="0020748E"/>
    <w:rsid w:val="00221A86"/>
    <w:rsid w:val="00223D3E"/>
    <w:rsid w:val="0022614E"/>
    <w:rsid w:val="00226E24"/>
    <w:rsid w:val="00232282"/>
    <w:rsid w:val="00241550"/>
    <w:rsid w:val="00244071"/>
    <w:rsid w:val="00250E46"/>
    <w:rsid w:val="00253CDC"/>
    <w:rsid w:val="002542A9"/>
    <w:rsid w:val="00263721"/>
    <w:rsid w:val="002701F0"/>
    <w:rsid w:val="00274166"/>
    <w:rsid w:val="002745B6"/>
    <w:rsid w:val="002748CF"/>
    <w:rsid w:val="0027541D"/>
    <w:rsid w:val="00275EBD"/>
    <w:rsid w:val="002773F5"/>
    <w:rsid w:val="00281046"/>
    <w:rsid w:val="0028160A"/>
    <w:rsid w:val="002834AD"/>
    <w:rsid w:val="0029751C"/>
    <w:rsid w:val="002A09F7"/>
    <w:rsid w:val="002A3BBA"/>
    <w:rsid w:val="002A5769"/>
    <w:rsid w:val="002A5B36"/>
    <w:rsid w:val="002B1D58"/>
    <w:rsid w:val="002D0426"/>
    <w:rsid w:val="002D61A3"/>
    <w:rsid w:val="002D793C"/>
    <w:rsid w:val="002E12F1"/>
    <w:rsid w:val="002E3FE4"/>
    <w:rsid w:val="002F3B21"/>
    <w:rsid w:val="00300C55"/>
    <w:rsid w:val="0030131C"/>
    <w:rsid w:val="00311DAE"/>
    <w:rsid w:val="00311E6D"/>
    <w:rsid w:val="003167C8"/>
    <w:rsid w:val="0031770D"/>
    <w:rsid w:val="00327EC8"/>
    <w:rsid w:val="0033458D"/>
    <w:rsid w:val="003355CA"/>
    <w:rsid w:val="00337A8A"/>
    <w:rsid w:val="00345FFC"/>
    <w:rsid w:val="00350DB9"/>
    <w:rsid w:val="0036108B"/>
    <w:rsid w:val="00365000"/>
    <w:rsid w:val="003701D1"/>
    <w:rsid w:val="0037282A"/>
    <w:rsid w:val="00374E45"/>
    <w:rsid w:val="00385EB1"/>
    <w:rsid w:val="0039180B"/>
    <w:rsid w:val="003A343A"/>
    <w:rsid w:val="003B0737"/>
    <w:rsid w:val="003B0C4A"/>
    <w:rsid w:val="003B16AA"/>
    <w:rsid w:val="003B1FDA"/>
    <w:rsid w:val="003B2BF7"/>
    <w:rsid w:val="003C30BB"/>
    <w:rsid w:val="003C3573"/>
    <w:rsid w:val="003C6758"/>
    <w:rsid w:val="003E306B"/>
    <w:rsid w:val="003E4093"/>
    <w:rsid w:val="004019B2"/>
    <w:rsid w:val="0040350D"/>
    <w:rsid w:val="0040433E"/>
    <w:rsid w:val="00404E1B"/>
    <w:rsid w:val="00406296"/>
    <w:rsid w:val="0041026D"/>
    <w:rsid w:val="00414FA4"/>
    <w:rsid w:val="00415A9F"/>
    <w:rsid w:val="0042472C"/>
    <w:rsid w:val="00432AEA"/>
    <w:rsid w:val="004339CF"/>
    <w:rsid w:val="00434FA2"/>
    <w:rsid w:val="00437B5E"/>
    <w:rsid w:val="00441181"/>
    <w:rsid w:val="00450A76"/>
    <w:rsid w:val="00456D06"/>
    <w:rsid w:val="00456DD6"/>
    <w:rsid w:val="00457FA5"/>
    <w:rsid w:val="004629DB"/>
    <w:rsid w:val="0046708F"/>
    <w:rsid w:val="00467186"/>
    <w:rsid w:val="004802FF"/>
    <w:rsid w:val="004832EA"/>
    <w:rsid w:val="00487BE5"/>
    <w:rsid w:val="004915EA"/>
    <w:rsid w:val="00491749"/>
    <w:rsid w:val="00495D9E"/>
    <w:rsid w:val="004960E6"/>
    <w:rsid w:val="004A3A5B"/>
    <w:rsid w:val="004A7BC7"/>
    <w:rsid w:val="004C3863"/>
    <w:rsid w:val="004D0066"/>
    <w:rsid w:val="004E08FB"/>
    <w:rsid w:val="004E4B50"/>
    <w:rsid w:val="004F2A73"/>
    <w:rsid w:val="004F4801"/>
    <w:rsid w:val="004F58F9"/>
    <w:rsid w:val="00504EBA"/>
    <w:rsid w:val="00515564"/>
    <w:rsid w:val="00523C1E"/>
    <w:rsid w:val="00531AB4"/>
    <w:rsid w:val="00531DE7"/>
    <w:rsid w:val="00546D45"/>
    <w:rsid w:val="00546E19"/>
    <w:rsid w:val="0055220B"/>
    <w:rsid w:val="0055392B"/>
    <w:rsid w:val="00556782"/>
    <w:rsid w:val="00556873"/>
    <w:rsid w:val="0055761B"/>
    <w:rsid w:val="005605F1"/>
    <w:rsid w:val="0056327E"/>
    <w:rsid w:val="00565426"/>
    <w:rsid w:val="005710B8"/>
    <w:rsid w:val="00574152"/>
    <w:rsid w:val="005753E4"/>
    <w:rsid w:val="00576A34"/>
    <w:rsid w:val="00577636"/>
    <w:rsid w:val="00581790"/>
    <w:rsid w:val="00593123"/>
    <w:rsid w:val="005A4025"/>
    <w:rsid w:val="005B0778"/>
    <w:rsid w:val="005B213A"/>
    <w:rsid w:val="005C0C62"/>
    <w:rsid w:val="005C76D1"/>
    <w:rsid w:val="005D3317"/>
    <w:rsid w:val="005F0F73"/>
    <w:rsid w:val="005F1251"/>
    <w:rsid w:val="005F2294"/>
    <w:rsid w:val="005F47D8"/>
    <w:rsid w:val="005F604E"/>
    <w:rsid w:val="00602978"/>
    <w:rsid w:val="006039F6"/>
    <w:rsid w:val="006109AC"/>
    <w:rsid w:val="00620BF0"/>
    <w:rsid w:val="006374EC"/>
    <w:rsid w:val="00637EA0"/>
    <w:rsid w:val="00637FD4"/>
    <w:rsid w:val="006516A8"/>
    <w:rsid w:val="00653188"/>
    <w:rsid w:val="006620C9"/>
    <w:rsid w:val="00664635"/>
    <w:rsid w:val="006651B0"/>
    <w:rsid w:val="006732A7"/>
    <w:rsid w:val="00674302"/>
    <w:rsid w:val="0067657F"/>
    <w:rsid w:val="00677415"/>
    <w:rsid w:val="006852D0"/>
    <w:rsid w:val="00686F77"/>
    <w:rsid w:val="00687AE1"/>
    <w:rsid w:val="006B7623"/>
    <w:rsid w:val="006C481D"/>
    <w:rsid w:val="006C6209"/>
    <w:rsid w:val="006D1AF6"/>
    <w:rsid w:val="006D2AB4"/>
    <w:rsid w:val="006D4C29"/>
    <w:rsid w:val="006D75BF"/>
    <w:rsid w:val="006E45CA"/>
    <w:rsid w:val="006E6D78"/>
    <w:rsid w:val="006F51E3"/>
    <w:rsid w:val="006F57B4"/>
    <w:rsid w:val="007043EE"/>
    <w:rsid w:val="00706A40"/>
    <w:rsid w:val="00722979"/>
    <w:rsid w:val="00725933"/>
    <w:rsid w:val="007323BF"/>
    <w:rsid w:val="00732CB8"/>
    <w:rsid w:val="00733D35"/>
    <w:rsid w:val="00736664"/>
    <w:rsid w:val="00737078"/>
    <w:rsid w:val="0073737A"/>
    <w:rsid w:val="00742C6B"/>
    <w:rsid w:val="0074357A"/>
    <w:rsid w:val="007515AB"/>
    <w:rsid w:val="00765A66"/>
    <w:rsid w:val="0077155B"/>
    <w:rsid w:val="007740D7"/>
    <w:rsid w:val="007746C0"/>
    <w:rsid w:val="007836CA"/>
    <w:rsid w:val="00785349"/>
    <w:rsid w:val="00785B57"/>
    <w:rsid w:val="007926D7"/>
    <w:rsid w:val="007A0E5B"/>
    <w:rsid w:val="007A1C70"/>
    <w:rsid w:val="007A2BD1"/>
    <w:rsid w:val="007A6850"/>
    <w:rsid w:val="007B31FD"/>
    <w:rsid w:val="007B4FF2"/>
    <w:rsid w:val="007B68D1"/>
    <w:rsid w:val="007B7879"/>
    <w:rsid w:val="007C06EA"/>
    <w:rsid w:val="007C21F4"/>
    <w:rsid w:val="007C4C85"/>
    <w:rsid w:val="007C78E0"/>
    <w:rsid w:val="007E5C20"/>
    <w:rsid w:val="007F03FF"/>
    <w:rsid w:val="007F0539"/>
    <w:rsid w:val="008039B9"/>
    <w:rsid w:val="0080772B"/>
    <w:rsid w:val="00812451"/>
    <w:rsid w:val="00812E3B"/>
    <w:rsid w:val="00813ACC"/>
    <w:rsid w:val="00843ADB"/>
    <w:rsid w:val="00844C46"/>
    <w:rsid w:val="008747C5"/>
    <w:rsid w:val="00877F8E"/>
    <w:rsid w:val="00881526"/>
    <w:rsid w:val="00886CC2"/>
    <w:rsid w:val="008A298F"/>
    <w:rsid w:val="008A3D34"/>
    <w:rsid w:val="008C656A"/>
    <w:rsid w:val="008C6AC6"/>
    <w:rsid w:val="008C73A7"/>
    <w:rsid w:val="008D1FDB"/>
    <w:rsid w:val="008D27FC"/>
    <w:rsid w:val="008D5F18"/>
    <w:rsid w:val="008E63E5"/>
    <w:rsid w:val="008F2687"/>
    <w:rsid w:val="008F29B6"/>
    <w:rsid w:val="008F5708"/>
    <w:rsid w:val="008F61BC"/>
    <w:rsid w:val="00900B9E"/>
    <w:rsid w:val="00911179"/>
    <w:rsid w:val="0092045A"/>
    <w:rsid w:val="0092418F"/>
    <w:rsid w:val="00927956"/>
    <w:rsid w:val="009350D7"/>
    <w:rsid w:val="0094051E"/>
    <w:rsid w:val="009421FE"/>
    <w:rsid w:val="0094226B"/>
    <w:rsid w:val="00942584"/>
    <w:rsid w:val="0094677F"/>
    <w:rsid w:val="00950DDD"/>
    <w:rsid w:val="00953A49"/>
    <w:rsid w:val="009562AE"/>
    <w:rsid w:val="00957CF9"/>
    <w:rsid w:val="00961459"/>
    <w:rsid w:val="00963B7D"/>
    <w:rsid w:val="00986F6C"/>
    <w:rsid w:val="00994805"/>
    <w:rsid w:val="009963DC"/>
    <w:rsid w:val="0099772D"/>
    <w:rsid w:val="009A5A88"/>
    <w:rsid w:val="009B28DB"/>
    <w:rsid w:val="009C79C2"/>
    <w:rsid w:val="009D3EB7"/>
    <w:rsid w:val="009D53F4"/>
    <w:rsid w:val="009E3DE8"/>
    <w:rsid w:val="009E7EDB"/>
    <w:rsid w:val="00A00152"/>
    <w:rsid w:val="00A01743"/>
    <w:rsid w:val="00A02C96"/>
    <w:rsid w:val="00A05DC7"/>
    <w:rsid w:val="00A1067C"/>
    <w:rsid w:val="00A151A5"/>
    <w:rsid w:val="00A206D7"/>
    <w:rsid w:val="00A246C4"/>
    <w:rsid w:val="00A33DC8"/>
    <w:rsid w:val="00A36192"/>
    <w:rsid w:val="00A3738A"/>
    <w:rsid w:val="00A4592A"/>
    <w:rsid w:val="00A5061E"/>
    <w:rsid w:val="00A63D6E"/>
    <w:rsid w:val="00A65A21"/>
    <w:rsid w:val="00A661B2"/>
    <w:rsid w:val="00A66AB9"/>
    <w:rsid w:val="00A66AE8"/>
    <w:rsid w:val="00A670C9"/>
    <w:rsid w:val="00A700F6"/>
    <w:rsid w:val="00A7137D"/>
    <w:rsid w:val="00A73BFC"/>
    <w:rsid w:val="00A7512E"/>
    <w:rsid w:val="00A76929"/>
    <w:rsid w:val="00A804C1"/>
    <w:rsid w:val="00A81C29"/>
    <w:rsid w:val="00A84782"/>
    <w:rsid w:val="00A87201"/>
    <w:rsid w:val="00A87C06"/>
    <w:rsid w:val="00A96771"/>
    <w:rsid w:val="00A96CB3"/>
    <w:rsid w:val="00A97F69"/>
    <w:rsid w:val="00AA0DA8"/>
    <w:rsid w:val="00AA16A8"/>
    <w:rsid w:val="00AA3A38"/>
    <w:rsid w:val="00AA436D"/>
    <w:rsid w:val="00AB203A"/>
    <w:rsid w:val="00AC11E8"/>
    <w:rsid w:val="00AC38A7"/>
    <w:rsid w:val="00AC5718"/>
    <w:rsid w:val="00AD6070"/>
    <w:rsid w:val="00AD6B4D"/>
    <w:rsid w:val="00AE2F23"/>
    <w:rsid w:val="00AE3A86"/>
    <w:rsid w:val="00AF28AD"/>
    <w:rsid w:val="00B0657A"/>
    <w:rsid w:val="00B16DC9"/>
    <w:rsid w:val="00B20776"/>
    <w:rsid w:val="00B2280B"/>
    <w:rsid w:val="00B24626"/>
    <w:rsid w:val="00B27393"/>
    <w:rsid w:val="00B4456C"/>
    <w:rsid w:val="00B53F90"/>
    <w:rsid w:val="00B5667B"/>
    <w:rsid w:val="00B72A19"/>
    <w:rsid w:val="00B74E02"/>
    <w:rsid w:val="00B81826"/>
    <w:rsid w:val="00B83D7F"/>
    <w:rsid w:val="00B92CF2"/>
    <w:rsid w:val="00BA1441"/>
    <w:rsid w:val="00BA1F27"/>
    <w:rsid w:val="00BA447C"/>
    <w:rsid w:val="00BB0CAD"/>
    <w:rsid w:val="00BB56CB"/>
    <w:rsid w:val="00BC31F7"/>
    <w:rsid w:val="00BC3ED0"/>
    <w:rsid w:val="00BC6862"/>
    <w:rsid w:val="00BE3AB4"/>
    <w:rsid w:val="00BF247C"/>
    <w:rsid w:val="00BF4A32"/>
    <w:rsid w:val="00C039D7"/>
    <w:rsid w:val="00C0401F"/>
    <w:rsid w:val="00C06E51"/>
    <w:rsid w:val="00C1280A"/>
    <w:rsid w:val="00C13F5C"/>
    <w:rsid w:val="00C21A62"/>
    <w:rsid w:val="00C231BC"/>
    <w:rsid w:val="00C25DF7"/>
    <w:rsid w:val="00C30DC1"/>
    <w:rsid w:val="00C36EB0"/>
    <w:rsid w:val="00C46A44"/>
    <w:rsid w:val="00C50B57"/>
    <w:rsid w:val="00C51B52"/>
    <w:rsid w:val="00C61837"/>
    <w:rsid w:val="00C62DF2"/>
    <w:rsid w:val="00C64CDD"/>
    <w:rsid w:val="00C72236"/>
    <w:rsid w:val="00C72BDD"/>
    <w:rsid w:val="00C87C07"/>
    <w:rsid w:val="00C93899"/>
    <w:rsid w:val="00C97E8D"/>
    <w:rsid w:val="00CA76BE"/>
    <w:rsid w:val="00CB4698"/>
    <w:rsid w:val="00CB599F"/>
    <w:rsid w:val="00CD0532"/>
    <w:rsid w:val="00CD3B59"/>
    <w:rsid w:val="00CD6B5E"/>
    <w:rsid w:val="00CD79CD"/>
    <w:rsid w:val="00CE0F15"/>
    <w:rsid w:val="00CE1EC1"/>
    <w:rsid w:val="00D01C80"/>
    <w:rsid w:val="00D02BF3"/>
    <w:rsid w:val="00D0547D"/>
    <w:rsid w:val="00D12023"/>
    <w:rsid w:val="00D17D9A"/>
    <w:rsid w:val="00D213AA"/>
    <w:rsid w:val="00D21852"/>
    <w:rsid w:val="00D35565"/>
    <w:rsid w:val="00D44A2A"/>
    <w:rsid w:val="00D526CA"/>
    <w:rsid w:val="00D528B0"/>
    <w:rsid w:val="00D5780E"/>
    <w:rsid w:val="00D57BC8"/>
    <w:rsid w:val="00D61983"/>
    <w:rsid w:val="00D840D9"/>
    <w:rsid w:val="00D8475F"/>
    <w:rsid w:val="00D84A9D"/>
    <w:rsid w:val="00D930E9"/>
    <w:rsid w:val="00D95C01"/>
    <w:rsid w:val="00D97ACD"/>
    <w:rsid w:val="00DA10CA"/>
    <w:rsid w:val="00DB14AF"/>
    <w:rsid w:val="00DC7939"/>
    <w:rsid w:val="00DD1771"/>
    <w:rsid w:val="00DD43D3"/>
    <w:rsid w:val="00DD4624"/>
    <w:rsid w:val="00DD7DCE"/>
    <w:rsid w:val="00DE16C0"/>
    <w:rsid w:val="00DE1ED4"/>
    <w:rsid w:val="00DE5424"/>
    <w:rsid w:val="00E0042A"/>
    <w:rsid w:val="00E024C4"/>
    <w:rsid w:val="00E0272F"/>
    <w:rsid w:val="00E10EAE"/>
    <w:rsid w:val="00E25426"/>
    <w:rsid w:val="00E275A0"/>
    <w:rsid w:val="00E307C7"/>
    <w:rsid w:val="00E31B56"/>
    <w:rsid w:val="00E31E9F"/>
    <w:rsid w:val="00E360EE"/>
    <w:rsid w:val="00E372F1"/>
    <w:rsid w:val="00E45B28"/>
    <w:rsid w:val="00E5440B"/>
    <w:rsid w:val="00E54547"/>
    <w:rsid w:val="00E73F11"/>
    <w:rsid w:val="00E806AB"/>
    <w:rsid w:val="00E813E9"/>
    <w:rsid w:val="00E83D9A"/>
    <w:rsid w:val="00E90682"/>
    <w:rsid w:val="00E932C1"/>
    <w:rsid w:val="00E9366D"/>
    <w:rsid w:val="00E9682A"/>
    <w:rsid w:val="00EA61D4"/>
    <w:rsid w:val="00EB6ED5"/>
    <w:rsid w:val="00EC2FA0"/>
    <w:rsid w:val="00EC3549"/>
    <w:rsid w:val="00EC71AC"/>
    <w:rsid w:val="00ED2514"/>
    <w:rsid w:val="00ED5223"/>
    <w:rsid w:val="00ED6C6F"/>
    <w:rsid w:val="00EE11BA"/>
    <w:rsid w:val="00EE13E8"/>
    <w:rsid w:val="00EF16DD"/>
    <w:rsid w:val="00EF17B1"/>
    <w:rsid w:val="00EF2ED1"/>
    <w:rsid w:val="00EF66BB"/>
    <w:rsid w:val="00F019FA"/>
    <w:rsid w:val="00F03B4D"/>
    <w:rsid w:val="00F04BF2"/>
    <w:rsid w:val="00F05305"/>
    <w:rsid w:val="00F36172"/>
    <w:rsid w:val="00F377DE"/>
    <w:rsid w:val="00F37B84"/>
    <w:rsid w:val="00F43D3D"/>
    <w:rsid w:val="00F44B59"/>
    <w:rsid w:val="00F55438"/>
    <w:rsid w:val="00F602C0"/>
    <w:rsid w:val="00F60DB9"/>
    <w:rsid w:val="00F75E04"/>
    <w:rsid w:val="00F77BA2"/>
    <w:rsid w:val="00F8702A"/>
    <w:rsid w:val="00F93279"/>
    <w:rsid w:val="00F9530C"/>
    <w:rsid w:val="00F9700F"/>
    <w:rsid w:val="00F97854"/>
    <w:rsid w:val="00FA3951"/>
    <w:rsid w:val="00FA4063"/>
    <w:rsid w:val="00FA521E"/>
    <w:rsid w:val="00FA5EAF"/>
    <w:rsid w:val="00FA6E74"/>
    <w:rsid w:val="00FD5B7C"/>
    <w:rsid w:val="00FD6A52"/>
    <w:rsid w:val="00FD7676"/>
    <w:rsid w:val="00FE13B4"/>
    <w:rsid w:val="00FE552D"/>
    <w:rsid w:val="00FE589D"/>
    <w:rsid w:val="00FE60AB"/>
    <w:rsid w:val="00FE6495"/>
    <w:rsid w:val="00FF1DDB"/>
    <w:rsid w:val="00FF2D2E"/>
    <w:rsid w:val="00FF3A4B"/>
    <w:rsid w:val="00FF3FCA"/>
    <w:rsid w:val="00FF4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373DD"/>
  <w14:defaultImageDpi w14:val="32767"/>
  <w15:chartTrackingRefBased/>
  <w15:docId w15:val="{D69D31B9-ABD9-D745-9135-0984DF44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E4C"/>
  </w:style>
  <w:style w:type="paragraph" w:styleId="Heading1">
    <w:name w:val="heading 1"/>
    <w:basedOn w:val="Normal"/>
    <w:next w:val="Normal"/>
    <w:link w:val="Heading1Char"/>
    <w:uiPriority w:val="9"/>
    <w:qFormat/>
    <w:rsid w:val="00C039D7"/>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3E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3E4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A3E4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3E4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A3E4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A3E4C"/>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unhideWhenUsed/>
    <w:rsid w:val="001A3E4C"/>
    <w:rPr>
      <w:sz w:val="20"/>
      <w:szCs w:val="20"/>
    </w:rPr>
  </w:style>
  <w:style w:type="character" w:customStyle="1" w:styleId="FootnoteTextChar">
    <w:name w:val="Footnote Text Char"/>
    <w:basedOn w:val="DefaultParagraphFont"/>
    <w:link w:val="FootnoteText"/>
    <w:uiPriority w:val="99"/>
    <w:rsid w:val="001A3E4C"/>
    <w:rPr>
      <w:sz w:val="20"/>
      <w:szCs w:val="20"/>
    </w:rPr>
  </w:style>
  <w:style w:type="character" w:styleId="FootnoteReference">
    <w:name w:val="footnote reference"/>
    <w:basedOn w:val="DefaultParagraphFont"/>
    <w:uiPriority w:val="99"/>
    <w:unhideWhenUsed/>
    <w:rsid w:val="001A3E4C"/>
    <w:rPr>
      <w:vertAlign w:val="superscript"/>
    </w:rPr>
  </w:style>
  <w:style w:type="table" w:styleId="TableGrid">
    <w:name w:val="Table Grid"/>
    <w:basedOn w:val="TableNormal"/>
    <w:uiPriority w:val="39"/>
    <w:rsid w:val="001A3E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4C"/>
    <w:rPr>
      <w:sz w:val="22"/>
      <w:szCs w:val="22"/>
    </w:rPr>
  </w:style>
  <w:style w:type="paragraph" w:styleId="BalloonText">
    <w:name w:val="Balloon Text"/>
    <w:basedOn w:val="Normal"/>
    <w:link w:val="BalloonTextChar"/>
    <w:uiPriority w:val="99"/>
    <w:semiHidden/>
    <w:unhideWhenUsed/>
    <w:rsid w:val="00B16D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6DC9"/>
    <w:rPr>
      <w:rFonts w:ascii="Times New Roman" w:hAnsi="Times New Roman" w:cs="Times New Roman"/>
      <w:sz w:val="18"/>
      <w:szCs w:val="18"/>
    </w:rPr>
  </w:style>
  <w:style w:type="paragraph" w:styleId="Footer">
    <w:name w:val="footer"/>
    <w:basedOn w:val="Normal"/>
    <w:link w:val="FooterChar"/>
    <w:uiPriority w:val="99"/>
    <w:unhideWhenUsed/>
    <w:rsid w:val="00206E5D"/>
    <w:pPr>
      <w:tabs>
        <w:tab w:val="center" w:pos="4513"/>
        <w:tab w:val="right" w:pos="9026"/>
      </w:tabs>
    </w:pPr>
  </w:style>
  <w:style w:type="character" w:customStyle="1" w:styleId="FooterChar">
    <w:name w:val="Footer Char"/>
    <w:basedOn w:val="DefaultParagraphFont"/>
    <w:link w:val="Footer"/>
    <w:uiPriority w:val="99"/>
    <w:rsid w:val="00206E5D"/>
  </w:style>
  <w:style w:type="character" w:styleId="PageNumber">
    <w:name w:val="page number"/>
    <w:basedOn w:val="DefaultParagraphFont"/>
    <w:uiPriority w:val="99"/>
    <w:semiHidden/>
    <w:unhideWhenUsed/>
    <w:rsid w:val="00206E5D"/>
  </w:style>
  <w:style w:type="paragraph" w:styleId="Header">
    <w:name w:val="header"/>
    <w:basedOn w:val="Normal"/>
    <w:link w:val="HeaderChar"/>
    <w:uiPriority w:val="99"/>
    <w:unhideWhenUsed/>
    <w:rsid w:val="007B68D1"/>
    <w:pPr>
      <w:tabs>
        <w:tab w:val="center" w:pos="4513"/>
        <w:tab w:val="right" w:pos="9026"/>
      </w:tabs>
    </w:pPr>
  </w:style>
  <w:style w:type="character" w:customStyle="1" w:styleId="HeaderChar">
    <w:name w:val="Header Char"/>
    <w:basedOn w:val="DefaultParagraphFont"/>
    <w:link w:val="Header"/>
    <w:uiPriority w:val="99"/>
    <w:rsid w:val="007B68D1"/>
  </w:style>
  <w:style w:type="character" w:styleId="CommentReference">
    <w:name w:val="annotation reference"/>
    <w:basedOn w:val="DefaultParagraphFont"/>
    <w:uiPriority w:val="99"/>
    <w:semiHidden/>
    <w:unhideWhenUsed/>
    <w:rsid w:val="00FE6495"/>
    <w:rPr>
      <w:sz w:val="16"/>
      <w:szCs w:val="16"/>
    </w:rPr>
  </w:style>
  <w:style w:type="paragraph" w:styleId="CommentText">
    <w:name w:val="annotation text"/>
    <w:basedOn w:val="Normal"/>
    <w:link w:val="CommentTextChar"/>
    <w:uiPriority w:val="99"/>
    <w:semiHidden/>
    <w:unhideWhenUsed/>
    <w:rsid w:val="00FE6495"/>
    <w:rPr>
      <w:sz w:val="20"/>
      <w:szCs w:val="20"/>
    </w:rPr>
  </w:style>
  <w:style w:type="character" w:customStyle="1" w:styleId="CommentTextChar">
    <w:name w:val="Comment Text Char"/>
    <w:basedOn w:val="DefaultParagraphFont"/>
    <w:link w:val="CommentText"/>
    <w:uiPriority w:val="99"/>
    <w:semiHidden/>
    <w:rsid w:val="00FE6495"/>
    <w:rPr>
      <w:sz w:val="20"/>
      <w:szCs w:val="20"/>
    </w:rPr>
  </w:style>
  <w:style w:type="paragraph" w:styleId="CommentSubject">
    <w:name w:val="annotation subject"/>
    <w:basedOn w:val="CommentText"/>
    <w:next w:val="CommentText"/>
    <w:link w:val="CommentSubjectChar"/>
    <w:uiPriority w:val="99"/>
    <w:semiHidden/>
    <w:unhideWhenUsed/>
    <w:rsid w:val="00FE6495"/>
    <w:rPr>
      <w:b/>
      <w:bCs/>
    </w:rPr>
  </w:style>
  <w:style w:type="character" w:customStyle="1" w:styleId="CommentSubjectChar">
    <w:name w:val="Comment Subject Char"/>
    <w:basedOn w:val="CommentTextChar"/>
    <w:link w:val="CommentSubject"/>
    <w:uiPriority w:val="99"/>
    <w:semiHidden/>
    <w:rsid w:val="00FE6495"/>
    <w:rPr>
      <w:b/>
      <w:bCs/>
      <w:sz w:val="20"/>
      <w:szCs w:val="20"/>
    </w:rPr>
  </w:style>
  <w:style w:type="paragraph" w:styleId="ListParagraph">
    <w:name w:val="List Paragraph"/>
    <w:basedOn w:val="Normal"/>
    <w:uiPriority w:val="34"/>
    <w:qFormat/>
    <w:rsid w:val="00706A40"/>
    <w:pPr>
      <w:ind w:left="720"/>
      <w:contextualSpacing/>
    </w:pPr>
  </w:style>
  <w:style w:type="paragraph" w:styleId="Revision">
    <w:name w:val="Revision"/>
    <w:hidden/>
    <w:uiPriority w:val="99"/>
    <w:semiHidden/>
    <w:rsid w:val="009D53F4"/>
  </w:style>
  <w:style w:type="character" w:customStyle="1" w:styleId="Heading1Char">
    <w:name w:val="Heading 1 Char"/>
    <w:basedOn w:val="DefaultParagraphFont"/>
    <w:link w:val="Heading1"/>
    <w:uiPriority w:val="9"/>
    <w:rsid w:val="00C039D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039D7"/>
    <w:rPr>
      <w:color w:val="0563C1" w:themeColor="hyperlink"/>
      <w:u w:val="single"/>
    </w:rPr>
  </w:style>
  <w:style w:type="character" w:styleId="FollowedHyperlink">
    <w:name w:val="FollowedHyperlink"/>
    <w:basedOn w:val="DefaultParagraphFont"/>
    <w:uiPriority w:val="99"/>
    <w:semiHidden/>
    <w:unhideWhenUsed/>
    <w:rsid w:val="00E45B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597274">
      <w:bodyDiv w:val="1"/>
      <w:marLeft w:val="0"/>
      <w:marRight w:val="0"/>
      <w:marTop w:val="0"/>
      <w:marBottom w:val="0"/>
      <w:divBdr>
        <w:top w:val="none" w:sz="0" w:space="0" w:color="auto"/>
        <w:left w:val="none" w:sz="0" w:space="0" w:color="auto"/>
        <w:bottom w:val="none" w:sz="0" w:space="0" w:color="auto"/>
        <w:right w:val="none" w:sz="0" w:space="0" w:color="auto"/>
      </w:divBdr>
      <w:divsChild>
        <w:div w:id="155386351">
          <w:marLeft w:val="0"/>
          <w:marRight w:val="0"/>
          <w:marTop w:val="0"/>
          <w:marBottom w:val="0"/>
          <w:divBdr>
            <w:top w:val="none" w:sz="0" w:space="0" w:color="auto"/>
            <w:left w:val="none" w:sz="0" w:space="0" w:color="auto"/>
            <w:bottom w:val="none" w:sz="0" w:space="0" w:color="auto"/>
            <w:right w:val="none" w:sz="0" w:space="0" w:color="auto"/>
          </w:divBdr>
        </w:div>
        <w:div w:id="788084668">
          <w:marLeft w:val="0"/>
          <w:marRight w:val="0"/>
          <w:marTop w:val="0"/>
          <w:marBottom w:val="0"/>
          <w:divBdr>
            <w:top w:val="none" w:sz="0" w:space="0" w:color="auto"/>
            <w:left w:val="none" w:sz="0" w:space="0" w:color="auto"/>
            <w:bottom w:val="none" w:sz="0" w:space="0" w:color="auto"/>
            <w:right w:val="none" w:sz="0" w:space="0" w:color="auto"/>
          </w:divBdr>
        </w:div>
        <w:div w:id="1233999851">
          <w:marLeft w:val="0"/>
          <w:marRight w:val="0"/>
          <w:marTop w:val="0"/>
          <w:marBottom w:val="0"/>
          <w:divBdr>
            <w:top w:val="none" w:sz="0" w:space="0" w:color="auto"/>
            <w:left w:val="none" w:sz="0" w:space="0" w:color="auto"/>
            <w:bottom w:val="none" w:sz="0" w:space="0" w:color="auto"/>
            <w:right w:val="none" w:sz="0" w:space="0" w:color="auto"/>
          </w:divBdr>
        </w:div>
        <w:div w:id="1664357792">
          <w:marLeft w:val="0"/>
          <w:marRight w:val="0"/>
          <w:marTop w:val="0"/>
          <w:marBottom w:val="0"/>
          <w:divBdr>
            <w:top w:val="none" w:sz="0" w:space="0" w:color="auto"/>
            <w:left w:val="none" w:sz="0" w:space="0" w:color="auto"/>
            <w:bottom w:val="none" w:sz="0" w:space="0" w:color="auto"/>
            <w:right w:val="none" w:sz="0" w:space="0" w:color="auto"/>
          </w:divBdr>
        </w:div>
        <w:div w:id="839002633">
          <w:marLeft w:val="0"/>
          <w:marRight w:val="0"/>
          <w:marTop w:val="0"/>
          <w:marBottom w:val="0"/>
          <w:divBdr>
            <w:top w:val="none" w:sz="0" w:space="0" w:color="auto"/>
            <w:left w:val="none" w:sz="0" w:space="0" w:color="auto"/>
            <w:bottom w:val="none" w:sz="0" w:space="0" w:color="auto"/>
            <w:right w:val="none" w:sz="0" w:space="0" w:color="auto"/>
          </w:divBdr>
        </w:div>
        <w:div w:id="611129173">
          <w:marLeft w:val="0"/>
          <w:marRight w:val="0"/>
          <w:marTop w:val="0"/>
          <w:marBottom w:val="0"/>
          <w:divBdr>
            <w:top w:val="none" w:sz="0" w:space="0" w:color="auto"/>
            <w:left w:val="none" w:sz="0" w:space="0" w:color="auto"/>
            <w:bottom w:val="none" w:sz="0" w:space="0" w:color="auto"/>
            <w:right w:val="none" w:sz="0" w:space="0" w:color="auto"/>
          </w:divBdr>
        </w:div>
        <w:div w:id="649676726">
          <w:marLeft w:val="0"/>
          <w:marRight w:val="0"/>
          <w:marTop w:val="0"/>
          <w:marBottom w:val="0"/>
          <w:divBdr>
            <w:top w:val="none" w:sz="0" w:space="0" w:color="auto"/>
            <w:left w:val="none" w:sz="0" w:space="0" w:color="auto"/>
            <w:bottom w:val="none" w:sz="0" w:space="0" w:color="auto"/>
            <w:right w:val="none" w:sz="0" w:space="0" w:color="auto"/>
          </w:divBdr>
        </w:div>
        <w:div w:id="1087307908">
          <w:marLeft w:val="0"/>
          <w:marRight w:val="0"/>
          <w:marTop w:val="0"/>
          <w:marBottom w:val="0"/>
          <w:divBdr>
            <w:top w:val="none" w:sz="0" w:space="0" w:color="auto"/>
            <w:left w:val="none" w:sz="0" w:space="0" w:color="auto"/>
            <w:bottom w:val="none" w:sz="0" w:space="0" w:color="auto"/>
            <w:right w:val="none" w:sz="0" w:space="0" w:color="auto"/>
          </w:divBdr>
        </w:div>
        <w:div w:id="1420908201">
          <w:marLeft w:val="0"/>
          <w:marRight w:val="0"/>
          <w:marTop w:val="0"/>
          <w:marBottom w:val="0"/>
          <w:divBdr>
            <w:top w:val="none" w:sz="0" w:space="0" w:color="auto"/>
            <w:left w:val="none" w:sz="0" w:space="0" w:color="auto"/>
            <w:bottom w:val="none" w:sz="0" w:space="0" w:color="auto"/>
            <w:right w:val="none" w:sz="0" w:space="0" w:color="auto"/>
          </w:divBdr>
        </w:div>
        <w:div w:id="627400231">
          <w:marLeft w:val="0"/>
          <w:marRight w:val="0"/>
          <w:marTop w:val="0"/>
          <w:marBottom w:val="0"/>
          <w:divBdr>
            <w:top w:val="none" w:sz="0" w:space="0" w:color="auto"/>
            <w:left w:val="none" w:sz="0" w:space="0" w:color="auto"/>
            <w:bottom w:val="none" w:sz="0" w:space="0" w:color="auto"/>
            <w:right w:val="none" w:sz="0" w:space="0" w:color="auto"/>
          </w:divBdr>
        </w:div>
      </w:divsChild>
    </w:div>
    <w:div w:id="569585242">
      <w:bodyDiv w:val="1"/>
      <w:marLeft w:val="0"/>
      <w:marRight w:val="0"/>
      <w:marTop w:val="0"/>
      <w:marBottom w:val="0"/>
      <w:divBdr>
        <w:top w:val="none" w:sz="0" w:space="0" w:color="auto"/>
        <w:left w:val="none" w:sz="0" w:space="0" w:color="auto"/>
        <w:bottom w:val="none" w:sz="0" w:space="0" w:color="auto"/>
        <w:right w:val="none" w:sz="0" w:space="0" w:color="auto"/>
      </w:divBdr>
      <w:divsChild>
        <w:div w:id="274797358">
          <w:marLeft w:val="0"/>
          <w:marRight w:val="0"/>
          <w:marTop w:val="0"/>
          <w:marBottom w:val="0"/>
          <w:divBdr>
            <w:top w:val="none" w:sz="0" w:space="0" w:color="auto"/>
            <w:left w:val="none" w:sz="0" w:space="0" w:color="auto"/>
            <w:bottom w:val="none" w:sz="0" w:space="0" w:color="auto"/>
            <w:right w:val="none" w:sz="0" w:space="0" w:color="auto"/>
          </w:divBdr>
        </w:div>
        <w:div w:id="1810633875">
          <w:marLeft w:val="0"/>
          <w:marRight w:val="0"/>
          <w:marTop w:val="0"/>
          <w:marBottom w:val="0"/>
          <w:divBdr>
            <w:top w:val="none" w:sz="0" w:space="0" w:color="auto"/>
            <w:left w:val="none" w:sz="0" w:space="0" w:color="auto"/>
            <w:bottom w:val="none" w:sz="0" w:space="0" w:color="auto"/>
            <w:right w:val="none" w:sz="0" w:space="0" w:color="auto"/>
          </w:divBdr>
        </w:div>
        <w:div w:id="1292901884">
          <w:marLeft w:val="0"/>
          <w:marRight w:val="0"/>
          <w:marTop w:val="0"/>
          <w:marBottom w:val="0"/>
          <w:divBdr>
            <w:top w:val="none" w:sz="0" w:space="0" w:color="auto"/>
            <w:left w:val="none" w:sz="0" w:space="0" w:color="auto"/>
            <w:bottom w:val="none" w:sz="0" w:space="0" w:color="auto"/>
            <w:right w:val="none" w:sz="0" w:space="0" w:color="auto"/>
          </w:divBdr>
        </w:div>
        <w:div w:id="1710566062">
          <w:marLeft w:val="0"/>
          <w:marRight w:val="0"/>
          <w:marTop w:val="0"/>
          <w:marBottom w:val="0"/>
          <w:divBdr>
            <w:top w:val="none" w:sz="0" w:space="0" w:color="auto"/>
            <w:left w:val="none" w:sz="0" w:space="0" w:color="auto"/>
            <w:bottom w:val="none" w:sz="0" w:space="0" w:color="auto"/>
            <w:right w:val="none" w:sz="0" w:space="0" w:color="auto"/>
          </w:divBdr>
        </w:div>
        <w:div w:id="1560437978">
          <w:marLeft w:val="0"/>
          <w:marRight w:val="0"/>
          <w:marTop w:val="0"/>
          <w:marBottom w:val="0"/>
          <w:divBdr>
            <w:top w:val="none" w:sz="0" w:space="0" w:color="auto"/>
            <w:left w:val="none" w:sz="0" w:space="0" w:color="auto"/>
            <w:bottom w:val="none" w:sz="0" w:space="0" w:color="auto"/>
            <w:right w:val="none" w:sz="0" w:space="0" w:color="auto"/>
          </w:divBdr>
        </w:div>
      </w:divsChild>
    </w:div>
    <w:div w:id="1419255419">
      <w:bodyDiv w:val="1"/>
      <w:marLeft w:val="0"/>
      <w:marRight w:val="0"/>
      <w:marTop w:val="0"/>
      <w:marBottom w:val="0"/>
      <w:divBdr>
        <w:top w:val="none" w:sz="0" w:space="0" w:color="auto"/>
        <w:left w:val="none" w:sz="0" w:space="0" w:color="auto"/>
        <w:bottom w:val="none" w:sz="0" w:space="0" w:color="auto"/>
        <w:right w:val="none" w:sz="0" w:space="0" w:color="auto"/>
      </w:divBdr>
      <w:divsChild>
        <w:div w:id="1872645445">
          <w:marLeft w:val="0"/>
          <w:marRight w:val="0"/>
          <w:marTop w:val="0"/>
          <w:marBottom w:val="0"/>
          <w:divBdr>
            <w:top w:val="none" w:sz="0" w:space="0" w:color="auto"/>
            <w:left w:val="none" w:sz="0" w:space="0" w:color="auto"/>
            <w:bottom w:val="none" w:sz="0" w:space="0" w:color="auto"/>
            <w:right w:val="none" w:sz="0" w:space="0" w:color="auto"/>
          </w:divBdr>
        </w:div>
        <w:div w:id="1974672349">
          <w:marLeft w:val="0"/>
          <w:marRight w:val="0"/>
          <w:marTop w:val="0"/>
          <w:marBottom w:val="0"/>
          <w:divBdr>
            <w:top w:val="none" w:sz="0" w:space="0" w:color="auto"/>
            <w:left w:val="none" w:sz="0" w:space="0" w:color="auto"/>
            <w:bottom w:val="none" w:sz="0" w:space="0" w:color="auto"/>
            <w:right w:val="none" w:sz="0" w:space="0" w:color="auto"/>
          </w:divBdr>
        </w:div>
        <w:div w:id="1886137167">
          <w:marLeft w:val="0"/>
          <w:marRight w:val="0"/>
          <w:marTop w:val="0"/>
          <w:marBottom w:val="0"/>
          <w:divBdr>
            <w:top w:val="none" w:sz="0" w:space="0" w:color="auto"/>
            <w:left w:val="none" w:sz="0" w:space="0" w:color="auto"/>
            <w:bottom w:val="none" w:sz="0" w:space="0" w:color="auto"/>
            <w:right w:val="none" w:sz="0" w:space="0" w:color="auto"/>
          </w:divBdr>
        </w:div>
        <w:div w:id="249169351">
          <w:marLeft w:val="0"/>
          <w:marRight w:val="0"/>
          <w:marTop w:val="0"/>
          <w:marBottom w:val="0"/>
          <w:divBdr>
            <w:top w:val="none" w:sz="0" w:space="0" w:color="auto"/>
            <w:left w:val="none" w:sz="0" w:space="0" w:color="auto"/>
            <w:bottom w:val="none" w:sz="0" w:space="0" w:color="auto"/>
            <w:right w:val="none" w:sz="0" w:space="0" w:color="auto"/>
          </w:divBdr>
        </w:div>
        <w:div w:id="452673332">
          <w:marLeft w:val="0"/>
          <w:marRight w:val="0"/>
          <w:marTop w:val="0"/>
          <w:marBottom w:val="0"/>
          <w:divBdr>
            <w:top w:val="none" w:sz="0" w:space="0" w:color="auto"/>
            <w:left w:val="none" w:sz="0" w:space="0" w:color="auto"/>
            <w:bottom w:val="none" w:sz="0" w:space="0" w:color="auto"/>
            <w:right w:val="none" w:sz="0" w:space="0" w:color="auto"/>
          </w:divBdr>
        </w:div>
        <w:div w:id="1452237591">
          <w:marLeft w:val="0"/>
          <w:marRight w:val="0"/>
          <w:marTop w:val="0"/>
          <w:marBottom w:val="0"/>
          <w:divBdr>
            <w:top w:val="none" w:sz="0" w:space="0" w:color="auto"/>
            <w:left w:val="none" w:sz="0" w:space="0" w:color="auto"/>
            <w:bottom w:val="none" w:sz="0" w:space="0" w:color="auto"/>
            <w:right w:val="none" w:sz="0" w:space="0" w:color="auto"/>
          </w:divBdr>
        </w:div>
        <w:div w:id="414593975">
          <w:marLeft w:val="0"/>
          <w:marRight w:val="0"/>
          <w:marTop w:val="0"/>
          <w:marBottom w:val="0"/>
          <w:divBdr>
            <w:top w:val="none" w:sz="0" w:space="0" w:color="auto"/>
            <w:left w:val="none" w:sz="0" w:space="0" w:color="auto"/>
            <w:bottom w:val="none" w:sz="0" w:space="0" w:color="auto"/>
            <w:right w:val="none" w:sz="0" w:space="0" w:color="auto"/>
          </w:divBdr>
        </w:div>
        <w:div w:id="2033989464">
          <w:marLeft w:val="0"/>
          <w:marRight w:val="0"/>
          <w:marTop w:val="0"/>
          <w:marBottom w:val="0"/>
          <w:divBdr>
            <w:top w:val="none" w:sz="0" w:space="0" w:color="auto"/>
            <w:left w:val="none" w:sz="0" w:space="0" w:color="auto"/>
            <w:bottom w:val="none" w:sz="0" w:space="0" w:color="auto"/>
            <w:right w:val="none" w:sz="0" w:space="0" w:color="auto"/>
          </w:divBdr>
        </w:div>
        <w:div w:id="1414351242">
          <w:marLeft w:val="0"/>
          <w:marRight w:val="0"/>
          <w:marTop w:val="0"/>
          <w:marBottom w:val="0"/>
          <w:divBdr>
            <w:top w:val="none" w:sz="0" w:space="0" w:color="auto"/>
            <w:left w:val="none" w:sz="0" w:space="0" w:color="auto"/>
            <w:bottom w:val="none" w:sz="0" w:space="0" w:color="auto"/>
            <w:right w:val="none" w:sz="0" w:space="0" w:color="auto"/>
          </w:divBdr>
        </w:div>
        <w:div w:id="1254437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rner@liverpool.ac.uk" TargetMode="External"/><Relationship Id="rId13" Type="http://schemas.openxmlformats.org/officeDocument/2006/relationships/image" Target="media/image1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Jones@liverpool.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Giordano@liverpool.ac.uk" TargetMode="External"/><Relationship Id="rId4" Type="http://schemas.openxmlformats.org/officeDocument/2006/relationships/settings" Target="settings.xml"/><Relationship Id="rId9" Type="http://schemas.openxmlformats.org/officeDocument/2006/relationships/hyperlink" Target="mailto:D.Jayawarna@liverpool.ac.uk"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Dilani\PAPERS%20IN%20DEVELOPMENT\sam%20paper\moderation%20graph%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Moderated</a:t>
            </a:r>
            <a:r>
              <a:rPr lang="en-GB" baseline="0"/>
              <a:t> Mediation effect on Technology Transfer outcomes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Sheet1!$A$2</c:f>
              <c:strCache>
                <c:ptCount val="1"/>
                <c:pt idx="0">
                  <c:v>Direct </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28575" cap="rnd">
                <a:solidFill>
                  <a:schemeClr val="tx1"/>
                </a:solidFill>
                <a:prstDash val="sysDot"/>
              </a:ln>
              <a:effectLst/>
            </c:spPr>
            <c:trendlineType val="linear"/>
            <c:dispRSqr val="0"/>
            <c:dispEq val="0"/>
          </c:trendline>
          <c:xVal>
            <c:strRef>
              <c:f>Sheet1!$B$1:$C$1</c:f>
              <c:strCache>
                <c:ptCount val="2"/>
                <c:pt idx="0">
                  <c:v>Direct </c:v>
                </c:pt>
                <c:pt idx="1">
                  <c:v>Indirect </c:v>
                </c:pt>
              </c:strCache>
            </c:strRef>
          </c:xVal>
          <c:yVal>
            <c:numRef>
              <c:f>Sheet1!$B$2:$C$2</c:f>
              <c:numCache>
                <c:formatCode>General</c:formatCode>
                <c:ptCount val="2"/>
                <c:pt idx="0">
                  <c:v>0.14000000000000001</c:v>
                </c:pt>
                <c:pt idx="1">
                  <c:v>0.15</c:v>
                </c:pt>
              </c:numCache>
            </c:numRef>
          </c:yVal>
          <c:smooth val="0"/>
          <c:extLst>
            <c:ext xmlns:c16="http://schemas.microsoft.com/office/drawing/2014/chart" uri="{C3380CC4-5D6E-409C-BE32-E72D297353CC}">
              <c16:uniqueId val="{00000000-7847-4F22-B921-EDF2900C0A83}"/>
            </c:ext>
          </c:extLst>
        </c:ser>
        <c:ser>
          <c:idx val="1"/>
          <c:order val="1"/>
          <c:tx>
            <c:strRef>
              <c:f>Sheet1!$A$3</c:f>
              <c:strCache>
                <c:ptCount val="1"/>
                <c:pt idx="0">
                  <c:v>Indirect </c:v>
                </c:pt>
              </c:strCache>
            </c:strRef>
          </c:tx>
          <c:spPr>
            <a:ln w="19050" cap="rnd">
              <a:noFill/>
              <a:round/>
            </a:ln>
            <a:effectLst/>
          </c:spPr>
          <c:marker>
            <c:symbol val="circle"/>
            <c:size val="5"/>
            <c:spPr>
              <a:solidFill>
                <a:schemeClr val="accent2"/>
              </a:solidFill>
              <a:ln w="15875">
                <a:solidFill>
                  <a:schemeClr val="tx1"/>
                </a:solidFill>
              </a:ln>
              <a:effectLst/>
            </c:spPr>
          </c:marker>
          <c:trendline>
            <c:spPr>
              <a:ln w="25400" cap="sq">
                <a:solidFill>
                  <a:schemeClr val="tx1"/>
                </a:solidFill>
                <a:prstDash val="solid"/>
              </a:ln>
              <a:effectLst/>
            </c:spPr>
            <c:trendlineType val="linear"/>
            <c:dispRSqr val="0"/>
            <c:dispEq val="0"/>
          </c:trendline>
          <c:xVal>
            <c:strRef>
              <c:f>Sheet1!$B$1:$C$1</c:f>
              <c:strCache>
                <c:ptCount val="2"/>
                <c:pt idx="0">
                  <c:v>Direct </c:v>
                </c:pt>
                <c:pt idx="1">
                  <c:v>Indirect </c:v>
                </c:pt>
              </c:strCache>
            </c:strRef>
          </c:xVal>
          <c:yVal>
            <c:numRef>
              <c:f>Sheet1!$B$3:$C$3</c:f>
              <c:numCache>
                <c:formatCode>General</c:formatCode>
                <c:ptCount val="2"/>
                <c:pt idx="0">
                  <c:v>0.27</c:v>
                </c:pt>
                <c:pt idx="1">
                  <c:v>0.46</c:v>
                </c:pt>
              </c:numCache>
            </c:numRef>
          </c:yVal>
          <c:smooth val="0"/>
          <c:extLst>
            <c:ext xmlns:c16="http://schemas.microsoft.com/office/drawing/2014/chart" uri="{C3380CC4-5D6E-409C-BE32-E72D297353CC}">
              <c16:uniqueId val="{00000001-7847-4F22-B921-EDF2900C0A83}"/>
            </c:ext>
          </c:extLst>
        </c:ser>
        <c:dLbls>
          <c:showLegendKey val="0"/>
          <c:showVal val="0"/>
          <c:showCatName val="0"/>
          <c:showSerName val="0"/>
          <c:showPercent val="0"/>
          <c:showBubbleSize val="0"/>
        </c:dLbls>
        <c:axId val="-1879822000"/>
        <c:axId val="-1825269728"/>
      </c:scatterChart>
      <c:valAx>
        <c:axId val="-1879822000"/>
        <c:scaling>
          <c:orientation val="minMax"/>
          <c:min val="0.7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Difference</a:t>
                </a:r>
                <a:r>
                  <a:rPr lang="en-GB" baseline="0"/>
                  <a:t> in Technology transfer outcomes between higher level of TTO Support vs.  lower level of TTO  Support</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5269728"/>
        <c:crosses val="autoZero"/>
        <c:crossBetween val="midCat"/>
      </c:valAx>
      <c:valAx>
        <c:axId val="-1825269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effect on Technology transfer</a:t>
                </a:r>
                <a:r>
                  <a:rPr lang="en-GB" baseline="0"/>
                  <a:t> outcomes </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982200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BA9A0-4D78-EF4F-9E6C-FB52BCE8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73771</Words>
  <Characters>420496</Characters>
  <Application>Microsoft Office Word</Application>
  <DocSecurity>0</DocSecurity>
  <Lines>3504</Lines>
  <Paragraphs>986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Horner, Samuel</dc:creator>
  <cp:keywords/>
  <dc:description/>
  <cp:lastModifiedBy>Horner, Samuel</cp:lastModifiedBy>
  <cp:revision>2</cp:revision>
  <cp:lastPrinted>2018-07-31T12:09:00Z</cp:lastPrinted>
  <dcterms:created xsi:type="dcterms:W3CDTF">2019-01-18T11:44:00Z</dcterms:created>
  <dcterms:modified xsi:type="dcterms:W3CDTF">2019-01-18T11:44:00Z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1a77f3f6-1e14-3be2-aa0b-951d1b43e86d</vt:lpwstr>
  </property>
  <property fmtid="{D5CDD505-2E9C-101B-9397-08002B2CF9AE}" pid="4" name="Mendeley Citation Style_1">
    <vt:lpwstr>http://www.zotero.org/styles/research-policy</vt:lpwstr>
  </property>
  <property fmtid="{D5CDD505-2E9C-101B-9397-08002B2CF9AE}" pid="5" name="Mendeley Recent Style Id 0_1">
    <vt:lpwstr>http://www.zotero.org/styles/academy-of-management-journal</vt:lpwstr>
  </property>
  <property fmtid="{D5CDD505-2E9C-101B-9397-08002B2CF9AE}" pid="6" name="Mendeley Recent Style Name 0_1">
    <vt:lpwstr>Academy of Management Journal</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http://www.zotero.org/styles/organization-studies</vt:lpwstr>
  </property>
  <property fmtid="{D5CDD505-2E9C-101B-9397-08002B2CF9AE}" pid="22" name="Mendeley Recent Style Name 8_1">
    <vt:lpwstr>Organization Studies</vt:lpwstr>
  </property>
  <property fmtid="{D5CDD505-2E9C-101B-9397-08002B2CF9AE}" pid="23" name="Mendeley Recent Style Id 9_1">
    <vt:lpwstr>http://www.zotero.org/styles/research-policy</vt:lpwstr>
  </property>
  <property fmtid="{D5CDD505-2E9C-101B-9397-08002B2CF9AE}" pid="24" name="Mendeley Recent Style Name 9_1">
    <vt:lpwstr>Research Policy</vt:lpwstr>
  </property>
</Properties>
</file>