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34F0" w:rsidRPr="001334F0" w:rsidRDefault="001334F0" w:rsidP="001334F0">
      <w:pPr>
        <w:spacing w:line="360" w:lineRule="auto"/>
        <w:rPr>
          <w:b/>
          <w:sz w:val="28"/>
          <w:szCs w:val="28"/>
        </w:rPr>
      </w:pPr>
      <w:r w:rsidRPr="001334F0">
        <w:rPr>
          <w:b/>
          <w:sz w:val="28"/>
          <w:szCs w:val="28"/>
        </w:rPr>
        <w:t>Determinants of Antibiotics Prescribing among Doctors in a Nigerian Urban Tertiary Hospital</w:t>
      </w:r>
    </w:p>
    <w:p w:rsidR="00661045" w:rsidRDefault="00661045" w:rsidP="00713EE2">
      <w:pPr>
        <w:pStyle w:val="Articletitle"/>
      </w:pPr>
    </w:p>
    <w:p w:rsidR="001334F0" w:rsidRPr="001334F0" w:rsidRDefault="001334F0" w:rsidP="001334F0">
      <w:pPr>
        <w:spacing w:line="360" w:lineRule="auto"/>
        <w:rPr>
          <w:sz w:val="28"/>
          <w:szCs w:val="28"/>
          <w:vertAlign w:val="superscript"/>
        </w:rPr>
      </w:pPr>
      <w:r w:rsidRPr="001334F0">
        <w:rPr>
          <w:b/>
          <w:sz w:val="28"/>
          <w:szCs w:val="28"/>
        </w:rPr>
        <w:t>Olayinka O. Ogunleye</w:t>
      </w:r>
      <w:r w:rsidRPr="001334F0">
        <w:rPr>
          <w:sz w:val="28"/>
          <w:szCs w:val="28"/>
          <w:vertAlign w:val="superscript"/>
        </w:rPr>
        <w:t>1, 2</w:t>
      </w:r>
      <w:r w:rsidRPr="001334F0">
        <w:rPr>
          <w:sz w:val="28"/>
          <w:szCs w:val="28"/>
        </w:rPr>
        <w:t>, Joseph O. Fadare</w:t>
      </w:r>
      <w:r w:rsidRPr="001334F0">
        <w:rPr>
          <w:sz w:val="28"/>
          <w:szCs w:val="28"/>
          <w:vertAlign w:val="superscript"/>
        </w:rPr>
        <w:t>3</w:t>
      </w:r>
      <w:r w:rsidRPr="001334F0">
        <w:rPr>
          <w:sz w:val="28"/>
          <w:szCs w:val="28"/>
        </w:rPr>
        <w:t>, Adesola F. Yinka-Ogunleye</w:t>
      </w:r>
      <w:r w:rsidRPr="001334F0">
        <w:rPr>
          <w:sz w:val="28"/>
          <w:szCs w:val="28"/>
          <w:vertAlign w:val="superscript"/>
        </w:rPr>
        <w:t>4</w:t>
      </w:r>
      <w:r w:rsidRPr="001334F0">
        <w:rPr>
          <w:sz w:val="28"/>
          <w:szCs w:val="28"/>
        </w:rPr>
        <w:t>, Bene D Anand Paramadhas</w:t>
      </w:r>
      <w:r w:rsidRPr="001334F0">
        <w:rPr>
          <w:sz w:val="28"/>
          <w:szCs w:val="28"/>
          <w:vertAlign w:val="superscript"/>
        </w:rPr>
        <w:t>5,</w:t>
      </w:r>
      <w:r w:rsidRPr="001334F0">
        <w:rPr>
          <w:sz w:val="28"/>
          <w:szCs w:val="28"/>
        </w:rPr>
        <w:t>Brian Godman</w:t>
      </w:r>
      <w:r w:rsidRPr="001334F0">
        <w:rPr>
          <w:sz w:val="28"/>
          <w:szCs w:val="28"/>
          <w:vertAlign w:val="superscript"/>
        </w:rPr>
        <w:t>6,7</w:t>
      </w:r>
    </w:p>
    <w:p w:rsidR="001334F0" w:rsidRDefault="001334F0" w:rsidP="001334F0">
      <w:pPr>
        <w:spacing w:line="360" w:lineRule="auto"/>
      </w:pPr>
    </w:p>
    <w:p w:rsidR="001334F0" w:rsidRDefault="001334F0" w:rsidP="001334F0">
      <w:pPr>
        <w:spacing w:line="360" w:lineRule="auto"/>
      </w:pPr>
      <w:r>
        <w:rPr>
          <w:b/>
        </w:rPr>
        <w:t>Authors Affiliations</w:t>
      </w:r>
      <w:r>
        <w:t>:</w:t>
      </w:r>
    </w:p>
    <w:p w:rsidR="001334F0" w:rsidRDefault="001334F0" w:rsidP="001334F0">
      <w:pPr>
        <w:pStyle w:val="NoSpacing"/>
        <w:spacing w:line="360" w:lineRule="auto"/>
        <w:rPr>
          <w:sz w:val="24"/>
          <w:szCs w:val="24"/>
        </w:rPr>
      </w:pPr>
      <w:r>
        <w:rPr>
          <w:sz w:val="24"/>
          <w:szCs w:val="24"/>
        </w:rPr>
        <w:t xml:space="preserve">1. Department of Pharmacology, Therapeutics and Toxicology, Lagos State University College of Medicine, Ikeja, Lagos, Nigeria. Email: </w:t>
      </w:r>
      <w:r>
        <w:rPr>
          <w:sz w:val="24"/>
          <w:szCs w:val="24"/>
          <w:shd w:val="clear" w:color="auto" w:fill="FFFFFF"/>
        </w:rPr>
        <w:t>yinkabode@yahoo.com</w:t>
      </w:r>
    </w:p>
    <w:p w:rsidR="001334F0" w:rsidRDefault="001334F0" w:rsidP="001334F0">
      <w:pPr>
        <w:pStyle w:val="NoSpacing"/>
        <w:spacing w:line="360" w:lineRule="auto"/>
        <w:rPr>
          <w:sz w:val="24"/>
          <w:szCs w:val="24"/>
        </w:rPr>
      </w:pPr>
      <w:r>
        <w:rPr>
          <w:sz w:val="24"/>
          <w:szCs w:val="24"/>
        </w:rPr>
        <w:t>2. Department of Medicine, Lagos State University Teaching Hospital, Ikeja, Lagos, Nigeria</w:t>
      </w:r>
    </w:p>
    <w:p w:rsidR="001334F0" w:rsidRDefault="001334F0" w:rsidP="001334F0">
      <w:pPr>
        <w:pStyle w:val="NoSpacing"/>
        <w:spacing w:line="360" w:lineRule="auto"/>
        <w:rPr>
          <w:sz w:val="24"/>
          <w:szCs w:val="24"/>
        </w:rPr>
      </w:pPr>
      <w:r>
        <w:rPr>
          <w:sz w:val="24"/>
          <w:szCs w:val="24"/>
        </w:rPr>
        <w:t xml:space="preserve">3. Department of Pharmacology and Therapeutics, College of Medicine, Ekiti State University, Ado-Ekiti, Nigeria. Email: </w:t>
      </w:r>
      <w:hyperlink r:id="rId8" w:history="1">
        <w:r>
          <w:rPr>
            <w:rStyle w:val="Hyperlink"/>
            <w:sz w:val="24"/>
            <w:szCs w:val="24"/>
            <w:shd w:val="clear" w:color="auto" w:fill="FFFFFF"/>
          </w:rPr>
          <w:t>jofadare@gmail.com</w:t>
        </w:r>
      </w:hyperlink>
      <w:r>
        <w:rPr>
          <w:sz w:val="24"/>
          <w:szCs w:val="24"/>
          <w:shd w:val="clear" w:color="auto" w:fill="FFFFFF"/>
        </w:rPr>
        <w:t>; joseph.fadare@eksu.edu.ng</w:t>
      </w:r>
    </w:p>
    <w:p w:rsidR="001334F0" w:rsidRDefault="001334F0" w:rsidP="001334F0">
      <w:pPr>
        <w:pStyle w:val="NoSpacing"/>
        <w:spacing w:line="360" w:lineRule="auto"/>
        <w:rPr>
          <w:sz w:val="24"/>
          <w:szCs w:val="24"/>
        </w:rPr>
      </w:pPr>
      <w:r>
        <w:rPr>
          <w:sz w:val="24"/>
          <w:szCs w:val="24"/>
        </w:rPr>
        <w:t xml:space="preserve">4. Nigerian </w:t>
      </w:r>
      <w:proofErr w:type="spellStart"/>
      <w:r>
        <w:rPr>
          <w:sz w:val="24"/>
          <w:szCs w:val="24"/>
        </w:rPr>
        <w:t>Center</w:t>
      </w:r>
      <w:proofErr w:type="spellEnd"/>
      <w:r>
        <w:rPr>
          <w:sz w:val="24"/>
          <w:szCs w:val="24"/>
        </w:rPr>
        <w:t xml:space="preserve"> for Disease Control, Abuja, Nigeria. Email: </w:t>
      </w:r>
      <w:r>
        <w:rPr>
          <w:rStyle w:val="rwrro"/>
          <w:sz w:val="24"/>
          <w:szCs w:val="24"/>
          <w:shd w:val="clear" w:color="auto" w:fill="FFFFFF"/>
        </w:rPr>
        <w:t>dessyleye@yahoo.com</w:t>
      </w:r>
    </w:p>
    <w:p w:rsidR="001334F0" w:rsidRDefault="001334F0" w:rsidP="001334F0">
      <w:pPr>
        <w:pStyle w:val="NoSpacing"/>
        <w:spacing w:line="360" w:lineRule="auto"/>
        <w:rPr>
          <w:sz w:val="24"/>
          <w:szCs w:val="24"/>
        </w:rPr>
      </w:pPr>
      <w:r>
        <w:rPr>
          <w:sz w:val="24"/>
          <w:szCs w:val="24"/>
        </w:rPr>
        <w:t xml:space="preserve">5. Department of Pharmacy, </w:t>
      </w:r>
      <w:proofErr w:type="spellStart"/>
      <w:r>
        <w:rPr>
          <w:sz w:val="24"/>
          <w:szCs w:val="24"/>
        </w:rPr>
        <w:t>Nyangabgwe</w:t>
      </w:r>
      <w:proofErr w:type="spellEnd"/>
      <w:r>
        <w:rPr>
          <w:sz w:val="24"/>
          <w:szCs w:val="24"/>
        </w:rPr>
        <w:t xml:space="preserve"> Hospital, Francistown, Botswana. Email: </w:t>
      </w:r>
      <w:hyperlink r:id="rId9" w:history="1">
        <w:r>
          <w:rPr>
            <w:rStyle w:val="Hyperlink"/>
            <w:sz w:val="24"/>
            <w:szCs w:val="24"/>
          </w:rPr>
          <w:t>anandbene@yahoo.com</w:t>
        </w:r>
      </w:hyperlink>
    </w:p>
    <w:p w:rsidR="001334F0" w:rsidRDefault="001334F0" w:rsidP="001334F0">
      <w:pPr>
        <w:pStyle w:val="NoSpacing"/>
        <w:spacing w:line="360" w:lineRule="auto"/>
        <w:rPr>
          <w:sz w:val="24"/>
          <w:szCs w:val="24"/>
        </w:rPr>
      </w:pPr>
      <w:r>
        <w:rPr>
          <w:sz w:val="24"/>
          <w:szCs w:val="24"/>
        </w:rPr>
        <w:t xml:space="preserve">6. Division of Clinical Pharmacology, Department of Laboratory Medicine, Karolinska </w:t>
      </w:r>
      <w:proofErr w:type="spellStart"/>
      <w:r>
        <w:rPr>
          <w:sz w:val="24"/>
          <w:szCs w:val="24"/>
        </w:rPr>
        <w:t>Institutet</w:t>
      </w:r>
      <w:proofErr w:type="spellEnd"/>
      <w:r>
        <w:rPr>
          <w:sz w:val="24"/>
          <w:szCs w:val="24"/>
        </w:rPr>
        <w:t>, Karolinska University Hospital, Huddinge, Stockholm, Sweden. Email: Brian.Godman@ki.se</w:t>
      </w:r>
    </w:p>
    <w:p w:rsidR="001334F0" w:rsidRDefault="001334F0" w:rsidP="001334F0">
      <w:pPr>
        <w:pStyle w:val="NoSpacing"/>
        <w:spacing w:line="360" w:lineRule="auto"/>
        <w:rPr>
          <w:sz w:val="24"/>
          <w:szCs w:val="24"/>
        </w:rPr>
      </w:pPr>
      <w:r>
        <w:rPr>
          <w:sz w:val="24"/>
          <w:szCs w:val="24"/>
        </w:rPr>
        <w:t>7. Strathclyde Institute of Pharmacy and Biomedical Sciences, University of Strathclyde, Glasgow, U.K. Email: Brian.Godman@strath.ac.uk</w:t>
      </w:r>
    </w:p>
    <w:p w:rsidR="001334F0" w:rsidRDefault="001334F0" w:rsidP="001334F0">
      <w:pPr>
        <w:pStyle w:val="NoSpacing"/>
        <w:spacing w:line="360" w:lineRule="auto"/>
        <w:jc w:val="both"/>
        <w:rPr>
          <w:sz w:val="24"/>
          <w:szCs w:val="24"/>
          <w:lang w:eastAsia="en-GB"/>
        </w:rPr>
      </w:pPr>
    </w:p>
    <w:p w:rsidR="001334F0" w:rsidRDefault="001334F0" w:rsidP="001334F0">
      <w:pPr>
        <w:pStyle w:val="NoSpacing"/>
        <w:spacing w:line="360" w:lineRule="auto"/>
        <w:jc w:val="both"/>
        <w:rPr>
          <w:b/>
          <w:sz w:val="24"/>
          <w:szCs w:val="24"/>
          <w:lang w:eastAsia="en-GB"/>
        </w:rPr>
      </w:pPr>
      <w:r>
        <w:rPr>
          <w:b/>
          <w:sz w:val="24"/>
          <w:szCs w:val="24"/>
          <w:lang w:eastAsia="en-GB"/>
        </w:rPr>
        <w:t>Corresponding Author</w:t>
      </w:r>
    </w:p>
    <w:p w:rsidR="001334F0" w:rsidRDefault="001334F0" w:rsidP="001334F0">
      <w:pPr>
        <w:spacing w:line="360" w:lineRule="auto"/>
        <w:rPr>
          <w:b/>
          <w:lang w:eastAsia="ja-JP"/>
        </w:rPr>
      </w:pPr>
      <w:proofErr w:type="spellStart"/>
      <w:r>
        <w:rPr>
          <w:b/>
        </w:rPr>
        <w:t>Dr.</w:t>
      </w:r>
      <w:proofErr w:type="spellEnd"/>
      <w:r>
        <w:rPr>
          <w:b/>
        </w:rPr>
        <w:t xml:space="preserve"> Olayinka O. Ogunleye</w:t>
      </w:r>
    </w:p>
    <w:p w:rsidR="001334F0" w:rsidRDefault="001334F0" w:rsidP="001334F0">
      <w:pPr>
        <w:spacing w:line="360" w:lineRule="auto"/>
      </w:pPr>
      <w:r>
        <w:t>Department of Pharmacology, Therapeutics and Toxicology</w:t>
      </w:r>
    </w:p>
    <w:p w:rsidR="001334F0" w:rsidRDefault="001334F0" w:rsidP="001334F0">
      <w:pPr>
        <w:spacing w:line="360" w:lineRule="auto"/>
      </w:pPr>
      <w:r>
        <w:t>Lagos State University College of Medicine</w:t>
      </w:r>
    </w:p>
    <w:p w:rsidR="001334F0" w:rsidRDefault="001334F0" w:rsidP="001334F0">
      <w:pPr>
        <w:spacing w:line="360" w:lineRule="auto"/>
      </w:pPr>
      <w:r>
        <w:t xml:space="preserve">1-5, Oba </w:t>
      </w:r>
      <w:proofErr w:type="spellStart"/>
      <w:r>
        <w:t>Akinjobi</w:t>
      </w:r>
      <w:proofErr w:type="spellEnd"/>
      <w:r>
        <w:t xml:space="preserve"> Street, Ikeja GRA</w:t>
      </w:r>
    </w:p>
    <w:p w:rsidR="001334F0" w:rsidRDefault="001334F0" w:rsidP="001334F0">
      <w:pPr>
        <w:spacing w:line="360" w:lineRule="auto"/>
      </w:pPr>
      <w:r>
        <w:t>Lagos, Nigeria.</w:t>
      </w:r>
    </w:p>
    <w:p w:rsidR="001334F0" w:rsidRDefault="001334F0" w:rsidP="001334F0">
      <w:pPr>
        <w:spacing w:line="360" w:lineRule="auto"/>
      </w:pPr>
      <w:r>
        <w:t>Tel: +234 805 335 7057</w:t>
      </w:r>
    </w:p>
    <w:p w:rsidR="001334F0" w:rsidRDefault="001334F0" w:rsidP="001334F0">
      <w:pPr>
        <w:pStyle w:val="NoSpacing"/>
        <w:spacing w:line="360" w:lineRule="auto"/>
        <w:jc w:val="both"/>
        <w:rPr>
          <w:rStyle w:val="Hyperlink"/>
          <w:sz w:val="24"/>
          <w:szCs w:val="24"/>
        </w:rPr>
      </w:pPr>
      <w:r>
        <w:rPr>
          <w:sz w:val="24"/>
          <w:szCs w:val="24"/>
        </w:rPr>
        <w:t xml:space="preserve">E mail: </w:t>
      </w:r>
      <w:hyperlink r:id="rId10" w:history="1">
        <w:r>
          <w:rPr>
            <w:rStyle w:val="Hyperlink"/>
            <w:sz w:val="24"/>
            <w:szCs w:val="24"/>
          </w:rPr>
          <w:t>yinkabode@yahoo.com</w:t>
        </w:r>
      </w:hyperlink>
      <w:r>
        <w:rPr>
          <w:sz w:val="24"/>
          <w:szCs w:val="24"/>
        </w:rPr>
        <w:t xml:space="preserve"> and </w:t>
      </w:r>
      <w:hyperlink r:id="rId11" w:history="1">
        <w:r>
          <w:rPr>
            <w:rStyle w:val="Hyperlink"/>
            <w:sz w:val="24"/>
            <w:szCs w:val="24"/>
          </w:rPr>
          <w:t>olayinka.ogunleye@lasucom.edu.ng</w:t>
        </w:r>
      </w:hyperlink>
    </w:p>
    <w:p w:rsidR="005D6530" w:rsidRDefault="005D6530" w:rsidP="001334F0">
      <w:pPr>
        <w:pStyle w:val="NoSpacing"/>
        <w:spacing w:line="360" w:lineRule="auto"/>
        <w:jc w:val="both"/>
        <w:rPr>
          <w:sz w:val="24"/>
          <w:szCs w:val="24"/>
          <w:lang w:eastAsia="en-GB"/>
        </w:rPr>
      </w:pPr>
      <w:r>
        <w:rPr>
          <w:sz w:val="24"/>
          <w:szCs w:val="24"/>
          <w:lang w:eastAsia="en-GB"/>
        </w:rPr>
        <w:t>(Accepted for publication Hospital Practice – please keep Confidential)</w:t>
      </w:r>
    </w:p>
    <w:p w:rsidR="001334F0" w:rsidRPr="00906F68" w:rsidRDefault="001334F0" w:rsidP="00906F68">
      <w:pPr>
        <w:pStyle w:val="NoSpacing"/>
        <w:spacing w:line="360" w:lineRule="auto"/>
        <w:jc w:val="both"/>
        <w:rPr>
          <w:b/>
          <w:sz w:val="24"/>
          <w:szCs w:val="24"/>
          <w:lang w:eastAsia="en-GB"/>
        </w:rPr>
      </w:pPr>
      <w:r w:rsidRPr="00906F68">
        <w:rPr>
          <w:b/>
          <w:sz w:val="24"/>
          <w:szCs w:val="24"/>
          <w:lang w:eastAsia="en-GB"/>
        </w:rPr>
        <w:lastRenderedPageBreak/>
        <w:t>Abstract:</w:t>
      </w:r>
    </w:p>
    <w:p w:rsidR="001334F0" w:rsidRPr="00906F68" w:rsidRDefault="001334F0" w:rsidP="00906F68">
      <w:pPr>
        <w:spacing w:line="360" w:lineRule="auto"/>
        <w:rPr>
          <w:lang w:eastAsia="ja-JP"/>
        </w:rPr>
      </w:pPr>
      <w:bookmarkStart w:id="0" w:name="_Hlk502849670"/>
      <w:r w:rsidRPr="00906F68">
        <w:t>Background and Objective</w:t>
      </w:r>
    </w:p>
    <w:p w:rsidR="001334F0" w:rsidRPr="00906F68" w:rsidRDefault="001334F0" w:rsidP="00906F68">
      <w:pPr>
        <w:spacing w:line="360" w:lineRule="auto"/>
      </w:pPr>
      <w:r w:rsidRPr="00906F68">
        <w:t>The problem of antimicrobial resistance (AMR) has assumed pandemic dimensions especially among low and middle income countries such as Nigeria. Irrational use of currently available antimicrobial agents is a major contributory factor. There remains a paucity of documented information on the determinants of antibiotics prescribing among physicians in Nigeria to guide future strategies to reduce AMR. This study therefore aimed to investigate the patterns and determinants of antibiotics prescription among doctors in a tertiary hospital in Nigeria as the first step to improve future antibiotic use in hospitals.</w:t>
      </w:r>
    </w:p>
    <w:p w:rsidR="001334F0" w:rsidRPr="00906F68" w:rsidRDefault="001334F0" w:rsidP="00906F68">
      <w:pPr>
        <w:spacing w:line="360" w:lineRule="auto"/>
      </w:pPr>
      <w:r w:rsidRPr="00906F68">
        <w:t>Methodology</w:t>
      </w:r>
    </w:p>
    <w:p w:rsidR="001334F0" w:rsidRPr="00906F68" w:rsidRDefault="001334F0" w:rsidP="00906F68">
      <w:pPr>
        <w:spacing w:line="360" w:lineRule="auto"/>
      </w:pPr>
      <w:r w:rsidRPr="00906F68">
        <w:t>A cross sectional survey of the determinants of antibiotic prescribing among doctors in the Lagos State University Teaching Hospital, Ikeja, was performed using a structured questionnaire. Information was obtained about the doctors and the factors determining their prescription of antibiotics. The results were summarized using descriptive statistics with Statistical Package for Social Science (SPSS).</w:t>
      </w:r>
    </w:p>
    <w:p w:rsidR="001334F0" w:rsidRPr="00906F68" w:rsidRDefault="001334F0" w:rsidP="00906F68">
      <w:pPr>
        <w:spacing w:line="360" w:lineRule="auto"/>
      </w:pPr>
      <w:r w:rsidRPr="00906F68">
        <w:t>Results</w:t>
      </w:r>
    </w:p>
    <w:p w:rsidR="001334F0" w:rsidRPr="00906F68" w:rsidRDefault="001334F0" w:rsidP="00906F68">
      <w:pPr>
        <w:spacing w:line="360" w:lineRule="auto"/>
      </w:pPr>
      <w:r w:rsidRPr="00906F68">
        <w:t xml:space="preserve">98 respondents were studied with a mean age of 36.24(9.01) years, mean duration of practice of 10.68(9.25) years, and mainly males (64.3%). 97% prescribe antibiotics frequently, mostly based on clinical judgment and experience with rare laboratory supports. Factors of cost, drug availability and information from pharmaceutical representatives influenced antibiotic prescribing. There were indications of non-existence or non-functional institutional policies and guidelines regarding antimicrobial therapies. </w:t>
      </w:r>
    </w:p>
    <w:p w:rsidR="001334F0" w:rsidRPr="00906F68" w:rsidRDefault="001334F0" w:rsidP="00906F68">
      <w:pPr>
        <w:spacing w:line="360" w:lineRule="auto"/>
      </w:pPr>
      <w:r w:rsidRPr="00906F68">
        <w:t>Conclusion</w:t>
      </w:r>
    </w:p>
    <w:p w:rsidR="001334F0" w:rsidRPr="00906F68" w:rsidRDefault="001334F0" w:rsidP="00906F68">
      <w:pPr>
        <w:spacing w:line="360" w:lineRule="auto"/>
      </w:pPr>
      <w:r w:rsidRPr="00906F68">
        <w:t>There is an urgent need to institute evidence based institutional policies and guidelines for improving antimicrobial use among hospitals in Nigeria. This is already being followed up</w:t>
      </w:r>
    </w:p>
    <w:bookmarkEnd w:id="0"/>
    <w:p w:rsidR="001334F0" w:rsidRPr="00906F68" w:rsidRDefault="001334F0" w:rsidP="00906F68">
      <w:pPr>
        <w:spacing w:line="360" w:lineRule="auto"/>
      </w:pPr>
    </w:p>
    <w:p w:rsidR="001334F0" w:rsidRPr="00906F68" w:rsidRDefault="001334F0" w:rsidP="00A13162">
      <w:pPr>
        <w:spacing w:line="360" w:lineRule="auto"/>
      </w:pPr>
      <w:r w:rsidRPr="00906F68">
        <w:rPr>
          <w:b/>
        </w:rPr>
        <w:t>Key words</w:t>
      </w:r>
      <w:r w:rsidRPr="00906F68">
        <w:t>: antibiotics; prescribing; hospital; doctors; Nigeria.</w:t>
      </w:r>
    </w:p>
    <w:p w:rsidR="00997B0F" w:rsidRPr="00906F68" w:rsidRDefault="00906F68" w:rsidP="005D6530">
      <w:pPr>
        <w:pStyle w:val="NoSpacing"/>
        <w:numPr>
          <w:ilvl w:val="0"/>
          <w:numId w:val="32"/>
        </w:numPr>
        <w:spacing w:line="360" w:lineRule="auto"/>
        <w:jc w:val="both"/>
        <w:rPr>
          <w:b/>
          <w:sz w:val="24"/>
          <w:szCs w:val="24"/>
          <w:lang w:eastAsia="en-GB"/>
        </w:rPr>
      </w:pPr>
      <w:r>
        <w:rPr>
          <w:b/>
          <w:sz w:val="24"/>
          <w:szCs w:val="24"/>
          <w:lang w:eastAsia="en-GB"/>
        </w:rPr>
        <w:t>Introduction</w:t>
      </w:r>
    </w:p>
    <w:p w:rsidR="00997B0F" w:rsidRPr="00906F68" w:rsidRDefault="00906F68" w:rsidP="00906F68">
      <w:pPr>
        <w:pStyle w:val="NoSpacing"/>
        <w:spacing w:line="360" w:lineRule="auto"/>
        <w:jc w:val="both"/>
        <w:rPr>
          <w:sz w:val="24"/>
          <w:szCs w:val="24"/>
          <w:lang w:eastAsia="en-GB"/>
        </w:rPr>
      </w:pPr>
      <w:r>
        <w:rPr>
          <w:sz w:val="24"/>
          <w:szCs w:val="24"/>
          <w:lang w:eastAsia="en-GB"/>
        </w:rPr>
        <w:t xml:space="preserve">The problem of antimicrobial resistance (AMR) has assumed pandemic dimensions especially among Low and </w:t>
      </w:r>
      <w:proofErr w:type="gramStart"/>
      <w:r>
        <w:rPr>
          <w:sz w:val="24"/>
          <w:szCs w:val="24"/>
          <w:lang w:eastAsia="en-GB"/>
        </w:rPr>
        <w:t>Middle Income</w:t>
      </w:r>
      <w:proofErr w:type="gramEnd"/>
      <w:r>
        <w:rPr>
          <w:sz w:val="24"/>
          <w:szCs w:val="24"/>
          <w:lang w:eastAsia="en-GB"/>
        </w:rPr>
        <w:t xml:space="preserve"> Countries (LMICs) such as Nigeria [1,2]. </w:t>
      </w:r>
      <w:r>
        <w:rPr>
          <w:sz w:val="24"/>
          <w:szCs w:val="24"/>
          <w:lang w:eastAsia="en-GB"/>
        </w:rPr>
        <w:lastRenderedPageBreak/>
        <w:t>AMR now poses a serious threat to global health, increasing morbidity, mortality and costs if not addressed [3-7]. Recent reports revealed its occurrence in all regions of the world and the potential to affect anyone, of any age, and in any country, leading to calls to develop appropriate plans across countries [8,9]. Records of resistance to carbapenem antibiotics that are used as last resort for life threatening infections now exist in practically all regions of the world. [1] Similarly, there is increasing resistance to widely used third generation cephalosporins and fluoroquinolones occasioned by increasing use of antibiotics [1,10]. This has led to calls for international collaboration to reduce future rates of AMR</w:t>
      </w:r>
      <w:r w:rsidR="00960689">
        <w:rPr>
          <w:sz w:val="24"/>
          <w:szCs w:val="24"/>
          <w:lang w:eastAsia="en-GB"/>
        </w:rPr>
        <w:t xml:space="preserve"> including calls by World Health Assembly to member states to publish their national action plans towards combating drug resistant infections especially antibiotic resistant bacteria with a deadline which expired in May 2017 without satisfactory responses. </w:t>
      </w:r>
      <w:r>
        <w:rPr>
          <w:sz w:val="24"/>
          <w:szCs w:val="24"/>
          <w:lang w:eastAsia="en-GB"/>
        </w:rPr>
        <w:t xml:space="preserve"> [8, 11, 12</w:t>
      </w:r>
      <w:r w:rsidR="00960689">
        <w:rPr>
          <w:sz w:val="24"/>
          <w:szCs w:val="24"/>
          <w:lang w:eastAsia="en-GB"/>
        </w:rPr>
        <w:t>, 13</w:t>
      </w:r>
      <w:r>
        <w:rPr>
          <w:sz w:val="24"/>
          <w:szCs w:val="24"/>
          <w:lang w:eastAsia="en-GB"/>
        </w:rPr>
        <w:t>].</w:t>
      </w:r>
    </w:p>
    <w:p w:rsidR="00906F68" w:rsidRPr="005D6530" w:rsidRDefault="00906F68" w:rsidP="005D6530">
      <w:pPr>
        <w:pStyle w:val="NoSpacing"/>
        <w:spacing w:line="360" w:lineRule="auto"/>
        <w:ind w:firstLine="709"/>
        <w:rPr>
          <w:sz w:val="24"/>
          <w:szCs w:val="24"/>
          <w:lang w:eastAsia="en-GB"/>
        </w:rPr>
      </w:pPr>
      <w:r w:rsidRPr="005D6530">
        <w:rPr>
          <w:sz w:val="24"/>
          <w:szCs w:val="24"/>
          <w:lang w:eastAsia="en-GB"/>
        </w:rPr>
        <w:t>The prevalence of AMR documented across Africa, including Nigeria, remains high [2, 1</w:t>
      </w:r>
      <w:r w:rsidR="00730086" w:rsidRPr="005D6530">
        <w:rPr>
          <w:sz w:val="24"/>
          <w:szCs w:val="24"/>
          <w:lang w:eastAsia="en-GB"/>
        </w:rPr>
        <w:t>4</w:t>
      </w:r>
      <w:r w:rsidRPr="005D6530">
        <w:rPr>
          <w:sz w:val="24"/>
          <w:szCs w:val="24"/>
          <w:lang w:eastAsia="en-GB"/>
        </w:rPr>
        <w:t>-1</w:t>
      </w:r>
      <w:r w:rsidR="00730086" w:rsidRPr="005D6530">
        <w:rPr>
          <w:sz w:val="24"/>
          <w:szCs w:val="24"/>
          <w:lang w:eastAsia="en-GB"/>
        </w:rPr>
        <w:t>5</w:t>
      </w:r>
      <w:r w:rsidRPr="005D6530">
        <w:rPr>
          <w:sz w:val="24"/>
          <w:szCs w:val="24"/>
          <w:lang w:eastAsia="en-GB"/>
        </w:rPr>
        <w:t>]</w:t>
      </w:r>
      <w:proofErr w:type="gramStart"/>
      <w:r w:rsidRPr="005D6530">
        <w:rPr>
          <w:sz w:val="24"/>
          <w:szCs w:val="24"/>
          <w:lang w:eastAsia="en-GB"/>
        </w:rPr>
        <w:t xml:space="preserve">. </w:t>
      </w:r>
      <w:r w:rsidRPr="005D6530">
        <w:rPr>
          <w:sz w:val="24"/>
          <w:szCs w:val="24"/>
          <w:lang w:val="en-US"/>
        </w:rPr>
        <w:t>.</w:t>
      </w:r>
      <w:proofErr w:type="gramEnd"/>
      <w:r w:rsidR="00730086" w:rsidRPr="005D6530">
        <w:rPr>
          <w:sz w:val="24"/>
          <w:szCs w:val="24"/>
        </w:rPr>
        <w:t xml:space="preserve"> </w:t>
      </w:r>
      <w:r w:rsidR="00AF2451" w:rsidRPr="005D6530">
        <w:rPr>
          <w:sz w:val="24"/>
          <w:szCs w:val="24"/>
        </w:rPr>
        <w:t xml:space="preserve">As a </w:t>
      </w:r>
      <w:proofErr w:type="spellStart"/>
      <w:r w:rsidR="00AF2451" w:rsidRPr="005D6530">
        <w:rPr>
          <w:sz w:val="24"/>
          <w:szCs w:val="24"/>
        </w:rPr>
        <w:t>resulti</w:t>
      </w:r>
      <w:r w:rsidRPr="005D6530">
        <w:rPr>
          <w:sz w:val="24"/>
          <w:szCs w:val="24"/>
        </w:rPr>
        <w:t>n</w:t>
      </w:r>
      <w:proofErr w:type="spellEnd"/>
      <w:r w:rsidRPr="005D6530">
        <w:rPr>
          <w:sz w:val="24"/>
          <w:szCs w:val="24"/>
        </w:rPr>
        <w:t xml:space="preserve"> Nigeria, there is a substantial decline in the </w:t>
      </w:r>
      <w:r w:rsidRPr="005D6530">
        <w:rPr>
          <w:sz w:val="24"/>
          <w:szCs w:val="24"/>
          <w:lang w:val="en-US"/>
        </w:rPr>
        <w:t xml:space="preserve">susceptibility of antibiotics commonly </w:t>
      </w:r>
      <w:r w:rsidR="00EB2AC7" w:rsidRPr="005D6530">
        <w:rPr>
          <w:sz w:val="24"/>
          <w:szCs w:val="24"/>
          <w:lang w:val="en-US"/>
        </w:rPr>
        <w:t xml:space="preserve">used </w:t>
      </w:r>
      <w:proofErr w:type="gramStart"/>
      <w:r w:rsidR="00EB2AC7" w:rsidRPr="005D6530">
        <w:rPr>
          <w:sz w:val="24"/>
          <w:szCs w:val="24"/>
          <w:lang w:val="en-US"/>
        </w:rPr>
        <w:t xml:space="preserve">for </w:t>
      </w:r>
      <w:r w:rsidRPr="005D6530">
        <w:rPr>
          <w:sz w:val="24"/>
          <w:szCs w:val="24"/>
          <w:lang w:val="en-US"/>
        </w:rPr>
        <w:t xml:space="preserve"> empirical</w:t>
      </w:r>
      <w:proofErr w:type="gramEnd"/>
      <w:r w:rsidRPr="005D6530">
        <w:rPr>
          <w:sz w:val="24"/>
          <w:szCs w:val="24"/>
          <w:lang w:val="en-US"/>
        </w:rPr>
        <w:t xml:space="preserve"> treatment</w:t>
      </w:r>
      <w:r w:rsidR="00EB2AC7" w:rsidRPr="005D6530">
        <w:rPr>
          <w:sz w:val="24"/>
          <w:szCs w:val="24"/>
          <w:lang w:val="en-US"/>
        </w:rPr>
        <w:t>s.</w:t>
      </w:r>
      <w:r w:rsidRPr="005D6530">
        <w:rPr>
          <w:sz w:val="24"/>
          <w:szCs w:val="24"/>
          <w:lang w:val="en-US"/>
        </w:rPr>
        <w:t xml:space="preserve">. Examples include 88% of </w:t>
      </w:r>
      <w:r w:rsidRPr="005D6530">
        <w:rPr>
          <w:i/>
          <w:sz w:val="24"/>
          <w:szCs w:val="24"/>
          <w:lang w:val="en-US"/>
        </w:rPr>
        <w:t xml:space="preserve">Staphylococcus aureus </w:t>
      </w:r>
      <w:r w:rsidRPr="005D6530">
        <w:rPr>
          <w:sz w:val="24"/>
          <w:szCs w:val="24"/>
          <w:lang w:val="en-US"/>
        </w:rPr>
        <w:t xml:space="preserve">infections now resistant to methicillin, over 98% resistance to </w:t>
      </w:r>
      <w:r w:rsidRPr="005D6530">
        <w:rPr>
          <w:sz w:val="24"/>
          <w:szCs w:val="24"/>
        </w:rPr>
        <w:t xml:space="preserve">β-lactam antibiotics in post-operative wound infections, </w:t>
      </w:r>
      <w:r w:rsidRPr="005D6530">
        <w:rPr>
          <w:sz w:val="24"/>
          <w:szCs w:val="24"/>
          <w:lang w:val="en-US"/>
        </w:rPr>
        <w:t xml:space="preserve">susceptibility rates below 60% to empiric antibiotics in urinary tract isolates </w:t>
      </w:r>
      <w:r w:rsidRPr="005D6530">
        <w:rPr>
          <w:sz w:val="24"/>
          <w:szCs w:val="24"/>
        </w:rPr>
        <w:t xml:space="preserve">and </w:t>
      </w:r>
      <w:r w:rsidRPr="005D6530">
        <w:rPr>
          <w:sz w:val="24"/>
          <w:szCs w:val="24"/>
          <w:lang w:val="en-US"/>
        </w:rPr>
        <w:t>below 50% for antibiotics used for empiric treatment of patients with community acquired pneumonia [</w:t>
      </w:r>
      <w:r w:rsidR="00191695" w:rsidRPr="005D6530">
        <w:rPr>
          <w:sz w:val="24"/>
          <w:szCs w:val="24"/>
          <w:lang w:val="en-US"/>
        </w:rPr>
        <w:t>16</w:t>
      </w:r>
      <w:r w:rsidRPr="005D6530">
        <w:rPr>
          <w:sz w:val="24"/>
          <w:szCs w:val="24"/>
          <w:lang w:val="en-US"/>
        </w:rPr>
        <w:t>-</w:t>
      </w:r>
      <w:r w:rsidR="00191695" w:rsidRPr="005D6530">
        <w:rPr>
          <w:sz w:val="24"/>
          <w:szCs w:val="24"/>
          <w:lang w:val="en-US"/>
        </w:rPr>
        <w:t>18</w:t>
      </w:r>
      <w:r w:rsidRPr="005D6530">
        <w:rPr>
          <w:sz w:val="24"/>
          <w:szCs w:val="24"/>
          <w:lang w:val="en-US"/>
        </w:rPr>
        <w:t>].</w:t>
      </w:r>
    </w:p>
    <w:p w:rsidR="00906F68" w:rsidRPr="005D6530" w:rsidRDefault="00906F68" w:rsidP="009A389B">
      <w:pPr>
        <w:pStyle w:val="NoSpacing"/>
        <w:spacing w:line="360" w:lineRule="auto"/>
        <w:ind w:firstLine="709"/>
        <w:jc w:val="both"/>
        <w:rPr>
          <w:sz w:val="24"/>
          <w:szCs w:val="24"/>
        </w:rPr>
      </w:pPr>
      <w:r w:rsidRPr="005D6530">
        <w:rPr>
          <w:sz w:val="24"/>
          <w:szCs w:val="24"/>
        </w:rPr>
        <w:t xml:space="preserve">Major contributory factors to AMR are the irrational use of currently available antibiotics and </w:t>
      </w:r>
      <w:proofErr w:type="spellStart"/>
      <w:r w:rsidRPr="005D6530">
        <w:rPr>
          <w:sz w:val="24"/>
          <w:szCs w:val="24"/>
        </w:rPr>
        <w:t>uncurtailed</w:t>
      </w:r>
      <w:proofErr w:type="spellEnd"/>
      <w:r w:rsidRPr="005D6530">
        <w:rPr>
          <w:sz w:val="24"/>
          <w:szCs w:val="24"/>
        </w:rPr>
        <w:t xml:space="preserve"> access to antibiotics [</w:t>
      </w:r>
      <w:r w:rsidR="00191695" w:rsidRPr="005D6530">
        <w:rPr>
          <w:sz w:val="24"/>
          <w:szCs w:val="24"/>
        </w:rPr>
        <w:t>19</w:t>
      </w:r>
      <w:r w:rsidRPr="005D6530">
        <w:rPr>
          <w:sz w:val="24"/>
          <w:szCs w:val="24"/>
        </w:rPr>
        <w:t>]. These factors have resulted in excessive use of antibiotics with resultant increase in AMR and concomitant strains on the health care systems [2, 6, 2</w:t>
      </w:r>
      <w:r w:rsidR="0025226F" w:rsidRPr="005D6530">
        <w:rPr>
          <w:sz w:val="24"/>
          <w:szCs w:val="24"/>
        </w:rPr>
        <w:t>0</w:t>
      </w:r>
      <w:r w:rsidRPr="005D6530">
        <w:rPr>
          <w:sz w:val="24"/>
          <w:szCs w:val="24"/>
        </w:rPr>
        <w:t>-</w:t>
      </w:r>
      <w:r w:rsidR="0025226F" w:rsidRPr="005D6530">
        <w:rPr>
          <w:sz w:val="24"/>
          <w:szCs w:val="24"/>
        </w:rPr>
        <w:t>22</w:t>
      </w:r>
      <w:r w:rsidRPr="005D6530">
        <w:rPr>
          <w:sz w:val="24"/>
          <w:szCs w:val="24"/>
        </w:rPr>
        <w:t xml:space="preserve">]. Other predisposing factors to AMR </w:t>
      </w:r>
      <w:proofErr w:type="gramStart"/>
      <w:r w:rsidRPr="005D6530">
        <w:rPr>
          <w:sz w:val="24"/>
          <w:szCs w:val="24"/>
        </w:rPr>
        <w:t>include  healthcare</w:t>
      </w:r>
      <w:proofErr w:type="gramEnd"/>
      <w:r w:rsidRPr="005D6530">
        <w:rPr>
          <w:sz w:val="24"/>
          <w:szCs w:val="24"/>
        </w:rPr>
        <w:t xml:space="preserve"> environment factors such as regulatory policies and infection control practices, lack of guidelines as well as patient pressure [</w:t>
      </w:r>
      <w:r w:rsidR="0025226F" w:rsidRPr="005D6530">
        <w:rPr>
          <w:sz w:val="24"/>
          <w:szCs w:val="24"/>
        </w:rPr>
        <w:t>23</w:t>
      </w:r>
      <w:r w:rsidRPr="005D6530">
        <w:rPr>
          <w:sz w:val="24"/>
          <w:szCs w:val="24"/>
        </w:rPr>
        <w:t>-</w:t>
      </w:r>
      <w:r w:rsidR="0025226F" w:rsidRPr="005D6530">
        <w:rPr>
          <w:sz w:val="24"/>
          <w:szCs w:val="24"/>
        </w:rPr>
        <w:t>25</w:t>
      </w:r>
      <w:r w:rsidRPr="005D6530">
        <w:rPr>
          <w:sz w:val="24"/>
          <w:szCs w:val="24"/>
        </w:rPr>
        <w:t>].</w:t>
      </w:r>
    </w:p>
    <w:p w:rsidR="00906F68" w:rsidRDefault="00906F68" w:rsidP="009A389B">
      <w:pPr>
        <w:pStyle w:val="NoSpacing"/>
        <w:spacing w:line="360" w:lineRule="auto"/>
        <w:ind w:firstLine="720"/>
        <w:jc w:val="both"/>
        <w:rPr>
          <w:sz w:val="24"/>
          <w:szCs w:val="24"/>
        </w:rPr>
      </w:pPr>
      <w:r w:rsidRPr="005D6530">
        <w:rPr>
          <w:sz w:val="24"/>
          <w:szCs w:val="24"/>
        </w:rPr>
        <w:t xml:space="preserve">Globally, there is evidence that prescribing physicians still have limited knowledge and incorrect practices </w:t>
      </w:r>
      <w:r w:rsidR="00EB2AC7" w:rsidRPr="005D6530">
        <w:rPr>
          <w:sz w:val="24"/>
          <w:szCs w:val="24"/>
        </w:rPr>
        <w:t>regarding</w:t>
      </w:r>
      <w:r w:rsidRPr="005D6530">
        <w:rPr>
          <w:sz w:val="24"/>
          <w:szCs w:val="24"/>
        </w:rPr>
        <w:t xml:space="preserve"> antibiotic prescribing [</w:t>
      </w:r>
      <w:r w:rsidR="0025226F" w:rsidRPr="005D6530">
        <w:rPr>
          <w:sz w:val="24"/>
          <w:szCs w:val="24"/>
        </w:rPr>
        <w:t>26</w:t>
      </w:r>
      <w:r w:rsidRPr="005D6530">
        <w:rPr>
          <w:sz w:val="24"/>
          <w:szCs w:val="24"/>
        </w:rPr>
        <w:t>]. Factors influencing physicians prescribing of antibiotics</w:t>
      </w:r>
      <w:r w:rsidR="00EB2AC7" w:rsidRPr="005D6530">
        <w:rPr>
          <w:sz w:val="24"/>
          <w:szCs w:val="24"/>
        </w:rPr>
        <w:t xml:space="preserve"> include the</w:t>
      </w:r>
      <w:r w:rsidRPr="005D6530">
        <w:rPr>
          <w:sz w:val="24"/>
          <w:szCs w:val="24"/>
        </w:rPr>
        <w:t xml:space="preserve"> severity and duration </w:t>
      </w:r>
      <w:r>
        <w:rPr>
          <w:sz w:val="24"/>
          <w:szCs w:val="24"/>
        </w:rPr>
        <w:t>of infections, patient’s expectations, fear of complications</w:t>
      </w:r>
      <w:r w:rsidR="00EB2AC7">
        <w:rPr>
          <w:sz w:val="24"/>
          <w:szCs w:val="24"/>
        </w:rPr>
        <w:t>,</w:t>
      </w:r>
      <w:r>
        <w:rPr>
          <w:sz w:val="24"/>
          <w:szCs w:val="24"/>
        </w:rPr>
        <w:t xml:space="preserve"> diagnostic uncertainties and the influence of pharmaceutical companies [</w:t>
      </w:r>
      <w:r w:rsidR="0025226F">
        <w:rPr>
          <w:sz w:val="24"/>
          <w:szCs w:val="24"/>
        </w:rPr>
        <w:t>26</w:t>
      </w:r>
      <w:r>
        <w:rPr>
          <w:sz w:val="24"/>
          <w:szCs w:val="24"/>
        </w:rPr>
        <w:t>-</w:t>
      </w:r>
      <w:r w:rsidR="0025226F">
        <w:rPr>
          <w:sz w:val="24"/>
          <w:szCs w:val="24"/>
        </w:rPr>
        <w:t>28</w:t>
      </w:r>
      <w:r>
        <w:rPr>
          <w:sz w:val="24"/>
          <w:szCs w:val="24"/>
        </w:rPr>
        <w:t>]. Inappropriate antibiotic prescri</w:t>
      </w:r>
      <w:r w:rsidR="00887ED8">
        <w:rPr>
          <w:sz w:val="24"/>
          <w:szCs w:val="24"/>
        </w:rPr>
        <w:t>bing</w:t>
      </w:r>
      <w:r w:rsidR="00B94A26">
        <w:rPr>
          <w:sz w:val="24"/>
          <w:szCs w:val="24"/>
        </w:rPr>
        <w:t xml:space="preserve"> can</w:t>
      </w:r>
      <w:r>
        <w:rPr>
          <w:sz w:val="24"/>
          <w:szCs w:val="24"/>
        </w:rPr>
        <w:t xml:space="preserve"> also emanate from contextual factors such as a lack of existing guidelines, cultural factors such as the influence of peers, and behavioural factors</w:t>
      </w:r>
      <w:r w:rsidR="00B94A26">
        <w:rPr>
          <w:sz w:val="24"/>
          <w:szCs w:val="24"/>
        </w:rPr>
        <w:t xml:space="preserve"> such as</w:t>
      </w:r>
      <w:r>
        <w:rPr>
          <w:sz w:val="24"/>
          <w:szCs w:val="24"/>
        </w:rPr>
        <w:t xml:space="preserve"> the perception of decision autonomy by prescribers</w:t>
      </w:r>
      <w:r w:rsidR="00887ED8">
        <w:rPr>
          <w:sz w:val="24"/>
          <w:szCs w:val="24"/>
        </w:rPr>
        <w:t>.</w:t>
      </w:r>
      <w:r>
        <w:rPr>
          <w:sz w:val="24"/>
          <w:szCs w:val="24"/>
        </w:rPr>
        <w:t xml:space="preserve"> [</w:t>
      </w:r>
      <w:r w:rsidR="00FD7430">
        <w:rPr>
          <w:sz w:val="24"/>
          <w:szCs w:val="24"/>
        </w:rPr>
        <w:t>29</w:t>
      </w:r>
      <w:r>
        <w:rPr>
          <w:sz w:val="24"/>
          <w:szCs w:val="24"/>
        </w:rPr>
        <w:t xml:space="preserve">]. </w:t>
      </w:r>
      <w:r w:rsidR="00B94A26">
        <w:rPr>
          <w:sz w:val="24"/>
          <w:szCs w:val="24"/>
        </w:rPr>
        <w:t>P</w:t>
      </w:r>
      <w:r>
        <w:rPr>
          <w:sz w:val="24"/>
          <w:szCs w:val="24"/>
        </w:rPr>
        <w:t>rescribing etiquette</w:t>
      </w:r>
      <w:r w:rsidR="00B94A26">
        <w:rPr>
          <w:sz w:val="24"/>
          <w:szCs w:val="24"/>
        </w:rPr>
        <w:t xml:space="preserve"> is also seen as</w:t>
      </w:r>
      <w:r>
        <w:rPr>
          <w:sz w:val="24"/>
          <w:szCs w:val="24"/>
        </w:rPr>
        <w:t xml:space="preserve"> as a major determinant </w:t>
      </w:r>
      <w:r>
        <w:rPr>
          <w:sz w:val="24"/>
          <w:szCs w:val="24"/>
        </w:rPr>
        <w:lastRenderedPageBreak/>
        <w:t>of antibiotic prescribing practices among physicians</w:t>
      </w:r>
      <w:r w:rsidR="00B94A26">
        <w:rPr>
          <w:sz w:val="24"/>
          <w:szCs w:val="24"/>
        </w:rPr>
        <w:t>.</w:t>
      </w:r>
      <w:r>
        <w:rPr>
          <w:sz w:val="24"/>
          <w:szCs w:val="24"/>
        </w:rPr>
        <w:t xml:space="preserve"> [</w:t>
      </w:r>
      <w:r w:rsidR="00FD7430">
        <w:rPr>
          <w:sz w:val="24"/>
          <w:szCs w:val="24"/>
        </w:rPr>
        <w:t>30</w:t>
      </w:r>
      <w:r>
        <w:rPr>
          <w:sz w:val="24"/>
          <w:szCs w:val="24"/>
        </w:rPr>
        <w:t xml:space="preserve">]. Furthermore, </w:t>
      </w:r>
      <w:proofErr w:type="spellStart"/>
      <w:r>
        <w:rPr>
          <w:sz w:val="24"/>
          <w:szCs w:val="24"/>
        </w:rPr>
        <w:t>Calbo</w:t>
      </w:r>
      <w:proofErr w:type="spellEnd"/>
      <w:r>
        <w:rPr>
          <w:sz w:val="24"/>
          <w:szCs w:val="24"/>
        </w:rPr>
        <w:t xml:space="preserve"> </w:t>
      </w:r>
      <w:r>
        <w:rPr>
          <w:i/>
          <w:sz w:val="24"/>
          <w:szCs w:val="24"/>
        </w:rPr>
        <w:t>et al</w:t>
      </w:r>
      <w:r>
        <w:rPr>
          <w:sz w:val="24"/>
          <w:szCs w:val="24"/>
        </w:rPr>
        <w:t xml:space="preserve"> in their review also outlined physicians’ level of training, motivation, work load, practice settings, access to diagnostic techniques, and services of infectious diseases consultants, as factors influencing antibiotic prescribing [</w:t>
      </w:r>
      <w:r w:rsidR="00FD7430">
        <w:rPr>
          <w:sz w:val="24"/>
          <w:szCs w:val="24"/>
        </w:rPr>
        <w:t>31</w:t>
      </w:r>
      <w:r>
        <w:rPr>
          <w:sz w:val="24"/>
          <w:szCs w:val="24"/>
        </w:rPr>
        <w:t>].</w:t>
      </w:r>
    </w:p>
    <w:p w:rsidR="00604A35" w:rsidRDefault="00B94A26" w:rsidP="009A389B">
      <w:pPr>
        <w:spacing w:line="360" w:lineRule="auto"/>
        <w:ind w:firstLine="360"/>
      </w:pPr>
      <w:r>
        <w:t>The benefits of a</w:t>
      </w:r>
      <w:r w:rsidR="00906F68">
        <w:t>ppropriate antibiotic prescribing includ</w:t>
      </w:r>
      <w:r>
        <w:t>e</w:t>
      </w:r>
      <w:r w:rsidR="00906F68">
        <w:t xml:space="preserve"> direct positive impact on clinical outcomes, efficient use of healthcare resources, avoidance or reduction of adverse drug effects</w:t>
      </w:r>
      <w:r>
        <w:t xml:space="preserve"> as well as</w:t>
      </w:r>
      <w:r w:rsidR="00906F68">
        <w:t xml:space="preserve"> the prevention of emergence of drug resistant bacteria [6,</w:t>
      </w:r>
      <w:r w:rsidR="00FD7430">
        <w:t>23</w:t>
      </w:r>
      <w:r w:rsidR="00906F68">
        <w:t>,</w:t>
      </w:r>
      <w:r w:rsidR="00FD7430">
        <w:t>31</w:t>
      </w:r>
      <w:r w:rsidR="00906F68">
        <w:t>].</w:t>
      </w:r>
      <w:r w:rsidR="00604A35">
        <w:t xml:space="preserve"> To undertake this </w:t>
      </w:r>
      <w:r w:rsidR="00906F68">
        <w:t xml:space="preserve">and reduce </w:t>
      </w:r>
      <w:smartTag w:uri="urn:schemas-microsoft-com:office:smarttags" w:element="stockticker">
        <w:r w:rsidR="00906F68">
          <w:t>AMR</w:t>
        </w:r>
      </w:smartTag>
      <w:r w:rsidR="00906F68">
        <w:t>, physicians need adequate knowledge of the pattern</w:t>
      </w:r>
      <w:r w:rsidR="00604A35">
        <w:t>s</w:t>
      </w:r>
      <w:r w:rsidR="00906F68">
        <w:t xml:space="preserve"> of antimicrobial sensitivity in their facilities</w:t>
      </w:r>
      <w:r w:rsidR="00604A35">
        <w:t xml:space="preserve"> as well as </w:t>
      </w:r>
      <w:r w:rsidR="00906F68">
        <w:t xml:space="preserve">comply with approved </w:t>
      </w:r>
      <w:proofErr w:type="gramStart"/>
      <w:r w:rsidR="00906F68">
        <w:t>evidence based</w:t>
      </w:r>
      <w:proofErr w:type="gramEnd"/>
      <w:r w:rsidR="00906F68">
        <w:t xml:space="preserve"> guidelines [</w:t>
      </w:r>
      <w:r w:rsidR="00EC6C40">
        <w:t>32</w:t>
      </w:r>
      <w:r w:rsidR="00906F68">
        <w:t>,</w:t>
      </w:r>
      <w:r w:rsidR="00EC6C40">
        <w:t>33</w:t>
      </w:r>
      <w:r w:rsidR="00906F68">
        <w:t>].</w:t>
      </w:r>
      <w:r w:rsidR="00604A35">
        <w:t xml:space="preserve"> This can be part of </w:t>
      </w:r>
      <w:r w:rsidR="00906F68">
        <w:t>antimicrobial stewardship programmes (ASPs), which have proven to be effective with improving subsequent antibiotic use [</w:t>
      </w:r>
      <w:r w:rsidR="00EC6C40">
        <w:t>34, 35</w:t>
      </w:r>
      <w:r w:rsidR="00906F68">
        <w:t>].</w:t>
      </w:r>
      <w:r w:rsidR="00604A35">
        <w:t xml:space="preserve"> ASPs</w:t>
      </w:r>
      <w:r w:rsidR="00906F68">
        <w:t xml:space="preserve"> should be designed with knowledge of the determinants of antimicrobial prescribing among physicians, with acknowledgement that much work still needs to be undertaken around such initiatives in LMICs [</w:t>
      </w:r>
      <w:r w:rsidR="00E31B71">
        <w:t>29,</w:t>
      </w:r>
      <w:r w:rsidR="00906F68">
        <w:t xml:space="preserve"> </w:t>
      </w:r>
      <w:r w:rsidR="00E31B71">
        <w:t>36</w:t>
      </w:r>
      <w:r w:rsidR="00906F68">
        <w:t xml:space="preserve">]. </w:t>
      </w:r>
    </w:p>
    <w:p w:rsidR="00EF0F45" w:rsidRDefault="00604A35" w:rsidP="009A389B">
      <w:pPr>
        <w:spacing w:line="360" w:lineRule="auto"/>
        <w:ind w:firstLine="360"/>
      </w:pPr>
      <w:r>
        <w:t>T</w:t>
      </w:r>
      <w:r w:rsidR="00906F68">
        <w:t>here remains paucity of documented information on the determinants of antibiotics prescribing among physicians in Nigeria, which is important given that Nigeria is the most populous African nation coupled with the high burden of infectious diseases in sub-Sahara Africa [</w:t>
      </w:r>
      <w:r w:rsidR="00E31B71">
        <w:t>32</w:t>
      </w:r>
      <w:r w:rsidR="00906F68">
        <w:t xml:space="preserve">, </w:t>
      </w:r>
      <w:r w:rsidR="00E31B71">
        <w:t>37</w:t>
      </w:r>
      <w:r w:rsidR="00906F68">
        <w:t xml:space="preserve">, </w:t>
      </w:r>
      <w:r w:rsidR="00E31B71">
        <w:t>38</w:t>
      </w:r>
      <w:r w:rsidR="00906F68">
        <w:t>]. This study therefore aimed to investigate the patterns and determinants of antibiotic prescribing among doctors in a tertiary hospital in Nigeria as the first step to improve future antibiotic use in hospitals. This survey also serves as a pilot for a national surve</w:t>
      </w:r>
      <w:r w:rsidR="009A389B">
        <w:t>y on the subject across Nigeria</w:t>
      </w:r>
      <w:r w:rsidR="00095E61">
        <w:tab/>
      </w:r>
    </w:p>
    <w:p w:rsidR="00604A35" w:rsidRDefault="00604A35" w:rsidP="009A389B">
      <w:pPr>
        <w:spacing w:line="360" w:lineRule="auto"/>
        <w:ind w:firstLine="360"/>
      </w:pPr>
    </w:p>
    <w:p w:rsidR="003F1193" w:rsidRDefault="003F1193" w:rsidP="005D6530">
      <w:pPr>
        <w:pStyle w:val="NoSpacing"/>
        <w:numPr>
          <w:ilvl w:val="0"/>
          <w:numId w:val="32"/>
        </w:numPr>
        <w:spacing w:line="360" w:lineRule="auto"/>
        <w:jc w:val="both"/>
        <w:rPr>
          <w:b/>
          <w:i/>
          <w:sz w:val="24"/>
          <w:szCs w:val="24"/>
        </w:rPr>
      </w:pPr>
      <w:r w:rsidRPr="003F1193">
        <w:rPr>
          <w:b/>
          <w:i/>
          <w:sz w:val="24"/>
          <w:szCs w:val="24"/>
        </w:rPr>
        <w:t>Methodology</w:t>
      </w:r>
    </w:p>
    <w:p w:rsidR="00E308B6" w:rsidRDefault="003F1193" w:rsidP="003F1193">
      <w:pPr>
        <w:spacing w:line="360" w:lineRule="auto"/>
      </w:pPr>
      <w:r>
        <w:t>The study design was a quantitative cross sectional survey conducted among the prescribing doctors who attended a hospital grand round on the subject of</w:t>
      </w:r>
      <w:r w:rsidR="00604A35">
        <w:t xml:space="preserve"> the</w:t>
      </w:r>
      <w:r>
        <w:t xml:space="preserve"> rational use of antibiotics at the Lagos State University Teaching Hospital, in Ikeja, Lagos, Nigeria. This included whether prescriptions are for originators or generics (INN – International non-proprietary name) since the cost of medicines is mostly out-of-pocket. The hospital is a major referral </w:t>
      </w:r>
      <w:proofErr w:type="spellStart"/>
      <w:r>
        <w:t>center</w:t>
      </w:r>
      <w:proofErr w:type="spellEnd"/>
      <w:r>
        <w:t xml:space="preserve"> in Lagos metropolis with a bed capacity of 774 beds and is one of three tertiary </w:t>
      </w:r>
      <w:proofErr w:type="spellStart"/>
      <w:r>
        <w:t>centers</w:t>
      </w:r>
      <w:proofErr w:type="spellEnd"/>
      <w:r>
        <w:t xml:space="preserve"> serving an estimated catchments population of over 19 million people in Lagos State, Nigeria. Consequently, if there are concerns with antibiotic prescribing in this centre, such concerns may well be magnified in non-teaching hospitals including secondary hospitals. A self-administered structured </w:t>
      </w:r>
      <w:r>
        <w:lastRenderedPageBreak/>
        <w:t>questionnaire was used to collect data comprising of the socio demographic characteristics of the doctors and the potential factors determining their prescription of antibiotics prior to the delivery of a presentation by one of the co-authors (OO). There were169 prescribing doctors</w:t>
      </w:r>
      <w:r w:rsidR="00604A35">
        <w:t xml:space="preserve"> employed by</w:t>
      </w:r>
      <w:r>
        <w:t xml:space="preserve"> the hospital at the time of the survey</w:t>
      </w:r>
      <w:r w:rsidR="00604A35">
        <w:t>. A</w:t>
      </w:r>
      <w:r>
        <w:t xml:space="preserve">ll 98 doctors who were in attendance at the grand round when the presentation was delivered participated. Respondents maintained anonymity as they did not require documenting any identifiable personal information. </w:t>
      </w:r>
    </w:p>
    <w:p w:rsidR="00E308B6" w:rsidRDefault="00E308B6" w:rsidP="003F1193">
      <w:pPr>
        <w:spacing w:line="360" w:lineRule="auto"/>
      </w:pPr>
    </w:p>
    <w:p w:rsidR="00E308B6" w:rsidRDefault="00E308B6" w:rsidP="005D6530">
      <w:pPr>
        <w:pStyle w:val="ListParagraph"/>
        <w:numPr>
          <w:ilvl w:val="1"/>
          <w:numId w:val="32"/>
        </w:numPr>
        <w:spacing w:line="360" w:lineRule="auto"/>
      </w:pPr>
      <w:r>
        <w:t>Ethical Approval</w:t>
      </w:r>
    </w:p>
    <w:p w:rsidR="00E308B6" w:rsidRDefault="003F1193" w:rsidP="003F1193">
      <w:pPr>
        <w:spacing w:line="360" w:lineRule="auto"/>
      </w:pPr>
      <w:r>
        <w:t xml:space="preserve">The study received ethical approval from the </w:t>
      </w:r>
      <w:r>
        <w:rPr>
          <w:i/>
        </w:rPr>
        <w:t>Hospital Ethics Committee</w:t>
      </w:r>
      <w:r>
        <w:t xml:space="preserve"> and verbal consent was received from the responding participants.</w:t>
      </w:r>
    </w:p>
    <w:p w:rsidR="00E308B6" w:rsidRDefault="00E308B6" w:rsidP="005D6530">
      <w:pPr>
        <w:pStyle w:val="ListParagraph"/>
        <w:numPr>
          <w:ilvl w:val="1"/>
          <w:numId w:val="32"/>
        </w:numPr>
        <w:spacing w:line="360" w:lineRule="auto"/>
      </w:pPr>
      <w:r>
        <w:t xml:space="preserve"> Statistical Analysis</w:t>
      </w:r>
    </w:p>
    <w:p w:rsidR="003F1193" w:rsidRDefault="003F1193" w:rsidP="003F1193">
      <w:pPr>
        <w:spacing w:line="360" w:lineRule="auto"/>
      </w:pPr>
      <w:r>
        <w:t xml:space="preserve"> Statistical tests were performed using Statistical Package for Social Science version 15.0. Data explored and the results were summarized with descriptive statistics. Continuous variables were expressed as mean with standard deviation and categorical variables as proportions.</w:t>
      </w:r>
    </w:p>
    <w:p w:rsidR="003F1193" w:rsidRDefault="003F1193" w:rsidP="003F1193">
      <w:pPr>
        <w:spacing w:line="360" w:lineRule="auto"/>
        <w:rPr>
          <w:b/>
          <w:bCs/>
        </w:rPr>
      </w:pPr>
    </w:p>
    <w:p w:rsidR="003F1193" w:rsidRPr="005D6530" w:rsidRDefault="003F1193" w:rsidP="005D6530">
      <w:pPr>
        <w:pStyle w:val="ListParagraph"/>
        <w:numPr>
          <w:ilvl w:val="0"/>
          <w:numId w:val="32"/>
        </w:numPr>
        <w:spacing w:line="360" w:lineRule="auto"/>
        <w:rPr>
          <w:b/>
          <w:bCs/>
          <w:i/>
        </w:rPr>
      </w:pPr>
      <w:r w:rsidRPr="005D6530">
        <w:rPr>
          <w:b/>
          <w:bCs/>
          <w:i/>
        </w:rPr>
        <w:t>Results</w:t>
      </w:r>
    </w:p>
    <w:p w:rsidR="00A13162" w:rsidRDefault="003F1193" w:rsidP="003F1193">
      <w:pPr>
        <w:spacing w:line="360" w:lineRule="auto"/>
      </w:pPr>
      <w:r>
        <w:t xml:space="preserve">Among the 98 (58%) respondents, 63 were males (64.3%) and 35 females (35.7%), with a good representation of most clinical specialties and professional ranking/status of doctors in the hospital at that time (Figures 1 and 2). </w:t>
      </w:r>
    </w:p>
    <w:p w:rsidR="00A13162" w:rsidRDefault="00A13162" w:rsidP="00A13162">
      <w:pPr>
        <w:spacing w:line="360" w:lineRule="auto"/>
        <w:rPr>
          <w:b/>
        </w:rPr>
      </w:pPr>
      <w:r w:rsidRPr="001E36C9">
        <w:rPr>
          <w:b/>
        </w:rPr>
        <w:t>Figure</w:t>
      </w:r>
      <w:r>
        <w:rPr>
          <w:b/>
        </w:rPr>
        <w:t xml:space="preserve"> 1 – Clinical speciality of respondents</w:t>
      </w:r>
    </w:p>
    <w:p w:rsidR="00A13162" w:rsidRDefault="00A13162" w:rsidP="00A13162">
      <w:pPr>
        <w:spacing w:line="360" w:lineRule="auto"/>
        <w:rPr>
          <w:noProof/>
        </w:rPr>
      </w:pPr>
      <w:r w:rsidRPr="007A6284">
        <w:rPr>
          <w:noProof/>
        </w:rPr>
        <w:drawing>
          <wp:inline distT="0" distB="0" distL="0" distR="0">
            <wp:extent cx="4568825" cy="2740025"/>
            <wp:effectExtent l="0" t="0" r="3175" b="3175"/>
            <wp:docPr id="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13162" w:rsidRDefault="00A13162">
      <w:pPr>
        <w:spacing w:line="240" w:lineRule="auto"/>
        <w:rPr>
          <w:b/>
          <w:noProof/>
        </w:rPr>
      </w:pPr>
      <w:r>
        <w:rPr>
          <w:b/>
          <w:noProof/>
        </w:rPr>
        <w:br w:type="page"/>
      </w:r>
    </w:p>
    <w:p w:rsidR="00A13162" w:rsidRDefault="00A13162" w:rsidP="00A13162">
      <w:pPr>
        <w:spacing w:line="360" w:lineRule="auto"/>
        <w:rPr>
          <w:b/>
          <w:noProof/>
        </w:rPr>
      </w:pPr>
      <w:r w:rsidRPr="001E36C9">
        <w:rPr>
          <w:b/>
          <w:noProof/>
        </w:rPr>
        <w:lastRenderedPageBreak/>
        <w:t xml:space="preserve">Figure </w:t>
      </w:r>
      <w:r>
        <w:rPr>
          <w:b/>
          <w:noProof/>
        </w:rPr>
        <w:t>2 – Professional status</w:t>
      </w:r>
    </w:p>
    <w:p w:rsidR="00A13162" w:rsidRDefault="00A13162" w:rsidP="00A13162">
      <w:pPr>
        <w:spacing w:line="360" w:lineRule="auto"/>
        <w:rPr>
          <w:noProof/>
        </w:rPr>
      </w:pPr>
      <w:r w:rsidRPr="00AC4A91">
        <w:rPr>
          <w:noProof/>
        </w:rPr>
        <w:drawing>
          <wp:inline distT="0" distB="0" distL="0" distR="0">
            <wp:extent cx="4568825" cy="2740025"/>
            <wp:effectExtent l="0" t="0" r="3175" b="3175"/>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13162" w:rsidRDefault="00A13162" w:rsidP="003F1193">
      <w:pPr>
        <w:spacing w:line="360" w:lineRule="auto"/>
      </w:pPr>
    </w:p>
    <w:p w:rsidR="003F1193" w:rsidRDefault="003F1193" w:rsidP="003F1193">
      <w:pPr>
        <w:spacing w:line="360" w:lineRule="auto"/>
      </w:pPr>
      <w:r>
        <w:t>Their mean age was 36.24(9.01) years and mean duration of professional practice was10.68 (9.25) years.  The majority of the doctors (97%) prescribed antibiotics in their daily practices. Over 97% indicated that their choices were influenced by drug promotional and marketing activities of pharmaceutical industry. Other major factors influencing prescribing included</w:t>
      </w:r>
      <w:r w:rsidR="008C0FF6">
        <w:t xml:space="preserve"> the</w:t>
      </w:r>
      <w:r>
        <w:t xml:space="preserve"> use of clinical judgment (93.9%), professional experience (87.8%), as well as consideration of</w:t>
      </w:r>
      <w:r w:rsidR="008C0FF6">
        <w:t xml:space="preserve"> the</w:t>
      </w:r>
      <w:r>
        <w:t xml:space="preserve"> costs to patients (80.6%)</w:t>
      </w:r>
      <w:r w:rsidR="008C0FF6">
        <w:t>,</w:t>
      </w:r>
      <w:r>
        <w:t xml:space="preserve"> as most </w:t>
      </w:r>
      <w:r w:rsidR="008C0FF6">
        <w:t>patients</w:t>
      </w:r>
      <w:r>
        <w:t xml:space="preserve"> pay out of pocket</w:t>
      </w:r>
      <w:r w:rsidR="008C0FF6">
        <w:t>,</w:t>
      </w:r>
      <w:r>
        <w:t xml:space="preserve"> and drug availability (80.6%). Positively, over 70% of respondents indicated that they consider local epidemiology of bacterial infections, literature evidence and a senior colleagues’ decision in their prescribing decision. However, only 45.9% indicated that their choice of antibiotic considered laboratory results. Inclination to follow the unit policy/protocol was seen among only 43.9% of responders, and</w:t>
      </w:r>
      <w:r w:rsidR="008C0FF6">
        <w:t xml:space="preserve"> the</w:t>
      </w:r>
      <w:r>
        <w:t xml:space="preserve"> use of hospital policy/treatment guidelines was only 8.2% (Table: 1).</w:t>
      </w:r>
    </w:p>
    <w:p w:rsidR="00A13162" w:rsidRDefault="00A13162">
      <w:pPr>
        <w:spacing w:line="240" w:lineRule="auto"/>
        <w:rPr>
          <w:b/>
          <w:bCs/>
        </w:rPr>
      </w:pPr>
      <w:r>
        <w:rPr>
          <w:b/>
          <w:bCs/>
        </w:rPr>
        <w:br w:type="page"/>
      </w:r>
    </w:p>
    <w:p w:rsidR="00B75A3B" w:rsidRPr="007640AF" w:rsidRDefault="00B75A3B" w:rsidP="00B75A3B">
      <w:pPr>
        <w:spacing w:line="360" w:lineRule="auto"/>
      </w:pPr>
      <w:r w:rsidRPr="007640AF">
        <w:rPr>
          <w:b/>
          <w:bCs/>
        </w:rPr>
        <w:lastRenderedPageBreak/>
        <w:t>Table 1</w:t>
      </w:r>
      <w:r w:rsidRPr="007640AF">
        <w:t>: Factors Determining Antibiotics</w:t>
      </w:r>
      <w:r>
        <w:t xml:space="preserve"> Prescription among Respondents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6"/>
        <w:gridCol w:w="2814"/>
        <w:gridCol w:w="2819"/>
      </w:tblGrid>
      <w:tr w:rsidR="00B75A3B" w:rsidRPr="007640AF" w:rsidTr="00407000">
        <w:tc>
          <w:tcPr>
            <w:tcW w:w="3080" w:type="dxa"/>
          </w:tcPr>
          <w:p w:rsidR="00B75A3B" w:rsidRPr="00C36130" w:rsidRDefault="00B75A3B" w:rsidP="00407000">
            <w:pPr>
              <w:spacing w:line="360" w:lineRule="auto"/>
              <w:rPr>
                <w:b/>
                <w:sz w:val="22"/>
                <w:szCs w:val="22"/>
              </w:rPr>
            </w:pPr>
            <w:r w:rsidRPr="00C36130">
              <w:rPr>
                <w:b/>
                <w:sz w:val="22"/>
                <w:szCs w:val="22"/>
              </w:rPr>
              <w:t>Factor</w:t>
            </w:r>
          </w:p>
        </w:tc>
        <w:tc>
          <w:tcPr>
            <w:tcW w:w="3081" w:type="dxa"/>
          </w:tcPr>
          <w:p w:rsidR="00B75A3B" w:rsidRPr="00C36130" w:rsidRDefault="00B75A3B" w:rsidP="00407000">
            <w:pPr>
              <w:spacing w:line="360" w:lineRule="auto"/>
              <w:rPr>
                <w:b/>
                <w:sz w:val="22"/>
                <w:szCs w:val="22"/>
              </w:rPr>
            </w:pPr>
            <w:r w:rsidRPr="00C36130">
              <w:rPr>
                <w:b/>
                <w:sz w:val="22"/>
                <w:szCs w:val="22"/>
              </w:rPr>
              <w:t>Frequency (N)</w:t>
            </w:r>
          </w:p>
        </w:tc>
        <w:tc>
          <w:tcPr>
            <w:tcW w:w="3081" w:type="dxa"/>
          </w:tcPr>
          <w:p w:rsidR="00B75A3B" w:rsidRPr="00C36130" w:rsidRDefault="00B75A3B" w:rsidP="00407000">
            <w:pPr>
              <w:spacing w:line="360" w:lineRule="auto"/>
              <w:rPr>
                <w:b/>
                <w:sz w:val="22"/>
                <w:szCs w:val="22"/>
              </w:rPr>
            </w:pPr>
            <w:r w:rsidRPr="00C36130">
              <w:rPr>
                <w:b/>
                <w:sz w:val="22"/>
                <w:szCs w:val="22"/>
              </w:rPr>
              <w:t>Percentage (%)</w:t>
            </w:r>
          </w:p>
        </w:tc>
      </w:tr>
      <w:tr w:rsidR="00B75A3B" w:rsidRPr="007640AF" w:rsidTr="00407000">
        <w:tc>
          <w:tcPr>
            <w:tcW w:w="3080" w:type="dxa"/>
          </w:tcPr>
          <w:p w:rsidR="00B75A3B" w:rsidRPr="00C36130" w:rsidRDefault="00B75A3B" w:rsidP="00407000">
            <w:pPr>
              <w:spacing w:line="360" w:lineRule="auto"/>
              <w:rPr>
                <w:b/>
                <w:sz w:val="22"/>
                <w:szCs w:val="22"/>
              </w:rPr>
            </w:pPr>
            <w:r w:rsidRPr="00C36130">
              <w:rPr>
                <w:b/>
                <w:sz w:val="22"/>
                <w:szCs w:val="22"/>
              </w:rPr>
              <w:t xml:space="preserve">Drug Promotional and Marketing Influences                                   </w:t>
            </w:r>
          </w:p>
        </w:tc>
        <w:tc>
          <w:tcPr>
            <w:tcW w:w="3081" w:type="dxa"/>
          </w:tcPr>
          <w:p w:rsidR="00B75A3B" w:rsidRPr="00C36130" w:rsidRDefault="00B75A3B" w:rsidP="00407000">
            <w:pPr>
              <w:spacing w:line="360" w:lineRule="auto"/>
              <w:rPr>
                <w:sz w:val="22"/>
                <w:szCs w:val="22"/>
              </w:rPr>
            </w:pPr>
            <w:r w:rsidRPr="00C36130">
              <w:rPr>
                <w:sz w:val="22"/>
                <w:szCs w:val="22"/>
              </w:rPr>
              <w:t>96</w:t>
            </w:r>
          </w:p>
        </w:tc>
        <w:tc>
          <w:tcPr>
            <w:tcW w:w="3081" w:type="dxa"/>
          </w:tcPr>
          <w:p w:rsidR="00B75A3B" w:rsidRPr="00C36130" w:rsidRDefault="00B75A3B" w:rsidP="00407000">
            <w:pPr>
              <w:spacing w:line="360" w:lineRule="auto"/>
              <w:rPr>
                <w:sz w:val="22"/>
                <w:szCs w:val="22"/>
              </w:rPr>
            </w:pPr>
            <w:r w:rsidRPr="00C36130">
              <w:rPr>
                <w:sz w:val="22"/>
                <w:szCs w:val="22"/>
              </w:rPr>
              <w:t>97.9</w:t>
            </w:r>
          </w:p>
        </w:tc>
      </w:tr>
      <w:tr w:rsidR="00B75A3B" w:rsidRPr="007640AF" w:rsidTr="00407000">
        <w:tc>
          <w:tcPr>
            <w:tcW w:w="3080" w:type="dxa"/>
          </w:tcPr>
          <w:p w:rsidR="00B75A3B" w:rsidRPr="00C36130" w:rsidRDefault="00B75A3B" w:rsidP="00407000">
            <w:pPr>
              <w:spacing w:line="360" w:lineRule="auto"/>
              <w:rPr>
                <w:b/>
                <w:sz w:val="22"/>
                <w:szCs w:val="22"/>
              </w:rPr>
            </w:pPr>
            <w:r w:rsidRPr="00C36130">
              <w:rPr>
                <w:b/>
                <w:sz w:val="22"/>
                <w:szCs w:val="22"/>
              </w:rPr>
              <w:t>Clinical Judgment (without laboratory result)</w:t>
            </w:r>
          </w:p>
        </w:tc>
        <w:tc>
          <w:tcPr>
            <w:tcW w:w="3081" w:type="dxa"/>
          </w:tcPr>
          <w:p w:rsidR="00B75A3B" w:rsidRPr="00C36130" w:rsidRDefault="00B75A3B" w:rsidP="00407000">
            <w:pPr>
              <w:spacing w:line="360" w:lineRule="auto"/>
              <w:rPr>
                <w:sz w:val="22"/>
                <w:szCs w:val="22"/>
              </w:rPr>
            </w:pPr>
            <w:r w:rsidRPr="00C36130">
              <w:rPr>
                <w:sz w:val="22"/>
                <w:szCs w:val="22"/>
              </w:rPr>
              <w:t>91</w:t>
            </w:r>
          </w:p>
        </w:tc>
        <w:tc>
          <w:tcPr>
            <w:tcW w:w="3081" w:type="dxa"/>
          </w:tcPr>
          <w:p w:rsidR="00B75A3B" w:rsidRPr="00C36130" w:rsidRDefault="00B75A3B" w:rsidP="00407000">
            <w:pPr>
              <w:spacing w:line="360" w:lineRule="auto"/>
              <w:rPr>
                <w:sz w:val="22"/>
                <w:szCs w:val="22"/>
              </w:rPr>
            </w:pPr>
            <w:r w:rsidRPr="00C36130">
              <w:rPr>
                <w:sz w:val="22"/>
                <w:szCs w:val="22"/>
              </w:rPr>
              <w:t>93.9</w:t>
            </w:r>
          </w:p>
        </w:tc>
      </w:tr>
      <w:tr w:rsidR="00B75A3B" w:rsidRPr="007640AF" w:rsidTr="00407000">
        <w:tc>
          <w:tcPr>
            <w:tcW w:w="3080" w:type="dxa"/>
          </w:tcPr>
          <w:p w:rsidR="00B75A3B" w:rsidRPr="00C36130" w:rsidRDefault="00B75A3B" w:rsidP="00407000">
            <w:pPr>
              <w:spacing w:line="360" w:lineRule="auto"/>
              <w:rPr>
                <w:b/>
                <w:sz w:val="22"/>
                <w:szCs w:val="22"/>
              </w:rPr>
            </w:pPr>
            <w:r w:rsidRPr="00C36130">
              <w:rPr>
                <w:b/>
                <w:sz w:val="22"/>
                <w:szCs w:val="22"/>
              </w:rPr>
              <w:t>Experience</w:t>
            </w:r>
          </w:p>
        </w:tc>
        <w:tc>
          <w:tcPr>
            <w:tcW w:w="3081" w:type="dxa"/>
          </w:tcPr>
          <w:p w:rsidR="00B75A3B" w:rsidRPr="00C36130" w:rsidRDefault="00B75A3B" w:rsidP="00407000">
            <w:pPr>
              <w:spacing w:line="360" w:lineRule="auto"/>
              <w:rPr>
                <w:sz w:val="22"/>
                <w:szCs w:val="22"/>
              </w:rPr>
            </w:pPr>
            <w:r w:rsidRPr="00C36130">
              <w:rPr>
                <w:sz w:val="22"/>
                <w:szCs w:val="22"/>
              </w:rPr>
              <w:t>86</w:t>
            </w:r>
          </w:p>
        </w:tc>
        <w:tc>
          <w:tcPr>
            <w:tcW w:w="3081" w:type="dxa"/>
          </w:tcPr>
          <w:p w:rsidR="00B75A3B" w:rsidRPr="00C36130" w:rsidRDefault="00B75A3B" w:rsidP="00407000">
            <w:pPr>
              <w:spacing w:line="360" w:lineRule="auto"/>
              <w:rPr>
                <w:sz w:val="22"/>
                <w:szCs w:val="22"/>
              </w:rPr>
            </w:pPr>
            <w:r w:rsidRPr="00C36130">
              <w:rPr>
                <w:sz w:val="22"/>
                <w:szCs w:val="22"/>
              </w:rPr>
              <w:t>87.8</w:t>
            </w:r>
          </w:p>
        </w:tc>
      </w:tr>
      <w:tr w:rsidR="00B75A3B" w:rsidRPr="007640AF" w:rsidTr="00407000">
        <w:tc>
          <w:tcPr>
            <w:tcW w:w="3080" w:type="dxa"/>
          </w:tcPr>
          <w:p w:rsidR="00B75A3B" w:rsidRPr="00C36130" w:rsidRDefault="00B75A3B" w:rsidP="00407000">
            <w:pPr>
              <w:spacing w:line="360" w:lineRule="auto"/>
              <w:rPr>
                <w:b/>
                <w:sz w:val="22"/>
                <w:szCs w:val="22"/>
              </w:rPr>
            </w:pPr>
            <w:r w:rsidRPr="00C36130">
              <w:rPr>
                <w:b/>
                <w:sz w:val="22"/>
                <w:szCs w:val="22"/>
              </w:rPr>
              <w:t>Cost to Patients</w:t>
            </w:r>
          </w:p>
        </w:tc>
        <w:tc>
          <w:tcPr>
            <w:tcW w:w="3081" w:type="dxa"/>
          </w:tcPr>
          <w:p w:rsidR="00B75A3B" w:rsidRPr="00C36130" w:rsidRDefault="00B75A3B" w:rsidP="00407000">
            <w:pPr>
              <w:spacing w:line="360" w:lineRule="auto"/>
              <w:rPr>
                <w:sz w:val="22"/>
                <w:szCs w:val="22"/>
              </w:rPr>
            </w:pPr>
            <w:r w:rsidRPr="00C36130">
              <w:rPr>
                <w:sz w:val="22"/>
                <w:szCs w:val="22"/>
              </w:rPr>
              <w:t>79</w:t>
            </w:r>
          </w:p>
        </w:tc>
        <w:tc>
          <w:tcPr>
            <w:tcW w:w="3081" w:type="dxa"/>
          </w:tcPr>
          <w:p w:rsidR="00B75A3B" w:rsidRPr="00C36130" w:rsidRDefault="00B75A3B" w:rsidP="00407000">
            <w:pPr>
              <w:spacing w:line="360" w:lineRule="auto"/>
              <w:rPr>
                <w:sz w:val="22"/>
                <w:szCs w:val="22"/>
              </w:rPr>
            </w:pPr>
            <w:r w:rsidRPr="00C36130">
              <w:rPr>
                <w:sz w:val="22"/>
                <w:szCs w:val="22"/>
              </w:rPr>
              <w:t>80.6</w:t>
            </w:r>
          </w:p>
        </w:tc>
      </w:tr>
      <w:tr w:rsidR="00B75A3B" w:rsidRPr="007640AF" w:rsidTr="00407000">
        <w:tc>
          <w:tcPr>
            <w:tcW w:w="3080" w:type="dxa"/>
          </w:tcPr>
          <w:p w:rsidR="00B75A3B" w:rsidRPr="00C36130" w:rsidRDefault="00B75A3B" w:rsidP="00407000">
            <w:pPr>
              <w:spacing w:line="360" w:lineRule="auto"/>
              <w:rPr>
                <w:b/>
                <w:sz w:val="22"/>
                <w:szCs w:val="22"/>
              </w:rPr>
            </w:pPr>
            <w:r w:rsidRPr="00C36130">
              <w:rPr>
                <w:b/>
                <w:sz w:val="22"/>
                <w:szCs w:val="22"/>
              </w:rPr>
              <w:t>Drug Availability</w:t>
            </w:r>
          </w:p>
        </w:tc>
        <w:tc>
          <w:tcPr>
            <w:tcW w:w="3081" w:type="dxa"/>
          </w:tcPr>
          <w:p w:rsidR="00B75A3B" w:rsidRPr="00C36130" w:rsidRDefault="00B75A3B" w:rsidP="00407000">
            <w:pPr>
              <w:spacing w:line="360" w:lineRule="auto"/>
              <w:rPr>
                <w:sz w:val="22"/>
                <w:szCs w:val="22"/>
              </w:rPr>
            </w:pPr>
            <w:r w:rsidRPr="00C36130">
              <w:rPr>
                <w:sz w:val="22"/>
                <w:szCs w:val="22"/>
              </w:rPr>
              <w:t>79</w:t>
            </w:r>
          </w:p>
        </w:tc>
        <w:tc>
          <w:tcPr>
            <w:tcW w:w="3081" w:type="dxa"/>
          </w:tcPr>
          <w:p w:rsidR="00B75A3B" w:rsidRPr="00C36130" w:rsidRDefault="00B75A3B" w:rsidP="00407000">
            <w:pPr>
              <w:spacing w:line="360" w:lineRule="auto"/>
              <w:rPr>
                <w:sz w:val="22"/>
                <w:szCs w:val="22"/>
              </w:rPr>
            </w:pPr>
            <w:r w:rsidRPr="00C36130">
              <w:rPr>
                <w:sz w:val="22"/>
                <w:szCs w:val="22"/>
              </w:rPr>
              <w:t>80.6</w:t>
            </w:r>
          </w:p>
        </w:tc>
      </w:tr>
      <w:tr w:rsidR="00B75A3B" w:rsidRPr="007640AF" w:rsidTr="00407000">
        <w:tc>
          <w:tcPr>
            <w:tcW w:w="3080" w:type="dxa"/>
          </w:tcPr>
          <w:p w:rsidR="00B75A3B" w:rsidRPr="00C36130" w:rsidRDefault="00B75A3B" w:rsidP="00407000">
            <w:pPr>
              <w:spacing w:line="360" w:lineRule="auto"/>
              <w:rPr>
                <w:b/>
                <w:sz w:val="22"/>
                <w:szCs w:val="22"/>
              </w:rPr>
            </w:pPr>
            <w:r w:rsidRPr="00C36130">
              <w:rPr>
                <w:b/>
                <w:sz w:val="22"/>
                <w:szCs w:val="22"/>
              </w:rPr>
              <w:t>Epidemiology of Infection</w:t>
            </w:r>
          </w:p>
        </w:tc>
        <w:tc>
          <w:tcPr>
            <w:tcW w:w="3081" w:type="dxa"/>
          </w:tcPr>
          <w:p w:rsidR="00B75A3B" w:rsidRPr="00C36130" w:rsidRDefault="00B75A3B" w:rsidP="00407000">
            <w:pPr>
              <w:spacing w:line="360" w:lineRule="auto"/>
              <w:rPr>
                <w:sz w:val="22"/>
                <w:szCs w:val="22"/>
              </w:rPr>
            </w:pPr>
            <w:r w:rsidRPr="00C36130">
              <w:rPr>
                <w:sz w:val="22"/>
                <w:szCs w:val="22"/>
              </w:rPr>
              <w:t>74</w:t>
            </w:r>
          </w:p>
        </w:tc>
        <w:tc>
          <w:tcPr>
            <w:tcW w:w="3081" w:type="dxa"/>
          </w:tcPr>
          <w:p w:rsidR="00B75A3B" w:rsidRPr="00C36130" w:rsidRDefault="00B75A3B" w:rsidP="00407000">
            <w:pPr>
              <w:spacing w:line="360" w:lineRule="auto"/>
              <w:rPr>
                <w:sz w:val="22"/>
                <w:szCs w:val="22"/>
              </w:rPr>
            </w:pPr>
            <w:r w:rsidRPr="00C36130">
              <w:rPr>
                <w:sz w:val="22"/>
                <w:szCs w:val="22"/>
              </w:rPr>
              <w:t>75.5</w:t>
            </w:r>
          </w:p>
        </w:tc>
      </w:tr>
      <w:tr w:rsidR="00B75A3B" w:rsidRPr="007640AF" w:rsidTr="00407000">
        <w:tc>
          <w:tcPr>
            <w:tcW w:w="3080" w:type="dxa"/>
          </w:tcPr>
          <w:p w:rsidR="00B75A3B" w:rsidRPr="00C36130" w:rsidRDefault="00B75A3B" w:rsidP="00407000">
            <w:pPr>
              <w:spacing w:line="360" w:lineRule="auto"/>
              <w:rPr>
                <w:b/>
                <w:sz w:val="22"/>
                <w:szCs w:val="22"/>
              </w:rPr>
            </w:pPr>
            <w:r w:rsidRPr="00C36130">
              <w:rPr>
                <w:b/>
                <w:sz w:val="22"/>
                <w:szCs w:val="22"/>
              </w:rPr>
              <w:t>Best Evidence (Literature)</w:t>
            </w:r>
          </w:p>
        </w:tc>
        <w:tc>
          <w:tcPr>
            <w:tcW w:w="3081" w:type="dxa"/>
          </w:tcPr>
          <w:p w:rsidR="00B75A3B" w:rsidRPr="00C36130" w:rsidRDefault="00B75A3B" w:rsidP="00407000">
            <w:pPr>
              <w:spacing w:line="360" w:lineRule="auto"/>
              <w:rPr>
                <w:sz w:val="22"/>
                <w:szCs w:val="22"/>
              </w:rPr>
            </w:pPr>
            <w:r w:rsidRPr="00C36130">
              <w:rPr>
                <w:sz w:val="22"/>
                <w:szCs w:val="22"/>
              </w:rPr>
              <w:t>70</w:t>
            </w:r>
          </w:p>
        </w:tc>
        <w:tc>
          <w:tcPr>
            <w:tcW w:w="3081" w:type="dxa"/>
          </w:tcPr>
          <w:p w:rsidR="00B75A3B" w:rsidRPr="00C36130" w:rsidRDefault="00B75A3B" w:rsidP="00407000">
            <w:pPr>
              <w:spacing w:line="360" w:lineRule="auto"/>
              <w:rPr>
                <w:sz w:val="22"/>
                <w:szCs w:val="22"/>
              </w:rPr>
            </w:pPr>
            <w:r w:rsidRPr="00C36130">
              <w:rPr>
                <w:sz w:val="22"/>
                <w:szCs w:val="22"/>
              </w:rPr>
              <w:t>71.4</w:t>
            </w:r>
          </w:p>
        </w:tc>
      </w:tr>
      <w:tr w:rsidR="00B75A3B" w:rsidRPr="007640AF" w:rsidTr="00407000">
        <w:tc>
          <w:tcPr>
            <w:tcW w:w="3080" w:type="dxa"/>
          </w:tcPr>
          <w:p w:rsidR="00B75A3B" w:rsidRPr="00C36130" w:rsidRDefault="00B75A3B" w:rsidP="00407000">
            <w:pPr>
              <w:spacing w:line="360" w:lineRule="auto"/>
              <w:rPr>
                <w:b/>
                <w:sz w:val="22"/>
                <w:szCs w:val="22"/>
              </w:rPr>
            </w:pPr>
            <w:r w:rsidRPr="00C36130">
              <w:rPr>
                <w:b/>
                <w:sz w:val="22"/>
                <w:szCs w:val="22"/>
              </w:rPr>
              <w:t>Senior Colleague’s Decision</w:t>
            </w:r>
          </w:p>
        </w:tc>
        <w:tc>
          <w:tcPr>
            <w:tcW w:w="3081" w:type="dxa"/>
          </w:tcPr>
          <w:p w:rsidR="00B75A3B" w:rsidRPr="00C36130" w:rsidRDefault="00B75A3B" w:rsidP="00407000">
            <w:pPr>
              <w:spacing w:line="360" w:lineRule="auto"/>
              <w:rPr>
                <w:sz w:val="22"/>
                <w:szCs w:val="22"/>
              </w:rPr>
            </w:pPr>
            <w:r w:rsidRPr="00C36130">
              <w:rPr>
                <w:sz w:val="22"/>
                <w:szCs w:val="22"/>
              </w:rPr>
              <w:t>69</w:t>
            </w:r>
          </w:p>
        </w:tc>
        <w:tc>
          <w:tcPr>
            <w:tcW w:w="3081" w:type="dxa"/>
          </w:tcPr>
          <w:p w:rsidR="00B75A3B" w:rsidRPr="00C36130" w:rsidRDefault="00B75A3B" w:rsidP="00407000">
            <w:pPr>
              <w:spacing w:line="360" w:lineRule="auto"/>
              <w:rPr>
                <w:sz w:val="22"/>
                <w:szCs w:val="22"/>
              </w:rPr>
            </w:pPr>
            <w:r w:rsidRPr="00C36130">
              <w:rPr>
                <w:sz w:val="22"/>
                <w:szCs w:val="22"/>
              </w:rPr>
              <w:t>70.4</w:t>
            </w:r>
          </w:p>
        </w:tc>
      </w:tr>
      <w:tr w:rsidR="00B75A3B" w:rsidRPr="007640AF" w:rsidTr="00407000">
        <w:tc>
          <w:tcPr>
            <w:tcW w:w="3080" w:type="dxa"/>
          </w:tcPr>
          <w:p w:rsidR="00B75A3B" w:rsidRPr="00C36130" w:rsidRDefault="00B75A3B" w:rsidP="00407000">
            <w:pPr>
              <w:spacing w:line="360" w:lineRule="auto"/>
              <w:rPr>
                <w:b/>
                <w:sz w:val="22"/>
                <w:szCs w:val="22"/>
              </w:rPr>
            </w:pPr>
            <w:r w:rsidRPr="00C36130">
              <w:rPr>
                <w:b/>
                <w:sz w:val="22"/>
                <w:szCs w:val="22"/>
              </w:rPr>
              <w:t>Laboratory Results</w:t>
            </w:r>
          </w:p>
        </w:tc>
        <w:tc>
          <w:tcPr>
            <w:tcW w:w="3081" w:type="dxa"/>
          </w:tcPr>
          <w:p w:rsidR="00B75A3B" w:rsidRPr="00C36130" w:rsidRDefault="00B75A3B" w:rsidP="00407000">
            <w:pPr>
              <w:spacing w:line="360" w:lineRule="auto"/>
              <w:rPr>
                <w:sz w:val="22"/>
                <w:szCs w:val="22"/>
              </w:rPr>
            </w:pPr>
            <w:r w:rsidRPr="00C36130">
              <w:rPr>
                <w:sz w:val="22"/>
                <w:szCs w:val="22"/>
              </w:rPr>
              <w:t>45</w:t>
            </w:r>
          </w:p>
        </w:tc>
        <w:tc>
          <w:tcPr>
            <w:tcW w:w="3081" w:type="dxa"/>
          </w:tcPr>
          <w:p w:rsidR="00B75A3B" w:rsidRPr="00C36130" w:rsidRDefault="00B75A3B" w:rsidP="00407000">
            <w:pPr>
              <w:spacing w:line="360" w:lineRule="auto"/>
              <w:rPr>
                <w:sz w:val="22"/>
                <w:szCs w:val="22"/>
              </w:rPr>
            </w:pPr>
            <w:r w:rsidRPr="00C36130">
              <w:rPr>
                <w:sz w:val="22"/>
                <w:szCs w:val="22"/>
              </w:rPr>
              <w:t>45.9</w:t>
            </w:r>
          </w:p>
        </w:tc>
      </w:tr>
      <w:tr w:rsidR="00B75A3B" w:rsidRPr="007640AF" w:rsidTr="00407000">
        <w:tc>
          <w:tcPr>
            <w:tcW w:w="3080" w:type="dxa"/>
          </w:tcPr>
          <w:p w:rsidR="00B75A3B" w:rsidRPr="00C36130" w:rsidRDefault="00B75A3B" w:rsidP="00407000">
            <w:pPr>
              <w:spacing w:line="360" w:lineRule="auto"/>
              <w:rPr>
                <w:b/>
                <w:sz w:val="22"/>
                <w:szCs w:val="22"/>
              </w:rPr>
            </w:pPr>
            <w:r w:rsidRPr="00C36130">
              <w:rPr>
                <w:b/>
                <w:sz w:val="22"/>
                <w:szCs w:val="22"/>
              </w:rPr>
              <w:t>Unit Policy</w:t>
            </w:r>
          </w:p>
        </w:tc>
        <w:tc>
          <w:tcPr>
            <w:tcW w:w="3081" w:type="dxa"/>
          </w:tcPr>
          <w:p w:rsidR="00B75A3B" w:rsidRPr="00C36130" w:rsidRDefault="00B75A3B" w:rsidP="00407000">
            <w:pPr>
              <w:spacing w:line="360" w:lineRule="auto"/>
              <w:rPr>
                <w:sz w:val="22"/>
                <w:szCs w:val="22"/>
              </w:rPr>
            </w:pPr>
            <w:r w:rsidRPr="00C36130">
              <w:rPr>
                <w:sz w:val="22"/>
                <w:szCs w:val="22"/>
              </w:rPr>
              <w:t>43</w:t>
            </w:r>
          </w:p>
        </w:tc>
        <w:tc>
          <w:tcPr>
            <w:tcW w:w="3081" w:type="dxa"/>
          </w:tcPr>
          <w:p w:rsidR="00B75A3B" w:rsidRPr="00C36130" w:rsidRDefault="00B75A3B" w:rsidP="00407000">
            <w:pPr>
              <w:spacing w:line="360" w:lineRule="auto"/>
              <w:rPr>
                <w:sz w:val="22"/>
                <w:szCs w:val="22"/>
              </w:rPr>
            </w:pPr>
            <w:r w:rsidRPr="00C36130">
              <w:rPr>
                <w:sz w:val="22"/>
                <w:szCs w:val="22"/>
              </w:rPr>
              <w:t>43.9</w:t>
            </w:r>
          </w:p>
        </w:tc>
      </w:tr>
      <w:tr w:rsidR="00B75A3B" w:rsidRPr="007640AF" w:rsidTr="00407000">
        <w:tc>
          <w:tcPr>
            <w:tcW w:w="3080" w:type="dxa"/>
          </w:tcPr>
          <w:p w:rsidR="00B75A3B" w:rsidRPr="00C36130" w:rsidRDefault="00B75A3B" w:rsidP="00407000">
            <w:pPr>
              <w:spacing w:line="360" w:lineRule="auto"/>
              <w:rPr>
                <w:b/>
                <w:sz w:val="22"/>
                <w:szCs w:val="22"/>
              </w:rPr>
            </w:pPr>
            <w:r w:rsidRPr="00C36130">
              <w:rPr>
                <w:b/>
                <w:sz w:val="22"/>
                <w:szCs w:val="22"/>
              </w:rPr>
              <w:t>Hospital Policy (Treatment Guideline)</w:t>
            </w:r>
          </w:p>
        </w:tc>
        <w:tc>
          <w:tcPr>
            <w:tcW w:w="3081" w:type="dxa"/>
          </w:tcPr>
          <w:p w:rsidR="00B75A3B" w:rsidRPr="00C36130" w:rsidRDefault="00B75A3B" w:rsidP="00407000">
            <w:pPr>
              <w:spacing w:line="360" w:lineRule="auto"/>
              <w:rPr>
                <w:sz w:val="22"/>
                <w:szCs w:val="22"/>
              </w:rPr>
            </w:pPr>
            <w:r w:rsidRPr="00C36130">
              <w:rPr>
                <w:sz w:val="22"/>
                <w:szCs w:val="22"/>
              </w:rPr>
              <w:t>8</w:t>
            </w:r>
          </w:p>
        </w:tc>
        <w:tc>
          <w:tcPr>
            <w:tcW w:w="3081" w:type="dxa"/>
          </w:tcPr>
          <w:p w:rsidR="00B75A3B" w:rsidRPr="00C36130" w:rsidRDefault="00B75A3B" w:rsidP="00407000">
            <w:pPr>
              <w:spacing w:line="360" w:lineRule="auto"/>
              <w:rPr>
                <w:sz w:val="22"/>
                <w:szCs w:val="22"/>
              </w:rPr>
            </w:pPr>
            <w:r w:rsidRPr="00C36130">
              <w:rPr>
                <w:sz w:val="22"/>
                <w:szCs w:val="22"/>
              </w:rPr>
              <w:t>8.2</w:t>
            </w:r>
          </w:p>
        </w:tc>
      </w:tr>
    </w:tbl>
    <w:p w:rsidR="00B75A3B" w:rsidRDefault="00B75A3B" w:rsidP="003F1193">
      <w:pPr>
        <w:spacing w:line="360" w:lineRule="auto"/>
      </w:pPr>
    </w:p>
    <w:p w:rsidR="003F1193" w:rsidRDefault="003F1193" w:rsidP="009C4E13">
      <w:pPr>
        <w:spacing w:line="360" w:lineRule="auto"/>
        <w:ind w:firstLine="720"/>
      </w:pPr>
      <w:r>
        <w:t>In terms of the doctor’s choices in prescribing, the duration of antibiotic treatment, and the factors determining those choices, 39.8% of doctors indicated their prescription is individualized considering patient specific conditions.  35.7% preferred to prescribe for 1 week, 15.3% indicated they prefer</w:t>
      </w:r>
      <w:r w:rsidR="00474648">
        <w:t>red</w:t>
      </w:r>
      <w:r>
        <w:t xml:space="preserve"> 5 days of treatment and 9.2% preferred to treat for more than a week. The natures of illness (56.1%), and the severity of infections (39.8%), were the major determinants for choosing the duration of antibiotic treatment. Consideration for the clinical response to treatment was 22.4%, and to the pharmacokinetic and pharmacodynamic properties of the antibiotic was 7.1% (Table 2a, 2b).</w:t>
      </w:r>
    </w:p>
    <w:p w:rsidR="00B75A3B" w:rsidRDefault="00B75A3B">
      <w:pPr>
        <w:spacing w:line="240" w:lineRule="auto"/>
        <w:rPr>
          <w:b/>
          <w:bCs/>
        </w:rPr>
      </w:pPr>
      <w:r>
        <w:rPr>
          <w:b/>
          <w:bCs/>
        </w:rPr>
        <w:br w:type="page"/>
      </w:r>
    </w:p>
    <w:p w:rsidR="00B75A3B" w:rsidRPr="007550C1" w:rsidRDefault="00B75A3B" w:rsidP="00B75A3B">
      <w:pPr>
        <w:spacing w:line="360" w:lineRule="auto"/>
        <w:rPr>
          <w:b/>
          <w:bCs/>
        </w:rPr>
      </w:pPr>
      <w:r w:rsidRPr="007640AF">
        <w:rPr>
          <w:b/>
          <w:bCs/>
        </w:rPr>
        <w:lastRenderedPageBreak/>
        <w:t>Table 2 a: Duration of Antibiotics Prescription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3"/>
        <w:gridCol w:w="2864"/>
        <w:gridCol w:w="2782"/>
      </w:tblGrid>
      <w:tr w:rsidR="00B75A3B" w:rsidRPr="007640AF" w:rsidTr="00407000">
        <w:tc>
          <w:tcPr>
            <w:tcW w:w="3116" w:type="dxa"/>
          </w:tcPr>
          <w:p w:rsidR="00B75A3B" w:rsidRPr="00C36130" w:rsidRDefault="00B75A3B" w:rsidP="00407000">
            <w:pPr>
              <w:spacing w:line="360" w:lineRule="auto"/>
              <w:rPr>
                <w:b/>
                <w:sz w:val="22"/>
                <w:szCs w:val="22"/>
              </w:rPr>
            </w:pPr>
            <w:r w:rsidRPr="00C36130">
              <w:rPr>
                <w:b/>
                <w:sz w:val="22"/>
                <w:szCs w:val="22"/>
              </w:rPr>
              <w:t>Duration</w:t>
            </w:r>
          </w:p>
        </w:tc>
        <w:tc>
          <w:tcPr>
            <w:tcW w:w="3117" w:type="dxa"/>
          </w:tcPr>
          <w:p w:rsidR="00B75A3B" w:rsidRPr="00C36130" w:rsidRDefault="00B75A3B" w:rsidP="00407000">
            <w:pPr>
              <w:spacing w:line="360" w:lineRule="auto"/>
              <w:rPr>
                <w:b/>
                <w:sz w:val="22"/>
                <w:szCs w:val="22"/>
              </w:rPr>
            </w:pPr>
            <w:r w:rsidRPr="00C36130">
              <w:rPr>
                <w:b/>
                <w:sz w:val="22"/>
                <w:szCs w:val="22"/>
              </w:rPr>
              <w:t>Frequency</w:t>
            </w:r>
          </w:p>
        </w:tc>
        <w:tc>
          <w:tcPr>
            <w:tcW w:w="3117" w:type="dxa"/>
          </w:tcPr>
          <w:p w:rsidR="00B75A3B" w:rsidRPr="00C36130" w:rsidRDefault="00B75A3B" w:rsidP="00407000">
            <w:pPr>
              <w:spacing w:line="360" w:lineRule="auto"/>
              <w:rPr>
                <w:b/>
                <w:sz w:val="22"/>
                <w:szCs w:val="22"/>
              </w:rPr>
            </w:pPr>
            <w:r w:rsidRPr="00C36130">
              <w:rPr>
                <w:b/>
                <w:sz w:val="22"/>
                <w:szCs w:val="22"/>
              </w:rPr>
              <w:t>%</w:t>
            </w:r>
          </w:p>
        </w:tc>
      </w:tr>
      <w:tr w:rsidR="00B75A3B" w:rsidRPr="007640AF" w:rsidTr="00407000">
        <w:tc>
          <w:tcPr>
            <w:tcW w:w="3116" w:type="dxa"/>
          </w:tcPr>
          <w:p w:rsidR="00B75A3B" w:rsidRPr="00C36130" w:rsidRDefault="00B75A3B" w:rsidP="00407000">
            <w:pPr>
              <w:spacing w:line="360" w:lineRule="auto"/>
              <w:rPr>
                <w:b/>
                <w:sz w:val="22"/>
                <w:szCs w:val="22"/>
              </w:rPr>
            </w:pPr>
            <w:r w:rsidRPr="00C36130">
              <w:rPr>
                <w:b/>
                <w:sz w:val="22"/>
                <w:szCs w:val="22"/>
              </w:rPr>
              <w:t>Patient Specific</w:t>
            </w:r>
          </w:p>
        </w:tc>
        <w:tc>
          <w:tcPr>
            <w:tcW w:w="3117" w:type="dxa"/>
          </w:tcPr>
          <w:p w:rsidR="00B75A3B" w:rsidRPr="00C36130" w:rsidRDefault="00B75A3B" w:rsidP="00407000">
            <w:pPr>
              <w:spacing w:line="360" w:lineRule="auto"/>
              <w:rPr>
                <w:sz w:val="22"/>
                <w:szCs w:val="22"/>
              </w:rPr>
            </w:pPr>
            <w:r w:rsidRPr="00C36130">
              <w:rPr>
                <w:sz w:val="22"/>
                <w:szCs w:val="22"/>
              </w:rPr>
              <w:t>39</w:t>
            </w:r>
          </w:p>
        </w:tc>
        <w:tc>
          <w:tcPr>
            <w:tcW w:w="3117" w:type="dxa"/>
          </w:tcPr>
          <w:p w:rsidR="00B75A3B" w:rsidRPr="00C36130" w:rsidRDefault="00B75A3B" w:rsidP="00407000">
            <w:pPr>
              <w:spacing w:line="360" w:lineRule="auto"/>
              <w:rPr>
                <w:sz w:val="22"/>
                <w:szCs w:val="22"/>
              </w:rPr>
            </w:pPr>
            <w:r w:rsidRPr="00C36130">
              <w:rPr>
                <w:sz w:val="22"/>
                <w:szCs w:val="22"/>
              </w:rPr>
              <w:t>39.8</w:t>
            </w:r>
          </w:p>
        </w:tc>
      </w:tr>
      <w:tr w:rsidR="00B75A3B" w:rsidRPr="007640AF" w:rsidTr="00407000">
        <w:tc>
          <w:tcPr>
            <w:tcW w:w="3116" w:type="dxa"/>
          </w:tcPr>
          <w:p w:rsidR="00B75A3B" w:rsidRPr="00C36130" w:rsidRDefault="00B75A3B" w:rsidP="00407000">
            <w:pPr>
              <w:spacing w:line="360" w:lineRule="auto"/>
              <w:rPr>
                <w:b/>
                <w:sz w:val="22"/>
                <w:szCs w:val="22"/>
              </w:rPr>
            </w:pPr>
            <w:r w:rsidRPr="00C36130">
              <w:rPr>
                <w:b/>
                <w:sz w:val="22"/>
                <w:szCs w:val="22"/>
              </w:rPr>
              <w:t>1 week</w:t>
            </w:r>
          </w:p>
        </w:tc>
        <w:tc>
          <w:tcPr>
            <w:tcW w:w="3117" w:type="dxa"/>
          </w:tcPr>
          <w:p w:rsidR="00B75A3B" w:rsidRPr="00C36130" w:rsidRDefault="00B75A3B" w:rsidP="00407000">
            <w:pPr>
              <w:spacing w:line="360" w:lineRule="auto"/>
              <w:rPr>
                <w:sz w:val="22"/>
                <w:szCs w:val="22"/>
              </w:rPr>
            </w:pPr>
            <w:r w:rsidRPr="00C36130">
              <w:rPr>
                <w:sz w:val="22"/>
                <w:szCs w:val="22"/>
              </w:rPr>
              <w:t>35</w:t>
            </w:r>
          </w:p>
        </w:tc>
        <w:tc>
          <w:tcPr>
            <w:tcW w:w="3117" w:type="dxa"/>
          </w:tcPr>
          <w:p w:rsidR="00B75A3B" w:rsidRPr="00C36130" w:rsidRDefault="00B75A3B" w:rsidP="00407000">
            <w:pPr>
              <w:spacing w:line="360" w:lineRule="auto"/>
              <w:rPr>
                <w:sz w:val="22"/>
                <w:szCs w:val="22"/>
              </w:rPr>
            </w:pPr>
            <w:r w:rsidRPr="00C36130">
              <w:rPr>
                <w:sz w:val="22"/>
                <w:szCs w:val="22"/>
              </w:rPr>
              <w:t>35.7</w:t>
            </w:r>
          </w:p>
        </w:tc>
      </w:tr>
      <w:tr w:rsidR="00B75A3B" w:rsidRPr="007640AF" w:rsidTr="00407000">
        <w:tc>
          <w:tcPr>
            <w:tcW w:w="3116" w:type="dxa"/>
          </w:tcPr>
          <w:p w:rsidR="00B75A3B" w:rsidRPr="00C36130" w:rsidRDefault="00B75A3B" w:rsidP="00407000">
            <w:pPr>
              <w:spacing w:line="360" w:lineRule="auto"/>
              <w:rPr>
                <w:b/>
                <w:sz w:val="22"/>
                <w:szCs w:val="22"/>
              </w:rPr>
            </w:pPr>
            <w:r w:rsidRPr="00C36130">
              <w:rPr>
                <w:b/>
                <w:sz w:val="22"/>
                <w:szCs w:val="22"/>
              </w:rPr>
              <w:t>5 days</w:t>
            </w:r>
          </w:p>
        </w:tc>
        <w:tc>
          <w:tcPr>
            <w:tcW w:w="3117" w:type="dxa"/>
          </w:tcPr>
          <w:p w:rsidR="00B75A3B" w:rsidRPr="00C36130" w:rsidRDefault="00B75A3B" w:rsidP="00407000">
            <w:pPr>
              <w:spacing w:line="360" w:lineRule="auto"/>
              <w:rPr>
                <w:sz w:val="22"/>
                <w:szCs w:val="22"/>
              </w:rPr>
            </w:pPr>
            <w:r w:rsidRPr="00C36130">
              <w:rPr>
                <w:sz w:val="22"/>
                <w:szCs w:val="22"/>
              </w:rPr>
              <w:t>15</w:t>
            </w:r>
          </w:p>
        </w:tc>
        <w:tc>
          <w:tcPr>
            <w:tcW w:w="3117" w:type="dxa"/>
          </w:tcPr>
          <w:p w:rsidR="00B75A3B" w:rsidRPr="00C36130" w:rsidRDefault="00B75A3B" w:rsidP="00407000">
            <w:pPr>
              <w:spacing w:line="360" w:lineRule="auto"/>
              <w:rPr>
                <w:sz w:val="22"/>
                <w:szCs w:val="22"/>
              </w:rPr>
            </w:pPr>
            <w:r w:rsidRPr="00C36130">
              <w:rPr>
                <w:sz w:val="22"/>
                <w:szCs w:val="22"/>
              </w:rPr>
              <w:t>15.3</w:t>
            </w:r>
          </w:p>
        </w:tc>
      </w:tr>
      <w:tr w:rsidR="00B75A3B" w:rsidRPr="007640AF" w:rsidTr="00407000">
        <w:tc>
          <w:tcPr>
            <w:tcW w:w="3116" w:type="dxa"/>
          </w:tcPr>
          <w:p w:rsidR="00B75A3B" w:rsidRPr="00C36130" w:rsidRDefault="00B75A3B" w:rsidP="00407000">
            <w:pPr>
              <w:spacing w:line="360" w:lineRule="auto"/>
              <w:rPr>
                <w:b/>
                <w:sz w:val="22"/>
                <w:szCs w:val="22"/>
              </w:rPr>
            </w:pPr>
            <w:r w:rsidRPr="00C36130">
              <w:rPr>
                <w:b/>
                <w:sz w:val="22"/>
                <w:szCs w:val="22"/>
              </w:rPr>
              <w:t>&gt;1 week</w:t>
            </w:r>
          </w:p>
        </w:tc>
        <w:tc>
          <w:tcPr>
            <w:tcW w:w="3117" w:type="dxa"/>
          </w:tcPr>
          <w:p w:rsidR="00B75A3B" w:rsidRPr="00C36130" w:rsidRDefault="00B75A3B" w:rsidP="00407000">
            <w:pPr>
              <w:spacing w:line="360" w:lineRule="auto"/>
              <w:rPr>
                <w:sz w:val="22"/>
                <w:szCs w:val="22"/>
              </w:rPr>
            </w:pPr>
            <w:r w:rsidRPr="00C36130">
              <w:rPr>
                <w:sz w:val="22"/>
                <w:szCs w:val="22"/>
              </w:rPr>
              <w:t>9</w:t>
            </w:r>
          </w:p>
        </w:tc>
        <w:tc>
          <w:tcPr>
            <w:tcW w:w="3117" w:type="dxa"/>
          </w:tcPr>
          <w:p w:rsidR="00B75A3B" w:rsidRPr="00C36130" w:rsidRDefault="00B75A3B" w:rsidP="00407000">
            <w:pPr>
              <w:spacing w:line="360" w:lineRule="auto"/>
              <w:rPr>
                <w:sz w:val="22"/>
                <w:szCs w:val="22"/>
              </w:rPr>
            </w:pPr>
            <w:r w:rsidRPr="00C36130">
              <w:rPr>
                <w:sz w:val="22"/>
                <w:szCs w:val="22"/>
              </w:rPr>
              <w:t>9.2</w:t>
            </w:r>
          </w:p>
        </w:tc>
      </w:tr>
      <w:tr w:rsidR="00B75A3B" w:rsidRPr="007640AF" w:rsidTr="00407000">
        <w:tc>
          <w:tcPr>
            <w:tcW w:w="3116" w:type="dxa"/>
          </w:tcPr>
          <w:p w:rsidR="00B75A3B" w:rsidRPr="00C36130" w:rsidRDefault="00B75A3B" w:rsidP="00407000">
            <w:pPr>
              <w:spacing w:line="360" w:lineRule="auto"/>
              <w:rPr>
                <w:b/>
                <w:sz w:val="22"/>
                <w:szCs w:val="22"/>
              </w:rPr>
            </w:pPr>
            <w:r w:rsidRPr="00C36130">
              <w:rPr>
                <w:b/>
                <w:sz w:val="22"/>
                <w:szCs w:val="22"/>
              </w:rPr>
              <w:t>Total</w:t>
            </w:r>
          </w:p>
        </w:tc>
        <w:tc>
          <w:tcPr>
            <w:tcW w:w="3117" w:type="dxa"/>
          </w:tcPr>
          <w:p w:rsidR="00B75A3B" w:rsidRPr="00C36130" w:rsidRDefault="00B75A3B" w:rsidP="00407000">
            <w:pPr>
              <w:spacing w:line="360" w:lineRule="auto"/>
              <w:rPr>
                <w:sz w:val="22"/>
                <w:szCs w:val="22"/>
              </w:rPr>
            </w:pPr>
            <w:r w:rsidRPr="00C36130">
              <w:rPr>
                <w:sz w:val="22"/>
                <w:szCs w:val="22"/>
              </w:rPr>
              <w:t>98</w:t>
            </w:r>
          </w:p>
        </w:tc>
        <w:tc>
          <w:tcPr>
            <w:tcW w:w="3117" w:type="dxa"/>
          </w:tcPr>
          <w:p w:rsidR="00B75A3B" w:rsidRPr="00C36130" w:rsidRDefault="00B75A3B" w:rsidP="00407000">
            <w:pPr>
              <w:spacing w:line="360" w:lineRule="auto"/>
              <w:rPr>
                <w:sz w:val="22"/>
                <w:szCs w:val="22"/>
              </w:rPr>
            </w:pPr>
            <w:r w:rsidRPr="00C36130">
              <w:rPr>
                <w:sz w:val="22"/>
                <w:szCs w:val="22"/>
              </w:rPr>
              <w:t>100</w:t>
            </w:r>
          </w:p>
        </w:tc>
      </w:tr>
    </w:tbl>
    <w:p w:rsidR="00B75A3B" w:rsidRPr="007640AF" w:rsidRDefault="00B75A3B" w:rsidP="00B75A3B">
      <w:pPr>
        <w:spacing w:line="360" w:lineRule="auto"/>
        <w:rPr>
          <w:b/>
        </w:rPr>
      </w:pPr>
    </w:p>
    <w:p w:rsidR="00B75A3B" w:rsidRPr="007550C1" w:rsidRDefault="00B75A3B" w:rsidP="00B75A3B">
      <w:pPr>
        <w:spacing w:line="360" w:lineRule="auto"/>
        <w:rPr>
          <w:b/>
        </w:rPr>
      </w:pPr>
      <w:r w:rsidRPr="007640AF">
        <w:rPr>
          <w:b/>
        </w:rPr>
        <w:t>Table 2b: Factors Determining Choice of Duration of Antibiotics Prescriptions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5"/>
        <w:gridCol w:w="2859"/>
        <w:gridCol w:w="2775"/>
      </w:tblGrid>
      <w:tr w:rsidR="00B75A3B" w:rsidRPr="007640AF" w:rsidTr="00407000">
        <w:tc>
          <w:tcPr>
            <w:tcW w:w="3116" w:type="dxa"/>
          </w:tcPr>
          <w:p w:rsidR="00B75A3B" w:rsidRPr="00C36130" w:rsidRDefault="00B75A3B" w:rsidP="00407000">
            <w:pPr>
              <w:spacing w:line="360" w:lineRule="auto"/>
              <w:rPr>
                <w:b/>
                <w:sz w:val="22"/>
                <w:szCs w:val="22"/>
              </w:rPr>
            </w:pPr>
            <w:r w:rsidRPr="00C36130">
              <w:rPr>
                <w:b/>
                <w:sz w:val="22"/>
                <w:szCs w:val="22"/>
              </w:rPr>
              <w:t>Factor</w:t>
            </w:r>
          </w:p>
        </w:tc>
        <w:tc>
          <w:tcPr>
            <w:tcW w:w="3117" w:type="dxa"/>
          </w:tcPr>
          <w:p w:rsidR="00B75A3B" w:rsidRPr="00C36130" w:rsidRDefault="00B75A3B" w:rsidP="00407000">
            <w:pPr>
              <w:spacing w:line="360" w:lineRule="auto"/>
              <w:rPr>
                <w:b/>
                <w:sz w:val="22"/>
                <w:szCs w:val="22"/>
              </w:rPr>
            </w:pPr>
            <w:r w:rsidRPr="00C36130">
              <w:rPr>
                <w:b/>
                <w:sz w:val="22"/>
                <w:szCs w:val="22"/>
              </w:rPr>
              <w:t>Frequency</w:t>
            </w:r>
          </w:p>
        </w:tc>
        <w:tc>
          <w:tcPr>
            <w:tcW w:w="3117" w:type="dxa"/>
          </w:tcPr>
          <w:p w:rsidR="00B75A3B" w:rsidRPr="00C36130" w:rsidRDefault="00B75A3B" w:rsidP="00407000">
            <w:pPr>
              <w:spacing w:line="360" w:lineRule="auto"/>
              <w:rPr>
                <w:b/>
                <w:sz w:val="22"/>
                <w:szCs w:val="22"/>
              </w:rPr>
            </w:pPr>
            <w:r w:rsidRPr="00C36130">
              <w:rPr>
                <w:b/>
                <w:sz w:val="22"/>
                <w:szCs w:val="22"/>
              </w:rPr>
              <w:t>%</w:t>
            </w:r>
          </w:p>
        </w:tc>
      </w:tr>
      <w:tr w:rsidR="00B75A3B" w:rsidRPr="007640AF" w:rsidTr="00407000">
        <w:tc>
          <w:tcPr>
            <w:tcW w:w="3116" w:type="dxa"/>
          </w:tcPr>
          <w:p w:rsidR="00B75A3B" w:rsidRPr="00C36130" w:rsidRDefault="00B75A3B" w:rsidP="00407000">
            <w:pPr>
              <w:spacing w:line="360" w:lineRule="auto"/>
              <w:rPr>
                <w:b/>
                <w:sz w:val="22"/>
                <w:szCs w:val="22"/>
              </w:rPr>
            </w:pPr>
            <w:r w:rsidRPr="00C36130">
              <w:rPr>
                <w:b/>
                <w:sz w:val="22"/>
                <w:szCs w:val="22"/>
              </w:rPr>
              <w:t>Nature of infection</w:t>
            </w:r>
          </w:p>
        </w:tc>
        <w:tc>
          <w:tcPr>
            <w:tcW w:w="3117" w:type="dxa"/>
          </w:tcPr>
          <w:p w:rsidR="00B75A3B" w:rsidRPr="00C36130" w:rsidRDefault="00B75A3B" w:rsidP="00407000">
            <w:pPr>
              <w:spacing w:line="360" w:lineRule="auto"/>
              <w:rPr>
                <w:sz w:val="22"/>
                <w:szCs w:val="22"/>
              </w:rPr>
            </w:pPr>
            <w:r w:rsidRPr="00C36130">
              <w:rPr>
                <w:sz w:val="22"/>
                <w:szCs w:val="22"/>
              </w:rPr>
              <w:t>55</w:t>
            </w:r>
          </w:p>
        </w:tc>
        <w:tc>
          <w:tcPr>
            <w:tcW w:w="3117" w:type="dxa"/>
          </w:tcPr>
          <w:p w:rsidR="00B75A3B" w:rsidRPr="00C36130" w:rsidRDefault="00B75A3B" w:rsidP="00407000">
            <w:pPr>
              <w:spacing w:line="360" w:lineRule="auto"/>
              <w:rPr>
                <w:sz w:val="22"/>
                <w:szCs w:val="22"/>
              </w:rPr>
            </w:pPr>
            <w:r w:rsidRPr="00C36130">
              <w:rPr>
                <w:sz w:val="22"/>
                <w:szCs w:val="22"/>
              </w:rPr>
              <w:t>56.1</w:t>
            </w:r>
          </w:p>
        </w:tc>
      </w:tr>
      <w:tr w:rsidR="00B75A3B" w:rsidRPr="007640AF" w:rsidTr="00407000">
        <w:tc>
          <w:tcPr>
            <w:tcW w:w="3116" w:type="dxa"/>
          </w:tcPr>
          <w:p w:rsidR="00B75A3B" w:rsidRPr="00C36130" w:rsidRDefault="00B75A3B" w:rsidP="00407000">
            <w:pPr>
              <w:spacing w:line="360" w:lineRule="auto"/>
              <w:rPr>
                <w:b/>
                <w:sz w:val="22"/>
                <w:szCs w:val="22"/>
              </w:rPr>
            </w:pPr>
            <w:r w:rsidRPr="00C36130">
              <w:rPr>
                <w:b/>
                <w:sz w:val="22"/>
                <w:szCs w:val="22"/>
              </w:rPr>
              <w:t>Severity of infection</w:t>
            </w:r>
          </w:p>
        </w:tc>
        <w:tc>
          <w:tcPr>
            <w:tcW w:w="3117" w:type="dxa"/>
          </w:tcPr>
          <w:p w:rsidR="00B75A3B" w:rsidRPr="00C36130" w:rsidRDefault="00B75A3B" w:rsidP="00407000">
            <w:pPr>
              <w:spacing w:line="360" w:lineRule="auto"/>
              <w:rPr>
                <w:sz w:val="22"/>
                <w:szCs w:val="22"/>
              </w:rPr>
            </w:pPr>
            <w:r w:rsidRPr="00C36130">
              <w:rPr>
                <w:sz w:val="22"/>
                <w:szCs w:val="22"/>
              </w:rPr>
              <w:t>39</w:t>
            </w:r>
          </w:p>
        </w:tc>
        <w:tc>
          <w:tcPr>
            <w:tcW w:w="3117" w:type="dxa"/>
          </w:tcPr>
          <w:p w:rsidR="00B75A3B" w:rsidRPr="00C36130" w:rsidRDefault="00B75A3B" w:rsidP="00407000">
            <w:pPr>
              <w:spacing w:line="360" w:lineRule="auto"/>
              <w:rPr>
                <w:sz w:val="22"/>
                <w:szCs w:val="22"/>
              </w:rPr>
            </w:pPr>
            <w:r w:rsidRPr="00C36130">
              <w:rPr>
                <w:sz w:val="22"/>
                <w:szCs w:val="22"/>
              </w:rPr>
              <w:t>39.8</w:t>
            </w:r>
          </w:p>
        </w:tc>
      </w:tr>
      <w:tr w:rsidR="00B75A3B" w:rsidRPr="007640AF" w:rsidTr="00407000">
        <w:tc>
          <w:tcPr>
            <w:tcW w:w="3116" w:type="dxa"/>
          </w:tcPr>
          <w:p w:rsidR="00B75A3B" w:rsidRPr="00C36130" w:rsidRDefault="00B75A3B" w:rsidP="00407000">
            <w:pPr>
              <w:spacing w:line="360" w:lineRule="auto"/>
              <w:rPr>
                <w:b/>
                <w:sz w:val="22"/>
                <w:szCs w:val="22"/>
              </w:rPr>
            </w:pPr>
            <w:r w:rsidRPr="00C36130">
              <w:rPr>
                <w:b/>
                <w:sz w:val="22"/>
                <w:szCs w:val="22"/>
              </w:rPr>
              <w:t>Clinical Response of Patient</w:t>
            </w:r>
          </w:p>
        </w:tc>
        <w:tc>
          <w:tcPr>
            <w:tcW w:w="3117" w:type="dxa"/>
          </w:tcPr>
          <w:p w:rsidR="00B75A3B" w:rsidRPr="00C36130" w:rsidRDefault="00B75A3B" w:rsidP="00407000">
            <w:pPr>
              <w:spacing w:line="360" w:lineRule="auto"/>
              <w:rPr>
                <w:sz w:val="22"/>
                <w:szCs w:val="22"/>
              </w:rPr>
            </w:pPr>
            <w:r w:rsidRPr="00C36130">
              <w:rPr>
                <w:sz w:val="22"/>
                <w:szCs w:val="22"/>
              </w:rPr>
              <w:t>22</w:t>
            </w:r>
          </w:p>
        </w:tc>
        <w:tc>
          <w:tcPr>
            <w:tcW w:w="3117" w:type="dxa"/>
          </w:tcPr>
          <w:p w:rsidR="00B75A3B" w:rsidRPr="00C36130" w:rsidRDefault="00B75A3B" w:rsidP="00407000">
            <w:pPr>
              <w:spacing w:line="360" w:lineRule="auto"/>
              <w:rPr>
                <w:sz w:val="22"/>
                <w:szCs w:val="22"/>
              </w:rPr>
            </w:pPr>
            <w:r w:rsidRPr="00C36130">
              <w:rPr>
                <w:sz w:val="22"/>
                <w:szCs w:val="22"/>
              </w:rPr>
              <w:t>22.4</w:t>
            </w:r>
          </w:p>
        </w:tc>
      </w:tr>
      <w:tr w:rsidR="00B75A3B" w:rsidRPr="007640AF" w:rsidTr="00407000">
        <w:tc>
          <w:tcPr>
            <w:tcW w:w="3116" w:type="dxa"/>
          </w:tcPr>
          <w:p w:rsidR="00B75A3B" w:rsidRPr="00C36130" w:rsidRDefault="00B75A3B" w:rsidP="00407000">
            <w:pPr>
              <w:spacing w:line="360" w:lineRule="auto"/>
              <w:rPr>
                <w:b/>
                <w:sz w:val="22"/>
                <w:szCs w:val="22"/>
              </w:rPr>
            </w:pPr>
            <w:r w:rsidRPr="00C36130">
              <w:rPr>
                <w:b/>
                <w:sz w:val="22"/>
                <w:szCs w:val="22"/>
              </w:rPr>
              <w:t>Properties of Drug</w:t>
            </w:r>
          </w:p>
        </w:tc>
        <w:tc>
          <w:tcPr>
            <w:tcW w:w="3117" w:type="dxa"/>
          </w:tcPr>
          <w:p w:rsidR="00B75A3B" w:rsidRPr="00C36130" w:rsidRDefault="00B75A3B" w:rsidP="00407000">
            <w:pPr>
              <w:spacing w:line="360" w:lineRule="auto"/>
              <w:rPr>
                <w:sz w:val="22"/>
                <w:szCs w:val="22"/>
              </w:rPr>
            </w:pPr>
            <w:r w:rsidRPr="00C36130">
              <w:rPr>
                <w:sz w:val="22"/>
                <w:szCs w:val="22"/>
              </w:rPr>
              <w:t>7</w:t>
            </w:r>
          </w:p>
        </w:tc>
        <w:tc>
          <w:tcPr>
            <w:tcW w:w="3117" w:type="dxa"/>
          </w:tcPr>
          <w:p w:rsidR="00B75A3B" w:rsidRPr="00C36130" w:rsidRDefault="00B75A3B" w:rsidP="00407000">
            <w:pPr>
              <w:spacing w:line="360" w:lineRule="auto"/>
              <w:rPr>
                <w:sz w:val="22"/>
                <w:szCs w:val="22"/>
              </w:rPr>
            </w:pPr>
            <w:r w:rsidRPr="00C36130">
              <w:rPr>
                <w:sz w:val="22"/>
                <w:szCs w:val="22"/>
              </w:rPr>
              <w:t>7.1</w:t>
            </w:r>
          </w:p>
        </w:tc>
      </w:tr>
    </w:tbl>
    <w:p w:rsidR="00B75A3B" w:rsidRDefault="00B75A3B" w:rsidP="009C4E13">
      <w:pPr>
        <w:spacing w:line="360" w:lineRule="auto"/>
        <w:ind w:firstLine="720"/>
      </w:pPr>
    </w:p>
    <w:p w:rsidR="003F1193" w:rsidRDefault="003F1193" w:rsidP="009C4E13">
      <w:pPr>
        <w:spacing w:line="360" w:lineRule="auto"/>
        <w:ind w:firstLine="720"/>
      </w:pPr>
      <w:r>
        <w:t>Nearly three quarters (72.4%) of respondents indicated that they prescribe both generic and branded products interchangeably whilst only 5.1% exclusively prescribed branded products and 22.45% generic products using</w:t>
      </w:r>
      <w:r w:rsidR="004D4AE5">
        <w:t xml:space="preserve"> the</w:t>
      </w:r>
      <w:r>
        <w:t xml:space="preserve"> International Non-proprietary Names (INN) (Table: 3). 74% and 82% of respondents were unaware of the unit and hospital guidelines for antimicrobial therapies respectively. </w:t>
      </w:r>
    </w:p>
    <w:p w:rsidR="00A13162" w:rsidRPr="007550C1" w:rsidRDefault="00A13162" w:rsidP="00A13162">
      <w:pPr>
        <w:spacing w:line="360" w:lineRule="auto"/>
        <w:rPr>
          <w:b/>
        </w:rPr>
      </w:pPr>
      <w:r>
        <w:rPr>
          <w:b/>
        </w:rPr>
        <w:t>Table 3: Form of Prescriptions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0"/>
        <w:gridCol w:w="2827"/>
        <w:gridCol w:w="2732"/>
      </w:tblGrid>
      <w:tr w:rsidR="00A13162" w:rsidRPr="007640AF" w:rsidTr="00407000">
        <w:trPr>
          <w:trHeight w:val="352"/>
        </w:trPr>
        <w:tc>
          <w:tcPr>
            <w:tcW w:w="3116" w:type="dxa"/>
          </w:tcPr>
          <w:p w:rsidR="00A13162" w:rsidRPr="00C36130" w:rsidRDefault="00A13162" w:rsidP="00407000">
            <w:pPr>
              <w:spacing w:line="360" w:lineRule="auto"/>
              <w:rPr>
                <w:b/>
                <w:sz w:val="22"/>
                <w:szCs w:val="22"/>
              </w:rPr>
            </w:pPr>
            <w:r w:rsidRPr="00C36130">
              <w:rPr>
                <w:b/>
                <w:sz w:val="22"/>
                <w:szCs w:val="22"/>
              </w:rPr>
              <w:t>Form</w:t>
            </w:r>
          </w:p>
        </w:tc>
        <w:tc>
          <w:tcPr>
            <w:tcW w:w="3117" w:type="dxa"/>
          </w:tcPr>
          <w:p w:rsidR="00A13162" w:rsidRPr="00C36130" w:rsidRDefault="00A13162" w:rsidP="00407000">
            <w:pPr>
              <w:spacing w:line="360" w:lineRule="auto"/>
              <w:rPr>
                <w:b/>
                <w:sz w:val="22"/>
                <w:szCs w:val="22"/>
              </w:rPr>
            </w:pPr>
            <w:r w:rsidRPr="00C36130">
              <w:rPr>
                <w:b/>
                <w:sz w:val="22"/>
                <w:szCs w:val="22"/>
              </w:rPr>
              <w:t>Frequency</w:t>
            </w:r>
          </w:p>
        </w:tc>
        <w:tc>
          <w:tcPr>
            <w:tcW w:w="3117" w:type="dxa"/>
          </w:tcPr>
          <w:p w:rsidR="00A13162" w:rsidRPr="00C36130" w:rsidRDefault="00A13162" w:rsidP="00407000">
            <w:pPr>
              <w:spacing w:line="360" w:lineRule="auto"/>
              <w:rPr>
                <w:b/>
                <w:sz w:val="22"/>
                <w:szCs w:val="22"/>
              </w:rPr>
            </w:pPr>
            <w:r w:rsidRPr="00C36130">
              <w:rPr>
                <w:b/>
                <w:sz w:val="22"/>
                <w:szCs w:val="22"/>
              </w:rPr>
              <w:t>%</w:t>
            </w:r>
          </w:p>
        </w:tc>
      </w:tr>
      <w:tr w:rsidR="00A13162" w:rsidRPr="007640AF" w:rsidTr="00407000">
        <w:tc>
          <w:tcPr>
            <w:tcW w:w="3116" w:type="dxa"/>
          </w:tcPr>
          <w:p w:rsidR="00A13162" w:rsidRPr="00C36130" w:rsidRDefault="00A13162" w:rsidP="00407000">
            <w:pPr>
              <w:spacing w:line="360" w:lineRule="auto"/>
              <w:rPr>
                <w:b/>
                <w:sz w:val="22"/>
                <w:szCs w:val="22"/>
              </w:rPr>
            </w:pPr>
            <w:r w:rsidRPr="00C36130">
              <w:rPr>
                <w:b/>
                <w:sz w:val="22"/>
                <w:szCs w:val="22"/>
              </w:rPr>
              <w:t>Generic and Branded (Interchangeably)</w:t>
            </w:r>
          </w:p>
        </w:tc>
        <w:tc>
          <w:tcPr>
            <w:tcW w:w="3117" w:type="dxa"/>
          </w:tcPr>
          <w:p w:rsidR="00A13162" w:rsidRPr="00C36130" w:rsidRDefault="00A13162" w:rsidP="00407000">
            <w:pPr>
              <w:spacing w:line="360" w:lineRule="auto"/>
              <w:rPr>
                <w:sz w:val="22"/>
                <w:szCs w:val="22"/>
              </w:rPr>
            </w:pPr>
            <w:r w:rsidRPr="00C36130">
              <w:rPr>
                <w:sz w:val="22"/>
                <w:szCs w:val="22"/>
              </w:rPr>
              <w:t>71</w:t>
            </w:r>
          </w:p>
        </w:tc>
        <w:tc>
          <w:tcPr>
            <w:tcW w:w="3117" w:type="dxa"/>
          </w:tcPr>
          <w:p w:rsidR="00A13162" w:rsidRPr="00C36130" w:rsidRDefault="00A13162" w:rsidP="00407000">
            <w:pPr>
              <w:spacing w:line="360" w:lineRule="auto"/>
              <w:rPr>
                <w:sz w:val="22"/>
                <w:szCs w:val="22"/>
              </w:rPr>
            </w:pPr>
            <w:r w:rsidRPr="00C36130">
              <w:rPr>
                <w:sz w:val="22"/>
                <w:szCs w:val="22"/>
              </w:rPr>
              <w:t>72.4</w:t>
            </w:r>
          </w:p>
        </w:tc>
      </w:tr>
      <w:tr w:rsidR="00A13162" w:rsidRPr="007640AF" w:rsidTr="00407000">
        <w:tc>
          <w:tcPr>
            <w:tcW w:w="3116" w:type="dxa"/>
          </w:tcPr>
          <w:p w:rsidR="00A13162" w:rsidRPr="00C36130" w:rsidRDefault="00A13162" w:rsidP="00407000">
            <w:pPr>
              <w:spacing w:line="360" w:lineRule="auto"/>
              <w:rPr>
                <w:b/>
                <w:sz w:val="22"/>
                <w:szCs w:val="22"/>
              </w:rPr>
            </w:pPr>
            <w:r w:rsidRPr="00C36130">
              <w:rPr>
                <w:b/>
                <w:sz w:val="22"/>
                <w:szCs w:val="22"/>
              </w:rPr>
              <w:t>Generic (Exclusively)</w:t>
            </w:r>
          </w:p>
        </w:tc>
        <w:tc>
          <w:tcPr>
            <w:tcW w:w="3117" w:type="dxa"/>
          </w:tcPr>
          <w:p w:rsidR="00A13162" w:rsidRPr="00C36130" w:rsidRDefault="00A13162" w:rsidP="00407000">
            <w:pPr>
              <w:spacing w:line="360" w:lineRule="auto"/>
              <w:rPr>
                <w:sz w:val="22"/>
                <w:szCs w:val="22"/>
              </w:rPr>
            </w:pPr>
            <w:r w:rsidRPr="00C36130">
              <w:rPr>
                <w:sz w:val="22"/>
                <w:szCs w:val="22"/>
              </w:rPr>
              <w:t>22</w:t>
            </w:r>
          </w:p>
        </w:tc>
        <w:tc>
          <w:tcPr>
            <w:tcW w:w="3117" w:type="dxa"/>
          </w:tcPr>
          <w:p w:rsidR="00A13162" w:rsidRPr="00C36130" w:rsidRDefault="00A13162" w:rsidP="00407000">
            <w:pPr>
              <w:spacing w:line="360" w:lineRule="auto"/>
              <w:rPr>
                <w:sz w:val="22"/>
                <w:szCs w:val="22"/>
              </w:rPr>
            </w:pPr>
            <w:r w:rsidRPr="00C36130">
              <w:rPr>
                <w:sz w:val="22"/>
                <w:szCs w:val="22"/>
              </w:rPr>
              <w:t>22.4</w:t>
            </w:r>
          </w:p>
        </w:tc>
      </w:tr>
      <w:tr w:rsidR="00A13162" w:rsidRPr="007640AF" w:rsidTr="00407000">
        <w:tc>
          <w:tcPr>
            <w:tcW w:w="3116" w:type="dxa"/>
          </w:tcPr>
          <w:p w:rsidR="00A13162" w:rsidRPr="00C36130" w:rsidRDefault="00A13162" w:rsidP="00407000">
            <w:pPr>
              <w:spacing w:line="360" w:lineRule="auto"/>
              <w:rPr>
                <w:b/>
                <w:sz w:val="22"/>
                <w:szCs w:val="22"/>
              </w:rPr>
            </w:pPr>
            <w:r w:rsidRPr="00C36130">
              <w:rPr>
                <w:b/>
                <w:sz w:val="22"/>
                <w:szCs w:val="22"/>
              </w:rPr>
              <w:t>Branded (Exclusively)</w:t>
            </w:r>
          </w:p>
        </w:tc>
        <w:tc>
          <w:tcPr>
            <w:tcW w:w="3117" w:type="dxa"/>
          </w:tcPr>
          <w:p w:rsidR="00A13162" w:rsidRPr="00C36130" w:rsidRDefault="00A13162" w:rsidP="00407000">
            <w:pPr>
              <w:spacing w:line="360" w:lineRule="auto"/>
              <w:rPr>
                <w:sz w:val="22"/>
                <w:szCs w:val="22"/>
              </w:rPr>
            </w:pPr>
            <w:r w:rsidRPr="00C36130">
              <w:rPr>
                <w:sz w:val="22"/>
                <w:szCs w:val="22"/>
              </w:rPr>
              <w:t>5</w:t>
            </w:r>
          </w:p>
        </w:tc>
        <w:tc>
          <w:tcPr>
            <w:tcW w:w="3117" w:type="dxa"/>
          </w:tcPr>
          <w:p w:rsidR="00A13162" w:rsidRPr="00C36130" w:rsidRDefault="00A13162" w:rsidP="00407000">
            <w:pPr>
              <w:spacing w:line="360" w:lineRule="auto"/>
              <w:rPr>
                <w:sz w:val="22"/>
                <w:szCs w:val="22"/>
              </w:rPr>
            </w:pPr>
            <w:r w:rsidRPr="00C36130">
              <w:rPr>
                <w:sz w:val="22"/>
                <w:szCs w:val="22"/>
              </w:rPr>
              <w:t>5.1</w:t>
            </w:r>
          </w:p>
        </w:tc>
      </w:tr>
    </w:tbl>
    <w:p w:rsidR="00DB614A" w:rsidRDefault="00DB614A" w:rsidP="00A13162">
      <w:pPr>
        <w:spacing w:line="360" w:lineRule="auto"/>
      </w:pPr>
    </w:p>
    <w:p w:rsidR="003F1193" w:rsidRPr="005D6530" w:rsidRDefault="003F1193" w:rsidP="005D6530">
      <w:pPr>
        <w:pStyle w:val="ListParagraph"/>
        <w:numPr>
          <w:ilvl w:val="0"/>
          <w:numId w:val="34"/>
        </w:numPr>
        <w:tabs>
          <w:tab w:val="left" w:pos="4845"/>
        </w:tabs>
        <w:spacing w:line="360" w:lineRule="auto"/>
        <w:rPr>
          <w:b/>
          <w:bCs/>
          <w:i/>
        </w:rPr>
      </w:pPr>
      <w:r w:rsidRPr="005D6530">
        <w:rPr>
          <w:b/>
          <w:bCs/>
          <w:i/>
        </w:rPr>
        <w:t>Discussion</w:t>
      </w:r>
    </w:p>
    <w:p w:rsidR="009C4E13" w:rsidRDefault="009C4E13" w:rsidP="009C4E13">
      <w:pPr>
        <w:tabs>
          <w:tab w:val="left" w:pos="4845"/>
        </w:tabs>
        <w:spacing w:line="360" w:lineRule="auto"/>
      </w:pPr>
      <w:r>
        <w:t>The finding that 97% respondents from most clinical specialties prescribed antibiotics in their daily practice is indicative of the universality of antibiotic use in clinical practice in Nigeria, suggesting the importance of the topic and their rational use. Concerns seen in this initial study include the fact that over 97% of the doctors alluded to drug promotional and marketing activities influencing their prescribing in some way. This reveals the extent to which drug promotion</w:t>
      </w:r>
      <w:r w:rsidR="00DB614A">
        <w:t xml:space="preserve"> is prevalent</w:t>
      </w:r>
      <w:r>
        <w:t xml:space="preserve"> in Nigeria. Even though </w:t>
      </w:r>
      <w:r>
        <w:lastRenderedPageBreak/>
        <w:t xml:space="preserve">findings from previous studies indicated that the interactions between doctors and the pharmaceutical industries could be mutually beneficial, it is also potentially controversial especially if only biased information is supplied alongside financial rewards [ </w:t>
      </w:r>
      <w:r w:rsidR="00400B2F">
        <w:t>39,40</w:t>
      </w:r>
      <w:r>
        <w:t xml:space="preserve">]. While some studies argue that physicians believed their prescribing </w:t>
      </w:r>
      <w:proofErr w:type="spellStart"/>
      <w:r>
        <w:t>behavior</w:t>
      </w:r>
      <w:proofErr w:type="spellEnd"/>
      <w:r>
        <w:t xml:space="preserve"> are not easily influenced by the interactions with pharmaceutical representatives as they are able to objectively evaluate such information [</w:t>
      </w:r>
      <w:r w:rsidR="00217AA6">
        <w:t>41</w:t>
      </w:r>
      <w:r>
        <w:t>,</w:t>
      </w:r>
      <w:r w:rsidR="00217AA6">
        <w:t>42</w:t>
      </w:r>
      <w:r>
        <w:t xml:space="preserve">], </w:t>
      </w:r>
      <w:r w:rsidR="00DB614A">
        <w:t>other study</w:t>
      </w:r>
      <w:r>
        <w:t xml:space="preserve"> demonstrated a significant increase in drug use in subsequent months after promotional activities by pharmaceutical companies [</w:t>
      </w:r>
      <w:r w:rsidR="00217AA6">
        <w:t>43</w:t>
      </w:r>
      <w:r>
        <w:t xml:space="preserve">].Consequently, this is an important factor to consider in planning interventional measures towards promoting rationale antibiotic prescribing. Physician education around rational medicine use has worked well in other countries to reduce the influence of pharmaceutical companies and enhance rational prescribing </w:t>
      </w:r>
      <w:proofErr w:type="spellStart"/>
      <w:r>
        <w:t>behavior</w:t>
      </w:r>
      <w:proofErr w:type="spellEnd"/>
      <w:r>
        <w:t xml:space="preserve"> [</w:t>
      </w:r>
      <w:r w:rsidR="00217AA6">
        <w:t>44,45</w:t>
      </w:r>
      <w:r>
        <w:t>].</w:t>
      </w:r>
      <w:r w:rsidR="00DB614A">
        <w:t xml:space="preserve"> </w:t>
      </w:r>
      <w:r>
        <w:t xml:space="preserve">Inappropriate antibiotic prescribing is known to emanate from the trio of </w:t>
      </w:r>
      <w:r w:rsidR="00DB614A">
        <w:t>behavioural</w:t>
      </w:r>
      <w:r>
        <w:t>, cultural and contextual factors [</w:t>
      </w:r>
      <w:r w:rsidR="00217AA6">
        <w:t>28</w:t>
      </w:r>
      <w:r>
        <w:t xml:space="preserve">]. </w:t>
      </w:r>
    </w:p>
    <w:p w:rsidR="009C4E13" w:rsidRDefault="009C4E13" w:rsidP="009C4E13">
      <w:pPr>
        <w:tabs>
          <w:tab w:val="left" w:pos="4845"/>
        </w:tabs>
        <w:spacing w:line="360" w:lineRule="auto"/>
      </w:pPr>
      <w:r>
        <w:t xml:space="preserve">           Another concern is the high rate of prescribing relying on clinical judgment (94%) and professional experience (88%) rather than approved local guidelines based on antibiograms. These findings are indicative of highly prevalent ‘decision autonomy’ in antibiotic prescribing in hospitals in Nigeria, which urgently needs to be addressed.  This could be due to the lack of functioning hospital Drugs and Therapeutic Committee (DTC), approved hospital and unit policies governing antibiotic prescribing practices, instigation of ASPs, inadequate and timely laboratory support and the lack of a reliable supply of antibiotics for uninterrupted duration of treatment. [</w:t>
      </w:r>
      <w:r w:rsidR="007207D7">
        <w:t>46-48</w:t>
      </w:r>
      <w:r>
        <w:t>].</w:t>
      </w:r>
    </w:p>
    <w:p w:rsidR="009C4E13" w:rsidRDefault="009C4E13" w:rsidP="009C4E13">
      <w:pPr>
        <w:tabs>
          <w:tab w:val="left" w:pos="4845"/>
        </w:tabs>
        <w:spacing w:line="360" w:lineRule="auto"/>
      </w:pPr>
      <w:r>
        <w:t xml:space="preserve">           Encouragingly, 76% of the respondents took the epidemiology of infection into consideration when prescribing antibiotics while 71% alluded to best evidence influencing their prescribing practices. However, the influence of pharmaceutical companies as well as senior colleague’s in determining antibiotics prescription is a concern especially if this leads to inappropriate antibiotic prescribing [</w:t>
      </w:r>
      <w:r w:rsidR="00EF6F83">
        <w:t>30</w:t>
      </w:r>
      <w:r>
        <w:t xml:space="preserve">]. The high proportion of antibiotic prescribing influenced by senior colleague’s decisions can be explained by the fact that the majority of respondents (over 64%) in this study were trainees. The finding that 44% of respondents were aware of the existence of some form of unit based policy on antibiotics could be a reflection of senior colleague’s driven practices in their respective clinical units. However, the low percentage of respondents (8%) who were aware of any hospital based antibiotic policy strongly suggests the lack of existence or implementation of such policies, which urgently needs to be addressed </w:t>
      </w:r>
      <w:r>
        <w:lastRenderedPageBreak/>
        <w:t>along with the establishment of ASPs to improve future antibiotic prescribing. As mentioned, ASPs have been found to be effective to help improve antibiotic prescribing and reduce AMR [</w:t>
      </w:r>
      <w:r w:rsidR="00BE2726">
        <w:t>35</w:t>
      </w:r>
      <w:r>
        <w:t xml:space="preserve">, </w:t>
      </w:r>
      <w:r w:rsidR="00BE2726">
        <w:t>49</w:t>
      </w:r>
      <w:r>
        <w:t>]. ASPs have helped promote the rational uses of antimicrobials through formulary restrictions, pre-authorization, monitoring, audit and feedback exercises as well as guideline development [</w:t>
      </w:r>
      <w:r w:rsidR="00BE2726">
        <w:t>50</w:t>
      </w:r>
      <w:r>
        <w:t>]. Functional ASPs in the hospital should address discrepancies and concerns highlighted in Table 2a and Table 2b by standardizing appropriate antibiotics use. This builds on national initiatives on-going in other African countries such as Ghana and South Africa to improve antibiotic prescribing [</w:t>
      </w:r>
      <w:r w:rsidR="00364141">
        <w:t>51</w:t>
      </w:r>
      <w:r>
        <w:t xml:space="preserve">, </w:t>
      </w:r>
      <w:r w:rsidR="00364141">
        <w:t>52</w:t>
      </w:r>
      <w:r>
        <w:t xml:space="preserve">]. </w:t>
      </w:r>
    </w:p>
    <w:p w:rsidR="009C4E13" w:rsidRDefault="004661A5" w:rsidP="009C4E13">
      <w:pPr>
        <w:tabs>
          <w:tab w:val="left" w:pos="4845"/>
        </w:tabs>
        <w:spacing w:line="360" w:lineRule="auto"/>
      </w:pPr>
      <w:r>
        <w:t xml:space="preserve">         </w:t>
      </w:r>
      <w:r w:rsidR="009C4E13">
        <w:t>Most respondents (over 72%) in this survey prescribed antibiotics in both generic and branded forms interchangeably while 22% prescribed in generic form exclusively (Table 3). While the survey did not explore the rationale behind these practices in detail, they may be informed by the concerns with the safety and efficacy of generics in Nigeria, as well as issues of affordability as many</w:t>
      </w:r>
      <w:r w:rsidR="00E8384B">
        <w:t xml:space="preserve"> patients</w:t>
      </w:r>
      <w:r w:rsidR="009C4E13">
        <w:t xml:space="preserve"> pay from their pockets </w:t>
      </w:r>
      <w:proofErr w:type="gramStart"/>
      <w:r w:rsidR="009C4E13">
        <w:t>and  the</w:t>
      </w:r>
      <w:proofErr w:type="gramEnd"/>
      <w:r w:rsidR="009C4E13">
        <w:t xml:space="preserve"> influence of promotional activities [</w:t>
      </w:r>
      <w:r w:rsidR="00082DA8">
        <w:t>53</w:t>
      </w:r>
      <w:r w:rsidR="009C4E13">
        <w:t xml:space="preserve">, </w:t>
      </w:r>
      <w:r w:rsidR="00082DA8">
        <w:t>54</w:t>
      </w:r>
      <w:r w:rsidR="009C4E13">
        <w:t>]. These issues and associated concerns will be explored in future studies.</w:t>
      </w:r>
    </w:p>
    <w:p w:rsidR="00223198" w:rsidRDefault="00223198" w:rsidP="009C4E13">
      <w:pPr>
        <w:tabs>
          <w:tab w:val="left" w:pos="4845"/>
        </w:tabs>
        <w:spacing w:line="360" w:lineRule="auto"/>
      </w:pPr>
    </w:p>
    <w:p w:rsidR="009C4E13" w:rsidRPr="00223198" w:rsidRDefault="009C4E13" w:rsidP="009C4E13">
      <w:pPr>
        <w:tabs>
          <w:tab w:val="left" w:pos="4845"/>
        </w:tabs>
        <w:spacing w:line="360" w:lineRule="auto"/>
        <w:rPr>
          <w:b/>
          <w:i/>
        </w:rPr>
      </w:pPr>
      <w:r w:rsidRPr="00223198">
        <w:rPr>
          <w:b/>
          <w:i/>
        </w:rPr>
        <w:t>Study Limitations</w:t>
      </w:r>
    </w:p>
    <w:p w:rsidR="009C4E13" w:rsidRDefault="009C4E13" w:rsidP="009C4E13">
      <w:pPr>
        <w:tabs>
          <w:tab w:val="left" w:pos="4845"/>
        </w:tabs>
        <w:spacing w:line="360" w:lineRule="auto"/>
      </w:pPr>
      <w:r>
        <w:t>We are aware that only 58% of the total number of doctors in the hospital took part. In addition, the proportion of the respondents who were senior doctors was relatively low compared to the total respondents. However, the representation of most clinical specialties and all professional cadres of doctors in this survey suggests that the findings could be indicative of the determinants for antibiotic prescribing practices across the clinical disciplines in this hospital adding robustness to the findings.</w:t>
      </w:r>
      <w:r w:rsidR="00917E91">
        <w:t xml:space="preserve"> </w:t>
      </w:r>
      <w:r w:rsidR="00AE7E2B">
        <w:t xml:space="preserve">While the findings in this survey may not </w:t>
      </w:r>
      <w:r w:rsidR="0090406C">
        <w:t>necessarily</w:t>
      </w:r>
      <w:r w:rsidR="00AE7E2B">
        <w:t xml:space="preserve"> be generalizable to the entire Nigerian</w:t>
      </w:r>
      <w:r w:rsidR="00E8384B">
        <w:t xml:space="preserve"> clinical</w:t>
      </w:r>
      <w:r w:rsidR="00AE7E2B">
        <w:t xml:space="preserve"> population,</w:t>
      </w:r>
      <w:r w:rsidR="00E8384B">
        <w:t xml:space="preserve"> we believe</w:t>
      </w:r>
      <w:r w:rsidR="00AE7E2B">
        <w:t xml:space="preserve"> they constitute useful indications of the likely problems regarding antibiotic prescribing in the country</w:t>
      </w:r>
      <w:r w:rsidR="00E8384B">
        <w:t xml:space="preserve"> that urgently needs to be addressed.</w:t>
      </w:r>
    </w:p>
    <w:p w:rsidR="009C4E13" w:rsidRDefault="009C4E13" w:rsidP="009C4E13">
      <w:pPr>
        <w:tabs>
          <w:tab w:val="left" w:pos="4845"/>
        </w:tabs>
        <w:spacing w:line="360" w:lineRule="auto"/>
        <w:rPr>
          <w:b/>
          <w:bCs/>
        </w:rPr>
      </w:pPr>
    </w:p>
    <w:p w:rsidR="009C4E13" w:rsidRPr="00223198" w:rsidRDefault="009C4E13" w:rsidP="009C4E13">
      <w:pPr>
        <w:tabs>
          <w:tab w:val="left" w:pos="4845"/>
        </w:tabs>
        <w:spacing w:line="360" w:lineRule="auto"/>
        <w:rPr>
          <w:b/>
          <w:bCs/>
          <w:i/>
        </w:rPr>
      </w:pPr>
      <w:r w:rsidRPr="00223198">
        <w:rPr>
          <w:b/>
          <w:bCs/>
          <w:i/>
        </w:rPr>
        <w:t>Conclusion</w:t>
      </w:r>
    </w:p>
    <w:p w:rsidR="009C4E13" w:rsidRDefault="009C4E13" w:rsidP="009C4E13">
      <w:pPr>
        <w:tabs>
          <w:tab w:val="left" w:pos="4845"/>
        </w:tabs>
        <w:spacing w:line="360" w:lineRule="auto"/>
      </w:pPr>
      <w:r>
        <w:t>The findings in this pilot survey demonstrated a high frequency of antibiotic prescribing among the doctors in this leading tertiary hospital in Nigeria and</w:t>
      </w:r>
      <w:r w:rsidR="003B26A4">
        <w:t xml:space="preserve"> the</w:t>
      </w:r>
      <w:r>
        <w:t xml:space="preserve"> indications of inappropriate antibiotic prescribing. There is an urgent need to follow up these findings with a more extensive survey with national coverage to define the problem in greater </w:t>
      </w:r>
      <w:r>
        <w:lastRenderedPageBreak/>
        <w:t>detail and institute evidence based institutional policies and guidelines for promoting rational antimicrobial use across Nigeria. Efforts towards establishment of ASPs and DTC</w:t>
      </w:r>
      <w:r w:rsidR="003B26A4">
        <w:t>s</w:t>
      </w:r>
      <w:r>
        <w:t xml:space="preserve"> have commenced in this hospital following analysis of the findings to address highlighted concerns, and will be followed up in future studies.</w:t>
      </w:r>
    </w:p>
    <w:p w:rsidR="00223198" w:rsidRPr="00223198" w:rsidRDefault="00223198" w:rsidP="009C4E13">
      <w:pPr>
        <w:tabs>
          <w:tab w:val="left" w:pos="4845"/>
        </w:tabs>
        <w:spacing w:line="360" w:lineRule="auto"/>
        <w:rPr>
          <w:i/>
        </w:rPr>
      </w:pPr>
    </w:p>
    <w:p w:rsidR="009C4E13" w:rsidRPr="00223198" w:rsidRDefault="009C4E13" w:rsidP="009C4E13">
      <w:pPr>
        <w:tabs>
          <w:tab w:val="left" w:pos="4845"/>
        </w:tabs>
        <w:spacing w:line="360" w:lineRule="auto"/>
        <w:rPr>
          <w:b/>
          <w:i/>
        </w:rPr>
      </w:pPr>
      <w:r w:rsidRPr="00223198">
        <w:rPr>
          <w:b/>
          <w:i/>
        </w:rPr>
        <w:t>Conflicts of interest</w:t>
      </w:r>
    </w:p>
    <w:p w:rsidR="00223198" w:rsidRPr="00223198" w:rsidRDefault="009C4E13" w:rsidP="00223198">
      <w:pPr>
        <w:pStyle w:val="Acknowledgements"/>
        <w:rPr>
          <w:b/>
          <w:i/>
          <w:sz w:val="24"/>
        </w:rPr>
      </w:pPr>
      <w:r>
        <w:t>No author reports conflicts of interest. The study was self-financed by the authors.</w:t>
      </w:r>
      <w:bookmarkStart w:id="1" w:name="_GoBack"/>
      <w:bookmarkEnd w:id="1"/>
    </w:p>
    <w:p w:rsidR="0090406C" w:rsidRDefault="0090406C" w:rsidP="0090406C">
      <w:pPr>
        <w:pStyle w:val="Acknowledgements"/>
        <w:rPr>
          <w:b/>
          <w:i/>
          <w:sz w:val="24"/>
        </w:rPr>
      </w:pPr>
      <w:r>
        <w:rPr>
          <w:b/>
          <w:i/>
          <w:sz w:val="24"/>
        </w:rPr>
        <w:t>References</w:t>
      </w:r>
    </w:p>
    <w:p w:rsidR="0090406C" w:rsidRDefault="0090406C" w:rsidP="0090406C">
      <w:pPr>
        <w:pStyle w:val="ListParagraph"/>
        <w:numPr>
          <w:ilvl w:val="0"/>
          <w:numId w:val="31"/>
        </w:numPr>
        <w:spacing w:line="360" w:lineRule="auto"/>
        <w:ind w:left="786"/>
      </w:pPr>
      <w:bookmarkStart w:id="2" w:name="_Hlk502672779"/>
      <w:r>
        <w:t xml:space="preserve"> World Health Organization. Antimicrobial resistance: global report on surveillance 2014 Available at </w:t>
      </w:r>
      <w:hyperlink r:id="rId14" w:history="1">
        <w:r>
          <w:rPr>
            <w:rStyle w:val="Hyperlink"/>
          </w:rPr>
          <w:t>http://www.who.int/mediacentre/news/release/2014</w:t>
        </w:r>
      </w:hyperlink>
      <w:r>
        <w:t>. Accessed on 21/08/2016.</w:t>
      </w:r>
    </w:p>
    <w:p w:rsidR="0090406C" w:rsidRDefault="0090406C" w:rsidP="0090406C">
      <w:pPr>
        <w:pStyle w:val="ListParagraph"/>
        <w:numPr>
          <w:ilvl w:val="0"/>
          <w:numId w:val="31"/>
        </w:numPr>
        <w:spacing w:line="360" w:lineRule="auto"/>
        <w:ind w:left="786"/>
      </w:pPr>
      <w:r>
        <w:rPr>
          <w:noProof/>
        </w:rPr>
        <w:t>Founou RC, Founou LL, Essack SY. Clinical and economic impact of antibiotic resistance in developing countries: A systematic review and meta-analysis. PloS one. 2017;12(12):e0189621</w:t>
      </w:r>
    </w:p>
    <w:p w:rsidR="0090406C" w:rsidRDefault="0090406C" w:rsidP="0090406C">
      <w:pPr>
        <w:pStyle w:val="ListParagraph"/>
        <w:numPr>
          <w:ilvl w:val="0"/>
          <w:numId w:val="31"/>
        </w:numPr>
        <w:spacing w:line="360" w:lineRule="auto"/>
        <w:ind w:left="786"/>
      </w:pPr>
      <w:r>
        <w:rPr>
          <w:noProof/>
        </w:rPr>
        <w:t>Bartlett JG, Gilbert DN, Spellberg B. Seven ways to preserve the miracle of antibiotics. Clinical infectious diseases. 2013;56(10):1445-50</w:t>
      </w:r>
    </w:p>
    <w:p w:rsidR="0090406C" w:rsidRDefault="0090406C" w:rsidP="0090406C">
      <w:pPr>
        <w:pStyle w:val="ListParagraph"/>
        <w:numPr>
          <w:ilvl w:val="0"/>
          <w:numId w:val="31"/>
        </w:numPr>
        <w:spacing w:line="360" w:lineRule="auto"/>
        <w:ind w:left="786"/>
      </w:pPr>
      <w:r>
        <w:rPr>
          <w:noProof/>
        </w:rPr>
        <w:t>Bell BG, Schellevis F, Stobberingh E, Goossens H, Pringle M. A systematic review and meta-analysis of the effects of antibiotic consumption on antibiotic resistance. BMC Infectious Diseases. 2014;14:13</w:t>
      </w:r>
    </w:p>
    <w:p w:rsidR="0090406C" w:rsidRDefault="0090406C" w:rsidP="0090406C">
      <w:pPr>
        <w:pStyle w:val="ListParagraph"/>
        <w:numPr>
          <w:ilvl w:val="0"/>
          <w:numId w:val="31"/>
        </w:numPr>
        <w:spacing w:line="360" w:lineRule="auto"/>
        <w:ind w:left="714" w:hanging="357"/>
      </w:pPr>
      <w:r>
        <w:rPr>
          <w:noProof/>
        </w:rPr>
        <w:t>de Kraker ME, Davey PG, Grundmann H. Mortality and hospital stay associated with resistant Staphylococcus aureus and Escherichia coli bacteremia: estimating the burden of antibiotic resistance in Europe. PLoS Med. 2011;8(10):e1001104</w:t>
      </w:r>
    </w:p>
    <w:p w:rsidR="0090406C" w:rsidRDefault="0090406C" w:rsidP="0090406C">
      <w:pPr>
        <w:pStyle w:val="ListParagraph"/>
        <w:numPr>
          <w:ilvl w:val="0"/>
          <w:numId w:val="31"/>
        </w:numPr>
        <w:spacing w:line="360" w:lineRule="auto"/>
        <w:ind w:left="786"/>
        <w:rPr>
          <w:rStyle w:val="Hyperlink"/>
        </w:rPr>
      </w:pPr>
      <w:r>
        <w:rPr>
          <w:noProof/>
        </w:rPr>
        <w:t xml:space="preserve">O'Neill J. Securing new drugs for future generations: the pipeline of antibiotics. The review of antimicrobial resistance. Available at URL: </w:t>
      </w:r>
      <w:hyperlink r:id="rId15" w:history="1">
        <w:r>
          <w:rPr>
            <w:rStyle w:val="Hyperlink"/>
            <w:noProof/>
          </w:rPr>
          <w:t>https://amr-review.org/sites/default/files/SECURING%20NEW%20DRUGS%20FOR%20FUTURE%20GENERATIONS%20FINAL%20WEB_0.pdf</w:t>
        </w:r>
      </w:hyperlink>
    </w:p>
    <w:p w:rsidR="0090406C" w:rsidRDefault="0090406C" w:rsidP="0090406C">
      <w:pPr>
        <w:pStyle w:val="CommentText"/>
        <w:numPr>
          <w:ilvl w:val="0"/>
          <w:numId w:val="31"/>
        </w:numPr>
        <w:spacing w:line="360" w:lineRule="auto"/>
        <w:ind w:left="714" w:hanging="357"/>
        <w:rPr>
          <w:sz w:val="24"/>
          <w:szCs w:val="24"/>
        </w:rPr>
      </w:pPr>
      <w:r>
        <w:rPr>
          <w:noProof/>
          <w:sz w:val="24"/>
          <w:szCs w:val="24"/>
        </w:rPr>
        <w:t>Gandra S, Barter DM, Laxminarayan R. Economic burden of antibiotic resistance: how much do we really know? Clinical microbiology and infection. 2014;20(10):973-80</w:t>
      </w:r>
    </w:p>
    <w:p w:rsidR="0090406C" w:rsidRDefault="0090406C" w:rsidP="0090406C">
      <w:pPr>
        <w:pStyle w:val="CommentText"/>
        <w:numPr>
          <w:ilvl w:val="0"/>
          <w:numId w:val="31"/>
        </w:numPr>
        <w:spacing w:line="360" w:lineRule="auto"/>
        <w:ind w:left="714" w:hanging="357"/>
        <w:rPr>
          <w:sz w:val="24"/>
          <w:szCs w:val="24"/>
        </w:rPr>
      </w:pPr>
      <w:r>
        <w:rPr>
          <w:noProof/>
          <w:sz w:val="24"/>
          <w:szCs w:val="24"/>
        </w:rPr>
        <w:t>Jinks T, Lee N, Sharland M, Rex J, Gertler N, Diver M, et al. A time for action: antimicrobial resistance needs global response. Bull World Health Organ. 2016;94(8):558-a;</w:t>
      </w:r>
    </w:p>
    <w:p w:rsidR="0090406C" w:rsidRDefault="0090406C" w:rsidP="0090406C">
      <w:pPr>
        <w:pStyle w:val="CommentText"/>
        <w:numPr>
          <w:ilvl w:val="0"/>
          <w:numId w:val="31"/>
        </w:numPr>
        <w:spacing w:line="360" w:lineRule="auto"/>
        <w:ind w:left="786"/>
        <w:rPr>
          <w:sz w:val="24"/>
          <w:szCs w:val="24"/>
        </w:rPr>
      </w:pPr>
      <w:r>
        <w:rPr>
          <w:noProof/>
          <w:sz w:val="24"/>
          <w:szCs w:val="24"/>
        </w:rPr>
        <w:lastRenderedPageBreak/>
        <w:t>Pulcini C, Mainardi JL. Antimicrobial stewardship: an international emergency. Clinical microbiology and infection. 2014;20(10):947-8.</w:t>
      </w:r>
    </w:p>
    <w:p w:rsidR="0090406C" w:rsidRDefault="0090406C" w:rsidP="0090406C">
      <w:pPr>
        <w:pStyle w:val="CommentText"/>
        <w:numPr>
          <w:ilvl w:val="0"/>
          <w:numId w:val="31"/>
        </w:numPr>
        <w:spacing w:line="360" w:lineRule="auto"/>
        <w:ind w:left="786"/>
        <w:rPr>
          <w:sz w:val="24"/>
          <w:szCs w:val="24"/>
        </w:rPr>
      </w:pPr>
      <w:r>
        <w:rPr>
          <w:noProof/>
          <w:sz w:val="24"/>
          <w:szCs w:val="24"/>
        </w:rPr>
        <w:t>Van Boeckel TP, Gandra S, Ashok A, Caudron Q, Grenfell BT, Levin SA, et al. Global antibiotic consumption 2000 to 2010: an analysis of national pharmaceutical sales data. The Lancet Infectious diseases. 2014;14(8):742-50</w:t>
      </w:r>
    </w:p>
    <w:p w:rsidR="0090406C" w:rsidRDefault="0090406C" w:rsidP="0090406C">
      <w:pPr>
        <w:pStyle w:val="CommentText"/>
        <w:numPr>
          <w:ilvl w:val="0"/>
          <w:numId w:val="31"/>
        </w:numPr>
        <w:spacing w:line="360" w:lineRule="auto"/>
        <w:ind w:left="714" w:hanging="357"/>
        <w:rPr>
          <w:sz w:val="24"/>
          <w:szCs w:val="24"/>
        </w:rPr>
      </w:pPr>
      <w:r>
        <w:rPr>
          <w:noProof/>
          <w:sz w:val="24"/>
          <w:szCs w:val="24"/>
        </w:rPr>
        <w:t>Shallcross LJ, Howard SJ, Fowler T, Davies SC. Tackling the threat of antimicrobial resistance: from policy to sustainable action. Philosophical Transactions of the Royal Society B: Biological Sciences. 2015;370(1670):2014008</w:t>
      </w:r>
    </w:p>
    <w:p w:rsidR="0090406C" w:rsidRDefault="0090406C" w:rsidP="0090406C">
      <w:pPr>
        <w:pStyle w:val="CommentText"/>
        <w:numPr>
          <w:ilvl w:val="0"/>
          <w:numId w:val="31"/>
        </w:numPr>
        <w:spacing w:line="360" w:lineRule="auto"/>
        <w:ind w:left="786"/>
        <w:rPr>
          <w:sz w:val="24"/>
          <w:szCs w:val="24"/>
        </w:rPr>
      </w:pPr>
      <w:r>
        <w:rPr>
          <w:noProof/>
          <w:sz w:val="24"/>
          <w:szCs w:val="24"/>
        </w:rPr>
        <w:t xml:space="preserve">WHO. Global action plan on antimicrobial resistance. Available at URL: </w:t>
      </w:r>
      <w:hyperlink r:id="rId16" w:history="1">
        <w:r>
          <w:rPr>
            <w:rStyle w:val="Hyperlink"/>
            <w:noProof/>
            <w:sz w:val="24"/>
            <w:szCs w:val="24"/>
          </w:rPr>
          <w:t>http://www.who.int/antimicrobial-resistance/publications/global-action-plan/en/</w:t>
        </w:r>
      </w:hyperlink>
    </w:p>
    <w:p w:rsidR="0090406C" w:rsidRDefault="0090406C" w:rsidP="0090406C">
      <w:pPr>
        <w:pStyle w:val="CommentText"/>
        <w:numPr>
          <w:ilvl w:val="0"/>
          <w:numId w:val="31"/>
        </w:numPr>
        <w:spacing w:line="360" w:lineRule="auto"/>
        <w:ind w:left="786"/>
        <w:rPr>
          <w:sz w:val="24"/>
          <w:szCs w:val="24"/>
        </w:rPr>
      </w:pPr>
      <w:r>
        <w:rPr>
          <w:noProof/>
          <w:sz w:val="24"/>
          <w:szCs w:val="24"/>
        </w:rPr>
        <w:t>Goff DA, Mendelson M.</w:t>
      </w:r>
      <w:r>
        <w:rPr>
          <w:sz w:val="24"/>
          <w:szCs w:val="24"/>
        </w:rPr>
        <w:t xml:space="preserve"> Antibiotic stewardship hits a homerun for patients. Lancet ID.2017;17(9):892-893</w:t>
      </w:r>
    </w:p>
    <w:p w:rsidR="0090406C" w:rsidRDefault="0090406C" w:rsidP="0090406C">
      <w:pPr>
        <w:pStyle w:val="CommentText"/>
        <w:numPr>
          <w:ilvl w:val="0"/>
          <w:numId w:val="31"/>
        </w:numPr>
        <w:ind w:left="786"/>
        <w:rPr>
          <w:sz w:val="24"/>
          <w:szCs w:val="24"/>
        </w:rPr>
      </w:pPr>
      <w:r>
        <w:rPr>
          <w:noProof/>
          <w:sz w:val="24"/>
          <w:szCs w:val="24"/>
        </w:rPr>
        <w:t>Kimang'a AN. A situational analysis of antimicrobial drug resistance in Africa: are we losing the battle? Ethiop J Health Sci. 2012;22(2):135-43</w:t>
      </w:r>
    </w:p>
    <w:p w:rsidR="0090406C" w:rsidRDefault="0090406C" w:rsidP="0090406C">
      <w:pPr>
        <w:pStyle w:val="CommentText"/>
        <w:ind w:left="786"/>
        <w:rPr>
          <w:sz w:val="24"/>
          <w:szCs w:val="24"/>
        </w:rPr>
      </w:pPr>
    </w:p>
    <w:p w:rsidR="0090406C" w:rsidRDefault="0090406C" w:rsidP="0090406C">
      <w:pPr>
        <w:pStyle w:val="CommentText"/>
        <w:numPr>
          <w:ilvl w:val="0"/>
          <w:numId w:val="31"/>
        </w:numPr>
        <w:spacing w:line="360" w:lineRule="auto"/>
        <w:ind w:left="788"/>
        <w:rPr>
          <w:sz w:val="24"/>
          <w:szCs w:val="24"/>
        </w:rPr>
      </w:pPr>
      <w:r>
        <w:rPr>
          <w:sz w:val="24"/>
          <w:szCs w:val="24"/>
        </w:rPr>
        <w:t>Federal Ministries of Agriculture, Environment and Health of Nigeria. Antimicrobial use and resistance in Nigeria: Situation Analysis and Recommendations (2017). Available at URL: http://www.ncdc.gov.ng/themes/common/docs/protocols/56_1510840387.pdf</w:t>
      </w:r>
    </w:p>
    <w:p w:rsidR="0090406C" w:rsidRDefault="0090406C" w:rsidP="0090406C">
      <w:pPr>
        <w:pStyle w:val="CommentText"/>
        <w:spacing w:line="360" w:lineRule="auto"/>
        <w:ind w:left="788"/>
        <w:rPr>
          <w:rStyle w:val="Hyperlink"/>
        </w:rPr>
      </w:pPr>
      <w:r>
        <w:rPr>
          <w:rStyle w:val="Hyperlink"/>
          <w:sz w:val="24"/>
          <w:szCs w:val="24"/>
        </w:rPr>
        <w:t>(Accessed on 11/01/2018).</w:t>
      </w:r>
    </w:p>
    <w:p w:rsidR="0090406C" w:rsidRDefault="0090406C" w:rsidP="0090406C">
      <w:pPr>
        <w:pStyle w:val="EndNoteBibliography"/>
        <w:numPr>
          <w:ilvl w:val="0"/>
          <w:numId w:val="31"/>
        </w:numPr>
        <w:spacing w:after="0" w:line="360" w:lineRule="auto"/>
        <w:ind w:left="786"/>
        <w:rPr>
          <w:sz w:val="24"/>
          <w:szCs w:val="24"/>
        </w:rPr>
      </w:pPr>
      <w:r>
        <w:rPr>
          <w:sz w:val="24"/>
          <w:szCs w:val="24"/>
        </w:rPr>
        <w:t>Okesola A O, Aroundegbe T I  Antibiotic resistance pattern of uropathogenic Escherichia coli in South West Nigeria. Afr J Med Med Sci 2011; 40: 235-238.</w:t>
      </w:r>
    </w:p>
    <w:p w:rsidR="0090406C" w:rsidRDefault="0090406C" w:rsidP="0090406C">
      <w:pPr>
        <w:pStyle w:val="EndNoteBibliography"/>
        <w:numPr>
          <w:ilvl w:val="0"/>
          <w:numId w:val="31"/>
        </w:numPr>
        <w:spacing w:after="0" w:line="360" w:lineRule="auto"/>
        <w:ind w:left="786"/>
        <w:rPr>
          <w:sz w:val="24"/>
          <w:szCs w:val="24"/>
        </w:rPr>
      </w:pPr>
      <w:r>
        <w:rPr>
          <w:sz w:val="24"/>
          <w:szCs w:val="24"/>
        </w:rPr>
        <w:t>Muoneke V, Ibekwe M Ibekwe R  Childhood urinary tract infection in abakaliki: etiological organisms and antibiotic sensitivity pattern. Ann Med Health Sci Res 2012; 2: 29-32.</w:t>
      </w:r>
    </w:p>
    <w:p w:rsidR="0090406C" w:rsidRDefault="0090406C" w:rsidP="0090406C">
      <w:pPr>
        <w:pStyle w:val="EndNoteBibliography"/>
        <w:numPr>
          <w:ilvl w:val="0"/>
          <w:numId w:val="31"/>
        </w:numPr>
        <w:spacing w:after="0" w:line="360" w:lineRule="auto"/>
        <w:ind w:left="786"/>
        <w:rPr>
          <w:color w:val="0000FF"/>
          <w:sz w:val="24"/>
          <w:szCs w:val="24"/>
        </w:rPr>
      </w:pPr>
      <w:r>
        <w:rPr>
          <w:rStyle w:val="NoSpacingChar"/>
          <w:sz w:val="24"/>
          <w:szCs w:val="24"/>
        </w:rPr>
        <w:t xml:space="preserve">Iroezindu M O, Chima E I, Isiguzo G C, Mbata G C, Onyedum C C, </w:t>
      </w:r>
      <w:hyperlink r:id="rId17" w:history="1">
        <w:r>
          <w:rPr>
            <w:rStyle w:val="NoSpacingChar"/>
            <w:sz w:val="24"/>
            <w:szCs w:val="24"/>
          </w:rPr>
          <w:t>Onyedibe K I</w:t>
        </w:r>
      </w:hyperlink>
      <w:r>
        <w:rPr>
          <w:rStyle w:val="NoSpacingChar"/>
          <w:sz w:val="24"/>
          <w:szCs w:val="24"/>
        </w:rPr>
        <w:t xml:space="preserve">, </w:t>
      </w:r>
      <w:hyperlink r:id="rId18" w:history="1">
        <w:r>
          <w:rPr>
            <w:rStyle w:val="NoSpacingChar"/>
            <w:sz w:val="24"/>
            <w:szCs w:val="24"/>
          </w:rPr>
          <w:t>Okoli L E</w:t>
        </w:r>
      </w:hyperlink>
      <w:r>
        <w:rPr>
          <w:rStyle w:val="NoSpacingChar"/>
          <w:sz w:val="24"/>
          <w:szCs w:val="24"/>
        </w:rPr>
        <w:t xml:space="preserve"> Sputum bacteriology and antibiotic sensitivity patterns of community-</w:t>
      </w:r>
      <w:r>
        <w:rPr>
          <w:sz w:val="24"/>
          <w:szCs w:val="24"/>
        </w:rPr>
        <w:t xml:space="preserve">acquired pneumonia in hospitalized adult patients in Nigeria: a 5-year multicentre retrospective study. Scand J Infect Dis 2014; 46: 875-887. </w:t>
      </w:r>
    </w:p>
    <w:p w:rsidR="0090406C" w:rsidRDefault="0090406C" w:rsidP="0090406C">
      <w:pPr>
        <w:pStyle w:val="CommentText"/>
        <w:numPr>
          <w:ilvl w:val="0"/>
          <w:numId w:val="31"/>
        </w:numPr>
        <w:spacing w:line="360" w:lineRule="auto"/>
        <w:ind w:left="714" w:hanging="357"/>
        <w:rPr>
          <w:sz w:val="24"/>
          <w:szCs w:val="24"/>
        </w:rPr>
      </w:pPr>
      <w:r>
        <w:rPr>
          <w:noProof/>
          <w:sz w:val="24"/>
          <w:szCs w:val="24"/>
        </w:rPr>
        <w:t>Llor C, Bjerrum L. Antimicrobial resistance: risk associated with antibiotic overuse and initiatives to reduce the problem. Therapeutic advances in drug safety. 2014;5(6):229-41</w:t>
      </w:r>
    </w:p>
    <w:p w:rsidR="0090406C" w:rsidRDefault="0090406C" w:rsidP="0090406C">
      <w:pPr>
        <w:pStyle w:val="NoSpacing"/>
        <w:numPr>
          <w:ilvl w:val="0"/>
          <w:numId w:val="31"/>
        </w:numPr>
        <w:spacing w:line="360" w:lineRule="auto"/>
        <w:ind w:left="786"/>
        <w:rPr>
          <w:color w:val="0000FF"/>
          <w:sz w:val="24"/>
          <w:szCs w:val="24"/>
        </w:rPr>
      </w:pPr>
      <w:r>
        <w:rPr>
          <w:sz w:val="24"/>
          <w:szCs w:val="24"/>
        </w:rPr>
        <w:lastRenderedPageBreak/>
        <w:t>van de Sande-</w:t>
      </w:r>
      <w:proofErr w:type="spellStart"/>
      <w:r>
        <w:rPr>
          <w:sz w:val="24"/>
          <w:szCs w:val="24"/>
        </w:rPr>
        <w:t>Bruinsma</w:t>
      </w:r>
      <w:proofErr w:type="spellEnd"/>
      <w:r>
        <w:rPr>
          <w:sz w:val="24"/>
          <w:szCs w:val="24"/>
        </w:rPr>
        <w:t xml:space="preserve"> N, </w:t>
      </w:r>
      <w:proofErr w:type="spellStart"/>
      <w:r>
        <w:rPr>
          <w:sz w:val="24"/>
          <w:szCs w:val="24"/>
        </w:rPr>
        <w:t>Grundmann</w:t>
      </w:r>
      <w:proofErr w:type="spellEnd"/>
      <w:r>
        <w:rPr>
          <w:sz w:val="24"/>
          <w:szCs w:val="24"/>
        </w:rPr>
        <w:t xml:space="preserve"> H, </w:t>
      </w:r>
      <w:proofErr w:type="spellStart"/>
      <w:r>
        <w:rPr>
          <w:sz w:val="24"/>
          <w:szCs w:val="24"/>
        </w:rPr>
        <w:t>Verloo</w:t>
      </w:r>
      <w:proofErr w:type="spellEnd"/>
      <w:r>
        <w:rPr>
          <w:sz w:val="24"/>
          <w:szCs w:val="24"/>
        </w:rPr>
        <w:t xml:space="preserve"> D, </w:t>
      </w:r>
      <w:proofErr w:type="spellStart"/>
      <w:r>
        <w:rPr>
          <w:sz w:val="24"/>
          <w:szCs w:val="24"/>
        </w:rPr>
        <w:t>Tiemersma</w:t>
      </w:r>
      <w:proofErr w:type="spellEnd"/>
      <w:r>
        <w:rPr>
          <w:sz w:val="24"/>
          <w:szCs w:val="24"/>
        </w:rPr>
        <w:t xml:space="preserve"> E, </w:t>
      </w:r>
      <w:proofErr w:type="spellStart"/>
      <w:r>
        <w:rPr>
          <w:sz w:val="24"/>
          <w:szCs w:val="24"/>
        </w:rPr>
        <w:t>Monen</w:t>
      </w:r>
      <w:proofErr w:type="spellEnd"/>
      <w:r>
        <w:rPr>
          <w:sz w:val="24"/>
          <w:szCs w:val="24"/>
        </w:rPr>
        <w:t xml:space="preserve"> J, </w:t>
      </w:r>
      <w:proofErr w:type="spellStart"/>
      <w:r>
        <w:rPr>
          <w:sz w:val="24"/>
          <w:szCs w:val="24"/>
        </w:rPr>
        <w:t>Goossens</w:t>
      </w:r>
      <w:proofErr w:type="spellEnd"/>
      <w:r>
        <w:rPr>
          <w:sz w:val="24"/>
          <w:szCs w:val="24"/>
        </w:rPr>
        <w:t xml:space="preserve"> H, </w:t>
      </w:r>
      <w:proofErr w:type="spellStart"/>
      <w:r>
        <w:rPr>
          <w:sz w:val="24"/>
          <w:szCs w:val="24"/>
        </w:rPr>
        <w:t>Ferech</w:t>
      </w:r>
      <w:proofErr w:type="spellEnd"/>
      <w:r>
        <w:rPr>
          <w:sz w:val="24"/>
          <w:szCs w:val="24"/>
        </w:rPr>
        <w:t xml:space="preserve"> M; European </w:t>
      </w:r>
      <w:r>
        <w:rPr>
          <w:rStyle w:val="highlight2"/>
          <w:sz w:val="24"/>
          <w:szCs w:val="24"/>
        </w:rPr>
        <w:t>Antimicrobial Resistance</w:t>
      </w:r>
      <w:r>
        <w:rPr>
          <w:sz w:val="24"/>
          <w:szCs w:val="24"/>
        </w:rPr>
        <w:t xml:space="preserve"> Surveillance System Group; European Surveillance of </w:t>
      </w:r>
      <w:r>
        <w:rPr>
          <w:rStyle w:val="highlight2"/>
          <w:sz w:val="24"/>
          <w:szCs w:val="24"/>
        </w:rPr>
        <w:t>Antimicrobial</w:t>
      </w:r>
      <w:r>
        <w:rPr>
          <w:sz w:val="24"/>
          <w:szCs w:val="24"/>
        </w:rPr>
        <w:t xml:space="preserve"> Consumption Project Group. Antimicrobial drug use and resistance in Europe. </w:t>
      </w:r>
      <w:proofErr w:type="spellStart"/>
      <w:r>
        <w:rPr>
          <w:sz w:val="24"/>
          <w:szCs w:val="24"/>
        </w:rPr>
        <w:t>Emerg</w:t>
      </w:r>
      <w:proofErr w:type="spellEnd"/>
      <w:r>
        <w:rPr>
          <w:sz w:val="24"/>
          <w:szCs w:val="24"/>
        </w:rPr>
        <w:t xml:space="preserve"> Infect Dis 2008; 14: 1722-1730. </w:t>
      </w:r>
    </w:p>
    <w:p w:rsidR="0090406C" w:rsidRDefault="0090406C" w:rsidP="0090406C">
      <w:pPr>
        <w:pStyle w:val="EndNoteBibliography"/>
        <w:numPr>
          <w:ilvl w:val="0"/>
          <w:numId w:val="31"/>
        </w:numPr>
        <w:spacing w:after="0" w:line="360" w:lineRule="auto"/>
        <w:ind w:left="786"/>
        <w:rPr>
          <w:sz w:val="24"/>
          <w:szCs w:val="24"/>
        </w:rPr>
      </w:pPr>
      <w:r>
        <w:rPr>
          <w:sz w:val="24"/>
          <w:szCs w:val="24"/>
        </w:rPr>
        <w:t>Davies J, Davies D. Origins and evolution of antibiotic resistance. Microbiol Mol Biol Rev 2010; 74: 417-433.</w:t>
      </w:r>
    </w:p>
    <w:p w:rsidR="0090406C" w:rsidRDefault="0090406C" w:rsidP="0090406C">
      <w:pPr>
        <w:pStyle w:val="EndNoteBibliography"/>
        <w:numPr>
          <w:ilvl w:val="0"/>
          <w:numId w:val="31"/>
        </w:numPr>
        <w:spacing w:after="0" w:line="360" w:lineRule="auto"/>
        <w:ind w:left="786"/>
        <w:rPr>
          <w:sz w:val="24"/>
          <w:szCs w:val="24"/>
        </w:rPr>
      </w:pPr>
      <w:r>
        <w:rPr>
          <w:sz w:val="24"/>
          <w:szCs w:val="24"/>
        </w:rPr>
        <w:t>Oduyebo O O, Onwuezobe I A, Olayemi S O, Akintunde A S.  Correlating antibiotic consumption with antimicrobial resistance of uropathogens in a university teaching hospital in Lagos, Nigeria. Niger J Clin Pract 2008; 11: 305-308.</w:t>
      </w:r>
    </w:p>
    <w:p w:rsidR="0090406C" w:rsidRDefault="0090406C" w:rsidP="0090406C">
      <w:pPr>
        <w:pStyle w:val="EndNoteBibliography"/>
        <w:numPr>
          <w:ilvl w:val="0"/>
          <w:numId w:val="31"/>
        </w:numPr>
        <w:spacing w:after="0" w:line="360" w:lineRule="auto"/>
        <w:ind w:left="714" w:hanging="357"/>
        <w:rPr>
          <w:rStyle w:val="Hyperlink"/>
        </w:rPr>
      </w:pPr>
      <w:r>
        <w:rPr>
          <w:sz w:val="24"/>
          <w:szCs w:val="24"/>
        </w:rPr>
        <w:t>Godman B, Fadare J, Kibuule D, Irawati L, Mubita M, Ogunleye</w:t>
      </w:r>
      <w:r>
        <w:rPr>
          <w:sz w:val="24"/>
          <w:szCs w:val="24"/>
          <w:lang w:val="en-GB"/>
        </w:rPr>
        <w:t xml:space="preserve"> O</w:t>
      </w:r>
      <w:r>
        <w:rPr>
          <w:sz w:val="24"/>
          <w:szCs w:val="24"/>
        </w:rPr>
        <w:t xml:space="preserve"> et al. Initiatives across countries to reduce antibiotic utilization and resistance patterns; impact and implications. Drug Resistance in Bacteria, Fungi, Malaria, and Cancer - Arora, Sajid, &amp; Kalia Eds Publisher Springer Nature ISBN 978-3-319-48682-6 Available at URL: </w:t>
      </w:r>
      <w:hyperlink r:id="rId19" w:history="1">
        <w:r>
          <w:rPr>
            <w:rStyle w:val="Hyperlink"/>
            <w:sz w:val="24"/>
            <w:szCs w:val="24"/>
          </w:rPr>
          <w:t>https://purestrathacuk/portal/en/publications/initiatives-across-countries-to-reduce-antibiotic-utilization-and-resistance-patterns(bb445446-fd1d-47b3-8f91-def5d9e5e3db)/exporthtml</w:t>
        </w:r>
      </w:hyperlink>
    </w:p>
    <w:p w:rsidR="0090406C" w:rsidRDefault="0090406C" w:rsidP="0090406C">
      <w:pPr>
        <w:pStyle w:val="EndNoteBibliography"/>
        <w:numPr>
          <w:ilvl w:val="0"/>
          <w:numId w:val="31"/>
        </w:numPr>
        <w:spacing w:after="0" w:line="360" w:lineRule="auto"/>
        <w:ind w:left="714" w:hanging="357"/>
        <w:rPr>
          <w:sz w:val="22"/>
          <w:szCs w:val="22"/>
        </w:rPr>
      </w:pPr>
      <w:r>
        <w:rPr>
          <w:sz w:val="24"/>
          <w:szCs w:val="24"/>
        </w:rPr>
        <w:t>Huttner B, Goossens H, Verheij T, Harbarth S. Characteristics and outcomes of public campaigns aimed at improving the use of antibiotics in outpatients in high-income countries. The Lancet Infectious diseases. 2010;10(1):17-31</w:t>
      </w:r>
    </w:p>
    <w:p w:rsidR="0090406C" w:rsidRDefault="0090406C" w:rsidP="0090406C">
      <w:pPr>
        <w:pStyle w:val="ListParagraph"/>
        <w:numPr>
          <w:ilvl w:val="0"/>
          <w:numId w:val="31"/>
        </w:numPr>
        <w:spacing w:line="360" w:lineRule="auto"/>
        <w:ind w:left="786"/>
      </w:pPr>
      <w:proofErr w:type="spellStart"/>
      <w:r>
        <w:t>Nuermberger</w:t>
      </w:r>
      <w:proofErr w:type="spellEnd"/>
      <w:r>
        <w:t xml:space="preserve"> EL, </w:t>
      </w:r>
      <w:proofErr w:type="spellStart"/>
      <w:r>
        <w:t>Bishai</w:t>
      </w:r>
      <w:proofErr w:type="spellEnd"/>
      <w:r>
        <w:t xml:space="preserve"> WR. Antibiotic resistance in Streptococcus pneumoniae: what does the future hold? Clin Infect Dis. 2004;38(Suppl 4):S363–S71</w:t>
      </w:r>
    </w:p>
    <w:p w:rsidR="0090406C" w:rsidRDefault="0090406C" w:rsidP="0090406C">
      <w:pPr>
        <w:pStyle w:val="EndNoteBibliography"/>
        <w:numPr>
          <w:ilvl w:val="0"/>
          <w:numId w:val="31"/>
        </w:numPr>
        <w:spacing w:after="0" w:line="360" w:lineRule="auto"/>
        <w:ind w:left="786"/>
        <w:rPr>
          <w:sz w:val="24"/>
          <w:szCs w:val="24"/>
        </w:rPr>
      </w:pPr>
      <w:r>
        <w:rPr>
          <w:sz w:val="24"/>
          <w:szCs w:val="24"/>
        </w:rPr>
        <w:t>Md Rezal R S, Hassali M A, Alrasheedy A A, Saleem F, Md Yusof F A, Godman B</w:t>
      </w:r>
      <w:r w:rsidR="003B26A4">
        <w:rPr>
          <w:sz w:val="24"/>
          <w:szCs w:val="24"/>
          <w:lang w:val="en-GB"/>
        </w:rPr>
        <w:t>.</w:t>
      </w:r>
      <w:r>
        <w:rPr>
          <w:sz w:val="24"/>
          <w:szCs w:val="24"/>
        </w:rPr>
        <w:t xml:space="preserve"> Physicians' knowledge, perceptions and behaviour towards antibiotic prescribing: a systematic review of the literature. Expert Rev Anti Infect Ther</w:t>
      </w:r>
      <w:r w:rsidR="003B26A4">
        <w:rPr>
          <w:sz w:val="24"/>
          <w:szCs w:val="24"/>
          <w:lang w:val="en-GB"/>
        </w:rPr>
        <w:t xml:space="preserve"> 2015;</w:t>
      </w:r>
      <w:r>
        <w:rPr>
          <w:sz w:val="24"/>
          <w:szCs w:val="24"/>
        </w:rPr>
        <w:t xml:space="preserve"> 13: 665-680. </w:t>
      </w:r>
    </w:p>
    <w:p w:rsidR="0090406C" w:rsidRDefault="0090406C" w:rsidP="0090406C">
      <w:pPr>
        <w:pStyle w:val="NoSpacing"/>
        <w:numPr>
          <w:ilvl w:val="0"/>
          <w:numId w:val="31"/>
        </w:numPr>
        <w:spacing w:line="360" w:lineRule="auto"/>
        <w:ind w:left="786"/>
        <w:jc w:val="both"/>
        <w:rPr>
          <w:sz w:val="24"/>
          <w:szCs w:val="24"/>
        </w:rPr>
      </w:pPr>
      <w:r>
        <w:rPr>
          <w:sz w:val="24"/>
          <w:szCs w:val="24"/>
        </w:rPr>
        <w:t xml:space="preserve">Moro ML, </w:t>
      </w:r>
      <w:proofErr w:type="spellStart"/>
      <w:r>
        <w:rPr>
          <w:sz w:val="24"/>
          <w:szCs w:val="24"/>
        </w:rPr>
        <w:t>Marchi</w:t>
      </w:r>
      <w:proofErr w:type="spellEnd"/>
      <w:r>
        <w:rPr>
          <w:sz w:val="24"/>
          <w:szCs w:val="24"/>
        </w:rPr>
        <w:t xml:space="preserve"> M, </w:t>
      </w:r>
      <w:proofErr w:type="spellStart"/>
      <w:r>
        <w:rPr>
          <w:sz w:val="24"/>
          <w:szCs w:val="24"/>
        </w:rPr>
        <w:t>Gagliotti</w:t>
      </w:r>
      <w:proofErr w:type="spellEnd"/>
      <w:r>
        <w:rPr>
          <w:sz w:val="24"/>
          <w:szCs w:val="24"/>
        </w:rPr>
        <w:t xml:space="preserve"> C, Di Mario S, </w:t>
      </w:r>
      <w:proofErr w:type="spellStart"/>
      <w:r>
        <w:rPr>
          <w:sz w:val="24"/>
          <w:szCs w:val="24"/>
        </w:rPr>
        <w:t>Resi</w:t>
      </w:r>
      <w:proofErr w:type="spellEnd"/>
      <w:r>
        <w:rPr>
          <w:sz w:val="24"/>
          <w:szCs w:val="24"/>
        </w:rPr>
        <w:t xml:space="preserve"> D. Why do paediatricians prescribe antibiotics? Results of an Italian regional project. BMC </w:t>
      </w:r>
      <w:proofErr w:type="spellStart"/>
      <w:r>
        <w:rPr>
          <w:sz w:val="24"/>
          <w:szCs w:val="24"/>
        </w:rPr>
        <w:t>Pediatr</w:t>
      </w:r>
      <w:proofErr w:type="spellEnd"/>
      <w:r>
        <w:rPr>
          <w:sz w:val="24"/>
          <w:szCs w:val="24"/>
        </w:rPr>
        <w:t>. 2009 Nov 6;9: 69.</w:t>
      </w:r>
    </w:p>
    <w:p w:rsidR="0090406C" w:rsidRDefault="0090406C" w:rsidP="0090406C">
      <w:pPr>
        <w:pStyle w:val="NoSpacing"/>
        <w:numPr>
          <w:ilvl w:val="0"/>
          <w:numId w:val="31"/>
        </w:numPr>
        <w:spacing w:line="360" w:lineRule="auto"/>
        <w:jc w:val="both"/>
        <w:rPr>
          <w:sz w:val="24"/>
          <w:szCs w:val="24"/>
        </w:rPr>
      </w:pPr>
      <w:r>
        <w:rPr>
          <w:sz w:val="24"/>
          <w:szCs w:val="24"/>
        </w:rPr>
        <w:lastRenderedPageBreak/>
        <w:t xml:space="preserve"> Lopez-Vazquez P, Vazquez-Lago JM, </w:t>
      </w:r>
      <w:proofErr w:type="spellStart"/>
      <w:r>
        <w:rPr>
          <w:sz w:val="24"/>
          <w:szCs w:val="24"/>
        </w:rPr>
        <w:t>Figueiras</w:t>
      </w:r>
      <w:proofErr w:type="spellEnd"/>
      <w:r>
        <w:rPr>
          <w:sz w:val="24"/>
          <w:szCs w:val="24"/>
        </w:rPr>
        <w:t xml:space="preserve"> A. </w:t>
      </w:r>
      <w:proofErr w:type="spellStart"/>
      <w:r>
        <w:rPr>
          <w:sz w:val="24"/>
          <w:szCs w:val="24"/>
        </w:rPr>
        <w:t>Misprescription</w:t>
      </w:r>
      <w:proofErr w:type="spellEnd"/>
      <w:r>
        <w:rPr>
          <w:sz w:val="24"/>
          <w:szCs w:val="24"/>
        </w:rPr>
        <w:t xml:space="preserve"> of antibiotics in primary care: a critical systematic review of its determinants. J Eval Clin </w:t>
      </w:r>
      <w:proofErr w:type="spellStart"/>
      <w:r>
        <w:rPr>
          <w:sz w:val="24"/>
          <w:szCs w:val="24"/>
        </w:rPr>
        <w:t>Pract</w:t>
      </w:r>
      <w:proofErr w:type="spellEnd"/>
      <w:r>
        <w:rPr>
          <w:sz w:val="24"/>
          <w:szCs w:val="24"/>
        </w:rPr>
        <w:t xml:space="preserve">. </w:t>
      </w:r>
      <w:proofErr w:type="gramStart"/>
      <w:r>
        <w:rPr>
          <w:sz w:val="24"/>
          <w:szCs w:val="24"/>
        </w:rPr>
        <w:t>2012 ;</w:t>
      </w:r>
      <w:proofErr w:type="gramEnd"/>
      <w:r>
        <w:rPr>
          <w:sz w:val="24"/>
          <w:szCs w:val="24"/>
        </w:rPr>
        <w:t xml:space="preserve"> 18(2):473-84. </w:t>
      </w:r>
    </w:p>
    <w:p w:rsidR="0090406C" w:rsidRDefault="0090406C" w:rsidP="0090406C">
      <w:pPr>
        <w:pStyle w:val="NoSpacing"/>
        <w:numPr>
          <w:ilvl w:val="0"/>
          <w:numId w:val="31"/>
        </w:numPr>
        <w:spacing w:line="360" w:lineRule="auto"/>
        <w:ind w:left="786"/>
        <w:jc w:val="both"/>
        <w:rPr>
          <w:sz w:val="24"/>
          <w:szCs w:val="24"/>
        </w:rPr>
      </w:pPr>
      <w:r>
        <w:rPr>
          <w:sz w:val="24"/>
          <w:szCs w:val="24"/>
        </w:rPr>
        <w:t xml:space="preserve">van </w:t>
      </w:r>
      <w:proofErr w:type="spellStart"/>
      <w:r>
        <w:rPr>
          <w:sz w:val="24"/>
          <w:szCs w:val="24"/>
        </w:rPr>
        <w:t>Buul</w:t>
      </w:r>
      <w:proofErr w:type="spellEnd"/>
      <w:r>
        <w:rPr>
          <w:sz w:val="24"/>
          <w:szCs w:val="24"/>
        </w:rPr>
        <w:t xml:space="preserve"> LW, </w:t>
      </w:r>
      <w:proofErr w:type="spellStart"/>
      <w:r>
        <w:rPr>
          <w:sz w:val="24"/>
          <w:szCs w:val="24"/>
        </w:rPr>
        <w:t>Sikkens</w:t>
      </w:r>
      <w:proofErr w:type="spellEnd"/>
      <w:r>
        <w:rPr>
          <w:sz w:val="24"/>
          <w:szCs w:val="24"/>
        </w:rPr>
        <w:t xml:space="preserve"> JJ, van </w:t>
      </w:r>
      <w:proofErr w:type="spellStart"/>
      <w:r>
        <w:rPr>
          <w:sz w:val="24"/>
          <w:szCs w:val="24"/>
        </w:rPr>
        <w:t>Agtmael</w:t>
      </w:r>
      <w:proofErr w:type="spellEnd"/>
      <w:r>
        <w:rPr>
          <w:sz w:val="24"/>
          <w:szCs w:val="24"/>
        </w:rPr>
        <w:t xml:space="preserve"> MA, Kramer MH, van der Steen JT, </w:t>
      </w:r>
      <w:proofErr w:type="spellStart"/>
      <w:r>
        <w:rPr>
          <w:sz w:val="24"/>
          <w:szCs w:val="24"/>
        </w:rPr>
        <w:t>Hertogh</w:t>
      </w:r>
      <w:proofErr w:type="spellEnd"/>
      <w:r>
        <w:rPr>
          <w:sz w:val="24"/>
          <w:szCs w:val="24"/>
        </w:rPr>
        <w:t xml:space="preserve"> CM. Participatory action research in antimicrobial stewardship: a novel approach to improving antimicrobial prescribing in hospitals and long-term care facilities. J </w:t>
      </w:r>
      <w:proofErr w:type="spellStart"/>
      <w:r>
        <w:rPr>
          <w:sz w:val="24"/>
          <w:szCs w:val="24"/>
        </w:rPr>
        <w:t>Antimicrob</w:t>
      </w:r>
      <w:proofErr w:type="spellEnd"/>
      <w:r>
        <w:rPr>
          <w:sz w:val="24"/>
          <w:szCs w:val="24"/>
        </w:rPr>
        <w:t xml:space="preserve"> Chemother. 2014; 69(7):1734-41. </w:t>
      </w:r>
    </w:p>
    <w:p w:rsidR="0090406C" w:rsidRDefault="0090406C" w:rsidP="0090406C">
      <w:pPr>
        <w:pStyle w:val="NoSpacing"/>
        <w:numPr>
          <w:ilvl w:val="0"/>
          <w:numId w:val="31"/>
        </w:numPr>
        <w:spacing w:line="360" w:lineRule="auto"/>
        <w:ind w:left="786"/>
        <w:jc w:val="both"/>
        <w:rPr>
          <w:sz w:val="24"/>
          <w:szCs w:val="24"/>
        </w:rPr>
      </w:pPr>
      <w:proofErr w:type="spellStart"/>
      <w:r>
        <w:rPr>
          <w:sz w:val="24"/>
          <w:szCs w:val="24"/>
        </w:rPr>
        <w:t>Charani</w:t>
      </w:r>
      <w:proofErr w:type="spellEnd"/>
      <w:r>
        <w:rPr>
          <w:sz w:val="24"/>
          <w:szCs w:val="24"/>
        </w:rPr>
        <w:t xml:space="preserve"> E, Castro-Sanchez E, </w:t>
      </w:r>
      <w:proofErr w:type="spellStart"/>
      <w:r>
        <w:rPr>
          <w:sz w:val="24"/>
          <w:szCs w:val="24"/>
        </w:rPr>
        <w:t>Sevdalis</w:t>
      </w:r>
      <w:proofErr w:type="spellEnd"/>
      <w:r>
        <w:rPr>
          <w:sz w:val="24"/>
          <w:szCs w:val="24"/>
        </w:rPr>
        <w:t xml:space="preserve"> N, </w:t>
      </w:r>
      <w:proofErr w:type="spellStart"/>
      <w:r>
        <w:rPr>
          <w:sz w:val="24"/>
          <w:szCs w:val="24"/>
        </w:rPr>
        <w:t>Kyratsis</w:t>
      </w:r>
      <w:proofErr w:type="spellEnd"/>
      <w:r>
        <w:rPr>
          <w:sz w:val="24"/>
          <w:szCs w:val="24"/>
        </w:rPr>
        <w:t xml:space="preserve"> Y, Drumright L, Shah </w:t>
      </w:r>
      <w:proofErr w:type="spellStart"/>
      <w:r>
        <w:rPr>
          <w:sz w:val="24"/>
          <w:szCs w:val="24"/>
        </w:rPr>
        <w:t>N,Holmes</w:t>
      </w:r>
      <w:proofErr w:type="spellEnd"/>
      <w:r>
        <w:rPr>
          <w:sz w:val="24"/>
          <w:szCs w:val="24"/>
        </w:rPr>
        <w:t xml:space="preserve"> A. Understanding the determinants of antimicrobial prescribing within hospitals: the role of "prescribing etiquette". Clin Infect Dis. 2013; 57(2):188-96.  </w:t>
      </w:r>
    </w:p>
    <w:p w:rsidR="0090406C" w:rsidRDefault="0090406C" w:rsidP="0090406C">
      <w:pPr>
        <w:pStyle w:val="NoSpacing"/>
        <w:numPr>
          <w:ilvl w:val="0"/>
          <w:numId w:val="31"/>
        </w:numPr>
        <w:spacing w:line="360" w:lineRule="auto"/>
        <w:ind w:left="786"/>
        <w:jc w:val="both"/>
        <w:rPr>
          <w:sz w:val="24"/>
          <w:szCs w:val="24"/>
        </w:rPr>
      </w:pPr>
      <w:proofErr w:type="spellStart"/>
      <w:r>
        <w:rPr>
          <w:sz w:val="24"/>
          <w:szCs w:val="24"/>
        </w:rPr>
        <w:t>Calbo</w:t>
      </w:r>
      <w:proofErr w:type="spellEnd"/>
      <w:r>
        <w:rPr>
          <w:sz w:val="24"/>
          <w:szCs w:val="24"/>
        </w:rPr>
        <w:t xml:space="preserve"> E, Alvarez-Rocha L, </w:t>
      </w:r>
      <w:proofErr w:type="spellStart"/>
      <w:r>
        <w:rPr>
          <w:sz w:val="24"/>
          <w:szCs w:val="24"/>
        </w:rPr>
        <w:t>Gudiol</w:t>
      </w:r>
      <w:proofErr w:type="spellEnd"/>
      <w:r>
        <w:rPr>
          <w:sz w:val="24"/>
          <w:szCs w:val="24"/>
        </w:rPr>
        <w:t xml:space="preserve"> F, </w:t>
      </w:r>
      <w:proofErr w:type="spellStart"/>
      <w:r>
        <w:rPr>
          <w:sz w:val="24"/>
          <w:szCs w:val="24"/>
        </w:rPr>
        <w:t>Pasquau</w:t>
      </w:r>
      <w:proofErr w:type="spellEnd"/>
      <w:r>
        <w:rPr>
          <w:sz w:val="24"/>
          <w:szCs w:val="24"/>
        </w:rPr>
        <w:t xml:space="preserve"> J. A review of the factors influencing antimicrobial prescribing. </w:t>
      </w:r>
      <w:proofErr w:type="spellStart"/>
      <w:r>
        <w:rPr>
          <w:sz w:val="24"/>
          <w:szCs w:val="24"/>
        </w:rPr>
        <w:t>Enferm</w:t>
      </w:r>
      <w:proofErr w:type="spellEnd"/>
      <w:r>
        <w:rPr>
          <w:sz w:val="24"/>
          <w:szCs w:val="24"/>
        </w:rPr>
        <w:t xml:space="preserve"> </w:t>
      </w:r>
      <w:proofErr w:type="spellStart"/>
      <w:r>
        <w:rPr>
          <w:sz w:val="24"/>
          <w:szCs w:val="24"/>
        </w:rPr>
        <w:t>Infecc</w:t>
      </w:r>
      <w:proofErr w:type="spellEnd"/>
      <w:r>
        <w:rPr>
          <w:sz w:val="24"/>
          <w:szCs w:val="24"/>
        </w:rPr>
        <w:t xml:space="preserve"> </w:t>
      </w:r>
      <w:proofErr w:type="spellStart"/>
      <w:r>
        <w:rPr>
          <w:sz w:val="24"/>
          <w:szCs w:val="24"/>
        </w:rPr>
        <w:t>Microbiol</w:t>
      </w:r>
      <w:proofErr w:type="spellEnd"/>
      <w:r>
        <w:rPr>
          <w:sz w:val="24"/>
          <w:szCs w:val="24"/>
        </w:rPr>
        <w:t xml:space="preserve"> Clin. 2013 Sep;31 </w:t>
      </w:r>
      <w:proofErr w:type="spellStart"/>
      <w:r>
        <w:rPr>
          <w:sz w:val="24"/>
          <w:szCs w:val="24"/>
        </w:rPr>
        <w:t>Suppl</w:t>
      </w:r>
      <w:proofErr w:type="spellEnd"/>
      <w:r>
        <w:rPr>
          <w:sz w:val="24"/>
          <w:szCs w:val="24"/>
        </w:rPr>
        <w:t xml:space="preserve"> 4:12-5. </w:t>
      </w:r>
    </w:p>
    <w:p w:rsidR="0090406C" w:rsidRDefault="0090406C" w:rsidP="0090406C">
      <w:pPr>
        <w:pStyle w:val="NoSpacing"/>
        <w:numPr>
          <w:ilvl w:val="0"/>
          <w:numId w:val="31"/>
        </w:numPr>
        <w:spacing w:line="360" w:lineRule="auto"/>
        <w:ind w:left="782" w:hanging="357"/>
        <w:jc w:val="both"/>
        <w:rPr>
          <w:sz w:val="24"/>
          <w:szCs w:val="24"/>
        </w:rPr>
      </w:pPr>
      <w:r>
        <w:rPr>
          <w:noProof/>
          <w:sz w:val="24"/>
          <w:szCs w:val="24"/>
        </w:rPr>
        <w:t>Nakwatumbah S, Kibuule D, Godman B, Haakuria V, Kalemeera F, Baker A, et al. Compliance to guidelines for the prescribing of antibiotics in acute infections at Namibia's national referral hospital: a pilot study and the implications. Expert review of anti-infective therapy. 2017;15(7):713-21</w:t>
      </w:r>
    </w:p>
    <w:p w:rsidR="0090406C" w:rsidRDefault="0090406C" w:rsidP="0090406C">
      <w:pPr>
        <w:pStyle w:val="CommentText"/>
        <w:numPr>
          <w:ilvl w:val="0"/>
          <w:numId w:val="31"/>
        </w:numPr>
        <w:spacing w:line="360" w:lineRule="auto"/>
        <w:ind w:left="782" w:hanging="357"/>
        <w:rPr>
          <w:sz w:val="24"/>
          <w:szCs w:val="24"/>
        </w:rPr>
      </w:pPr>
      <w:r>
        <w:rPr>
          <w:noProof/>
          <w:sz w:val="24"/>
          <w:szCs w:val="24"/>
        </w:rPr>
        <w:t>Davey P, Marwick CA, Scott CL, Charani E, McNeil K, Brown E, et al. Interventions to improve antibiotic prescribing practices for hospital inpatients. The Cochrane database of systematic reviews. 2017;2:Cd003543.</w:t>
      </w:r>
    </w:p>
    <w:p w:rsidR="0090406C" w:rsidRDefault="0090406C" w:rsidP="0090406C">
      <w:pPr>
        <w:pStyle w:val="EndNoteBibliography"/>
        <w:numPr>
          <w:ilvl w:val="0"/>
          <w:numId w:val="31"/>
        </w:numPr>
        <w:spacing w:after="0" w:line="360" w:lineRule="auto"/>
        <w:ind w:left="786"/>
        <w:rPr>
          <w:sz w:val="24"/>
          <w:szCs w:val="24"/>
        </w:rPr>
      </w:pPr>
      <w:r>
        <w:rPr>
          <w:rStyle w:val="NoSpacingChar"/>
          <w:sz w:val="24"/>
          <w:szCs w:val="24"/>
        </w:rPr>
        <w:t xml:space="preserve">Nathwani D, Sneddon J, Malcolm W, Wiuff C, </w:t>
      </w:r>
      <w:hyperlink r:id="rId20" w:history="1">
        <w:r>
          <w:rPr>
            <w:rStyle w:val="NoSpacingChar"/>
            <w:sz w:val="24"/>
            <w:szCs w:val="24"/>
          </w:rPr>
          <w:t>Patton A</w:t>
        </w:r>
      </w:hyperlink>
      <w:r>
        <w:rPr>
          <w:rStyle w:val="NoSpacingChar"/>
          <w:sz w:val="24"/>
          <w:szCs w:val="24"/>
        </w:rPr>
        <w:t xml:space="preserve">, </w:t>
      </w:r>
      <w:hyperlink r:id="rId21" w:history="1">
        <w:r>
          <w:rPr>
            <w:rStyle w:val="NoSpacingChar"/>
            <w:sz w:val="24"/>
            <w:szCs w:val="24"/>
          </w:rPr>
          <w:t>Hurding S</w:t>
        </w:r>
      </w:hyperlink>
      <w:r>
        <w:rPr>
          <w:rStyle w:val="NoSpacingChar"/>
          <w:sz w:val="24"/>
          <w:szCs w:val="24"/>
        </w:rPr>
        <w:t xml:space="preserve">, </w:t>
      </w:r>
      <w:hyperlink r:id="rId22" w:history="1">
        <w:r>
          <w:rPr>
            <w:rStyle w:val="NoSpacingChar"/>
            <w:sz w:val="24"/>
            <w:szCs w:val="24"/>
          </w:rPr>
          <w:t>Eastaway A</w:t>
        </w:r>
      </w:hyperlink>
      <w:r>
        <w:rPr>
          <w:rStyle w:val="NoSpacingChar"/>
          <w:sz w:val="24"/>
          <w:szCs w:val="24"/>
        </w:rPr>
        <w:t xml:space="preserve">, </w:t>
      </w:r>
      <w:hyperlink r:id="rId23" w:history="1">
        <w:r>
          <w:rPr>
            <w:rStyle w:val="NoSpacingChar"/>
            <w:sz w:val="24"/>
            <w:szCs w:val="24"/>
          </w:rPr>
          <w:t>Seaton RA</w:t>
        </w:r>
      </w:hyperlink>
      <w:r>
        <w:rPr>
          <w:rStyle w:val="NoSpacingChar"/>
          <w:sz w:val="24"/>
          <w:szCs w:val="24"/>
        </w:rPr>
        <w:t xml:space="preserve">, </w:t>
      </w:r>
      <w:hyperlink r:id="rId24" w:history="1">
        <w:r>
          <w:rPr>
            <w:rStyle w:val="NoSpacingChar"/>
            <w:sz w:val="24"/>
            <w:szCs w:val="24"/>
          </w:rPr>
          <w:t>Watson E</w:t>
        </w:r>
      </w:hyperlink>
      <w:r>
        <w:rPr>
          <w:rStyle w:val="NoSpacingChar"/>
          <w:sz w:val="24"/>
          <w:szCs w:val="24"/>
        </w:rPr>
        <w:t xml:space="preserve">, </w:t>
      </w:r>
      <w:hyperlink r:id="rId25" w:history="1">
        <w:r>
          <w:rPr>
            <w:rStyle w:val="NoSpacingChar"/>
            <w:sz w:val="24"/>
            <w:szCs w:val="24"/>
          </w:rPr>
          <w:t>Gillies E</w:t>
        </w:r>
      </w:hyperlink>
      <w:r>
        <w:rPr>
          <w:rStyle w:val="NoSpacingChar"/>
          <w:sz w:val="24"/>
          <w:szCs w:val="24"/>
        </w:rPr>
        <w:t xml:space="preserve">, </w:t>
      </w:r>
      <w:hyperlink r:id="rId26" w:history="1">
        <w:r>
          <w:rPr>
            <w:rStyle w:val="NoSpacingChar"/>
            <w:sz w:val="24"/>
            <w:szCs w:val="24"/>
          </w:rPr>
          <w:t>Davey P</w:t>
        </w:r>
      </w:hyperlink>
      <w:r>
        <w:rPr>
          <w:rStyle w:val="NoSpacingChar"/>
          <w:sz w:val="24"/>
          <w:szCs w:val="24"/>
        </w:rPr>
        <w:t xml:space="preserve">, </w:t>
      </w:r>
      <w:hyperlink r:id="rId27" w:history="1">
        <w:r>
          <w:rPr>
            <w:rStyle w:val="NoSpacingChar"/>
            <w:sz w:val="24"/>
            <w:szCs w:val="24"/>
          </w:rPr>
          <w:t>Bennie M</w:t>
        </w:r>
      </w:hyperlink>
      <w:r>
        <w:rPr>
          <w:rStyle w:val="NoSpacingChar"/>
          <w:sz w:val="24"/>
          <w:szCs w:val="24"/>
        </w:rPr>
        <w:t xml:space="preserve">. </w:t>
      </w:r>
      <w:r>
        <w:rPr>
          <w:sz w:val="24"/>
          <w:szCs w:val="24"/>
        </w:rPr>
        <w:t>Scottish Antimicrobial Prescribing Group (SAPG): development and impact of the Scottish National Antimicrobial Stewardship Programme. Int J Antimicrob Agents.2011; 38: 16-26.</w:t>
      </w:r>
      <w:r>
        <w:rPr>
          <w:sz w:val="24"/>
          <w:szCs w:val="24"/>
          <w:lang w:val="en-GB"/>
        </w:rPr>
        <w:t xml:space="preserve"> </w:t>
      </w:r>
    </w:p>
    <w:p w:rsidR="0090406C" w:rsidRDefault="0090406C" w:rsidP="0090406C">
      <w:pPr>
        <w:pStyle w:val="CommentText"/>
        <w:numPr>
          <w:ilvl w:val="0"/>
          <w:numId w:val="31"/>
        </w:numPr>
        <w:spacing w:line="360" w:lineRule="auto"/>
        <w:ind w:left="788"/>
        <w:rPr>
          <w:sz w:val="24"/>
          <w:szCs w:val="24"/>
        </w:rPr>
      </w:pPr>
      <w:r>
        <w:rPr>
          <w:noProof/>
          <w:sz w:val="24"/>
          <w:szCs w:val="24"/>
        </w:rPr>
        <w:t xml:space="preserve">Pulcini C. Antibiotic stewardship: update and perspectives. Clinical microbiology and infection. 2017;23(11):791-2 </w:t>
      </w:r>
    </w:p>
    <w:p w:rsidR="0090406C" w:rsidRDefault="0090406C" w:rsidP="0090406C">
      <w:pPr>
        <w:pStyle w:val="CommentText"/>
        <w:numPr>
          <w:ilvl w:val="0"/>
          <w:numId w:val="31"/>
        </w:numPr>
        <w:spacing w:line="360" w:lineRule="auto"/>
        <w:ind w:left="782" w:hanging="357"/>
        <w:rPr>
          <w:sz w:val="24"/>
          <w:szCs w:val="24"/>
        </w:rPr>
      </w:pPr>
      <w:r>
        <w:rPr>
          <w:noProof/>
          <w:sz w:val="24"/>
          <w:szCs w:val="24"/>
        </w:rPr>
        <w:t>Cox JA, Vlieghe E, Mendelson M, Wertheim H, Ndegwa L, Villegas MV, et al. Antibiotic stewardship in low- and middle-income countries: the same but different? Clinical microbiology and infection. 2017;23(11):812-8</w:t>
      </w:r>
    </w:p>
    <w:p w:rsidR="0090406C" w:rsidRDefault="0090406C" w:rsidP="0090406C">
      <w:pPr>
        <w:pStyle w:val="ListParagraph"/>
        <w:numPr>
          <w:ilvl w:val="0"/>
          <w:numId w:val="31"/>
        </w:numPr>
        <w:ind w:left="786"/>
      </w:pPr>
      <w:r>
        <w:t xml:space="preserve">World Health Organization. Global Burden of Diseases. 2004. </w:t>
      </w:r>
      <w:hyperlink r:id="rId28" w:history="1">
        <w:r>
          <w:rPr>
            <w:rStyle w:val="Hyperlink"/>
          </w:rPr>
          <w:t>http://www.who.int/healthinfo/global_burden_disease/GBD_report_2004update_part4.pdf</w:t>
        </w:r>
      </w:hyperlink>
      <w:r>
        <w:t xml:space="preserve"> (Accessed 3 January,2017)</w:t>
      </w:r>
    </w:p>
    <w:p w:rsidR="0090406C" w:rsidRDefault="0090406C" w:rsidP="0090406C">
      <w:pPr>
        <w:pStyle w:val="ListParagraph"/>
        <w:ind w:left="786"/>
      </w:pPr>
    </w:p>
    <w:p w:rsidR="0090406C" w:rsidRDefault="0090406C" w:rsidP="0090406C">
      <w:pPr>
        <w:pStyle w:val="ListParagraph"/>
        <w:numPr>
          <w:ilvl w:val="0"/>
          <w:numId w:val="31"/>
        </w:numPr>
        <w:ind w:left="786"/>
      </w:pPr>
      <w:r>
        <w:lastRenderedPageBreak/>
        <w:t xml:space="preserve">African Population 2017. </w:t>
      </w:r>
      <w:hyperlink r:id="rId29" w:history="1">
        <w:r>
          <w:rPr>
            <w:rStyle w:val="Hyperlink"/>
          </w:rPr>
          <w:t>http://worldpopulationreview.com/continents/africa-population/</w:t>
        </w:r>
      </w:hyperlink>
      <w:r>
        <w:t xml:space="preserve"> (Accessed 3 January,2017)</w:t>
      </w:r>
    </w:p>
    <w:p w:rsidR="0090406C" w:rsidRDefault="0090406C" w:rsidP="0090406C">
      <w:pPr>
        <w:pStyle w:val="NoSpacing"/>
        <w:numPr>
          <w:ilvl w:val="0"/>
          <w:numId w:val="31"/>
        </w:numPr>
        <w:spacing w:line="360" w:lineRule="auto"/>
        <w:ind w:left="786"/>
        <w:jc w:val="both"/>
        <w:rPr>
          <w:sz w:val="24"/>
          <w:szCs w:val="24"/>
        </w:rPr>
      </w:pPr>
      <w:r>
        <w:rPr>
          <w:sz w:val="24"/>
          <w:szCs w:val="24"/>
        </w:rPr>
        <w:t>Collins J. Professionalism and physician interactions with industry. Journal of the American College of Radiology 2006;3(5):325-32.</w:t>
      </w:r>
    </w:p>
    <w:p w:rsidR="0090406C" w:rsidRDefault="0090406C" w:rsidP="0090406C">
      <w:pPr>
        <w:pStyle w:val="EndNoteBibliography"/>
        <w:numPr>
          <w:ilvl w:val="0"/>
          <w:numId w:val="31"/>
        </w:numPr>
        <w:spacing w:after="0" w:line="360" w:lineRule="auto"/>
        <w:ind w:left="782" w:hanging="357"/>
        <w:rPr>
          <w:sz w:val="24"/>
          <w:szCs w:val="24"/>
        </w:rPr>
      </w:pPr>
      <w:r>
        <w:rPr>
          <w:sz w:val="24"/>
          <w:szCs w:val="24"/>
        </w:rPr>
        <w:t>Fleischman W, Agrawal S, King M, Venkatesh AK, Krumholz HM, McKee D, et al. Association between payments from manufacturers of pharmaceuticals to physicians and regional prescribing: cross sectional ecological study. BMJ. 2016;354:i4189</w:t>
      </w:r>
    </w:p>
    <w:p w:rsidR="0090406C" w:rsidRDefault="0090406C" w:rsidP="0090406C">
      <w:pPr>
        <w:pStyle w:val="EndNoteBibliography"/>
        <w:numPr>
          <w:ilvl w:val="0"/>
          <w:numId w:val="31"/>
        </w:numPr>
        <w:spacing w:after="0" w:line="360" w:lineRule="auto"/>
        <w:ind w:left="786"/>
        <w:rPr>
          <w:sz w:val="24"/>
          <w:szCs w:val="24"/>
        </w:rPr>
      </w:pPr>
      <w:r>
        <w:rPr>
          <w:sz w:val="24"/>
          <w:szCs w:val="24"/>
        </w:rPr>
        <w:t>Zipkin DA, Steinman MA. Interactions between pharmaceutical representatives and doctors in training. A thematic review. Journal of general internal medicine. 2005;20(8):777-86.</w:t>
      </w:r>
    </w:p>
    <w:p w:rsidR="0090406C" w:rsidRDefault="0090406C" w:rsidP="0090406C">
      <w:pPr>
        <w:pStyle w:val="NoSpacing"/>
        <w:numPr>
          <w:ilvl w:val="0"/>
          <w:numId w:val="31"/>
        </w:numPr>
        <w:spacing w:line="360" w:lineRule="auto"/>
        <w:ind w:left="786"/>
        <w:jc w:val="both"/>
        <w:rPr>
          <w:sz w:val="24"/>
          <w:szCs w:val="24"/>
        </w:rPr>
      </w:pPr>
      <w:r>
        <w:rPr>
          <w:sz w:val="24"/>
          <w:szCs w:val="24"/>
        </w:rPr>
        <w:t xml:space="preserve">Fischer MA, Keough ME, </w:t>
      </w:r>
      <w:proofErr w:type="spellStart"/>
      <w:r>
        <w:rPr>
          <w:sz w:val="24"/>
          <w:szCs w:val="24"/>
        </w:rPr>
        <w:t>Baril</w:t>
      </w:r>
      <w:proofErr w:type="spellEnd"/>
      <w:r>
        <w:rPr>
          <w:sz w:val="24"/>
          <w:szCs w:val="24"/>
        </w:rPr>
        <w:t xml:space="preserve"> JL, </w:t>
      </w:r>
      <w:proofErr w:type="spellStart"/>
      <w:r>
        <w:rPr>
          <w:sz w:val="24"/>
          <w:szCs w:val="24"/>
        </w:rPr>
        <w:t>Saccoccio</w:t>
      </w:r>
      <w:proofErr w:type="spellEnd"/>
      <w:r>
        <w:rPr>
          <w:sz w:val="24"/>
          <w:szCs w:val="24"/>
        </w:rPr>
        <w:t xml:space="preserve"> L, </w:t>
      </w:r>
      <w:proofErr w:type="spellStart"/>
      <w:r>
        <w:rPr>
          <w:sz w:val="24"/>
          <w:szCs w:val="24"/>
        </w:rPr>
        <w:t>Mazor</w:t>
      </w:r>
      <w:proofErr w:type="spellEnd"/>
      <w:r>
        <w:rPr>
          <w:sz w:val="24"/>
          <w:szCs w:val="24"/>
        </w:rPr>
        <w:t xml:space="preserve"> KM, Ladd E, et al. Prescribers and pharmaceutical representatives: why are we still meeting? Journal of general internal medicine. 2009;24(7):795-801.</w:t>
      </w:r>
    </w:p>
    <w:p w:rsidR="0090406C" w:rsidRDefault="0090406C" w:rsidP="0090406C">
      <w:pPr>
        <w:pStyle w:val="EndNoteBibliography"/>
        <w:numPr>
          <w:ilvl w:val="0"/>
          <w:numId w:val="31"/>
        </w:numPr>
        <w:spacing w:after="0" w:line="360" w:lineRule="auto"/>
        <w:ind w:left="786"/>
        <w:rPr>
          <w:sz w:val="24"/>
          <w:szCs w:val="24"/>
        </w:rPr>
      </w:pPr>
      <w:r>
        <w:rPr>
          <w:sz w:val="24"/>
          <w:szCs w:val="24"/>
        </w:rPr>
        <w:t>Orlowski JP, Wateska L. The effects of pharmaceutical firm enticements on physician prescribing patterns. There's no such thing as a free lunch. Chest. 1992;102(1):270-3.</w:t>
      </w:r>
    </w:p>
    <w:p w:rsidR="0090406C" w:rsidRDefault="0090406C" w:rsidP="0090406C">
      <w:pPr>
        <w:pStyle w:val="EndNoteBibliography"/>
        <w:numPr>
          <w:ilvl w:val="0"/>
          <w:numId w:val="31"/>
        </w:numPr>
        <w:spacing w:after="0" w:line="360" w:lineRule="auto"/>
        <w:ind w:left="782" w:hanging="357"/>
        <w:rPr>
          <w:sz w:val="24"/>
          <w:szCs w:val="24"/>
        </w:rPr>
      </w:pPr>
      <w:r>
        <w:rPr>
          <w:sz w:val="24"/>
          <w:szCs w:val="24"/>
        </w:rPr>
        <w:t>Gustafsson LL, Wettermark B, Godman B, Andersen-Karlsson E, Bergman U, Hasselstrom J, et al. The 'wise list'- a comprehensive concept to select, communicate and achieve adherence to recommendations of essential drugs in ambulatory care in Stockholm. Basic &amp; clinical pharmacology &amp; toxicology. 2011;108(4):224-33</w:t>
      </w:r>
    </w:p>
    <w:p w:rsidR="0090406C" w:rsidRDefault="00290266" w:rsidP="0090406C">
      <w:pPr>
        <w:pStyle w:val="EndNoteBibliography"/>
        <w:numPr>
          <w:ilvl w:val="0"/>
          <w:numId w:val="31"/>
        </w:numPr>
        <w:spacing w:after="0" w:line="360" w:lineRule="auto"/>
        <w:ind w:left="782" w:hanging="357"/>
        <w:rPr>
          <w:sz w:val="24"/>
          <w:szCs w:val="24"/>
        </w:rPr>
      </w:pPr>
      <w:r w:rsidRPr="005D6530">
        <w:rPr>
          <w:sz w:val="24"/>
          <w:szCs w:val="24"/>
        </w:rPr>
        <w:t>Bjorkhem-Bergman L, Andersen-Karlsson E, Laing R, Diogene E, Melien O, Jirlow M, et al. Interface management of pharmacotherapy. Joint hospital and primary care drug recommendations. European journal of clinical pharmacology. 2013;69 Suppl 1:73-8</w:t>
      </w:r>
    </w:p>
    <w:p w:rsidR="0090406C" w:rsidRDefault="0090406C" w:rsidP="0090406C">
      <w:pPr>
        <w:pStyle w:val="EndNoteBibliography"/>
        <w:numPr>
          <w:ilvl w:val="0"/>
          <w:numId w:val="31"/>
        </w:numPr>
        <w:spacing w:after="0" w:line="360" w:lineRule="auto"/>
        <w:ind w:left="782" w:hanging="357"/>
        <w:rPr>
          <w:sz w:val="24"/>
          <w:szCs w:val="24"/>
        </w:rPr>
      </w:pPr>
      <w:r>
        <w:rPr>
          <w:sz w:val="24"/>
          <w:szCs w:val="24"/>
        </w:rPr>
        <w:t>Nakwatumbah S, Kibuule D, Godman B, Haakuria V, Kalemeera F, Baker A, et al. Compliance to guidelines for the prescribing of antibiotics in acute infections at Namibia's national referral hospital: a pilot study and the implications. Expert review of anti-infective therapy. 2017;15(7):713-21</w:t>
      </w:r>
    </w:p>
    <w:p w:rsidR="0090406C" w:rsidRDefault="0090406C" w:rsidP="0090406C">
      <w:pPr>
        <w:pStyle w:val="EndNoteBibliography"/>
        <w:numPr>
          <w:ilvl w:val="0"/>
          <w:numId w:val="31"/>
        </w:numPr>
        <w:spacing w:after="0"/>
        <w:rPr>
          <w:sz w:val="24"/>
          <w:szCs w:val="24"/>
        </w:rPr>
      </w:pPr>
      <w:r>
        <w:rPr>
          <w:sz w:val="24"/>
          <w:szCs w:val="24"/>
        </w:rPr>
        <w:t>Fadare J, Ogunleye</w:t>
      </w:r>
      <w:r>
        <w:rPr>
          <w:sz w:val="24"/>
          <w:szCs w:val="24"/>
          <w:vertAlign w:val="superscript"/>
        </w:rPr>
        <w:t xml:space="preserve"> </w:t>
      </w:r>
      <w:r>
        <w:rPr>
          <w:sz w:val="24"/>
          <w:szCs w:val="24"/>
        </w:rPr>
        <w:t>O, Enato</w:t>
      </w:r>
      <w:r>
        <w:rPr>
          <w:sz w:val="24"/>
          <w:szCs w:val="24"/>
          <w:vertAlign w:val="superscript"/>
        </w:rPr>
        <w:t xml:space="preserve"> </w:t>
      </w:r>
      <w:r>
        <w:rPr>
          <w:sz w:val="24"/>
          <w:szCs w:val="24"/>
        </w:rPr>
        <w:t>E, Godman</w:t>
      </w:r>
      <w:r>
        <w:rPr>
          <w:sz w:val="24"/>
          <w:szCs w:val="24"/>
          <w:vertAlign w:val="superscript"/>
        </w:rPr>
        <w:t xml:space="preserve"> </w:t>
      </w:r>
      <w:r>
        <w:rPr>
          <w:sz w:val="24"/>
          <w:szCs w:val="24"/>
        </w:rPr>
        <w:t xml:space="preserve">B, Gustafsson LL. Presence and Functionality of Drug and Therapeutics Committees (DTC) in Selected Nigerian Hospitals – Results of a Pilot Study. MURIA Conference PV NCD DU Studies. 2016: 2 (Available at URL: </w:t>
      </w:r>
      <w:hyperlink r:id="rId30" w:history="1">
        <w:r>
          <w:rPr>
            <w:rStyle w:val="Hyperlink"/>
            <w:sz w:val="24"/>
            <w:szCs w:val="24"/>
          </w:rPr>
          <w:t>http://muria.nmmu.ac.za/2nd-MURIA-Training-Workshop-and-Symposium,-25-27-J</w:t>
        </w:r>
      </w:hyperlink>
      <w:r>
        <w:rPr>
          <w:sz w:val="24"/>
          <w:szCs w:val="24"/>
        </w:rPr>
        <w:t>)</w:t>
      </w:r>
    </w:p>
    <w:p w:rsidR="0090406C" w:rsidRDefault="0090406C" w:rsidP="0090406C">
      <w:pPr>
        <w:pStyle w:val="EndNoteBibliography"/>
        <w:spacing w:after="0"/>
        <w:ind w:left="720"/>
        <w:rPr>
          <w:sz w:val="24"/>
          <w:szCs w:val="24"/>
        </w:rPr>
      </w:pPr>
    </w:p>
    <w:p w:rsidR="0090406C" w:rsidRDefault="0090406C" w:rsidP="0090406C">
      <w:pPr>
        <w:pStyle w:val="NoSpacing1"/>
        <w:numPr>
          <w:ilvl w:val="0"/>
          <w:numId w:val="31"/>
        </w:numPr>
        <w:rPr>
          <w:rStyle w:val="Hyperlink"/>
        </w:rPr>
      </w:pPr>
      <w:r>
        <w:rPr>
          <w:sz w:val="24"/>
          <w:szCs w:val="24"/>
        </w:rPr>
        <w:lastRenderedPageBreak/>
        <w:t xml:space="preserve">Fadare J, Olayinka Ogunleye, Arno Muller, Garba Iliyasu, Okezie Enwere, B Godman. The current state of antimicrobial stewardship programs in Nigerian tertiary healthcare facilities. MURIA 3 </w:t>
      </w:r>
      <w:r>
        <w:rPr>
          <w:noProof/>
          <w:sz w:val="24"/>
          <w:szCs w:val="24"/>
        </w:rPr>
        <w:t xml:space="preserve">2017; 9. Available at URL:  </w:t>
      </w:r>
      <w:hyperlink r:id="rId31" w:history="1">
        <w:r>
          <w:rPr>
            <w:rStyle w:val="Hyperlink"/>
            <w:noProof/>
            <w:sz w:val="24"/>
            <w:szCs w:val="24"/>
          </w:rPr>
          <w:t>http://muria.mandela.ac.za/muria/media/Store/documents/Abstract%20book%20-%20MURAI%203/MURIA3-AbstractBook-July-2017.pdf</w:t>
        </w:r>
      </w:hyperlink>
    </w:p>
    <w:p w:rsidR="0090406C" w:rsidRDefault="0090406C" w:rsidP="0090406C">
      <w:pPr>
        <w:pStyle w:val="EndNoteBibliography"/>
        <w:spacing w:after="0" w:line="360" w:lineRule="auto"/>
        <w:ind w:left="782"/>
      </w:pPr>
    </w:p>
    <w:p w:rsidR="0090406C" w:rsidRDefault="0090406C" w:rsidP="0090406C">
      <w:pPr>
        <w:pStyle w:val="EndNoteBibliography"/>
        <w:numPr>
          <w:ilvl w:val="0"/>
          <w:numId w:val="31"/>
        </w:numPr>
        <w:spacing w:after="0" w:line="360" w:lineRule="auto"/>
        <w:rPr>
          <w:sz w:val="24"/>
          <w:szCs w:val="24"/>
        </w:rPr>
      </w:pPr>
      <w:r>
        <w:rPr>
          <w:sz w:val="24"/>
          <w:szCs w:val="24"/>
        </w:rPr>
        <w:t xml:space="preserve">Davey P, Marwick CA, Scott CL, et al. Interventions to improve antibiotic prescribing practices for hospital inpatients. </w:t>
      </w:r>
      <w:r>
        <w:rPr>
          <w:i/>
          <w:sz w:val="24"/>
          <w:szCs w:val="24"/>
        </w:rPr>
        <w:t xml:space="preserve">The Cochrane database of systematic reviews. </w:t>
      </w:r>
      <w:r>
        <w:rPr>
          <w:sz w:val="24"/>
          <w:szCs w:val="24"/>
        </w:rPr>
        <w:t>Feb 09 2017;2:Cd003543.</w:t>
      </w:r>
    </w:p>
    <w:p w:rsidR="0090406C" w:rsidRDefault="0090406C" w:rsidP="0090406C">
      <w:pPr>
        <w:pStyle w:val="EndNoteBibliography"/>
        <w:numPr>
          <w:ilvl w:val="0"/>
          <w:numId w:val="31"/>
        </w:numPr>
        <w:spacing w:after="0" w:line="360" w:lineRule="auto"/>
        <w:ind w:left="786"/>
        <w:rPr>
          <w:sz w:val="24"/>
          <w:szCs w:val="24"/>
        </w:rPr>
      </w:pPr>
      <w:r>
        <w:rPr>
          <w:sz w:val="24"/>
          <w:szCs w:val="24"/>
        </w:rPr>
        <w:t>Nasr Z, Paravattil B, Wilby KJ. The impact of antimicrobial stewardship strategies on antibiotic appropriateness and prescribing behaviours in selected countries in the Middle East: a systematic review. Eastern Mediterranean health journal</w:t>
      </w:r>
      <w:r>
        <w:rPr>
          <w:i/>
          <w:sz w:val="24"/>
          <w:szCs w:val="24"/>
        </w:rPr>
        <w:t xml:space="preserve">. </w:t>
      </w:r>
      <w:r>
        <w:rPr>
          <w:sz w:val="24"/>
          <w:szCs w:val="24"/>
        </w:rPr>
        <w:t>Aug 20 2017;23(6):430-440.</w:t>
      </w:r>
    </w:p>
    <w:p w:rsidR="0090406C" w:rsidRDefault="0090406C" w:rsidP="0090406C">
      <w:pPr>
        <w:pStyle w:val="EndNoteBibliography"/>
        <w:numPr>
          <w:ilvl w:val="0"/>
          <w:numId w:val="31"/>
        </w:numPr>
        <w:spacing w:after="0" w:line="360" w:lineRule="auto"/>
        <w:ind w:left="786"/>
        <w:rPr>
          <w:sz w:val="24"/>
          <w:szCs w:val="24"/>
        </w:rPr>
      </w:pPr>
      <w:r>
        <w:rPr>
          <w:sz w:val="24"/>
          <w:szCs w:val="24"/>
        </w:rPr>
        <w:t>Meyer JC, Schellack N, Stokes J, Lancaster R, Zeeman H, Defty D, et al. Ongoing Initiatives to Improve the Quality and Efficiency of Medicine Use within the Public Healthcare System in South Africa; A Preliminary Study. Frontiers in pharmacology. 2017;8:751</w:t>
      </w:r>
    </w:p>
    <w:p w:rsidR="0090406C" w:rsidRDefault="0090406C" w:rsidP="0090406C">
      <w:pPr>
        <w:pStyle w:val="EndNoteBibliography"/>
        <w:numPr>
          <w:ilvl w:val="0"/>
          <w:numId w:val="31"/>
        </w:numPr>
        <w:spacing w:after="0" w:line="360" w:lineRule="auto"/>
        <w:ind w:left="786"/>
        <w:rPr>
          <w:sz w:val="24"/>
          <w:szCs w:val="24"/>
        </w:rPr>
      </w:pPr>
      <w:r>
        <w:rPr>
          <w:sz w:val="24"/>
          <w:szCs w:val="24"/>
        </w:rPr>
        <w:t>Afriyie DK, Amponsah SK, Dogbey J, Agyekum K, Kesse S, Truter I, et al. A pilot study evaluating the prescribing of ceftriaxone in hospitals in Ghana: findings and implications. Hospital practice. 2017;45(4):143-9</w:t>
      </w:r>
    </w:p>
    <w:p w:rsidR="0090406C" w:rsidRDefault="0090406C" w:rsidP="0090406C">
      <w:pPr>
        <w:pStyle w:val="EndNoteBibliography"/>
        <w:numPr>
          <w:ilvl w:val="0"/>
          <w:numId w:val="31"/>
        </w:numPr>
        <w:spacing w:after="0" w:line="360" w:lineRule="auto"/>
        <w:ind w:left="786"/>
        <w:rPr>
          <w:sz w:val="24"/>
          <w:szCs w:val="24"/>
        </w:rPr>
      </w:pPr>
      <w:r>
        <w:rPr>
          <w:sz w:val="24"/>
          <w:szCs w:val="24"/>
        </w:rPr>
        <w:t>Fadare JO, Adeoti AO, Desalu OO, Enwere OO, Makusidi AM, Ogunleye O, et al. The prescribing of generic medicines in Nigeria: knowledge, perceptions and attitudes of physicians. Expert review of pharmacoeconomics &amp; outcomes research. 2016;16(5):639-50.</w:t>
      </w:r>
    </w:p>
    <w:p w:rsidR="0090406C" w:rsidRDefault="0090406C" w:rsidP="0090406C">
      <w:pPr>
        <w:pStyle w:val="EndNoteBibliography"/>
        <w:numPr>
          <w:ilvl w:val="0"/>
          <w:numId w:val="31"/>
        </w:numPr>
        <w:spacing w:after="0" w:line="360" w:lineRule="auto"/>
        <w:ind w:left="786"/>
        <w:rPr>
          <w:sz w:val="24"/>
          <w:szCs w:val="24"/>
        </w:rPr>
      </w:pPr>
      <w:r>
        <w:rPr>
          <w:sz w:val="24"/>
          <w:szCs w:val="24"/>
        </w:rPr>
        <w:t>Ezenduka C,</w:t>
      </w:r>
      <w:r>
        <w:rPr>
          <w:sz w:val="24"/>
          <w:szCs w:val="24"/>
          <w:lang w:val="en-GB"/>
        </w:rPr>
        <w:t>Uboch</w:t>
      </w:r>
      <w:r>
        <w:rPr>
          <w:sz w:val="24"/>
          <w:szCs w:val="24"/>
        </w:rPr>
        <w:t>V, Ogbonna BO. The Utilization Pattern and Costs Analysis of Psychotropic Drugs at a Neuropsychiatric  Hospital in Nigeria. British Journal of Pharmaceutical Research. 2014;4(3):325-37</w:t>
      </w:r>
    </w:p>
    <w:bookmarkEnd w:id="2"/>
    <w:p w:rsidR="0090406C" w:rsidRDefault="0090406C" w:rsidP="0090406C">
      <w:pPr>
        <w:pStyle w:val="ListParagraph"/>
        <w:tabs>
          <w:tab w:val="left" w:pos="4845"/>
        </w:tabs>
        <w:spacing w:line="360" w:lineRule="auto"/>
        <w:ind w:left="0"/>
      </w:pPr>
    </w:p>
    <w:p w:rsidR="00223198" w:rsidRDefault="00223198" w:rsidP="003565D4">
      <w:pPr>
        <w:pStyle w:val="Tabletitle"/>
      </w:pPr>
    </w:p>
    <w:sectPr w:rsidR="00223198" w:rsidSect="007F0C09">
      <w:footerReference w:type="default" r:id="rId32"/>
      <w:pgSz w:w="11901"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72EE" w:rsidRDefault="00FF72EE" w:rsidP="00AF2C92">
      <w:r>
        <w:separator/>
      </w:r>
    </w:p>
  </w:endnote>
  <w:endnote w:type="continuationSeparator" w:id="0">
    <w:p w:rsidR="00FF72EE" w:rsidRDefault="00FF72EE"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7240826"/>
      <w:docPartObj>
        <w:docPartGallery w:val="Page Numbers (Bottom of Page)"/>
        <w:docPartUnique/>
      </w:docPartObj>
    </w:sdtPr>
    <w:sdtEndPr>
      <w:rPr>
        <w:noProof/>
      </w:rPr>
    </w:sdtEndPr>
    <w:sdtContent>
      <w:p w:rsidR="00A13162" w:rsidRDefault="00A1316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5D6530" w:rsidRDefault="005D65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72EE" w:rsidRDefault="00FF72EE" w:rsidP="00AF2C92">
      <w:r>
        <w:separator/>
      </w:r>
    </w:p>
  </w:footnote>
  <w:footnote w:type="continuationSeparator" w:id="0">
    <w:p w:rsidR="00FF72EE" w:rsidRDefault="00FF72EE" w:rsidP="00AF2C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C2F5B69"/>
    <w:multiLevelType w:val="hybridMultilevel"/>
    <w:tmpl w:val="332EFC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2C991C05"/>
    <w:multiLevelType w:val="multilevel"/>
    <w:tmpl w:val="AEA6AFC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AB453D1"/>
    <w:multiLevelType w:val="hybridMultilevel"/>
    <w:tmpl w:val="9BAA4432"/>
    <w:lvl w:ilvl="0" w:tplc="90B01308">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6"/>
  </w:num>
  <w:num w:numId="2">
    <w:abstractNumId w:val="22"/>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20"/>
  </w:num>
  <w:num w:numId="14">
    <w:abstractNumId w:val="23"/>
  </w:num>
  <w:num w:numId="15">
    <w:abstractNumId w:val="15"/>
  </w:num>
  <w:num w:numId="16">
    <w:abstractNumId w:val="18"/>
  </w:num>
  <w:num w:numId="17">
    <w:abstractNumId w:val="11"/>
  </w:num>
  <w:num w:numId="18">
    <w:abstractNumId w:val="0"/>
  </w:num>
  <w:num w:numId="19">
    <w:abstractNumId w:val="12"/>
  </w:num>
  <w:num w:numId="20">
    <w:abstractNumId w:val="23"/>
  </w:num>
  <w:num w:numId="21">
    <w:abstractNumId w:val="23"/>
  </w:num>
  <w:num w:numId="22">
    <w:abstractNumId w:val="23"/>
  </w:num>
  <w:num w:numId="23">
    <w:abstractNumId w:val="23"/>
  </w:num>
  <w:num w:numId="24">
    <w:abstractNumId w:val="20"/>
  </w:num>
  <w:num w:numId="25">
    <w:abstractNumId w:val="21"/>
  </w:num>
  <w:num w:numId="26">
    <w:abstractNumId w:val="24"/>
  </w:num>
  <w:num w:numId="27">
    <w:abstractNumId w:val="25"/>
  </w:num>
  <w:num w:numId="28">
    <w:abstractNumId w:val="23"/>
  </w:num>
  <w:num w:numId="29">
    <w:abstractNumId w:val="14"/>
  </w:num>
  <w:num w:numId="30">
    <w:abstractNumId w:val="26"/>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13"/>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29A"/>
    <w:rsid w:val="00001899"/>
    <w:rsid w:val="000049AD"/>
    <w:rsid w:val="0000681B"/>
    <w:rsid w:val="000133C0"/>
    <w:rsid w:val="00014C4E"/>
    <w:rsid w:val="00017107"/>
    <w:rsid w:val="000202E2"/>
    <w:rsid w:val="000206E7"/>
    <w:rsid w:val="00022441"/>
    <w:rsid w:val="0002261E"/>
    <w:rsid w:val="00024839"/>
    <w:rsid w:val="00026871"/>
    <w:rsid w:val="00037A98"/>
    <w:rsid w:val="000427FB"/>
    <w:rsid w:val="0004455E"/>
    <w:rsid w:val="00047CB5"/>
    <w:rsid w:val="00051FAA"/>
    <w:rsid w:val="000572A9"/>
    <w:rsid w:val="00061325"/>
    <w:rsid w:val="000733AC"/>
    <w:rsid w:val="00074B81"/>
    <w:rsid w:val="00074D22"/>
    <w:rsid w:val="00075081"/>
    <w:rsid w:val="0007528A"/>
    <w:rsid w:val="000811AB"/>
    <w:rsid w:val="00082DA8"/>
    <w:rsid w:val="00083C5F"/>
    <w:rsid w:val="0009172C"/>
    <w:rsid w:val="000930EC"/>
    <w:rsid w:val="00095E61"/>
    <w:rsid w:val="000966C1"/>
    <w:rsid w:val="000970AC"/>
    <w:rsid w:val="000A1167"/>
    <w:rsid w:val="000A4428"/>
    <w:rsid w:val="000A6D40"/>
    <w:rsid w:val="000A7BC3"/>
    <w:rsid w:val="000B1661"/>
    <w:rsid w:val="000B2E88"/>
    <w:rsid w:val="000B4603"/>
    <w:rsid w:val="000C09BE"/>
    <w:rsid w:val="000C1380"/>
    <w:rsid w:val="000C554F"/>
    <w:rsid w:val="000D0DC5"/>
    <w:rsid w:val="000D15FF"/>
    <w:rsid w:val="000D28DF"/>
    <w:rsid w:val="000D488B"/>
    <w:rsid w:val="000D68DF"/>
    <w:rsid w:val="000D6BB2"/>
    <w:rsid w:val="000E138D"/>
    <w:rsid w:val="000E187A"/>
    <w:rsid w:val="000E2D61"/>
    <w:rsid w:val="000E450E"/>
    <w:rsid w:val="000E6259"/>
    <w:rsid w:val="000F4677"/>
    <w:rsid w:val="000F5BE0"/>
    <w:rsid w:val="000F6073"/>
    <w:rsid w:val="00100587"/>
    <w:rsid w:val="0010284E"/>
    <w:rsid w:val="00103122"/>
    <w:rsid w:val="0010336A"/>
    <w:rsid w:val="001050F1"/>
    <w:rsid w:val="00105AEA"/>
    <w:rsid w:val="00106DAF"/>
    <w:rsid w:val="00114ABE"/>
    <w:rsid w:val="00116023"/>
    <w:rsid w:val="001334F0"/>
    <w:rsid w:val="00134A51"/>
    <w:rsid w:val="00140727"/>
    <w:rsid w:val="00160628"/>
    <w:rsid w:val="00161344"/>
    <w:rsid w:val="00162195"/>
    <w:rsid w:val="0016322A"/>
    <w:rsid w:val="00165A21"/>
    <w:rsid w:val="001705CE"/>
    <w:rsid w:val="0017714B"/>
    <w:rsid w:val="001804DF"/>
    <w:rsid w:val="00181BDC"/>
    <w:rsid w:val="00181DB0"/>
    <w:rsid w:val="001829E3"/>
    <w:rsid w:val="00191695"/>
    <w:rsid w:val="001924C0"/>
    <w:rsid w:val="0019731E"/>
    <w:rsid w:val="001A09FE"/>
    <w:rsid w:val="001A67C9"/>
    <w:rsid w:val="001A69DE"/>
    <w:rsid w:val="001A713C"/>
    <w:rsid w:val="001B1C7C"/>
    <w:rsid w:val="001B398F"/>
    <w:rsid w:val="001B46C6"/>
    <w:rsid w:val="001B4B48"/>
    <w:rsid w:val="001B4D1F"/>
    <w:rsid w:val="001B7681"/>
    <w:rsid w:val="001B7CAE"/>
    <w:rsid w:val="001C0772"/>
    <w:rsid w:val="001C0D4F"/>
    <w:rsid w:val="001C1BA3"/>
    <w:rsid w:val="001C1DEC"/>
    <w:rsid w:val="001C5736"/>
    <w:rsid w:val="001D647F"/>
    <w:rsid w:val="001D6857"/>
    <w:rsid w:val="001E0572"/>
    <w:rsid w:val="001E0A67"/>
    <w:rsid w:val="001E1028"/>
    <w:rsid w:val="001E14E2"/>
    <w:rsid w:val="001E6302"/>
    <w:rsid w:val="001E7DCB"/>
    <w:rsid w:val="001F3411"/>
    <w:rsid w:val="001F4287"/>
    <w:rsid w:val="001F4DBA"/>
    <w:rsid w:val="0020415E"/>
    <w:rsid w:val="00204FF4"/>
    <w:rsid w:val="0021056E"/>
    <w:rsid w:val="0021075D"/>
    <w:rsid w:val="0021165A"/>
    <w:rsid w:val="00211BC9"/>
    <w:rsid w:val="0021620C"/>
    <w:rsid w:val="00216E78"/>
    <w:rsid w:val="00217275"/>
    <w:rsid w:val="00217AA6"/>
    <w:rsid w:val="00223198"/>
    <w:rsid w:val="00236F4B"/>
    <w:rsid w:val="00242B0D"/>
    <w:rsid w:val="002467C6"/>
    <w:rsid w:val="0024692A"/>
    <w:rsid w:val="0025226F"/>
    <w:rsid w:val="00252BBA"/>
    <w:rsid w:val="00253123"/>
    <w:rsid w:val="00264001"/>
    <w:rsid w:val="00266354"/>
    <w:rsid w:val="00267A18"/>
    <w:rsid w:val="00273462"/>
    <w:rsid w:val="0027395B"/>
    <w:rsid w:val="00275854"/>
    <w:rsid w:val="00283B41"/>
    <w:rsid w:val="00285F28"/>
    <w:rsid w:val="00286398"/>
    <w:rsid w:val="00290266"/>
    <w:rsid w:val="002A3C42"/>
    <w:rsid w:val="002A5D75"/>
    <w:rsid w:val="002B1B1A"/>
    <w:rsid w:val="002B7228"/>
    <w:rsid w:val="002C53EE"/>
    <w:rsid w:val="002D24F7"/>
    <w:rsid w:val="002D2799"/>
    <w:rsid w:val="002D2CD7"/>
    <w:rsid w:val="002D4DDC"/>
    <w:rsid w:val="002D4F75"/>
    <w:rsid w:val="002D6493"/>
    <w:rsid w:val="002D7AB6"/>
    <w:rsid w:val="002E06D0"/>
    <w:rsid w:val="002E3C27"/>
    <w:rsid w:val="002E403A"/>
    <w:rsid w:val="002E7F3A"/>
    <w:rsid w:val="002F28C6"/>
    <w:rsid w:val="002F4EDB"/>
    <w:rsid w:val="002F6054"/>
    <w:rsid w:val="00315713"/>
    <w:rsid w:val="0031686C"/>
    <w:rsid w:val="00316FE0"/>
    <w:rsid w:val="003204D2"/>
    <w:rsid w:val="0032605E"/>
    <w:rsid w:val="003275D1"/>
    <w:rsid w:val="00330B2A"/>
    <w:rsid w:val="00331E17"/>
    <w:rsid w:val="00333063"/>
    <w:rsid w:val="003408E3"/>
    <w:rsid w:val="00343480"/>
    <w:rsid w:val="00345E89"/>
    <w:rsid w:val="003522A1"/>
    <w:rsid w:val="0035254B"/>
    <w:rsid w:val="00353555"/>
    <w:rsid w:val="003565D4"/>
    <w:rsid w:val="003607FB"/>
    <w:rsid w:val="00360FD5"/>
    <w:rsid w:val="0036340D"/>
    <w:rsid w:val="003634A5"/>
    <w:rsid w:val="00364141"/>
    <w:rsid w:val="00366868"/>
    <w:rsid w:val="00367506"/>
    <w:rsid w:val="00370085"/>
    <w:rsid w:val="003744A7"/>
    <w:rsid w:val="00376235"/>
    <w:rsid w:val="00381FB6"/>
    <w:rsid w:val="003836D3"/>
    <w:rsid w:val="00383A52"/>
    <w:rsid w:val="00391652"/>
    <w:rsid w:val="0039507F"/>
    <w:rsid w:val="003A1260"/>
    <w:rsid w:val="003A295F"/>
    <w:rsid w:val="003A41DD"/>
    <w:rsid w:val="003A7033"/>
    <w:rsid w:val="003B26A4"/>
    <w:rsid w:val="003B47FE"/>
    <w:rsid w:val="003B5673"/>
    <w:rsid w:val="003B62C9"/>
    <w:rsid w:val="003C7176"/>
    <w:rsid w:val="003D0929"/>
    <w:rsid w:val="003D4729"/>
    <w:rsid w:val="003D7DD6"/>
    <w:rsid w:val="003E5AAF"/>
    <w:rsid w:val="003E600D"/>
    <w:rsid w:val="003E64DF"/>
    <w:rsid w:val="003E6A5D"/>
    <w:rsid w:val="003F1193"/>
    <w:rsid w:val="003F193A"/>
    <w:rsid w:val="003F4207"/>
    <w:rsid w:val="003F5C46"/>
    <w:rsid w:val="003F7CBB"/>
    <w:rsid w:val="003F7D34"/>
    <w:rsid w:val="00400B2F"/>
    <w:rsid w:val="00412C8E"/>
    <w:rsid w:val="0041518D"/>
    <w:rsid w:val="0042221D"/>
    <w:rsid w:val="00424DD3"/>
    <w:rsid w:val="004269C5"/>
    <w:rsid w:val="00435939"/>
    <w:rsid w:val="00437CC7"/>
    <w:rsid w:val="00442B9C"/>
    <w:rsid w:val="00445EFA"/>
    <w:rsid w:val="0044738A"/>
    <w:rsid w:val="004473D3"/>
    <w:rsid w:val="00452231"/>
    <w:rsid w:val="00460C13"/>
    <w:rsid w:val="00463228"/>
    <w:rsid w:val="00463782"/>
    <w:rsid w:val="004661A5"/>
    <w:rsid w:val="004667E0"/>
    <w:rsid w:val="0046760E"/>
    <w:rsid w:val="00470E10"/>
    <w:rsid w:val="00474648"/>
    <w:rsid w:val="00477A97"/>
    <w:rsid w:val="00481343"/>
    <w:rsid w:val="0048549E"/>
    <w:rsid w:val="00493347"/>
    <w:rsid w:val="00496092"/>
    <w:rsid w:val="004A08DB"/>
    <w:rsid w:val="004A25D0"/>
    <w:rsid w:val="004A37E8"/>
    <w:rsid w:val="004A7549"/>
    <w:rsid w:val="004B09D4"/>
    <w:rsid w:val="004B309D"/>
    <w:rsid w:val="004B330A"/>
    <w:rsid w:val="004B7C8E"/>
    <w:rsid w:val="004C3D3C"/>
    <w:rsid w:val="004D0EDC"/>
    <w:rsid w:val="004D1220"/>
    <w:rsid w:val="004D14B3"/>
    <w:rsid w:val="004D1529"/>
    <w:rsid w:val="004D2253"/>
    <w:rsid w:val="004D4AE5"/>
    <w:rsid w:val="004D5514"/>
    <w:rsid w:val="004D56C3"/>
    <w:rsid w:val="004E0338"/>
    <w:rsid w:val="004E4FF3"/>
    <w:rsid w:val="004E56A8"/>
    <w:rsid w:val="004F3B55"/>
    <w:rsid w:val="004F4E46"/>
    <w:rsid w:val="004F6B7D"/>
    <w:rsid w:val="005015F6"/>
    <w:rsid w:val="005030C4"/>
    <w:rsid w:val="005031C5"/>
    <w:rsid w:val="00504FDC"/>
    <w:rsid w:val="005120CC"/>
    <w:rsid w:val="00512B7B"/>
    <w:rsid w:val="00514EA1"/>
    <w:rsid w:val="0051798B"/>
    <w:rsid w:val="00521F5A"/>
    <w:rsid w:val="00525E06"/>
    <w:rsid w:val="00526454"/>
    <w:rsid w:val="00530108"/>
    <w:rsid w:val="00531823"/>
    <w:rsid w:val="00534ECC"/>
    <w:rsid w:val="0053720D"/>
    <w:rsid w:val="00540EF5"/>
    <w:rsid w:val="00541BF3"/>
    <w:rsid w:val="00541CD3"/>
    <w:rsid w:val="005476FA"/>
    <w:rsid w:val="0055595E"/>
    <w:rsid w:val="00557988"/>
    <w:rsid w:val="00562C49"/>
    <w:rsid w:val="00562DEF"/>
    <w:rsid w:val="0056321A"/>
    <w:rsid w:val="00563A35"/>
    <w:rsid w:val="00566596"/>
    <w:rsid w:val="005741E9"/>
    <w:rsid w:val="005748CF"/>
    <w:rsid w:val="00584270"/>
    <w:rsid w:val="00584738"/>
    <w:rsid w:val="005920B0"/>
    <w:rsid w:val="0059380D"/>
    <w:rsid w:val="00595A8F"/>
    <w:rsid w:val="005977C2"/>
    <w:rsid w:val="00597BF2"/>
    <w:rsid w:val="005A1E48"/>
    <w:rsid w:val="005B134E"/>
    <w:rsid w:val="005B2039"/>
    <w:rsid w:val="005B344F"/>
    <w:rsid w:val="005B3FBA"/>
    <w:rsid w:val="005B4A1D"/>
    <w:rsid w:val="005B674D"/>
    <w:rsid w:val="005C0CBE"/>
    <w:rsid w:val="005C1FCF"/>
    <w:rsid w:val="005D1885"/>
    <w:rsid w:val="005D4A38"/>
    <w:rsid w:val="005D6530"/>
    <w:rsid w:val="005E2EEA"/>
    <w:rsid w:val="005E3708"/>
    <w:rsid w:val="005E3CCD"/>
    <w:rsid w:val="005E3D6B"/>
    <w:rsid w:val="005E5B55"/>
    <w:rsid w:val="005E5E4A"/>
    <w:rsid w:val="005E693D"/>
    <w:rsid w:val="005E75BF"/>
    <w:rsid w:val="005F57BA"/>
    <w:rsid w:val="005F61E6"/>
    <w:rsid w:val="005F6C45"/>
    <w:rsid w:val="00604A35"/>
    <w:rsid w:val="00605A69"/>
    <w:rsid w:val="00606C54"/>
    <w:rsid w:val="00614375"/>
    <w:rsid w:val="00615B0A"/>
    <w:rsid w:val="006168CF"/>
    <w:rsid w:val="0062011B"/>
    <w:rsid w:val="00626DE0"/>
    <w:rsid w:val="00630901"/>
    <w:rsid w:val="00631F8E"/>
    <w:rsid w:val="00636EE9"/>
    <w:rsid w:val="00640950"/>
    <w:rsid w:val="00641AE7"/>
    <w:rsid w:val="00642629"/>
    <w:rsid w:val="0065293D"/>
    <w:rsid w:val="00653EFC"/>
    <w:rsid w:val="00654021"/>
    <w:rsid w:val="00661045"/>
    <w:rsid w:val="00666DA8"/>
    <w:rsid w:val="00671057"/>
    <w:rsid w:val="00675AAF"/>
    <w:rsid w:val="0068031A"/>
    <w:rsid w:val="00681B2F"/>
    <w:rsid w:val="0068335F"/>
    <w:rsid w:val="00687217"/>
    <w:rsid w:val="00693302"/>
    <w:rsid w:val="0069640B"/>
    <w:rsid w:val="006A1B83"/>
    <w:rsid w:val="006A21CD"/>
    <w:rsid w:val="006A5918"/>
    <w:rsid w:val="006B21B2"/>
    <w:rsid w:val="006B4A4A"/>
    <w:rsid w:val="006C19B2"/>
    <w:rsid w:val="006C5BB8"/>
    <w:rsid w:val="006C6936"/>
    <w:rsid w:val="006C7B01"/>
    <w:rsid w:val="006D0FE8"/>
    <w:rsid w:val="006D4B2B"/>
    <w:rsid w:val="006D4F3C"/>
    <w:rsid w:val="006D5C66"/>
    <w:rsid w:val="006E1B3C"/>
    <w:rsid w:val="006E23FB"/>
    <w:rsid w:val="006E325A"/>
    <w:rsid w:val="006E33EC"/>
    <w:rsid w:val="006E3802"/>
    <w:rsid w:val="006E6C02"/>
    <w:rsid w:val="006F231A"/>
    <w:rsid w:val="006F6B55"/>
    <w:rsid w:val="006F788D"/>
    <w:rsid w:val="006F78E1"/>
    <w:rsid w:val="00701072"/>
    <w:rsid w:val="00702054"/>
    <w:rsid w:val="007035A4"/>
    <w:rsid w:val="00711799"/>
    <w:rsid w:val="00712B78"/>
    <w:rsid w:val="0071393B"/>
    <w:rsid w:val="00713EE2"/>
    <w:rsid w:val="007177FC"/>
    <w:rsid w:val="007207D7"/>
    <w:rsid w:val="00720C5E"/>
    <w:rsid w:val="00721701"/>
    <w:rsid w:val="00730086"/>
    <w:rsid w:val="00731835"/>
    <w:rsid w:val="007341F8"/>
    <w:rsid w:val="00734372"/>
    <w:rsid w:val="00734EB8"/>
    <w:rsid w:val="00735F8B"/>
    <w:rsid w:val="00742D1F"/>
    <w:rsid w:val="00743EBA"/>
    <w:rsid w:val="00744C8E"/>
    <w:rsid w:val="0074707E"/>
    <w:rsid w:val="007516DC"/>
    <w:rsid w:val="00754B80"/>
    <w:rsid w:val="00761918"/>
    <w:rsid w:val="00762F03"/>
    <w:rsid w:val="0076413B"/>
    <w:rsid w:val="007648AE"/>
    <w:rsid w:val="00764BF8"/>
    <w:rsid w:val="0076514D"/>
    <w:rsid w:val="00773D59"/>
    <w:rsid w:val="00781003"/>
    <w:rsid w:val="007911FD"/>
    <w:rsid w:val="00793930"/>
    <w:rsid w:val="00793DD1"/>
    <w:rsid w:val="00794FEC"/>
    <w:rsid w:val="007A003E"/>
    <w:rsid w:val="007A1965"/>
    <w:rsid w:val="007A2ED1"/>
    <w:rsid w:val="007A4BE6"/>
    <w:rsid w:val="007B0DC6"/>
    <w:rsid w:val="007B1094"/>
    <w:rsid w:val="007B1762"/>
    <w:rsid w:val="007B3320"/>
    <w:rsid w:val="007C301F"/>
    <w:rsid w:val="007C4540"/>
    <w:rsid w:val="007C65AF"/>
    <w:rsid w:val="007D135D"/>
    <w:rsid w:val="007D730F"/>
    <w:rsid w:val="007D7CD8"/>
    <w:rsid w:val="007E3AA7"/>
    <w:rsid w:val="007F0C09"/>
    <w:rsid w:val="007F737D"/>
    <w:rsid w:val="0080308E"/>
    <w:rsid w:val="00805303"/>
    <w:rsid w:val="00806705"/>
    <w:rsid w:val="00806738"/>
    <w:rsid w:val="008150EA"/>
    <w:rsid w:val="008216D5"/>
    <w:rsid w:val="008249CE"/>
    <w:rsid w:val="00831A50"/>
    <w:rsid w:val="00831B3C"/>
    <w:rsid w:val="00831C89"/>
    <w:rsid w:val="00832114"/>
    <w:rsid w:val="00834C46"/>
    <w:rsid w:val="00835ACD"/>
    <w:rsid w:val="0084093E"/>
    <w:rsid w:val="00841CE1"/>
    <w:rsid w:val="008451D9"/>
    <w:rsid w:val="008473D8"/>
    <w:rsid w:val="008528DC"/>
    <w:rsid w:val="00852B8C"/>
    <w:rsid w:val="00854981"/>
    <w:rsid w:val="00864B2E"/>
    <w:rsid w:val="00865757"/>
    <w:rsid w:val="00865963"/>
    <w:rsid w:val="00871C1D"/>
    <w:rsid w:val="0087450E"/>
    <w:rsid w:val="00875A82"/>
    <w:rsid w:val="00876CA3"/>
    <w:rsid w:val="008772FE"/>
    <w:rsid w:val="008775F1"/>
    <w:rsid w:val="008821AE"/>
    <w:rsid w:val="00883D3A"/>
    <w:rsid w:val="008854F7"/>
    <w:rsid w:val="00885A9D"/>
    <w:rsid w:val="00887ED8"/>
    <w:rsid w:val="008929D2"/>
    <w:rsid w:val="00893636"/>
    <w:rsid w:val="00893B94"/>
    <w:rsid w:val="00896E9D"/>
    <w:rsid w:val="00896F11"/>
    <w:rsid w:val="008A1049"/>
    <w:rsid w:val="008A1C98"/>
    <w:rsid w:val="008A322D"/>
    <w:rsid w:val="008A4D72"/>
    <w:rsid w:val="008A6285"/>
    <w:rsid w:val="008A63B2"/>
    <w:rsid w:val="008B0298"/>
    <w:rsid w:val="008B345D"/>
    <w:rsid w:val="008C0FF6"/>
    <w:rsid w:val="008C1FC2"/>
    <w:rsid w:val="008C2980"/>
    <w:rsid w:val="008C4DD6"/>
    <w:rsid w:val="008C5AFB"/>
    <w:rsid w:val="008D07FB"/>
    <w:rsid w:val="008D0C02"/>
    <w:rsid w:val="008D357D"/>
    <w:rsid w:val="008D435A"/>
    <w:rsid w:val="008E387B"/>
    <w:rsid w:val="008E6087"/>
    <w:rsid w:val="008E758D"/>
    <w:rsid w:val="008F10A7"/>
    <w:rsid w:val="008F755D"/>
    <w:rsid w:val="008F7A39"/>
    <w:rsid w:val="009021E8"/>
    <w:rsid w:val="0090406C"/>
    <w:rsid w:val="00904677"/>
    <w:rsid w:val="00905EE2"/>
    <w:rsid w:val="00906F68"/>
    <w:rsid w:val="00911440"/>
    <w:rsid w:val="00911712"/>
    <w:rsid w:val="00911B27"/>
    <w:rsid w:val="009170BE"/>
    <w:rsid w:val="00917E91"/>
    <w:rsid w:val="00920B55"/>
    <w:rsid w:val="009262C9"/>
    <w:rsid w:val="00930EB9"/>
    <w:rsid w:val="00933DC7"/>
    <w:rsid w:val="009418F4"/>
    <w:rsid w:val="00942BBC"/>
    <w:rsid w:val="00944180"/>
    <w:rsid w:val="00944AA0"/>
    <w:rsid w:val="00947DA2"/>
    <w:rsid w:val="00951177"/>
    <w:rsid w:val="00960689"/>
    <w:rsid w:val="009673E8"/>
    <w:rsid w:val="00974DB8"/>
    <w:rsid w:val="00980661"/>
    <w:rsid w:val="0098093B"/>
    <w:rsid w:val="009876D4"/>
    <w:rsid w:val="009914A5"/>
    <w:rsid w:val="0099548E"/>
    <w:rsid w:val="00996456"/>
    <w:rsid w:val="00996A12"/>
    <w:rsid w:val="00997B0F"/>
    <w:rsid w:val="009A1CAD"/>
    <w:rsid w:val="009A3440"/>
    <w:rsid w:val="009A389B"/>
    <w:rsid w:val="009A5832"/>
    <w:rsid w:val="009A6838"/>
    <w:rsid w:val="009B24B5"/>
    <w:rsid w:val="009B4EBC"/>
    <w:rsid w:val="009B5ABB"/>
    <w:rsid w:val="009B73CE"/>
    <w:rsid w:val="009C2461"/>
    <w:rsid w:val="009C4E13"/>
    <w:rsid w:val="009C6FE2"/>
    <w:rsid w:val="009C7674"/>
    <w:rsid w:val="009D004A"/>
    <w:rsid w:val="009D5880"/>
    <w:rsid w:val="009E1FD4"/>
    <w:rsid w:val="009E3B07"/>
    <w:rsid w:val="009E51D1"/>
    <w:rsid w:val="009E5531"/>
    <w:rsid w:val="009F171E"/>
    <w:rsid w:val="009F3D2F"/>
    <w:rsid w:val="009F7052"/>
    <w:rsid w:val="00A02668"/>
    <w:rsid w:val="00A02801"/>
    <w:rsid w:val="00A04384"/>
    <w:rsid w:val="00A06A39"/>
    <w:rsid w:val="00A07F58"/>
    <w:rsid w:val="00A13162"/>
    <w:rsid w:val="00A131CB"/>
    <w:rsid w:val="00A14847"/>
    <w:rsid w:val="00A16D6D"/>
    <w:rsid w:val="00A21383"/>
    <w:rsid w:val="00A2199F"/>
    <w:rsid w:val="00A21B31"/>
    <w:rsid w:val="00A2360E"/>
    <w:rsid w:val="00A26E0C"/>
    <w:rsid w:val="00A32FCB"/>
    <w:rsid w:val="00A34C25"/>
    <w:rsid w:val="00A3507D"/>
    <w:rsid w:val="00A3717A"/>
    <w:rsid w:val="00A4088C"/>
    <w:rsid w:val="00A4456B"/>
    <w:rsid w:val="00A448D4"/>
    <w:rsid w:val="00A452E0"/>
    <w:rsid w:val="00A51EA5"/>
    <w:rsid w:val="00A53742"/>
    <w:rsid w:val="00A557A1"/>
    <w:rsid w:val="00A63059"/>
    <w:rsid w:val="00A63AE3"/>
    <w:rsid w:val="00A651A4"/>
    <w:rsid w:val="00A71361"/>
    <w:rsid w:val="00A746E2"/>
    <w:rsid w:val="00A81FF2"/>
    <w:rsid w:val="00A83904"/>
    <w:rsid w:val="00A90A79"/>
    <w:rsid w:val="00A96B30"/>
    <w:rsid w:val="00AA59B5"/>
    <w:rsid w:val="00AA7777"/>
    <w:rsid w:val="00AA7B84"/>
    <w:rsid w:val="00AB1967"/>
    <w:rsid w:val="00AC0B4C"/>
    <w:rsid w:val="00AC1164"/>
    <w:rsid w:val="00AC2296"/>
    <w:rsid w:val="00AC2754"/>
    <w:rsid w:val="00AC48B0"/>
    <w:rsid w:val="00AC4ACD"/>
    <w:rsid w:val="00AC5DFB"/>
    <w:rsid w:val="00AD13DC"/>
    <w:rsid w:val="00AD6DE2"/>
    <w:rsid w:val="00AE0A40"/>
    <w:rsid w:val="00AE1ED4"/>
    <w:rsid w:val="00AE21E1"/>
    <w:rsid w:val="00AE2F8D"/>
    <w:rsid w:val="00AE3BAE"/>
    <w:rsid w:val="00AE6A21"/>
    <w:rsid w:val="00AE7E2B"/>
    <w:rsid w:val="00AF1C8F"/>
    <w:rsid w:val="00AF2451"/>
    <w:rsid w:val="00AF2B68"/>
    <w:rsid w:val="00AF2C92"/>
    <w:rsid w:val="00AF3EC1"/>
    <w:rsid w:val="00AF5025"/>
    <w:rsid w:val="00AF519F"/>
    <w:rsid w:val="00AF5387"/>
    <w:rsid w:val="00AF55F5"/>
    <w:rsid w:val="00AF7E86"/>
    <w:rsid w:val="00B024B9"/>
    <w:rsid w:val="00B077FA"/>
    <w:rsid w:val="00B124DD"/>
    <w:rsid w:val="00B127D7"/>
    <w:rsid w:val="00B13B0C"/>
    <w:rsid w:val="00B1453A"/>
    <w:rsid w:val="00B20F82"/>
    <w:rsid w:val="00B25BD5"/>
    <w:rsid w:val="00B34079"/>
    <w:rsid w:val="00B3793A"/>
    <w:rsid w:val="00B401BA"/>
    <w:rsid w:val="00B407E4"/>
    <w:rsid w:val="00B425B6"/>
    <w:rsid w:val="00B42A72"/>
    <w:rsid w:val="00B441AE"/>
    <w:rsid w:val="00B45A65"/>
    <w:rsid w:val="00B45F33"/>
    <w:rsid w:val="00B46D50"/>
    <w:rsid w:val="00B53170"/>
    <w:rsid w:val="00B548B9"/>
    <w:rsid w:val="00B56DBE"/>
    <w:rsid w:val="00B62999"/>
    <w:rsid w:val="00B63BE3"/>
    <w:rsid w:val="00B64885"/>
    <w:rsid w:val="00B66810"/>
    <w:rsid w:val="00B72BE3"/>
    <w:rsid w:val="00B73B80"/>
    <w:rsid w:val="00B75A3B"/>
    <w:rsid w:val="00B770C7"/>
    <w:rsid w:val="00B80F26"/>
    <w:rsid w:val="00B822BD"/>
    <w:rsid w:val="00B842F4"/>
    <w:rsid w:val="00B91A7B"/>
    <w:rsid w:val="00B929DD"/>
    <w:rsid w:val="00B93AF6"/>
    <w:rsid w:val="00B94A26"/>
    <w:rsid w:val="00B95405"/>
    <w:rsid w:val="00B963F1"/>
    <w:rsid w:val="00BA020A"/>
    <w:rsid w:val="00BB02A4"/>
    <w:rsid w:val="00BB1270"/>
    <w:rsid w:val="00BB1E44"/>
    <w:rsid w:val="00BB5267"/>
    <w:rsid w:val="00BB52B8"/>
    <w:rsid w:val="00BB59D8"/>
    <w:rsid w:val="00BB7E69"/>
    <w:rsid w:val="00BC0E51"/>
    <w:rsid w:val="00BC3C1F"/>
    <w:rsid w:val="00BC7CE7"/>
    <w:rsid w:val="00BD295E"/>
    <w:rsid w:val="00BD4664"/>
    <w:rsid w:val="00BD6B7C"/>
    <w:rsid w:val="00BE1193"/>
    <w:rsid w:val="00BE2726"/>
    <w:rsid w:val="00BF028B"/>
    <w:rsid w:val="00BF4849"/>
    <w:rsid w:val="00BF4EA7"/>
    <w:rsid w:val="00C00EDB"/>
    <w:rsid w:val="00C02863"/>
    <w:rsid w:val="00C0383A"/>
    <w:rsid w:val="00C067FF"/>
    <w:rsid w:val="00C12862"/>
    <w:rsid w:val="00C13D28"/>
    <w:rsid w:val="00C14585"/>
    <w:rsid w:val="00C165A0"/>
    <w:rsid w:val="00C216CE"/>
    <w:rsid w:val="00C2184F"/>
    <w:rsid w:val="00C22A78"/>
    <w:rsid w:val="00C23C7E"/>
    <w:rsid w:val="00C246C5"/>
    <w:rsid w:val="00C25A82"/>
    <w:rsid w:val="00C30A2A"/>
    <w:rsid w:val="00C33993"/>
    <w:rsid w:val="00C4069E"/>
    <w:rsid w:val="00C41ADC"/>
    <w:rsid w:val="00C44149"/>
    <w:rsid w:val="00C44410"/>
    <w:rsid w:val="00C44A15"/>
    <w:rsid w:val="00C4630A"/>
    <w:rsid w:val="00C523F0"/>
    <w:rsid w:val="00C526D2"/>
    <w:rsid w:val="00C53A91"/>
    <w:rsid w:val="00C5794E"/>
    <w:rsid w:val="00C60968"/>
    <w:rsid w:val="00C63D39"/>
    <w:rsid w:val="00C63EDD"/>
    <w:rsid w:val="00C65B36"/>
    <w:rsid w:val="00C7292E"/>
    <w:rsid w:val="00C74E88"/>
    <w:rsid w:val="00C80924"/>
    <w:rsid w:val="00C8286B"/>
    <w:rsid w:val="00C947F8"/>
    <w:rsid w:val="00C9515F"/>
    <w:rsid w:val="00C963C5"/>
    <w:rsid w:val="00CA030C"/>
    <w:rsid w:val="00CA1F41"/>
    <w:rsid w:val="00CA32EE"/>
    <w:rsid w:val="00CA5771"/>
    <w:rsid w:val="00CA6A1A"/>
    <w:rsid w:val="00CC1E75"/>
    <w:rsid w:val="00CC2E0E"/>
    <w:rsid w:val="00CC361C"/>
    <w:rsid w:val="00CC474B"/>
    <w:rsid w:val="00CC658C"/>
    <w:rsid w:val="00CC67BF"/>
    <w:rsid w:val="00CD0843"/>
    <w:rsid w:val="00CD5A78"/>
    <w:rsid w:val="00CD7345"/>
    <w:rsid w:val="00CE372E"/>
    <w:rsid w:val="00CF0A1B"/>
    <w:rsid w:val="00CF19F6"/>
    <w:rsid w:val="00CF2F4F"/>
    <w:rsid w:val="00CF536D"/>
    <w:rsid w:val="00D02E9D"/>
    <w:rsid w:val="00D10CB8"/>
    <w:rsid w:val="00D12806"/>
    <w:rsid w:val="00D12D44"/>
    <w:rsid w:val="00D15018"/>
    <w:rsid w:val="00D158AC"/>
    <w:rsid w:val="00D1694C"/>
    <w:rsid w:val="00D20F5E"/>
    <w:rsid w:val="00D23B76"/>
    <w:rsid w:val="00D24B4A"/>
    <w:rsid w:val="00D379A3"/>
    <w:rsid w:val="00D45FF3"/>
    <w:rsid w:val="00D512CF"/>
    <w:rsid w:val="00D528B9"/>
    <w:rsid w:val="00D53186"/>
    <w:rsid w:val="00D5487D"/>
    <w:rsid w:val="00D60140"/>
    <w:rsid w:val="00D6024A"/>
    <w:rsid w:val="00D608B5"/>
    <w:rsid w:val="00D64739"/>
    <w:rsid w:val="00D71F99"/>
    <w:rsid w:val="00D73CA4"/>
    <w:rsid w:val="00D73D71"/>
    <w:rsid w:val="00D74396"/>
    <w:rsid w:val="00D80284"/>
    <w:rsid w:val="00D81F71"/>
    <w:rsid w:val="00D8642D"/>
    <w:rsid w:val="00D90A5E"/>
    <w:rsid w:val="00D91A68"/>
    <w:rsid w:val="00D95A68"/>
    <w:rsid w:val="00DA17C7"/>
    <w:rsid w:val="00DA6A9A"/>
    <w:rsid w:val="00DB1EFD"/>
    <w:rsid w:val="00DB3EAF"/>
    <w:rsid w:val="00DB46C6"/>
    <w:rsid w:val="00DB614A"/>
    <w:rsid w:val="00DC3203"/>
    <w:rsid w:val="00DC3C99"/>
    <w:rsid w:val="00DC52F5"/>
    <w:rsid w:val="00DC5FD0"/>
    <w:rsid w:val="00DD0354"/>
    <w:rsid w:val="00DD27D7"/>
    <w:rsid w:val="00DD458C"/>
    <w:rsid w:val="00DD72E9"/>
    <w:rsid w:val="00DD7605"/>
    <w:rsid w:val="00DE2020"/>
    <w:rsid w:val="00DE3476"/>
    <w:rsid w:val="00DE7BEA"/>
    <w:rsid w:val="00DF5B84"/>
    <w:rsid w:val="00DF6D5B"/>
    <w:rsid w:val="00DF771B"/>
    <w:rsid w:val="00DF7EE2"/>
    <w:rsid w:val="00E01BAA"/>
    <w:rsid w:val="00E0282A"/>
    <w:rsid w:val="00E02F9B"/>
    <w:rsid w:val="00E0529B"/>
    <w:rsid w:val="00E07E14"/>
    <w:rsid w:val="00E14F94"/>
    <w:rsid w:val="00E17336"/>
    <w:rsid w:val="00E17D15"/>
    <w:rsid w:val="00E219EF"/>
    <w:rsid w:val="00E22B95"/>
    <w:rsid w:val="00E30331"/>
    <w:rsid w:val="00E308B6"/>
    <w:rsid w:val="00E30BB8"/>
    <w:rsid w:val="00E31B71"/>
    <w:rsid w:val="00E31F9C"/>
    <w:rsid w:val="00E33769"/>
    <w:rsid w:val="00E40488"/>
    <w:rsid w:val="00E50367"/>
    <w:rsid w:val="00E51ABA"/>
    <w:rsid w:val="00E524CB"/>
    <w:rsid w:val="00E6324A"/>
    <w:rsid w:val="00E65456"/>
    <w:rsid w:val="00E65A91"/>
    <w:rsid w:val="00E66188"/>
    <w:rsid w:val="00E664FB"/>
    <w:rsid w:val="00E672F0"/>
    <w:rsid w:val="00E70373"/>
    <w:rsid w:val="00E72E40"/>
    <w:rsid w:val="00E73665"/>
    <w:rsid w:val="00E73999"/>
    <w:rsid w:val="00E73BDC"/>
    <w:rsid w:val="00E73E9E"/>
    <w:rsid w:val="00E81660"/>
    <w:rsid w:val="00E8384B"/>
    <w:rsid w:val="00E854FE"/>
    <w:rsid w:val="00E875BC"/>
    <w:rsid w:val="00E906CC"/>
    <w:rsid w:val="00E939A0"/>
    <w:rsid w:val="00E9629A"/>
    <w:rsid w:val="00E97E4E"/>
    <w:rsid w:val="00EA1CC2"/>
    <w:rsid w:val="00EA2D76"/>
    <w:rsid w:val="00EA4644"/>
    <w:rsid w:val="00EA758A"/>
    <w:rsid w:val="00EB096F"/>
    <w:rsid w:val="00EB199F"/>
    <w:rsid w:val="00EB27C4"/>
    <w:rsid w:val="00EB2AC7"/>
    <w:rsid w:val="00EB5387"/>
    <w:rsid w:val="00EB5C10"/>
    <w:rsid w:val="00EB7322"/>
    <w:rsid w:val="00EC0FE9"/>
    <w:rsid w:val="00EC198B"/>
    <w:rsid w:val="00EC426D"/>
    <w:rsid w:val="00EC571B"/>
    <w:rsid w:val="00EC57D7"/>
    <w:rsid w:val="00EC6385"/>
    <w:rsid w:val="00EC6C40"/>
    <w:rsid w:val="00ED1DE9"/>
    <w:rsid w:val="00ED23D4"/>
    <w:rsid w:val="00ED5E0B"/>
    <w:rsid w:val="00EE37B6"/>
    <w:rsid w:val="00EF0F45"/>
    <w:rsid w:val="00EF6F83"/>
    <w:rsid w:val="00EF7463"/>
    <w:rsid w:val="00EF7971"/>
    <w:rsid w:val="00F002EF"/>
    <w:rsid w:val="00F01EE9"/>
    <w:rsid w:val="00F04900"/>
    <w:rsid w:val="00F065A4"/>
    <w:rsid w:val="00F126B9"/>
    <w:rsid w:val="00F12715"/>
    <w:rsid w:val="00F144D5"/>
    <w:rsid w:val="00F146F0"/>
    <w:rsid w:val="00F15039"/>
    <w:rsid w:val="00F20FF3"/>
    <w:rsid w:val="00F2190B"/>
    <w:rsid w:val="00F228B5"/>
    <w:rsid w:val="00F2389C"/>
    <w:rsid w:val="00F25C67"/>
    <w:rsid w:val="00F30DFF"/>
    <w:rsid w:val="00F32B80"/>
    <w:rsid w:val="00F340EB"/>
    <w:rsid w:val="00F35285"/>
    <w:rsid w:val="00F43B9D"/>
    <w:rsid w:val="00F44D5E"/>
    <w:rsid w:val="00F53A35"/>
    <w:rsid w:val="00F55A3D"/>
    <w:rsid w:val="00F5744B"/>
    <w:rsid w:val="00F61209"/>
    <w:rsid w:val="00F6259E"/>
    <w:rsid w:val="00F65DD4"/>
    <w:rsid w:val="00F672B2"/>
    <w:rsid w:val="00F83973"/>
    <w:rsid w:val="00F87FA3"/>
    <w:rsid w:val="00F93D8C"/>
    <w:rsid w:val="00FA3102"/>
    <w:rsid w:val="00FA48D4"/>
    <w:rsid w:val="00FA54FA"/>
    <w:rsid w:val="00FA6D39"/>
    <w:rsid w:val="00FB227E"/>
    <w:rsid w:val="00FB3D61"/>
    <w:rsid w:val="00FB44CE"/>
    <w:rsid w:val="00FB5009"/>
    <w:rsid w:val="00FB76AB"/>
    <w:rsid w:val="00FC7540"/>
    <w:rsid w:val="00FD03FE"/>
    <w:rsid w:val="00FD126E"/>
    <w:rsid w:val="00FD3C36"/>
    <w:rsid w:val="00FD4D81"/>
    <w:rsid w:val="00FD7430"/>
    <w:rsid w:val="00FD7498"/>
    <w:rsid w:val="00FD7FB3"/>
    <w:rsid w:val="00FE4713"/>
    <w:rsid w:val="00FF1F44"/>
    <w:rsid w:val="00FF225E"/>
    <w:rsid w:val="00FF672C"/>
    <w:rsid w:val="00FF6CE8"/>
    <w:rsid w:val="00FF72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0E0E6DE7"/>
  <w15:docId w15:val="{FED5FD20-8811-4C3A-9032-2A4DB4628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heading 1" w:qFormat="1"/>
    <w:lsdException w:name="heading 2"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B096F"/>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C22A78"/>
    <w:pPr>
      <w:spacing w:before="360" w:after="300" w:line="360" w:lineRule="auto"/>
      <w:ind w:left="720" w:right="567"/>
      <w:contextualSpacing/>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rsid w:val="006C19B2"/>
    <w:pPr>
      <w:ind w:left="284" w:hanging="284"/>
    </w:pPr>
    <w:rPr>
      <w:sz w:val="22"/>
      <w:szCs w:val="20"/>
    </w:rPr>
  </w:style>
  <w:style w:type="character" w:customStyle="1" w:styleId="FootnoteTextChar">
    <w:name w:val="Footnote Text Char"/>
    <w:basedOn w:val="DefaultParagraphFont"/>
    <w:link w:val="FootnoteText"/>
    <w:rsid w:val="006C19B2"/>
    <w:rPr>
      <w:sz w:val="22"/>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3F193A"/>
    <w:rPr>
      <w:rFonts w:eastAsia="Times New Roman"/>
      <w:sz w:val="24"/>
      <w:szCs w:val="24"/>
      <w:lang w:eastAsia="en-GB"/>
    </w:rPr>
  </w:style>
  <w:style w:type="paragraph" w:styleId="Footer">
    <w:name w:val="footer"/>
    <w:basedOn w:val="Normal"/>
    <w:link w:val="FooterChar"/>
    <w:uiPriority w:val="99"/>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uiPriority w:val="99"/>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styleId="Hyperlink">
    <w:name w:val="Hyperlink"/>
    <w:unhideWhenUsed/>
    <w:rsid w:val="001334F0"/>
    <w:rPr>
      <w:color w:val="0000FF"/>
      <w:u w:val="single"/>
    </w:rPr>
  </w:style>
  <w:style w:type="character" w:customStyle="1" w:styleId="NoSpacingChar">
    <w:name w:val="No Spacing Char"/>
    <w:link w:val="NoSpacing"/>
    <w:uiPriority w:val="1"/>
    <w:locked/>
    <w:rsid w:val="001334F0"/>
    <w:rPr>
      <w:sz w:val="22"/>
      <w:szCs w:val="22"/>
      <w:lang w:eastAsia="en-US"/>
    </w:rPr>
  </w:style>
  <w:style w:type="paragraph" w:styleId="NoSpacing">
    <w:name w:val="No Spacing"/>
    <w:link w:val="NoSpacingChar"/>
    <w:uiPriority w:val="1"/>
    <w:qFormat/>
    <w:rsid w:val="001334F0"/>
    <w:rPr>
      <w:sz w:val="22"/>
      <w:szCs w:val="22"/>
      <w:lang w:eastAsia="en-US"/>
    </w:rPr>
  </w:style>
  <w:style w:type="character" w:customStyle="1" w:styleId="rwrro">
    <w:name w:val="rwrro"/>
    <w:basedOn w:val="DefaultParagraphFont"/>
    <w:rsid w:val="001334F0"/>
  </w:style>
  <w:style w:type="paragraph" w:styleId="CommentText">
    <w:name w:val="annotation text"/>
    <w:basedOn w:val="Normal"/>
    <w:link w:val="CommentTextChar"/>
    <w:uiPriority w:val="99"/>
    <w:unhideWhenUsed/>
    <w:rsid w:val="00223198"/>
    <w:pPr>
      <w:spacing w:line="240" w:lineRule="auto"/>
    </w:pPr>
    <w:rPr>
      <w:rFonts w:eastAsia="MS Mincho"/>
      <w:sz w:val="20"/>
      <w:szCs w:val="20"/>
      <w:lang w:val="en-US" w:eastAsia="ja-JP"/>
    </w:rPr>
  </w:style>
  <w:style w:type="character" w:customStyle="1" w:styleId="CommentTextChar">
    <w:name w:val="Comment Text Char"/>
    <w:basedOn w:val="DefaultParagraphFont"/>
    <w:link w:val="CommentText"/>
    <w:uiPriority w:val="99"/>
    <w:rsid w:val="00223198"/>
    <w:rPr>
      <w:rFonts w:eastAsia="MS Mincho"/>
      <w:lang w:val="en-US" w:eastAsia="ja-JP"/>
    </w:rPr>
  </w:style>
  <w:style w:type="paragraph" w:styleId="ListParagraph">
    <w:name w:val="List Paragraph"/>
    <w:basedOn w:val="Normal"/>
    <w:uiPriority w:val="34"/>
    <w:qFormat/>
    <w:rsid w:val="00223198"/>
    <w:pPr>
      <w:spacing w:line="240" w:lineRule="auto"/>
      <w:ind w:left="720"/>
      <w:contextualSpacing/>
    </w:pPr>
    <w:rPr>
      <w:rFonts w:eastAsia="MS Mincho"/>
      <w:lang w:val="en-US" w:eastAsia="ja-JP"/>
    </w:rPr>
  </w:style>
  <w:style w:type="character" w:customStyle="1" w:styleId="EndNoteBibliographyChar">
    <w:name w:val="EndNote Bibliography Char"/>
    <w:link w:val="EndNoteBibliography"/>
    <w:locked/>
    <w:rsid w:val="00223198"/>
    <w:rPr>
      <w:noProof/>
      <w:lang w:val="x-none" w:eastAsia="x-none"/>
    </w:rPr>
  </w:style>
  <w:style w:type="paragraph" w:customStyle="1" w:styleId="EndNoteBibliography">
    <w:name w:val="EndNote Bibliography"/>
    <w:basedOn w:val="Normal"/>
    <w:link w:val="EndNoteBibliographyChar"/>
    <w:rsid w:val="00223198"/>
    <w:pPr>
      <w:spacing w:after="160" w:line="240" w:lineRule="auto"/>
    </w:pPr>
    <w:rPr>
      <w:noProof/>
      <w:sz w:val="20"/>
      <w:szCs w:val="20"/>
      <w:lang w:val="x-none" w:eastAsia="x-none"/>
    </w:rPr>
  </w:style>
  <w:style w:type="character" w:customStyle="1" w:styleId="NoSpacing1Char">
    <w:name w:val="No Spacing1 Char"/>
    <w:link w:val="NoSpacing1"/>
    <w:locked/>
    <w:rsid w:val="00223198"/>
    <w:rPr>
      <w:sz w:val="22"/>
      <w:szCs w:val="22"/>
      <w:lang w:val="nl-BE" w:eastAsia="nl-BE"/>
    </w:rPr>
  </w:style>
  <w:style w:type="paragraph" w:customStyle="1" w:styleId="NoSpacing1">
    <w:name w:val="No Spacing1"/>
    <w:link w:val="NoSpacing1Char"/>
    <w:qFormat/>
    <w:rsid w:val="00223198"/>
    <w:rPr>
      <w:sz w:val="22"/>
      <w:szCs w:val="22"/>
      <w:lang w:val="nl-BE" w:eastAsia="nl-BE"/>
    </w:rPr>
  </w:style>
  <w:style w:type="character" w:customStyle="1" w:styleId="highlight2">
    <w:name w:val="highlight2"/>
    <w:basedOn w:val="DefaultParagraphFont"/>
    <w:rsid w:val="00223198"/>
  </w:style>
  <w:style w:type="character" w:styleId="LineNumber">
    <w:name w:val="line number"/>
    <w:basedOn w:val="DefaultParagraphFont"/>
    <w:rsid w:val="007F0C09"/>
  </w:style>
  <w:style w:type="paragraph" w:styleId="BalloonText">
    <w:name w:val="Balloon Text"/>
    <w:basedOn w:val="Normal"/>
    <w:link w:val="BalloonTextChar"/>
    <w:rsid w:val="0096068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606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61240">
      <w:bodyDiv w:val="1"/>
      <w:marLeft w:val="0"/>
      <w:marRight w:val="0"/>
      <w:marTop w:val="0"/>
      <w:marBottom w:val="0"/>
      <w:divBdr>
        <w:top w:val="none" w:sz="0" w:space="0" w:color="auto"/>
        <w:left w:val="none" w:sz="0" w:space="0" w:color="auto"/>
        <w:bottom w:val="none" w:sz="0" w:space="0" w:color="auto"/>
        <w:right w:val="none" w:sz="0" w:space="0" w:color="auto"/>
      </w:divBdr>
    </w:div>
    <w:div w:id="187259782">
      <w:bodyDiv w:val="1"/>
      <w:marLeft w:val="0"/>
      <w:marRight w:val="0"/>
      <w:marTop w:val="0"/>
      <w:marBottom w:val="0"/>
      <w:divBdr>
        <w:top w:val="none" w:sz="0" w:space="0" w:color="auto"/>
        <w:left w:val="none" w:sz="0" w:space="0" w:color="auto"/>
        <w:bottom w:val="none" w:sz="0" w:space="0" w:color="auto"/>
        <w:right w:val="none" w:sz="0" w:space="0" w:color="auto"/>
      </w:divBdr>
    </w:div>
    <w:div w:id="381906734">
      <w:bodyDiv w:val="1"/>
      <w:marLeft w:val="0"/>
      <w:marRight w:val="0"/>
      <w:marTop w:val="0"/>
      <w:marBottom w:val="0"/>
      <w:divBdr>
        <w:top w:val="none" w:sz="0" w:space="0" w:color="auto"/>
        <w:left w:val="none" w:sz="0" w:space="0" w:color="auto"/>
        <w:bottom w:val="none" w:sz="0" w:space="0" w:color="auto"/>
        <w:right w:val="none" w:sz="0" w:space="0" w:color="auto"/>
      </w:divBdr>
    </w:div>
    <w:div w:id="462383809">
      <w:bodyDiv w:val="1"/>
      <w:marLeft w:val="0"/>
      <w:marRight w:val="0"/>
      <w:marTop w:val="0"/>
      <w:marBottom w:val="0"/>
      <w:divBdr>
        <w:top w:val="none" w:sz="0" w:space="0" w:color="auto"/>
        <w:left w:val="none" w:sz="0" w:space="0" w:color="auto"/>
        <w:bottom w:val="none" w:sz="0" w:space="0" w:color="auto"/>
        <w:right w:val="none" w:sz="0" w:space="0" w:color="auto"/>
      </w:divBdr>
    </w:div>
    <w:div w:id="561912240">
      <w:bodyDiv w:val="1"/>
      <w:marLeft w:val="0"/>
      <w:marRight w:val="0"/>
      <w:marTop w:val="0"/>
      <w:marBottom w:val="0"/>
      <w:divBdr>
        <w:top w:val="none" w:sz="0" w:space="0" w:color="auto"/>
        <w:left w:val="none" w:sz="0" w:space="0" w:color="auto"/>
        <w:bottom w:val="none" w:sz="0" w:space="0" w:color="auto"/>
        <w:right w:val="none" w:sz="0" w:space="0" w:color="auto"/>
      </w:divBdr>
    </w:div>
    <w:div w:id="606234768">
      <w:bodyDiv w:val="1"/>
      <w:marLeft w:val="0"/>
      <w:marRight w:val="0"/>
      <w:marTop w:val="0"/>
      <w:marBottom w:val="0"/>
      <w:divBdr>
        <w:top w:val="none" w:sz="0" w:space="0" w:color="auto"/>
        <w:left w:val="none" w:sz="0" w:space="0" w:color="auto"/>
        <w:bottom w:val="none" w:sz="0" w:space="0" w:color="auto"/>
        <w:right w:val="none" w:sz="0" w:space="0" w:color="auto"/>
      </w:divBdr>
    </w:div>
    <w:div w:id="663436926">
      <w:bodyDiv w:val="1"/>
      <w:marLeft w:val="0"/>
      <w:marRight w:val="0"/>
      <w:marTop w:val="0"/>
      <w:marBottom w:val="0"/>
      <w:divBdr>
        <w:top w:val="none" w:sz="0" w:space="0" w:color="auto"/>
        <w:left w:val="none" w:sz="0" w:space="0" w:color="auto"/>
        <w:bottom w:val="none" w:sz="0" w:space="0" w:color="auto"/>
        <w:right w:val="none" w:sz="0" w:space="0" w:color="auto"/>
      </w:divBdr>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913470647">
      <w:bodyDiv w:val="1"/>
      <w:marLeft w:val="0"/>
      <w:marRight w:val="0"/>
      <w:marTop w:val="0"/>
      <w:marBottom w:val="0"/>
      <w:divBdr>
        <w:top w:val="none" w:sz="0" w:space="0" w:color="auto"/>
        <w:left w:val="none" w:sz="0" w:space="0" w:color="auto"/>
        <w:bottom w:val="none" w:sz="0" w:space="0" w:color="auto"/>
        <w:right w:val="none" w:sz="0" w:space="0" w:color="auto"/>
      </w:divBdr>
    </w:div>
    <w:div w:id="1360276752">
      <w:bodyDiv w:val="1"/>
      <w:marLeft w:val="0"/>
      <w:marRight w:val="0"/>
      <w:marTop w:val="0"/>
      <w:marBottom w:val="0"/>
      <w:divBdr>
        <w:top w:val="none" w:sz="0" w:space="0" w:color="auto"/>
        <w:left w:val="none" w:sz="0" w:space="0" w:color="auto"/>
        <w:bottom w:val="none" w:sz="0" w:space="0" w:color="auto"/>
        <w:right w:val="none" w:sz="0" w:space="0" w:color="auto"/>
      </w:divBdr>
    </w:div>
    <w:div w:id="1658873559">
      <w:bodyDiv w:val="1"/>
      <w:marLeft w:val="0"/>
      <w:marRight w:val="0"/>
      <w:marTop w:val="0"/>
      <w:marBottom w:val="0"/>
      <w:divBdr>
        <w:top w:val="none" w:sz="0" w:space="0" w:color="auto"/>
        <w:left w:val="none" w:sz="0" w:space="0" w:color="auto"/>
        <w:bottom w:val="none" w:sz="0" w:space="0" w:color="auto"/>
        <w:right w:val="none" w:sz="0" w:space="0" w:color="auto"/>
      </w:divBdr>
    </w:div>
    <w:div w:id="1680768334">
      <w:bodyDiv w:val="1"/>
      <w:marLeft w:val="0"/>
      <w:marRight w:val="0"/>
      <w:marTop w:val="0"/>
      <w:marBottom w:val="0"/>
      <w:divBdr>
        <w:top w:val="none" w:sz="0" w:space="0" w:color="auto"/>
        <w:left w:val="none" w:sz="0" w:space="0" w:color="auto"/>
        <w:bottom w:val="none" w:sz="0" w:space="0" w:color="auto"/>
        <w:right w:val="none" w:sz="0" w:space="0" w:color="auto"/>
      </w:divBdr>
    </w:div>
    <w:div w:id="1739596597">
      <w:bodyDiv w:val="1"/>
      <w:marLeft w:val="0"/>
      <w:marRight w:val="0"/>
      <w:marTop w:val="0"/>
      <w:marBottom w:val="0"/>
      <w:divBdr>
        <w:top w:val="none" w:sz="0" w:space="0" w:color="auto"/>
        <w:left w:val="none" w:sz="0" w:space="0" w:color="auto"/>
        <w:bottom w:val="none" w:sz="0" w:space="0" w:color="auto"/>
        <w:right w:val="none" w:sz="0" w:space="0" w:color="auto"/>
      </w:divBdr>
    </w:div>
    <w:div w:id="1846245354">
      <w:bodyDiv w:val="1"/>
      <w:marLeft w:val="0"/>
      <w:marRight w:val="0"/>
      <w:marTop w:val="0"/>
      <w:marBottom w:val="0"/>
      <w:divBdr>
        <w:top w:val="none" w:sz="0" w:space="0" w:color="auto"/>
        <w:left w:val="none" w:sz="0" w:space="0" w:color="auto"/>
        <w:bottom w:val="none" w:sz="0" w:space="0" w:color="auto"/>
        <w:right w:val="none" w:sz="0" w:space="0" w:color="auto"/>
      </w:divBdr>
    </w:div>
    <w:div w:id="1993868038">
      <w:bodyDiv w:val="1"/>
      <w:marLeft w:val="0"/>
      <w:marRight w:val="0"/>
      <w:marTop w:val="0"/>
      <w:marBottom w:val="0"/>
      <w:divBdr>
        <w:top w:val="none" w:sz="0" w:space="0" w:color="auto"/>
        <w:left w:val="none" w:sz="0" w:space="0" w:color="auto"/>
        <w:bottom w:val="none" w:sz="0" w:space="0" w:color="auto"/>
        <w:right w:val="none" w:sz="0" w:space="0" w:color="auto"/>
      </w:divBdr>
    </w:div>
    <w:div w:id="211231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fadare@gmail.com" TargetMode="External"/><Relationship Id="rId13" Type="http://schemas.openxmlformats.org/officeDocument/2006/relationships/chart" Target="charts/chart2.xml"/><Relationship Id="rId18" Type="http://schemas.openxmlformats.org/officeDocument/2006/relationships/hyperlink" Target="http://www.ncbi.nlm.nih.gov/pubmed/?term=Okoli%20LE%5BAuthor%5D&amp;cauthor=true&amp;cauthor_uid=25288384" TargetMode="External"/><Relationship Id="rId26" Type="http://schemas.openxmlformats.org/officeDocument/2006/relationships/hyperlink" Target="http://www.ncbi.nlm.nih.gov/pubmed/?term=Davey%20P%5BAuthor%5D&amp;cauthor=true&amp;cauthor_uid=21515030" TargetMode="External"/><Relationship Id="rId3" Type="http://schemas.openxmlformats.org/officeDocument/2006/relationships/styles" Target="styles.xml"/><Relationship Id="rId21" Type="http://schemas.openxmlformats.org/officeDocument/2006/relationships/hyperlink" Target="http://www.ncbi.nlm.nih.gov/pubmed/?term=Hurding%20S%5BAuthor%5D&amp;cauthor=true&amp;cauthor_uid=21515030"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yperlink" Target="http://www.ncbi.nlm.nih.gov/pubmed/?term=Onyedibe%20KI%5BAuthor%5D&amp;cauthor=true&amp;cauthor_uid=25288384" TargetMode="External"/><Relationship Id="rId25" Type="http://schemas.openxmlformats.org/officeDocument/2006/relationships/hyperlink" Target="http://www.ncbi.nlm.nih.gov/pubmed/?term=Gillies%20E%5BAuthor%5D&amp;cauthor=true&amp;cauthor_uid=21515030"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who.int/antimicrobial-resistance/publications/global-action-plan/en/" TargetMode="External"/><Relationship Id="rId20" Type="http://schemas.openxmlformats.org/officeDocument/2006/relationships/hyperlink" Target="http://www.ncbi.nlm.nih.gov/pubmed/?term=Patton%20A%5BAuthor%5D&amp;cauthor=true&amp;cauthor_uid=21515030" TargetMode="External"/><Relationship Id="rId29" Type="http://schemas.openxmlformats.org/officeDocument/2006/relationships/hyperlink" Target="http://worldpopulationreview.com/continents/africa-popul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wnloads\olayinka.ogunleye@lasucom.edu.ng" TargetMode="External"/><Relationship Id="rId24" Type="http://schemas.openxmlformats.org/officeDocument/2006/relationships/hyperlink" Target="http://www.ncbi.nlm.nih.gov/pubmed/?term=Watson%20E%5BAuthor%5D&amp;cauthor=true&amp;cauthor_uid=21515030"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amr-review.org/sites/default/files/SECURING%20NEW%20DRUGS%20FOR%20FUTURE%20GENERATIONS%20FINAL%20WEB_0.pdf" TargetMode="External"/><Relationship Id="rId23" Type="http://schemas.openxmlformats.org/officeDocument/2006/relationships/hyperlink" Target="http://www.ncbi.nlm.nih.gov/pubmed/?term=Seaton%20RA%5BAuthor%5D&amp;cauthor=true&amp;cauthor_uid=21515030" TargetMode="External"/><Relationship Id="rId28" Type="http://schemas.openxmlformats.org/officeDocument/2006/relationships/hyperlink" Target="http://www.who.int/healthinfo/global_burden_disease/GBD_report_2004update_part4.pdf" TargetMode="External"/><Relationship Id="rId10" Type="http://schemas.openxmlformats.org/officeDocument/2006/relationships/hyperlink" Target="mailto:yinkabode@yahoo.com" TargetMode="External"/><Relationship Id="rId19" Type="http://schemas.openxmlformats.org/officeDocument/2006/relationships/hyperlink" Target="https://purestrathacuk/portal/en/publications/initiatives-across-countries-to-reduce-antibiotic-utilization-and-resistance-patterns(bb445446-fd1d-47b3-8f91-def5d9e5e3db)/exporthtml" TargetMode="External"/><Relationship Id="rId31" Type="http://schemas.openxmlformats.org/officeDocument/2006/relationships/hyperlink" Target="http://muria.mandela.ac.za/muria/media/Store/documents/Abstract%20book%20-%20MURAI%203/MURIA3-AbstractBook-July-2017.pdf" TargetMode="External"/><Relationship Id="rId4" Type="http://schemas.openxmlformats.org/officeDocument/2006/relationships/settings" Target="settings.xml"/><Relationship Id="rId9" Type="http://schemas.openxmlformats.org/officeDocument/2006/relationships/hyperlink" Target="mailto:anandbene@yahoo.com" TargetMode="External"/><Relationship Id="rId14" Type="http://schemas.openxmlformats.org/officeDocument/2006/relationships/hyperlink" Target="http://www.who.int/mediacentre/news/release/2014" TargetMode="External"/><Relationship Id="rId22" Type="http://schemas.openxmlformats.org/officeDocument/2006/relationships/hyperlink" Target="http://www.ncbi.nlm.nih.gov/pubmed/?term=Eastaway%20A%5BAuthor%5D&amp;cauthor=true&amp;cauthor_uid=21515030" TargetMode="External"/><Relationship Id="rId27" Type="http://schemas.openxmlformats.org/officeDocument/2006/relationships/hyperlink" Target="http://www.ncbi.nlm.nih.gov/pubmed/?term=Bennie%20M%5BAuthor%5D&amp;cauthor=true&amp;cauthor_uid=21515030" TargetMode="External"/><Relationship Id="rId30" Type="http://schemas.openxmlformats.org/officeDocument/2006/relationships/hyperlink" Target="http://muria.nmmu.ac.za/2nd-MURIA-Training-Workshop-and-Symposium,-25-27-J"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LAYIN~1\AppData\Local\Temp\Rar$DI00.500\TF_Template_Word_Windows_2010.dotx"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view3D>
    <c:floor>
      <c:thickness val="0"/>
    </c:floor>
    <c:sideWall>
      <c:thickness val="0"/>
    </c:sideWall>
    <c:backWall>
      <c:thickness val="0"/>
    </c:backWall>
    <c:plotArea>
      <c:layout/>
      <c:pie3DChart>
        <c:varyColors val="1"/>
        <c:ser>
          <c:idx val="0"/>
          <c:order val="0"/>
          <c:tx>
            <c:strRef>
              <c:f>Sheet1!$N$10:$N$11</c:f>
              <c:strCache>
                <c:ptCount val="1"/>
                <c:pt idx="0">
                  <c:v>%</c:v>
                </c:pt>
              </c:strCache>
            </c:strRef>
          </c:tx>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Sheet1!$M$12:$M$17</c:f>
              <c:strCache>
                <c:ptCount val="6"/>
                <c:pt idx="0">
                  <c:v>Surgery</c:v>
                </c:pt>
                <c:pt idx="1">
                  <c:v>Internal Medicine</c:v>
                </c:pt>
                <c:pt idx="2">
                  <c:v>Obs &amp; Gynae</c:v>
                </c:pt>
                <c:pt idx="3">
                  <c:v>Family Medicine</c:v>
                </c:pt>
                <c:pt idx="4">
                  <c:v>Peadiatrics</c:v>
                </c:pt>
                <c:pt idx="5">
                  <c:v>ENT</c:v>
                </c:pt>
              </c:strCache>
            </c:strRef>
          </c:cat>
          <c:val>
            <c:numRef>
              <c:f>Sheet1!$N$12:$N$17</c:f>
              <c:numCache>
                <c:formatCode>General</c:formatCode>
                <c:ptCount val="6"/>
                <c:pt idx="0">
                  <c:v>28</c:v>
                </c:pt>
                <c:pt idx="1">
                  <c:v>25</c:v>
                </c:pt>
                <c:pt idx="2">
                  <c:v>16</c:v>
                </c:pt>
                <c:pt idx="3">
                  <c:v>14</c:v>
                </c:pt>
                <c:pt idx="4">
                  <c:v>13</c:v>
                </c:pt>
                <c:pt idx="5">
                  <c:v>1</c:v>
                </c:pt>
              </c:numCache>
            </c:numRef>
          </c:val>
          <c:extLst>
            <c:ext xmlns:c16="http://schemas.microsoft.com/office/drawing/2014/chart" uri="{C3380CC4-5D6E-409C-BE32-E72D297353CC}">
              <c16:uniqueId val="{00000000-BD99-496E-B964-B88037D293B9}"/>
            </c:ext>
          </c:extLst>
        </c:ser>
        <c:ser>
          <c:idx val="1"/>
          <c:order val="1"/>
          <c:tx>
            <c:strRef>
              <c:f>Sheet1!$O$10:$O$11</c:f>
              <c:strCache>
                <c:ptCount val="1"/>
                <c:pt idx="0">
                  <c:v>%</c:v>
                </c:pt>
              </c:strCache>
            </c:strRef>
          </c:tx>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Sheet1!$M$12:$M$17</c:f>
              <c:strCache>
                <c:ptCount val="6"/>
                <c:pt idx="0">
                  <c:v>Surgery</c:v>
                </c:pt>
                <c:pt idx="1">
                  <c:v>Internal Medicine</c:v>
                </c:pt>
                <c:pt idx="2">
                  <c:v>Obs &amp; Gynae</c:v>
                </c:pt>
                <c:pt idx="3">
                  <c:v>Family Medicine</c:v>
                </c:pt>
                <c:pt idx="4">
                  <c:v>Peadiatrics</c:v>
                </c:pt>
                <c:pt idx="5">
                  <c:v>ENT</c:v>
                </c:pt>
              </c:strCache>
            </c:strRef>
          </c:cat>
          <c:val>
            <c:numRef>
              <c:f>Sheet1!$O$12:$O$17</c:f>
              <c:numCache>
                <c:formatCode>General</c:formatCode>
                <c:ptCount val="6"/>
                <c:pt idx="0">
                  <c:v>28.87</c:v>
                </c:pt>
                <c:pt idx="1">
                  <c:v>25.77</c:v>
                </c:pt>
                <c:pt idx="2">
                  <c:v>16.489999999999998</c:v>
                </c:pt>
                <c:pt idx="3">
                  <c:v>14.43</c:v>
                </c:pt>
                <c:pt idx="4">
                  <c:v>13.4</c:v>
                </c:pt>
                <c:pt idx="5">
                  <c:v>1.03</c:v>
                </c:pt>
              </c:numCache>
            </c:numRef>
          </c:val>
          <c:extLst>
            <c:ext xmlns:c16="http://schemas.microsoft.com/office/drawing/2014/chart" uri="{C3380CC4-5D6E-409C-BE32-E72D297353CC}">
              <c16:uniqueId val="{00000001-BD99-496E-B964-B88037D293B9}"/>
            </c:ext>
          </c:extLst>
        </c:ser>
        <c:ser>
          <c:idx val="2"/>
          <c:order val="2"/>
          <c:tx>
            <c:strRef>
              <c:f>Sheet1!$P$10:$P$11</c:f>
              <c:strCache>
                <c:ptCount val="1"/>
                <c:pt idx="0">
                  <c:v>%</c:v>
                </c:pt>
              </c:strCache>
            </c:strRef>
          </c:tx>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Sheet1!$M$12:$M$17</c:f>
              <c:strCache>
                <c:ptCount val="6"/>
                <c:pt idx="0">
                  <c:v>Surgery</c:v>
                </c:pt>
                <c:pt idx="1">
                  <c:v>Internal Medicine</c:v>
                </c:pt>
                <c:pt idx="2">
                  <c:v>Obs &amp; Gynae</c:v>
                </c:pt>
                <c:pt idx="3">
                  <c:v>Family Medicine</c:v>
                </c:pt>
                <c:pt idx="4">
                  <c:v>Peadiatrics</c:v>
                </c:pt>
                <c:pt idx="5">
                  <c:v>ENT</c:v>
                </c:pt>
              </c:strCache>
            </c:strRef>
          </c:cat>
          <c:val>
            <c:numRef>
              <c:f>Sheet1!$P$12:$P$17</c:f>
              <c:numCache>
                <c:formatCode>General</c:formatCode>
                <c:ptCount val="6"/>
              </c:numCache>
            </c:numRef>
          </c:val>
          <c:extLst>
            <c:ext xmlns:c16="http://schemas.microsoft.com/office/drawing/2014/chart" uri="{C3380CC4-5D6E-409C-BE32-E72D297353CC}">
              <c16:uniqueId val="{00000002-BD99-496E-B964-B88037D293B9}"/>
            </c:ext>
          </c:extLst>
        </c:ser>
        <c:dLbls>
          <c:showLegendKey val="0"/>
          <c:showVal val="0"/>
          <c:showCatName val="1"/>
          <c:showSerName val="0"/>
          <c:showPercent val="1"/>
          <c:showBubbleSize val="0"/>
          <c:showLeaderLines val="1"/>
        </c:dLbls>
      </c:pie3DChart>
    </c:plotArea>
    <c:legend>
      <c:legendPos val="t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Professional Statuses of Respondents</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Sheet1!$G$13:$G$17</c:f>
              <c:strCache>
                <c:ptCount val="5"/>
                <c:pt idx="0">
                  <c:v>Consultant</c:v>
                </c:pt>
                <c:pt idx="1">
                  <c:v>Senior Registrar</c:v>
                </c:pt>
                <c:pt idx="2">
                  <c:v>Registrar</c:v>
                </c:pt>
                <c:pt idx="3">
                  <c:v>Medical Officers</c:v>
                </c:pt>
                <c:pt idx="4">
                  <c:v>House Officers</c:v>
                </c:pt>
              </c:strCache>
            </c:strRef>
          </c:cat>
          <c:val>
            <c:numRef>
              <c:f>Sheet1!$H$13:$H$17</c:f>
              <c:numCache>
                <c:formatCode>General</c:formatCode>
                <c:ptCount val="5"/>
                <c:pt idx="0">
                  <c:v>17</c:v>
                </c:pt>
                <c:pt idx="1">
                  <c:v>15</c:v>
                </c:pt>
                <c:pt idx="2">
                  <c:v>47</c:v>
                </c:pt>
                <c:pt idx="3">
                  <c:v>11</c:v>
                </c:pt>
                <c:pt idx="4">
                  <c:v>8</c:v>
                </c:pt>
              </c:numCache>
            </c:numRef>
          </c:val>
          <c:extLst>
            <c:ext xmlns:c16="http://schemas.microsoft.com/office/drawing/2014/chart" uri="{C3380CC4-5D6E-409C-BE32-E72D297353CC}">
              <c16:uniqueId val="{00000000-1A18-4D3F-8176-2C96264D8D0B}"/>
            </c:ext>
          </c:extLst>
        </c:ser>
        <c:ser>
          <c:idx val="1"/>
          <c:order val="1"/>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Sheet1!$G$13:$G$17</c:f>
              <c:strCache>
                <c:ptCount val="5"/>
                <c:pt idx="0">
                  <c:v>Consultant</c:v>
                </c:pt>
                <c:pt idx="1">
                  <c:v>Senior Registrar</c:v>
                </c:pt>
                <c:pt idx="2">
                  <c:v>Registrar</c:v>
                </c:pt>
                <c:pt idx="3">
                  <c:v>Medical Officers</c:v>
                </c:pt>
                <c:pt idx="4">
                  <c:v>House Officers</c:v>
                </c:pt>
              </c:strCache>
            </c:strRef>
          </c:cat>
          <c:val>
            <c:numRef>
              <c:f>Sheet1!$I$13:$I$17</c:f>
              <c:numCache>
                <c:formatCode>General</c:formatCode>
                <c:ptCount val="5"/>
                <c:pt idx="0">
                  <c:v>17.350000000000001</c:v>
                </c:pt>
                <c:pt idx="1">
                  <c:v>15.31</c:v>
                </c:pt>
                <c:pt idx="2">
                  <c:v>47.96</c:v>
                </c:pt>
                <c:pt idx="3">
                  <c:v>11.2</c:v>
                </c:pt>
                <c:pt idx="4">
                  <c:v>8.16</c:v>
                </c:pt>
              </c:numCache>
            </c:numRef>
          </c:val>
          <c:extLst>
            <c:ext xmlns:c16="http://schemas.microsoft.com/office/drawing/2014/chart" uri="{C3380CC4-5D6E-409C-BE32-E72D297353CC}">
              <c16:uniqueId val="{00000001-1A18-4D3F-8176-2C96264D8D0B}"/>
            </c:ext>
          </c:extLst>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3FDC1-FDA1-40F6-A635-61B5F40EB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TF_Template_Word_Windows_2010</Template>
  <TotalTime>9</TotalTime>
  <Pages>16</Pages>
  <Words>4997</Words>
  <Characters>28483</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TF_Template_Word_Windows_2010</vt:lpstr>
    </vt:vector>
  </TitlesOfParts>
  <Company>Informa Plc</Company>
  <LinksUpToDate>false</LinksUpToDate>
  <CharactersWithSpaces>33414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TF_Template_Word_Windows_2010</dc:title>
  <dc:creator>HP</dc:creator>
  <cp:lastModifiedBy>Brian Godman</cp:lastModifiedBy>
  <cp:revision>5</cp:revision>
  <cp:lastPrinted>2011-07-22T14:54:00Z</cp:lastPrinted>
  <dcterms:created xsi:type="dcterms:W3CDTF">2018-05-16T21:09:00Z</dcterms:created>
  <dcterms:modified xsi:type="dcterms:W3CDTF">2018-05-16T21:24:00Z</dcterms:modified>
</cp:coreProperties>
</file>