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CD" w:rsidRPr="00837819" w:rsidRDefault="007474CD" w:rsidP="007474CD">
      <w:pPr>
        <w:spacing w:line="480" w:lineRule="auto"/>
        <w:jc w:val="left"/>
        <w:rPr>
          <w:rFonts w:ascii="Times New Roman" w:hAnsi="Times New Roman" w:cs="Times New Roman"/>
          <w:b/>
          <w:sz w:val="24"/>
          <w:szCs w:val="24"/>
        </w:rPr>
      </w:pPr>
      <w:bookmarkStart w:id="0" w:name="_Toc350859215"/>
      <w:r w:rsidRPr="00837819">
        <w:rPr>
          <w:rFonts w:ascii="Times New Roman" w:hAnsi="Times New Roman" w:cs="Times New Roman"/>
          <w:b/>
          <w:color w:val="000000"/>
          <w:sz w:val="24"/>
          <w:szCs w:val="24"/>
          <w:shd w:val="clear" w:color="auto" w:fill="FFFFFF"/>
        </w:rPr>
        <w:t>Global benchmarking of children’s exposure to television advertising of unhealth</w:t>
      </w:r>
      <w:r>
        <w:rPr>
          <w:rFonts w:ascii="Times New Roman" w:hAnsi="Times New Roman" w:cs="Times New Roman"/>
          <w:b/>
          <w:color w:val="000000"/>
          <w:sz w:val="24"/>
          <w:szCs w:val="24"/>
          <w:shd w:val="clear" w:color="auto" w:fill="FFFFFF"/>
        </w:rPr>
        <w:t>y</w:t>
      </w:r>
      <w:r w:rsidRPr="00837819">
        <w:rPr>
          <w:rFonts w:ascii="Times New Roman" w:hAnsi="Times New Roman" w:cs="Times New Roman"/>
          <w:b/>
          <w:color w:val="000000"/>
          <w:sz w:val="24"/>
          <w:szCs w:val="24"/>
          <w:shd w:val="clear" w:color="auto" w:fill="FFFFFF"/>
        </w:rPr>
        <w:t xml:space="preserve"> foods and beverages across 22 countries</w:t>
      </w:r>
    </w:p>
    <w:p w:rsidR="007474CD" w:rsidRDefault="007474CD" w:rsidP="007474CD">
      <w:pPr>
        <w:spacing w:line="480" w:lineRule="auto"/>
        <w:jc w:val="left"/>
        <w:rPr>
          <w:rFonts w:ascii="Times New Roman" w:hAnsi="Times New Roman" w:cs="Times New Roman"/>
          <w:sz w:val="24"/>
          <w:szCs w:val="24"/>
        </w:rPr>
      </w:pPr>
    </w:p>
    <w:p w:rsidR="007474CD" w:rsidRPr="003C1559" w:rsidRDefault="007474CD" w:rsidP="007474CD">
      <w:pPr>
        <w:spacing w:line="480" w:lineRule="auto"/>
        <w:jc w:val="left"/>
        <w:rPr>
          <w:rFonts w:ascii="Times New Roman" w:hAnsi="Times New Roman" w:cs="Times New Roman"/>
          <w:sz w:val="24"/>
          <w:szCs w:val="24"/>
          <w:lang w:val="es-ES"/>
        </w:rPr>
      </w:pPr>
      <w:r w:rsidRPr="003C1559">
        <w:rPr>
          <w:rFonts w:ascii="Times New Roman" w:hAnsi="Times New Roman" w:cs="Times New Roman"/>
          <w:sz w:val="24"/>
          <w:szCs w:val="24"/>
        </w:rPr>
        <w:t>Bridget Kelly</w:t>
      </w:r>
      <w:r w:rsidRPr="003C1559">
        <w:rPr>
          <w:rFonts w:ascii="Times New Roman" w:hAnsi="Times New Roman" w:cs="Times New Roman"/>
          <w:sz w:val="24"/>
          <w:szCs w:val="24"/>
          <w:vertAlign w:val="superscript"/>
        </w:rPr>
        <w:t>1</w:t>
      </w:r>
      <w:r w:rsidRPr="00557574">
        <w:rPr>
          <w:rFonts w:ascii="Times New Roman" w:hAnsi="Times New Roman" w:cs="Times New Roman"/>
          <w:sz w:val="24"/>
          <w:szCs w:val="24"/>
          <w:vertAlign w:val="superscript"/>
        </w:rPr>
        <w:t>*</w:t>
      </w:r>
      <w:r w:rsidRPr="00557574">
        <w:rPr>
          <w:rFonts w:ascii="Times New Roman" w:hAnsi="Times New Roman" w:cs="Times New Roman"/>
          <w:sz w:val="24"/>
          <w:szCs w:val="24"/>
        </w:rPr>
        <w:t xml:space="preserve">, Stefanie </w:t>
      </w:r>
      <w:r w:rsidRPr="00557574">
        <w:rPr>
          <w:rFonts w:ascii="Times New Roman" w:hAnsi="Times New Roman" w:cs="Times New Roman"/>
          <w:sz w:val="24"/>
          <w:szCs w:val="24"/>
          <w:lang w:val="en-NZ"/>
        </w:rPr>
        <w:t>Vandevijvere</w:t>
      </w:r>
      <w:r w:rsidRPr="00557574">
        <w:rPr>
          <w:rFonts w:ascii="Times New Roman" w:hAnsi="Times New Roman" w:cs="Times New Roman"/>
          <w:sz w:val="24"/>
          <w:szCs w:val="24"/>
          <w:vertAlign w:val="superscript"/>
          <w:lang w:val="en-NZ"/>
        </w:rPr>
        <w:t>2</w:t>
      </w:r>
      <w:r w:rsidRPr="00557574">
        <w:rPr>
          <w:rFonts w:ascii="Times New Roman" w:hAnsi="Times New Roman" w:cs="Times New Roman"/>
          <w:sz w:val="24"/>
          <w:szCs w:val="24"/>
          <w:lang w:val="en-NZ"/>
        </w:rPr>
        <w:t>, Ng See Hoe</w:t>
      </w:r>
      <w:r w:rsidRPr="00557574">
        <w:rPr>
          <w:rFonts w:ascii="Times New Roman" w:hAnsi="Times New Roman" w:cs="Times New Roman"/>
          <w:sz w:val="24"/>
          <w:szCs w:val="24"/>
          <w:vertAlign w:val="superscript"/>
          <w:lang w:val="en-NZ"/>
        </w:rPr>
        <w:t>3</w:t>
      </w:r>
      <w:r w:rsidRPr="00557574">
        <w:rPr>
          <w:rFonts w:ascii="Times New Roman" w:hAnsi="Times New Roman" w:cs="Times New Roman"/>
          <w:sz w:val="24"/>
          <w:szCs w:val="24"/>
          <w:lang w:val="en-NZ"/>
        </w:rPr>
        <w:t xml:space="preserve">, </w:t>
      </w:r>
      <w:r w:rsidRPr="00557574">
        <w:rPr>
          <w:rFonts w:ascii="Times New Roman" w:hAnsi="Times New Roman" w:cs="Times New Roman"/>
          <w:sz w:val="24"/>
          <w:szCs w:val="24"/>
        </w:rPr>
        <w:t>Jean Adams</w:t>
      </w:r>
      <w:r w:rsidRPr="00557574">
        <w:rPr>
          <w:rFonts w:ascii="Times New Roman" w:hAnsi="Times New Roman" w:cs="Times New Roman"/>
          <w:sz w:val="24"/>
          <w:szCs w:val="24"/>
          <w:vertAlign w:val="superscript"/>
        </w:rPr>
        <w:t>4</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Lorena Allemandi</w:t>
      </w:r>
      <w:r w:rsidRPr="00557574">
        <w:rPr>
          <w:rFonts w:ascii="Times New Roman" w:hAnsi="Times New Roman" w:cs="Times New Roman"/>
          <w:sz w:val="24"/>
          <w:szCs w:val="24"/>
          <w:vertAlign w:val="superscript"/>
          <w:lang w:val="en-AU"/>
        </w:rPr>
        <w:t>5</w:t>
      </w:r>
      <w:r w:rsidRPr="00557574">
        <w:rPr>
          <w:rFonts w:ascii="Times New Roman" w:hAnsi="Times New Roman" w:cs="Times New Roman"/>
          <w:sz w:val="24"/>
          <w:szCs w:val="24"/>
          <w:lang w:val="en-AU"/>
        </w:rPr>
        <w:t xml:space="preserve">, </w:t>
      </w:r>
      <w:r w:rsidRPr="00557574">
        <w:rPr>
          <w:rFonts w:ascii="Times New Roman" w:hAnsi="Times New Roman" w:cs="Times New Roman"/>
          <w:sz w:val="24"/>
          <w:szCs w:val="24"/>
        </w:rPr>
        <w:t>Liliana Bahena-Espina</w:t>
      </w:r>
      <w:r w:rsidRPr="00557574">
        <w:rPr>
          <w:rFonts w:ascii="Times New Roman" w:hAnsi="Times New Roman" w:cs="Times New Roman"/>
          <w:sz w:val="24"/>
          <w:szCs w:val="24"/>
          <w:vertAlign w:val="superscript"/>
        </w:rPr>
        <w:t>6</w:t>
      </w:r>
      <w:r w:rsidRPr="00557574">
        <w:rPr>
          <w:rFonts w:ascii="Times New Roman" w:hAnsi="Times New Roman" w:cs="Times New Roman"/>
          <w:sz w:val="24"/>
          <w:szCs w:val="24"/>
        </w:rPr>
        <w:t>, Simon Barquera</w:t>
      </w:r>
      <w:r w:rsidRPr="00557574">
        <w:rPr>
          <w:rFonts w:ascii="Times New Roman" w:hAnsi="Times New Roman" w:cs="Times New Roman"/>
          <w:sz w:val="24"/>
          <w:szCs w:val="24"/>
          <w:vertAlign w:val="superscript"/>
        </w:rPr>
        <w:t>6</w:t>
      </w:r>
      <w:r w:rsidRPr="00557574">
        <w:rPr>
          <w:rFonts w:ascii="Times New Roman" w:hAnsi="Times New Roman" w:cs="Times New Roman"/>
          <w:sz w:val="24"/>
          <w:szCs w:val="24"/>
        </w:rPr>
        <w:t>, Emma Boyland</w:t>
      </w:r>
      <w:r w:rsidRPr="00557574">
        <w:rPr>
          <w:rFonts w:ascii="Times New Roman" w:hAnsi="Times New Roman" w:cs="Times New Roman"/>
          <w:sz w:val="24"/>
          <w:szCs w:val="24"/>
          <w:vertAlign w:val="superscript"/>
        </w:rPr>
        <w:t>7</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Paul Calleja</w:t>
      </w:r>
      <w:r w:rsidRPr="00557574">
        <w:rPr>
          <w:rFonts w:ascii="Times New Roman" w:hAnsi="Times New Roman" w:cs="Times New Roman"/>
          <w:sz w:val="24"/>
          <w:szCs w:val="24"/>
          <w:vertAlign w:val="superscript"/>
          <w:lang w:val="en-AU"/>
        </w:rPr>
        <w:t>8</w:t>
      </w:r>
      <w:r w:rsidRPr="00557574">
        <w:rPr>
          <w:rFonts w:ascii="Times New Roman" w:hAnsi="Times New Roman" w:cs="Times New Roman"/>
          <w:sz w:val="24"/>
          <w:szCs w:val="24"/>
          <w:lang w:val="en-AU"/>
        </w:rPr>
        <w:t xml:space="preserve">, </w:t>
      </w:r>
      <w:r w:rsidRPr="00557574">
        <w:rPr>
          <w:rStyle w:val="Hyperlink"/>
          <w:rFonts w:ascii="Times New Roman" w:hAnsi="Times New Roman" w:cs="Times New Roman"/>
          <w:color w:val="auto"/>
          <w:sz w:val="24"/>
          <w:szCs w:val="24"/>
        </w:rPr>
        <w:t>Isabel Cristina Carmona-Garcés</w:t>
      </w:r>
      <w:r w:rsidRPr="00557574">
        <w:rPr>
          <w:rStyle w:val="Hyperlink"/>
          <w:rFonts w:ascii="Times New Roman" w:hAnsi="Times New Roman" w:cs="Times New Roman"/>
          <w:color w:val="auto"/>
          <w:sz w:val="24"/>
          <w:szCs w:val="24"/>
          <w:vertAlign w:val="superscript"/>
        </w:rPr>
        <w:t>9</w:t>
      </w:r>
      <w:r w:rsidRPr="00557574">
        <w:rPr>
          <w:rStyle w:val="Hyperlink"/>
          <w:rFonts w:ascii="Times New Roman" w:hAnsi="Times New Roman" w:cs="Times New Roman"/>
          <w:color w:val="auto"/>
          <w:sz w:val="24"/>
          <w:szCs w:val="24"/>
        </w:rPr>
        <w:t>,</w:t>
      </w:r>
      <w:r w:rsidRPr="00557574">
        <w:rPr>
          <w:rStyle w:val="Hyperlink"/>
          <w:rFonts w:ascii="Times New Roman" w:hAnsi="Times New Roman" w:cs="Times New Roman"/>
          <w:sz w:val="24"/>
          <w:szCs w:val="24"/>
        </w:rPr>
        <w:t xml:space="preserve"> </w:t>
      </w:r>
      <w:r w:rsidRPr="00557574">
        <w:rPr>
          <w:rFonts w:ascii="Times New Roman" w:hAnsi="Times New Roman" w:cs="Times New Roman"/>
          <w:sz w:val="24"/>
          <w:szCs w:val="24"/>
        </w:rPr>
        <w:t>Luciana Castronuovo</w:t>
      </w:r>
      <w:r w:rsidRPr="00557574">
        <w:rPr>
          <w:rFonts w:ascii="Times New Roman" w:hAnsi="Times New Roman" w:cs="Times New Roman"/>
          <w:sz w:val="24"/>
          <w:szCs w:val="24"/>
          <w:vertAlign w:val="superscript"/>
        </w:rPr>
        <w:t>5</w:t>
      </w:r>
      <w:r w:rsidRPr="00557574">
        <w:rPr>
          <w:rFonts w:ascii="Times New Roman" w:hAnsi="Times New Roman" w:cs="Times New Roman"/>
          <w:sz w:val="24"/>
          <w:szCs w:val="24"/>
        </w:rPr>
        <w:t>,  Daniel Cauchi</w:t>
      </w:r>
      <w:r w:rsidRPr="00557574">
        <w:rPr>
          <w:rFonts w:ascii="Times New Roman" w:hAnsi="Times New Roman" w:cs="Times New Roman"/>
          <w:sz w:val="24"/>
          <w:szCs w:val="24"/>
          <w:vertAlign w:val="superscript"/>
        </w:rPr>
        <w:t>10</w:t>
      </w:r>
      <w:r w:rsidRPr="00557574">
        <w:rPr>
          <w:rFonts w:ascii="Times New Roman" w:hAnsi="Times New Roman" w:cs="Times New Roman"/>
          <w:sz w:val="24"/>
          <w:szCs w:val="24"/>
        </w:rPr>
        <w:t>, Teresa Correa</w:t>
      </w:r>
      <w:r w:rsidRPr="00557574">
        <w:rPr>
          <w:rFonts w:ascii="Times New Roman" w:hAnsi="Times New Roman" w:cs="Times New Roman"/>
          <w:sz w:val="24"/>
          <w:szCs w:val="24"/>
          <w:vertAlign w:val="superscript"/>
        </w:rPr>
        <w:t>11</w:t>
      </w:r>
      <w:r w:rsidRPr="00557574">
        <w:rPr>
          <w:rFonts w:ascii="Times New Roman" w:hAnsi="Times New Roman" w:cs="Times New Roman"/>
          <w:sz w:val="24"/>
          <w:szCs w:val="24"/>
        </w:rPr>
        <w:t>, Camila Corvalán</w:t>
      </w:r>
      <w:r w:rsidRPr="00557574">
        <w:rPr>
          <w:rFonts w:ascii="Times New Roman" w:hAnsi="Times New Roman" w:cs="Times New Roman"/>
          <w:sz w:val="24"/>
          <w:szCs w:val="24"/>
          <w:vertAlign w:val="superscript"/>
        </w:rPr>
        <w:t>12</w:t>
      </w:r>
      <w:r w:rsidRPr="00557574">
        <w:rPr>
          <w:rFonts w:ascii="Times New Roman" w:hAnsi="Times New Roman" w:cs="Times New Roman"/>
          <w:sz w:val="24"/>
          <w:szCs w:val="24"/>
        </w:rPr>
        <w:t>, Emma Lucia Cosenza-Quintana</w:t>
      </w:r>
      <w:r w:rsidRPr="00557574">
        <w:rPr>
          <w:rFonts w:ascii="Times New Roman" w:hAnsi="Times New Roman" w:cs="Times New Roman"/>
          <w:sz w:val="24"/>
          <w:szCs w:val="24"/>
          <w:vertAlign w:val="superscript"/>
        </w:rPr>
        <w:t>13</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s-ES"/>
        </w:rPr>
        <w:t>Carlos Fernández-Escobar</w:t>
      </w:r>
      <w:r w:rsidRPr="00557574">
        <w:rPr>
          <w:rFonts w:ascii="Times New Roman" w:hAnsi="Times New Roman" w:cs="Times New Roman"/>
          <w:sz w:val="24"/>
          <w:szCs w:val="24"/>
          <w:vertAlign w:val="superscript"/>
          <w:lang w:val="es-ES"/>
        </w:rPr>
        <w:t>14</w:t>
      </w:r>
      <w:r w:rsidRPr="00557574">
        <w:rPr>
          <w:rFonts w:ascii="Times New Roman" w:hAnsi="Times New Roman" w:cs="Times New Roman"/>
          <w:sz w:val="24"/>
          <w:szCs w:val="24"/>
          <w:lang w:val="es-ES"/>
        </w:rPr>
        <w:t xml:space="preserve">, </w:t>
      </w:r>
      <w:r w:rsidRPr="00557574">
        <w:rPr>
          <w:rFonts w:ascii="Times New Roman" w:hAnsi="Times New Roman" w:cs="Times New Roman"/>
          <w:sz w:val="24"/>
          <w:szCs w:val="24"/>
        </w:rPr>
        <w:t xml:space="preserve">Laura I </w:t>
      </w:r>
      <w:r w:rsidRPr="00557574">
        <w:rPr>
          <w:rFonts w:ascii="Times New Roman" w:hAnsi="Times New Roman" w:cs="Times New Roman"/>
          <w:sz w:val="24"/>
          <w:szCs w:val="24"/>
          <w:lang w:val="en-NZ"/>
        </w:rPr>
        <w:t>González-Zapata</w:t>
      </w:r>
      <w:r w:rsidRPr="00557574">
        <w:rPr>
          <w:rFonts w:ascii="Times New Roman" w:hAnsi="Times New Roman" w:cs="Times New Roman"/>
          <w:sz w:val="24"/>
          <w:szCs w:val="24"/>
          <w:vertAlign w:val="superscript"/>
          <w:lang w:val="en-NZ"/>
        </w:rPr>
        <w:t>15</w:t>
      </w:r>
      <w:r w:rsidRPr="00557574">
        <w:rPr>
          <w:rFonts w:ascii="Times New Roman" w:hAnsi="Times New Roman" w:cs="Times New Roman"/>
          <w:sz w:val="24"/>
          <w:szCs w:val="24"/>
          <w:lang w:val="en-NZ"/>
        </w:rPr>
        <w:t xml:space="preserve">, </w:t>
      </w:r>
      <w:r w:rsidRPr="00557574">
        <w:rPr>
          <w:rFonts w:ascii="Times New Roman" w:hAnsi="Times New Roman" w:cs="Times New Roman"/>
          <w:sz w:val="24"/>
          <w:szCs w:val="24"/>
        </w:rPr>
        <w:t>Jason Halford</w:t>
      </w:r>
      <w:r w:rsidRPr="00557574">
        <w:rPr>
          <w:rFonts w:ascii="Times New Roman" w:hAnsi="Times New Roman" w:cs="Times New Roman"/>
          <w:sz w:val="24"/>
          <w:szCs w:val="24"/>
          <w:vertAlign w:val="superscript"/>
        </w:rPr>
        <w:t>7</w:t>
      </w:r>
      <w:r w:rsidRPr="00557574">
        <w:rPr>
          <w:rFonts w:ascii="Times New Roman" w:hAnsi="Times New Roman" w:cs="Times New Roman"/>
          <w:sz w:val="24"/>
          <w:szCs w:val="24"/>
        </w:rPr>
        <w:t>, Nongnuch Jaichuen</w:t>
      </w:r>
      <w:r w:rsidRPr="00557574">
        <w:rPr>
          <w:rFonts w:ascii="Times New Roman" w:hAnsi="Times New Roman" w:cs="Times New Roman"/>
          <w:sz w:val="24"/>
          <w:szCs w:val="24"/>
          <w:vertAlign w:val="superscript"/>
        </w:rPr>
        <w:t>16</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nl-NL"/>
        </w:rPr>
        <w:t>Melissa L Jensen</w:t>
      </w:r>
      <w:r w:rsidRPr="00557574">
        <w:rPr>
          <w:rFonts w:ascii="Times New Roman" w:hAnsi="Times New Roman" w:cs="Times New Roman"/>
          <w:sz w:val="24"/>
          <w:szCs w:val="24"/>
          <w:vertAlign w:val="superscript"/>
          <w:lang w:val="nl-NL"/>
        </w:rPr>
        <w:t>17</w:t>
      </w:r>
      <w:r w:rsidRPr="00557574">
        <w:rPr>
          <w:rFonts w:ascii="Times New Roman" w:hAnsi="Times New Roman" w:cs="Times New Roman"/>
          <w:sz w:val="24"/>
          <w:szCs w:val="24"/>
          <w:lang w:val="nl-NL"/>
        </w:rPr>
        <w:t xml:space="preserve">, </w:t>
      </w:r>
      <w:r w:rsidRPr="00557574">
        <w:rPr>
          <w:rFonts w:ascii="Times New Roman" w:hAnsi="Times New Roman" w:cs="Times New Roman"/>
          <w:sz w:val="24"/>
          <w:szCs w:val="24"/>
          <w:lang w:val="en-AU"/>
        </w:rPr>
        <w:t>Tilakavati Karupaiah</w:t>
      </w:r>
      <w:r w:rsidRPr="00557574">
        <w:rPr>
          <w:rFonts w:ascii="Times New Roman" w:hAnsi="Times New Roman" w:cs="Times New Roman"/>
          <w:sz w:val="24"/>
          <w:szCs w:val="24"/>
          <w:vertAlign w:val="superscript"/>
          <w:lang w:val="en-AU"/>
        </w:rPr>
        <w:t>3,18</w:t>
      </w:r>
      <w:r w:rsidRPr="00557574">
        <w:rPr>
          <w:rFonts w:ascii="Times New Roman" w:hAnsi="Times New Roman" w:cs="Times New Roman"/>
          <w:sz w:val="24"/>
          <w:szCs w:val="24"/>
          <w:lang w:val="en-AU"/>
        </w:rPr>
        <w:t xml:space="preserve">, </w:t>
      </w:r>
      <w:r w:rsidRPr="00557574">
        <w:rPr>
          <w:rFonts w:ascii="Times New Roman" w:hAnsi="Times New Roman" w:cs="Times New Roman"/>
          <w:sz w:val="24"/>
          <w:szCs w:val="24"/>
        </w:rPr>
        <w:t>Asha Kaur</w:t>
      </w:r>
      <w:r w:rsidRPr="00557574">
        <w:rPr>
          <w:rFonts w:ascii="Times New Roman" w:hAnsi="Times New Roman" w:cs="Times New Roman"/>
          <w:sz w:val="24"/>
          <w:szCs w:val="24"/>
          <w:vertAlign w:val="superscript"/>
        </w:rPr>
        <w:t>19</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s-MX"/>
        </w:rPr>
        <w:t>María F. Kroker-Lobos</w:t>
      </w:r>
      <w:r w:rsidRPr="00557574">
        <w:rPr>
          <w:rFonts w:ascii="Times New Roman" w:hAnsi="Times New Roman" w:cs="Times New Roman"/>
          <w:sz w:val="24"/>
          <w:szCs w:val="24"/>
          <w:vertAlign w:val="superscript"/>
          <w:lang w:val="es-MX"/>
        </w:rPr>
        <w:t>13</w:t>
      </w:r>
      <w:r w:rsidRPr="00557574">
        <w:rPr>
          <w:rFonts w:ascii="Times New Roman" w:hAnsi="Times New Roman" w:cs="Times New Roman"/>
          <w:sz w:val="24"/>
          <w:szCs w:val="24"/>
          <w:lang w:val="es-MX"/>
        </w:rPr>
        <w:t xml:space="preserve">, </w:t>
      </w:r>
      <w:r w:rsidRPr="00557574">
        <w:rPr>
          <w:rFonts w:ascii="Times New Roman" w:hAnsi="Times New Roman" w:cs="Times New Roman"/>
          <w:sz w:val="24"/>
          <w:szCs w:val="24"/>
        </w:rPr>
        <w:t>Zandile Mchiza</w:t>
      </w:r>
      <w:r w:rsidRPr="00557574">
        <w:rPr>
          <w:rFonts w:ascii="Times New Roman" w:hAnsi="Times New Roman" w:cs="Times New Roman"/>
          <w:sz w:val="24"/>
          <w:szCs w:val="24"/>
          <w:vertAlign w:val="superscript"/>
        </w:rPr>
        <w:t>20</w:t>
      </w:r>
      <w:r w:rsidRPr="00557574">
        <w:rPr>
          <w:rFonts w:ascii="Times New Roman" w:hAnsi="Times New Roman" w:cs="Times New Roman"/>
          <w:sz w:val="24"/>
          <w:szCs w:val="24"/>
        </w:rPr>
        <w:t>, Krista Miklavec</w:t>
      </w:r>
      <w:r w:rsidRPr="00557574">
        <w:rPr>
          <w:rFonts w:ascii="Times New Roman" w:hAnsi="Times New Roman" w:cs="Times New Roman"/>
          <w:sz w:val="24"/>
          <w:szCs w:val="24"/>
          <w:vertAlign w:val="superscript"/>
        </w:rPr>
        <w:t>21</w:t>
      </w:r>
      <w:r w:rsidRPr="00557574">
        <w:rPr>
          <w:rFonts w:ascii="Times New Roman" w:hAnsi="Times New Roman" w:cs="Times New Roman"/>
          <w:sz w:val="24"/>
          <w:szCs w:val="24"/>
        </w:rPr>
        <w:t>, Whadi-ah Parker</w:t>
      </w:r>
      <w:r w:rsidRPr="00557574">
        <w:rPr>
          <w:rFonts w:ascii="Times New Roman" w:hAnsi="Times New Roman" w:cs="Times New Roman"/>
          <w:sz w:val="24"/>
          <w:szCs w:val="24"/>
          <w:vertAlign w:val="superscript"/>
        </w:rPr>
        <w:t>22</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Monique Potvin Kent</w:t>
      </w:r>
      <w:r w:rsidRPr="00557574">
        <w:rPr>
          <w:rFonts w:ascii="Times New Roman" w:hAnsi="Times New Roman" w:cs="Times New Roman"/>
          <w:sz w:val="24"/>
          <w:szCs w:val="24"/>
          <w:vertAlign w:val="superscript"/>
          <w:lang w:val="en-AU"/>
        </w:rPr>
        <w:t>23</w:t>
      </w:r>
      <w:r w:rsidRPr="00557574">
        <w:rPr>
          <w:rFonts w:ascii="Times New Roman" w:hAnsi="Times New Roman" w:cs="Times New Roman"/>
          <w:sz w:val="24"/>
          <w:szCs w:val="24"/>
          <w:lang w:val="en-AU"/>
        </w:rPr>
        <w:t xml:space="preserve">, </w:t>
      </w:r>
      <w:r w:rsidRPr="00557574">
        <w:rPr>
          <w:rFonts w:ascii="Times New Roman" w:hAnsi="Times New Roman" w:cs="Times New Roman"/>
          <w:sz w:val="24"/>
          <w:szCs w:val="24"/>
        </w:rPr>
        <w:t>Igor Pravst</w:t>
      </w:r>
      <w:r w:rsidRPr="00557574">
        <w:rPr>
          <w:rFonts w:ascii="Times New Roman" w:hAnsi="Times New Roman" w:cs="Times New Roman"/>
          <w:sz w:val="24"/>
          <w:szCs w:val="24"/>
          <w:vertAlign w:val="superscript"/>
        </w:rPr>
        <w:t>21</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s-CR"/>
        </w:rPr>
        <w:t>Manuel Ramírez-Zea</w:t>
      </w:r>
      <w:r w:rsidRPr="00557574">
        <w:rPr>
          <w:rFonts w:ascii="Times New Roman" w:hAnsi="Times New Roman" w:cs="Times New Roman"/>
          <w:sz w:val="24"/>
          <w:szCs w:val="24"/>
          <w:vertAlign w:val="superscript"/>
        </w:rPr>
        <w:t>13</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Sascha Reiff</w:t>
      </w:r>
      <w:r w:rsidRPr="00557574">
        <w:rPr>
          <w:rFonts w:ascii="Times New Roman" w:hAnsi="Times New Roman" w:cs="Times New Roman"/>
          <w:sz w:val="24"/>
          <w:szCs w:val="24"/>
          <w:vertAlign w:val="superscript"/>
        </w:rPr>
        <w:t>24</w:t>
      </w:r>
      <w:r w:rsidRPr="00557574">
        <w:rPr>
          <w:rFonts w:ascii="Times New Roman" w:hAnsi="Times New Roman" w:cs="Times New Roman"/>
          <w:sz w:val="24"/>
          <w:szCs w:val="24"/>
        </w:rPr>
        <w:t>, Marcela Reyes</w:t>
      </w:r>
      <w:r w:rsidRPr="00557574">
        <w:rPr>
          <w:rFonts w:ascii="Times New Roman" w:hAnsi="Times New Roman" w:cs="Times New Roman"/>
          <w:sz w:val="24"/>
          <w:szCs w:val="24"/>
          <w:vertAlign w:val="superscript"/>
        </w:rPr>
        <w:t>12</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s-ES"/>
        </w:rPr>
        <w:t>Miguel Ángel Royo-Bordonada</w:t>
      </w:r>
      <w:r w:rsidRPr="00557574">
        <w:rPr>
          <w:rFonts w:ascii="Times New Roman" w:hAnsi="Times New Roman" w:cs="Times New Roman"/>
          <w:sz w:val="24"/>
          <w:szCs w:val="24"/>
          <w:vertAlign w:val="superscript"/>
          <w:lang w:val="es-ES"/>
        </w:rPr>
        <w:t>14</w:t>
      </w:r>
      <w:r w:rsidRPr="00557574">
        <w:rPr>
          <w:rFonts w:ascii="Times New Roman" w:hAnsi="Times New Roman" w:cs="Times New Roman"/>
          <w:sz w:val="24"/>
          <w:szCs w:val="24"/>
          <w:lang w:val="es-ES"/>
        </w:rPr>
        <w:t xml:space="preserve">, </w:t>
      </w:r>
      <w:r w:rsidRPr="00557574">
        <w:rPr>
          <w:rFonts w:ascii="Times New Roman" w:hAnsi="Times New Roman" w:cs="Times New Roman"/>
          <w:sz w:val="24"/>
          <w:szCs w:val="24"/>
        </w:rPr>
        <w:t>Putthipanya Rueangsom</w:t>
      </w:r>
      <w:r w:rsidRPr="00557574">
        <w:rPr>
          <w:rFonts w:ascii="Times New Roman" w:hAnsi="Times New Roman" w:cs="Times New Roman"/>
          <w:sz w:val="24"/>
          <w:szCs w:val="24"/>
          <w:vertAlign w:val="superscript"/>
        </w:rPr>
        <w:t>16</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Peter Scarborough</w:t>
      </w:r>
      <w:r w:rsidRPr="00884107">
        <w:rPr>
          <w:rFonts w:ascii="Times New Roman" w:hAnsi="Times New Roman" w:cs="Times New Roman"/>
          <w:sz w:val="24"/>
          <w:szCs w:val="24"/>
          <w:vertAlign w:val="superscript"/>
          <w:lang w:val="en-AU"/>
        </w:rPr>
        <w:t>25</w:t>
      </w:r>
      <w:r w:rsidRPr="00557574">
        <w:rPr>
          <w:rFonts w:ascii="Times New Roman" w:hAnsi="Times New Roman" w:cs="Times New Roman"/>
          <w:sz w:val="24"/>
          <w:szCs w:val="24"/>
          <w:lang w:val="es-ES"/>
        </w:rPr>
        <w:t xml:space="preserve">, </w:t>
      </w:r>
      <w:r w:rsidRPr="00557574">
        <w:rPr>
          <w:rFonts w:ascii="Times New Roman" w:hAnsi="Times New Roman" w:cs="Times New Roman"/>
          <w:sz w:val="24"/>
          <w:szCs w:val="24"/>
        </w:rPr>
        <w:t>Victoria Tiscornia</w:t>
      </w:r>
      <w:r w:rsidRPr="00557574">
        <w:rPr>
          <w:rFonts w:ascii="Times New Roman" w:hAnsi="Times New Roman" w:cs="Times New Roman"/>
          <w:sz w:val="24"/>
          <w:szCs w:val="24"/>
          <w:vertAlign w:val="superscript"/>
        </w:rPr>
        <w:t>5</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Lizbeth Tolentino-Mayo</w:t>
      </w:r>
      <w:r w:rsidRPr="00557574">
        <w:rPr>
          <w:rFonts w:ascii="Times New Roman" w:hAnsi="Times New Roman" w:cs="Times New Roman"/>
          <w:sz w:val="24"/>
          <w:szCs w:val="24"/>
          <w:vertAlign w:val="superscript"/>
          <w:lang w:val="en-AU"/>
        </w:rPr>
        <w:t>6</w:t>
      </w:r>
      <w:r w:rsidRPr="00557574">
        <w:rPr>
          <w:rFonts w:ascii="Times New Roman" w:hAnsi="Times New Roman" w:cs="Times New Roman"/>
          <w:sz w:val="24"/>
          <w:szCs w:val="24"/>
          <w:lang w:val="en-AU"/>
        </w:rPr>
        <w:t xml:space="preserve">, </w:t>
      </w:r>
      <w:r w:rsidRPr="00557574">
        <w:rPr>
          <w:rFonts w:ascii="Times New Roman" w:hAnsi="Times New Roman" w:cs="Times New Roman"/>
          <w:sz w:val="24"/>
          <w:szCs w:val="24"/>
        </w:rPr>
        <w:t>Jillian Wate</w:t>
      </w:r>
      <w:r>
        <w:rPr>
          <w:rFonts w:ascii="Times New Roman" w:hAnsi="Times New Roman" w:cs="Times New Roman"/>
          <w:sz w:val="24"/>
          <w:szCs w:val="24"/>
          <w:vertAlign w:val="superscript"/>
        </w:rPr>
        <w:t>26</w:t>
      </w:r>
      <w:r w:rsidRPr="00557574">
        <w:rPr>
          <w:rFonts w:ascii="Times New Roman" w:hAnsi="Times New Roman" w:cs="Times New Roman"/>
          <w:sz w:val="24"/>
          <w:szCs w:val="24"/>
        </w:rPr>
        <w:t>, Martin White</w:t>
      </w:r>
      <w:r w:rsidRPr="00557574">
        <w:rPr>
          <w:rFonts w:ascii="Times New Roman" w:hAnsi="Times New Roman" w:cs="Times New Roman"/>
          <w:sz w:val="24"/>
          <w:szCs w:val="24"/>
          <w:vertAlign w:val="superscript"/>
        </w:rPr>
        <w:t>4</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nl-NL"/>
        </w:rPr>
        <w:t>Irina Zamora</w:t>
      </w:r>
      <w:r>
        <w:rPr>
          <w:rFonts w:ascii="Times New Roman" w:hAnsi="Times New Roman" w:cs="Times New Roman"/>
          <w:sz w:val="24"/>
          <w:szCs w:val="24"/>
          <w:lang w:val="nl-NL"/>
        </w:rPr>
        <w:t>-Corrales</w:t>
      </w:r>
      <w:r>
        <w:rPr>
          <w:rFonts w:ascii="Times New Roman" w:hAnsi="Times New Roman" w:cs="Times New Roman"/>
          <w:sz w:val="24"/>
          <w:szCs w:val="24"/>
          <w:vertAlign w:val="superscript"/>
          <w:lang w:val="nl-NL"/>
        </w:rPr>
        <w:t>13,27</w:t>
      </w:r>
      <w:r w:rsidRPr="00557574">
        <w:rPr>
          <w:rFonts w:ascii="Times New Roman" w:hAnsi="Times New Roman" w:cs="Times New Roman"/>
          <w:sz w:val="24"/>
          <w:szCs w:val="24"/>
          <w:lang w:val="nl-NL"/>
        </w:rPr>
        <w:t xml:space="preserve">, </w:t>
      </w:r>
      <w:r w:rsidRPr="00557574">
        <w:rPr>
          <w:rFonts w:ascii="Times New Roman" w:hAnsi="Times New Roman" w:cs="Times New Roman"/>
          <w:sz w:val="24"/>
          <w:szCs w:val="24"/>
          <w:lang w:val="en-AU"/>
        </w:rPr>
        <w:t>Lingxia Zeng</w:t>
      </w:r>
      <w:r>
        <w:rPr>
          <w:rFonts w:ascii="Times New Roman" w:hAnsi="Times New Roman" w:cs="Times New Roman"/>
          <w:sz w:val="24"/>
          <w:szCs w:val="24"/>
          <w:vertAlign w:val="superscript"/>
          <w:lang w:val="en-AU"/>
        </w:rPr>
        <w:t>28</w:t>
      </w:r>
      <w:r w:rsidRPr="00557574">
        <w:rPr>
          <w:rFonts w:ascii="Times New Roman" w:hAnsi="Times New Roman" w:cs="Times New Roman"/>
          <w:sz w:val="24"/>
          <w:szCs w:val="24"/>
        </w:rPr>
        <w:t xml:space="preserve">, </w:t>
      </w:r>
      <w:r w:rsidRPr="00557574">
        <w:rPr>
          <w:rFonts w:ascii="Times New Roman" w:hAnsi="Times New Roman" w:cs="Times New Roman"/>
          <w:sz w:val="24"/>
          <w:szCs w:val="24"/>
          <w:lang w:val="en-AU"/>
        </w:rPr>
        <w:t>Boyd Swinburn</w:t>
      </w:r>
      <w:r w:rsidRPr="00557574">
        <w:rPr>
          <w:rFonts w:ascii="Times New Roman" w:hAnsi="Times New Roman" w:cs="Times New Roman"/>
          <w:sz w:val="24"/>
          <w:szCs w:val="24"/>
          <w:vertAlign w:val="superscript"/>
          <w:lang w:val="en-AU"/>
        </w:rPr>
        <w:t>2</w:t>
      </w:r>
    </w:p>
    <w:p w:rsidR="007474CD" w:rsidRDefault="007474CD" w:rsidP="007474CD">
      <w:pPr>
        <w:spacing w:line="480" w:lineRule="auto"/>
        <w:rPr>
          <w:rFonts w:ascii="Times New Roman" w:hAnsi="Times New Roman" w:cs="Times New Roman"/>
          <w:sz w:val="24"/>
          <w:szCs w:val="24"/>
          <w:vertAlign w:val="superscript"/>
        </w:rPr>
      </w:pPr>
    </w:p>
    <w:p w:rsidR="007474CD" w:rsidRPr="003C1559" w:rsidRDefault="007474CD" w:rsidP="007474CD">
      <w:pPr>
        <w:spacing w:line="480" w:lineRule="auto"/>
        <w:rPr>
          <w:rFonts w:ascii="Times New Roman" w:hAnsi="Times New Roman" w:cs="Times New Roman"/>
          <w:sz w:val="24"/>
          <w:szCs w:val="24"/>
        </w:rPr>
      </w:pPr>
      <w:r w:rsidRPr="003C1559">
        <w:rPr>
          <w:rFonts w:ascii="Times New Roman" w:hAnsi="Times New Roman" w:cs="Times New Roman"/>
          <w:sz w:val="24"/>
          <w:szCs w:val="24"/>
          <w:vertAlign w:val="superscript"/>
        </w:rPr>
        <w:t>1</w:t>
      </w:r>
      <w:r w:rsidRPr="003C1559">
        <w:rPr>
          <w:rFonts w:ascii="Times New Roman" w:hAnsi="Times New Roman" w:cs="Times New Roman"/>
          <w:sz w:val="24"/>
          <w:szCs w:val="24"/>
        </w:rPr>
        <w:t xml:space="preserve">Early Start, School of Health and Society, University of Wollongong, NSW, Australia </w:t>
      </w:r>
    </w:p>
    <w:p w:rsidR="007474CD" w:rsidRPr="003C1559" w:rsidRDefault="007474CD" w:rsidP="007474CD">
      <w:pPr>
        <w:spacing w:line="480" w:lineRule="auto"/>
        <w:rPr>
          <w:rFonts w:ascii="Times New Roman" w:hAnsi="Times New Roman" w:cs="Times New Roman"/>
          <w:sz w:val="24"/>
          <w:szCs w:val="24"/>
        </w:rPr>
      </w:pPr>
      <w:r w:rsidRPr="003C1559">
        <w:rPr>
          <w:rFonts w:ascii="Times New Roman" w:hAnsi="Times New Roman" w:cs="Times New Roman"/>
          <w:sz w:val="24"/>
          <w:szCs w:val="24"/>
          <w:vertAlign w:val="superscript"/>
        </w:rPr>
        <w:t xml:space="preserve">2 </w:t>
      </w:r>
      <w:r w:rsidRPr="003C1559">
        <w:rPr>
          <w:rFonts w:ascii="Times New Roman" w:hAnsi="Times New Roman" w:cs="Times New Roman"/>
          <w:sz w:val="24"/>
          <w:szCs w:val="24"/>
        </w:rPr>
        <w:t xml:space="preserve">University of Auckland, New Zealand </w:t>
      </w:r>
    </w:p>
    <w:p w:rsidR="007474CD" w:rsidRPr="003C1559" w:rsidRDefault="007474CD" w:rsidP="007474CD">
      <w:pPr>
        <w:spacing w:line="480" w:lineRule="auto"/>
        <w:jc w:val="left"/>
        <w:rPr>
          <w:rFonts w:ascii="Times New Roman" w:hAnsi="Times New Roman" w:cs="Times New Roman"/>
          <w:sz w:val="24"/>
          <w:szCs w:val="24"/>
        </w:rPr>
      </w:pPr>
      <w:r w:rsidRPr="003C1559">
        <w:rPr>
          <w:rFonts w:ascii="Times New Roman" w:hAnsi="Times New Roman" w:cs="Times New Roman"/>
          <w:sz w:val="24"/>
          <w:szCs w:val="24"/>
          <w:vertAlign w:val="superscript"/>
        </w:rPr>
        <w:t xml:space="preserve">3 </w:t>
      </w:r>
      <w:r w:rsidRPr="003C1559">
        <w:rPr>
          <w:rFonts w:ascii="Times New Roman" w:hAnsi="Times New Roman" w:cs="Times New Roman"/>
          <w:sz w:val="24"/>
          <w:szCs w:val="24"/>
        </w:rPr>
        <w:t>Faculty of Health Sciences, National University of Malaysia, Malaysia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4 </w:t>
      </w:r>
      <w:r w:rsidRPr="003C1559">
        <w:rPr>
          <w:rFonts w:ascii="Times New Roman" w:hAnsi="Times New Roman" w:cs="Times New Roman"/>
          <w:sz w:val="24"/>
          <w:szCs w:val="24"/>
        </w:rPr>
        <w:t>Centre for Diet &amp; Activity Research, MRC Epidemiology Unit, University of Cambridge, Cambridge, UK</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5</w:t>
      </w:r>
      <w:r w:rsidRPr="003C1559">
        <w:rPr>
          <w:rFonts w:ascii="Times New Roman" w:hAnsi="Times New Roman" w:cs="Times New Roman"/>
          <w:sz w:val="24"/>
          <w:szCs w:val="24"/>
          <w:lang w:val="es-AR"/>
        </w:rPr>
        <w:t xml:space="preserve"> Fundación InterAmericana del Corazón</w:t>
      </w:r>
      <w:r>
        <w:rPr>
          <w:rFonts w:ascii="Times New Roman" w:hAnsi="Times New Roman" w:cs="Times New Roman"/>
          <w:sz w:val="24"/>
          <w:szCs w:val="24"/>
          <w:lang w:val="es-AR"/>
        </w:rPr>
        <w:t>,</w:t>
      </w:r>
      <w:r w:rsidRPr="003C1559">
        <w:rPr>
          <w:rFonts w:ascii="Times New Roman" w:hAnsi="Times New Roman" w:cs="Times New Roman"/>
          <w:sz w:val="24"/>
          <w:szCs w:val="24"/>
          <w:lang w:val="es-AR"/>
        </w:rPr>
        <w:t xml:space="preserve"> Argentina (FIC Argentina)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6 </w:t>
      </w:r>
      <w:r w:rsidRPr="003C1559">
        <w:rPr>
          <w:rFonts w:ascii="Times New Roman" w:hAnsi="Times New Roman" w:cs="Times New Roman"/>
          <w:sz w:val="24"/>
          <w:szCs w:val="24"/>
        </w:rPr>
        <w:t>Nutrition and Health Research Center (CINyS), Instituto Nacional de Salud Pública (INSP)</w:t>
      </w:r>
      <w:r>
        <w:rPr>
          <w:rFonts w:ascii="Times New Roman" w:hAnsi="Times New Roman" w:cs="Times New Roman"/>
          <w:sz w:val="24"/>
          <w:szCs w:val="24"/>
        </w:rPr>
        <w:t xml:space="preserve">, </w:t>
      </w:r>
      <w:r w:rsidRPr="00724B32">
        <w:rPr>
          <w:rFonts w:ascii="Times New Roman" w:hAnsi="Times New Roman" w:cs="Times New Roman"/>
          <w:sz w:val="24"/>
          <w:szCs w:val="24"/>
        </w:rPr>
        <w:t>Cuernavaca, Morelos. Mexico</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7</w:t>
      </w:r>
      <w:r w:rsidRPr="003C1559">
        <w:rPr>
          <w:rFonts w:ascii="Times New Roman" w:hAnsi="Times New Roman" w:cs="Times New Roman"/>
          <w:sz w:val="24"/>
          <w:szCs w:val="24"/>
        </w:rPr>
        <w:t xml:space="preserve"> Department of Psychological Sciences, University of Liverpool, UK</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8 </w:t>
      </w:r>
      <w:r w:rsidRPr="007E6CF6">
        <w:rPr>
          <w:rFonts w:ascii="Times New Roman" w:hAnsi="Times New Roman" w:cs="Times New Roman"/>
          <w:sz w:val="24"/>
          <w:szCs w:val="24"/>
        </w:rPr>
        <w:t>Malta College of Arts, Science and Technology (MCAST), Malta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9 </w:t>
      </w:r>
      <w:r w:rsidRPr="003C1559">
        <w:rPr>
          <w:rFonts w:ascii="Times New Roman" w:eastAsia="Calibri" w:hAnsi="Times New Roman" w:cs="Times New Roman"/>
          <w:sz w:val="24"/>
          <w:szCs w:val="24"/>
        </w:rPr>
        <w:t>School of Nutrition and Dietetics, University of Antioquia, Medellín-Colombia. Health Education and Nutrition Education Interdisciplinary Research Group (GIIESEN)</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10 </w:t>
      </w:r>
      <w:r>
        <w:rPr>
          <w:rFonts w:ascii="Times New Roman" w:hAnsi="Times New Roman" w:cs="Times New Roman"/>
          <w:iCs/>
          <w:sz w:val="24"/>
          <w:szCs w:val="24"/>
        </w:rPr>
        <w:t>Department of Public Health, University of Malta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11 </w:t>
      </w:r>
      <w:r w:rsidRPr="003C1559">
        <w:rPr>
          <w:rFonts w:ascii="Times New Roman" w:hAnsi="Times New Roman" w:cs="Times New Roman"/>
          <w:sz w:val="24"/>
          <w:szCs w:val="24"/>
        </w:rPr>
        <w:t>School of Communication, Diego Portales University</w:t>
      </w:r>
      <w:r>
        <w:rPr>
          <w:rFonts w:ascii="Times New Roman" w:hAnsi="Times New Roman" w:cs="Times New Roman"/>
          <w:sz w:val="24"/>
          <w:szCs w:val="24"/>
        </w:rPr>
        <w:t>, Chile</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12 </w:t>
      </w:r>
      <w:r w:rsidRPr="003C1559">
        <w:rPr>
          <w:rFonts w:ascii="Times New Roman" w:hAnsi="Times New Roman" w:cs="Times New Roman"/>
          <w:sz w:val="24"/>
          <w:szCs w:val="24"/>
        </w:rPr>
        <w:t>Institute of Nutrition and Food Technology (INTA), University of Chile</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13 </w:t>
      </w:r>
      <w:r w:rsidRPr="003C1559">
        <w:rPr>
          <w:rFonts w:ascii="Times New Roman" w:hAnsi="Times New Roman" w:cs="Times New Roman"/>
          <w:sz w:val="24"/>
          <w:szCs w:val="24"/>
        </w:rPr>
        <w:t>INCAP Research Center for Prevention of Chronic Diseases, Institute of Nutrition of Central America and Panama, Guatemala City, Guatemala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14 </w:t>
      </w:r>
      <w:r w:rsidRPr="003C1559">
        <w:rPr>
          <w:rFonts w:ascii="Times New Roman" w:hAnsi="Times New Roman" w:cs="Times New Roman"/>
          <w:sz w:val="24"/>
          <w:szCs w:val="24"/>
        </w:rPr>
        <w:t xml:space="preserve">Spanish National School of Public Health. Institute of Health Carlos III. </w:t>
      </w:r>
      <w:r w:rsidRPr="003C1559">
        <w:rPr>
          <w:rFonts w:ascii="Times New Roman" w:hAnsi="Times New Roman" w:cs="Times New Roman"/>
          <w:sz w:val="24"/>
          <w:szCs w:val="24"/>
          <w:lang w:val="es-ES"/>
        </w:rPr>
        <w:t>Sinesio Delgado, 8. 28029 Madrid, Spain</w:t>
      </w:r>
    </w:p>
    <w:p w:rsidR="007474CD" w:rsidRPr="003C1559" w:rsidRDefault="007474CD" w:rsidP="007474CD">
      <w:pPr>
        <w:spacing w:line="480" w:lineRule="auto"/>
        <w:rPr>
          <w:rFonts w:ascii="Times New Roman" w:eastAsia="Calibri" w:hAnsi="Times New Roman" w:cs="Times New Roman"/>
          <w:sz w:val="24"/>
          <w:szCs w:val="24"/>
        </w:rPr>
      </w:pPr>
      <w:r w:rsidRPr="003C1559">
        <w:rPr>
          <w:rFonts w:ascii="Times New Roman" w:hAnsi="Times New Roman" w:cs="Times New Roman"/>
          <w:sz w:val="24"/>
          <w:szCs w:val="24"/>
          <w:vertAlign w:val="superscript"/>
        </w:rPr>
        <w:t xml:space="preserve">15 </w:t>
      </w:r>
      <w:r w:rsidRPr="003C1559">
        <w:rPr>
          <w:rFonts w:ascii="Times New Roman" w:eastAsia="Calibri" w:hAnsi="Times New Roman" w:cs="Times New Roman"/>
          <w:sz w:val="24"/>
          <w:szCs w:val="24"/>
        </w:rPr>
        <w:t>School of Nutrition and Dietetics, University of Antioquia, Medellín-Colombia. Social and Economic Determinants of Health and Nutrition Research Group</w:t>
      </w:r>
    </w:p>
    <w:p w:rsidR="007474CD" w:rsidRPr="003C1559" w:rsidRDefault="007474CD" w:rsidP="007474CD">
      <w:pPr>
        <w:spacing w:line="480" w:lineRule="auto"/>
        <w:rPr>
          <w:rFonts w:ascii="Times New Roman" w:eastAsia="Calibri" w:hAnsi="Times New Roman" w:cs="Times New Roman"/>
          <w:sz w:val="24"/>
          <w:szCs w:val="24"/>
        </w:rPr>
      </w:pPr>
      <w:r w:rsidRPr="00CF07B3">
        <w:rPr>
          <w:rFonts w:ascii="Times New Roman" w:eastAsia="Calibri" w:hAnsi="Times New Roman" w:cs="Times New Roman"/>
          <w:sz w:val="24"/>
          <w:szCs w:val="24"/>
          <w:vertAlign w:val="superscript"/>
        </w:rPr>
        <w:t>16</w:t>
      </w:r>
      <w:r w:rsidRPr="003C1559">
        <w:rPr>
          <w:rFonts w:ascii="Times New Roman" w:eastAsia="Calibri" w:hAnsi="Times New Roman" w:cs="Times New Roman"/>
          <w:sz w:val="24"/>
          <w:szCs w:val="24"/>
        </w:rPr>
        <w:t xml:space="preserve"> </w:t>
      </w:r>
      <w:r w:rsidRPr="003C1559">
        <w:rPr>
          <w:rFonts w:ascii="Times New Roman" w:hAnsi="Times New Roman" w:cs="Times New Roman"/>
          <w:sz w:val="24"/>
          <w:szCs w:val="24"/>
        </w:rPr>
        <w:t>International Health Policy Program, Ministry of Public Health, Nonthaburi, Thailand</w:t>
      </w:r>
    </w:p>
    <w:p w:rsidR="007474CD" w:rsidRPr="003C1559" w:rsidRDefault="007474CD" w:rsidP="007474CD">
      <w:pPr>
        <w:spacing w:line="480" w:lineRule="auto"/>
        <w:rPr>
          <w:rFonts w:ascii="Times New Roman" w:eastAsia="Calibri" w:hAnsi="Times New Roman" w:cs="Times New Roman"/>
          <w:sz w:val="24"/>
          <w:szCs w:val="24"/>
        </w:rPr>
      </w:pPr>
      <w:r w:rsidRPr="00CF07B3">
        <w:rPr>
          <w:rFonts w:ascii="Times New Roman" w:eastAsia="Calibri" w:hAnsi="Times New Roman" w:cs="Times New Roman"/>
          <w:sz w:val="24"/>
          <w:szCs w:val="24"/>
          <w:vertAlign w:val="superscript"/>
        </w:rPr>
        <w:t>17</w:t>
      </w:r>
      <w:r w:rsidRPr="003C1559">
        <w:rPr>
          <w:rFonts w:ascii="Times New Roman" w:eastAsia="Calibri" w:hAnsi="Times New Roman" w:cs="Times New Roman"/>
          <w:sz w:val="24"/>
          <w:szCs w:val="24"/>
        </w:rPr>
        <w:t xml:space="preserve"> </w:t>
      </w:r>
      <w:r w:rsidRPr="003C1559">
        <w:rPr>
          <w:rFonts w:ascii="Times New Roman" w:hAnsi="Times New Roman" w:cs="Times New Roman"/>
          <w:sz w:val="24"/>
          <w:szCs w:val="24"/>
        </w:rPr>
        <w:t>School of Nutrition, University of Costa Rica</w:t>
      </w:r>
    </w:p>
    <w:p w:rsidR="007474CD" w:rsidRPr="003C1559" w:rsidRDefault="007474CD" w:rsidP="007474CD">
      <w:pPr>
        <w:spacing w:line="480" w:lineRule="auto"/>
        <w:rPr>
          <w:rFonts w:ascii="Times New Roman" w:eastAsia="Calibri" w:hAnsi="Times New Roman" w:cs="Times New Roman"/>
          <w:sz w:val="24"/>
          <w:szCs w:val="24"/>
        </w:rPr>
      </w:pPr>
      <w:r w:rsidRPr="00CF07B3">
        <w:rPr>
          <w:rFonts w:ascii="Times New Roman" w:eastAsia="Calibri" w:hAnsi="Times New Roman" w:cs="Times New Roman"/>
          <w:sz w:val="24"/>
          <w:szCs w:val="24"/>
          <w:vertAlign w:val="superscript"/>
        </w:rPr>
        <w:t>18</w:t>
      </w:r>
      <w:r w:rsidRPr="003C1559">
        <w:rPr>
          <w:rFonts w:ascii="Times New Roman" w:eastAsia="Calibri" w:hAnsi="Times New Roman" w:cs="Times New Roman"/>
          <w:sz w:val="24"/>
          <w:szCs w:val="24"/>
        </w:rPr>
        <w:t xml:space="preserve"> </w:t>
      </w:r>
      <w:r w:rsidRPr="003C1559">
        <w:rPr>
          <w:rFonts w:ascii="Times New Roman" w:hAnsi="Times New Roman" w:cs="Times New Roman"/>
          <w:sz w:val="24"/>
          <w:szCs w:val="24"/>
        </w:rPr>
        <w:t>School of Biosciences, Faculty of Health and Medical Sciences, Taylor’s University, Malaysia</w:t>
      </w:r>
    </w:p>
    <w:p w:rsidR="007474CD" w:rsidRPr="00884107" w:rsidRDefault="007474CD" w:rsidP="007474CD">
      <w:pPr>
        <w:spacing w:line="480" w:lineRule="auto"/>
        <w:rPr>
          <w:rFonts w:ascii="Times New Roman" w:hAnsi="Times New Roman" w:cs="Times New Roman"/>
          <w:sz w:val="24"/>
          <w:szCs w:val="24"/>
        </w:rPr>
      </w:pPr>
      <w:r w:rsidRPr="00884107">
        <w:rPr>
          <w:rFonts w:ascii="Times New Roman" w:eastAsia="Calibri" w:hAnsi="Times New Roman" w:cs="Times New Roman"/>
          <w:sz w:val="24"/>
          <w:szCs w:val="24"/>
          <w:vertAlign w:val="superscript"/>
        </w:rPr>
        <w:t>19</w:t>
      </w:r>
      <w:r w:rsidRPr="00884107">
        <w:rPr>
          <w:rFonts w:ascii="Times New Roman" w:eastAsia="Calibri" w:hAnsi="Times New Roman" w:cs="Times New Roman"/>
          <w:sz w:val="24"/>
          <w:szCs w:val="24"/>
        </w:rPr>
        <w:t xml:space="preserve"> </w:t>
      </w:r>
      <w:r w:rsidRPr="00884107">
        <w:rPr>
          <w:rFonts w:ascii="Times New Roman" w:hAnsi="Times New Roman" w:cs="Times New Roman"/>
          <w:sz w:val="24"/>
          <w:szCs w:val="24"/>
        </w:rPr>
        <w:t>Centre on Population Approaches for Non-Communicable Disease Prevention, Nuffield Department of Population Health, University of Oxford, UK</w:t>
      </w:r>
    </w:p>
    <w:p w:rsidR="007474CD" w:rsidRPr="003C1559" w:rsidRDefault="007474CD" w:rsidP="007474CD">
      <w:pPr>
        <w:spacing w:line="480" w:lineRule="auto"/>
        <w:rPr>
          <w:rFonts w:ascii="Times New Roman" w:eastAsia="Calibri" w:hAnsi="Times New Roman" w:cs="Times New Roman"/>
          <w:sz w:val="24"/>
          <w:szCs w:val="24"/>
        </w:rPr>
      </w:pPr>
      <w:r w:rsidRPr="00CF07B3">
        <w:rPr>
          <w:rFonts w:ascii="Times New Roman" w:hAnsi="Times New Roman" w:cs="Times New Roman"/>
          <w:sz w:val="24"/>
          <w:szCs w:val="24"/>
          <w:vertAlign w:val="superscript"/>
        </w:rPr>
        <w:t>20</w:t>
      </w:r>
      <w:r w:rsidRPr="003C1559">
        <w:rPr>
          <w:rFonts w:ascii="Times New Roman" w:hAnsi="Times New Roman" w:cs="Times New Roman"/>
          <w:sz w:val="24"/>
          <w:szCs w:val="24"/>
        </w:rPr>
        <w:t xml:space="preserve"> University of the Western Cape, School of Public Health, Faculty of Community and Health Sciences. Bellville, South Africa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21 </w:t>
      </w:r>
      <w:r w:rsidRPr="003C1559">
        <w:rPr>
          <w:rFonts w:ascii="Times New Roman" w:hAnsi="Times New Roman" w:cs="Times New Roman"/>
          <w:sz w:val="24"/>
          <w:szCs w:val="24"/>
        </w:rPr>
        <w:t>Nutrition Institute, Trzaska cesta 40, Ljubljana, Slovenia</w:t>
      </w:r>
    </w:p>
    <w:p w:rsidR="007474CD" w:rsidRPr="003C1559" w:rsidRDefault="007474CD" w:rsidP="007474CD">
      <w:pPr>
        <w:spacing w:line="480" w:lineRule="auto"/>
        <w:rPr>
          <w:rFonts w:ascii="Times New Roman" w:hAnsi="Times New Roman" w:cs="Times New Roman"/>
          <w:sz w:val="24"/>
          <w:szCs w:val="24"/>
          <w:vertAlign w:val="superscript"/>
        </w:rPr>
      </w:pPr>
      <w:r w:rsidRPr="003C1559">
        <w:rPr>
          <w:rFonts w:ascii="Times New Roman" w:hAnsi="Times New Roman" w:cs="Times New Roman"/>
          <w:sz w:val="24"/>
          <w:szCs w:val="24"/>
          <w:vertAlign w:val="superscript"/>
        </w:rPr>
        <w:t xml:space="preserve">22 </w:t>
      </w:r>
      <w:r w:rsidRPr="003C1559">
        <w:rPr>
          <w:rFonts w:ascii="Times New Roman" w:hAnsi="Times New Roman" w:cs="Times New Roman"/>
          <w:sz w:val="24"/>
          <w:szCs w:val="24"/>
        </w:rPr>
        <w:t xml:space="preserve">Population Health, Health Systems and </w:t>
      </w:r>
      <w:r w:rsidRPr="003C1559">
        <w:rPr>
          <w:rFonts w:ascii="Times New Roman" w:hAnsi="Times New Roman" w:cs="Times New Roman"/>
          <w:sz w:val="24"/>
          <w:szCs w:val="24"/>
          <w:lang w:val="en-ZA"/>
        </w:rPr>
        <w:t>Innovations. Human Science Research Council. Cape Town, South Africa</w:t>
      </w:r>
    </w:p>
    <w:p w:rsidR="007474CD" w:rsidRPr="003C1559" w:rsidRDefault="007474CD" w:rsidP="007474CD">
      <w:pPr>
        <w:spacing w:line="480" w:lineRule="auto"/>
        <w:rPr>
          <w:rFonts w:ascii="Times New Roman" w:hAnsi="Times New Roman" w:cs="Times New Roman"/>
          <w:sz w:val="24"/>
          <w:szCs w:val="24"/>
        </w:rPr>
      </w:pPr>
      <w:r w:rsidRPr="003C1559">
        <w:rPr>
          <w:rFonts w:ascii="Times New Roman" w:hAnsi="Times New Roman" w:cs="Times New Roman"/>
          <w:sz w:val="24"/>
          <w:szCs w:val="24"/>
          <w:vertAlign w:val="superscript"/>
        </w:rPr>
        <w:t>23</w:t>
      </w:r>
      <w:r w:rsidRPr="003C1559">
        <w:rPr>
          <w:rFonts w:ascii="Times New Roman" w:hAnsi="Times New Roman" w:cs="Times New Roman"/>
          <w:sz w:val="24"/>
          <w:szCs w:val="24"/>
        </w:rPr>
        <w:t xml:space="preserve"> School of Epidemiology and Public Health, Faculty of Medicine, University of Ottawa, Canada</w:t>
      </w:r>
    </w:p>
    <w:p w:rsidR="007474CD" w:rsidRPr="00EA3605" w:rsidRDefault="007474CD" w:rsidP="007474CD">
      <w:pPr>
        <w:spacing w:line="480" w:lineRule="auto"/>
        <w:rPr>
          <w:rFonts w:ascii="Times New Roman" w:hAnsi="Times New Roman" w:cs="Times New Roman"/>
          <w:sz w:val="24"/>
          <w:szCs w:val="24"/>
        </w:rPr>
      </w:pPr>
      <w:r w:rsidRPr="00EA3605">
        <w:rPr>
          <w:rFonts w:ascii="Times New Roman" w:hAnsi="Times New Roman" w:cs="Times New Roman"/>
          <w:sz w:val="24"/>
          <w:szCs w:val="24"/>
          <w:vertAlign w:val="superscript"/>
        </w:rPr>
        <w:t>24</w:t>
      </w:r>
      <w:r w:rsidRPr="00EA3605">
        <w:rPr>
          <w:rFonts w:ascii="Times New Roman" w:hAnsi="Times New Roman" w:cs="Times New Roman"/>
          <w:sz w:val="24"/>
          <w:szCs w:val="24"/>
        </w:rPr>
        <w:t xml:space="preserve"> Department for Policy in Health, Ministry for Health, Malta</w:t>
      </w:r>
    </w:p>
    <w:p w:rsidR="007474CD" w:rsidRDefault="007474CD" w:rsidP="007474CD">
      <w:pPr>
        <w:spacing w:line="480" w:lineRule="auto"/>
        <w:rPr>
          <w:rFonts w:ascii="Times New Roman" w:hAnsi="Times New Roman" w:cs="Times New Roman"/>
          <w:sz w:val="24"/>
          <w:szCs w:val="24"/>
        </w:rPr>
      </w:pPr>
      <w:r w:rsidRPr="00EA3605">
        <w:rPr>
          <w:rFonts w:ascii="Times New Roman" w:hAnsi="Times New Roman" w:cs="Times New Roman"/>
          <w:sz w:val="24"/>
          <w:szCs w:val="24"/>
          <w:vertAlign w:val="superscript"/>
        </w:rPr>
        <w:t>25</w:t>
      </w:r>
      <w:r w:rsidRPr="00EA3605">
        <w:rPr>
          <w:rFonts w:ascii="Times New Roman" w:hAnsi="Times New Roman" w:cs="Times New Roman"/>
          <w:sz w:val="24"/>
          <w:szCs w:val="24"/>
        </w:rPr>
        <w:t xml:space="preserve"> NIHR Oxford Biomedical Research Centre, Oxford University Hospitals NHS Foundation Trust and Centre on Population Approaches for Non-Communicable Disease Prevention, Nuffield Department of Population Health, University of Oxford</w:t>
      </w:r>
    </w:p>
    <w:p w:rsidR="007474CD" w:rsidRPr="003C1559" w:rsidRDefault="007474CD" w:rsidP="007474CD">
      <w:pPr>
        <w:spacing w:line="480" w:lineRule="auto"/>
        <w:rPr>
          <w:rFonts w:ascii="Times New Roman" w:hAnsi="Times New Roman" w:cs="Times New Roman"/>
          <w:sz w:val="24"/>
          <w:szCs w:val="24"/>
        </w:rPr>
      </w:pPr>
      <w:r w:rsidRPr="00CF07B3">
        <w:rPr>
          <w:rFonts w:ascii="Times New Roman" w:hAnsi="Times New Roman" w:cs="Times New Roman"/>
          <w:sz w:val="24"/>
          <w:szCs w:val="24"/>
          <w:vertAlign w:val="superscript"/>
        </w:rPr>
        <w:t>26</w:t>
      </w:r>
      <w:r>
        <w:rPr>
          <w:rFonts w:ascii="Times New Roman" w:hAnsi="Times New Roman" w:cs="Times New Roman"/>
          <w:sz w:val="24"/>
          <w:szCs w:val="24"/>
          <w:vertAlign w:val="superscript"/>
        </w:rPr>
        <w:t xml:space="preserve"> </w:t>
      </w:r>
      <w:r w:rsidRPr="003C1559">
        <w:rPr>
          <w:rFonts w:ascii="Times New Roman" w:hAnsi="Times New Roman" w:cs="Times New Roman"/>
          <w:sz w:val="24"/>
          <w:szCs w:val="24"/>
        </w:rPr>
        <w:t>Pacific Research Centre for the Prevention of Obesity and Non-communicable Diseases, Fiji National University, Fiji</w:t>
      </w:r>
    </w:p>
    <w:p w:rsidR="007474CD" w:rsidRPr="003C1559" w:rsidRDefault="007474CD" w:rsidP="007474CD">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27</w:t>
      </w:r>
      <w:r w:rsidRPr="003C1559">
        <w:rPr>
          <w:rFonts w:ascii="Times New Roman" w:hAnsi="Times New Roman" w:cs="Times New Roman"/>
          <w:sz w:val="24"/>
          <w:szCs w:val="24"/>
        </w:rPr>
        <w:t xml:space="preserve"> School of Public Health, University of Costa Rica</w:t>
      </w:r>
    </w:p>
    <w:p w:rsidR="007474CD" w:rsidRPr="003C1559" w:rsidRDefault="007474CD" w:rsidP="007474CD">
      <w:pPr>
        <w:spacing w:line="480" w:lineRule="auto"/>
        <w:rPr>
          <w:rFonts w:ascii="Times New Roman" w:hAnsi="Times New Roman" w:cs="Times New Roman"/>
          <w:sz w:val="24"/>
          <w:szCs w:val="24"/>
          <w:lang w:val="en-AU"/>
        </w:rPr>
      </w:pPr>
      <w:r>
        <w:rPr>
          <w:rFonts w:ascii="Times New Roman" w:hAnsi="Times New Roman" w:cs="Times New Roman"/>
          <w:sz w:val="24"/>
          <w:szCs w:val="24"/>
          <w:vertAlign w:val="superscript"/>
        </w:rPr>
        <w:t>28</w:t>
      </w:r>
      <w:r w:rsidRPr="003C1559">
        <w:rPr>
          <w:rFonts w:ascii="Times New Roman" w:hAnsi="Times New Roman" w:cs="Times New Roman"/>
          <w:sz w:val="24"/>
          <w:szCs w:val="24"/>
        </w:rPr>
        <w:t xml:space="preserve"> School of Public Health, Xi’an Jiaotong University Health Science Center, Xi’an, Shaanxi Province, P.R.China</w:t>
      </w:r>
    </w:p>
    <w:p w:rsidR="007474CD" w:rsidRPr="003C1559" w:rsidRDefault="007474CD" w:rsidP="007474CD">
      <w:pPr>
        <w:spacing w:line="480" w:lineRule="auto"/>
        <w:rPr>
          <w:rFonts w:ascii="Times New Roman" w:hAnsi="Times New Roman" w:cs="Times New Roman"/>
          <w:sz w:val="24"/>
          <w:szCs w:val="24"/>
        </w:rPr>
      </w:pPr>
    </w:p>
    <w:p w:rsidR="007474CD" w:rsidRDefault="007474CD" w:rsidP="007474CD">
      <w:pPr>
        <w:rPr>
          <w:rFonts w:ascii="Times New Roman" w:hAnsi="Times New Roman" w:cs="Times New Roman"/>
          <w:sz w:val="24"/>
          <w:szCs w:val="24"/>
        </w:rPr>
      </w:pPr>
    </w:p>
    <w:p w:rsidR="007474CD" w:rsidRDefault="007474CD" w:rsidP="007474CD">
      <w:pPr>
        <w:spacing w:line="480" w:lineRule="auto"/>
        <w:rPr>
          <w:rFonts w:ascii="Times New Roman" w:hAnsi="Times New Roman" w:cs="Times New Roman"/>
          <w:sz w:val="24"/>
        </w:rPr>
      </w:pPr>
      <w:r w:rsidRPr="00253397">
        <w:rPr>
          <w:rFonts w:ascii="Times New Roman" w:hAnsi="Times New Roman" w:cs="Times New Roman"/>
          <w:sz w:val="24"/>
        </w:rPr>
        <w:t>* Corresponding author</w:t>
      </w:r>
      <w:r>
        <w:rPr>
          <w:rFonts w:ascii="Times New Roman" w:hAnsi="Times New Roman" w:cs="Times New Roman"/>
          <w:sz w:val="24"/>
        </w:rPr>
        <w:t xml:space="preserve"> </w:t>
      </w:r>
    </w:p>
    <w:p w:rsidR="007474CD" w:rsidRPr="00F86C8F" w:rsidRDefault="007474CD" w:rsidP="007474CD">
      <w:pPr>
        <w:spacing w:line="480" w:lineRule="auto"/>
        <w:rPr>
          <w:rFonts w:ascii="Times New Roman" w:hAnsi="Times New Roman" w:cs="Times New Roman"/>
          <w:sz w:val="24"/>
        </w:rPr>
      </w:pPr>
      <w:r w:rsidRPr="00F86C8F">
        <w:rPr>
          <w:rFonts w:ascii="Times New Roman" w:hAnsi="Times New Roman" w:cs="Times New Roman"/>
          <w:sz w:val="24"/>
        </w:rPr>
        <w:t>Mail: University of Wollongong, Northfields Avenue, Wollongong, NSW 2522, Australia</w:t>
      </w:r>
    </w:p>
    <w:p w:rsidR="007474CD" w:rsidRPr="00F86C8F" w:rsidRDefault="007474CD" w:rsidP="007474CD">
      <w:pPr>
        <w:spacing w:line="480" w:lineRule="auto"/>
        <w:rPr>
          <w:rFonts w:ascii="Times New Roman" w:hAnsi="Times New Roman" w:cs="Times New Roman"/>
          <w:sz w:val="24"/>
        </w:rPr>
      </w:pPr>
      <w:r w:rsidRPr="00F86C8F">
        <w:rPr>
          <w:rFonts w:ascii="Times New Roman" w:hAnsi="Times New Roman" w:cs="Times New Roman"/>
          <w:sz w:val="24"/>
        </w:rPr>
        <w:t>Phone: + 61 2 4221 3893</w:t>
      </w:r>
    </w:p>
    <w:p w:rsidR="007474CD" w:rsidRPr="00BF486D" w:rsidRDefault="007474CD" w:rsidP="007474CD">
      <w:pPr>
        <w:spacing w:line="480" w:lineRule="auto"/>
        <w:rPr>
          <w:rFonts w:ascii="Times New Roman" w:hAnsi="Times New Roman" w:cs="Times New Roman"/>
          <w:sz w:val="24"/>
          <w:szCs w:val="24"/>
        </w:rPr>
      </w:pPr>
      <w:r w:rsidRPr="00BF486D">
        <w:rPr>
          <w:rFonts w:ascii="Times New Roman" w:hAnsi="Times New Roman" w:cs="Times New Roman"/>
          <w:sz w:val="24"/>
          <w:szCs w:val="24"/>
        </w:rPr>
        <w:t xml:space="preserve">Email: </w:t>
      </w:r>
      <w:hyperlink r:id="rId8" w:history="1">
        <w:r w:rsidRPr="00BF486D">
          <w:rPr>
            <w:rStyle w:val="Hyperlink"/>
            <w:rFonts w:ascii="Times New Roman" w:hAnsi="Times New Roman" w:cs="Times New Roman"/>
            <w:sz w:val="24"/>
            <w:szCs w:val="24"/>
          </w:rPr>
          <w:t>bkelly@uow.edu.au</w:t>
        </w:r>
      </w:hyperlink>
      <w:r w:rsidRPr="00BF486D">
        <w:rPr>
          <w:rFonts w:ascii="Times New Roman" w:hAnsi="Times New Roman" w:cs="Times New Roman"/>
          <w:sz w:val="24"/>
          <w:szCs w:val="24"/>
        </w:rPr>
        <w:t xml:space="preserve"> </w:t>
      </w:r>
    </w:p>
    <w:p w:rsidR="007474CD" w:rsidRDefault="007474CD" w:rsidP="007474CD">
      <w:pPr>
        <w:widowControl/>
        <w:spacing w:line="480" w:lineRule="auto"/>
        <w:jc w:val="left"/>
        <w:rPr>
          <w:rFonts w:ascii="Times New Roman" w:hAnsi="Times New Roman" w:cs="Times New Roman"/>
          <w:b/>
          <w:sz w:val="24"/>
          <w:szCs w:val="24"/>
        </w:rPr>
      </w:pPr>
    </w:p>
    <w:p w:rsidR="007474CD" w:rsidRDefault="007474CD" w:rsidP="007474CD">
      <w:pPr>
        <w:spacing w:line="48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2D4E81">
        <w:rPr>
          <w:rFonts w:ascii="Times New Roman" w:hAnsi="Times New Roman" w:cs="Times New Roman"/>
          <w:sz w:val="24"/>
          <w:szCs w:val="24"/>
        </w:rPr>
        <w:t>Food</w:t>
      </w:r>
      <w:r>
        <w:rPr>
          <w:rFonts w:ascii="Times New Roman" w:hAnsi="Times New Roman" w:cs="Times New Roman"/>
          <w:sz w:val="24"/>
          <w:szCs w:val="24"/>
        </w:rPr>
        <w:t xml:space="preserve">; </w:t>
      </w:r>
      <w:r w:rsidRPr="002D4E81">
        <w:rPr>
          <w:rFonts w:ascii="Times New Roman" w:hAnsi="Times New Roman" w:cs="Times New Roman"/>
          <w:sz w:val="24"/>
          <w:szCs w:val="24"/>
        </w:rPr>
        <w:t>Beverage</w:t>
      </w:r>
      <w:r>
        <w:rPr>
          <w:rFonts w:ascii="Times New Roman" w:hAnsi="Times New Roman" w:cs="Times New Roman"/>
          <w:sz w:val="24"/>
          <w:szCs w:val="24"/>
        </w:rPr>
        <w:t xml:space="preserve">; </w:t>
      </w:r>
      <w:r w:rsidRPr="002D4E81">
        <w:rPr>
          <w:rFonts w:ascii="Times New Roman" w:hAnsi="Times New Roman" w:cs="Times New Roman"/>
          <w:sz w:val="24"/>
          <w:szCs w:val="24"/>
        </w:rPr>
        <w:t>Advertising</w:t>
      </w:r>
      <w:r>
        <w:rPr>
          <w:rFonts w:ascii="Times New Roman" w:hAnsi="Times New Roman" w:cs="Times New Roman"/>
          <w:sz w:val="24"/>
          <w:szCs w:val="24"/>
        </w:rPr>
        <w:t xml:space="preserve">; </w:t>
      </w:r>
      <w:r w:rsidRPr="002D4E81">
        <w:rPr>
          <w:rFonts w:ascii="Times New Roman" w:hAnsi="Times New Roman" w:cs="Times New Roman"/>
          <w:sz w:val="24"/>
          <w:szCs w:val="24"/>
        </w:rPr>
        <w:t>Television</w:t>
      </w:r>
      <w:r>
        <w:rPr>
          <w:rFonts w:ascii="Times New Roman" w:hAnsi="Times New Roman" w:cs="Times New Roman"/>
          <w:sz w:val="24"/>
          <w:szCs w:val="24"/>
        </w:rPr>
        <w:t xml:space="preserve">; Marketing; </w:t>
      </w:r>
      <w:r w:rsidRPr="002D4E81">
        <w:rPr>
          <w:rFonts w:ascii="Times New Roman" w:hAnsi="Times New Roman" w:cs="Times New Roman"/>
          <w:sz w:val="24"/>
          <w:szCs w:val="24"/>
        </w:rPr>
        <w:t>Child</w:t>
      </w:r>
      <w:r>
        <w:rPr>
          <w:rFonts w:ascii="Times New Roman" w:hAnsi="Times New Roman" w:cs="Times New Roman"/>
          <w:sz w:val="24"/>
          <w:szCs w:val="24"/>
        </w:rPr>
        <w:t>; INFORMAS; Food Environment</w:t>
      </w:r>
    </w:p>
    <w:p w:rsidR="007474CD" w:rsidRDefault="007474CD" w:rsidP="007474CD">
      <w:pPr>
        <w:spacing w:line="480" w:lineRule="auto"/>
        <w:rPr>
          <w:rFonts w:ascii="Times New Roman" w:hAnsi="Times New Roman" w:cs="Times New Roman"/>
          <w:sz w:val="24"/>
          <w:szCs w:val="24"/>
        </w:rPr>
      </w:pPr>
    </w:p>
    <w:p w:rsidR="007474CD" w:rsidRPr="00650DFA" w:rsidRDefault="007474CD" w:rsidP="007474CD">
      <w:pPr>
        <w:spacing w:after="120" w:line="480" w:lineRule="auto"/>
        <w:jc w:val="left"/>
        <w:rPr>
          <w:rFonts w:ascii="Times New Roman" w:hAnsi="Times New Roman" w:cs="Times New Roman"/>
          <w:sz w:val="24"/>
          <w:szCs w:val="24"/>
        </w:rPr>
      </w:pPr>
      <w:r w:rsidRPr="00650DFA">
        <w:rPr>
          <w:rFonts w:ascii="Times New Roman" w:hAnsi="Times New Roman" w:cs="Times New Roman"/>
          <w:b/>
          <w:sz w:val="24"/>
          <w:szCs w:val="24"/>
        </w:rPr>
        <w:t xml:space="preserve">Acknowledgements: </w:t>
      </w:r>
      <w:r w:rsidRPr="00650DFA">
        <w:rPr>
          <w:rFonts w:ascii="Times New Roman" w:hAnsi="Times New Roman" w:cs="Times New Roman"/>
          <w:sz w:val="24"/>
          <w:szCs w:val="24"/>
        </w:rPr>
        <w:t xml:space="preserve">In Argentina, advertising monitoring was </w:t>
      </w:r>
      <w:r w:rsidRPr="00650DFA">
        <w:rPr>
          <w:rFonts w:ascii="Times New Roman" w:hAnsi="Times New Roman" w:cs="Times New Roman"/>
          <w:kern w:val="0"/>
          <w:sz w:val="24"/>
          <w:szCs w:val="24"/>
        </w:rPr>
        <w:t xml:space="preserve">supported by the International Development Research Center (IDRC; grant number 107459-001). </w:t>
      </w:r>
      <w:r w:rsidRPr="00650DFA">
        <w:rPr>
          <w:rFonts w:ascii="Times New Roman" w:hAnsi="Times New Roman" w:cs="Times New Roman"/>
          <w:sz w:val="24"/>
          <w:szCs w:val="24"/>
        </w:rPr>
        <w:t>The Chilean team would like to thank the National TV Council (CNTV) that provided the TV records, as well as María Fernanda Sánchez, Camila Román and Camila Fierro for assisting with the coding and database preparation; data coding was supported by grants from the International Development Research Center (#107731-002) and Bloomberg Philanthropies. The project in Colombia was cofunded by Estrategia de sostenibilidad de grupos de investigación-University of Antioquia, Medellín-Colombia. The Colombian team wish to thank Mariana Arias Toro y Melisa Alejandra Muñoz Ruiz. School of Nutrition and Dietetics, University of Antioquia, Medellín. In Costa Rica and Guatemala, data collection and analysis was funded by IDRC grant #107213001. In Malaysia, this project was funded under the Fundamental Research Grant Scheme (FRGS/1/2013/SS03/UKM/02/5) of the Ministry of Higher Education. In Mexico, t</w:t>
      </w:r>
      <w:r w:rsidRPr="00650DFA">
        <w:rPr>
          <w:rFonts w:ascii="Times New Roman" w:hAnsi="Times New Roman" w:cs="Times New Roman"/>
          <w:kern w:val="0"/>
          <w:sz w:val="24"/>
          <w:szCs w:val="24"/>
        </w:rPr>
        <w:t>he financial support of this study was founded by the International Development Research Centre (</w:t>
      </w:r>
      <w:r w:rsidRPr="00650DFA">
        <w:rPr>
          <w:rFonts w:ascii="Times New Roman" w:hAnsi="Times New Roman" w:cs="Times New Roman"/>
          <w:sz w:val="24"/>
          <w:szCs w:val="24"/>
          <w:lang w:val="en-CA"/>
        </w:rPr>
        <w:t>Project Number: 107731</w:t>
      </w:r>
      <w:r w:rsidRPr="00650DFA">
        <w:rPr>
          <w:rFonts w:ascii="Times New Roman" w:hAnsi="Times New Roman" w:cs="Times New Roman"/>
          <w:kern w:val="0"/>
          <w:sz w:val="24"/>
          <w:szCs w:val="24"/>
        </w:rPr>
        <w:t xml:space="preserve">), and Bloomberg Philanthropies. </w:t>
      </w:r>
      <w:r w:rsidRPr="005905EA">
        <w:rPr>
          <w:rFonts w:ascii="Times New Roman" w:hAnsi="Times New Roman" w:cs="Times New Roman"/>
          <w:sz w:val="24"/>
          <w:szCs w:val="24"/>
        </w:rPr>
        <w:t xml:space="preserve">The </w:t>
      </w:r>
      <w:r>
        <w:rPr>
          <w:rFonts w:ascii="Times New Roman" w:hAnsi="Times New Roman" w:cs="Times New Roman"/>
          <w:sz w:val="24"/>
          <w:szCs w:val="24"/>
        </w:rPr>
        <w:t>project</w:t>
      </w:r>
      <w:r w:rsidRPr="005905EA">
        <w:rPr>
          <w:rFonts w:ascii="Times New Roman" w:hAnsi="Times New Roman" w:cs="Times New Roman"/>
          <w:sz w:val="24"/>
          <w:szCs w:val="24"/>
        </w:rPr>
        <w:t xml:space="preserve"> in Slovenia was funded by the Slovenian Research Agency </w:t>
      </w:r>
      <w:r>
        <w:rPr>
          <w:rFonts w:ascii="Times New Roman" w:hAnsi="Times New Roman" w:cs="Times New Roman"/>
          <w:sz w:val="24"/>
          <w:szCs w:val="24"/>
        </w:rPr>
        <w:t xml:space="preserve">and Ministry of Health of Republic of Slovenia </w:t>
      </w:r>
      <w:r w:rsidRPr="005905EA">
        <w:rPr>
          <w:rFonts w:ascii="Times New Roman" w:hAnsi="Times New Roman" w:cs="Times New Roman"/>
          <w:sz w:val="24"/>
          <w:szCs w:val="24"/>
        </w:rPr>
        <w:t>(Research programme P3-0395: Nutrition and Public Health</w:t>
      </w:r>
      <w:r>
        <w:rPr>
          <w:rFonts w:ascii="Times New Roman" w:hAnsi="Times New Roman" w:cs="Times New Roman"/>
          <w:sz w:val="24"/>
          <w:szCs w:val="24"/>
        </w:rPr>
        <w:t xml:space="preserve">; Research project </w:t>
      </w:r>
      <w:r w:rsidRPr="00FB5B91">
        <w:rPr>
          <w:rFonts w:ascii="Times New Roman" w:hAnsi="Times New Roman" w:cs="Times New Roman"/>
          <w:sz w:val="24"/>
          <w:szCs w:val="24"/>
        </w:rPr>
        <w:t>L3-9290: Sugars in human nutrition</w:t>
      </w:r>
      <w:r w:rsidRPr="005905EA">
        <w:rPr>
          <w:rFonts w:ascii="Times New Roman" w:hAnsi="Times New Roman" w:cs="Times New Roman"/>
          <w:sz w:val="24"/>
          <w:szCs w:val="24"/>
        </w:rPr>
        <w:t>)</w:t>
      </w:r>
      <w:r w:rsidRPr="00650DFA">
        <w:rPr>
          <w:rFonts w:ascii="Times New Roman" w:hAnsi="Times New Roman" w:cs="Times New Roman"/>
          <w:sz w:val="24"/>
          <w:szCs w:val="24"/>
        </w:rPr>
        <w:t>; we acknowledge the support of Dea Zavadlav (Nutrition Institute, Slovenia) in the data collection. The South African team wish to thank Prof. Norman Temple, Athabasca University, Canada and Prof. Nelia Steyn, University of Cape Town who initiated the food advertising project in South Africa.</w:t>
      </w:r>
      <w:r w:rsidRPr="00650DFA">
        <w:rPr>
          <w:rFonts w:ascii="Times New Roman" w:hAnsi="Times New Roman" w:cs="Times New Roman"/>
          <w:b/>
          <w:sz w:val="24"/>
          <w:szCs w:val="24"/>
        </w:rPr>
        <w:t xml:space="preserve"> </w:t>
      </w:r>
      <w:r w:rsidRPr="00650DFA">
        <w:rPr>
          <w:rFonts w:ascii="Times New Roman" w:hAnsi="Times New Roman" w:cs="Times New Roman"/>
          <w:sz w:val="24"/>
          <w:szCs w:val="24"/>
        </w:rPr>
        <w:t xml:space="preserve">In Spain, data collection was supported by the Spanish Health Research Fund of the Institute of Health Carlos III (Project ENPY 1015/13) and the Spanish Consumers Organization (OCU). The Spanish team wish to thank María José Bosqued Estefanía for her support in data management. </w:t>
      </w:r>
      <w:r>
        <w:rPr>
          <w:rFonts w:ascii="Times New Roman" w:hAnsi="Times New Roman" w:cs="Times New Roman"/>
          <w:sz w:val="24"/>
          <w:szCs w:val="24"/>
        </w:rPr>
        <w:t>Jean Adams and Martin White we</w:t>
      </w:r>
      <w:r w:rsidRPr="00650DFA">
        <w:rPr>
          <w:rFonts w:ascii="Times New Roman" w:hAnsi="Times New Roman" w:cs="Times New Roman"/>
          <w:sz w:val="24"/>
          <w:szCs w:val="24"/>
        </w:rPr>
        <w:t xml:space="preserve">re supported by the Centre for Diet and Activity Research (CEDAR), a UKCRC Public Health Research Centre of Excellence. Funding from the British Heart Foundation, Cancer Research UK, Economic and Social Research Council, Medical Research Council, the National Institute for Health Research, and the Wellcome Trust, under the auspices of the UK Clinical Research Collaboration, is gratefully acknowledged. </w:t>
      </w:r>
    </w:p>
    <w:p w:rsidR="007474CD" w:rsidRPr="00650DFA" w:rsidRDefault="007474CD" w:rsidP="007474CD">
      <w:pPr>
        <w:widowControl/>
        <w:autoSpaceDE w:val="0"/>
        <w:autoSpaceDN w:val="0"/>
        <w:adjustRightInd w:val="0"/>
        <w:spacing w:line="480" w:lineRule="auto"/>
        <w:jc w:val="left"/>
        <w:rPr>
          <w:rFonts w:ascii="Times New Roman" w:hAnsi="Times New Roman" w:cs="Times New Roman"/>
          <w:sz w:val="24"/>
          <w:szCs w:val="24"/>
        </w:rPr>
      </w:pPr>
    </w:p>
    <w:p w:rsidR="007474CD" w:rsidRDefault="007474CD" w:rsidP="0016658E">
      <w:pPr>
        <w:spacing w:line="480" w:lineRule="auto"/>
        <w:jc w:val="left"/>
        <w:rPr>
          <w:rFonts w:ascii="Times New Roman" w:hAnsi="Times New Roman" w:cs="Times New Roman"/>
          <w:b/>
          <w:sz w:val="24"/>
          <w:szCs w:val="24"/>
          <w:shd w:val="clear" w:color="auto" w:fill="FFFFFF"/>
        </w:rPr>
      </w:pPr>
    </w:p>
    <w:p w:rsidR="007474CD" w:rsidRDefault="007474CD" w:rsidP="0016658E">
      <w:pPr>
        <w:spacing w:line="480" w:lineRule="auto"/>
        <w:jc w:val="left"/>
        <w:rPr>
          <w:rFonts w:ascii="Times New Roman" w:hAnsi="Times New Roman" w:cs="Times New Roman"/>
          <w:b/>
          <w:sz w:val="24"/>
          <w:szCs w:val="24"/>
          <w:shd w:val="clear" w:color="auto" w:fill="FFFFFF"/>
        </w:rPr>
      </w:pPr>
    </w:p>
    <w:p w:rsidR="007474CD" w:rsidRDefault="007474CD" w:rsidP="0016658E">
      <w:pPr>
        <w:spacing w:line="480" w:lineRule="auto"/>
        <w:jc w:val="left"/>
        <w:rPr>
          <w:rFonts w:ascii="Times New Roman" w:hAnsi="Times New Roman" w:cs="Times New Roman"/>
          <w:b/>
          <w:sz w:val="24"/>
          <w:szCs w:val="24"/>
          <w:shd w:val="clear" w:color="auto" w:fill="FFFFFF"/>
        </w:rPr>
      </w:pPr>
    </w:p>
    <w:p w:rsidR="007474CD" w:rsidRDefault="007474CD" w:rsidP="0016658E">
      <w:pPr>
        <w:spacing w:line="480" w:lineRule="auto"/>
        <w:jc w:val="left"/>
        <w:rPr>
          <w:rFonts w:ascii="Times New Roman" w:hAnsi="Times New Roman" w:cs="Times New Roman"/>
          <w:b/>
          <w:sz w:val="24"/>
          <w:szCs w:val="24"/>
          <w:shd w:val="clear" w:color="auto" w:fill="FFFFFF"/>
        </w:rPr>
      </w:pPr>
    </w:p>
    <w:p w:rsidR="00600537" w:rsidRPr="00062A3B" w:rsidRDefault="00600537" w:rsidP="0016658E">
      <w:pPr>
        <w:spacing w:line="480" w:lineRule="auto"/>
        <w:jc w:val="left"/>
        <w:rPr>
          <w:rFonts w:ascii="Times New Roman" w:hAnsi="Times New Roman" w:cs="Times New Roman"/>
          <w:b/>
          <w:sz w:val="24"/>
          <w:szCs w:val="24"/>
        </w:rPr>
      </w:pPr>
      <w:bookmarkStart w:id="1" w:name="_GoBack"/>
      <w:bookmarkEnd w:id="1"/>
      <w:r w:rsidRPr="00062A3B">
        <w:rPr>
          <w:rFonts w:ascii="Times New Roman" w:hAnsi="Times New Roman" w:cs="Times New Roman"/>
          <w:b/>
          <w:sz w:val="24"/>
          <w:szCs w:val="24"/>
        </w:rPr>
        <w:t xml:space="preserve">Abstract </w:t>
      </w:r>
    </w:p>
    <w:p w:rsidR="00600537" w:rsidRPr="00062A3B" w:rsidRDefault="00600537" w:rsidP="00174908">
      <w:pPr>
        <w:spacing w:line="480" w:lineRule="auto"/>
        <w:jc w:val="left"/>
        <w:rPr>
          <w:rFonts w:ascii="Times New Roman" w:hAnsi="Times New Roman" w:cs="Times New Roman"/>
          <w:sz w:val="24"/>
          <w:szCs w:val="24"/>
        </w:rPr>
      </w:pPr>
      <w:r w:rsidRPr="00062A3B">
        <w:rPr>
          <w:rFonts w:ascii="Times New Roman" w:hAnsi="Times New Roman" w:cs="Times New Roman"/>
          <w:sz w:val="24"/>
          <w:szCs w:val="24"/>
          <w:lang w:val="en-GB"/>
        </w:rPr>
        <w:t xml:space="preserve">Background: Restricting children’s exposures to </w:t>
      </w:r>
      <w:r w:rsidRPr="00062A3B">
        <w:rPr>
          <w:rFonts w:ascii="Times New Roman" w:hAnsi="Times New Roman" w:cs="Times New Roman"/>
          <w:sz w:val="24"/>
          <w:szCs w:val="24"/>
        </w:rPr>
        <w:t xml:space="preserve">marketing of unhealthy foods and beverages </w:t>
      </w:r>
      <w:r w:rsidRPr="00062A3B">
        <w:rPr>
          <w:rFonts w:ascii="Times New Roman" w:hAnsi="Times New Roman" w:cs="Times New Roman"/>
          <w:sz w:val="24"/>
          <w:szCs w:val="24"/>
          <w:lang w:val="en-GB"/>
        </w:rPr>
        <w:t xml:space="preserve">is a </w:t>
      </w:r>
      <w:r w:rsidRPr="00062A3B">
        <w:rPr>
          <w:rFonts w:ascii="Times New Roman" w:hAnsi="Times New Roman" w:cs="Times New Roman"/>
          <w:sz w:val="24"/>
          <w:szCs w:val="24"/>
        </w:rPr>
        <w:t xml:space="preserve">global </w:t>
      </w:r>
      <w:r w:rsidR="00A97E73" w:rsidRPr="00062A3B">
        <w:rPr>
          <w:rFonts w:ascii="Times New Roman" w:hAnsi="Times New Roman" w:cs="Times New Roman"/>
          <w:sz w:val="24"/>
          <w:szCs w:val="24"/>
        </w:rPr>
        <w:t>obesity</w:t>
      </w:r>
      <w:r w:rsidR="00A97E73" w:rsidRPr="00062A3B">
        <w:rPr>
          <w:rFonts w:ascii="Times New Roman" w:hAnsi="Times New Roman" w:cs="Times New Roman"/>
          <w:sz w:val="24"/>
          <w:szCs w:val="24"/>
          <w:lang w:val="en-AU"/>
        </w:rPr>
        <w:t xml:space="preserve"> prevention</w:t>
      </w:r>
      <w:r w:rsidR="00A97E73" w:rsidRPr="00062A3B">
        <w:rPr>
          <w:rFonts w:ascii="Times New Roman" w:hAnsi="Times New Roman" w:cs="Times New Roman"/>
          <w:sz w:val="24"/>
          <w:szCs w:val="24"/>
        </w:rPr>
        <w:t xml:space="preserve"> </w:t>
      </w:r>
      <w:r w:rsidRPr="00062A3B">
        <w:rPr>
          <w:rFonts w:ascii="Times New Roman" w:hAnsi="Times New Roman" w:cs="Times New Roman"/>
          <w:sz w:val="24"/>
          <w:szCs w:val="24"/>
        </w:rPr>
        <w:t>priority. Monitoring marketing exposures supports informed policy-making. This study presents</w:t>
      </w:r>
      <w:r w:rsidRPr="00062A3B">
        <w:rPr>
          <w:rFonts w:ascii="Times New Roman" w:hAnsi="Times New Roman" w:cs="Times New Roman"/>
          <w:sz w:val="24"/>
          <w:szCs w:val="24"/>
          <w:lang w:val="en-AU"/>
        </w:rPr>
        <w:t xml:space="preserve"> a global overview of </w:t>
      </w:r>
      <w:r w:rsidR="00905EC5" w:rsidRPr="00062A3B">
        <w:rPr>
          <w:rFonts w:ascii="Times New Roman" w:hAnsi="Times New Roman" w:cs="Times New Roman"/>
          <w:color w:val="000000"/>
          <w:sz w:val="24"/>
          <w:szCs w:val="24"/>
          <w:shd w:val="clear" w:color="auto" w:fill="FFFFFF"/>
        </w:rPr>
        <w:t xml:space="preserve">children’s television advertising exposure to healthy and unhealthy products. </w:t>
      </w:r>
      <w:r w:rsidRPr="00062A3B">
        <w:rPr>
          <w:rFonts w:ascii="Times New Roman" w:hAnsi="Times New Roman" w:cs="Times New Roman"/>
          <w:sz w:val="24"/>
          <w:szCs w:val="24"/>
        </w:rPr>
        <w:t xml:space="preserve"> </w:t>
      </w:r>
    </w:p>
    <w:p w:rsidR="00600537" w:rsidRPr="00062A3B" w:rsidRDefault="00600537" w:rsidP="00174908">
      <w:pPr>
        <w:spacing w:line="480" w:lineRule="auto"/>
        <w:jc w:val="left"/>
        <w:rPr>
          <w:rFonts w:ascii="Times New Roman" w:hAnsi="Times New Roman" w:cs="Times New Roman"/>
          <w:sz w:val="24"/>
          <w:szCs w:val="24"/>
          <w:lang w:val="en-NZ"/>
        </w:rPr>
      </w:pPr>
      <w:r w:rsidRPr="00062A3B">
        <w:rPr>
          <w:rFonts w:ascii="Times New Roman" w:hAnsi="Times New Roman" w:cs="Times New Roman"/>
          <w:sz w:val="24"/>
          <w:szCs w:val="24"/>
        </w:rPr>
        <w:t xml:space="preserve">Methods: Twenty-two countries contributed data, captured between 2008 and 2017. Advertisements were coded for </w:t>
      </w:r>
      <w:r w:rsidR="00D879CC" w:rsidRPr="00062A3B">
        <w:rPr>
          <w:rFonts w:ascii="Times New Roman" w:hAnsi="Times New Roman" w:cs="Times New Roman"/>
          <w:sz w:val="24"/>
          <w:szCs w:val="24"/>
        </w:rPr>
        <w:t xml:space="preserve">the </w:t>
      </w:r>
      <w:r w:rsidR="00D879CC" w:rsidRPr="00062A3B">
        <w:rPr>
          <w:rFonts w:ascii="Times New Roman" w:hAnsi="Times New Roman" w:cs="Times New Roman"/>
          <w:bCs/>
          <w:sz w:val="24"/>
          <w:szCs w:val="24"/>
        </w:rPr>
        <w:t>nature</w:t>
      </w:r>
      <w:r w:rsidRPr="00062A3B">
        <w:rPr>
          <w:rFonts w:ascii="Times New Roman" w:hAnsi="Times New Roman" w:cs="Times New Roman"/>
          <w:bCs/>
          <w:sz w:val="24"/>
          <w:szCs w:val="24"/>
        </w:rPr>
        <w:t xml:space="preserve"> of foods and beverages, using the 2015 WHO </w:t>
      </w:r>
      <w:r w:rsidRPr="00062A3B">
        <w:rPr>
          <w:rFonts w:ascii="Times New Roman" w:hAnsi="Times New Roman" w:cs="Times New Roman"/>
          <w:sz w:val="24"/>
          <w:szCs w:val="24"/>
          <w:lang w:val="en-NZ"/>
        </w:rPr>
        <w:t xml:space="preserve">Europe Nutrient Profile Model (should be permitted/not-permitted to be advertised). Peak viewing times were defined as the top </w:t>
      </w:r>
      <w:r w:rsidR="00D879CC" w:rsidRPr="00062A3B">
        <w:rPr>
          <w:rFonts w:ascii="Times New Roman" w:hAnsi="Times New Roman" w:cs="Times New Roman"/>
          <w:sz w:val="24"/>
          <w:szCs w:val="24"/>
          <w:lang w:val="en-NZ"/>
        </w:rPr>
        <w:t>five hour</w:t>
      </w:r>
      <w:r w:rsidRPr="00062A3B">
        <w:rPr>
          <w:rFonts w:ascii="Times New Roman" w:hAnsi="Times New Roman" w:cs="Times New Roman"/>
          <w:sz w:val="24"/>
          <w:szCs w:val="24"/>
          <w:lang w:val="en-NZ"/>
        </w:rPr>
        <w:t xml:space="preserve"> timeslots for child</w:t>
      </w:r>
      <w:r w:rsidR="00A97E73" w:rsidRPr="00062A3B">
        <w:rPr>
          <w:rFonts w:ascii="Times New Roman" w:hAnsi="Times New Roman" w:cs="Times New Roman"/>
          <w:sz w:val="24"/>
          <w:szCs w:val="24"/>
          <w:lang w:val="en-NZ"/>
        </w:rPr>
        <w:t>ren</w:t>
      </w:r>
      <w:r w:rsidRPr="00062A3B">
        <w:rPr>
          <w:rFonts w:ascii="Times New Roman" w:hAnsi="Times New Roman" w:cs="Times New Roman"/>
          <w:sz w:val="24"/>
          <w:szCs w:val="24"/>
          <w:lang w:val="en-NZ"/>
        </w:rPr>
        <w:t xml:space="preserve">. </w:t>
      </w:r>
    </w:p>
    <w:p w:rsidR="00600537" w:rsidRPr="00062A3B" w:rsidRDefault="00600537" w:rsidP="00174908">
      <w:pPr>
        <w:spacing w:line="480" w:lineRule="auto"/>
        <w:jc w:val="left"/>
        <w:rPr>
          <w:rFonts w:ascii="Times New Roman" w:eastAsia="SimSun" w:hAnsi="Times New Roman" w:cs="Times New Roman"/>
          <w:sz w:val="24"/>
          <w:szCs w:val="24"/>
        </w:rPr>
      </w:pPr>
      <w:r w:rsidRPr="00062A3B">
        <w:rPr>
          <w:rFonts w:ascii="Times New Roman" w:hAnsi="Times New Roman" w:cs="Times New Roman"/>
          <w:sz w:val="24"/>
          <w:szCs w:val="24"/>
          <w:lang w:val="en-NZ"/>
        </w:rPr>
        <w:t xml:space="preserve">Results: On average, there were four times more advertisements for </w:t>
      </w:r>
      <w:r w:rsidRPr="00062A3B">
        <w:rPr>
          <w:rFonts w:ascii="Times New Roman" w:hAnsi="Times New Roman" w:cs="Times New Roman"/>
          <w:bCs/>
          <w:sz w:val="24"/>
          <w:szCs w:val="24"/>
        </w:rPr>
        <w:t>foods/beverages that should not be permitted than for permitted foods/beverages. T</w:t>
      </w:r>
      <w:r w:rsidRPr="00062A3B">
        <w:rPr>
          <w:rFonts w:ascii="Times New Roman" w:eastAsia="SimSun" w:hAnsi="Times New Roman" w:cs="Times New Roman"/>
          <w:sz w:val="24"/>
          <w:szCs w:val="24"/>
        </w:rPr>
        <w:t>he frequency of food</w:t>
      </w:r>
      <w:r w:rsidR="00A97E73" w:rsidRPr="00062A3B">
        <w:rPr>
          <w:rFonts w:ascii="Times New Roman" w:eastAsia="SimSun" w:hAnsi="Times New Roman" w:cs="Times New Roman"/>
          <w:sz w:val="24"/>
          <w:szCs w:val="24"/>
        </w:rPr>
        <w:t>/</w:t>
      </w:r>
      <w:r w:rsidRPr="00062A3B">
        <w:rPr>
          <w:rFonts w:ascii="Times New Roman" w:hAnsi="Times New Roman" w:cs="Times New Roman"/>
          <w:bCs/>
          <w:sz w:val="24"/>
          <w:szCs w:val="24"/>
        </w:rPr>
        <w:t>beverages</w:t>
      </w:r>
      <w:r w:rsidRPr="00062A3B">
        <w:rPr>
          <w:rFonts w:ascii="Times New Roman" w:eastAsia="SimSun" w:hAnsi="Times New Roman" w:cs="Times New Roman"/>
          <w:sz w:val="24"/>
          <w:szCs w:val="24"/>
        </w:rPr>
        <w:t xml:space="preserve"> advertisements that should not be permitted per hour was higher during peak viewing times compared to other times (P&lt;0.001). During peak viewing times, food </w:t>
      </w:r>
      <w:r w:rsidRPr="00062A3B">
        <w:rPr>
          <w:rFonts w:ascii="Times New Roman" w:hAnsi="Times New Roman" w:cs="Times New Roman"/>
          <w:bCs/>
          <w:sz w:val="24"/>
          <w:szCs w:val="24"/>
        </w:rPr>
        <w:t xml:space="preserve">and beverage </w:t>
      </w:r>
      <w:r w:rsidRPr="00062A3B">
        <w:rPr>
          <w:rFonts w:ascii="Times New Roman" w:eastAsia="SimSun" w:hAnsi="Times New Roman" w:cs="Times New Roman"/>
          <w:sz w:val="24"/>
          <w:szCs w:val="24"/>
        </w:rPr>
        <w:t xml:space="preserve">advertisements that should not be permitted were higher in countries with industry </w:t>
      </w:r>
      <w:r w:rsidR="00D879CC" w:rsidRPr="00062A3B">
        <w:rPr>
          <w:rFonts w:ascii="Times New Roman" w:eastAsia="SimSun" w:hAnsi="Times New Roman" w:cs="Times New Roman"/>
          <w:sz w:val="24"/>
          <w:szCs w:val="24"/>
        </w:rPr>
        <w:t>self-</w:t>
      </w:r>
      <w:r w:rsidR="005341EB" w:rsidRPr="00062A3B">
        <w:rPr>
          <w:rFonts w:ascii="Times New Roman" w:eastAsia="SimSun" w:hAnsi="Times New Roman" w:cs="Times New Roman"/>
          <w:sz w:val="24"/>
          <w:szCs w:val="24"/>
        </w:rPr>
        <w:t xml:space="preserve">regulatory programs </w:t>
      </w:r>
      <w:r w:rsidRPr="00062A3B">
        <w:rPr>
          <w:rFonts w:ascii="Times New Roman" w:eastAsia="SimSun" w:hAnsi="Times New Roman" w:cs="Times New Roman"/>
          <w:sz w:val="24"/>
          <w:szCs w:val="24"/>
        </w:rPr>
        <w:t xml:space="preserve">for responsible advertising compared to countries with no policies. </w:t>
      </w:r>
    </w:p>
    <w:p w:rsidR="00600537" w:rsidRPr="00062A3B" w:rsidRDefault="00600537" w:rsidP="00174908">
      <w:pPr>
        <w:spacing w:line="480" w:lineRule="auto"/>
        <w:jc w:val="left"/>
        <w:rPr>
          <w:rFonts w:ascii="Times New Roman" w:hAnsi="Times New Roman" w:cs="Times New Roman"/>
          <w:b/>
          <w:sz w:val="24"/>
          <w:szCs w:val="24"/>
        </w:rPr>
      </w:pPr>
      <w:r w:rsidRPr="00062A3B">
        <w:rPr>
          <w:rFonts w:ascii="Times New Roman" w:eastAsia="SimSun" w:hAnsi="Times New Roman" w:cs="Times New Roman"/>
          <w:sz w:val="24"/>
          <w:szCs w:val="24"/>
        </w:rPr>
        <w:t xml:space="preserve">Conclusion: </w:t>
      </w:r>
      <w:r w:rsidRPr="00062A3B">
        <w:rPr>
          <w:rFonts w:ascii="Times New Roman" w:hAnsi="Times New Roman" w:cs="Times New Roman"/>
          <w:sz w:val="24"/>
        </w:rPr>
        <w:t xml:space="preserve">Globally, children are exposed to a large volume of television advertisements for </w:t>
      </w:r>
      <w:r w:rsidRPr="00062A3B">
        <w:rPr>
          <w:rFonts w:ascii="Times New Roman" w:hAnsi="Times New Roman" w:cs="Times New Roman"/>
          <w:sz w:val="24"/>
          <w:szCs w:val="24"/>
        </w:rPr>
        <w:t>unhealthy foods and beverages</w:t>
      </w:r>
      <w:r w:rsidRPr="00062A3B">
        <w:rPr>
          <w:rFonts w:ascii="Times New Roman" w:hAnsi="Times New Roman" w:cs="Times New Roman"/>
          <w:sz w:val="24"/>
        </w:rPr>
        <w:t xml:space="preserve">, despite the implementation of food industry </w:t>
      </w:r>
      <w:r w:rsidR="008B7EEA">
        <w:rPr>
          <w:rFonts w:ascii="Times New Roman" w:hAnsi="Times New Roman" w:cs="Times New Roman"/>
          <w:sz w:val="24"/>
        </w:rPr>
        <w:t>programs</w:t>
      </w:r>
      <w:r w:rsidRPr="00062A3B">
        <w:rPr>
          <w:rFonts w:ascii="Times New Roman" w:hAnsi="Times New Roman" w:cs="Times New Roman"/>
          <w:sz w:val="24"/>
        </w:rPr>
        <w:t xml:space="preserve">. </w:t>
      </w:r>
      <w:r w:rsidR="00566EC6">
        <w:rPr>
          <w:rFonts w:ascii="Times New Roman" w:hAnsi="Times New Roman" w:cs="Times New Roman"/>
          <w:sz w:val="24"/>
          <w:szCs w:val="24"/>
          <w:shd w:val="clear" w:color="auto" w:fill="FFFFFF"/>
        </w:rPr>
        <w:t>G</w:t>
      </w:r>
      <w:r w:rsidRPr="00062A3B">
        <w:rPr>
          <w:rFonts w:ascii="Times New Roman" w:hAnsi="Times New Roman" w:cs="Times New Roman"/>
          <w:sz w:val="24"/>
          <w:szCs w:val="24"/>
          <w:shd w:val="clear" w:color="auto" w:fill="FFFFFF"/>
        </w:rPr>
        <w:t xml:space="preserve">overnments should enact regulation to protect children from </w:t>
      </w:r>
      <w:r w:rsidR="005341EB" w:rsidRPr="00062A3B">
        <w:rPr>
          <w:rFonts w:ascii="Times New Roman" w:hAnsi="Times New Roman" w:cs="Times New Roman"/>
          <w:sz w:val="24"/>
          <w:szCs w:val="24"/>
          <w:shd w:val="clear" w:color="auto" w:fill="FFFFFF"/>
        </w:rPr>
        <w:t xml:space="preserve">television </w:t>
      </w:r>
      <w:r w:rsidRPr="00062A3B">
        <w:rPr>
          <w:rFonts w:ascii="Times New Roman" w:hAnsi="Times New Roman" w:cs="Times New Roman"/>
          <w:sz w:val="24"/>
          <w:szCs w:val="24"/>
          <w:shd w:val="clear" w:color="auto" w:fill="FFFFFF"/>
        </w:rPr>
        <w:t xml:space="preserve">advertising </w:t>
      </w:r>
      <w:r w:rsidR="005341EB" w:rsidRPr="00062A3B">
        <w:rPr>
          <w:rFonts w:ascii="Times New Roman" w:hAnsi="Times New Roman" w:cs="Times New Roman"/>
          <w:sz w:val="24"/>
          <w:szCs w:val="24"/>
          <w:shd w:val="clear" w:color="auto" w:fill="FFFFFF"/>
        </w:rPr>
        <w:t xml:space="preserve">of unhealthy products </w:t>
      </w:r>
      <w:r w:rsidRPr="00062A3B">
        <w:rPr>
          <w:rFonts w:ascii="Times New Roman" w:hAnsi="Times New Roman" w:cs="Times New Roman"/>
          <w:sz w:val="24"/>
          <w:szCs w:val="24"/>
          <w:shd w:val="clear" w:color="auto" w:fill="FFFFFF"/>
        </w:rPr>
        <w:t>that undermine their health. </w:t>
      </w:r>
    </w:p>
    <w:p w:rsidR="00600537" w:rsidRPr="00062A3B" w:rsidRDefault="00600537" w:rsidP="00174908">
      <w:pPr>
        <w:spacing w:line="480" w:lineRule="auto"/>
        <w:jc w:val="left"/>
        <w:rPr>
          <w:rFonts w:ascii="Times New Roman" w:hAnsi="Times New Roman" w:cs="Times New Roman"/>
          <w:b/>
          <w:sz w:val="24"/>
          <w:szCs w:val="24"/>
        </w:rPr>
      </w:pPr>
    </w:p>
    <w:p w:rsidR="00600537" w:rsidRPr="00062A3B" w:rsidRDefault="00600537" w:rsidP="006F23E4">
      <w:pPr>
        <w:widowControl/>
        <w:spacing w:line="480" w:lineRule="auto"/>
        <w:jc w:val="left"/>
        <w:rPr>
          <w:rFonts w:ascii="Times New Roman" w:hAnsi="Times New Roman" w:cs="Times New Roman"/>
          <w:b/>
          <w:sz w:val="24"/>
          <w:szCs w:val="24"/>
        </w:rPr>
      </w:pPr>
      <w:r w:rsidRPr="00062A3B">
        <w:rPr>
          <w:rFonts w:ascii="Times New Roman" w:hAnsi="Times New Roman" w:cs="Times New Roman"/>
          <w:b/>
          <w:sz w:val="24"/>
          <w:szCs w:val="24"/>
        </w:rPr>
        <w:br w:type="page"/>
      </w:r>
      <w:r w:rsidRPr="00062A3B">
        <w:rPr>
          <w:rFonts w:ascii="Times New Roman" w:hAnsi="Times New Roman" w:cs="Times New Roman"/>
          <w:b/>
          <w:sz w:val="24"/>
          <w:szCs w:val="24"/>
        </w:rPr>
        <w:lastRenderedPageBreak/>
        <w:t xml:space="preserve">Introduction </w:t>
      </w:r>
    </w:p>
    <w:p w:rsidR="00600537" w:rsidRPr="00062A3B" w:rsidRDefault="00600537" w:rsidP="0016658E">
      <w:pPr>
        <w:spacing w:line="480" w:lineRule="auto"/>
        <w:jc w:val="left"/>
        <w:rPr>
          <w:rFonts w:ascii="Times New Roman" w:hAnsi="Times New Roman" w:cs="Times New Roman"/>
          <w:sz w:val="24"/>
          <w:szCs w:val="24"/>
        </w:rPr>
      </w:pPr>
      <w:r w:rsidRPr="00062A3B">
        <w:rPr>
          <w:rFonts w:ascii="Times New Roman" w:hAnsi="Times New Roman" w:cs="Times New Roman"/>
          <w:sz w:val="24"/>
          <w:szCs w:val="24"/>
        </w:rPr>
        <w:t xml:space="preserve">The marketing of unhealthy foods and beverages to children has been repeatedly </w:t>
      </w:r>
      <w:r w:rsidRPr="00062A3B">
        <w:rPr>
          <w:rFonts w:ascii="Times New Roman" w:hAnsi="Times New Roman" w:cs="Times New Roman"/>
          <w:sz w:val="24"/>
          <w:szCs w:val="24"/>
          <w:lang w:val="en-GB"/>
        </w:rPr>
        <w:t xml:space="preserve">identified in comprehensive evidence reviews as a negative influence on </w:t>
      </w:r>
      <w:r w:rsidRPr="00062A3B">
        <w:rPr>
          <w:rFonts w:ascii="Times New Roman" w:hAnsi="Times New Roman" w:cs="Times New Roman"/>
          <w:sz w:val="24"/>
          <w:szCs w:val="24"/>
        </w:rPr>
        <w:t xml:space="preserve">children’s food knowledge, preferences, consumption, </w:t>
      </w:r>
      <w:r w:rsidRPr="00062A3B">
        <w:rPr>
          <w:rFonts w:ascii="Times New Roman" w:hAnsi="Times New Roman" w:cs="Times New Roman"/>
          <w:sz w:val="24"/>
          <w:szCs w:val="24"/>
          <w:shd w:val="clear" w:color="auto" w:fill="FFFFFF"/>
        </w:rPr>
        <w:t xml:space="preserve">diet quality and health </w:t>
      </w:r>
      <w:r w:rsidRPr="00062A3B">
        <w:rPr>
          <w:rFonts w:ascii="Times New Roman" w:hAnsi="Times New Roman" w:cs="Times New Roman"/>
          <w:noProof/>
          <w:sz w:val="24"/>
          <w:szCs w:val="24"/>
        </w:rPr>
        <w:t>(1-7)</w:t>
      </w:r>
      <w:r w:rsidRPr="00062A3B">
        <w:rPr>
          <w:rFonts w:ascii="Times New Roman" w:hAnsi="Times New Roman" w:cs="Times New Roman"/>
          <w:sz w:val="24"/>
          <w:szCs w:val="24"/>
        </w:rPr>
        <w:t xml:space="preserve">. Therefore, </w:t>
      </w:r>
      <w:r w:rsidRPr="00062A3B">
        <w:rPr>
          <w:rFonts w:ascii="Times New Roman" w:hAnsi="Times New Roman" w:cs="Times New Roman"/>
          <w:sz w:val="24"/>
          <w:szCs w:val="24"/>
          <w:lang w:val="en-GB"/>
        </w:rPr>
        <w:t xml:space="preserve">restricting this marketing has been a </w:t>
      </w:r>
      <w:r w:rsidRPr="00062A3B">
        <w:rPr>
          <w:rFonts w:ascii="Times New Roman" w:hAnsi="Times New Roman" w:cs="Times New Roman"/>
          <w:sz w:val="24"/>
          <w:szCs w:val="24"/>
          <w:lang w:val="en-AU"/>
        </w:rPr>
        <w:t xml:space="preserve">global priority for obesity and diet-related non-communicable disease (NCD) prevention </w:t>
      </w:r>
      <w:r w:rsidRPr="00062A3B">
        <w:rPr>
          <w:rFonts w:ascii="Times New Roman" w:hAnsi="Times New Roman" w:cs="Times New Roman"/>
          <w:noProof/>
          <w:sz w:val="24"/>
          <w:szCs w:val="24"/>
          <w:lang w:val="en-AU"/>
        </w:rPr>
        <w:t>(8-10)</w:t>
      </w:r>
      <w:r w:rsidRPr="00062A3B">
        <w:rPr>
          <w:rFonts w:ascii="Times New Roman" w:hAnsi="Times New Roman" w:cs="Times New Roman"/>
          <w:sz w:val="24"/>
          <w:szCs w:val="24"/>
          <w:lang w:val="en-AU"/>
        </w:rPr>
        <w:t xml:space="preserve">. The current World Health Organization (WHO) Global Action Plan for the prevention and control of NCDs 2013-2020 identifies policies to </w:t>
      </w:r>
      <w:r w:rsidRPr="00062A3B">
        <w:rPr>
          <w:rFonts w:ascii="Times New Roman" w:hAnsi="Times New Roman" w:cs="Times New Roman"/>
          <w:sz w:val="24"/>
          <w:szCs w:val="24"/>
        </w:rPr>
        <w:t xml:space="preserve">reduce the impact of the marketing of unhealthy foods and beverages on children as one of 25 </w:t>
      </w:r>
      <w:r w:rsidRPr="00062A3B">
        <w:rPr>
          <w:rFonts w:ascii="Times New Roman" w:hAnsi="Times New Roman" w:cs="Times New Roman"/>
          <w:bCs/>
          <w:sz w:val="24"/>
          <w:szCs w:val="24"/>
        </w:rPr>
        <w:t xml:space="preserve">indicators for change </w:t>
      </w:r>
      <w:r w:rsidRPr="00062A3B">
        <w:rPr>
          <w:rFonts w:ascii="Times New Roman" w:hAnsi="Times New Roman" w:cs="Times New Roman"/>
          <w:sz w:val="24"/>
          <w:szCs w:val="24"/>
        </w:rPr>
        <w:t xml:space="preserve">in order to reduce premature mortality from NCDs by 25% by 2025 </w:t>
      </w:r>
      <w:r w:rsidRPr="00062A3B">
        <w:rPr>
          <w:rFonts w:ascii="Times New Roman" w:hAnsi="Times New Roman" w:cs="Times New Roman"/>
          <w:noProof/>
          <w:sz w:val="24"/>
          <w:szCs w:val="24"/>
        </w:rPr>
        <w:t>(11)</w:t>
      </w:r>
      <w:r w:rsidRPr="00062A3B">
        <w:rPr>
          <w:rFonts w:ascii="Times New Roman" w:hAnsi="Times New Roman" w:cs="Times New Roman"/>
          <w:sz w:val="24"/>
          <w:szCs w:val="24"/>
        </w:rPr>
        <w:t xml:space="preserve">. In 2010, 193 Member States endorsed Resolution WHA63.14 to restrict the marketing of food and non-alcoholic beverage products high in saturated fats, trans fats, free sugars and/or sodium to children and adolescents </w:t>
      </w:r>
      <w:r w:rsidRPr="00062A3B">
        <w:rPr>
          <w:rFonts w:ascii="Times New Roman" w:hAnsi="Times New Roman" w:cs="Times New Roman"/>
          <w:noProof/>
          <w:sz w:val="24"/>
          <w:szCs w:val="24"/>
        </w:rPr>
        <w:t>(8)</w:t>
      </w:r>
      <w:r w:rsidRPr="00062A3B">
        <w:rPr>
          <w:rFonts w:ascii="Times New Roman" w:hAnsi="Times New Roman" w:cs="Times New Roman"/>
          <w:sz w:val="24"/>
          <w:szCs w:val="24"/>
        </w:rPr>
        <w:t xml:space="preserve">. Global progress has been limited on restricting the nature and extent of children’s exposure to the marketing of unhealthy foods and beverages, and </w:t>
      </w:r>
      <w:r w:rsidRPr="00062A3B">
        <w:rPr>
          <w:rFonts w:ascii="Times New Roman" w:hAnsi="Times New Roman" w:cs="Times New Roman"/>
          <w:sz w:val="24"/>
          <w:szCs w:val="24"/>
          <w:shd w:val="clear" w:color="auto" w:fill="FFFFFF"/>
        </w:rPr>
        <w:t>has been addressed primarily by industry self-regulatory programs</w:t>
      </w:r>
      <w:r w:rsidRPr="00062A3B">
        <w:rPr>
          <w:rFonts w:ascii="Times New Roman" w:hAnsi="Times New Roman" w:cs="Times New Roman"/>
          <w:sz w:val="24"/>
          <w:szCs w:val="24"/>
        </w:rPr>
        <w:t xml:space="preserve"> </w:t>
      </w:r>
      <w:r w:rsidRPr="00062A3B">
        <w:rPr>
          <w:rFonts w:ascii="Times New Roman" w:hAnsi="Times New Roman" w:cs="Times New Roman"/>
          <w:noProof/>
          <w:sz w:val="24"/>
          <w:szCs w:val="24"/>
        </w:rPr>
        <w:t>(12-14)</w:t>
      </w:r>
      <w:r w:rsidRPr="00062A3B">
        <w:rPr>
          <w:rFonts w:ascii="Times New Roman" w:hAnsi="Times New Roman" w:cs="Times New Roman"/>
          <w:sz w:val="24"/>
          <w:szCs w:val="24"/>
        </w:rPr>
        <w:t xml:space="preserve">. </w:t>
      </w:r>
    </w:p>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16658E">
      <w:pPr>
        <w:spacing w:line="480" w:lineRule="auto"/>
        <w:jc w:val="left"/>
        <w:rPr>
          <w:rFonts w:ascii="Times New Roman" w:hAnsi="Times New Roman" w:cs="Times New Roman"/>
          <w:sz w:val="24"/>
          <w:szCs w:val="24"/>
          <w:shd w:val="clear" w:color="auto" w:fill="FFFFFF"/>
        </w:rPr>
      </w:pPr>
      <w:r w:rsidRPr="00062A3B">
        <w:rPr>
          <w:rFonts w:ascii="Times New Roman" w:hAnsi="Times New Roman" w:cs="Times New Roman"/>
          <w:sz w:val="24"/>
          <w:szCs w:val="24"/>
        </w:rPr>
        <w:t xml:space="preserve">Globally, almost one in five people aged 5-19 years were overweight or obese in 2016 and the prevalence of obesity in young people has increased 10-fold in the last 40 years </w:t>
      </w:r>
      <w:r w:rsidRPr="00062A3B">
        <w:rPr>
          <w:rFonts w:ascii="Times New Roman" w:hAnsi="Times New Roman" w:cs="Times New Roman"/>
          <w:noProof/>
          <w:sz w:val="24"/>
          <w:szCs w:val="24"/>
        </w:rPr>
        <w:t>(15)</w:t>
      </w:r>
      <w:r w:rsidRPr="00062A3B">
        <w:rPr>
          <w:rFonts w:ascii="Times New Roman" w:hAnsi="Times New Roman" w:cs="Times New Roman"/>
          <w:sz w:val="24"/>
          <w:szCs w:val="24"/>
        </w:rPr>
        <w:t>. While the overall rate of increase in children’s body mass index seems to have plateaued (at a high level) in high</w:t>
      </w:r>
      <w:r w:rsidR="005341EB" w:rsidRPr="00062A3B">
        <w:rPr>
          <w:rFonts w:ascii="Times New Roman" w:hAnsi="Times New Roman" w:cs="Times New Roman"/>
          <w:sz w:val="24"/>
          <w:szCs w:val="24"/>
        </w:rPr>
        <w:t>-</w:t>
      </w:r>
      <w:r w:rsidRPr="00062A3B">
        <w:rPr>
          <w:rFonts w:ascii="Times New Roman" w:hAnsi="Times New Roman" w:cs="Times New Roman"/>
          <w:sz w:val="24"/>
          <w:szCs w:val="24"/>
        </w:rPr>
        <w:t>income countries since 2000, rates continue to increase in low- and middle-income countries</w:t>
      </w:r>
      <w:r w:rsidRPr="00062A3B">
        <w:rPr>
          <w:rFonts w:ascii="Times New Roman" w:hAnsi="Times New Roman" w:cs="Times New Roman"/>
          <w:sz w:val="24"/>
          <w:szCs w:val="24"/>
          <w:shd w:val="clear" w:color="auto" w:fill="FFFFFF"/>
        </w:rPr>
        <w:t xml:space="preserve"> </w:t>
      </w:r>
      <w:r w:rsidRPr="00062A3B">
        <w:rPr>
          <w:rFonts w:ascii="Times New Roman" w:hAnsi="Times New Roman" w:cs="Times New Roman"/>
          <w:noProof/>
          <w:sz w:val="24"/>
          <w:szCs w:val="24"/>
          <w:shd w:val="clear" w:color="auto" w:fill="FFFFFF"/>
        </w:rPr>
        <w:t>(15)</w:t>
      </w:r>
      <w:r w:rsidRPr="00062A3B">
        <w:rPr>
          <w:rFonts w:ascii="Times New Roman" w:hAnsi="Times New Roman" w:cs="Times New Roman"/>
          <w:sz w:val="24"/>
          <w:szCs w:val="24"/>
          <w:shd w:val="clear" w:color="auto" w:fill="FFFFFF"/>
        </w:rPr>
        <w:t>. The globalisation of food systems</w:t>
      </w:r>
      <w:r w:rsidRPr="00062A3B">
        <w:rPr>
          <w:rFonts w:ascii="Times New Roman" w:hAnsi="Times New Roman" w:cs="Times New Roman"/>
          <w:sz w:val="24"/>
          <w:szCs w:val="24"/>
          <w:lang w:val="en-AU"/>
        </w:rPr>
        <w:t xml:space="preserve"> has been implicated in major shifts towards poor dietary patterns and increasing NCD risk in low </w:t>
      </w:r>
      <w:r w:rsidRPr="00062A3B">
        <w:rPr>
          <w:rFonts w:ascii="Times New Roman" w:hAnsi="Times New Roman" w:cs="Times New Roman"/>
          <w:sz w:val="24"/>
          <w:szCs w:val="24"/>
        </w:rPr>
        <w:t xml:space="preserve">and middle-income countries </w:t>
      </w:r>
      <w:r w:rsidRPr="00062A3B">
        <w:rPr>
          <w:rFonts w:ascii="Times New Roman" w:hAnsi="Times New Roman" w:cs="Times New Roman"/>
          <w:noProof/>
          <w:sz w:val="24"/>
          <w:szCs w:val="24"/>
        </w:rPr>
        <w:t>(16)</w:t>
      </w:r>
      <w:r w:rsidRPr="00062A3B">
        <w:rPr>
          <w:rFonts w:ascii="Times New Roman" w:hAnsi="Times New Roman" w:cs="Times New Roman"/>
          <w:sz w:val="24"/>
          <w:szCs w:val="24"/>
        </w:rPr>
        <w:t xml:space="preserve">. Globalisation includes </w:t>
      </w:r>
      <w:r w:rsidRPr="00062A3B">
        <w:rPr>
          <w:rFonts w:ascii="Times New Roman" w:hAnsi="Times New Roman" w:cs="Times New Roman"/>
          <w:sz w:val="24"/>
          <w:szCs w:val="24"/>
          <w:lang w:val="en-AU"/>
        </w:rPr>
        <w:t xml:space="preserve">international food trade and foreign direct investment by transnational food and beverage companies that </w:t>
      </w:r>
      <w:r w:rsidR="005341EB" w:rsidRPr="00062A3B">
        <w:rPr>
          <w:rFonts w:ascii="Times New Roman" w:hAnsi="Times New Roman" w:cs="Times New Roman"/>
          <w:sz w:val="24"/>
          <w:szCs w:val="24"/>
          <w:lang w:val="en-AU"/>
        </w:rPr>
        <w:t>predominantly</w:t>
      </w:r>
      <w:r w:rsidRPr="00062A3B">
        <w:rPr>
          <w:rFonts w:ascii="Times New Roman" w:hAnsi="Times New Roman" w:cs="Times New Roman"/>
          <w:sz w:val="24"/>
          <w:szCs w:val="24"/>
          <w:lang w:val="en-AU"/>
        </w:rPr>
        <w:t xml:space="preserve"> manufacture and sell unhealthy foods and beverage</w:t>
      </w:r>
      <w:r w:rsidR="005341EB" w:rsidRPr="00062A3B">
        <w:rPr>
          <w:rFonts w:ascii="Times New Roman" w:hAnsi="Times New Roman" w:cs="Times New Roman"/>
          <w:sz w:val="24"/>
          <w:szCs w:val="24"/>
          <w:lang w:val="en-AU"/>
        </w:rPr>
        <w:t xml:space="preserve"> products</w:t>
      </w:r>
      <w:r w:rsidRPr="00062A3B">
        <w:rPr>
          <w:rFonts w:ascii="Times New Roman" w:hAnsi="Times New Roman" w:cs="Times New Roman"/>
          <w:sz w:val="24"/>
          <w:szCs w:val="24"/>
          <w:lang w:val="en-AU"/>
        </w:rPr>
        <w:t xml:space="preserve">. This marketing increases the desirability and normalcy of consuming these products </w:t>
      </w:r>
      <w:r w:rsidRPr="00062A3B">
        <w:rPr>
          <w:rFonts w:ascii="Times New Roman" w:hAnsi="Times New Roman" w:cs="Times New Roman"/>
          <w:noProof/>
          <w:sz w:val="24"/>
          <w:szCs w:val="24"/>
          <w:lang w:val="en-AU"/>
        </w:rPr>
        <w:t>(16)</w:t>
      </w:r>
      <w:r w:rsidRPr="00062A3B">
        <w:rPr>
          <w:rFonts w:ascii="Times New Roman" w:hAnsi="Times New Roman" w:cs="Times New Roman"/>
          <w:sz w:val="24"/>
          <w:szCs w:val="24"/>
          <w:lang w:val="en-AU"/>
        </w:rPr>
        <w:t xml:space="preserve">.  </w:t>
      </w:r>
    </w:p>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16658E">
      <w:pPr>
        <w:spacing w:line="480" w:lineRule="auto"/>
        <w:jc w:val="left"/>
        <w:rPr>
          <w:rFonts w:ascii="Times New Roman" w:hAnsi="Times New Roman" w:cs="Times New Roman"/>
          <w:sz w:val="24"/>
          <w:szCs w:val="24"/>
          <w:lang w:val="en-AU"/>
        </w:rPr>
      </w:pPr>
      <w:r w:rsidRPr="00062A3B">
        <w:rPr>
          <w:rFonts w:ascii="Times New Roman" w:hAnsi="Times New Roman" w:cs="Times New Roman"/>
          <w:sz w:val="24"/>
          <w:szCs w:val="24"/>
        </w:rPr>
        <w:t xml:space="preserve">The International Network for Food and Obesity / non-communicable diseases Research, Monitoring and Action Support (INFORMAS) is a global network of researchers that aims to monitor, benchmark and support public and private sector actions to create healthy food environments and reduce obesity and NCDs </w:t>
      </w:r>
      <w:r w:rsidRPr="00062A3B">
        <w:rPr>
          <w:rFonts w:ascii="Times New Roman" w:hAnsi="Times New Roman" w:cs="Times New Roman"/>
          <w:noProof/>
          <w:sz w:val="24"/>
          <w:szCs w:val="24"/>
        </w:rPr>
        <w:t>(17)</w:t>
      </w:r>
      <w:r w:rsidRPr="00062A3B">
        <w:rPr>
          <w:rFonts w:ascii="Times New Roman" w:hAnsi="Times New Roman" w:cs="Times New Roman"/>
          <w:sz w:val="24"/>
          <w:szCs w:val="24"/>
        </w:rPr>
        <w:t xml:space="preserve">. This includes monitoring and benchmarking food marketing environments over time and across place </w:t>
      </w:r>
      <w:r w:rsidRPr="00062A3B">
        <w:rPr>
          <w:rFonts w:ascii="Times New Roman" w:hAnsi="Times New Roman" w:cs="Times New Roman"/>
          <w:noProof/>
          <w:sz w:val="24"/>
          <w:szCs w:val="24"/>
        </w:rPr>
        <w:t>(18)</w:t>
      </w:r>
      <w:r w:rsidRPr="00062A3B">
        <w:rPr>
          <w:rFonts w:ascii="Times New Roman" w:hAnsi="Times New Roman" w:cs="Times New Roman"/>
          <w:sz w:val="24"/>
          <w:szCs w:val="24"/>
        </w:rPr>
        <w:t xml:space="preserve">, </w:t>
      </w:r>
      <w:r w:rsidR="00905EC5" w:rsidRPr="00062A3B">
        <w:rPr>
          <w:rFonts w:ascii="Times New Roman" w:hAnsi="Times New Roman" w:cs="Times New Roman"/>
          <w:sz w:val="24"/>
          <w:szCs w:val="24"/>
        </w:rPr>
        <w:t xml:space="preserve">as well as government and industry </w:t>
      </w:r>
      <w:r w:rsidRPr="00062A3B">
        <w:rPr>
          <w:rFonts w:ascii="Times New Roman" w:hAnsi="Times New Roman" w:cs="Times New Roman"/>
          <w:sz w:val="24"/>
          <w:szCs w:val="24"/>
        </w:rPr>
        <w:t xml:space="preserve">policies relating to </w:t>
      </w:r>
      <w:r w:rsidR="00905EC5" w:rsidRPr="00062A3B">
        <w:rPr>
          <w:rFonts w:ascii="Times New Roman" w:hAnsi="Times New Roman" w:cs="Times New Roman"/>
          <w:sz w:val="24"/>
          <w:szCs w:val="24"/>
        </w:rPr>
        <w:t xml:space="preserve">food </w:t>
      </w:r>
      <w:r w:rsidRPr="00062A3B">
        <w:rPr>
          <w:rFonts w:ascii="Times New Roman" w:hAnsi="Times New Roman" w:cs="Times New Roman"/>
          <w:sz w:val="24"/>
          <w:szCs w:val="24"/>
        </w:rPr>
        <w:t xml:space="preserve">marketing </w:t>
      </w:r>
      <w:r w:rsidRPr="00062A3B">
        <w:rPr>
          <w:rFonts w:ascii="Times New Roman" w:hAnsi="Times New Roman" w:cs="Times New Roman"/>
          <w:noProof/>
          <w:sz w:val="24"/>
          <w:szCs w:val="24"/>
        </w:rPr>
        <w:t>(19, 20)</w:t>
      </w:r>
      <w:r w:rsidRPr="00062A3B">
        <w:rPr>
          <w:rFonts w:ascii="Times New Roman" w:hAnsi="Times New Roman" w:cs="Times New Roman"/>
          <w:sz w:val="24"/>
          <w:szCs w:val="24"/>
        </w:rPr>
        <w:t xml:space="preserve">. </w:t>
      </w:r>
      <w:r w:rsidR="00905EC5" w:rsidRPr="00062A3B">
        <w:rPr>
          <w:rFonts w:ascii="Times New Roman" w:hAnsi="Times New Roman" w:cs="Times New Roman"/>
          <w:sz w:val="24"/>
          <w:szCs w:val="24"/>
        </w:rPr>
        <w:t>Monitoring data is required throughout policy development and implementation. Initially, these data can highlight the need for policy interventions by identifying the nature and extent of children’s food marketing exposures. During policy development, monitoring data can inform policy specifications, including the media, broadcast times, food products and marketing techniques that should be restricted. Once implemented, monitoring is essential for evaluating the impact of policies on reducing children’s exposures to unhealthy food and beverage marketing.</w:t>
      </w:r>
    </w:p>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16658E">
      <w:pPr>
        <w:spacing w:line="480" w:lineRule="auto"/>
        <w:jc w:val="left"/>
        <w:rPr>
          <w:rFonts w:ascii="Times New Roman" w:hAnsi="Times New Roman" w:cs="Times New Roman"/>
          <w:sz w:val="24"/>
          <w:szCs w:val="24"/>
        </w:rPr>
      </w:pPr>
      <w:r w:rsidRPr="00062A3B">
        <w:rPr>
          <w:rFonts w:ascii="Times New Roman" w:hAnsi="Times New Roman" w:cs="Times New Roman"/>
          <w:sz w:val="24"/>
          <w:szCs w:val="24"/>
        </w:rPr>
        <w:t xml:space="preserve">The WHO </w:t>
      </w:r>
      <w:r w:rsidR="00B773E0" w:rsidRPr="00062A3B">
        <w:rPr>
          <w:rFonts w:ascii="Times New Roman" w:hAnsi="Times New Roman" w:cs="Times New Roman"/>
          <w:color w:val="000000"/>
          <w:sz w:val="24"/>
          <w:szCs w:val="24"/>
          <w:shd w:val="clear" w:color="auto" w:fill="FFFFFF"/>
        </w:rPr>
        <w:t xml:space="preserve">has recommended that Member States (or national governments) monitor children’s exposure to, and the persuasive power of, food and beverage marketing messages </w:t>
      </w:r>
      <w:r w:rsidRPr="00062A3B">
        <w:rPr>
          <w:rFonts w:ascii="Times New Roman" w:hAnsi="Times New Roman" w:cs="Times New Roman"/>
          <w:noProof/>
          <w:sz w:val="24"/>
          <w:szCs w:val="24"/>
          <w:lang w:val="en-AU"/>
        </w:rPr>
        <w:t>(21)</w:t>
      </w:r>
      <w:r w:rsidRPr="00062A3B">
        <w:rPr>
          <w:rFonts w:ascii="Times New Roman" w:hAnsi="Times New Roman" w:cs="Times New Roman"/>
          <w:sz w:val="24"/>
          <w:szCs w:val="24"/>
        </w:rPr>
        <w:t xml:space="preserve">. Exposure refers to the reach and frequency of contact with marketing messages, </w:t>
      </w:r>
      <w:r w:rsidR="00905EC5" w:rsidRPr="00062A3B">
        <w:rPr>
          <w:rFonts w:ascii="Times New Roman" w:hAnsi="Times New Roman" w:cs="Times New Roman"/>
          <w:sz w:val="24"/>
          <w:szCs w:val="24"/>
        </w:rPr>
        <w:t xml:space="preserve">while power </w:t>
      </w:r>
      <w:r w:rsidRPr="00062A3B">
        <w:rPr>
          <w:rFonts w:ascii="Times New Roman" w:hAnsi="Times New Roman" w:cs="Times New Roman"/>
          <w:sz w:val="24"/>
          <w:szCs w:val="24"/>
        </w:rPr>
        <w:t xml:space="preserve">relates to the </w:t>
      </w:r>
      <w:r w:rsidR="00905EC5" w:rsidRPr="00062A3B">
        <w:rPr>
          <w:rFonts w:ascii="Times New Roman" w:hAnsi="Times New Roman" w:cs="Times New Roman"/>
          <w:sz w:val="24"/>
          <w:szCs w:val="24"/>
        </w:rPr>
        <w:t xml:space="preserve">marketing </w:t>
      </w:r>
      <w:r w:rsidRPr="00062A3B">
        <w:rPr>
          <w:rFonts w:ascii="Times New Roman" w:hAnsi="Times New Roman" w:cs="Times New Roman"/>
          <w:sz w:val="24"/>
          <w:szCs w:val="24"/>
        </w:rPr>
        <w:t xml:space="preserve">content and design. </w:t>
      </w:r>
      <w:r w:rsidRPr="00062A3B">
        <w:rPr>
          <w:rFonts w:ascii="Times New Roman" w:hAnsi="Times New Roman" w:cs="Times New Roman"/>
          <w:sz w:val="24"/>
          <w:szCs w:val="24"/>
          <w:shd w:val="clear" w:color="auto" w:fill="FFFFFF"/>
        </w:rPr>
        <w:t>This study had three research objectives.</w:t>
      </w:r>
      <w:r w:rsidRPr="00062A3B">
        <w:rPr>
          <w:rFonts w:ascii="Times New Roman" w:hAnsi="Times New Roman" w:cs="Times New Roman"/>
          <w:sz w:val="24"/>
          <w:szCs w:val="24"/>
        </w:rPr>
        <w:t xml:space="preserve"> Firstly, given the </w:t>
      </w:r>
      <w:r w:rsidRPr="00062A3B">
        <w:rPr>
          <w:rFonts w:ascii="Times New Roman" w:hAnsi="Times New Roman" w:cs="Times New Roman"/>
          <w:sz w:val="24"/>
          <w:szCs w:val="24"/>
          <w:lang w:val="en-AU"/>
        </w:rPr>
        <w:t xml:space="preserve">substantial number of monitoring studies that have measured exposure and power of television food advertising to children globally </w:t>
      </w:r>
      <w:r w:rsidRPr="00062A3B">
        <w:rPr>
          <w:rFonts w:ascii="Times New Roman" w:hAnsi="Times New Roman" w:cs="Times New Roman"/>
          <w:noProof/>
          <w:sz w:val="24"/>
          <w:szCs w:val="24"/>
          <w:lang w:val="en-AU"/>
        </w:rPr>
        <w:t>(22)</w:t>
      </w:r>
      <w:r w:rsidRPr="00062A3B">
        <w:rPr>
          <w:rFonts w:ascii="Times New Roman" w:hAnsi="Times New Roman" w:cs="Times New Roman"/>
          <w:sz w:val="24"/>
          <w:szCs w:val="24"/>
          <w:lang w:val="en-AU"/>
        </w:rPr>
        <w:t xml:space="preserve">, we aimed to combine these data </w:t>
      </w:r>
      <w:r w:rsidR="00B773E0" w:rsidRPr="00062A3B">
        <w:rPr>
          <w:rFonts w:ascii="Times New Roman" w:hAnsi="Times New Roman" w:cs="Times New Roman"/>
          <w:sz w:val="24"/>
          <w:szCs w:val="24"/>
          <w:lang w:val="en-AU"/>
        </w:rPr>
        <w:t xml:space="preserve">from 22 countries </w:t>
      </w:r>
      <w:r w:rsidRPr="00062A3B">
        <w:rPr>
          <w:rFonts w:ascii="Times New Roman" w:hAnsi="Times New Roman" w:cs="Times New Roman"/>
          <w:sz w:val="24"/>
          <w:szCs w:val="24"/>
          <w:lang w:val="en-AU"/>
        </w:rPr>
        <w:t xml:space="preserve">to form a global overview of children’s estimated exposure to advertising of unhealthy foods and beverages on television. We also sought to determine the potential impact of policy interventions, by comparing rates of television advertising for </w:t>
      </w:r>
      <w:r w:rsidRPr="00062A3B">
        <w:rPr>
          <w:rFonts w:ascii="Times New Roman" w:hAnsi="Times New Roman" w:cs="Times New Roman"/>
          <w:sz w:val="24"/>
          <w:szCs w:val="24"/>
        </w:rPr>
        <w:t xml:space="preserve">unhealthy foods and beverages </w:t>
      </w:r>
      <w:r w:rsidRPr="00062A3B">
        <w:rPr>
          <w:rFonts w:ascii="Times New Roman" w:hAnsi="Times New Roman" w:cs="Times New Roman"/>
          <w:sz w:val="24"/>
          <w:szCs w:val="24"/>
          <w:lang w:val="en-AU"/>
        </w:rPr>
        <w:t xml:space="preserve">to children across countries with different policy arrangements (statutory, co-regulatory or industry self-regulation). Lastly, to identify the </w:t>
      </w:r>
      <w:r w:rsidRPr="00062A3B">
        <w:rPr>
          <w:rFonts w:ascii="Times New Roman" w:hAnsi="Times New Roman" w:cs="Times New Roman"/>
          <w:sz w:val="24"/>
          <w:szCs w:val="24"/>
          <w:lang w:val="en-AU"/>
        </w:rPr>
        <w:lastRenderedPageBreak/>
        <w:t xml:space="preserve">influence of international food trade and investment on food advertising exposures, we identified parent companies of </w:t>
      </w:r>
      <w:r w:rsidR="00B773E0" w:rsidRPr="00062A3B">
        <w:rPr>
          <w:rFonts w:ascii="Times New Roman" w:hAnsi="Times New Roman" w:cs="Times New Roman"/>
          <w:sz w:val="24"/>
          <w:szCs w:val="24"/>
          <w:lang w:val="en-AU"/>
        </w:rPr>
        <w:t xml:space="preserve">branded food and beverage </w:t>
      </w:r>
      <w:r w:rsidRPr="00062A3B">
        <w:rPr>
          <w:rFonts w:ascii="Times New Roman" w:hAnsi="Times New Roman" w:cs="Times New Roman"/>
          <w:sz w:val="24"/>
          <w:szCs w:val="24"/>
          <w:lang w:val="en-AU"/>
        </w:rPr>
        <w:t xml:space="preserve"> products and the penetration and frequency of advertising by parent companies (i.e. the owners of sub-brands or individual product brands) across markets. </w:t>
      </w:r>
    </w:p>
    <w:p w:rsidR="00600537" w:rsidRPr="00062A3B" w:rsidRDefault="00600537" w:rsidP="0016658E">
      <w:pPr>
        <w:spacing w:line="480" w:lineRule="auto"/>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b/>
          <w:sz w:val="24"/>
          <w:szCs w:val="24"/>
        </w:rPr>
      </w:pPr>
      <w:r w:rsidRPr="00062A3B">
        <w:rPr>
          <w:rFonts w:ascii="Times New Roman" w:hAnsi="Times New Roman" w:cs="Times New Roman"/>
          <w:b/>
          <w:sz w:val="24"/>
          <w:szCs w:val="24"/>
        </w:rPr>
        <w:t xml:space="preserve">Methods </w:t>
      </w:r>
    </w:p>
    <w:p w:rsidR="00600537" w:rsidRPr="00062A3B" w:rsidRDefault="00600537" w:rsidP="0016658E">
      <w:pPr>
        <w:spacing w:line="480" w:lineRule="auto"/>
        <w:jc w:val="left"/>
        <w:rPr>
          <w:rFonts w:ascii="Times New Roman" w:hAnsi="Times New Roman" w:cs="Times New Roman"/>
          <w:i/>
          <w:sz w:val="24"/>
          <w:szCs w:val="24"/>
        </w:rPr>
      </w:pPr>
      <w:r w:rsidRPr="00062A3B">
        <w:rPr>
          <w:rFonts w:ascii="Times New Roman" w:hAnsi="Times New Roman" w:cs="Times New Roman"/>
          <w:i/>
          <w:sz w:val="24"/>
          <w:szCs w:val="24"/>
        </w:rPr>
        <w:t xml:space="preserve">Procedure </w:t>
      </w:r>
    </w:p>
    <w:p w:rsidR="00600537" w:rsidRPr="00062A3B" w:rsidRDefault="00600537" w:rsidP="0016658E">
      <w:pPr>
        <w:spacing w:line="480" w:lineRule="auto"/>
        <w:jc w:val="left"/>
        <w:rPr>
          <w:rFonts w:ascii="Times New Roman" w:hAnsi="Times New Roman" w:cs="Times New Roman"/>
          <w:sz w:val="24"/>
          <w:szCs w:val="24"/>
          <w:lang w:val="en-NZ"/>
        </w:rPr>
      </w:pPr>
      <w:r w:rsidRPr="00062A3B">
        <w:rPr>
          <w:rFonts w:ascii="Times New Roman" w:hAnsi="Times New Roman" w:cs="Times New Roman"/>
          <w:sz w:val="24"/>
          <w:szCs w:val="24"/>
        </w:rPr>
        <w:t>Several countries (including Australia, Canada, Chile, Costa Rica, Guatemala, Malta, Mexico, New Zealand and Slovenia) contributed data on television food advertising that had been collected using the INFORMAS standardised protocol</w:t>
      </w:r>
      <w:r w:rsidRPr="00062A3B">
        <w:t xml:space="preserve"> </w:t>
      </w:r>
      <w:r w:rsidRPr="00062A3B">
        <w:rPr>
          <w:rFonts w:ascii="Times New Roman" w:hAnsi="Times New Roman" w:cs="Times New Roman"/>
          <w:noProof/>
          <w:sz w:val="24"/>
          <w:szCs w:val="24"/>
          <w:lang w:val="en-AU"/>
        </w:rPr>
        <w:t>(23)</w:t>
      </w:r>
      <w:r w:rsidRPr="00062A3B">
        <w:rPr>
          <w:rFonts w:ascii="Times New Roman" w:hAnsi="Times New Roman" w:cs="Times New Roman"/>
          <w:sz w:val="24"/>
          <w:szCs w:val="24"/>
          <w:lang w:val="en-AU"/>
        </w:rPr>
        <w:t xml:space="preserve">. These data were supplemented with data from other countries, identified by a literature of studies measuring the nature and extent of food advertising on television. There was no </w:t>
      </w:r>
      <w:r w:rsidRPr="00062A3B">
        <w:rPr>
          <w:rFonts w:ascii="Times New Roman" w:hAnsi="Times New Roman" w:cs="Times New Roman"/>
          <w:sz w:val="24"/>
          <w:szCs w:val="24"/>
        </w:rPr>
        <w:t>limit on year of data collection. Included studies were those that captured television broadcasting during consecutive hours across recorded days (not limited to children’s programs) and those that included information on all food and beverage advertisements (not limited to specific food categories). Data were mostly recorded by the research team, although one dataset was purchased from a market research company (2009 UK dataset) and one was freely obtained from the national television regulator (Chile dataset). Corresponding authors were contacted and invited t</w:t>
      </w:r>
      <w:r w:rsidRPr="00062A3B">
        <w:rPr>
          <w:rFonts w:ascii="Times New Roman" w:hAnsi="Times New Roman" w:cs="Times New Roman"/>
          <w:sz w:val="24"/>
          <w:szCs w:val="24"/>
          <w:lang w:val="en-AU"/>
        </w:rPr>
        <w:t>o participate by contributing their dataset</w:t>
      </w:r>
      <w:r w:rsidRPr="00062A3B">
        <w:rPr>
          <w:rFonts w:ascii="Times New Roman" w:hAnsi="Times New Roman" w:cs="Times New Roman"/>
          <w:sz w:val="24"/>
          <w:szCs w:val="24"/>
          <w:lang w:val="en-NZ"/>
        </w:rPr>
        <w:t xml:space="preserve">. </w:t>
      </w:r>
      <w:r w:rsidRPr="00062A3B">
        <w:rPr>
          <w:rFonts w:ascii="Times New Roman" w:hAnsi="Times New Roman" w:cs="Times New Roman"/>
          <w:sz w:val="24"/>
          <w:szCs w:val="24"/>
          <w:lang w:val="en-AU"/>
        </w:rPr>
        <w:t xml:space="preserve">Datasets were eligible for inclusion if they contained sufficient information on the time each food advertisement was shown to enable calculation of the frequency of advertisements per hour, as well as sufficient detail on the advertised food </w:t>
      </w:r>
      <w:r w:rsidRPr="00062A3B">
        <w:rPr>
          <w:rFonts w:ascii="Times New Roman" w:hAnsi="Times New Roman" w:cs="Times New Roman"/>
          <w:sz w:val="24"/>
          <w:szCs w:val="24"/>
        </w:rPr>
        <w:t xml:space="preserve">and beverage </w:t>
      </w:r>
      <w:r w:rsidRPr="00062A3B">
        <w:rPr>
          <w:rFonts w:ascii="Times New Roman" w:hAnsi="Times New Roman" w:cs="Times New Roman"/>
          <w:sz w:val="24"/>
          <w:szCs w:val="24"/>
          <w:lang w:val="en-AU"/>
        </w:rPr>
        <w:t xml:space="preserve">products to allow reclassification using a standardised food classification system. In addition, studies needed to include at least one weekday and one weekend day, preferably randomly selected. Advertisements broadcast during school holiday periods were excluded. Datasets were cleaned by the country research teams and then </w:t>
      </w:r>
      <w:r w:rsidRPr="00062A3B">
        <w:rPr>
          <w:rFonts w:ascii="Times New Roman" w:hAnsi="Times New Roman" w:cs="Times New Roman"/>
          <w:sz w:val="24"/>
          <w:szCs w:val="24"/>
          <w:lang w:val="en-NZ"/>
        </w:rPr>
        <w:t xml:space="preserve">sent to </w:t>
      </w:r>
      <w:r w:rsidRPr="00062A3B">
        <w:rPr>
          <w:rFonts w:ascii="Times New Roman" w:hAnsi="Times New Roman" w:cs="Times New Roman"/>
          <w:sz w:val="24"/>
          <w:szCs w:val="24"/>
          <w:lang w:val="en-NZ"/>
        </w:rPr>
        <w:lastRenderedPageBreak/>
        <w:t xml:space="preserve">the lead author, who processed these for compilation.  </w:t>
      </w:r>
    </w:p>
    <w:p w:rsidR="00600537" w:rsidRPr="00062A3B" w:rsidRDefault="00600537" w:rsidP="0016658E">
      <w:pPr>
        <w:spacing w:line="480" w:lineRule="auto"/>
        <w:jc w:val="left"/>
        <w:rPr>
          <w:rFonts w:ascii="Times New Roman" w:hAnsi="Times New Roman" w:cs="Times New Roman"/>
          <w:sz w:val="24"/>
          <w:szCs w:val="24"/>
          <w:lang w:val="en-NZ"/>
        </w:rPr>
      </w:pPr>
    </w:p>
    <w:p w:rsidR="00600537" w:rsidRPr="00062A3B" w:rsidRDefault="00600537" w:rsidP="0016658E">
      <w:pPr>
        <w:spacing w:line="480" w:lineRule="auto"/>
        <w:jc w:val="left"/>
        <w:rPr>
          <w:rFonts w:ascii="Times New Roman" w:hAnsi="Times New Roman" w:cs="Times New Roman"/>
          <w:sz w:val="24"/>
          <w:szCs w:val="24"/>
          <w:lang w:val="en-NZ"/>
        </w:rPr>
      </w:pPr>
      <w:r w:rsidRPr="00062A3B">
        <w:rPr>
          <w:rFonts w:ascii="Times New Roman" w:hAnsi="Times New Roman" w:cs="Times New Roman"/>
          <w:sz w:val="24"/>
          <w:szCs w:val="24"/>
          <w:lang w:val="en-NZ"/>
        </w:rPr>
        <w:t xml:space="preserve">Television food advertising policy arrangements of included countries were also captured from repositories of Government and industry policies on food marketing to children </w:t>
      </w:r>
      <w:r w:rsidRPr="00062A3B">
        <w:rPr>
          <w:rFonts w:ascii="Times New Roman" w:hAnsi="Times New Roman" w:cs="Times New Roman"/>
          <w:noProof/>
          <w:sz w:val="24"/>
          <w:szCs w:val="24"/>
          <w:lang w:val="en-NZ"/>
        </w:rPr>
        <w:t>(2</w:t>
      </w:r>
      <w:r w:rsidR="006000D2" w:rsidRPr="00062A3B">
        <w:rPr>
          <w:rFonts w:ascii="Times New Roman" w:hAnsi="Times New Roman" w:cs="Times New Roman"/>
          <w:noProof/>
          <w:sz w:val="24"/>
          <w:szCs w:val="24"/>
          <w:lang w:val="en-NZ"/>
        </w:rPr>
        <w:t>4-25</w:t>
      </w:r>
      <w:r w:rsidRPr="00062A3B">
        <w:rPr>
          <w:rFonts w:ascii="Times New Roman" w:hAnsi="Times New Roman" w:cs="Times New Roman"/>
          <w:noProof/>
          <w:sz w:val="24"/>
          <w:szCs w:val="24"/>
          <w:lang w:val="en-NZ"/>
        </w:rPr>
        <w:t>)</w:t>
      </w:r>
      <w:r w:rsidRPr="00062A3B">
        <w:rPr>
          <w:rFonts w:ascii="Times New Roman" w:hAnsi="Times New Roman" w:cs="Times New Roman"/>
          <w:sz w:val="24"/>
          <w:szCs w:val="24"/>
          <w:lang w:val="en-NZ"/>
        </w:rPr>
        <w:t xml:space="preserve"> and cross-checked with corresponding authors. Extracted policy information included the type of regulatory control (self-regulatory codes of practice from the food industry, statutory government regulations, co-regulation or no regulation) </w:t>
      </w:r>
      <w:r w:rsidRPr="00062A3B">
        <w:rPr>
          <w:rFonts w:ascii="Times New Roman" w:hAnsi="Times New Roman" w:cs="Times New Roman"/>
          <w:sz w:val="24"/>
          <w:szCs w:val="24"/>
        </w:rPr>
        <w:t xml:space="preserve">and the year of implementation. </w:t>
      </w:r>
    </w:p>
    <w:p w:rsidR="00600537" w:rsidRPr="00062A3B" w:rsidRDefault="00600537" w:rsidP="0016658E">
      <w:pPr>
        <w:spacing w:line="480" w:lineRule="auto"/>
        <w:jc w:val="left"/>
        <w:rPr>
          <w:rFonts w:ascii="Times New Roman" w:hAnsi="Times New Roman" w:cs="Times New Roman"/>
          <w:sz w:val="24"/>
          <w:szCs w:val="24"/>
          <w:lang w:val="en-NZ"/>
        </w:rPr>
      </w:pPr>
    </w:p>
    <w:p w:rsidR="00600537" w:rsidRPr="00062A3B" w:rsidRDefault="00600537" w:rsidP="0016658E">
      <w:pPr>
        <w:spacing w:line="480" w:lineRule="auto"/>
        <w:jc w:val="left"/>
        <w:rPr>
          <w:rFonts w:ascii="Times New Roman" w:hAnsi="Times New Roman" w:cs="Times New Roman"/>
          <w:i/>
          <w:sz w:val="24"/>
          <w:szCs w:val="24"/>
          <w:lang w:val="en-NZ"/>
        </w:rPr>
      </w:pPr>
      <w:r w:rsidRPr="00062A3B">
        <w:rPr>
          <w:rFonts w:ascii="Times New Roman" w:hAnsi="Times New Roman" w:cs="Times New Roman"/>
          <w:i/>
          <w:sz w:val="24"/>
          <w:szCs w:val="24"/>
          <w:lang w:val="en-NZ"/>
        </w:rPr>
        <w:t>Classification of food</w:t>
      </w:r>
      <w:r w:rsidRPr="00062A3B">
        <w:rPr>
          <w:rFonts w:ascii="Times New Roman" w:hAnsi="Times New Roman" w:cs="Times New Roman"/>
          <w:sz w:val="24"/>
          <w:szCs w:val="24"/>
        </w:rPr>
        <w:t xml:space="preserve"> </w:t>
      </w:r>
      <w:r w:rsidRPr="00062A3B">
        <w:rPr>
          <w:rFonts w:ascii="Times New Roman" w:hAnsi="Times New Roman" w:cs="Times New Roman"/>
          <w:i/>
          <w:sz w:val="24"/>
          <w:szCs w:val="24"/>
        </w:rPr>
        <w:t>and beverage</w:t>
      </w:r>
      <w:r w:rsidRPr="00062A3B">
        <w:rPr>
          <w:rFonts w:ascii="Times New Roman" w:hAnsi="Times New Roman" w:cs="Times New Roman"/>
          <w:i/>
          <w:sz w:val="24"/>
          <w:szCs w:val="24"/>
          <w:lang w:val="en-NZ"/>
        </w:rPr>
        <w:t xml:space="preserve"> advertisements</w:t>
      </w: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Advertisements included paid commercial messages that were broadcast before, during or after television programs. Product placements embedded within programs were excluded, as were messages about commercial sponsorship of programs (e.g. “this program was brought to you by…”). The term ‘food advertisement’ was used to refer to advertisements for retail food and non-alcoholic drink products, </w:t>
      </w:r>
      <w:r w:rsidR="00B773E0" w:rsidRPr="00062A3B">
        <w:rPr>
          <w:rFonts w:ascii="Times New Roman" w:hAnsi="Times New Roman" w:cs="Times New Roman"/>
          <w:bCs/>
          <w:sz w:val="24"/>
          <w:szCs w:val="24"/>
        </w:rPr>
        <w:t>as well as advertisements for retailers themselves (</w:t>
      </w:r>
      <w:r w:rsidRPr="00062A3B">
        <w:rPr>
          <w:rFonts w:ascii="Times New Roman" w:hAnsi="Times New Roman" w:cs="Times New Roman"/>
          <w:bCs/>
          <w:sz w:val="24"/>
          <w:szCs w:val="24"/>
        </w:rPr>
        <w:t>supermarkets</w:t>
      </w:r>
      <w:r w:rsidR="00B773E0" w:rsidRPr="00062A3B">
        <w:rPr>
          <w:rFonts w:ascii="Times New Roman" w:hAnsi="Times New Roman" w:cs="Times New Roman"/>
          <w:bCs/>
          <w:sz w:val="24"/>
          <w:szCs w:val="24"/>
        </w:rPr>
        <w:t>)</w:t>
      </w:r>
      <w:r w:rsidRPr="00062A3B">
        <w:rPr>
          <w:rFonts w:ascii="Times New Roman" w:hAnsi="Times New Roman" w:cs="Times New Roman"/>
          <w:bCs/>
          <w:sz w:val="24"/>
          <w:szCs w:val="24"/>
        </w:rPr>
        <w:t xml:space="preserve"> and </w:t>
      </w:r>
      <w:r w:rsidR="00B773E0" w:rsidRPr="00062A3B">
        <w:rPr>
          <w:rFonts w:ascii="Times New Roman" w:hAnsi="Times New Roman" w:cs="Times New Roman"/>
          <w:bCs/>
          <w:sz w:val="24"/>
          <w:szCs w:val="24"/>
        </w:rPr>
        <w:t>food service outlets (</w:t>
      </w:r>
      <w:r w:rsidRPr="00062A3B">
        <w:rPr>
          <w:rFonts w:ascii="Times New Roman" w:hAnsi="Times New Roman" w:cs="Times New Roman"/>
          <w:bCs/>
          <w:sz w:val="24"/>
          <w:szCs w:val="24"/>
        </w:rPr>
        <w:t>restaurants</w:t>
      </w:r>
      <w:r w:rsidR="00B773E0" w:rsidRPr="00062A3B">
        <w:rPr>
          <w:rFonts w:ascii="Times New Roman" w:hAnsi="Times New Roman" w:cs="Times New Roman"/>
          <w:bCs/>
          <w:sz w:val="24"/>
          <w:szCs w:val="24"/>
        </w:rPr>
        <w:t>)</w:t>
      </w:r>
      <w:r w:rsidRPr="00062A3B">
        <w:rPr>
          <w:rFonts w:ascii="Times New Roman" w:hAnsi="Times New Roman" w:cs="Times New Roman"/>
          <w:bCs/>
          <w:sz w:val="24"/>
          <w:szCs w:val="24"/>
        </w:rPr>
        <w:t xml:space="preserve">. This also included advertisements for </w:t>
      </w:r>
      <w:r w:rsidRPr="00062A3B">
        <w:rPr>
          <w:rFonts w:ascii="Times New Roman" w:hAnsi="Times New Roman" w:cs="Times New Roman"/>
          <w:sz w:val="24"/>
          <w:szCs w:val="24"/>
        </w:rPr>
        <w:t>food companies, retailers and outlets</w:t>
      </w:r>
      <w:r w:rsidRPr="00062A3B">
        <w:rPr>
          <w:rFonts w:ascii="Times New Roman" w:hAnsi="Times New Roman" w:cs="Times New Roman"/>
          <w:bCs/>
          <w:sz w:val="24"/>
          <w:szCs w:val="24"/>
        </w:rPr>
        <w:t xml:space="preserve"> where no specific foods or beverages were visually depicted. Food advertisements were recoded, where necessary, according to the INFORMAS protocol for television food advertising monitoring </w:t>
      </w:r>
      <w:r w:rsidRPr="00062A3B">
        <w:rPr>
          <w:rFonts w:ascii="Times New Roman" w:hAnsi="Times New Roman" w:cs="Times New Roman"/>
          <w:bCs/>
          <w:noProof/>
          <w:sz w:val="24"/>
          <w:szCs w:val="24"/>
        </w:rPr>
        <w:t>(</w:t>
      </w:r>
      <w:r w:rsidR="006000D2" w:rsidRPr="00062A3B">
        <w:rPr>
          <w:rFonts w:ascii="Times New Roman" w:hAnsi="Times New Roman" w:cs="Times New Roman"/>
          <w:bCs/>
          <w:noProof/>
          <w:sz w:val="24"/>
          <w:szCs w:val="24"/>
        </w:rPr>
        <w:t>23</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For each advertisement, coded variables included orienting information on the placement of the advertisement (country, day, date, channel and time of broadcast); descriptive information on the nature of the food or beverage product, company, retailer or outlet promoted (brand/company name and description), and the use of selected persuasive marketing techniques including promotional characters (</w:t>
      </w:r>
      <w:r w:rsidRPr="00062A3B">
        <w:rPr>
          <w:rFonts w:ascii="Times New Roman" w:eastAsia="Times New Roman" w:hAnsi="Times New Roman" w:cs="Times New Roman"/>
          <w:sz w:val="24"/>
          <w:szCs w:val="24"/>
          <w:lang w:eastAsia="en-NZ"/>
        </w:rPr>
        <w:t>company-owned media character</w:t>
      </w:r>
      <w:r w:rsidRPr="00062A3B">
        <w:rPr>
          <w:rFonts w:ascii="Times New Roman" w:hAnsi="Times New Roman" w:cs="Times New Roman"/>
          <w:bCs/>
          <w:sz w:val="24"/>
          <w:szCs w:val="24"/>
        </w:rPr>
        <w:t xml:space="preserve">s or </w:t>
      </w:r>
      <w:r w:rsidRPr="00062A3B">
        <w:rPr>
          <w:rFonts w:ascii="Times New Roman" w:hAnsi="Times New Roman" w:cs="Times New Roman"/>
          <w:sz w:val="24"/>
          <w:szCs w:val="24"/>
          <w:shd w:val="clear" w:color="auto" w:fill="FFFFFF"/>
        </w:rPr>
        <w:t>brand-equity mascots</w:t>
      </w:r>
      <w:r w:rsidRPr="00062A3B">
        <w:rPr>
          <w:rFonts w:ascii="Times New Roman" w:hAnsi="Times New Roman" w:cs="Times New Roman"/>
          <w:bCs/>
          <w:sz w:val="24"/>
          <w:szCs w:val="24"/>
        </w:rPr>
        <w:t xml:space="preserve">, </w:t>
      </w:r>
      <w:r w:rsidRPr="00062A3B">
        <w:rPr>
          <w:rFonts w:ascii="Times New Roman" w:hAnsi="Times New Roman" w:cs="Times New Roman"/>
          <w:sz w:val="24"/>
          <w:szCs w:val="24"/>
          <w:shd w:val="clear" w:color="auto" w:fill="FFFFFF"/>
        </w:rPr>
        <w:t xml:space="preserve">third-party </w:t>
      </w:r>
      <w:r w:rsidRPr="00062A3B">
        <w:rPr>
          <w:rFonts w:ascii="Times New Roman" w:hAnsi="Times New Roman" w:cs="Times New Roman"/>
          <w:bCs/>
          <w:sz w:val="24"/>
          <w:szCs w:val="24"/>
        </w:rPr>
        <w:t xml:space="preserve">licensed characters, </w:t>
      </w:r>
      <w:r w:rsidRPr="00062A3B">
        <w:rPr>
          <w:rFonts w:ascii="Times New Roman" w:hAnsi="Times New Roman" w:cs="Times New Roman"/>
          <w:sz w:val="24"/>
          <w:szCs w:val="24"/>
          <w:shd w:val="clear" w:color="auto" w:fill="FFFFFF"/>
        </w:rPr>
        <w:t>entertainment or sports celebrities</w:t>
      </w:r>
      <w:r w:rsidRPr="00062A3B">
        <w:rPr>
          <w:rFonts w:ascii="Times New Roman" w:hAnsi="Times New Roman" w:cs="Times New Roman"/>
          <w:bCs/>
          <w:sz w:val="24"/>
          <w:szCs w:val="24"/>
        </w:rPr>
        <w:t xml:space="preserve">) and premium offers (e.g. competitions, rebates, games). For advertisements where multiple products were promoted, the first product listed </w:t>
      </w:r>
      <w:r w:rsidRPr="00062A3B">
        <w:rPr>
          <w:rFonts w:ascii="Times New Roman" w:hAnsi="Times New Roman" w:cs="Times New Roman"/>
          <w:bCs/>
          <w:sz w:val="24"/>
          <w:szCs w:val="24"/>
        </w:rPr>
        <w:lastRenderedPageBreak/>
        <w:t xml:space="preserve">the description in country datasets was coded. </w:t>
      </w:r>
    </w:p>
    <w:p w:rsidR="00600537" w:rsidRPr="00062A3B" w:rsidRDefault="00600537" w:rsidP="0016658E">
      <w:pPr>
        <w:spacing w:line="480" w:lineRule="auto"/>
        <w:jc w:val="left"/>
        <w:rPr>
          <w:rFonts w:ascii="Times New Roman" w:hAnsi="Times New Roman" w:cs="Times New Roman"/>
          <w:bCs/>
          <w:sz w:val="24"/>
          <w:szCs w:val="24"/>
        </w:rPr>
      </w:pP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Advertised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 xml:space="preserve">were </w:t>
      </w:r>
      <w:r w:rsidR="00905EC5" w:rsidRPr="00062A3B">
        <w:rPr>
          <w:rFonts w:ascii="Times New Roman" w:hAnsi="Times New Roman" w:cs="Times New Roman"/>
          <w:bCs/>
          <w:sz w:val="24"/>
          <w:szCs w:val="24"/>
        </w:rPr>
        <w:t xml:space="preserve">then </w:t>
      </w:r>
      <w:r w:rsidRPr="00062A3B">
        <w:rPr>
          <w:rFonts w:ascii="Times New Roman" w:hAnsi="Times New Roman" w:cs="Times New Roman"/>
          <w:bCs/>
          <w:sz w:val="24"/>
          <w:szCs w:val="24"/>
        </w:rPr>
        <w:t xml:space="preserve">coded according </w:t>
      </w:r>
      <w:r w:rsidRPr="00062A3B">
        <w:rPr>
          <w:rFonts w:ascii="Times New Roman" w:hAnsi="Times New Roman" w:cs="Times New Roman"/>
          <w:sz w:val="24"/>
          <w:szCs w:val="24"/>
          <w:lang w:val="en-AU"/>
        </w:rPr>
        <w:t xml:space="preserve">to the </w:t>
      </w:r>
      <w:r w:rsidRPr="00062A3B">
        <w:rPr>
          <w:rFonts w:ascii="Times New Roman" w:hAnsi="Times New Roman" w:cs="Times New Roman"/>
          <w:sz w:val="24"/>
          <w:szCs w:val="24"/>
        </w:rPr>
        <w:t xml:space="preserve">WHO Regional Office for </w:t>
      </w:r>
      <w:r w:rsidRPr="00062A3B">
        <w:rPr>
          <w:rFonts w:ascii="Times New Roman" w:hAnsi="Times New Roman" w:cs="Times New Roman"/>
          <w:sz w:val="24"/>
          <w:szCs w:val="24"/>
          <w:lang w:val="en-NZ"/>
        </w:rPr>
        <w:t xml:space="preserve">Europe Nutrient Profile Model </w:t>
      </w:r>
      <w:r w:rsidRPr="00062A3B">
        <w:rPr>
          <w:rFonts w:ascii="Times New Roman" w:hAnsi="Times New Roman" w:cs="Times New Roman"/>
          <w:noProof/>
          <w:sz w:val="24"/>
          <w:szCs w:val="24"/>
          <w:lang w:val="en-NZ"/>
        </w:rPr>
        <w:t>(</w:t>
      </w:r>
      <w:r w:rsidR="006000D2" w:rsidRPr="00062A3B">
        <w:rPr>
          <w:rFonts w:ascii="Times New Roman" w:hAnsi="Times New Roman" w:cs="Times New Roman"/>
          <w:noProof/>
          <w:sz w:val="24"/>
          <w:szCs w:val="24"/>
          <w:lang w:val="en-NZ"/>
        </w:rPr>
        <w:t>26</w:t>
      </w:r>
      <w:r w:rsidRPr="00062A3B">
        <w:rPr>
          <w:rFonts w:ascii="Times New Roman" w:hAnsi="Times New Roman" w:cs="Times New Roman"/>
          <w:noProof/>
          <w:sz w:val="24"/>
          <w:szCs w:val="24"/>
          <w:lang w:val="en-NZ"/>
        </w:rPr>
        <w:t>)</w:t>
      </w:r>
      <w:r w:rsidR="00905EC5" w:rsidRPr="00062A3B">
        <w:rPr>
          <w:rFonts w:ascii="Times New Roman" w:hAnsi="Times New Roman" w:cs="Times New Roman"/>
          <w:noProof/>
          <w:sz w:val="24"/>
          <w:szCs w:val="24"/>
          <w:lang w:val="en-NZ"/>
        </w:rPr>
        <w:t xml:space="preserve">, which was </w:t>
      </w:r>
      <w:r w:rsidRPr="00062A3B">
        <w:rPr>
          <w:rFonts w:ascii="Times New Roman" w:hAnsi="Times New Roman" w:cs="Times New Roman"/>
          <w:sz w:val="24"/>
          <w:szCs w:val="24"/>
          <w:lang w:val="en-NZ"/>
        </w:rPr>
        <w:t xml:space="preserve">designed for the purpose of restricting the marketing of foods and beverages to children (no age range given). </w:t>
      </w:r>
      <w:r w:rsidR="00905EC5" w:rsidRPr="00062A3B">
        <w:rPr>
          <w:rFonts w:ascii="Times New Roman" w:hAnsi="Times New Roman" w:cs="Times New Roman"/>
          <w:sz w:val="24"/>
          <w:szCs w:val="24"/>
          <w:lang w:val="en-NZ"/>
        </w:rPr>
        <w:t xml:space="preserve">The model </w:t>
      </w:r>
      <w:r w:rsidRPr="00062A3B">
        <w:rPr>
          <w:rFonts w:ascii="Times New Roman" w:hAnsi="Times New Roman" w:cs="Times New Roman"/>
          <w:sz w:val="24"/>
          <w:szCs w:val="24"/>
          <w:lang w:val="en-NZ"/>
        </w:rPr>
        <w:t>differentiates products into 16 food and 4 beverage categories, and designates these as recommended to be ‘not-permitted’ or ‘permitted’ to be advertised to children. Certain categories are recommended to not be permitted to be marketed to children</w:t>
      </w:r>
      <w:r w:rsidR="00905EC5" w:rsidRPr="00062A3B">
        <w:rPr>
          <w:rFonts w:ascii="Times New Roman" w:hAnsi="Times New Roman" w:cs="Times New Roman"/>
          <w:sz w:val="24"/>
          <w:szCs w:val="24"/>
          <w:lang w:val="en-NZ"/>
        </w:rPr>
        <w:t xml:space="preserve"> regardless of their nutritional composition</w:t>
      </w:r>
      <w:r w:rsidRPr="00062A3B">
        <w:rPr>
          <w:rFonts w:ascii="Times New Roman" w:hAnsi="Times New Roman" w:cs="Times New Roman"/>
          <w:sz w:val="24"/>
          <w:szCs w:val="24"/>
          <w:lang w:val="en-NZ"/>
        </w:rPr>
        <w:t>. These include chocolate and confectionery, cakes and sweet biscuits, juices and energy drinks. Conversely, unprocessed meat and fish and fresh/frozen fruit and vegetables are recommended to be marketed without restriction. For other categories, threshold criteria per 100g/</w:t>
      </w:r>
      <w:r w:rsidR="005924C5" w:rsidRPr="00062A3B">
        <w:rPr>
          <w:rFonts w:ascii="Times New Roman" w:hAnsi="Times New Roman" w:cs="Times New Roman"/>
          <w:sz w:val="24"/>
          <w:szCs w:val="24"/>
          <w:lang w:val="en-NZ"/>
        </w:rPr>
        <w:t xml:space="preserve">millilitres </w:t>
      </w:r>
      <w:r w:rsidRPr="00062A3B">
        <w:rPr>
          <w:rFonts w:ascii="Times New Roman" w:hAnsi="Times New Roman" w:cs="Times New Roman"/>
          <w:sz w:val="24"/>
          <w:szCs w:val="24"/>
          <w:lang w:val="en-NZ"/>
        </w:rPr>
        <w:t xml:space="preserve">for total fat, saturated fat, trans fat, total sugar, added sugar, non-sugar sweeteners, salt and/or energy apply. Notably, advertisements for </w:t>
      </w:r>
      <w:r w:rsidRPr="00062A3B">
        <w:rPr>
          <w:rFonts w:ascii="Times New Roman" w:hAnsi="Times New Roman" w:cs="Times New Roman"/>
          <w:sz w:val="24"/>
          <w:szCs w:val="24"/>
        </w:rPr>
        <w:t xml:space="preserve">coffee, tea, nutritional supplements, baby food and toddler formula are not covered by the nutrient profiling model, and these were </w:t>
      </w:r>
      <w:r w:rsidR="00905EC5" w:rsidRPr="00062A3B">
        <w:rPr>
          <w:rFonts w:ascii="Times New Roman" w:hAnsi="Times New Roman" w:cs="Times New Roman"/>
          <w:sz w:val="24"/>
          <w:szCs w:val="24"/>
        </w:rPr>
        <w:t xml:space="preserve">identified </w:t>
      </w:r>
      <w:r w:rsidRPr="00062A3B">
        <w:rPr>
          <w:rFonts w:ascii="Times New Roman" w:hAnsi="Times New Roman" w:cs="Times New Roman"/>
          <w:sz w:val="24"/>
          <w:szCs w:val="24"/>
        </w:rPr>
        <w:t>separately. Advertisements for food companies, retailers and outlets</w:t>
      </w:r>
      <w:r w:rsidRPr="00062A3B">
        <w:rPr>
          <w:rFonts w:ascii="Times New Roman" w:hAnsi="Times New Roman" w:cs="Times New Roman"/>
          <w:bCs/>
          <w:sz w:val="24"/>
          <w:szCs w:val="24"/>
        </w:rPr>
        <w:t xml:space="preserve"> that do not promote specific food or beverage products are also not covered by the model and were similarly </w:t>
      </w:r>
      <w:r w:rsidR="00905EC5" w:rsidRPr="00062A3B">
        <w:rPr>
          <w:rFonts w:ascii="Times New Roman" w:hAnsi="Times New Roman" w:cs="Times New Roman"/>
          <w:bCs/>
          <w:sz w:val="24"/>
          <w:szCs w:val="24"/>
        </w:rPr>
        <w:t xml:space="preserve">identified </w:t>
      </w:r>
      <w:r w:rsidRPr="00062A3B">
        <w:rPr>
          <w:rFonts w:ascii="Times New Roman" w:hAnsi="Times New Roman" w:cs="Times New Roman"/>
          <w:bCs/>
          <w:sz w:val="24"/>
          <w:szCs w:val="24"/>
        </w:rPr>
        <w:t xml:space="preserve">separately. </w:t>
      </w:r>
    </w:p>
    <w:p w:rsidR="00600537" w:rsidRPr="00062A3B" w:rsidRDefault="00600537" w:rsidP="0016658E">
      <w:pPr>
        <w:spacing w:line="480" w:lineRule="auto"/>
        <w:jc w:val="left"/>
        <w:rPr>
          <w:rFonts w:ascii="Times New Roman" w:hAnsi="Times New Roman" w:cs="Times New Roman"/>
          <w:bCs/>
          <w:sz w:val="24"/>
          <w:szCs w:val="24"/>
        </w:rPr>
      </w:pPr>
    </w:p>
    <w:p w:rsidR="00600537" w:rsidRPr="00062A3B" w:rsidRDefault="00600537" w:rsidP="0016658E">
      <w:pPr>
        <w:spacing w:line="480" w:lineRule="auto"/>
        <w:jc w:val="left"/>
        <w:rPr>
          <w:rFonts w:ascii="Times New Roman" w:hAnsi="Times New Roman" w:cs="Times New Roman"/>
          <w:sz w:val="24"/>
          <w:szCs w:val="24"/>
          <w:lang w:val="en-NZ"/>
        </w:rPr>
      </w:pPr>
      <w:r w:rsidRPr="00062A3B">
        <w:rPr>
          <w:rFonts w:ascii="Times New Roman" w:hAnsi="Times New Roman" w:cs="Times New Roman"/>
          <w:bCs/>
          <w:sz w:val="24"/>
          <w:szCs w:val="24"/>
        </w:rPr>
        <w:t xml:space="preserve">Advertisements were identified as being broadcast during </w:t>
      </w:r>
      <w:r w:rsidRPr="00062A3B">
        <w:rPr>
          <w:rFonts w:ascii="Times New Roman" w:hAnsi="Times New Roman" w:cs="Times New Roman"/>
          <w:sz w:val="24"/>
          <w:szCs w:val="24"/>
          <w:lang w:val="en-NZ"/>
        </w:rPr>
        <w:t xml:space="preserve">children’s peak television viewing times or during other viewing times. For the purposes of this study, peak viewing times were defined as the top five hour timeslots based on the maximum child audience of the day for each country, separately for weekdays and weekend days. The age of ‘children’ varied between countries, depending on the definitions used in available audience data (see Table1). Contributing authors from each country identified children’s television audience data from available sources, reflecting average daily viewing patterns as close to the year of data collection as possible. Children’s peak viewing times, children’s age groups and the source of audience data for each country are provided in Supplementary Table 1. </w:t>
      </w:r>
    </w:p>
    <w:p w:rsidR="00600537" w:rsidRPr="00062A3B" w:rsidRDefault="00600537" w:rsidP="0016658E">
      <w:pPr>
        <w:spacing w:line="480" w:lineRule="auto"/>
        <w:jc w:val="left"/>
        <w:rPr>
          <w:rFonts w:ascii="Times New Roman" w:hAnsi="Times New Roman" w:cs="Times New Roman"/>
          <w:sz w:val="24"/>
          <w:szCs w:val="24"/>
          <w:lang w:val="en-NZ"/>
        </w:rPr>
      </w:pP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sz w:val="24"/>
          <w:szCs w:val="24"/>
          <w:lang w:val="en-NZ"/>
        </w:rPr>
        <w:t xml:space="preserve">Food </w:t>
      </w:r>
      <w:r w:rsidRPr="00062A3B">
        <w:rPr>
          <w:rFonts w:ascii="Times New Roman" w:hAnsi="Times New Roman" w:cs="Times New Roman"/>
          <w:sz w:val="24"/>
          <w:szCs w:val="24"/>
        </w:rPr>
        <w:t xml:space="preserve">and beverage </w:t>
      </w:r>
      <w:r w:rsidRPr="00062A3B">
        <w:rPr>
          <w:rFonts w:ascii="Times New Roman" w:hAnsi="Times New Roman" w:cs="Times New Roman"/>
          <w:sz w:val="24"/>
          <w:szCs w:val="24"/>
          <w:lang w:val="en-NZ"/>
        </w:rPr>
        <w:t xml:space="preserve">advertisements were also classified according to the parent company of promoted </w:t>
      </w:r>
      <w:r w:rsidRPr="00062A3B">
        <w:rPr>
          <w:rFonts w:ascii="Times New Roman" w:hAnsi="Times New Roman" w:cs="Times New Roman"/>
          <w:bCs/>
          <w:sz w:val="24"/>
          <w:szCs w:val="24"/>
        </w:rPr>
        <w:t xml:space="preserve">products, supermarkets and restaurants. Parent companies of product brands were identified through local brand webpages and verified on parent company websites. This parent company information was cross-checked against a wider web search to identify any changes in acquisition since the time of television data capture and any company subsidiaries, where particular product brands were owned by different parent companies in different countries. This web search included Bloomberg.com (equity trading platform) and/or Euromonitor (market research database).  </w:t>
      </w:r>
    </w:p>
    <w:p w:rsidR="00600537" w:rsidRPr="00062A3B" w:rsidRDefault="00600537" w:rsidP="0016658E">
      <w:pPr>
        <w:spacing w:line="480" w:lineRule="auto"/>
        <w:jc w:val="left"/>
        <w:rPr>
          <w:rFonts w:ascii="Times New Roman" w:hAnsi="Times New Roman" w:cs="Times New Roman"/>
          <w:bCs/>
          <w:sz w:val="24"/>
          <w:szCs w:val="24"/>
        </w:rPr>
      </w:pPr>
    </w:p>
    <w:p w:rsidR="00600537" w:rsidRPr="00062A3B" w:rsidRDefault="00600537" w:rsidP="0016658E">
      <w:pPr>
        <w:spacing w:line="480" w:lineRule="auto"/>
        <w:jc w:val="left"/>
        <w:rPr>
          <w:rFonts w:ascii="Times New Roman" w:hAnsi="Times New Roman" w:cs="Times New Roman"/>
          <w:i/>
          <w:sz w:val="24"/>
          <w:szCs w:val="24"/>
          <w:lang w:val="en-NZ"/>
        </w:rPr>
      </w:pPr>
      <w:r w:rsidRPr="00062A3B">
        <w:rPr>
          <w:rFonts w:ascii="Times New Roman" w:hAnsi="Times New Roman" w:cs="Times New Roman"/>
          <w:i/>
          <w:sz w:val="24"/>
          <w:szCs w:val="24"/>
          <w:lang w:val="en-NZ"/>
        </w:rPr>
        <w:t xml:space="preserve">Analyses </w:t>
      </w:r>
    </w:p>
    <w:p w:rsidR="00600537" w:rsidRPr="00062A3B" w:rsidRDefault="00600537" w:rsidP="0016658E">
      <w:pPr>
        <w:spacing w:line="480" w:lineRule="auto"/>
        <w:jc w:val="left"/>
        <w:rPr>
          <w:rFonts w:ascii="Times New Roman" w:hAnsi="Times New Roman" w:cs="Times New Roman"/>
          <w:sz w:val="24"/>
          <w:szCs w:val="24"/>
        </w:rPr>
      </w:pPr>
      <w:r w:rsidRPr="00062A3B">
        <w:rPr>
          <w:rFonts w:ascii="Times New Roman" w:hAnsi="Times New Roman" w:cs="Times New Roman"/>
          <w:sz w:val="24"/>
          <w:szCs w:val="24"/>
          <w:lang w:val="en-AU"/>
        </w:rPr>
        <w:t xml:space="preserve">Data were compiled into SPSS for Windows version 21 (IBM Corp: Armonk, New York, US). </w:t>
      </w:r>
      <w:r w:rsidRPr="00062A3B">
        <w:rPr>
          <w:rFonts w:ascii="Times New Roman" w:hAnsi="Times New Roman" w:cs="Times New Roman"/>
          <w:sz w:val="24"/>
          <w:szCs w:val="24"/>
        </w:rPr>
        <w:t xml:space="preserve">Given the variations in advertising between weekdays and weekend days, to derive estimates from combined weekday and weekend day data, data were weighted to take account of the unequal probabilities of selection and the number of weekdays and weekend days in the sample frame for each country. The primary indicators of interest were the frequency of total food and beverage advertisements and food and beverage advertisements that should not be permitted broadcast overall and during children’s peak viewing times. Advertising frequency was calculated as the mean number of advertisements per hour, per channel for each country. Differences in the frequency of advertising for foods and beverages that should not be permitted between children’s peak viewing times and other viewing times were examined using paired sample t-tests. Statistical significance was accepted at the level of </w:t>
      </w:r>
      <w:r w:rsidRPr="00062A3B">
        <w:rPr>
          <w:rFonts w:ascii="Times New Roman" w:hAnsi="Times New Roman" w:cs="Times New Roman"/>
          <w:i/>
          <w:sz w:val="24"/>
          <w:szCs w:val="24"/>
        </w:rPr>
        <w:t>α</w:t>
      </w:r>
      <w:r w:rsidRPr="00062A3B">
        <w:rPr>
          <w:rFonts w:ascii="Times New Roman" w:hAnsi="Times New Roman" w:cs="Times New Roman"/>
          <w:sz w:val="24"/>
          <w:szCs w:val="24"/>
        </w:rPr>
        <w:t>=0.05. The frequency of advertisements for foods and beverages that should not be permitted during children’s peak viewing times was compared against the regulatory arrangements in countries (</w:t>
      </w:r>
      <w:r w:rsidR="005924C5" w:rsidRPr="00062A3B">
        <w:rPr>
          <w:rFonts w:ascii="Times New Roman" w:hAnsi="Times New Roman" w:cs="Times New Roman"/>
          <w:sz w:val="24"/>
          <w:szCs w:val="24"/>
        </w:rPr>
        <w:t>g</w:t>
      </w:r>
      <w:r w:rsidRPr="00062A3B">
        <w:rPr>
          <w:rFonts w:ascii="Times New Roman" w:hAnsi="Times New Roman" w:cs="Times New Roman"/>
          <w:sz w:val="24"/>
          <w:szCs w:val="24"/>
        </w:rPr>
        <w:t xml:space="preserve">overnment statutory regulation and/or industry code or no regulation) using One-Way Analysis of Variance (ANOVA) with Seffe post-hoc tests. The overall frequency of advertising across all countries was identified by parent company and the number of markets in which the top advertising companies advertised. </w:t>
      </w:r>
    </w:p>
    <w:p w:rsidR="00600537" w:rsidRPr="00062A3B" w:rsidRDefault="00600537" w:rsidP="0016658E">
      <w:pPr>
        <w:spacing w:line="480" w:lineRule="auto"/>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b/>
          <w:sz w:val="24"/>
          <w:szCs w:val="24"/>
        </w:rPr>
      </w:pPr>
      <w:r w:rsidRPr="00062A3B">
        <w:rPr>
          <w:rFonts w:ascii="Times New Roman" w:hAnsi="Times New Roman" w:cs="Times New Roman"/>
          <w:b/>
          <w:sz w:val="24"/>
          <w:szCs w:val="24"/>
        </w:rPr>
        <w:t>Results</w:t>
      </w:r>
      <w:bookmarkStart w:id="2" w:name="_Toc350859216"/>
      <w:bookmarkEnd w:id="0"/>
    </w:p>
    <w:p w:rsidR="00600537" w:rsidRPr="00062A3B" w:rsidRDefault="00600537" w:rsidP="0016658E">
      <w:pPr>
        <w:spacing w:line="480" w:lineRule="auto"/>
        <w:jc w:val="left"/>
        <w:rPr>
          <w:rFonts w:ascii="Times New Roman" w:hAnsi="Times New Roman" w:cs="Times New Roman"/>
          <w:b/>
          <w:i/>
          <w:sz w:val="24"/>
          <w:szCs w:val="24"/>
        </w:rPr>
      </w:pPr>
      <w:r w:rsidRPr="00062A3B">
        <w:rPr>
          <w:rFonts w:ascii="Times New Roman" w:hAnsi="Times New Roman" w:cs="Times New Roman"/>
          <w:b/>
          <w:i/>
          <w:sz w:val="24"/>
          <w:szCs w:val="24"/>
        </w:rPr>
        <w:t xml:space="preserve">Sample description </w:t>
      </w:r>
    </w:p>
    <w:p w:rsidR="00600537" w:rsidRPr="00062A3B" w:rsidRDefault="00600537" w:rsidP="0016658E">
      <w:pPr>
        <w:spacing w:line="480" w:lineRule="auto"/>
        <w:jc w:val="left"/>
        <w:rPr>
          <w:rFonts w:ascii="Times New Roman" w:hAnsi="Times New Roman" w:cs="Times New Roman"/>
          <w:sz w:val="24"/>
          <w:szCs w:val="24"/>
        </w:rPr>
      </w:pPr>
      <w:r w:rsidRPr="00062A3B">
        <w:rPr>
          <w:rFonts w:ascii="Times New Roman" w:hAnsi="Times New Roman" w:cs="Times New Roman"/>
          <w:sz w:val="24"/>
          <w:szCs w:val="24"/>
        </w:rPr>
        <w:t xml:space="preserve">Twenty three research groups from 22 countries contributed data for this study. The final compiled dataset spanned countries from the Asia Pacific region, Africa, Central and South America, Europe and North America (Table 1). The total included broadcast time was 11,191 hours (mean = 486.6, s.d. 499.8). Most countries captured television for the majority of the day across the recording period (14-18 hours), with the exception of Tonga where data were only captured from 16:00-21:00 daily and Thailand where data were captured from 15:00-20:00 on weekdays and 6:00-10:00 and15:00-20:00 on weekend days.    </w:t>
      </w:r>
    </w:p>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1 about here</w:t>
      </w:r>
    </w:p>
    <w:p w:rsidR="00600537" w:rsidRPr="00062A3B" w:rsidRDefault="00600537">
      <w:pPr>
        <w:widowControl/>
        <w:jc w:val="left"/>
        <w:rPr>
          <w:rFonts w:ascii="Times New Roman" w:hAnsi="Times New Roman" w:cs="Times New Roman"/>
          <w:b/>
          <w:sz w:val="24"/>
          <w:szCs w:val="24"/>
        </w:rPr>
      </w:pPr>
    </w:p>
    <w:bookmarkEnd w:id="2"/>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16658E">
      <w:pPr>
        <w:pStyle w:val="Heading2"/>
        <w:spacing w:line="480" w:lineRule="auto"/>
        <w:jc w:val="left"/>
        <w:rPr>
          <w:rFonts w:ascii="Times New Roman" w:hAnsi="Times New Roman" w:cs="Times New Roman"/>
        </w:rPr>
      </w:pPr>
      <w:bookmarkStart w:id="3" w:name="_Toc350859217"/>
      <w:r w:rsidRPr="00062A3B">
        <w:rPr>
          <w:rFonts w:ascii="Times New Roman" w:hAnsi="Times New Roman" w:cs="Times New Roman"/>
        </w:rPr>
        <w:t>Overall food and beverage advertising by country</w:t>
      </w:r>
      <w:bookmarkEnd w:id="3"/>
      <w:r w:rsidRPr="00062A3B">
        <w:rPr>
          <w:rFonts w:ascii="Times New Roman" w:hAnsi="Times New Roman" w:cs="Times New Roman"/>
        </w:rPr>
        <w:t xml:space="preserve"> and region </w:t>
      </w: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sz w:val="24"/>
          <w:szCs w:val="24"/>
        </w:rPr>
        <w:t>Across countries that also captured non-food advertisements (N=15), 23% of all television advertisements were for food or beverage</w:t>
      </w:r>
      <w:r w:rsidR="005924C5" w:rsidRPr="00062A3B">
        <w:rPr>
          <w:rFonts w:ascii="Times New Roman" w:hAnsi="Times New Roman" w:cs="Times New Roman"/>
          <w:sz w:val="24"/>
          <w:szCs w:val="24"/>
        </w:rPr>
        <w:t xml:space="preserve"> products</w:t>
      </w:r>
      <w:r w:rsidRPr="00062A3B">
        <w:rPr>
          <w:rFonts w:ascii="Times New Roman" w:hAnsi="Times New Roman" w:cs="Times New Roman"/>
          <w:sz w:val="24"/>
          <w:szCs w:val="24"/>
        </w:rPr>
        <w:t xml:space="preserve"> (Table 2). </w:t>
      </w:r>
      <w:r w:rsidRPr="00062A3B">
        <w:rPr>
          <w:rFonts w:ascii="Times New Roman" w:hAnsi="Times New Roman" w:cs="Times New Roman"/>
          <w:bCs/>
          <w:sz w:val="24"/>
          <w:szCs w:val="24"/>
        </w:rPr>
        <w:t xml:space="preserve">Overall, there were four times more advertisements for foods and beverages that would not be permitted to be advertised to children using the WHO European Region nutrient profiling model than for foods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that would be permitted to be advertised (2.4 per hour vs. 0.6 per hour). </w:t>
      </w:r>
    </w:p>
    <w:p w:rsidR="00600537" w:rsidRPr="00062A3B" w:rsidRDefault="00600537" w:rsidP="0016658E">
      <w:pPr>
        <w:spacing w:line="480" w:lineRule="auto"/>
        <w:jc w:val="left"/>
        <w:rPr>
          <w:rFonts w:ascii="Times New Roman" w:hAnsi="Times New Roman" w:cs="Times New Roman"/>
          <w:bCs/>
          <w:sz w:val="24"/>
          <w:szCs w:val="24"/>
        </w:rPr>
      </w:pPr>
    </w:p>
    <w:p w:rsidR="00600537" w:rsidRPr="00062A3B" w:rsidRDefault="00600537" w:rsidP="0016658E">
      <w:pPr>
        <w:spacing w:line="480" w:lineRule="auto"/>
        <w:jc w:val="left"/>
        <w:rPr>
          <w:rFonts w:ascii="Times New Roman" w:eastAsia="SimSun" w:hAnsi="Times New Roman" w:cs="Times New Roman"/>
          <w:bCs/>
          <w:sz w:val="24"/>
          <w:szCs w:val="24"/>
        </w:rPr>
      </w:pPr>
      <w:r w:rsidRPr="00062A3B">
        <w:rPr>
          <w:rFonts w:ascii="Times New Roman" w:hAnsi="Times New Roman" w:cs="Times New Roman"/>
          <w:bCs/>
          <w:sz w:val="24"/>
          <w:szCs w:val="24"/>
        </w:rPr>
        <w:t xml:space="preserve">There was an average of 0.3 ads per hour (s.d. = 0.9) for foods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that are not considered as part of WHO nutrient profiling model (2,119 ads across the sample). This included </w:t>
      </w:r>
      <w:r w:rsidRPr="00062A3B">
        <w:rPr>
          <w:rFonts w:ascii="Times New Roman" w:eastAsia="SimSun" w:hAnsi="Times New Roman" w:cs="Times New Roman"/>
          <w:bCs/>
          <w:sz w:val="24"/>
          <w:szCs w:val="24"/>
        </w:rPr>
        <w:t>coffee, tea, supplements, and baby food and toddler or follow-up formula. Overall, 3% of food advertisements were for toddler formulas, although this was markedly higher in some countries, including China where these products comprised 21% of food ads, Guatemala (11%), Malaysia (8%) and Costa Rica (7%).</w:t>
      </w:r>
    </w:p>
    <w:p w:rsidR="00600537" w:rsidRPr="00062A3B" w:rsidRDefault="00600537" w:rsidP="0016658E">
      <w:pPr>
        <w:spacing w:line="480" w:lineRule="auto"/>
        <w:jc w:val="left"/>
        <w:rPr>
          <w:rFonts w:ascii="Times New Roman" w:eastAsia="SimSun" w:hAnsi="Times New Roman" w:cs="Times New Roman"/>
          <w:bCs/>
          <w:sz w:val="24"/>
          <w:szCs w:val="24"/>
        </w:rPr>
      </w:pPr>
    </w:p>
    <w:p w:rsidR="00600537" w:rsidRPr="00062A3B" w:rsidRDefault="00600537" w:rsidP="0016658E">
      <w:pPr>
        <w:spacing w:line="480" w:lineRule="auto"/>
        <w:jc w:val="left"/>
        <w:rPr>
          <w:rFonts w:ascii="Times New Roman" w:eastAsia="SimSun" w:hAnsi="Times New Roman" w:cs="Times New Roman"/>
          <w:bCs/>
          <w:sz w:val="24"/>
          <w:szCs w:val="24"/>
        </w:rPr>
      </w:pPr>
      <w:r w:rsidRPr="00062A3B">
        <w:rPr>
          <w:rFonts w:ascii="Times New Roman" w:eastAsia="SimSun" w:hAnsi="Times New Roman" w:cs="Times New Roman"/>
          <w:bCs/>
          <w:sz w:val="24"/>
          <w:szCs w:val="24"/>
        </w:rPr>
        <w:t xml:space="preserve">Further, there was an average of 0.3 </w:t>
      </w:r>
      <w:r w:rsidRPr="00062A3B">
        <w:rPr>
          <w:rFonts w:ascii="Times New Roman" w:hAnsi="Times New Roman" w:cs="Times New Roman"/>
          <w:bCs/>
          <w:sz w:val="24"/>
          <w:szCs w:val="24"/>
        </w:rPr>
        <w:t xml:space="preserve">ads per hour (s.d. = 0.9) for food companies or brands (no specific foods depicted), which could not be classified by the nutrient profiling model given the range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products that the companies manufactured or sold (2,206 ads across the sample). This </w:t>
      </w:r>
      <w:r w:rsidRPr="00062A3B">
        <w:rPr>
          <w:rFonts w:ascii="Times New Roman" w:eastAsia="SimSun" w:hAnsi="Times New Roman" w:cs="Times New Roman"/>
          <w:sz w:val="24"/>
          <w:szCs w:val="24"/>
        </w:rPr>
        <w:t>frequency</w:t>
      </w:r>
      <w:r w:rsidRPr="00062A3B">
        <w:rPr>
          <w:rFonts w:ascii="Times New Roman" w:hAnsi="Times New Roman" w:cs="Times New Roman"/>
          <w:bCs/>
          <w:sz w:val="24"/>
          <w:szCs w:val="24"/>
        </w:rPr>
        <w:t xml:space="preserve"> was fairly consistent across countries, ranging from 0 food company brand ads per hour in Malta to 1.2 (s.d. = 2.0) in Slovenia. Almost all of these types of advertisements (80%) were for supermarkets, where only the store was advertised and not food products, and a further 14% were for fast food restaurants without products advertised.   </w:t>
      </w:r>
    </w:p>
    <w:p w:rsidR="00600537" w:rsidRPr="00062A3B" w:rsidRDefault="00600537" w:rsidP="00CE26A1">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2 about here</w:t>
      </w:r>
    </w:p>
    <w:p w:rsidR="00600537" w:rsidRPr="00062A3B" w:rsidRDefault="00600537" w:rsidP="00CE26A1">
      <w:pPr>
        <w:widowControl/>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b/>
          <w:bCs/>
          <w:sz w:val="24"/>
          <w:szCs w:val="24"/>
        </w:rPr>
      </w:pPr>
    </w:p>
    <w:p w:rsidR="00600537" w:rsidRPr="00062A3B" w:rsidRDefault="00600537" w:rsidP="0016658E">
      <w:pPr>
        <w:pStyle w:val="BodyText2"/>
        <w:spacing w:after="0"/>
        <w:jc w:val="left"/>
        <w:rPr>
          <w:rFonts w:ascii="Times New Roman" w:hAnsi="Times New Roman" w:cs="Times New Roman"/>
          <w:sz w:val="24"/>
          <w:szCs w:val="24"/>
        </w:rPr>
      </w:pPr>
      <w:r w:rsidRPr="00062A3B">
        <w:rPr>
          <w:rFonts w:ascii="Times New Roman" w:hAnsi="Times New Roman" w:cs="Times New Roman"/>
          <w:sz w:val="24"/>
          <w:szCs w:val="24"/>
        </w:rPr>
        <w:t>The most frequently advertised food and beverage categories overall were</w:t>
      </w:r>
      <w:r w:rsidR="005924C5" w:rsidRPr="00062A3B">
        <w:rPr>
          <w:rFonts w:ascii="Times New Roman" w:hAnsi="Times New Roman" w:cs="Times New Roman"/>
          <w:sz w:val="24"/>
          <w:szCs w:val="24"/>
        </w:rPr>
        <w:t>:</w:t>
      </w:r>
      <w:r w:rsidRPr="00062A3B">
        <w:rPr>
          <w:rFonts w:ascii="Times New Roman" w:hAnsi="Times New Roman" w:cs="Times New Roman"/>
          <w:sz w:val="24"/>
          <w:szCs w:val="24"/>
        </w:rPr>
        <w:t xml:space="preserve"> ‘other’ beverages (</w:t>
      </w:r>
      <w:r w:rsidRPr="00062A3B">
        <w:rPr>
          <w:rFonts w:ascii="Times New Roman" w:hAnsi="Times New Roman" w:cs="Times New Roman"/>
          <w:bCs/>
          <w:sz w:val="24"/>
          <w:szCs w:val="24"/>
        </w:rPr>
        <w:t>including carbonated soft drinks, mineral water and flavoured waters)</w:t>
      </w:r>
      <w:r w:rsidRPr="00062A3B">
        <w:rPr>
          <w:rFonts w:ascii="Times New Roman" w:hAnsi="Times New Roman" w:cs="Times New Roman"/>
          <w:sz w:val="24"/>
          <w:szCs w:val="24"/>
        </w:rPr>
        <w:t xml:space="preserve"> (15%; 81% should not be permitted)</w:t>
      </w:r>
      <w:r w:rsidR="005924C5" w:rsidRPr="00062A3B">
        <w:rPr>
          <w:rFonts w:ascii="Times New Roman" w:hAnsi="Times New Roman" w:cs="Times New Roman"/>
          <w:sz w:val="24"/>
          <w:szCs w:val="24"/>
        </w:rPr>
        <w:t>;</w:t>
      </w:r>
      <w:r w:rsidRPr="00062A3B">
        <w:rPr>
          <w:rFonts w:ascii="Times New Roman" w:hAnsi="Times New Roman" w:cs="Times New Roman"/>
          <w:sz w:val="24"/>
          <w:szCs w:val="24"/>
        </w:rPr>
        <w:t xml:space="preserve"> chocolate and confectionery (13% of all food ads; 100% should not be permitted)</w:t>
      </w:r>
      <w:r w:rsidR="005924C5" w:rsidRPr="00062A3B">
        <w:rPr>
          <w:rFonts w:ascii="Times New Roman" w:hAnsi="Times New Roman" w:cs="Times New Roman"/>
          <w:sz w:val="24"/>
          <w:szCs w:val="24"/>
        </w:rPr>
        <w:t>;</w:t>
      </w:r>
      <w:r w:rsidRPr="00062A3B">
        <w:rPr>
          <w:rFonts w:ascii="Times New Roman" w:hAnsi="Times New Roman" w:cs="Times New Roman"/>
          <w:sz w:val="24"/>
          <w:szCs w:val="24"/>
        </w:rPr>
        <w:t xml:space="preserve"> ready-made food and dishes (12%; 76% should not be permitted)</w:t>
      </w:r>
      <w:r w:rsidR="005924C5" w:rsidRPr="00062A3B">
        <w:rPr>
          <w:rFonts w:ascii="Times New Roman" w:hAnsi="Times New Roman" w:cs="Times New Roman"/>
          <w:sz w:val="24"/>
          <w:szCs w:val="24"/>
        </w:rPr>
        <w:t>;</w:t>
      </w:r>
      <w:r w:rsidRPr="00062A3B">
        <w:rPr>
          <w:rFonts w:ascii="Times New Roman" w:hAnsi="Times New Roman" w:cs="Times New Roman"/>
          <w:sz w:val="24"/>
          <w:szCs w:val="24"/>
        </w:rPr>
        <w:t xml:space="preserve"> breakfast cereals (9%; 87% should not be permitted) and cakes, biscuits and pastries (7%; 100% should not be permitted) (Table 3).  </w:t>
      </w:r>
    </w:p>
    <w:p w:rsidR="00600537" w:rsidRPr="00062A3B" w:rsidRDefault="00600537" w:rsidP="00CE26A1">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3 about here</w:t>
      </w:r>
    </w:p>
    <w:p w:rsidR="00600537" w:rsidRPr="00062A3B" w:rsidRDefault="00600537" w:rsidP="00CE26A1">
      <w:pPr>
        <w:widowControl/>
        <w:jc w:val="left"/>
        <w:rPr>
          <w:rFonts w:ascii="Times New Roman" w:hAnsi="Times New Roman" w:cs="Times New Roman"/>
          <w:b/>
          <w:sz w:val="24"/>
          <w:szCs w:val="24"/>
        </w:rPr>
      </w:pPr>
    </w:p>
    <w:p w:rsidR="00600537" w:rsidRPr="00062A3B" w:rsidRDefault="00600537" w:rsidP="0016658E">
      <w:pPr>
        <w:pStyle w:val="BodyText2"/>
        <w:spacing w:after="0"/>
        <w:jc w:val="left"/>
        <w:rPr>
          <w:rFonts w:ascii="Times New Roman" w:hAnsi="Times New Roman" w:cs="Times New Roman"/>
          <w:sz w:val="24"/>
          <w:szCs w:val="24"/>
        </w:rPr>
      </w:pPr>
    </w:p>
    <w:p w:rsidR="00600537" w:rsidRPr="00062A3B" w:rsidRDefault="00600537" w:rsidP="0016658E">
      <w:pPr>
        <w:pStyle w:val="Heading2"/>
        <w:spacing w:line="480" w:lineRule="auto"/>
        <w:jc w:val="left"/>
        <w:rPr>
          <w:rFonts w:ascii="Times New Roman" w:hAnsi="Times New Roman" w:cs="Times New Roman"/>
        </w:rPr>
      </w:pPr>
      <w:bookmarkStart w:id="4" w:name="_Toc350859220"/>
      <w:r w:rsidRPr="00062A3B">
        <w:rPr>
          <w:rFonts w:ascii="Times New Roman" w:hAnsi="Times New Roman" w:cs="Times New Roman"/>
        </w:rPr>
        <w:t>Food and beverage advertising during children’s peak viewing times</w:t>
      </w:r>
      <w:bookmarkEnd w:id="4"/>
    </w:p>
    <w:p w:rsidR="00600537" w:rsidRPr="00062A3B" w:rsidRDefault="00600537" w:rsidP="0016658E">
      <w:pPr>
        <w:spacing w:line="480" w:lineRule="auto"/>
        <w:jc w:val="left"/>
        <w:rPr>
          <w:rFonts w:ascii="Times New Roman" w:eastAsia="SimSun" w:hAnsi="Times New Roman" w:cs="Times New Roman"/>
          <w:sz w:val="24"/>
          <w:szCs w:val="24"/>
        </w:rPr>
      </w:pPr>
      <w:r w:rsidRPr="00062A3B">
        <w:rPr>
          <w:rFonts w:ascii="Times New Roman" w:eastAsia="SimSun" w:hAnsi="Times New Roman" w:cs="Times New Roman"/>
          <w:sz w:val="24"/>
          <w:szCs w:val="24"/>
        </w:rPr>
        <w:t xml:space="preserve">Overall for those countries where children’s television audience data were available (N=12), the mean frequency of food </w:t>
      </w:r>
      <w:r w:rsidRPr="00062A3B">
        <w:rPr>
          <w:rFonts w:ascii="Times New Roman" w:hAnsi="Times New Roman" w:cs="Times New Roman"/>
          <w:sz w:val="24"/>
          <w:szCs w:val="24"/>
        </w:rPr>
        <w:t xml:space="preserve">and beverage </w:t>
      </w:r>
      <w:r w:rsidRPr="00062A3B">
        <w:rPr>
          <w:rFonts w:ascii="Times New Roman" w:eastAsia="SimSun" w:hAnsi="Times New Roman" w:cs="Times New Roman"/>
          <w:sz w:val="24"/>
          <w:szCs w:val="24"/>
        </w:rPr>
        <w:t xml:space="preserve">advertisements that should not be permitted was significantly higher during children’s peak viewing times compared to other viewing times (Table 4). These timeslots when the highest number of children was watching television were typically during the late evening; up to 22:00 or later in most countries (Supplementary Table 1). The frequency of food </w:t>
      </w:r>
      <w:r w:rsidRPr="00062A3B">
        <w:rPr>
          <w:rFonts w:ascii="Times New Roman" w:hAnsi="Times New Roman" w:cs="Times New Roman"/>
          <w:sz w:val="24"/>
          <w:szCs w:val="24"/>
        </w:rPr>
        <w:t xml:space="preserve">and beverage </w:t>
      </w:r>
      <w:r w:rsidRPr="00062A3B">
        <w:rPr>
          <w:rFonts w:ascii="Times New Roman" w:eastAsia="SimSun" w:hAnsi="Times New Roman" w:cs="Times New Roman"/>
          <w:sz w:val="24"/>
          <w:szCs w:val="24"/>
        </w:rPr>
        <w:t xml:space="preserve">advertisements that should not be permitted was around 35% higher during peak viewing times overall compared to other viewing times. In countries where the frequency was significantly higher in peak viewing times, the frequency of food </w:t>
      </w:r>
      <w:r w:rsidRPr="00062A3B">
        <w:rPr>
          <w:rFonts w:ascii="Times New Roman" w:hAnsi="Times New Roman" w:cs="Times New Roman"/>
          <w:sz w:val="24"/>
          <w:szCs w:val="24"/>
        </w:rPr>
        <w:t xml:space="preserve">and beverage </w:t>
      </w:r>
      <w:r w:rsidRPr="00062A3B">
        <w:rPr>
          <w:rFonts w:ascii="Times New Roman" w:eastAsia="SimSun" w:hAnsi="Times New Roman" w:cs="Times New Roman"/>
          <w:sz w:val="24"/>
          <w:szCs w:val="24"/>
        </w:rPr>
        <w:t xml:space="preserve">advertising that should not be permitted was between 48% higher (Australia) to 85% higher (Chile).       </w:t>
      </w:r>
    </w:p>
    <w:p w:rsidR="00600537" w:rsidRPr="00062A3B" w:rsidRDefault="00600537" w:rsidP="00CE26A1">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4 about here</w:t>
      </w:r>
    </w:p>
    <w:p w:rsidR="00600537" w:rsidRPr="00062A3B" w:rsidRDefault="00600537" w:rsidP="00CE26A1">
      <w:pPr>
        <w:widowControl/>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sz w:val="24"/>
          <w:szCs w:val="24"/>
        </w:rPr>
      </w:pPr>
    </w:p>
    <w:p w:rsidR="00600537" w:rsidRPr="00062A3B" w:rsidRDefault="00600537" w:rsidP="00A13A92">
      <w:pPr>
        <w:spacing w:line="480" w:lineRule="auto"/>
        <w:jc w:val="left"/>
        <w:rPr>
          <w:rFonts w:ascii="Times New Roman" w:hAnsi="Times New Roman" w:cs="Times New Roman"/>
          <w:b/>
          <w:bCs/>
          <w:i/>
          <w:sz w:val="24"/>
          <w:szCs w:val="24"/>
        </w:rPr>
      </w:pPr>
      <w:r w:rsidRPr="00062A3B">
        <w:rPr>
          <w:rFonts w:ascii="Times New Roman" w:hAnsi="Times New Roman" w:cs="Times New Roman"/>
          <w:b/>
          <w:bCs/>
          <w:i/>
          <w:sz w:val="24"/>
          <w:szCs w:val="24"/>
        </w:rPr>
        <w:t>Persuasive marketing techniques</w:t>
      </w:r>
    </w:p>
    <w:p w:rsidR="00600537" w:rsidRPr="00062A3B" w:rsidRDefault="00600537" w:rsidP="00A13A92">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Most countries, with the exception of the five Pacific Island countries, Chile and the UK (2009) had comparable information on the use of promotional characters and premium offers in food advertisements. Of these 16 countries, 30%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contained promotional characters and of these three-quarters (73%) were for products that would not be permitted to be advertised according to WHO nutrient profiling. Overall, 21%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contained premium offers, and 67% of these were for products that should not be permitted. The rate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containing promotional characters was significantly higher during children’s peak viewing times (1.8 food ads per hour vs. 1.5 during non-peak times; </w:t>
      </w:r>
      <w:r w:rsidRPr="00062A3B">
        <w:rPr>
          <w:rFonts w:ascii="Times New Roman" w:hAnsi="Times New Roman" w:cs="Times New Roman"/>
          <w:bCs/>
          <w:i/>
          <w:sz w:val="24"/>
          <w:szCs w:val="24"/>
        </w:rPr>
        <w:t>t</w:t>
      </w:r>
      <w:r w:rsidRPr="00062A3B">
        <w:rPr>
          <w:rFonts w:ascii="Times New Roman" w:hAnsi="Times New Roman" w:cs="Times New Roman"/>
          <w:bCs/>
          <w:sz w:val="24"/>
          <w:szCs w:val="24"/>
        </w:rPr>
        <w:t xml:space="preserve"> =-3.6, P=0.0001). The rate of food </w:t>
      </w:r>
      <w:r w:rsidRPr="00062A3B">
        <w:rPr>
          <w:rFonts w:ascii="Times New Roman" w:hAnsi="Times New Roman" w:cs="Times New Roman"/>
          <w:sz w:val="24"/>
          <w:szCs w:val="24"/>
        </w:rPr>
        <w:t>and beverage</w:t>
      </w:r>
      <w:r w:rsidRPr="00062A3B">
        <w:rPr>
          <w:rFonts w:ascii="Times New Roman" w:hAnsi="Times New Roman" w:cs="Times New Roman"/>
          <w:bCs/>
          <w:sz w:val="24"/>
          <w:szCs w:val="24"/>
        </w:rPr>
        <w:t xml:space="preserve"> advertisements containing premium offers was also significantly higher during children’s peak viewing times compared to non-peak times (1.4 vs. 1.2; </w:t>
      </w:r>
      <w:r w:rsidRPr="00062A3B">
        <w:rPr>
          <w:rFonts w:ascii="Times New Roman" w:hAnsi="Times New Roman" w:cs="Times New Roman"/>
          <w:bCs/>
          <w:i/>
          <w:sz w:val="24"/>
          <w:szCs w:val="24"/>
        </w:rPr>
        <w:t>t</w:t>
      </w:r>
      <w:r w:rsidRPr="00062A3B">
        <w:rPr>
          <w:rFonts w:ascii="Times New Roman" w:hAnsi="Times New Roman" w:cs="Times New Roman"/>
          <w:bCs/>
          <w:sz w:val="24"/>
          <w:szCs w:val="24"/>
        </w:rPr>
        <w:t xml:space="preserve">=-3.1, P=0.002).   </w:t>
      </w:r>
    </w:p>
    <w:p w:rsidR="00600537" w:rsidRPr="00062A3B" w:rsidRDefault="00600537" w:rsidP="00A13A92">
      <w:pPr>
        <w:spacing w:line="480" w:lineRule="auto"/>
        <w:jc w:val="left"/>
        <w:rPr>
          <w:rFonts w:ascii="Times New Roman" w:hAnsi="Times New Roman" w:cs="Times New Roman"/>
          <w:bCs/>
          <w:sz w:val="24"/>
          <w:szCs w:val="24"/>
        </w:rPr>
      </w:pPr>
    </w:p>
    <w:p w:rsidR="00600537" w:rsidRPr="00062A3B" w:rsidRDefault="00600537" w:rsidP="00A13A92">
      <w:pPr>
        <w:spacing w:line="480" w:lineRule="auto"/>
        <w:jc w:val="left"/>
        <w:rPr>
          <w:rFonts w:ascii="Times New Roman" w:hAnsi="Times New Roman" w:cs="Times New Roman"/>
          <w:b/>
          <w:bCs/>
          <w:i/>
          <w:sz w:val="24"/>
          <w:szCs w:val="24"/>
        </w:rPr>
      </w:pPr>
      <w:r w:rsidRPr="00062A3B">
        <w:rPr>
          <w:rFonts w:ascii="Times New Roman" w:hAnsi="Times New Roman" w:cs="Times New Roman"/>
          <w:b/>
          <w:bCs/>
          <w:i/>
          <w:sz w:val="24"/>
          <w:szCs w:val="24"/>
        </w:rPr>
        <w:t xml:space="preserve">Policy evaluation </w:t>
      </w:r>
    </w:p>
    <w:p w:rsidR="00600537" w:rsidRPr="00062A3B" w:rsidRDefault="00600537" w:rsidP="0016658E">
      <w:pPr>
        <w:spacing w:line="480" w:lineRule="auto"/>
        <w:jc w:val="left"/>
        <w:rPr>
          <w:rFonts w:ascii="Times New Roman" w:eastAsia="SimSun" w:hAnsi="Times New Roman" w:cs="Times New Roman"/>
          <w:bCs/>
          <w:sz w:val="24"/>
          <w:szCs w:val="24"/>
          <w:lang w:val="en-AU"/>
        </w:rPr>
      </w:pPr>
      <w:r w:rsidRPr="00062A3B">
        <w:rPr>
          <w:rFonts w:ascii="Times New Roman" w:eastAsia="SimSun" w:hAnsi="Times New Roman" w:cs="Times New Roman"/>
          <w:bCs/>
          <w:sz w:val="24"/>
          <w:szCs w:val="24"/>
          <w:lang w:val="en-AU"/>
        </w:rPr>
        <w:t xml:space="preserve">Table 5 shows the television food advertising policies in each country at the time the data were collected, in descending order of the </w:t>
      </w:r>
      <w:r w:rsidRPr="00062A3B">
        <w:rPr>
          <w:rFonts w:ascii="Times New Roman" w:eastAsia="SimSun" w:hAnsi="Times New Roman" w:cs="Times New Roman"/>
          <w:sz w:val="24"/>
          <w:szCs w:val="24"/>
        </w:rPr>
        <w:t>frequency</w:t>
      </w:r>
      <w:r w:rsidRPr="00062A3B">
        <w:rPr>
          <w:rFonts w:ascii="Times New Roman" w:eastAsia="SimSun" w:hAnsi="Times New Roman" w:cs="Times New Roman"/>
          <w:bCs/>
          <w:sz w:val="24"/>
          <w:szCs w:val="24"/>
          <w:lang w:val="en-AU"/>
        </w:rPr>
        <w:t xml:space="preserve"> of food advertisements that should not be permitted per hour during children’s peak viewing times. Captured policies includes statutory regulations, co-regulatory approaches and industry self-regulation. At the time of data collection, only five countries had enforced Government statutory regulations: Australia, Mexico, South Africa, Thailand and the UK. Chile introduced Government statutory regulations in June 2016, just following the data collection period. Six countries had food industry codes of practice for responsible food marketing to children in place at the time of data collection: </w:t>
      </w:r>
      <w:r w:rsidRPr="00062A3B">
        <w:rPr>
          <w:rFonts w:ascii="Times New Roman" w:eastAsia="Calibri" w:hAnsi="Times New Roman" w:cs="Times New Roman"/>
          <w:kern w:val="24"/>
          <w:sz w:val="24"/>
          <w:szCs w:val="24"/>
        </w:rPr>
        <w:t>Canada (excl</w:t>
      </w:r>
      <w:r w:rsidR="005924C5" w:rsidRPr="00062A3B">
        <w:rPr>
          <w:rFonts w:ascii="Times New Roman" w:eastAsia="Calibri" w:hAnsi="Times New Roman" w:cs="Times New Roman"/>
          <w:kern w:val="24"/>
          <w:sz w:val="24"/>
          <w:szCs w:val="24"/>
        </w:rPr>
        <w:t>uding</w:t>
      </w:r>
      <w:r w:rsidRPr="00062A3B">
        <w:rPr>
          <w:rFonts w:ascii="Times New Roman" w:eastAsia="Calibri" w:hAnsi="Times New Roman" w:cs="Times New Roman"/>
          <w:kern w:val="24"/>
          <w:sz w:val="24"/>
          <w:szCs w:val="24"/>
        </w:rPr>
        <w:t xml:space="preserve"> Quebec), Colombia, Malaysia, New Zealand, Slovenia and Spain.</w:t>
      </w:r>
      <w:r w:rsidRPr="00062A3B">
        <w:rPr>
          <w:rFonts w:eastAsia="Calibri"/>
          <w:kern w:val="24"/>
          <w:sz w:val="24"/>
          <w:szCs w:val="24"/>
        </w:rPr>
        <w:t xml:space="preserve"> </w:t>
      </w:r>
    </w:p>
    <w:p w:rsidR="00600537" w:rsidRPr="00062A3B" w:rsidRDefault="00600537" w:rsidP="0016658E">
      <w:pPr>
        <w:spacing w:line="480" w:lineRule="auto"/>
        <w:jc w:val="left"/>
        <w:rPr>
          <w:rFonts w:ascii="Times New Roman" w:eastAsia="SimSun" w:hAnsi="Times New Roman" w:cs="Times New Roman"/>
          <w:bCs/>
          <w:sz w:val="24"/>
          <w:szCs w:val="24"/>
          <w:lang w:val="en-AU"/>
        </w:rPr>
      </w:pPr>
    </w:p>
    <w:p w:rsidR="00600537" w:rsidRPr="00062A3B" w:rsidRDefault="00600537" w:rsidP="00747398">
      <w:pPr>
        <w:spacing w:line="480" w:lineRule="auto"/>
        <w:jc w:val="left"/>
        <w:rPr>
          <w:rFonts w:ascii="Times New Roman" w:eastAsia="SimSun" w:hAnsi="Times New Roman" w:cs="Times New Roman"/>
          <w:bCs/>
          <w:sz w:val="24"/>
          <w:szCs w:val="24"/>
          <w:lang w:val="en-AU"/>
        </w:rPr>
      </w:pPr>
      <w:r w:rsidRPr="00062A3B">
        <w:rPr>
          <w:rFonts w:ascii="Times New Roman" w:eastAsia="SimSun" w:hAnsi="Times New Roman" w:cs="Times New Roman"/>
          <w:bCs/>
          <w:sz w:val="24"/>
          <w:szCs w:val="24"/>
          <w:lang w:val="en-AU"/>
        </w:rPr>
        <w:t xml:space="preserve">There was a significant difference in the frequency of food </w:t>
      </w:r>
      <w:r w:rsidRPr="00062A3B">
        <w:rPr>
          <w:rFonts w:ascii="Times New Roman" w:hAnsi="Times New Roman" w:cs="Times New Roman"/>
          <w:sz w:val="24"/>
          <w:szCs w:val="24"/>
        </w:rPr>
        <w:t xml:space="preserve">and beverage </w:t>
      </w:r>
      <w:r w:rsidRPr="00062A3B">
        <w:rPr>
          <w:rFonts w:ascii="Times New Roman" w:eastAsia="SimSun" w:hAnsi="Times New Roman" w:cs="Times New Roman"/>
          <w:bCs/>
          <w:sz w:val="24"/>
          <w:szCs w:val="24"/>
          <w:lang w:val="en-AU"/>
        </w:rPr>
        <w:t xml:space="preserve">advertising that should not be permitted during children’s peak viewing times across countries with different policy arrangements (F (2,1122)=13.91, P&lt;0.001). Post-hoc comparisons using the Sheffe test indicated that the frequency of food </w:t>
      </w:r>
      <w:r w:rsidRPr="00062A3B">
        <w:rPr>
          <w:rFonts w:ascii="Times New Roman" w:hAnsi="Times New Roman" w:cs="Times New Roman"/>
          <w:sz w:val="24"/>
          <w:szCs w:val="24"/>
        </w:rPr>
        <w:t xml:space="preserve">and beverage </w:t>
      </w:r>
      <w:r w:rsidRPr="00062A3B">
        <w:rPr>
          <w:rFonts w:ascii="Times New Roman" w:eastAsia="SimSun" w:hAnsi="Times New Roman" w:cs="Times New Roman"/>
          <w:bCs/>
          <w:sz w:val="24"/>
          <w:szCs w:val="24"/>
          <w:lang w:val="en-AU"/>
        </w:rPr>
        <w:t>advertising that should not be permitted was significantly higher during children’s peak viewing times in countries with</w:t>
      </w:r>
      <w:r w:rsidR="00E84746" w:rsidRPr="00062A3B">
        <w:rPr>
          <w:rFonts w:ascii="Times New Roman" w:eastAsia="SimSun" w:hAnsi="Times New Roman" w:cs="Times New Roman"/>
          <w:bCs/>
          <w:sz w:val="24"/>
          <w:szCs w:val="24"/>
          <w:lang w:val="en-AU"/>
        </w:rPr>
        <w:t xml:space="preserve"> voluntary</w:t>
      </w:r>
      <w:r w:rsidRPr="00062A3B">
        <w:rPr>
          <w:rFonts w:ascii="Times New Roman" w:eastAsia="SimSun" w:hAnsi="Times New Roman" w:cs="Times New Roman"/>
          <w:bCs/>
          <w:sz w:val="24"/>
          <w:szCs w:val="24"/>
          <w:lang w:val="en-AU"/>
        </w:rPr>
        <w:t xml:space="preserve"> food industry </w:t>
      </w:r>
      <w:r w:rsidR="00E84746" w:rsidRPr="00062A3B">
        <w:rPr>
          <w:rFonts w:ascii="Times New Roman" w:eastAsia="SimSun" w:hAnsi="Times New Roman" w:cs="Times New Roman"/>
          <w:bCs/>
          <w:sz w:val="24"/>
          <w:szCs w:val="24"/>
          <w:lang w:val="en-AU"/>
        </w:rPr>
        <w:t xml:space="preserve">self-regulatory programs </w:t>
      </w:r>
      <w:r w:rsidRPr="00062A3B">
        <w:rPr>
          <w:rFonts w:ascii="Times New Roman" w:eastAsia="SimSun" w:hAnsi="Times New Roman" w:cs="Times New Roman"/>
          <w:bCs/>
          <w:sz w:val="24"/>
          <w:szCs w:val="24"/>
          <w:lang w:val="en-AU"/>
        </w:rPr>
        <w:t xml:space="preserve">compared to countries with no policy (3.8 advertisements per hour vs. 2.6). </w:t>
      </w:r>
    </w:p>
    <w:p w:rsidR="00600537" w:rsidRPr="00062A3B" w:rsidRDefault="00600537" w:rsidP="00CE26A1">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5 about here</w:t>
      </w:r>
    </w:p>
    <w:p w:rsidR="00600537" w:rsidRPr="00062A3B" w:rsidRDefault="00600537" w:rsidP="00CE26A1">
      <w:pPr>
        <w:widowControl/>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b/>
          <w:bCs/>
          <w:sz w:val="24"/>
          <w:szCs w:val="24"/>
        </w:rPr>
      </w:pPr>
    </w:p>
    <w:p w:rsidR="00600537" w:rsidRPr="00062A3B" w:rsidRDefault="00600537" w:rsidP="0016658E">
      <w:pPr>
        <w:spacing w:line="480" w:lineRule="auto"/>
        <w:jc w:val="left"/>
        <w:rPr>
          <w:rFonts w:ascii="Times New Roman" w:hAnsi="Times New Roman" w:cs="Times New Roman"/>
          <w:b/>
          <w:bCs/>
          <w:i/>
          <w:sz w:val="24"/>
          <w:szCs w:val="24"/>
        </w:rPr>
      </w:pPr>
      <w:r w:rsidRPr="00062A3B">
        <w:rPr>
          <w:rFonts w:ascii="Times New Roman" w:hAnsi="Times New Roman" w:cs="Times New Roman"/>
          <w:b/>
          <w:bCs/>
          <w:i/>
          <w:sz w:val="24"/>
          <w:szCs w:val="24"/>
        </w:rPr>
        <w:t xml:space="preserve">Food advertising by parent company </w:t>
      </w: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Table 6 presents the parent companies contributing to at least 1% of overall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across the sample. Of the 43,306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advertisements captured across the 23 datasets from 22 countries, the top 10 advertising companies contributed to one-third (34%)</w:t>
      </w:r>
      <w:r w:rsidR="00E84746" w:rsidRPr="00062A3B">
        <w:rPr>
          <w:rFonts w:ascii="Times New Roman" w:hAnsi="Times New Roman" w:cs="Times New Roman"/>
          <w:bCs/>
          <w:sz w:val="24"/>
          <w:szCs w:val="24"/>
        </w:rPr>
        <w:t xml:space="preserve"> (Table 6)</w:t>
      </w:r>
      <w:r w:rsidRPr="00062A3B">
        <w:rPr>
          <w:rFonts w:ascii="Times New Roman" w:hAnsi="Times New Roman" w:cs="Times New Roman"/>
          <w:bCs/>
          <w:sz w:val="24"/>
          <w:szCs w:val="24"/>
        </w:rPr>
        <w:t xml:space="preserve">. These companies also contributed to 40% of all food advertisements that should not be permitted. Nine of these top 10 advertising companies were present across most markets. </w:t>
      </w:r>
    </w:p>
    <w:p w:rsidR="00600537" w:rsidRPr="00062A3B" w:rsidRDefault="00600537" w:rsidP="00CE26A1">
      <w:pPr>
        <w:spacing w:line="480" w:lineRule="auto"/>
        <w:jc w:val="left"/>
        <w:rPr>
          <w:rFonts w:ascii="Times New Roman" w:hAnsi="Times New Roman" w:cs="Times New Roman"/>
          <w:sz w:val="24"/>
          <w:szCs w:val="24"/>
        </w:rPr>
      </w:pPr>
    </w:p>
    <w:p w:rsidR="00600537" w:rsidRPr="00062A3B" w:rsidRDefault="00600537" w:rsidP="00CE26A1">
      <w:pPr>
        <w:pBdr>
          <w:top w:val="single" w:sz="4" w:space="1" w:color="auto"/>
          <w:bottom w:val="single" w:sz="4" w:space="1" w:color="auto"/>
        </w:pBdr>
        <w:spacing w:line="480" w:lineRule="auto"/>
        <w:jc w:val="center"/>
        <w:rPr>
          <w:rFonts w:ascii="Times New Roman" w:hAnsi="Times New Roman" w:cs="Times New Roman"/>
          <w:b/>
          <w:i/>
          <w:sz w:val="24"/>
          <w:szCs w:val="24"/>
        </w:rPr>
      </w:pPr>
      <w:r w:rsidRPr="00062A3B">
        <w:rPr>
          <w:rFonts w:ascii="Times New Roman" w:hAnsi="Times New Roman" w:cs="Times New Roman"/>
          <w:sz w:val="24"/>
          <w:szCs w:val="24"/>
        </w:rPr>
        <w:t>Insert Table 6 about here</w:t>
      </w:r>
    </w:p>
    <w:p w:rsidR="00600537" w:rsidRPr="00062A3B" w:rsidRDefault="00600537" w:rsidP="00CE26A1">
      <w:pPr>
        <w:widowControl/>
        <w:jc w:val="left"/>
        <w:rPr>
          <w:rFonts w:ascii="Times New Roman" w:hAnsi="Times New Roman" w:cs="Times New Roman"/>
          <w:b/>
          <w:sz w:val="24"/>
          <w:szCs w:val="24"/>
        </w:rPr>
      </w:pPr>
    </w:p>
    <w:p w:rsidR="00600537" w:rsidRPr="00062A3B" w:rsidRDefault="00600537" w:rsidP="0016658E">
      <w:pPr>
        <w:spacing w:line="480" w:lineRule="auto"/>
        <w:jc w:val="left"/>
        <w:rPr>
          <w:rFonts w:ascii="Times New Roman" w:hAnsi="Times New Roman" w:cs="Times New Roman"/>
          <w:b/>
          <w:bCs/>
          <w:sz w:val="24"/>
          <w:szCs w:val="24"/>
        </w:rPr>
      </w:pPr>
    </w:p>
    <w:p w:rsidR="00600537" w:rsidRPr="00062A3B" w:rsidRDefault="00600537" w:rsidP="0016658E">
      <w:pPr>
        <w:spacing w:line="480" w:lineRule="auto"/>
        <w:jc w:val="left"/>
        <w:rPr>
          <w:rFonts w:ascii="Times New Roman" w:hAnsi="Times New Roman" w:cs="Times New Roman"/>
          <w:b/>
          <w:bCs/>
          <w:sz w:val="24"/>
          <w:szCs w:val="24"/>
        </w:rPr>
      </w:pPr>
      <w:r w:rsidRPr="00062A3B">
        <w:rPr>
          <w:rFonts w:ascii="Times New Roman" w:hAnsi="Times New Roman" w:cs="Times New Roman"/>
          <w:b/>
          <w:bCs/>
          <w:sz w:val="24"/>
          <w:szCs w:val="24"/>
        </w:rPr>
        <w:t>Discussion</w:t>
      </w:r>
    </w:p>
    <w:p w:rsidR="00600537" w:rsidRPr="00062A3B" w:rsidRDefault="00600537" w:rsidP="0016658E">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This study provides a global representation of children’s exposure to food and non-alcoholic beverage advertising on television, the nature of this advertising in terms of the promoted products and t</w:t>
      </w:r>
      <w:r w:rsidRPr="00062A3B">
        <w:rPr>
          <w:rFonts w:ascii="Times New Roman" w:hAnsi="Times New Roman" w:cs="Times New Roman"/>
          <w:sz w:val="24"/>
          <w:szCs w:val="24"/>
          <w:shd w:val="clear" w:color="auto" w:fill="FFFFFF"/>
        </w:rPr>
        <w:t>he techniques used which have a strong persuasive appeal</w:t>
      </w:r>
      <w:r w:rsidRPr="00062A3B">
        <w:rPr>
          <w:rFonts w:ascii="Times New Roman" w:hAnsi="Times New Roman" w:cs="Times New Roman"/>
          <w:bCs/>
          <w:sz w:val="24"/>
          <w:szCs w:val="24"/>
        </w:rPr>
        <w:t xml:space="preserve">, the main advertising companies, and the relationship of advertising to </w:t>
      </w:r>
      <w:r w:rsidRPr="00062A3B">
        <w:rPr>
          <w:rFonts w:ascii="Times New Roman" w:hAnsi="Times New Roman" w:cs="Times New Roman"/>
          <w:sz w:val="24"/>
          <w:szCs w:val="24"/>
          <w:shd w:val="clear" w:color="auto" w:fill="FFFFFF"/>
        </w:rPr>
        <w:t>government regulation and industry self-regulatory programs</w:t>
      </w:r>
      <w:r w:rsidRPr="00062A3B">
        <w:rPr>
          <w:rFonts w:ascii="Times New Roman" w:hAnsi="Times New Roman" w:cs="Times New Roman"/>
          <w:bCs/>
          <w:sz w:val="24"/>
          <w:szCs w:val="24"/>
        </w:rPr>
        <w:t xml:space="preserve">. We identified three major findings: 1) that unhealthy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were promoted four times more than healthier foods</w:t>
      </w:r>
      <w:r w:rsidRPr="00062A3B">
        <w:rPr>
          <w:rFonts w:ascii="Times New Roman" w:hAnsi="Times New Roman" w:cs="Times New Roman"/>
          <w:sz w:val="24"/>
          <w:szCs w:val="24"/>
        </w:rPr>
        <w:t xml:space="preserve"> and beverage</w:t>
      </w:r>
      <w:r w:rsidRPr="00062A3B">
        <w:rPr>
          <w:rFonts w:ascii="Times New Roman" w:hAnsi="Times New Roman" w:cs="Times New Roman"/>
          <w:bCs/>
          <w:sz w:val="24"/>
          <w:szCs w:val="24"/>
        </w:rPr>
        <w:t xml:space="preserve">s and the rate of unhealthy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was even higher during peak viewing times for children; 2) that the bulk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derive from a small number of transnational companies; and 3) that existing regulatory arrangements in countries do not appear to have created more favourable/healthy television food advertising environments compared to countries without any such policies. These key points are addressed below. </w:t>
      </w:r>
    </w:p>
    <w:p w:rsidR="00600537" w:rsidRPr="00062A3B" w:rsidRDefault="00600537" w:rsidP="0016658E">
      <w:pPr>
        <w:spacing w:line="480" w:lineRule="auto"/>
        <w:jc w:val="left"/>
        <w:rPr>
          <w:rFonts w:ascii="Times New Roman" w:hAnsi="Times New Roman" w:cs="Times New Roman"/>
          <w:bCs/>
          <w:sz w:val="24"/>
          <w:szCs w:val="24"/>
        </w:rPr>
      </w:pPr>
    </w:p>
    <w:p w:rsidR="00600537" w:rsidRPr="00062A3B" w:rsidRDefault="00600537" w:rsidP="0092623A">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We identified that, globally, rates of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that should not be permitted were 35% higher during children’s peak viewing times overall compared to non-peak viewing times, and were significantly higher during children’s peak viewing times in Chile (85%), Malaysia (75% higher), Canada (77%), Guatemala (56%), New Zealand (60%), Costa Rica (50%) and Australia (48%). </w:t>
      </w:r>
      <w:r w:rsidR="00921971" w:rsidRPr="00062A3B">
        <w:rPr>
          <w:rFonts w:ascii="Times New Roman" w:hAnsi="Times New Roman" w:cs="Times New Roman"/>
          <w:bCs/>
          <w:sz w:val="24"/>
          <w:szCs w:val="24"/>
        </w:rPr>
        <w:t xml:space="preserve">Of these countries, at the time of data capture, only Australia had government statutory regulations in place to restrict television advertising of unhealthy food and beverages to children. </w:t>
      </w:r>
      <w:r w:rsidRPr="00062A3B">
        <w:rPr>
          <w:rFonts w:ascii="Times New Roman" w:hAnsi="Times New Roman" w:cs="Times New Roman"/>
          <w:bCs/>
          <w:sz w:val="24"/>
          <w:szCs w:val="24"/>
        </w:rPr>
        <w:t xml:space="preserve">It was largely these advertisements for unhealthy foods </w:t>
      </w:r>
      <w:r w:rsidRPr="00062A3B">
        <w:rPr>
          <w:rFonts w:ascii="Times New Roman" w:hAnsi="Times New Roman" w:cs="Times New Roman"/>
          <w:sz w:val="24"/>
          <w:szCs w:val="24"/>
        </w:rPr>
        <w:t>and beverages</w:t>
      </w:r>
      <w:r w:rsidRPr="00062A3B">
        <w:rPr>
          <w:rFonts w:ascii="Times New Roman" w:hAnsi="Times New Roman" w:cs="Times New Roman"/>
          <w:bCs/>
          <w:sz w:val="24"/>
          <w:szCs w:val="24"/>
        </w:rPr>
        <w:t xml:space="preserve"> that contained persuasive elements that are appealing to children </w:t>
      </w:r>
      <w:r w:rsidRPr="00062A3B">
        <w:rPr>
          <w:rFonts w:ascii="Times New Roman" w:hAnsi="Times New Roman" w:cs="Times New Roman"/>
          <w:bCs/>
          <w:noProof/>
          <w:sz w:val="24"/>
          <w:szCs w:val="24"/>
        </w:rPr>
        <w:t>(2</w:t>
      </w:r>
      <w:r w:rsidR="006000D2" w:rsidRPr="00062A3B">
        <w:rPr>
          <w:rFonts w:ascii="Times New Roman" w:hAnsi="Times New Roman" w:cs="Times New Roman"/>
          <w:bCs/>
          <w:noProof/>
          <w:sz w:val="24"/>
          <w:szCs w:val="24"/>
        </w:rPr>
        <w:t>7</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xml:space="preserve"> and these persuasive techniques were also most frequently used during children’s peak viewing times. These findings are aligned with previous studies measuring children’s television food advertising exposures, which similarly found the highest rates of advertising for unhealthy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 xml:space="preserve">during broadcast periods when the greatest number of children were watching </w:t>
      </w:r>
      <w:r w:rsidRPr="00062A3B">
        <w:rPr>
          <w:rFonts w:ascii="Times New Roman" w:hAnsi="Times New Roman" w:cs="Times New Roman"/>
          <w:bCs/>
          <w:noProof/>
          <w:sz w:val="24"/>
          <w:szCs w:val="24"/>
        </w:rPr>
        <w:t>(</w:t>
      </w:r>
      <w:r w:rsidR="006000D2" w:rsidRPr="00062A3B">
        <w:rPr>
          <w:rFonts w:ascii="Times New Roman" w:hAnsi="Times New Roman" w:cs="Times New Roman"/>
          <w:bCs/>
          <w:noProof/>
          <w:sz w:val="24"/>
          <w:szCs w:val="24"/>
        </w:rPr>
        <w:t>28-30</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xml:space="preserve">. </w:t>
      </w:r>
    </w:p>
    <w:p w:rsidR="00600537" w:rsidRPr="00062A3B" w:rsidRDefault="00600537" w:rsidP="0092623A">
      <w:pPr>
        <w:spacing w:line="480" w:lineRule="auto"/>
        <w:jc w:val="left"/>
        <w:rPr>
          <w:rFonts w:ascii="Times New Roman" w:hAnsi="Times New Roman" w:cs="Times New Roman"/>
          <w:sz w:val="24"/>
          <w:szCs w:val="24"/>
        </w:rPr>
      </w:pPr>
    </w:p>
    <w:p w:rsidR="00600537" w:rsidRPr="00062A3B" w:rsidRDefault="00600537" w:rsidP="0092623A">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The top five most frequently advertised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categories were ‘other beverages’ (including carbonated soft drinks, mineral water and flavoured waters), chocolate and confectionery, </w:t>
      </w:r>
      <w:r w:rsidRPr="00062A3B">
        <w:rPr>
          <w:rFonts w:ascii="Times New Roman" w:hAnsi="Times New Roman" w:cs="Times New Roman"/>
          <w:sz w:val="24"/>
          <w:szCs w:val="24"/>
        </w:rPr>
        <w:t>ready-made</w:t>
      </w:r>
      <w:r w:rsidRPr="00062A3B">
        <w:rPr>
          <w:rFonts w:ascii="Times New Roman" w:hAnsi="Times New Roman" w:cs="Times New Roman"/>
          <w:sz w:val="28"/>
          <w:szCs w:val="24"/>
        </w:rPr>
        <w:t xml:space="preserve"> </w:t>
      </w:r>
      <w:r w:rsidRPr="00062A3B">
        <w:rPr>
          <w:rFonts w:ascii="Times New Roman" w:hAnsi="Times New Roman" w:cs="Times New Roman"/>
          <w:sz w:val="24"/>
          <w:szCs w:val="24"/>
        </w:rPr>
        <w:t xml:space="preserve">food and dishes, breakfast cereals, and cakes, biscuits and pastries; the vast majority of which were unhealthy versions that exceeded the WHO Regional Office for Europe’s nutrient profiling model’s threshold criteria for fat, sugar, sodium and/or energy. </w:t>
      </w:r>
      <w:r w:rsidRPr="00062A3B">
        <w:rPr>
          <w:rFonts w:ascii="Times New Roman" w:hAnsi="Times New Roman" w:cs="Times New Roman"/>
          <w:bCs/>
          <w:sz w:val="24"/>
          <w:szCs w:val="24"/>
        </w:rPr>
        <w:t xml:space="preserve">Across all viewing times, the rate of advertisements for foods </w:t>
      </w:r>
      <w:r w:rsidRPr="00062A3B">
        <w:rPr>
          <w:rFonts w:ascii="Times New Roman" w:hAnsi="Times New Roman" w:cs="Times New Roman"/>
          <w:sz w:val="24"/>
          <w:szCs w:val="24"/>
        </w:rPr>
        <w:t>and beverage</w:t>
      </w:r>
      <w:r w:rsidRPr="00062A3B">
        <w:rPr>
          <w:rFonts w:ascii="Times New Roman" w:hAnsi="Times New Roman" w:cs="Times New Roman"/>
          <w:bCs/>
          <w:sz w:val="24"/>
          <w:szCs w:val="24"/>
        </w:rPr>
        <w:t xml:space="preserve">s that should not be permitted far exceeded that of permitted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 xml:space="preserve">by a factor of four to one. This ratio varied across countries. In Thailand and Malaysia, for example, where there were almost no permitted food </w:t>
      </w:r>
      <w:r w:rsidRPr="00062A3B">
        <w:rPr>
          <w:rFonts w:ascii="Times New Roman" w:hAnsi="Times New Roman" w:cs="Times New Roman"/>
          <w:sz w:val="24"/>
          <w:szCs w:val="24"/>
        </w:rPr>
        <w:t>or beverage</w:t>
      </w:r>
      <w:r w:rsidRPr="00062A3B">
        <w:rPr>
          <w:rFonts w:ascii="Times New Roman" w:hAnsi="Times New Roman" w:cs="Times New Roman"/>
          <w:bCs/>
          <w:sz w:val="24"/>
          <w:szCs w:val="24"/>
        </w:rPr>
        <w:t xml:space="preserve"> advertisements, there were 58 and 24 advertisements for unhealthy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 xml:space="preserve">for each single advertisement for healthier food or beverage broadcast, respectively, as defined by the WHO Regional Office for Europe nutrient profiling model. This ratio of advertising for healthy to unhealthy foods </w:t>
      </w:r>
      <w:r w:rsidRPr="00062A3B">
        <w:rPr>
          <w:rFonts w:ascii="Times New Roman" w:hAnsi="Times New Roman" w:cs="Times New Roman"/>
          <w:sz w:val="24"/>
          <w:szCs w:val="24"/>
        </w:rPr>
        <w:t xml:space="preserve">and beverages </w:t>
      </w:r>
      <w:r w:rsidRPr="00062A3B">
        <w:rPr>
          <w:rFonts w:ascii="Times New Roman" w:hAnsi="Times New Roman" w:cs="Times New Roman"/>
          <w:bCs/>
          <w:sz w:val="24"/>
          <w:szCs w:val="24"/>
        </w:rPr>
        <w:t>clearly depicts a media environment that is saturated by unhealthy choices. In other countries, there were at least some food or beverage advertisements that should be permitted. For example, in New Zealand around 9% of food advertisements overall were for fresh meat and 11% were for healthy oils, while in Malta 3% of food advertisements were for fresh fruits and vegetables.</w:t>
      </w:r>
    </w:p>
    <w:p w:rsidR="00600537" w:rsidRPr="00062A3B" w:rsidRDefault="00600537" w:rsidP="0092623A">
      <w:pPr>
        <w:spacing w:line="480" w:lineRule="auto"/>
        <w:jc w:val="left"/>
        <w:rPr>
          <w:rFonts w:ascii="Times New Roman" w:hAnsi="Times New Roman" w:cs="Times New Roman"/>
          <w:bCs/>
          <w:sz w:val="24"/>
          <w:szCs w:val="24"/>
        </w:rPr>
      </w:pPr>
    </w:p>
    <w:p w:rsidR="00600537" w:rsidRPr="00062A3B" w:rsidRDefault="00600537" w:rsidP="00341895">
      <w:pPr>
        <w:spacing w:line="480" w:lineRule="auto"/>
        <w:jc w:val="left"/>
        <w:rPr>
          <w:rFonts w:ascii="Times New Roman" w:hAnsi="Times New Roman" w:cs="Times New Roman"/>
          <w:bCs/>
          <w:sz w:val="24"/>
          <w:szCs w:val="24"/>
        </w:rPr>
      </w:pPr>
      <w:r w:rsidRPr="00062A3B">
        <w:rPr>
          <w:rFonts w:ascii="Times New Roman" w:hAnsi="Times New Roman" w:cs="Times New Roman"/>
          <w:bCs/>
          <w:sz w:val="24"/>
          <w:szCs w:val="24"/>
        </w:rPr>
        <w:t xml:space="preserve">In our sample, one-third of all food </w:t>
      </w:r>
      <w:r w:rsidRPr="00062A3B">
        <w:rPr>
          <w:rFonts w:ascii="Times New Roman" w:hAnsi="Times New Roman" w:cs="Times New Roman"/>
          <w:sz w:val="24"/>
          <w:szCs w:val="24"/>
        </w:rPr>
        <w:t xml:space="preserve">and beverage </w:t>
      </w:r>
      <w:r w:rsidRPr="00062A3B">
        <w:rPr>
          <w:rFonts w:ascii="Times New Roman" w:hAnsi="Times New Roman" w:cs="Times New Roman"/>
          <w:bCs/>
          <w:sz w:val="24"/>
          <w:szCs w:val="24"/>
        </w:rPr>
        <w:t xml:space="preserve">advertisements were derived from just 10 companies globally. All of these companies were transnational corporations, which had a combined market value of over US$994 billion in 2017 </w:t>
      </w:r>
      <w:r w:rsidRPr="00062A3B">
        <w:rPr>
          <w:rFonts w:ascii="Times New Roman" w:hAnsi="Times New Roman" w:cs="Times New Roman"/>
          <w:bCs/>
          <w:noProof/>
          <w:sz w:val="24"/>
          <w:szCs w:val="24"/>
        </w:rPr>
        <w:t>(3</w:t>
      </w:r>
      <w:r w:rsidR="006000D2" w:rsidRPr="00062A3B">
        <w:rPr>
          <w:rFonts w:ascii="Times New Roman" w:hAnsi="Times New Roman" w:cs="Times New Roman"/>
          <w:bCs/>
          <w:noProof/>
          <w:sz w:val="24"/>
          <w:szCs w:val="24"/>
        </w:rPr>
        <w:t>1</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xml:space="preserve">. This suggests the colossal economic power of these food and beverage manufacturing and retail industries and their potential to influence country-level government policies affecting the production, distribution and promotion of their products </w:t>
      </w:r>
      <w:r w:rsidRPr="00062A3B">
        <w:rPr>
          <w:rFonts w:ascii="Times New Roman" w:hAnsi="Times New Roman" w:cs="Times New Roman"/>
          <w:bCs/>
          <w:noProof/>
          <w:sz w:val="24"/>
          <w:szCs w:val="24"/>
        </w:rPr>
        <w:t>(</w:t>
      </w:r>
      <w:r w:rsidR="006000D2" w:rsidRPr="00062A3B">
        <w:rPr>
          <w:rFonts w:ascii="Times New Roman" w:hAnsi="Times New Roman" w:cs="Times New Roman"/>
          <w:bCs/>
          <w:noProof/>
          <w:sz w:val="24"/>
          <w:szCs w:val="24"/>
        </w:rPr>
        <w:t>32</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xml:space="preserve">. Strong industry resistance to Government regulations to limit the sale and promotion of unhealthy products has been documented </w:t>
      </w:r>
      <w:r w:rsidRPr="00062A3B">
        <w:rPr>
          <w:rFonts w:ascii="Times New Roman" w:hAnsi="Times New Roman" w:cs="Times New Roman"/>
          <w:bCs/>
          <w:noProof/>
          <w:sz w:val="24"/>
          <w:szCs w:val="24"/>
        </w:rPr>
        <w:t xml:space="preserve">(13, </w:t>
      </w:r>
      <w:r w:rsidR="006000D2" w:rsidRPr="00062A3B">
        <w:rPr>
          <w:rFonts w:ascii="Times New Roman" w:hAnsi="Times New Roman" w:cs="Times New Roman"/>
          <w:bCs/>
          <w:noProof/>
          <w:sz w:val="24"/>
          <w:szCs w:val="24"/>
        </w:rPr>
        <w:t>33</w:t>
      </w:r>
      <w:r w:rsidRPr="00062A3B">
        <w:rPr>
          <w:rFonts w:ascii="Times New Roman" w:hAnsi="Times New Roman" w:cs="Times New Roman"/>
          <w:bCs/>
          <w:noProof/>
          <w:sz w:val="24"/>
          <w:szCs w:val="24"/>
        </w:rPr>
        <w:t>)</w:t>
      </w:r>
      <w:r w:rsidRPr="00062A3B">
        <w:rPr>
          <w:rFonts w:ascii="Times New Roman" w:hAnsi="Times New Roman" w:cs="Times New Roman"/>
          <w:bCs/>
          <w:sz w:val="24"/>
          <w:szCs w:val="24"/>
        </w:rPr>
        <w:t xml:space="preserve">. Retaliatory techniques have included </w:t>
      </w:r>
      <w:r w:rsidRPr="00062A3B">
        <w:rPr>
          <w:rFonts w:ascii="Times New Roman" w:hAnsi="Times New Roman" w:cs="Times New Roman"/>
          <w:sz w:val="24"/>
          <w:szCs w:val="24"/>
        </w:rPr>
        <w:t xml:space="preserve">sponsoring and disseminating reports to deny the need for, or impact of, regulation; developing alliances with civil society organizations to promote physical activity interventions to control obesity; building consensus in agreement with industry’s agenda, and; focusing on the potential for regulations to have detrimental effects to economy and trade, including loss of jobs </w:t>
      </w:r>
      <w:r w:rsidRPr="00062A3B">
        <w:rPr>
          <w:rFonts w:ascii="Times New Roman" w:hAnsi="Times New Roman" w:cs="Times New Roman"/>
          <w:noProof/>
          <w:sz w:val="24"/>
          <w:szCs w:val="24"/>
        </w:rPr>
        <w:t>(</w:t>
      </w:r>
      <w:r w:rsidR="006000D2" w:rsidRPr="00062A3B">
        <w:rPr>
          <w:rFonts w:ascii="Times New Roman" w:hAnsi="Times New Roman" w:cs="Times New Roman"/>
          <w:noProof/>
          <w:sz w:val="24"/>
          <w:szCs w:val="24"/>
        </w:rPr>
        <w:t>34</w:t>
      </w:r>
      <w:r w:rsidRPr="00062A3B">
        <w:rPr>
          <w:rFonts w:ascii="Times New Roman" w:hAnsi="Times New Roman" w:cs="Times New Roman"/>
          <w:noProof/>
          <w:sz w:val="24"/>
          <w:szCs w:val="24"/>
        </w:rPr>
        <w:t>)</w:t>
      </w:r>
      <w:r w:rsidRPr="00062A3B">
        <w:rPr>
          <w:rFonts w:ascii="Times New Roman" w:hAnsi="Times New Roman" w:cs="Times New Roman"/>
          <w:sz w:val="24"/>
          <w:szCs w:val="24"/>
        </w:rPr>
        <w:t xml:space="preserve">. </w:t>
      </w:r>
      <w:r w:rsidR="00341895" w:rsidRPr="00062A3B">
        <w:rPr>
          <w:rFonts w:ascii="Times New Roman" w:hAnsi="Times New Roman" w:cs="Times New Roman"/>
          <w:sz w:val="24"/>
          <w:szCs w:val="24"/>
        </w:rPr>
        <w:t>Further, a</w:t>
      </w:r>
      <w:r w:rsidR="00341895" w:rsidRPr="00062A3B">
        <w:rPr>
          <w:rFonts w:ascii="Times New Roman" w:hAnsi="Times New Roman" w:cs="Times New Roman"/>
          <w:bCs/>
          <w:sz w:val="24"/>
          <w:szCs w:val="24"/>
        </w:rPr>
        <w:t xml:space="preserve">ll 10 of these top advertising companies were signatories to the </w:t>
      </w:r>
      <w:r w:rsidR="00341895" w:rsidRPr="00062A3B">
        <w:rPr>
          <w:rFonts w:ascii="Times New Roman" w:hAnsi="Times New Roman" w:cs="Times New Roman"/>
          <w:color w:val="000000"/>
          <w:sz w:val="24"/>
          <w:szCs w:val="24"/>
          <w:shd w:val="clear" w:color="auto" w:fill="FFFFFF"/>
        </w:rPr>
        <w:t>International Food and Beverage Alliance (IFBA) global commitment for responsible marketing, which since 2009 has pledged to only advertise ‘better-for-you’ products to children under 12 years (</w:t>
      </w:r>
      <w:r w:rsidR="00C8520C" w:rsidRPr="00062A3B">
        <w:rPr>
          <w:rFonts w:ascii="Times New Roman" w:hAnsi="Times New Roman" w:cs="Times New Roman"/>
          <w:color w:val="000000"/>
          <w:sz w:val="24"/>
          <w:szCs w:val="24"/>
          <w:shd w:val="clear" w:color="auto" w:fill="FFFFFF"/>
        </w:rPr>
        <w:t>35</w:t>
      </w:r>
      <w:r w:rsidR="00341895" w:rsidRPr="00062A3B">
        <w:rPr>
          <w:rFonts w:ascii="Times New Roman" w:hAnsi="Times New Roman" w:cs="Times New Roman"/>
          <w:color w:val="000000"/>
          <w:sz w:val="24"/>
          <w:szCs w:val="24"/>
          <w:shd w:val="clear" w:color="auto" w:fill="FFFFFF"/>
        </w:rPr>
        <w:t>). Despite this, these companies disproportionately advertised unhealthy products compared to healthier products</w:t>
      </w:r>
      <w:r w:rsidR="00921971" w:rsidRPr="00062A3B">
        <w:rPr>
          <w:rFonts w:ascii="Times New Roman" w:hAnsi="Times New Roman" w:cs="Times New Roman"/>
          <w:color w:val="000000"/>
          <w:sz w:val="24"/>
          <w:szCs w:val="24"/>
          <w:shd w:val="clear" w:color="auto" w:fill="FFFFFF"/>
        </w:rPr>
        <w:t xml:space="preserve"> across all broadcast times</w:t>
      </w:r>
      <w:r w:rsidR="00341895" w:rsidRPr="00062A3B">
        <w:rPr>
          <w:rFonts w:ascii="Times New Roman" w:hAnsi="Times New Roman" w:cs="Times New Roman"/>
          <w:color w:val="000000"/>
          <w:sz w:val="24"/>
          <w:szCs w:val="24"/>
          <w:shd w:val="clear" w:color="auto" w:fill="FFFFFF"/>
        </w:rPr>
        <w:t xml:space="preserve">. </w:t>
      </w:r>
    </w:p>
    <w:p w:rsidR="00600537" w:rsidRPr="00062A3B" w:rsidRDefault="00600537" w:rsidP="0092623A">
      <w:pPr>
        <w:spacing w:line="480" w:lineRule="auto"/>
        <w:jc w:val="left"/>
        <w:rPr>
          <w:rFonts w:ascii="Times New Roman" w:hAnsi="Times New Roman" w:cs="Times New Roman"/>
          <w:bCs/>
          <w:sz w:val="24"/>
          <w:szCs w:val="24"/>
        </w:rPr>
      </w:pPr>
    </w:p>
    <w:p w:rsidR="00600537" w:rsidRPr="00062A3B" w:rsidRDefault="00600537" w:rsidP="0092623A">
      <w:pPr>
        <w:spacing w:line="480" w:lineRule="auto"/>
        <w:jc w:val="left"/>
        <w:rPr>
          <w:rFonts w:ascii="Times New Roman" w:hAnsi="Times New Roman" w:cs="Times New Roman"/>
          <w:sz w:val="24"/>
          <w:szCs w:val="24"/>
          <w:shd w:val="clear" w:color="auto" w:fill="FFFFFF"/>
        </w:rPr>
      </w:pPr>
      <w:r w:rsidRPr="00062A3B">
        <w:rPr>
          <w:rFonts w:ascii="Times New Roman" w:hAnsi="Times New Roman" w:cs="Times New Roman"/>
          <w:bCs/>
          <w:sz w:val="24"/>
          <w:szCs w:val="24"/>
        </w:rPr>
        <w:t>The prominence of advertisements by transnational food companies across our sample highlights the penetration of f</w:t>
      </w:r>
      <w:r w:rsidRPr="00062A3B">
        <w:rPr>
          <w:rFonts w:ascii="Times New Roman" w:hAnsi="Times New Roman" w:cs="Times New Roman"/>
          <w:sz w:val="24"/>
          <w:szCs w:val="24"/>
        </w:rPr>
        <w:t xml:space="preserve">oreign direct investment in the </w:t>
      </w:r>
      <w:r w:rsidR="00921971" w:rsidRPr="00062A3B">
        <w:rPr>
          <w:rFonts w:ascii="Times New Roman" w:hAnsi="Times New Roman" w:cs="Times New Roman"/>
          <w:sz w:val="24"/>
          <w:szCs w:val="24"/>
        </w:rPr>
        <w:t>22 countries examined in this study</w:t>
      </w:r>
      <w:r w:rsidRPr="00062A3B">
        <w:rPr>
          <w:rFonts w:ascii="Times New Roman" w:hAnsi="Times New Roman" w:cs="Times New Roman"/>
          <w:sz w:val="24"/>
          <w:szCs w:val="24"/>
        </w:rPr>
        <w:t xml:space="preserve">. Foreign direct investment refers to the </w:t>
      </w:r>
      <w:r w:rsidRPr="00062A3B">
        <w:rPr>
          <w:rFonts w:ascii="Times New Roman" w:hAnsi="Times New Roman" w:cs="Times New Roman"/>
          <w:sz w:val="24"/>
          <w:szCs w:val="24"/>
          <w:shd w:val="clear" w:color="auto" w:fill="FFFFFF"/>
        </w:rPr>
        <w:t xml:space="preserve">investment by an enterprise in one country into an enterprise in another, whereby the foreign enterprise becomes a foreign affiliate of the parent company </w:t>
      </w:r>
      <w:r w:rsidRPr="00062A3B">
        <w:rPr>
          <w:rFonts w:ascii="Times New Roman" w:hAnsi="Times New Roman" w:cs="Times New Roman"/>
          <w:noProof/>
          <w:sz w:val="24"/>
          <w:szCs w:val="24"/>
          <w:shd w:val="clear" w:color="auto" w:fill="FFFFFF"/>
        </w:rPr>
        <w:t>(16)</w:t>
      </w:r>
      <w:r w:rsidRPr="00062A3B">
        <w:rPr>
          <w:rFonts w:ascii="Times New Roman" w:hAnsi="Times New Roman" w:cs="Times New Roman"/>
          <w:sz w:val="24"/>
          <w:szCs w:val="24"/>
          <w:shd w:val="clear" w:color="auto" w:fill="FFFFFF"/>
        </w:rPr>
        <w:t xml:space="preserve">. Hawkes previously identified that an increasing proportion of foreign direct investment is now entering developing and transition markets, including in Latin America, Asia and Central and Eastern Europe </w:t>
      </w:r>
      <w:r w:rsidRPr="00062A3B">
        <w:rPr>
          <w:rFonts w:ascii="Times New Roman" w:hAnsi="Times New Roman" w:cs="Times New Roman"/>
          <w:noProof/>
          <w:sz w:val="24"/>
          <w:szCs w:val="24"/>
          <w:shd w:val="clear" w:color="auto" w:fill="FFFFFF"/>
        </w:rPr>
        <w:t>(16)</w:t>
      </w:r>
      <w:r w:rsidRPr="00062A3B">
        <w:rPr>
          <w:rFonts w:ascii="Times New Roman" w:hAnsi="Times New Roman" w:cs="Times New Roman"/>
          <w:sz w:val="24"/>
          <w:szCs w:val="24"/>
          <w:shd w:val="clear" w:color="auto" w:fill="FFFFFF"/>
        </w:rPr>
        <w:t xml:space="preserve">. This is commensurate with our findings on the contribution of transnational company-owned product advertising in these markets. Food and beverage products owned by these transnational corporations are typically highly processed, energy dense and high in </w:t>
      </w:r>
      <w:r w:rsidRPr="00062A3B">
        <w:rPr>
          <w:rFonts w:ascii="Times New Roman" w:hAnsi="Times New Roman" w:cs="Times New Roman"/>
          <w:sz w:val="24"/>
          <w:szCs w:val="24"/>
        </w:rPr>
        <w:t>sugar, salt and saturated or trans fats</w:t>
      </w:r>
      <w:r w:rsidRPr="00062A3B">
        <w:t xml:space="preserve"> </w:t>
      </w:r>
      <w:r w:rsidRPr="00062A3B">
        <w:rPr>
          <w:rFonts w:ascii="Times New Roman" w:hAnsi="Times New Roman" w:cs="Times New Roman"/>
          <w:noProof/>
          <w:sz w:val="24"/>
          <w:szCs w:val="24"/>
          <w:shd w:val="clear" w:color="auto" w:fill="FFFFFF"/>
        </w:rPr>
        <w:t>(3</w:t>
      </w:r>
      <w:r w:rsidR="00062A3B" w:rsidRPr="00062A3B">
        <w:rPr>
          <w:rFonts w:ascii="Times New Roman" w:hAnsi="Times New Roman" w:cs="Times New Roman"/>
          <w:noProof/>
          <w:sz w:val="24"/>
          <w:szCs w:val="24"/>
          <w:shd w:val="clear" w:color="auto" w:fill="FFFFFF"/>
        </w:rPr>
        <w:t>6</w:t>
      </w:r>
      <w:r w:rsidRPr="00062A3B">
        <w:rPr>
          <w:rFonts w:ascii="Times New Roman" w:hAnsi="Times New Roman" w:cs="Times New Roman"/>
          <w:noProof/>
          <w:sz w:val="24"/>
          <w:szCs w:val="24"/>
          <w:shd w:val="clear" w:color="auto" w:fill="FFFFFF"/>
        </w:rPr>
        <w:t>)</w:t>
      </w:r>
      <w:r w:rsidRPr="00062A3B">
        <w:rPr>
          <w:rFonts w:ascii="Times New Roman" w:hAnsi="Times New Roman" w:cs="Times New Roman"/>
          <w:sz w:val="24"/>
          <w:szCs w:val="24"/>
          <w:shd w:val="clear" w:color="auto" w:fill="FFFFFF"/>
        </w:rPr>
        <w:t xml:space="preserve">. Such foods are hyper-palatable, shelf-stable and value-added, all leading to their high profitability for food companies. The heavy marketing of these products serves to increase their desirability and normality, and, by targeting children, builds brand loyalty that can ensure lifelong product purchases </w:t>
      </w:r>
      <w:r w:rsidRPr="00062A3B">
        <w:rPr>
          <w:rFonts w:ascii="Times New Roman" w:hAnsi="Times New Roman" w:cs="Times New Roman"/>
          <w:noProof/>
          <w:sz w:val="24"/>
          <w:szCs w:val="24"/>
          <w:shd w:val="clear" w:color="auto" w:fill="FFFFFF"/>
        </w:rPr>
        <w:t>(</w:t>
      </w:r>
      <w:r w:rsidR="006000D2" w:rsidRPr="00062A3B">
        <w:rPr>
          <w:rFonts w:ascii="Times New Roman" w:hAnsi="Times New Roman" w:cs="Times New Roman"/>
          <w:noProof/>
          <w:sz w:val="24"/>
          <w:szCs w:val="24"/>
          <w:shd w:val="clear" w:color="auto" w:fill="FFFFFF"/>
        </w:rPr>
        <w:t>3</w:t>
      </w:r>
      <w:r w:rsidR="00062A3B" w:rsidRPr="00062A3B">
        <w:rPr>
          <w:rFonts w:ascii="Times New Roman" w:hAnsi="Times New Roman" w:cs="Times New Roman"/>
          <w:noProof/>
          <w:sz w:val="24"/>
          <w:szCs w:val="24"/>
          <w:shd w:val="clear" w:color="auto" w:fill="FFFFFF"/>
        </w:rPr>
        <w:t>7</w:t>
      </w:r>
      <w:r w:rsidRPr="00062A3B">
        <w:rPr>
          <w:rFonts w:ascii="Times New Roman" w:hAnsi="Times New Roman" w:cs="Times New Roman"/>
          <w:noProof/>
          <w:sz w:val="24"/>
          <w:szCs w:val="24"/>
          <w:shd w:val="clear" w:color="auto" w:fill="FFFFFF"/>
        </w:rPr>
        <w:t>)</w:t>
      </w:r>
      <w:r w:rsidRPr="00062A3B">
        <w:rPr>
          <w:rFonts w:ascii="Times New Roman" w:hAnsi="Times New Roman" w:cs="Times New Roman"/>
          <w:sz w:val="24"/>
          <w:szCs w:val="24"/>
          <w:shd w:val="clear" w:color="auto" w:fill="FFFFFF"/>
        </w:rPr>
        <w:t xml:space="preserve">. </w:t>
      </w:r>
    </w:p>
    <w:p w:rsidR="00600537" w:rsidRPr="00062A3B" w:rsidRDefault="00600537" w:rsidP="0092623A">
      <w:pPr>
        <w:spacing w:line="480" w:lineRule="auto"/>
        <w:jc w:val="left"/>
        <w:rPr>
          <w:rFonts w:ascii="Times New Roman" w:hAnsi="Times New Roman" w:cs="Times New Roman"/>
          <w:sz w:val="24"/>
          <w:szCs w:val="24"/>
          <w:shd w:val="clear" w:color="auto" w:fill="FFFFFF"/>
        </w:rPr>
      </w:pPr>
    </w:p>
    <w:p w:rsidR="00600537" w:rsidRPr="00062A3B" w:rsidRDefault="00600537" w:rsidP="0092623A">
      <w:pPr>
        <w:widowControl/>
        <w:autoSpaceDE w:val="0"/>
        <w:autoSpaceDN w:val="0"/>
        <w:adjustRightInd w:val="0"/>
        <w:spacing w:line="480" w:lineRule="auto"/>
        <w:jc w:val="left"/>
        <w:rPr>
          <w:rFonts w:ascii="Times New Roman" w:eastAsiaTheme="minorHAnsi" w:hAnsi="Times New Roman" w:cs="Times New Roman"/>
          <w:kern w:val="0"/>
          <w:sz w:val="24"/>
          <w:szCs w:val="24"/>
          <w:lang w:val="en-AU" w:eastAsia="en-US"/>
        </w:rPr>
      </w:pPr>
      <w:r w:rsidRPr="00062A3B">
        <w:rPr>
          <w:rFonts w:ascii="Times New Roman" w:hAnsi="Times New Roman" w:cs="Times New Roman"/>
          <w:sz w:val="24"/>
          <w:szCs w:val="24"/>
          <w:shd w:val="clear" w:color="auto" w:fill="FFFFFF"/>
        </w:rPr>
        <w:t xml:space="preserve">This study also indicates the ineffectiveness of existing </w:t>
      </w:r>
      <w:r w:rsidR="00921971" w:rsidRPr="00062A3B">
        <w:rPr>
          <w:rFonts w:ascii="Times New Roman" w:hAnsi="Times New Roman" w:cs="Times New Roman"/>
          <w:sz w:val="24"/>
          <w:szCs w:val="24"/>
          <w:shd w:val="clear" w:color="auto" w:fill="FFFFFF"/>
        </w:rPr>
        <w:t xml:space="preserve">voluntary </w:t>
      </w:r>
      <w:r w:rsidRPr="00062A3B">
        <w:rPr>
          <w:rFonts w:ascii="Times New Roman" w:hAnsi="Times New Roman" w:cs="Times New Roman"/>
          <w:sz w:val="24"/>
          <w:szCs w:val="24"/>
          <w:shd w:val="clear" w:color="auto" w:fill="FFFFFF"/>
        </w:rPr>
        <w:t>food industry codes of practice for responsible food marketing to children</w:t>
      </w:r>
      <w:r w:rsidR="00921971" w:rsidRPr="00062A3B">
        <w:rPr>
          <w:rFonts w:ascii="Times New Roman" w:hAnsi="Times New Roman" w:cs="Times New Roman"/>
          <w:sz w:val="24"/>
          <w:szCs w:val="24"/>
          <w:shd w:val="clear" w:color="auto" w:fill="FFFFFF"/>
        </w:rPr>
        <w:t>, including the IFBA commitment</w:t>
      </w:r>
      <w:r w:rsidRPr="00062A3B">
        <w:rPr>
          <w:rFonts w:ascii="Times New Roman" w:hAnsi="Times New Roman" w:cs="Times New Roman"/>
          <w:sz w:val="24"/>
          <w:szCs w:val="24"/>
          <w:shd w:val="clear" w:color="auto" w:fill="FFFFFF"/>
        </w:rPr>
        <w:t xml:space="preserve">. Data were only sourced for a single time-point for each country, with the exception of the UK; hence it is not possible to determine if industry food marketing policies led to any changes in children’s exposure to </w:t>
      </w:r>
      <w:r w:rsidRPr="00062A3B">
        <w:rPr>
          <w:rFonts w:ascii="Times New Roman" w:hAnsi="Times New Roman" w:cs="Times New Roman"/>
          <w:sz w:val="24"/>
          <w:szCs w:val="24"/>
        </w:rPr>
        <w:t xml:space="preserve">marketing of unhealthy foods and beverages </w:t>
      </w:r>
      <w:r w:rsidRPr="00062A3B">
        <w:rPr>
          <w:rFonts w:ascii="Times New Roman" w:hAnsi="Times New Roman" w:cs="Times New Roman"/>
          <w:sz w:val="24"/>
          <w:szCs w:val="24"/>
          <w:shd w:val="clear" w:color="auto" w:fill="FFFFFF"/>
        </w:rPr>
        <w:t xml:space="preserve">since their introduction. However, countries that had industry self-regulatory codes on food marketing to children in place at the time of data collection had significantly higher rates of advertising for unhealthy foods and beverages during children’s peak viewing times compared to those countries without any industry or government policies at all. This is aligned with other systematic review evidence showing that industry self-regulation has not been effective in reducing children’s exposures to unhealthy food marketing </w:t>
      </w:r>
      <w:r w:rsidRPr="00062A3B">
        <w:rPr>
          <w:rFonts w:ascii="Times New Roman" w:hAnsi="Times New Roman" w:cs="Times New Roman"/>
          <w:noProof/>
          <w:sz w:val="24"/>
          <w:szCs w:val="24"/>
          <w:shd w:val="clear" w:color="auto" w:fill="FFFFFF"/>
        </w:rPr>
        <w:t>(3</w:t>
      </w:r>
      <w:r w:rsidR="00062A3B" w:rsidRPr="00062A3B">
        <w:rPr>
          <w:rFonts w:ascii="Times New Roman" w:hAnsi="Times New Roman" w:cs="Times New Roman"/>
          <w:noProof/>
          <w:sz w:val="24"/>
          <w:szCs w:val="24"/>
          <w:shd w:val="clear" w:color="auto" w:fill="FFFFFF"/>
        </w:rPr>
        <w:t>8</w:t>
      </w:r>
      <w:r w:rsidRPr="00062A3B">
        <w:rPr>
          <w:rFonts w:ascii="Times New Roman" w:hAnsi="Times New Roman" w:cs="Times New Roman"/>
          <w:noProof/>
          <w:sz w:val="24"/>
          <w:szCs w:val="24"/>
          <w:shd w:val="clear" w:color="auto" w:fill="FFFFFF"/>
        </w:rPr>
        <w:t>)</w:t>
      </w:r>
      <w:r w:rsidRPr="00062A3B">
        <w:rPr>
          <w:rFonts w:ascii="Times New Roman" w:hAnsi="Times New Roman" w:cs="Times New Roman"/>
          <w:sz w:val="24"/>
          <w:szCs w:val="24"/>
          <w:shd w:val="clear" w:color="auto" w:fill="FFFFFF"/>
        </w:rPr>
        <w:t>.</w:t>
      </w:r>
      <w:r w:rsidRPr="00062A3B">
        <w:rPr>
          <w:rFonts w:ascii="Calibri" w:hAnsi="Calibri" w:cs="Calibri"/>
          <w:shd w:val="clear" w:color="auto" w:fill="FFFFFF"/>
        </w:rPr>
        <w:t xml:space="preserve"> </w:t>
      </w:r>
      <w:r w:rsidRPr="00062A3B">
        <w:rPr>
          <w:rFonts w:ascii="Times New Roman" w:hAnsi="Times New Roman" w:cs="Times New Roman"/>
          <w:sz w:val="24"/>
          <w:szCs w:val="24"/>
          <w:shd w:val="clear" w:color="auto" w:fill="FFFFFF"/>
        </w:rPr>
        <w:t xml:space="preserve">Limitations of industry codes of practice for responsible marketing have been well documented </w:t>
      </w:r>
      <w:r w:rsidRPr="00062A3B">
        <w:rPr>
          <w:rFonts w:ascii="Times New Roman" w:hAnsi="Times New Roman" w:cs="Times New Roman"/>
          <w:noProof/>
          <w:sz w:val="24"/>
          <w:szCs w:val="24"/>
          <w:shd w:val="clear" w:color="auto" w:fill="FFFFFF"/>
        </w:rPr>
        <w:t xml:space="preserve">(13, 14, </w:t>
      </w:r>
      <w:r w:rsidR="00062A3B" w:rsidRPr="00062A3B">
        <w:rPr>
          <w:rFonts w:ascii="Times New Roman" w:hAnsi="Times New Roman" w:cs="Times New Roman"/>
          <w:noProof/>
          <w:sz w:val="24"/>
          <w:szCs w:val="24"/>
          <w:shd w:val="clear" w:color="auto" w:fill="FFFFFF"/>
        </w:rPr>
        <w:t>39</w:t>
      </w:r>
      <w:r w:rsidRPr="00062A3B">
        <w:rPr>
          <w:rFonts w:ascii="Times New Roman" w:hAnsi="Times New Roman" w:cs="Times New Roman"/>
          <w:noProof/>
          <w:sz w:val="24"/>
          <w:szCs w:val="24"/>
          <w:shd w:val="clear" w:color="auto" w:fill="FFFFFF"/>
        </w:rPr>
        <w:t>)</w:t>
      </w:r>
      <w:r w:rsidRPr="00062A3B">
        <w:rPr>
          <w:rFonts w:ascii="Times New Roman" w:hAnsi="Times New Roman" w:cs="Times New Roman"/>
          <w:sz w:val="24"/>
          <w:szCs w:val="24"/>
          <w:shd w:val="clear" w:color="auto" w:fill="FFFFFF"/>
        </w:rPr>
        <w:t xml:space="preserve">. Such codes have limited impact due to their voluntary adoption, variation in applications across countries, </w:t>
      </w:r>
      <w:r w:rsidRPr="00062A3B">
        <w:rPr>
          <w:rFonts w:ascii="Times New Roman" w:eastAsiaTheme="minorHAnsi" w:hAnsi="Times New Roman" w:cs="Times New Roman"/>
          <w:kern w:val="0"/>
          <w:sz w:val="24"/>
          <w:szCs w:val="24"/>
          <w:lang w:val="en-AU" w:eastAsia="en-US"/>
        </w:rPr>
        <w:t>inadequate or vague definitions for when and where food marketing to children can occur</w:t>
      </w:r>
      <w:r w:rsidR="00921971" w:rsidRPr="00062A3B">
        <w:rPr>
          <w:rFonts w:ascii="Times New Roman" w:eastAsiaTheme="minorHAnsi" w:hAnsi="Times New Roman" w:cs="Times New Roman"/>
          <w:kern w:val="0"/>
          <w:sz w:val="24"/>
          <w:szCs w:val="24"/>
          <w:lang w:val="en-AU" w:eastAsia="en-US"/>
        </w:rPr>
        <w:t xml:space="preserve"> and</w:t>
      </w:r>
      <w:r w:rsidRPr="00062A3B">
        <w:rPr>
          <w:rFonts w:ascii="Times New Roman" w:eastAsiaTheme="minorHAnsi" w:hAnsi="Times New Roman" w:cs="Times New Roman"/>
          <w:kern w:val="0"/>
          <w:sz w:val="24"/>
          <w:szCs w:val="24"/>
          <w:lang w:val="en-AU" w:eastAsia="en-US"/>
        </w:rPr>
        <w:t xml:space="preserve"> </w:t>
      </w:r>
      <w:r w:rsidR="00921971" w:rsidRPr="00062A3B">
        <w:rPr>
          <w:rFonts w:ascii="Times New Roman" w:hAnsi="Times New Roman" w:cs="Times New Roman"/>
          <w:sz w:val="24"/>
          <w:szCs w:val="24"/>
          <w:shd w:val="clear" w:color="auto" w:fill="FFFFFF"/>
        </w:rPr>
        <w:t xml:space="preserve">permissive nutrient criteria on which to base foods deemed acceptable to be promoted </w:t>
      </w:r>
      <w:r w:rsidRPr="00062A3B">
        <w:rPr>
          <w:rFonts w:ascii="Times New Roman" w:eastAsiaTheme="minorHAnsi" w:hAnsi="Times New Roman" w:cs="Times New Roman"/>
          <w:noProof/>
          <w:kern w:val="0"/>
          <w:sz w:val="24"/>
          <w:szCs w:val="24"/>
          <w:lang w:val="en-AU" w:eastAsia="en-US"/>
        </w:rPr>
        <w:t>(</w:t>
      </w:r>
      <w:r w:rsidR="00062A3B" w:rsidRPr="00062A3B">
        <w:rPr>
          <w:rFonts w:ascii="Times New Roman" w:eastAsiaTheme="minorHAnsi" w:hAnsi="Times New Roman" w:cs="Times New Roman"/>
          <w:noProof/>
          <w:kern w:val="0"/>
          <w:sz w:val="24"/>
          <w:szCs w:val="24"/>
          <w:lang w:val="en-AU" w:eastAsia="en-US"/>
        </w:rPr>
        <w:t>40</w:t>
      </w:r>
      <w:r w:rsidRPr="00062A3B">
        <w:rPr>
          <w:rFonts w:ascii="Times New Roman" w:eastAsiaTheme="minorHAnsi" w:hAnsi="Times New Roman" w:cs="Times New Roman"/>
          <w:noProof/>
          <w:kern w:val="0"/>
          <w:sz w:val="24"/>
          <w:szCs w:val="24"/>
          <w:lang w:val="en-AU" w:eastAsia="en-US"/>
        </w:rPr>
        <w:t>)</w:t>
      </w:r>
      <w:r w:rsidRPr="00062A3B">
        <w:rPr>
          <w:rFonts w:ascii="Times New Roman" w:eastAsiaTheme="minorHAnsi" w:hAnsi="Times New Roman" w:cs="Times New Roman"/>
          <w:kern w:val="0"/>
          <w:sz w:val="24"/>
          <w:szCs w:val="24"/>
          <w:lang w:val="en-AU" w:eastAsia="en-US"/>
        </w:rPr>
        <w:t xml:space="preserve">. </w:t>
      </w:r>
      <w:r w:rsidR="00921971" w:rsidRPr="00062A3B">
        <w:rPr>
          <w:rFonts w:ascii="Times New Roman" w:eastAsiaTheme="minorHAnsi" w:hAnsi="Times New Roman" w:cs="Times New Roman"/>
          <w:kern w:val="0"/>
          <w:sz w:val="24"/>
          <w:szCs w:val="24"/>
          <w:lang w:val="en-AU" w:eastAsia="en-US"/>
        </w:rPr>
        <w:t xml:space="preserve">Industry self-regulatory codes do not apply any universal or independently developed nutrient profiling model for identifying foods that may be advertised to children, such as the WHO Regional Office for Europe model used in this study. </w:t>
      </w:r>
    </w:p>
    <w:p w:rsidR="00921971" w:rsidRPr="00062A3B" w:rsidRDefault="00921971" w:rsidP="0092623A">
      <w:pPr>
        <w:widowControl/>
        <w:autoSpaceDE w:val="0"/>
        <w:autoSpaceDN w:val="0"/>
        <w:adjustRightInd w:val="0"/>
        <w:spacing w:line="480" w:lineRule="auto"/>
        <w:jc w:val="left"/>
        <w:rPr>
          <w:rFonts w:ascii="Times New Roman" w:eastAsiaTheme="minorHAnsi" w:hAnsi="Times New Roman" w:cs="Times New Roman"/>
          <w:kern w:val="0"/>
          <w:sz w:val="24"/>
          <w:szCs w:val="24"/>
          <w:lang w:val="en-AU" w:eastAsia="en-US"/>
        </w:rPr>
      </w:pPr>
    </w:p>
    <w:p w:rsidR="00600537" w:rsidRPr="00062A3B" w:rsidRDefault="00600537" w:rsidP="0092623A">
      <w:pPr>
        <w:widowControl/>
        <w:autoSpaceDE w:val="0"/>
        <w:autoSpaceDN w:val="0"/>
        <w:adjustRightInd w:val="0"/>
        <w:spacing w:line="480" w:lineRule="auto"/>
        <w:jc w:val="left"/>
        <w:rPr>
          <w:rFonts w:ascii="Times New Roman" w:eastAsia="SimSun" w:hAnsi="Times New Roman" w:cs="Times New Roman"/>
          <w:bCs/>
          <w:sz w:val="24"/>
          <w:szCs w:val="24"/>
          <w:lang w:val="en-AU"/>
        </w:rPr>
      </w:pPr>
      <w:r w:rsidRPr="00062A3B">
        <w:rPr>
          <w:rFonts w:ascii="Times New Roman" w:eastAsiaTheme="minorHAnsi" w:hAnsi="Times New Roman" w:cs="Times New Roman"/>
          <w:kern w:val="0"/>
          <w:sz w:val="24"/>
          <w:szCs w:val="24"/>
          <w:lang w:val="en-AU" w:eastAsia="en-US"/>
        </w:rPr>
        <w:t xml:space="preserve">Related to television, most industry codes of practice only apply to programs where the audience comprises at least 35% children, which occurs infrequently as identified from television audience measurement data </w:t>
      </w:r>
      <w:r w:rsidRPr="00062A3B">
        <w:rPr>
          <w:rFonts w:ascii="Times New Roman" w:eastAsiaTheme="minorHAnsi" w:hAnsi="Times New Roman" w:cs="Times New Roman"/>
          <w:noProof/>
          <w:kern w:val="0"/>
          <w:sz w:val="24"/>
          <w:szCs w:val="24"/>
          <w:lang w:val="en-AU" w:eastAsia="en-US"/>
        </w:rPr>
        <w:t>(</w:t>
      </w:r>
      <w:r w:rsidR="00062A3B" w:rsidRPr="00062A3B">
        <w:rPr>
          <w:rFonts w:ascii="Times New Roman" w:eastAsiaTheme="minorHAnsi" w:hAnsi="Times New Roman" w:cs="Times New Roman"/>
          <w:noProof/>
          <w:kern w:val="0"/>
          <w:sz w:val="24"/>
          <w:szCs w:val="24"/>
          <w:lang w:val="en-AU" w:eastAsia="en-US"/>
        </w:rPr>
        <w:t>40</w:t>
      </w:r>
      <w:r w:rsidRPr="00062A3B">
        <w:rPr>
          <w:rFonts w:ascii="Times New Roman" w:eastAsiaTheme="minorHAnsi" w:hAnsi="Times New Roman" w:cs="Times New Roman"/>
          <w:noProof/>
          <w:kern w:val="0"/>
          <w:sz w:val="24"/>
          <w:szCs w:val="24"/>
          <w:lang w:val="en-AU" w:eastAsia="en-US"/>
        </w:rPr>
        <w:t>)</w:t>
      </w:r>
      <w:r w:rsidRPr="00062A3B">
        <w:rPr>
          <w:rFonts w:ascii="Times New Roman" w:eastAsiaTheme="minorHAnsi" w:hAnsi="Times New Roman" w:cs="Times New Roman"/>
          <w:kern w:val="0"/>
          <w:sz w:val="24"/>
          <w:szCs w:val="24"/>
          <w:lang w:val="en-AU" w:eastAsia="en-US"/>
        </w:rPr>
        <w:t xml:space="preserve">. Alternatively, the definition of children’s peak viewing times adopted in the current study was based on the absolute number of children watching. At the time of data capture, five countries – </w:t>
      </w:r>
      <w:r w:rsidRPr="00062A3B">
        <w:rPr>
          <w:rFonts w:ascii="Times New Roman" w:eastAsia="SimSun" w:hAnsi="Times New Roman" w:cs="Times New Roman"/>
          <w:bCs/>
          <w:sz w:val="24"/>
          <w:szCs w:val="24"/>
          <w:lang w:val="en-AU"/>
        </w:rPr>
        <w:t>Australia, Mexico, South Africa, Thailand and the UK</w:t>
      </w:r>
      <w:r w:rsidRPr="00062A3B">
        <w:rPr>
          <w:rFonts w:ascii="Times New Roman" w:eastAsiaTheme="minorHAnsi" w:hAnsi="Times New Roman" w:cs="Times New Roman"/>
          <w:kern w:val="0"/>
          <w:sz w:val="24"/>
          <w:szCs w:val="24"/>
          <w:lang w:val="en-AU" w:eastAsia="en-US"/>
        </w:rPr>
        <w:t xml:space="preserve"> – also had Government regulations related to food marketing to children. Despite this, the frequency of advertisements for unhealthy foods </w:t>
      </w:r>
      <w:r w:rsidRPr="00062A3B">
        <w:rPr>
          <w:rFonts w:ascii="Times New Roman" w:hAnsi="Times New Roman" w:cs="Times New Roman"/>
          <w:sz w:val="24"/>
          <w:szCs w:val="24"/>
        </w:rPr>
        <w:t>and beverage</w:t>
      </w:r>
      <w:r w:rsidRPr="00062A3B">
        <w:rPr>
          <w:rFonts w:ascii="Times New Roman" w:eastAsiaTheme="minorHAnsi" w:hAnsi="Times New Roman" w:cs="Times New Roman"/>
          <w:kern w:val="0"/>
          <w:sz w:val="24"/>
          <w:szCs w:val="24"/>
          <w:lang w:val="en-AU" w:eastAsia="en-US"/>
        </w:rPr>
        <w:t xml:space="preserve">s during children’s peak viewing times was not significantly different to countries with no policy or with an industry self-regulatory code. Australia had one of the highest frequencies of advertising for unhealthy foods and beverages during children’s peak viewing times. This is unsurprising given that these Australian regulations </w:t>
      </w:r>
      <w:r w:rsidRPr="00062A3B">
        <w:rPr>
          <w:rFonts w:ascii="Times New Roman" w:eastAsia="SimSun" w:hAnsi="Times New Roman" w:cs="Times New Roman"/>
          <w:bCs/>
          <w:sz w:val="24"/>
          <w:szCs w:val="24"/>
          <w:lang w:val="en-AU"/>
        </w:rPr>
        <w:t xml:space="preserve">do not limit the types of foods that can be advertised to children but only make provisions on the use of some persuasive marketing techniques during a limited broadcast period (designated Children’s and Pre-school children’s programs) that does not correspond with peak viewing times. While South African regulations restrict advertising of unhealthy foods and beverages between 6am and 9pm daily, the rate of food advertising that should not be permitted during children’s peak viewing times was comparable to the sample mean. Audience data to derive peak viewing times for children were not available for Mexico, Thailand or the UK. More recently, Governments from some of the other sample countries have introduced or are in the process of introducing statutory regulations on food marketing to children, including Chile, Canada and Slovenia </w:t>
      </w:r>
      <w:r w:rsidRPr="00062A3B">
        <w:rPr>
          <w:rFonts w:ascii="Times New Roman" w:eastAsia="SimSun" w:hAnsi="Times New Roman" w:cs="Times New Roman"/>
          <w:bCs/>
          <w:noProof/>
          <w:sz w:val="24"/>
          <w:szCs w:val="24"/>
          <w:lang w:val="en-AU"/>
        </w:rPr>
        <w:t>(2</w:t>
      </w:r>
      <w:r w:rsidR="006000D2" w:rsidRPr="00062A3B">
        <w:rPr>
          <w:rFonts w:ascii="Times New Roman" w:eastAsia="SimSun" w:hAnsi="Times New Roman" w:cs="Times New Roman"/>
          <w:bCs/>
          <w:noProof/>
          <w:sz w:val="24"/>
          <w:szCs w:val="24"/>
          <w:lang w:val="en-AU"/>
        </w:rPr>
        <w:t>5</w:t>
      </w:r>
      <w:r w:rsidRPr="00062A3B">
        <w:rPr>
          <w:rFonts w:ascii="Times New Roman" w:eastAsia="SimSun" w:hAnsi="Times New Roman" w:cs="Times New Roman"/>
          <w:bCs/>
          <w:noProof/>
          <w:sz w:val="24"/>
          <w:szCs w:val="24"/>
          <w:lang w:val="en-AU"/>
        </w:rPr>
        <w:t>)</w:t>
      </w:r>
      <w:r w:rsidRPr="00062A3B">
        <w:rPr>
          <w:rFonts w:ascii="Times New Roman" w:eastAsia="SimSun" w:hAnsi="Times New Roman" w:cs="Times New Roman"/>
          <w:bCs/>
          <w:sz w:val="24"/>
          <w:szCs w:val="24"/>
          <w:lang w:val="en-AU"/>
        </w:rPr>
        <w:t xml:space="preserve">. </w:t>
      </w:r>
      <w:r w:rsidR="00981115" w:rsidRPr="00062A3B">
        <w:rPr>
          <w:rFonts w:ascii="Times New Roman" w:hAnsi="Times New Roman" w:cs="Times New Roman"/>
          <w:kern w:val="0"/>
          <w:sz w:val="24"/>
          <w:szCs w:val="24"/>
          <w:lang w:val="en-AU"/>
        </w:rPr>
        <w:t xml:space="preserve">The United States </w:t>
      </w:r>
      <w:r w:rsidR="00D839D8" w:rsidRPr="00062A3B">
        <w:rPr>
          <w:rFonts w:ascii="Times New Roman" w:hAnsi="Times New Roman" w:cs="Times New Roman"/>
          <w:kern w:val="0"/>
          <w:sz w:val="24"/>
          <w:szCs w:val="24"/>
          <w:lang w:val="en-AU"/>
        </w:rPr>
        <w:t xml:space="preserve">(US) </w:t>
      </w:r>
      <w:r w:rsidR="00981115" w:rsidRPr="00062A3B">
        <w:rPr>
          <w:rFonts w:ascii="Times New Roman" w:hAnsi="Times New Roman" w:cs="Times New Roman"/>
          <w:kern w:val="0"/>
          <w:sz w:val="24"/>
          <w:szCs w:val="24"/>
          <w:lang w:val="en-AU"/>
        </w:rPr>
        <w:t>is one country for which there exists a relatively large amount of television food advertising data but which was not included in the current comparative study. Analyses of American children’s exposure to television advertising for food and beverage products in the decade to 2016 have shown a 45% decrease in food-related advertisements during children’s programs</w:t>
      </w:r>
      <w:r w:rsidR="00D839D8" w:rsidRPr="00062A3B">
        <w:rPr>
          <w:rFonts w:ascii="Times New Roman" w:hAnsi="Times New Roman" w:cs="Times New Roman"/>
          <w:kern w:val="0"/>
          <w:sz w:val="24"/>
          <w:szCs w:val="24"/>
          <w:lang w:val="en-AU"/>
        </w:rPr>
        <w:t xml:space="preserve"> (</w:t>
      </w:r>
      <w:r w:rsidR="00062A3B" w:rsidRPr="00062A3B">
        <w:rPr>
          <w:rFonts w:ascii="Times New Roman" w:hAnsi="Times New Roman" w:cs="Times New Roman"/>
          <w:kern w:val="0"/>
          <w:sz w:val="24"/>
          <w:szCs w:val="24"/>
          <w:lang w:val="en-AU"/>
        </w:rPr>
        <w:t>41</w:t>
      </w:r>
      <w:r w:rsidR="00D839D8" w:rsidRPr="00062A3B">
        <w:rPr>
          <w:rFonts w:ascii="Times New Roman" w:hAnsi="Times New Roman" w:cs="Times New Roman"/>
          <w:kern w:val="0"/>
          <w:sz w:val="24"/>
          <w:szCs w:val="24"/>
          <w:lang w:val="en-AU"/>
        </w:rPr>
        <w:t>)</w:t>
      </w:r>
      <w:r w:rsidR="00F52E56" w:rsidRPr="00062A3B">
        <w:rPr>
          <w:rFonts w:ascii="Times New Roman" w:hAnsi="Times New Roman" w:cs="Times New Roman"/>
          <w:kern w:val="0"/>
          <w:sz w:val="24"/>
          <w:szCs w:val="24"/>
          <w:lang w:val="en-AU"/>
        </w:rPr>
        <w:t xml:space="preserve">. This coincides with the introduction of the American </w:t>
      </w:r>
      <w:r w:rsidR="00F52E56" w:rsidRPr="00062A3B">
        <w:rPr>
          <w:rFonts w:ascii="Times New Roman" w:hAnsi="Times New Roman" w:cs="Times New Roman"/>
          <w:sz w:val="24"/>
          <w:szCs w:val="24"/>
        </w:rPr>
        <w:t xml:space="preserve">Children’s Food and Beverage Advertising Initiative in 2007. However, in 2016, children viewed 26% more food-related advertisements than in 2007, given that the rate of food-related advertisements in non-children’s programming had increased. </w:t>
      </w:r>
      <w:r w:rsidR="00D839D8" w:rsidRPr="00062A3B">
        <w:rPr>
          <w:rFonts w:ascii="Times New Roman" w:hAnsi="Times New Roman" w:cs="Times New Roman"/>
          <w:sz w:val="24"/>
          <w:szCs w:val="24"/>
        </w:rPr>
        <w:t xml:space="preserve">The findings from the current study and </w:t>
      </w:r>
      <w:r w:rsidR="00ED2F92" w:rsidRPr="00062A3B">
        <w:rPr>
          <w:rFonts w:ascii="Times New Roman" w:hAnsi="Times New Roman" w:cs="Times New Roman"/>
          <w:sz w:val="24"/>
          <w:szCs w:val="24"/>
        </w:rPr>
        <w:t xml:space="preserve">studies from </w:t>
      </w:r>
      <w:r w:rsidR="00D839D8" w:rsidRPr="00062A3B">
        <w:rPr>
          <w:rFonts w:ascii="Times New Roman" w:hAnsi="Times New Roman" w:cs="Times New Roman"/>
          <w:sz w:val="24"/>
          <w:szCs w:val="24"/>
        </w:rPr>
        <w:t xml:space="preserve">the US suggest that restricting television advertising for unhealthy food and beverage products only during designated children’s programs will have minimal impact </w:t>
      </w:r>
      <w:r w:rsidR="00ED2F92" w:rsidRPr="00062A3B">
        <w:rPr>
          <w:rFonts w:ascii="Times New Roman" w:hAnsi="Times New Roman" w:cs="Times New Roman"/>
          <w:sz w:val="24"/>
          <w:szCs w:val="24"/>
        </w:rPr>
        <w:t xml:space="preserve">on children’s exposure </w:t>
      </w:r>
      <w:r w:rsidR="00D839D8" w:rsidRPr="00062A3B">
        <w:rPr>
          <w:rFonts w:ascii="Times New Roman" w:hAnsi="Times New Roman" w:cs="Times New Roman"/>
          <w:sz w:val="24"/>
          <w:szCs w:val="24"/>
        </w:rPr>
        <w:t xml:space="preserve">given children’s peak viewing times reside outside of these programs. </w:t>
      </w:r>
    </w:p>
    <w:p w:rsidR="00600537" w:rsidRPr="00062A3B" w:rsidRDefault="00600537" w:rsidP="0092623A">
      <w:pPr>
        <w:widowControl/>
        <w:autoSpaceDE w:val="0"/>
        <w:autoSpaceDN w:val="0"/>
        <w:adjustRightInd w:val="0"/>
        <w:spacing w:line="480" w:lineRule="auto"/>
        <w:jc w:val="left"/>
        <w:rPr>
          <w:rFonts w:ascii="Times New Roman" w:hAnsi="Times New Roman" w:cs="Times New Roman"/>
          <w:kern w:val="0"/>
          <w:sz w:val="24"/>
          <w:szCs w:val="24"/>
          <w:lang w:val="en-AU"/>
        </w:rPr>
      </w:pPr>
      <w:r w:rsidRPr="00062A3B">
        <w:rPr>
          <w:rFonts w:ascii="Times New Roman" w:eastAsia="SimSun" w:hAnsi="Times New Roman" w:cs="Times New Roman"/>
          <w:bCs/>
          <w:sz w:val="24"/>
          <w:szCs w:val="24"/>
          <w:lang w:val="en-AU"/>
        </w:rPr>
        <w:t xml:space="preserve">In our application of the WHO </w:t>
      </w:r>
      <w:r w:rsidRPr="00062A3B">
        <w:rPr>
          <w:rFonts w:ascii="Times New Roman" w:hAnsi="Times New Roman" w:cs="Times New Roman"/>
          <w:sz w:val="24"/>
          <w:szCs w:val="24"/>
        </w:rPr>
        <w:t xml:space="preserve">Regional Office for </w:t>
      </w:r>
      <w:r w:rsidRPr="00062A3B">
        <w:rPr>
          <w:rFonts w:ascii="Times New Roman" w:hAnsi="Times New Roman" w:cs="Times New Roman"/>
          <w:sz w:val="24"/>
          <w:szCs w:val="24"/>
          <w:lang w:val="en-NZ"/>
        </w:rPr>
        <w:t xml:space="preserve">Europe Nutrient Profile Model to the television advertising datasets, we </w:t>
      </w:r>
      <w:r w:rsidRPr="00062A3B">
        <w:rPr>
          <w:rFonts w:ascii="Times New Roman" w:eastAsia="SimSun" w:hAnsi="Times New Roman" w:cs="Times New Roman"/>
          <w:bCs/>
          <w:sz w:val="24"/>
          <w:szCs w:val="24"/>
          <w:lang w:val="en-AU"/>
        </w:rPr>
        <w:t xml:space="preserve">identified a number of considerations for applying such a model in policy. This model was specifically developed for use by European countries for classifying foods and beverages that should and should not be permitted to be advertised to children </w:t>
      </w:r>
      <w:r w:rsidRPr="00062A3B">
        <w:rPr>
          <w:rFonts w:ascii="Times New Roman" w:eastAsia="SimSun" w:hAnsi="Times New Roman" w:cs="Times New Roman"/>
          <w:bCs/>
          <w:noProof/>
          <w:sz w:val="24"/>
          <w:szCs w:val="24"/>
          <w:lang w:val="en-AU"/>
        </w:rPr>
        <w:t>(</w:t>
      </w:r>
      <w:r w:rsidR="006000D2" w:rsidRPr="00062A3B">
        <w:rPr>
          <w:rFonts w:ascii="Times New Roman" w:eastAsia="SimSun" w:hAnsi="Times New Roman" w:cs="Times New Roman"/>
          <w:bCs/>
          <w:noProof/>
          <w:sz w:val="24"/>
          <w:szCs w:val="24"/>
          <w:lang w:val="en-AU"/>
        </w:rPr>
        <w:t>26</w:t>
      </w:r>
      <w:r w:rsidRPr="00062A3B">
        <w:rPr>
          <w:rFonts w:ascii="Times New Roman" w:eastAsia="SimSun" w:hAnsi="Times New Roman" w:cs="Times New Roman"/>
          <w:bCs/>
          <w:noProof/>
          <w:sz w:val="24"/>
          <w:szCs w:val="24"/>
          <w:lang w:val="en-AU"/>
        </w:rPr>
        <w:t>)</w:t>
      </w:r>
      <w:r w:rsidRPr="00062A3B">
        <w:rPr>
          <w:rFonts w:ascii="Times New Roman" w:eastAsia="SimSun" w:hAnsi="Times New Roman" w:cs="Times New Roman"/>
          <w:bCs/>
          <w:sz w:val="24"/>
          <w:szCs w:val="24"/>
          <w:lang w:val="en-AU"/>
        </w:rPr>
        <w:t>. Other WHO regional offices have since produced variations of this model, such that the models reflect cultural eating patterns within global regions. Firstly, t</w:t>
      </w:r>
      <w:r w:rsidRPr="00062A3B">
        <w:rPr>
          <w:rFonts w:ascii="Times New Roman" w:hAnsi="Times New Roman" w:cs="Times New Roman"/>
          <w:kern w:val="0"/>
          <w:sz w:val="24"/>
          <w:szCs w:val="24"/>
          <w:lang w:val="en-AU"/>
        </w:rPr>
        <w:t xml:space="preserve">oddler or follow-up formulas are not covered by the WHO nutrient profiling models. The models’ guidelines recognise the World Health Assembly Resolution WHA39.28, which states that the practice of providing infants with specially formulated milks is not necessary. Given the large number of advertisements for </w:t>
      </w:r>
      <w:r w:rsidRPr="00062A3B">
        <w:rPr>
          <w:rFonts w:ascii="Times New Roman" w:eastAsia="SimSun" w:hAnsi="Times New Roman" w:cs="Times New Roman"/>
          <w:bCs/>
          <w:sz w:val="24"/>
          <w:szCs w:val="24"/>
          <w:lang w:val="en-AU"/>
        </w:rPr>
        <w:t>t</w:t>
      </w:r>
      <w:r w:rsidRPr="00062A3B">
        <w:rPr>
          <w:rFonts w:ascii="Times New Roman" w:hAnsi="Times New Roman" w:cs="Times New Roman"/>
          <w:kern w:val="0"/>
          <w:sz w:val="24"/>
          <w:szCs w:val="24"/>
          <w:lang w:val="en-AU"/>
        </w:rPr>
        <w:t xml:space="preserve">oddler or follow-up formula in some countries the models would benefit from explicitly stating if these advertisements should or should not be permitted. Secondly, there were a small number of advertisements for fast food company brands, where these were promoted in the absence of food or beverage products. It is foreseeable that these advertisements could increase in markets that applied the nutrient profiling model, as these products are not covered by the criteria. </w:t>
      </w:r>
    </w:p>
    <w:p w:rsidR="00600537" w:rsidRPr="00062A3B" w:rsidRDefault="00600537" w:rsidP="0092623A">
      <w:pPr>
        <w:widowControl/>
        <w:autoSpaceDE w:val="0"/>
        <w:autoSpaceDN w:val="0"/>
        <w:adjustRightInd w:val="0"/>
        <w:spacing w:line="480" w:lineRule="auto"/>
        <w:jc w:val="left"/>
        <w:rPr>
          <w:rFonts w:ascii="Times New Roman" w:hAnsi="Times New Roman" w:cs="Times New Roman"/>
          <w:kern w:val="0"/>
          <w:sz w:val="24"/>
          <w:szCs w:val="24"/>
          <w:lang w:val="en-AU"/>
        </w:rPr>
      </w:pPr>
    </w:p>
    <w:p w:rsidR="00600537" w:rsidRPr="00062A3B" w:rsidRDefault="00600537" w:rsidP="0092623A">
      <w:pPr>
        <w:widowControl/>
        <w:autoSpaceDE w:val="0"/>
        <w:autoSpaceDN w:val="0"/>
        <w:adjustRightInd w:val="0"/>
        <w:spacing w:line="480" w:lineRule="auto"/>
        <w:jc w:val="left"/>
        <w:rPr>
          <w:rFonts w:ascii="Times New Roman" w:hAnsi="Times New Roman" w:cs="Times New Roman"/>
          <w:b/>
          <w:sz w:val="24"/>
          <w:szCs w:val="24"/>
        </w:rPr>
      </w:pPr>
      <w:r w:rsidRPr="00062A3B">
        <w:rPr>
          <w:rFonts w:ascii="Times New Roman" w:hAnsi="Times New Roman" w:cs="Times New Roman"/>
          <w:kern w:val="0"/>
          <w:sz w:val="24"/>
          <w:szCs w:val="24"/>
          <w:lang w:val="en-AU"/>
        </w:rPr>
        <w:t xml:space="preserve">This study has some limitations. As noted above, the data captured were for a single point in time for each country, with the exception of the UK, and so changes over time as a result of marketing policies in most countries could not be ascertained. Further, the study analyses drew on existing data sources and as such, the time period and specifications for data collection varied across countries. Only potential exposures could be assessed, without accounting for the number of child viewers of these advertisements (i.e. the advertisement reach). The age definition of children also varied across countries, which limits the comparability of findings across countries in relation to advertising during children’s peak viewing times. </w:t>
      </w:r>
      <w:r w:rsidR="002529DF" w:rsidRPr="00062A3B">
        <w:rPr>
          <w:rFonts w:ascii="Times New Roman" w:hAnsi="Times New Roman" w:cs="Times New Roman"/>
          <w:kern w:val="0"/>
          <w:sz w:val="24"/>
          <w:szCs w:val="24"/>
          <w:lang w:val="en-AU"/>
        </w:rPr>
        <w:t xml:space="preserve">It should be noted that </w:t>
      </w:r>
      <w:r w:rsidR="00C8520C" w:rsidRPr="00062A3B">
        <w:rPr>
          <w:rFonts w:ascii="Times New Roman" w:hAnsi="Times New Roman" w:cs="Times New Roman"/>
          <w:kern w:val="0"/>
          <w:sz w:val="24"/>
          <w:szCs w:val="24"/>
          <w:lang w:val="en-AU"/>
        </w:rPr>
        <w:t>the World Health Organization’s Commission on Ending Childhood Obesity (</w:t>
      </w:r>
      <w:r w:rsidR="00062A3B" w:rsidRPr="00062A3B">
        <w:rPr>
          <w:rFonts w:ascii="Times New Roman" w:hAnsi="Times New Roman" w:cs="Times New Roman"/>
          <w:kern w:val="0"/>
          <w:sz w:val="24"/>
          <w:szCs w:val="24"/>
          <w:lang w:val="en-AU"/>
        </w:rPr>
        <w:t>9</w:t>
      </w:r>
      <w:r w:rsidR="00C8520C" w:rsidRPr="00062A3B">
        <w:rPr>
          <w:rFonts w:ascii="Times New Roman" w:hAnsi="Times New Roman" w:cs="Times New Roman"/>
          <w:kern w:val="0"/>
          <w:sz w:val="24"/>
          <w:szCs w:val="24"/>
          <w:lang w:val="en-AU"/>
        </w:rPr>
        <w:t>) and the UN Convention on the Rights of the Child (</w:t>
      </w:r>
      <w:r w:rsidR="00062A3B" w:rsidRPr="00062A3B">
        <w:rPr>
          <w:rFonts w:ascii="Times New Roman" w:hAnsi="Times New Roman" w:cs="Times New Roman"/>
          <w:kern w:val="0"/>
          <w:sz w:val="24"/>
          <w:szCs w:val="24"/>
          <w:lang w:val="en-AU"/>
        </w:rPr>
        <w:t>42</w:t>
      </w:r>
      <w:r w:rsidR="00C8520C" w:rsidRPr="00062A3B">
        <w:rPr>
          <w:rFonts w:ascii="Times New Roman" w:hAnsi="Times New Roman" w:cs="Times New Roman"/>
          <w:kern w:val="0"/>
          <w:sz w:val="24"/>
          <w:szCs w:val="24"/>
          <w:lang w:val="en-AU"/>
        </w:rPr>
        <w:t xml:space="preserve">) both specify that governments should define children as up to the age of 18 years. </w:t>
      </w:r>
      <w:r w:rsidRPr="00062A3B">
        <w:rPr>
          <w:rFonts w:ascii="Times New Roman" w:hAnsi="Times New Roman" w:cs="Times New Roman"/>
          <w:kern w:val="0"/>
          <w:sz w:val="24"/>
          <w:szCs w:val="24"/>
          <w:lang w:val="en-AU"/>
        </w:rPr>
        <w:t xml:space="preserve">Lastly, contemporary </w:t>
      </w:r>
      <w:r w:rsidRPr="00062A3B">
        <w:rPr>
          <w:rFonts w:ascii="Times New Roman" w:hAnsi="Times New Roman" w:cs="Times New Roman"/>
          <w:sz w:val="24"/>
          <w:szCs w:val="24"/>
        </w:rPr>
        <w:t xml:space="preserve">marketing is characterised by integrated communications, spanning multiple channels that reinforce promotional messages. This study was limited to measuring children’s potential exposure to food and beverage advertising on television only, given comparative data for other media are not available. Projections of total marketing expenditures indicate that expenditure on online media, and particularly social media advertising, will exceed that for television advertising in 2018 </w:t>
      </w:r>
      <w:r w:rsidRPr="00062A3B">
        <w:rPr>
          <w:rFonts w:ascii="Times New Roman" w:hAnsi="Times New Roman" w:cs="Times New Roman"/>
          <w:noProof/>
          <w:sz w:val="24"/>
          <w:szCs w:val="24"/>
        </w:rPr>
        <w:t>(</w:t>
      </w:r>
      <w:r w:rsidR="006000D2" w:rsidRPr="00062A3B">
        <w:rPr>
          <w:rFonts w:ascii="Times New Roman" w:hAnsi="Times New Roman" w:cs="Times New Roman"/>
          <w:noProof/>
          <w:sz w:val="24"/>
          <w:szCs w:val="24"/>
        </w:rPr>
        <w:t>4</w:t>
      </w:r>
      <w:r w:rsidR="00062A3B" w:rsidRPr="00062A3B">
        <w:rPr>
          <w:rFonts w:ascii="Times New Roman" w:hAnsi="Times New Roman" w:cs="Times New Roman"/>
          <w:noProof/>
          <w:sz w:val="24"/>
          <w:szCs w:val="24"/>
        </w:rPr>
        <w:t>3</w:t>
      </w:r>
      <w:r w:rsidRPr="00062A3B">
        <w:rPr>
          <w:rFonts w:ascii="Times New Roman" w:hAnsi="Times New Roman" w:cs="Times New Roman"/>
          <w:noProof/>
          <w:sz w:val="24"/>
          <w:szCs w:val="24"/>
        </w:rPr>
        <w:t>)</w:t>
      </w:r>
      <w:r w:rsidRPr="00062A3B">
        <w:rPr>
          <w:rFonts w:ascii="Times New Roman" w:hAnsi="Times New Roman" w:cs="Times New Roman"/>
          <w:sz w:val="24"/>
          <w:szCs w:val="24"/>
        </w:rPr>
        <w:t xml:space="preserve">. As such, comparative studies on children’s potential exposures to online media food marketing are needed. Strengths of this study included the recoding of country datasets </w:t>
      </w:r>
      <w:r w:rsidRPr="00062A3B">
        <w:rPr>
          <w:rFonts w:ascii="Times New Roman" w:hAnsi="Times New Roman" w:cs="Times New Roman"/>
          <w:kern w:val="0"/>
          <w:sz w:val="24"/>
          <w:szCs w:val="24"/>
          <w:lang w:val="en-AU"/>
        </w:rPr>
        <w:t xml:space="preserve">according to a standardised coding frame that has been adopted by INFORMAS </w:t>
      </w:r>
      <w:r w:rsidRPr="00062A3B">
        <w:rPr>
          <w:rFonts w:ascii="Times New Roman" w:hAnsi="Times New Roman" w:cs="Times New Roman"/>
          <w:noProof/>
          <w:kern w:val="0"/>
          <w:sz w:val="24"/>
          <w:szCs w:val="24"/>
          <w:lang w:val="en-AU"/>
        </w:rPr>
        <w:t>(23)</w:t>
      </w:r>
      <w:r w:rsidRPr="00062A3B">
        <w:rPr>
          <w:rFonts w:ascii="Times New Roman" w:hAnsi="Times New Roman" w:cs="Times New Roman"/>
          <w:kern w:val="0"/>
          <w:sz w:val="24"/>
          <w:szCs w:val="24"/>
          <w:lang w:val="en-AU"/>
        </w:rPr>
        <w:t xml:space="preserve"> to allow cross-country comparisons; the application of the WHO nutrient profiling model across countries to explore the extent that this model is appropriate for classifying products as part of food marketing regulations broadly; the use of data on child television viewing patterns to discern broadcast times when the greatest number of children are exposed; and the identification of parent companies of food </w:t>
      </w:r>
      <w:r w:rsidRPr="00062A3B">
        <w:rPr>
          <w:rFonts w:ascii="Times New Roman" w:hAnsi="Times New Roman" w:cs="Times New Roman"/>
          <w:sz w:val="24"/>
          <w:szCs w:val="24"/>
        </w:rPr>
        <w:t xml:space="preserve">and beverage </w:t>
      </w:r>
      <w:r w:rsidRPr="00062A3B">
        <w:rPr>
          <w:rFonts w:ascii="Times New Roman" w:hAnsi="Times New Roman" w:cs="Times New Roman"/>
          <w:kern w:val="0"/>
          <w:sz w:val="24"/>
          <w:szCs w:val="24"/>
          <w:lang w:val="en-AU"/>
        </w:rPr>
        <w:t>advertisements, an analysis that has not been undertaken previously.</w:t>
      </w:r>
      <w:r w:rsidR="00981115" w:rsidRPr="00062A3B">
        <w:rPr>
          <w:rFonts w:ascii="Times New Roman" w:hAnsi="Times New Roman" w:cs="Times New Roman"/>
          <w:kern w:val="0"/>
          <w:sz w:val="24"/>
          <w:szCs w:val="24"/>
          <w:lang w:val="en-AU"/>
        </w:rPr>
        <w:t xml:space="preserve"> </w:t>
      </w:r>
    </w:p>
    <w:p w:rsidR="00600537" w:rsidRPr="00062A3B" w:rsidRDefault="00600537" w:rsidP="0092623A">
      <w:pPr>
        <w:widowControl/>
        <w:autoSpaceDE w:val="0"/>
        <w:autoSpaceDN w:val="0"/>
        <w:adjustRightInd w:val="0"/>
        <w:spacing w:line="480" w:lineRule="auto"/>
        <w:jc w:val="left"/>
        <w:rPr>
          <w:rFonts w:ascii="Times New Roman" w:hAnsi="Times New Roman" w:cs="Times New Roman"/>
          <w:b/>
          <w:sz w:val="24"/>
          <w:szCs w:val="24"/>
        </w:rPr>
      </w:pPr>
    </w:p>
    <w:p w:rsidR="00600537" w:rsidRPr="00062A3B" w:rsidRDefault="00600537" w:rsidP="0092623A">
      <w:pPr>
        <w:widowControl/>
        <w:autoSpaceDE w:val="0"/>
        <w:autoSpaceDN w:val="0"/>
        <w:adjustRightInd w:val="0"/>
        <w:spacing w:line="480" w:lineRule="auto"/>
        <w:jc w:val="left"/>
        <w:rPr>
          <w:rFonts w:ascii="Times New Roman" w:hAnsi="Times New Roman" w:cs="Times New Roman"/>
          <w:b/>
          <w:sz w:val="24"/>
          <w:szCs w:val="24"/>
        </w:rPr>
      </w:pPr>
      <w:r w:rsidRPr="00062A3B">
        <w:rPr>
          <w:rFonts w:ascii="Times New Roman" w:hAnsi="Times New Roman" w:cs="Times New Roman"/>
          <w:b/>
          <w:sz w:val="24"/>
          <w:szCs w:val="24"/>
        </w:rPr>
        <w:t>Conclusion</w:t>
      </w:r>
    </w:p>
    <w:p w:rsidR="00600537" w:rsidRPr="00062A3B" w:rsidRDefault="00600537" w:rsidP="002B0CAE">
      <w:pPr>
        <w:widowControl/>
        <w:autoSpaceDE w:val="0"/>
        <w:autoSpaceDN w:val="0"/>
        <w:adjustRightInd w:val="0"/>
        <w:spacing w:line="480" w:lineRule="auto"/>
        <w:jc w:val="left"/>
        <w:rPr>
          <w:rFonts w:ascii="Times New Roman" w:hAnsi="Times New Roman" w:cs="Times New Roman"/>
          <w:b/>
          <w:sz w:val="24"/>
          <w:szCs w:val="24"/>
        </w:rPr>
      </w:pPr>
      <w:r w:rsidRPr="00062A3B">
        <w:rPr>
          <w:rFonts w:ascii="Times New Roman" w:hAnsi="Times New Roman" w:cs="Times New Roman"/>
          <w:sz w:val="24"/>
        </w:rPr>
        <w:t xml:space="preserve">Globally, children are potentially exposed to large volumes of television advertising for unhealthy foods and beverages, despite the implementation of food industry codes of practice for responsible marketing in many countries. Such policies have been ineffective in reducing exposures to this form of marketing. Across all countries, television food </w:t>
      </w:r>
      <w:r w:rsidRPr="00062A3B">
        <w:rPr>
          <w:rFonts w:ascii="Times New Roman" w:hAnsi="Times New Roman" w:cs="Times New Roman"/>
          <w:sz w:val="24"/>
          <w:szCs w:val="24"/>
        </w:rPr>
        <w:t xml:space="preserve">and beverage </w:t>
      </w:r>
      <w:r w:rsidRPr="00062A3B">
        <w:rPr>
          <w:rFonts w:ascii="Times New Roman" w:hAnsi="Times New Roman" w:cs="Times New Roman"/>
          <w:sz w:val="24"/>
        </w:rPr>
        <w:t>advertisements are predominantly for products that exceed WHO maximum thresholds for saturated fat, sodium and/or sugar for foods and beverages that are considered appropriate to be marketed to children. Most of these advertisements derive from multinational corporations,</w:t>
      </w:r>
      <w:r w:rsidRPr="00062A3B">
        <w:rPr>
          <w:rFonts w:ascii="Times New Roman" w:hAnsi="Times New Roman" w:cs="Times New Roman"/>
          <w:sz w:val="24"/>
          <w:lang w:val="mt-MT"/>
        </w:rPr>
        <w:t xml:space="preserve"> which</w:t>
      </w:r>
      <w:r w:rsidRPr="00062A3B">
        <w:rPr>
          <w:rFonts w:ascii="Times New Roman" w:hAnsi="Times New Roman" w:cs="Times New Roman"/>
          <w:sz w:val="24"/>
        </w:rPr>
        <w:t xml:space="preserve"> reach children by buying advertising slots at times when the greatest number of children are watching and by using techniques with strong persuasive appeal that are engaging to young people. Monitoring data such as those presented in this study can be used as part of evidence-informed policy making by identifying the broadcast periods during which the highest frequencies of advertisements occur, the persuasive techniques that are used and identifying considerations for applying nutrient profiling models.</w:t>
      </w:r>
    </w:p>
    <w:p w:rsidR="00062A3B" w:rsidRPr="00062A3B" w:rsidRDefault="00062A3B">
      <w:pPr>
        <w:widowControl/>
        <w:spacing w:after="160" w:line="259" w:lineRule="auto"/>
        <w:jc w:val="left"/>
        <w:rPr>
          <w:rFonts w:ascii="Times New Roman" w:hAnsi="Times New Roman" w:cs="Times New Roman"/>
          <w:b/>
          <w:sz w:val="24"/>
          <w:szCs w:val="24"/>
        </w:rPr>
      </w:pPr>
      <w:r w:rsidRPr="00062A3B">
        <w:rPr>
          <w:rFonts w:ascii="Times New Roman" w:hAnsi="Times New Roman" w:cs="Times New Roman"/>
          <w:b/>
          <w:sz w:val="24"/>
          <w:szCs w:val="24"/>
        </w:rPr>
        <w:br w:type="page"/>
      </w:r>
    </w:p>
    <w:p w:rsidR="00600537" w:rsidRPr="00062A3B" w:rsidRDefault="00600537" w:rsidP="0016658E">
      <w:pPr>
        <w:spacing w:line="480" w:lineRule="auto"/>
        <w:jc w:val="left"/>
        <w:rPr>
          <w:rFonts w:ascii="Times New Roman" w:hAnsi="Times New Roman" w:cs="Times New Roman"/>
          <w:b/>
          <w:sz w:val="24"/>
          <w:szCs w:val="24"/>
        </w:rPr>
      </w:pPr>
      <w:r w:rsidRPr="00062A3B">
        <w:rPr>
          <w:rFonts w:ascii="Times New Roman" w:hAnsi="Times New Roman" w:cs="Times New Roman"/>
          <w:b/>
          <w:sz w:val="24"/>
          <w:szCs w:val="24"/>
        </w:rPr>
        <w:t>References</w:t>
      </w:r>
    </w:p>
    <w:p w:rsidR="00600537" w:rsidRPr="00062A3B" w:rsidRDefault="00600537" w:rsidP="002B0CAE">
      <w:pPr>
        <w:pStyle w:val="EndNoteBibliography"/>
        <w:rPr>
          <w:szCs w:val="24"/>
        </w:rPr>
      </w:pPr>
      <w:bookmarkStart w:id="5" w:name="_ENREF_1"/>
      <w:r w:rsidRPr="00062A3B">
        <w:t>1.</w:t>
      </w:r>
      <w:r w:rsidRPr="00062A3B">
        <w:tab/>
      </w:r>
      <w:r w:rsidRPr="00062A3B">
        <w:rPr>
          <w:szCs w:val="24"/>
        </w:rPr>
        <w:t>Dalmeny K, Hanna E, Lobstein T. Broadcasting Bad Health: Why food advertising needs to be controlled. International Association of Consumer Food Organisations; 2003.</w:t>
      </w:r>
      <w:bookmarkEnd w:id="5"/>
    </w:p>
    <w:p w:rsidR="00600537" w:rsidRPr="00062A3B" w:rsidRDefault="00600537" w:rsidP="002B0CAE">
      <w:pPr>
        <w:pStyle w:val="EndNoteBibliography"/>
        <w:rPr>
          <w:szCs w:val="24"/>
        </w:rPr>
      </w:pPr>
      <w:bookmarkStart w:id="6" w:name="_ENREF_2"/>
      <w:r w:rsidRPr="00062A3B">
        <w:rPr>
          <w:szCs w:val="24"/>
        </w:rPr>
        <w:t>2.</w:t>
      </w:r>
      <w:r w:rsidRPr="00062A3B">
        <w:rPr>
          <w:szCs w:val="24"/>
        </w:rPr>
        <w:tab/>
        <w:t>Escelante de Cruz A. The junk food generation. A multi-country survey of the influence of television advertisements on children</w:t>
      </w:r>
      <w:r w:rsidR="00E60A18" w:rsidRPr="00062A3B">
        <w:rPr>
          <w:szCs w:val="24"/>
        </w:rPr>
        <w:t xml:space="preserve">. Consumers International: Kuala Lumpur </w:t>
      </w:r>
      <w:r w:rsidRPr="00062A3B">
        <w:rPr>
          <w:szCs w:val="24"/>
        </w:rPr>
        <w:t>2004.</w:t>
      </w:r>
      <w:bookmarkEnd w:id="6"/>
    </w:p>
    <w:p w:rsidR="00600537" w:rsidRPr="00062A3B" w:rsidRDefault="00600537" w:rsidP="002B0CAE">
      <w:pPr>
        <w:pStyle w:val="EndNoteBibliography"/>
        <w:rPr>
          <w:szCs w:val="24"/>
        </w:rPr>
      </w:pPr>
      <w:bookmarkStart w:id="7" w:name="_ENREF_3"/>
      <w:r w:rsidRPr="00062A3B">
        <w:rPr>
          <w:szCs w:val="24"/>
        </w:rPr>
        <w:t>3.</w:t>
      </w:r>
      <w:r w:rsidRPr="00062A3B">
        <w:rPr>
          <w:szCs w:val="24"/>
        </w:rPr>
        <w:tab/>
        <w:t xml:space="preserve">Hastings. G, McDermott. L, Angus. K, Stead. M, Thomson. S. The extent, nature and effects of food promotion to children: a review of the evidence. </w:t>
      </w:r>
      <w:r w:rsidR="00E60A18" w:rsidRPr="00062A3B">
        <w:rPr>
          <w:szCs w:val="24"/>
        </w:rPr>
        <w:t xml:space="preserve">World Health Organization: </w:t>
      </w:r>
      <w:r w:rsidRPr="00062A3B">
        <w:rPr>
          <w:szCs w:val="24"/>
        </w:rPr>
        <w:t>Geneva 2006.</w:t>
      </w:r>
      <w:bookmarkEnd w:id="7"/>
    </w:p>
    <w:p w:rsidR="00600537" w:rsidRPr="00062A3B" w:rsidRDefault="00600537" w:rsidP="002B0CAE">
      <w:pPr>
        <w:pStyle w:val="EndNoteBibliography"/>
        <w:rPr>
          <w:szCs w:val="24"/>
        </w:rPr>
      </w:pPr>
      <w:bookmarkStart w:id="8" w:name="_ENREF_4"/>
      <w:r w:rsidRPr="00062A3B">
        <w:rPr>
          <w:szCs w:val="24"/>
        </w:rPr>
        <w:t>4.</w:t>
      </w:r>
      <w:r w:rsidRPr="00062A3B">
        <w:rPr>
          <w:szCs w:val="24"/>
        </w:rPr>
        <w:tab/>
        <w:t>Livingstone S. New research on advertising foods to children: an updated review of the literature. Published as Annex 9 to Ofcom Television Advertising of Food and Drink Products to Children consultation. Office of Communications (Ofcom)</w:t>
      </w:r>
      <w:r w:rsidR="00E60A18" w:rsidRPr="00062A3B">
        <w:rPr>
          <w:szCs w:val="24"/>
        </w:rPr>
        <w:t>: London</w:t>
      </w:r>
      <w:r w:rsidRPr="00062A3B">
        <w:rPr>
          <w:szCs w:val="24"/>
        </w:rPr>
        <w:t xml:space="preserve"> 2006.</w:t>
      </w:r>
      <w:bookmarkEnd w:id="8"/>
    </w:p>
    <w:p w:rsidR="00600537" w:rsidRPr="00062A3B" w:rsidRDefault="00600537" w:rsidP="002B0CAE">
      <w:pPr>
        <w:pStyle w:val="EndNoteBibliography"/>
        <w:rPr>
          <w:szCs w:val="24"/>
        </w:rPr>
      </w:pPr>
      <w:bookmarkStart w:id="9" w:name="_ENREF_5"/>
      <w:r w:rsidRPr="00062A3B">
        <w:rPr>
          <w:szCs w:val="24"/>
        </w:rPr>
        <w:t>5.</w:t>
      </w:r>
      <w:r w:rsidRPr="00062A3B">
        <w:rPr>
          <w:szCs w:val="24"/>
        </w:rPr>
        <w:tab/>
        <w:t>McGinnis MJ, Gootman JA, Kraak VI. Food Marketing to Children and Youth: threat or Opportunity? Food and Nutrition Board, Board on Children, Youth and Families, Institute of Medicine of the National Academies; 2006 [Available from: http://books.nap.edu/catalog/11514.html</w:t>
      </w:r>
      <w:r w:rsidR="00E60A18" w:rsidRPr="00062A3B">
        <w:rPr>
          <w:szCs w:val="24"/>
        </w:rPr>
        <w:t>]</w:t>
      </w:r>
      <w:r w:rsidRPr="00062A3B">
        <w:rPr>
          <w:szCs w:val="24"/>
        </w:rPr>
        <w:t xml:space="preserve"> </w:t>
      </w:r>
      <w:bookmarkEnd w:id="9"/>
    </w:p>
    <w:p w:rsidR="00600537" w:rsidRPr="00062A3B" w:rsidRDefault="00600537" w:rsidP="002B0CAE">
      <w:pPr>
        <w:pStyle w:val="EndNoteBibliography"/>
        <w:rPr>
          <w:szCs w:val="24"/>
        </w:rPr>
      </w:pPr>
      <w:bookmarkStart w:id="10" w:name="_ENREF_6"/>
      <w:r w:rsidRPr="00062A3B">
        <w:rPr>
          <w:szCs w:val="24"/>
        </w:rPr>
        <w:t>6.</w:t>
      </w:r>
      <w:r w:rsidRPr="00062A3B">
        <w:rPr>
          <w:szCs w:val="24"/>
        </w:rPr>
        <w:tab/>
        <w:t>Hastings.G, Stead.M, McDermott. L, et al. Review of research on the effects of food promotion to children. Food Standard Agency</w:t>
      </w:r>
      <w:r w:rsidR="00E60A18" w:rsidRPr="00062A3B">
        <w:rPr>
          <w:szCs w:val="24"/>
        </w:rPr>
        <w:t>: London</w:t>
      </w:r>
      <w:r w:rsidRPr="00062A3B">
        <w:rPr>
          <w:szCs w:val="24"/>
        </w:rPr>
        <w:t xml:space="preserve"> 2003.</w:t>
      </w:r>
      <w:bookmarkEnd w:id="10"/>
    </w:p>
    <w:p w:rsidR="00600537" w:rsidRPr="00062A3B" w:rsidRDefault="00600537" w:rsidP="002B0CAE">
      <w:pPr>
        <w:pStyle w:val="EndNoteBibliography"/>
        <w:rPr>
          <w:szCs w:val="24"/>
        </w:rPr>
      </w:pPr>
      <w:bookmarkStart w:id="11" w:name="_ENREF_7"/>
      <w:r w:rsidRPr="00062A3B">
        <w:rPr>
          <w:szCs w:val="24"/>
        </w:rPr>
        <w:t>7.</w:t>
      </w:r>
      <w:r w:rsidRPr="00062A3B">
        <w:rPr>
          <w:szCs w:val="24"/>
        </w:rPr>
        <w:tab/>
        <w:t>Cairns G, Angus K, Hastings G. The extent nature and effects of food promotion to children: a review of the evidence to December 2008. World Health Organization</w:t>
      </w:r>
      <w:r w:rsidR="001A0382" w:rsidRPr="00062A3B">
        <w:rPr>
          <w:szCs w:val="24"/>
        </w:rPr>
        <w:t xml:space="preserve">: Geneva </w:t>
      </w:r>
      <w:r w:rsidRPr="00062A3B">
        <w:rPr>
          <w:szCs w:val="24"/>
        </w:rPr>
        <w:t xml:space="preserve"> 2009.</w:t>
      </w:r>
      <w:bookmarkEnd w:id="11"/>
    </w:p>
    <w:p w:rsidR="00600537" w:rsidRPr="00062A3B" w:rsidRDefault="00600537" w:rsidP="002B0CAE">
      <w:pPr>
        <w:pStyle w:val="EndNoteBibliography"/>
        <w:rPr>
          <w:szCs w:val="24"/>
        </w:rPr>
      </w:pPr>
      <w:bookmarkStart w:id="12" w:name="_ENREF_8"/>
      <w:r w:rsidRPr="00062A3B">
        <w:rPr>
          <w:szCs w:val="24"/>
        </w:rPr>
        <w:t>8.</w:t>
      </w:r>
      <w:r w:rsidRPr="00062A3B">
        <w:rPr>
          <w:szCs w:val="24"/>
        </w:rPr>
        <w:tab/>
        <w:t xml:space="preserve">World Health Organization. Set of recommendations on the marketing of foods and non-alcoholic beverages to children. </w:t>
      </w:r>
      <w:r w:rsidR="001A0382" w:rsidRPr="00062A3B">
        <w:rPr>
          <w:szCs w:val="24"/>
        </w:rPr>
        <w:t>World Health Organization: Geneva</w:t>
      </w:r>
      <w:r w:rsidRPr="00062A3B">
        <w:rPr>
          <w:szCs w:val="24"/>
        </w:rPr>
        <w:t xml:space="preserve"> 2010.</w:t>
      </w:r>
      <w:bookmarkEnd w:id="12"/>
    </w:p>
    <w:p w:rsidR="00600537" w:rsidRPr="00062A3B" w:rsidRDefault="00600537" w:rsidP="002B0CAE">
      <w:pPr>
        <w:pStyle w:val="EndNoteBibliography"/>
        <w:rPr>
          <w:szCs w:val="24"/>
        </w:rPr>
      </w:pPr>
      <w:bookmarkStart w:id="13" w:name="_ENREF_9"/>
      <w:r w:rsidRPr="00062A3B">
        <w:rPr>
          <w:szCs w:val="24"/>
        </w:rPr>
        <w:t>9.</w:t>
      </w:r>
      <w:r w:rsidRPr="00062A3B">
        <w:rPr>
          <w:szCs w:val="24"/>
        </w:rPr>
        <w:tab/>
        <w:t xml:space="preserve">World Health Organization. Report of the commission on ending childhood obesity. </w:t>
      </w:r>
      <w:r w:rsidR="001A0382" w:rsidRPr="00062A3B">
        <w:rPr>
          <w:szCs w:val="24"/>
        </w:rPr>
        <w:t xml:space="preserve">World Health Organization: Geneva </w:t>
      </w:r>
      <w:r w:rsidRPr="00062A3B">
        <w:rPr>
          <w:szCs w:val="24"/>
        </w:rPr>
        <w:t>2016.</w:t>
      </w:r>
      <w:bookmarkEnd w:id="13"/>
    </w:p>
    <w:p w:rsidR="00600537" w:rsidRPr="00062A3B" w:rsidRDefault="00600537" w:rsidP="002B0CAE">
      <w:pPr>
        <w:pStyle w:val="EndNoteBibliography"/>
        <w:rPr>
          <w:szCs w:val="24"/>
        </w:rPr>
      </w:pPr>
      <w:bookmarkStart w:id="14" w:name="_ENREF_10"/>
      <w:r w:rsidRPr="00062A3B">
        <w:rPr>
          <w:szCs w:val="24"/>
        </w:rPr>
        <w:t>10.</w:t>
      </w:r>
      <w:r w:rsidRPr="00062A3B">
        <w:rPr>
          <w:szCs w:val="24"/>
        </w:rPr>
        <w:tab/>
        <w:t xml:space="preserve">World Health Organization. Global action plan for the prevention and control of NCDs 2013-2020. </w:t>
      </w:r>
      <w:r w:rsidR="001A0382" w:rsidRPr="00062A3B">
        <w:rPr>
          <w:szCs w:val="24"/>
        </w:rPr>
        <w:t>World Health Organization: Geneva</w:t>
      </w:r>
      <w:r w:rsidRPr="00062A3B">
        <w:rPr>
          <w:szCs w:val="24"/>
        </w:rPr>
        <w:t xml:space="preserve"> 2013.</w:t>
      </w:r>
      <w:bookmarkEnd w:id="14"/>
    </w:p>
    <w:p w:rsidR="001A0382" w:rsidRPr="00062A3B" w:rsidRDefault="00600537" w:rsidP="001A0382">
      <w:pPr>
        <w:pStyle w:val="EndNoteBibliography"/>
        <w:rPr>
          <w:szCs w:val="24"/>
        </w:rPr>
      </w:pPr>
      <w:bookmarkStart w:id="15" w:name="_ENREF_11"/>
      <w:r w:rsidRPr="00062A3B">
        <w:rPr>
          <w:szCs w:val="24"/>
        </w:rPr>
        <w:t>11.</w:t>
      </w:r>
      <w:r w:rsidRPr="00062A3B">
        <w:rPr>
          <w:szCs w:val="24"/>
        </w:rPr>
        <w:tab/>
        <w:t>World Health Organization. NCD global monitoring framework</w:t>
      </w:r>
      <w:r w:rsidR="001A0382" w:rsidRPr="00062A3B">
        <w:rPr>
          <w:szCs w:val="24"/>
        </w:rPr>
        <w:t>. World Health Organization: Geneva 2013.</w:t>
      </w:r>
    </w:p>
    <w:p w:rsidR="00600537" w:rsidRPr="00062A3B" w:rsidRDefault="00600537" w:rsidP="002B0CAE">
      <w:pPr>
        <w:pStyle w:val="EndNoteBibliography"/>
        <w:rPr>
          <w:szCs w:val="24"/>
        </w:rPr>
      </w:pPr>
      <w:r w:rsidRPr="00062A3B">
        <w:rPr>
          <w:szCs w:val="24"/>
        </w:rPr>
        <w:t xml:space="preserve"> </w:t>
      </w:r>
      <w:bookmarkStart w:id="16" w:name="_ENREF_12"/>
      <w:bookmarkEnd w:id="15"/>
      <w:r w:rsidRPr="00062A3B">
        <w:rPr>
          <w:szCs w:val="24"/>
        </w:rPr>
        <w:t>12.</w:t>
      </w:r>
      <w:r w:rsidRPr="00062A3B">
        <w:rPr>
          <w:szCs w:val="24"/>
        </w:rPr>
        <w:tab/>
        <w:t>Kraak VI, Vandevijvere S, Sacks G, et al. Progress achieved in restricting the marketing of high-fat, sugary and salty food and beverage products to children. Bull World Health Organ 2016;</w:t>
      </w:r>
      <w:r w:rsidR="001A0382" w:rsidRPr="00062A3B">
        <w:rPr>
          <w:szCs w:val="24"/>
        </w:rPr>
        <w:t xml:space="preserve"> </w:t>
      </w:r>
      <w:r w:rsidRPr="00062A3B">
        <w:rPr>
          <w:szCs w:val="24"/>
        </w:rPr>
        <w:t>94(7):540-8.</w:t>
      </w:r>
      <w:bookmarkEnd w:id="16"/>
    </w:p>
    <w:p w:rsidR="00600537" w:rsidRPr="00062A3B" w:rsidRDefault="00600537" w:rsidP="002B0CAE">
      <w:pPr>
        <w:pStyle w:val="EndNoteBibliography"/>
        <w:rPr>
          <w:szCs w:val="24"/>
        </w:rPr>
      </w:pPr>
      <w:bookmarkStart w:id="17" w:name="_ENREF_13"/>
      <w:r w:rsidRPr="00062A3B">
        <w:rPr>
          <w:szCs w:val="24"/>
        </w:rPr>
        <w:t>13.</w:t>
      </w:r>
      <w:r w:rsidRPr="00062A3B">
        <w:rPr>
          <w:szCs w:val="24"/>
        </w:rPr>
        <w:tab/>
        <w:t>World Health Organization Regional Office for Europe. Evaluating implementation of the WHO set of recommendations on the marketing of foods and non-alcoholic beverages to children. Progress, challenges and guidance for next steps in the WHO European Region</w:t>
      </w:r>
      <w:r w:rsidR="001A0382" w:rsidRPr="00062A3B">
        <w:rPr>
          <w:szCs w:val="24"/>
        </w:rPr>
        <w:t xml:space="preserve">. </w:t>
      </w:r>
      <w:r w:rsidRPr="00062A3B">
        <w:rPr>
          <w:szCs w:val="24"/>
        </w:rPr>
        <w:t xml:space="preserve"> </w:t>
      </w:r>
      <w:r w:rsidR="001A0382" w:rsidRPr="00062A3B">
        <w:rPr>
          <w:szCs w:val="24"/>
        </w:rPr>
        <w:t xml:space="preserve">WHO Regional Office for Europe: Copenhagen </w:t>
      </w:r>
      <w:r w:rsidRPr="00062A3B">
        <w:rPr>
          <w:szCs w:val="24"/>
        </w:rPr>
        <w:t>2018</w:t>
      </w:r>
      <w:bookmarkEnd w:id="17"/>
      <w:r w:rsidR="001A0382" w:rsidRPr="00062A3B">
        <w:rPr>
          <w:szCs w:val="24"/>
        </w:rPr>
        <w:t xml:space="preserve">. </w:t>
      </w:r>
    </w:p>
    <w:p w:rsidR="00600537" w:rsidRPr="00062A3B" w:rsidRDefault="00600537" w:rsidP="002B0CAE">
      <w:pPr>
        <w:pStyle w:val="EndNoteBibliography"/>
        <w:rPr>
          <w:szCs w:val="24"/>
        </w:rPr>
      </w:pPr>
      <w:bookmarkStart w:id="18" w:name="_ENREF_14"/>
      <w:r w:rsidRPr="00062A3B">
        <w:rPr>
          <w:szCs w:val="24"/>
        </w:rPr>
        <w:t>14.</w:t>
      </w:r>
      <w:r w:rsidRPr="00062A3B">
        <w:rPr>
          <w:szCs w:val="24"/>
        </w:rPr>
        <w:tab/>
        <w:t xml:space="preserve">World Health Organization. Regional Office for the Eastern Mediterranean. Implementing the WHO recommendations on the marketing of food and non-alcoholic beverages to children in the Eastern Mediterranean Region. </w:t>
      </w:r>
      <w:r w:rsidR="001A0382" w:rsidRPr="00062A3B">
        <w:rPr>
          <w:szCs w:val="24"/>
        </w:rPr>
        <w:t xml:space="preserve">WHO Regional Office for the Eastern Mediterranean: </w:t>
      </w:r>
      <w:r w:rsidRPr="00062A3B">
        <w:rPr>
          <w:szCs w:val="24"/>
        </w:rPr>
        <w:t>Cairo 2018.</w:t>
      </w:r>
      <w:bookmarkEnd w:id="18"/>
    </w:p>
    <w:p w:rsidR="00600537" w:rsidRPr="00062A3B" w:rsidRDefault="00600537" w:rsidP="002B0CAE">
      <w:pPr>
        <w:pStyle w:val="EndNoteBibliography"/>
        <w:rPr>
          <w:szCs w:val="24"/>
        </w:rPr>
      </w:pPr>
      <w:bookmarkStart w:id="19" w:name="_ENREF_15"/>
      <w:r w:rsidRPr="00062A3B">
        <w:rPr>
          <w:szCs w:val="24"/>
        </w:rPr>
        <w:t>15.</w:t>
      </w:r>
      <w:r w:rsidRPr="00062A3B">
        <w:rPr>
          <w:szCs w:val="24"/>
        </w:rPr>
        <w:tab/>
        <w:t>Abarca-Gómez L, Abdeen ZA, Hamid ZA, et al. Worldwide trends in body-mass index, underweight, overweight, and obesity from 1975 to 2016: a pooled analysis of 2416 population-based measurement studies in 128</w:t>
      </w:r>
      <w:r w:rsidR="001A0382" w:rsidRPr="00062A3B">
        <w:rPr>
          <w:szCs w:val="24"/>
        </w:rPr>
        <w:t>.</w:t>
      </w:r>
      <w:r w:rsidRPr="00062A3B">
        <w:rPr>
          <w:szCs w:val="24"/>
        </w:rPr>
        <w:t>9 million children, adolescents, and adults. Lancet</w:t>
      </w:r>
      <w:r w:rsidR="003549B1" w:rsidRPr="00062A3B">
        <w:rPr>
          <w:szCs w:val="24"/>
        </w:rPr>
        <w:t xml:space="preserve"> 2017;</w:t>
      </w:r>
      <w:bookmarkEnd w:id="19"/>
      <w:r w:rsidR="001A0382" w:rsidRPr="00062A3B">
        <w:rPr>
          <w:szCs w:val="24"/>
        </w:rPr>
        <w:t xml:space="preserve"> 390 (10113)</w:t>
      </w:r>
      <w:r w:rsidR="003549B1" w:rsidRPr="00062A3B">
        <w:rPr>
          <w:szCs w:val="24"/>
        </w:rPr>
        <w:t>:</w:t>
      </w:r>
      <w:r w:rsidR="001A0382" w:rsidRPr="00062A3B">
        <w:rPr>
          <w:szCs w:val="24"/>
        </w:rPr>
        <w:t xml:space="preserve"> 2627-2642. </w:t>
      </w:r>
    </w:p>
    <w:p w:rsidR="003549B1" w:rsidRPr="00062A3B" w:rsidRDefault="00600537" w:rsidP="002B0CAE">
      <w:pPr>
        <w:pStyle w:val="EndNoteBibliography"/>
        <w:rPr>
          <w:szCs w:val="24"/>
        </w:rPr>
      </w:pPr>
      <w:bookmarkStart w:id="20" w:name="_ENREF_16"/>
      <w:r w:rsidRPr="00062A3B">
        <w:rPr>
          <w:szCs w:val="24"/>
        </w:rPr>
        <w:t>16.</w:t>
      </w:r>
      <w:r w:rsidRPr="00062A3B">
        <w:rPr>
          <w:szCs w:val="24"/>
        </w:rPr>
        <w:tab/>
        <w:t>Hawkes C. Uneven dietary development: linking the policies and processes of globalization with the nutrition transition, obesity and diet-related chronic diseases. Globalization and Health 2006;</w:t>
      </w:r>
      <w:r w:rsidR="003549B1" w:rsidRPr="00062A3B">
        <w:rPr>
          <w:szCs w:val="24"/>
        </w:rPr>
        <w:t xml:space="preserve"> </w:t>
      </w:r>
      <w:r w:rsidRPr="00062A3B">
        <w:rPr>
          <w:szCs w:val="24"/>
        </w:rPr>
        <w:t>2</w:t>
      </w:r>
      <w:r w:rsidR="003549B1" w:rsidRPr="00062A3B">
        <w:rPr>
          <w:szCs w:val="24"/>
        </w:rPr>
        <w:t>(</w:t>
      </w:r>
      <w:r w:rsidRPr="00062A3B">
        <w:rPr>
          <w:szCs w:val="24"/>
        </w:rPr>
        <w:t>4</w:t>
      </w:r>
      <w:bookmarkEnd w:id="20"/>
      <w:r w:rsidR="003549B1" w:rsidRPr="00062A3B">
        <w:rPr>
          <w:szCs w:val="24"/>
        </w:rPr>
        <w:t xml:space="preserve">): </w:t>
      </w:r>
      <w:r w:rsidR="003549B1" w:rsidRPr="00062A3B">
        <w:rPr>
          <w:szCs w:val="24"/>
          <w:shd w:val="clear" w:color="auto" w:fill="FFFFFF"/>
        </w:rPr>
        <w:t>doi:10.1186/1744-8603-2-4.</w:t>
      </w:r>
      <w:r w:rsidR="003549B1" w:rsidRPr="00062A3B">
        <w:rPr>
          <w:rFonts w:ascii="Arial" w:hAnsi="Arial" w:cs="Arial"/>
          <w:sz w:val="20"/>
          <w:szCs w:val="20"/>
          <w:shd w:val="clear" w:color="auto" w:fill="FFFFFF"/>
        </w:rPr>
        <w:t xml:space="preserve"> </w:t>
      </w:r>
    </w:p>
    <w:p w:rsidR="00600537" w:rsidRPr="00062A3B" w:rsidRDefault="00600537" w:rsidP="002B0CAE">
      <w:pPr>
        <w:pStyle w:val="EndNoteBibliography"/>
        <w:rPr>
          <w:szCs w:val="24"/>
        </w:rPr>
      </w:pPr>
      <w:bookmarkStart w:id="21" w:name="_ENREF_17"/>
      <w:r w:rsidRPr="00062A3B">
        <w:rPr>
          <w:szCs w:val="24"/>
        </w:rPr>
        <w:t>17.</w:t>
      </w:r>
      <w:r w:rsidRPr="00062A3B">
        <w:rPr>
          <w:szCs w:val="24"/>
        </w:rPr>
        <w:tab/>
        <w:t>Swinburn B, Sacks G, Vandevijvere S, et al. INFORMAS (International Network for Food and Obesity/non-communicable diseases Research, Monitoring and Action Support): overview and key principles. Obes Rev 2013;14</w:t>
      </w:r>
      <w:r w:rsidR="003549B1" w:rsidRPr="00062A3B">
        <w:rPr>
          <w:szCs w:val="24"/>
        </w:rPr>
        <w:t>(S1)</w:t>
      </w:r>
      <w:r w:rsidRPr="00062A3B">
        <w:rPr>
          <w:szCs w:val="24"/>
        </w:rPr>
        <w:t>:</w:t>
      </w:r>
      <w:r w:rsidR="003549B1" w:rsidRPr="00062A3B">
        <w:rPr>
          <w:szCs w:val="24"/>
        </w:rPr>
        <w:t xml:space="preserve"> </w:t>
      </w:r>
      <w:r w:rsidRPr="00062A3B">
        <w:rPr>
          <w:szCs w:val="24"/>
        </w:rPr>
        <w:t>1-12.</w:t>
      </w:r>
      <w:bookmarkEnd w:id="21"/>
    </w:p>
    <w:p w:rsidR="00600537" w:rsidRPr="00062A3B" w:rsidRDefault="00600537" w:rsidP="002B0CAE">
      <w:pPr>
        <w:pStyle w:val="EndNoteBibliography"/>
        <w:rPr>
          <w:szCs w:val="24"/>
        </w:rPr>
      </w:pPr>
      <w:bookmarkStart w:id="22" w:name="_ENREF_18"/>
      <w:r w:rsidRPr="00062A3B">
        <w:rPr>
          <w:szCs w:val="24"/>
        </w:rPr>
        <w:t>18.</w:t>
      </w:r>
      <w:r w:rsidRPr="00062A3B">
        <w:rPr>
          <w:szCs w:val="24"/>
        </w:rPr>
        <w:tab/>
        <w:t>Kelly B, King L, Baur L, et al. Monitoring food and non-alcoholic beverage promotions to children. Obes Rev 2013;</w:t>
      </w:r>
      <w:r w:rsidR="003549B1" w:rsidRPr="00062A3B">
        <w:rPr>
          <w:szCs w:val="24"/>
        </w:rPr>
        <w:t xml:space="preserve"> </w:t>
      </w:r>
      <w:r w:rsidRPr="00062A3B">
        <w:rPr>
          <w:szCs w:val="24"/>
        </w:rPr>
        <w:t>14</w:t>
      </w:r>
      <w:r w:rsidR="003549B1" w:rsidRPr="00062A3B">
        <w:rPr>
          <w:szCs w:val="24"/>
        </w:rPr>
        <w:t>(</w:t>
      </w:r>
      <w:r w:rsidRPr="00062A3B">
        <w:rPr>
          <w:szCs w:val="24"/>
        </w:rPr>
        <w:t>S</w:t>
      </w:r>
      <w:r w:rsidR="003549B1" w:rsidRPr="00062A3B">
        <w:rPr>
          <w:szCs w:val="24"/>
        </w:rPr>
        <w:t>1)</w:t>
      </w:r>
      <w:r w:rsidRPr="00062A3B">
        <w:rPr>
          <w:szCs w:val="24"/>
        </w:rPr>
        <w:t>:</w:t>
      </w:r>
      <w:r w:rsidR="003549B1" w:rsidRPr="00062A3B">
        <w:rPr>
          <w:szCs w:val="24"/>
        </w:rPr>
        <w:t xml:space="preserve"> </w:t>
      </w:r>
      <w:r w:rsidRPr="00062A3B">
        <w:rPr>
          <w:szCs w:val="24"/>
        </w:rPr>
        <w:t>59-69.</w:t>
      </w:r>
      <w:bookmarkEnd w:id="22"/>
    </w:p>
    <w:p w:rsidR="00600537" w:rsidRPr="00062A3B" w:rsidRDefault="00600537" w:rsidP="002B0CAE">
      <w:pPr>
        <w:pStyle w:val="EndNoteBibliography"/>
        <w:rPr>
          <w:szCs w:val="24"/>
        </w:rPr>
      </w:pPr>
      <w:bookmarkStart w:id="23" w:name="_ENREF_19"/>
      <w:r w:rsidRPr="00062A3B">
        <w:rPr>
          <w:szCs w:val="24"/>
        </w:rPr>
        <w:t>19.</w:t>
      </w:r>
      <w:r w:rsidRPr="00062A3B">
        <w:rPr>
          <w:szCs w:val="24"/>
        </w:rPr>
        <w:tab/>
        <w:t>Sacks G, Swinburn B, Kraak V, et al. A proposed approach to monitor private-sector policies and practices related to food environments, obesity and non-communicable disease prevention. Obes Rev 2013;</w:t>
      </w:r>
      <w:r w:rsidR="003549B1" w:rsidRPr="00062A3B">
        <w:rPr>
          <w:szCs w:val="24"/>
        </w:rPr>
        <w:t xml:space="preserve"> </w:t>
      </w:r>
      <w:r w:rsidRPr="00062A3B">
        <w:rPr>
          <w:szCs w:val="24"/>
        </w:rPr>
        <w:t>14(S1):</w:t>
      </w:r>
      <w:r w:rsidR="003549B1" w:rsidRPr="00062A3B">
        <w:rPr>
          <w:szCs w:val="24"/>
        </w:rPr>
        <w:t xml:space="preserve"> </w:t>
      </w:r>
      <w:r w:rsidRPr="00062A3B">
        <w:rPr>
          <w:szCs w:val="24"/>
        </w:rPr>
        <w:t>38-48.</w:t>
      </w:r>
      <w:bookmarkEnd w:id="23"/>
    </w:p>
    <w:p w:rsidR="00600537" w:rsidRPr="00062A3B" w:rsidRDefault="00600537" w:rsidP="002B0CAE">
      <w:pPr>
        <w:pStyle w:val="EndNoteBibliography"/>
        <w:rPr>
          <w:szCs w:val="24"/>
        </w:rPr>
      </w:pPr>
      <w:bookmarkStart w:id="24" w:name="_ENREF_20"/>
      <w:r w:rsidRPr="00062A3B">
        <w:rPr>
          <w:szCs w:val="24"/>
        </w:rPr>
        <w:t>20.</w:t>
      </w:r>
      <w:r w:rsidRPr="00062A3B">
        <w:rPr>
          <w:szCs w:val="24"/>
        </w:rPr>
        <w:tab/>
        <w:t>Swinburn B, Vandevijvere S, Kraak V, et al. Monitoring and benchmarking government policies and actions to improve the healthiness of food environments: a proposed Government Healthy Food Environment Policy Index. Obes Rev 2013;</w:t>
      </w:r>
      <w:r w:rsidR="003549B1" w:rsidRPr="00062A3B">
        <w:rPr>
          <w:szCs w:val="24"/>
        </w:rPr>
        <w:t xml:space="preserve"> </w:t>
      </w:r>
      <w:r w:rsidRPr="00062A3B">
        <w:rPr>
          <w:szCs w:val="24"/>
        </w:rPr>
        <w:t>14(S1):</w:t>
      </w:r>
      <w:r w:rsidR="003549B1" w:rsidRPr="00062A3B">
        <w:rPr>
          <w:szCs w:val="24"/>
        </w:rPr>
        <w:t xml:space="preserve"> </w:t>
      </w:r>
      <w:r w:rsidRPr="00062A3B">
        <w:rPr>
          <w:szCs w:val="24"/>
        </w:rPr>
        <w:t>24-37.</w:t>
      </w:r>
      <w:bookmarkEnd w:id="24"/>
    </w:p>
    <w:p w:rsidR="00600537" w:rsidRPr="00062A3B" w:rsidRDefault="00600537" w:rsidP="002B0CAE">
      <w:pPr>
        <w:pStyle w:val="EndNoteBibliography"/>
        <w:rPr>
          <w:szCs w:val="24"/>
        </w:rPr>
      </w:pPr>
      <w:bookmarkStart w:id="25" w:name="_ENREF_21"/>
      <w:r w:rsidRPr="00062A3B">
        <w:rPr>
          <w:szCs w:val="24"/>
        </w:rPr>
        <w:t>21.</w:t>
      </w:r>
      <w:r w:rsidRPr="00062A3B">
        <w:rPr>
          <w:szCs w:val="24"/>
        </w:rPr>
        <w:tab/>
        <w:t xml:space="preserve">World Health Organization. A framework for implementing the set of recommendations on the marketing of foods and non-alcoholic beverages to children. </w:t>
      </w:r>
      <w:r w:rsidR="003549B1" w:rsidRPr="00062A3B">
        <w:rPr>
          <w:szCs w:val="24"/>
        </w:rPr>
        <w:t xml:space="preserve">World Health Organization: </w:t>
      </w:r>
      <w:r w:rsidRPr="00062A3B">
        <w:rPr>
          <w:szCs w:val="24"/>
        </w:rPr>
        <w:t>Geneva 2012.</w:t>
      </w:r>
      <w:bookmarkEnd w:id="25"/>
    </w:p>
    <w:p w:rsidR="00600537" w:rsidRPr="00062A3B" w:rsidRDefault="00600537" w:rsidP="002B0CAE">
      <w:pPr>
        <w:pStyle w:val="EndNoteBibliography"/>
        <w:rPr>
          <w:szCs w:val="24"/>
        </w:rPr>
      </w:pPr>
      <w:bookmarkStart w:id="26" w:name="_ENREF_22"/>
      <w:r w:rsidRPr="00062A3B">
        <w:rPr>
          <w:szCs w:val="24"/>
        </w:rPr>
        <w:t>22.</w:t>
      </w:r>
      <w:r w:rsidRPr="00062A3B">
        <w:rPr>
          <w:szCs w:val="24"/>
        </w:rPr>
        <w:tab/>
        <w:t xml:space="preserve">Cairns G, Angus K, Hastings G, Caraher M. Systematic reviews of the evidence on the nature, extent and effects of food marketing to children. A </w:t>
      </w:r>
      <w:r w:rsidR="003549B1" w:rsidRPr="00062A3B">
        <w:rPr>
          <w:szCs w:val="24"/>
        </w:rPr>
        <w:t>retrospective summary. Appetite</w:t>
      </w:r>
      <w:r w:rsidRPr="00062A3B">
        <w:rPr>
          <w:szCs w:val="24"/>
        </w:rPr>
        <w:t xml:space="preserve"> 2013;</w:t>
      </w:r>
      <w:r w:rsidR="003549B1" w:rsidRPr="00062A3B">
        <w:rPr>
          <w:szCs w:val="24"/>
        </w:rPr>
        <w:t xml:space="preserve"> </w:t>
      </w:r>
      <w:r w:rsidRPr="00062A3B">
        <w:rPr>
          <w:szCs w:val="24"/>
        </w:rPr>
        <w:t>62:</w:t>
      </w:r>
      <w:r w:rsidR="003549B1" w:rsidRPr="00062A3B">
        <w:rPr>
          <w:szCs w:val="24"/>
        </w:rPr>
        <w:t xml:space="preserve"> </w:t>
      </w:r>
      <w:r w:rsidRPr="00062A3B">
        <w:rPr>
          <w:szCs w:val="24"/>
        </w:rPr>
        <w:t>209-15.</w:t>
      </w:r>
      <w:bookmarkEnd w:id="26"/>
    </w:p>
    <w:p w:rsidR="00600537" w:rsidRPr="00062A3B" w:rsidRDefault="00600537" w:rsidP="002B0CAE">
      <w:pPr>
        <w:pStyle w:val="EndNoteBibliography"/>
        <w:rPr>
          <w:szCs w:val="24"/>
        </w:rPr>
      </w:pPr>
      <w:bookmarkStart w:id="27" w:name="_ENREF_23"/>
      <w:r w:rsidRPr="00062A3B">
        <w:rPr>
          <w:szCs w:val="24"/>
        </w:rPr>
        <w:t>23.</w:t>
      </w:r>
      <w:r w:rsidRPr="00062A3B">
        <w:rPr>
          <w:szCs w:val="24"/>
        </w:rPr>
        <w:tab/>
        <w:t>INFORMAS. Protocols: University of Auckland 2017 [Available from: http://www.informas.org/resources/</w:t>
      </w:r>
      <w:r w:rsidR="003549B1" w:rsidRPr="00062A3B">
        <w:rPr>
          <w:szCs w:val="24"/>
        </w:rPr>
        <w:t>]</w:t>
      </w:r>
      <w:r w:rsidRPr="00062A3B">
        <w:rPr>
          <w:szCs w:val="24"/>
        </w:rPr>
        <w:t>.</w:t>
      </w:r>
      <w:bookmarkEnd w:id="27"/>
    </w:p>
    <w:p w:rsidR="00600537" w:rsidRPr="00062A3B" w:rsidRDefault="006000D2" w:rsidP="002B0CAE">
      <w:pPr>
        <w:pStyle w:val="EndNoteBibliography"/>
        <w:rPr>
          <w:szCs w:val="24"/>
        </w:rPr>
      </w:pPr>
      <w:bookmarkStart w:id="28" w:name="_ENREF_25"/>
      <w:r w:rsidRPr="00062A3B">
        <w:rPr>
          <w:szCs w:val="24"/>
        </w:rPr>
        <w:t>24</w:t>
      </w:r>
      <w:r w:rsidR="00600537" w:rsidRPr="00062A3B">
        <w:rPr>
          <w:szCs w:val="24"/>
        </w:rPr>
        <w:t>.</w:t>
      </w:r>
      <w:r w:rsidR="00600537" w:rsidRPr="00062A3B">
        <w:rPr>
          <w:szCs w:val="24"/>
        </w:rPr>
        <w:tab/>
        <w:t>Rudd Center for Food Policy and Obesity</w:t>
      </w:r>
      <w:r w:rsidR="003549B1" w:rsidRPr="00062A3B">
        <w:rPr>
          <w:szCs w:val="24"/>
        </w:rPr>
        <w:t>, University of Connecticut</w:t>
      </w:r>
      <w:r w:rsidR="00600537" w:rsidRPr="00062A3B">
        <w:rPr>
          <w:szCs w:val="24"/>
        </w:rPr>
        <w:t>. Pledges on food marketing to children worldwide</w:t>
      </w:r>
      <w:r w:rsidR="003549B1" w:rsidRPr="00062A3B">
        <w:rPr>
          <w:szCs w:val="24"/>
        </w:rPr>
        <w:t xml:space="preserve"> 201</w:t>
      </w:r>
      <w:r w:rsidR="00600537" w:rsidRPr="00062A3B">
        <w:rPr>
          <w:szCs w:val="24"/>
        </w:rPr>
        <w:t>5 [Available from: http://pledges.uconnruddcenter.org/</w:t>
      </w:r>
      <w:r w:rsidR="003549B1" w:rsidRPr="00062A3B">
        <w:rPr>
          <w:szCs w:val="24"/>
        </w:rPr>
        <w:t>]</w:t>
      </w:r>
      <w:r w:rsidR="00600537" w:rsidRPr="00062A3B">
        <w:rPr>
          <w:szCs w:val="24"/>
        </w:rPr>
        <w:t>.</w:t>
      </w:r>
      <w:bookmarkEnd w:id="28"/>
    </w:p>
    <w:p w:rsidR="00600537" w:rsidRPr="00062A3B" w:rsidRDefault="006000D2" w:rsidP="002B0CAE">
      <w:pPr>
        <w:pStyle w:val="EndNoteBibliography"/>
        <w:rPr>
          <w:szCs w:val="24"/>
        </w:rPr>
      </w:pPr>
      <w:bookmarkStart w:id="29" w:name="_ENREF_26"/>
      <w:r w:rsidRPr="00062A3B">
        <w:rPr>
          <w:szCs w:val="24"/>
        </w:rPr>
        <w:t>25</w:t>
      </w:r>
      <w:r w:rsidR="00600537" w:rsidRPr="00062A3B">
        <w:rPr>
          <w:szCs w:val="24"/>
        </w:rPr>
        <w:t>.</w:t>
      </w:r>
      <w:r w:rsidR="00600537" w:rsidRPr="00062A3B">
        <w:rPr>
          <w:szCs w:val="24"/>
        </w:rPr>
        <w:tab/>
        <w:t>World Cancer Research Fund. NOURISHING database 2018 [Available from: https://www.wcrf.org/int/policy/nourishing-database.</w:t>
      </w:r>
      <w:bookmarkEnd w:id="29"/>
    </w:p>
    <w:p w:rsidR="00600537" w:rsidRPr="00062A3B" w:rsidRDefault="006000D2" w:rsidP="002B0CAE">
      <w:pPr>
        <w:pStyle w:val="EndNoteBibliography"/>
        <w:rPr>
          <w:szCs w:val="24"/>
        </w:rPr>
      </w:pPr>
      <w:bookmarkStart w:id="30" w:name="_ENREF_28"/>
      <w:r w:rsidRPr="00062A3B">
        <w:rPr>
          <w:szCs w:val="24"/>
        </w:rPr>
        <w:t>26</w:t>
      </w:r>
      <w:r w:rsidR="00600537" w:rsidRPr="00062A3B">
        <w:rPr>
          <w:szCs w:val="24"/>
        </w:rPr>
        <w:t>.</w:t>
      </w:r>
      <w:r w:rsidR="00600537" w:rsidRPr="00062A3B">
        <w:rPr>
          <w:szCs w:val="24"/>
        </w:rPr>
        <w:tab/>
        <w:t>WHO Regional Office for Europe. WHO Regional Office for Europe nutrient profile model</w:t>
      </w:r>
      <w:r w:rsidR="003549B1" w:rsidRPr="00062A3B">
        <w:rPr>
          <w:szCs w:val="24"/>
        </w:rPr>
        <w:t xml:space="preserve">. </w:t>
      </w:r>
      <w:r w:rsidR="00600537" w:rsidRPr="00062A3B">
        <w:rPr>
          <w:szCs w:val="24"/>
        </w:rPr>
        <w:t xml:space="preserve"> </w:t>
      </w:r>
      <w:r w:rsidR="003549B1" w:rsidRPr="00062A3B">
        <w:rPr>
          <w:szCs w:val="24"/>
        </w:rPr>
        <w:t xml:space="preserve">WHO Regional Office for Europe: </w:t>
      </w:r>
      <w:r w:rsidR="00600537" w:rsidRPr="00062A3B">
        <w:rPr>
          <w:szCs w:val="24"/>
        </w:rPr>
        <w:t>Copenhagen 2015.</w:t>
      </w:r>
      <w:bookmarkEnd w:id="30"/>
    </w:p>
    <w:p w:rsidR="00600537" w:rsidRPr="00062A3B" w:rsidRDefault="006000D2" w:rsidP="002B0CAE">
      <w:pPr>
        <w:pStyle w:val="EndNoteBibliography"/>
        <w:rPr>
          <w:szCs w:val="24"/>
        </w:rPr>
      </w:pPr>
      <w:bookmarkStart w:id="31" w:name="_ENREF_29"/>
      <w:r w:rsidRPr="00062A3B">
        <w:rPr>
          <w:szCs w:val="24"/>
        </w:rPr>
        <w:t>27</w:t>
      </w:r>
      <w:r w:rsidR="00600537" w:rsidRPr="00062A3B">
        <w:rPr>
          <w:szCs w:val="24"/>
        </w:rPr>
        <w:t>.</w:t>
      </w:r>
      <w:r w:rsidR="00600537" w:rsidRPr="00062A3B">
        <w:rPr>
          <w:szCs w:val="24"/>
        </w:rPr>
        <w:tab/>
        <w:t>Kraak VI, Story M. Influence of food companies' brand mascots and entertainment companies' cartoon media characters on children's diet and health: a systematic review and research needs. Obes Rev 2015;</w:t>
      </w:r>
      <w:r w:rsidR="003549B1" w:rsidRPr="00062A3B">
        <w:rPr>
          <w:szCs w:val="24"/>
        </w:rPr>
        <w:t xml:space="preserve"> </w:t>
      </w:r>
      <w:r w:rsidR="00600537" w:rsidRPr="00062A3B">
        <w:rPr>
          <w:szCs w:val="24"/>
        </w:rPr>
        <w:t>16(2):</w:t>
      </w:r>
      <w:r w:rsidR="003549B1" w:rsidRPr="00062A3B">
        <w:rPr>
          <w:szCs w:val="24"/>
        </w:rPr>
        <w:t xml:space="preserve"> </w:t>
      </w:r>
      <w:r w:rsidR="00600537" w:rsidRPr="00062A3B">
        <w:rPr>
          <w:szCs w:val="24"/>
        </w:rPr>
        <w:t>107-</w:t>
      </w:r>
      <w:r w:rsidR="007A4EEC" w:rsidRPr="00062A3B">
        <w:rPr>
          <w:szCs w:val="24"/>
        </w:rPr>
        <w:t>1</w:t>
      </w:r>
      <w:r w:rsidR="00600537" w:rsidRPr="00062A3B">
        <w:rPr>
          <w:szCs w:val="24"/>
        </w:rPr>
        <w:t>26.</w:t>
      </w:r>
      <w:bookmarkEnd w:id="31"/>
    </w:p>
    <w:p w:rsidR="00600537" w:rsidRPr="00062A3B" w:rsidRDefault="006000D2" w:rsidP="002B0CAE">
      <w:pPr>
        <w:pStyle w:val="EndNoteBibliography"/>
        <w:rPr>
          <w:szCs w:val="24"/>
        </w:rPr>
      </w:pPr>
      <w:bookmarkStart w:id="32" w:name="_ENREF_30"/>
      <w:r w:rsidRPr="00062A3B">
        <w:rPr>
          <w:szCs w:val="24"/>
        </w:rPr>
        <w:t>28</w:t>
      </w:r>
      <w:r w:rsidR="00600537" w:rsidRPr="00062A3B">
        <w:rPr>
          <w:szCs w:val="24"/>
        </w:rPr>
        <w:t>.</w:t>
      </w:r>
      <w:r w:rsidR="00600537" w:rsidRPr="00062A3B">
        <w:rPr>
          <w:szCs w:val="24"/>
        </w:rPr>
        <w:tab/>
        <w:t>Kelly B, Hebden L, King L, et al. Children's exposure to food advertising on free-to-air television: an Asia-Pacific perspective. Health Prom</w:t>
      </w:r>
      <w:r w:rsidR="003549B1" w:rsidRPr="00062A3B">
        <w:rPr>
          <w:szCs w:val="24"/>
        </w:rPr>
        <w:t>otion International</w:t>
      </w:r>
      <w:r w:rsidR="00600537" w:rsidRPr="00062A3B">
        <w:rPr>
          <w:szCs w:val="24"/>
        </w:rPr>
        <w:t xml:space="preserve"> 2016;</w:t>
      </w:r>
      <w:r w:rsidR="003549B1" w:rsidRPr="00062A3B">
        <w:rPr>
          <w:szCs w:val="24"/>
        </w:rPr>
        <w:t xml:space="preserve"> </w:t>
      </w:r>
      <w:r w:rsidR="00600537" w:rsidRPr="00062A3B">
        <w:rPr>
          <w:szCs w:val="24"/>
        </w:rPr>
        <w:t>31(1):144-</w:t>
      </w:r>
      <w:r w:rsidR="007A4EEC" w:rsidRPr="00062A3B">
        <w:rPr>
          <w:szCs w:val="24"/>
        </w:rPr>
        <w:t>1</w:t>
      </w:r>
      <w:r w:rsidR="00600537" w:rsidRPr="00062A3B">
        <w:rPr>
          <w:szCs w:val="24"/>
        </w:rPr>
        <w:t>52.</w:t>
      </w:r>
      <w:bookmarkEnd w:id="32"/>
    </w:p>
    <w:p w:rsidR="00600537" w:rsidRPr="00062A3B" w:rsidRDefault="006000D2" w:rsidP="002B0CAE">
      <w:pPr>
        <w:pStyle w:val="EndNoteBibliography"/>
        <w:rPr>
          <w:szCs w:val="24"/>
        </w:rPr>
      </w:pPr>
      <w:bookmarkStart w:id="33" w:name="_ENREF_31"/>
      <w:r w:rsidRPr="00062A3B">
        <w:rPr>
          <w:szCs w:val="24"/>
        </w:rPr>
        <w:t>29</w:t>
      </w:r>
      <w:r w:rsidR="00600537" w:rsidRPr="00062A3B">
        <w:rPr>
          <w:szCs w:val="24"/>
        </w:rPr>
        <w:t>.</w:t>
      </w:r>
      <w:r w:rsidR="00600537" w:rsidRPr="00062A3B">
        <w:rPr>
          <w:szCs w:val="24"/>
        </w:rPr>
        <w:tab/>
        <w:t>Kelly B, Halford JCG, Boyland EJ, et al. Television Food Advertising to Children: A Global Perspective. Am J Public Health 2010;</w:t>
      </w:r>
      <w:r w:rsidR="003549B1" w:rsidRPr="00062A3B">
        <w:rPr>
          <w:szCs w:val="24"/>
        </w:rPr>
        <w:t xml:space="preserve"> </w:t>
      </w:r>
      <w:r w:rsidR="00600537" w:rsidRPr="00062A3B">
        <w:rPr>
          <w:szCs w:val="24"/>
        </w:rPr>
        <w:t>100(9):</w:t>
      </w:r>
      <w:r w:rsidR="003549B1" w:rsidRPr="00062A3B">
        <w:rPr>
          <w:szCs w:val="24"/>
        </w:rPr>
        <w:t xml:space="preserve"> </w:t>
      </w:r>
      <w:r w:rsidR="00600537" w:rsidRPr="00062A3B">
        <w:rPr>
          <w:szCs w:val="24"/>
        </w:rPr>
        <w:t>1730-</w:t>
      </w:r>
      <w:r w:rsidR="007A4EEC" w:rsidRPr="00062A3B">
        <w:rPr>
          <w:szCs w:val="24"/>
        </w:rPr>
        <w:t>173</w:t>
      </w:r>
      <w:r w:rsidR="00600537" w:rsidRPr="00062A3B">
        <w:rPr>
          <w:szCs w:val="24"/>
        </w:rPr>
        <w:t>6.</w:t>
      </w:r>
      <w:bookmarkEnd w:id="33"/>
    </w:p>
    <w:p w:rsidR="00600537" w:rsidRPr="00062A3B" w:rsidRDefault="00600537" w:rsidP="002B0CAE">
      <w:pPr>
        <w:pStyle w:val="EndNoteBibliography"/>
        <w:rPr>
          <w:szCs w:val="24"/>
        </w:rPr>
      </w:pPr>
      <w:bookmarkStart w:id="34" w:name="_ENREF_32"/>
      <w:r w:rsidRPr="00062A3B">
        <w:rPr>
          <w:szCs w:val="24"/>
        </w:rPr>
        <w:t>3</w:t>
      </w:r>
      <w:r w:rsidR="006000D2" w:rsidRPr="00062A3B">
        <w:rPr>
          <w:szCs w:val="24"/>
        </w:rPr>
        <w:t>0</w:t>
      </w:r>
      <w:r w:rsidRPr="00062A3B">
        <w:rPr>
          <w:szCs w:val="24"/>
        </w:rPr>
        <w:t>.</w:t>
      </w:r>
      <w:r w:rsidRPr="00062A3B">
        <w:rPr>
          <w:szCs w:val="24"/>
        </w:rPr>
        <w:tab/>
        <w:t>Korošec Ž, Pravst I. Television food advertising to children in Slovenia: analyses using a large 12-month advertising dataset. International Journal of Public Health 2016;</w:t>
      </w:r>
      <w:r w:rsidR="003549B1" w:rsidRPr="00062A3B">
        <w:rPr>
          <w:szCs w:val="24"/>
        </w:rPr>
        <w:t xml:space="preserve"> </w:t>
      </w:r>
      <w:r w:rsidRPr="00062A3B">
        <w:rPr>
          <w:szCs w:val="24"/>
        </w:rPr>
        <w:t>61(9):</w:t>
      </w:r>
      <w:r w:rsidR="003549B1" w:rsidRPr="00062A3B">
        <w:rPr>
          <w:szCs w:val="24"/>
        </w:rPr>
        <w:t xml:space="preserve"> </w:t>
      </w:r>
      <w:r w:rsidRPr="00062A3B">
        <w:rPr>
          <w:szCs w:val="24"/>
        </w:rPr>
        <w:t>1049-</w:t>
      </w:r>
      <w:r w:rsidR="007A4EEC" w:rsidRPr="00062A3B">
        <w:rPr>
          <w:szCs w:val="24"/>
        </w:rPr>
        <w:t>10</w:t>
      </w:r>
      <w:r w:rsidRPr="00062A3B">
        <w:rPr>
          <w:szCs w:val="24"/>
        </w:rPr>
        <w:t>57.</w:t>
      </w:r>
      <w:bookmarkEnd w:id="34"/>
    </w:p>
    <w:p w:rsidR="00600537" w:rsidRPr="00062A3B" w:rsidRDefault="006000D2" w:rsidP="002B0CAE">
      <w:pPr>
        <w:pStyle w:val="EndNoteBibliography"/>
        <w:rPr>
          <w:szCs w:val="24"/>
        </w:rPr>
      </w:pPr>
      <w:bookmarkStart w:id="35" w:name="_ENREF_33"/>
      <w:r w:rsidRPr="00062A3B">
        <w:rPr>
          <w:szCs w:val="24"/>
        </w:rPr>
        <w:t>31</w:t>
      </w:r>
      <w:r w:rsidR="00600537" w:rsidRPr="00062A3B">
        <w:rPr>
          <w:szCs w:val="24"/>
        </w:rPr>
        <w:t>.</w:t>
      </w:r>
      <w:r w:rsidR="00600537" w:rsidRPr="00062A3B">
        <w:rPr>
          <w:szCs w:val="24"/>
        </w:rPr>
        <w:tab/>
        <w:t>Forbes. The world’s biggest public companies 2017 [Available from: https://www.forbes.com/global2000/#c145e40335d8</w:t>
      </w:r>
      <w:r w:rsidR="007A4EEC" w:rsidRPr="00062A3B">
        <w:rPr>
          <w:szCs w:val="24"/>
        </w:rPr>
        <w:t>]</w:t>
      </w:r>
      <w:r w:rsidR="00600537" w:rsidRPr="00062A3B">
        <w:rPr>
          <w:szCs w:val="24"/>
        </w:rPr>
        <w:t>.</w:t>
      </w:r>
      <w:bookmarkEnd w:id="35"/>
    </w:p>
    <w:p w:rsidR="00600537" w:rsidRPr="00062A3B" w:rsidRDefault="006000D2" w:rsidP="002B0CAE">
      <w:pPr>
        <w:pStyle w:val="EndNoteBibliography"/>
        <w:rPr>
          <w:szCs w:val="24"/>
        </w:rPr>
      </w:pPr>
      <w:bookmarkStart w:id="36" w:name="_ENREF_34"/>
      <w:r w:rsidRPr="00062A3B">
        <w:rPr>
          <w:szCs w:val="24"/>
        </w:rPr>
        <w:t>32</w:t>
      </w:r>
      <w:r w:rsidR="00600537" w:rsidRPr="00062A3B">
        <w:rPr>
          <w:szCs w:val="24"/>
        </w:rPr>
        <w:t>.</w:t>
      </w:r>
      <w:r w:rsidR="00600537" w:rsidRPr="00062A3B">
        <w:rPr>
          <w:szCs w:val="24"/>
        </w:rPr>
        <w:tab/>
        <w:t xml:space="preserve">Moodie R, Stuckler D, Monteiro C, et al. Profits and pandemics: prevention of harmful effects of tobacco, alcohol, and ultra-processed food and drink industries. </w:t>
      </w:r>
      <w:r w:rsidR="007A4EEC" w:rsidRPr="00062A3B">
        <w:rPr>
          <w:szCs w:val="24"/>
        </w:rPr>
        <w:t>Lancet</w:t>
      </w:r>
      <w:r w:rsidR="00600537" w:rsidRPr="00062A3B">
        <w:rPr>
          <w:szCs w:val="24"/>
        </w:rPr>
        <w:t xml:space="preserve"> 2013;</w:t>
      </w:r>
      <w:r w:rsidR="007A4EEC" w:rsidRPr="00062A3B">
        <w:rPr>
          <w:szCs w:val="24"/>
        </w:rPr>
        <w:t xml:space="preserve"> </w:t>
      </w:r>
      <w:r w:rsidR="00600537" w:rsidRPr="00062A3B">
        <w:rPr>
          <w:szCs w:val="24"/>
        </w:rPr>
        <w:t>381(9867):</w:t>
      </w:r>
      <w:r w:rsidR="007A4EEC" w:rsidRPr="00062A3B">
        <w:rPr>
          <w:szCs w:val="24"/>
        </w:rPr>
        <w:t xml:space="preserve"> </w:t>
      </w:r>
      <w:r w:rsidR="00600537" w:rsidRPr="00062A3B">
        <w:rPr>
          <w:szCs w:val="24"/>
        </w:rPr>
        <w:t>670-</w:t>
      </w:r>
      <w:r w:rsidR="007A4EEC" w:rsidRPr="00062A3B">
        <w:rPr>
          <w:szCs w:val="24"/>
        </w:rPr>
        <w:t>67</w:t>
      </w:r>
      <w:r w:rsidR="00600537" w:rsidRPr="00062A3B">
        <w:rPr>
          <w:szCs w:val="24"/>
        </w:rPr>
        <w:t>9.</w:t>
      </w:r>
      <w:bookmarkEnd w:id="36"/>
    </w:p>
    <w:p w:rsidR="00600537" w:rsidRPr="00062A3B" w:rsidRDefault="006000D2" w:rsidP="002B0CAE">
      <w:pPr>
        <w:pStyle w:val="EndNoteBibliography"/>
        <w:rPr>
          <w:szCs w:val="24"/>
        </w:rPr>
      </w:pPr>
      <w:bookmarkStart w:id="37" w:name="_ENREF_35"/>
      <w:r w:rsidRPr="00062A3B">
        <w:rPr>
          <w:szCs w:val="24"/>
        </w:rPr>
        <w:t>33</w:t>
      </w:r>
      <w:r w:rsidR="00600537" w:rsidRPr="00062A3B">
        <w:rPr>
          <w:szCs w:val="24"/>
        </w:rPr>
        <w:t>.</w:t>
      </w:r>
      <w:r w:rsidR="00600537" w:rsidRPr="00062A3B">
        <w:rPr>
          <w:szCs w:val="24"/>
        </w:rPr>
        <w:tab/>
        <w:t xml:space="preserve">European Public Health Alliance. Self-regulation: a </w:t>
      </w:r>
      <w:r w:rsidR="007A4EEC" w:rsidRPr="00062A3B">
        <w:rPr>
          <w:szCs w:val="24"/>
        </w:rPr>
        <w:t xml:space="preserve">false promise for public health. European Public Health Alliance: </w:t>
      </w:r>
      <w:r w:rsidR="00600537" w:rsidRPr="00062A3B">
        <w:rPr>
          <w:szCs w:val="24"/>
        </w:rPr>
        <w:t>Brussels</w:t>
      </w:r>
      <w:r w:rsidR="007A4EEC" w:rsidRPr="00062A3B">
        <w:rPr>
          <w:szCs w:val="24"/>
        </w:rPr>
        <w:t xml:space="preserve"> </w:t>
      </w:r>
      <w:r w:rsidR="00600537" w:rsidRPr="00062A3B">
        <w:rPr>
          <w:szCs w:val="24"/>
        </w:rPr>
        <w:t>2016 [Available from: https://epha.org/wp-content/uploads/2016/12/Self-Regulation-a-False-Promise-for-PublicHealth_EPHA_12.2016.pdf</w:t>
      </w:r>
      <w:r w:rsidR="007A4EEC" w:rsidRPr="00062A3B">
        <w:rPr>
          <w:szCs w:val="24"/>
        </w:rPr>
        <w:t>]</w:t>
      </w:r>
      <w:r w:rsidR="00600537" w:rsidRPr="00062A3B">
        <w:rPr>
          <w:szCs w:val="24"/>
        </w:rPr>
        <w:t>.</w:t>
      </w:r>
      <w:bookmarkEnd w:id="37"/>
    </w:p>
    <w:p w:rsidR="00600537" w:rsidRPr="00062A3B" w:rsidRDefault="006000D2" w:rsidP="002B0CAE">
      <w:pPr>
        <w:pStyle w:val="EndNoteBibliography"/>
        <w:rPr>
          <w:szCs w:val="24"/>
        </w:rPr>
      </w:pPr>
      <w:bookmarkStart w:id="38" w:name="_ENREF_36"/>
      <w:r w:rsidRPr="00062A3B">
        <w:rPr>
          <w:szCs w:val="24"/>
        </w:rPr>
        <w:t>34</w:t>
      </w:r>
      <w:r w:rsidR="00600537" w:rsidRPr="00062A3B">
        <w:rPr>
          <w:szCs w:val="24"/>
        </w:rPr>
        <w:t>.</w:t>
      </w:r>
      <w:r w:rsidR="00600537" w:rsidRPr="00062A3B">
        <w:rPr>
          <w:szCs w:val="24"/>
        </w:rPr>
        <w:tab/>
        <w:t xml:space="preserve">UK Health Forum. Public health and the food and drinks industry: The governance and ethics of interaction. Lessons from research, policy and practice. </w:t>
      </w:r>
      <w:r w:rsidR="007A4EEC" w:rsidRPr="00062A3B">
        <w:rPr>
          <w:szCs w:val="24"/>
        </w:rPr>
        <w:t xml:space="preserve">UKHF: </w:t>
      </w:r>
      <w:r w:rsidR="00600537" w:rsidRPr="00062A3B">
        <w:rPr>
          <w:szCs w:val="24"/>
        </w:rPr>
        <w:t>London 2018.</w:t>
      </w:r>
      <w:bookmarkEnd w:id="38"/>
    </w:p>
    <w:p w:rsidR="00062A3B" w:rsidRPr="00062A3B" w:rsidRDefault="00062A3B" w:rsidP="002B0CAE">
      <w:pPr>
        <w:pStyle w:val="EndNoteBibliography"/>
        <w:rPr>
          <w:szCs w:val="24"/>
        </w:rPr>
      </w:pPr>
      <w:r w:rsidRPr="00062A3B">
        <w:rPr>
          <w:szCs w:val="24"/>
        </w:rPr>
        <w:t>35.</w:t>
      </w:r>
      <w:r w:rsidRPr="00062A3B">
        <w:rPr>
          <w:szCs w:val="24"/>
        </w:rPr>
        <w:tab/>
      </w:r>
      <w:r w:rsidRPr="00062A3B">
        <w:rPr>
          <w:rFonts w:eastAsiaTheme="minorHAnsi"/>
          <w:kern w:val="0"/>
          <w:szCs w:val="24"/>
          <w:lang w:val="en-AU" w:eastAsia="en-US"/>
        </w:rPr>
        <w:t xml:space="preserve">International Food and Beverage Alliance. Responsible marketing to children - Global policy on marketing communications to children 2014 [Available from: </w:t>
      </w:r>
      <w:hyperlink r:id="rId9" w:history="1">
        <w:r w:rsidRPr="00062A3B">
          <w:rPr>
            <w:rFonts w:eastAsiaTheme="minorHAnsi"/>
            <w:kern w:val="0"/>
            <w:szCs w:val="24"/>
            <w:lang w:val="en-AU" w:eastAsia="en-US"/>
          </w:rPr>
          <w:t>https://ifballiance.org/commitments/responsible-marketing-to-children#</w:t>
        </w:r>
      </w:hyperlink>
      <w:r w:rsidRPr="00062A3B">
        <w:rPr>
          <w:rFonts w:eastAsiaTheme="minorHAnsi"/>
          <w:kern w:val="0"/>
          <w:szCs w:val="24"/>
          <w:lang w:val="en-AU" w:eastAsia="en-US"/>
        </w:rPr>
        <w:t>].</w:t>
      </w:r>
    </w:p>
    <w:p w:rsidR="00600537" w:rsidRPr="00062A3B" w:rsidRDefault="00062A3B" w:rsidP="002B0CAE">
      <w:pPr>
        <w:pStyle w:val="EndNoteBibliography"/>
        <w:rPr>
          <w:szCs w:val="24"/>
        </w:rPr>
      </w:pPr>
      <w:bookmarkStart w:id="39" w:name="_ENREF_37"/>
      <w:r w:rsidRPr="00062A3B">
        <w:rPr>
          <w:szCs w:val="24"/>
        </w:rPr>
        <w:t>36</w:t>
      </w:r>
      <w:r w:rsidR="00600537" w:rsidRPr="00062A3B">
        <w:rPr>
          <w:szCs w:val="24"/>
        </w:rPr>
        <w:t>.</w:t>
      </w:r>
      <w:r w:rsidR="00600537" w:rsidRPr="00062A3B">
        <w:rPr>
          <w:szCs w:val="24"/>
        </w:rPr>
        <w:tab/>
        <w:t>Monteiro CA, Moubarac JC, Cannon G, Ng SW, Popkin B. Ultra-processed products are becoming dominant in the global food system. Obes Rev 2013;</w:t>
      </w:r>
      <w:r w:rsidR="007A4EEC" w:rsidRPr="00062A3B">
        <w:rPr>
          <w:szCs w:val="24"/>
        </w:rPr>
        <w:t xml:space="preserve"> </w:t>
      </w:r>
      <w:r w:rsidR="00600537" w:rsidRPr="00062A3B">
        <w:rPr>
          <w:szCs w:val="24"/>
        </w:rPr>
        <w:t>14:</w:t>
      </w:r>
      <w:r w:rsidR="007A4EEC" w:rsidRPr="00062A3B">
        <w:rPr>
          <w:szCs w:val="24"/>
        </w:rPr>
        <w:t xml:space="preserve"> </w:t>
      </w:r>
      <w:r w:rsidR="00600537" w:rsidRPr="00062A3B">
        <w:rPr>
          <w:szCs w:val="24"/>
        </w:rPr>
        <w:t>21-</w:t>
      </w:r>
      <w:r w:rsidR="007A4EEC" w:rsidRPr="00062A3B">
        <w:rPr>
          <w:szCs w:val="24"/>
        </w:rPr>
        <w:t>2</w:t>
      </w:r>
      <w:r w:rsidR="00600537" w:rsidRPr="00062A3B">
        <w:rPr>
          <w:szCs w:val="24"/>
        </w:rPr>
        <w:t>8.</w:t>
      </w:r>
      <w:bookmarkEnd w:id="39"/>
    </w:p>
    <w:p w:rsidR="00600537" w:rsidRPr="00062A3B" w:rsidRDefault="00600537" w:rsidP="002B0CAE">
      <w:pPr>
        <w:pStyle w:val="EndNoteBibliography"/>
        <w:rPr>
          <w:szCs w:val="24"/>
        </w:rPr>
      </w:pPr>
      <w:bookmarkStart w:id="40" w:name="_ENREF_38"/>
      <w:r w:rsidRPr="00062A3B">
        <w:rPr>
          <w:szCs w:val="24"/>
        </w:rPr>
        <w:t>3</w:t>
      </w:r>
      <w:r w:rsidR="00062A3B" w:rsidRPr="00062A3B">
        <w:rPr>
          <w:szCs w:val="24"/>
        </w:rPr>
        <w:t>7</w:t>
      </w:r>
      <w:r w:rsidRPr="00062A3B">
        <w:rPr>
          <w:szCs w:val="24"/>
        </w:rPr>
        <w:t>.</w:t>
      </w:r>
      <w:r w:rsidRPr="00062A3B">
        <w:rPr>
          <w:szCs w:val="24"/>
        </w:rPr>
        <w:tab/>
        <w:t>Haryanto JO, Moutinho L, Coelho A. Is brand loyalty really present in the children's market? A comparative study from Indonesia, Portugal, and Brazi</w:t>
      </w:r>
      <w:r w:rsidR="007A4EEC" w:rsidRPr="00062A3B">
        <w:rPr>
          <w:szCs w:val="24"/>
        </w:rPr>
        <w:t>l. Journal of Business Research</w:t>
      </w:r>
      <w:r w:rsidRPr="00062A3B">
        <w:rPr>
          <w:szCs w:val="24"/>
        </w:rPr>
        <w:t xml:space="preserve"> 2016;</w:t>
      </w:r>
      <w:r w:rsidR="007A4EEC" w:rsidRPr="00062A3B">
        <w:rPr>
          <w:szCs w:val="24"/>
        </w:rPr>
        <w:t xml:space="preserve"> </w:t>
      </w:r>
      <w:r w:rsidRPr="00062A3B">
        <w:rPr>
          <w:szCs w:val="24"/>
        </w:rPr>
        <w:t>69(10):</w:t>
      </w:r>
      <w:r w:rsidR="007A4EEC" w:rsidRPr="00062A3B">
        <w:rPr>
          <w:szCs w:val="24"/>
        </w:rPr>
        <w:t xml:space="preserve"> </w:t>
      </w:r>
      <w:r w:rsidRPr="00062A3B">
        <w:rPr>
          <w:szCs w:val="24"/>
        </w:rPr>
        <w:t>4020-</w:t>
      </w:r>
      <w:r w:rsidR="007A4EEC" w:rsidRPr="00062A3B">
        <w:rPr>
          <w:szCs w:val="24"/>
        </w:rPr>
        <w:t>40</w:t>
      </w:r>
      <w:r w:rsidRPr="00062A3B">
        <w:rPr>
          <w:szCs w:val="24"/>
        </w:rPr>
        <w:t>32.</w:t>
      </w:r>
      <w:bookmarkEnd w:id="40"/>
    </w:p>
    <w:p w:rsidR="00600537" w:rsidRPr="00062A3B" w:rsidRDefault="00600537" w:rsidP="002B0CAE">
      <w:pPr>
        <w:pStyle w:val="EndNoteBibliography"/>
        <w:rPr>
          <w:szCs w:val="24"/>
        </w:rPr>
      </w:pPr>
      <w:bookmarkStart w:id="41" w:name="_ENREF_39"/>
      <w:r w:rsidRPr="00062A3B">
        <w:rPr>
          <w:szCs w:val="24"/>
        </w:rPr>
        <w:t>3</w:t>
      </w:r>
      <w:r w:rsidR="00062A3B" w:rsidRPr="00062A3B">
        <w:rPr>
          <w:szCs w:val="24"/>
        </w:rPr>
        <w:t>8</w:t>
      </w:r>
      <w:r w:rsidRPr="00062A3B">
        <w:rPr>
          <w:szCs w:val="24"/>
        </w:rPr>
        <w:t>.</w:t>
      </w:r>
      <w:r w:rsidRPr="00062A3B">
        <w:rPr>
          <w:szCs w:val="24"/>
        </w:rPr>
        <w:tab/>
        <w:t>Galbraith-Emami S, Lobstein T. The impact of initiatives to limit the advertising of food and beverage products to children: a systematic review. Obes Rev 2013;</w:t>
      </w:r>
      <w:r w:rsidR="007A4EEC" w:rsidRPr="00062A3B">
        <w:rPr>
          <w:szCs w:val="24"/>
        </w:rPr>
        <w:t xml:space="preserve"> </w:t>
      </w:r>
      <w:r w:rsidRPr="00062A3B">
        <w:rPr>
          <w:szCs w:val="24"/>
        </w:rPr>
        <w:t>14(12):</w:t>
      </w:r>
      <w:r w:rsidR="007A4EEC" w:rsidRPr="00062A3B">
        <w:rPr>
          <w:szCs w:val="24"/>
        </w:rPr>
        <w:t xml:space="preserve"> </w:t>
      </w:r>
      <w:r w:rsidRPr="00062A3B">
        <w:rPr>
          <w:szCs w:val="24"/>
        </w:rPr>
        <w:t>960-74.</w:t>
      </w:r>
      <w:bookmarkEnd w:id="41"/>
    </w:p>
    <w:p w:rsidR="00600537" w:rsidRPr="00062A3B" w:rsidRDefault="00062A3B" w:rsidP="002B0CAE">
      <w:pPr>
        <w:pStyle w:val="EndNoteBibliography"/>
        <w:rPr>
          <w:szCs w:val="24"/>
        </w:rPr>
      </w:pPr>
      <w:bookmarkStart w:id="42" w:name="_ENREF_40"/>
      <w:r w:rsidRPr="00062A3B">
        <w:rPr>
          <w:szCs w:val="24"/>
        </w:rPr>
        <w:t>39</w:t>
      </w:r>
      <w:r w:rsidR="00600537" w:rsidRPr="00062A3B">
        <w:rPr>
          <w:szCs w:val="24"/>
        </w:rPr>
        <w:t>.</w:t>
      </w:r>
      <w:r w:rsidR="00600537" w:rsidRPr="00062A3B">
        <w:rPr>
          <w:szCs w:val="24"/>
        </w:rPr>
        <w:tab/>
        <w:t>Ronit K, Jensen JD. Obesity and industry self-regulation of food and beverage marketing: a literature review. Eur J Clin Nutr 2014;</w:t>
      </w:r>
      <w:r w:rsidR="007A4EEC" w:rsidRPr="00062A3B">
        <w:rPr>
          <w:szCs w:val="24"/>
        </w:rPr>
        <w:t xml:space="preserve"> </w:t>
      </w:r>
      <w:r w:rsidR="00600537" w:rsidRPr="00062A3B">
        <w:rPr>
          <w:szCs w:val="24"/>
        </w:rPr>
        <w:t>68</w:t>
      </w:r>
      <w:r w:rsidR="007A4EEC" w:rsidRPr="00062A3B">
        <w:rPr>
          <w:szCs w:val="24"/>
        </w:rPr>
        <w:t>(7)</w:t>
      </w:r>
      <w:r w:rsidR="00600537" w:rsidRPr="00062A3B">
        <w:rPr>
          <w:szCs w:val="24"/>
        </w:rPr>
        <w:t>:</w:t>
      </w:r>
      <w:r w:rsidR="007A4EEC" w:rsidRPr="00062A3B">
        <w:rPr>
          <w:szCs w:val="24"/>
        </w:rPr>
        <w:t xml:space="preserve"> </w:t>
      </w:r>
      <w:r w:rsidR="00600537" w:rsidRPr="00062A3B">
        <w:rPr>
          <w:szCs w:val="24"/>
        </w:rPr>
        <w:t>753</w:t>
      </w:r>
      <w:r w:rsidR="007A4EEC" w:rsidRPr="00062A3B">
        <w:rPr>
          <w:szCs w:val="24"/>
        </w:rPr>
        <w:t>-759</w:t>
      </w:r>
      <w:r w:rsidR="00600537" w:rsidRPr="00062A3B">
        <w:rPr>
          <w:szCs w:val="24"/>
        </w:rPr>
        <w:t>.</w:t>
      </w:r>
      <w:bookmarkEnd w:id="42"/>
      <w:r w:rsidR="007A4EEC" w:rsidRPr="00062A3B">
        <w:rPr>
          <w:rFonts w:ascii="Arial" w:hAnsi="Arial" w:cs="Arial"/>
          <w:sz w:val="17"/>
          <w:szCs w:val="17"/>
          <w:shd w:val="clear" w:color="auto" w:fill="FFFFFF"/>
        </w:rPr>
        <w:t> </w:t>
      </w:r>
    </w:p>
    <w:p w:rsidR="00600537" w:rsidRPr="00062A3B" w:rsidRDefault="00062A3B" w:rsidP="002B0CAE">
      <w:pPr>
        <w:pStyle w:val="EndNoteBibliography"/>
        <w:rPr>
          <w:szCs w:val="24"/>
        </w:rPr>
      </w:pPr>
      <w:bookmarkStart w:id="43" w:name="_ENREF_41"/>
      <w:r w:rsidRPr="00062A3B">
        <w:rPr>
          <w:szCs w:val="24"/>
        </w:rPr>
        <w:t>40</w:t>
      </w:r>
      <w:r w:rsidR="00600537" w:rsidRPr="00062A3B">
        <w:rPr>
          <w:szCs w:val="24"/>
        </w:rPr>
        <w:t>.</w:t>
      </w:r>
      <w:r w:rsidR="00600537" w:rsidRPr="00062A3B">
        <w:rPr>
          <w:szCs w:val="24"/>
        </w:rPr>
        <w:tab/>
        <w:t>Hebden L, King L, Kelly B, Chapman K, Innes-Hughes C. Industry self-regulation of food marketing to children: Reading the fine print</w:t>
      </w:r>
      <w:r w:rsidR="007A4EEC" w:rsidRPr="00062A3B">
        <w:rPr>
          <w:szCs w:val="24"/>
        </w:rPr>
        <w:t xml:space="preserve">. Health Promot J Austr </w:t>
      </w:r>
      <w:r w:rsidR="00600537" w:rsidRPr="00062A3B">
        <w:rPr>
          <w:szCs w:val="24"/>
        </w:rPr>
        <w:t>2010</w:t>
      </w:r>
      <w:r w:rsidR="007A4EEC" w:rsidRPr="00062A3B">
        <w:rPr>
          <w:szCs w:val="24"/>
        </w:rPr>
        <w:t xml:space="preserve">; 21(3): </w:t>
      </w:r>
      <w:r w:rsidR="00600537" w:rsidRPr="00062A3B">
        <w:rPr>
          <w:szCs w:val="24"/>
        </w:rPr>
        <w:t>229-</w:t>
      </w:r>
      <w:r w:rsidR="007A4EEC" w:rsidRPr="00062A3B">
        <w:rPr>
          <w:szCs w:val="24"/>
        </w:rPr>
        <w:t>2</w:t>
      </w:r>
      <w:r w:rsidR="00600537" w:rsidRPr="00062A3B">
        <w:rPr>
          <w:szCs w:val="24"/>
        </w:rPr>
        <w:t>35.</w:t>
      </w:r>
      <w:bookmarkEnd w:id="43"/>
    </w:p>
    <w:p w:rsidR="00062A3B" w:rsidRPr="00062A3B" w:rsidRDefault="00062A3B" w:rsidP="00062A3B">
      <w:pPr>
        <w:widowControl/>
        <w:autoSpaceDE w:val="0"/>
        <w:autoSpaceDN w:val="0"/>
        <w:adjustRightInd w:val="0"/>
        <w:spacing w:line="480" w:lineRule="auto"/>
        <w:jc w:val="left"/>
        <w:rPr>
          <w:rFonts w:ascii="Times New Roman" w:eastAsiaTheme="minorHAnsi" w:hAnsi="Times New Roman" w:cs="Times New Roman"/>
          <w:kern w:val="0"/>
          <w:sz w:val="24"/>
          <w:szCs w:val="24"/>
          <w:lang w:val="en-AU" w:eastAsia="en-US"/>
        </w:rPr>
      </w:pPr>
      <w:bookmarkStart w:id="44" w:name="_ENREF_42"/>
      <w:r w:rsidRPr="00062A3B">
        <w:rPr>
          <w:rFonts w:ascii="Times New Roman" w:hAnsi="Times New Roman" w:cs="Times New Roman"/>
          <w:sz w:val="24"/>
          <w:szCs w:val="24"/>
        </w:rPr>
        <w:t>41.</w:t>
      </w:r>
      <w:r w:rsidRPr="00062A3B">
        <w:rPr>
          <w:rFonts w:ascii="Times New Roman" w:hAnsi="Times New Roman" w:cs="Times New Roman"/>
          <w:sz w:val="24"/>
          <w:szCs w:val="24"/>
        </w:rPr>
        <w:tab/>
      </w:r>
      <w:r w:rsidRPr="00062A3B">
        <w:rPr>
          <w:rFonts w:ascii="Times New Roman" w:eastAsiaTheme="minorHAnsi" w:hAnsi="Times New Roman" w:cs="Times New Roman"/>
          <w:kern w:val="0"/>
          <w:sz w:val="24"/>
          <w:szCs w:val="24"/>
          <w:lang w:val="en-AU" w:eastAsia="en-US"/>
        </w:rPr>
        <w:t xml:space="preserve">Harris JL, Frazier W, Romo-Palafox M, et al. F.A.C.T.S. Food advertising to children and teens score 2017 [Available from: </w:t>
      </w:r>
      <w:hyperlink r:id="rId10" w:history="1">
        <w:r w:rsidRPr="00062A3B">
          <w:rPr>
            <w:rFonts w:ascii="Times New Roman" w:eastAsiaTheme="minorHAnsi" w:hAnsi="Times New Roman" w:cs="Times New Roman"/>
            <w:kern w:val="0"/>
            <w:sz w:val="24"/>
            <w:szCs w:val="24"/>
            <w:lang w:val="en-AU" w:eastAsia="en-US"/>
          </w:rPr>
          <w:t>http://www.uconnruddcenter.org/files/Pdfs/FACTS-2017_Final.pdf</w:t>
        </w:r>
      </w:hyperlink>
      <w:r w:rsidRPr="00062A3B">
        <w:rPr>
          <w:rFonts w:ascii="Times New Roman" w:eastAsiaTheme="minorHAnsi" w:hAnsi="Times New Roman" w:cs="Times New Roman"/>
          <w:kern w:val="0"/>
          <w:sz w:val="24"/>
          <w:szCs w:val="24"/>
          <w:lang w:val="en-AU" w:eastAsia="en-US"/>
        </w:rPr>
        <w:t>].</w:t>
      </w:r>
    </w:p>
    <w:p w:rsidR="00062A3B" w:rsidRPr="00062A3B" w:rsidRDefault="00062A3B" w:rsidP="00062A3B">
      <w:pPr>
        <w:widowControl/>
        <w:autoSpaceDE w:val="0"/>
        <w:autoSpaceDN w:val="0"/>
        <w:adjustRightInd w:val="0"/>
        <w:spacing w:line="480" w:lineRule="auto"/>
        <w:jc w:val="left"/>
        <w:rPr>
          <w:rFonts w:ascii="Times New Roman" w:hAnsi="Times New Roman" w:cs="Times New Roman"/>
          <w:sz w:val="24"/>
          <w:szCs w:val="24"/>
        </w:rPr>
      </w:pPr>
      <w:r w:rsidRPr="00062A3B">
        <w:rPr>
          <w:rFonts w:ascii="Times New Roman" w:eastAsiaTheme="minorHAnsi" w:hAnsi="Times New Roman" w:cs="Times New Roman"/>
          <w:kern w:val="0"/>
          <w:sz w:val="24"/>
          <w:szCs w:val="24"/>
          <w:lang w:val="en-AU" w:eastAsia="en-US"/>
        </w:rPr>
        <w:t>42.</w:t>
      </w:r>
      <w:r w:rsidRPr="00062A3B">
        <w:rPr>
          <w:rFonts w:ascii="Times New Roman" w:eastAsiaTheme="minorHAnsi" w:hAnsi="Times New Roman" w:cs="Times New Roman"/>
          <w:kern w:val="0"/>
          <w:sz w:val="24"/>
          <w:szCs w:val="24"/>
          <w:lang w:val="en-AU" w:eastAsia="en-US"/>
        </w:rPr>
        <w:tab/>
        <w:t xml:space="preserve">United Nations. Convention on the Rights of the Child 1990 [Available from: </w:t>
      </w:r>
      <w:hyperlink r:id="rId11" w:history="1">
        <w:r w:rsidRPr="00062A3B">
          <w:rPr>
            <w:rFonts w:ascii="Times New Roman" w:eastAsiaTheme="minorHAnsi" w:hAnsi="Times New Roman" w:cs="Times New Roman"/>
            <w:kern w:val="0"/>
            <w:sz w:val="24"/>
            <w:szCs w:val="24"/>
            <w:lang w:val="en-AU" w:eastAsia="en-US"/>
          </w:rPr>
          <w:t>https://www.ohchr.org/EN/ProfessionalInterest/Pages/CRC.aspx</w:t>
        </w:r>
      </w:hyperlink>
      <w:r w:rsidRPr="00062A3B">
        <w:rPr>
          <w:rFonts w:ascii="Times New Roman" w:eastAsiaTheme="minorHAnsi" w:hAnsi="Times New Roman" w:cs="Times New Roman"/>
          <w:kern w:val="0"/>
          <w:sz w:val="24"/>
          <w:szCs w:val="24"/>
          <w:lang w:val="en-AU" w:eastAsia="en-US"/>
        </w:rPr>
        <w:t>].</w:t>
      </w:r>
    </w:p>
    <w:p w:rsidR="00600537" w:rsidRPr="00646117" w:rsidRDefault="00600537" w:rsidP="002B0CAE">
      <w:pPr>
        <w:pStyle w:val="EndNoteBibliography"/>
        <w:rPr>
          <w:szCs w:val="24"/>
        </w:rPr>
      </w:pPr>
      <w:r w:rsidRPr="00062A3B">
        <w:rPr>
          <w:szCs w:val="24"/>
        </w:rPr>
        <w:t>4</w:t>
      </w:r>
      <w:r w:rsidR="00062A3B" w:rsidRPr="00062A3B">
        <w:rPr>
          <w:szCs w:val="24"/>
        </w:rPr>
        <w:t>3</w:t>
      </w:r>
      <w:r w:rsidRPr="00062A3B">
        <w:rPr>
          <w:szCs w:val="24"/>
        </w:rPr>
        <w:t>.</w:t>
      </w:r>
      <w:r w:rsidRPr="00062A3B">
        <w:rPr>
          <w:szCs w:val="24"/>
        </w:rPr>
        <w:tab/>
        <w:t>Molla R. Advertisers will spend $40 billion more on internet ads than on TV ads this year 2018 [Available from: https://www.recode.net/2018/3/26/17163852/online-internet-advertisers-outspend-tv-ads-advertisers-social-video-mobile-40-billion-2018</w:t>
      </w:r>
      <w:r w:rsidR="00E60A18" w:rsidRPr="00062A3B">
        <w:rPr>
          <w:szCs w:val="24"/>
        </w:rPr>
        <w:t>]</w:t>
      </w:r>
      <w:r w:rsidRPr="00062A3B">
        <w:rPr>
          <w:szCs w:val="24"/>
        </w:rPr>
        <w:t>.</w:t>
      </w:r>
      <w:bookmarkEnd w:id="44"/>
    </w:p>
    <w:p w:rsidR="00600537" w:rsidRPr="00646117" w:rsidRDefault="00600537" w:rsidP="0016658E">
      <w:pPr>
        <w:spacing w:line="480" w:lineRule="auto"/>
        <w:jc w:val="left"/>
        <w:rPr>
          <w:rFonts w:ascii="Times New Roman" w:hAnsi="Times New Roman" w:cs="Times New Roman"/>
          <w:sz w:val="24"/>
          <w:szCs w:val="24"/>
        </w:rPr>
      </w:pPr>
    </w:p>
    <w:p w:rsidR="00600537" w:rsidRPr="00646117" w:rsidRDefault="00600537" w:rsidP="006F23E4">
      <w:pPr>
        <w:spacing w:line="480" w:lineRule="auto"/>
        <w:jc w:val="left"/>
        <w:rPr>
          <w:rFonts w:ascii="Times New Roman" w:hAnsi="Times New Roman" w:cs="Times New Roman"/>
          <w:sz w:val="24"/>
          <w:szCs w:val="24"/>
        </w:rPr>
      </w:pPr>
      <w:r w:rsidRPr="00646117">
        <w:rPr>
          <w:rFonts w:ascii="Times New Roman" w:eastAsia="SimSun" w:hAnsi="Times New Roman" w:cs="Times New Roman"/>
          <w:sz w:val="24"/>
          <w:szCs w:val="24"/>
        </w:rPr>
        <w:t xml:space="preserve"> </w:t>
      </w:r>
    </w:p>
    <w:p w:rsidR="00413681" w:rsidRPr="00646117" w:rsidRDefault="00413681">
      <w:pPr>
        <w:rPr>
          <w:rFonts w:ascii="Times New Roman" w:hAnsi="Times New Roman" w:cs="Times New Roman"/>
          <w:sz w:val="24"/>
          <w:szCs w:val="24"/>
        </w:rPr>
      </w:pPr>
    </w:p>
    <w:sectPr w:rsidR="00413681" w:rsidRPr="00646117" w:rsidSect="00231E0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BBA" w:rsidRDefault="00755BBA">
      <w:r>
        <w:separator/>
      </w:r>
    </w:p>
  </w:endnote>
  <w:endnote w:type="continuationSeparator" w:id="0">
    <w:p w:rsidR="00755BBA" w:rsidRDefault="0075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45 Ligh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33710"/>
      <w:docPartObj>
        <w:docPartGallery w:val="Page Numbers (Bottom of Page)"/>
        <w:docPartUnique/>
      </w:docPartObj>
    </w:sdtPr>
    <w:sdtEndPr>
      <w:rPr>
        <w:sz w:val="24"/>
      </w:rPr>
    </w:sdtEndPr>
    <w:sdtContent>
      <w:p w:rsidR="002B0CAE" w:rsidRPr="00AE3292" w:rsidRDefault="00D879CC">
        <w:pPr>
          <w:pStyle w:val="Footer"/>
          <w:jc w:val="right"/>
          <w:rPr>
            <w:sz w:val="24"/>
          </w:rPr>
        </w:pPr>
        <w:r w:rsidRPr="00AE3292">
          <w:rPr>
            <w:sz w:val="24"/>
          </w:rPr>
          <w:fldChar w:fldCharType="begin"/>
        </w:r>
        <w:r w:rsidRPr="00AE3292">
          <w:rPr>
            <w:sz w:val="24"/>
          </w:rPr>
          <w:instrText xml:space="preserve"> PAGE   \* MERGEFORMAT </w:instrText>
        </w:r>
        <w:r w:rsidRPr="00AE3292">
          <w:rPr>
            <w:sz w:val="24"/>
          </w:rPr>
          <w:fldChar w:fldCharType="separate"/>
        </w:r>
        <w:r w:rsidR="007474CD">
          <w:rPr>
            <w:noProof/>
            <w:sz w:val="24"/>
          </w:rPr>
          <w:t>6</w:t>
        </w:r>
        <w:r w:rsidRPr="00AE3292">
          <w:rPr>
            <w:sz w:val="24"/>
          </w:rPr>
          <w:fldChar w:fldCharType="end"/>
        </w:r>
      </w:p>
    </w:sdtContent>
  </w:sdt>
  <w:p w:rsidR="002B0CAE" w:rsidRDefault="0074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BBA" w:rsidRDefault="00755BBA">
      <w:r>
        <w:separator/>
      </w:r>
    </w:p>
  </w:footnote>
  <w:footnote w:type="continuationSeparator" w:id="0">
    <w:p w:rsidR="00755BBA" w:rsidRDefault="0075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AE" w:rsidRDefault="007474CD" w:rsidP="00EC516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C93"/>
    <w:multiLevelType w:val="hybridMultilevel"/>
    <w:tmpl w:val="E9DA1108"/>
    <w:lvl w:ilvl="0" w:tplc="B04E1EEE">
      <w:numFmt w:val="bullet"/>
      <w:lvlText w:val=""/>
      <w:lvlJc w:val="left"/>
      <w:pPr>
        <w:ind w:left="720" w:hanging="360"/>
      </w:pPr>
      <w:rPr>
        <w:rFonts w:ascii="Symbol" w:eastAsia="SimSun" w:hAnsi="Symbol" w:cstheme="minorBid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71780"/>
    <w:multiLevelType w:val="hybridMultilevel"/>
    <w:tmpl w:val="72688C1A"/>
    <w:lvl w:ilvl="0" w:tplc="482AFCF8">
      <w:start w:val="1"/>
      <w:numFmt w:val="bullet"/>
      <w:lvlText w:val="-"/>
      <w:lvlJc w:val="left"/>
      <w:pPr>
        <w:tabs>
          <w:tab w:val="num" w:pos="720"/>
        </w:tabs>
        <w:ind w:left="720" w:hanging="360"/>
      </w:pPr>
      <w:rPr>
        <w:rFonts w:ascii="Times New Roman" w:hAnsi="Times New Roman" w:hint="default"/>
      </w:rPr>
    </w:lvl>
    <w:lvl w:ilvl="1" w:tplc="6D8E74BC" w:tentative="1">
      <w:start w:val="1"/>
      <w:numFmt w:val="bullet"/>
      <w:lvlText w:val="-"/>
      <w:lvlJc w:val="left"/>
      <w:pPr>
        <w:tabs>
          <w:tab w:val="num" w:pos="1440"/>
        </w:tabs>
        <w:ind w:left="1440" w:hanging="360"/>
      </w:pPr>
      <w:rPr>
        <w:rFonts w:ascii="Times New Roman" w:hAnsi="Times New Roman" w:hint="default"/>
      </w:rPr>
    </w:lvl>
    <w:lvl w:ilvl="2" w:tplc="BD66A26E" w:tentative="1">
      <w:start w:val="1"/>
      <w:numFmt w:val="bullet"/>
      <w:lvlText w:val="-"/>
      <w:lvlJc w:val="left"/>
      <w:pPr>
        <w:tabs>
          <w:tab w:val="num" w:pos="2160"/>
        </w:tabs>
        <w:ind w:left="2160" w:hanging="360"/>
      </w:pPr>
      <w:rPr>
        <w:rFonts w:ascii="Times New Roman" w:hAnsi="Times New Roman" w:hint="default"/>
      </w:rPr>
    </w:lvl>
    <w:lvl w:ilvl="3" w:tplc="EA6E2252" w:tentative="1">
      <w:start w:val="1"/>
      <w:numFmt w:val="bullet"/>
      <w:lvlText w:val="-"/>
      <w:lvlJc w:val="left"/>
      <w:pPr>
        <w:tabs>
          <w:tab w:val="num" w:pos="2880"/>
        </w:tabs>
        <w:ind w:left="2880" w:hanging="360"/>
      </w:pPr>
      <w:rPr>
        <w:rFonts w:ascii="Times New Roman" w:hAnsi="Times New Roman" w:hint="default"/>
      </w:rPr>
    </w:lvl>
    <w:lvl w:ilvl="4" w:tplc="238CF9EE" w:tentative="1">
      <w:start w:val="1"/>
      <w:numFmt w:val="bullet"/>
      <w:lvlText w:val="-"/>
      <w:lvlJc w:val="left"/>
      <w:pPr>
        <w:tabs>
          <w:tab w:val="num" w:pos="3600"/>
        </w:tabs>
        <w:ind w:left="3600" w:hanging="360"/>
      </w:pPr>
      <w:rPr>
        <w:rFonts w:ascii="Times New Roman" w:hAnsi="Times New Roman" w:hint="default"/>
      </w:rPr>
    </w:lvl>
    <w:lvl w:ilvl="5" w:tplc="B75A7A6A" w:tentative="1">
      <w:start w:val="1"/>
      <w:numFmt w:val="bullet"/>
      <w:lvlText w:val="-"/>
      <w:lvlJc w:val="left"/>
      <w:pPr>
        <w:tabs>
          <w:tab w:val="num" w:pos="4320"/>
        </w:tabs>
        <w:ind w:left="4320" w:hanging="360"/>
      </w:pPr>
      <w:rPr>
        <w:rFonts w:ascii="Times New Roman" w:hAnsi="Times New Roman" w:hint="default"/>
      </w:rPr>
    </w:lvl>
    <w:lvl w:ilvl="6" w:tplc="BF78D744" w:tentative="1">
      <w:start w:val="1"/>
      <w:numFmt w:val="bullet"/>
      <w:lvlText w:val="-"/>
      <w:lvlJc w:val="left"/>
      <w:pPr>
        <w:tabs>
          <w:tab w:val="num" w:pos="5040"/>
        </w:tabs>
        <w:ind w:left="5040" w:hanging="360"/>
      </w:pPr>
      <w:rPr>
        <w:rFonts w:ascii="Times New Roman" w:hAnsi="Times New Roman" w:hint="default"/>
      </w:rPr>
    </w:lvl>
    <w:lvl w:ilvl="7" w:tplc="CCEAD3A6" w:tentative="1">
      <w:start w:val="1"/>
      <w:numFmt w:val="bullet"/>
      <w:lvlText w:val="-"/>
      <w:lvlJc w:val="left"/>
      <w:pPr>
        <w:tabs>
          <w:tab w:val="num" w:pos="5760"/>
        </w:tabs>
        <w:ind w:left="5760" w:hanging="360"/>
      </w:pPr>
      <w:rPr>
        <w:rFonts w:ascii="Times New Roman" w:hAnsi="Times New Roman" w:hint="default"/>
      </w:rPr>
    </w:lvl>
    <w:lvl w:ilvl="8" w:tplc="42AC4E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371226"/>
    <w:multiLevelType w:val="hybridMultilevel"/>
    <w:tmpl w:val="F06263F2"/>
    <w:lvl w:ilvl="0" w:tplc="A4B06238">
      <w:start w:val="1"/>
      <w:numFmt w:val="bullet"/>
      <w:lvlText w:val="-"/>
      <w:lvlJc w:val="left"/>
      <w:pPr>
        <w:tabs>
          <w:tab w:val="num" w:pos="720"/>
        </w:tabs>
        <w:ind w:left="720" w:hanging="360"/>
      </w:pPr>
      <w:rPr>
        <w:rFonts w:ascii="Times New Roman" w:hAnsi="Times New Roman" w:hint="default"/>
      </w:rPr>
    </w:lvl>
    <w:lvl w:ilvl="1" w:tplc="76E00DE6" w:tentative="1">
      <w:start w:val="1"/>
      <w:numFmt w:val="bullet"/>
      <w:lvlText w:val="-"/>
      <w:lvlJc w:val="left"/>
      <w:pPr>
        <w:tabs>
          <w:tab w:val="num" w:pos="1440"/>
        </w:tabs>
        <w:ind w:left="1440" w:hanging="360"/>
      </w:pPr>
      <w:rPr>
        <w:rFonts w:ascii="Times New Roman" w:hAnsi="Times New Roman" w:hint="default"/>
      </w:rPr>
    </w:lvl>
    <w:lvl w:ilvl="2" w:tplc="704A65E8" w:tentative="1">
      <w:start w:val="1"/>
      <w:numFmt w:val="bullet"/>
      <w:lvlText w:val="-"/>
      <w:lvlJc w:val="left"/>
      <w:pPr>
        <w:tabs>
          <w:tab w:val="num" w:pos="2160"/>
        </w:tabs>
        <w:ind w:left="2160" w:hanging="360"/>
      </w:pPr>
      <w:rPr>
        <w:rFonts w:ascii="Times New Roman" w:hAnsi="Times New Roman" w:hint="default"/>
      </w:rPr>
    </w:lvl>
    <w:lvl w:ilvl="3" w:tplc="EC9CBE6E" w:tentative="1">
      <w:start w:val="1"/>
      <w:numFmt w:val="bullet"/>
      <w:lvlText w:val="-"/>
      <w:lvlJc w:val="left"/>
      <w:pPr>
        <w:tabs>
          <w:tab w:val="num" w:pos="2880"/>
        </w:tabs>
        <w:ind w:left="2880" w:hanging="360"/>
      </w:pPr>
      <w:rPr>
        <w:rFonts w:ascii="Times New Roman" w:hAnsi="Times New Roman" w:hint="default"/>
      </w:rPr>
    </w:lvl>
    <w:lvl w:ilvl="4" w:tplc="201AC980" w:tentative="1">
      <w:start w:val="1"/>
      <w:numFmt w:val="bullet"/>
      <w:lvlText w:val="-"/>
      <w:lvlJc w:val="left"/>
      <w:pPr>
        <w:tabs>
          <w:tab w:val="num" w:pos="3600"/>
        </w:tabs>
        <w:ind w:left="3600" w:hanging="360"/>
      </w:pPr>
      <w:rPr>
        <w:rFonts w:ascii="Times New Roman" w:hAnsi="Times New Roman" w:hint="default"/>
      </w:rPr>
    </w:lvl>
    <w:lvl w:ilvl="5" w:tplc="DA50CAC8" w:tentative="1">
      <w:start w:val="1"/>
      <w:numFmt w:val="bullet"/>
      <w:lvlText w:val="-"/>
      <w:lvlJc w:val="left"/>
      <w:pPr>
        <w:tabs>
          <w:tab w:val="num" w:pos="4320"/>
        </w:tabs>
        <w:ind w:left="4320" w:hanging="360"/>
      </w:pPr>
      <w:rPr>
        <w:rFonts w:ascii="Times New Roman" w:hAnsi="Times New Roman" w:hint="default"/>
      </w:rPr>
    </w:lvl>
    <w:lvl w:ilvl="6" w:tplc="FB92D14A" w:tentative="1">
      <w:start w:val="1"/>
      <w:numFmt w:val="bullet"/>
      <w:lvlText w:val="-"/>
      <w:lvlJc w:val="left"/>
      <w:pPr>
        <w:tabs>
          <w:tab w:val="num" w:pos="5040"/>
        </w:tabs>
        <w:ind w:left="5040" w:hanging="360"/>
      </w:pPr>
      <w:rPr>
        <w:rFonts w:ascii="Times New Roman" w:hAnsi="Times New Roman" w:hint="default"/>
      </w:rPr>
    </w:lvl>
    <w:lvl w:ilvl="7" w:tplc="A7469DF4" w:tentative="1">
      <w:start w:val="1"/>
      <w:numFmt w:val="bullet"/>
      <w:lvlText w:val="-"/>
      <w:lvlJc w:val="left"/>
      <w:pPr>
        <w:tabs>
          <w:tab w:val="num" w:pos="5760"/>
        </w:tabs>
        <w:ind w:left="5760" w:hanging="360"/>
      </w:pPr>
      <w:rPr>
        <w:rFonts w:ascii="Times New Roman" w:hAnsi="Times New Roman" w:hint="default"/>
      </w:rPr>
    </w:lvl>
    <w:lvl w:ilvl="8" w:tplc="0854F4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1B4717"/>
    <w:multiLevelType w:val="hybridMultilevel"/>
    <w:tmpl w:val="26E44744"/>
    <w:lvl w:ilvl="0" w:tplc="7E4CB936">
      <w:start w:val="1"/>
      <w:numFmt w:val="decimal"/>
      <w:lvlText w:val="%1."/>
      <w:lvlJc w:val="left"/>
      <w:pPr>
        <w:tabs>
          <w:tab w:val="num" w:pos="720"/>
        </w:tabs>
        <w:ind w:left="720" w:hanging="360"/>
      </w:pPr>
    </w:lvl>
    <w:lvl w:ilvl="1" w:tplc="BC963AA2" w:tentative="1">
      <w:start w:val="1"/>
      <w:numFmt w:val="decimal"/>
      <w:lvlText w:val="%2."/>
      <w:lvlJc w:val="left"/>
      <w:pPr>
        <w:tabs>
          <w:tab w:val="num" w:pos="1440"/>
        </w:tabs>
        <w:ind w:left="1440" w:hanging="360"/>
      </w:pPr>
    </w:lvl>
    <w:lvl w:ilvl="2" w:tplc="D39A4C50" w:tentative="1">
      <w:start w:val="1"/>
      <w:numFmt w:val="decimal"/>
      <w:lvlText w:val="%3."/>
      <w:lvlJc w:val="left"/>
      <w:pPr>
        <w:tabs>
          <w:tab w:val="num" w:pos="2160"/>
        </w:tabs>
        <w:ind w:left="2160" w:hanging="360"/>
      </w:pPr>
    </w:lvl>
    <w:lvl w:ilvl="3" w:tplc="249E268C" w:tentative="1">
      <w:start w:val="1"/>
      <w:numFmt w:val="decimal"/>
      <w:lvlText w:val="%4."/>
      <w:lvlJc w:val="left"/>
      <w:pPr>
        <w:tabs>
          <w:tab w:val="num" w:pos="2880"/>
        </w:tabs>
        <w:ind w:left="2880" w:hanging="360"/>
      </w:pPr>
    </w:lvl>
    <w:lvl w:ilvl="4" w:tplc="1194DD98" w:tentative="1">
      <w:start w:val="1"/>
      <w:numFmt w:val="decimal"/>
      <w:lvlText w:val="%5."/>
      <w:lvlJc w:val="left"/>
      <w:pPr>
        <w:tabs>
          <w:tab w:val="num" w:pos="3600"/>
        </w:tabs>
        <w:ind w:left="3600" w:hanging="360"/>
      </w:pPr>
    </w:lvl>
    <w:lvl w:ilvl="5" w:tplc="A386CFBC" w:tentative="1">
      <w:start w:val="1"/>
      <w:numFmt w:val="decimal"/>
      <w:lvlText w:val="%6."/>
      <w:lvlJc w:val="left"/>
      <w:pPr>
        <w:tabs>
          <w:tab w:val="num" w:pos="4320"/>
        </w:tabs>
        <w:ind w:left="4320" w:hanging="360"/>
      </w:pPr>
    </w:lvl>
    <w:lvl w:ilvl="6" w:tplc="D7601F2C" w:tentative="1">
      <w:start w:val="1"/>
      <w:numFmt w:val="decimal"/>
      <w:lvlText w:val="%7."/>
      <w:lvlJc w:val="left"/>
      <w:pPr>
        <w:tabs>
          <w:tab w:val="num" w:pos="5040"/>
        </w:tabs>
        <w:ind w:left="5040" w:hanging="360"/>
      </w:pPr>
    </w:lvl>
    <w:lvl w:ilvl="7" w:tplc="61542A52" w:tentative="1">
      <w:start w:val="1"/>
      <w:numFmt w:val="decimal"/>
      <w:lvlText w:val="%8."/>
      <w:lvlJc w:val="left"/>
      <w:pPr>
        <w:tabs>
          <w:tab w:val="num" w:pos="5760"/>
        </w:tabs>
        <w:ind w:left="5760" w:hanging="360"/>
      </w:pPr>
    </w:lvl>
    <w:lvl w:ilvl="8" w:tplc="F5FEBE3A" w:tentative="1">
      <w:start w:val="1"/>
      <w:numFmt w:val="decimal"/>
      <w:lvlText w:val="%9."/>
      <w:lvlJc w:val="left"/>
      <w:pPr>
        <w:tabs>
          <w:tab w:val="num" w:pos="6480"/>
        </w:tabs>
        <w:ind w:left="6480" w:hanging="360"/>
      </w:pPr>
    </w:lvl>
  </w:abstractNum>
  <w:abstractNum w:abstractNumId="4" w15:restartNumberingAfterBreak="0">
    <w:nsid w:val="14D2694F"/>
    <w:multiLevelType w:val="multilevel"/>
    <w:tmpl w:val="7AC43E94"/>
    <w:lvl w:ilvl="0">
      <w:start w:val="1"/>
      <w:numFmt w:val="decimal"/>
      <w:lvlText w:val="%1."/>
      <w:lvlJc w:val="left"/>
      <w:pPr>
        <w:ind w:left="380" w:hanging="380"/>
      </w:pPr>
      <w:rPr>
        <w:rFonts w:hint="default"/>
      </w:rPr>
    </w:lvl>
    <w:lvl w:ilvl="1">
      <w:start w:val="1"/>
      <w:numFmt w:val="none"/>
      <w:lvlText w:val="2.1"/>
      <w:lvlJc w:val="left"/>
      <w:pPr>
        <w:ind w:left="720" w:hanging="720"/>
      </w:pPr>
      <w:rPr>
        <w:rFonts w:hint="default"/>
      </w:rPr>
    </w:lvl>
    <w:lvl w:ilvl="2">
      <w:start w:val="1"/>
      <w:numFmt w:val="decimal"/>
      <w:lvlText w:val="%1.%2%3.1"/>
      <w:lvlJc w:val="left"/>
      <w:pPr>
        <w:ind w:left="720" w:hanging="720"/>
      </w:pPr>
      <w:rPr>
        <w:rFonts w:hint="default"/>
      </w:rPr>
    </w:lvl>
    <w:lvl w:ilvl="3">
      <w:start w:val="1"/>
      <w:numFmt w:val="decimal"/>
      <w:lvlText w:val="%1%2.%3.%4.1"/>
      <w:lvlJc w:val="left"/>
      <w:pPr>
        <w:ind w:left="1080" w:hanging="1080"/>
      </w:pPr>
      <w:rPr>
        <w:rFonts w:hint="default"/>
      </w:rPr>
    </w:lvl>
    <w:lvl w:ilvl="4">
      <w:start w:val="1"/>
      <w:numFmt w:val="decimal"/>
      <w:lvlText w:val="%1.%2%3.%4.%5.1"/>
      <w:lvlJc w:val="left"/>
      <w:pPr>
        <w:ind w:left="1080" w:hanging="1080"/>
      </w:pPr>
      <w:rPr>
        <w:rFonts w:hint="default"/>
      </w:rPr>
    </w:lvl>
    <w:lvl w:ilvl="5">
      <w:start w:val="1"/>
      <w:numFmt w:val="decimal"/>
      <w:lvlText w:val="%1.%4.%5.%6.1"/>
      <w:lvlJc w:val="left"/>
      <w:pPr>
        <w:ind w:left="1440" w:hanging="1440"/>
      </w:pPr>
      <w:rPr>
        <w:rFonts w:hint="default"/>
      </w:rPr>
    </w:lvl>
    <w:lvl w:ilvl="6">
      <w:start w:val="1"/>
      <w:numFmt w:val="decimal"/>
      <w:lvlText w:val="%1.%2%3.%4.%5.%6.%7.1"/>
      <w:lvlJc w:val="left"/>
      <w:pPr>
        <w:ind w:left="1440" w:hanging="1440"/>
      </w:pPr>
      <w:rPr>
        <w:rFonts w:hint="default"/>
      </w:rPr>
    </w:lvl>
    <w:lvl w:ilvl="7">
      <w:start w:val="1"/>
      <w:numFmt w:val="none"/>
      <w:lvlText w:val=""/>
      <w:lvlJc w:val="left"/>
      <w:pPr>
        <w:ind w:left="1800" w:hanging="1800"/>
      </w:pPr>
      <w:rPr>
        <w:rFonts w:hint="default"/>
      </w:rPr>
    </w:lvl>
    <w:lvl w:ilvl="8">
      <w:start w:val="1"/>
      <w:numFmt w:val="none"/>
      <w:lvlRestart w:val="3"/>
      <w:isLgl/>
      <w:lvlText w:val=""/>
      <w:lvlJc w:val="left"/>
      <w:pPr>
        <w:ind w:left="1800" w:hanging="1800"/>
      </w:pPr>
      <w:rPr>
        <w:rFonts w:hint="default"/>
      </w:rPr>
    </w:lvl>
  </w:abstractNum>
  <w:abstractNum w:abstractNumId="5" w15:restartNumberingAfterBreak="0">
    <w:nsid w:val="20D25DC3"/>
    <w:multiLevelType w:val="hybridMultilevel"/>
    <w:tmpl w:val="CD2812F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852683"/>
    <w:multiLevelType w:val="multilevel"/>
    <w:tmpl w:val="7046C5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3463DE"/>
    <w:multiLevelType w:val="hybridMultilevel"/>
    <w:tmpl w:val="0B9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1773A"/>
    <w:multiLevelType w:val="multilevel"/>
    <w:tmpl w:val="731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B0D9E"/>
    <w:multiLevelType w:val="hybridMultilevel"/>
    <w:tmpl w:val="22AA1C76"/>
    <w:lvl w:ilvl="0" w:tplc="57BA0AE8">
      <w:start w:val="1"/>
      <w:numFmt w:val="bullet"/>
      <w:lvlText w:val="-"/>
      <w:lvlJc w:val="left"/>
      <w:pPr>
        <w:tabs>
          <w:tab w:val="num" w:pos="720"/>
        </w:tabs>
        <w:ind w:left="720" w:hanging="360"/>
      </w:pPr>
      <w:rPr>
        <w:rFonts w:ascii="Times New Roman" w:hAnsi="Times New Roman" w:hint="default"/>
      </w:rPr>
    </w:lvl>
    <w:lvl w:ilvl="1" w:tplc="CBD2AABE">
      <w:start w:val="1"/>
      <w:numFmt w:val="bullet"/>
      <w:lvlText w:val="-"/>
      <w:lvlJc w:val="left"/>
      <w:pPr>
        <w:tabs>
          <w:tab w:val="num" w:pos="1440"/>
        </w:tabs>
        <w:ind w:left="1440" w:hanging="360"/>
      </w:pPr>
      <w:rPr>
        <w:rFonts w:ascii="Times New Roman" w:hAnsi="Times New Roman" w:hint="default"/>
      </w:rPr>
    </w:lvl>
    <w:lvl w:ilvl="2" w:tplc="C69620F0" w:tentative="1">
      <w:start w:val="1"/>
      <w:numFmt w:val="bullet"/>
      <w:lvlText w:val="-"/>
      <w:lvlJc w:val="left"/>
      <w:pPr>
        <w:tabs>
          <w:tab w:val="num" w:pos="2160"/>
        </w:tabs>
        <w:ind w:left="2160" w:hanging="360"/>
      </w:pPr>
      <w:rPr>
        <w:rFonts w:ascii="Times New Roman" w:hAnsi="Times New Roman" w:hint="default"/>
      </w:rPr>
    </w:lvl>
    <w:lvl w:ilvl="3" w:tplc="11CAD3E6" w:tentative="1">
      <w:start w:val="1"/>
      <w:numFmt w:val="bullet"/>
      <w:lvlText w:val="-"/>
      <w:lvlJc w:val="left"/>
      <w:pPr>
        <w:tabs>
          <w:tab w:val="num" w:pos="2880"/>
        </w:tabs>
        <w:ind w:left="2880" w:hanging="360"/>
      </w:pPr>
      <w:rPr>
        <w:rFonts w:ascii="Times New Roman" w:hAnsi="Times New Roman" w:hint="default"/>
      </w:rPr>
    </w:lvl>
    <w:lvl w:ilvl="4" w:tplc="D9B20590" w:tentative="1">
      <w:start w:val="1"/>
      <w:numFmt w:val="bullet"/>
      <w:lvlText w:val="-"/>
      <w:lvlJc w:val="left"/>
      <w:pPr>
        <w:tabs>
          <w:tab w:val="num" w:pos="3600"/>
        </w:tabs>
        <w:ind w:left="3600" w:hanging="360"/>
      </w:pPr>
      <w:rPr>
        <w:rFonts w:ascii="Times New Roman" w:hAnsi="Times New Roman" w:hint="default"/>
      </w:rPr>
    </w:lvl>
    <w:lvl w:ilvl="5" w:tplc="AFA01F10" w:tentative="1">
      <w:start w:val="1"/>
      <w:numFmt w:val="bullet"/>
      <w:lvlText w:val="-"/>
      <w:lvlJc w:val="left"/>
      <w:pPr>
        <w:tabs>
          <w:tab w:val="num" w:pos="4320"/>
        </w:tabs>
        <w:ind w:left="4320" w:hanging="360"/>
      </w:pPr>
      <w:rPr>
        <w:rFonts w:ascii="Times New Roman" w:hAnsi="Times New Roman" w:hint="default"/>
      </w:rPr>
    </w:lvl>
    <w:lvl w:ilvl="6" w:tplc="FD5EAD82" w:tentative="1">
      <w:start w:val="1"/>
      <w:numFmt w:val="bullet"/>
      <w:lvlText w:val="-"/>
      <w:lvlJc w:val="left"/>
      <w:pPr>
        <w:tabs>
          <w:tab w:val="num" w:pos="5040"/>
        </w:tabs>
        <w:ind w:left="5040" w:hanging="360"/>
      </w:pPr>
      <w:rPr>
        <w:rFonts w:ascii="Times New Roman" w:hAnsi="Times New Roman" w:hint="default"/>
      </w:rPr>
    </w:lvl>
    <w:lvl w:ilvl="7" w:tplc="F21A7B22" w:tentative="1">
      <w:start w:val="1"/>
      <w:numFmt w:val="bullet"/>
      <w:lvlText w:val="-"/>
      <w:lvlJc w:val="left"/>
      <w:pPr>
        <w:tabs>
          <w:tab w:val="num" w:pos="5760"/>
        </w:tabs>
        <w:ind w:left="5760" w:hanging="360"/>
      </w:pPr>
      <w:rPr>
        <w:rFonts w:ascii="Times New Roman" w:hAnsi="Times New Roman" w:hint="default"/>
      </w:rPr>
    </w:lvl>
    <w:lvl w:ilvl="8" w:tplc="2954C8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F950AB7"/>
    <w:multiLevelType w:val="multilevel"/>
    <w:tmpl w:val="61D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D29C3"/>
    <w:multiLevelType w:val="hybridMultilevel"/>
    <w:tmpl w:val="B5668834"/>
    <w:lvl w:ilvl="0" w:tplc="4EF47BB0">
      <w:numFmt w:val="bullet"/>
      <w:lvlText w:val=""/>
      <w:lvlJc w:val="left"/>
      <w:pPr>
        <w:ind w:left="720" w:hanging="360"/>
      </w:pPr>
      <w:rPr>
        <w:rFonts w:ascii="Symbol" w:eastAsia="SimSu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1633C8"/>
    <w:multiLevelType w:val="hybridMultilevel"/>
    <w:tmpl w:val="9F1A3EFA"/>
    <w:lvl w:ilvl="0" w:tplc="5D6A3D6A">
      <w:start w:val="1"/>
      <w:numFmt w:val="bullet"/>
      <w:lvlText w:val="-"/>
      <w:lvlJc w:val="left"/>
      <w:pPr>
        <w:tabs>
          <w:tab w:val="num" w:pos="720"/>
        </w:tabs>
        <w:ind w:left="720" w:hanging="360"/>
      </w:pPr>
      <w:rPr>
        <w:rFonts w:ascii="Times New Roman" w:hAnsi="Times New Roman" w:hint="default"/>
      </w:rPr>
    </w:lvl>
    <w:lvl w:ilvl="1" w:tplc="8D1AA0C4" w:tentative="1">
      <w:start w:val="1"/>
      <w:numFmt w:val="bullet"/>
      <w:lvlText w:val="-"/>
      <w:lvlJc w:val="left"/>
      <w:pPr>
        <w:tabs>
          <w:tab w:val="num" w:pos="1440"/>
        </w:tabs>
        <w:ind w:left="1440" w:hanging="360"/>
      </w:pPr>
      <w:rPr>
        <w:rFonts w:ascii="Times New Roman" w:hAnsi="Times New Roman" w:hint="default"/>
      </w:rPr>
    </w:lvl>
    <w:lvl w:ilvl="2" w:tplc="26E2F530" w:tentative="1">
      <w:start w:val="1"/>
      <w:numFmt w:val="bullet"/>
      <w:lvlText w:val="-"/>
      <w:lvlJc w:val="left"/>
      <w:pPr>
        <w:tabs>
          <w:tab w:val="num" w:pos="2160"/>
        </w:tabs>
        <w:ind w:left="2160" w:hanging="360"/>
      </w:pPr>
      <w:rPr>
        <w:rFonts w:ascii="Times New Roman" w:hAnsi="Times New Roman" w:hint="default"/>
      </w:rPr>
    </w:lvl>
    <w:lvl w:ilvl="3" w:tplc="CB90D390" w:tentative="1">
      <w:start w:val="1"/>
      <w:numFmt w:val="bullet"/>
      <w:lvlText w:val="-"/>
      <w:lvlJc w:val="left"/>
      <w:pPr>
        <w:tabs>
          <w:tab w:val="num" w:pos="2880"/>
        </w:tabs>
        <w:ind w:left="2880" w:hanging="360"/>
      </w:pPr>
      <w:rPr>
        <w:rFonts w:ascii="Times New Roman" w:hAnsi="Times New Roman" w:hint="default"/>
      </w:rPr>
    </w:lvl>
    <w:lvl w:ilvl="4" w:tplc="D7601F32" w:tentative="1">
      <w:start w:val="1"/>
      <w:numFmt w:val="bullet"/>
      <w:lvlText w:val="-"/>
      <w:lvlJc w:val="left"/>
      <w:pPr>
        <w:tabs>
          <w:tab w:val="num" w:pos="3600"/>
        </w:tabs>
        <w:ind w:left="3600" w:hanging="360"/>
      </w:pPr>
      <w:rPr>
        <w:rFonts w:ascii="Times New Roman" w:hAnsi="Times New Roman" w:hint="default"/>
      </w:rPr>
    </w:lvl>
    <w:lvl w:ilvl="5" w:tplc="12F6D1A8" w:tentative="1">
      <w:start w:val="1"/>
      <w:numFmt w:val="bullet"/>
      <w:lvlText w:val="-"/>
      <w:lvlJc w:val="left"/>
      <w:pPr>
        <w:tabs>
          <w:tab w:val="num" w:pos="4320"/>
        </w:tabs>
        <w:ind w:left="4320" w:hanging="360"/>
      </w:pPr>
      <w:rPr>
        <w:rFonts w:ascii="Times New Roman" w:hAnsi="Times New Roman" w:hint="default"/>
      </w:rPr>
    </w:lvl>
    <w:lvl w:ilvl="6" w:tplc="C5EA59B8" w:tentative="1">
      <w:start w:val="1"/>
      <w:numFmt w:val="bullet"/>
      <w:lvlText w:val="-"/>
      <w:lvlJc w:val="left"/>
      <w:pPr>
        <w:tabs>
          <w:tab w:val="num" w:pos="5040"/>
        </w:tabs>
        <w:ind w:left="5040" w:hanging="360"/>
      </w:pPr>
      <w:rPr>
        <w:rFonts w:ascii="Times New Roman" w:hAnsi="Times New Roman" w:hint="default"/>
      </w:rPr>
    </w:lvl>
    <w:lvl w:ilvl="7" w:tplc="71B469DC" w:tentative="1">
      <w:start w:val="1"/>
      <w:numFmt w:val="bullet"/>
      <w:lvlText w:val="-"/>
      <w:lvlJc w:val="left"/>
      <w:pPr>
        <w:tabs>
          <w:tab w:val="num" w:pos="5760"/>
        </w:tabs>
        <w:ind w:left="5760" w:hanging="360"/>
      </w:pPr>
      <w:rPr>
        <w:rFonts w:ascii="Times New Roman" w:hAnsi="Times New Roman" w:hint="default"/>
      </w:rPr>
    </w:lvl>
    <w:lvl w:ilvl="8" w:tplc="754676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ABC5073"/>
    <w:multiLevelType w:val="multilevel"/>
    <w:tmpl w:val="1DD4A8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D023F"/>
    <w:multiLevelType w:val="multilevel"/>
    <w:tmpl w:val="46E89320"/>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6D0B1D20"/>
    <w:multiLevelType w:val="multilevel"/>
    <w:tmpl w:val="20A49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F0492"/>
    <w:multiLevelType w:val="hybridMultilevel"/>
    <w:tmpl w:val="658AF51C"/>
    <w:lvl w:ilvl="0" w:tplc="390A7B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FE495C"/>
    <w:multiLevelType w:val="hybridMultilevel"/>
    <w:tmpl w:val="93BAAC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E5719"/>
    <w:multiLevelType w:val="multilevel"/>
    <w:tmpl w:val="3F3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B3C71"/>
    <w:multiLevelType w:val="hybridMultilevel"/>
    <w:tmpl w:val="EB801B26"/>
    <w:lvl w:ilvl="0" w:tplc="E72E8444">
      <w:start w:val="1"/>
      <w:numFmt w:val="bullet"/>
      <w:lvlText w:val="-"/>
      <w:lvlJc w:val="left"/>
      <w:pPr>
        <w:tabs>
          <w:tab w:val="num" w:pos="720"/>
        </w:tabs>
        <w:ind w:left="720" w:hanging="360"/>
      </w:pPr>
      <w:rPr>
        <w:rFonts w:ascii="Times New Roman" w:hAnsi="Times New Roman" w:hint="default"/>
      </w:rPr>
    </w:lvl>
    <w:lvl w:ilvl="1" w:tplc="884E9B76" w:tentative="1">
      <w:start w:val="1"/>
      <w:numFmt w:val="bullet"/>
      <w:lvlText w:val="-"/>
      <w:lvlJc w:val="left"/>
      <w:pPr>
        <w:tabs>
          <w:tab w:val="num" w:pos="1440"/>
        </w:tabs>
        <w:ind w:left="1440" w:hanging="360"/>
      </w:pPr>
      <w:rPr>
        <w:rFonts w:ascii="Times New Roman" w:hAnsi="Times New Roman" w:hint="default"/>
      </w:rPr>
    </w:lvl>
    <w:lvl w:ilvl="2" w:tplc="8EC0E6D4" w:tentative="1">
      <w:start w:val="1"/>
      <w:numFmt w:val="bullet"/>
      <w:lvlText w:val="-"/>
      <w:lvlJc w:val="left"/>
      <w:pPr>
        <w:tabs>
          <w:tab w:val="num" w:pos="2160"/>
        </w:tabs>
        <w:ind w:left="2160" w:hanging="360"/>
      </w:pPr>
      <w:rPr>
        <w:rFonts w:ascii="Times New Roman" w:hAnsi="Times New Roman" w:hint="default"/>
      </w:rPr>
    </w:lvl>
    <w:lvl w:ilvl="3" w:tplc="19C623BA" w:tentative="1">
      <w:start w:val="1"/>
      <w:numFmt w:val="bullet"/>
      <w:lvlText w:val="-"/>
      <w:lvlJc w:val="left"/>
      <w:pPr>
        <w:tabs>
          <w:tab w:val="num" w:pos="2880"/>
        </w:tabs>
        <w:ind w:left="2880" w:hanging="360"/>
      </w:pPr>
      <w:rPr>
        <w:rFonts w:ascii="Times New Roman" w:hAnsi="Times New Roman" w:hint="default"/>
      </w:rPr>
    </w:lvl>
    <w:lvl w:ilvl="4" w:tplc="1F660208" w:tentative="1">
      <w:start w:val="1"/>
      <w:numFmt w:val="bullet"/>
      <w:lvlText w:val="-"/>
      <w:lvlJc w:val="left"/>
      <w:pPr>
        <w:tabs>
          <w:tab w:val="num" w:pos="3600"/>
        </w:tabs>
        <w:ind w:left="3600" w:hanging="360"/>
      </w:pPr>
      <w:rPr>
        <w:rFonts w:ascii="Times New Roman" w:hAnsi="Times New Roman" w:hint="default"/>
      </w:rPr>
    </w:lvl>
    <w:lvl w:ilvl="5" w:tplc="5B8201DA" w:tentative="1">
      <w:start w:val="1"/>
      <w:numFmt w:val="bullet"/>
      <w:lvlText w:val="-"/>
      <w:lvlJc w:val="left"/>
      <w:pPr>
        <w:tabs>
          <w:tab w:val="num" w:pos="4320"/>
        </w:tabs>
        <w:ind w:left="4320" w:hanging="360"/>
      </w:pPr>
      <w:rPr>
        <w:rFonts w:ascii="Times New Roman" w:hAnsi="Times New Roman" w:hint="default"/>
      </w:rPr>
    </w:lvl>
    <w:lvl w:ilvl="6" w:tplc="6D886418" w:tentative="1">
      <w:start w:val="1"/>
      <w:numFmt w:val="bullet"/>
      <w:lvlText w:val="-"/>
      <w:lvlJc w:val="left"/>
      <w:pPr>
        <w:tabs>
          <w:tab w:val="num" w:pos="5040"/>
        </w:tabs>
        <w:ind w:left="5040" w:hanging="360"/>
      </w:pPr>
      <w:rPr>
        <w:rFonts w:ascii="Times New Roman" w:hAnsi="Times New Roman" w:hint="default"/>
      </w:rPr>
    </w:lvl>
    <w:lvl w:ilvl="7" w:tplc="713C8A7C" w:tentative="1">
      <w:start w:val="1"/>
      <w:numFmt w:val="bullet"/>
      <w:lvlText w:val="-"/>
      <w:lvlJc w:val="left"/>
      <w:pPr>
        <w:tabs>
          <w:tab w:val="num" w:pos="5760"/>
        </w:tabs>
        <w:ind w:left="5760" w:hanging="360"/>
      </w:pPr>
      <w:rPr>
        <w:rFonts w:ascii="Times New Roman" w:hAnsi="Times New Roman" w:hint="default"/>
      </w:rPr>
    </w:lvl>
    <w:lvl w:ilvl="8" w:tplc="1E70098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9B978B3"/>
    <w:multiLevelType w:val="hybridMultilevel"/>
    <w:tmpl w:val="7F869856"/>
    <w:lvl w:ilvl="0" w:tplc="A84267FA">
      <w:start w:val="1"/>
      <w:numFmt w:val="bullet"/>
      <w:lvlText w:val="-"/>
      <w:lvlJc w:val="left"/>
      <w:pPr>
        <w:tabs>
          <w:tab w:val="num" w:pos="720"/>
        </w:tabs>
        <w:ind w:left="720" w:hanging="360"/>
      </w:pPr>
      <w:rPr>
        <w:rFonts w:ascii="Times New Roman" w:hAnsi="Times New Roman" w:hint="default"/>
      </w:rPr>
    </w:lvl>
    <w:lvl w:ilvl="1" w:tplc="4EF8D472" w:tentative="1">
      <w:start w:val="1"/>
      <w:numFmt w:val="bullet"/>
      <w:lvlText w:val="-"/>
      <w:lvlJc w:val="left"/>
      <w:pPr>
        <w:tabs>
          <w:tab w:val="num" w:pos="1440"/>
        </w:tabs>
        <w:ind w:left="1440" w:hanging="360"/>
      </w:pPr>
      <w:rPr>
        <w:rFonts w:ascii="Times New Roman" w:hAnsi="Times New Roman" w:hint="default"/>
      </w:rPr>
    </w:lvl>
    <w:lvl w:ilvl="2" w:tplc="D17E48C6" w:tentative="1">
      <w:start w:val="1"/>
      <w:numFmt w:val="bullet"/>
      <w:lvlText w:val="-"/>
      <w:lvlJc w:val="left"/>
      <w:pPr>
        <w:tabs>
          <w:tab w:val="num" w:pos="2160"/>
        </w:tabs>
        <w:ind w:left="2160" w:hanging="360"/>
      </w:pPr>
      <w:rPr>
        <w:rFonts w:ascii="Times New Roman" w:hAnsi="Times New Roman" w:hint="default"/>
      </w:rPr>
    </w:lvl>
    <w:lvl w:ilvl="3" w:tplc="363E6ACC" w:tentative="1">
      <w:start w:val="1"/>
      <w:numFmt w:val="bullet"/>
      <w:lvlText w:val="-"/>
      <w:lvlJc w:val="left"/>
      <w:pPr>
        <w:tabs>
          <w:tab w:val="num" w:pos="2880"/>
        </w:tabs>
        <w:ind w:left="2880" w:hanging="360"/>
      </w:pPr>
      <w:rPr>
        <w:rFonts w:ascii="Times New Roman" w:hAnsi="Times New Roman" w:hint="default"/>
      </w:rPr>
    </w:lvl>
    <w:lvl w:ilvl="4" w:tplc="9FE2227A" w:tentative="1">
      <w:start w:val="1"/>
      <w:numFmt w:val="bullet"/>
      <w:lvlText w:val="-"/>
      <w:lvlJc w:val="left"/>
      <w:pPr>
        <w:tabs>
          <w:tab w:val="num" w:pos="3600"/>
        </w:tabs>
        <w:ind w:left="3600" w:hanging="360"/>
      </w:pPr>
      <w:rPr>
        <w:rFonts w:ascii="Times New Roman" w:hAnsi="Times New Roman" w:hint="default"/>
      </w:rPr>
    </w:lvl>
    <w:lvl w:ilvl="5" w:tplc="276EF97E" w:tentative="1">
      <w:start w:val="1"/>
      <w:numFmt w:val="bullet"/>
      <w:lvlText w:val="-"/>
      <w:lvlJc w:val="left"/>
      <w:pPr>
        <w:tabs>
          <w:tab w:val="num" w:pos="4320"/>
        </w:tabs>
        <w:ind w:left="4320" w:hanging="360"/>
      </w:pPr>
      <w:rPr>
        <w:rFonts w:ascii="Times New Roman" w:hAnsi="Times New Roman" w:hint="default"/>
      </w:rPr>
    </w:lvl>
    <w:lvl w:ilvl="6" w:tplc="E1D8A276" w:tentative="1">
      <w:start w:val="1"/>
      <w:numFmt w:val="bullet"/>
      <w:lvlText w:val="-"/>
      <w:lvlJc w:val="left"/>
      <w:pPr>
        <w:tabs>
          <w:tab w:val="num" w:pos="5040"/>
        </w:tabs>
        <w:ind w:left="5040" w:hanging="360"/>
      </w:pPr>
      <w:rPr>
        <w:rFonts w:ascii="Times New Roman" w:hAnsi="Times New Roman" w:hint="default"/>
      </w:rPr>
    </w:lvl>
    <w:lvl w:ilvl="7" w:tplc="F7F884B4" w:tentative="1">
      <w:start w:val="1"/>
      <w:numFmt w:val="bullet"/>
      <w:lvlText w:val="-"/>
      <w:lvlJc w:val="left"/>
      <w:pPr>
        <w:tabs>
          <w:tab w:val="num" w:pos="5760"/>
        </w:tabs>
        <w:ind w:left="5760" w:hanging="360"/>
      </w:pPr>
      <w:rPr>
        <w:rFonts w:ascii="Times New Roman" w:hAnsi="Times New Roman" w:hint="default"/>
      </w:rPr>
    </w:lvl>
    <w:lvl w:ilvl="8" w:tplc="66D0A20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1B08FE"/>
    <w:multiLevelType w:val="hybridMultilevel"/>
    <w:tmpl w:val="57C80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4"/>
  </w:num>
  <w:num w:numId="5">
    <w:abstractNumId w:val="5"/>
  </w:num>
  <w:num w:numId="6">
    <w:abstractNumId w:val="13"/>
  </w:num>
  <w:num w:numId="7">
    <w:abstractNumId w:val="6"/>
  </w:num>
  <w:num w:numId="8">
    <w:abstractNumId w:val="14"/>
    <w:lvlOverride w:ilvl="0">
      <w:startOverride w:val="7"/>
    </w:lvlOverride>
  </w:num>
  <w:num w:numId="9">
    <w:abstractNumId w:val="0"/>
  </w:num>
  <w:num w:numId="10">
    <w:abstractNumId w:val="16"/>
  </w:num>
  <w:num w:numId="11">
    <w:abstractNumId w:val="11"/>
  </w:num>
  <w:num w:numId="12">
    <w:abstractNumId w:val="20"/>
  </w:num>
  <w:num w:numId="13">
    <w:abstractNumId w:val="3"/>
  </w:num>
  <w:num w:numId="14">
    <w:abstractNumId w:val="21"/>
  </w:num>
  <w:num w:numId="15">
    <w:abstractNumId w:val="12"/>
  </w:num>
  <w:num w:numId="16">
    <w:abstractNumId w:val="1"/>
  </w:num>
  <w:num w:numId="17">
    <w:abstractNumId w:val="9"/>
  </w:num>
  <w:num w:numId="18">
    <w:abstractNumId w:val="19"/>
  </w:num>
  <w:num w:numId="19">
    <w:abstractNumId w:val="2"/>
  </w:num>
  <w:num w:numId="20">
    <w:abstractNumId w:val="15"/>
  </w:num>
  <w:num w:numId="21">
    <w:abstractNumId w:val="18"/>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Z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600537"/>
    <w:rsid w:val="00007C52"/>
    <w:rsid w:val="00062A3B"/>
    <w:rsid w:val="001A0382"/>
    <w:rsid w:val="002529DF"/>
    <w:rsid w:val="00315BBB"/>
    <w:rsid w:val="00341895"/>
    <w:rsid w:val="003549B1"/>
    <w:rsid w:val="003607EF"/>
    <w:rsid w:val="00413681"/>
    <w:rsid w:val="005341EB"/>
    <w:rsid w:val="00566EC6"/>
    <w:rsid w:val="005924C5"/>
    <w:rsid w:val="006000D2"/>
    <w:rsid w:val="00600537"/>
    <w:rsid w:val="00646117"/>
    <w:rsid w:val="007474CD"/>
    <w:rsid w:val="00755BBA"/>
    <w:rsid w:val="007A4EEC"/>
    <w:rsid w:val="008B7EEA"/>
    <w:rsid w:val="00905EC5"/>
    <w:rsid w:val="00921971"/>
    <w:rsid w:val="00981115"/>
    <w:rsid w:val="00982DED"/>
    <w:rsid w:val="00A97E73"/>
    <w:rsid w:val="00B3214E"/>
    <w:rsid w:val="00B773E0"/>
    <w:rsid w:val="00B92B9A"/>
    <w:rsid w:val="00C8520C"/>
    <w:rsid w:val="00D839D8"/>
    <w:rsid w:val="00D879CC"/>
    <w:rsid w:val="00E60A18"/>
    <w:rsid w:val="00E72C7E"/>
    <w:rsid w:val="00E84746"/>
    <w:rsid w:val="00ED2F92"/>
    <w:rsid w:val="00ED5EC9"/>
    <w:rsid w:val="00F030E6"/>
    <w:rsid w:val="00F52E56"/>
    <w:rsid w:val="00FE3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A82F"/>
  <w15:chartTrackingRefBased/>
  <w15:docId w15:val="{A1D09088-0D34-43E5-905B-11841E6A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537"/>
    <w:pPr>
      <w:widowControl w:val="0"/>
      <w:spacing w:after="0" w:line="240" w:lineRule="auto"/>
      <w:jc w:val="both"/>
    </w:pPr>
    <w:rPr>
      <w:rFonts w:eastAsiaTheme="minorEastAsia"/>
      <w:kern w:val="2"/>
      <w:sz w:val="21"/>
      <w:lang w:val="en-US" w:eastAsia="zh-CN"/>
    </w:rPr>
  </w:style>
  <w:style w:type="paragraph" w:styleId="Heading1">
    <w:name w:val="heading 1"/>
    <w:basedOn w:val="ListParagraph"/>
    <w:next w:val="Normal"/>
    <w:link w:val="Heading1Char1"/>
    <w:qFormat/>
    <w:rsid w:val="00600537"/>
    <w:pPr>
      <w:ind w:firstLineChars="0" w:firstLine="0"/>
      <w:outlineLvl w:val="0"/>
    </w:pPr>
    <w:rPr>
      <w:b/>
      <w:i/>
      <w:sz w:val="24"/>
      <w:szCs w:val="24"/>
    </w:rPr>
  </w:style>
  <w:style w:type="paragraph" w:styleId="Heading2">
    <w:name w:val="heading 2"/>
    <w:basedOn w:val="Heading1"/>
    <w:next w:val="Normal"/>
    <w:link w:val="Heading2Char"/>
    <w:qFormat/>
    <w:rsid w:val="00600537"/>
    <w:pPr>
      <w:outlineLvl w:val="1"/>
    </w:pPr>
  </w:style>
  <w:style w:type="paragraph" w:styleId="Heading3">
    <w:name w:val="heading 3"/>
    <w:basedOn w:val="Heading2"/>
    <w:next w:val="Normal"/>
    <w:link w:val="Heading3Char"/>
    <w:unhideWhenUsed/>
    <w:qFormat/>
    <w:rsid w:val="00600537"/>
    <w:pPr>
      <w:ind w:left="357" w:hanging="357"/>
      <w:outlineLvl w:val="2"/>
    </w:pPr>
  </w:style>
  <w:style w:type="paragraph" w:styleId="Heading4">
    <w:name w:val="heading 4"/>
    <w:basedOn w:val="Normal"/>
    <w:next w:val="Normal"/>
    <w:link w:val="Heading4Char"/>
    <w:unhideWhenUsed/>
    <w:qFormat/>
    <w:rsid w:val="006005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600537"/>
    <w:pPr>
      <w:keepNext/>
      <w:widowControl/>
      <w:tabs>
        <w:tab w:val="right" w:pos="360"/>
        <w:tab w:val="left" w:pos="540"/>
      </w:tabs>
      <w:ind w:left="540" w:hanging="540"/>
      <w:jc w:val="left"/>
      <w:outlineLvl w:val="4"/>
    </w:pPr>
    <w:rPr>
      <w:rFonts w:ascii="Univers 45 Light" w:eastAsia="Times New Roman" w:hAnsi="Univers 45 Light" w:cs="Times New Roman"/>
      <w:b/>
      <w:bCs/>
      <w:kern w:val="0"/>
      <w:sz w:val="22"/>
      <w:szCs w:val="24"/>
      <w:lang w:val="en-AU" w:eastAsia="en-US"/>
    </w:rPr>
  </w:style>
  <w:style w:type="paragraph" w:styleId="Heading6">
    <w:name w:val="heading 6"/>
    <w:basedOn w:val="Normal"/>
    <w:next w:val="Normal"/>
    <w:link w:val="Heading6Char"/>
    <w:unhideWhenUsed/>
    <w:qFormat/>
    <w:rsid w:val="006005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qFormat/>
    <w:rsid w:val="00600537"/>
    <w:pPr>
      <w:keepNext/>
      <w:widowControl/>
      <w:ind w:left="1440"/>
      <w:jc w:val="left"/>
      <w:outlineLvl w:val="6"/>
    </w:pPr>
    <w:rPr>
      <w:rFonts w:ascii="Times New Roman" w:eastAsia="Times New Roman" w:hAnsi="Times New Roman" w:cs="Times New Roman"/>
      <w:kern w:val="0"/>
      <w:sz w:val="24"/>
      <w:szCs w:val="24"/>
      <w:u w:val="single"/>
      <w:lang w:val="en-AU" w:eastAsia="en-US"/>
    </w:rPr>
  </w:style>
  <w:style w:type="paragraph" w:styleId="Heading8">
    <w:name w:val="heading 8"/>
    <w:basedOn w:val="Normal"/>
    <w:next w:val="Normal"/>
    <w:link w:val="Heading8Char"/>
    <w:qFormat/>
    <w:rsid w:val="00600537"/>
    <w:pPr>
      <w:keepNext/>
      <w:widowControl/>
      <w:spacing w:before="120" w:after="120"/>
      <w:jc w:val="center"/>
      <w:outlineLvl w:val="7"/>
    </w:pPr>
    <w:rPr>
      <w:rFonts w:ascii="Times New Roman" w:eastAsia="Times New Roman" w:hAnsi="Times New Roman" w:cs="Times New Roman"/>
      <w:i/>
      <w:kern w:val="0"/>
      <w:sz w:val="20"/>
      <w:lang w:val="en-AU" w:eastAsia="en-US"/>
    </w:rPr>
  </w:style>
  <w:style w:type="paragraph" w:styleId="Heading9">
    <w:name w:val="heading 9"/>
    <w:basedOn w:val="Normal"/>
    <w:next w:val="Normal"/>
    <w:link w:val="Heading9Char"/>
    <w:unhideWhenUsed/>
    <w:qFormat/>
    <w:rsid w:val="006005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00537"/>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600537"/>
    <w:rPr>
      <w:rFonts w:eastAsiaTheme="minorEastAsia"/>
      <w:b/>
      <w:i/>
      <w:kern w:val="2"/>
      <w:sz w:val="24"/>
      <w:szCs w:val="24"/>
      <w:lang w:val="en-US" w:eastAsia="zh-CN"/>
    </w:rPr>
  </w:style>
  <w:style w:type="character" w:customStyle="1" w:styleId="Heading3Char">
    <w:name w:val="Heading 3 Char"/>
    <w:basedOn w:val="DefaultParagraphFont"/>
    <w:link w:val="Heading3"/>
    <w:rsid w:val="00600537"/>
    <w:rPr>
      <w:rFonts w:eastAsiaTheme="minorEastAsia"/>
      <w:b/>
      <w:i/>
      <w:kern w:val="2"/>
      <w:sz w:val="24"/>
      <w:szCs w:val="24"/>
      <w:lang w:val="en-US" w:eastAsia="zh-CN"/>
    </w:rPr>
  </w:style>
  <w:style w:type="character" w:customStyle="1" w:styleId="Heading4Char">
    <w:name w:val="Heading 4 Char"/>
    <w:basedOn w:val="DefaultParagraphFont"/>
    <w:link w:val="Heading4"/>
    <w:rsid w:val="00600537"/>
    <w:rPr>
      <w:rFonts w:asciiTheme="majorHAnsi" w:eastAsiaTheme="majorEastAsia" w:hAnsiTheme="majorHAnsi" w:cstheme="majorBidi"/>
      <w:b/>
      <w:bCs/>
      <w:i/>
      <w:iCs/>
      <w:color w:val="5B9BD5" w:themeColor="accent1"/>
      <w:kern w:val="2"/>
      <w:sz w:val="21"/>
      <w:lang w:val="en-US" w:eastAsia="zh-CN"/>
    </w:rPr>
  </w:style>
  <w:style w:type="character" w:customStyle="1" w:styleId="Heading5Char">
    <w:name w:val="Heading 5 Char"/>
    <w:basedOn w:val="DefaultParagraphFont"/>
    <w:link w:val="Heading5"/>
    <w:rsid w:val="00600537"/>
    <w:rPr>
      <w:rFonts w:ascii="Univers 45 Light" w:eastAsia="Times New Roman" w:hAnsi="Univers 45 Light" w:cs="Times New Roman"/>
      <w:b/>
      <w:bCs/>
      <w:szCs w:val="24"/>
    </w:rPr>
  </w:style>
  <w:style w:type="character" w:customStyle="1" w:styleId="Heading6Char">
    <w:name w:val="Heading 6 Char"/>
    <w:basedOn w:val="DefaultParagraphFont"/>
    <w:link w:val="Heading6"/>
    <w:rsid w:val="00600537"/>
    <w:rPr>
      <w:rFonts w:asciiTheme="majorHAnsi" w:eastAsiaTheme="majorEastAsia" w:hAnsiTheme="majorHAnsi" w:cstheme="majorBidi"/>
      <w:i/>
      <w:iCs/>
      <w:color w:val="1F4D78" w:themeColor="accent1" w:themeShade="7F"/>
      <w:kern w:val="2"/>
      <w:sz w:val="21"/>
      <w:lang w:val="en-US" w:eastAsia="zh-CN"/>
    </w:rPr>
  </w:style>
  <w:style w:type="character" w:customStyle="1" w:styleId="Heading7Char">
    <w:name w:val="Heading 7 Char"/>
    <w:basedOn w:val="DefaultParagraphFont"/>
    <w:link w:val="Heading7"/>
    <w:rsid w:val="00600537"/>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600537"/>
    <w:rPr>
      <w:rFonts w:ascii="Times New Roman" w:eastAsia="Times New Roman" w:hAnsi="Times New Roman" w:cs="Times New Roman"/>
      <w:i/>
      <w:sz w:val="20"/>
    </w:rPr>
  </w:style>
  <w:style w:type="character" w:customStyle="1" w:styleId="Heading9Char">
    <w:name w:val="Heading 9 Char"/>
    <w:basedOn w:val="DefaultParagraphFont"/>
    <w:link w:val="Heading9"/>
    <w:rsid w:val="00600537"/>
    <w:rPr>
      <w:rFonts w:asciiTheme="majorHAnsi" w:eastAsiaTheme="majorEastAsia" w:hAnsiTheme="majorHAnsi" w:cstheme="majorBidi"/>
      <w:i/>
      <w:iCs/>
      <w:color w:val="404040" w:themeColor="text1" w:themeTint="BF"/>
      <w:kern w:val="2"/>
      <w:sz w:val="20"/>
      <w:szCs w:val="20"/>
      <w:lang w:val="en-US" w:eastAsia="zh-CN"/>
    </w:rPr>
  </w:style>
  <w:style w:type="character" w:customStyle="1" w:styleId="Heading1Char1">
    <w:name w:val="Heading 1 Char1"/>
    <w:basedOn w:val="DefaultParagraphFont"/>
    <w:link w:val="Heading1"/>
    <w:rsid w:val="00600537"/>
    <w:rPr>
      <w:rFonts w:eastAsiaTheme="minorEastAsia"/>
      <w:b/>
      <w:i/>
      <w:kern w:val="2"/>
      <w:sz w:val="24"/>
      <w:szCs w:val="24"/>
      <w:lang w:val="en-US" w:eastAsia="zh-CN"/>
    </w:rPr>
  </w:style>
  <w:style w:type="character" w:styleId="Hyperlink">
    <w:name w:val="Hyperlink"/>
    <w:basedOn w:val="DefaultParagraphFont"/>
    <w:uiPriority w:val="99"/>
    <w:unhideWhenUsed/>
    <w:rsid w:val="00600537"/>
    <w:rPr>
      <w:color w:val="0563C1" w:themeColor="hyperlink"/>
      <w:u w:val="single"/>
    </w:rPr>
  </w:style>
  <w:style w:type="paragraph" w:styleId="Header">
    <w:name w:val="header"/>
    <w:basedOn w:val="Normal"/>
    <w:link w:val="HeaderChar"/>
    <w:unhideWhenUsed/>
    <w:rsid w:val="006005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600537"/>
    <w:rPr>
      <w:rFonts w:eastAsiaTheme="minorEastAsia"/>
      <w:kern w:val="2"/>
      <w:sz w:val="18"/>
      <w:szCs w:val="18"/>
      <w:lang w:val="en-US" w:eastAsia="zh-CN"/>
    </w:rPr>
  </w:style>
  <w:style w:type="paragraph" w:styleId="Footer">
    <w:name w:val="footer"/>
    <w:basedOn w:val="Normal"/>
    <w:link w:val="FooterChar"/>
    <w:uiPriority w:val="99"/>
    <w:unhideWhenUsed/>
    <w:rsid w:val="006005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00537"/>
    <w:rPr>
      <w:rFonts w:eastAsiaTheme="minorEastAsia"/>
      <w:kern w:val="2"/>
      <w:sz w:val="18"/>
      <w:szCs w:val="18"/>
      <w:lang w:val="en-US" w:eastAsia="zh-CN"/>
    </w:rPr>
  </w:style>
  <w:style w:type="paragraph" w:styleId="ListParagraph">
    <w:name w:val="List Paragraph"/>
    <w:basedOn w:val="Normal"/>
    <w:uiPriority w:val="34"/>
    <w:qFormat/>
    <w:rsid w:val="00600537"/>
    <w:pPr>
      <w:ind w:firstLineChars="200" w:firstLine="420"/>
    </w:pPr>
  </w:style>
  <w:style w:type="paragraph" w:styleId="BodyText">
    <w:name w:val="Body Text"/>
    <w:basedOn w:val="Normal"/>
    <w:link w:val="BodyTextChar"/>
    <w:rsid w:val="00600537"/>
    <w:pPr>
      <w:widowControl/>
      <w:jc w:val="left"/>
    </w:pPr>
    <w:rPr>
      <w:rFonts w:ascii="Univers 45 Light" w:hAnsi="Univers 45 Light" w:cs="Times New Roman"/>
      <w:b/>
      <w:bCs/>
      <w:kern w:val="0"/>
      <w:sz w:val="22"/>
      <w:szCs w:val="24"/>
      <w:lang w:val="en-AU" w:eastAsia="en-US"/>
    </w:rPr>
  </w:style>
  <w:style w:type="character" w:customStyle="1" w:styleId="BodyTextChar">
    <w:name w:val="Body Text Char"/>
    <w:basedOn w:val="DefaultParagraphFont"/>
    <w:link w:val="BodyText"/>
    <w:rsid w:val="00600537"/>
    <w:rPr>
      <w:rFonts w:ascii="Univers 45 Light" w:eastAsiaTheme="minorEastAsia" w:hAnsi="Univers 45 Light" w:cs="Times New Roman"/>
      <w:b/>
      <w:bCs/>
      <w:szCs w:val="24"/>
    </w:rPr>
  </w:style>
  <w:style w:type="paragraph" w:styleId="BodyText2">
    <w:name w:val="Body Text 2"/>
    <w:basedOn w:val="Normal"/>
    <w:link w:val="BodyText2Char"/>
    <w:unhideWhenUsed/>
    <w:rsid w:val="00600537"/>
    <w:pPr>
      <w:spacing w:after="120" w:line="480" w:lineRule="auto"/>
    </w:pPr>
  </w:style>
  <w:style w:type="character" w:customStyle="1" w:styleId="BodyText2Char">
    <w:name w:val="Body Text 2 Char"/>
    <w:basedOn w:val="DefaultParagraphFont"/>
    <w:link w:val="BodyText2"/>
    <w:rsid w:val="00600537"/>
    <w:rPr>
      <w:rFonts w:eastAsiaTheme="minorEastAsia"/>
      <w:kern w:val="2"/>
      <w:sz w:val="21"/>
      <w:lang w:val="en-US" w:eastAsia="zh-CN"/>
    </w:rPr>
  </w:style>
  <w:style w:type="paragraph" w:styleId="Title">
    <w:name w:val="Title"/>
    <w:basedOn w:val="Normal"/>
    <w:link w:val="TitleChar"/>
    <w:qFormat/>
    <w:rsid w:val="00600537"/>
    <w:pPr>
      <w:widowControl/>
      <w:jc w:val="center"/>
    </w:pPr>
    <w:rPr>
      <w:rFonts w:ascii="Univers 45 Light" w:eastAsia="Times New Roman" w:hAnsi="Univers 45 Light" w:cs="Times New Roman"/>
      <w:b/>
      <w:bCs/>
      <w:kern w:val="0"/>
      <w:sz w:val="22"/>
      <w:szCs w:val="24"/>
      <w:lang w:val="en-AU" w:eastAsia="en-US"/>
    </w:rPr>
  </w:style>
  <w:style w:type="character" w:customStyle="1" w:styleId="TitleChar">
    <w:name w:val="Title Char"/>
    <w:basedOn w:val="DefaultParagraphFont"/>
    <w:link w:val="Title"/>
    <w:rsid w:val="00600537"/>
    <w:rPr>
      <w:rFonts w:ascii="Univers 45 Light" w:eastAsia="Times New Roman" w:hAnsi="Univers 45 Light" w:cs="Times New Roman"/>
      <w:b/>
      <w:bCs/>
      <w:szCs w:val="24"/>
    </w:rPr>
  </w:style>
  <w:style w:type="paragraph" w:styleId="Subtitle">
    <w:name w:val="Subtitle"/>
    <w:basedOn w:val="Normal"/>
    <w:link w:val="SubtitleChar"/>
    <w:qFormat/>
    <w:rsid w:val="00600537"/>
    <w:pPr>
      <w:widowControl/>
      <w:jc w:val="center"/>
    </w:pPr>
    <w:rPr>
      <w:rFonts w:ascii="Univers 45 Light" w:eastAsia="Times New Roman" w:hAnsi="Univers 45 Light" w:cs="Times New Roman"/>
      <w:i/>
      <w:iCs/>
      <w:kern w:val="0"/>
      <w:sz w:val="22"/>
      <w:szCs w:val="24"/>
      <w:lang w:val="en-AU" w:eastAsia="en-US"/>
    </w:rPr>
  </w:style>
  <w:style w:type="character" w:customStyle="1" w:styleId="SubtitleChar">
    <w:name w:val="Subtitle Char"/>
    <w:basedOn w:val="DefaultParagraphFont"/>
    <w:link w:val="Subtitle"/>
    <w:rsid w:val="00600537"/>
    <w:rPr>
      <w:rFonts w:ascii="Univers 45 Light" w:eastAsia="Times New Roman" w:hAnsi="Univers 45 Light" w:cs="Times New Roman"/>
      <w:i/>
      <w:iCs/>
      <w:szCs w:val="24"/>
    </w:rPr>
  </w:style>
  <w:style w:type="paragraph" w:styleId="CommentText">
    <w:name w:val="annotation text"/>
    <w:basedOn w:val="Normal"/>
    <w:link w:val="CommentTextChar"/>
    <w:semiHidden/>
    <w:rsid w:val="00600537"/>
    <w:pPr>
      <w:widowControl/>
      <w:jc w:val="left"/>
    </w:pPr>
    <w:rPr>
      <w:rFonts w:ascii="Univers 45 Light" w:eastAsia="Times New Roman" w:hAnsi="Univers 45 Light" w:cs="Times New Roman"/>
      <w:kern w:val="0"/>
      <w:sz w:val="20"/>
      <w:szCs w:val="20"/>
      <w:lang w:val="en-AU" w:eastAsia="en-US"/>
    </w:rPr>
  </w:style>
  <w:style w:type="character" w:customStyle="1" w:styleId="CommentTextChar">
    <w:name w:val="Comment Text Char"/>
    <w:basedOn w:val="DefaultParagraphFont"/>
    <w:link w:val="CommentText"/>
    <w:semiHidden/>
    <w:rsid w:val="00600537"/>
    <w:rPr>
      <w:rFonts w:ascii="Univers 45 Light" w:eastAsia="Times New Roman" w:hAnsi="Univers 45 Light" w:cs="Times New Roman"/>
      <w:sz w:val="20"/>
      <w:szCs w:val="20"/>
    </w:rPr>
  </w:style>
  <w:style w:type="character" w:styleId="PageNumber">
    <w:name w:val="page number"/>
    <w:basedOn w:val="DefaultParagraphFont"/>
    <w:rsid w:val="00600537"/>
  </w:style>
  <w:style w:type="paragraph" w:styleId="BodyTextIndent">
    <w:name w:val="Body Text Indent"/>
    <w:basedOn w:val="Normal"/>
    <w:link w:val="BodyTextIndentChar"/>
    <w:rsid w:val="00600537"/>
    <w:pPr>
      <w:widowControl/>
      <w:tabs>
        <w:tab w:val="left" w:pos="8100"/>
      </w:tabs>
      <w:ind w:left="1440"/>
      <w:jc w:val="left"/>
    </w:pPr>
    <w:rPr>
      <w:rFonts w:ascii="Times New Roman" w:eastAsia="Times New Roman" w:hAnsi="Times New Roman" w:cs="Times New Roman"/>
      <w:kern w:val="0"/>
      <w:sz w:val="24"/>
      <w:szCs w:val="24"/>
      <w:lang w:val="en-AU" w:eastAsia="en-US"/>
    </w:rPr>
  </w:style>
  <w:style w:type="character" w:customStyle="1" w:styleId="BodyTextIndentChar">
    <w:name w:val="Body Text Indent Char"/>
    <w:basedOn w:val="DefaultParagraphFont"/>
    <w:link w:val="BodyTextIndent"/>
    <w:rsid w:val="00600537"/>
    <w:rPr>
      <w:rFonts w:ascii="Times New Roman" w:eastAsia="Times New Roman" w:hAnsi="Times New Roman" w:cs="Times New Roman"/>
      <w:sz w:val="24"/>
      <w:szCs w:val="24"/>
    </w:rPr>
  </w:style>
  <w:style w:type="paragraph" w:styleId="BodyTextIndent2">
    <w:name w:val="Body Text Indent 2"/>
    <w:basedOn w:val="Normal"/>
    <w:link w:val="BodyTextIndent2Char"/>
    <w:rsid w:val="00600537"/>
    <w:pPr>
      <w:widowControl/>
      <w:tabs>
        <w:tab w:val="right" w:pos="360"/>
        <w:tab w:val="left" w:pos="540"/>
      </w:tabs>
      <w:spacing w:after="240"/>
      <w:ind w:left="540" w:hanging="540"/>
      <w:jc w:val="left"/>
    </w:pPr>
    <w:rPr>
      <w:rFonts w:ascii="Univers 45 Light" w:eastAsia="Times New Roman" w:hAnsi="Univers 45 Light" w:cs="Times New Roman"/>
      <w:kern w:val="0"/>
      <w:sz w:val="22"/>
      <w:szCs w:val="24"/>
      <w:lang w:val="en-AU" w:eastAsia="en-US"/>
    </w:rPr>
  </w:style>
  <w:style w:type="character" w:customStyle="1" w:styleId="BodyTextIndent2Char">
    <w:name w:val="Body Text Indent 2 Char"/>
    <w:basedOn w:val="DefaultParagraphFont"/>
    <w:link w:val="BodyTextIndent2"/>
    <w:rsid w:val="00600537"/>
    <w:rPr>
      <w:rFonts w:ascii="Univers 45 Light" w:eastAsia="Times New Roman" w:hAnsi="Univers 45 Light" w:cs="Times New Roman"/>
      <w:szCs w:val="24"/>
    </w:rPr>
  </w:style>
  <w:style w:type="paragraph" w:styleId="FootnoteText">
    <w:name w:val="footnote text"/>
    <w:basedOn w:val="Normal"/>
    <w:link w:val="FootnoteTextChar"/>
    <w:semiHidden/>
    <w:rsid w:val="00600537"/>
    <w:pPr>
      <w:widowControl/>
      <w:jc w:val="left"/>
    </w:pPr>
    <w:rPr>
      <w:rFonts w:ascii="Univers 45 Light" w:eastAsia="Times New Roman" w:hAnsi="Univers 45 Light" w:cs="Times New Roman"/>
      <w:kern w:val="0"/>
      <w:sz w:val="20"/>
      <w:szCs w:val="20"/>
      <w:lang w:val="en-AU" w:eastAsia="en-US"/>
    </w:rPr>
  </w:style>
  <w:style w:type="character" w:customStyle="1" w:styleId="FootnoteTextChar">
    <w:name w:val="Footnote Text Char"/>
    <w:basedOn w:val="DefaultParagraphFont"/>
    <w:link w:val="FootnoteText"/>
    <w:semiHidden/>
    <w:rsid w:val="00600537"/>
    <w:rPr>
      <w:rFonts w:ascii="Univers 45 Light" w:eastAsia="Times New Roman" w:hAnsi="Univers 45 Light" w:cs="Times New Roman"/>
      <w:sz w:val="20"/>
      <w:szCs w:val="20"/>
    </w:rPr>
  </w:style>
  <w:style w:type="character" w:styleId="FollowedHyperlink">
    <w:name w:val="FollowedHyperlink"/>
    <w:basedOn w:val="DefaultParagraphFont"/>
    <w:rsid w:val="00600537"/>
    <w:rPr>
      <w:color w:val="800080"/>
      <w:u w:val="single"/>
    </w:rPr>
  </w:style>
  <w:style w:type="paragraph" w:styleId="TOC1">
    <w:name w:val="toc 1"/>
    <w:basedOn w:val="Normal"/>
    <w:next w:val="Normal"/>
    <w:autoRedefine/>
    <w:uiPriority w:val="39"/>
    <w:rsid w:val="00600537"/>
    <w:pPr>
      <w:spacing w:before="240" w:after="240"/>
      <w:jc w:val="left"/>
    </w:pPr>
    <w:rPr>
      <w:b/>
      <w:sz w:val="28"/>
      <w:szCs w:val="24"/>
    </w:rPr>
  </w:style>
  <w:style w:type="paragraph" w:styleId="BodyText3">
    <w:name w:val="Body Text 3"/>
    <w:basedOn w:val="Normal"/>
    <w:link w:val="BodyText3Char"/>
    <w:rsid w:val="00600537"/>
    <w:pPr>
      <w:widowControl/>
      <w:jc w:val="left"/>
    </w:pPr>
    <w:rPr>
      <w:rFonts w:ascii="Times New Roman" w:eastAsia="Times New Roman" w:hAnsi="Times New Roman" w:cs="Times New Roman"/>
      <w:color w:val="000000"/>
      <w:kern w:val="0"/>
      <w:sz w:val="24"/>
      <w:szCs w:val="24"/>
      <w:lang w:val="en-AU" w:eastAsia="en-US"/>
    </w:rPr>
  </w:style>
  <w:style w:type="character" w:customStyle="1" w:styleId="BodyText3Char">
    <w:name w:val="Body Text 3 Char"/>
    <w:basedOn w:val="DefaultParagraphFont"/>
    <w:link w:val="BodyText3"/>
    <w:rsid w:val="00600537"/>
    <w:rPr>
      <w:rFonts w:ascii="Times New Roman" w:eastAsia="Times New Roman" w:hAnsi="Times New Roman" w:cs="Times New Roman"/>
      <w:color w:val="000000"/>
      <w:sz w:val="24"/>
      <w:szCs w:val="24"/>
    </w:rPr>
  </w:style>
  <w:style w:type="paragraph" w:styleId="NormalWeb">
    <w:name w:val="Normal (Web)"/>
    <w:basedOn w:val="Normal"/>
    <w:uiPriority w:val="99"/>
    <w:rsid w:val="00600537"/>
    <w:pPr>
      <w:widowControl/>
      <w:spacing w:before="100" w:beforeAutospacing="1" w:after="100" w:afterAutospacing="1"/>
      <w:jc w:val="left"/>
    </w:pPr>
    <w:rPr>
      <w:rFonts w:ascii="Verdana" w:eastAsia="Arial Unicode MS" w:hAnsi="Verdana" w:cs="Arial Unicode MS"/>
      <w:color w:val="000000"/>
      <w:kern w:val="0"/>
      <w:sz w:val="17"/>
      <w:szCs w:val="17"/>
      <w:lang w:val="en-AU" w:eastAsia="en-US"/>
    </w:rPr>
  </w:style>
  <w:style w:type="paragraph" w:customStyle="1" w:styleId="SubtitleCover">
    <w:name w:val="Subtitle Cover"/>
    <w:basedOn w:val="TitleCover"/>
    <w:next w:val="BodyText"/>
    <w:rsid w:val="00600537"/>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600537"/>
    <w:pPr>
      <w:keepNext/>
      <w:keepLines/>
      <w:widowControl/>
      <w:spacing w:before="1800" w:line="240" w:lineRule="atLeast"/>
      <w:ind w:left="1080"/>
      <w:jc w:val="left"/>
    </w:pPr>
    <w:rPr>
      <w:rFonts w:ascii="Arial" w:eastAsia="Times New Roman" w:hAnsi="Arial" w:cs="Times New Roman"/>
      <w:b/>
      <w:spacing w:val="-48"/>
      <w:kern w:val="28"/>
      <w:sz w:val="72"/>
      <w:szCs w:val="20"/>
      <w:lang w:val="en-AU" w:eastAsia="en-US"/>
    </w:rPr>
  </w:style>
  <w:style w:type="paragraph" w:customStyle="1" w:styleId="CompanyName">
    <w:name w:val="Company Name"/>
    <w:basedOn w:val="Normal"/>
    <w:rsid w:val="00600537"/>
    <w:pPr>
      <w:keepNext/>
      <w:keepLines/>
      <w:widowControl/>
      <w:spacing w:line="220" w:lineRule="atLeast"/>
      <w:ind w:left="1080"/>
      <w:jc w:val="left"/>
    </w:pPr>
    <w:rPr>
      <w:rFonts w:ascii="Times New Roman" w:eastAsia="Times New Roman" w:hAnsi="Times New Roman" w:cs="Times New Roman"/>
      <w:spacing w:val="-30"/>
      <w:kern w:val="28"/>
      <w:sz w:val="60"/>
      <w:szCs w:val="20"/>
      <w:lang w:val="en-AU" w:eastAsia="en-US"/>
    </w:rPr>
  </w:style>
  <w:style w:type="table" w:styleId="TableGrid">
    <w:name w:val="Table Grid"/>
    <w:basedOn w:val="TableNormal"/>
    <w:rsid w:val="006005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semiHidden/>
    <w:rsid w:val="00600537"/>
    <w:rPr>
      <w:rFonts w:ascii="Univers 45 Light" w:eastAsia="Times New Roman" w:hAnsi="Univers 45 Light" w:cs="Times New Roman"/>
      <w:b/>
      <w:bCs/>
      <w:sz w:val="20"/>
      <w:szCs w:val="20"/>
    </w:rPr>
  </w:style>
  <w:style w:type="paragraph" w:styleId="CommentSubject">
    <w:name w:val="annotation subject"/>
    <w:basedOn w:val="CommentText"/>
    <w:next w:val="CommentText"/>
    <w:link w:val="CommentSubjectChar"/>
    <w:semiHidden/>
    <w:rsid w:val="00600537"/>
    <w:rPr>
      <w:b/>
      <w:bCs/>
    </w:rPr>
  </w:style>
  <w:style w:type="character" w:customStyle="1" w:styleId="CommentSubjectChar1">
    <w:name w:val="Comment Subject Char1"/>
    <w:basedOn w:val="CommentTextChar"/>
    <w:uiPriority w:val="99"/>
    <w:semiHidden/>
    <w:rsid w:val="00600537"/>
    <w:rPr>
      <w:rFonts w:ascii="Univers 45 Light" w:eastAsiaTheme="minorEastAsia" w:hAnsi="Univers 45 Light" w:cs="Times New Roman"/>
      <w:b/>
      <w:bCs/>
      <w:kern w:val="2"/>
      <w:sz w:val="20"/>
      <w:szCs w:val="20"/>
      <w:lang w:val="en-US" w:eastAsia="zh-CN"/>
    </w:rPr>
  </w:style>
  <w:style w:type="paragraph" w:styleId="BalloonText">
    <w:name w:val="Balloon Text"/>
    <w:basedOn w:val="Normal"/>
    <w:link w:val="BalloonTextChar"/>
    <w:semiHidden/>
    <w:rsid w:val="00600537"/>
    <w:pPr>
      <w:widowControl/>
      <w:jc w:val="left"/>
    </w:pPr>
    <w:rPr>
      <w:rFonts w:ascii="Tahoma" w:eastAsia="Times New Roman" w:hAnsi="Tahoma" w:cs="Tahoma"/>
      <w:kern w:val="0"/>
      <w:sz w:val="16"/>
      <w:szCs w:val="16"/>
      <w:lang w:val="en-AU" w:eastAsia="en-US"/>
    </w:rPr>
  </w:style>
  <w:style w:type="character" w:customStyle="1" w:styleId="BalloonTextChar">
    <w:name w:val="Balloon Text Char"/>
    <w:basedOn w:val="DefaultParagraphFont"/>
    <w:link w:val="BalloonText"/>
    <w:semiHidden/>
    <w:rsid w:val="00600537"/>
    <w:rPr>
      <w:rFonts w:ascii="Tahoma" w:eastAsia="Times New Roman" w:hAnsi="Tahoma" w:cs="Tahoma"/>
      <w:sz w:val="16"/>
      <w:szCs w:val="16"/>
    </w:rPr>
  </w:style>
  <w:style w:type="character" w:styleId="Emphasis">
    <w:name w:val="Emphasis"/>
    <w:basedOn w:val="DefaultParagraphFont"/>
    <w:qFormat/>
    <w:rsid w:val="00600537"/>
    <w:rPr>
      <w:i/>
      <w:iCs/>
    </w:rPr>
  </w:style>
  <w:style w:type="character" w:styleId="Strong">
    <w:name w:val="Strong"/>
    <w:basedOn w:val="DefaultParagraphFont"/>
    <w:qFormat/>
    <w:rsid w:val="00600537"/>
    <w:rPr>
      <w:b/>
      <w:bCs/>
    </w:rPr>
  </w:style>
  <w:style w:type="character" w:customStyle="1" w:styleId="CharChar1">
    <w:name w:val="Char Char1"/>
    <w:basedOn w:val="DefaultParagraphFont"/>
    <w:rsid w:val="00600537"/>
    <w:rPr>
      <w:rFonts w:ascii="Univers 45 Light" w:hAnsi="Univers 45 Light"/>
      <w:b/>
      <w:bCs/>
      <w:sz w:val="22"/>
      <w:szCs w:val="24"/>
      <w:lang w:val="en-AU" w:eastAsia="en-US" w:bidi="ar-SA"/>
    </w:rPr>
  </w:style>
  <w:style w:type="character" w:styleId="CommentReference">
    <w:name w:val="annotation reference"/>
    <w:basedOn w:val="DefaultParagraphFont"/>
    <w:semiHidden/>
    <w:unhideWhenUsed/>
    <w:rsid w:val="00600537"/>
    <w:rPr>
      <w:sz w:val="16"/>
      <w:szCs w:val="16"/>
    </w:rPr>
  </w:style>
  <w:style w:type="paragraph" w:styleId="Revision">
    <w:name w:val="Revision"/>
    <w:hidden/>
    <w:uiPriority w:val="99"/>
    <w:semiHidden/>
    <w:rsid w:val="00600537"/>
    <w:pPr>
      <w:spacing w:after="0" w:line="240" w:lineRule="auto"/>
    </w:pPr>
    <w:rPr>
      <w:rFonts w:eastAsiaTheme="minorEastAsia"/>
      <w:kern w:val="2"/>
      <w:sz w:val="21"/>
      <w:lang w:val="en-US" w:eastAsia="zh-CN"/>
    </w:rPr>
  </w:style>
  <w:style w:type="paragraph" w:styleId="TOCHeading">
    <w:name w:val="TOC Heading"/>
    <w:basedOn w:val="Heading1"/>
    <w:next w:val="Normal"/>
    <w:uiPriority w:val="39"/>
    <w:unhideWhenUsed/>
    <w:qFormat/>
    <w:rsid w:val="00600537"/>
    <w:pPr>
      <w:keepLines/>
      <w:spacing w:before="480" w:line="276" w:lineRule="auto"/>
      <w:outlineLvl w:val="9"/>
    </w:pPr>
    <w:rPr>
      <w:rFonts w:asciiTheme="majorHAnsi" w:eastAsiaTheme="majorEastAsia" w:hAnsiTheme="majorHAnsi" w:cstheme="majorBidi"/>
      <w:color w:val="2E74B5" w:themeColor="accent1" w:themeShade="BF"/>
      <w:sz w:val="28"/>
      <w:szCs w:val="28"/>
    </w:rPr>
  </w:style>
  <w:style w:type="paragraph" w:styleId="TOC3">
    <w:name w:val="toc 3"/>
    <w:basedOn w:val="Normal"/>
    <w:next w:val="Normal"/>
    <w:autoRedefine/>
    <w:uiPriority w:val="39"/>
    <w:unhideWhenUsed/>
    <w:rsid w:val="00600537"/>
    <w:pPr>
      <w:ind w:left="420"/>
      <w:jc w:val="left"/>
    </w:pPr>
    <w:rPr>
      <w:sz w:val="22"/>
    </w:rPr>
  </w:style>
  <w:style w:type="paragraph" w:styleId="TOC2">
    <w:name w:val="toc 2"/>
    <w:basedOn w:val="Normal"/>
    <w:next w:val="Normal"/>
    <w:autoRedefine/>
    <w:uiPriority w:val="39"/>
    <w:unhideWhenUsed/>
    <w:rsid w:val="00600537"/>
    <w:pPr>
      <w:tabs>
        <w:tab w:val="left" w:pos="840"/>
        <w:tab w:val="right" w:pos="9060"/>
      </w:tabs>
      <w:spacing w:after="120"/>
      <w:ind w:left="397"/>
      <w:jc w:val="left"/>
    </w:pPr>
    <w:rPr>
      <w:b/>
      <w:sz w:val="24"/>
    </w:rPr>
  </w:style>
  <w:style w:type="paragraph" w:styleId="TOC4">
    <w:name w:val="toc 4"/>
    <w:basedOn w:val="Normal"/>
    <w:next w:val="Normal"/>
    <w:autoRedefine/>
    <w:unhideWhenUsed/>
    <w:rsid w:val="00600537"/>
    <w:pPr>
      <w:ind w:left="630"/>
      <w:jc w:val="left"/>
    </w:pPr>
    <w:rPr>
      <w:sz w:val="20"/>
      <w:szCs w:val="20"/>
    </w:rPr>
  </w:style>
  <w:style w:type="paragraph" w:styleId="TOC5">
    <w:name w:val="toc 5"/>
    <w:basedOn w:val="Normal"/>
    <w:next w:val="Normal"/>
    <w:autoRedefine/>
    <w:unhideWhenUsed/>
    <w:rsid w:val="00600537"/>
    <w:pPr>
      <w:ind w:left="840"/>
      <w:jc w:val="left"/>
    </w:pPr>
    <w:rPr>
      <w:sz w:val="20"/>
      <w:szCs w:val="20"/>
    </w:rPr>
  </w:style>
  <w:style w:type="paragraph" w:styleId="TOC6">
    <w:name w:val="toc 6"/>
    <w:basedOn w:val="Normal"/>
    <w:next w:val="Normal"/>
    <w:autoRedefine/>
    <w:unhideWhenUsed/>
    <w:rsid w:val="00600537"/>
    <w:pPr>
      <w:ind w:left="1050"/>
      <w:jc w:val="left"/>
    </w:pPr>
    <w:rPr>
      <w:sz w:val="20"/>
      <w:szCs w:val="20"/>
    </w:rPr>
  </w:style>
  <w:style w:type="paragraph" w:styleId="TOC7">
    <w:name w:val="toc 7"/>
    <w:basedOn w:val="Normal"/>
    <w:next w:val="Normal"/>
    <w:autoRedefine/>
    <w:unhideWhenUsed/>
    <w:rsid w:val="00600537"/>
    <w:pPr>
      <w:ind w:left="1260"/>
      <w:jc w:val="left"/>
    </w:pPr>
    <w:rPr>
      <w:sz w:val="20"/>
      <w:szCs w:val="20"/>
    </w:rPr>
  </w:style>
  <w:style w:type="paragraph" w:styleId="TOC8">
    <w:name w:val="toc 8"/>
    <w:basedOn w:val="Normal"/>
    <w:next w:val="Normal"/>
    <w:autoRedefine/>
    <w:unhideWhenUsed/>
    <w:rsid w:val="00600537"/>
    <w:pPr>
      <w:ind w:left="1470"/>
      <w:jc w:val="left"/>
    </w:pPr>
    <w:rPr>
      <w:sz w:val="20"/>
      <w:szCs w:val="20"/>
    </w:rPr>
  </w:style>
  <w:style w:type="paragraph" w:styleId="TOC9">
    <w:name w:val="toc 9"/>
    <w:basedOn w:val="Normal"/>
    <w:next w:val="Normal"/>
    <w:autoRedefine/>
    <w:unhideWhenUsed/>
    <w:rsid w:val="00600537"/>
    <w:pPr>
      <w:ind w:left="1680"/>
      <w:jc w:val="left"/>
    </w:pPr>
    <w:rPr>
      <w:sz w:val="20"/>
      <w:szCs w:val="20"/>
    </w:rPr>
  </w:style>
  <w:style w:type="table" w:customStyle="1" w:styleId="LightShading-Accent11">
    <w:name w:val="Light Shading - Accent 11"/>
    <w:basedOn w:val="TableNormal"/>
    <w:uiPriority w:val="60"/>
    <w:rsid w:val="00600537"/>
    <w:pPr>
      <w:spacing w:after="0" w:line="240" w:lineRule="auto"/>
    </w:pPr>
    <w:rPr>
      <w:rFonts w:eastAsiaTheme="minorEastAsia"/>
      <w:color w:val="2E74B5" w:themeColor="accent1" w:themeShade="BF"/>
      <w:kern w:val="2"/>
      <w:sz w:val="21"/>
      <w:lang w:val="en-US"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5">
    <w:name w:val="Light List Accent 5"/>
    <w:basedOn w:val="TableNormal"/>
    <w:uiPriority w:val="61"/>
    <w:rsid w:val="00600537"/>
    <w:pPr>
      <w:spacing w:after="0" w:line="240" w:lineRule="auto"/>
    </w:pPr>
    <w:rPr>
      <w:rFonts w:eastAsiaTheme="minorEastAsia"/>
      <w:kern w:val="2"/>
      <w:sz w:val="21"/>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highlight">
    <w:name w:val="highlight"/>
    <w:basedOn w:val="DefaultParagraphFont"/>
    <w:rsid w:val="00600537"/>
  </w:style>
  <w:style w:type="paragraph" w:customStyle="1" w:styleId="EndNoteBibliographyTitle">
    <w:name w:val="EndNote Bibliography Title"/>
    <w:basedOn w:val="Normal"/>
    <w:link w:val="EndNoteBibliographyTitleChar"/>
    <w:rsid w:val="00600537"/>
    <w:pPr>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600537"/>
    <w:rPr>
      <w:rFonts w:ascii="Times New Roman" w:eastAsiaTheme="minorEastAsia" w:hAnsi="Times New Roman" w:cs="Times New Roman"/>
      <w:noProof/>
      <w:kern w:val="2"/>
      <w:sz w:val="24"/>
      <w:lang w:val="en-US" w:eastAsia="zh-CN"/>
    </w:rPr>
  </w:style>
  <w:style w:type="paragraph" w:customStyle="1" w:styleId="EndNoteBibliography">
    <w:name w:val="EndNote Bibliography"/>
    <w:basedOn w:val="Normal"/>
    <w:link w:val="EndNoteBibliographyChar"/>
    <w:rsid w:val="00600537"/>
    <w:pPr>
      <w:spacing w:line="480" w:lineRule="auto"/>
      <w:jc w:val="left"/>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600537"/>
    <w:rPr>
      <w:rFonts w:ascii="Times New Roman" w:eastAsiaTheme="minorEastAsia" w:hAnsi="Times New Roman" w:cs="Times New Roman"/>
      <w:noProof/>
      <w:kern w:val="2"/>
      <w:sz w:val="24"/>
      <w:lang w:val="en-US" w:eastAsia="zh-CN"/>
    </w:rPr>
  </w:style>
  <w:style w:type="character" w:styleId="LineNumber">
    <w:name w:val="line number"/>
    <w:basedOn w:val="DefaultParagraphFont"/>
    <w:uiPriority w:val="99"/>
    <w:semiHidden/>
    <w:unhideWhenUsed/>
    <w:rsid w:val="00600537"/>
  </w:style>
  <w:style w:type="character" w:customStyle="1" w:styleId="article-headersep">
    <w:name w:val="article-header__sep"/>
    <w:basedOn w:val="DefaultParagraphFont"/>
    <w:rsid w:val="001A0382"/>
  </w:style>
  <w:style w:type="character" w:customStyle="1" w:styleId="article-headerpages">
    <w:name w:val="article-header__pages"/>
    <w:basedOn w:val="DefaultParagraphFont"/>
    <w:rsid w:val="001A0382"/>
  </w:style>
  <w:style w:type="character" w:customStyle="1" w:styleId="article-headerdate">
    <w:name w:val="article-header__date"/>
    <w:basedOn w:val="DefaultParagraphFont"/>
    <w:rsid w:val="001A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lly@uow.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ProfessionalInterest/Pages/CRC.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connruddcenter.org/files/Pdfs/FACTS-2017_Final.pdf" TargetMode="External"/><Relationship Id="rId4" Type="http://schemas.openxmlformats.org/officeDocument/2006/relationships/settings" Target="settings.xml"/><Relationship Id="rId9" Type="http://schemas.openxmlformats.org/officeDocument/2006/relationships/hyperlink" Target="https://ifballiance.org/commitments/responsible-marketing-to-childr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6D41-3D68-4188-89DD-922C8C3C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7595</Words>
  <Characters>43296</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50790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Kelly</dc:creator>
  <cp:keywords/>
  <dc:description/>
  <cp:lastModifiedBy>Boyland, Emma</cp:lastModifiedBy>
  <cp:revision>2</cp:revision>
  <dcterms:created xsi:type="dcterms:W3CDTF">2019-02-26T09:17:00Z</dcterms:created>
  <dcterms:modified xsi:type="dcterms:W3CDTF">2019-02-26T09:17:00Z</dcterms:modified>
</cp:coreProperties>
</file>