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BA" w:rsidRPr="00BE2832" w:rsidRDefault="005A0653" w:rsidP="00EC464B">
      <w:pPr>
        <w:jc w:val="both"/>
        <w:rPr>
          <w:rFonts w:ascii="Times New Roman" w:hAnsi="Times New Roman" w:cs="Times New Roman"/>
          <w:i/>
          <w:sz w:val="24"/>
          <w:szCs w:val="24"/>
        </w:rPr>
      </w:pPr>
      <w:r w:rsidRPr="00BE2832">
        <w:rPr>
          <w:rFonts w:ascii="Times New Roman" w:hAnsi="Times New Roman" w:cs="Times New Roman"/>
          <w:i/>
          <w:sz w:val="24"/>
          <w:szCs w:val="24"/>
        </w:rPr>
        <w:t xml:space="preserve">In Search of </w:t>
      </w:r>
      <w:r w:rsidR="00C923E1" w:rsidRPr="00BE2832">
        <w:rPr>
          <w:rFonts w:ascii="Times New Roman" w:hAnsi="Times New Roman" w:cs="Times New Roman"/>
          <w:i/>
          <w:sz w:val="24"/>
          <w:szCs w:val="24"/>
        </w:rPr>
        <w:t>Healthy Trade</w:t>
      </w:r>
      <w:r w:rsidR="00AF67FF">
        <w:rPr>
          <w:rFonts w:ascii="Times New Roman" w:hAnsi="Times New Roman" w:cs="Times New Roman"/>
          <w:i/>
          <w:sz w:val="24"/>
          <w:szCs w:val="24"/>
        </w:rPr>
        <w:t>: Recent Contributions to the Trade and Public Health Debate</w:t>
      </w:r>
    </w:p>
    <w:p w:rsidR="005A0653" w:rsidRDefault="005A0653" w:rsidP="00EC464B">
      <w:pPr>
        <w:jc w:val="both"/>
        <w:rPr>
          <w:rFonts w:ascii="Times New Roman" w:hAnsi="Times New Roman" w:cs="Times New Roman"/>
          <w:sz w:val="24"/>
          <w:szCs w:val="24"/>
        </w:rPr>
      </w:pPr>
    </w:p>
    <w:p w:rsidR="005A0653" w:rsidRDefault="005A0653" w:rsidP="00EC464B">
      <w:pPr>
        <w:jc w:val="both"/>
        <w:rPr>
          <w:rFonts w:ascii="Times New Roman" w:hAnsi="Times New Roman" w:cs="Times New Roman"/>
          <w:sz w:val="24"/>
          <w:szCs w:val="24"/>
        </w:rPr>
      </w:pPr>
      <w:r>
        <w:rPr>
          <w:rFonts w:ascii="Times New Roman" w:hAnsi="Times New Roman" w:cs="Times New Roman"/>
          <w:sz w:val="24"/>
          <w:szCs w:val="24"/>
        </w:rPr>
        <w:t xml:space="preserve">Gabriel Alexander </w:t>
      </w:r>
      <w:proofErr w:type="spellStart"/>
      <w:r>
        <w:rPr>
          <w:rFonts w:ascii="Times New Roman" w:hAnsi="Times New Roman" w:cs="Times New Roman"/>
          <w:sz w:val="24"/>
          <w:szCs w:val="24"/>
        </w:rPr>
        <w:t>Baumstark</w:t>
      </w:r>
      <w:proofErr w:type="spellEnd"/>
      <w:r>
        <w:rPr>
          <w:rFonts w:ascii="Times New Roman" w:hAnsi="Times New Roman" w:cs="Times New Roman"/>
          <w:sz w:val="24"/>
          <w:szCs w:val="24"/>
        </w:rPr>
        <w:t xml:space="preserve">, </w:t>
      </w:r>
      <w:r w:rsidRPr="005A0653">
        <w:rPr>
          <w:rFonts w:ascii="Times New Roman" w:hAnsi="Times New Roman" w:cs="Times New Roman"/>
          <w:i/>
          <w:sz w:val="24"/>
          <w:szCs w:val="24"/>
        </w:rPr>
        <w:t>The Human Right to Health and its Relation to the WTO</w:t>
      </w:r>
      <w:r>
        <w:rPr>
          <w:rFonts w:ascii="Times New Roman" w:hAnsi="Times New Roman" w:cs="Times New Roman"/>
          <w:sz w:val="24"/>
          <w:szCs w:val="24"/>
        </w:rPr>
        <w:t xml:space="preserve"> (</w:t>
      </w:r>
      <w:proofErr w:type="spellStart"/>
      <w:r>
        <w:rPr>
          <w:rFonts w:ascii="Times New Roman" w:hAnsi="Times New Roman" w:cs="Times New Roman"/>
          <w:sz w:val="24"/>
          <w:szCs w:val="24"/>
        </w:rPr>
        <w:t>Boorberg</w:t>
      </w:r>
      <w:proofErr w:type="spellEnd"/>
      <w:r>
        <w:rPr>
          <w:rFonts w:ascii="Times New Roman" w:hAnsi="Times New Roman" w:cs="Times New Roman"/>
          <w:sz w:val="24"/>
          <w:szCs w:val="24"/>
        </w:rPr>
        <w:t xml:space="preserve"> 2016)</w:t>
      </w:r>
      <w:r w:rsidR="00BE2832">
        <w:rPr>
          <w:rFonts w:ascii="Times New Roman" w:hAnsi="Times New Roman" w:cs="Times New Roman"/>
          <w:sz w:val="24"/>
          <w:szCs w:val="24"/>
        </w:rPr>
        <w:t xml:space="preserve">; </w:t>
      </w:r>
      <w:r>
        <w:rPr>
          <w:rFonts w:ascii="Times New Roman" w:hAnsi="Times New Roman" w:cs="Times New Roman"/>
          <w:sz w:val="24"/>
          <w:szCs w:val="24"/>
        </w:rPr>
        <w:t xml:space="preserve">Benn McGrady, </w:t>
      </w:r>
      <w:r w:rsidRPr="005A0653">
        <w:rPr>
          <w:rFonts w:ascii="Times New Roman" w:hAnsi="Times New Roman" w:cs="Times New Roman"/>
          <w:i/>
          <w:sz w:val="24"/>
          <w:szCs w:val="24"/>
        </w:rPr>
        <w:t>Trade and Public Health</w:t>
      </w:r>
      <w:r>
        <w:rPr>
          <w:rFonts w:ascii="Times New Roman" w:hAnsi="Times New Roman" w:cs="Times New Roman"/>
          <w:i/>
          <w:sz w:val="24"/>
          <w:szCs w:val="24"/>
        </w:rPr>
        <w:t>: The WTO, Tobacco, Alcohol, and Diet</w:t>
      </w:r>
      <w:r>
        <w:rPr>
          <w:rFonts w:ascii="Times New Roman" w:hAnsi="Times New Roman" w:cs="Times New Roman"/>
          <w:sz w:val="24"/>
          <w:szCs w:val="24"/>
        </w:rPr>
        <w:t xml:space="preserve"> (Cambridge 2011)</w:t>
      </w:r>
      <w:r w:rsidR="00BE2832">
        <w:rPr>
          <w:rFonts w:ascii="Times New Roman" w:hAnsi="Times New Roman" w:cs="Times New Roman"/>
          <w:sz w:val="24"/>
          <w:szCs w:val="24"/>
        </w:rPr>
        <w:t xml:space="preserve">; </w:t>
      </w:r>
      <w:r>
        <w:rPr>
          <w:rFonts w:ascii="Times New Roman" w:hAnsi="Times New Roman" w:cs="Times New Roman"/>
          <w:sz w:val="24"/>
          <w:szCs w:val="24"/>
        </w:rPr>
        <w:t xml:space="preserve">Geert Van </w:t>
      </w:r>
      <w:proofErr w:type="spellStart"/>
      <w:r>
        <w:rPr>
          <w:rFonts w:ascii="Times New Roman" w:hAnsi="Times New Roman" w:cs="Times New Roman"/>
          <w:sz w:val="24"/>
          <w:szCs w:val="24"/>
        </w:rPr>
        <w:t>Calster</w:t>
      </w:r>
      <w:proofErr w:type="spellEnd"/>
      <w:r>
        <w:rPr>
          <w:rFonts w:ascii="Times New Roman" w:hAnsi="Times New Roman" w:cs="Times New Roman"/>
          <w:sz w:val="24"/>
          <w:szCs w:val="24"/>
        </w:rPr>
        <w:t xml:space="preserve"> and Denise Prevost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sidRPr="005A0653">
        <w:rPr>
          <w:rFonts w:ascii="Times New Roman" w:hAnsi="Times New Roman" w:cs="Times New Roman"/>
          <w:i/>
          <w:sz w:val="24"/>
          <w:szCs w:val="24"/>
        </w:rPr>
        <w:t>Research Handbook on Environment, Health and the WTO</w:t>
      </w:r>
      <w:r>
        <w:rPr>
          <w:rFonts w:ascii="Times New Roman" w:hAnsi="Times New Roman" w:cs="Times New Roman"/>
          <w:sz w:val="24"/>
          <w:szCs w:val="24"/>
        </w:rPr>
        <w:t xml:space="preserve"> (Edward Elgar 2013)</w:t>
      </w:r>
    </w:p>
    <w:p w:rsidR="005A0653" w:rsidRPr="00830A35" w:rsidRDefault="005A0653" w:rsidP="00EC464B">
      <w:pPr>
        <w:jc w:val="both"/>
        <w:rPr>
          <w:rFonts w:ascii="Times New Roman" w:hAnsi="Times New Roman" w:cs="Times New Roman"/>
          <w:sz w:val="24"/>
          <w:szCs w:val="24"/>
        </w:rPr>
      </w:pPr>
    </w:p>
    <w:p w:rsidR="008F0DBD" w:rsidRDefault="008F0DBD" w:rsidP="009D2911">
      <w:pPr>
        <w:jc w:val="both"/>
        <w:rPr>
          <w:rFonts w:ascii="Times New Roman" w:hAnsi="Times New Roman" w:cs="Times New Roman"/>
          <w:sz w:val="24"/>
          <w:szCs w:val="24"/>
        </w:rPr>
      </w:pPr>
      <w:r>
        <w:rPr>
          <w:rFonts w:ascii="Times New Roman" w:hAnsi="Times New Roman" w:cs="Times New Roman"/>
          <w:sz w:val="24"/>
          <w:szCs w:val="24"/>
        </w:rPr>
        <w:t>This year, the United Nations will stage the third High-Level Meeting on the prevention and control of Non-Communicable Diseases</w:t>
      </w:r>
      <w:r w:rsidR="00316E70">
        <w:rPr>
          <w:rFonts w:ascii="Times New Roman" w:hAnsi="Times New Roman" w:cs="Times New Roman"/>
          <w:sz w:val="24"/>
          <w:szCs w:val="24"/>
        </w:rPr>
        <w:t xml:space="preserve">, at which </w:t>
      </w:r>
      <w:r w:rsidR="009D2911" w:rsidRPr="009D2911">
        <w:rPr>
          <w:rFonts w:ascii="Times New Roman" w:hAnsi="Times New Roman" w:cs="Times New Roman"/>
          <w:sz w:val="24"/>
          <w:szCs w:val="24"/>
        </w:rPr>
        <w:t>Heads of State</w:t>
      </w:r>
      <w:r w:rsidR="009D2911">
        <w:rPr>
          <w:rFonts w:ascii="Times New Roman" w:hAnsi="Times New Roman" w:cs="Times New Roman"/>
          <w:sz w:val="24"/>
          <w:szCs w:val="24"/>
        </w:rPr>
        <w:t xml:space="preserve"> </w:t>
      </w:r>
      <w:r w:rsidR="009D2911" w:rsidRPr="009D2911">
        <w:rPr>
          <w:rFonts w:ascii="Times New Roman" w:hAnsi="Times New Roman" w:cs="Times New Roman"/>
          <w:sz w:val="24"/>
          <w:szCs w:val="24"/>
        </w:rPr>
        <w:t xml:space="preserve">and Government </w:t>
      </w:r>
      <w:r w:rsidR="009D2911">
        <w:rPr>
          <w:rFonts w:ascii="Times New Roman" w:hAnsi="Times New Roman" w:cs="Times New Roman"/>
          <w:sz w:val="24"/>
          <w:szCs w:val="24"/>
        </w:rPr>
        <w:t xml:space="preserve">will </w:t>
      </w:r>
      <w:r w:rsidR="009D2911" w:rsidRPr="009D2911">
        <w:rPr>
          <w:rFonts w:ascii="Times New Roman" w:hAnsi="Times New Roman" w:cs="Times New Roman"/>
          <w:sz w:val="24"/>
          <w:szCs w:val="24"/>
        </w:rPr>
        <w:t>conduct a comprehensive review of the</w:t>
      </w:r>
      <w:r w:rsidR="009D2911">
        <w:rPr>
          <w:rFonts w:ascii="Times New Roman" w:hAnsi="Times New Roman" w:cs="Times New Roman"/>
          <w:sz w:val="24"/>
          <w:szCs w:val="24"/>
        </w:rPr>
        <w:t xml:space="preserve"> </w:t>
      </w:r>
      <w:r w:rsidR="009D2911" w:rsidRPr="009D2911">
        <w:rPr>
          <w:rFonts w:ascii="Times New Roman" w:hAnsi="Times New Roman" w:cs="Times New Roman"/>
          <w:sz w:val="24"/>
          <w:szCs w:val="24"/>
        </w:rPr>
        <w:t>progress achieved in reducing the risk of dying prematurely</w:t>
      </w:r>
      <w:r w:rsidR="009D2911">
        <w:rPr>
          <w:rFonts w:ascii="Times New Roman" w:hAnsi="Times New Roman" w:cs="Times New Roman"/>
          <w:sz w:val="24"/>
          <w:szCs w:val="24"/>
        </w:rPr>
        <w:t xml:space="preserve"> </w:t>
      </w:r>
      <w:r w:rsidR="009D2911" w:rsidRPr="009D2911">
        <w:rPr>
          <w:rFonts w:ascii="Times New Roman" w:hAnsi="Times New Roman" w:cs="Times New Roman"/>
          <w:sz w:val="24"/>
          <w:szCs w:val="24"/>
        </w:rPr>
        <w:t>from</w:t>
      </w:r>
      <w:r w:rsidR="00316E70">
        <w:rPr>
          <w:rFonts w:ascii="Times New Roman" w:hAnsi="Times New Roman" w:cs="Times New Roman"/>
          <w:sz w:val="24"/>
          <w:szCs w:val="24"/>
        </w:rPr>
        <w:t xml:space="preserve"> </w:t>
      </w:r>
      <w:r w:rsidR="009D2911">
        <w:rPr>
          <w:rFonts w:ascii="Times New Roman" w:hAnsi="Times New Roman" w:cs="Times New Roman"/>
          <w:sz w:val="24"/>
          <w:szCs w:val="24"/>
        </w:rPr>
        <w:t>non-communicable diseases (NCDs)</w:t>
      </w:r>
      <w:r w:rsidR="009D2911" w:rsidRPr="009D2911">
        <w:rPr>
          <w:rFonts w:ascii="Times New Roman" w:hAnsi="Times New Roman" w:cs="Times New Roman"/>
          <w:sz w:val="24"/>
          <w:szCs w:val="24"/>
        </w:rPr>
        <w:t>.</w:t>
      </w:r>
      <w:r w:rsidR="000C3B8B">
        <w:rPr>
          <w:rFonts w:ascii="Times New Roman" w:hAnsi="Times New Roman" w:cs="Times New Roman"/>
          <w:sz w:val="24"/>
          <w:szCs w:val="24"/>
        </w:rPr>
        <w:t xml:space="preserve"> </w:t>
      </w:r>
      <w:r>
        <w:rPr>
          <w:rFonts w:ascii="Times New Roman" w:hAnsi="Times New Roman" w:cs="Times New Roman"/>
          <w:sz w:val="24"/>
          <w:szCs w:val="24"/>
        </w:rPr>
        <w:t xml:space="preserve">The prevention and control of </w:t>
      </w:r>
      <w:r w:rsidR="009D2911">
        <w:rPr>
          <w:rFonts w:ascii="Times New Roman" w:hAnsi="Times New Roman" w:cs="Times New Roman"/>
          <w:sz w:val="24"/>
          <w:szCs w:val="24"/>
        </w:rPr>
        <w:t xml:space="preserve">NCDs </w:t>
      </w:r>
      <w:r>
        <w:rPr>
          <w:rFonts w:ascii="Times New Roman" w:hAnsi="Times New Roman" w:cs="Times New Roman"/>
          <w:sz w:val="24"/>
          <w:szCs w:val="24"/>
        </w:rPr>
        <w:t>has become a priority, not only for the World Health Organization (WHO) but also for the United Nations</w:t>
      </w:r>
      <w:r w:rsidR="00540CE7">
        <w:rPr>
          <w:rFonts w:ascii="Times New Roman" w:hAnsi="Times New Roman" w:cs="Times New Roman"/>
          <w:sz w:val="24"/>
          <w:szCs w:val="24"/>
        </w:rPr>
        <w:t xml:space="preserve"> </w:t>
      </w:r>
      <w:r>
        <w:rPr>
          <w:rFonts w:ascii="Times New Roman" w:hAnsi="Times New Roman" w:cs="Times New Roman"/>
          <w:sz w:val="24"/>
          <w:szCs w:val="24"/>
        </w:rPr>
        <w:t xml:space="preserve">(UN) </w:t>
      </w:r>
      <w:r w:rsidR="00540CE7">
        <w:rPr>
          <w:rFonts w:ascii="Times New Roman" w:hAnsi="Times New Roman" w:cs="Times New Roman"/>
          <w:sz w:val="24"/>
          <w:szCs w:val="24"/>
        </w:rPr>
        <w:t xml:space="preserve">system </w:t>
      </w:r>
      <w:r>
        <w:rPr>
          <w:rFonts w:ascii="Times New Roman" w:hAnsi="Times New Roman" w:cs="Times New Roman"/>
          <w:sz w:val="24"/>
          <w:szCs w:val="24"/>
        </w:rPr>
        <w:t xml:space="preserve">more </w:t>
      </w:r>
      <w:r w:rsidR="00540CE7">
        <w:rPr>
          <w:rFonts w:ascii="Times New Roman" w:hAnsi="Times New Roman" w:cs="Times New Roman"/>
          <w:sz w:val="24"/>
          <w:szCs w:val="24"/>
        </w:rPr>
        <w:t>broadly</w:t>
      </w:r>
      <w:r>
        <w:rPr>
          <w:rFonts w:ascii="Times New Roman" w:hAnsi="Times New Roman" w:cs="Times New Roman"/>
          <w:sz w:val="24"/>
          <w:szCs w:val="24"/>
        </w:rPr>
        <w:t>. NCDs are recognised as a major challenge for sustainable development, and targets to combat and reverse their spread are included within the UN Sustai</w:t>
      </w:r>
      <w:r w:rsidR="00EC464B">
        <w:rPr>
          <w:rFonts w:ascii="Times New Roman" w:hAnsi="Times New Roman" w:cs="Times New Roman"/>
          <w:sz w:val="24"/>
          <w:szCs w:val="24"/>
        </w:rPr>
        <w:t>na</w:t>
      </w:r>
      <w:r w:rsidR="00AF67FF">
        <w:rPr>
          <w:rFonts w:ascii="Times New Roman" w:hAnsi="Times New Roman" w:cs="Times New Roman"/>
          <w:sz w:val="24"/>
          <w:szCs w:val="24"/>
        </w:rPr>
        <w:t>ble Development Goals (SDGs)</w:t>
      </w:r>
      <w:r w:rsidR="00EC464B">
        <w:rPr>
          <w:rFonts w:ascii="Times New Roman" w:hAnsi="Times New Roman" w:cs="Times New Roman"/>
          <w:sz w:val="24"/>
          <w:szCs w:val="24"/>
        </w:rPr>
        <w:t>.</w:t>
      </w:r>
      <w:r w:rsidR="00AF67FF">
        <w:rPr>
          <w:rStyle w:val="FootnoteReference"/>
          <w:rFonts w:ascii="Times New Roman" w:hAnsi="Times New Roman" w:cs="Times New Roman"/>
          <w:sz w:val="24"/>
          <w:szCs w:val="24"/>
        </w:rPr>
        <w:footnoteReference w:id="1"/>
      </w:r>
      <w:r w:rsidR="00000C8D">
        <w:rPr>
          <w:rFonts w:ascii="Times New Roman" w:hAnsi="Times New Roman" w:cs="Times New Roman"/>
          <w:sz w:val="24"/>
          <w:szCs w:val="24"/>
        </w:rPr>
        <w:t xml:space="preserve"> This meeting not only marks the continuing importance given to NCDs and public health within the international community, but also the </w:t>
      </w:r>
      <w:bookmarkStart w:id="0" w:name="_GoBack"/>
      <w:bookmarkEnd w:id="0"/>
      <w:r w:rsidR="00000C8D">
        <w:rPr>
          <w:rFonts w:ascii="Times New Roman" w:hAnsi="Times New Roman" w:cs="Times New Roman"/>
          <w:sz w:val="24"/>
          <w:szCs w:val="24"/>
        </w:rPr>
        <w:t xml:space="preserve">acknowledgment that public health protection </w:t>
      </w:r>
      <w:proofErr w:type="spellStart"/>
      <w:r w:rsidR="00316E70">
        <w:rPr>
          <w:rFonts w:ascii="Times New Roman" w:hAnsi="Times New Roman" w:cs="Times New Roman"/>
          <w:sz w:val="24"/>
          <w:szCs w:val="24"/>
        </w:rPr>
        <w:t>lato</w:t>
      </w:r>
      <w:proofErr w:type="spellEnd"/>
      <w:r w:rsidR="00316E70" w:rsidRPr="00316E70">
        <w:rPr>
          <w:rFonts w:ascii="Times New Roman" w:hAnsi="Times New Roman" w:cs="Times New Roman"/>
          <w:sz w:val="24"/>
          <w:szCs w:val="24"/>
        </w:rPr>
        <w:t xml:space="preserve"> </w:t>
      </w:r>
      <w:proofErr w:type="spellStart"/>
      <w:r w:rsidR="00316E70" w:rsidRPr="00316E70">
        <w:rPr>
          <w:rFonts w:ascii="Times New Roman" w:hAnsi="Times New Roman" w:cs="Times New Roman"/>
          <w:sz w:val="24"/>
          <w:szCs w:val="24"/>
        </w:rPr>
        <w:t>sensu</w:t>
      </w:r>
      <w:proofErr w:type="spellEnd"/>
      <w:r w:rsidR="00316E70">
        <w:rPr>
          <w:rFonts w:ascii="Times New Roman" w:hAnsi="Times New Roman" w:cs="Times New Roman"/>
          <w:sz w:val="24"/>
          <w:szCs w:val="24"/>
        </w:rPr>
        <w:t xml:space="preserve"> </w:t>
      </w:r>
      <w:r w:rsidR="00000C8D">
        <w:rPr>
          <w:rFonts w:ascii="Times New Roman" w:hAnsi="Times New Roman" w:cs="Times New Roman"/>
          <w:sz w:val="24"/>
          <w:szCs w:val="24"/>
        </w:rPr>
        <w:t xml:space="preserve">is not only something that States </w:t>
      </w:r>
      <w:r w:rsidR="00806C88" w:rsidRPr="00316E70">
        <w:rPr>
          <w:rFonts w:ascii="Times New Roman" w:hAnsi="Times New Roman" w:cs="Times New Roman"/>
          <w:i/>
          <w:sz w:val="24"/>
          <w:szCs w:val="24"/>
        </w:rPr>
        <w:t>should</w:t>
      </w:r>
      <w:r w:rsidR="00000C8D">
        <w:rPr>
          <w:rFonts w:ascii="Times New Roman" w:hAnsi="Times New Roman" w:cs="Times New Roman"/>
          <w:i/>
          <w:sz w:val="24"/>
          <w:szCs w:val="24"/>
        </w:rPr>
        <w:t xml:space="preserve"> </w:t>
      </w:r>
      <w:r w:rsidR="00000C8D">
        <w:rPr>
          <w:rFonts w:ascii="Times New Roman" w:hAnsi="Times New Roman" w:cs="Times New Roman"/>
          <w:sz w:val="24"/>
          <w:szCs w:val="24"/>
        </w:rPr>
        <w:t xml:space="preserve">pursue but rather something that States </w:t>
      </w:r>
      <w:r w:rsidR="00AF67FF" w:rsidRPr="00AF67FF">
        <w:rPr>
          <w:rFonts w:ascii="Times New Roman" w:hAnsi="Times New Roman" w:cs="Times New Roman"/>
          <w:i/>
          <w:sz w:val="24"/>
          <w:szCs w:val="24"/>
        </w:rPr>
        <w:t>must</w:t>
      </w:r>
      <w:r w:rsidR="00AF67FF">
        <w:rPr>
          <w:rFonts w:ascii="Times New Roman" w:hAnsi="Times New Roman" w:cs="Times New Roman"/>
          <w:sz w:val="24"/>
          <w:szCs w:val="24"/>
        </w:rPr>
        <w:t xml:space="preserve"> </w:t>
      </w:r>
      <w:r w:rsidR="00000C8D">
        <w:rPr>
          <w:rFonts w:ascii="Times New Roman" w:hAnsi="Times New Roman" w:cs="Times New Roman"/>
          <w:sz w:val="24"/>
          <w:szCs w:val="24"/>
        </w:rPr>
        <w:t>pursue.</w:t>
      </w:r>
      <w:r w:rsidR="000B3A6B">
        <w:rPr>
          <w:rStyle w:val="FootnoteReference"/>
          <w:rFonts w:ascii="Times New Roman" w:hAnsi="Times New Roman" w:cs="Times New Roman"/>
          <w:sz w:val="24"/>
          <w:szCs w:val="24"/>
        </w:rPr>
        <w:footnoteReference w:id="2"/>
      </w:r>
      <w:r w:rsidR="00000C8D">
        <w:rPr>
          <w:rFonts w:ascii="Times New Roman" w:hAnsi="Times New Roman" w:cs="Times New Roman"/>
          <w:sz w:val="24"/>
          <w:szCs w:val="24"/>
        </w:rPr>
        <w:t xml:space="preserve"> The shift from </w:t>
      </w:r>
      <w:r w:rsidR="00AF67FF">
        <w:rPr>
          <w:rFonts w:ascii="Times New Roman" w:hAnsi="Times New Roman" w:cs="Times New Roman"/>
          <w:sz w:val="24"/>
          <w:szCs w:val="24"/>
        </w:rPr>
        <w:t xml:space="preserve">the </w:t>
      </w:r>
      <w:r w:rsidR="00000C8D">
        <w:rPr>
          <w:rFonts w:ascii="Times New Roman" w:hAnsi="Times New Roman" w:cs="Times New Roman"/>
          <w:sz w:val="24"/>
          <w:szCs w:val="24"/>
        </w:rPr>
        <w:t xml:space="preserve">desirable to </w:t>
      </w:r>
      <w:r w:rsidR="00AF67FF">
        <w:rPr>
          <w:rFonts w:ascii="Times New Roman" w:hAnsi="Times New Roman" w:cs="Times New Roman"/>
          <w:sz w:val="24"/>
          <w:szCs w:val="24"/>
        </w:rPr>
        <w:t xml:space="preserve">the </w:t>
      </w:r>
      <w:r w:rsidR="00000C8D">
        <w:rPr>
          <w:rFonts w:ascii="Times New Roman" w:hAnsi="Times New Roman" w:cs="Times New Roman"/>
          <w:sz w:val="24"/>
          <w:szCs w:val="24"/>
        </w:rPr>
        <w:t>obligatory makes the relationship between the pursuit of health policies and the pursuit of free(</w:t>
      </w:r>
      <w:proofErr w:type="spellStart"/>
      <w:r w:rsidR="00000C8D">
        <w:rPr>
          <w:rFonts w:ascii="Times New Roman" w:hAnsi="Times New Roman" w:cs="Times New Roman"/>
          <w:sz w:val="24"/>
          <w:szCs w:val="24"/>
        </w:rPr>
        <w:t>er</w:t>
      </w:r>
      <w:proofErr w:type="spellEnd"/>
      <w:r w:rsidR="00000C8D">
        <w:rPr>
          <w:rFonts w:ascii="Times New Roman" w:hAnsi="Times New Roman" w:cs="Times New Roman"/>
          <w:sz w:val="24"/>
          <w:szCs w:val="24"/>
        </w:rPr>
        <w:t xml:space="preserve">) trade </w:t>
      </w:r>
      <w:r w:rsidR="00AF67FF">
        <w:rPr>
          <w:rFonts w:ascii="Times New Roman" w:hAnsi="Times New Roman" w:cs="Times New Roman"/>
          <w:sz w:val="24"/>
          <w:szCs w:val="24"/>
        </w:rPr>
        <w:t xml:space="preserve">and their attendant legal regimes </w:t>
      </w:r>
      <w:r w:rsidR="00000C8D">
        <w:rPr>
          <w:rFonts w:ascii="Times New Roman" w:hAnsi="Times New Roman" w:cs="Times New Roman"/>
          <w:sz w:val="24"/>
          <w:szCs w:val="24"/>
        </w:rPr>
        <w:t xml:space="preserve">especially relevant. </w:t>
      </w:r>
    </w:p>
    <w:p w:rsidR="008F0DBD" w:rsidRDefault="008F0DBD" w:rsidP="00EC464B">
      <w:pPr>
        <w:jc w:val="both"/>
        <w:rPr>
          <w:rFonts w:ascii="Times New Roman" w:hAnsi="Times New Roman" w:cs="Times New Roman"/>
          <w:sz w:val="24"/>
          <w:szCs w:val="24"/>
        </w:rPr>
      </w:pPr>
    </w:p>
    <w:p w:rsidR="008F0DBD" w:rsidRDefault="008F0DBD" w:rsidP="00EC464B">
      <w:pPr>
        <w:jc w:val="both"/>
        <w:rPr>
          <w:rFonts w:ascii="Times New Roman" w:hAnsi="Times New Roman" w:cs="Times New Roman"/>
          <w:sz w:val="24"/>
          <w:szCs w:val="24"/>
        </w:rPr>
      </w:pPr>
      <w:r>
        <w:rPr>
          <w:rFonts w:ascii="Times New Roman" w:hAnsi="Times New Roman" w:cs="Times New Roman"/>
          <w:sz w:val="24"/>
          <w:szCs w:val="24"/>
        </w:rPr>
        <w:t xml:space="preserve">As is the case with </w:t>
      </w:r>
      <w:r w:rsidR="00EC464B">
        <w:rPr>
          <w:rFonts w:ascii="Times New Roman" w:hAnsi="Times New Roman" w:cs="Times New Roman"/>
          <w:sz w:val="24"/>
          <w:szCs w:val="24"/>
        </w:rPr>
        <w:t xml:space="preserve">other essential </w:t>
      </w:r>
      <w:r>
        <w:rPr>
          <w:rFonts w:ascii="Times New Roman" w:hAnsi="Times New Roman" w:cs="Times New Roman"/>
          <w:sz w:val="24"/>
          <w:szCs w:val="24"/>
        </w:rPr>
        <w:t xml:space="preserve">public policy objectives today, </w:t>
      </w:r>
      <w:r w:rsidR="00EC464B">
        <w:rPr>
          <w:rFonts w:ascii="Times New Roman" w:hAnsi="Times New Roman" w:cs="Times New Roman"/>
          <w:sz w:val="24"/>
          <w:szCs w:val="24"/>
        </w:rPr>
        <w:t xml:space="preserve">world trade law plays a key </w:t>
      </w:r>
      <w:r>
        <w:rPr>
          <w:rFonts w:ascii="Times New Roman" w:hAnsi="Times New Roman" w:cs="Times New Roman"/>
          <w:sz w:val="24"/>
          <w:szCs w:val="24"/>
        </w:rPr>
        <w:t xml:space="preserve">role, </w:t>
      </w:r>
      <w:r w:rsidR="00EC464B">
        <w:rPr>
          <w:rFonts w:ascii="Times New Roman" w:hAnsi="Times New Roman" w:cs="Times New Roman"/>
          <w:sz w:val="24"/>
          <w:szCs w:val="24"/>
        </w:rPr>
        <w:t xml:space="preserve">albeit </w:t>
      </w:r>
      <w:r>
        <w:rPr>
          <w:rFonts w:ascii="Times New Roman" w:hAnsi="Times New Roman" w:cs="Times New Roman"/>
          <w:sz w:val="24"/>
          <w:szCs w:val="24"/>
        </w:rPr>
        <w:t xml:space="preserve">often framed in </w:t>
      </w:r>
      <w:r w:rsidR="00EC464B">
        <w:rPr>
          <w:rFonts w:ascii="Times New Roman" w:hAnsi="Times New Roman" w:cs="Times New Roman"/>
          <w:sz w:val="24"/>
          <w:szCs w:val="24"/>
        </w:rPr>
        <w:t xml:space="preserve">negative </w:t>
      </w:r>
      <w:r>
        <w:rPr>
          <w:rFonts w:ascii="Times New Roman" w:hAnsi="Times New Roman" w:cs="Times New Roman"/>
          <w:sz w:val="24"/>
          <w:szCs w:val="24"/>
        </w:rPr>
        <w:t xml:space="preserve">terms </w:t>
      </w:r>
      <w:r w:rsidR="00EC464B">
        <w:rPr>
          <w:rFonts w:ascii="Times New Roman" w:hAnsi="Times New Roman" w:cs="Times New Roman"/>
          <w:sz w:val="24"/>
          <w:szCs w:val="24"/>
        </w:rPr>
        <w:t>(</w:t>
      </w:r>
      <w:r w:rsidR="00316E70">
        <w:rPr>
          <w:rFonts w:ascii="Times New Roman" w:hAnsi="Times New Roman" w:cs="Times New Roman"/>
          <w:sz w:val="24"/>
          <w:szCs w:val="24"/>
        </w:rPr>
        <w:t xml:space="preserve">i.e. </w:t>
      </w:r>
      <w:r w:rsidR="00EC464B">
        <w:rPr>
          <w:rFonts w:ascii="Times New Roman" w:hAnsi="Times New Roman" w:cs="Times New Roman"/>
          <w:sz w:val="24"/>
          <w:szCs w:val="24"/>
        </w:rPr>
        <w:t xml:space="preserve">trade law’s </w:t>
      </w:r>
      <w:r w:rsidR="00EC464B" w:rsidRPr="001F4EE7">
        <w:rPr>
          <w:rFonts w:ascii="Times New Roman" w:hAnsi="Times New Roman" w:cs="Times New Roman"/>
          <w:sz w:val="24"/>
          <w:szCs w:val="24"/>
        </w:rPr>
        <w:t>challenge</w:t>
      </w:r>
      <w:r w:rsidR="00EC464B">
        <w:rPr>
          <w:rFonts w:ascii="Times New Roman" w:hAnsi="Times New Roman" w:cs="Times New Roman"/>
          <w:sz w:val="24"/>
          <w:szCs w:val="24"/>
        </w:rPr>
        <w:t xml:space="preserve"> to public health protection, or the restrictions imposed by world trade law on the regulatory autonomy of States).</w:t>
      </w:r>
      <w:r w:rsidR="00F236F3">
        <w:rPr>
          <w:rStyle w:val="FootnoteReference"/>
          <w:rFonts w:ascii="Times New Roman" w:hAnsi="Times New Roman" w:cs="Times New Roman"/>
          <w:sz w:val="24"/>
          <w:szCs w:val="24"/>
        </w:rPr>
        <w:footnoteReference w:id="3"/>
      </w:r>
      <w:r w:rsidR="00EC464B">
        <w:rPr>
          <w:rFonts w:ascii="Times New Roman" w:hAnsi="Times New Roman" w:cs="Times New Roman"/>
          <w:sz w:val="24"/>
          <w:szCs w:val="24"/>
        </w:rPr>
        <w:t xml:space="preserve"> </w:t>
      </w:r>
      <w:r>
        <w:rPr>
          <w:rFonts w:ascii="Times New Roman" w:hAnsi="Times New Roman" w:cs="Times New Roman"/>
          <w:sz w:val="24"/>
          <w:szCs w:val="24"/>
        </w:rPr>
        <w:t xml:space="preserve">In the case of public health policies, in particular, trade law has increasingly been viewed as a barrier to effective government regulation, whether </w:t>
      </w:r>
      <w:r w:rsidR="00000C8D">
        <w:rPr>
          <w:rFonts w:ascii="Times New Roman" w:hAnsi="Times New Roman" w:cs="Times New Roman"/>
          <w:sz w:val="24"/>
          <w:szCs w:val="24"/>
        </w:rPr>
        <w:t xml:space="preserve">by restricting Members’ ability to tackle </w:t>
      </w:r>
      <w:r w:rsidR="00EC464B">
        <w:rPr>
          <w:rFonts w:ascii="Times New Roman" w:hAnsi="Times New Roman" w:cs="Times New Roman"/>
          <w:sz w:val="24"/>
          <w:szCs w:val="24"/>
        </w:rPr>
        <w:t xml:space="preserve">risk factors of non-communicable diseases such as </w:t>
      </w:r>
      <w:r>
        <w:rPr>
          <w:rFonts w:ascii="Times New Roman" w:hAnsi="Times New Roman" w:cs="Times New Roman"/>
          <w:sz w:val="24"/>
          <w:szCs w:val="24"/>
        </w:rPr>
        <w:t xml:space="preserve">tobacco, alcohol, </w:t>
      </w:r>
      <w:r w:rsidR="00EC464B">
        <w:rPr>
          <w:rFonts w:ascii="Times New Roman" w:hAnsi="Times New Roman" w:cs="Times New Roman"/>
          <w:sz w:val="24"/>
          <w:szCs w:val="24"/>
        </w:rPr>
        <w:t xml:space="preserve">and sugar or fat, or </w:t>
      </w:r>
      <w:r w:rsidR="00000C8D">
        <w:rPr>
          <w:rFonts w:ascii="Times New Roman" w:hAnsi="Times New Roman" w:cs="Times New Roman"/>
          <w:sz w:val="24"/>
          <w:szCs w:val="24"/>
        </w:rPr>
        <w:t xml:space="preserve">limiting the ability of Members to access </w:t>
      </w:r>
      <w:r w:rsidR="00EC464B">
        <w:rPr>
          <w:rFonts w:ascii="Times New Roman" w:hAnsi="Times New Roman" w:cs="Times New Roman"/>
          <w:sz w:val="24"/>
          <w:szCs w:val="24"/>
        </w:rPr>
        <w:t xml:space="preserve">mitigating tools needed to combat </w:t>
      </w:r>
      <w:r w:rsidR="00000C8D">
        <w:rPr>
          <w:rFonts w:ascii="Times New Roman" w:hAnsi="Times New Roman" w:cs="Times New Roman"/>
          <w:sz w:val="24"/>
          <w:szCs w:val="24"/>
        </w:rPr>
        <w:t xml:space="preserve">communicable and non-communicable </w:t>
      </w:r>
      <w:r w:rsidR="00EC464B">
        <w:rPr>
          <w:rFonts w:ascii="Times New Roman" w:hAnsi="Times New Roman" w:cs="Times New Roman"/>
          <w:sz w:val="24"/>
          <w:szCs w:val="24"/>
        </w:rPr>
        <w:t xml:space="preserve">diseases through </w:t>
      </w:r>
      <w:r w:rsidR="00AF67FF">
        <w:rPr>
          <w:rFonts w:ascii="Times New Roman" w:hAnsi="Times New Roman" w:cs="Times New Roman"/>
          <w:sz w:val="24"/>
          <w:szCs w:val="24"/>
        </w:rPr>
        <w:t>meaningful access to medicines.</w:t>
      </w:r>
      <w:r w:rsidR="000A3F2B">
        <w:rPr>
          <w:rStyle w:val="FootnoteReference"/>
          <w:rFonts w:ascii="Times New Roman" w:hAnsi="Times New Roman" w:cs="Times New Roman"/>
          <w:sz w:val="24"/>
          <w:szCs w:val="24"/>
        </w:rPr>
        <w:footnoteReference w:id="4"/>
      </w:r>
    </w:p>
    <w:p w:rsidR="008F0DBD" w:rsidRDefault="008F0DBD" w:rsidP="00EC464B">
      <w:pPr>
        <w:jc w:val="both"/>
        <w:rPr>
          <w:rFonts w:ascii="Times New Roman" w:hAnsi="Times New Roman" w:cs="Times New Roman"/>
          <w:sz w:val="24"/>
          <w:szCs w:val="24"/>
        </w:rPr>
      </w:pPr>
    </w:p>
    <w:p w:rsidR="00797EDF" w:rsidRDefault="0082670A" w:rsidP="00EC464B">
      <w:pPr>
        <w:jc w:val="both"/>
        <w:rPr>
          <w:rFonts w:ascii="Times New Roman" w:hAnsi="Times New Roman" w:cs="Times New Roman"/>
          <w:sz w:val="24"/>
          <w:szCs w:val="24"/>
        </w:rPr>
      </w:pPr>
      <w:r>
        <w:rPr>
          <w:rFonts w:ascii="Times New Roman" w:hAnsi="Times New Roman" w:cs="Times New Roman"/>
          <w:sz w:val="24"/>
          <w:szCs w:val="24"/>
        </w:rPr>
        <w:t>The impact of trade law on public health policies has become particularly acute a</w:t>
      </w:r>
      <w:r w:rsidR="00407998">
        <w:rPr>
          <w:rFonts w:ascii="Times New Roman" w:hAnsi="Times New Roman" w:cs="Times New Roman"/>
          <w:sz w:val="24"/>
          <w:szCs w:val="24"/>
        </w:rPr>
        <w:t xml:space="preserve">s the international community </w:t>
      </w:r>
      <w:r>
        <w:rPr>
          <w:rFonts w:ascii="Times New Roman" w:hAnsi="Times New Roman" w:cs="Times New Roman"/>
          <w:sz w:val="24"/>
          <w:szCs w:val="24"/>
        </w:rPr>
        <w:t xml:space="preserve">increasingly </w:t>
      </w:r>
      <w:r w:rsidR="00407998">
        <w:rPr>
          <w:rFonts w:ascii="Times New Roman" w:hAnsi="Times New Roman" w:cs="Times New Roman"/>
          <w:sz w:val="24"/>
          <w:szCs w:val="24"/>
        </w:rPr>
        <w:t xml:space="preserve">accepts its obligations in responding to public health challenges, and the complex nature that these responses entail. </w:t>
      </w:r>
      <w:r w:rsidR="00797EDF">
        <w:rPr>
          <w:rFonts w:ascii="Times New Roman" w:hAnsi="Times New Roman" w:cs="Times New Roman"/>
          <w:sz w:val="24"/>
          <w:szCs w:val="24"/>
        </w:rPr>
        <w:t>The complexity and nuances needed in government</w:t>
      </w:r>
      <w:r w:rsidR="00AE7DD1">
        <w:rPr>
          <w:rFonts w:ascii="Times New Roman" w:hAnsi="Times New Roman" w:cs="Times New Roman"/>
          <w:sz w:val="24"/>
          <w:szCs w:val="24"/>
        </w:rPr>
        <w:t>al</w:t>
      </w:r>
      <w:r w:rsidR="00797EDF">
        <w:rPr>
          <w:rFonts w:ascii="Times New Roman" w:hAnsi="Times New Roman" w:cs="Times New Roman"/>
          <w:sz w:val="24"/>
          <w:szCs w:val="24"/>
        </w:rPr>
        <w:t xml:space="preserve"> approaches </w:t>
      </w:r>
      <w:r w:rsidR="00AE7DD1">
        <w:rPr>
          <w:rFonts w:ascii="Times New Roman" w:hAnsi="Times New Roman" w:cs="Times New Roman"/>
          <w:sz w:val="24"/>
          <w:szCs w:val="24"/>
        </w:rPr>
        <w:t xml:space="preserve">necessarily imply an overlap with trade obligations as Members use all the tools at their disposal, including </w:t>
      </w:r>
      <w:r w:rsidR="00A034F7">
        <w:rPr>
          <w:rFonts w:ascii="Times New Roman" w:hAnsi="Times New Roman" w:cs="Times New Roman"/>
          <w:sz w:val="24"/>
          <w:szCs w:val="24"/>
        </w:rPr>
        <w:t>action from across government departments and taking many forms, whether fiscal, reg</w:t>
      </w:r>
      <w:r w:rsidR="000C3B8B">
        <w:rPr>
          <w:rFonts w:ascii="Times New Roman" w:hAnsi="Times New Roman" w:cs="Times New Roman"/>
          <w:sz w:val="24"/>
          <w:szCs w:val="24"/>
        </w:rPr>
        <w:t>ulatory, educational or others.</w:t>
      </w:r>
      <w:r w:rsidR="000C3B8B">
        <w:rPr>
          <w:rStyle w:val="FootnoteReference"/>
          <w:rFonts w:ascii="Times New Roman" w:hAnsi="Times New Roman" w:cs="Times New Roman"/>
          <w:sz w:val="24"/>
          <w:szCs w:val="24"/>
        </w:rPr>
        <w:footnoteReference w:id="5"/>
      </w:r>
    </w:p>
    <w:p w:rsidR="00797EDF" w:rsidRDefault="00797EDF" w:rsidP="00EC464B">
      <w:pPr>
        <w:jc w:val="both"/>
        <w:rPr>
          <w:rFonts w:ascii="Times New Roman" w:hAnsi="Times New Roman" w:cs="Times New Roman"/>
          <w:sz w:val="24"/>
          <w:szCs w:val="24"/>
        </w:rPr>
      </w:pPr>
    </w:p>
    <w:p w:rsidR="00C3677F" w:rsidRPr="00830A35" w:rsidRDefault="00407998" w:rsidP="00EC46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the ‘trade and…’ literature of the early WTO years looked to the </w:t>
      </w:r>
      <w:r w:rsidR="00EA489E">
        <w:rPr>
          <w:rFonts w:ascii="Times New Roman" w:hAnsi="Times New Roman" w:cs="Times New Roman"/>
          <w:sz w:val="24"/>
          <w:szCs w:val="24"/>
        </w:rPr>
        <w:t>relationship</w:t>
      </w:r>
      <w:r>
        <w:rPr>
          <w:rFonts w:ascii="Times New Roman" w:hAnsi="Times New Roman" w:cs="Times New Roman"/>
          <w:sz w:val="24"/>
          <w:szCs w:val="24"/>
        </w:rPr>
        <w:t xml:space="preserve"> of trade law and public health, it was heavily influenced by the experiences and expectations of the </w:t>
      </w:r>
      <w:r w:rsidRPr="00830A35">
        <w:rPr>
          <w:rFonts w:ascii="Times New Roman" w:hAnsi="Times New Roman" w:cs="Times New Roman"/>
          <w:sz w:val="24"/>
          <w:szCs w:val="24"/>
        </w:rPr>
        <w:t xml:space="preserve">Uruguay Round, </w:t>
      </w:r>
      <w:r>
        <w:rPr>
          <w:rFonts w:ascii="Times New Roman" w:hAnsi="Times New Roman" w:cs="Times New Roman"/>
          <w:sz w:val="24"/>
          <w:szCs w:val="24"/>
        </w:rPr>
        <w:t xml:space="preserve">viewing </w:t>
      </w:r>
      <w:r w:rsidR="00C3677F" w:rsidRPr="00830A35">
        <w:rPr>
          <w:rFonts w:ascii="Times New Roman" w:hAnsi="Times New Roman" w:cs="Times New Roman"/>
          <w:sz w:val="24"/>
          <w:szCs w:val="24"/>
        </w:rPr>
        <w:t>trade and health through the nexus of sani</w:t>
      </w:r>
      <w:r>
        <w:rPr>
          <w:rFonts w:ascii="Times New Roman" w:hAnsi="Times New Roman" w:cs="Times New Roman"/>
          <w:sz w:val="24"/>
          <w:szCs w:val="24"/>
        </w:rPr>
        <w:t xml:space="preserve">tary and phytosanitary measures and the tension between increased </w:t>
      </w:r>
      <w:r w:rsidR="00C3677F" w:rsidRPr="00830A35">
        <w:rPr>
          <w:rFonts w:ascii="Times New Roman" w:hAnsi="Times New Roman" w:cs="Times New Roman"/>
          <w:sz w:val="24"/>
          <w:szCs w:val="24"/>
        </w:rPr>
        <w:t xml:space="preserve">liberalisation of trade in </w:t>
      </w:r>
      <w:r>
        <w:rPr>
          <w:rFonts w:ascii="Times New Roman" w:hAnsi="Times New Roman" w:cs="Times New Roman"/>
          <w:sz w:val="24"/>
          <w:szCs w:val="24"/>
        </w:rPr>
        <w:t xml:space="preserve">(particularly agricultural) </w:t>
      </w:r>
      <w:r w:rsidR="00C3677F" w:rsidRPr="00830A35">
        <w:rPr>
          <w:rFonts w:ascii="Times New Roman" w:hAnsi="Times New Roman" w:cs="Times New Roman"/>
          <w:sz w:val="24"/>
          <w:szCs w:val="24"/>
        </w:rPr>
        <w:t>goods and the protection of healthy populations</w:t>
      </w:r>
      <w:r w:rsidR="007A3F70">
        <w:rPr>
          <w:rFonts w:ascii="Times New Roman" w:hAnsi="Times New Roman" w:cs="Times New Roman"/>
          <w:sz w:val="24"/>
          <w:szCs w:val="24"/>
        </w:rPr>
        <w:t>.</w:t>
      </w:r>
      <w:r w:rsidR="000C3B8B">
        <w:rPr>
          <w:rStyle w:val="FootnoteReference"/>
          <w:rFonts w:ascii="Times New Roman" w:hAnsi="Times New Roman" w:cs="Times New Roman"/>
          <w:sz w:val="24"/>
          <w:szCs w:val="24"/>
        </w:rPr>
        <w:footnoteReference w:id="6"/>
      </w:r>
      <w:r w:rsidR="007A3F70">
        <w:rPr>
          <w:rFonts w:ascii="Times New Roman" w:hAnsi="Times New Roman" w:cs="Times New Roman"/>
          <w:sz w:val="24"/>
          <w:szCs w:val="24"/>
        </w:rPr>
        <w:t xml:space="preserve"> </w:t>
      </w:r>
      <w:r w:rsidR="008E5986">
        <w:rPr>
          <w:rFonts w:ascii="Times New Roman" w:hAnsi="Times New Roman" w:cs="Times New Roman"/>
          <w:sz w:val="24"/>
          <w:szCs w:val="24"/>
        </w:rPr>
        <w:t>Thus rather than viewing individualised health (that is, health of people rather than their wider environment) as the focus, much of the health aspects of the linkage literature focussed on health and environment</w:t>
      </w:r>
      <w:r w:rsidR="002A130D">
        <w:rPr>
          <w:rFonts w:ascii="Times New Roman" w:hAnsi="Times New Roman" w:cs="Times New Roman"/>
          <w:sz w:val="24"/>
          <w:szCs w:val="24"/>
        </w:rPr>
        <w:t>, or alternatively, the interface between health and intellectual property</w:t>
      </w:r>
      <w:r w:rsidR="00406C32">
        <w:rPr>
          <w:rFonts w:ascii="Times New Roman" w:hAnsi="Times New Roman" w:cs="Times New Roman"/>
          <w:sz w:val="24"/>
          <w:szCs w:val="24"/>
        </w:rPr>
        <w:t xml:space="preserve"> and the role of TRIPS</w:t>
      </w:r>
      <w:r w:rsidR="002A130D">
        <w:rPr>
          <w:rFonts w:ascii="Times New Roman" w:hAnsi="Times New Roman" w:cs="Times New Roman"/>
          <w:sz w:val="24"/>
          <w:szCs w:val="24"/>
        </w:rPr>
        <w:t xml:space="preserve"> within health policies</w:t>
      </w:r>
      <w:r w:rsidR="008E5986">
        <w:rPr>
          <w:rFonts w:ascii="Times New Roman" w:hAnsi="Times New Roman" w:cs="Times New Roman"/>
          <w:sz w:val="24"/>
          <w:szCs w:val="24"/>
        </w:rPr>
        <w:t>.</w:t>
      </w:r>
      <w:bookmarkStart w:id="1" w:name="_Ref523588128"/>
      <w:r w:rsidR="000C3B8B">
        <w:rPr>
          <w:rStyle w:val="FootnoteReference"/>
          <w:rFonts w:ascii="Times New Roman" w:hAnsi="Times New Roman" w:cs="Times New Roman"/>
          <w:sz w:val="24"/>
          <w:szCs w:val="24"/>
        </w:rPr>
        <w:footnoteReference w:id="7"/>
      </w:r>
      <w:bookmarkEnd w:id="1"/>
      <w:r w:rsidR="008E5986">
        <w:rPr>
          <w:rFonts w:ascii="Times New Roman" w:hAnsi="Times New Roman" w:cs="Times New Roman"/>
          <w:sz w:val="24"/>
          <w:szCs w:val="24"/>
        </w:rPr>
        <w:t xml:space="preserve"> </w:t>
      </w:r>
      <w:r w:rsidR="007A3F70">
        <w:rPr>
          <w:rFonts w:ascii="Times New Roman" w:hAnsi="Times New Roman" w:cs="Times New Roman"/>
          <w:sz w:val="24"/>
          <w:szCs w:val="24"/>
        </w:rPr>
        <w:t>Since then</w:t>
      </w:r>
      <w:r w:rsidR="008E5986">
        <w:rPr>
          <w:rFonts w:ascii="Times New Roman" w:hAnsi="Times New Roman" w:cs="Times New Roman"/>
          <w:sz w:val="24"/>
          <w:szCs w:val="24"/>
        </w:rPr>
        <w:t>, however, the increasing awareness of public health challenges within trade spheres (and equally importantly, the trade awareness within the public health community),</w:t>
      </w:r>
      <w:r w:rsidR="007A3F70">
        <w:rPr>
          <w:rFonts w:ascii="Times New Roman" w:hAnsi="Times New Roman" w:cs="Times New Roman"/>
          <w:sz w:val="24"/>
          <w:szCs w:val="24"/>
        </w:rPr>
        <w:t xml:space="preserve"> the literature has shifted, moving toward a more detailed application of trade law in the public health context. </w:t>
      </w:r>
      <w:r w:rsidR="003B067B">
        <w:rPr>
          <w:rFonts w:ascii="Times New Roman" w:hAnsi="Times New Roman" w:cs="Times New Roman"/>
          <w:sz w:val="24"/>
          <w:szCs w:val="24"/>
        </w:rPr>
        <w:t>Attention has been paid to the nature of labelling requirements, the rules relating to taxes relating to product contents in terms of fat, sugar, or salt, or the ways in which tariff bindings may have specific repercussions for members that are net importers of food.</w:t>
      </w:r>
      <w:r w:rsidR="003B067B">
        <w:rPr>
          <w:rStyle w:val="FootnoteReference"/>
          <w:rFonts w:ascii="Times New Roman" w:hAnsi="Times New Roman" w:cs="Times New Roman"/>
          <w:sz w:val="24"/>
          <w:szCs w:val="24"/>
        </w:rPr>
        <w:footnoteReference w:id="8"/>
      </w:r>
      <w:r w:rsidR="003B067B">
        <w:rPr>
          <w:rFonts w:ascii="Times New Roman" w:hAnsi="Times New Roman" w:cs="Times New Roman"/>
          <w:sz w:val="24"/>
          <w:szCs w:val="24"/>
        </w:rPr>
        <w:t xml:space="preserve"> </w:t>
      </w:r>
      <w:r w:rsidR="007A3F70">
        <w:rPr>
          <w:rFonts w:ascii="Times New Roman" w:hAnsi="Times New Roman" w:cs="Times New Roman"/>
          <w:sz w:val="24"/>
          <w:szCs w:val="24"/>
        </w:rPr>
        <w:t xml:space="preserve">This review examines three such contributions, each of which takes a very different approach to contributing to this accounting of the relationship between trade and health. </w:t>
      </w:r>
      <w:r w:rsidR="00F7076C">
        <w:rPr>
          <w:rFonts w:ascii="Times New Roman" w:hAnsi="Times New Roman" w:cs="Times New Roman"/>
          <w:sz w:val="24"/>
          <w:szCs w:val="24"/>
        </w:rPr>
        <w:t>What we see in these works</w:t>
      </w:r>
      <w:r w:rsidR="007A3F70">
        <w:rPr>
          <w:rFonts w:ascii="Times New Roman" w:hAnsi="Times New Roman" w:cs="Times New Roman"/>
          <w:sz w:val="24"/>
          <w:szCs w:val="24"/>
        </w:rPr>
        <w:t xml:space="preserve"> is a common challenge, expressed and examined through different lenses, reflecting different approaches t</w:t>
      </w:r>
      <w:r w:rsidR="00DC04BF">
        <w:rPr>
          <w:rFonts w:ascii="Times New Roman" w:hAnsi="Times New Roman" w:cs="Times New Roman"/>
          <w:sz w:val="24"/>
          <w:szCs w:val="24"/>
        </w:rPr>
        <w:t>hat</w:t>
      </w:r>
      <w:r w:rsidR="007A3F70">
        <w:rPr>
          <w:rFonts w:ascii="Times New Roman" w:hAnsi="Times New Roman" w:cs="Times New Roman"/>
          <w:sz w:val="24"/>
          <w:szCs w:val="24"/>
        </w:rPr>
        <w:t xml:space="preserve"> arise from both the trade and public health disciplines. </w:t>
      </w:r>
    </w:p>
    <w:p w:rsidR="00C3677F" w:rsidRPr="00830A35" w:rsidRDefault="00C3677F" w:rsidP="00EC464B">
      <w:pPr>
        <w:jc w:val="both"/>
        <w:rPr>
          <w:rFonts w:ascii="Times New Roman" w:hAnsi="Times New Roman" w:cs="Times New Roman"/>
          <w:sz w:val="24"/>
          <w:szCs w:val="24"/>
        </w:rPr>
      </w:pPr>
    </w:p>
    <w:p w:rsidR="005D7263" w:rsidRPr="00830A35" w:rsidRDefault="00B77642" w:rsidP="00EC464B">
      <w:pPr>
        <w:jc w:val="both"/>
        <w:rPr>
          <w:rFonts w:ascii="Times New Roman" w:hAnsi="Times New Roman" w:cs="Times New Roman"/>
          <w:sz w:val="24"/>
          <w:szCs w:val="24"/>
        </w:rPr>
      </w:pPr>
      <w:r>
        <w:rPr>
          <w:rFonts w:ascii="Times New Roman" w:hAnsi="Times New Roman" w:cs="Times New Roman"/>
          <w:sz w:val="24"/>
          <w:szCs w:val="24"/>
        </w:rPr>
        <w:t xml:space="preserve">The first of these, Ben McGrady’s monograph </w:t>
      </w:r>
      <w:r w:rsidRPr="005A0653">
        <w:rPr>
          <w:rFonts w:ascii="Times New Roman" w:hAnsi="Times New Roman" w:cs="Times New Roman"/>
          <w:i/>
          <w:sz w:val="24"/>
          <w:szCs w:val="24"/>
        </w:rPr>
        <w:t>Trade and Public Health</w:t>
      </w:r>
      <w:r>
        <w:rPr>
          <w:rFonts w:ascii="Times New Roman" w:hAnsi="Times New Roman" w:cs="Times New Roman"/>
          <w:i/>
          <w:sz w:val="24"/>
          <w:szCs w:val="24"/>
        </w:rPr>
        <w:t>: The WTO, Tobacco, Alcohol, and Diet</w:t>
      </w:r>
      <w:r>
        <w:rPr>
          <w:rFonts w:ascii="Times New Roman" w:hAnsi="Times New Roman" w:cs="Times New Roman"/>
          <w:sz w:val="24"/>
          <w:szCs w:val="24"/>
        </w:rPr>
        <w:t xml:space="preserve">, </w:t>
      </w:r>
      <w:r w:rsidR="001C403B">
        <w:rPr>
          <w:rFonts w:ascii="Times New Roman" w:hAnsi="Times New Roman" w:cs="Times New Roman"/>
          <w:sz w:val="24"/>
          <w:szCs w:val="24"/>
        </w:rPr>
        <w:t>has set the agenda for trade law and public health work for some years.</w:t>
      </w:r>
      <w:bookmarkStart w:id="2" w:name="_Ref523570610"/>
      <w:r w:rsidR="00627AA8">
        <w:rPr>
          <w:rStyle w:val="FootnoteReference"/>
          <w:rFonts w:ascii="Times New Roman" w:hAnsi="Times New Roman" w:cs="Times New Roman"/>
          <w:sz w:val="24"/>
          <w:szCs w:val="24"/>
        </w:rPr>
        <w:footnoteReference w:id="9"/>
      </w:r>
      <w:bookmarkEnd w:id="2"/>
      <w:r w:rsidR="001C403B">
        <w:rPr>
          <w:rFonts w:ascii="Times New Roman" w:hAnsi="Times New Roman" w:cs="Times New Roman"/>
          <w:sz w:val="24"/>
          <w:szCs w:val="24"/>
        </w:rPr>
        <w:t xml:space="preserve"> McGrady’s book</w:t>
      </w:r>
      <w:r w:rsidR="008B005C" w:rsidRPr="00830A35">
        <w:rPr>
          <w:rFonts w:ascii="Times New Roman" w:hAnsi="Times New Roman" w:cs="Times New Roman"/>
          <w:sz w:val="24"/>
          <w:szCs w:val="24"/>
        </w:rPr>
        <w:t xml:space="preserve"> </w:t>
      </w:r>
      <w:r w:rsidR="001C403B">
        <w:rPr>
          <w:rFonts w:ascii="Times New Roman" w:hAnsi="Times New Roman" w:cs="Times New Roman"/>
          <w:sz w:val="24"/>
          <w:szCs w:val="24"/>
        </w:rPr>
        <w:t xml:space="preserve">marks </w:t>
      </w:r>
      <w:r w:rsidR="00BF05FC" w:rsidRPr="00830A35">
        <w:rPr>
          <w:rFonts w:ascii="Times New Roman" w:hAnsi="Times New Roman" w:cs="Times New Roman"/>
          <w:sz w:val="24"/>
          <w:szCs w:val="24"/>
        </w:rPr>
        <w:t xml:space="preserve">a generational shift in </w:t>
      </w:r>
      <w:r w:rsidR="001C403B">
        <w:rPr>
          <w:rFonts w:ascii="Times New Roman" w:hAnsi="Times New Roman" w:cs="Times New Roman"/>
          <w:sz w:val="24"/>
          <w:szCs w:val="24"/>
        </w:rPr>
        <w:t>the field</w:t>
      </w:r>
      <w:r w:rsidR="008B005C" w:rsidRPr="00830A35">
        <w:rPr>
          <w:rFonts w:ascii="Times New Roman" w:hAnsi="Times New Roman" w:cs="Times New Roman"/>
          <w:sz w:val="24"/>
          <w:szCs w:val="24"/>
        </w:rPr>
        <w:t xml:space="preserve">, framing </w:t>
      </w:r>
      <w:r w:rsidR="005D7263" w:rsidRPr="00830A35">
        <w:rPr>
          <w:rFonts w:ascii="Times New Roman" w:hAnsi="Times New Roman" w:cs="Times New Roman"/>
          <w:sz w:val="24"/>
          <w:szCs w:val="24"/>
        </w:rPr>
        <w:t>WTO law not in contradistinction to</w:t>
      </w:r>
      <w:r w:rsidR="00D95912">
        <w:rPr>
          <w:rFonts w:ascii="Times New Roman" w:hAnsi="Times New Roman" w:cs="Times New Roman"/>
          <w:sz w:val="24"/>
          <w:szCs w:val="24"/>
        </w:rPr>
        <w:t>,</w:t>
      </w:r>
      <w:r w:rsidR="005D7263" w:rsidRPr="00830A35">
        <w:rPr>
          <w:rFonts w:ascii="Times New Roman" w:hAnsi="Times New Roman" w:cs="Times New Roman"/>
          <w:sz w:val="24"/>
          <w:szCs w:val="24"/>
        </w:rPr>
        <w:t xml:space="preserve"> or tension with</w:t>
      </w:r>
      <w:r w:rsidR="00D95912">
        <w:rPr>
          <w:rFonts w:ascii="Times New Roman" w:hAnsi="Times New Roman" w:cs="Times New Roman"/>
          <w:sz w:val="24"/>
          <w:szCs w:val="24"/>
        </w:rPr>
        <w:t>,</w:t>
      </w:r>
      <w:r w:rsidR="005D7263" w:rsidRPr="00830A35">
        <w:rPr>
          <w:rFonts w:ascii="Times New Roman" w:hAnsi="Times New Roman" w:cs="Times New Roman"/>
          <w:sz w:val="24"/>
          <w:szCs w:val="24"/>
        </w:rPr>
        <w:t xml:space="preserve"> ‘non-trade’ law such as human rights, but rather but examining the operation of WTO law when viewed from a public health perspective. By moving away from the confrontational, dialectical relationship which became standard in the early days of trade law literature, McGrady permitted a rigorous analysis on trade law’s own terms of the public health challenges to trade law and the trade law challenges to public health.</w:t>
      </w:r>
      <w:r w:rsidR="00D95912">
        <w:rPr>
          <w:rStyle w:val="FootnoteReference"/>
          <w:rFonts w:ascii="Times New Roman" w:hAnsi="Times New Roman" w:cs="Times New Roman"/>
          <w:sz w:val="24"/>
          <w:szCs w:val="24"/>
        </w:rPr>
        <w:footnoteReference w:id="10"/>
      </w:r>
      <w:r w:rsidR="00D94760" w:rsidRPr="00830A35">
        <w:rPr>
          <w:rFonts w:ascii="Times New Roman" w:hAnsi="Times New Roman" w:cs="Times New Roman"/>
          <w:sz w:val="24"/>
          <w:szCs w:val="24"/>
        </w:rPr>
        <w:t xml:space="preserve"> </w:t>
      </w:r>
    </w:p>
    <w:p w:rsidR="00D94760" w:rsidRPr="00830A35" w:rsidRDefault="00D94760" w:rsidP="00EC464B">
      <w:pPr>
        <w:jc w:val="both"/>
        <w:rPr>
          <w:rFonts w:ascii="Times New Roman" w:hAnsi="Times New Roman" w:cs="Times New Roman"/>
          <w:sz w:val="24"/>
          <w:szCs w:val="24"/>
        </w:rPr>
      </w:pPr>
    </w:p>
    <w:p w:rsidR="00A274E3" w:rsidRDefault="003A3A0F" w:rsidP="00EC464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scope of the book is carefully delimited</w:t>
      </w:r>
      <w:r w:rsidR="009964CE">
        <w:rPr>
          <w:rFonts w:ascii="Times New Roman" w:eastAsia="Times New Roman" w:hAnsi="Times New Roman" w:cs="Times New Roman"/>
          <w:color w:val="000000"/>
          <w:sz w:val="24"/>
          <w:szCs w:val="24"/>
        </w:rPr>
        <w:t>, he focusses on the three key risk factors for non-communicable diseases (tobacco, alcohol, and diet) and concentrates his study on specific elements of WTO law</w:t>
      </w:r>
      <w:r w:rsidR="00154E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McGrady identifies the key l</w:t>
      </w:r>
      <w:r w:rsidR="00830A35" w:rsidRPr="0064307B">
        <w:rPr>
          <w:rFonts w:ascii="Times New Roman" w:eastAsia="Times New Roman" w:hAnsi="Times New Roman" w:cs="Times New Roman"/>
          <w:color w:val="000000"/>
          <w:sz w:val="24"/>
          <w:szCs w:val="24"/>
        </w:rPr>
        <w:t xml:space="preserve">imitations </w:t>
      </w:r>
      <w:r w:rsidR="007935CF">
        <w:rPr>
          <w:rFonts w:ascii="Times New Roman" w:eastAsia="Times New Roman" w:hAnsi="Times New Roman" w:cs="Times New Roman"/>
          <w:color w:val="000000"/>
          <w:sz w:val="24"/>
          <w:szCs w:val="24"/>
        </w:rPr>
        <w:t xml:space="preserve">and carve-outs of his </w:t>
      </w:r>
      <w:r w:rsidR="009964CE">
        <w:rPr>
          <w:rFonts w:ascii="Times New Roman" w:eastAsia="Times New Roman" w:hAnsi="Times New Roman" w:cs="Times New Roman"/>
          <w:color w:val="000000"/>
          <w:sz w:val="24"/>
          <w:szCs w:val="24"/>
        </w:rPr>
        <w:t>project</w:t>
      </w:r>
      <w:r w:rsidR="007935CF">
        <w:rPr>
          <w:rFonts w:ascii="Times New Roman" w:eastAsia="Times New Roman" w:hAnsi="Times New Roman" w:cs="Times New Roman"/>
          <w:color w:val="000000"/>
          <w:sz w:val="24"/>
          <w:szCs w:val="24"/>
        </w:rPr>
        <w:t xml:space="preserve"> </w:t>
      </w:r>
      <w:r w:rsidR="001C403B">
        <w:rPr>
          <w:rFonts w:ascii="Times New Roman" w:eastAsia="Times New Roman" w:hAnsi="Times New Roman" w:cs="Times New Roman"/>
          <w:color w:val="000000"/>
          <w:sz w:val="24"/>
          <w:szCs w:val="24"/>
        </w:rPr>
        <w:t>early on –</w:t>
      </w:r>
      <w:r w:rsidR="00830A35" w:rsidRPr="0064307B">
        <w:rPr>
          <w:rFonts w:ascii="Times New Roman" w:eastAsia="Times New Roman" w:hAnsi="Times New Roman" w:cs="Times New Roman"/>
          <w:color w:val="000000"/>
          <w:sz w:val="24"/>
          <w:szCs w:val="24"/>
        </w:rPr>
        <w:t xml:space="preserve"> </w:t>
      </w:r>
      <w:r w:rsidR="001C403B">
        <w:rPr>
          <w:rFonts w:ascii="Times New Roman" w:eastAsia="Times New Roman" w:hAnsi="Times New Roman" w:cs="Times New Roman"/>
          <w:color w:val="000000"/>
          <w:sz w:val="24"/>
          <w:szCs w:val="24"/>
        </w:rPr>
        <w:t>he does not examine regional trade agreements (</w:t>
      </w:r>
      <w:r w:rsidR="00A274E3">
        <w:rPr>
          <w:rFonts w:ascii="Times New Roman" w:eastAsia="Times New Roman" w:hAnsi="Times New Roman" w:cs="Times New Roman"/>
          <w:color w:val="000000"/>
          <w:sz w:val="24"/>
          <w:szCs w:val="24"/>
        </w:rPr>
        <w:t>whether</w:t>
      </w:r>
      <w:r w:rsidR="001C403B">
        <w:rPr>
          <w:rFonts w:ascii="Times New Roman" w:eastAsia="Times New Roman" w:hAnsi="Times New Roman" w:cs="Times New Roman"/>
          <w:color w:val="000000"/>
          <w:sz w:val="24"/>
          <w:szCs w:val="24"/>
        </w:rPr>
        <w:t xml:space="preserve"> free trade areas or customs unions) nor does he </w:t>
      </w:r>
      <w:r w:rsidR="007935CF">
        <w:rPr>
          <w:rFonts w:ascii="Times New Roman" w:eastAsia="Times New Roman" w:hAnsi="Times New Roman" w:cs="Times New Roman"/>
          <w:color w:val="000000"/>
          <w:sz w:val="24"/>
          <w:szCs w:val="24"/>
        </w:rPr>
        <w:t xml:space="preserve">analyse the </w:t>
      </w:r>
      <w:r w:rsidR="001C403B">
        <w:rPr>
          <w:rFonts w:ascii="Times New Roman" w:eastAsia="Times New Roman" w:hAnsi="Times New Roman" w:cs="Times New Roman"/>
          <w:color w:val="000000"/>
          <w:sz w:val="24"/>
          <w:szCs w:val="24"/>
        </w:rPr>
        <w:t xml:space="preserve">intellectual property dimensions of trade law’s overlap with public health objectives (most notably through </w:t>
      </w:r>
      <w:r w:rsidR="00830A35" w:rsidRPr="0064307B">
        <w:rPr>
          <w:rFonts w:ascii="Times New Roman" w:eastAsia="Times New Roman" w:hAnsi="Times New Roman" w:cs="Times New Roman"/>
          <w:color w:val="000000"/>
          <w:sz w:val="24"/>
          <w:szCs w:val="24"/>
        </w:rPr>
        <w:t xml:space="preserve">TRIPS </w:t>
      </w:r>
      <w:r w:rsidR="001C403B">
        <w:rPr>
          <w:rFonts w:ascii="Times New Roman" w:eastAsia="Times New Roman" w:hAnsi="Times New Roman" w:cs="Times New Roman"/>
          <w:color w:val="000000"/>
          <w:sz w:val="24"/>
          <w:szCs w:val="24"/>
        </w:rPr>
        <w:t>and access to medicines). While much work has been done on the latter,</w:t>
      </w:r>
      <w:bookmarkStart w:id="3" w:name="_Ref523588175"/>
      <w:r w:rsidR="001C403B">
        <w:rPr>
          <w:rStyle w:val="FootnoteReference"/>
          <w:rFonts w:ascii="Times New Roman" w:eastAsia="Times New Roman" w:hAnsi="Times New Roman" w:cs="Times New Roman"/>
          <w:color w:val="000000"/>
          <w:sz w:val="24"/>
          <w:szCs w:val="24"/>
        </w:rPr>
        <w:footnoteReference w:id="11"/>
      </w:r>
      <w:bookmarkEnd w:id="3"/>
      <w:r w:rsidR="001C403B">
        <w:rPr>
          <w:rFonts w:ascii="Times New Roman" w:eastAsia="Times New Roman" w:hAnsi="Times New Roman" w:cs="Times New Roman"/>
          <w:color w:val="000000"/>
          <w:sz w:val="24"/>
          <w:szCs w:val="24"/>
        </w:rPr>
        <w:t xml:space="preserve">  </w:t>
      </w:r>
      <w:r w:rsidR="00A274E3">
        <w:rPr>
          <w:rFonts w:ascii="Times New Roman" w:eastAsia="Times New Roman" w:hAnsi="Times New Roman" w:cs="Times New Roman"/>
          <w:color w:val="000000"/>
          <w:sz w:val="24"/>
          <w:szCs w:val="24"/>
        </w:rPr>
        <w:t xml:space="preserve">it is surprising that seven years on from the publication of </w:t>
      </w:r>
      <w:r w:rsidR="00A274E3">
        <w:rPr>
          <w:rFonts w:ascii="Times New Roman" w:eastAsia="Times New Roman" w:hAnsi="Times New Roman" w:cs="Times New Roman"/>
          <w:color w:val="000000"/>
          <w:sz w:val="24"/>
          <w:szCs w:val="24"/>
        </w:rPr>
        <w:lastRenderedPageBreak/>
        <w:t xml:space="preserve">the book, there is </w:t>
      </w:r>
      <w:r w:rsidR="009964CE">
        <w:rPr>
          <w:rFonts w:ascii="Times New Roman" w:eastAsia="Times New Roman" w:hAnsi="Times New Roman" w:cs="Times New Roman"/>
          <w:color w:val="000000"/>
          <w:sz w:val="24"/>
          <w:szCs w:val="24"/>
        </w:rPr>
        <w:t xml:space="preserve">less </w:t>
      </w:r>
      <w:r w:rsidR="00A274E3">
        <w:rPr>
          <w:rFonts w:ascii="Times New Roman" w:eastAsia="Times New Roman" w:hAnsi="Times New Roman" w:cs="Times New Roman"/>
          <w:color w:val="000000"/>
          <w:sz w:val="24"/>
          <w:szCs w:val="24"/>
        </w:rPr>
        <w:t>material on regional agreements and public health outside of the European context</w:t>
      </w:r>
      <w:r w:rsidR="009964CE">
        <w:rPr>
          <w:rFonts w:ascii="Times New Roman" w:eastAsia="Times New Roman" w:hAnsi="Times New Roman" w:cs="Times New Roman"/>
          <w:color w:val="000000"/>
          <w:sz w:val="24"/>
          <w:szCs w:val="24"/>
        </w:rPr>
        <w:t xml:space="preserve"> than might be expected</w:t>
      </w:r>
      <w:r w:rsidR="00A274E3">
        <w:rPr>
          <w:rFonts w:ascii="Times New Roman" w:eastAsia="Times New Roman" w:hAnsi="Times New Roman" w:cs="Times New Roman"/>
          <w:color w:val="000000"/>
          <w:sz w:val="24"/>
          <w:szCs w:val="24"/>
        </w:rPr>
        <w:t>.</w:t>
      </w:r>
      <w:r w:rsidR="00A274E3">
        <w:rPr>
          <w:rStyle w:val="FootnoteReference"/>
          <w:rFonts w:ascii="Times New Roman" w:eastAsia="Times New Roman" w:hAnsi="Times New Roman" w:cs="Times New Roman"/>
          <w:color w:val="000000"/>
          <w:sz w:val="24"/>
          <w:szCs w:val="24"/>
        </w:rPr>
        <w:footnoteReference w:id="12"/>
      </w:r>
    </w:p>
    <w:p w:rsidR="007935CF" w:rsidRDefault="007935CF" w:rsidP="00EC464B">
      <w:pPr>
        <w:shd w:val="clear" w:color="auto" w:fill="FFFFFF"/>
        <w:jc w:val="both"/>
        <w:rPr>
          <w:rFonts w:ascii="Times New Roman" w:eastAsia="Times New Roman" w:hAnsi="Times New Roman" w:cs="Times New Roman"/>
          <w:color w:val="000000"/>
          <w:sz w:val="24"/>
          <w:szCs w:val="24"/>
        </w:rPr>
      </w:pPr>
    </w:p>
    <w:p w:rsidR="00830A35" w:rsidRPr="00CC220F" w:rsidRDefault="00033838" w:rsidP="00EC464B">
      <w:pPr>
        <w:shd w:val="clear" w:color="auto" w:fill="FFFFFF"/>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In terms of substance, McGrady </w:t>
      </w:r>
      <w:r w:rsidR="009964CE">
        <w:rPr>
          <w:rFonts w:ascii="Times New Roman" w:eastAsia="Times New Roman" w:hAnsi="Times New Roman" w:cs="Times New Roman"/>
          <w:color w:val="000000"/>
          <w:sz w:val="24"/>
          <w:szCs w:val="24"/>
        </w:rPr>
        <w:t xml:space="preserve">prioritises </w:t>
      </w:r>
      <w:r>
        <w:rPr>
          <w:rFonts w:ascii="Times New Roman" w:eastAsia="Times New Roman" w:hAnsi="Times New Roman" w:cs="Times New Roman"/>
          <w:color w:val="000000"/>
          <w:sz w:val="24"/>
          <w:szCs w:val="24"/>
        </w:rPr>
        <w:t xml:space="preserve">three </w:t>
      </w:r>
      <w:r w:rsidR="00B10663">
        <w:rPr>
          <w:rFonts w:ascii="Times New Roman" w:eastAsia="Times New Roman" w:hAnsi="Times New Roman" w:cs="Times New Roman"/>
          <w:color w:val="000000"/>
          <w:sz w:val="24"/>
          <w:szCs w:val="24"/>
        </w:rPr>
        <w:t xml:space="preserve">key risk factors for non-communicable diseases: tobacco, alcohol, and diet. </w:t>
      </w:r>
      <w:r w:rsidR="009C4036">
        <w:rPr>
          <w:rFonts w:ascii="Times New Roman" w:eastAsia="Times New Roman" w:hAnsi="Times New Roman" w:cs="Times New Roman"/>
          <w:color w:val="000000"/>
          <w:sz w:val="24"/>
          <w:szCs w:val="24"/>
        </w:rPr>
        <w:t>Using these three subjects he examines the extent to which the regulatory autonomy preserved by WTO law for members to regulate public health issues is balanced with the objectives of the WTO.</w:t>
      </w:r>
      <w:r w:rsidR="00ED2F42">
        <w:rPr>
          <w:rFonts w:ascii="Times New Roman" w:eastAsia="Times New Roman" w:hAnsi="Times New Roman" w:cs="Times New Roman"/>
          <w:color w:val="000000"/>
          <w:sz w:val="24"/>
          <w:szCs w:val="24"/>
        </w:rPr>
        <w:t xml:space="preserve"> In doing so he walks the reader</w:t>
      </w:r>
      <w:r w:rsidR="009C4036">
        <w:rPr>
          <w:rFonts w:ascii="Times New Roman" w:eastAsia="Times New Roman" w:hAnsi="Times New Roman" w:cs="Times New Roman"/>
          <w:color w:val="000000"/>
          <w:sz w:val="24"/>
          <w:szCs w:val="24"/>
        </w:rPr>
        <w:t xml:space="preserve"> through an array of WTO legal issues that can play a role in public health regulation of these risk factors</w:t>
      </w:r>
      <w:r w:rsidR="009C4036">
        <w:rPr>
          <w:rFonts w:ascii="Times New Roman" w:hAnsi="Times New Roman" w:cs="Times New Roman"/>
          <w:sz w:val="24"/>
          <w:szCs w:val="24"/>
        </w:rPr>
        <w:t xml:space="preserve"> from the requirements on necessity under Article XX(b) GATT (strongly informed by the, then recent, </w:t>
      </w:r>
      <w:r w:rsidR="009C4036" w:rsidRPr="00ED2F42">
        <w:rPr>
          <w:rFonts w:ascii="Times New Roman" w:hAnsi="Times New Roman" w:cs="Times New Roman"/>
          <w:i/>
          <w:sz w:val="24"/>
          <w:szCs w:val="24"/>
        </w:rPr>
        <w:t>Brazil -Tyres</w:t>
      </w:r>
      <w:r w:rsidR="009C4036">
        <w:rPr>
          <w:rFonts w:ascii="Times New Roman" w:hAnsi="Times New Roman" w:cs="Times New Roman"/>
          <w:sz w:val="24"/>
          <w:szCs w:val="24"/>
        </w:rPr>
        <w:t xml:space="preserve"> dispute) to the possible scope of a GATS claim in response to the introduction of marketing restrictions on harmful products.</w:t>
      </w:r>
      <w:r w:rsidR="006B5613">
        <w:rPr>
          <w:rFonts w:ascii="Times New Roman" w:hAnsi="Times New Roman" w:cs="Times New Roman"/>
          <w:sz w:val="24"/>
          <w:szCs w:val="24"/>
        </w:rPr>
        <w:t xml:space="preserve"> Since the publication of the book the law has moved on in some areas: attention is less focussed on SPS measures for questions relating to dietary restrictions and food labelling and more on TBT, and the arrival of the three landmark TBT disputes of </w:t>
      </w:r>
      <w:r w:rsidR="006B5613" w:rsidRPr="006B5613">
        <w:rPr>
          <w:rFonts w:ascii="Times New Roman" w:hAnsi="Times New Roman" w:cs="Times New Roman"/>
          <w:i/>
          <w:sz w:val="24"/>
          <w:szCs w:val="24"/>
        </w:rPr>
        <w:t>US – COOL</w:t>
      </w:r>
      <w:r w:rsidR="006B5613">
        <w:rPr>
          <w:rFonts w:ascii="Times New Roman" w:hAnsi="Times New Roman" w:cs="Times New Roman"/>
          <w:sz w:val="24"/>
          <w:szCs w:val="24"/>
        </w:rPr>
        <w:t xml:space="preserve">, </w:t>
      </w:r>
      <w:r w:rsidR="006B5613" w:rsidRPr="006B5613">
        <w:rPr>
          <w:rFonts w:ascii="Times New Roman" w:hAnsi="Times New Roman" w:cs="Times New Roman"/>
          <w:i/>
          <w:sz w:val="24"/>
          <w:szCs w:val="24"/>
        </w:rPr>
        <w:t>US – Clove Cigarettes</w:t>
      </w:r>
      <w:r w:rsidR="006B5613">
        <w:rPr>
          <w:rFonts w:ascii="Times New Roman" w:hAnsi="Times New Roman" w:cs="Times New Roman"/>
          <w:sz w:val="24"/>
          <w:szCs w:val="24"/>
        </w:rPr>
        <w:t xml:space="preserve">, and </w:t>
      </w:r>
      <w:r w:rsidR="006B5613" w:rsidRPr="006B5613">
        <w:rPr>
          <w:rFonts w:ascii="Times New Roman" w:hAnsi="Times New Roman" w:cs="Times New Roman"/>
          <w:i/>
          <w:sz w:val="24"/>
          <w:szCs w:val="24"/>
        </w:rPr>
        <w:t>US – Tuna (II)</w:t>
      </w:r>
      <w:r w:rsidR="006B5613">
        <w:rPr>
          <w:rFonts w:ascii="Times New Roman" w:hAnsi="Times New Roman" w:cs="Times New Roman"/>
          <w:sz w:val="24"/>
          <w:szCs w:val="24"/>
        </w:rPr>
        <w:t xml:space="preserve"> have all provided greater clarity on the interpretation of the TBT Agreement</w:t>
      </w:r>
      <w:r w:rsidR="00ED2F42">
        <w:rPr>
          <w:rFonts w:ascii="Times New Roman" w:hAnsi="Times New Roman" w:cs="Times New Roman"/>
          <w:sz w:val="24"/>
          <w:szCs w:val="24"/>
        </w:rPr>
        <w:t xml:space="preserve">. </w:t>
      </w:r>
      <w:r w:rsidR="009B19C0" w:rsidRPr="009B19C0">
        <w:rPr>
          <w:rFonts w:ascii="Times New Roman" w:hAnsi="Times New Roman" w:cs="Times New Roman"/>
          <w:i/>
          <w:sz w:val="24"/>
          <w:szCs w:val="24"/>
        </w:rPr>
        <w:t>EU – Seals</w:t>
      </w:r>
      <w:r w:rsidR="009B19C0">
        <w:rPr>
          <w:rFonts w:ascii="Times New Roman" w:hAnsi="Times New Roman" w:cs="Times New Roman"/>
          <w:sz w:val="24"/>
          <w:szCs w:val="24"/>
        </w:rPr>
        <w:t xml:space="preserve"> has also informed our understanding of the </w:t>
      </w:r>
      <w:r w:rsidR="009B19C0" w:rsidRPr="009B19C0">
        <w:rPr>
          <w:rFonts w:ascii="Times New Roman" w:hAnsi="Times New Roman" w:cs="Times New Roman"/>
          <w:i/>
          <w:sz w:val="24"/>
          <w:szCs w:val="24"/>
        </w:rPr>
        <w:t>chapeau</w:t>
      </w:r>
      <w:r w:rsidR="009B19C0">
        <w:rPr>
          <w:rFonts w:ascii="Times New Roman" w:hAnsi="Times New Roman" w:cs="Times New Roman"/>
          <w:sz w:val="24"/>
          <w:szCs w:val="24"/>
        </w:rPr>
        <w:t xml:space="preserve"> of Article XX</w:t>
      </w:r>
      <w:r w:rsidR="00ED2F42">
        <w:rPr>
          <w:rFonts w:ascii="Times New Roman" w:hAnsi="Times New Roman" w:cs="Times New Roman"/>
          <w:sz w:val="24"/>
          <w:szCs w:val="24"/>
        </w:rPr>
        <w:t xml:space="preserve"> and, most recently</w:t>
      </w:r>
      <w:r w:rsidR="00CC220F">
        <w:rPr>
          <w:rFonts w:ascii="Times New Roman" w:hAnsi="Times New Roman" w:cs="Times New Roman"/>
          <w:sz w:val="24"/>
          <w:szCs w:val="24"/>
        </w:rPr>
        <w:t xml:space="preserve"> </w:t>
      </w:r>
      <w:r w:rsidR="00ED2F42">
        <w:rPr>
          <w:rFonts w:ascii="Times New Roman" w:hAnsi="Times New Roman" w:cs="Times New Roman"/>
          <w:sz w:val="24"/>
          <w:szCs w:val="24"/>
        </w:rPr>
        <w:t>(</w:t>
      </w:r>
      <w:r w:rsidR="00CC220F">
        <w:rPr>
          <w:rFonts w:ascii="Times New Roman" w:hAnsi="Times New Roman" w:cs="Times New Roman"/>
          <w:sz w:val="24"/>
          <w:szCs w:val="24"/>
        </w:rPr>
        <w:t>current</w:t>
      </w:r>
      <w:r w:rsidR="00ED2F42">
        <w:rPr>
          <w:rFonts w:ascii="Times New Roman" w:hAnsi="Times New Roman" w:cs="Times New Roman"/>
          <w:sz w:val="24"/>
          <w:szCs w:val="24"/>
        </w:rPr>
        <w:t>ly</w:t>
      </w:r>
      <w:r w:rsidR="00CC220F">
        <w:rPr>
          <w:rFonts w:ascii="Times New Roman" w:hAnsi="Times New Roman" w:cs="Times New Roman"/>
          <w:sz w:val="24"/>
          <w:szCs w:val="24"/>
        </w:rPr>
        <w:t xml:space="preserve"> subject to appeal</w:t>
      </w:r>
      <w:r w:rsidR="00ED2F42">
        <w:rPr>
          <w:rFonts w:ascii="Times New Roman" w:hAnsi="Times New Roman" w:cs="Times New Roman"/>
          <w:sz w:val="24"/>
          <w:szCs w:val="24"/>
        </w:rPr>
        <w:t>)</w:t>
      </w:r>
      <w:r w:rsidR="00CC220F">
        <w:rPr>
          <w:rFonts w:ascii="Times New Roman" w:hAnsi="Times New Roman" w:cs="Times New Roman"/>
          <w:sz w:val="24"/>
          <w:szCs w:val="24"/>
        </w:rPr>
        <w:t xml:space="preserve">, are the panel reports in </w:t>
      </w:r>
      <w:r w:rsidR="00CC220F" w:rsidRPr="00CC220F">
        <w:rPr>
          <w:rFonts w:ascii="Times New Roman" w:hAnsi="Times New Roman" w:cs="Times New Roman"/>
          <w:i/>
          <w:sz w:val="24"/>
          <w:szCs w:val="24"/>
        </w:rPr>
        <w:t>Australia –Plain Packaging Requirements</w:t>
      </w:r>
      <w:r w:rsidR="00CC220F">
        <w:rPr>
          <w:rFonts w:ascii="Times New Roman" w:hAnsi="Times New Roman" w:cs="Times New Roman"/>
          <w:i/>
          <w:sz w:val="24"/>
          <w:szCs w:val="24"/>
        </w:rPr>
        <w:t xml:space="preserve"> </w:t>
      </w:r>
      <w:r w:rsidR="00CC220F">
        <w:rPr>
          <w:rFonts w:ascii="Times New Roman" w:hAnsi="Times New Roman" w:cs="Times New Roman"/>
          <w:sz w:val="24"/>
          <w:szCs w:val="24"/>
        </w:rPr>
        <w:t xml:space="preserve">which has developed the case-law on both TRIPS and Article 2.2 TBT. </w:t>
      </w:r>
      <w:r w:rsidR="006B5613">
        <w:rPr>
          <w:rFonts w:ascii="Times New Roman" w:hAnsi="Times New Roman" w:cs="Times New Roman"/>
          <w:sz w:val="24"/>
          <w:szCs w:val="24"/>
        </w:rPr>
        <w:t xml:space="preserve">Nonetheless, the issues identified by McGrady, and the way in which he approaches them are still the starting point for any WTO lawyer seeking to consider the impact of world trade law on public health regulation. </w:t>
      </w:r>
    </w:p>
    <w:p w:rsidR="00BD5D2A" w:rsidRDefault="00BD5D2A" w:rsidP="00BD5D2A">
      <w:pPr>
        <w:shd w:val="clear" w:color="auto" w:fill="FFFFFF"/>
        <w:jc w:val="both"/>
        <w:rPr>
          <w:rFonts w:ascii="Times New Roman" w:eastAsia="Times New Roman" w:hAnsi="Times New Roman" w:cs="Times New Roman"/>
          <w:color w:val="000000"/>
          <w:sz w:val="24"/>
          <w:szCs w:val="24"/>
        </w:rPr>
      </w:pPr>
    </w:p>
    <w:p w:rsidR="0030369E" w:rsidRDefault="00381B6F" w:rsidP="0030369E">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important to note, however, that in </w:t>
      </w:r>
      <w:r>
        <w:rPr>
          <w:rFonts w:ascii="Times New Roman" w:eastAsia="Times New Roman" w:hAnsi="Times New Roman" w:cs="Times New Roman"/>
          <w:i/>
          <w:color w:val="000000"/>
          <w:sz w:val="24"/>
          <w:szCs w:val="24"/>
        </w:rPr>
        <w:t>Trade and Public Health</w:t>
      </w:r>
      <w:r>
        <w:rPr>
          <w:rFonts w:ascii="Times New Roman" w:eastAsia="Times New Roman" w:hAnsi="Times New Roman" w:cs="Times New Roman"/>
          <w:color w:val="000000"/>
          <w:sz w:val="24"/>
          <w:szCs w:val="24"/>
        </w:rPr>
        <w:t xml:space="preserve"> McGrady does not merely present the law descriptively but also makes a number of claims, contentious even now, over the appropriate scope of the obligations under the covered agreements. </w:t>
      </w:r>
      <w:r w:rsidR="0030369E">
        <w:rPr>
          <w:rFonts w:ascii="Times New Roman" w:eastAsia="Times New Roman" w:hAnsi="Times New Roman" w:cs="Times New Roman"/>
          <w:color w:val="000000"/>
          <w:sz w:val="24"/>
          <w:szCs w:val="24"/>
        </w:rPr>
        <w:t xml:space="preserve">For example, in his </w:t>
      </w:r>
      <w:r w:rsidR="009964CE">
        <w:rPr>
          <w:rFonts w:ascii="Times New Roman" w:eastAsia="Times New Roman" w:hAnsi="Times New Roman" w:cs="Times New Roman"/>
          <w:color w:val="000000"/>
          <w:sz w:val="24"/>
          <w:szCs w:val="24"/>
        </w:rPr>
        <w:t>analysis of the scope of Annex A</w:t>
      </w:r>
      <w:r w:rsidR="0030369E">
        <w:rPr>
          <w:rFonts w:ascii="Times New Roman" w:eastAsia="Times New Roman" w:hAnsi="Times New Roman" w:cs="Times New Roman"/>
          <w:color w:val="000000"/>
          <w:sz w:val="24"/>
          <w:szCs w:val="24"/>
        </w:rPr>
        <w:t xml:space="preserve"> of the SPS Agreement and the extent to which a measure constitutes an SPS measure, he takes a broad interpretation, which </w:t>
      </w:r>
      <w:r w:rsidR="009964CE">
        <w:rPr>
          <w:rFonts w:ascii="Times New Roman" w:eastAsia="Times New Roman" w:hAnsi="Times New Roman" w:cs="Times New Roman"/>
          <w:color w:val="000000"/>
          <w:sz w:val="24"/>
          <w:szCs w:val="24"/>
        </w:rPr>
        <w:t>would include</w:t>
      </w:r>
      <w:r w:rsidR="0030369E">
        <w:rPr>
          <w:rFonts w:ascii="Times New Roman" w:eastAsia="Times New Roman" w:hAnsi="Times New Roman" w:cs="Times New Roman"/>
          <w:color w:val="000000"/>
          <w:sz w:val="24"/>
          <w:szCs w:val="24"/>
        </w:rPr>
        <w:t xml:space="preserve"> the regulation of </w:t>
      </w:r>
      <w:proofErr w:type="spellStart"/>
      <w:r w:rsidR="0030369E">
        <w:rPr>
          <w:rFonts w:ascii="Times New Roman" w:eastAsia="Times New Roman" w:hAnsi="Times New Roman" w:cs="Times New Roman"/>
          <w:color w:val="000000"/>
          <w:sz w:val="24"/>
          <w:szCs w:val="24"/>
        </w:rPr>
        <w:t>transfats</w:t>
      </w:r>
      <w:proofErr w:type="spellEnd"/>
      <w:r w:rsidR="0030369E">
        <w:rPr>
          <w:rFonts w:ascii="Times New Roman" w:eastAsia="Times New Roman" w:hAnsi="Times New Roman" w:cs="Times New Roman"/>
          <w:color w:val="000000"/>
          <w:sz w:val="24"/>
          <w:szCs w:val="24"/>
        </w:rPr>
        <w:t>, for example.</w:t>
      </w:r>
      <w:r w:rsidR="00D01826">
        <w:rPr>
          <w:rStyle w:val="FootnoteReference"/>
          <w:rFonts w:ascii="Times New Roman" w:eastAsia="Times New Roman" w:hAnsi="Times New Roman" w:cs="Times New Roman"/>
          <w:color w:val="000000"/>
          <w:sz w:val="24"/>
          <w:szCs w:val="24"/>
        </w:rPr>
        <w:footnoteReference w:id="13"/>
      </w:r>
      <w:r w:rsidR="0030369E">
        <w:rPr>
          <w:rFonts w:ascii="Times New Roman" w:eastAsia="Times New Roman" w:hAnsi="Times New Roman" w:cs="Times New Roman"/>
          <w:color w:val="000000"/>
          <w:sz w:val="24"/>
          <w:szCs w:val="24"/>
        </w:rPr>
        <w:t xml:space="preserve"> This falls in line with the GMO panel report’s willingness to accept </w:t>
      </w:r>
      <w:r w:rsidR="009964CE">
        <w:rPr>
          <w:rFonts w:ascii="Times New Roman" w:eastAsia="Times New Roman" w:hAnsi="Times New Roman" w:cs="Times New Roman"/>
          <w:color w:val="000000"/>
          <w:sz w:val="24"/>
          <w:szCs w:val="24"/>
        </w:rPr>
        <w:t>genes</w:t>
      </w:r>
      <w:r w:rsidR="0030369E">
        <w:rPr>
          <w:rFonts w:ascii="Times New Roman" w:eastAsia="Times New Roman" w:hAnsi="Times New Roman" w:cs="Times New Roman"/>
          <w:color w:val="000000"/>
          <w:sz w:val="24"/>
          <w:szCs w:val="24"/>
        </w:rPr>
        <w:t xml:space="preserve"> as ‘additives’ for the purposes of interpreting Annex </w:t>
      </w:r>
      <w:r w:rsidR="009964CE">
        <w:rPr>
          <w:rFonts w:ascii="Times New Roman" w:eastAsia="Times New Roman" w:hAnsi="Times New Roman" w:cs="Times New Roman"/>
          <w:color w:val="000000"/>
          <w:sz w:val="24"/>
          <w:szCs w:val="24"/>
        </w:rPr>
        <w:t xml:space="preserve">A(1) </w:t>
      </w:r>
      <w:r w:rsidR="0030369E">
        <w:rPr>
          <w:rFonts w:ascii="Times New Roman" w:eastAsia="Times New Roman" w:hAnsi="Times New Roman" w:cs="Times New Roman"/>
          <w:color w:val="000000"/>
          <w:sz w:val="24"/>
          <w:szCs w:val="24"/>
        </w:rPr>
        <w:t>and</w:t>
      </w:r>
      <w:r w:rsidR="00C54AAD">
        <w:rPr>
          <w:rFonts w:ascii="Times New Roman" w:eastAsia="Times New Roman" w:hAnsi="Times New Roman" w:cs="Times New Roman"/>
          <w:color w:val="000000"/>
          <w:sz w:val="24"/>
          <w:szCs w:val="24"/>
        </w:rPr>
        <w:t>,</w:t>
      </w:r>
      <w:r w:rsidR="0030369E">
        <w:rPr>
          <w:rFonts w:ascii="Times New Roman" w:eastAsia="Times New Roman" w:hAnsi="Times New Roman" w:cs="Times New Roman"/>
          <w:color w:val="000000"/>
          <w:sz w:val="24"/>
          <w:szCs w:val="24"/>
        </w:rPr>
        <w:t xml:space="preserve"> </w:t>
      </w:r>
      <w:r w:rsidR="00C54AAD">
        <w:rPr>
          <w:rFonts w:ascii="Times New Roman" w:eastAsia="Times New Roman" w:hAnsi="Times New Roman" w:cs="Times New Roman"/>
          <w:color w:val="000000"/>
          <w:sz w:val="24"/>
          <w:szCs w:val="24"/>
        </w:rPr>
        <w:t xml:space="preserve">while </w:t>
      </w:r>
      <w:r w:rsidR="0030369E">
        <w:rPr>
          <w:rFonts w:ascii="Times New Roman" w:eastAsia="Times New Roman" w:hAnsi="Times New Roman" w:cs="Times New Roman"/>
          <w:color w:val="000000"/>
          <w:sz w:val="24"/>
          <w:szCs w:val="24"/>
        </w:rPr>
        <w:t>defensible, now that the TBT Agreement has taken what some might consider its proper place as the primary legal instrument to discipline technic</w:t>
      </w:r>
      <w:r w:rsidR="00C54AAD">
        <w:rPr>
          <w:rFonts w:ascii="Times New Roman" w:eastAsia="Times New Roman" w:hAnsi="Times New Roman" w:cs="Times New Roman"/>
          <w:color w:val="000000"/>
          <w:sz w:val="24"/>
          <w:szCs w:val="24"/>
        </w:rPr>
        <w:t>al barriers relating to content</w:t>
      </w:r>
      <w:r w:rsidR="0030369E">
        <w:rPr>
          <w:rFonts w:ascii="Times New Roman" w:eastAsia="Times New Roman" w:hAnsi="Times New Roman" w:cs="Times New Roman"/>
          <w:color w:val="000000"/>
          <w:sz w:val="24"/>
          <w:szCs w:val="24"/>
        </w:rPr>
        <w:t xml:space="preserve"> of goods, </w:t>
      </w:r>
      <w:r w:rsidR="00C54AAD">
        <w:rPr>
          <w:rFonts w:ascii="Times New Roman" w:eastAsia="Times New Roman" w:hAnsi="Times New Roman" w:cs="Times New Roman"/>
          <w:color w:val="000000"/>
          <w:sz w:val="24"/>
          <w:szCs w:val="24"/>
        </w:rPr>
        <w:t>there is no longer a justification for such contortions of legal reasoning.</w:t>
      </w:r>
      <w:r w:rsidR="00C54AAD">
        <w:rPr>
          <w:rStyle w:val="FootnoteReference"/>
          <w:rFonts w:ascii="Times New Roman" w:eastAsia="Times New Roman" w:hAnsi="Times New Roman" w:cs="Times New Roman"/>
          <w:color w:val="000000"/>
          <w:sz w:val="24"/>
          <w:szCs w:val="24"/>
        </w:rPr>
        <w:footnoteReference w:id="14"/>
      </w:r>
      <w:r w:rsidR="0030369E">
        <w:rPr>
          <w:rFonts w:ascii="Times New Roman" w:eastAsia="Times New Roman" w:hAnsi="Times New Roman" w:cs="Times New Roman"/>
          <w:color w:val="000000"/>
          <w:sz w:val="24"/>
          <w:szCs w:val="24"/>
        </w:rPr>
        <w:t xml:space="preserve"> </w:t>
      </w:r>
      <w:r w:rsidR="00F07C44">
        <w:rPr>
          <w:rFonts w:ascii="Times New Roman" w:eastAsia="Times New Roman" w:hAnsi="Times New Roman" w:cs="Times New Roman"/>
          <w:color w:val="000000"/>
          <w:sz w:val="24"/>
          <w:szCs w:val="24"/>
        </w:rPr>
        <w:t xml:space="preserve">In practice, the legal landscape has changed considerably in the last seven years – it is a testament to the legal scholarship presented that it still merits close reading. </w:t>
      </w:r>
    </w:p>
    <w:p w:rsidR="00663900" w:rsidRDefault="00663900" w:rsidP="00EC464B">
      <w:pPr>
        <w:shd w:val="clear" w:color="auto" w:fill="FFFFFF"/>
        <w:jc w:val="both"/>
        <w:rPr>
          <w:rFonts w:ascii="Times New Roman" w:eastAsia="Times New Roman" w:hAnsi="Times New Roman" w:cs="Times New Roman"/>
          <w:color w:val="000000"/>
          <w:sz w:val="24"/>
          <w:szCs w:val="24"/>
        </w:rPr>
      </w:pPr>
    </w:p>
    <w:p w:rsidR="009025A9" w:rsidRPr="0064307B" w:rsidRDefault="00D16F7D" w:rsidP="009025A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central theme running throughout the book is</w:t>
      </w:r>
      <w:r w:rsidR="003A3A0F">
        <w:rPr>
          <w:rFonts w:ascii="Times New Roman" w:eastAsia="Times New Roman" w:hAnsi="Times New Roman" w:cs="Times New Roman"/>
          <w:color w:val="000000"/>
          <w:sz w:val="24"/>
          <w:szCs w:val="24"/>
        </w:rPr>
        <w:t xml:space="preserve"> the importance of the </w:t>
      </w:r>
      <w:r w:rsidR="008F1341">
        <w:rPr>
          <w:rFonts w:ascii="Times New Roman" w:eastAsia="Times New Roman" w:hAnsi="Times New Roman" w:cs="Times New Roman"/>
          <w:color w:val="000000"/>
          <w:sz w:val="24"/>
          <w:szCs w:val="24"/>
        </w:rPr>
        <w:t>(in)</w:t>
      </w:r>
      <w:r w:rsidR="003A3A0F">
        <w:rPr>
          <w:rFonts w:ascii="Times New Roman" w:eastAsia="Times New Roman" w:hAnsi="Times New Roman" w:cs="Times New Roman"/>
          <w:color w:val="000000"/>
          <w:sz w:val="24"/>
          <w:szCs w:val="24"/>
        </w:rPr>
        <w:t xml:space="preserve">determinacy of rules, and </w:t>
      </w:r>
      <w:r w:rsidR="003E528B">
        <w:rPr>
          <w:rFonts w:ascii="Times New Roman" w:eastAsia="Times New Roman" w:hAnsi="Times New Roman" w:cs="Times New Roman"/>
          <w:color w:val="000000"/>
          <w:sz w:val="24"/>
          <w:szCs w:val="24"/>
        </w:rPr>
        <w:t xml:space="preserve">how these rules </w:t>
      </w:r>
      <w:r w:rsidR="003C46A5">
        <w:rPr>
          <w:rFonts w:ascii="Times New Roman" w:eastAsia="Times New Roman" w:hAnsi="Times New Roman" w:cs="Times New Roman"/>
          <w:color w:val="000000"/>
          <w:sz w:val="24"/>
          <w:szCs w:val="24"/>
        </w:rPr>
        <w:t xml:space="preserve">empower or limit the ability of members to regulate on public health matters while ensuring that the intended benefits of managed trade liberalisation are not undermined. This nuanced approach allows McGrady to sidestep the customary discussion over </w:t>
      </w:r>
      <w:r w:rsidR="00930EEB">
        <w:rPr>
          <w:rFonts w:ascii="Times New Roman" w:eastAsia="Times New Roman" w:hAnsi="Times New Roman" w:cs="Times New Roman"/>
          <w:color w:val="000000"/>
          <w:sz w:val="24"/>
          <w:szCs w:val="24"/>
        </w:rPr>
        <w:t>‘</w:t>
      </w:r>
      <w:r w:rsidR="003C46A5">
        <w:rPr>
          <w:rFonts w:ascii="Times New Roman" w:eastAsia="Times New Roman" w:hAnsi="Times New Roman" w:cs="Times New Roman"/>
          <w:color w:val="000000"/>
          <w:sz w:val="24"/>
          <w:szCs w:val="24"/>
        </w:rPr>
        <w:t>regulatory chill</w:t>
      </w:r>
      <w:r w:rsidR="00930EEB">
        <w:rPr>
          <w:rFonts w:ascii="Times New Roman" w:eastAsia="Times New Roman" w:hAnsi="Times New Roman" w:cs="Times New Roman"/>
          <w:color w:val="000000"/>
          <w:sz w:val="24"/>
          <w:szCs w:val="24"/>
        </w:rPr>
        <w:t>’</w:t>
      </w:r>
      <w:r w:rsidR="003C46A5">
        <w:rPr>
          <w:rFonts w:ascii="Times New Roman" w:eastAsia="Times New Roman" w:hAnsi="Times New Roman" w:cs="Times New Roman"/>
          <w:color w:val="000000"/>
          <w:sz w:val="24"/>
          <w:szCs w:val="24"/>
        </w:rPr>
        <w:t xml:space="preserve"> as the </w:t>
      </w:r>
      <w:r w:rsidR="003C46A5" w:rsidRPr="003C46A5">
        <w:rPr>
          <w:rFonts w:ascii="Times New Roman" w:eastAsia="Times New Roman" w:hAnsi="Times New Roman" w:cs="Times New Roman"/>
          <w:i/>
          <w:color w:val="000000"/>
          <w:sz w:val="24"/>
          <w:szCs w:val="24"/>
        </w:rPr>
        <w:t>bête noire</w:t>
      </w:r>
      <w:r w:rsidR="003C46A5">
        <w:rPr>
          <w:rFonts w:ascii="Times New Roman" w:eastAsia="Times New Roman" w:hAnsi="Times New Roman" w:cs="Times New Roman"/>
          <w:color w:val="000000"/>
          <w:sz w:val="24"/>
          <w:szCs w:val="24"/>
        </w:rPr>
        <w:t xml:space="preserve"> of international economic law.</w:t>
      </w:r>
      <w:r w:rsidR="00D52039">
        <w:rPr>
          <w:rStyle w:val="FootnoteReference"/>
          <w:rFonts w:ascii="Times New Roman" w:eastAsia="Times New Roman" w:hAnsi="Times New Roman" w:cs="Times New Roman"/>
          <w:color w:val="000000"/>
          <w:sz w:val="24"/>
          <w:szCs w:val="24"/>
        </w:rPr>
        <w:footnoteReference w:id="15"/>
      </w:r>
      <w:r w:rsidR="003C46A5">
        <w:rPr>
          <w:rFonts w:ascii="Times New Roman" w:eastAsia="Times New Roman" w:hAnsi="Times New Roman" w:cs="Times New Roman"/>
          <w:color w:val="000000"/>
          <w:sz w:val="24"/>
          <w:szCs w:val="24"/>
        </w:rPr>
        <w:t xml:space="preserve"> Rather than viewing </w:t>
      </w:r>
      <w:r w:rsidR="003C46A5">
        <w:rPr>
          <w:rFonts w:ascii="Times New Roman" w:eastAsia="Times New Roman" w:hAnsi="Times New Roman" w:cs="Times New Roman"/>
          <w:color w:val="000000"/>
          <w:sz w:val="24"/>
          <w:szCs w:val="24"/>
        </w:rPr>
        <w:lastRenderedPageBreak/>
        <w:t xml:space="preserve">any restriction as necessarily bad, instead he looks to the </w:t>
      </w:r>
      <w:r w:rsidR="00166BBA">
        <w:rPr>
          <w:rFonts w:ascii="Times New Roman" w:eastAsia="Times New Roman" w:hAnsi="Times New Roman" w:cs="Times New Roman"/>
          <w:color w:val="000000"/>
          <w:sz w:val="24"/>
          <w:szCs w:val="24"/>
        </w:rPr>
        <w:t>advantages</w:t>
      </w:r>
      <w:r w:rsidR="003C46A5">
        <w:rPr>
          <w:rFonts w:ascii="Times New Roman" w:eastAsia="Times New Roman" w:hAnsi="Times New Roman" w:cs="Times New Roman"/>
          <w:color w:val="000000"/>
          <w:sz w:val="24"/>
          <w:szCs w:val="24"/>
        </w:rPr>
        <w:t xml:space="preserve"> of trade while acknowledging that increased market access has played a role in the worsening of health outcomes for some members as increased availability of nutrient poor foodstuffs undermines diet, reduces the price of tobacco and </w:t>
      </w:r>
      <w:r w:rsidR="00166BBA">
        <w:rPr>
          <w:rFonts w:ascii="Times New Roman" w:eastAsia="Times New Roman" w:hAnsi="Times New Roman" w:cs="Times New Roman"/>
          <w:color w:val="000000"/>
          <w:sz w:val="24"/>
          <w:szCs w:val="24"/>
        </w:rPr>
        <w:t>alcohol</w:t>
      </w:r>
      <w:r w:rsidR="003C46A5">
        <w:rPr>
          <w:rFonts w:ascii="Times New Roman" w:eastAsia="Times New Roman" w:hAnsi="Times New Roman" w:cs="Times New Roman"/>
          <w:color w:val="000000"/>
          <w:sz w:val="24"/>
          <w:szCs w:val="24"/>
        </w:rPr>
        <w:t xml:space="preserve">. </w:t>
      </w:r>
      <w:r w:rsidR="00166BBA">
        <w:rPr>
          <w:rFonts w:ascii="Times New Roman" w:eastAsia="Times New Roman" w:hAnsi="Times New Roman" w:cs="Times New Roman"/>
          <w:color w:val="000000"/>
          <w:sz w:val="24"/>
          <w:szCs w:val="24"/>
        </w:rPr>
        <w:t xml:space="preserve">This move </w:t>
      </w:r>
      <w:r w:rsidR="00930EEB">
        <w:rPr>
          <w:rFonts w:ascii="Times New Roman" w:eastAsia="Times New Roman" w:hAnsi="Times New Roman" w:cs="Times New Roman"/>
          <w:color w:val="000000"/>
          <w:sz w:val="24"/>
          <w:szCs w:val="24"/>
        </w:rPr>
        <w:t xml:space="preserve">adds a depth to </w:t>
      </w:r>
      <w:r w:rsidR="00072AF6">
        <w:rPr>
          <w:rFonts w:ascii="Times New Roman" w:eastAsia="Times New Roman" w:hAnsi="Times New Roman" w:cs="Times New Roman"/>
          <w:color w:val="000000"/>
          <w:sz w:val="24"/>
          <w:szCs w:val="24"/>
        </w:rPr>
        <w:t xml:space="preserve">a </w:t>
      </w:r>
      <w:r w:rsidR="00930EEB">
        <w:rPr>
          <w:rFonts w:ascii="Times New Roman" w:eastAsia="Times New Roman" w:hAnsi="Times New Roman" w:cs="Times New Roman"/>
          <w:color w:val="000000"/>
          <w:sz w:val="24"/>
          <w:szCs w:val="24"/>
        </w:rPr>
        <w:t xml:space="preserve">discussion </w:t>
      </w:r>
      <w:r w:rsidR="00072AF6">
        <w:rPr>
          <w:rFonts w:ascii="Times New Roman" w:eastAsia="Times New Roman" w:hAnsi="Times New Roman" w:cs="Times New Roman"/>
          <w:color w:val="000000"/>
          <w:sz w:val="24"/>
          <w:szCs w:val="24"/>
        </w:rPr>
        <w:t xml:space="preserve">that is </w:t>
      </w:r>
      <w:r w:rsidR="00475BA9">
        <w:rPr>
          <w:rFonts w:ascii="Times New Roman" w:eastAsia="Times New Roman" w:hAnsi="Times New Roman" w:cs="Times New Roman"/>
          <w:color w:val="000000"/>
          <w:sz w:val="24"/>
          <w:szCs w:val="24"/>
        </w:rPr>
        <w:t xml:space="preserve">oftentimes </w:t>
      </w:r>
      <w:r w:rsidR="00072AF6">
        <w:rPr>
          <w:rFonts w:ascii="Times New Roman" w:eastAsia="Times New Roman" w:hAnsi="Times New Roman" w:cs="Times New Roman"/>
          <w:color w:val="000000"/>
          <w:sz w:val="24"/>
          <w:szCs w:val="24"/>
        </w:rPr>
        <w:t xml:space="preserve">hampered by </w:t>
      </w:r>
      <w:r w:rsidR="00863A99">
        <w:rPr>
          <w:rFonts w:ascii="Times New Roman" w:eastAsia="Times New Roman" w:hAnsi="Times New Roman" w:cs="Times New Roman"/>
          <w:color w:val="000000"/>
          <w:sz w:val="24"/>
          <w:szCs w:val="24"/>
        </w:rPr>
        <w:t>the uncritical acceptance of regulatory chill</w:t>
      </w:r>
      <w:r w:rsidR="006F51E7">
        <w:rPr>
          <w:rFonts w:ascii="Times New Roman" w:eastAsia="Times New Roman" w:hAnsi="Times New Roman" w:cs="Times New Roman"/>
          <w:color w:val="000000"/>
          <w:sz w:val="24"/>
          <w:szCs w:val="24"/>
        </w:rPr>
        <w:t xml:space="preserve"> as a catch-</w:t>
      </w:r>
      <w:r w:rsidR="00930EEB">
        <w:rPr>
          <w:rFonts w:ascii="Times New Roman" w:eastAsia="Times New Roman" w:hAnsi="Times New Roman" w:cs="Times New Roman"/>
          <w:color w:val="000000"/>
          <w:sz w:val="24"/>
          <w:szCs w:val="24"/>
        </w:rPr>
        <w:t xml:space="preserve">all term for the influence of law in </w:t>
      </w:r>
      <w:r w:rsidR="00475BA9">
        <w:rPr>
          <w:rFonts w:ascii="Times New Roman" w:eastAsia="Times New Roman" w:hAnsi="Times New Roman" w:cs="Times New Roman"/>
          <w:color w:val="000000"/>
          <w:sz w:val="24"/>
          <w:szCs w:val="24"/>
        </w:rPr>
        <w:t>ways we may not find palatable: A</w:t>
      </w:r>
      <w:r w:rsidR="006B5613">
        <w:rPr>
          <w:rFonts w:ascii="Times New Roman" w:eastAsia="Times New Roman" w:hAnsi="Times New Roman" w:cs="Times New Roman"/>
          <w:color w:val="000000"/>
          <w:sz w:val="24"/>
          <w:szCs w:val="24"/>
        </w:rPr>
        <w:t xml:space="preserve">s a textual medium, </w:t>
      </w:r>
      <w:r w:rsidR="0010445A">
        <w:rPr>
          <w:rFonts w:ascii="Times New Roman" w:eastAsia="Times New Roman" w:hAnsi="Times New Roman" w:cs="Times New Roman"/>
          <w:color w:val="000000"/>
          <w:sz w:val="24"/>
          <w:szCs w:val="24"/>
        </w:rPr>
        <w:t>all law is necessar</w:t>
      </w:r>
      <w:r w:rsidR="006B5613">
        <w:rPr>
          <w:rFonts w:ascii="Times New Roman" w:eastAsia="Times New Roman" w:hAnsi="Times New Roman" w:cs="Times New Roman"/>
          <w:color w:val="000000"/>
          <w:sz w:val="24"/>
          <w:szCs w:val="24"/>
        </w:rPr>
        <w:t>il</w:t>
      </w:r>
      <w:r w:rsidR="0010445A">
        <w:rPr>
          <w:rFonts w:ascii="Times New Roman" w:eastAsia="Times New Roman" w:hAnsi="Times New Roman" w:cs="Times New Roman"/>
          <w:color w:val="000000"/>
          <w:sz w:val="24"/>
          <w:szCs w:val="24"/>
        </w:rPr>
        <w:t>y indeterminate</w:t>
      </w:r>
      <w:r w:rsidR="006B5613">
        <w:rPr>
          <w:rFonts w:ascii="Times New Roman" w:eastAsia="Times New Roman" w:hAnsi="Times New Roman" w:cs="Times New Roman"/>
          <w:color w:val="000000"/>
          <w:sz w:val="24"/>
          <w:szCs w:val="24"/>
        </w:rPr>
        <w:t>,</w:t>
      </w:r>
      <w:r w:rsidR="0010445A">
        <w:rPr>
          <w:rFonts w:ascii="Times New Roman" w:eastAsia="Times New Roman" w:hAnsi="Times New Roman" w:cs="Times New Roman"/>
          <w:color w:val="000000"/>
          <w:sz w:val="24"/>
          <w:szCs w:val="24"/>
        </w:rPr>
        <w:t xml:space="preserve"> </w:t>
      </w:r>
      <w:r w:rsidR="006B5613">
        <w:rPr>
          <w:rFonts w:ascii="Times New Roman" w:eastAsia="Times New Roman" w:hAnsi="Times New Roman" w:cs="Times New Roman"/>
          <w:color w:val="000000"/>
          <w:sz w:val="24"/>
          <w:szCs w:val="24"/>
        </w:rPr>
        <w:t>producing penumbral cases where meaning is unclear.</w:t>
      </w:r>
      <w:r w:rsidR="006B5613">
        <w:rPr>
          <w:rStyle w:val="FootnoteReference"/>
          <w:rFonts w:ascii="Times New Roman" w:eastAsia="Times New Roman" w:hAnsi="Times New Roman" w:cs="Times New Roman"/>
          <w:color w:val="000000"/>
          <w:sz w:val="24"/>
          <w:szCs w:val="24"/>
        </w:rPr>
        <w:footnoteReference w:id="16"/>
      </w:r>
      <w:r w:rsidR="006B5613">
        <w:rPr>
          <w:rFonts w:ascii="Times New Roman" w:eastAsia="Times New Roman" w:hAnsi="Times New Roman" w:cs="Times New Roman"/>
          <w:color w:val="000000"/>
          <w:sz w:val="24"/>
          <w:szCs w:val="24"/>
        </w:rPr>
        <w:t xml:space="preserve"> </w:t>
      </w:r>
      <w:r w:rsidR="00930EEB">
        <w:rPr>
          <w:rFonts w:ascii="Times New Roman" w:eastAsia="Times New Roman" w:hAnsi="Times New Roman" w:cs="Times New Roman"/>
          <w:color w:val="000000"/>
          <w:sz w:val="24"/>
          <w:szCs w:val="24"/>
        </w:rPr>
        <w:t>While</w:t>
      </w:r>
      <w:r w:rsidR="0010445A">
        <w:rPr>
          <w:rFonts w:ascii="Times New Roman" w:eastAsia="Times New Roman" w:hAnsi="Times New Roman" w:cs="Times New Roman"/>
          <w:color w:val="000000"/>
          <w:sz w:val="24"/>
          <w:szCs w:val="24"/>
        </w:rPr>
        <w:t xml:space="preserve"> there is a clear demand (particularly from the view of the policy-maker or public health actor) to have a reasonable sense of the content of legal oblig</w:t>
      </w:r>
      <w:r w:rsidR="00930EEB">
        <w:rPr>
          <w:rFonts w:ascii="Times New Roman" w:eastAsia="Times New Roman" w:hAnsi="Times New Roman" w:cs="Times New Roman"/>
          <w:color w:val="000000"/>
          <w:sz w:val="24"/>
          <w:szCs w:val="24"/>
        </w:rPr>
        <w:t>ations and their predictability,</w:t>
      </w:r>
      <w:r w:rsidR="0010445A">
        <w:rPr>
          <w:rFonts w:ascii="Times New Roman" w:eastAsia="Times New Roman" w:hAnsi="Times New Roman" w:cs="Times New Roman"/>
          <w:color w:val="000000"/>
          <w:sz w:val="24"/>
          <w:szCs w:val="24"/>
        </w:rPr>
        <w:t xml:space="preserve"> it is commonly </w:t>
      </w:r>
      <w:r w:rsidR="00930EEB">
        <w:rPr>
          <w:rFonts w:ascii="Times New Roman" w:eastAsia="Times New Roman" w:hAnsi="Times New Roman" w:cs="Times New Roman"/>
          <w:color w:val="000000"/>
          <w:sz w:val="24"/>
          <w:szCs w:val="24"/>
        </w:rPr>
        <w:t xml:space="preserve">understood that the </w:t>
      </w:r>
      <w:r w:rsidR="0010445A">
        <w:rPr>
          <w:rFonts w:ascii="Times New Roman" w:eastAsia="Times New Roman" w:hAnsi="Times New Roman" w:cs="Times New Roman"/>
          <w:color w:val="000000"/>
          <w:sz w:val="24"/>
          <w:szCs w:val="24"/>
        </w:rPr>
        <w:t xml:space="preserve">nature of law </w:t>
      </w:r>
      <w:r w:rsidR="00930EEB">
        <w:rPr>
          <w:rFonts w:ascii="Times New Roman" w:eastAsia="Times New Roman" w:hAnsi="Times New Roman" w:cs="Times New Roman"/>
          <w:color w:val="000000"/>
          <w:sz w:val="24"/>
          <w:szCs w:val="24"/>
        </w:rPr>
        <w:t xml:space="preserve">is </w:t>
      </w:r>
      <w:r w:rsidR="0010445A">
        <w:rPr>
          <w:rFonts w:ascii="Times New Roman" w:eastAsia="Times New Roman" w:hAnsi="Times New Roman" w:cs="Times New Roman"/>
          <w:color w:val="000000"/>
          <w:sz w:val="24"/>
          <w:szCs w:val="24"/>
        </w:rPr>
        <w:t xml:space="preserve">to </w:t>
      </w:r>
      <w:r w:rsidR="0010445A" w:rsidRPr="00930EEB">
        <w:rPr>
          <w:rFonts w:ascii="Times New Roman" w:eastAsia="Times New Roman" w:hAnsi="Times New Roman" w:cs="Times New Roman"/>
          <w:i/>
          <w:color w:val="000000"/>
          <w:sz w:val="24"/>
          <w:szCs w:val="24"/>
        </w:rPr>
        <w:t>prospectively</w:t>
      </w:r>
      <w:r w:rsidR="0010445A">
        <w:rPr>
          <w:rFonts w:ascii="Times New Roman" w:eastAsia="Times New Roman" w:hAnsi="Times New Roman" w:cs="Times New Roman"/>
          <w:color w:val="000000"/>
          <w:sz w:val="24"/>
          <w:szCs w:val="24"/>
        </w:rPr>
        <w:t xml:space="preserve"> restrict action.</w:t>
      </w:r>
      <w:r w:rsidR="00930EEB">
        <w:rPr>
          <w:rStyle w:val="FootnoteReference"/>
          <w:rFonts w:ascii="Times New Roman" w:eastAsia="Times New Roman" w:hAnsi="Times New Roman" w:cs="Times New Roman"/>
          <w:color w:val="000000"/>
          <w:sz w:val="24"/>
          <w:szCs w:val="24"/>
        </w:rPr>
        <w:footnoteReference w:id="17"/>
      </w:r>
      <w:r w:rsidR="0010445A">
        <w:rPr>
          <w:rFonts w:ascii="Times New Roman" w:eastAsia="Times New Roman" w:hAnsi="Times New Roman" w:cs="Times New Roman"/>
          <w:color w:val="000000"/>
          <w:sz w:val="24"/>
          <w:szCs w:val="24"/>
        </w:rPr>
        <w:t xml:space="preserve"> In practice, ‘regulatory chill’ becomes short-hand for the influence of law prospectively restricting action in ways we deem unreasonable or undesirable. Thus, a State that does not legislate for the unilateral imposition of safeguard measures sans an agency investigation is acting within the remit of WTO law, while a member that does not introduce a differential tax on the basis of the salt content of processed food is the subject of regulatory chill. </w:t>
      </w:r>
      <w:r w:rsidR="009025A9">
        <w:rPr>
          <w:rFonts w:ascii="Times New Roman" w:eastAsia="Times New Roman" w:hAnsi="Times New Roman" w:cs="Times New Roman"/>
          <w:color w:val="000000"/>
          <w:sz w:val="24"/>
          <w:szCs w:val="24"/>
        </w:rPr>
        <w:t xml:space="preserve">McGrady’s study, however, </w:t>
      </w:r>
      <w:r w:rsidR="00F216C6">
        <w:rPr>
          <w:rFonts w:ascii="Times New Roman" w:eastAsia="Times New Roman" w:hAnsi="Times New Roman" w:cs="Times New Roman"/>
          <w:color w:val="000000"/>
          <w:sz w:val="24"/>
          <w:szCs w:val="24"/>
        </w:rPr>
        <w:t xml:space="preserve">avoids the </w:t>
      </w:r>
      <w:r w:rsidR="009C1EAF">
        <w:rPr>
          <w:rFonts w:ascii="Times New Roman" w:eastAsia="Times New Roman" w:hAnsi="Times New Roman" w:cs="Times New Roman"/>
          <w:color w:val="000000"/>
          <w:sz w:val="24"/>
          <w:szCs w:val="24"/>
        </w:rPr>
        <w:t xml:space="preserve">dichotomisation of trade law and public health objectives by </w:t>
      </w:r>
      <w:r w:rsidR="009025A9">
        <w:rPr>
          <w:rFonts w:ascii="Times New Roman" w:eastAsia="Times New Roman" w:hAnsi="Times New Roman" w:cs="Times New Roman"/>
          <w:color w:val="000000"/>
          <w:sz w:val="24"/>
          <w:szCs w:val="24"/>
        </w:rPr>
        <w:t xml:space="preserve">noting the importance of </w:t>
      </w:r>
      <w:r w:rsidR="007B2B33">
        <w:rPr>
          <w:rFonts w:ascii="Times New Roman" w:eastAsia="Times New Roman" w:hAnsi="Times New Roman" w:cs="Times New Roman"/>
          <w:color w:val="000000"/>
          <w:sz w:val="24"/>
          <w:szCs w:val="24"/>
        </w:rPr>
        <w:t>incorporating ‘</w:t>
      </w:r>
      <w:r w:rsidR="009025A9" w:rsidRPr="0064307B">
        <w:rPr>
          <w:rFonts w:ascii="Times New Roman" w:eastAsia="Times New Roman" w:hAnsi="Times New Roman" w:cs="Times New Roman"/>
          <w:color w:val="000000"/>
          <w:sz w:val="24"/>
          <w:szCs w:val="24"/>
        </w:rPr>
        <w:t>health protection</w:t>
      </w:r>
      <w:r w:rsidR="007B2B33">
        <w:rPr>
          <w:rFonts w:ascii="Times New Roman" w:eastAsia="Times New Roman" w:hAnsi="Times New Roman" w:cs="Times New Roman"/>
          <w:color w:val="000000"/>
          <w:sz w:val="24"/>
          <w:szCs w:val="24"/>
        </w:rPr>
        <w:t>’</w:t>
      </w:r>
      <w:r w:rsidR="009025A9" w:rsidRPr="0064307B">
        <w:rPr>
          <w:rFonts w:ascii="Times New Roman" w:eastAsia="Times New Roman" w:hAnsi="Times New Roman" w:cs="Times New Roman"/>
          <w:color w:val="000000"/>
          <w:sz w:val="24"/>
          <w:szCs w:val="24"/>
        </w:rPr>
        <w:t xml:space="preserve"> </w:t>
      </w:r>
      <w:r w:rsidR="007B2B33">
        <w:rPr>
          <w:rFonts w:ascii="Times New Roman" w:eastAsia="Times New Roman" w:hAnsi="Times New Roman" w:cs="Times New Roman"/>
          <w:color w:val="000000"/>
          <w:sz w:val="24"/>
          <w:szCs w:val="24"/>
        </w:rPr>
        <w:t>while rejecting ‘</w:t>
      </w:r>
      <w:r w:rsidR="009025A9" w:rsidRPr="0064307B">
        <w:rPr>
          <w:rFonts w:ascii="Times New Roman" w:eastAsia="Times New Roman" w:hAnsi="Times New Roman" w:cs="Times New Roman"/>
          <w:color w:val="000000"/>
          <w:sz w:val="24"/>
          <w:szCs w:val="24"/>
        </w:rPr>
        <w:t>health protectionism</w:t>
      </w:r>
      <w:r w:rsidR="007B2B33">
        <w:rPr>
          <w:rFonts w:ascii="Times New Roman" w:eastAsia="Times New Roman" w:hAnsi="Times New Roman" w:cs="Times New Roman"/>
          <w:color w:val="000000"/>
          <w:sz w:val="24"/>
          <w:szCs w:val="24"/>
        </w:rPr>
        <w:t>’</w:t>
      </w:r>
      <w:r w:rsidR="009025A9">
        <w:rPr>
          <w:rFonts w:ascii="Times New Roman" w:eastAsia="Times New Roman" w:hAnsi="Times New Roman" w:cs="Times New Roman"/>
          <w:color w:val="000000"/>
          <w:sz w:val="24"/>
          <w:szCs w:val="24"/>
        </w:rPr>
        <w:t>.</w:t>
      </w:r>
      <w:r w:rsidR="007B2B33">
        <w:rPr>
          <w:rStyle w:val="FootnoteReference"/>
          <w:rFonts w:ascii="Times New Roman" w:eastAsia="Times New Roman" w:hAnsi="Times New Roman" w:cs="Times New Roman"/>
          <w:color w:val="000000"/>
          <w:sz w:val="24"/>
          <w:szCs w:val="24"/>
        </w:rPr>
        <w:footnoteReference w:id="18"/>
      </w:r>
      <w:r w:rsidR="00293C50">
        <w:rPr>
          <w:rFonts w:ascii="Times New Roman" w:eastAsia="Times New Roman" w:hAnsi="Times New Roman" w:cs="Times New Roman"/>
          <w:color w:val="000000"/>
          <w:sz w:val="24"/>
          <w:szCs w:val="24"/>
        </w:rPr>
        <w:t xml:space="preserve"> </w:t>
      </w:r>
    </w:p>
    <w:p w:rsidR="005D7263" w:rsidRPr="00830A35" w:rsidRDefault="005D7263" w:rsidP="00EC464B">
      <w:pPr>
        <w:jc w:val="both"/>
        <w:rPr>
          <w:rFonts w:ascii="Times New Roman" w:hAnsi="Times New Roman" w:cs="Times New Roman"/>
          <w:sz w:val="24"/>
          <w:szCs w:val="24"/>
        </w:rPr>
      </w:pPr>
    </w:p>
    <w:p w:rsidR="00773E48" w:rsidRDefault="00E71D98" w:rsidP="00773E48">
      <w:pPr>
        <w:jc w:val="both"/>
        <w:rPr>
          <w:rFonts w:ascii="Times New Roman" w:hAnsi="Times New Roman" w:cs="Times New Roman"/>
          <w:sz w:val="24"/>
          <w:szCs w:val="24"/>
        </w:rPr>
      </w:pPr>
      <w:r>
        <w:rPr>
          <w:rFonts w:ascii="Times New Roman" w:hAnsi="Times New Roman" w:cs="Times New Roman"/>
          <w:sz w:val="24"/>
          <w:szCs w:val="24"/>
        </w:rPr>
        <w:t xml:space="preserve">Of the areas of overlap between public </w:t>
      </w:r>
      <w:r w:rsidR="00072AF6">
        <w:rPr>
          <w:rFonts w:ascii="Times New Roman" w:hAnsi="Times New Roman" w:cs="Times New Roman"/>
          <w:sz w:val="24"/>
          <w:szCs w:val="24"/>
        </w:rPr>
        <w:t xml:space="preserve">health and trade law identified by McGrady, a number have been subsequently </w:t>
      </w:r>
      <w:r w:rsidR="00F632F5">
        <w:rPr>
          <w:rFonts w:ascii="Times New Roman" w:hAnsi="Times New Roman" w:cs="Times New Roman"/>
          <w:sz w:val="24"/>
          <w:szCs w:val="24"/>
        </w:rPr>
        <w:t>examined</w:t>
      </w:r>
      <w:r w:rsidR="00072AF6">
        <w:rPr>
          <w:rFonts w:ascii="Times New Roman" w:hAnsi="Times New Roman" w:cs="Times New Roman"/>
          <w:sz w:val="24"/>
          <w:szCs w:val="24"/>
        </w:rPr>
        <w:t xml:space="preserve"> in Van Caster and </w:t>
      </w:r>
      <w:proofErr w:type="spellStart"/>
      <w:r w:rsidR="00072AF6">
        <w:rPr>
          <w:rFonts w:ascii="Times New Roman" w:hAnsi="Times New Roman" w:cs="Times New Roman"/>
          <w:sz w:val="24"/>
          <w:szCs w:val="24"/>
        </w:rPr>
        <w:t>Prévost’s</w:t>
      </w:r>
      <w:proofErr w:type="spellEnd"/>
      <w:r w:rsidR="00072AF6">
        <w:rPr>
          <w:rFonts w:ascii="Times New Roman" w:hAnsi="Times New Roman" w:cs="Times New Roman"/>
          <w:sz w:val="24"/>
          <w:szCs w:val="24"/>
        </w:rPr>
        <w:t xml:space="preserve"> </w:t>
      </w:r>
      <w:r w:rsidR="00606F62" w:rsidRPr="005A0653">
        <w:rPr>
          <w:rFonts w:ascii="Times New Roman" w:hAnsi="Times New Roman" w:cs="Times New Roman"/>
          <w:i/>
          <w:sz w:val="24"/>
          <w:szCs w:val="24"/>
        </w:rPr>
        <w:t>Research Handbook on Environment, Health and the WTO</w:t>
      </w:r>
      <w:r w:rsidR="00427B53" w:rsidRPr="00830A35">
        <w:rPr>
          <w:rFonts w:ascii="Times New Roman" w:hAnsi="Times New Roman" w:cs="Times New Roman"/>
          <w:sz w:val="24"/>
          <w:szCs w:val="24"/>
        </w:rPr>
        <w:t xml:space="preserve">. This </w:t>
      </w:r>
      <w:r w:rsidR="0032045C" w:rsidRPr="00830A35">
        <w:rPr>
          <w:rFonts w:ascii="Times New Roman" w:hAnsi="Times New Roman" w:cs="Times New Roman"/>
          <w:sz w:val="24"/>
          <w:szCs w:val="24"/>
        </w:rPr>
        <w:t xml:space="preserve">edited collection extends beyond the trade and public health focus of this review, taking </w:t>
      </w:r>
      <w:r w:rsidR="00D94760" w:rsidRPr="00830A35">
        <w:rPr>
          <w:rFonts w:ascii="Times New Roman" w:hAnsi="Times New Roman" w:cs="Times New Roman"/>
          <w:sz w:val="24"/>
          <w:szCs w:val="24"/>
        </w:rPr>
        <w:t xml:space="preserve">on broader issues including health but also the environment </w:t>
      </w:r>
      <w:proofErr w:type="spellStart"/>
      <w:r w:rsidR="006F51E7" w:rsidRPr="006F51E7">
        <w:rPr>
          <w:rFonts w:ascii="Times New Roman" w:hAnsi="Times New Roman" w:cs="Times New Roman"/>
          <w:i/>
          <w:sz w:val="24"/>
          <w:szCs w:val="24"/>
        </w:rPr>
        <w:t>lato</w:t>
      </w:r>
      <w:proofErr w:type="spellEnd"/>
      <w:r w:rsidR="006F51E7" w:rsidRPr="006F51E7">
        <w:rPr>
          <w:rFonts w:ascii="Times New Roman" w:hAnsi="Times New Roman" w:cs="Times New Roman"/>
          <w:i/>
          <w:sz w:val="24"/>
          <w:szCs w:val="24"/>
        </w:rPr>
        <w:t xml:space="preserve"> </w:t>
      </w:r>
      <w:proofErr w:type="spellStart"/>
      <w:r w:rsidR="006F51E7" w:rsidRPr="006F51E7">
        <w:rPr>
          <w:rFonts w:ascii="Times New Roman" w:hAnsi="Times New Roman" w:cs="Times New Roman"/>
          <w:i/>
          <w:sz w:val="24"/>
          <w:szCs w:val="24"/>
        </w:rPr>
        <w:t>sensu</w:t>
      </w:r>
      <w:proofErr w:type="spellEnd"/>
      <w:r w:rsidR="00D94760" w:rsidRPr="00830A35">
        <w:rPr>
          <w:rFonts w:ascii="Times New Roman" w:hAnsi="Times New Roman" w:cs="Times New Roman"/>
          <w:sz w:val="24"/>
          <w:szCs w:val="24"/>
        </w:rPr>
        <w:t>.</w:t>
      </w:r>
      <w:r w:rsidR="006F51E7">
        <w:rPr>
          <w:rStyle w:val="FootnoteReference"/>
          <w:rFonts w:ascii="Times New Roman" w:hAnsi="Times New Roman" w:cs="Times New Roman"/>
          <w:sz w:val="24"/>
          <w:szCs w:val="24"/>
        </w:rPr>
        <w:footnoteReference w:id="19"/>
      </w:r>
      <w:r w:rsidR="00D94760" w:rsidRPr="00830A35">
        <w:rPr>
          <w:rFonts w:ascii="Times New Roman" w:hAnsi="Times New Roman" w:cs="Times New Roman"/>
          <w:sz w:val="24"/>
          <w:szCs w:val="24"/>
        </w:rPr>
        <w:t xml:space="preserve"> </w:t>
      </w:r>
      <w:r w:rsidR="00C036FB" w:rsidRPr="00830A35">
        <w:rPr>
          <w:rFonts w:ascii="Times New Roman" w:hAnsi="Times New Roman" w:cs="Times New Roman"/>
          <w:sz w:val="24"/>
          <w:szCs w:val="24"/>
        </w:rPr>
        <w:t>It offers a</w:t>
      </w:r>
      <w:r w:rsidR="00182BBA" w:rsidRPr="00830A35">
        <w:rPr>
          <w:rFonts w:ascii="Times New Roman" w:hAnsi="Times New Roman" w:cs="Times New Roman"/>
          <w:sz w:val="24"/>
          <w:szCs w:val="24"/>
        </w:rPr>
        <w:t xml:space="preserve">n impressive array of contributions covering all the expected chapters on issues in trade law and health, but also more speculative contributions that are some of its true highlights. For example, </w:t>
      </w:r>
      <w:proofErr w:type="spellStart"/>
      <w:r w:rsidR="00773E48">
        <w:rPr>
          <w:rFonts w:ascii="Times New Roman" w:hAnsi="Times New Roman" w:cs="Times New Roman"/>
          <w:sz w:val="24"/>
          <w:szCs w:val="24"/>
        </w:rPr>
        <w:t>Voon</w:t>
      </w:r>
      <w:r w:rsidR="00403F37">
        <w:rPr>
          <w:rFonts w:ascii="Times New Roman" w:hAnsi="Times New Roman" w:cs="Times New Roman"/>
          <w:sz w:val="24"/>
          <w:szCs w:val="24"/>
        </w:rPr>
        <w:t>’s</w:t>
      </w:r>
      <w:proofErr w:type="spellEnd"/>
      <w:r w:rsidR="00403F37">
        <w:rPr>
          <w:rFonts w:ascii="Times New Roman" w:hAnsi="Times New Roman" w:cs="Times New Roman"/>
          <w:sz w:val="24"/>
          <w:szCs w:val="24"/>
        </w:rPr>
        <w:t xml:space="preserve"> chapter on </w:t>
      </w:r>
      <w:r w:rsidR="00773E48">
        <w:rPr>
          <w:rFonts w:ascii="Times New Roman" w:hAnsi="Times New Roman" w:cs="Times New Roman"/>
          <w:sz w:val="24"/>
          <w:szCs w:val="24"/>
        </w:rPr>
        <w:t>ri</w:t>
      </w:r>
      <w:r w:rsidR="00403F37">
        <w:rPr>
          <w:rFonts w:ascii="Times New Roman" w:hAnsi="Times New Roman" w:cs="Times New Roman"/>
          <w:sz w:val="24"/>
          <w:szCs w:val="24"/>
        </w:rPr>
        <w:t>sk factors for NCDs and WTO law,</w:t>
      </w:r>
      <w:r w:rsidR="00403F37">
        <w:rPr>
          <w:rStyle w:val="FootnoteReference"/>
          <w:rFonts w:ascii="Times New Roman" w:hAnsi="Times New Roman" w:cs="Times New Roman"/>
          <w:sz w:val="24"/>
          <w:szCs w:val="24"/>
        </w:rPr>
        <w:footnoteReference w:id="20"/>
      </w:r>
      <w:r w:rsidR="00773E48">
        <w:rPr>
          <w:rFonts w:ascii="Times New Roman" w:hAnsi="Times New Roman" w:cs="Times New Roman"/>
          <w:sz w:val="24"/>
          <w:szCs w:val="24"/>
        </w:rPr>
        <w:t xml:space="preserve"> </w:t>
      </w:r>
      <w:r w:rsidR="00403F37">
        <w:rPr>
          <w:rFonts w:ascii="Times New Roman" w:hAnsi="Times New Roman" w:cs="Times New Roman"/>
          <w:sz w:val="24"/>
          <w:szCs w:val="24"/>
        </w:rPr>
        <w:t xml:space="preserve">identifies the ways in which </w:t>
      </w:r>
      <w:r w:rsidR="00C93E08">
        <w:rPr>
          <w:rFonts w:ascii="Times New Roman" w:hAnsi="Times New Roman" w:cs="Times New Roman"/>
          <w:sz w:val="24"/>
          <w:szCs w:val="24"/>
        </w:rPr>
        <w:t xml:space="preserve">WTO law can be used to </w:t>
      </w:r>
      <w:r w:rsidR="00773E48">
        <w:rPr>
          <w:rFonts w:ascii="Times New Roman" w:hAnsi="Times New Roman" w:cs="Times New Roman"/>
          <w:sz w:val="24"/>
          <w:szCs w:val="24"/>
        </w:rPr>
        <w:t>‘buttress rather than to undermine Members’ health policies.’</w:t>
      </w:r>
      <w:r w:rsidR="00182788">
        <w:rPr>
          <w:rStyle w:val="FootnoteReference"/>
          <w:rFonts w:ascii="Times New Roman" w:hAnsi="Times New Roman" w:cs="Times New Roman"/>
          <w:sz w:val="24"/>
          <w:szCs w:val="24"/>
        </w:rPr>
        <w:footnoteReference w:id="21"/>
      </w:r>
    </w:p>
    <w:p w:rsidR="004F3A68" w:rsidRDefault="004F3A68" w:rsidP="00EC464B">
      <w:pPr>
        <w:jc w:val="both"/>
        <w:rPr>
          <w:rFonts w:ascii="Times New Roman" w:hAnsi="Times New Roman" w:cs="Times New Roman"/>
          <w:sz w:val="24"/>
          <w:szCs w:val="24"/>
        </w:rPr>
      </w:pPr>
    </w:p>
    <w:p w:rsidR="00182788" w:rsidRDefault="00773E48" w:rsidP="00E84B82">
      <w:pPr>
        <w:jc w:val="both"/>
        <w:rPr>
          <w:rFonts w:ascii="Times New Roman" w:hAnsi="Times New Roman" w:cs="Times New Roman"/>
          <w:sz w:val="24"/>
          <w:szCs w:val="24"/>
        </w:rPr>
      </w:pPr>
      <w:r>
        <w:rPr>
          <w:rFonts w:ascii="Times New Roman" w:hAnsi="Times New Roman" w:cs="Times New Roman"/>
          <w:sz w:val="24"/>
          <w:szCs w:val="24"/>
        </w:rPr>
        <w:t xml:space="preserve">The Handbook also </w:t>
      </w:r>
      <w:r w:rsidR="00B22A3D">
        <w:rPr>
          <w:rFonts w:ascii="Times New Roman" w:hAnsi="Times New Roman" w:cs="Times New Roman"/>
          <w:sz w:val="24"/>
          <w:szCs w:val="24"/>
        </w:rPr>
        <w:t>provides a genuine mix between broad brushstrokes pieces which take common themes in trade and present them in an original lig</w:t>
      </w:r>
      <w:r w:rsidR="00182788">
        <w:rPr>
          <w:rFonts w:ascii="Times New Roman" w:hAnsi="Times New Roman" w:cs="Times New Roman"/>
          <w:sz w:val="24"/>
          <w:szCs w:val="24"/>
        </w:rPr>
        <w:t xml:space="preserve">ht, building on recent case law. </w:t>
      </w:r>
      <w:r w:rsidR="00B22A3D">
        <w:rPr>
          <w:rFonts w:ascii="Times New Roman" w:hAnsi="Times New Roman" w:cs="Times New Roman"/>
          <w:sz w:val="24"/>
          <w:szCs w:val="24"/>
        </w:rPr>
        <w:t xml:space="preserve">Regan’s chapter on regulatory purpose in light of the </w:t>
      </w:r>
      <w:r w:rsidR="00B22A3D" w:rsidRPr="00B22A3D">
        <w:rPr>
          <w:rFonts w:ascii="Times New Roman" w:hAnsi="Times New Roman" w:cs="Times New Roman"/>
          <w:i/>
          <w:sz w:val="24"/>
          <w:szCs w:val="24"/>
        </w:rPr>
        <w:t>US – COOL</w:t>
      </w:r>
      <w:r w:rsidR="00B22A3D">
        <w:rPr>
          <w:rFonts w:ascii="Times New Roman" w:hAnsi="Times New Roman" w:cs="Times New Roman"/>
          <w:sz w:val="24"/>
          <w:szCs w:val="24"/>
        </w:rPr>
        <w:t xml:space="preserve">, </w:t>
      </w:r>
      <w:r w:rsidR="00B22A3D" w:rsidRPr="00B22A3D">
        <w:rPr>
          <w:rFonts w:ascii="Times New Roman" w:hAnsi="Times New Roman" w:cs="Times New Roman"/>
          <w:i/>
          <w:sz w:val="24"/>
          <w:szCs w:val="24"/>
        </w:rPr>
        <w:t>US – Clove Cigarettes</w:t>
      </w:r>
      <w:r w:rsidR="00B22A3D">
        <w:rPr>
          <w:rFonts w:ascii="Times New Roman" w:hAnsi="Times New Roman" w:cs="Times New Roman"/>
          <w:sz w:val="24"/>
          <w:szCs w:val="24"/>
        </w:rPr>
        <w:t xml:space="preserve">, and </w:t>
      </w:r>
      <w:r w:rsidR="00B22A3D" w:rsidRPr="00B22A3D">
        <w:rPr>
          <w:rFonts w:ascii="Times New Roman" w:hAnsi="Times New Roman" w:cs="Times New Roman"/>
          <w:i/>
          <w:sz w:val="24"/>
          <w:szCs w:val="24"/>
        </w:rPr>
        <w:t>US – Tuna (II)</w:t>
      </w:r>
      <w:r w:rsidR="00B22A3D">
        <w:rPr>
          <w:rFonts w:ascii="Times New Roman" w:hAnsi="Times New Roman" w:cs="Times New Roman"/>
          <w:sz w:val="24"/>
          <w:szCs w:val="24"/>
        </w:rPr>
        <w:t xml:space="preserve"> cases is especially strong, challenging the siren’s call of economic analysis to resolve disputes under WTO law</w:t>
      </w:r>
      <w:r w:rsidR="00182788">
        <w:rPr>
          <w:rFonts w:ascii="Times New Roman" w:hAnsi="Times New Roman" w:cs="Times New Roman"/>
          <w:sz w:val="24"/>
          <w:szCs w:val="24"/>
        </w:rPr>
        <w:t>.</w:t>
      </w:r>
      <w:r w:rsidR="00182788">
        <w:rPr>
          <w:rStyle w:val="FootnoteReference"/>
          <w:rFonts w:ascii="Times New Roman" w:hAnsi="Times New Roman" w:cs="Times New Roman"/>
          <w:sz w:val="24"/>
          <w:szCs w:val="24"/>
        </w:rPr>
        <w:footnoteReference w:id="22"/>
      </w:r>
    </w:p>
    <w:p w:rsidR="00E84B82" w:rsidRDefault="00182788" w:rsidP="00E84B82">
      <w:pPr>
        <w:jc w:val="both"/>
        <w:rPr>
          <w:rFonts w:ascii="Times New Roman" w:hAnsi="Times New Roman" w:cs="Times New Roman"/>
          <w:sz w:val="24"/>
          <w:szCs w:val="24"/>
        </w:rPr>
      </w:pPr>
      <w:r>
        <w:rPr>
          <w:rFonts w:ascii="Times New Roman" w:hAnsi="Times New Roman" w:cs="Times New Roman"/>
          <w:sz w:val="24"/>
          <w:szCs w:val="24"/>
        </w:rPr>
        <w:t xml:space="preserve"> </w:t>
      </w:r>
    </w:p>
    <w:p w:rsidR="00E84B82" w:rsidRDefault="00B22A3D" w:rsidP="00B22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Other contributions treat very specific issues that rarely get the attention they deserve. For example, </w:t>
      </w:r>
      <w:proofErr w:type="spellStart"/>
      <w:r w:rsidR="00182788">
        <w:rPr>
          <w:rFonts w:ascii="Times New Roman" w:hAnsi="Times New Roman" w:cs="Times New Roman"/>
          <w:sz w:val="24"/>
          <w:szCs w:val="24"/>
        </w:rPr>
        <w:t>Echol’s</w:t>
      </w:r>
      <w:proofErr w:type="spellEnd"/>
      <w:r w:rsidR="00182788">
        <w:rPr>
          <w:rFonts w:ascii="Times New Roman" w:hAnsi="Times New Roman" w:cs="Times New Roman"/>
          <w:sz w:val="24"/>
          <w:szCs w:val="24"/>
        </w:rPr>
        <w:t xml:space="preserve"> chapter </w:t>
      </w:r>
      <w:r>
        <w:rPr>
          <w:rFonts w:ascii="Times New Roman" w:hAnsi="Times New Roman" w:cs="Times New Roman"/>
          <w:sz w:val="24"/>
          <w:szCs w:val="24"/>
        </w:rPr>
        <w:t xml:space="preserve">on regulatory </w:t>
      </w:r>
      <w:r w:rsidR="00E84B82">
        <w:rPr>
          <w:rFonts w:ascii="Times New Roman" w:hAnsi="Times New Roman" w:cs="Times New Roman"/>
          <w:sz w:val="24"/>
          <w:szCs w:val="24"/>
        </w:rPr>
        <w:t xml:space="preserve">equivalence </w:t>
      </w:r>
      <w:r>
        <w:rPr>
          <w:rFonts w:ascii="Times New Roman" w:hAnsi="Times New Roman" w:cs="Times New Roman"/>
          <w:sz w:val="24"/>
          <w:szCs w:val="24"/>
        </w:rPr>
        <w:t xml:space="preserve">in SPS measures is a critical </w:t>
      </w:r>
      <w:r w:rsidR="00475BA9">
        <w:rPr>
          <w:rFonts w:ascii="Times New Roman" w:hAnsi="Times New Roman" w:cs="Times New Roman"/>
          <w:sz w:val="24"/>
          <w:szCs w:val="24"/>
        </w:rPr>
        <w:t xml:space="preserve">topic, examining </w:t>
      </w:r>
      <w:r>
        <w:rPr>
          <w:rFonts w:ascii="Times New Roman" w:hAnsi="Times New Roman" w:cs="Times New Roman"/>
          <w:sz w:val="24"/>
          <w:szCs w:val="24"/>
        </w:rPr>
        <w:t xml:space="preserve">how trade law and public health concerns interact in more </w:t>
      </w:r>
      <w:r w:rsidR="00E84B82">
        <w:rPr>
          <w:rFonts w:ascii="Times New Roman" w:hAnsi="Times New Roman" w:cs="Times New Roman"/>
          <w:sz w:val="24"/>
          <w:szCs w:val="24"/>
        </w:rPr>
        <w:t xml:space="preserve">complex FTAs and their regulatory cooperation </w:t>
      </w:r>
      <w:r w:rsidR="00475BA9">
        <w:rPr>
          <w:rFonts w:ascii="Times New Roman" w:hAnsi="Times New Roman" w:cs="Times New Roman"/>
          <w:sz w:val="24"/>
          <w:szCs w:val="24"/>
        </w:rPr>
        <w:t>structures</w:t>
      </w:r>
      <w:r w:rsidR="00E84B82">
        <w:rPr>
          <w:rFonts w:ascii="Times New Roman" w:hAnsi="Times New Roman" w:cs="Times New Roman"/>
          <w:sz w:val="24"/>
          <w:szCs w:val="24"/>
        </w:rPr>
        <w:t>.</w:t>
      </w:r>
      <w:r w:rsidR="00475BA9">
        <w:rPr>
          <w:rStyle w:val="FootnoteReference"/>
          <w:rFonts w:ascii="Times New Roman" w:hAnsi="Times New Roman" w:cs="Times New Roman"/>
          <w:sz w:val="24"/>
          <w:szCs w:val="24"/>
        </w:rPr>
        <w:footnoteReference w:id="23"/>
      </w:r>
      <w:r w:rsidR="00E84B82">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00CB6CBC">
        <w:rPr>
          <w:rFonts w:ascii="Times New Roman" w:hAnsi="Times New Roman" w:cs="Times New Roman"/>
          <w:sz w:val="24"/>
          <w:szCs w:val="24"/>
        </w:rPr>
        <w:t xml:space="preserve">in </w:t>
      </w:r>
      <w:proofErr w:type="spellStart"/>
      <w:r>
        <w:rPr>
          <w:rFonts w:ascii="Times New Roman" w:hAnsi="Times New Roman" w:cs="Times New Roman"/>
          <w:sz w:val="24"/>
          <w:szCs w:val="24"/>
        </w:rPr>
        <w:t>Epps’</w:t>
      </w:r>
      <w:proofErr w:type="spellEnd"/>
      <w:r>
        <w:rPr>
          <w:rFonts w:ascii="Times New Roman" w:hAnsi="Times New Roman" w:cs="Times New Roman"/>
          <w:sz w:val="24"/>
          <w:szCs w:val="24"/>
        </w:rPr>
        <w:t xml:space="preserve"> chapter on </w:t>
      </w:r>
      <w:r w:rsidR="00E84B82">
        <w:rPr>
          <w:rFonts w:ascii="Times New Roman" w:hAnsi="Times New Roman" w:cs="Times New Roman"/>
          <w:sz w:val="24"/>
          <w:szCs w:val="24"/>
        </w:rPr>
        <w:t xml:space="preserve">premarket approval systems </w:t>
      </w:r>
      <w:r w:rsidR="00CB6CBC">
        <w:rPr>
          <w:rFonts w:ascii="Times New Roman" w:hAnsi="Times New Roman" w:cs="Times New Roman"/>
          <w:sz w:val="24"/>
          <w:szCs w:val="24"/>
        </w:rPr>
        <w:t xml:space="preserve">and the </w:t>
      </w:r>
      <w:r>
        <w:rPr>
          <w:rFonts w:ascii="Times New Roman" w:hAnsi="Times New Roman" w:cs="Times New Roman"/>
          <w:sz w:val="24"/>
          <w:szCs w:val="24"/>
        </w:rPr>
        <w:t xml:space="preserve">systemic and institutional challenges </w:t>
      </w:r>
      <w:r w:rsidR="00CB6CBC">
        <w:rPr>
          <w:rFonts w:ascii="Times New Roman" w:hAnsi="Times New Roman" w:cs="Times New Roman"/>
          <w:sz w:val="24"/>
          <w:szCs w:val="24"/>
        </w:rPr>
        <w:t xml:space="preserve">they present to </w:t>
      </w:r>
      <w:r>
        <w:rPr>
          <w:rFonts w:ascii="Times New Roman" w:hAnsi="Times New Roman" w:cs="Times New Roman"/>
          <w:sz w:val="24"/>
          <w:szCs w:val="24"/>
        </w:rPr>
        <w:t xml:space="preserve">the daily practice of trade under trade law regimes </w:t>
      </w:r>
      <w:r w:rsidR="00CB6CBC">
        <w:rPr>
          <w:rFonts w:ascii="Times New Roman" w:hAnsi="Times New Roman" w:cs="Times New Roman"/>
          <w:sz w:val="24"/>
          <w:szCs w:val="24"/>
        </w:rPr>
        <w:t xml:space="preserve">she examines </w:t>
      </w:r>
      <w:r>
        <w:rPr>
          <w:rFonts w:ascii="Times New Roman" w:hAnsi="Times New Roman" w:cs="Times New Roman"/>
          <w:sz w:val="24"/>
          <w:szCs w:val="24"/>
        </w:rPr>
        <w:t xml:space="preserve">a topic that most general works of trade law fail to </w:t>
      </w:r>
      <w:r w:rsidR="00CB6CBC">
        <w:rPr>
          <w:rFonts w:ascii="Times New Roman" w:hAnsi="Times New Roman" w:cs="Times New Roman"/>
          <w:sz w:val="24"/>
          <w:szCs w:val="24"/>
        </w:rPr>
        <w:t>acknowledge, less treat in detail</w:t>
      </w:r>
      <w:r>
        <w:rPr>
          <w:rFonts w:ascii="Times New Roman" w:hAnsi="Times New Roman" w:cs="Times New Roman"/>
          <w:sz w:val="24"/>
          <w:szCs w:val="24"/>
        </w:rPr>
        <w:t xml:space="preserve">. Returning to McGrady’s focus on determinacy in the law so that public health actors might be able to have a sense of the legal status of a proposed policy, </w:t>
      </w:r>
      <w:proofErr w:type="spellStart"/>
      <w:r>
        <w:rPr>
          <w:rFonts w:ascii="Times New Roman" w:hAnsi="Times New Roman" w:cs="Times New Roman"/>
          <w:sz w:val="24"/>
          <w:szCs w:val="24"/>
        </w:rPr>
        <w:t>Atik’s</w:t>
      </w:r>
      <w:proofErr w:type="spellEnd"/>
      <w:r>
        <w:rPr>
          <w:rFonts w:ascii="Times New Roman" w:hAnsi="Times New Roman" w:cs="Times New Roman"/>
          <w:sz w:val="24"/>
          <w:szCs w:val="24"/>
        </w:rPr>
        <w:t xml:space="preserve"> contribution is particularly telling, taking a different tack, instead acknowledging and making explicit what he sees as the ‘illusions’ of the SPS Agreement</w:t>
      </w:r>
      <w:r w:rsidR="00E84B82">
        <w:rPr>
          <w:rFonts w:ascii="Times New Roman" w:hAnsi="Times New Roman" w:cs="Times New Roman"/>
          <w:sz w:val="24"/>
          <w:szCs w:val="24"/>
        </w:rPr>
        <w:t>, and the difficulty with providing clear and certain rules</w:t>
      </w:r>
      <w:r>
        <w:rPr>
          <w:rFonts w:ascii="Times New Roman" w:hAnsi="Times New Roman" w:cs="Times New Roman"/>
          <w:sz w:val="24"/>
          <w:szCs w:val="24"/>
        </w:rPr>
        <w:t xml:space="preserve"> in such matters.</w:t>
      </w:r>
      <w:r>
        <w:rPr>
          <w:rStyle w:val="FootnoteReference"/>
          <w:rFonts w:ascii="Times New Roman" w:hAnsi="Times New Roman" w:cs="Times New Roman"/>
          <w:sz w:val="24"/>
          <w:szCs w:val="24"/>
        </w:rPr>
        <w:footnoteReference w:id="24"/>
      </w:r>
    </w:p>
    <w:p w:rsidR="00E84B82" w:rsidRDefault="00E84B82" w:rsidP="00E84B82">
      <w:pPr>
        <w:jc w:val="both"/>
        <w:rPr>
          <w:rFonts w:ascii="Times New Roman" w:hAnsi="Times New Roman" w:cs="Times New Roman"/>
          <w:sz w:val="24"/>
          <w:szCs w:val="24"/>
        </w:rPr>
      </w:pPr>
    </w:p>
    <w:p w:rsidR="00E84B82" w:rsidRDefault="00E84B82" w:rsidP="00E84B82">
      <w:pPr>
        <w:jc w:val="both"/>
        <w:rPr>
          <w:rFonts w:ascii="Times New Roman" w:hAnsi="Times New Roman" w:cs="Times New Roman"/>
          <w:sz w:val="24"/>
          <w:szCs w:val="24"/>
        </w:rPr>
      </w:pPr>
      <w:proofErr w:type="spellStart"/>
      <w:r>
        <w:rPr>
          <w:rFonts w:ascii="Times New Roman" w:hAnsi="Times New Roman" w:cs="Times New Roman"/>
          <w:sz w:val="24"/>
          <w:szCs w:val="24"/>
        </w:rPr>
        <w:t>Gruszcynski</w:t>
      </w:r>
      <w:r w:rsidR="004A0DCA">
        <w:rPr>
          <w:rFonts w:ascii="Times New Roman" w:hAnsi="Times New Roman" w:cs="Times New Roman"/>
          <w:sz w:val="24"/>
          <w:szCs w:val="24"/>
        </w:rPr>
        <w:t>’s</w:t>
      </w:r>
      <w:proofErr w:type="spellEnd"/>
      <w:r w:rsidR="004A0DCA">
        <w:rPr>
          <w:rFonts w:ascii="Times New Roman" w:hAnsi="Times New Roman" w:cs="Times New Roman"/>
          <w:sz w:val="24"/>
          <w:szCs w:val="24"/>
        </w:rPr>
        <w:t xml:space="preserve"> chapter on the standard of review applied by panels merits particular attention, as while this is left to the end of the collection, in practice, standard of review is the core underlying challenge behind many of the issues discussed. The extent to which a panel will examine the decision of a Member, the deference it will accord the decision-making agencies on their use and treatment of evidence, the extent to which the available alternatives will be rigorously considered, at its core these are questions over standard of review. While </w:t>
      </w:r>
      <w:proofErr w:type="spellStart"/>
      <w:r w:rsidR="004A0DCA">
        <w:rPr>
          <w:rFonts w:ascii="Times New Roman" w:hAnsi="Times New Roman" w:cs="Times New Roman"/>
          <w:sz w:val="24"/>
          <w:szCs w:val="24"/>
        </w:rPr>
        <w:t>Gruszcynski’s</w:t>
      </w:r>
      <w:proofErr w:type="spellEnd"/>
      <w:r w:rsidR="004A0DCA">
        <w:rPr>
          <w:rFonts w:ascii="Times New Roman" w:hAnsi="Times New Roman" w:cs="Times New Roman"/>
          <w:sz w:val="24"/>
          <w:szCs w:val="24"/>
        </w:rPr>
        <w:t xml:space="preserve"> chapter focusses mostly on the SPS Agreement, </w:t>
      </w:r>
      <w:r w:rsidR="00E95BEB">
        <w:rPr>
          <w:rFonts w:ascii="Times New Roman" w:hAnsi="Times New Roman" w:cs="Times New Roman"/>
          <w:sz w:val="24"/>
          <w:szCs w:val="24"/>
        </w:rPr>
        <w:t xml:space="preserve">questions similarly arise in the </w:t>
      </w:r>
      <w:r w:rsidR="00817FAC">
        <w:rPr>
          <w:rFonts w:ascii="Times New Roman" w:hAnsi="Times New Roman" w:cs="Times New Roman"/>
          <w:sz w:val="24"/>
          <w:szCs w:val="24"/>
        </w:rPr>
        <w:t>context of TBT. It might be suggested that one could also build on the analysis by conducting a comparative examination of the treatment of standard of review by panels in trade defence instrument disputes also.</w:t>
      </w:r>
      <w:r w:rsidR="00817FAC">
        <w:rPr>
          <w:rStyle w:val="FootnoteReference"/>
          <w:rFonts w:ascii="Times New Roman" w:hAnsi="Times New Roman" w:cs="Times New Roman"/>
          <w:sz w:val="24"/>
          <w:szCs w:val="24"/>
        </w:rPr>
        <w:footnoteReference w:id="25"/>
      </w:r>
      <w:r w:rsidR="00817FAC">
        <w:rPr>
          <w:rFonts w:ascii="Times New Roman" w:hAnsi="Times New Roman" w:cs="Times New Roman"/>
          <w:sz w:val="24"/>
          <w:szCs w:val="24"/>
        </w:rPr>
        <w:t xml:space="preserve"> </w:t>
      </w:r>
      <w:r w:rsidR="008918D8">
        <w:rPr>
          <w:rFonts w:ascii="Times New Roman" w:hAnsi="Times New Roman" w:cs="Times New Roman"/>
          <w:sz w:val="24"/>
          <w:szCs w:val="24"/>
        </w:rPr>
        <w:t xml:space="preserve">When examined in light of the quest for an application of trade law that maximises its benefits while minimises its potential negative impacts on health policy, the degree to which panels are able to monitor Members’ regulatory behaviour while still permitting them sufficient autonomy is a consistent theme in this </w:t>
      </w:r>
      <w:r w:rsidR="002C0ABD">
        <w:rPr>
          <w:rFonts w:ascii="Times New Roman" w:hAnsi="Times New Roman" w:cs="Times New Roman"/>
          <w:sz w:val="24"/>
          <w:szCs w:val="24"/>
        </w:rPr>
        <w:t>volume</w:t>
      </w:r>
      <w:r w:rsidR="008918D8">
        <w:rPr>
          <w:rFonts w:ascii="Times New Roman" w:hAnsi="Times New Roman" w:cs="Times New Roman"/>
          <w:sz w:val="24"/>
          <w:szCs w:val="24"/>
        </w:rPr>
        <w:t xml:space="preserve">. </w:t>
      </w:r>
    </w:p>
    <w:p w:rsidR="008918D8" w:rsidRPr="00830A35" w:rsidRDefault="008918D8" w:rsidP="00E84B82">
      <w:pPr>
        <w:jc w:val="both"/>
        <w:rPr>
          <w:rFonts w:ascii="Times New Roman" w:hAnsi="Times New Roman" w:cs="Times New Roman"/>
          <w:sz w:val="24"/>
          <w:szCs w:val="24"/>
        </w:rPr>
      </w:pPr>
    </w:p>
    <w:p w:rsidR="00ED40DB" w:rsidRDefault="002C0ABD" w:rsidP="00ED40DB">
      <w:pPr>
        <w:jc w:val="both"/>
        <w:rPr>
          <w:rFonts w:ascii="Times New Roman" w:hAnsi="Times New Roman" w:cs="Times New Roman"/>
          <w:sz w:val="24"/>
          <w:szCs w:val="24"/>
        </w:rPr>
      </w:pPr>
      <w:r>
        <w:rPr>
          <w:rFonts w:ascii="Times New Roman" w:hAnsi="Times New Roman" w:cs="Times New Roman"/>
          <w:sz w:val="24"/>
          <w:szCs w:val="24"/>
        </w:rPr>
        <w:t xml:space="preserve">As the </w:t>
      </w:r>
      <w:r w:rsidRPr="005A0653">
        <w:rPr>
          <w:rFonts w:ascii="Times New Roman" w:hAnsi="Times New Roman" w:cs="Times New Roman"/>
          <w:i/>
          <w:sz w:val="24"/>
          <w:szCs w:val="24"/>
        </w:rPr>
        <w:t>Research Handbook on Environment, Health and the WTO</w:t>
      </w:r>
      <w:r>
        <w:rPr>
          <w:rFonts w:ascii="Times New Roman" w:hAnsi="Times New Roman" w:cs="Times New Roman"/>
          <w:sz w:val="24"/>
          <w:szCs w:val="24"/>
        </w:rPr>
        <w:t xml:space="preserve"> </w:t>
      </w:r>
      <w:r w:rsidR="006C1884">
        <w:rPr>
          <w:rFonts w:ascii="Times New Roman" w:hAnsi="Times New Roman" w:cs="Times New Roman"/>
          <w:sz w:val="24"/>
          <w:szCs w:val="24"/>
        </w:rPr>
        <w:t>provides a broad range of perspectives, more specifically targeted to each instant</w:t>
      </w:r>
      <w:r>
        <w:rPr>
          <w:rFonts w:ascii="Times New Roman" w:hAnsi="Times New Roman" w:cs="Times New Roman"/>
          <w:sz w:val="24"/>
          <w:szCs w:val="24"/>
        </w:rPr>
        <w:t xml:space="preserve"> case or topic,</w:t>
      </w:r>
      <w:r w:rsidR="006C1884">
        <w:rPr>
          <w:rFonts w:ascii="Times New Roman" w:hAnsi="Times New Roman" w:cs="Times New Roman"/>
          <w:sz w:val="24"/>
          <w:szCs w:val="24"/>
        </w:rPr>
        <w:t xml:space="preserve"> it is also able to cover more of those issues that other </w:t>
      </w:r>
      <w:r w:rsidR="00CB6CBC">
        <w:rPr>
          <w:rFonts w:ascii="Times New Roman" w:hAnsi="Times New Roman" w:cs="Times New Roman"/>
          <w:sz w:val="24"/>
          <w:szCs w:val="24"/>
        </w:rPr>
        <w:t>works</w:t>
      </w:r>
      <w:r w:rsidR="006C1884">
        <w:rPr>
          <w:rFonts w:ascii="Times New Roman" w:hAnsi="Times New Roman" w:cs="Times New Roman"/>
          <w:sz w:val="24"/>
          <w:szCs w:val="24"/>
        </w:rPr>
        <w:t xml:space="preserve"> </w:t>
      </w:r>
      <w:r w:rsidR="00CB6CBC">
        <w:rPr>
          <w:rFonts w:ascii="Times New Roman" w:hAnsi="Times New Roman" w:cs="Times New Roman"/>
          <w:sz w:val="24"/>
          <w:szCs w:val="24"/>
        </w:rPr>
        <w:t>(</w:t>
      </w:r>
      <w:r w:rsidR="006C1884">
        <w:rPr>
          <w:rFonts w:ascii="Times New Roman" w:hAnsi="Times New Roman" w:cs="Times New Roman"/>
          <w:sz w:val="24"/>
          <w:szCs w:val="24"/>
        </w:rPr>
        <w:t>such as McGrady’s</w:t>
      </w:r>
      <w:r w:rsidR="00CB6CBC">
        <w:rPr>
          <w:rFonts w:ascii="Times New Roman" w:hAnsi="Times New Roman" w:cs="Times New Roman"/>
          <w:sz w:val="24"/>
          <w:szCs w:val="24"/>
        </w:rPr>
        <w:t>)</w:t>
      </w:r>
      <w:r w:rsidR="006C1884">
        <w:rPr>
          <w:rFonts w:ascii="Times New Roman" w:hAnsi="Times New Roman" w:cs="Times New Roman"/>
          <w:sz w:val="24"/>
          <w:szCs w:val="24"/>
        </w:rPr>
        <w:t xml:space="preserve"> have had to exclude. Notably, the overlap with FTAs identified in some of the chapters noted above, but also </w:t>
      </w:r>
      <w:proofErr w:type="spellStart"/>
      <w:r w:rsidR="00ED40DB">
        <w:rPr>
          <w:rFonts w:ascii="Times New Roman" w:hAnsi="Times New Roman" w:cs="Times New Roman"/>
          <w:sz w:val="24"/>
          <w:szCs w:val="24"/>
        </w:rPr>
        <w:t>Mercurio</w:t>
      </w:r>
      <w:r w:rsidR="006C1884">
        <w:rPr>
          <w:rFonts w:ascii="Times New Roman" w:hAnsi="Times New Roman" w:cs="Times New Roman"/>
          <w:sz w:val="24"/>
          <w:szCs w:val="24"/>
        </w:rPr>
        <w:t>’s</w:t>
      </w:r>
      <w:proofErr w:type="spellEnd"/>
      <w:r w:rsidR="006C1884">
        <w:rPr>
          <w:rFonts w:ascii="Times New Roman" w:hAnsi="Times New Roman" w:cs="Times New Roman"/>
          <w:sz w:val="24"/>
          <w:szCs w:val="24"/>
        </w:rPr>
        <w:t xml:space="preserve"> contribution on </w:t>
      </w:r>
      <w:r w:rsidR="00406C32">
        <w:rPr>
          <w:rFonts w:ascii="Times New Roman" w:hAnsi="Times New Roman" w:cs="Times New Roman"/>
          <w:sz w:val="24"/>
          <w:szCs w:val="24"/>
        </w:rPr>
        <w:t>TRIPS</w:t>
      </w:r>
      <w:r w:rsidR="00ED40DB">
        <w:rPr>
          <w:rFonts w:ascii="Times New Roman" w:hAnsi="Times New Roman" w:cs="Times New Roman"/>
          <w:sz w:val="24"/>
          <w:szCs w:val="24"/>
        </w:rPr>
        <w:t xml:space="preserve"> and access to medicines</w:t>
      </w:r>
      <w:r w:rsidR="00CB6CBC">
        <w:rPr>
          <w:rFonts w:ascii="Times New Roman" w:hAnsi="Times New Roman" w:cs="Times New Roman"/>
          <w:sz w:val="24"/>
          <w:szCs w:val="24"/>
        </w:rPr>
        <w:t xml:space="preserve"> which has long been the most </w:t>
      </w:r>
      <w:r w:rsidR="00AD5E58">
        <w:rPr>
          <w:rFonts w:ascii="Times New Roman" w:hAnsi="Times New Roman" w:cs="Times New Roman"/>
          <w:sz w:val="24"/>
          <w:szCs w:val="24"/>
        </w:rPr>
        <w:t>present element of WTO law within debates in the public health community</w:t>
      </w:r>
      <w:r w:rsidR="006C1884">
        <w:rPr>
          <w:rFonts w:ascii="Times New Roman" w:hAnsi="Times New Roman" w:cs="Times New Roman"/>
          <w:sz w:val="24"/>
          <w:szCs w:val="24"/>
        </w:rPr>
        <w:t>.</w:t>
      </w:r>
      <w:r w:rsidR="00AD5E58">
        <w:rPr>
          <w:rStyle w:val="FootnoteReference"/>
          <w:rFonts w:ascii="Times New Roman" w:hAnsi="Times New Roman" w:cs="Times New Roman"/>
          <w:sz w:val="24"/>
          <w:szCs w:val="24"/>
        </w:rPr>
        <w:footnoteReference w:id="26"/>
      </w:r>
    </w:p>
    <w:p w:rsidR="00ED40DB" w:rsidRDefault="00ED40DB" w:rsidP="00EC464B">
      <w:pPr>
        <w:jc w:val="both"/>
        <w:rPr>
          <w:rFonts w:ascii="Times New Roman" w:hAnsi="Times New Roman" w:cs="Times New Roman"/>
          <w:sz w:val="24"/>
          <w:szCs w:val="24"/>
        </w:rPr>
      </w:pPr>
    </w:p>
    <w:p w:rsidR="009B69A6" w:rsidRDefault="005D60B9" w:rsidP="00EC464B">
      <w:pPr>
        <w:jc w:val="both"/>
        <w:rPr>
          <w:rFonts w:ascii="Times New Roman" w:hAnsi="Times New Roman" w:cs="Times New Roman"/>
          <w:sz w:val="24"/>
          <w:szCs w:val="24"/>
        </w:rPr>
      </w:pPr>
      <w:r>
        <w:rPr>
          <w:rFonts w:ascii="Times New Roman" w:hAnsi="Times New Roman" w:cs="Times New Roman"/>
          <w:sz w:val="24"/>
          <w:szCs w:val="24"/>
        </w:rPr>
        <w:t xml:space="preserve">The third book, </w:t>
      </w:r>
      <w:proofErr w:type="spellStart"/>
      <w:r>
        <w:rPr>
          <w:rFonts w:ascii="Times New Roman" w:hAnsi="Times New Roman" w:cs="Times New Roman"/>
          <w:sz w:val="24"/>
          <w:szCs w:val="24"/>
        </w:rPr>
        <w:t>Baumstark’s</w:t>
      </w:r>
      <w:proofErr w:type="spellEnd"/>
      <w:r>
        <w:rPr>
          <w:rFonts w:ascii="Times New Roman" w:hAnsi="Times New Roman" w:cs="Times New Roman"/>
          <w:sz w:val="24"/>
          <w:szCs w:val="24"/>
        </w:rPr>
        <w:t xml:space="preserve"> </w:t>
      </w:r>
      <w:r w:rsidRPr="005A0653">
        <w:rPr>
          <w:rFonts w:ascii="Times New Roman" w:hAnsi="Times New Roman" w:cs="Times New Roman"/>
          <w:i/>
          <w:sz w:val="24"/>
          <w:szCs w:val="24"/>
        </w:rPr>
        <w:t>The Human Right to Health and its Relation to the WTO</w:t>
      </w:r>
      <w:r>
        <w:rPr>
          <w:rFonts w:ascii="Times New Roman" w:hAnsi="Times New Roman" w:cs="Times New Roman"/>
          <w:sz w:val="24"/>
          <w:szCs w:val="24"/>
        </w:rPr>
        <w:t xml:space="preserve"> makes a very different type of contribution to the work in the field. We have seen how the literature has moved from a general ‘trade and…’ focus on the environment broadly understood, to an increased attention to the specific priorities of public health regulation, to then increasingly innovative and speculative work on challenges at the sharp end of health regulation’</w:t>
      </w:r>
      <w:r w:rsidR="00B42B68">
        <w:rPr>
          <w:rFonts w:ascii="Times New Roman" w:hAnsi="Times New Roman" w:cs="Times New Roman"/>
          <w:sz w:val="24"/>
          <w:szCs w:val="24"/>
        </w:rPr>
        <w:t>s interaction with trade</w:t>
      </w:r>
      <w:r>
        <w:rPr>
          <w:rFonts w:ascii="Times New Roman" w:hAnsi="Times New Roman" w:cs="Times New Roman"/>
          <w:sz w:val="24"/>
          <w:szCs w:val="24"/>
        </w:rPr>
        <w:t xml:space="preserve"> law. In the meantime, in parallel to this specialisation of public </w:t>
      </w:r>
      <w:r w:rsidR="00B42B68">
        <w:rPr>
          <w:rFonts w:ascii="Times New Roman" w:hAnsi="Times New Roman" w:cs="Times New Roman"/>
          <w:sz w:val="24"/>
          <w:szCs w:val="24"/>
        </w:rPr>
        <w:t>health</w:t>
      </w:r>
      <w:r>
        <w:rPr>
          <w:rFonts w:ascii="Times New Roman" w:hAnsi="Times New Roman" w:cs="Times New Roman"/>
          <w:sz w:val="24"/>
          <w:szCs w:val="24"/>
        </w:rPr>
        <w:t xml:space="preserve"> and trade research, has come a deeper appreciation of the </w:t>
      </w:r>
      <w:r w:rsidR="0054331B" w:rsidRPr="00830A35">
        <w:rPr>
          <w:rFonts w:ascii="Times New Roman" w:hAnsi="Times New Roman" w:cs="Times New Roman"/>
          <w:sz w:val="24"/>
          <w:szCs w:val="24"/>
        </w:rPr>
        <w:t xml:space="preserve">overlap </w:t>
      </w:r>
      <w:r>
        <w:rPr>
          <w:rFonts w:ascii="Times New Roman" w:hAnsi="Times New Roman" w:cs="Times New Roman"/>
          <w:sz w:val="24"/>
          <w:szCs w:val="24"/>
        </w:rPr>
        <w:t xml:space="preserve">between the </w:t>
      </w:r>
      <w:r w:rsidR="0054331B" w:rsidRPr="00830A35">
        <w:rPr>
          <w:rFonts w:ascii="Times New Roman" w:hAnsi="Times New Roman" w:cs="Times New Roman"/>
          <w:sz w:val="24"/>
          <w:szCs w:val="24"/>
        </w:rPr>
        <w:t>rights dimension</w:t>
      </w:r>
      <w:r>
        <w:rPr>
          <w:rFonts w:ascii="Times New Roman" w:hAnsi="Times New Roman" w:cs="Times New Roman"/>
          <w:sz w:val="24"/>
          <w:szCs w:val="24"/>
        </w:rPr>
        <w:t>s</w:t>
      </w:r>
      <w:r w:rsidR="0054331B" w:rsidRPr="00830A35">
        <w:rPr>
          <w:rFonts w:ascii="Times New Roman" w:hAnsi="Times New Roman" w:cs="Times New Roman"/>
          <w:sz w:val="24"/>
          <w:szCs w:val="24"/>
        </w:rPr>
        <w:t xml:space="preserve"> of trade and health. </w:t>
      </w:r>
      <w:r w:rsidR="004A0D04">
        <w:rPr>
          <w:rFonts w:ascii="Times New Roman" w:hAnsi="Times New Roman" w:cs="Times New Roman"/>
          <w:sz w:val="24"/>
          <w:szCs w:val="24"/>
        </w:rPr>
        <w:t xml:space="preserve">This was particularly visible in the </w:t>
      </w:r>
      <w:r w:rsidR="0054331B" w:rsidRPr="00830A35">
        <w:rPr>
          <w:rFonts w:ascii="Times New Roman" w:hAnsi="Times New Roman" w:cs="Times New Roman"/>
          <w:sz w:val="24"/>
          <w:szCs w:val="24"/>
        </w:rPr>
        <w:t xml:space="preserve">novel </w:t>
      </w:r>
      <w:r w:rsidR="004A0D04">
        <w:rPr>
          <w:rFonts w:ascii="Times New Roman" w:hAnsi="Times New Roman" w:cs="Times New Roman"/>
          <w:sz w:val="24"/>
          <w:szCs w:val="24"/>
        </w:rPr>
        <w:t xml:space="preserve">contributions </w:t>
      </w:r>
      <w:r w:rsidR="0054331B" w:rsidRPr="00830A35">
        <w:rPr>
          <w:rFonts w:ascii="Times New Roman" w:hAnsi="Times New Roman" w:cs="Times New Roman"/>
          <w:sz w:val="24"/>
          <w:szCs w:val="24"/>
        </w:rPr>
        <w:t xml:space="preserve">of authors such as </w:t>
      </w:r>
      <w:proofErr w:type="spellStart"/>
      <w:r w:rsidR="0054331B" w:rsidRPr="00830A35">
        <w:rPr>
          <w:rFonts w:ascii="Times New Roman" w:hAnsi="Times New Roman" w:cs="Times New Roman"/>
          <w:sz w:val="24"/>
          <w:szCs w:val="24"/>
        </w:rPr>
        <w:t>Hestermeyer</w:t>
      </w:r>
      <w:proofErr w:type="spellEnd"/>
      <w:r w:rsidR="0054331B" w:rsidRPr="00830A35">
        <w:rPr>
          <w:rFonts w:ascii="Times New Roman" w:hAnsi="Times New Roman" w:cs="Times New Roman"/>
          <w:sz w:val="24"/>
          <w:szCs w:val="24"/>
        </w:rPr>
        <w:t xml:space="preserve"> </w:t>
      </w:r>
      <w:r w:rsidR="004A0D04">
        <w:rPr>
          <w:rFonts w:ascii="Times New Roman" w:hAnsi="Times New Roman" w:cs="Times New Roman"/>
          <w:sz w:val="24"/>
          <w:szCs w:val="24"/>
        </w:rPr>
        <w:t>(</w:t>
      </w:r>
      <w:r w:rsidR="0054331B" w:rsidRPr="00830A35">
        <w:rPr>
          <w:rFonts w:ascii="Times New Roman" w:hAnsi="Times New Roman" w:cs="Times New Roman"/>
          <w:sz w:val="24"/>
          <w:szCs w:val="24"/>
        </w:rPr>
        <w:t>bringing the right to access to me</w:t>
      </w:r>
      <w:r w:rsidR="00406C32">
        <w:rPr>
          <w:rFonts w:ascii="Times New Roman" w:hAnsi="Times New Roman" w:cs="Times New Roman"/>
          <w:sz w:val="24"/>
          <w:szCs w:val="24"/>
        </w:rPr>
        <w:t>dicines and the TRIPS</w:t>
      </w:r>
      <w:r w:rsidR="0054331B" w:rsidRPr="00830A35">
        <w:rPr>
          <w:rFonts w:ascii="Times New Roman" w:hAnsi="Times New Roman" w:cs="Times New Roman"/>
          <w:sz w:val="24"/>
          <w:szCs w:val="24"/>
        </w:rPr>
        <w:t xml:space="preserve"> into a more holistic understanding of the WTO regime</w:t>
      </w:r>
      <w:r w:rsidR="004A0D04">
        <w:rPr>
          <w:rFonts w:ascii="Times New Roman" w:hAnsi="Times New Roman" w:cs="Times New Roman"/>
          <w:sz w:val="24"/>
          <w:szCs w:val="24"/>
        </w:rPr>
        <w:t>)</w:t>
      </w:r>
      <w:r w:rsidR="004A0D04" w:rsidRPr="004A0D04">
        <w:rPr>
          <w:rStyle w:val="FootnoteReference"/>
          <w:rFonts w:ascii="Times New Roman" w:hAnsi="Times New Roman" w:cs="Times New Roman"/>
          <w:sz w:val="24"/>
          <w:szCs w:val="24"/>
        </w:rPr>
        <w:t xml:space="preserve"> </w:t>
      </w:r>
      <w:r w:rsidR="004A0D04">
        <w:rPr>
          <w:rStyle w:val="FootnoteReference"/>
          <w:rFonts w:ascii="Times New Roman" w:hAnsi="Times New Roman" w:cs="Times New Roman"/>
          <w:sz w:val="24"/>
          <w:szCs w:val="24"/>
        </w:rPr>
        <w:footnoteReference w:id="27"/>
      </w:r>
      <w:r w:rsidR="00364E27" w:rsidRPr="00830A35">
        <w:rPr>
          <w:rFonts w:ascii="Times New Roman" w:hAnsi="Times New Roman" w:cs="Times New Roman"/>
          <w:sz w:val="24"/>
          <w:szCs w:val="24"/>
        </w:rPr>
        <w:t xml:space="preserve"> </w:t>
      </w:r>
      <w:r w:rsidR="004A0D04">
        <w:rPr>
          <w:rFonts w:ascii="Times New Roman" w:hAnsi="Times New Roman" w:cs="Times New Roman"/>
          <w:sz w:val="24"/>
          <w:szCs w:val="24"/>
        </w:rPr>
        <w:t xml:space="preserve">and </w:t>
      </w:r>
      <w:r w:rsidR="00364E27" w:rsidRPr="00830A35">
        <w:rPr>
          <w:rFonts w:ascii="Times New Roman" w:hAnsi="Times New Roman" w:cs="Times New Roman"/>
          <w:sz w:val="24"/>
          <w:szCs w:val="24"/>
        </w:rPr>
        <w:t xml:space="preserve">Joseph </w:t>
      </w:r>
      <w:r w:rsidR="004A0D04">
        <w:rPr>
          <w:rFonts w:ascii="Times New Roman" w:hAnsi="Times New Roman" w:cs="Times New Roman"/>
          <w:sz w:val="24"/>
          <w:szCs w:val="24"/>
        </w:rPr>
        <w:t>(</w:t>
      </w:r>
      <w:r w:rsidR="00364E27" w:rsidRPr="00830A35">
        <w:rPr>
          <w:rFonts w:ascii="Times New Roman" w:hAnsi="Times New Roman" w:cs="Times New Roman"/>
          <w:sz w:val="24"/>
          <w:szCs w:val="24"/>
        </w:rPr>
        <w:t xml:space="preserve">examining the wider </w:t>
      </w:r>
      <w:r w:rsidR="00364E27" w:rsidRPr="00830A35">
        <w:rPr>
          <w:rFonts w:ascii="Times New Roman" w:hAnsi="Times New Roman" w:cs="Times New Roman"/>
          <w:sz w:val="24"/>
          <w:szCs w:val="24"/>
        </w:rPr>
        <w:lastRenderedPageBreak/>
        <w:t>relationship between trade law and human rights</w:t>
      </w:r>
      <w:r w:rsidR="004A0D04">
        <w:rPr>
          <w:rFonts w:ascii="Times New Roman" w:hAnsi="Times New Roman" w:cs="Times New Roman"/>
          <w:sz w:val="24"/>
          <w:szCs w:val="24"/>
        </w:rPr>
        <w:t>)</w:t>
      </w:r>
      <w:r w:rsidR="007709BE">
        <w:rPr>
          <w:rStyle w:val="FootnoteReference"/>
          <w:rFonts w:ascii="Times New Roman" w:hAnsi="Times New Roman" w:cs="Times New Roman"/>
          <w:sz w:val="24"/>
          <w:szCs w:val="24"/>
        </w:rPr>
        <w:footnoteReference w:id="28"/>
      </w:r>
      <w:r w:rsidR="004A0D04">
        <w:rPr>
          <w:rFonts w:ascii="Times New Roman" w:hAnsi="Times New Roman" w:cs="Times New Roman"/>
          <w:sz w:val="24"/>
          <w:szCs w:val="24"/>
        </w:rPr>
        <w:t>,</w:t>
      </w:r>
      <w:r w:rsidR="00364E27" w:rsidRPr="00830A35">
        <w:rPr>
          <w:rFonts w:ascii="Times New Roman" w:hAnsi="Times New Roman" w:cs="Times New Roman"/>
          <w:sz w:val="24"/>
          <w:szCs w:val="24"/>
        </w:rPr>
        <w:t xml:space="preserve"> </w:t>
      </w:r>
      <w:r w:rsidR="004A0D04">
        <w:rPr>
          <w:rFonts w:ascii="Times New Roman" w:hAnsi="Times New Roman" w:cs="Times New Roman"/>
          <w:sz w:val="24"/>
          <w:szCs w:val="24"/>
        </w:rPr>
        <w:t xml:space="preserve">seeking </w:t>
      </w:r>
      <w:r w:rsidR="00364E27" w:rsidRPr="00830A35">
        <w:rPr>
          <w:rFonts w:ascii="Times New Roman" w:hAnsi="Times New Roman" w:cs="Times New Roman"/>
          <w:sz w:val="24"/>
          <w:szCs w:val="24"/>
        </w:rPr>
        <w:t xml:space="preserve">to identify the increasing importance of the right </w:t>
      </w:r>
      <w:r>
        <w:rPr>
          <w:rFonts w:ascii="Times New Roman" w:hAnsi="Times New Roman" w:cs="Times New Roman"/>
          <w:sz w:val="24"/>
          <w:szCs w:val="24"/>
        </w:rPr>
        <w:t xml:space="preserve">to health in human rights terms, </w:t>
      </w:r>
      <w:r w:rsidR="004A0D04">
        <w:rPr>
          <w:rFonts w:ascii="Times New Roman" w:hAnsi="Times New Roman" w:cs="Times New Roman"/>
          <w:sz w:val="24"/>
          <w:szCs w:val="24"/>
        </w:rPr>
        <w:t xml:space="preserve">with </w:t>
      </w:r>
      <w:r>
        <w:rPr>
          <w:rFonts w:ascii="Times New Roman" w:hAnsi="Times New Roman" w:cs="Times New Roman"/>
          <w:sz w:val="24"/>
          <w:szCs w:val="24"/>
        </w:rPr>
        <w:t>both reflecting what is now becoming a recognised human rights approach to public health regulation.</w:t>
      </w:r>
      <w:r>
        <w:rPr>
          <w:rStyle w:val="FootnoteReference"/>
          <w:rFonts w:ascii="Times New Roman" w:hAnsi="Times New Roman" w:cs="Times New Roman"/>
          <w:sz w:val="24"/>
          <w:szCs w:val="24"/>
        </w:rPr>
        <w:footnoteReference w:id="29"/>
      </w:r>
      <w:r w:rsidR="00364E27" w:rsidRPr="00830A35">
        <w:rPr>
          <w:rFonts w:ascii="Times New Roman" w:hAnsi="Times New Roman" w:cs="Times New Roman"/>
          <w:sz w:val="24"/>
          <w:szCs w:val="24"/>
        </w:rPr>
        <w:t xml:space="preserve"> </w:t>
      </w:r>
    </w:p>
    <w:p w:rsidR="009B69A6" w:rsidRDefault="009B69A6" w:rsidP="00EC464B">
      <w:pPr>
        <w:jc w:val="both"/>
        <w:rPr>
          <w:rFonts w:ascii="Times New Roman" w:hAnsi="Times New Roman" w:cs="Times New Roman"/>
          <w:sz w:val="24"/>
          <w:szCs w:val="24"/>
        </w:rPr>
      </w:pPr>
    </w:p>
    <w:p w:rsidR="002C4083" w:rsidRDefault="00BF05FC" w:rsidP="00EC464B">
      <w:pPr>
        <w:jc w:val="both"/>
        <w:rPr>
          <w:rFonts w:ascii="Times New Roman" w:hAnsi="Times New Roman" w:cs="Times New Roman"/>
          <w:sz w:val="24"/>
          <w:szCs w:val="24"/>
        </w:rPr>
      </w:pPr>
      <w:r w:rsidRPr="00830A35">
        <w:rPr>
          <w:rFonts w:ascii="Times New Roman" w:hAnsi="Times New Roman" w:cs="Times New Roman"/>
          <w:sz w:val="24"/>
          <w:szCs w:val="24"/>
        </w:rPr>
        <w:t>It is in this trad</w:t>
      </w:r>
      <w:r w:rsidR="00B42B68">
        <w:rPr>
          <w:rFonts w:ascii="Times New Roman" w:hAnsi="Times New Roman" w:cs="Times New Roman"/>
          <w:sz w:val="24"/>
          <w:szCs w:val="24"/>
        </w:rPr>
        <w:t xml:space="preserve">ition that </w:t>
      </w:r>
      <w:proofErr w:type="spellStart"/>
      <w:r w:rsidR="00B42B68">
        <w:rPr>
          <w:rFonts w:ascii="Times New Roman" w:hAnsi="Times New Roman" w:cs="Times New Roman"/>
          <w:sz w:val="24"/>
          <w:szCs w:val="24"/>
        </w:rPr>
        <w:t>Baumstark’s</w:t>
      </w:r>
      <w:proofErr w:type="spellEnd"/>
      <w:r w:rsidR="00B42B68">
        <w:rPr>
          <w:rFonts w:ascii="Times New Roman" w:hAnsi="Times New Roman" w:cs="Times New Roman"/>
          <w:sz w:val="24"/>
          <w:szCs w:val="24"/>
        </w:rPr>
        <w:t xml:space="preserve"> book, </w:t>
      </w:r>
      <w:r w:rsidR="00B42B68" w:rsidRPr="005A0653">
        <w:rPr>
          <w:rFonts w:ascii="Times New Roman" w:hAnsi="Times New Roman" w:cs="Times New Roman"/>
          <w:i/>
          <w:sz w:val="24"/>
          <w:szCs w:val="24"/>
        </w:rPr>
        <w:t>The Human Right to Health and its Relation to the WTO</w:t>
      </w:r>
      <w:r w:rsidRPr="00830A35">
        <w:rPr>
          <w:rFonts w:ascii="Times New Roman" w:hAnsi="Times New Roman" w:cs="Times New Roman"/>
          <w:sz w:val="24"/>
          <w:szCs w:val="24"/>
        </w:rPr>
        <w:t>,</w:t>
      </w:r>
      <w:r w:rsidR="00B42B68">
        <w:rPr>
          <w:rFonts w:ascii="Times New Roman" w:hAnsi="Times New Roman" w:cs="Times New Roman"/>
          <w:sz w:val="24"/>
          <w:szCs w:val="24"/>
        </w:rPr>
        <w:t xml:space="preserve"> </w:t>
      </w:r>
      <w:r w:rsidRPr="00830A35">
        <w:rPr>
          <w:rFonts w:ascii="Times New Roman" w:hAnsi="Times New Roman" w:cs="Times New Roman"/>
          <w:sz w:val="24"/>
          <w:szCs w:val="24"/>
        </w:rPr>
        <w:t xml:space="preserve">is based. </w:t>
      </w:r>
      <w:r w:rsidR="00A53D00" w:rsidRPr="00830A35">
        <w:rPr>
          <w:rFonts w:ascii="Times New Roman" w:hAnsi="Times New Roman" w:cs="Times New Roman"/>
          <w:sz w:val="24"/>
          <w:szCs w:val="24"/>
        </w:rPr>
        <w:t>The book is based on the author’s doctoral thesis, and it still bears the hallmarks of a thesis: it is clearly structured, logically presented, carefully communicated</w:t>
      </w:r>
      <w:r w:rsidR="002C0ABD">
        <w:rPr>
          <w:rFonts w:ascii="Times New Roman" w:hAnsi="Times New Roman" w:cs="Times New Roman"/>
          <w:sz w:val="24"/>
          <w:szCs w:val="24"/>
        </w:rPr>
        <w:t>,</w:t>
      </w:r>
      <w:r w:rsidR="00A53D00" w:rsidRPr="00830A35">
        <w:rPr>
          <w:rFonts w:ascii="Times New Roman" w:hAnsi="Times New Roman" w:cs="Times New Roman"/>
          <w:sz w:val="24"/>
          <w:szCs w:val="24"/>
        </w:rPr>
        <w:t xml:space="preserve"> and highly accessible. It is</w:t>
      </w:r>
      <w:r w:rsidR="00B42B68">
        <w:rPr>
          <w:rFonts w:ascii="Times New Roman" w:hAnsi="Times New Roman" w:cs="Times New Roman"/>
          <w:sz w:val="24"/>
          <w:szCs w:val="24"/>
        </w:rPr>
        <w:t xml:space="preserve"> also</w:t>
      </w:r>
      <w:r w:rsidR="00A53D00" w:rsidRPr="00830A35">
        <w:rPr>
          <w:rFonts w:ascii="Times New Roman" w:hAnsi="Times New Roman" w:cs="Times New Roman"/>
          <w:sz w:val="24"/>
          <w:szCs w:val="24"/>
        </w:rPr>
        <w:t xml:space="preserve">, however, </w:t>
      </w:r>
      <w:r w:rsidR="00B42B68">
        <w:rPr>
          <w:rFonts w:ascii="Times New Roman" w:hAnsi="Times New Roman" w:cs="Times New Roman"/>
          <w:sz w:val="24"/>
          <w:szCs w:val="24"/>
        </w:rPr>
        <w:t xml:space="preserve">principally </w:t>
      </w:r>
      <w:r w:rsidR="00A53D00" w:rsidRPr="00830A35">
        <w:rPr>
          <w:rFonts w:ascii="Times New Roman" w:hAnsi="Times New Roman" w:cs="Times New Roman"/>
          <w:sz w:val="24"/>
          <w:szCs w:val="24"/>
        </w:rPr>
        <w:t>responsive to the work of those that have gone</w:t>
      </w:r>
      <w:r w:rsidR="0053024F">
        <w:rPr>
          <w:rFonts w:ascii="Times New Roman" w:hAnsi="Times New Roman" w:cs="Times New Roman"/>
          <w:sz w:val="24"/>
          <w:szCs w:val="24"/>
        </w:rPr>
        <w:t xml:space="preserve"> before. As such, it presents a</w:t>
      </w:r>
      <w:r w:rsidR="00A53D00" w:rsidRPr="00830A35">
        <w:rPr>
          <w:rFonts w:ascii="Times New Roman" w:hAnsi="Times New Roman" w:cs="Times New Roman"/>
          <w:sz w:val="24"/>
          <w:szCs w:val="24"/>
        </w:rPr>
        <w:t xml:space="preserve"> </w:t>
      </w:r>
      <w:r w:rsidR="002C4083">
        <w:rPr>
          <w:rFonts w:ascii="Times New Roman" w:hAnsi="Times New Roman" w:cs="Times New Roman"/>
          <w:sz w:val="24"/>
          <w:szCs w:val="24"/>
        </w:rPr>
        <w:t>good</w:t>
      </w:r>
      <w:r w:rsidR="00A53D00" w:rsidRPr="00830A35">
        <w:rPr>
          <w:rFonts w:ascii="Times New Roman" w:hAnsi="Times New Roman" w:cs="Times New Roman"/>
          <w:sz w:val="24"/>
          <w:szCs w:val="24"/>
        </w:rPr>
        <w:t xml:space="preserve"> review of the core literature in the field, and engages sufficiently to move the discussion forwa</w:t>
      </w:r>
      <w:r w:rsidR="00B42B68">
        <w:rPr>
          <w:rFonts w:ascii="Times New Roman" w:hAnsi="Times New Roman" w:cs="Times New Roman"/>
          <w:sz w:val="24"/>
          <w:szCs w:val="24"/>
        </w:rPr>
        <w:t xml:space="preserve">rd, albeit in a modest fashion – with the notable exception of the final chapter where the individualisation of </w:t>
      </w:r>
      <w:r w:rsidR="002C4083">
        <w:rPr>
          <w:rFonts w:ascii="Times New Roman" w:hAnsi="Times New Roman" w:cs="Times New Roman"/>
          <w:sz w:val="24"/>
          <w:szCs w:val="24"/>
        </w:rPr>
        <w:t xml:space="preserve">health protection through the use of </w:t>
      </w:r>
      <w:r w:rsidR="00B42B68">
        <w:rPr>
          <w:rFonts w:ascii="Times New Roman" w:hAnsi="Times New Roman" w:cs="Times New Roman"/>
          <w:sz w:val="24"/>
          <w:szCs w:val="24"/>
        </w:rPr>
        <w:t xml:space="preserve">health </w:t>
      </w:r>
      <w:r w:rsidR="009B69A6">
        <w:rPr>
          <w:rFonts w:ascii="Times New Roman" w:hAnsi="Times New Roman" w:cs="Times New Roman"/>
          <w:sz w:val="24"/>
          <w:szCs w:val="24"/>
        </w:rPr>
        <w:t>impact assessments</w:t>
      </w:r>
      <w:r w:rsidR="00B42B68">
        <w:rPr>
          <w:rFonts w:ascii="Times New Roman" w:hAnsi="Times New Roman" w:cs="Times New Roman"/>
          <w:sz w:val="24"/>
          <w:szCs w:val="24"/>
        </w:rPr>
        <w:t xml:space="preserve"> is raised.</w:t>
      </w:r>
      <w:r w:rsidR="002C4083">
        <w:rPr>
          <w:rFonts w:ascii="Times New Roman" w:hAnsi="Times New Roman" w:cs="Times New Roman"/>
          <w:sz w:val="24"/>
          <w:szCs w:val="24"/>
        </w:rPr>
        <w:t xml:space="preserve"> </w:t>
      </w:r>
      <w:r w:rsidR="00C764E8">
        <w:rPr>
          <w:rFonts w:ascii="Times New Roman" w:hAnsi="Times New Roman" w:cs="Times New Roman"/>
          <w:sz w:val="24"/>
          <w:szCs w:val="24"/>
        </w:rPr>
        <w:t>This is a</w:t>
      </w:r>
      <w:r w:rsidR="002C0ABD">
        <w:rPr>
          <w:rFonts w:ascii="Times New Roman" w:hAnsi="Times New Roman" w:cs="Times New Roman"/>
          <w:sz w:val="24"/>
          <w:szCs w:val="24"/>
        </w:rPr>
        <w:t>n</w:t>
      </w:r>
      <w:r w:rsidR="00C764E8">
        <w:rPr>
          <w:rFonts w:ascii="Times New Roman" w:hAnsi="Times New Roman" w:cs="Times New Roman"/>
          <w:sz w:val="24"/>
          <w:szCs w:val="24"/>
        </w:rPr>
        <w:t xml:space="preserve"> </w:t>
      </w:r>
      <w:r w:rsidR="002C0ABD">
        <w:rPr>
          <w:rFonts w:ascii="Times New Roman" w:hAnsi="Times New Roman" w:cs="Times New Roman"/>
          <w:sz w:val="24"/>
          <w:szCs w:val="24"/>
        </w:rPr>
        <w:t>innovative</w:t>
      </w:r>
      <w:r w:rsidR="00C764E8">
        <w:rPr>
          <w:rFonts w:ascii="Times New Roman" w:hAnsi="Times New Roman" w:cs="Times New Roman"/>
          <w:sz w:val="24"/>
          <w:szCs w:val="24"/>
        </w:rPr>
        <w:t xml:space="preserve"> approach that would have benefitted from greater space within the book to explore further. No doubt it will be part of a future line of investigation but only coming late in the book and briefly it </w:t>
      </w:r>
      <w:r w:rsidR="002C0ABD">
        <w:rPr>
          <w:rFonts w:ascii="Times New Roman" w:hAnsi="Times New Roman" w:cs="Times New Roman"/>
          <w:sz w:val="24"/>
          <w:szCs w:val="24"/>
        </w:rPr>
        <w:t>whets</w:t>
      </w:r>
      <w:r w:rsidR="00C764E8">
        <w:rPr>
          <w:rFonts w:ascii="Times New Roman" w:hAnsi="Times New Roman" w:cs="Times New Roman"/>
          <w:sz w:val="24"/>
          <w:szCs w:val="24"/>
        </w:rPr>
        <w:t xml:space="preserve"> the appetite </w:t>
      </w:r>
      <w:r w:rsidR="002C0ABD">
        <w:rPr>
          <w:rFonts w:ascii="Times New Roman" w:hAnsi="Times New Roman" w:cs="Times New Roman"/>
          <w:sz w:val="24"/>
          <w:szCs w:val="24"/>
        </w:rPr>
        <w:t>rather than provides</w:t>
      </w:r>
      <w:r w:rsidR="00C764E8">
        <w:rPr>
          <w:rFonts w:ascii="Times New Roman" w:hAnsi="Times New Roman" w:cs="Times New Roman"/>
          <w:sz w:val="24"/>
          <w:szCs w:val="24"/>
        </w:rPr>
        <w:t xml:space="preserve"> a comprehensive account of the possibilities of such a system.</w:t>
      </w:r>
    </w:p>
    <w:p w:rsidR="00C178A8" w:rsidRDefault="00C178A8" w:rsidP="00EC464B">
      <w:pPr>
        <w:jc w:val="both"/>
        <w:rPr>
          <w:rFonts w:ascii="Times New Roman" w:hAnsi="Times New Roman" w:cs="Times New Roman"/>
          <w:sz w:val="24"/>
          <w:szCs w:val="24"/>
        </w:rPr>
      </w:pPr>
    </w:p>
    <w:p w:rsidR="0052294D" w:rsidRPr="00830A35" w:rsidRDefault="009B69A6" w:rsidP="00EC464B">
      <w:pPr>
        <w:jc w:val="both"/>
        <w:rPr>
          <w:rFonts w:ascii="Times New Roman" w:hAnsi="Times New Roman" w:cs="Times New Roman"/>
          <w:sz w:val="24"/>
          <w:szCs w:val="24"/>
        </w:rPr>
      </w:pPr>
      <w:r>
        <w:rPr>
          <w:rFonts w:ascii="Times New Roman" w:hAnsi="Times New Roman" w:cs="Times New Roman"/>
          <w:sz w:val="24"/>
          <w:szCs w:val="24"/>
        </w:rPr>
        <w:t xml:space="preserve">Though </w:t>
      </w:r>
      <w:proofErr w:type="gramStart"/>
      <w:r w:rsidR="00C764E8" w:rsidRPr="005A0653">
        <w:rPr>
          <w:rFonts w:ascii="Times New Roman" w:hAnsi="Times New Roman" w:cs="Times New Roman"/>
          <w:i/>
          <w:sz w:val="24"/>
          <w:szCs w:val="24"/>
        </w:rPr>
        <w:t>The</w:t>
      </w:r>
      <w:proofErr w:type="gramEnd"/>
      <w:r w:rsidR="00C764E8" w:rsidRPr="005A0653">
        <w:rPr>
          <w:rFonts w:ascii="Times New Roman" w:hAnsi="Times New Roman" w:cs="Times New Roman"/>
          <w:i/>
          <w:sz w:val="24"/>
          <w:szCs w:val="24"/>
        </w:rPr>
        <w:t xml:space="preserve"> Human Right to Health and its Relation to the WTO</w:t>
      </w:r>
      <w:r w:rsidR="00C764E8">
        <w:rPr>
          <w:rFonts w:ascii="Times New Roman" w:hAnsi="Times New Roman" w:cs="Times New Roman"/>
          <w:sz w:val="24"/>
          <w:szCs w:val="24"/>
        </w:rPr>
        <w:t xml:space="preserve"> </w:t>
      </w:r>
      <w:r w:rsidR="002B21DD" w:rsidRPr="00830A35">
        <w:rPr>
          <w:rFonts w:ascii="Times New Roman" w:hAnsi="Times New Roman" w:cs="Times New Roman"/>
          <w:sz w:val="24"/>
          <w:szCs w:val="24"/>
        </w:rPr>
        <w:t xml:space="preserve">is lacking in some detail on the primary sources, preferring to point readers to established secondary </w:t>
      </w:r>
      <w:r>
        <w:rPr>
          <w:rFonts w:ascii="Times New Roman" w:hAnsi="Times New Roman" w:cs="Times New Roman"/>
          <w:sz w:val="24"/>
          <w:szCs w:val="24"/>
        </w:rPr>
        <w:t>sources</w:t>
      </w:r>
      <w:r w:rsidR="00C764E8">
        <w:rPr>
          <w:rFonts w:ascii="Times New Roman" w:hAnsi="Times New Roman" w:cs="Times New Roman"/>
          <w:sz w:val="24"/>
          <w:szCs w:val="24"/>
        </w:rPr>
        <w:t>,</w:t>
      </w:r>
      <w:r>
        <w:rPr>
          <w:rFonts w:ascii="Times New Roman" w:hAnsi="Times New Roman" w:cs="Times New Roman"/>
          <w:sz w:val="24"/>
          <w:szCs w:val="24"/>
        </w:rPr>
        <w:t xml:space="preserve"> </w:t>
      </w:r>
      <w:r w:rsidR="004A13B4">
        <w:rPr>
          <w:rFonts w:ascii="Times New Roman" w:hAnsi="Times New Roman" w:cs="Times New Roman"/>
          <w:sz w:val="24"/>
          <w:szCs w:val="24"/>
        </w:rPr>
        <w:t xml:space="preserve">it is nonetheless </w:t>
      </w:r>
      <w:r w:rsidRPr="00830A35">
        <w:rPr>
          <w:rFonts w:ascii="Times New Roman" w:hAnsi="Times New Roman" w:cs="Times New Roman"/>
          <w:sz w:val="24"/>
          <w:szCs w:val="24"/>
        </w:rPr>
        <w:t xml:space="preserve">an excellent resource for those seeking to enter the now increasingly </w:t>
      </w:r>
      <w:r>
        <w:rPr>
          <w:rFonts w:ascii="Times New Roman" w:hAnsi="Times New Roman" w:cs="Times New Roman"/>
          <w:sz w:val="24"/>
          <w:szCs w:val="24"/>
        </w:rPr>
        <w:t xml:space="preserve">diverse </w:t>
      </w:r>
      <w:r w:rsidRPr="00830A35">
        <w:rPr>
          <w:rFonts w:ascii="Times New Roman" w:hAnsi="Times New Roman" w:cs="Times New Roman"/>
          <w:sz w:val="24"/>
          <w:szCs w:val="24"/>
        </w:rPr>
        <w:t xml:space="preserve">space of trade </w:t>
      </w:r>
      <w:r>
        <w:rPr>
          <w:rFonts w:ascii="Times New Roman" w:hAnsi="Times New Roman" w:cs="Times New Roman"/>
          <w:sz w:val="24"/>
          <w:szCs w:val="24"/>
        </w:rPr>
        <w:t xml:space="preserve">law </w:t>
      </w:r>
      <w:r w:rsidRPr="00830A35">
        <w:rPr>
          <w:rFonts w:ascii="Times New Roman" w:hAnsi="Times New Roman" w:cs="Times New Roman"/>
          <w:sz w:val="24"/>
          <w:szCs w:val="24"/>
        </w:rPr>
        <w:t xml:space="preserve">and </w:t>
      </w:r>
      <w:r>
        <w:rPr>
          <w:rFonts w:ascii="Times New Roman" w:hAnsi="Times New Roman" w:cs="Times New Roman"/>
          <w:sz w:val="24"/>
          <w:szCs w:val="24"/>
        </w:rPr>
        <w:t xml:space="preserve">public </w:t>
      </w:r>
      <w:r w:rsidRPr="00830A35">
        <w:rPr>
          <w:rFonts w:ascii="Times New Roman" w:hAnsi="Times New Roman" w:cs="Times New Roman"/>
          <w:sz w:val="24"/>
          <w:szCs w:val="24"/>
        </w:rPr>
        <w:t xml:space="preserve">health. </w:t>
      </w:r>
      <w:r>
        <w:rPr>
          <w:rFonts w:ascii="Times New Roman" w:hAnsi="Times New Roman" w:cs="Times New Roman"/>
          <w:sz w:val="24"/>
          <w:szCs w:val="24"/>
        </w:rPr>
        <w:t xml:space="preserve">The </w:t>
      </w:r>
      <w:r w:rsidR="002B21DD" w:rsidRPr="00830A35">
        <w:rPr>
          <w:rFonts w:ascii="Times New Roman" w:hAnsi="Times New Roman" w:cs="Times New Roman"/>
          <w:sz w:val="24"/>
          <w:szCs w:val="24"/>
        </w:rPr>
        <w:t xml:space="preserve">core concepts </w:t>
      </w:r>
      <w:r>
        <w:rPr>
          <w:rFonts w:ascii="Times New Roman" w:hAnsi="Times New Roman" w:cs="Times New Roman"/>
          <w:sz w:val="24"/>
          <w:szCs w:val="24"/>
        </w:rPr>
        <w:t>are conveyed clearly and concisely, and the author is able to communicate complex ideas in an accessible manner.</w:t>
      </w:r>
      <w:r w:rsidR="00C764E8">
        <w:rPr>
          <w:rFonts w:ascii="Times New Roman" w:hAnsi="Times New Roman" w:cs="Times New Roman"/>
          <w:sz w:val="24"/>
          <w:szCs w:val="24"/>
        </w:rPr>
        <w:t xml:space="preserve"> </w:t>
      </w:r>
      <w:r>
        <w:rPr>
          <w:rFonts w:ascii="Times New Roman" w:hAnsi="Times New Roman" w:cs="Times New Roman"/>
          <w:sz w:val="24"/>
          <w:szCs w:val="24"/>
        </w:rPr>
        <w:t xml:space="preserve">These strengths are </w:t>
      </w:r>
      <w:r w:rsidR="00BC2B1F" w:rsidRPr="00830A35">
        <w:rPr>
          <w:rFonts w:ascii="Times New Roman" w:hAnsi="Times New Roman" w:cs="Times New Roman"/>
          <w:sz w:val="24"/>
          <w:szCs w:val="24"/>
        </w:rPr>
        <w:t xml:space="preserve">also visible in the positioning of the text as a work of public international law scholarship </w:t>
      </w:r>
      <w:r w:rsidR="00BC2B1F" w:rsidRPr="002C0ABD">
        <w:rPr>
          <w:rFonts w:ascii="Times New Roman" w:hAnsi="Times New Roman" w:cs="Times New Roman"/>
          <w:sz w:val="24"/>
          <w:szCs w:val="24"/>
        </w:rPr>
        <w:t>within which</w:t>
      </w:r>
      <w:r>
        <w:rPr>
          <w:rFonts w:ascii="Times New Roman" w:hAnsi="Times New Roman" w:cs="Times New Roman"/>
          <w:sz w:val="24"/>
          <w:szCs w:val="24"/>
        </w:rPr>
        <w:t xml:space="preserve"> </w:t>
      </w:r>
      <w:r w:rsidR="00BC2B1F" w:rsidRPr="00830A35">
        <w:rPr>
          <w:rFonts w:ascii="Times New Roman" w:hAnsi="Times New Roman" w:cs="Times New Roman"/>
          <w:sz w:val="24"/>
          <w:szCs w:val="24"/>
        </w:rPr>
        <w:t xml:space="preserve">the WTO </w:t>
      </w:r>
      <w:r>
        <w:rPr>
          <w:rFonts w:ascii="Times New Roman" w:hAnsi="Times New Roman" w:cs="Times New Roman"/>
          <w:sz w:val="24"/>
          <w:szCs w:val="24"/>
        </w:rPr>
        <w:t xml:space="preserve">legal order </w:t>
      </w:r>
      <w:r w:rsidR="00BC2B1F" w:rsidRPr="00830A35">
        <w:rPr>
          <w:rFonts w:ascii="Times New Roman" w:hAnsi="Times New Roman" w:cs="Times New Roman"/>
          <w:sz w:val="24"/>
          <w:szCs w:val="24"/>
        </w:rPr>
        <w:t>and its relation</w:t>
      </w:r>
      <w:r>
        <w:rPr>
          <w:rFonts w:ascii="Times New Roman" w:hAnsi="Times New Roman" w:cs="Times New Roman"/>
          <w:sz w:val="24"/>
          <w:szCs w:val="24"/>
        </w:rPr>
        <w:t>ship</w:t>
      </w:r>
      <w:r w:rsidR="00BC2B1F" w:rsidRPr="00830A35">
        <w:rPr>
          <w:rFonts w:ascii="Times New Roman" w:hAnsi="Times New Roman" w:cs="Times New Roman"/>
          <w:sz w:val="24"/>
          <w:szCs w:val="24"/>
        </w:rPr>
        <w:t xml:space="preserve"> to the right to health</w:t>
      </w:r>
      <w:r w:rsidR="007A4F50">
        <w:rPr>
          <w:rFonts w:ascii="Times New Roman" w:hAnsi="Times New Roman" w:cs="Times New Roman"/>
          <w:sz w:val="24"/>
          <w:szCs w:val="24"/>
        </w:rPr>
        <w:t xml:space="preserve"> sits</w:t>
      </w:r>
      <w:r w:rsidR="00BC2B1F" w:rsidRPr="00830A35">
        <w:rPr>
          <w:rFonts w:ascii="Times New Roman" w:hAnsi="Times New Roman" w:cs="Times New Roman"/>
          <w:sz w:val="24"/>
          <w:szCs w:val="24"/>
        </w:rPr>
        <w:t xml:space="preserve">. As such, </w:t>
      </w:r>
      <w:proofErr w:type="spellStart"/>
      <w:r w:rsidR="00BC2B1F" w:rsidRPr="00830A35">
        <w:rPr>
          <w:rFonts w:ascii="Times New Roman" w:hAnsi="Times New Roman" w:cs="Times New Roman"/>
          <w:sz w:val="24"/>
          <w:szCs w:val="24"/>
        </w:rPr>
        <w:t>Baumstark</w:t>
      </w:r>
      <w:proofErr w:type="spellEnd"/>
      <w:r w:rsidR="00BC2B1F" w:rsidRPr="00830A35">
        <w:rPr>
          <w:rFonts w:ascii="Times New Roman" w:hAnsi="Times New Roman" w:cs="Times New Roman"/>
          <w:sz w:val="24"/>
          <w:szCs w:val="24"/>
        </w:rPr>
        <w:t xml:space="preserve"> frames the human rights dimensions of the international legal order, the systemic public international law elements relating to custom and interpretative practices, and the primary rules of WTO law that overlap with health policy. </w:t>
      </w:r>
      <w:r w:rsidR="00120380">
        <w:rPr>
          <w:rFonts w:ascii="Times New Roman" w:hAnsi="Times New Roman" w:cs="Times New Roman"/>
          <w:sz w:val="24"/>
          <w:szCs w:val="24"/>
        </w:rPr>
        <w:t xml:space="preserve">It is not an easy task given the Venn diagram one could </w:t>
      </w:r>
      <w:r w:rsidR="00491B6D">
        <w:rPr>
          <w:rFonts w:ascii="Times New Roman" w:hAnsi="Times New Roman" w:cs="Times New Roman"/>
          <w:sz w:val="24"/>
          <w:szCs w:val="24"/>
        </w:rPr>
        <w:t xml:space="preserve">draw of ‘human rights and public health’, ‘human rights and the WTO’, ‘WTO and public health’, and indeed ‘WTO as a regime of public international law’ literature, and </w:t>
      </w:r>
      <w:proofErr w:type="spellStart"/>
      <w:r w:rsidR="00491B6D">
        <w:rPr>
          <w:rFonts w:ascii="Times New Roman" w:hAnsi="Times New Roman" w:cs="Times New Roman"/>
          <w:sz w:val="24"/>
          <w:szCs w:val="24"/>
        </w:rPr>
        <w:t>Baumstark</w:t>
      </w:r>
      <w:proofErr w:type="spellEnd"/>
      <w:r w:rsidR="00491B6D">
        <w:rPr>
          <w:rFonts w:ascii="Times New Roman" w:hAnsi="Times New Roman" w:cs="Times New Roman"/>
          <w:sz w:val="24"/>
          <w:szCs w:val="24"/>
        </w:rPr>
        <w:t xml:space="preserve"> does this with no shortage of skill. </w:t>
      </w:r>
    </w:p>
    <w:p w:rsidR="00BC2B1F" w:rsidRDefault="00BC2B1F" w:rsidP="00EC464B">
      <w:pPr>
        <w:jc w:val="both"/>
        <w:rPr>
          <w:rFonts w:ascii="Times New Roman" w:hAnsi="Times New Roman" w:cs="Times New Roman"/>
          <w:sz w:val="24"/>
          <w:szCs w:val="24"/>
        </w:rPr>
      </w:pPr>
    </w:p>
    <w:p w:rsidR="00C764E8" w:rsidRDefault="002B21DD" w:rsidP="00EC464B">
      <w:pPr>
        <w:jc w:val="both"/>
        <w:rPr>
          <w:rFonts w:ascii="Times New Roman" w:hAnsi="Times New Roman" w:cs="Times New Roman"/>
          <w:sz w:val="24"/>
          <w:szCs w:val="24"/>
        </w:rPr>
      </w:pPr>
      <w:r w:rsidRPr="00830A35">
        <w:rPr>
          <w:rFonts w:ascii="Times New Roman" w:hAnsi="Times New Roman" w:cs="Times New Roman"/>
          <w:sz w:val="24"/>
          <w:szCs w:val="24"/>
        </w:rPr>
        <w:t>The book is short, clear, and accessible in terms of cost (something academic writing is not well known for). As an introductory text, it is a welcome addition</w:t>
      </w:r>
      <w:r w:rsidR="00491B6D">
        <w:rPr>
          <w:rFonts w:ascii="Times New Roman" w:hAnsi="Times New Roman" w:cs="Times New Roman"/>
          <w:sz w:val="24"/>
          <w:szCs w:val="24"/>
        </w:rPr>
        <w:t xml:space="preserve"> and, w</w:t>
      </w:r>
      <w:r w:rsidR="00BC2B1F" w:rsidRPr="00830A35">
        <w:rPr>
          <w:rFonts w:ascii="Times New Roman" w:hAnsi="Times New Roman" w:cs="Times New Roman"/>
          <w:sz w:val="24"/>
          <w:szCs w:val="24"/>
        </w:rPr>
        <w:t>hile not moving</w:t>
      </w:r>
      <w:r w:rsidR="008B005C" w:rsidRPr="00830A35">
        <w:rPr>
          <w:rFonts w:ascii="Times New Roman" w:hAnsi="Times New Roman" w:cs="Times New Roman"/>
          <w:sz w:val="24"/>
          <w:szCs w:val="24"/>
        </w:rPr>
        <w:t xml:space="preserve"> the ground of debate, it does an admirable job of bringing those wishing to enter the field up to speed and providing them with the basic conceptual tools with which to approach this </w:t>
      </w:r>
      <w:r w:rsidR="00C764E8">
        <w:rPr>
          <w:rFonts w:ascii="Times New Roman" w:hAnsi="Times New Roman" w:cs="Times New Roman"/>
          <w:sz w:val="24"/>
          <w:szCs w:val="24"/>
        </w:rPr>
        <w:t>developing sub-</w:t>
      </w:r>
      <w:r w:rsidR="00182BBA" w:rsidRPr="00830A35">
        <w:rPr>
          <w:rFonts w:ascii="Times New Roman" w:hAnsi="Times New Roman" w:cs="Times New Roman"/>
          <w:sz w:val="24"/>
          <w:szCs w:val="24"/>
        </w:rPr>
        <w:t>discipline.</w:t>
      </w:r>
      <w:r w:rsidR="00491B6D">
        <w:rPr>
          <w:rFonts w:ascii="Times New Roman" w:hAnsi="Times New Roman" w:cs="Times New Roman"/>
          <w:sz w:val="24"/>
          <w:szCs w:val="24"/>
        </w:rPr>
        <w:t xml:space="preserve"> </w:t>
      </w:r>
    </w:p>
    <w:p w:rsidR="00250870" w:rsidRDefault="00250870" w:rsidP="00EC464B">
      <w:pPr>
        <w:jc w:val="both"/>
        <w:rPr>
          <w:rFonts w:ascii="Times New Roman" w:hAnsi="Times New Roman" w:cs="Times New Roman"/>
          <w:sz w:val="24"/>
          <w:szCs w:val="24"/>
        </w:rPr>
      </w:pPr>
    </w:p>
    <w:p w:rsidR="00250870" w:rsidRPr="00830A35" w:rsidRDefault="007A4F50" w:rsidP="00250870">
      <w:pPr>
        <w:jc w:val="both"/>
        <w:rPr>
          <w:rFonts w:ascii="Times New Roman" w:hAnsi="Times New Roman" w:cs="Times New Roman"/>
          <w:sz w:val="24"/>
          <w:szCs w:val="24"/>
        </w:rPr>
      </w:pPr>
      <w:r>
        <w:rPr>
          <w:rFonts w:ascii="Times New Roman" w:hAnsi="Times New Roman" w:cs="Times New Roman"/>
          <w:sz w:val="24"/>
          <w:szCs w:val="24"/>
        </w:rPr>
        <w:t xml:space="preserve">In McGrady’s conclusion, he identifies </w:t>
      </w:r>
      <w:r w:rsidR="00250870">
        <w:rPr>
          <w:rFonts w:ascii="Times New Roman" w:hAnsi="Times New Roman" w:cs="Times New Roman"/>
          <w:sz w:val="24"/>
          <w:szCs w:val="24"/>
        </w:rPr>
        <w:t xml:space="preserve">indeterminacy </w:t>
      </w:r>
      <w:r>
        <w:rPr>
          <w:rFonts w:ascii="Times New Roman" w:hAnsi="Times New Roman" w:cs="Times New Roman"/>
          <w:sz w:val="24"/>
          <w:szCs w:val="24"/>
        </w:rPr>
        <w:t xml:space="preserve">of rules as a </w:t>
      </w:r>
      <w:r w:rsidR="00250870">
        <w:rPr>
          <w:rFonts w:ascii="Times New Roman" w:hAnsi="Times New Roman" w:cs="Times New Roman"/>
          <w:sz w:val="24"/>
          <w:szCs w:val="24"/>
        </w:rPr>
        <w:t xml:space="preserve">key challenge: </w:t>
      </w:r>
      <w:r>
        <w:rPr>
          <w:rFonts w:ascii="Times New Roman" w:hAnsi="Times New Roman" w:cs="Times New Roman"/>
          <w:sz w:val="24"/>
          <w:szCs w:val="24"/>
        </w:rPr>
        <w:t xml:space="preserve">the WTO texts are open to interpretation and it is only with the increased clarity provided by </w:t>
      </w:r>
      <w:r w:rsidR="00250870">
        <w:rPr>
          <w:rFonts w:ascii="Times New Roman" w:hAnsi="Times New Roman" w:cs="Times New Roman"/>
          <w:sz w:val="24"/>
          <w:szCs w:val="24"/>
        </w:rPr>
        <w:t xml:space="preserve">panels and the </w:t>
      </w:r>
      <w:r>
        <w:rPr>
          <w:rFonts w:ascii="Times New Roman" w:hAnsi="Times New Roman" w:cs="Times New Roman"/>
          <w:sz w:val="24"/>
          <w:szCs w:val="24"/>
        </w:rPr>
        <w:t>Appellate Body that we have been able to progressively approach a balance between the pursuit of health protection and the avoidance of health protectionism.</w:t>
      </w:r>
      <w:r>
        <w:rPr>
          <w:rStyle w:val="FootnoteReference"/>
          <w:rFonts w:ascii="Times New Roman" w:eastAsia="Times New Roman" w:hAnsi="Times New Roman" w:cs="Times New Roman"/>
          <w:color w:val="000000"/>
          <w:sz w:val="24"/>
          <w:szCs w:val="24"/>
        </w:rPr>
        <w:footnoteReference w:id="30"/>
      </w:r>
      <w:r w:rsidR="00BC1782">
        <w:rPr>
          <w:rFonts w:ascii="Times New Roman" w:hAnsi="Times New Roman" w:cs="Times New Roman"/>
          <w:sz w:val="24"/>
          <w:szCs w:val="24"/>
        </w:rPr>
        <w:t xml:space="preserve"> Given the perilous current status of the Appellate Body, and the question marks this leaves over the WTO’s dispute settlement system as a whole, increased work by scholars in clarifying the law and providing glosses on key issues will be central. </w:t>
      </w:r>
    </w:p>
    <w:p w:rsidR="00250870" w:rsidRDefault="00250870" w:rsidP="00EC464B">
      <w:pPr>
        <w:jc w:val="both"/>
        <w:rPr>
          <w:rFonts w:ascii="Times New Roman" w:hAnsi="Times New Roman" w:cs="Times New Roman"/>
          <w:sz w:val="24"/>
          <w:szCs w:val="24"/>
        </w:rPr>
      </w:pPr>
    </w:p>
    <w:p w:rsidR="003B2F40" w:rsidRDefault="00BC1782" w:rsidP="00EC46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8932A7">
        <w:rPr>
          <w:rFonts w:ascii="Times New Roman" w:hAnsi="Times New Roman" w:cs="Times New Roman"/>
          <w:sz w:val="24"/>
          <w:szCs w:val="24"/>
        </w:rPr>
        <w:t xml:space="preserve">attention has </w:t>
      </w:r>
      <w:r w:rsidR="00250870">
        <w:rPr>
          <w:rFonts w:ascii="Times New Roman" w:hAnsi="Times New Roman" w:cs="Times New Roman"/>
          <w:sz w:val="24"/>
          <w:szCs w:val="24"/>
        </w:rPr>
        <w:t xml:space="preserve">recently </w:t>
      </w:r>
      <w:r w:rsidR="008932A7">
        <w:rPr>
          <w:rFonts w:ascii="Times New Roman" w:hAnsi="Times New Roman" w:cs="Times New Roman"/>
          <w:sz w:val="24"/>
          <w:szCs w:val="24"/>
        </w:rPr>
        <w:t xml:space="preserve">shifted to the role of international investment law </w:t>
      </w:r>
      <w:r>
        <w:rPr>
          <w:rFonts w:ascii="Times New Roman" w:hAnsi="Times New Roman" w:cs="Times New Roman"/>
          <w:sz w:val="24"/>
          <w:szCs w:val="24"/>
        </w:rPr>
        <w:t xml:space="preserve">in public health protection policies </w:t>
      </w:r>
      <w:r w:rsidR="008932A7">
        <w:rPr>
          <w:rFonts w:ascii="Times New Roman" w:hAnsi="Times New Roman" w:cs="Times New Roman"/>
          <w:sz w:val="24"/>
          <w:szCs w:val="24"/>
        </w:rPr>
        <w:t xml:space="preserve">(in particular since the Uruguay arbitration), the WTO still plays a key role in both empowering and providing certainty for members who will want to regulate to protect public health, as well as providing avenues for others to dissuade them. Rather than seeking dramatic legal reform which, given the WTO’s current status, seems unlikely in the near-to-medium future, comprehensive legal analysis and education is instead where the greatest good can be achieved. </w:t>
      </w:r>
      <w:r w:rsidR="00FC5E0C">
        <w:rPr>
          <w:rFonts w:ascii="Times New Roman" w:hAnsi="Times New Roman" w:cs="Times New Roman"/>
          <w:sz w:val="24"/>
          <w:szCs w:val="24"/>
        </w:rPr>
        <w:t xml:space="preserve">It is in seeking to build such a project that these works are signposts for continued research and investigation. </w:t>
      </w:r>
    </w:p>
    <w:sectPr w:rsidR="003B2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C73" w:rsidRDefault="00363C73" w:rsidP="00AF67FF">
      <w:r>
        <w:separator/>
      </w:r>
    </w:p>
  </w:endnote>
  <w:endnote w:type="continuationSeparator" w:id="0">
    <w:p w:rsidR="00363C73" w:rsidRDefault="00363C73" w:rsidP="00AF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C73" w:rsidRDefault="00363C73" w:rsidP="00AF67FF">
      <w:r>
        <w:separator/>
      </w:r>
    </w:p>
  </w:footnote>
  <w:footnote w:type="continuationSeparator" w:id="0">
    <w:p w:rsidR="00363C73" w:rsidRDefault="00363C73" w:rsidP="00AF67FF">
      <w:r>
        <w:continuationSeparator/>
      </w:r>
    </w:p>
  </w:footnote>
  <w:footnote w:id="1">
    <w:p w:rsidR="00AF67FF" w:rsidRPr="00475BA9" w:rsidRDefault="00AF67FF">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w:t>
      </w:r>
      <w:r w:rsidR="00406C32" w:rsidRPr="00475BA9">
        <w:rPr>
          <w:rFonts w:ascii="Times New Roman" w:hAnsi="Times New Roman" w:cs="Times New Roman"/>
        </w:rPr>
        <w:t>‘Transforming Our World: The 2030 Agenda for Sustainable Development’, GA Res 70/1, UN Doc. A/Res/70/1 (25 September 2015).</w:t>
      </w:r>
    </w:p>
  </w:footnote>
  <w:footnote w:id="2">
    <w:p w:rsidR="000B3A6B" w:rsidRPr="00475BA9" w:rsidRDefault="000B3A6B" w:rsidP="003B1DF7">
      <w:pPr>
        <w:pStyle w:val="FootnoteText"/>
        <w:rPr>
          <w:rFonts w:ascii="Times New Roman" w:hAnsi="Times New Roman" w:cs="Times New Roman"/>
        </w:rPr>
      </w:pPr>
      <w:r w:rsidRPr="00475BA9">
        <w:rPr>
          <w:rStyle w:val="FootnoteReference"/>
          <w:rFonts w:ascii="Times New Roman" w:hAnsi="Times New Roman" w:cs="Times New Roman"/>
        </w:rPr>
        <w:footnoteRef/>
      </w:r>
      <w:r w:rsidR="004A5D85" w:rsidRPr="00475BA9">
        <w:rPr>
          <w:rFonts w:ascii="Times New Roman" w:hAnsi="Times New Roman" w:cs="Times New Roman"/>
        </w:rPr>
        <w:t xml:space="preserve"> See: </w:t>
      </w:r>
      <w:r w:rsidR="00A14A3A" w:rsidRPr="00475BA9">
        <w:rPr>
          <w:rFonts w:ascii="Times New Roman" w:hAnsi="Times New Roman" w:cs="Times New Roman"/>
        </w:rPr>
        <w:t>Article 12</w:t>
      </w:r>
      <w:r w:rsidR="003B1DF7" w:rsidRPr="00475BA9">
        <w:rPr>
          <w:rFonts w:ascii="Times New Roman" w:hAnsi="Times New Roman" w:cs="Times New Roman"/>
        </w:rPr>
        <w:t xml:space="preserve"> International Covenant on Economic, Social and Cultural Rights 1966 (993 UNTS 3); </w:t>
      </w:r>
      <w:proofErr w:type="gramStart"/>
      <w:r w:rsidR="004A5D85" w:rsidRPr="00475BA9">
        <w:rPr>
          <w:rFonts w:ascii="Times New Roman" w:hAnsi="Times New Roman" w:cs="Times New Roman"/>
        </w:rPr>
        <w:t>A</w:t>
      </w:r>
      <w:proofErr w:type="gramEnd"/>
      <w:r w:rsidR="004A5D85" w:rsidRPr="00475BA9">
        <w:rPr>
          <w:rFonts w:ascii="Times New Roman" w:hAnsi="Times New Roman" w:cs="Times New Roman"/>
        </w:rPr>
        <w:t xml:space="preserve"> Eide ‘The Right to Adequate Food as a Human Right’, (7 July 1987) E/CN.4/Sub.2/1987/23. A recent analysis is presented in T </w:t>
      </w:r>
      <w:proofErr w:type="spellStart"/>
      <w:r w:rsidR="004A5D85" w:rsidRPr="00475BA9">
        <w:rPr>
          <w:rFonts w:ascii="Times New Roman" w:hAnsi="Times New Roman" w:cs="Times New Roman"/>
        </w:rPr>
        <w:t>Voon</w:t>
      </w:r>
      <w:proofErr w:type="spellEnd"/>
      <w:r w:rsidR="004A5D85" w:rsidRPr="00475BA9">
        <w:rPr>
          <w:rFonts w:ascii="Times New Roman" w:hAnsi="Times New Roman" w:cs="Times New Roman"/>
        </w:rPr>
        <w:t xml:space="preserve"> &amp; A Mitchell, ‘Community Interests and the Right to Health in Trade and Investment Law’, in E </w:t>
      </w:r>
      <w:proofErr w:type="spellStart"/>
      <w:r w:rsidR="004A5D85" w:rsidRPr="00475BA9">
        <w:rPr>
          <w:rFonts w:ascii="Times New Roman" w:hAnsi="Times New Roman" w:cs="Times New Roman"/>
        </w:rPr>
        <w:t>Benvenisti</w:t>
      </w:r>
      <w:proofErr w:type="spellEnd"/>
      <w:r w:rsidR="004A5D85" w:rsidRPr="00475BA9">
        <w:rPr>
          <w:rFonts w:ascii="Times New Roman" w:hAnsi="Times New Roman" w:cs="Times New Roman"/>
        </w:rPr>
        <w:t xml:space="preserve"> &amp; G Nolte (</w:t>
      </w:r>
      <w:proofErr w:type="spellStart"/>
      <w:r w:rsidR="004A5D85" w:rsidRPr="00475BA9">
        <w:rPr>
          <w:rFonts w:ascii="Times New Roman" w:hAnsi="Times New Roman" w:cs="Times New Roman"/>
        </w:rPr>
        <w:t>eds</w:t>
      </w:r>
      <w:proofErr w:type="spellEnd"/>
      <w:r w:rsidR="004A5D85" w:rsidRPr="00475BA9">
        <w:rPr>
          <w:rFonts w:ascii="Times New Roman" w:hAnsi="Times New Roman" w:cs="Times New Roman"/>
        </w:rPr>
        <w:t xml:space="preserve">), </w:t>
      </w:r>
      <w:r w:rsidR="004A5D85" w:rsidRPr="00475BA9">
        <w:rPr>
          <w:rFonts w:ascii="Times New Roman" w:hAnsi="Times New Roman" w:cs="Times New Roman"/>
          <w:i/>
        </w:rPr>
        <w:t>Community Interests Across International Law</w:t>
      </w:r>
      <w:r w:rsidR="004A5D85" w:rsidRPr="00475BA9">
        <w:rPr>
          <w:rFonts w:ascii="Times New Roman" w:hAnsi="Times New Roman" w:cs="Times New Roman"/>
        </w:rPr>
        <w:t xml:space="preserve"> (OUP 2018).</w:t>
      </w:r>
    </w:p>
  </w:footnote>
  <w:footnote w:id="3">
    <w:p w:rsidR="00F236F3" w:rsidRPr="00475BA9" w:rsidRDefault="00F236F3">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This review will focus principally on trade law, though an increasingly detailed literature also exists with regard to the role of international investment law in the field of public health protection.</w:t>
      </w:r>
    </w:p>
  </w:footnote>
  <w:footnote w:id="4">
    <w:p w:rsidR="000A3F2B" w:rsidRPr="00475BA9" w:rsidRDefault="000A3F2B">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For a brief overview, see: </w:t>
      </w:r>
      <w:r w:rsidR="00F4553B" w:rsidRPr="00475BA9">
        <w:rPr>
          <w:rFonts w:ascii="Times New Roman" w:hAnsi="Times New Roman" w:cs="Times New Roman"/>
        </w:rPr>
        <w:t>WHO &amp; WTO, ‘WTO Agreements and Public Health: A joint study by the WHO and WTO Secretariat’ (2002) available at &lt; http://www.who.int/media/homepage/en/who_wto_e.pdf?ua=1&gt; accessed 1</w:t>
      </w:r>
      <w:r w:rsidR="00F4553B" w:rsidRPr="00475BA9">
        <w:rPr>
          <w:rFonts w:ascii="Times New Roman" w:hAnsi="Times New Roman" w:cs="Times New Roman"/>
          <w:vertAlign w:val="superscript"/>
        </w:rPr>
        <w:t>st</w:t>
      </w:r>
      <w:r w:rsidR="00F4553B" w:rsidRPr="00475BA9">
        <w:rPr>
          <w:rFonts w:ascii="Times New Roman" w:hAnsi="Times New Roman" w:cs="Times New Roman"/>
        </w:rPr>
        <w:t xml:space="preserve"> September 2018.</w:t>
      </w:r>
      <w:r w:rsidR="00B40962" w:rsidRPr="00475BA9">
        <w:rPr>
          <w:rFonts w:ascii="Times New Roman" w:hAnsi="Times New Roman" w:cs="Times New Roman"/>
        </w:rPr>
        <w:t xml:space="preserve"> For a critical response: R </w:t>
      </w:r>
      <w:proofErr w:type="spellStart"/>
      <w:r w:rsidR="00B40962" w:rsidRPr="00475BA9">
        <w:rPr>
          <w:rFonts w:ascii="Times New Roman" w:hAnsi="Times New Roman" w:cs="Times New Roman"/>
        </w:rPr>
        <w:t>Howse</w:t>
      </w:r>
      <w:proofErr w:type="spellEnd"/>
      <w:r w:rsidR="00B40962" w:rsidRPr="00475BA9">
        <w:rPr>
          <w:rFonts w:ascii="Times New Roman" w:hAnsi="Times New Roman" w:cs="Times New Roman"/>
        </w:rPr>
        <w:t xml:space="preserve">, ‘The WHO/WTO Study on Trade and Public Health: A Critical Assessment’, 24 </w:t>
      </w:r>
      <w:r w:rsidR="00B40962" w:rsidRPr="00475BA9">
        <w:rPr>
          <w:rFonts w:ascii="Times New Roman" w:hAnsi="Times New Roman" w:cs="Times New Roman"/>
          <w:i/>
        </w:rPr>
        <w:t>Risk Analysis</w:t>
      </w:r>
      <w:r w:rsidR="00B40962" w:rsidRPr="00475BA9">
        <w:rPr>
          <w:rFonts w:ascii="Times New Roman" w:hAnsi="Times New Roman" w:cs="Times New Roman"/>
        </w:rPr>
        <w:t xml:space="preserve"> 4 (2004) 501.</w:t>
      </w:r>
    </w:p>
  </w:footnote>
  <w:footnote w:id="5">
    <w:p w:rsidR="000C3B8B" w:rsidRPr="00475BA9" w:rsidRDefault="000C3B8B" w:rsidP="00AA32FF">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w:t>
      </w:r>
      <w:r w:rsidR="00AA32FF" w:rsidRPr="00475BA9">
        <w:rPr>
          <w:rFonts w:ascii="Times New Roman" w:hAnsi="Times New Roman" w:cs="Times New Roman"/>
        </w:rPr>
        <w:t>See paras 33-42, Political declaration of the High-level Meeting of the General Assembly on the Prevention and Control of Non-communicable Diseases, as adopted by GA Res 66/2, UN Doc. A/Res/66/2 (24 January 2012).</w:t>
      </w:r>
    </w:p>
  </w:footnote>
  <w:footnote w:id="6">
    <w:p w:rsidR="000C3B8B" w:rsidRPr="00475BA9" w:rsidRDefault="000C3B8B">
      <w:pPr>
        <w:pStyle w:val="FootnoteText"/>
        <w:rPr>
          <w:rFonts w:ascii="Times New Roman" w:hAnsi="Times New Roman" w:cs="Times New Roman"/>
        </w:rPr>
      </w:pPr>
      <w:r w:rsidRPr="00475BA9">
        <w:rPr>
          <w:rStyle w:val="FootnoteReference"/>
          <w:rFonts w:ascii="Times New Roman" w:hAnsi="Times New Roman" w:cs="Times New Roman"/>
        </w:rPr>
        <w:footnoteRef/>
      </w:r>
      <w:r w:rsidR="00A14A3A" w:rsidRPr="00475BA9">
        <w:rPr>
          <w:rFonts w:ascii="Times New Roman" w:hAnsi="Times New Roman" w:cs="Times New Roman"/>
        </w:rPr>
        <w:t xml:space="preserve"> Note the volume of literature commenting on, for example, the </w:t>
      </w:r>
      <w:r w:rsidR="00AA32FF" w:rsidRPr="00475BA9">
        <w:rPr>
          <w:rFonts w:ascii="Times New Roman" w:hAnsi="Times New Roman" w:cs="Times New Roman"/>
        </w:rPr>
        <w:t>beef h</w:t>
      </w:r>
      <w:r w:rsidR="00A14A3A" w:rsidRPr="00475BA9">
        <w:rPr>
          <w:rFonts w:ascii="Times New Roman" w:hAnsi="Times New Roman" w:cs="Times New Roman"/>
        </w:rPr>
        <w:t>ormones saga.</w:t>
      </w:r>
      <w:r w:rsidR="002A130D" w:rsidRPr="00475BA9">
        <w:rPr>
          <w:rFonts w:ascii="Times New Roman" w:hAnsi="Times New Roman" w:cs="Times New Roman"/>
        </w:rPr>
        <w:t xml:space="preserve"> </w:t>
      </w:r>
    </w:p>
  </w:footnote>
  <w:footnote w:id="7">
    <w:p w:rsidR="000C3B8B" w:rsidRPr="00475BA9" w:rsidRDefault="000C3B8B">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w:t>
      </w:r>
      <w:r w:rsidR="002A130D" w:rsidRPr="00475BA9">
        <w:rPr>
          <w:rFonts w:ascii="Times New Roman" w:hAnsi="Times New Roman" w:cs="Times New Roman"/>
        </w:rPr>
        <w:t xml:space="preserve">It is interesting that in a special issue on Health and the WTO of this journal in 2002, the contributions focussed principally on IP protection, with a prescient exception examining the tacit deference demonstrated by the WTO on health matters: M Gregg </w:t>
      </w:r>
      <w:proofErr w:type="spellStart"/>
      <w:r w:rsidR="002A130D" w:rsidRPr="00475BA9">
        <w:rPr>
          <w:rFonts w:ascii="Times New Roman" w:hAnsi="Times New Roman" w:cs="Times New Roman"/>
        </w:rPr>
        <w:t>Bloche</w:t>
      </w:r>
      <w:proofErr w:type="spellEnd"/>
      <w:r w:rsidR="002A130D" w:rsidRPr="00475BA9">
        <w:rPr>
          <w:rFonts w:ascii="Times New Roman" w:hAnsi="Times New Roman" w:cs="Times New Roman"/>
        </w:rPr>
        <w:t xml:space="preserve">, ‘WTO Deference to National Health Policy: Toward an Interpretative Principle’ </w:t>
      </w:r>
      <w:r w:rsidR="002A130D" w:rsidRPr="00475BA9">
        <w:rPr>
          <w:rFonts w:ascii="Times New Roman" w:hAnsi="Times New Roman" w:cs="Times New Roman"/>
          <w:i/>
        </w:rPr>
        <w:t xml:space="preserve">JIEL </w:t>
      </w:r>
      <w:r w:rsidR="002A130D" w:rsidRPr="00475BA9">
        <w:rPr>
          <w:rFonts w:ascii="Times New Roman" w:hAnsi="Times New Roman" w:cs="Times New Roman"/>
        </w:rPr>
        <w:t>(2002) 825.</w:t>
      </w:r>
    </w:p>
  </w:footnote>
  <w:footnote w:id="8">
    <w:p w:rsidR="009619A1" w:rsidRPr="00475BA9" w:rsidRDefault="003B067B" w:rsidP="009619A1">
      <w:pPr>
        <w:pStyle w:val="FootnoteText"/>
        <w:rPr>
          <w:rFonts w:ascii="Times New Roman" w:hAnsi="Times New Roman" w:cs="Times New Roman"/>
        </w:rPr>
      </w:pPr>
      <w:r w:rsidRPr="00475BA9">
        <w:rPr>
          <w:rStyle w:val="FootnoteReference"/>
          <w:rFonts w:ascii="Times New Roman" w:hAnsi="Times New Roman" w:cs="Times New Roman"/>
        </w:rPr>
        <w:footnoteRef/>
      </w:r>
      <w:r w:rsidR="0087699D" w:rsidRPr="00475BA9">
        <w:rPr>
          <w:rFonts w:ascii="Times New Roman" w:hAnsi="Times New Roman" w:cs="Times New Roman"/>
        </w:rPr>
        <w:t xml:space="preserve"> On tariff bindings and </w:t>
      </w:r>
      <w:r w:rsidR="009619A1" w:rsidRPr="00475BA9">
        <w:rPr>
          <w:rFonts w:ascii="Times New Roman" w:hAnsi="Times New Roman" w:cs="Times New Roman"/>
        </w:rPr>
        <w:t>sche</w:t>
      </w:r>
      <w:r w:rsidR="0087699D" w:rsidRPr="00475BA9">
        <w:rPr>
          <w:rFonts w:ascii="Times New Roman" w:hAnsi="Times New Roman" w:cs="Times New Roman"/>
        </w:rPr>
        <w:t>duled commitments, the commonly discussed example of Samoa is instructive</w:t>
      </w:r>
      <w:r w:rsidR="009619A1" w:rsidRPr="00475BA9">
        <w:rPr>
          <w:rFonts w:ascii="Times New Roman" w:hAnsi="Times New Roman" w:cs="Times New Roman"/>
        </w:rPr>
        <w:t xml:space="preserve"> where Samoa’s desire to restrict the import of turkey tails (meat cuts particularly high in fat) to combat obesity was challenged by exporting Members</w:t>
      </w:r>
      <w:r w:rsidR="0087699D" w:rsidRPr="00475BA9">
        <w:rPr>
          <w:rFonts w:ascii="Times New Roman" w:hAnsi="Times New Roman" w:cs="Times New Roman"/>
        </w:rPr>
        <w:t xml:space="preserve">. See: </w:t>
      </w:r>
      <w:r w:rsidR="009619A1" w:rsidRPr="00475BA9">
        <w:rPr>
          <w:rFonts w:ascii="Times New Roman" w:hAnsi="Times New Roman" w:cs="Times New Roman"/>
        </w:rPr>
        <w:t>Report of the Working Party on the Accession of Samoa to the World Trade Organization, WT/ACC/SAM/30 (1 November 2011), paras 102-106.</w:t>
      </w:r>
    </w:p>
    <w:p w:rsidR="003B067B" w:rsidRPr="00475BA9" w:rsidRDefault="009619A1" w:rsidP="009619A1">
      <w:pPr>
        <w:pStyle w:val="FootnoteText"/>
        <w:rPr>
          <w:rFonts w:ascii="Times New Roman" w:hAnsi="Times New Roman" w:cs="Times New Roman"/>
        </w:rPr>
      </w:pPr>
      <w:r w:rsidRPr="00475BA9">
        <w:rPr>
          <w:rFonts w:ascii="Times New Roman" w:hAnsi="Times New Roman" w:cs="Times New Roman"/>
        </w:rPr>
        <w:t>on the WTO accession negotiations of Samoa</w:t>
      </w:r>
    </w:p>
  </w:footnote>
  <w:footnote w:id="9">
    <w:p w:rsidR="00627AA8" w:rsidRPr="00475BA9" w:rsidRDefault="00627AA8">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B McGrady,</w:t>
      </w:r>
      <w:r w:rsidRPr="00475BA9">
        <w:rPr>
          <w:rFonts w:ascii="Times New Roman" w:hAnsi="Times New Roman" w:cs="Times New Roman"/>
          <w:i/>
        </w:rPr>
        <w:t xml:space="preserve"> Trade and Public Health: The WTO, Tobacco, Alcohol, and Diet</w:t>
      </w:r>
      <w:r w:rsidRPr="00475BA9">
        <w:rPr>
          <w:rFonts w:ascii="Times New Roman" w:hAnsi="Times New Roman" w:cs="Times New Roman"/>
        </w:rPr>
        <w:t xml:space="preserve"> (</w:t>
      </w:r>
      <w:r w:rsidR="00D95912" w:rsidRPr="00475BA9">
        <w:rPr>
          <w:rFonts w:ascii="Times New Roman" w:hAnsi="Times New Roman" w:cs="Times New Roman"/>
        </w:rPr>
        <w:t xml:space="preserve">CUP </w:t>
      </w:r>
      <w:r w:rsidRPr="00475BA9">
        <w:rPr>
          <w:rFonts w:ascii="Times New Roman" w:hAnsi="Times New Roman" w:cs="Times New Roman"/>
        </w:rPr>
        <w:t>2011)</w:t>
      </w:r>
    </w:p>
  </w:footnote>
  <w:footnote w:id="10">
    <w:p w:rsidR="00D95912" w:rsidRPr="00475BA9" w:rsidRDefault="00D95912">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The seminal critique of the oppositional view in linkage debates was not published until 2007</w:t>
      </w:r>
      <w:r w:rsidR="002476E3" w:rsidRPr="00475BA9">
        <w:rPr>
          <w:rFonts w:ascii="Times New Roman" w:hAnsi="Times New Roman" w:cs="Times New Roman"/>
        </w:rPr>
        <w:t>:</w:t>
      </w:r>
      <w:r w:rsidRPr="00475BA9">
        <w:rPr>
          <w:rFonts w:ascii="Times New Roman" w:hAnsi="Times New Roman" w:cs="Times New Roman"/>
        </w:rPr>
        <w:t xml:space="preserve"> A Lang, ‘Reflecting on “Linkage”: Cognitive and Institutional Change in The International Trading System’, 70 </w:t>
      </w:r>
      <w:r w:rsidRPr="00475BA9">
        <w:rPr>
          <w:rFonts w:ascii="Times New Roman" w:hAnsi="Times New Roman" w:cs="Times New Roman"/>
          <w:i/>
        </w:rPr>
        <w:t xml:space="preserve">Modern Law Review </w:t>
      </w:r>
      <w:r w:rsidRPr="00475BA9">
        <w:rPr>
          <w:rFonts w:ascii="Times New Roman" w:hAnsi="Times New Roman" w:cs="Times New Roman"/>
        </w:rPr>
        <w:t>4 (2007) 523.</w:t>
      </w:r>
    </w:p>
  </w:footnote>
  <w:footnote w:id="11">
    <w:p w:rsidR="001C403B" w:rsidRPr="00475BA9" w:rsidRDefault="001C403B" w:rsidP="00D16BEC">
      <w:pPr>
        <w:pStyle w:val="FootnoteText"/>
        <w:rPr>
          <w:rFonts w:ascii="Times New Roman" w:hAnsi="Times New Roman" w:cs="Times New Roman"/>
        </w:rPr>
      </w:pPr>
      <w:r w:rsidRPr="00475BA9">
        <w:rPr>
          <w:rStyle w:val="FootnoteReference"/>
          <w:rFonts w:ascii="Times New Roman" w:hAnsi="Times New Roman" w:cs="Times New Roman"/>
        </w:rPr>
        <w:footnoteRef/>
      </w:r>
      <w:r w:rsidR="00A274E3" w:rsidRPr="00475BA9">
        <w:rPr>
          <w:rFonts w:ascii="Times New Roman" w:hAnsi="Times New Roman" w:cs="Times New Roman"/>
        </w:rPr>
        <w:t xml:space="preserve"> </w:t>
      </w:r>
      <w:r w:rsidR="00D16BEC" w:rsidRPr="00475BA9">
        <w:rPr>
          <w:rFonts w:ascii="Times New Roman" w:hAnsi="Times New Roman" w:cs="Times New Roman"/>
        </w:rPr>
        <w:t xml:space="preserve">Paradigmatically: H </w:t>
      </w:r>
      <w:proofErr w:type="spellStart"/>
      <w:r w:rsidR="00D16BEC" w:rsidRPr="00475BA9">
        <w:rPr>
          <w:rFonts w:ascii="Times New Roman" w:hAnsi="Times New Roman" w:cs="Times New Roman"/>
        </w:rPr>
        <w:t>Hestermeyer</w:t>
      </w:r>
      <w:proofErr w:type="spellEnd"/>
      <w:r w:rsidR="00D16BEC" w:rsidRPr="00475BA9">
        <w:rPr>
          <w:rFonts w:ascii="Times New Roman" w:hAnsi="Times New Roman" w:cs="Times New Roman"/>
        </w:rPr>
        <w:t xml:space="preserve">, </w:t>
      </w:r>
      <w:r w:rsidR="00D16BEC" w:rsidRPr="00475BA9">
        <w:rPr>
          <w:rFonts w:ascii="Times New Roman" w:hAnsi="Times New Roman" w:cs="Times New Roman"/>
          <w:i/>
        </w:rPr>
        <w:t>Human Rights and the WTO: The Case of Patents and Access to Medicines</w:t>
      </w:r>
      <w:r w:rsidR="00D16BEC" w:rsidRPr="00475BA9">
        <w:rPr>
          <w:rFonts w:ascii="Times New Roman" w:hAnsi="Times New Roman" w:cs="Times New Roman"/>
        </w:rPr>
        <w:t xml:space="preserve"> (OUP 2007). </w:t>
      </w:r>
    </w:p>
  </w:footnote>
  <w:footnote w:id="12">
    <w:p w:rsidR="00A274E3" w:rsidRPr="00475BA9" w:rsidRDefault="00A274E3">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For </w:t>
      </w:r>
      <w:r w:rsidR="00D16BEC" w:rsidRPr="00475BA9">
        <w:rPr>
          <w:rFonts w:ascii="Times New Roman" w:hAnsi="Times New Roman" w:cs="Times New Roman"/>
        </w:rPr>
        <w:t xml:space="preserve">example: A Garde, </w:t>
      </w:r>
      <w:r w:rsidR="00D16BEC" w:rsidRPr="00475BA9">
        <w:rPr>
          <w:rFonts w:ascii="Times New Roman" w:hAnsi="Times New Roman" w:cs="Times New Roman"/>
          <w:i/>
        </w:rPr>
        <w:t>EU Law and Obesity Prevention</w:t>
      </w:r>
      <w:r w:rsidR="00D16BEC" w:rsidRPr="00475BA9">
        <w:rPr>
          <w:rFonts w:ascii="Times New Roman" w:hAnsi="Times New Roman" w:cs="Times New Roman"/>
        </w:rPr>
        <w:t xml:space="preserve"> (Kluwer</w:t>
      </w:r>
      <w:r w:rsidR="00917250" w:rsidRPr="00475BA9">
        <w:rPr>
          <w:rFonts w:ascii="Times New Roman" w:hAnsi="Times New Roman" w:cs="Times New Roman"/>
        </w:rPr>
        <w:t xml:space="preserve"> 2010);</w:t>
      </w:r>
      <w:r w:rsidR="00D16BEC" w:rsidRPr="00475BA9">
        <w:rPr>
          <w:rFonts w:ascii="Times New Roman" w:hAnsi="Times New Roman" w:cs="Times New Roman"/>
        </w:rPr>
        <w:t xml:space="preserve"> </w:t>
      </w:r>
      <w:proofErr w:type="gramStart"/>
      <w:r w:rsidR="00D16BEC" w:rsidRPr="00475BA9">
        <w:rPr>
          <w:rFonts w:ascii="Times New Roman" w:hAnsi="Times New Roman" w:cs="Times New Roman"/>
        </w:rPr>
        <w:t>A</w:t>
      </w:r>
      <w:proofErr w:type="gramEnd"/>
      <w:r w:rsidR="00D16BEC" w:rsidRPr="00475BA9">
        <w:rPr>
          <w:rFonts w:ascii="Times New Roman" w:hAnsi="Times New Roman" w:cs="Times New Roman"/>
        </w:rPr>
        <w:t xml:space="preserve"> </w:t>
      </w:r>
      <w:proofErr w:type="spellStart"/>
      <w:r w:rsidR="00D16BEC" w:rsidRPr="00475BA9">
        <w:rPr>
          <w:rFonts w:ascii="Times New Roman" w:hAnsi="Times New Roman" w:cs="Times New Roman"/>
        </w:rPr>
        <w:t>Alemanno</w:t>
      </w:r>
      <w:proofErr w:type="spellEnd"/>
      <w:r w:rsidR="00D16BEC" w:rsidRPr="00475BA9">
        <w:rPr>
          <w:rFonts w:ascii="Times New Roman" w:hAnsi="Times New Roman" w:cs="Times New Roman"/>
        </w:rPr>
        <w:t xml:space="preserve"> &amp; A Garde, </w:t>
      </w:r>
      <w:r w:rsidR="00D16BEC" w:rsidRPr="00475BA9">
        <w:rPr>
          <w:rFonts w:ascii="Times New Roman" w:hAnsi="Times New Roman" w:cs="Times New Roman"/>
          <w:i/>
        </w:rPr>
        <w:t>Regulating Lifestyle Risks: The EU, Alcohol, Tobacco, and Unhealthy Diets</w:t>
      </w:r>
      <w:r w:rsidR="00917250" w:rsidRPr="00475BA9">
        <w:rPr>
          <w:rFonts w:ascii="Times New Roman" w:hAnsi="Times New Roman" w:cs="Times New Roman"/>
        </w:rPr>
        <w:t xml:space="preserve"> (CUP 2015); and </w:t>
      </w:r>
      <w:r w:rsidR="00967647" w:rsidRPr="00475BA9">
        <w:rPr>
          <w:rFonts w:ascii="Times New Roman" w:hAnsi="Times New Roman" w:cs="Times New Roman"/>
        </w:rPr>
        <w:t xml:space="preserve">a broader selection to be found in T </w:t>
      </w:r>
      <w:proofErr w:type="spellStart"/>
      <w:r w:rsidR="00967647" w:rsidRPr="00475BA9">
        <w:rPr>
          <w:rFonts w:ascii="Times New Roman" w:hAnsi="Times New Roman" w:cs="Times New Roman"/>
        </w:rPr>
        <w:t>Voon</w:t>
      </w:r>
      <w:proofErr w:type="spellEnd"/>
      <w:r w:rsidR="00967647" w:rsidRPr="00475BA9">
        <w:rPr>
          <w:rFonts w:ascii="Times New Roman" w:hAnsi="Times New Roman" w:cs="Times New Roman"/>
        </w:rPr>
        <w:t>, A Mitchell, &amp; J Liberman (</w:t>
      </w:r>
      <w:proofErr w:type="spellStart"/>
      <w:r w:rsidR="00967647" w:rsidRPr="00475BA9">
        <w:rPr>
          <w:rFonts w:ascii="Times New Roman" w:hAnsi="Times New Roman" w:cs="Times New Roman"/>
        </w:rPr>
        <w:t>eds</w:t>
      </w:r>
      <w:proofErr w:type="spellEnd"/>
      <w:r w:rsidR="00967647" w:rsidRPr="00475BA9">
        <w:rPr>
          <w:rFonts w:ascii="Times New Roman" w:hAnsi="Times New Roman" w:cs="Times New Roman"/>
        </w:rPr>
        <w:t xml:space="preserve">), </w:t>
      </w:r>
      <w:r w:rsidR="00967647" w:rsidRPr="00475BA9">
        <w:rPr>
          <w:rFonts w:ascii="Times New Roman" w:hAnsi="Times New Roman" w:cs="Times New Roman"/>
          <w:i/>
        </w:rPr>
        <w:t>Regulating Tobacco, Alcohol and Unhealthy Foods: The Legal Issues</w:t>
      </w:r>
      <w:r w:rsidR="00967647" w:rsidRPr="00475BA9">
        <w:rPr>
          <w:rFonts w:ascii="Times New Roman" w:hAnsi="Times New Roman" w:cs="Times New Roman"/>
        </w:rPr>
        <w:t xml:space="preserve"> (Routledge 2014).</w:t>
      </w:r>
      <w:r w:rsidR="00154E3A" w:rsidRPr="00475BA9">
        <w:rPr>
          <w:rFonts w:ascii="Times New Roman" w:hAnsi="Times New Roman" w:cs="Times New Roman"/>
        </w:rPr>
        <w:t xml:space="preserve"> See also: D Gleeson &amp; S Friel, ‘Emerging Threats to Public Health from Regional Trade Agreements’, 381 </w:t>
      </w:r>
      <w:r w:rsidR="00154E3A" w:rsidRPr="00475BA9">
        <w:rPr>
          <w:rFonts w:ascii="Times New Roman" w:hAnsi="Times New Roman" w:cs="Times New Roman"/>
          <w:i/>
        </w:rPr>
        <w:t>The Lancet</w:t>
      </w:r>
      <w:r w:rsidR="00154E3A" w:rsidRPr="00475BA9">
        <w:rPr>
          <w:rFonts w:ascii="Times New Roman" w:hAnsi="Times New Roman" w:cs="Times New Roman"/>
        </w:rPr>
        <w:t xml:space="preserve"> 9876 (2013) 1507.</w:t>
      </w:r>
    </w:p>
  </w:footnote>
  <w:footnote w:id="13">
    <w:p w:rsidR="00D01826" w:rsidRPr="00475BA9" w:rsidRDefault="00D01826">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w:t>
      </w:r>
      <w:r w:rsidR="00BD2625" w:rsidRPr="00475BA9">
        <w:rPr>
          <w:rFonts w:ascii="Times New Roman" w:hAnsi="Times New Roman" w:cs="Times New Roman"/>
        </w:rPr>
        <w:t>McGrady (n</w:t>
      </w:r>
      <w:r w:rsidR="00BD2625" w:rsidRPr="00475BA9">
        <w:rPr>
          <w:rFonts w:ascii="Times New Roman" w:hAnsi="Times New Roman" w:cs="Times New Roman"/>
        </w:rPr>
        <w:fldChar w:fldCharType="begin"/>
      </w:r>
      <w:r w:rsidR="00BD2625" w:rsidRPr="00475BA9">
        <w:rPr>
          <w:rFonts w:ascii="Times New Roman" w:hAnsi="Times New Roman" w:cs="Times New Roman"/>
        </w:rPr>
        <w:instrText xml:space="preserve"> NOTEREF _Ref523570610 \h </w:instrText>
      </w:r>
      <w:r w:rsidR="00BD2625" w:rsidRPr="00475BA9">
        <w:rPr>
          <w:rFonts w:ascii="Times New Roman" w:hAnsi="Times New Roman" w:cs="Times New Roman"/>
        </w:rPr>
      </w:r>
      <w:r w:rsidR="00250870" w:rsidRPr="00475BA9">
        <w:rPr>
          <w:rFonts w:ascii="Times New Roman" w:hAnsi="Times New Roman" w:cs="Times New Roman"/>
        </w:rPr>
        <w:instrText xml:space="preserve"> \* MERGEFORMAT </w:instrText>
      </w:r>
      <w:r w:rsidR="00BD2625" w:rsidRPr="00475BA9">
        <w:rPr>
          <w:rFonts w:ascii="Times New Roman" w:hAnsi="Times New Roman" w:cs="Times New Roman"/>
        </w:rPr>
        <w:fldChar w:fldCharType="separate"/>
      </w:r>
      <w:r w:rsidR="00BD2625" w:rsidRPr="00475BA9">
        <w:rPr>
          <w:rFonts w:ascii="Times New Roman" w:hAnsi="Times New Roman" w:cs="Times New Roman"/>
        </w:rPr>
        <w:t>8</w:t>
      </w:r>
      <w:r w:rsidR="00BD2625" w:rsidRPr="00475BA9">
        <w:rPr>
          <w:rFonts w:ascii="Times New Roman" w:hAnsi="Times New Roman" w:cs="Times New Roman"/>
        </w:rPr>
        <w:fldChar w:fldCharType="end"/>
      </w:r>
      <w:r w:rsidR="00E45320" w:rsidRPr="00475BA9">
        <w:rPr>
          <w:rFonts w:ascii="Times New Roman" w:hAnsi="Times New Roman" w:cs="Times New Roman"/>
        </w:rPr>
        <w:t>) 178-180</w:t>
      </w:r>
      <w:r w:rsidR="00BD2625" w:rsidRPr="00475BA9">
        <w:rPr>
          <w:rFonts w:ascii="Times New Roman" w:hAnsi="Times New Roman" w:cs="Times New Roman"/>
        </w:rPr>
        <w:t>.</w:t>
      </w:r>
    </w:p>
  </w:footnote>
  <w:footnote w:id="14">
    <w:p w:rsidR="00C54AAD" w:rsidRPr="00475BA9" w:rsidRDefault="00C54AAD" w:rsidP="00C54AAD">
      <w:pPr>
        <w:pStyle w:val="NormalWeb"/>
        <w:rPr>
          <w:sz w:val="20"/>
          <w:szCs w:val="20"/>
        </w:rPr>
      </w:pPr>
      <w:r w:rsidRPr="00475BA9">
        <w:rPr>
          <w:rStyle w:val="FootnoteReference"/>
          <w:sz w:val="20"/>
          <w:szCs w:val="20"/>
        </w:rPr>
        <w:footnoteRef/>
      </w:r>
      <w:r w:rsidRPr="00475BA9">
        <w:rPr>
          <w:sz w:val="20"/>
          <w:szCs w:val="20"/>
        </w:rPr>
        <w:t xml:space="preserve"> </w:t>
      </w:r>
      <w:r w:rsidRPr="00475BA9">
        <w:rPr>
          <w:i/>
          <w:iCs/>
          <w:sz w:val="20"/>
          <w:szCs w:val="20"/>
        </w:rPr>
        <w:t xml:space="preserve">EC–Biotech </w:t>
      </w:r>
      <w:r w:rsidRPr="00475BA9">
        <w:rPr>
          <w:sz w:val="20"/>
          <w:szCs w:val="20"/>
        </w:rPr>
        <w:t>(</w:t>
      </w:r>
      <w:r w:rsidRPr="00475BA9">
        <w:rPr>
          <w:i/>
          <w:iCs/>
          <w:sz w:val="20"/>
          <w:szCs w:val="20"/>
        </w:rPr>
        <w:t>European Communities)—Measures Affecting the Approval and Marketing of Biotech Products</w:t>
      </w:r>
      <w:r w:rsidRPr="00475BA9">
        <w:rPr>
          <w:sz w:val="20"/>
          <w:szCs w:val="20"/>
        </w:rPr>
        <w:t>, Panel Report (26 September 2006) WT/ DS291,292,293/R</w:t>
      </w:r>
      <w:r w:rsidRPr="00475BA9">
        <w:rPr>
          <w:sz w:val="20"/>
          <w:szCs w:val="20"/>
        </w:rPr>
        <w:t>, para 7.301.</w:t>
      </w:r>
    </w:p>
  </w:footnote>
  <w:footnote w:id="15">
    <w:p w:rsidR="00D52039" w:rsidRPr="00475BA9" w:rsidRDefault="00D52039">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w:t>
      </w:r>
      <w:r w:rsidR="008F1341" w:rsidRPr="00475BA9">
        <w:rPr>
          <w:rFonts w:ascii="Times New Roman" w:hAnsi="Times New Roman" w:cs="Times New Roman"/>
        </w:rPr>
        <w:t xml:space="preserve">For accounts that question the strength of regulatory chill: </w:t>
      </w:r>
      <w:r w:rsidRPr="00475BA9">
        <w:rPr>
          <w:rFonts w:ascii="Times New Roman" w:hAnsi="Times New Roman" w:cs="Times New Roman"/>
        </w:rPr>
        <w:t xml:space="preserve">SW </w:t>
      </w:r>
      <w:proofErr w:type="spellStart"/>
      <w:r w:rsidRPr="00475BA9">
        <w:rPr>
          <w:rFonts w:ascii="Times New Roman" w:hAnsi="Times New Roman" w:cs="Times New Roman"/>
        </w:rPr>
        <w:t>Schill</w:t>
      </w:r>
      <w:proofErr w:type="spellEnd"/>
      <w:r w:rsidRPr="00475BA9">
        <w:rPr>
          <w:rFonts w:ascii="Times New Roman" w:hAnsi="Times New Roman" w:cs="Times New Roman"/>
        </w:rPr>
        <w:t xml:space="preserve">, ‘Do Investment Treaties Chill Unilateral State Regulation to Mitigate Climate Change?’, 24 </w:t>
      </w:r>
      <w:r w:rsidRPr="00475BA9">
        <w:rPr>
          <w:rFonts w:ascii="Times New Roman" w:hAnsi="Times New Roman" w:cs="Times New Roman"/>
          <w:i/>
        </w:rPr>
        <w:t>Journal of International Arbitration</w:t>
      </w:r>
      <w:r w:rsidRPr="00475BA9">
        <w:rPr>
          <w:rFonts w:ascii="Times New Roman" w:hAnsi="Times New Roman" w:cs="Times New Roman"/>
        </w:rPr>
        <w:t xml:space="preserve"> 5</w:t>
      </w:r>
      <w:r w:rsidR="00B36830" w:rsidRPr="00475BA9">
        <w:rPr>
          <w:rFonts w:ascii="Times New Roman" w:hAnsi="Times New Roman" w:cs="Times New Roman"/>
        </w:rPr>
        <w:t xml:space="preserve"> (2007) 469; C </w:t>
      </w:r>
      <w:proofErr w:type="spellStart"/>
      <w:r w:rsidR="00B36830" w:rsidRPr="00475BA9">
        <w:rPr>
          <w:rFonts w:ascii="Times New Roman" w:hAnsi="Times New Roman" w:cs="Times New Roman"/>
        </w:rPr>
        <w:t>Tietje</w:t>
      </w:r>
      <w:proofErr w:type="spellEnd"/>
      <w:r w:rsidR="00B36830" w:rsidRPr="00475BA9">
        <w:rPr>
          <w:rFonts w:ascii="Times New Roman" w:hAnsi="Times New Roman" w:cs="Times New Roman"/>
        </w:rPr>
        <w:t xml:space="preserve"> &amp; F </w:t>
      </w:r>
      <w:proofErr w:type="spellStart"/>
      <w:r w:rsidR="00B36830" w:rsidRPr="00475BA9">
        <w:rPr>
          <w:rFonts w:ascii="Times New Roman" w:hAnsi="Times New Roman" w:cs="Times New Roman"/>
        </w:rPr>
        <w:t>Baetens</w:t>
      </w:r>
      <w:proofErr w:type="spellEnd"/>
      <w:r w:rsidR="00B36830" w:rsidRPr="00475BA9">
        <w:rPr>
          <w:rFonts w:ascii="Times New Roman" w:hAnsi="Times New Roman" w:cs="Times New Roman"/>
        </w:rPr>
        <w:t xml:space="preserve">, ‘The Impact of Investor-State-Dispute Settlement (ISDS) in the Transatlantic Trade and Investment Partnership’, Study Prepared for the Ministry of Foreign Affairs of the Netherlands, (2014) </w:t>
      </w:r>
      <w:r w:rsidR="003E635F" w:rsidRPr="00475BA9">
        <w:rPr>
          <w:rFonts w:ascii="Times New Roman" w:hAnsi="Times New Roman" w:cs="Times New Roman"/>
        </w:rPr>
        <w:t xml:space="preserve">39-48, </w:t>
      </w:r>
      <w:r w:rsidR="00B36830" w:rsidRPr="00475BA9">
        <w:rPr>
          <w:rFonts w:ascii="Times New Roman" w:hAnsi="Times New Roman" w:cs="Times New Roman"/>
        </w:rPr>
        <w:t>available at: &lt;https://www.rijksoverheid.nl/documenten/rapporten/2014/06/24/the-impact-of-investor-state-dispute-settlement-isds-in-the-ttip&gt; accessed 1 September 2018.</w:t>
      </w:r>
      <w:r w:rsidR="0096266D" w:rsidRPr="00475BA9">
        <w:rPr>
          <w:rFonts w:ascii="Times New Roman" w:hAnsi="Times New Roman" w:cs="Times New Roman"/>
        </w:rPr>
        <w:t xml:space="preserve"> For the most current nuanced discussion on the difficulties of examining </w:t>
      </w:r>
      <w:r w:rsidR="001851A7" w:rsidRPr="00475BA9">
        <w:rPr>
          <w:rFonts w:ascii="Times New Roman" w:hAnsi="Times New Roman" w:cs="Times New Roman"/>
        </w:rPr>
        <w:t xml:space="preserve">regulatory chill: J </w:t>
      </w:r>
      <w:proofErr w:type="spellStart"/>
      <w:r w:rsidR="001851A7" w:rsidRPr="00475BA9">
        <w:rPr>
          <w:rFonts w:ascii="Times New Roman" w:hAnsi="Times New Roman" w:cs="Times New Roman"/>
        </w:rPr>
        <w:t>Bonnitcha</w:t>
      </w:r>
      <w:proofErr w:type="spellEnd"/>
      <w:r w:rsidR="001851A7" w:rsidRPr="00475BA9">
        <w:rPr>
          <w:rFonts w:ascii="Times New Roman" w:hAnsi="Times New Roman" w:cs="Times New Roman"/>
        </w:rPr>
        <w:t>, L</w:t>
      </w:r>
      <w:r w:rsidR="0096266D" w:rsidRPr="00475BA9">
        <w:rPr>
          <w:rFonts w:ascii="Times New Roman" w:hAnsi="Times New Roman" w:cs="Times New Roman"/>
        </w:rPr>
        <w:t xml:space="preserve"> Poulsen, </w:t>
      </w:r>
      <w:r w:rsidR="001851A7" w:rsidRPr="00475BA9">
        <w:rPr>
          <w:rFonts w:ascii="Times New Roman" w:hAnsi="Times New Roman" w:cs="Times New Roman"/>
        </w:rPr>
        <w:t>&amp; M Waibel,</w:t>
      </w:r>
      <w:r w:rsidR="0096266D" w:rsidRPr="00475BA9">
        <w:rPr>
          <w:rFonts w:ascii="Times New Roman" w:hAnsi="Times New Roman" w:cs="Times New Roman"/>
        </w:rPr>
        <w:t xml:space="preserve"> </w:t>
      </w:r>
      <w:r w:rsidR="0096266D" w:rsidRPr="00475BA9">
        <w:rPr>
          <w:rFonts w:ascii="Times New Roman" w:hAnsi="Times New Roman" w:cs="Times New Roman"/>
          <w:i/>
        </w:rPr>
        <w:t>The Political Economy of the Investment Treaty Regime</w:t>
      </w:r>
      <w:r w:rsidR="001851A7" w:rsidRPr="00475BA9">
        <w:rPr>
          <w:rFonts w:ascii="Times New Roman" w:hAnsi="Times New Roman" w:cs="Times New Roman"/>
        </w:rPr>
        <w:t xml:space="preserve"> (</w:t>
      </w:r>
      <w:r w:rsidR="0096266D" w:rsidRPr="00475BA9">
        <w:rPr>
          <w:rFonts w:ascii="Times New Roman" w:hAnsi="Times New Roman" w:cs="Times New Roman"/>
        </w:rPr>
        <w:t>Oxford University Press</w:t>
      </w:r>
      <w:r w:rsidR="001851A7" w:rsidRPr="00475BA9">
        <w:rPr>
          <w:rFonts w:ascii="Times New Roman" w:hAnsi="Times New Roman" w:cs="Times New Roman"/>
        </w:rPr>
        <w:t xml:space="preserve"> 2017).</w:t>
      </w:r>
    </w:p>
  </w:footnote>
  <w:footnote w:id="16">
    <w:p w:rsidR="006B5613" w:rsidRPr="00475BA9" w:rsidRDefault="006B5613" w:rsidP="00863A99">
      <w:pPr>
        <w:pStyle w:val="FootnoteText"/>
        <w:rPr>
          <w:rFonts w:ascii="Times New Roman" w:hAnsi="Times New Roman" w:cs="Times New Roman"/>
        </w:rPr>
      </w:pPr>
      <w:r w:rsidRPr="00475BA9">
        <w:rPr>
          <w:rStyle w:val="FootnoteReference"/>
          <w:rFonts w:ascii="Times New Roman" w:hAnsi="Times New Roman" w:cs="Times New Roman"/>
        </w:rPr>
        <w:footnoteRef/>
      </w:r>
      <w:r w:rsidR="00863A99" w:rsidRPr="00475BA9">
        <w:rPr>
          <w:rFonts w:ascii="Times New Roman" w:hAnsi="Times New Roman" w:cs="Times New Roman"/>
        </w:rPr>
        <w:t xml:space="preserve"> </w:t>
      </w:r>
      <w:r w:rsidRPr="00475BA9">
        <w:rPr>
          <w:rFonts w:ascii="Times New Roman" w:hAnsi="Times New Roman" w:cs="Times New Roman"/>
        </w:rPr>
        <w:t xml:space="preserve">This is not to say that meaning is fundamentally indeterminate, merely that beyond a core of meaning, there will always exist a lack of perfect clarity in the communication of substance. See: </w:t>
      </w:r>
      <w:r w:rsidR="00863A99" w:rsidRPr="00475BA9">
        <w:rPr>
          <w:rFonts w:ascii="Times New Roman" w:hAnsi="Times New Roman" w:cs="Times New Roman"/>
        </w:rPr>
        <w:t xml:space="preserve">T Endicott, </w:t>
      </w:r>
      <w:r w:rsidR="00863A99" w:rsidRPr="00475BA9">
        <w:rPr>
          <w:rFonts w:ascii="Times New Roman" w:hAnsi="Times New Roman" w:cs="Times New Roman"/>
          <w:i/>
          <w:iCs/>
        </w:rPr>
        <w:t xml:space="preserve">Vagueness in the Law </w:t>
      </w:r>
      <w:r w:rsidR="00863A99" w:rsidRPr="00475BA9">
        <w:rPr>
          <w:rFonts w:ascii="Times New Roman" w:hAnsi="Times New Roman" w:cs="Times New Roman"/>
        </w:rPr>
        <w:t>(Oxford University Press 2000) 9–15.</w:t>
      </w:r>
    </w:p>
  </w:footnote>
  <w:footnote w:id="17">
    <w:p w:rsidR="00930EEB" w:rsidRPr="00475BA9" w:rsidRDefault="00930EEB">
      <w:pPr>
        <w:pStyle w:val="FootnoteText"/>
        <w:rPr>
          <w:rFonts w:ascii="Times New Roman" w:hAnsi="Times New Roman" w:cs="Times New Roman"/>
        </w:rPr>
      </w:pPr>
      <w:r w:rsidRPr="00475BA9">
        <w:rPr>
          <w:rStyle w:val="FootnoteReference"/>
          <w:rFonts w:ascii="Times New Roman" w:hAnsi="Times New Roman" w:cs="Times New Roman"/>
        </w:rPr>
        <w:footnoteRef/>
      </w:r>
      <w:r w:rsidR="00972776" w:rsidRPr="00475BA9">
        <w:rPr>
          <w:rFonts w:ascii="Times New Roman" w:hAnsi="Times New Roman" w:cs="Times New Roman"/>
        </w:rPr>
        <w:t xml:space="preserve"> </w:t>
      </w:r>
      <w:r w:rsidR="00C860F0" w:rsidRPr="00475BA9">
        <w:rPr>
          <w:rFonts w:ascii="Times New Roman" w:hAnsi="Times New Roman" w:cs="Times New Roman"/>
        </w:rPr>
        <w:t xml:space="preserve">For two distinct but informative views on the importance of law’s impact over time: JD Ohlin, ‘Nash Equilibrium and International Law’ 23 </w:t>
      </w:r>
      <w:r w:rsidR="00C860F0" w:rsidRPr="00475BA9">
        <w:rPr>
          <w:rFonts w:ascii="Times New Roman" w:hAnsi="Times New Roman" w:cs="Times New Roman"/>
          <w:i/>
        </w:rPr>
        <w:t xml:space="preserve">EJIL </w:t>
      </w:r>
      <w:r w:rsidR="00C860F0" w:rsidRPr="00475BA9">
        <w:rPr>
          <w:rFonts w:ascii="Times New Roman" w:hAnsi="Times New Roman" w:cs="Times New Roman"/>
        </w:rPr>
        <w:t xml:space="preserve">4 (2012) 915; P </w:t>
      </w:r>
      <w:proofErr w:type="spellStart"/>
      <w:r w:rsidR="00C860F0" w:rsidRPr="00475BA9">
        <w:rPr>
          <w:rFonts w:ascii="Times New Roman" w:hAnsi="Times New Roman" w:cs="Times New Roman"/>
        </w:rPr>
        <w:t>Allott</w:t>
      </w:r>
      <w:proofErr w:type="spellEnd"/>
      <w:r w:rsidR="00C860F0" w:rsidRPr="00475BA9">
        <w:rPr>
          <w:rFonts w:ascii="Times New Roman" w:hAnsi="Times New Roman" w:cs="Times New Roman"/>
        </w:rPr>
        <w:t xml:space="preserve">, ‘The Concept of International Law’ 10 </w:t>
      </w:r>
      <w:r w:rsidR="00C860F0" w:rsidRPr="00475BA9">
        <w:rPr>
          <w:rFonts w:ascii="Times New Roman" w:hAnsi="Times New Roman" w:cs="Times New Roman"/>
          <w:i/>
        </w:rPr>
        <w:t xml:space="preserve">EJIL </w:t>
      </w:r>
      <w:r w:rsidR="00C860F0" w:rsidRPr="00475BA9">
        <w:rPr>
          <w:rFonts w:ascii="Times New Roman" w:hAnsi="Times New Roman" w:cs="Times New Roman"/>
        </w:rPr>
        <w:t>1 (1999) 31.</w:t>
      </w:r>
    </w:p>
  </w:footnote>
  <w:footnote w:id="18">
    <w:p w:rsidR="007B2B33" w:rsidRPr="00475BA9" w:rsidRDefault="007B2B33">
      <w:pPr>
        <w:pStyle w:val="FootnoteText"/>
        <w:rPr>
          <w:rFonts w:ascii="Times New Roman" w:hAnsi="Times New Roman" w:cs="Times New Roman"/>
        </w:rPr>
      </w:pPr>
      <w:r w:rsidRPr="00475BA9">
        <w:rPr>
          <w:rStyle w:val="FootnoteReference"/>
          <w:rFonts w:ascii="Times New Roman" w:hAnsi="Times New Roman" w:cs="Times New Roman"/>
        </w:rPr>
        <w:footnoteRef/>
      </w:r>
      <w:r w:rsidR="00627AA8" w:rsidRPr="00475BA9">
        <w:rPr>
          <w:rFonts w:ascii="Times New Roman" w:hAnsi="Times New Roman" w:cs="Times New Roman"/>
        </w:rPr>
        <w:t xml:space="preserve"> B McGrady (n</w:t>
      </w:r>
      <w:r w:rsidR="00627AA8" w:rsidRPr="00475BA9">
        <w:rPr>
          <w:rFonts w:ascii="Times New Roman" w:hAnsi="Times New Roman" w:cs="Times New Roman"/>
        </w:rPr>
        <w:fldChar w:fldCharType="begin"/>
      </w:r>
      <w:r w:rsidR="00627AA8" w:rsidRPr="00475BA9">
        <w:rPr>
          <w:rFonts w:ascii="Times New Roman" w:hAnsi="Times New Roman" w:cs="Times New Roman"/>
        </w:rPr>
        <w:instrText xml:space="preserve"> NOTEREF _Ref523570610 \h </w:instrText>
      </w:r>
      <w:r w:rsidR="00CC220F" w:rsidRPr="00475BA9">
        <w:rPr>
          <w:rFonts w:ascii="Times New Roman" w:hAnsi="Times New Roman" w:cs="Times New Roman"/>
        </w:rPr>
        <w:instrText xml:space="preserve"> \* MERGEFORMAT </w:instrText>
      </w:r>
      <w:r w:rsidR="00627AA8" w:rsidRPr="00475BA9">
        <w:rPr>
          <w:rFonts w:ascii="Times New Roman" w:hAnsi="Times New Roman" w:cs="Times New Roman"/>
        </w:rPr>
      </w:r>
      <w:r w:rsidR="00627AA8" w:rsidRPr="00475BA9">
        <w:rPr>
          <w:rFonts w:ascii="Times New Roman" w:hAnsi="Times New Roman" w:cs="Times New Roman"/>
        </w:rPr>
        <w:fldChar w:fldCharType="separate"/>
      </w:r>
      <w:r w:rsidR="00627AA8" w:rsidRPr="00475BA9">
        <w:rPr>
          <w:rFonts w:ascii="Times New Roman" w:hAnsi="Times New Roman" w:cs="Times New Roman"/>
        </w:rPr>
        <w:t>10</w:t>
      </w:r>
      <w:r w:rsidR="00627AA8" w:rsidRPr="00475BA9">
        <w:rPr>
          <w:rFonts w:ascii="Times New Roman" w:hAnsi="Times New Roman" w:cs="Times New Roman"/>
        </w:rPr>
        <w:fldChar w:fldCharType="end"/>
      </w:r>
      <w:r w:rsidR="00627AA8" w:rsidRPr="00475BA9">
        <w:rPr>
          <w:rFonts w:ascii="Times New Roman" w:hAnsi="Times New Roman" w:cs="Times New Roman"/>
        </w:rPr>
        <w:t>)</w:t>
      </w:r>
      <w:r w:rsidRPr="00475BA9">
        <w:rPr>
          <w:rFonts w:ascii="Times New Roman" w:hAnsi="Times New Roman" w:cs="Times New Roman"/>
        </w:rPr>
        <w:t xml:space="preserve"> p26</w:t>
      </w:r>
      <w:r w:rsidR="00627AA8" w:rsidRPr="00475BA9">
        <w:rPr>
          <w:rFonts w:ascii="Times New Roman" w:hAnsi="Times New Roman" w:cs="Times New Roman"/>
        </w:rPr>
        <w:t>.</w:t>
      </w:r>
      <w:r w:rsidR="00DC097B" w:rsidRPr="00475BA9">
        <w:rPr>
          <w:rFonts w:ascii="Times New Roman" w:hAnsi="Times New Roman" w:cs="Times New Roman"/>
        </w:rPr>
        <w:t xml:space="preserve"> In a similar vein see also: A Mitchell &amp; T </w:t>
      </w:r>
      <w:proofErr w:type="spellStart"/>
      <w:r w:rsidR="00DC097B" w:rsidRPr="00475BA9">
        <w:rPr>
          <w:rFonts w:ascii="Times New Roman" w:hAnsi="Times New Roman" w:cs="Times New Roman"/>
        </w:rPr>
        <w:t>Voon</w:t>
      </w:r>
      <w:proofErr w:type="spellEnd"/>
      <w:r w:rsidR="00DC097B" w:rsidRPr="00475BA9">
        <w:rPr>
          <w:rFonts w:ascii="Times New Roman" w:hAnsi="Times New Roman" w:cs="Times New Roman"/>
        </w:rPr>
        <w:t xml:space="preserve">, ‘Implications of the World Trade Organization in combating non-communicable diseases’ 125 </w:t>
      </w:r>
      <w:r w:rsidR="00DC097B" w:rsidRPr="00475BA9">
        <w:rPr>
          <w:rFonts w:ascii="Times New Roman" w:hAnsi="Times New Roman" w:cs="Times New Roman"/>
          <w:i/>
        </w:rPr>
        <w:t>Public Health</w:t>
      </w:r>
      <w:r w:rsidR="00DC097B" w:rsidRPr="00475BA9">
        <w:rPr>
          <w:rFonts w:ascii="Times New Roman" w:hAnsi="Times New Roman" w:cs="Times New Roman"/>
        </w:rPr>
        <w:t xml:space="preserve"> (2011) 832.</w:t>
      </w:r>
    </w:p>
  </w:footnote>
  <w:footnote w:id="19">
    <w:p w:rsidR="006F51E7" w:rsidRPr="00475BA9" w:rsidRDefault="006F51E7">
      <w:pPr>
        <w:pStyle w:val="FootnoteText"/>
        <w:rPr>
          <w:rFonts w:ascii="Times New Roman" w:hAnsi="Times New Roman" w:cs="Times New Roman"/>
        </w:rPr>
      </w:pPr>
      <w:r w:rsidRPr="00475BA9">
        <w:rPr>
          <w:rStyle w:val="FootnoteReference"/>
          <w:rFonts w:ascii="Times New Roman" w:hAnsi="Times New Roman" w:cs="Times New Roman"/>
        </w:rPr>
        <w:footnoteRef/>
      </w:r>
      <w:r w:rsidR="00381B6F" w:rsidRPr="00475BA9">
        <w:rPr>
          <w:rFonts w:ascii="Times New Roman" w:hAnsi="Times New Roman" w:cs="Times New Roman"/>
        </w:rPr>
        <w:t xml:space="preserve"> T</w:t>
      </w:r>
      <w:r w:rsidRPr="00475BA9">
        <w:rPr>
          <w:rFonts w:ascii="Times New Roman" w:hAnsi="Times New Roman" w:cs="Times New Roman"/>
        </w:rPr>
        <w:t>he distinction between health and the environment is, of course, somewhat arbitrary given the close relationship between the two</w:t>
      </w:r>
      <w:r w:rsidR="00403F37" w:rsidRPr="00475BA9">
        <w:rPr>
          <w:rFonts w:ascii="Times New Roman" w:hAnsi="Times New Roman" w:cs="Times New Roman"/>
        </w:rPr>
        <w:t>.</w:t>
      </w:r>
    </w:p>
  </w:footnote>
  <w:footnote w:id="20">
    <w:p w:rsidR="00403F37" w:rsidRPr="00475BA9" w:rsidRDefault="00403F37">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Chapter 13.</w:t>
      </w:r>
    </w:p>
  </w:footnote>
  <w:footnote w:id="21">
    <w:p w:rsidR="00182788" w:rsidRPr="00475BA9" w:rsidRDefault="00182788">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At p394.</w:t>
      </w:r>
    </w:p>
  </w:footnote>
  <w:footnote w:id="22">
    <w:p w:rsidR="00182788" w:rsidRPr="00475BA9" w:rsidRDefault="00182788">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Especially at p53ff</w:t>
      </w:r>
    </w:p>
  </w:footnote>
  <w:footnote w:id="23">
    <w:p w:rsidR="00475BA9" w:rsidRPr="00475BA9" w:rsidRDefault="00475BA9">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Clearly, from a UK perspective, this is </w:t>
      </w:r>
      <w:r w:rsidRPr="00475BA9">
        <w:rPr>
          <w:rFonts w:ascii="Times New Roman" w:hAnsi="Times New Roman" w:cs="Times New Roman"/>
        </w:rPr>
        <w:t xml:space="preserve">of acute interest given the clear relevance for </w:t>
      </w:r>
      <w:r w:rsidRPr="00475BA9">
        <w:rPr>
          <w:rFonts w:ascii="Times New Roman" w:hAnsi="Times New Roman" w:cs="Times New Roman"/>
        </w:rPr>
        <w:t xml:space="preserve">SPS </w:t>
      </w:r>
      <w:r w:rsidRPr="00475BA9">
        <w:rPr>
          <w:rFonts w:ascii="Times New Roman" w:hAnsi="Times New Roman" w:cs="Times New Roman"/>
        </w:rPr>
        <w:t>coordination that is likely to feature strongly in any bilateral arrangement with trading partners but most especially the EU</w:t>
      </w:r>
      <w:r w:rsidRPr="00475BA9">
        <w:rPr>
          <w:rFonts w:ascii="Times New Roman" w:hAnsi="Times New Roman" w:cs="Times New Roman"/>
        </w:rPr>
        <w:t>.</w:t>
      </w:r>
    </w:p>
  </w:footnote>
  <w:footnote w:id="24">
    <w:p w:rsidR="00B22A3D" w:rsidRPr="00475BA9" w:rsidRDefault="00B22A3D">
      <w:pPr>
        <w:pStyle w:val="FootnoteText"/>
        <w:rPr>
          <w:rFonts w:ascii="Times New Roman" w:hAnsi="Times New Roman" w:cs="Times New Roman"/>
        </w:rPr>
      </w:pPr>
      <w:r w:rsidRPr="00475BA9">
        <w:rPr>
          <w:rStyle w:val="FootnoteReference"/>
          <w:rFonts w:ascii="Times New Roman" w:hAnsi="Times New Roman" w:cs="Times New Roman"/>
        </w:rPr>
        <w:footnoteRef/>
      </w:r>
      <w:r w:rsidR="00CB6CBC" w:rsidRPr="00475BA9">
        <w:rPr>
          <w:rFonts w:ascii="Times New Roman" w:hAnsi="Times New Roman" w:cs="Times New Roman"/>
        </w:rPr>
        <w:t xml:space="preserve"> At p.138.</w:t>
      </w:r>
    </w:p>
  </w:footnote>
  <w:footnote w:id="25">
    <w:p w:rsidR="00817FAC" w:rsidRPr="00475BA9" w:rsidRDefault="00817FAC">
      <w:pPr>
        <w:pStyle w:val="FootnoteText"/>
        <w:rPr>
          <w:rFonts w:ascii="Times New Roman" w:hAnsi="Times New Roman" w:cs="Times New Roman"/>
        </w:rPr>
      </w:pPr>
      <w:r w:rsidRPr="00475BA9">
        <w:rPr>
          <w:rStyle w:val="FootnoteReference"/>
          <w:rFonts w:ascii="Times New Roman" w:hAnsi="Times New Roman" w:cs="Times New Roman"/>
        </w:rPr>
        <w:footnoteRef/>
      </w:r>
      <w:r w:rsidR="001105A3" w:rsidRPr="00475BA9">
        <w:rPr>
          <w:rFonts w:ascii="Times New Roman" w:hAnsi="Times New Roman" w:cs="Times New Roman"/>
        </w:rPr>
        <w:t xml:space="preserve"> For example,</w:t>
      </w:r>
      <w:r w:rsidRPr="00475BA9">
        <w:rPr>
          <w:rFonts w:ascii="Times New Roman" w:hAnsi="Times New Roman" w:cs="Times New Roman"/>
        </w:rPr>
        <w:t xml:space="preserve"> R </w:t>
      </w:r>
      <w:proofErr w:type="spellStart"/>
      <w:r w:rsidRPr="00475BA9">
        <w:rPr>
          <w:rFonts w:ascii="Times New Roman" w:hAnsi="Times New Roman" w:cs="Times New Roman"/>
        </w:rPr>
        <w:t>Becroft</w:t>
      </w:r>
      <w:proofErr w:type="spellEnd"/>
      <w:r w:rsidRPr="00475BA9">
        <w:rPr>
          <w:rFonts w:ascii="Times New Roman" w:hAnsi="Times New Roman" w:cs="Times New Roman"/>
        </w:rPr>
        <w:t>,</w:t>
      </w:r>
      <w:r w:rsidR="00CB6CBC" w:rsidRPr="00475BA9">
        <w:rPr>
          <w:rFonts w:ascii="Times New Roman" w:hAnsi="Times New Roman" w:cs="Times New Roman"/>
        </w:rPr>
        <w:t xml:space="preserve"> </w:t>
      </w:r>
      <w:r w:rsidR="001105A3" w:rsidRPr="00475BA9">
        <w:rPr>
          <w:rFonts w:ascii="Times New Roman" w:hAnsi="Times New Roman" w:cs="Times New Roman"/>
          <w:i/>
        </w:rPr>
        <w:t>The Standard of Review in WTO</w:t>
      </w:r>
      <w:r w:rsidR="00CB6CBC" w:rsidRPr="00475BA9">
        <w:rPr>
          <w:rFonts w:ascii="Times New Roman" w:hAnsi="Times New Roman" w:cs="Times New Roman"/>
          <w:i/>
        </w:rPr>
        <w:t xml:space="preserve"> Dispute </w:t>
      </w:r>
      <w:proofErr w:type="gramStart"/>
      <w:r w:rsidR="00CB6CBC" w:rsidRPr="00475BA9">
        <w:rPr>
          <w:rFonts w:ascii="Times New Roman" w:hAnsi="Times New Roman" w:cs="Times New Roman"/>
          <w:i/>
        </w:rPr>
        <w:t>Settlement :</w:t>
      </w:r>
      <w:proofErr w:type="gramEnd"/>
      <w:r w:rsidR="00CB6CBC" w:rsidRPr="00475BA9">
        <w:rPr>
          <w:rFonts w:ascii="Times New Roman" w:hAnsi="Times New Roman" w:cs="Times New Roman"/>
          <w:i/>
        </w:rPr>
        <w:t xml:space="preserve"> Critique and Development</w:t>
      </w:r>
      <w:r w:rsidR="00CB6CBC" w:rsidRPr="00475BA9">
        <w:rPr>
          <w:rFonts w:ascii="Times New Roman" w:hAnsi="Times New Roman" w:cs="Times New Roman"/>
        </w:rPr>
        <w:t xml:space="preserve"> (Edward Elgar 2012)</w:t>
      </w:r>
      <w:r w:rsidR="001105A3" w:rsidRPr="00475BA9">
        <w:rPr>
          <w:rFonts w:ascii="Times New Roman" w:hAnsi="Times New Roman" w:cs="Times New Roman"/>
        </w:rPr>
        <w:t>.</w:t>
      </w:r>
    </w:p>
  </w:footnote>
  <w:footnote w:id="26">
    <w:p w:rsidR="00AD5E58" w:rsidRPr="00475BA9" w:rsidRDefault="00AD5E58">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For an illustration, see the special issue referenced above at n</w:t>
      </w:r>
      <w:r w:rsidRPr="00475BA9">
        <w:rPr>
          <w:rFonts w:ascii="Times New Roman" w:hAnsi="Times New Roman" w:cs="Times New Roman"/>
        </w:rPr>
        <w:fldChar w:fldCharType="begin"/>
      </w:r>
      <w:r w:rsidRPr="00475BA9">
        <w:rPr>
          <w:rFonts w:ascii="Times New Roman" w:hAnsi="Times New Roman" w:cs="Times New Roman"/>
        </w:rPr>
        <w:instrText xml:space="preserve"> NOTEREF _Ref523588128 \h </w:instrText>
      </w:r>
      <w:r w:rsidRPr="00475BA9">
        <w:rPr>
          <w:rFonts w:ascii="Times New Roman" w:hAnsi="Times New Roman" w:cs="Times New Roman"/>
        </w:rPr>
      </w:r>
      <w:r w:rsidR="00250870" w:rsidRPr="00475BA9">
        <w:rPr>
          <w:rFonts w:ascii="Times New Roman" w:hAnsi="Times New Roman" w:cs="Times New Roman"/>
        </w:rPr>
        <w:instrText xml:space="preserve"> \* MERGEFORMAT </w:instrText>
      </w:r>
      <w:r w:rsidRPr="00475BA9">
        <w:rPr>
          <w:rFonts w:ascii="Times New Roman" w:hAnsi="Times New Roman" w:cs="Times New Roman"/>
        </w:rPr>
        <w:fldChar w:fldCharType="separate"/>
      </w:r>
      <w:r w:rsidRPr="00475BA9">
        <w:rPr>
          <w:rFonts w:ascii="Times New Roman" w:hAnsi="Times New Roman" w:cs="Times New Roman"/>
        </w:rPr>
        <w:t>6</w:t>
      </w:r>
      <w:r w:rsidRPr="00475BA9">
        <w:rPr>
          <w:rFonts w:ascii="Times New Roman" w:hAnsi="Times New Roman" w:cs="Times New Roman"/>
        </w:rPr>
        <w:fldChar w:fldCharType="end"/>
      </w:r>
      <w:r w:rsidRPr="00475BA9">
        <w:rPr>
          <w:rFonts w:ascii="Times New Roman" w:hAnsi="Times New Roman" w:cs="Times New Roman"/>
        </w:rPr>
        <w:t>.</w:t>
      </w:r>
    </w:p>
  </w:footnote>
  <w:footnote w:id="27">
    <w:p w:rsidR="004A0D04" w:rsidRPr="00475BA9" w:rsidRDefault="004A0D04" w:rsidP="004A0D04">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Above n</w:t>
      </w:r>
      <w:r w:rsidRPr="00475BA9">
        <w:rPr>
          <w:rFonts w:ascii="Times New Roman" w:hAnsi="Times New Roman" w:cs="Times New Roman"/>
        </w:rPr>
        <w:fldChar w:fldCharType="begin"/>
      </w:r>
      <w:r w:rsidRPr="00475BA9">
        <w:rPr>
          <w:rFonts w:ascii="Times New Roman" w:hAnsi="Times New Roman" w:cs="Times New Roman"/>
        </w:rPr>
        <w:instrText xml:space="preserve"> NOTEREF _Ref523588175 \h </w:instrText>
      </w:r>
      <w:r w:rsidRPr="00475BA9">
        <w:rPr>
          <w:rFonts w:ascii="Times New Roman" w:hAnsi="Times New Roman" w:cs="Times New Roman"/>
        </w:rPr>
      </w:r>
      <w:r w:rsidR="00250870" w:rsidRPr="00475BA9">
        <w:rPr>
          <w:rFonts w:ascii="Times New Roman" w:hAnsi="Times New Roman" w:cs="Times New Roman"/>
        </w:rPr>
        <w:instrText xml:space="preserve"> \* MERGEFORMAT </w:instrText>
      </w:r>
      <w:r w:rsidRPr="00475BA9">
        <w:rPr>
          <w:rFonts w:ascii="Times New Roman" w:hAnsi="Times New Roman" w:cs="Times New Roman"/>
        </w:rPr>
        <w:fldChar w:fldCharType="separate"/>
      </w:r>
      <w:r w:rsidRPr="00475BA9">
        <w:rPr>
          <w:rFonts w:ascii="Times New Roman" w:hAnsi="Times New Roman" w:cs="Times New Roman"/>
        </w:rPr>
        <w:t>9</w:t>
      </w:r>
      <w:r w:rsidRPr="00475BA9">
        <w:rPr>
          <w:rFonts w:ascii="Times New Roman" w:hAnsi="Times New Roman" w:cs="Times New Roman"/>
        </w:rPr>
        <w:fldChar w:fldCharType="end"/>
      </w:r>
      <w:r w:rsidRPr="00475BA9">
        <w:rPr>
          <w:rFonts w:ascii="Times New Roman" w:hAnsi="Times New Roman" w:cs="Times New Roman"/>
        </w:rPr>
        <w:t>.</w:t>
      </w:r>
    </w:p>
  </w:footnote>
  <w:footnote w:id="28">
    <w:p w:rsidR="007709BE" w:rsidRPr="007A4F50" w:rsidRDefault="007709BE">
      <w:pPr>
        <w:pStyle w:val="FootnoteText"/>
        <w:rPr>
          <w:rFonts w:ascii="Times New Roman" w:hAnsi="Times New Roman" w:cs="Times New Roman"/>
        </w:rPr>
      </w:pPr>
      <w:r w:rsidRPr="00475BA9">
        <w:rPr>
          <w:rStyle w:val="FootnoteReference"/>
          <w:rFonts w:ascii="Times New Roman" w:hAnsi="Times New Roman" w:cs="Times New Roman"/>
        </w:rPr>
        <w:footnoteRef/>
      </w:r>
      <w:r w:rsidR="007A4F50">
        <w:rPr>
          <w:rFonts w:ascii="Times New Roman" w:hAnsi="Times New Roman" w:cs="Times New Roman"/>
        </w:rPr>
        <w:t xml:space="preserve"> S Joseph, </w:t>
      </w:r>
      <w:r w:rsidR="007A4F50" w:rsidRPr="007A4F50">
        <w:rPr>
          <w:rFonts w:ascii="Times New Roman" w:hAnsi="Times New Roman" w:cs="Times New Roman"/>
          <w:i/>
        </w:rPr>
        <w:t>Blame it on the WTO? A Human Rights Critique</w:t>
      </w:r>
      <w:r w:rsidR="007A4F50">
        <w:rPr>
          <w:rFonts w:ascii="Times New Roman" w:hAnsi="Times New Roman" w:cs="Times New Roman"/>
        </w:rPr>
        <w:t xml:space="preserve"> (OUP 2013).</w:t>
      </w:r>
    </w:p>
  </w:footnote>
  <w:footnote w:id="29">
    <w:p w:rsidR="005D60B9" w:rsidRPr="00475BA9" w:rsidRDefault="005D60B9">
      <w:pPr>
        <w:pStyle w:val="FootnoteText"/>
        <w:rPr>
          <w:rFonts w:ascii="Times New Roman" w:hAnsi="Times New Roman" w:cs="Times New Roman"/>
        </w:rPr>
      </w:pPr>
      <w:r w:rsidRPr="00475BA9">
        <w:rPr>
          <w:rStyle w:val="FootnoteReference"/>
          <w:rFonts w:ascii="Times New Roman" w:hAnsi="Times New Roman" w:cs="Times New Roman"/>
        </w:rPr>
        <w:footnoteRef/>
      </w:r>
      <w:r w:rsidR="004A0D04" w:rsidRPr="00475BA9">
        <w:rPr>
          <w:rFonts w:ascii="Times New Roman" w:hAnsi="Times New Roman" w:cs="Times New Roman"/>
        </w:rPr>
        <w:t xml:space="preserve"> For a practical application of this shift, see: UNICEF, </w:t>
      </w:r>
      <w:r w:rsidR="004A0D04" w:rsidRPr="00475BA9">
        <w:rPr>
          <w:rFonts w:ascii="Times New Roman" w:hAnsi="Times New Roman" w:cs="Times New Roman"/>
          <w:i/>
        </w:rPr>
        <w:t xml:space="preserve">A Child Rights-Based Approach to Food Marketing: A Guide for Policy Makers </w:t>
      </w:r>
      <w:r w:rsidR="004A0D04" w:rsidRPr="00475BA9">
        <w:rPr>
          <w:rFonts w:ascii="Times New Roman" w:hAnsi="Times New Roman" w:cs="Times New Roman"/>
        </w:rPr>
        <w:t>(April 2018) available at &lt;https://www.unicef.org/csr/files/A_Child_Rights-Based_Approach_to_Food_Marketing_Report.pdf&gt; accessed 1 September 2018.</w:t>
      </w:r>
    </w:p>
  </w:footnote>
  <w:footnote w:id="30">
    <w:p w:rsidR="007A4F50" w:rsidRPr="00475BA9" w:rsidRDefault="007A4F50" w:rsidP="007A4F50">
      <w:pPr>
        <w:pStyle w:val="FootnoteText"/>
        <w:rPr>
          <w:rFonts w:ascii="Times New Roman" w:hAnsi="Times New Roman" w:cs="Times New Roman"/>
        </w:rPr>
      </w:pPr>
      <w:r w:rsidRPr="00475BA9">
        <w:rPr>
          <w:rStyle w:val="FootnoteReference"/>
          <w:rFonts w:ascii="Times New Roman" w:hAnsi="Times New Roman" w:cs="Times New Roman"/>
        </w:rPr>
        <w:footnoteRef/>
      </w:r>
      <w:r w:rsidRPr="00475BA9">
        <w:rPr>
          <w:rFonts w:ascii="Times New Roman" w:hAnsi="Times New Roman" w:cs="Times New Roman"/>
        </w:rPr>
        <w:t xml:space="preserve"> B McGrady (n</w:t>
      </w:r>
      <w:r w:rsidRPr="00475BA9">
        <w:rPr>
          <w:rFonts w:ascii="Times New Roman" w:hAnsi="Times New Roman" w:cs="Times New Roman"/>
        </w:rPr>
        <w:fldChar w:fldCharType="begin"/>
      </w:r>
      <w:r w:rsidRPr="00475BA9">
        <w:rPr>
          <w:rFonts w:ascii="Times New Roman" w:hAnsi="Times New Roman" w:cs="Times New Roman"/>
        </w:rPr>
        <w:instrText xml:space="preserve"> NOTEREF _Ref523570610 \h  \* MERGEFORMAT </w:instrText>
      </w:r>
      <w:r w:rsidRPr="00475BA9">
        <w:rPr>
          <w:rFonts w:ascii="Times New Roman" w:hAnsi="Times New Roman" w:cs="Times New Roman"/>
        </w:rPr>
      </w:r>
      <w:r w:rsidRPr="00475BA9">
        <w:rPr>
          <w:rFonts w:ascii="Times New Roman" w:hAnsi="Times New Roman" w:cs="Times New Roman"/>
        </w:rPr>
        <w:fldChar w:fldCharType="separate"/>
      </w:r>
      <w:r w:rsidRPr="00475BA9">
        <w:rPr>
          <w:rFonts w:ascii="Times New Roman" w:hAnsi="Times New Roman" w:cs="Times New Roman"/>
        </w:rPr>
        <w:t>10</w:t>
      </w:r>
      <w:r w:rsidRPr="00475BA9">
        <w:rPr>
          <w:rFonts w:ascii="Times New Roman" w:hAnsi="Times New Roman" w:cs="Times New Roman"/>
        </w:rPr>
        <w:fldChar w:fldCharType="end"/>
      </w:r>
      <w:r w:rsidRPr="00475BA9">
        <w:rPr>
          <w:rFonts w:ascii="Times New Roman" w:hAnsi="Times New Roman" w:cs="Times New Roman"/>
        </w:rPr>
        <w:t>)</w:t>
      </w:r>
      <w:r>
        <w:rPr>
          <w:rFonts w:ascii="Times New Roman" w:hAnsi="Times New Roman" w:cs="Times New Roman"/>
        </w:rPr>
        <w:t xml:space="preserve"> p288</w:t>
      </w:r>
      <w:r w:rsidRPr="00475BA9">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245A"/>
    <w:multiLevelType w:val="multilevel"/>
    <w:tmpl w:val="8472AD9E"/>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F"/>
    <w:rsid w:val="00000C8D"/>
    <w:rsid w:val="00033838"/>
    <w:rsid w:val="000579AC"/>
    <w:rsid w:val="00072AF6"/>
    <w:rsid w:val="000A3F2B"/>
    <w:rsid w:val="000B3A6B"/>
    <w:rsid w:val="000C3B8B"/>
    <w:rsid w:val="000D2298"/>
    <w:rsid w:val="0010445A"/>
    <w:rsid w:val="00104BAB"/>
    <w:rsid w:val="001105A3"/>
    <w:rsid w:val="001125F6"/>
    <w:rsid w:val="00120380"/>
    <w:rsid w:val="00154E3A"/>
    <w:rsid w:val="00166BBA"/>
    <w:rsid w:val="00182788"/>
    <w:rsid w:val="00182BBA"/>
    <w:rsid w:val="001851A7"/>
    <w:rsid w:val="001C403B"/>
    <w:rsid w:val="001F2BA4"/>
    <w:rsid w:val="001F4EE7"/>
    <w:rsid w:val="002032CE"/>
    <w:rsid w:val="00207B3A"/>
    <w:rsid w:val="002476E3"/>
    <w:rsid w:val="00250870"/>
    <w:rsid w:val="0026661A"/>
    <w:rsid w:val="00293C50"/>
    <w:rsid w:val="002A130D"/>
    <w:rsid w:val="002A739C"/>
    <w:rsid w:val="002B21DD"/>
    <w:rsid w:val="002C0ABD"/>
    <w:rsid w:val="002C4083"/>
    <w:rsid w:val="002C783E"/>
    <w:rsid w:val="002D2DF1"/>
    <w:rsid w:val="0030369E"/>
    <w:rsid w:val="00316E70"/>
    <w:rsid w:val="00316EFC"/>
    <w:rsid w:val="0032045C"/>
    <w:rsid w:val="00347E4A"/>
    <w:rsid w:val="00363C73"/>
    <w:rsid w:val="00364E27"/>
    <w:rsid w:val="00381B6F"/>
    <w:rsid w:val="003A3A0F"/>
    <w:rsid w:val="003B067B"/>
    <w:rsid w:val="003B1DF7"/>
    <w:rsid w:val="003B2F40"/>
    <w:rsid w:val="003C46A5"/>
    <w:rsid w:val="003E528B"/>
    <w:rsid w:val="003E635F"/>
    <w:rsid w:val="00403F37"/>
    <w:rsid w:val="00406C32"/>
    <w:rsid w:val="00407998"/>
    <w:rsid w:val="004174FC"/>
    <w:rsid w:val="00427B53"/>
    <w:rsid w:val="00475BA9"/>
    <w:rsid w:val="00491B6D"/>
    <w:rsid w:val="00491E9B"/>
    <w:rsid w:val="004A0D04"/>
    <w:rsid w:val="004A0DCA"/>
    <w:rsid w:val="004A13B4"/>
    <w:rsid w:val="004A5D85"/>
    <w:rsid w:val="004E41D0"/>
    <w:rsid w:val="004F2662"/>
    <w:rsid w:val="004F3A68"/>
    <w:rsid w:val="0052294D"/>
    <w:rsid w:val="0053024F"/>
    <w:rsid w:val="00540CE7"/>
    <w:rsid w:val="0054331B"/>
    <w:rsid w:val="005A0653"/>
    <w:rsid w:val="005D60B9"/>
    <w:rsid w:val="005D7263"/>
    <w:rsid w:val="00606F62"/>
    <w:rsid w:val="00627AA8"/>
    <w:rsid w:val="0064307B"/>
    <w:rsid w:val="00663900"/>
    <w:rsid w:val="006B5613"/>
    <w:rsid w:val="006C1884"/>
    <w:rsid w:val="006F51E7"/>
    <w:rsid w:val="007709BE"/>
    <w:rsid w:val="00773E48"/>
    <w:rsid w:val="007935CF"/>
    <w:rsid w:val="00797EDF"/>
    <w:rsid w:val="007A3F70"/>
    <w:rsid w:val="007A4F50"/>
    <w:rsid w:val="007B1B64"/>
    <w:rsid w:val="007B2B33"/>
    <w:rsid w:val="00806C88"/>
    <w:rsid w:val="00817FAC"/>
    <w:rsid w:val="0082670A"/>
    <w:rsid w:val="00827504"/>
    <w:rsid w:val="00830A35"/>
    <w:rsid w:val="00863A99"/>
    <w:rsid w:val="0087699D"/>
    <w:rsid w:val="008918D8"/>
    <w:rsid w:val="008932A7"/>
    <w:rsid w:val="008B005C"/>
    <w:rsid w:val="008E5986"/>
    <w:rsid w:val="008F0DBD"/>
    <w:rsid w:val="008F1341"/>
    <w:rsid w:val="009010CB"/>
    <w:rsid w:val="009025A9"/>
    <w:rsid w:val="00917250"/>
    <w:rsid w:val="00930EEB"/>
    <w:rsid w:val="00955ED1"/>
    <w:rsid w:val="009619A1"/>
    <w:rsid w:val="0096266D"/>
    <w:rsid w:val="00967647"/>
    <w:rsid w:val="00972776"/>
    <w:rsid w:val="009964CE"/>
    <w:rsid w:val="009B19C0"/>
    <w:rsid w:val="009B69A6"/>
    <w:rsid w:val="009C1EAF"/>
    <w:rsid w:val="009C4036"/>
    <w:rsid w:val="009D2911"/>
    <w:rsid w:val="00A034F7"/>
    <w:rsid w:val="00A14A3A"/>
    <w:rsid w:val="00A224CD"/>
    <w:rsid w:val="00A274E3"/>
    <w:rsid w:val="00A53D00"/>
    <w:rsid w:val="00AA32FF"/>
    <w:rsid w:val="00AD5E58"/>
    <w:rsid w:val="00AE7DD1"/>
    <w:rsid w:val="00AF67FF"/>
    <w:rsid w:val="00B10663"/>
    <w:rsid w:val="00B22A3D"/>
    <w:rsid w:val="00B27970"/>
    <w:rsid w:val="00B36830"/>
    <w:rsid w:val="00B40962"/>
    <w:rsid w:val="00B42B68"/>
    <w:rsid w:val="00B751E5"/>
    <w:rsid w:val="00B77642"/>
    <w:rsid w:val="00B95725"/>
    <w:rsid w:val="00BA509F"/>
    <w:rsid w:val="00BC1782"/>
    <w:rsid w:val="00BC2B1F"/>
    <w:rsid w:val="00BD2625"/>
    <w:rsid w:val="00BD5D2A"/>
    <w:rsid w:val="00BE2832"/>
    <w:rsid w:val="00BF05FC"/>
    <w:rsid w:val="00C036FB"/>
    <w:rsid w:val="00C07A3E"/>
    <w:rsid w:val="00C1167E"/>
    <w:rsid w:val="00C178A8"/>
    <w:rsid w:val="00C3677F"/>
    <w:rsid w:val="00C474D6"/>
    <w:rsid w:val="00C54AAD"/>
    <w:rsid w:val="00C74B78"/>
    <w:rsid w:val="00C764E8"/>
    <w:rsid w:val="00C860F0"/>
    <w:rsid w:val="00C923E1"/>
    <w:rsid w:val="00C93E08"/>
    <w:rsid w:val="00CB6CBC"/>
    <w:rsid w:val="00CC0421"/>
    <w:rsid w:val="00CC220F"/>
    <w:rsid w:val="00D01826"/>
    <w:rsid w:val="00D05E53"/>
    <w:rsid w:val="00D16BEC"/>
    <w:rsid w:val="00D16F7D"/>
    <w:rsid w:val="00D52039"/>
    <w:rsid w:val="00D94760"/>
    <w:rsid w:val="00D95912"/>
    <w:rsid w:val="00DC04BF"/>
    <w:rsid w:val="00DC097B"/>
    <w:rsid w:val="00DD513A"/>
    <w:rsid w:val="00DF5861"/>
    <w:rsid w:val="00E45320"/>
    <w:rsid w:val="00E5419A"/>
    <w:rsid w:val="00E71D98"/>
    <w:rsid w:val="00E84B82"/>
    <w:rsid w:val="00E95BEB"/>
    <w:rsid w:val="00EA489E"/>
    <w:rsid w:val="00EC464B"/>
    <w:rsid w:val="00ED2F42"/>
    <w:rsid w:val="00ED40DB"/>
    <w:rsid w:val="00F07C44"/>
    <w:rsid w:val="00F216C6"/>
    <w:rsid w:val="00F21E7B"/>
    <w:rsid w:val="00F236F3"/>
    <w:rsid w:val="00F4553B"/>
    <w:rsid w:val="00F60430"/>
    <w:rsid w:val="00F632F5"/>
    <w:rsid w:val="00F7076C"/>
    <w:rsid w:val="00FC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7456"/>
  <w15:chartTrackingRefBased/>
  <w15:docId w15:val="{B0AFA451-4EAF-1F4B-8B50-181BAD2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67FF"/>
    <w:rPr>
      <w:sz w:val="20"/>
      <w:szCs w:val="20"/>
    </w:rPr>
  </w:style>
  <w:style w:type="character" w:customStyle="1" w:styleId="FootnoteTextChar">
    <w:name w:val="Footnote Text Char"/>
    <w:basedOn w:val="DefaultParagraphFont"/>
    <w:link w:val="FootnoteText"/>
    <w:uiPriority w:val="99"/>
    <w:semiHidden/>
    <w:rsid w:val="00AF67FF"/>
    <w:rPr>
      <w:sz w:val="20"/>
      <w:szCs w:val="20"/>
    </w:rPr>
  </w:style>
  <w:style w:type="character" w:styleId="FootnoteReference">
    <w:name w:val="footnote reference"/>
    <w:basedOn w:val="DefaultParagraphFont"/>
    <w:uiPriority w:val="99"/>
    <w:semiHidden/>
    <w:unhideWhenUsed/>
    <w:rsid w:val="00AF67FF"/>
    <w:rPr>
      <w:vertAlign w:val="superscript"/>
    </w:rPr>
  </w:style>
  <w:style w:type="paragraph" w:styleId="NormalWeb">
    <w:name w:val="Normal (Web)"/>
    <w:basedOn w:val="Normal"/>
    <w:uiPriority w:val="99"/>
    <w:unhideWhenUsed/>
    <w:rsid w:val="00C860F0"/>
    <w:rPr>
      <w:rFonts w:ascii="Times New Roman" w:hAnsi="Times New Roman" w:cs="Times New Roman"/>
      <w:sz w:val="24"/>
      <w:szCs w:val="24"/>
    </w:rPr>
  </w:style>
  <w:style w:type="character" w:styleId="Hyperlink">
    <w:name w:val="Hyperlink"/>
    <w:basedOn w:val="DefaultParagraphFont"/>
    <w:uiPriority w:val="99"/>
    <w:unhideWhenUsed/>
    <w:rsid w:val="00B36830"/>
    <w:rPr>
      <w:color w:val="0563C1" w:themeColor="hyperlink"/>
      <w:u w:val="single"/>
    </w:rPr>
  </w:style>
  <w:style w:type="character" w:styleId="UnresolvedMention">
    <w:name w:val="Unresolved Mention"/>
    <w:basedOn w:val="DefaultParagraphFont"/>
    <w:uiPriority w:val="99"/>
    <w:semiHidden/>
    <w:unhideWhenUsed/>
    <w:rsid w:val="00B3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8686">
      <w:bodyDiv w:val="1"/>
      <w:marLeft w:val="0"/>
      <w:marRight w:val="0"/>
      <w:marTop w:val="0"/>
      <w:marBottom w:val="0"/>
      <w:divBdr>
        <w:top w:val="none" w:sz="0" w:space="0" w:color="auto"/>
        <w:left w:val="none" w:sz="0" w:space="0" w:color="auto"/>
        <w:bottom w:val="none" w:sz="0" w:space="0" w:color="auto"/>
        <w:right w:val="none" w:sz="0" w:space="0" w:color="auto"/>
      </w:divBdr>
    </w:div>
    <w:div w:id="182256053">
      <w:bodyDiv w:val="1"/>
      <w:marLeft w:val="0"/>
      <w:marRight w:val="0"/>
      <w:marTop w:val="0"/>
      <w:marBottom w:val="0"/>
      <w:divBdr>
        <w:top w:val="none" w:sz="0" w:space="0" w:color="auto"/>
        <w:left w:val="none" w:sz="0" w:space="0" w:color="auto"/>
        <w:bottom w:val="none" w:sz="0" w:space="0" w:color="auto"/>
        <w:right w:val="none" w:sz="0" w:space="0" w:color="auto"/>
      </w:divBdr>
    </w:div>
    <w:div w:id="199392767">
      <w:bodyDiv w:val="1"/>
      <w:marLeft w:val="0"/>
      <w:marRight w:val="0"/>
      <w:marTop w:val="0"/>
      <w:marBottom w:val="0"/>
      <w:divBdr>
        <w:top w:val="none" w:sz="0" w:space="0" w:color="auto"/>
        <w:left w:val="none" w:sz="0" w:space="0" w:color="auto"/>
        <w:bottom w:val="none" w:sz="0" w:space="0" w:color="auto"/>
        <w:right w:val="none" w:sz="0" w:space="0" w:color="auto"/>
      </w:divBdr>
      <w:divsChild>
        <w:div w:id="869997834">
          <w:marLeft w:val="0"/>
          <w:marRight w:val="0"/>
          <w:marTop w:val="0"/>
          <w:marBottom w:val="0"/>
          <w:divBdr>
            <w:top w:val="none" w:sz="0" w:space="0" w:color="auto"/>
            <w:left w:val="none" w:sz="0" w:space="0" w:color="auto"/>
            <w:bottom w:val="none" w:sz="0" w:space="0" w:color="auto"/>
            <w:right w:val="none" w:sz="0" w:space="0" w:color="auto"/>
          </w:divBdr>
          <w:divsChild>
            <w:div w:id="1342509936">
              <w:marLeft w:val="0"/>
              <w:marRight w:val="0"/>
              <w:marTop w:val="0"/>
              <w:marBottom w:val="0"/>
              <w:divBdr>
                <w:top w:val="none" w:sz="0" w:space="0" w:color="auto"/>
                <w:left w:val="none" w:sz="0" w:space="0" w:color="auto"/>
                <w:bottom w:val="none" w:sz="0" w:space="0" w:color="auto"/>
                <w:right w:val="none" w:sz="0" w:space="0" w:color="auto"/>
              </w:divBdr>
              <w:divsChild>
                <w:div w:id="20697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1408">
      <w:bodyDiv w:val="1"/>
      <w:marLeft w:val="0"/>
      <w:marRight w:val="0"/>
      <w:marTop w:val="0"/>
      <w:marBottom w:val="0"/>
      <w:divBdr>
        <w:top w:val="none" w:sz="0" w:space="0" w:color="auto"/>
        <w:left w:val="none" w:sz="0" w:space="0" w:color="auto"/>
        <w:bottom w:val="none" w:sz="0" w:space="0" w:color="auto"/>
        <w:right w:val="none" w:sz="0" w:space="0" w:color="auto"/>
      </w:divBdr>
    </w:div>
    <w:div w:id="279529176">
      <w:bodyDiv w:val="1"/>
      <w:marLeft w:val="0"/>
      <w:marRight w:val="0"/>
      <w:marTop w:val="0"/>
      <w:marBottom w:val="0"/>
      <w:divBdr>
        <w:top w:val="none" w:sz="0" w:space="0" w:color="auto"/>
        <w:left w:val="none" w:sz="0" w:space="0" w:color="auto"/>
        <w:bottom w:val="none" w:sz="0" w:space="0" w:color="auto"/>
        <w:right w:val="none" w:sz="0" w:space="0" w:color="auto"/>
      </w:divBdr>
      <w:divsChild>
        <w:div w:id="843402095">
          <w:marLeft w:val="0"/>
          <w:marRight w:val="0"/>
          <w:marTop w:val="0"/>
          <w:marBottom w:val="0"/>
          <w:divBdr>
            <w:top w:val="none" w:sz="0" w:space="0" w:color="auto"/>
            <w:left w:val="none" w:sz="0" w:space="0" w:color="auto"/>
            <w:bottom w:val="none" w:sz="0" w:space="0" w:color="auto"/>
            <w:right w:val="none" w:sz="0" w:space="0" w:color="auto"/>
          </w:divBdr>
          <w:divsChild>
            <w:div w:id="135297754">
              <w:marLeft w:val="0"/>
              <w:marRight w:val="0"/>
              <w:marTop w:val="0"/>
              <w:marBottom w:val="0"/>
              <w:divBdr>
                <w:top w:val="none" w:sz="0" w:space="0" w:color="auto"/>
                <w:left w:val="none" w:sz="0" w:space="0" w:color="auto"/>
                <w:bottom w:val="none" w:sz="0" w:space="0" w:color="auto"/>
                <w:right w:val="none" w:sz="0" w:space="0" w:color="auto"/>
              </w:divBdr>
              <w:divsChild>
                <w:div w:id="4112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5485">
      <w:bodyDiv w:val="1"/>
      <w:marLeft w:val="0"/>
      <w:marRight w:val="0"/>
      <w:marTop w:val="0"/>
      <w:marBottom w:val="0"/>
      <w:divBdr>
        <w:top w:val="none" w:sz="0" w:space="0" w:color="auto"/>
        <w:left w:val="none" w:sz="0" w:space="0" w:color="auto"/>
        <w:bottom w:val="none" w:sz="0" w:space="0" w:color="auto"/>
        <w:right w:val="none" w:sz="0" w:space="0" w:color="auto"/>
      </w:divBdr>
      <w:divsChild>
        <w:div w:id="413355047">
          <w:marLeft w:val="0"/>
          <w:marRight w:val="0"/>
          <w:marTop w:val="0"/>
          <w:marBottom w:val="0"/>
          <w:divBdr>
            <w:top w:val="none" w:sz="0" w:space="0" w:color="auto"/>
            <w:left w:val="none" w:sz="0" w:space="0" w:color="auto"/>
            <w:bottom w:val="none" w:sz="0" w:space="0" w:color="auto"/>
            <w:right w:val="none" w:sz="0" w:space="0" w:color="auto"/>
          </w:divBdr>
        </w:div>
        <w:div w:id="585305504">
          <w:marLeft w:val="0"/>
          <w:marRight w:val="0"/>
          <w:marTop w:val="0"/>
          <w:marBottom w:val="0"/>
          <w:divBdr>
            <w:top w:val="none" w:sz="0" w:space="0" w:color="auto"/>
            <w:left w:val="none" w:sz="0" w:space="0" w:color="auto"/>
            <w:bottom w:val="none" w:sz="0" w:space="0" w:color="auto"/>
            <w:right w:val="none" w:sz="0" w:space="0" w:color="auto"/>
          </w:divBdr>
        </w:div>
        <w:div w:id="1277251735">
          <w:marLeft w:val="0"/>
          <w:marRight w:val="0"/>
          <w:marTop w:val="0"/>
          <w:marBottom w:val="0"/>
          <w:divBdr>
            <w:top w:val="none" w:sz="0" w:space="0" w:color="auto"/>
            <w:left w:val="none" w:sz="0" w:space="0" w:color="auto"/>
            <w:bottom w:val="none" w:sz="0" w:space="0" w:color="auto"/>
            <w:right w:val="none" w:sz="0" w:space="0" w:color="auto"/>
          </w:divBdr>
        </w:div>
        <w:div w:id="1035350631">
          <w:marLeft w:val="0"/>
          <w:marRight w:val="0"/>
          <w:marTop w:val="0"/>
          <w:marBottom w:val="0"/>
          <w:divBdr>
            <w:top w:val="none" w:sz="0" w:space="0" w:color="auto"/>
            <w:left w:val="none" w:sz="0" w:space="0" w:color="auto"/>
            <w:bottom w:val="none" w:sz="0" w:space="0" w:color="auto"/>
            <w:right w:val="none" w:sz="0" w:space="0" w:color="auto"/>
          </w:divBdr>
        </w:div>
        <w:div w:id="1005549724">
          <w:marLeft w:val="0"/>
          <w:marRight w:val="0"/>
          <w:marTop w:val="0"/>
          <w:marBottom w:val="0"/>
          <w:divBdr>
            <w:top w:val="none" w:sz="0" w:space="0" w:color="auto"/>
            <w:left w:val="none" w:sz="0" w:space="0" w:color="auto"/>
            <w:bottom w:val="none" w:sz="0" w:space="0" w:color="auto"/>
            <w:right w:val="none" w:sz="0" w:space="0" w:color="auto"/>
          </w:divBdr>
        </w:div>
        <w:div w:id="828328709">
          <w:marLeft w:val="0"/>
          <w:marRight w:val="0"/>
          <w:marTop w:val="0"/>
          <w:marBottom w:val="0"/>
          <w:divBdr>
            <w:top w:val="none" w:sz="0" w:space="0" w:color="auto"/>
            <w:left w:val="none" w:sz="0" w:space="0" w:color="auto"/>
            <w:bottom w:val="none" w:sz="0" w:space="0" w:color="auto"/>
            <w:right w:val="none" w:sz="0" w:space="0" w:color="auto"/>
          </w:divBdr>
        </w:div>
        <w:div w:id="565141136">
          <w:marLeft w:val="0"/>
          <w:marRight w:val="0"/>
          <w:marTop w:val="0"/>
          <w:marBottom w:val="0"/>
          <w:divBdr>
            <w:top w:val="none" w:sz="0" w:space="0" w:color="auto"/>
            <w:left w:val="none" w:sz="0" w:space="0" w:color="auto"/>
            <w:bottom w:val="none" w:sz="0" w:space="0" w:color="auto"/>
            <w:right w:val="none" w:sz="0" w:space="0" w:color="auto"/>
          </w:divBdr>
        </w:div>
        <w:div w:id="1714696614">
          <w:marLeft w:val="0"/>
          <w:marRight w:val="0"/>
          <w:marTop w:val="0"/>
          <w:marBottom w:val="0"/>
          <w:divBdr>
            <w:top w:val="none" w:sz="0" w:space="0" w:color="auto"/>
            <w:left w:val="none" w:sz="0" w:space="0" w:color="auto"/>
            <w:bottom w:val="none" w:sz="0" w:space="0" w:color="auto"/>
            <w:right w:val="none" w:sz="0" w:space="0" w:color="auto"/>
          </w:divBdr>
        </w:div>
        <w:div w:id="1179005675">
          <w:marLeft w:val="0"/>
          <w:marRight w:val="0"/>
          <w:marTop w:val="0"/>
          <w:marBottom w:val="0"/>
          <w:divBdr>
            <w:top w:val="none" w:sz="0" w:space="0" w:color="auto"/>
            <w:left w:val="none" w:sz="0" w:space="0" w:color="auto"/>
            <w:bottom w:val="none" w:sz="0" w:space="0" w:color="auto"/>
            <w:right w:val="none" w:sz="0" w:space="0" w:color="auto"/>
          </w:divBdr>
        </w:div>
        <w:div w:id="64912060">
          <w:marLeft w:val="0"/>
          <w:marRight w:val="0"/>
          <w:marTop w:val="0"/>
          <w:marBottom w:val="0"/>
          <w:divBdr>
            <w:top w:val="none" w:sz="0" w:space="0" w:color="auto"/>
            <w:left w:val="none" w:sz="0" w:space="0" w:color="auto"/>
            <w:bottom w:val="none" w:sz="0" w:space="0" w:color="auto"/>
            <w:right w:val="none" w:sz="0" w:space="0" w:color="auto"/>
          </w:divBdr>
        </w:div>
        <w:div w:id="463355908">
          <w:marLeft w:val="0"/>
          <w:marRight w:val="0"/>
          <w:marTop w:val="0"/>
          <w:marBottom w:val="0"/>
          <w:divBdr>
            <w:top w:val="none" w:sz="0" w:space="0" w:color="auto"/>
            <w:left w:val="none" w:sz="0" w:space="0" w:color="auto"/>
            <w:bottom w:val="none" w:sz="0" w:space="0" w:color="auto"/>
            <w:right w:val="none" w:sz="0" w:space="0" w:color="auto"/>
          </w:divBdr>
        </w:div>
        <w:div w:id="2025394470">
          <w:marLeft w:val="0"/>
          <w:marRight w:val="0"/>
          <w:marTop w:val="0"/>
          <w:marBottom w:val="0"/>
          <w:divBdr>
            <w:top w:val="none" w:sz="0" w:space="0" w:color="auto"/>
            <w:left w:val="none" w:sz="0" w:space="0" w:color="auto"/>
            <w:bottom w:val="none" w:sz="0" w:space="0" w:color="auto"/>
            <w:right w:val="none" w:sz="0" w:space="0" w:color="auto"/>
          </w:divBdr>
        </w:div>
        <w:div w:id="1724669563">
          <w:marLeft w:val="0"/>
          <w:marRight w:val="0"/>
          <w:marTop w:val="0"/>
          <w:marBottom w:val="0"/>
          <w:divBdr>
            <w:top w:val="none" w:sz="0" w:space="0" w:color="auto"/>
            <w:left w:val="none" w:sz="0" w:space="0" w:color="auto"/>
            <w:bottom w:val="none" w:sz="0" w:space="0" w:color="auto"/>
            <w:right w:val="none" w:sz="0" w:space="0" w:color="auto"/>
          </w:divBdr>
        </w:div>
        <w:div w:id="1061370823">
          <w:marLeft w:val="0"/>
          <w:marRight w:val="0"/>
          <w:marTop w:val="0"/>
          <w:marBottom w:val="0"/>
          <w:divBdr>
            <w:top w:val="none" w:sz="0" w:space="0" w:color="auto"/>
            <w:left w:val="none" w:sz="0" w:space="0" w:color="auto"/>
            <w:bottom w:val="none" w:sz="0" w:space="0" w:color="auto"/>
            <w:right w:val="none" w:sz="0" w:space="0" w:color="auto"/>
          </w:divBdr>
        </w:div>
        <w:div w:id="1207908086">
          <w:marLeft w:val="0"/>
          <w:marRight w:val="0"/>
          <w:marTop w:val="0"/>
          <w:marBottom w:val="0"/>
          <w:divBdr>
            <w:top w:val="none" w:sz="0" w:space="0" w:color="auto"/>
            <w:left w:val="none" w:sz="0" w:space="0" w:color="auto"/>
            <w:bottom w:val="none" w:sz="0" w:space="0" w:color="auto"/>
            <w:right w:val="none" w:sz="0" w:space="0" w:color="auto"/>
          </w:divBdr>
        </w:div>
      </w:divsChild>
    </w:div>
    <w:div w:id="309287116">
      <w:bodyDiv w:val="1"/>
      <w:marLeft w:val="0"/>
      <w:marRight w:val="0"/>
      <w:marTop w:val="0"/>
      <w:marBottom w:val="0"/>
      <w:divBdr>
        <w:top w:val="none" w:sz="0" w:space="0" w:color="auto"/>
        <w:left w:val="none" w:sz="0" w:space="0" w:color="auto"/>
        <w:bottom w:val="none" w:sz="0" w:space="0" w:color="auto"/>
        <w:right w:val="none" w:sz="0" w:space="0" w:color="auto"/>
      </w:divBdr>
      <w:divsChild>
        <w:div w:id="1498229753">
          <w:marLeft w:val="0"/>
          <w:marRight w:val="0"/>
          <w:marTop w:val="0"/>
          <w:marBottom w:val="0"/>
          <w:divBdr>
            <w:top w:val="none" w:sz="0" w:space="0" w:color="auto"/>
            <w:left w:val="none" w:sz="0" w:space="0" w:color="auto"/>
            <w:bottom w:val="none" w:sz="0" w:space="0" w:color="auto"/>
            <w:right w:val="none" w:sz="0" w:space="0" w:color="auto"/>
          </w:divBdr>
          <w:divsChild>
            <w:div w:id="768503648">
              <w:marLeft w:val="0"/>
              <w:marRight w:val="0"/>
              <w:marTop w:val="0"/>
              <w:marBottom w:val="0"/>
              <w:divBdr>
                <w:top w:val="none" w:sz="0" w:space="0" w:color="auto"/>
                <w:left w:val="none" w:sz="0" w:space="0" w:color="auto"/>
                <w:bottom w:val="none" w:sz="0" w:space="0" w:color="auto"/>
                <w:right w:val="none" w:sz="0" w:space="0" w:color="auto"/>
              </w:divBdr>
              <w:divsChild>
                <w:div w:id="14727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6688">
      <w:bodyDiv w:val="1"/>
      <w:marLeft w:val="0"/>
      <w:marRight w:val="0"/>
      <w:marTop w:val="0"/>
      <w:marBottom w:val="0"/>
      <w:divBdr>
        <w:top w:val="none" w:sz="0" w:space="0" w:color="auto"/>
        <w:left w:val="none" w:sz="0" w:space="0" w:color="auto"/>
        <w:bottom w:val="none" w:sz="0" w:space="0" w:color="auto"/>
        <w:right w:val="none" w:sz="0" w:space="0" w:color="auto"/>
      </w:divBdr>
      <w:divsChild>
        <w:div w:id="1254170994">
          <w:marLeft w:val="0"/>
          <w:marRight w:val="0"/>
          <w:marTop w:val="0"/>
          <w:marBottom w:val="0"/>
          <w:divBdr>
            <w:top w:val="none" w:sz="0" w:space="0" w:color="auto"/>
            <w:left w:val="none" w:sz="0" w:space="0" w:color="auto"/>
            <w:bottom w:val="none" w:sz="0" w:space="0" w:color="auto"/>
            <w:right w:val="none" w:sz="0" w:space="0" w:color="auto"/>
          </w:divBdr>
          <w:divsChild>
            <w:div w:id="1548370477">
              <w:marLeft w:val="0"/>
              <w:marRight w:val="0"/>
              <w:marTop w:val="0"/>
              <w:marBottom w:val="0"/>
              <w:divBdr>
                <w:top w:val="none" w:sz="0" w:space="0" w:color="auto"/>
                <w:left w:val="none" w:sz="0" w:space="0" w:color="auto"/>
                <w:bottom w:val="none" w:sz="0" w:space="0" w:color="auto"/>
                <w:right w:val="none" w:sz="0" w:space="0" w:color="auto"/>
              </w:divBdr>
              <w:divsChild>
                <w:div w:id="14419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6615">
      <w:bodyDiv w:val="1"/>
      <w:marLeft w:val="0"/>
      <w:marRight w:val="0"/>
      <w:marTop w:val="0"/>
      <w:marBottom w:val="0"/>
      <w:divBdr>
        <w:top w:val="none" w:sz="0" w:space="0" w:color="auto"/>
        <w:left w:val="none" w:sz="0" w:space="0" w:color="auto"/>
        <w:bottom w:val="none" w:sz="0" w:space="0" w:color="auto"/>
        <w:right w:val="none" w:sz="0" w:space="0" w:color="auto"/>
      </w:divBdr>
      <w:divsChild>
        <w:div w:id="775370937">
          <w:marLeft w:val="0"/>
          <w:marRight w:val="0"/>
          <w:marTop w:val="0"/>
          <w:marBottom w:val="0"/>
          <w:divBdr>
            <w:top w:val="none" w:sz="0" w:space="0" w:color="auto"/>
            <w:left w:val="none" w:sz="0" w:space="0" w:color="auto"/>
            <w:bottom w:val="none" w:sz="0" w:space="0" w:color="auto"/>
            <w:right w:val="none" w:sz="0" w:space="0" w:color="auto"/>
          </w:divBdr>
          <w:divsChild>
            <w:div w:id="357970625">
              <w:marLeft w:val="0"/>
              <w:marRight w:val="0"/>
              <w:marTop w:val="0"/>
              <w:marBottom w:val="0"/>
              <w:divBdr>
                <w:top w:val="none" w:sz="0" w:space="0" w:color="auto"/>
                <w:left w:val="none" w:sz="0" w:space="0" w:color="auto"/>
                <w:bottom w:val="none" w:sz="0" w:space="0" w:color="auto"/>
                <w:right w:val="none" w:sz="0" w:space="0" w:color="auto"/>
              </w:divBdr>
              <w:divsChild>
                <w:div w:id="7347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0903">
      <w:bodyDiv w:val="1"/>
      <w:marLeft w:val="0"/>
      <w:marRight w:val="0"/>
      <w:marTop w:val="0"/>
      <w:marBottom w:val="0"/>
      <w:divBdr>
        <w:top w:val="none" w:sz="0" w:space="0" w:color="auto"/>
        <w:left w:val="none" w:sz="0" w:space="0" w:color="auto"/>
        <w:bottom w:val="none" w:sz="0" w:space="0" w:color="auto"/>
        <w:right w:val="none" w:sz="0" w:space="0" w:color="auto"/>
      </w:divBdr>
      <w:divsChild>
        <w:div w:id="643195578">
          <w:marLeft w:val="0"/>
          <w:marRight w:val="0"/>
          <w:marTop w:val="0"/>
          <w:marBottom w:val="0"/>
          <w:divBdr>
            <w:top w:val="none" w:sz="0" w:space="0" w:color="auto"/>
            <w:left w:val="none" w:sz="0" w:space="0" w:color="auto"/>
            <w:bottom w:val="none" w:sz="0" w:space="0" w:color="auto"/>
            <w:right w:val="none" w:sz="0" w:space="0" w:color="auto"/>
          </w:divBdr>
          <w:divsChild>
            <w:div w:id="1438913788">
              <w:marLeft w:val="0"/>
              <w:marRight w:val="0"/>
              <w:marTop w:val="0"/>
              <w:marBottom w:val="0"/>
              <w:divBdr>
                <w:top w:val="none" w:sz="0" w:space="0" w:color="auto"/>
                <w:left w:val="none" w:sz="0" w:space="0" w:color="auto"/>
                <w:bottom w:val="none" w:sz="0" w:space="0" w:color="auto"/>
                <w:right w:val="none" w:sz="0" w:space="0" w:color="auto"/>
              </w:divBdr>
              <w:divsChild>
                <w:div w:id="21165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6487">
      <w:bodyDiv w:val="1"/>
      <w:marLeft w:val="0"/>
      <w:marRight w:val="0"/>
      <w:marTop w:val="0"/>
      <w:marBottom w:val="0"/>
      <w:divBdr>
        <w:top w:val="none" w:sz="0" w:space="0" w:color="auto"/>
        <w:left w:val="none" w:sz="0" w:space="0" w:color="auto"/>
        <w:bottom w:val="none" w:sz="0" w:space="0" w:color="auto"/>
        <w:right w:val="none" w:sz="0" w:space="0" w:color="auto"/>
      </w:divBdr>
    </w:div>
    <w:div w:id="806702813">
      <w:bodyDiv w:val="1"/>
      <w:marLeft w:val="0"/>
      <w:marRight w:val="0"/>
      <w:marTop w:val="0"/>
      <w:marBottom w:val="0"/>
      <w:divBdr>
        <w:top w:val="none" w:sz="0" w:space="0" w:color="auto"/>
        <w:left w:val="none" w:sz="0" w:space="0" w:color="auto"/>
        <w:bottom w:val="none" w:sz="0" w:space="0" w:color="auto"/>
        <w:right w:val="none" w:sz="0" w:space="0" w:color="auto"/>
      </w:divBdr>
      <w:divsChild>
        <w:div w:id="1981038551">
          <w:marLeft w:val="0"/>
          <w:marRight w:val="0"/>
          <w:marTop w:val="0"/>
          <w:marBottom w:val="0"/>
          <w:divBdr>
            <w:top w:val="none" w:sz="0" w:space="0" w:color="auto"/>
            <w:left w:val="none" w:sz="0" w:space="0" w:color="auto"/>
            <w:bottom w:val="none" w:sz="0" w:space="0" w:color="auto"/>
            <w:right w:val="none" w:sz="0" w:space="0" w:color="auto"/>
          </w:divBdr>
          <w:divsChild>
            <w:div w:id="1681464769">
              <w:marLeft w:val="0"/>
              <w:marRight w:val="0"/>
              <w:marTop w:val="0"/>
              <w:marBottom w:val="0"/>
              <w:divBdr>
                <w:top w:val="none" w:sz="0" w:space="0" w:color="auto"/>
                <w:left w:val="none" w:sz="0" w:space="0" w:color="auto"/>
                <w:bottom w:val="none" w:sz="0" w:space="0" w:color="auto"/>
                <w:right w:val="none" w:sz="0" w:space="0" w:color="auto"/>
              </w:divBdr>
              <w:divsChild>
                <w:div w:id="7667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0001">
      <w:bodyDiv w:val="1"/>
      <w:marLeft w:val="0"/>
      <w:marRight w:val="0"/>
      <w:marTop w:val="0"/>
      <w:marBottom w:val="0"/>
      <w:divBdr>
        <w:top w:val="none" w:sz="0" w:space="0" w:color="auto"/>
        <w:left w:val="none" w:sz="0" w:space="0" w:color="auto"/>
        <w:bottom w:val="none" w:sz="0" w:space="0" w:color="auto"/>
        <w:right w:val="none" w:sz="0" w:space="0" w:color="auto"/>
      </w:divBdr>
      <w:divsChild>
        <w:div w:id="33241970">
          <w:marLeft w:val="0"/>
          <w:marRight w:val="0"/>
          <w:marTop w:val="0"/>
          <w:marBottom w:val="0"/>
          <w:divBdr>
            <w:top w:val="none" w:sz="0" w:space="0" w:color="auto"/>
            <w:left w:val="none" w:sz="0" w:space="0" w:color="auto"/>
            <w:bottom w:val="none" w:sz="0" w:space="0" w:color="auto"/>
            <w:right w:val="none" w:sz="0" w:space="0" w:color="auto"/>
          </w:divBdr>
          <w:divsChild>
            <w:div w:id="235358994">
              <w:marLeft w:val="0"/>
              <w:marRight w:val="0"/>
              <w:marTop w:val="0"/>
              <w:marBottom w:val="0"/>
              <w:divBdr>
                <w:top w:val="none" w:sz="0" w:space="0" w:color="auto"/>
                <w:left w:val="none" w:sz="0" w:space="0" w:color="auto"/>
                <w:bottom w:val="none" w:sz="0" w:space="0" w:color="auto"/>
                <w:right w:val="none" w:sz="0" w:space="0" w:color="auto"/>
              </w:divBdr>
              <w:divsChild>
                <w:div w:id="4077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5759">
      <w:bodyDiv w:val="1"/>
      <w:marLeft w:val="0"/>
      <w:marRight w:val="0"/>
      <w:marTop w:val="0"/>
      <w:marBottom w:val="0"/>
      <w:divBdr>
        <w:top w:val="none" w:sz="0" w:space="0" w:color="auto"/>
        <w:left w:val="none" w:sz="0" w:space="0" w:color="auto"/>
        <w:bottom w:val="none" w:sz="0" w:space="0" w:color="auto"/>
        <w:right w:val="none" w:sz="0" w:space="0" w:color="auto"/>
      </w:divBdr>
      <w:divsChild>
        <w:div w:id="264192950">
          <w:marLeft w:val="0"/>
          <w:marRight w:val="0"/>
          <w:marTop w:val="0"/>
          <w:marBottom w:val="0"/>
          <w:divBdr>
            <w:top w:val="none" w:sz="0" w:space="0" w:color="auto"/>
            <w:left w:val="none" w:sz="0" w:space="0" w:color="auto"/>
            <w:bottom w:val="none" w:sz="0" w:space="0" w:color="auto"/>
            <w:right w:val="none" w:sz="0" w:space="0" w:color="auto"/>
          </w:divBdr>
          <w:divsChild>
            <w:div w:id="15738693">
              <w:marLeft w:val="0"/>
              <w:marRight w:val="0"/>
              <w:marTop w:val="0"/>
              <w:marBottom w:val="0"/>
              <w:divBdr>
                <w:top w:val="none" w:sz="0" w:space="0" w:color="auto"/>
                <w:left w:val="none" w:sz="0" w:space="0" w:color="auto"/>
                <w:bottom w:val="none" w:sz="0" w:space="0" w:color="auto"/>
                <w:right w:val="none" w:sz="0" w:space="0" w:color="auto"/>
              </w:divBdr>
              <w:divsChild>
                <w:div w:id="1811824247">
                  <w:marLeft w:val="0"/>
                  <w:marRight w:val="0"/>
                  <w:marTop w:val="0"/>
                  <w:marBottom w:val="0"/>
                  <w:divBdr>
                    <w:top w:val="none" w:sz="0" w:space="0" w:color="auto"/>
                    <w:left w:val="none" w:sz="0" w:space="0" w:color="auto"/>
                    <w:bottom w:val="none" w:sz="0" w:space="0" w:color="auto"/>
                    <w:right w:val="none" w:sz="0" w:space="0" w:color="auto"/>
                  </w:divBdr>
                  <w:divsChild>
                    <w:div w:id="3244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51798">
      <w:bodyDiv w:val="1"/>
      <w:marLeft w:val="0"/>
      <w:marRight w:val="0"/>
      <w:marTop w:val="0"/>
      <w:marBottom w:val="0"/>
      <w:divBdr>
        <w:top w:val="none" w:sz="0" w:space="0" w:color="auto"/>
        <w:left w:val="none" w:sz="0" w:space="0" w:color="auto"/>
        <w:bottom w:val="none" w:sz="0" w:space="0" w:color="auto"/>
        <w:right w:val="none" w:sz="0" w:space="0" w:color="auto"/>
      </w:divBdr>
      <w:divsChild>
        <w:div w:id="2062098602">
          <w:marLeft w:val="0"/>
          <w:marRight w:val="0"/>
          <w:marTop w:val="0"/>
          <w:marBottom w:val="0"/>
          <w:divBdr>
            <w:top w:val="none" w:sz="0" w:space="0" w:color="auto"/>
            <w:left w:val="none" w:sz="0" w:space="0" w:color="auto"/>
            <w:bottom w:val="none" w:sz="0" w:space="0" w:color="auto"/>
            <w:right w:val="none" w:sz="0" w:space="0" w:color="auto"/>
          </w:divBdr>
          <w:divsChild>
            <w:div w:id="173308092">
              <w:marLeft w:val="0"/>
              <w:marRight w:val="0"/>
              <w:marTop w:val="0"/>
              <w:marBottom w:val="0"/>
              <w:divBdr>
                <w:top w:val="none" w:sz="0" w:space="0" w:color="auto"/>
                <w:left w:val="none" w:sz="0" w:space="0" w:color="auto"/>
                <w:bottom w:val="none" w:sz="0" w:space="0" w:color="auto"/>
                <w:right w:val="none" w:sz="0" w:space="0" w:color="auto"/>
              </w:divBdr>
              <w:divsChild>
                <w:div w:id="6368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4842">
      <w:bodyDiv w:val="1"/>
      <w:marLeft w:val="0"/>
      <w:marRight w:val="0"/>
      <w:marTop w:val="0"/>
      <w:marBottom w:val="0"/>
      <w:divBdr>
        <w:top w:val="none" w:sz="0" w:space="0" w:color="auto"/>
        <w:left w:val="none" w:sz="0" w:space="0" w:color="auto"/>
        <w:bottom w:val="none" w:sz="0" w:space="0" w:color="auto"/>
        <w:right w:val="none" w:sz="0" w:space="0" w:color="auto"/>
      </w:divBdr>
    </w:div>
    <w:div w:id="1301761132">
      <w:bodyDiv w:val="1"/>
      <w:marLeft w:val="0"/>
      <w:marRight w:val="0"/>
      <w:marTop w:val="0"/>
      <w:marBottom w:val="0"/>
      <w:divBdr>
        <w:top w:val="none" w:sz="0" w:space="0" w:color="auto"/>
        <w:left w:val="none" w:sz="0" w:space="0" w:color="auto"/>
        <w:bottom w:val="none" w:sz="0" w:space="0" w:color="auto"/>
        <w:right w:val="none" w:sz="0" w:space="0" w:color="auto"/>
      </w:divBdr>
      <w:divsChild>
        <w:div w:id="119881731">
          <w:marLeft w:val="0"/>
          <w:marRight w:val="0"/>
          <w:marTop w:val="0"/>
          <w:marBottom w:val="0"/>
          <w:divBdr>
            <w:top w:val="none" w:sz="0" w:space="0" w:color="auto"/>
            <w:left w:val="none" w:sz="0" w:space="0" w:color="auto"/>
            <w:bottom w:val="none" w:sz="0" w:space="0" w:color="auto"/>
            <w:right w:val="none" w:sz="0" w:space="0" w:color="auto"/>
          </w:divBdr>
          <w:divsChild>
            <w:div w:id="48921669">
              <w:marLeft w:val="0"/>
              <w:marRight w:val="0"/>
              <w:marTop w:val="0"/>
              <w:marBottom w:val="0"/>
              <w:divBdr>
                <w:top w:val="none" w:sz="0" w:space="0" w:color="auto"/>
                <w:left w:val="none" w:sz="0" w:space="0" w:color="auto"/>
                <w:bottom w:val="none" w:sz="0" w:space="0" w:color="auto"/>
                <w:right w:val="none" w:sz="0" w:space="0" w:color="auto"/>
              </w:divBdr>
              <w:divsChild>
                <w:div w:id="1589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0311">
      <w:bodyDiv w:val="1"/>
      <w:marLeft w:val="0"/>
      <w:marRight w:val="0"/>
      <w:marTop w:val="0"/>
      <w:marBottom w:val="0"/>
      <w:divBdr>
        <w:top w:val="none" w:sz="0" w:space="0" w:color="auto"/>
        <w:left w:val="none" w:sz="0" w:space="0" w:color="auto"/>
        <w:bottom w:val="none" w:sz="0" w:space="0" w:color="auto"/>
        <w:right w:val="none" w:sz="0" w:space="0" w:color="auto"/>
      </w:divBdr>
      <w:divsChild>
        <w:div w:id="1995185653">
          <w:marLeft w:val="0"/>
          <w:marRight w:val="0"/>
          <w:marTop w:val="0"/>
          <w:marBottom w:val="0"/>
          <w:divBdr>
            <w:top w:val="none" w:sz="0" w:space="0" w:color="auto"/>
            <w:left w:val="none" w:sz="0" w:space="0" w:color="auto"/>
            <w:bottom w:val="none" w:sz="0" w:space="0" w:color="auto"/>
            <w:right w:val="none" w:sz="0" w:space="0" w:color="auto"/>
          </w:divBdr>
          <w:divsChild>
            <w:div w:id="1777403564">
              <w:marLeft w:val="0"/>
              <w:marRight w:val="0"/>
              <w:marTop w:val="0"/>
              <w:marBottom w:val="0"/>
              <w:divBdr>
                <w:top w:val="none" w:sz="0" w:space="0" w:color="auto"/>
                <w:left w:val="none" w:sz="0" w:space="0" w:color="auto"/>
                <w:bottom w:val="none" w:sz="0" w:space="0" w:color="auto"/>
                <w:right w:val="none" w:sz="0" w:space="0" w:color="auto"/>
              </w:divBdr>
              <w:divsChild>
                <w:div w:id="701129391">
                  <w:marLeft w:val="0"/>
                  <w:marRight w:val="0"/>
                  <w:marTop w:val="0"/>
                  <w:marBottom w:val="0"/>
                  <w:divBdr>
                    <w:top w:val="none" w:sz="0" w:space="0" w:color="auto"/>
                    <w:left w:val="none" w:sz="0" w:space="0" w:color="auto"/>
                    <w:bottom w:val="none" w:sz="0" w:space="0" w:color="auto"/>
                    <w:right w:val="none" w:sz="0" w:space="0" w:color="auto"/>
                  </w:divBdr>
                  <w:divsChild>
                    <w:div w:id="1558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38782">
      <w:bodyDiv w:val="1"/>
      <w:marLeft w:val="0"/>
      <w:marRight w:val="0"/>
      <w:marTop w:val="0"/>
      <w:marBottom w:val="0"/>
      <w:divBdr>
        <w:top w:val="none" w:sz="0" w:space="0" w:color="auto"/>
        <w:left w:val="none" w:sz="0" w:space="0" w:color="auto"/>
        <w:bottom w:val="none" w:sz="0" w:space="0" w:color="auto"/>
        <w:right w:val="none" w:sz="0" w:space="0" w:color="auto"/>
      </w:divBdr>
      <w:divsChild>
        <w:div w:id="1943952176">
          <w:marLeft w:val="0"/>
          <w:marRight w:val="0"/>
          <w:marTop w:val="0"/>
          <w:marBottom w:val="0"/>
          <w:divBdr>
            <w:top w:val="none" w:sz="0" w:space="0" w:color="auto"/>
            <w:left w:val="none" w:sz="0" w:space="0" w:color="auto"/>
            <w:bottom w:val="none" w:sz="0" w:space="0" w:color="auto"/>
            <w:right w:val="none" w:sz="0" w:space="0" w:color="auto"/>
          </w:divBdr>
          <w:divsChild>
            <w:div w:id="2087339329">
              <w:marLeft w:val="0"/>
              <w:marRight w:val="0"/>
              <w:marTop w:val="0"/>
              <w:marBottom w:val="0"/>
              <w:divBdr>
                <w:top w:val="none" w:sz="0" w:space="0" w:color="auto"/>
                <w:left w:val="none" w:sz="0" w:space="0" w:color="auto"/>
                <w:bottom w:val="none" w:sz="0" w:space="0" w:color="auto"/>
                <w:right w:val="none" w:sz="0" w:space="0" w:color="auto"/>
              </w:divBdr>
              <w:divsChild>
                <w:div w:id="3019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1323">
      <w:bodyDiv w:val="1"/>
      <w:marLeft w:val="0"/>
      <w:marRight w:val="0"/>
      <w:marTop w:val="0"/>
      <w:marBottom w:val="0"/>
      <w:divBdr>
        <w:top w:val="none" w:sz="0" w:space="0" w:color="auto"/>
        <w:left w:val="none" w:sz="0" w:space="0" w:color="auto"/>
        <w:bottom w:val="none" w:sz="0" w:space="0" w:color="auto"/>
        <w:right w:val="none" w:sz="0" w:space="0" w:color="auto"/>
      </w:divBdr>
      <w:divsChild>
        <w:div w:id="624626908">
          <w:marLeft w:val="0"/>
          <w:marRight w:val="0"/>
          <w:marTop w:val="0"/>
          <w:marBottom w:val="0"/>
          <w:divBdr>
            <w:top w:val="none" w:sz="0" w:space="0" w:color="auto"/>
            <w:left w:val="none" w:sz="0" w:space="0" w:color="auto"/>
            <w:bottom w:val="none" w:sz="0" w:space="0" w:color="auto"/>
            <w:right w:val="none" w:sz="0" w:space="0" w:color="auto"/>
          </w:divBdr>
          <w:divsChild>
            <w:div w:id="1895002077">
              <w:marLeft w:val="0"/>
              <w:marRight w:val="0"/>
              <w:marTop w:val="0"/>
              <w:marBottom w:val="0"/>
              <w:divBdr>
                <w:top w:val="none" w:sz="0" w:space="0" w:color="auto"/>
                <w:left w:val="none" w:sz="0" w:space="0" w:color="auto"/>
                <w:bottom w:val="none" w:sz="0" w:space="0" w:color="auto"/>
                <w:right w:val="none" w:sz="0" w:space="0" w:color="auto"/>
              </w:divBdr>
              <w:divsChild>
                <w:div w:id="838078344">
                  <w:marLeft w:val="0"/>
                  <w:marRight w:val="0"/>
                  <w:marTop w:val="0"/>
                  <w:marBottom w:val="0"/>
                  <w:divBdr>
                    <w:top w:val="none" w:sz="0" w:space="0" w:color="auto"/>
                    <w:left w:val="none" w:sz="0" w:space="0" w:color="auto"/>
                    <w:bottom w:val="none" w:sz="0" w:space="0" w:color="auto"/>
                    <w:right w:val="none" w:sz="0" w:space="0" w:color="auto"/>
                  </w:divBdr>
                  <w:divsChild>
                    <w:div w:id="1416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9815">
      <w:bodyDiv w:val="1"/>
      <w:marLeft w:val="0"/>
      <w:marRight w:val="0"/>
      <w:marTop w:val="0"/>
      <w:marBottom w:val="0"/>
      <w:divBdr>
        <w:top w:val="none" w:sz="0" w:space="0" w:color="auto"/>
        <w:left w:val="none" w:sz="0" w:space="0" w:color="auto"/>
        <w:bottom w:val="none" w:sz="0" w:space="0" w:color="auto"/>
        <w:right w:val="none" w:sz="0" w:space="0" w:color="auto"/>
      </w:divBdr>
    </w:div>
    <w:div w:id="1839615085">
      <w:bodyDiv w:val="1"/>
      <w:marLeft w:val="0"/>
      <w:marRight w:val="0"/>
      <w:marTop w:val="0"/>
      <w:marBottom w:val="0"/>
      <w:divBdr>
        <w:top w:val="none" w:sz="0" w:space="0" w:color="auto"/>
        <w:left w:val="none" w:sz="0" w:space="0" w:color="auto"/>
        <w:bottom w:val="none" w:sz="0" w:space="0" w:color="auto"/>
        <w:right w:val="none" w:sz="0" w:space="0" w:color="auto"/>
      </w:divBdr>
    </w:div>
    <w:div w:id="1936160025">
      <w:bodyDiv w:val="1"/>
      <w:marLeft w:val="0"/>
      <w:marRight w:val="0"/>
      <w:marTop w:val="0"/>
      <w:marBottom w:val="0"/>
      <w:divBdr>
        <w:top w:val="none" w:sz="0" w:space="0" w:color="auto"/>
        <w:left w:val="none" w:sz="0" w:space="0" w:color="auto"/>
        <w:bottom w:val="none" w:sz="0" w:space="0" w:color="auto"/>
        <w:right w:val="none" w:sz="0" w:space="0" w:color="auto"/>
      </w:divBdr>
      <w:divsChild>
        <w:div w:id="956718663">
          <w:marLeft w:val="0"/>
          <w:marRight w:val="0"/>
          <w:marTop w:val="0"/>
          <w:marBottom w:val="0"/>
          <w:divBdr>
            <w:top w:val="none" w:sz="0" w:space="0" w:color="auto"/>
            <w:left w:val="none" w:sz="0" w:space="0" w:color="auto"/>
            <w:bottom w:val="none" w:sz="0" w:space="0" w:color="auto"/>
            <w:right w:val="none" w:sz="0" w:space="0" w:color="auto"/>
          </w:divBdr>
          <w:divsChild>
            <w:div w:id="872499363">
              <w:marLeft w:val="0"/>
              <w:marRight w:val="0"/>
              <w:marTop w:val="0"/>
              <w:marBottom w:val="0"/>
              <w:divBdr>
                <w:top w:val="none" w:sz="0" w:space="0" w:color="auto"/>
                <w:left w:val="none" w:sz="0" w:space="0" w:color="auto"/>
                <w:bottom w:val="none" w:sz="0" w:space="0" w:color="auto"/>
                <w:right w:val="none" w:sz="0" w:space="0" w:color="auto"/>
              </w:divBdr>
              <w:divsChild>
                <w:div w:id="2018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70649">
      <w:bodyDiv w:val="1"/>
      <w:marLeft w:val="0"/>
      <w:marRight w:val="0"/>
      <w:marTop w:val="0"/>
      <w:marBottom w:val="0"/>
      <w:divBdr>
        <w:top w:val="none" w:sz="0" w:space="0" w:color="auto"/>
        <w:left w:val="none" w:sz="0" w:space="0" w:color="auto"/>
        <w:bottom w:val="none" w:sz="0" w:space="0" w:color="auto"/>
        <w:right w:val="none" w:sz="0" w:space="0" w:color="auto"/>
      </w:divBdr>
      <w:divsChild>
        <w:div w:id="1860704227">
          <w:marLeft w:val="0"/>
          <w:marRight w:val="0"/>
          <w:marTop w:val="0"/>
          <w:marBottom w:val="0"/>
          <w:divBdr>
            <w:top w:val="none" w:sz="0" w:space="0" w:color="auto"/>
            <w:left w:val="none" w:sz="0" w:space="0" w:color="auto"/>
            <w:bottom w:val="none" w:sz="0" w:space="0" w:color="auto"/>
            <w:right w:val="none" w:sz="0" w:space="0" w:color="auto"/>
          </w:divBdr>
          <w:divsChild>
            <w:div w:id="937906681">
              <w:marLeft w:val="0"/>
              <w:marRight w:val="0"/>
              <w:marTop w:val="0"/>
              <w:marBottom w:val="0"/>
              <w:divBdr>
                <w:top w:val="none" w:sz="0" w:space="0" w:color="auto"/>
                <w:left w:val="none" w:sz="0" w:space="0" w:color="auto"/>
                <w:bottom w:val="none" w:sz="0" w:space="0" w:color="auto"/>
                <w:right w:val="none" w:sz="0" w:space="0" w:color="auto"/>
              </w:divBdr>
              <w:divsChild>
                <w:div w:id="922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5522">
      <w:bodyDiv w:val="1"/>
      <w:marLeft w:val="0"/>
      <w:marRight w:val="0"/>
      <w:marTop w:val="0"/>
      <w:marBottom w:val="0"/>
      <w:divBdr>
        <w:top w:val="none" w:sz="0" w:space="0" w:color="auto"/>
        <w:left w:val="none" w:sz="0" w:space="0" w:color="auto"/>
        <w:bottom w:val="none" w:sz="0" w:space="0" w:color="auto"/>
        <w:right w:val="none" w:sz="0" w:space="0" w:color="auto"/>
      </w:divBdr>
    </w:div>
    <w:div w:id="2114670279">
      <w:bodyDiv w:val="1"/>
      <w:marLeft w:val="0"/>
      <w:marRight w:val="0"/>
      <w:marTop w:val="0"/>
      <w:marBottom w:val="0"/>
      <w:divBdr>
        <w:top w:val="none" w:sz="0" w:space="0" w:color="auto"/>
        <w:left w:val="none" w:sz="0" w:space="0" w:color="auto"/>
        <w:bottom w:val="none" w:sz="0" w:space="0" w:color="auto"/>
        <w:right w:val="none" w:sz="0" w:space="0" w:color="auto"/>
      </w:divBdr>
      <w:divsChild>
        <w:div w:id="718241457">
          <w:marLeft w:val="0"/>
          <w:marRight w:val="0"/>
          <w:marTop w:val="0"/>
          <w:marBottom w:val="0"/>
          <w:divBdr>
            <w:top w:val="none" w:sz="0" w:space="0" w:color="auto"/>
            <w:left w:val="none" w:sz="0" w:space="0" w:color="auto"/>
            <w:bottom w:val="none" w:sz="0" w:space="0" w:color="auto"/>
            <w:right w:val="none" w:sz="0" w:space="0" w:color="auto"/>
          </w:divBdr>
          <w:divsChild>
            <w:div w:id="1635671524">
              <w:marLeft w:val="0"/>
              <w:marRight w:val="0"/>
              <w:marTop w:val="0"/>
              <w:marBottom w:val="0"/>
              <w:divBdr>
                <w:top w:val="none" w:sz="0" w:space="0" w:color="auto"/>
                <w:left w:val="none" w:sz="0" w:space="0" w:color="auto"/>
                <w:bottom w:val="none" w:sz="0" w:space="0" w:color="auto"/>
                <w:right w:val="none" w:sz="0" w:space="0" w:color="auto"/>
              </w:divBdr>
              <w:divsChild>
                <w:div w:id="1976793756">
                  <w:marLeft w:val="0"/>
                  <w:marRight w:val="0"/>
                  <w:marTop w:val="0"/>
                  <w:marBottom w:val="0"/>
                  <w:divBdr>
                    <w:top w:val="none" w:sz="0" w:space="0" w:color="auto"/>
                    <w:left w:val="none" w:sz="0" w:space="0" w:color="auto"/>
                    <w:bottom w:val="none" w:sz="0" w:space="0" w:color="auto"/>
                    <w:right w:val="none" w:sz="0" w:space="0" w:color="auto"/>
                  </w:divBdr>
                  <w:divsChild>
                    <w:div w:id="8583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83531">
      <w:bodyDiv w:val="1"/>
      <w:marLeft w:val="0"/>
      <w:marRight w:val="0"/>
      <w:marTop w:val="0"/>
      <w:marBottom w:val="0"/>
      <w:divBdr>
        <w:top w:val="none" w:sz="0" w:space="0" w:color="auto"/>
        <w:left w:val="none" w:sz="0" w:space="0" w:color="auto"/>
        <w:bottom w:val="none" w:sz="0" w:space="0" w:color="auto"/>
        <w:right w:val="none" w:sz="0" w:space="0" w:color="auto"/>
      </w:divBdr>
      <w:divsChild>
        <w:div w:id="1325621792">
          <w:marLeft w:val="0"/>
          <w:marRight w:val="0"/>
          <w:marTop w:val="0"/>
          <w:marBottom w:val="0"/>
          <w:divBdr>
            <w:top w:val="none" w:sz="0" w:space="0" w:color="auto"/>
            <w:left w:val="none" w:sz="0" w:space="0" w:color="auto"/>
            <w:bottom w:val="none" w:sz="0" w:space="0" w:color="auto"/>
            <w:right w:val="none" w:sz="0" w:space="0" w:color="auto"/>
          </w:divBdr>
          <w:divsChild>
            <w:div w:id="1173378189">
              <w:marLeft w:val="0"/>
              <w:marRight w:val="0"/>
              <w:marTop w:val="0"/>
              <w:marBottom w:val="0"/>
              <w:divBdr>
                <w:top w:val="none" w:sz="0" w:space="0" w:color="auto"/>
                <w:left w:val="none" w:sz="0" w:space="0" w:color="auto"/>
                <w:bottom w:val="none" w:sz="0" w:space="0" w:color="auto"/>
                <w:right w:val="none" w:sz="0" w:space="0" w:color="auto"/>
              </w:divBdr>
              <w:divsChild>
                <w:div w:id="919411062">
                  <w:marLeft w:val="0"/>
                  <w:marRight w:val="0"/>
                  <w:marTop w:val="0"/>
                  <w:marBottom w:val="0"/>
                  <w:divBdr>
                    <w:top w:val="none" w:sz="0" w:space="0" w:color="auto"/>
                    <w:left w:val="none" w:sz="0" w:space="0" w:color="auto"/>
                    <w:bottom w:val="none" w:sz="0" w:space="0" w:color="auto"/>
                    <w:right w:val="none" w:sz="0" w:space="0" w:color="auto"/>
                  </w:divBdr>
                  <w:divsChild>
                    <w:div w:id="10717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04288EB-3AC6-BF4A-822C-A7D34EEE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7</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Messenger, Gregory</dc:creator>
  <cp:keywords/>
  <dc:description/>
  <cp:lastModifiedBy>Messenger, Gregory</cp:lastModifiedBy>
  <cp:revision>110</cp:revision>
  <dcterms:created xsi:type="dcterms:W3CDTF">2018-04-23T09:01:00Z</dcterms:created>
  <dcterms:modified xsi:type="dcterms:W3CDTF">2018-09-07T15:33:00Z</dcterms:modified>
</cp:coreProperties>
</file>