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6F" w:rsidRDefault="0037335F">
      <w:pPr>
        <w:rPr>
          <w:rFonts w:ascii="Arial" w:hAnsi="Arial" w:cs="Arial"/>
          <w:b/>
        </w:rPr>
      </w:pPr>
      <w:bookmarkStart w:id="0" w:name="_GoBack"/>
      <w:bookmarkEnd w:id="0"/>
      <w:r>
        <w:rPr>
          <w:rFonts w:ascii="Arial" w:hAnsi="Arial" w:cs="Arial"/>
          <w:b/>
        </w:rPr>
        <w:t>Discussing end of life wishes – the im</w:t>
      </w:r>
      <w:r w:rsidR="00D22681">
        <w:rPr>
          <w:rFonts w:ascii="Arial" w:hAnsi="Arial" w:cs="Arial"/>
          <w:b/>
        </w:rPr>
        <w:t>pact of community interventions</w:t>
      </w:r>
      <w:r w:rsidR="00FE4845">
        <w:rPr>
          <w:rFonts w:ascii="Arial" w:hAnsi="Arial" w:cs="Arial"/>
          <w:b/>
        </w:rPr>
        <w:t>?</w:t>
      </w:r>
      <w:r w:rsidR="00CE0196">
        <w:rPr>
          <w:rFonts w:ascii="Arial" w:hAnsi="Arial" w:cs="Arial"/>
          <w:b/>
        </w:rPr>
        <w:t xml:space="preserve"> </w:t>
      </w:r>
    </w:p>
    <w:p w:rsidR="00CE0196" w:rsidRPr="00DC5C57" w:rsidRDefault="00CE0196">
      <w:pPr>
        <w:rPr>
          <w:rFonts w:ascii="Arial" w:hAnsi="Arial" w:cs="Arial"/>
          <w:u w:val="single"/>
        </w:rPr>
      </w:pPr>
    </w:p>
    <w:p w:rsidR="00FC2069" w:rsidRPr="00DC5C57" w:rsidRDefault="00CE7220" w:rsidP="00EA21A2">
      <w:pPr>
        <w:spacing w:line="360" w:lineRule="auto"/>
        <w:rPr>
          <w:rFonts w:ascii="Arial" w:hAnsi="Arial" w:cs="Arial"/>
          <w:u w:val="single"/>
        </w:rPr>
      </w:pPr>
      <w:r w:rsidRPr="00DC5C57">
        <w:rPr>
          <w:rFonts w:ascii="Arial" w:hAnsi="Arial" w:cs="Arial"/>
          <w:u w:val="single"/>
        </w:rPr>
        <w:t xml:space="preserve"> </w:t>
      </w:r>
    </w:p>
    <w:p w:rsidR="00FC2069" w:rsidRDefault="00FC2069" w:rsidP="00477789">
      <w:pPr>
        <w:spacing w:after="0" w:line="276" w:lineRule="auto"/>
        <w:rPr>
          <w:rFonts w:ascii="Arial" w:hAnsi="Arial" w:cs="Arial"/>
        </w:rPr>
      </w:pPr>
      <w:r>
        <w:rPr>
          <w:rFonts w:ascii="Arial" w:hAnsi="Arial" w:cs="Arial"/>
        </w:rPr>
        <w:t>Katharine Abba</w:t>
      </w:r>
      <w:r w:rsidR="006B13F7">
        <w:rPr>
          <w:rFonts w:ascii="Arial" w:hAnsi="Arial" w:cs="Arial"/>
        </w:rPr>
        <w:t>:</w:t>
      </w:r>
    </w:p>
    <w:p w:rsidR="00477789" w:rsidRDefault="00477789" w:rsidP="00477789">
      <w:pPr>
        <w:spacing w:after="0" w:line="276" w:lineRule="auto"/>
        <w:rPr>
          <w:rFonts w:ascii="Arial" w:hAnsi="Arial" w:cs="Arial"/>
        </w:rPr>
      </w:pPr>
    </w:p>
    <w:p w:rsidR="00FC2069" w:rsidRDefault="00FC2069" w:rsidP="006B13F7">
      <w:pPr>
        <w:spacing w:after="0" w:line="360" w:lineRule="auto"/>
        <w:rPr>
          <w:rFonts w:ascii="Arial" w:hAnsi="Arial" w:cs="Arial"/>
        </w:rPr>
      </w:pPr>
      <w:r>
        <w:rPr>
          <w:rFonts w:ascii="Arial" w:hAnsi="Arial" w:cs="Arial"/>
        </w:rPr>
        <w:t>Department of Public Health and Policy</w:t>
      </w:r>
    </w:p>
    <w:p w:rsidR="00477789" w:rsidRDefault="00477789" w:rsidP="006B13F7">
      <w:pPr>
        <w:spacing w:after="0" w:line="360" w:lineRule="auto"/>
        <w:rPr>
          <w:rFonts w:ascii="Arial" w:hAnsi="Arial" w:cs="Arial"/>
        </w:rPr>
      </w:pPr>
      <w:r>
        <w:rPr>
          <w:rFonts w:ascii="Arial" w:hAnsi="Arial" w:cs="Arial"/>
        </w:rPr>
        <w:t>3</w:t>
      </w:r>
      <w:r w:rsidRPr="00477789">
        <w:rPr>
          <w:rFonts w:ascii="Arial" w:hAnsi="Arial" w:cs="Arial"/>
          <w:vertAlign w:val="superscript"/>
        </w:rPr>
        <w:t>rd</w:t>
      </w:r>
      <w:r w:rsidR="001F6D80">
        <w:rPr>
          <w:rFonts w:ascii="Arial" w:hAnsi="Arial" w:cs="Arial"/>
        </w:rPr>
        <w:t xml:space="preserve"> floor, Whe</w:t>
      </w:r>
      <w:r>
        <w:rPr>
          <w:rFonts w:ascii="Arial" w:hAnsi="Arial" w:cs="Arial"/>
        </w:rPr>
        <w:t>lan Building</w:t>
      </w:r>
    </w:p>
    <w:p w:rsidR="00FC2069" w:rsidRDefault="00FC2069" w:rsidP="006B13F7">
      <w:pPr>
        <w:spacing w:after="0" w:line="360" w:lineRule="auto"/>
        <w:rPr>
          <w:rFonts w:ascii="Arial" w:hAnsi="Arial" w:cs="Arial"/>
        </w:rPr>
      </w:pPr>
      <w:r>
        <w:rPr>
          <w:rFonts w:ascii="Arial" w:hAnsi="Arial" w:cs="Arial"/>
        </w:rPr>
        <w:t>University of Liverpool</w:t>
      </w:r>
    </w:p>
    <w:p w:rsidR="00FC2069" w:rsidRDefault="00DC5C57" w:rsidP="006B13F7">
      <w:pPr>
        <w:spacing w:after="0" w:line="360" w:lineRule="auto"/>
        <w:rPr>
          <w:rFonts w:ascii="Arial" w:hAnsi="Arial" w:cs="Arial"/>
        </w:rPr>
      </w:pPr>
      <w:r>
        <w:rPr>
          <w:rFonts w:ascii="Arial" w:hAnsi="Arial" w:cs="Arial"/>
        </w:rPr>
        <w:t>Liverpool</w:t>
      </w:r>
    </w:p>
    <w:p w:rsidR="00DC5C57" w:rsidRDefault="00DC5C57" w:rsidP="006B13F7">
      <w:pPr>
        <w:spacing w:after="0" w:line="360" w:lineRule="auto"/>
        <w:rPr>
          <w:rFonts w:ascii="Arial" w:hAnsi="Arial" w:cs="Arial"/>
        </w:rPr>
      </w:pPr>
      <w:r>
        <w:rPr>
          <w:rFonts w:ascii="Arial" w:hAnsi="Arial" w:cs="Arial"/>
        </w:rPr>
        <w:t>L69 3GB</w:t>
      </w:r>
    </w:p>
    <w:p w:rsidR="006B13F7" w:rsidRDefault="006B13F7" w:rsidP="00EA21A2">
      <w:pPr>
        <w:spacing w:line="360" w:lineRule="auto"/>
        <w:rPr>
          <w:rFonts w:ascii="Arial" w:hAnsi="Arial" w:cs="Arial"/>
        </w:rPr>
      </w:pPr>
      <w:r>
        <w:rPr>
          <w:rFonts w:ascii="Arial" w:hAnsi="Arial" w:cs="Arial"/>
        </w:rPr>
        <w:t>Email: k.abba@liverpool.ac.uk</w:t>
      </w:r>
    </w:p>
    <w:p w:rsidR="00FC2069" w:rsidRDefault="00FC2069" w:rsidP="00EA21A2">
      <w:pPr>
        <w:spacing w:line="360" w:lineRule="auto"/>
        <w:rPr>
          <w:rFonts w:ascii="Arial" w:hAnsi="Arial" w:cs="Arial"/>
        </w:rPr>
      </w:pPr>
    </w:p>
    <w:p w:rsidR="00CE7220" w:rsidRDefault="00CC059A" w:rsidP="006B13F7">
      <w:pPr>
        <w:spacing w:after="0" w:line="276" w:lineRule="auto"/>
        <w:rPr>
          <w:rFonts w:ascii="Arial" w:hAnsi="Arial" w:cs="Arial"/>
        </w:rPr>
      </w:pPr>
      <w:r>
        <w:rPr>
          <w:rFonts w:ascii="Arial" w:hAnsi="Arial" w:cs="Arial"/>
        </w:rPr>
        <w:t>Mari Lloyd-Williams</w:t>
      </w:r>
      <w:r w:rsidR="006B13F7">
        <w:rPr>
          <w:rFonts w:ascii="Arial" w:hAnsi="Arial" w:cs="Arial"/>
        </w:rPr>
        <w:t>:</w:t>
      </w:r>
    </w:p>
    <w:p w:rsidR="006B13F7" w:rsidRDefault="006B13F7" w:rsidP="006B13F7">
      <w:pPr>
        <w:spacing w:after="0" w:line="276" w:lineRule="auto"/>
        <w:rPr>
          <w:rFonts w:ascii="Arial" w:hAnsi="Arial" w:cs="Arial"/>
        </w:rPr>
      </w:pPr>
    </w:p>
    <w:p w:rsidR="00477789" w:rsidRDefault="00477789" w:rsidP="006B13F7">
      <w:pPr>
        <w:spacing w:after="0" w:line="360" w:lineRule="auto"/>
        <w:rPr>
          <w:rFonts w:ascii="Arial" w:hAnsi="Arial" w:cs="Arial"/>
        </w:rPr>
      </w:pPr>
      <w:r>
        <w:rPr>
          <w:rFonts w:ascii="Arial" w:hAnsi="Arial" w:cs="Arial"/>
        </w:rPr>
        <w:t xml:space="preserve">Academic Palliative </w:t>
      </w:r>
      <w:r w:rsidR="006B13F7">
        <w:rPr>
          <w:rFonts w:ascii="Arial" w:hAnsi="Arial" w:cs="Arial"/>
        </w:rPr>
        <w:t xml:space="preserve">and Supportive </w:t>
      </w:r>
      <w:r>
        <w:rPr>
          <w:rFonts w:ascii="Arial" w:hAnsi="Arial" w:cs="Arial"/>
        </w:rPr>
        <w:t xml:space="preserve">Care </w:t>
      </w:r>
      <w:r w:rsidR="006B13F7">
        <w:rPr>
          <w:rFonts w:ascii="Arial" w:hAnsi="Arial" w:cs="Arial"/>
        </w:rPr>
        <w:t>Studies Group</w:t>
      </w:r>
    </w:p>
    <w:p w:rsidR="00477789" w:rsidRDefault="00477789" w:rsidP="006B13F7">
      <w:pPr>
        <w:spacing w:after="0" w:line="360" w:lineRule="auto"/>
        <w:rPr>
          <w:rFonts w:ascii="Arial" w:hAnsi="Arial" w:cs="Arial"/>
        </w:rPr>
      </w:pPr>
      <w:r>
        <w:rPr>
          <w:rFonts w:ascii="Arial" w:hAnsi="Arial" w:cs="Arial"/>
        </w:rPr>
        <w:t>Department of Health Services Research</w:t>
      </w:r>
    </w:p>
    <w:p w:rsidR="006B13F7" w:rsidRDefault="006B13F7" w:rsidP="006B13F7">
      <w:pPr>
        <w:spacing w:after="0" w:line="360" w:lineRule="auto"/>
        <w:rPr>
          <w:rFonts w:ascii="Arial" w:hAnsi="Arial" w:cs="Arial"/>
        </w:rPr>
      </w:pPr>
      <w:r>
        <w:rPr>
          <w:rFonts w:ascii="Arial" w:hAnsi="Arial" w:cs="Arial"/>
        </w:rPr>
        <w:t>Ist floor, Block B, Waterhouse Building</w:t>
      </w:r>
    </w:p>
    <w:p w:rsidR="006B13F7" w:rsidRDefault="006B13F7" w:rsidP="006B13F7">
      <w:pPr>
        <w:spacing w:after="0" w:line="360" w:lineRule="auto"/>
        <w:rPr>
          <w:rFonts w:ascii="Arial" w:hAnsi="Arial" w:cs="Arial"/>
        </w:rPr>
      </w:pPr>
      <w:r>
        <w:rPr>
          <w:rFonts w:ascii="Arial" w:hAnsi="Arial" w:cs="Arial"/>
        </w:rPr>
        <w:t>Liverpool</w:t>
      </w:r>
    </w:p>
    <w:p w:rsidR="006B13F7" w:rsidRDefault="006B13F7" w:rsidP="006B13F7">
      <w:pPr>
        <w:spacing w:after="0" w:line="360" w:lineRule="auto"/>
        <w:rPr>
          <w:rFonts w:ascii="Arial" w:hAnsi="Arial" w:cs="Arial"/>
        </w:rPr>
      </w:pPr>
      <w:r>
        <w:rPr>
          <w:rFonts w:ascii="Arial" w:hAnsi="Arial" w:cs="Arial"/>
        </w:rPr>
        <w:t>L69 3BX</w:t>
      </w:r>
    </w:p>
    <w:p w:rsidR="00FC2069" w:rsidRDefault="006B13F7" w:rsidP="00EA21A2">
      <w:pPr>
        <w:spacing w:line="360" w:lineRule="auto"/>
        <w:rPr>
          <w:rFonts w:ascii="Arial" w:hAnsi="Arial" w:cs="Arial"/>
        </w:rPr>
      </w:pPr>
      <w:r>
        <w:rPr>
          <w:rFonts w:ascii="Arial" w:hAnsi="Arial" w:cs="Arial"/>
        </w:rPr>
        <w:t>Email: mlw@liverpool.ac.uk</w:t>
      </w:r>
    </w:p>
    <w:p w:rsidR="009D5D5E" w:rsidRDefault="009D5D5E" w:rsidP="009D5D5E">
      <w:pPr>
        <w:spacing w:line="360" w:lineRule="auto"/>
        <w:rPr>
          <w:rFonts w:ascii="Arial" w:hAnsi="Arial" w:cs="Arial"/>
        </w:rPr>
      </w:pPr>
    </w:p>
    <w:p w:rsidR="009D5D5E" w:rsidRDefault="009D5D5E" w:rsidP="009D5D5E">
      <w:pPr>
        <w:spacing w:line="360" w:lineRule="auto"/>
        <w:rPr>
          <w:rFonts w:ascii="Arial" w:hAnsi="Arial" w:cs="Arial"/>
        </w:rPr>
      </w:pPr>
      <w:r>
        <w:rPr>
          <w:rFonts w:ascii="Arial" w:hAnsi="Arial" w:cs="Arial"/>
        </w:rPr>
        <w:t>Siobhan Horton:</w:t>
      </w:r>
    </w:p>
    <w:p w:rsidR="009D5D5E" w:rsidRDefault="009D5D5E" w:rsidP="009D5D5E">
      <w:pPr>
        <w:spacing w:after="0" w:line="360" w:lineRule="auto"/>
        <w:rPr>
          <w:rFonts w:ascii="Arial" w:hAnsi="Arial" w:cs="Arial"/>
        </w:rPr>
      </w:pPr>
      <w:r>
        <w:rPr>
          <w:rFonts w:ascii="Arial" w:hAnsi="Arial" w:cs="Arial"/>
        </w:rPr>
        <w:t>End of Life Partnership, Cheshire</w:t>
      </w:r>
    </w:p>
    <w:p w:rsidR="009D5D5E" w:rsidRDefault="009D5D5E" w:rsidP="009D5D5E">
      <w:pPr>
        <w:spacing w:after="0" w:line="360" w:lineRule="auto"/>
        <w:rPr>
          <w:rFonts w:ascii="Arial" w:hAnsi="Arial" w:cs="Arial"/>
        </w:rPr>
      </w:pPr>
      <w:r>
        <w:rPr>
          <w:rFonts w:ascii="Arial" w:hAnsi="Arial" w:cs="Arial"/>
        </w:rPr>
        <w:t>Winterley Grange</w:t>
      </w:r>
    </w:p>
    <w:p w:rsidR="009D5D5E" w:rsidRDefault="009D5D5E" w:rsidP="009D5D5E">
      <w:pPr>
        <w:spacing w:after="0" w:line="360" w:lineRule="auto"/>
        <w:rPr>
          <w:rFonts w:ascii="Arial" w:hAnsi="Arial" w:cs="Arial"/>
        </w:rPr>
      </w:pPr>
      <w:r>
        <w:rPr>
          <w:rFonts w:ascii="Arial" w:hAnsi="Arial" w:cs="Arial"/>
        </w:rPr>
        <w:t>Unit 8, Wheelock Heath Business Court</w:t>
      </w:r>
    </w:p>
    <w:p w:rsidR="009D5D5E" w:rsidRDefault="009D5D5E" w:rsidP="009D5D5E">
      <w:pPr>
        <w:spacing w:after="0" w:line="360" w:lineRule="auto"/>
        <w:rPr>
          <w:rFonts w:ascii="Arial" w:hAnsi="Arial" w:cs="Arial"/>
        </w:rPr>
      </w:pPr>
      <w:r>
        <w:rPr>
          <w:rFonts w:ascii="Arial" w:hAnsi="Arial" w:cs="Arial"/>
        </w:rPr>
        <w:t xml:space="preserve">Alsager Road </w:t>
      </w:r>
    </w:p>
    <w:p w:rsidR="009D5D5E" w:rsidRDefault="009D5D5E" w:rsidP="009D5D5E">
      <w:pPr>
        <w:spacing w:after="0" w:line="360" w:lineRule="auto"/>
        <w:rPr>
          <w:rFonts w:ascii="Arial" w:hAnsi="Arial" w:cs="Arial"/>
        </w:rPr>
      </w:pPr>
      <w:r>
        <w:rPr>
          <w:rFonts w:ascii="Arial" w:hAnsi="Arial" w:cs="Arial"/>
        </w:rPr>
        <w:t>Winterely</w:t>
      </w:r>
    </w:p>
    <w:p w:rsidR="009D5D5E" w:rsidRDefault="009D5D5E" w:rsidP="009D5D5E">
      <w:pPr>
        <w:spacing w:after="0" w:line="360" w:lineRule="auto"/>
        <w:rPr>
          <w:rFonts w:ascii="Arial" w:hAnsi="Arial" w:cs="Arial"/>
        </w:rPr>
      </w:pPr>
      <w:r>
        <w:rPr>
          <w:rFonts w:ascii="Arial" w:hAnsi="Arial" w:cs="Arial"/>
        </w:rPr>
        <w:t>Sandbach</w:t>
      </w:r>
    </w:p>
    <w:p w:rsidR="009D5D5E" w:rsidRDefault="009D5D5E" w:rsidP="009D5D5E">
      <w:pPr>
        <w:spacing w:after="0" w:line="360" w:lineRule="auto"/>
        <w:rPr>
          <w:rFonts w:ascii="Arial" w:hAnsi="Arial" w:cs="Arial"/>
        </w:rPr>
      </w:pPr>
      <w:r>
        <w:rPr>
          <w:rFonts w:ascii="Arial" w:hAnsi="Arial" w:cs="Arial"/>
        </w:rPr>
        <w:t>Cheshire</w:t>
      </w:r>
    </w:p>
    <w:p w:rsidR="009D5D5E" w:rsidRDefault="009D5D5E" w:rsidP="009D5D5E">
      <w:pPr>
        <w:spacing w:after="0" w:line="360" w:lineRule="auto"/>
        <w:rPr>
          <w:rFonts w:ascii="Arial" w:hAnsi="Arial" w:cs="Arial"/>
        </w:rPr>
      </w:pPr>
      <w:r>
        <w:rPr>
          <w:rFonts w:ascii="Arial" w:hAnsi="Arial" w:cs="Arial"/>
        </w:rPr>
        <w:t>CW11 4RQ</w:t>
      </w:r>
    </w:p>
    <w:p w:rsidR="009D5D5E" w:rsidRDefault="009D5D5E" w:rsidP="009D5D5E">
      <w:pPr>
        <w:spacing w:after="0" w:line="360" w:lineRule="auto"/>
        <w:rPr>
          <w:rFonts w:ascii="Arial" w:hAnsi="Arial" w:cs="Arial"/>
        </w:rPr>
      </w:pPr>
      <w:r>
        <w:rPr>
          <w:rFonts w:ascii="Arial" w:hAnsi="Arial" w:cs="Arial"/>
        </w:rPr>
        <w:t xml:space="preserve">Email: </w:t>
      </w:r>
      <w:r w:rsidRPr="006B13F7">
        <w:rPr>
          <w:rFonts w:ascii="Arial" w:hAnsi="Arial" w:cs="Arial"/>
        </w:rPr>
        <w:t>siobh</w:t>
      </w:r>
      <w:r>
        <w:rPr>
          <w:rFonts w:ascii="Arial" w:hAnsi="Arial" w:cs="Arial"/>
        </w:rPr>
        <w:t>an_horton@stlukes-hospice.co.uk</w:t>
      </w:r>
    </w:p>
    <w:p w:rsidR="00FC2069" w:rsidRDefault="00FC2069" w:rsidP="00EA21A2">
      <w:pPr>
        <w:spacing w:line="360" w:lineRule="auto"/>
        <w:rPr>
          <w:rFonts w:ascii="Arial" w:hAnsi="Arial" w:cs="Arial"/>
        </w:rPr>
      </w:pPr>
    </w:p>
    <w:p w:rsidR="00FC2069" w:rsidRDefault="00FC2069" w:rsidP="00EA21A2">
      <w:pPr>
        <w:spacing w:line="360" w:lineRule="auto"/>
        <w:rPr>
          <w:rFonts w:ascii="Arial" w:hAnsi="Arial" w:cs="Arial"/>
        </w:rPr>
      </w:pPr>
    </w:p>
    <w:p w:rsidR="00FC2069" w:rsidRDefault="00FC2069" w:rsidP="00EA21A2">
      <w:pPr>
        <w:spacing w:line="360" w:lineRule="auto"/>
        <w:rPr>
          <w:rFonts w:ascii="Arial" w:hAnsi="Arial" w:cs="Arial"/>
        </w:rPr>
      </w:pPr>
    </w:p>
    <w:p w:rsidR="00EA21A2" w:rsidRDefault="00EA21A2" w:rsidP="006B13F7">
      <w:pPr>
        <w:rPr>
          <w:rFonts w:ascii="Arial" w:hAnsi="Arial" w:cs="Arial"/>
          <w:b/>
        </w:rPr>
      </w:pPr>
      <w:r>
        <w:rPr>
          <w:rFonts w:ascii="Arial" w:hAnsi="Arial" w:cs="Arial"/>
          <w:b/>
        </w:rPr>
        <w:lastRenderedPageBreak/>
        <w:t>Abstract</w:t>
      </w:r>
    </w:p>
    <w:p w:rsidR="00EA21A2" w:rsidRPr="00EA21A2" w:rsidRDefault="00EA21A2" w:rsidP="00EA21A2">
      <w:pPr>
        <w:spacing w:line="360" w:lineRule="auto"/>
        <w:rPr>
          <w:rFonts w:ascii="Arial" w:hAnsi="Arial" w:cs="Arial"/>
          <w:u w:val="single"/>
        </w:rPr>
      </w:pPr>
      <w:r w:rsidRPr="00EA21A2">
        <w:rPr>
          <w:rFonts w:ascii="Arial" w:hAnsi="Arial" w:cs="Arial"/>
          <w:u w:val="single"/>
        </w:rPr>
        <w:t>Background</w:t>
      </w:r>
    </w:p>
    <w:p w:rsidR="00EA21A2" w:rsidRDefault="00EA21A2" w:rsidP="00EA21A2">
      <w:pPr>
        <w:spacing w:line="360" w:lineRule="auto"/>
        <w:rPr>
          <w:rFonts w:ascii="Arial" w:hAnsi="Arial" w:cs="Arial"/>
        </w:rPr>
      </w:pPr>
      <w:r>
        <w:rPr>
          <w:rFonts w:ascii="Arial" w:hAnsi="Arial" w:cs="Arial"/>
        </w:rPr>
        <w:t xml:space="preserve">Many people </w:t>
      </w:r>
      <w:r w:rsidR="00BB2277">
        <w:rPr>
          <w:rFonts w:ascii="Arial" w:hAnsi="Arial" w:cs="Arial"/>
        </w:rPr>
        <w:t xml:space="preserve">do </w:t>
      </w:r>
      <w:r>
        <w:rPr>
          <w:rFonts w:ascii="Arial" w:hAnsi="Arial" w:cs="Arial"/>
        </w:rPr>
        <w:t>not discuss end of life preferences with those closest to them, although</w:t>
      </w:r>
      <w:r w:rsidR="00CB457D">
        <w:rPr>
          <w:rFonts w:ascii="Arial" w:hAnsi="Arial" w:cs="Arial"/>
        </w:rPr>
        <w:t xml:space="preserve"> this can be beneficial to </w:t>
      </w:r>
      <w:r w:rsidR="00BB2277">
        <w:rPr>
          <w:rFonts w:ascii="Arial" w:hAnsi="Arial" w:cs="Arial"/>
        </w:rPr>
        <w:t xml:space="preserve">the </w:t>
      </w:r>
      <w:r w:rsidR="00CB457D">
        <w:rPr>
          <w:rFonts w:ascii="Arial" w:hAnsi="Arial" w:cs="Arial"/>
        </w:rPr>
        <w:t xml:space="preserve">individual and </w:t>
      </w:r>
      <w:r w:rsidR="004F1946">
        <w:rPr>
          <w:rFonts w:ascii="Arial" w:hAnsi="Arial" w:cs="Arial"/>
        </w:rPr>
        <w:t>wider population</w:t>
      </w:r>
      <w:r w:rsidR="00CB457D">
        <w:rPr>
          <w:rFonts w:ascii="Arial" w:hAnsi="Arial" w:cs="Arial"/>
        </w:rPr>
        <w:t>.</w:t>
      </w:r>
      <w:r>
        <w:rPr>
          <w:rFonts w:ascii="Arial" w:hAnsi="Arial" w:cs="Arial"/>
        </w:rPr>
        <w:t xml:space="preserve"> </w:t>
      </w:r>
      <w:r w:rsidR="00D46F3A">
        <w:rPr>
          <w:rFonts w:ascii="Arial" w:hAnsi="Arial" w:cs="Arial"/>
        </w:rPr>
        <w:t xml:space="preserve">This study evaluated </w:t>
      </w:r>
      <w:r w:rsidR="0037335F">
        <w:rPr>
          <w:rFonts w:ascii="Arial" w:hAnsi="Arial" w:cs="Arial"/>
        </w:rPr>
        <w:t>a community</w:t>
      </w:r>
      <w:r>
        <w:rPr>
          <w:rFonts w:ascii="Arial" w:hAnsi="Arial" w:cs="Arial"/>
        </w:rPr>
        <w:t xml:space="preserve"> intervention to promote end of life preparation and</w:t>
      </w:r>
      <w:r w:rsidR="0037335F">
        <w:rPr>
          <w:rFonts w:ascii="Arial" w:hAnsi="Arial" w:cs="Arial"/>
        </w:rPr>
        <w:t xml:space="preserve"> discussion</w:t>
      </w:r>
      <w:r w:rsidR="00D46F3A">
        <w:rPr>
          <w:rFonts w:ascii="Arial" w:hAnsi="Arial" w:cs="Arial"/>
        </w:rPr>
        <w:t xml:space="preserve"> among people who are currently well.</w:t>
      </w:r>
    </w:p>
    <w:p w:rsidR="00EA21A2" w:rsidRDefault="00EA21A2" w:rsidP="00EA21A2">
      <w:pPr>
        <w:spacing w:line="360" w:lineRule="auto"/>
        <w:rPr>
          <w:rFonts w:ascii="Arial" w:hAnsi="Arial" w:cs="Arial"/>
          <w:u w:val="single"/>
        </w:rPr>
      </w:pPr>
      <w:r>
        <w:rPr>
          <w:rFonts w:ascii="Arial" w:hAnsi="Arial" w:cs="Arial"/>
          <w:u w:val="single"/>
        </w:rPr>
        <w:t>Methods</w:t>
      </w:r>
    </w:p>
    <w:p w:rsidR="00A90176" w:rsidRDefault="00EA21A2" w:rsidP="00EA21A2">
      <w:pPr>
        <w:spacing w:line="360" w:lineRule="auto"/>
        <w:rPr>
          <w:rFonts w:ascii="Arial" w:hAnsi="Arial" w:cs="Arial"/>
        </w:rPr>
      </w:pPr>
      <w:r>
        <w:rPr>
          <w:rFonts w:ascii="Arial" w:hAnsi="Arial" w:cs="Arial"/>
        </w:rPr>
        <w:t xml:space="preserve">A series of presentations and workshops </w:t>
      </w:r>
      <w:r w:rsidR="00BB2277">
        <w:rPr>
          <w:rFonts w:ascii="Arial" w:hAnsi="Arial" w:cs="Arial"/>
        </w:rPr>
        <w:t xml:space="preserve">(the intervention) </w:t>
      </w:r>
      <w:r>
        <w:rPr>
          <w:rFonts w:ascii="Arial" w:hAnsi="Arial" w:cs="Arial"/>
        </w:rPr>
        <w:t xml:space="preserve">were delivered to community groups and </w:t>
      </w:r>
      <w:r w:rsidR="00C66FD8">
        <w:rPr>
          <w:rFonts w:ascii="Arial" w:hAnsi="Arial" w:cs="Arial"/>
        </w:rPr>
        <w:t>people</w:t>
      </w:r>
      <w:r>
        <w:rPr>
          <w:rFonts w:ascii="Arial" w:hAnsi="Arial" w:cs="Arial"/>
        </w:rPr>
        <w:t xml:space="preserve"> working </w:t>
      </w:r>
      <w:r w:rsidR="00BB2277">
        <w:rPr>
          <w:rFonts w:ascii="Arial" w:hAnsi="Arial" w:cs="Arial"/>
        </w:rPr>
        <w:t>with</w:t>
      </w:r>
      <w:r>
        <w:rPr>
          <w:rFonts w:ascii="Arial" w:hAnsi="Arial" w:cs="Arial"/>
        </w:rPr>
        <w:t xml:space="preserve">in health and social care. </w:t>
      </w:r>
      <w:r w:rsidR="00BB2277">
        <w:rPr>
          <w:rFonts w:ascii="Arial" w:hAnsi="Arial" w:cs="Arial"/>
        </w:rPr>
        <w:t>Participants</w:t>
      </w:r>
      <w:r>
        <w:rPr>
          <w:rFonts w:ascii="Arial" w:hAnsi="Arial" w:cs="Arial"/>
        </w:rPr>
        <w:t xml:space="preserve"> were </w:t>
      </w:r>
      <w:r w:rsidR="00BB2277">
        <w:rPr>
          <w:rFonts w:ascii="Arial" w:hAnsi="Arial" w:cs="Arial"/>
        </w:rPr>
        <w:t>invited</w:t>
      </w:r>
      <w:r>
        <w:rPr>
          <w:rFonts w:ascii="Arial" w:hAnsi="Arial" w:cs="Arial"/>
        </w:rPr>
        <w:t xml:space="preserve"> to complete a three-stage follow-up survey</w:t>
      </w:r>
      <w:r w:rsidR="00FB24D5">
        <w:rPr>
          <w:rFonts w:ascii="Arial" w:hAnsi="Arial" w:cs="Arial"/>
        </w:rPr>
        <w:t xml:space="preserve"> at Baseline, Post intervention</w:t>
      </w:r>
      <w:r w:rsidR="00A90176">
        <w:rPr>
          <w:rFonts w:ascii="Arial" w:hAnsi="Arial" w:cs="Arial"/>
        </w:rPr>
        <w:t xml:space="preserve"> </w:t>
      </w:r>
      <w:r>
        <w:rPr>
          <w:rFonts w:ascii="Arial" w:hAnsi="Arial" w:cs="Arial"/>
        </w:rPr>
        <w:t xml:space="preserve">and </w:t>
      </w:r>
      <w:r w:rsidR="0037335F">
        <w:rPr>
          <w:rFonts w:ascii="Arial" w:hAnsi="Arial" w:cs="Arial"/>
        </w:rPr>
        <w:t>at three months</w:t>
      </w:r>
      <w:r w:rsidR="00A90176">
        <w:rPr>
          <w:rFonts w:ascii="Arial" w:hAnsi="Arial" w:cs="Arial"/>
        </w:rPr>
        <w:t>.</w:t>
      </w:r>
    </w:p>
    <w:p w:rsidR="00F7022A" w:rsidRDefault="00A90176" w:rsidP="00A90176">
      <w:pPr>
        <w:spacing w:line="360" w:lineRule="auto"/>
        <w:rPr>
          <w:rFonts w:ascii="Arial" w:hAnsi="Arial" w:cs="Arial"/>
          <w:u w:val="single"/>
        </w:rPr>
      </w:pPr>
      <w:r w:rsidRPr="00A90176">
        <w:rPr>
          <w:rFonts w:ascii="Arial" w:hAnsi="Arial" w:cs="Arial"/>
          <w:u w:val="single"/>
        </w:rPr>
        <w:t xml:space="preserve">Results </w:t>
      </w:r>
    </w:p>
    <w:p w:rsidR="001C284D" w:rsidRDefault="00A90176" w:rsidP="00A90176">
      <w:pPr>
        <w:spacing w:line="360" w:lineRule="auto"/>
        <w:rPr>
          <w:rFonts w:ascii="Arial" w:hAnsi="Arial" w:cs="Arial"/>
        </w:rPr>
      </w:pPr>
      <w:r>
        <w:rPr>
          <w:rFonts w:ascii="Arial" w:hAnsi="Arial" w:cs="Arial"/>
        </w:rPr>
        <w:t>Baseline questionnaires wer</w:t>
      </w:r>
      <w:r w:rsidR="00E945DF">
        <w:rPr>
          <w:rFonts w:ascii="Arial" w:hAnsi="Arial" w:cs="Arial"/>
        </w:rPr>
        <w:t>e completed by 498 individuals</w:t>
      </w:r>
      <w:r w:rsidR="00C66FD8">
        <w:rPr>
          <w:rFonts w:ascii="Arial" w:hAnsi="Arial" w:cs="Arial"/>
        </w:rPr>
        <w:t>.</w:t>
      </w:r>
      <w:r w:rsidR="00F24C6B">
        <w:rPr>
          <w:rFonts w:ascii="Arial" w:hAnsi="Arial" w:cs="Arial"/>
        </w:rPr>
        <w:t xml:space="preserve"> </w:t>
      </w:r>
      <w:r w:rsidR="004237E4">
        <w:rPr>
          <w:rFonts w:ascii="Arial" w:hAnsi="Arial" w:cs="Arial"/>
        </w:rPr>
        <w:t xml:space="preserve">Overall, 51% reported talking with close family or friends about </w:t>
      </w:r>
      <w:r w:rsidR="00C66FD8">
        <w:rPr>
          <w:rFonts w:ascii="Arial" w:hAnsi="Arial" w:cs="Arial"/>
        </w:rPr>
        <w:t xml:space="preserve">their </w:t>
      </w:r>
      <w:r w:rsidR="004237E4">
        <w:rPr>
          <w:rFonts w:ascii="Arial" w:hAnsi="Arial" w:cs="Arial"/>
        </w:rPr>
        <w:t xml:space="preserve">end </w:t>
      </w:r>
      <w:r w:rsidR="00ED2136">
        <w:rPr>
          <w:rFonts w:ascii="Arial" w:hAnsi="Arial" w:cs="Arial"/>
        </w:rPr>
        <w:t>of life care, and 58% reported talking</w:t>
      </w:r>
      <w:r w:rsidR="004237E4">
        <w:rPr>
          <w:rFonts w:ascii="Arial" w:hAnsi="Arial" w:cs="Arial"/>
        </w:rPr>
        <w:t xml:space="preserve"> about what they would like to happen after their death. </w:t>
      </w:r>
      <w:r w:rsidR="00AB6931">
        <w:rPr>
          <w:rFonts w:ascii="Arial" w:hAnsi="Arial" w:cs="Arial"/>
        </w:rPr>
        <w:t xml:space="preserve">There was a significant positive relationship between increasing age group and having talked about end of life wishes. </w:t>
      </w:r>
      <w:r w:rsidR="0037335F">
        <w:rPr>
          <w:rFonts w:ascii="Arial" w:hAnsi="Arial" w:cs="Arial"/>
        </w:rPr>
        <w:t xml:space="preserve">The majority of participants were already comfortable in talking about end of life </w:t>
      </w:r>
      <w:r w:rsidR="00D021D9">
        <w:rPr>
          <w:rFonts w:ascii="Arial" w:hAnsi="Arial" w:cs="Arial"/>
        </w:rPr>
        <w:t xml:space="preserve">(overall mean score 8.28/10). Post </w:t>
      </w:r>
      <w:r w:rsidR="00BB2277">
        <w:rPr>
          <w:rFonts w:ascii="Arial" w:hAnsi="Arial" w:cs="Arial"/>
        </w:rPr>
        <w:t>intervention</w:t>
      </w:r>
      <w:r w:rsidR="00D021D9">
        <w:rPr>
          <w:rFonts w:ascii="Arial" w:hAnsi="Arial" w:cs="Arial"/>
        </w:rPr>
        <w:t xml:space="preserve">, </w:t>
      </w:r>
      <w:r w:rsidR="001C284D">
        <w:rPr>
          <w:rFonts w:ascii="Arial" w:hAnsi="Arial" w:cs="Arial"/>
        </w:rPr>
        <w:t xml:space="preserve">73% stated that </w:t>
      </w:r>
      <w:r w:rsidR="0037335F">
        <w:rPr>
          <w:rFonts w:ascii="Arial" w:hAnsi="Arial" w:cs="Arial"/>
        </w:rPr>
        <w:t>they planned to take action including</w:t>
      </w:r>
      <w:r w:rsidR="001C284D">
        <w:rPr>
          <w:rFonts w:ascii="Arial" w:hAnsi="Arial" w:cs="Arial"/>
        </w:rPr>
        <w:t xml:space="preserve"> </w:t>
      </w:r>
      <w:r w:rsidR="00D021D9">
        <w:rPr>
          <w:rFonts w:ascii="Arial" w:hAnsi="Arial" w:cs="Arial"/>
        </w:rPr>
        <w:t xml:space="preserve">61% </w:t>
      </w:r>
      <w:r w:rsidR="001C284D">
        <w:rPr>
          <w:rFonts w:ascii="Arial" w:hAnsi="Arial" w:cs="Arial"/>
        </w:rPr>
        <w:t xml:space="preserve">who </w:t>
      </w:r>
      <w:r w:rsidR="00D021D9">
        <w:rPr>
          <w:rFonts w:ascii="Arial" w:hAnsi="Arial" w:cs="Arial"/>
        </w:rPr>
        <w:t xml:space="preserve">planned </w:t>
      </w:r>
      <w:r w:rsidR="00CB457D">
        <w:rPr>
          <w:rFonts w:ascii="Arial" w:hAnsi="Arial" w:cs="Arial"/>
        </w:rPr>
        <w:t>a specific conversation</w:t>
      </w:r>
      <w:r w:rsidR="00D021D9">
        <w:rPr>
          <w:rFonts w:ascii="Arial" w:hAnsi="Arial" w:cs="Arial"/>
        </w:rPr>
        <w:t xml:space="preserve"> and 55% </w:t>
      </w:r>
      <w:r w:rsidR="001C284D">
        <w:rPr>
          <w:rFonts w:ascii="Arial" w:hAnsi="Arial" w:cs="Arial"/>
        </w:rPr>
        <w:t xml:space="preserve">who planned </w:t>
      </w:r>
      <w:r w:rsidR="00C66FD8">
        <w:rPr>
          <w:rFonts w:ascii="Arial" w:hAnsi="Arial" w:cs="Arial"/>
        </w:rPr>
        <w:t>an</w:t>
      </w:r>
      <w:r w:rsidR="001C284D">
        <w:rPr>
          <w:rFonts w:ascii="Arial" w:hAnsi="Arial" w:cs="Arial"/>
        </w:rPr>
        <w:t>other action</w:t>
      </w:r>
      <w:r w:rsidR="00D021D9">
        <w:rPr>
          <w:rFonts w:ascii="Arial" w:hAnsi="Arial" w:cs="Arial"/>
        </w:rPr>
        <w:t>.</w:t>
      </w:r>
      <w:r w:rsidR="00E945DF">
        <w:rPr>
          <w:rFonts w:ascii="Arial" w:hAnsi="Arial" w:cs="Arial"/>
        </w:rPr>
        <w:t xml:space="preserve"> </w:t>
      </w:r>
      <w:r w:rsidR="0037335F">
        <w:rPr>
          <w:rFonts w:ascii="Arial" w:hAnsi="Arial" w:cs="Arial"/>
        </w:rPr>
        <w:t xml:space="preserve">At follow-up </w:t>
      </w:r>
      <w:r w:rsidR="001C284D">
        <w:rPr>
          <w:rFonts w:ascii="Arial" w:hAnsi="Arial" w:cs="Arial"/>
        </w:rPr>
        <w:t>64% reported that they had tak</w:t>
      </w:r>
      <w:r w:rsidR="00CB457D">
        <w:rPr>
          <w:rFonts w:ascii="Arial" w:hAnsi="Arial" w:cs="Arial"/>
        </w:rPr>
        <w:t xml:space="preserve">en some action due to the </w:t>
      </w:r>
      <w:r w:rsidR="00BB2277">
        <w:rPr>
          <w:rFonts w:ascii="Arial" w:hAnsi="Arial" w:cs="Arial"/>
        </w:rPr>
        <w:t>intervention</w:t>
      </w:r>
      <w:r w:rsidR="00ED2136">
        <w:rPr>
          <w:rFonts w:ascii="Arial" w:hAnsi="Arial" w:cs="Arial"/>
        </w:rPr>
        <w:t>,</w:t>
      </w:r>
      <w:r w:rsidR="001C284D">
        <w:rPr>
          <w:rFonts w:ascii="Arial" w:hAnsi="Arial" w:cs="Arial"/>
        </w:rPr>
        <w:t xml:space="preserve"> including 43% who had talked about their own end of life preferences and 39% who had taken some other action.</w:t>
      </w:r>
    </w:p>
    <w:p w:rsidR="001C284D" w:rsidRDefault="001C284D" w:rsidP="00A90176">
      <w:pPr>
        <w:spacing w:line="360" w:lineRule="auto"/>
        <w:rPr>
          <w:rFonts w:ascii="Arial" w:hAnsi="Arial" w:cs="Arial"/>
          <w:u w:val="single"/>
        </w:rPr>
      </w:pPr>
      <w:r>
        <w:rPr>
          <w:rFonts w:ascii="Arial" w:hAnsi="Arial" w:cs="Arial"/>
          <w:u w:val="single"/>
        </w:rPr>
        <w:t>Conclusions</w:t>
      </w:r>
    </w:p>
    <w:p w:rsidR="00D021D9" w:rsidRPr="001C284D" w:rsidRDefault="001C284D" w:rsidP="00A90176">
      <w:pPr>
        <w:spacing w:line="360" w:lineRule="auto"/>
        <w:rPr>
          <w:rFonts w:ascii="Arial" w:hAnsi="Arial" w:cs="Arial"/>
          <w:u w:val="single"/>
        </w:rPr>
      </w:pPr>
      <w:r>
        <w:rPr>
          <w:rFonts w:ascii="Arial" w:hAnsi="Arial" w:cs="Arial"/>
        </w:rPr>
        <w:t xml:space="preserve">Well-designed </w:t>
      </w:r>
      <w:r w:rsidR="00CB457D">
        <w:rPr>
          <w:rFonts w:ascii="Arial" w:hAnsi="Arial" w:cs="Arial"/>
        </w:rPr>
        <w:t xml:space="preserve">community-based interventions can be successful in prompting people to consider and discuss their end of life preferences. </w:t>
      </w:r>
      <w:r>
        <w:rPr>
          <w:rFonts w:ascii="Arial" w:hAnsi="Arial" w:cs="Arial"/>
        </w:rPr>
        <w:t xml:space="preserve"> </w:t>
      </w:r>
    </w:p>
    <w:p w:rsidR="00A90176" w:rsidRDefault="00A90176" w:rsidP="00A90176">
      <w:pPr>
        <w:spacing w:line="360" w:lineRule="auto"/>
        <w:rPr>
          <w:rFonts w:ascii="Arial" w:hAnsi="Arial" w:cs="Arial"/>
          <w:u w:val="single"/>
        </w:rPr>
      </w:pPr>
    </w:p>
    <w:p w:rsidR="0046233F" w:rsidRDefault="0046233F" w:rsidP="00A90176">
      <w:pPr>
        <w:spacing w:line="360" w:lineRule="auto"/>
        <w:rPr>
          <w:rFonts w:ascii="Arial" w:hAnsi="Arial" w:cs="Arial"/>
        </w:rPr>
      </w:pPr>
      <w:r>
        <w:rPr>
          <w:rFonts w:ascii="Arial" w:hAnsi="Arial" w:cs="Arial"/>
          <w:u w:val="single"/>
        </w:rPr>
        <w:t>Keywords:</w:t>
      </w:r>
      <w:r>
        <w:rPr>
          <w:rFonts w:ascii="Arial" w:hAnsi="Arial" w:cs="Arial"/>
        </w:rPr>
        <w:t xml:space="preserve"> end of life, community development, wills, funerals, dying, death, bereavement, grieving, health promotion</w:t>
      </w:r>
    </w:p>
    <w:p w:rsidR="0037335F" w:rsidRPr="0046233F" w:rsidRDefault="0037335F" w:rsidP="00A90176">
      <w:pPr>
        <w:spacing w:line="360" w:lineRule="auto"/>
        <w:rPr>
          <w:rFonts w:ascii="Arial" w:hAnsi="Arial" w:cs="Arial"/>
        </w:rPr>
      </w:pPr>
    </w:p>
    <w:p w:rsidR="0046233F" w:rsidRDefault="0046233F">
      <w:pPr>
        <w:rPr>
          <w:rFonts w:ascii="Arial" w:hAnsi="Arial" w:cs="Arial"/>
          <w:b/>
        </w:rPr>
      </w:pPr>
    </w:p>
    <w:p w:rsidR="00E945DF" w:rsidRDefault="00E945DF">
      <w:pPr>
        <w:rPr>
          <w:rFonts w:ascii="Arial" w:hAnsi="Arial" w:cs="Arial"/>
          <w:b/>
        </w:rPr>
      </w:pPr>
      <w:r>
        <w:rPr>
          <w:rFonts w:ascii="Arial" w:hAnsi="Arial" w:cs="Arial"/>
          <w:b/>
        </w:rPr>
        <w:br w:type="page"/>
      </w:r>
    </w:p>
    <w:p w:rsidR="00A176F8" w:rsidRDefault="00A176F8">
      <w:pPr>
        <w:rPr>
          <w:rFonts w:ascii="Arial" w:hAnsi="Arial" w:cs="Arial"/>
          <w:b/>
        </w:rPr>
      </w:pPr>
      <w:r>
        <w:rPr>
          <w:rFonts w:ascii="Arial" w:hAnsi="Arial" w:cs="Arial"/>
          <w:b/>
        </w:rPr>
        <w:lastRenderedPageBreak/>
        <w:t>Background</w:t>
      </w:r>
    </w:p>
    <w:p w:rsidR="00EF4473" w:rsidRDefault="008F3BD4" w:rsidP="0011397F">
      <w:pPr>
        <w:autoSpaceDE w:val="0"/>
        <w:autoSpaceDN w:val="0"/>
        <w:adjustRightInd w:val="0"/>
        <w:spacing w:after="0" w:line="360" w:lineRule="auto"/>
        <w:rPr>
          <w:rFonts w:ascii="Arial" w:hAnsi="Arial" w:cs="Arial"/>
        </w:rPr>
      </w:pPr>
      <w:r w:rsidRPr="00E535C9">
        <w:rPr>
          <w:rFonts w:ascii="Arial" w:hAnsi="Arial" w:cs="Arial"/>
        </w:rPr>
        <w:t>Each year in</w:t>
      </w:r>
      <w:r w:rsidR="00E945DF" w:rsidRPr="00E535C9">
        <w:rPr>
          <w:rFonts w:ascii="Arial" w:hAnsi="Arial" w:cs="Arial"/>
        </w:rPr>
        <w:t xml:space="preserve"> England and Wales</w:t>
      </w:r>
      <w:r w:rsidR="0046233F" w:rsidRPr="00E535C9">
        <w:rPr>
          <w:rFonts w:ascii="Arial" w:hAnsi="Arial" w:cs="Arial"/>
        </w:rPr>
        <w:t xml:space="preserve"> </w:t>
      </w:r>
      <w:r w:rsidR="00C66FD8" w:rsidRPr="00E535C9">
        <w:rPr>
          <w:rFonts w:ascii="Arial" w:hAnsi="Arial" w:cs="Arial"/>
        </w:rPr>
        <w:t xml:space="preserve">approximately </w:t>
      </w:r>
      <w:r w:rsidR="005B3E6F" w:rsidRPr="00E535C9">
        <w:rPr>
          <w:rFonts w:ascii="Arial" w:hAnsi="Arial" w:cs="Arial"/>
        </w:rPr>
        <w:t>1%</w:t>
      </w:r>
      <w:r w:rsidRPr="00E535C9">
        <w:rPr>
          <w:rFonts w:ascii="Arial" w:hAnsi="Arial" w:cs="Arial"/>
        </w:rPr>
        <w:t xml:space="preserve"> of the population die</w:t>
      </w:r>
      <w:r w:rsidR="005E38AB" w:rsidRPr="00E535C9">
        <w:rPr>
          <w:rFonts w:ascii="Arial" w:hAnsi="Arial" w:cs="Arial"/>
        </w:rPr>
        <w:fldChar w:fldCharType="begin"/>
      </w:r>
      <w:r w:rsidR="002D499B" w:rsidRPr="00E535C9">
        <w:rPr>
          <w:rFonts w:ascii="Arial" w:hAnsi="Arial" w:cs="Arial"/>
        </w:rPr>
        <w:instrText xml:space="preserve"> ADDIN EN.CITE &lt;EndNote&gt;&lt;Cite&gt;&lt;Author&gt;Office for National Statistics&lt;/Author&gt;&lt;Year&gt;2012&lt;/Year&gt;&lt;RecNum&gt;281&lt;/RecNum&gt;&lt;DisplayText&gt;[1]&lt;/DisplayText&gt;&lt;record&gt;&lt;rec-number&gt;281&lt;/rec-number&gt;&lt;foreign-keys&gt;&lt;key app="EN" db-id="ezfa0awta2ze5se9vz25asd0v2xevvev99pd" timestamp="1352128043"&gt;281&lt;/key&gt;&lt;/foreign-keys&gt;&lt;ref-type name="Government Document"&gt;46&lt;/ref-type&gt;&lt;contributors&gt;&lt;authors&gt;&lt;author&gt;Office for National Statistics,&lt;/author&gt;&lt;/authors&gt;&lt;secondary-authors&gt;&lt;author&gt;Office for National Statistics,&lt;/author&gt;&lt;/secondary-authors&gt;&lt;/contributors&gt;&lt;titles&gt;&lt;title&gt;Statistical Bulletin: Births and Deaths in England and Wales, 2011 (Final)&lt;/title&gt;&lt;/titles&gt;&lt;dates&gt;&lt;year&gt;2012&lt;/year&gt;&lt;/dates&gt;&lt;urls&gt;&lt;/urls&gt;&lt;/record&gt;&lt;/Cite&gt;&lt;/EndNote&gt;</w:instrText>
      </w:r>
      <w:r w:rsidR="005E38AB" w:rsidRPr="00E535C9">
        <w:rPr>
          <w:rFonts w:ascii="Arial" w:hAnsi="Arial" w:cs="Arial"/>
        </w:rPr>
        <w:fldChar w:fldCharType="separate"/>
      </w:r>
      <w:r w:rsidR="002D499B" w:rsidRPr="00E535C9">
        <w:rPr>
          <w:rFonts w:ascii="Arial" w:hAnsi="Arial" w:cs="Arial"/>
          <w:noProof/>
        </w:rPr>
        <w:t>[</w:t>
      </w:r>
      <w:hyperlink w:anchor="_ENREF_1" w:tooltip="Office for National Statistics, 2012 #281" w:history="1">
        <w:r w:rsidR="00716E55" w:rsidRPr="00E535C9">
          <w:rPr>
            <w:rFonts w:ascii="Arial" w:hAnsi="Arial" w:cs="Arial"/>
            <w:noProof/>
          </w:rPr>
          <w:t>1</w:t>
        </w:r>
      </w:hyperlink>
      <w:r w:rsidR="002D499B" w:rsidRPr="00E535C9">
        <w:rPr>
          <w:rFonts w:ascii="Arial" w:hAnsi="Arial" w:cs="Arial"/>
          <w:noProof/>
        </w:rPr>
        <w:t>]</w:t>
      </w:r>
      <w:r w:rsidR="005E38AB" w:rsidRPr="00E535C9">
        <w:rPr>
          <w:rFonts w:ascii="Arial" w:hAnsi="Arial" w:cs="Arial"/>
        </w:rPr>
        <w:fldChar w:fldCharType="end"/>
      </w:r>
      <w:r w:rsidR="0046233F" w:rsidRPr="00E535C9">
        <w:rPr>
          <w:rFonts w:ascii="Arial" w:hAnsi="Arial" w:cs="Arial"/>
        </w:rPr>
        <w:t xml:space="preserve"> and</w:t>
      </w:r>
      <w:r w:rsidR="00E945DF" w:rsidRPr="00E535C9">
        <w:rPr>
          <w:rFonts w:ascii="Arial" w:hAnsi="Arial" w:cs="Arial"/>
        </w:rPr>
        <w:t xml:space="preserve"> </w:t>
      </w:r>
      <w:r w:rsidR="0046233F" w:rsidRPr="00E535C9">
        <w:rPr>
          <w:rFonts w:ascii="Arial" w:hAnsi="Arial" w:cs="Arial"/>
        </w:rPr>
        <w:t xml:space="preserve">5% </w:t>
      </w:r>
      <w:r w:rsidR="00FB24D5" w:rsidRPr="00E535C9">
        <w:rPr>
          <w:rFonts w:ascii="Arial" w:hAnsi="Arial" w:cs="Arial"/>
        </w:rPr>
        <w:t xml:space="preserve">are </w:t>
      </w:r>
      <w:r w:rsidRPr="00E535C9">
        <w:rPr>
          <w:rFonts w:ascii="Arial" w:hAnsi="Arial" w:cs="Arial"/>
        </w:rPr>
        <w:t xml:space="preserve">directly affected </w:t>
      </w:r>
      <w:r w:rsidR="00E945DF" w:rsidRPr="00E535C9">
        <w:rPr>
          <w:rFonts w:ascii="Arial" w:hAnsi="Arial" w:cs="Arial"/>
        </w:rPr>
        <w:t>through caring and bereavement</w:t>
      </w:r>
      <w:r w:rsidR="005E38AB" w:rsidRPr="00E535C9">
        <w:rPr>
          <w:rFonts w:ascii="Arial" w:hAnsi="Arial" w:cs="Arial"/>
        </w:rPr>
        <w:fldChar w:fldCharType="begin"/>
      </w:r>
      <w:r w:rsidR="002D499B" w:rsidRPr="00E535C9">
        <w:rPr>
          <w:rFonts w:ascii="Arial" w:hAnsi="Arial" w:cs="Arial"/>
        </w:rPr>
        <w:instrText xml:space="preserve"> ADDIN EN.CITE &lt;EndNote&gt;&lt;Cite&gt;&lt;Author&gt;Cohen&lt;/Author&gt;&lt;Year&gt;2012&lt;/Year&gt;&lt;RecNum&gt;339&lt;/RecNum&gt;&lt;DisplayText&gt;[2]&lt;/DisplayText&gt;&lt;record&gt;&lt;rec-number&gt;339&lt;/rec-number&gt;&lt;foreign-keys&gt;&lt;key app="EN" db-id="ezfa0awta2ze5se9vz25asd0v2xevvev99pd" timestamp="1376045947"&gt;339&lt;/key&gt;&lt;/foreign-keys&gt;&lt;ref-type name="Book Section"&gt;5&lt;/ref-type&gt;&lt;contributors&gt;&lt;authors&gt;&lt;author&gt;Cohen, J. &lt;/author&gt;&lt;author&gt;Deliens, L.&lt;/author&gt;&lt;/authors&gt;&lt;secondary-authors&gt;&lt;author&gt;Cohen, J.&lt;/author&gt;&lt;author&gt;Deliens, L.&lt;/author&gt;&lt;/secondary-authors&gt;&lt;/contributors&gt;&lt;titles&gt;&lt;title&gt;Applying a public health perspective on end-of-life care&lt;/title&gt;&lt;secondary-title&gt;A Public Health Perspective on End of Life Care&lt;/secondary-title&gt;&lt;/titles&gt;&lt;section&gt;1&lt;/section&gt;&lt;dates&gt;&lt;year&gt;2012&lt;/year&gt;&lt;/dates&gt;&lt;pub-location&gt;Oxford&lt;/pub-location&gt;&lt;publisher&gt;Oxford University Press&lt;/publisher&gt;&lt;urls&gt;&lt;/urls&gt;&lt;/record&gt;&lt;/Cite&gt;&lt;/EndNote&gt;</w:instrText>
      </w:r>
      <w:r w:rsidR="005E38AB" w:rsidRPr="00E535C9">
        <w:rPr>
          <w:rFonts w:ascii="Arial" w:hAnsi="Arial" w:cs="Arial"/>
        </w:rPr>
        <w:fldChar w:fldCharType="separate"/>
      </w:r>
      <w:r w:rsidR="002D499B" w:rsidRPr="00E535C9">
        <w:rPr>
          <w:rFonts w:ascii="Arial" w:hAnsi="Arial" w:cs="Arial"/>
          <w:noProof/>
        </w:rPr>
        <w:t>[</w:t>
      </w:r>
      <w:hyperlink w:anchor="_ENREF_2" w:tooltip="Cohen, 2012 #339" w:history="1">
        <w:r w:rsidR="00716E55" w:rsidRPr="00E535C9">
          <w:rPr>
            <w:rFonts w:ascii="Arial" w:hAnsi="Arial" w:cs="Arial"/>
            <w:noProof/>
          </w:rPr>
          <w:t>2</w:t>
        </w:r>
      </w:hyperlink>
      <w:r w:rsidR="002D499B" w:rsidRPr="00E535C9">
        <w:rPr>
          <w:rFonts w:ascii="Arial" w:hAnsi="Arial" w:cs="Arial"/>
          <w:noProof/>
        </w:rPr>
        <w:t>]</w:t>
      </w:r>
      <w:r w:rsidR="005E38AB" w:rsidRPr="00E535C9">
        <w:rPr>
          <w:rFonts w:ascii="Arial" w:hAnsi="Arial" w:cs="Arial"/>
        </w:rPr>
        <w:fldChar w:fldCharType="end"/>
      </w:r>
      <w:r w:rsidR="005B3E6F" w:rsidRPr="00E535C9">
        <w:rPr>
          <w:rFonts w:ascii="Arial" w:hAnsi="Arial" w:cs="Arial"/>
        </w:rPr>
        <w:t>.</w:t>
      </w:r>
      <w:r w:rsidR="00A4480A" w:rsidRPr="00E535C9">
        <w:rPr>
          <w:rFonts w:ascii="Arial" w:hAnsi="Arial" w:cs="Arial"/>
        </w:rPr>
        <w:t xml:space="preserve"> </w:t>
      </w:r>
      <w:r w:rsidR="00487A64" w:rsidRPr="00E535C9">
        <w:rPr>
          <w:rFonts w:ascii="Arial" w:hAnsi="Arial" w:cs="Arial"/>
        </w:rPr>
        <w:t xml:space="preserve">Dying, caring, or grieving </w:t>
      </w:r>
      <w:r w:rsidR="00AE426E" w:rsidRPr="00E535C9">
        <w:rPr>
          <w:rFonts w:ascii="Arial" w:hAnsi="Arial" w:cs="Arial"/>
        </w:rPr>
        <w:t xml:space="preserve">can </w:t>
      </w:r>
      <w:r w:rsidR="00E945DF" w:rsidRPr="00E535C9">
        <w:rPr>
          <w:rFonts w:ascii="Arial" w:hAnsi="Arial" w:cs="Arial"/>
        </w:rPr>
        <w:t>be stressful, and</w:t>
      </w:r>
      <w:r w:rsidR="0037335F" w:rsidRPr="00E535C9">
        <w:rPr>
          <w:rFonts w:ascii="Arial" w:hAnsi="Arial" w:cs="Arial"/>
        </w:rPr>
        <w:t xml:space="preserve"> leave individuals</w:t>
      </w:r>
      <w:r w:rsidR="00AE426E" w:rsidRPr="00E535C9">
        <w:rPr>
          <w:rFonts w:ascii="Arial" w:hAnsi="Arial" w:cs="Arial"/>
        </w:rPr>
        <w:t xml:space="preserve"> </w:t>
      </w:r>
      <w:r w:rsidR="00E945DF" w:rsidRPr="00E535C9">
        <w:rPr>
          <w:rFonts w:ascii="Arial" w:hAnsi="Arial" w:cs="Arial"/>
        </w:rPr>
        <w:t xml:space="preserve">feeling </w:t>
      </w:r>
      <w:r w:rsidR="00AE426E" w:rsidRPr="00E535C9">
        <w:rPr>
          <w:rFonts w:ascii="Arial" w:hAnsi="Arial" w:cs="Arial"/>
        </w:rPr>
        <w:t xml:space="preserve">isolated </w:t>
      </w:r>
      <w:r w:rsidR="0046233F" w:rsidRPr="00E535C9">
        <w:rPr>
          <w:rFonts w:ascii="Arial" w:hAnsi="Arial" w:cs="Arial"/>
        </w:rPr>
        <w:t>and unsupported</w:t>
      </w:r>
      <w:r w:rsidR="005E38AB" w:rsidRPr="00E535C9">
        <w:rPr>
          <w:rFonts w:ascii="Arial" w:hAnsi="Arial" w:cs="Arial"/>
        </w:rPr>
        <w:fldChar w:fldCharType="begin">
          <w:fldData xml:space="preserve">PEVuZE5vdGU+PENpdGU+PEF1dGhvcj5IaWNrbWFuPC9BdXRob3I+PFllYXI+MjAwNDwvWWVhcj48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</w:fldData>
        </w:fldChar>
      </w:r>
      <w:r w:rsidR="00982822" w:rsidRPr="00E535C9">
        <w:rPr>
          <w:rFonts w:ascii="Arial" w:hAnsi="Arial" w:cs="Arial"/>
        </w:rPr>
        <w:instrText xml:space="preserve"> ADDIN EN.CITE </w:instrText>
      </w:r>
      <w:r w:rsidR="00982822" w:rsidRPr="00E535C9">
        <w:rPr>
          <w:rFonts w:ascii="Arial" w:hAnsi="Arial" w:cs="Arial"/>
        </w:rPr>
        <w:fldChar w:fldCharType="begin">
          <w:fldData xml:space="preserve">PEVuZE5vdGU+PENpdGU+PEF1dGhvcj5IaWNrbWFuPC9BdXRob3I+PFllYXI+MjAwNDwvWWVhcj48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</w:fldData>
        </w:fldChar>
      </w:r>
      <w:r w:rsidR="00982822" w:rsidRPr="00E535C9">
        <w:rPr>
          <w:rFonts w:ascii="Arial" w:hAnsi="Arial" w:cs="Arial"/>
        </w:rPr>
        <w:instrText xml:space="preserve"> ADDIN EN.CITE.DATA </w:instrText>
      </w:r>
      <w:r w:rsidR="00982822" w:rsidRPr="00E535C9">
        <w:rPr>
          <w:rFonts w:ascii="Arial" w:hAnsi="Arial" w:cs="Arial"/>
        </w:rPr>
      </w:r>
      <w:r w:rsidR="00982822" w:rsidRPr="00E535C9">
        <w:rPr>
          <w:rFonts w:ascii="Arial" w:hAnsi="Arial" w:cs="Arial"/>
        </w:rPr>
        <w:fldChar w:fldCharType="end"/>
      </w:r>
      <w:r w:rsidR="005E38AB" w:rsidRPr="00E535C9">
        <w:rPr>
          <w:rFonts w:ascii="Arial" w:hAnsi="Arial" w:cs="Arial"/>
        </w:rPr>
      </w:r>
      <w:r w:rsidR="005E38AB" w:rsidRPr="00E535C9">
        <w:rPr>
          <w:rFonts w:ascii="Arial" w:hAnsi="Arial" w:cs="Arial"/>
        </w:rPr>
        <w:fldChar w:fldCharType="separate"/>
      </w:r>
      <w:r w:rsidR="00982822" w:rsidRPr="00E535C9">
        <w:rPr>
          <w:rFonts w:ascii="Arial" w:hAnsi="Arial" w:cs="Arial"/>
          <w:noProof/>
        </w:rPr>
        <w:t>[</w:t>
      </w:r>
      <w:hyperlink w:anchor="_ENREF_3" w:tooltip="Hickman, 2004 #242" w:history="1">
        <w:r w:rsidR="00716E55" w:rsidRPr="00E535C9">
          <w:rPr>
            <w:rFonts w:ascii="Arial" w:hAnsi="Arial" w:cs="Arial"/>
            <w:noProof/>
          </w:rPr>
          <w:t>3</w:t>
        </w:r>
      </w:hyperlink>
      <w:r w:rsidR="00982822" w:rsidRPr="00E535C9">
        <w:rPr>
          <w:rFonts w:ascii="Arial" w:hAnsi="Arial" w:cs="Arial"/>
          <w:noProof/>
        </w:rPr>
        <w:t xml:space="preserve">, </w:t>
      </w:r>
      <w:hyperlink w:anchor="_ENREF_4" w:tooltip="Finlay-Jones, 1981 #290" w:history="1">
        <w:r w:rsidR="00716E55" w:rsidRPr="00E535C9">
          <w:rPr>
            <w:rFonts w:ascii="Arial" w:hAnsi="Arial" w:cs="Arial"/>
            <w:noProof/>
          </w:rPr>
          <w:t>4</w:t>
        </w:r>
      </w:hyperlink>
      <w:r w:rsidR="00982822" w:rsidRPr="00E535C9">
        <w:rPr>
          <w:rFonts w:ascii="Arial" w:hAnsi="Arial" w:cs="Arial"/>
          <w:noProof/>
        </w:rPr>
        <w:t>]</w:t>
      </w:r>
      <w:r w:rsidR="005E38AB" w:rsidRPr="00E535C9">
        <w:rPr>
          <w:rFonts w:ascii="Arial" w:hAnsi="Arial" w:cs="Arial"/>
        </w:rPr>
        <w:fldChar w:fldCharType="end"/>
      </w:r>
      <w:r w:rsidR="00AE426E" w:rsidRPr="00E535C9">
        <w:rPr>
          <w:rFonts w:ascii="Arial" w:hAnsi="Arial" w:cs="Arial"/>
        </w:rPr>
        <w:t xml:space="preserve">. </w:t>
      </w:r>
      <w:r w:rsidR="003F5784" w:rsidRPr="00E535C9">
        <w:rPr>
          <w:rFonts w:ascii="Arial" w:hAnsi="Arial" w:cs="Arial"/>
        </w:rPr>
        <w:t>P</w:t>
      </w:r>
      <w:r w:rsidR="00D97BAD" w:rsidRPr="00E535C9">
        <w:rPr>
          <w:rFonts w:ascii="Arial" w:hAnsi="Arial" w:cs="Arial"/>
        </w:rPr>
        <w:t>ublic health</w:t>
      </w:r>
      <w:r w:rsidRPr="00E535C9">
        <w:rPr>
          <w:rFonts w:ascii="Arial" w:hAnsi="Arial" w:cs="Arial"/>
        </w:rPr>
        <w:t xml:space="preserve"> approaches</w:t>
      </w:r>
      <w:r w:rsidR="00487A64" w:rsidRPr="00E535C9">
        <w:rPr>
          <w:rFonts w:ascii="Arial" w:hAnsi="Arial" w:cs="Arial"/>
        </w:rPr>
        <w:t>, such as</w:t>
      </w:r>
      <w:r w:rsidR="00BB2277" w:rsidRPr="00E535C9">
        <w:rPr>
          <w:rFonts w:ascii="Arial" w:hAnsi="Arial" w:cs="Arial"/>
        </w:rPr>
        <w:t xml:space="preserve"> </w:t>
      </w:r>
      <w:r w:rsidR="00487A64" w:rsidRPr="00E535C9">
        <w:rPr>
          <w:rFonts w:ascii="Arial" w:hAnsi="Arial" w:cs="Arial"/>
        </w:rPr>
        <w:t>Health Promoting Palliative Care</w:t>
      </w:r>
      <w:r w:rsidR="005E38AB" w:rsidRPr="00E535C9">
        <w:rPr>
          <w:rFonts w:ascii="Arial" w:hAnsi="Arial" w:cs="Arial"/>
        </w:rPr>
        <w:fldChar w:fldCharType="begin"/>
      </w:r>
      <w:r w:rsidR="002D499B" w:rsidRPr="00E535C9">
        <w:rPr>
          <w:rFonts w:ascii="Arial" w:hAnsi="Arial" w:cs="Arial"/>
        </w:rPr>
        <w:instrText xml:space="preserve"> ADDIN EN.CITE &lt;EndNote&gt;&lt;Cite&gt;&lt;Author&gt;Kellehear&lt;/Author&gt;&lt;Year&gt;1999&lt;/Year&gt;&lt;RecNum&gt;319&lt;/RecNum&gt;&lt;DisplayText&gt;[5]&lt;/DisplayText&gt;&lt;record&gt;&lt;rec-number&gt;319&lt;/rec-number&gt;&lt;foreign-keys&gt;&lt;key app="EN" db-id="ezfa0awta2ze5se9vz25asd0v2xevvev99pd" timestamp="1355321744"&gt;319&lt;/key&gt;&lt;/foreign-keys&gt;&lt;ref-type name="Book"&gt;6&lt;/ref-type&gt;&lt;contributors&gt;&lt;authors&gt;&lt;author&gt;Kellehear, A.&lt;/author&gt;&lt;/authors&gt;&lt;/contributors&gt;&lt;titles&gt;&lt;title&gt;Health Promoting Palliative Care&lt;/title&gt;&lt;/titles&gt;&lt;dates&gt;&lt;year&gt;1999&lt;/year&gt;&lt;/dates&gt;&lt;pub-location&gt;Oxford, UK&lt;/pub-location&gt;&lt;publisher&gt;Oxford University Press&lt;/publisher&gt;&lt;urls&gt;&lt;/urls&gt;&lt;/record&gt;&lt;/Cite&gt;&lt;/EndNote&gt;</w:instrText>
      </w:r>
      <w:r w:rsidR="005E38AB" w:rsidRPr="00E535C9">
        <w:rPr>
          <w:rFonts w:ascii="Arial" w:hAnsi="Arial" w:cs="Arial"/>
        </w:rPr>
        <w:fldChar w:fldCharType="separate"/>
      </w:r>
      <w:r w:rsidR="002D499B" w:rsidRPr="00E535C9">
        <w:rPr>
          <w:rFonts w:ascii="Arial" w:hAnsi="Arial" w:cs="Arial"/>
          <w:noProof/>
        </w:rPr>
        <w:t>[</w:t>
      </w:r>
      <w:hyperlink w:anchor="_ENREF_5" w:tooltip="Kellehear, 1999 #319" w:history="1">
        <w:r w:rsidR="00716E55" w:rsidRPr="00E535C9">
          <w:rPr>
            <w:rFonts w:ascii="Arial" w:hAnsi="Arial" w:cs="Arial"/>
            <w:noProof/>
          </w:rPr>
          <w:t>5</w:t>
        </w:r>
      </w:hyperlink>
      <w:r w:rsidR="002D499B" w:rsidRPr="00E535C9">
        <w:rPr>
          <w:rFonts w:ascii="Arial" w:hAnsi="Arial" w:cs="Arial"/>
          <w:noProof/>
        </w:rPr>
        <w:t>]</w:t>
      </w:r>
      <w:r w:rsidR="005E38AB" w:rsidRPr="00E535C9">
        <w:rPr>
          <w:rFonts w:ascii="Arial" w:hAnsi="Arial" w:cs="Arial"/>
        </w:rPr>
        <w:fldChar w:fldCharType="end"/>
      </w:r>
      <w:r w:rsidR="006551D4" w:rsidRPr="00E535C9">
        <w:rPr>
          <w:rFonts w:ascii="Arial" w:hAnsi="Arial" w:cs="Arial"/>
        </w:rPr>
        <w:t xml:space="preserve"> </w:t>
      </w:r>
      <w:r w:rsidR="00487A64" w:rsidRPr="00E535C9">
        <w:rPr>
          <w:rFonts w:ascii="Arial" w:hAnsi="Arial" w:cs="Arial"/>
        </w:rPr>
        <w:t>and Compassionate Cities</w:t>
      </w:r>
      <w:r w:rsidR="005E38AB" w:rsidRPr="00E535C9">
        <w:rPr>
          <w:rFonts w:ascii="Arial" w:hAnsi="Arial" w:cs="Arial"/>
        </w:rPr>
        <w:fldChar w:fldCharType="begin"/>
      </w:r>
      <w:r w:rsidR="002D499B" w:rsidRPr="00E535C9">
        <w:rPr>
          <w:rFonts w:ascii="Arial" w:hAnsi="Arial" w:cs="Arial"/>
        </w:rPr>
        <w:instrText xml:space="preserve"> ADDIN EN.CITE &lt;EndNote&gt;&lt;Cite&gt;&lt;Author&gt;Kellehear&lt;/Author&gt;&lt;Year&gt;2005&lt;/Year&gt;&lt;RecNum&gt;285&lt;/RecNum&gt;&lt;DisplayText&gt;[6]&lt;/DisplayText&gt;&lt;record&gt;&lt;rec-number&gt;285&lt;/rec-number&gt;&lt;foreign-keys&gt;&lt;key app="EN" db-id="ezfa0awta2ze5se9vz25asd0v2xevvev99pd" timestamp="1352469833"&gt;285&lt;/key&gt;&lt;/foreign-keys&gt;&lt;ref-type name="Book"&gt;6&lt;/ref-type&gt;&lt;contributors&gt;&lt;authors&gt;&lt;author&gt;Kellehear, A.&lt;/author&gt;&lt;/authors&gt;&lt;/contributors&gt;&lt;titles&gt;&lt;title&gt;Compassionate Cities: Public health and end-of-life care&lt;/title&gt;&lt;/titles&gt;&lt;dates&gt;&lt;year&gt;2005&lt;/year&gt;&lt;/dates&gt;&lt;pub-location&gt;London&lt;/pub-location&gt;&lt;publisher&gt;Routledge&lt;/publisher&gt;&lt;urls&gt;&lt;/urls&gt;&lt;/record&gt;&lt;/Cite&gt;&lt;/EndNote&gt;</w:instrText>
      </w:r>
      <w:r w:rsidR="005E38AB" w:rsidRPr="00E535C9">
        <w:rPr>
          <w:rFonts w:ascii="Arial" w:hAnsi="Arial" w:cs="Arial"/>
        </w:rPr>
        <w:fldChar w:fldCharType="separate"/>
      </w:r>
      <w:r w:rsidR="002D499B" w:rsidRPr="00E535C9">
        <w:rPr>
          <w:rFonts w:ascii="Arial" w:hAnsi="Arial" w:cs="Arial"/>
          <w:noProof/>
        </w:rPr>
        <w:t>[</w:t>
      </w:r>
      <w:hyperlink w:anchor="_ENREF_6" w:tooltip="Kellehear, 2005 #285" w:history="1">
        <w:r w:rsidR="00716E55" w:rsidRPr="00E535C9">
          <w:rPr>
            <w:rFonts w:ascii="Arial" w:hAnsi="Arial" w:cs="Arial"/>
            <w:noProof/>
          </w:rPr>
          <w:t>6</w:t>
        </w:r>
      </w:hyperlink>
      <w:r w:rsidR="002D499B" w:rsidRPr="00E535C9">
        <w:rPr>
          <w:rFonts w:ascii="Arial" w:hAnsi="Arial" w:cs="Arial"/>
          <w:noProof/>
        </w:rPr>
        <w:t>]</w:t>
      </w:r>
      <w:r w:rsidR="005E38AB" w:rsidRPr="00E535C9">
        <w:rPr>
          <w:rFonts w:ascii="Arial" w:hAnsi="Arial" w:cs="Arial"/>
        </w:rPr>
        <w:fldChar w:fldCharType="end"/>
      </w:r>
      <w:r w:rsidR="00F16804" w:rsidRPr="00E535C9">
        <w:rPr>
          <w:rFonts w:ascii="Arial" w:hAnsi="Arial" w:cs="Arial"/>
        </w:rPr>
        <w:t xml:space="preserve"> </w:t>
      </w:r>
      <w:r w:rsidR="0019302C" w:rsidRPr="00E535C9">
        <w:rPr>
          <w:rFonts w:ascii="Arial" w:hAnsi="Arial" w:cs="Arial"/>
        </w:rPr>
        <w:t xml:space="preserve">have been developed on the assumption that </w:t>
      </w:r>
      <w:r w:rsidR="006551D4" w:rsidRPr="00E535C9">
        <w:rPr>
          <w:rFonts w:ascii="Arial" w:hAnsi="Arial" w:cs="Arial"/>
        </w:rPr>
        <w:t xml:space="preserve"> that communities</w:t>
      </w:r>
      <w:r w:rsidR="00B55F77" w:rsidRPr="00E535C9">
        <w:rPr>
          <w:rFonts w:ascii="Arial" w:hAnsi="Arial" w:cs="Arial"/>
        </w:rPr>
        <w:t>, while wishing to support their members,</w:t>
      </w:r>
      <w:r w:rsidR="00E945DF" w:rsidRPr="00E535C9">
        <w:rPr>
          <w:rFonts w:ascii="Arial" w:hAnsi="Arial" w:cs="Arial"/>
        </w:rPr>
        <w:t xml:space="preserve"> might</w:t>
      </w:r>
      <w:r w:rsidR="006551D4" w:rsidRPr="00E535C9">
        <w:rPr>
          <w:rFonts w:ascii="Arial" w:hAnsi="Arial" w:cs="Arial"/>
        </w:rPr>
        <w:t xml:space="preserve"> feel uncomfortable talking about death and dying. As a result, people can be unprepared for death and </w:t>
      </w:r>
      <w:r w:rsidR="00C75DDD" w:rsidRPr="00E535C9">
        <w:rPr>
          <w:rFonts w:ascii="Arial" w:hAnsi="Arial" w:cs="Arial"/>
        </w:rPr>
        <w:t xml:space="preserve">unable to support </w:t>
      </w:r>
      <w:r w:rsidR="0037335F" w:rsidRPr="00E535C9">
        <w:rPr>
          <w:rFonts w:ascii="Arial" w:hAnsi="Arial" w:cs="Arial"/>
        </w:rPr>
        <w:t>others during</w:t>
      </w:r>
      <w:r w:rsidR="006551D4" w:rsidRPr="00E535C9">
        <w:rPr>
          <w:rFonts w:ascii="Arial" w:hAnsi="Arial" w:cs="Arial"/>
        </w:rPr>
        <w:t xml:space="preserve"> dying and bereavement</w:t>
      </w:r>
      <w:r w:rsidR="0046574D" w:rsidRPr="00E535C9">
        <w:rPr>
          <w:rFonts w:ascii="Arial" w:hAnsi="Arial" w:cs="Arial"/>
        </w:rPr>
        <w:t>.</w:t>
      </w:r>
      <w:r w:rsidR="006551D4" w:rsidRPr="00E535C9">
        <w:rPr>
          <w:rFonts w:ascii="Arial" w:hAnsi="Arial" w:cs="Arial"/>
        </w:rPr>
        <w:t xml:space="preserve"> </w:t>
      </w:r>
    </w:p>
    <w:p w:rsidR="00772525" w:rsidRDefault="00A70FE7" w:rsidP="00772525">
      <w:pPr>
        <w:spacing w:line="360" w:lineRule="auto"/>
        <w:rPr>
          <w:rFonts w:ascii="Arial" w:hAnsi="Arial" w:cs="Arial"/>
        </w:rPr>
      </w:pPr>
      <w:r>
        <w:rPr>
          <w:rFonts w:ascii="Arial" w:hAnsi="Arial" w:cs="Arial"/>
        </w:rPr>
        <w:t>T</w:t>
      </w:r>
      <w:r w:rsidR="005D315B">
        <w:rPr>
          <w:rFonts w:ascii="Arial" w:hAnsi="Arial" w:cs="Arial"/>
        </w:rPr>
        <w:t xml:space="preserve">here is evidence that </w:t>
      </w:r>
      <w:r>
        <w:rPr>
          <w:rFonts w:ascii="Arial" w:hAnsi="Arial" w:cs="Arial"/>
        </w:rPr>
        <w:t>discuss</w:t>
      </w:r>
      <w:r w:rsidR="005D315B">
        <w:rPr>
          <w:rFonts w:ascii="Arial" w:hAnsi="Arial" w:cs="Arial"/>
        </w:rPr>
        <w:t>ing</w:t>
      </w:r>
      <w:r>
        <w:rPr>
          <w:rFonts w:ascii="Arial" w:hAnsi="Arial" w:cs="Arial"/>
        </w:rPr>
        <w:t xml:space="preserve"> end of life wishes</w:t>
      </w:r>
      <w:r w:rsidR="005D315B">
        <w:rPr>
          <w:rFonts w:ascii="Arial" w:hAnsi="Arial" w:cs="Arial"/>
        </w:rPr>
        <w:t xml:space="preserve"> can be beneficial</w:t>
      </w:r>
      <w:r w:rsidR="00982822">
        <w:rPr>
          <w:rFonts w:ascii="Arial" w:hAnsi="Arial" w:cs="Arial"/>
        </w:rPr>
        <w:t xml:space="preserve">. In studies undertaken in the USA, those who completed an Advance Directive were more likely to receive </w:t>
      </w:r>
      <w:r w:rsidR="00593A59">
        <w:rPr>
          <w:rFonts w:ascii="Arial" w:hAnsi="Arial" w:cs="Arial"/>
        </w:rPr>
        <w:t xml:space="preserve">the </w:t>
      </w:r>
      <w:r w:rsidR="00982822">
        <w:rPr>
          <w:rFonts w:ascii="Arial" w:hAnsi="Arial" w:cs="Arial"/>
        </w:rPr>
        <w:t>end of life care they desired if they had also discussed their wishes</w:t>
      </w:r>
      <w:r w:rsidR="00982822">
        <w:rPr>
          <w:rFonts w:ascii="Arial" w:hAnsi="Arial" w:cs="Arial"/>
        </w:rPr>
        <w:fldChar w:fldCharType="begin"/>
      </w:r>
      <w:r w:rsidR="0011397F">
        <w:rPr>
          <w:rFonts w:ascii="Arial" w:hAnsi="Arial" w:cs="Arial"/>
        </w:rPr>
        <w:instrText xml:space="preserve"> ADDIN EN.CITE &lt;EndNote&gt;&lt;Cite&gt;&lt;Author&gt;Janssen&lt;/Author&gt;&lt;Year&gt;2012&lt;/Year&gt;&lt;RecNum&gt;88&lt;/RecNum&gt;&lt;DisplayText&gt;[7]&lt;/DisplayText&gt;&lt;record&gt;&lt;rec-number&gt;88&lt;/rec-number&gt;&lt;foreign-keys&gt;&lt;key app="EN" db-id="ezfa0awta2ze5se9vz25asd0v2xevvev99pd" timestamp="1346768633"&gt;88&lt;/key&gt;&lt;/foreign-keys&gt;&lt;ref-type name="Journal Article"&gt;17&lt;/ref-type&gt;&lt;contributors&gt;&lt;authors&gt;&lt;author&gt;Janssen, D. J. A.&lt;/author&gt;&lt;author&gt;Engelberg, R. A.&lt;/author&gt;&lt;author&gt;Wouters, E. F. M.&lt;/author&gt;&lt;author&gt;Curtis, J. R.&lt;/author&gt;&lt;/authors&gt;&lt;/contributors&gt;&lt;titles&gt;&lt;title&gt;Advance care planning for patients with COPD: Past, present and future&lt;/title&gt;&lt;secondary-title&gt;Patient Education and Counseling&lt;/secondary-title&gt;&lt;/titles&gt;&lt;periodical&gt;&lt;full-title&gt;Patient Education and Counseling&lt;/full-title&gt;&lt;/periodical&gt;&lt;pages&gt;19-24&lt;/pages&gt;&lt;volume&gt;86&lt;/volume&gt;&lt;number&gt;1&lt;/number&gt;&lt;dates&gt;&lt;year&gt;2012&lt;/year&gt;&lt;/dates&gt;&lt;urls&gt;&lt;related-urls&gt;&lt;url&gt;http://www.scopus.com/inward/record.url?eid=2-s2.0-83655193420&amp;amp;partnerID=40&amp;amp;md5=7a7f27d7f908544f5275dd8cc40a47e5&lt;/url&gt;&lt;/related-urls&gt;&lt;/urls&gt;&lt;/record&gt;&lt;/Cite&gt;&lt;/EndNote&gt;</w:instrText>
      </w:r>
      <w:r w:rsidR="00982822">
        <w:rPr>
          <w:rFonts w:ascii="Arial" w:hAnsi="Arial" w:cs="Arial"/>
        </w:rPr>
        <w:fldChar w:fldCharType="separate"/>
      </w:r>
      <w:r w:rsidR="0011397F">
        <w:rPr>
          <w:rFonts w:ascii="Arial" w:hAnsi="Arial" w:cs="Arial"/>
          <w:noProof/>
        </w:rPr>
        <w:t>[</w:t>
      </w:r>
      <w:hyperlink w:anchor="_ENREF_7" w:tooltip="Janssen, 2012 #88" w:history="1">
        <w:r w:rsidR="00716E55">
          <w:rPr>
            <w:rFonts w:ascii="Arial" w:hAnsi="Arial" w:cs="Arial"/>
            <w:noProof/>
          </w:rPr>
          <w:t>7</w:t>
        </w:r>
      </w:hyperlink>
      <w:r w:rsidR="0011397F">
        <w:rPr>
          <w:rFonts w:ascii="Arial" w:hAnsi="Arial" w:cs="Arial"/>
          <w:noProof/>
        </w:rPr>
        <w:t>]</w:t>
      </w:r>
      <w:r w:rsidR="00982822">
        <w:rPr>
          <w:rFonts w:ascii="Arial" w:hAnsi="Arial" w:cs="Arial"/>
        </w:rPr>
        <w:fldChar w:fldCharType="end"/>
      </w:r>
      <w:r w:rsidR="00982822">
        <w:rPr>
          <w:rFonts w:ascii="Arial" w:hAnsi="Arial" w:cs="Arial"/>
        </w:rPr>
        <w:t>, and where power of attorney was given to relatives, relatives found it easier to make decisions if issues had been discussed</w:t>
      </w:r>
      <w:r w:rsidR="00982822">
        <w:rPr>
          <w:rFonts w:ascii="Arial" w:hAnsi="Arial" w:cs="Arial"/>
        </w:rPr>
        <w:fldChar w:fldCharType="begin"/>
      </w:r>
      <w:r w:rsidR="0011397F">
        <w:rPr>
          <w:rFonts w:ascii="Arial" w:hAnsi="Arial" w:cs="Arial"/>
        </w:rPr>
        <w:instrText xml:space="preserve"> ADDIN EN.CITE &lt;EndNote&gt;&lt;Cite&gt;&lt;Author&gt;Handy&lt;/Author&gt;&lt;Year&gt;2008&lt;/Year&gt;&lt;RecNum&gt;445&lt;/RecNum&gt;&lt;DisplayText&gt;[8]&lt;/DisplayText&gt;&lt;record&gt;&lt;rec-number&gt;445&lt;/rec-number&gt;&lt;foreign-keys&gt;&lt;key app="EN" db-id="ezfa0awta2ze5se9vz25asd0v2xevvev99pd" timestamp="1407770619"&gt;445&lt;/key&gt;&lt;/foreign-keys&gt;&lt;ref-type name="Journal Article"&gt;17&lt;/ref-type&gt;&lt;contributors&gt;&lt;authors&gt;&lt;author&gt;Handy, C.M.&lt;/author&gt;&lt;author&gt;Sulmasy, D.P.&lt;/author&gt;&lt;author&gt;Merkel, C.K.&lt;/author&gt;&lt;author&gt;Ury, W.A.&lt;/author&gt;&lt;/authors&gt;&lt;/contributors&gt;&lt;titles&gt;&lt;title&gt;The surrogate&amp;apos;s experience in authorizing a do not resusitate order &lt;/title&gt;&lt;secondary-title&gt;Palliative &amp;amp; supportive care.&lt;/secondary-title&gt;&lt;/titles&gt;&lt;periodical&gt;&lt;full-title&gt;Palliative &amp;amp; supportive care.&lt;/full-title&gt;&lt;/periodical&gt;&lt;pages&gt;13-9&lt;/pages&gt;&lt;volume&gt;6&lt;/volume&gt;&lt;dates&gt;&lt;year&gt;2008&lt;/year&gt;&lt;/dates&gt;&lt;urls&gt;&lt;/urls&gt;&lt;/record&gt;&lt;/Cite&gt;&lt;/EndNote&gt;</w:instrText>
      </w:r>
      <w:r w:rsidR="00982822">
        <w:rPr>
          <w:rFonts w:ascii="Arial" w:hAnsi="Arial" w:cs="Arial"/>
        </w:rPr>
        <w:fldChar w:fldCharType="separate"/>
      </w:r>
      <w:r w:rsidR="0011397F">
        <w:rPr>
          <w:rFonts w:ascii="Arial" w:hAnsi="Arial" w:cs="Arial"/>
          <w:noProof/>
        </w:rPr>
        <w:t>[</w:t>
      </w:r>
      <w:hyperlink w:anchor="_ENREF_8" w:tooltip="Handy, 2008 #445" w:history="1">
        <w:r w:rsidR="00716E55">
          <w:rPr>
            <w:rFonts w:ascii="Arial" w:hAnsi="Arial" w:cs="Arial"/>
            <w:noProof/>
          </w:rPr>
          <w:t>8</w:t>
        </w:r>
      </w:hyperlink>
      <w:r w:rsidR="0011397F">
        <w:rPr>
          <w:rFonts w:ascii="Arial" w:hAnsi="Arial" w:cs="Arial"/>
          <w:noProof/>
        </w:rPr>
        <w:t>]</w:t>
      </w:r>
      <w:r w:rsidR="00982822">
        <w:rPr>
          <w:rFonts w:ascii="Arial" w:hAnsi="Arial" w:cs="Arial"/>
        </w:rPr>
        <w:fldChar w:fldCharType="end"/>
      </w:r>
      <w:r w:rsidR="00982822">
        <w:rPr>
          <w:rFonts w:ascii="Arial" w:hAnsi="Arial" w:cs="Arial"/>
        </w:rPr>
        <w:t xml:space="preserve">. </w:t>
      </w:r>
      <w:r w:rsidR="00772525">
        <w:rPr>
          <w:rFonts w:ascii="Arial" w:hAnsi="Arial" w:cs="Arial"/>
        </w:rPr>
        <w:t>There are obvious benefits to having these discussions while still well.</w:t>
      </w:r>
      <w:r w:rsidR="00772525" w:rsidRPr="00772525">
        <w:rPr>
          <w:rFonts w:ascii="Arial" w:hAnsi="Arial" w:cs="Arial"/>
        </w:rPr>
        <w:t xml:space="preserve"> </w:t>
      </w:r>
      <w:r w:rsidR="00772525">
        <w:rPr>
          <w:rFonts w:ascii="Arial" w:hAnsi="Arial" w:cs="Arial"/>
        </w:rPr>
        <w:t xml:space="preserve">Dying trajectories do not always include a period when death is expected and </w:t>
      </w:r>
      <w:r w:rsidR="00420105">
        <w:rPr>
          <w:rFonts w:ascii="Arial" w:hAnsi="Arial" w:cs="Arial"/>
        </w:rPr>
        <w:t>preparations might be made: a</w:t>
      </w:r>
      <w:r w:rsidR="00772525">
        <w:rPr>
          <w:rFonts w:ascii="Arial" w:hAnsi="Arial" w:cs="Arial"/>
        </w:rPr>
        <w:t>round 15% of deaths are sudden</w:t>
      </w:r>
      <w:r w:rsidR="00772525">
        <w:rPr>
          <w:rFonts w:ascii="Arial" w:hAnsi="Arial" w:cs="Arial"/>
        </w:rPr>
        <w:fldChar w:fldCharType="begin"/>
      </w:r>
      <w:r w:rsidR="0011397F">
        <w:rPr>
          <w:rFonts w:ascii="Arial" w:hAnsi="Arial" w:cs="Arial"/>
        </w:rPr>
        <w:instrText xml:space="preserve"> ADDIN EN.CITE &lt;EndNote&gt;&lt;Cite&gt;&lt;Author&gt;Lunney&lt;/Author&gt;&lt;Year&gt;2003&lt;/Year&gt;&lt;RecNum&gt;44&lt;/RecNum&gt;&lt;DisplayText&gt;[9]&lt;/DisplayText&gt;&lt;record&gt;&lt;rec-number&gt;44&lt;/rec-number&gt;&lt;foreign-keys&gt;&lt;key app="EN" db-id="ezfa0awta2ze5se9vz25asd0v2xevvev99pd" timestamp="1341834351"&gt;44&lt;/key&gt;&lt;/foreign-keys&gt;&lt;ref-type name="Journal Article"&gt;17&lt;/ref-type&gt;&lt;contributors&gt;&lt;authors&gt;&lt;author&gt;Lunney, J. R.&lt;/author&gt;&lt;author&gt;Lynn, J. &lt;/author&gt;&lt;author&gt;Foley, D. J. &lt;/author&gt;&lt;author&gt;Lipson, S. &lt;/author&gt;&lt;author&gt;Guralnik, J. M.&lt;/author&gt;&lt;/authors&gt;&lt;/contributors&gt;&lt;titles&gt;&lt;title&gt;Patterns of functional decline at the end of life&lt;/title&gt;&lt;secondary-title&gt;JAMA: The Journal of the American Medical Association&lt;/secondary-title&gt;&lt;/titles&gt;&lt;periodical&gt;&lt;full-title&gt;JAMA: The Journal of the American Medical Association&lt;/full-title&gt;&lt;/periodical&gt;&lt;pages&gt;2387-2392&lt;/pages&gt;&lt;volume&gt;289&lt;/volume&gt;&lt;number&gt;18&lt;/number&gt;&lt;dates&gt;&lt;year&gt;2003&lt;/year&gt;&lt;/dates&gt;&lt;isbn&gt;0098-7484&lt;/isbn&gt;&lt;urls&gt;&lt;related-urls&gt;&lt;url&gt;http://dx.doi.org/10.1001/jama.289.18.2387&lt;/url&gt;&lt;/related-urls&gt;&lt;/urls&gt;&lt;electronic-resource-num&gt;10.1001/jama.289.18.2387&lt;/electronic-resource-num&gt;&lt;/record&gt;&lt;/Cite&gt;&lt;/EndNote&gt;</w:instrText>
      </w:r>
      <w:r w:rsidR="00772525">
        <w:rPr>
          <w:rFonts w:ascii="Arial" w:hAnsi="Arial" w:cs="Arial"/>
        </w:rPr>
        <w:fldChar w:fldCharType="separate"/>
      </w:r>
      <w:r w:rsidR="0011397F">
        <w:rPr>
          <w:rFonts w:ascii="Arial" w:hAnsi="Arial" w:cs="Arial"/>
          <w:noProof/>
        </w:rPr>
        <w:t>[</w:t>
      </w:r>
      <w:hyperlink w:anchor="_ENREF_9" w:tooltip="Lunney, 2003 #44" w:history="1">
        <w:r w:rsidR="00716E55">
          <w:rPr>
            <w:rFonts w:ascii="Arial" w:hAnsi="Arial" w:cs="Arial"/>
            <w:noProof/>
          </w:rPr>
          <w:t>9</w:t>
        </w:r>
      </w:hyperlink>
      <w:r w:rsidR="0011397F">
        <w:rPr>
          <w:rFonts w:ascii="Arial" w:hAnsi="Arial" w:cs="Arial"/>
          <w:noProof/>
        </w:rPr>
        <w:t>]</w:t>
      </w:r>
      <w:r w:rsidR="00772525">
        <w:rPr>
          <w:rFonts w:ascii="Arial" w:hAnsi="Arial" w:cs="Arial"/>
        </w:rPr>
        <w:fldChar w:fldCharType="end"/>
      </w:r>
      <w:r w:rsidR="00772525">
        <w:rPr>
          <w:rFonts w:ascii="Arial" w:hAnsi="Arial" w:cs="Arial"/>
        </w:rPr>
        <w:t xml:space="preserve">, </w:t>
      </w:r>
      <w:r w:rsidR="0011397F">
        <w:rPr>
          <w:rFonts w:ascii="Arial" w:hAnsi="Arial" w:cs="Arial"/>
        </w:rPr>
        <w:t xml:space="preserve">people may be unaware that a condition is life-limiting; and </w:t>
      </w:r>
      <w:r w:rsidR="00772525">
        <w:rPr>
          <w:rFonts w:ascii="Arial" w:hAnsi="Arial" w:cs="Arial"/>
        </w:rPr>
        <w:t xml:space="preserve">many conditions have an unpredictable trajectory. People with newly-diagnosed  life-limiting illness often find it difficult to talk about their end of life preferences </w:t>
      </w:r>
      <w:r w:rsidR="00772525">
        <w:rPr>
          <w:rFonts w:ascii="Arial" w:hAnsi="Arial" w:cs="Arial"/>
        </w:rPr>
        <w:fldChar w:fldCharType="begin"/>
      </w:r>
      <w:r w:rsidR="0011397F">
        <w:rPr>
          <w:rFonts w:ascii="Arial" w:hAnsi="Arial" w:cs="Arial"/>
        </w:rPr>
        <w:instrText xml:space="preserve"> ADDIN EN.CITE &lt;EndNote&gt;&lt;Cite&gt;&lt;Author&gt;Larson&lt;/Author&gt;&lt;Year&gt;2000&lt;/Year&gt;&lt;RecNum&gt;246&lt;/RecNum&gt;&lt;DisplayText&gt;[10]&lt;/DisplayText&gt;&lt;record&gt;&lt;rec-number&gt;246&lt;/rec-number&gt;&lt;foreign-keys&gt;&lt;key app="EN" db-id="ezfa0awta2ze5se9vz25asd0v2xevvev99pd" timestamp="1349093053"&gt;246&lt;/key&gt;&lt;/foreign-keys&gt;&lt;ref-type name="Journal Article"&gt;17&lt;/ref-type&gt;&lt;contributors&gt;&lt;authors&gt;&lt;author&gt;Larson, DG. &lt;/author&gt;&lt;author&gt;Tobin, DR.&lt;/author&gt;&lt;/authors&gt;&lt;/contributors&gt;&lt;titles&gt;&lt;title&gt;End-of-life conversations: Evolving practice and theory&lt;/title&gt;&lt;secondary-title&gt;JAMA: The Journal of the American Medical Association&lt;/secondary-title&gt;&lt;/titles&gt;&lt;periodical&gt;&lt;full-title&gt;JAMA: The Journal of the American Medical Association&lt;/full-title&gt;&lt;/periodical&gt;&lt;pages&gt;1573-8&lt;/pages&gt;&lt;volume&gt;284&lt;/volume&gt;&lt;number&gt;12&lt;/number&gt;&lt;dates&gt;&lt;year&gt;2000&lt;/year&gt;&lt;/dates&gt;&lt;isbn&gt;0098-7484&lt;/isbn&gt;&lt;urls&gt;&lt;related-urls&gt;&lt;url&gt;http://dx.doi.org/10.1001/jama.284.12.1573&lt;/url&gt;&lt;/related-urls&gt;&lt;/urls&gt;&lt;electronic-resource-num&gt;10.1001/jama.284.12.1573&lt;/electronic-resource-num&gt;&lt;/record&gt;&lt;/Cite&gt;&lt;/EndNote&gt;</w:instrText>
      </w:r>
      <w:r w:rsidR="00772525">
        <w:rPr>
          <w:rFonts w:ascii="Arial" w:hAnsi="Arial" w:cs="Arial"/>
        </w:rPr>
        <w:fldChar w:fldCharType="separate"/>
      </w:r>
      <w:r w:rsidR="0011397F">
        <w:rPr>
          <w:rFonts w:ascii="Arial" w:hAnsi="Arial" w:cs="Arial"/>
          <w:noProof/>
        </w:rPr>
        <w:t>[</w:t>
      </w:r>
      <w:hyperlink w:anchor="_ENREF_10" w:tooltip="Larson, 2000 #246" w:history="1">
        <w:r w:rsidR="00716E55">
          <w:rPr>
            <w:rFonts w:ascii="Arial" w:hAnsi="Arial" w:cs="Arial"/>
            <w:noProof/>
          </w:rPr>
          <w:t>10</w:t>
        </w:r>
      </w:hyperlink>
      <w:r w:rsidR="0011397F">
        <w:rPr>
          <w:rFonts w:ascii="Arial" w:hAnsi="Arial" w:cs="Arial"/>
          <w:noProof/>
        </w:rPr>
        <w:t>]</w:t>
      </w:r>
      <w:r w:rsidR="00772525">
        <w:rPr>
          <w:rFonts w:ascii="Arial" w:hAnsi="Arial" w:cs="Arial"/>
        </w:rPr>
        <w:fldChar w:fldCharType="end"/>
      </w:r>
      <w:r w:rsidR="00772525">
        <w:rPr>
          <w:rFonts w:ascii="Arial" w:hAnsi="Arial" w:cs="Arial"/>
        </w:rPr>
        <w:t>, and others may be preoccupied with day to day living and survival</w:t>
      </w:r>
      <w:r w:rsidR="00772525">
        <w:rPr>
          <w:rFonts w:ascii="Arial" w:hAnsi="Arial" w:cs="Arial"/>
        </w:rPr>
        <w:fldChar w:fldCharType="begin">
          <w:fldData xml:space="preserve">PEVuZE5vdGU+PENpdGU+PEF1dGhvcj5LbmF1ZnQ8L0F1dGhvcj48WWVhcj4yMDA1PC9ZZWFyPjxS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</w:fldData>
        </w:fldChar>
      </w:r>
      <w:r w:rsidR="0011397F">
        <w:rPr>
          <w:rFonts w:ascii="Arial" w:hAnsi="Arial" w:cs="Arial"/>
        </w:rPr>
        <w:instrText xml:space="preserve"> ADDIN EN.CITE </w:instrText>
      </w:r>
      <w:r w:rsidR="0011397F">
        <w:rPr>
          <w:rFonts w:ascii="Arial" w:hAnsi="Arial" w:cs="Arial"/>
        </w:rPr>
        <w:fldChar w:fldCharType="begin">
          <w:fldData xml:space="preserve">PEVuZE5vdGU+PENpdGU+PEF1dGhvcj5LbmF1ZnQ8L0F1dGhvcj48WWVhcj4yMDA1PC9ZZWFyPjxS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</w:fldData>
        </w:fldChar>
      </w:r>
      <w:r w:rsidR="0011397F">
        <w:rPr>
          <w:rFonts w:ascii="Arial" w:hAnsi="Arial" w:cs="Arial"/>
        </w:rPr>
        <w:instrText xml:space="preserve"> ADDIN EN.CITE.DATA </w:instrText>
      </w:r>
      <w:r w:rsidR="0011397F">
        <w:rPr>
          <w:rFonts w:ascii="Arial" w:hAnsi="Arial" w:cs="Arial"/>
        </w:rPr>
      </w:r>
      <w:r w:rsidR="0011397F">
        <w:rPr>
          <w:rFonts w:ascii="Arial" w:hAnsi="Arial" w:cs="Arial"/>
        </w:rPr>
        <w:fldChar w:fldCharType="end"/>
      </w:r>
      <w:r w:rsidR="00772525">
        <w:rPr>
          <w:rFonts w:ascii="Arial" w:hAnsi="Arial" w:cs="Arial"/>
        </w:rPr>
      </w:r>
      <w:r w:rsidR="00772525">
        <w:rPr>
          <w:rFonts w:ascii="Arial" w:hAnsi="Arial" w:cs="Arial"/>
        </w:rPr>
        <w:fldChar w:fldCharType="separate"/>
      </w:r>
      <w:r w:rsidR="0011397F">
        <w:rPr>
          <w:rFonts w:ascii="Arial" w:hAnsi="Arial" w:cs="Arial"/>
          <w:noProof/>
        </w:rPr>
        <w:t>[</w:t>
      </w:r>
      <w:hyperlink w:anchor="_ENREF_11" w:tooltip="Knauft, 2005 #167" w:history="1">
        <w:r w:rsidR="00716E55">
          <w:rPr>
            <w:rFonts w:ascii="Arial" w:hAnsi="Arial" w:cs="Arial"/>
            <w:noProof/>
          </w:rPr>
          <w:t>11</w:t>
        </w:r>
      </w:hyperlink>
      <w:r w:rsidR="0011397F">
        <w:rPr>
          <w:rFonts w:ascii="Arial" w:hAnsi="Arial" w:cs="Arial"/>
          <w:noProof/>
        </w:rPr>
        <w:t xml:space="preserve">, </w:t>
      </w:r>
      <w:hyperlink w:anchor="_ENREF_12" w:tooltip="Janssen, 2011 #95" w:history="1">
        <w:r w:rsidR="00716E55">
          <w:rPr>
            <w:rFonts w:ascii="Arial" w:hAnsi="Arial" w:cs="Arial"/>
            <w:noProof/>
          </w:rPr>
          <w:t>12</w:t>
        </w:r>
      </w:hyperlink>
      <w:r w:rsidR="0011397F">
        <w:rPr>
          <w:rFonts w:ascii="Arial" w:hAnsi="Arial" w:cs="Arial"/>
          <w:noProof/>
        </w:rPr>
        <w:t>]</w:t>
      </w:r>
      <w:r w:rsidR="00772525">
        <w:rPr>
          <w:rFonts w:ascii="Arial" w:hAnsi="Arial" w:cs="Arial"/>
        </w:rPr>
        <w:fldChar w:fldCharType="end"/>
      </w:r>
      <w:r w:rsidR="0011397F">
        <w:rPr>
          <w:rFonts w:ascii="Arial" w:hAnsi="Arial" w:cs="Arial"/>
        </w:rPr>
        <w:t>,</w:t>
      </w:r>
      <w:r w:rsidR="00772525">
        <w:rPr>
          <w:rFonts w:ascii="Arial" w:hAnsi="Arial" w:cs="Arial"/>
        </w:rPr>
        <w:t xml:space="preserve"> avoid thinking about death in order to better enjoy the present</w:t>
      </w:r>
      <w:r w:rsidR="00772525">
        <w:rPr>
          <w:rFonts w:ascii="Arial" w:hAnsi="Arial" w:cs="Arial"/>
        </w:rPr>
        <w:fldChar w:fldCharType="begin"/>
      </w:r>
      <w:r w:rsidR="0011397F">
        <w:rPr>
          <w:rFonts w:ascii="Arial" w:hAnsi="Arial" w:cs="Arial"/>
        </w:rPr>
        <w:instrText xml:space="preserve"> ADDIN EN.CITE &lt;EndNote&gt;&lt;Cite&gt;&lt;Author&gt;Gott&lt;/Author&gt;&lt;Year&gt;2008&lt;/Year&gt;&lt;RecNum&gt;298&lt;/RecNum&gt;&lt;DisplayText&gt;[13]&lt;/DisplayText&gt;&lt;record&gt;&lt;rec-number&gt;298&lt;/rec-number&gt;&lt;foreign-keys&gt;&lt;key app="EN" db-id="ezfa0awta2ze5se9vz25asd0v2xevvev99pd" timestamp="1352998303"&gt;298&lt;/key&gt;&lt;/foreign-keys&gt;&lt;ref-type name="Journal Article"&gt;17&lt;/ref-type&gt;&lt;contributors&gt;&lt;authors&gt;&lt;author&gt;Gott, M.&lt;/author&gt;&lt;author&gt;Small, Neil&lt;/author&gt;&lt;author&gt;Barnes, Sarah&lt;/author&gt;&lt;author&gt;Payne, Sheila&lt;/author&gt;&lt;author&gt;Seamark, David&lt;/author&gt;&lt;/authors&gt;&lt;/contributors&gt;&lt;titles&gt;&lt;title&gt;Older people&amp;apos;s views of a good death in heart failure: Implications for palliative care provision&lt;/title&gt;&lt;secondary-title&gt;Social Science &amp;amp;amp; Medicine&lt;/secondary-title&gt;&lt;/titles&gt;&lt;periodical&gt;&lt;full-title&gt;Social Science &amp;amp;amp; Medicine&lt;/full-title&gt;&lt;/periodical&gt;&lt;pages&gt;1113-1121&lt;/pages&gt;&lt;volume&gt;67&lt;/volume&gt;&lt;number&gt;7&lt;/number&gt;&lt;keywords&gt;&lt;keyword&gt;UK&lt;/keyword&gt;&lt;keyword&gt;Heart failure&lt;/keyword&gt;&lt;keyword&gt;Good death&lt;/keyword&gt;&lt;keyword&gt;Palliative care&lt;/keyword&gt;&lt;keyword&gt;Older adults&lt;/keyword&gt;&lt;/keywords&gt;&lt;dates&gt;&lt;year&gt;2008&lt;/year&gt;&lt;/dates&gt;&lt;isbn&gt;0277-9536&lt;/isbn&gt;&lt;urls&gt;&lt;related-urls&gt;&lt;url&gt;http://www.sciencedirect.com/science/article/pii/S0277953608002761&lt;/url&gt;&lt;/related-urls&gt;&lt;/urls&gt;&lt;electronic-resource-num&gt;10.1016/j.socscimed.2008.05.024&lt;/electronic-resource-num&gt;&lt;/record&gt;&lt;/Cite&gt;&lt;/EndNote&gt;</w:instrText>
      </w:r>
      <w:r w:rsidR="00772525">
        <w:rPr>
          <w:rFonts w:ascii="Arial" w:hAnsi="Arial" w:cs="Arial"/>
        </w:rPr>
        <w:fldChar w:fldCharType="separate"/>
      </w:r>
      <w:r w:rsidR="0011397F">
        <w:rPr>
          <w:rFonts w:ascii="Arial" w:hAnsi="Arial" w:cs="Arial"/>
          <w:noProof/>
        </w:rPr>
        <w:t>[</w:t>
      </w:r>
      <w:hyperlink w:anchor="_ENREF_13" w:tooltip="Gott, 2008 #298" w:history="1">
        <w:r w:rsidR="00716E55">
          <w:rPr>
            <w:rFonts w:ascii="Arial" w:hAnsi="Arial" w:cs="Arial"/>
            <w:noProof/>
          </w:rPr>
          <w:t>13</w:t>
        </w:r>
      </w:hyperlink>
      <w:r w:rsidR="0011397F">
        <w:rPr>
          <w:rFonts w:ascii="Arial" w:hAnsi="Arial" w:cs="Arial"/>
          <w:noProof/>
        </w:rPr>
        <w:t>]</w:t>
      </w:r>
      <w:r w:rsidR="00772525">
        <w:rPr>
          <w:rFonts w:ascii="Arial" w:hAnsi="Arial" w:cs="Arial"/>
        </w:rPr>
        <w:fldChar w:fldCharType="end"/>
      </w:r>
      <w:r w:rsidR="0011397F">
        <w:rPr>
          <w:rFonts w:ascii="Arial" w:hAnsi="Arial" w:cs="Arial"/>
        </w:rPr>
        <w:t xml:space="preserve">, </w:t>
      </w:r>
      <w:r w:rsidR="00772525">
        <w:rPr>
          <w:rFonts w:ascii="Arial" w:hAnsi="Arial" w:cs="Arial"/>
        </w:rPr>
        <w:t>or feel too unwell to make plans</w:t>
      </w:r>
      <w:r w:rsidR="00772525">
        <w:rPr>
          <w:rFonts w:ascii="Arial" w:hAnsi="Arial" w:cs="Arial"/>
        </w:rPr>
        <w:fldChar w:fldCharType="begin"/>
      </w:r>
      <w:r w:rsidR="0011397F">
        <w:rPr>
          <w:rFonts w:ascii="Arial" w:hAnsi="Arial" w:cs="Arial"/>
        </w:rPr>
        <w:instrText xml:space="preserve"> ADDIN EN.CITE &lt;EndNote&gt;&lt;Cite&gt;&lt;Author&gt;Mezey&lt;/Author&gt;&lt;Year&gt;2000&lt;/Year&gt;&lt;RecNum&gt;450&lt;/RecNum&gt;&lt;DisplayText&gt;[14]&lt;/DisplayText&gt;&lt;record&gt;&lt;rec-number&gt;450&lt;/rec-number&gt;&lt;foreign-keys&gt;&lt;key app="EN" db-id="ezfa0awta2ze5se9vz25asd0v2xevvev99pd" timestamp="1418142785"&gt;450&lt;/key&gt;&lt;/foreign-keys&gt;&lt;ref-type name="Journal Article"&gt;17&lt;/ref-type&gt;&lt;contributors&gt;&lt;authors&gt;&lt;author&gt;Mezey, MD&lt;/author&gt;&lt;author&gt;Leitman, R&lt;/author&gt;&lt;author&gt;Mitty, EL&lt;/author&gt;&lt;author&gt;Bottrell, MM&lt;/author&gt;&lt;author&gt;Ranmsey, GC&lt;/author&gt;&lt;/authors&gt;&lt;/contributors&gt;&lt;titles&gt;&lt;title&gt;Why hospital patients do and do not execute an advance directive &lt;/title&gt;&lt;secondary-title&gt;Nursing Outlook &lt;/secondary-title&gt;&lt;/titles&gt;&lt;periodical&gt;&lt;full-title&gt;Nursing Outlook&lt;/full-title&gt;&lt;/periodical&gt;&lt;pages&gt;165-71&lt;/pages&gt;&lt;volume&gt;48&lt;/volume&gt;&lt;dates&gt;&lt;year&gt;2000&lt;/year&gt;&lt;/dates&gt;&lt;urls&gt;&lt;/urls&gt;&lt;/record&gt;&lt;/Cite&gt;&lt;/EndNote&gt;</w:instrText>
      </w:r>
      <w:r w:rsidR="00772525">
        <w:rPr>
          <w:rFonts w:ascii="Arial" w:hAnsi="Arial" w:cs="Arial"/>
        </w:rPr>
        <w:fldChar w:fldCharType="separate"/>
      </w:r>
      <w:r w:rsidR="0011397F">
        <w:rPr>
          <w:rFonts w:ascii="Arial" w:hAnsi="Arial" w:cs="Arial"/>
          <w:noProof/>
        </w:rPr>
        <w:t>[</w:t>
      </w:r>
      <w:hyperlink w:anchor="_ENREF_14" w:tooltip="Mezey, 2000 #450" w:history="1">
        <w:r w:rsidR="00716E55">
          <w:rPr>
            <w:rFonts w:ascii="Arial" w:hAnsi="Arial" w:cs="Arial"/>
            <w:noProof/>
          </w:rPr>
          <w:t>14</w:t>
        </w:r>
      </w:hyperlink>
      <w:r w:rsidR="0011397F">
        <w:rPr>
          <w:rFonts w:ascii="Arial" w:hAnsi="Arial" w:cs="Arial"/>
          <w:noProof/>
        </w:rPr>
        <w:t>]</w:t>
      </w:r>
      <w:r w:rsidR="00772525">
        <w:rPr>
          <w:rFonts w:ascii="Arial" w:hAnsi="Arial" w:cs="Arial"/>
        </w:rPr>
        <w:fldChar w:fldCharType="end"/>
      </w:r>
      <w:r w:rsidR="00772525">
        <w:rPr>
          <w:rFonts w:ascii="Arial" w:hAnsi="Arial" w:cs="Arial"/>
        </w:rPr>
        <w:t>.</w:t>
      </w:r>
    </w:p>
    <w:p w:rsidR="00485083" w:rsidRPr="00485083" w:rsidRDefault="00A70FE7" w:rsidP="008D60D0">
      <w:pPr>
        <w:pStyle w:val="ListBullet"/>
        <w:numPr>
          <w:ilvl w:val="0"/>
          <w:numId w:val="0"/>
        </w:numPr>
        <w:spacing w:line="360" w:lineRule="auto"/>
        <w:contextualSpacing w:val="0"/>
        <w:rPr>
          <w:rFonts w:ascii="Arial" w:hAnsi="Arial" w:cs="Arial"/>
        </w:rPr>
      </w:pPr>
      <w:r>
        <w:rPr>
          <w:rFonts w:ascii="Arial" w:hAnsi="Arial" w:cs="Arial"/>
        </w:rPr>
        <w:t>Despite the potential benefits, many people do not talk about their end of life preferences. In a recent UK population survey</w:t>
      </w:r>
      <w:r>
        <w:rPr>
          <w:rFonts w:ascii="Arial" w:hAnsi="Arial" w:cs="Arial"/>
        </w:rPr>
        <w:fldChar w:fldCharType="begin"/>
      </w:r>
      <w:r w:rsidR="0011397F">
        <w:rPr>
          <w:rFonts w:ascii="Arial" w:hAnsi="Arial" w:cs="Arial"/>
        </w:rPr>
        <w:instrText xml:space="preserve"> ADDIN EN.CITE &lt;EndNote&gt;&lt;Cite&gt;&lt;Author&gt;ComRes&lt;/Author&gt;&lt;Year&gt;2012&lt;/Year&gt;&lt;RecNum&gt;316&lt;/RecNum&gt;&lt;DisplayText&gt;[15]&lt;/DisplayText&gt;&lt;record&gt;&lt;rec-number&gt;316&lt;/rec-number&gt;&lt;foreign-keys&gt;&lt;key app="EN" db-id="ezfa0awta2ze5se9vz25asd0v2xevvev99pd" timestamp="1355314727"&gt;316&lt;/key&gt;&lt;/foreign-keys&gt;&lt;ref-type name="Web Page"&gt;12&lt;/ref-type&gt;&lt;contributors&gt;&lt;authors&gt;&lt;author&gt;ComRes&lt;/author&gt;&lt;/authors&gt;&lt;/contributors&gt;&lt;titles&gt;&lt;title&gt;Dying Matters Survey&lt;/title&gt;&lt;/titles&gt;&lt;volume&gt;2012&lt;/volume&gt;&lt;number&gt;12/11/2012&lt;/number&gt;&lt;dates&gt;&lt;year&gt;2012&lt;/year&gt;&lt;/dates&gt;&lt;urls&gt;&lt;related-urls&gt;&lt;url&gt;http://www.comres.co.uk/polls/Dying_Matters_Public_April12.pdf&lt;/url&gt;&lt;/related-urls&gt;&lt;/urls&gt;&lt;/record&gt;&lt;/Cite&gt;&lt;/EndNote&gt;</w:instrText>
      </w:r>
      <w:r>
        <w:rPr>
          <w:rFonts w:ascii="Arial" w:hAnsi="Arial" w:cs="Arial"/>
        </w:rPr>
        <w:fldChar w:fldCharType="separate"/>
      </w:r>
      <w:r w:rsidR="0011397F">
        <w:rPr>
          <w:rFonts w:ascii="Arial" w:hAnsi="Arial" w:cs="Arial"/>
          <w:noProof/>
        </w:rPr>
        <w:t>[</w:t>
      </w:r>
      <w:hyperlink w:anchor="_ENREF_15" w:tooltip="ComRes, 2012 #316" w:history="1">
        <w:r w:rsidR="00716E55">
          <w:rPr>
            <w:rFonts w:ascii="Arial" w:hAnsi="Arial" w:cs="Arial"/>
            <w:noProof/>
          </w:rPr>
          <w:t>15</w:t>
        </w:r>
      </w:hyperlink>
      <w:r w:rsidR="0011397F">
        <w:rPr>
          <w:rFonts w:ascii="Arial" w:hAnsi="Arial" w:cs="Arial"/>
          <w:noProof/>
        </w:rPr>
        <w:t>]</w:t>
      </w:r>
      <w:r>
        <w:rPr>
          <w:rFonts w:ascii="Arial" w:hAnsi="Arial" w:cs="Arial"/>
        </w:rPr>
        <w:fldChar w:fldCharType="end"/>
      </w:r>
      <w:r>
        <w:rPr>
          <w:rFonts w:ascii="Arial" w:hAnsi="Arial" w:cs="Arial"/>
        </w:rPr>
        <w:t xml:space="preserve">, only 50% reported telling anybody whether they would like to be buried or cremated and only 37% had made a will. </w:t>
      </w:r>
      <w:r w:rsidR="0098271D">
        <w:rPr>
          <w:rFonts w:ascii="Arial" w:hAnsi="Arial" w:cs="Arial"/>
        </w:rPr>
        <w:t xml:space="preserve">This varied by age group, with a greater proportion of older compared with younger participants having made a will or talked about their funeral wishes. </w:t>
      </w:r>
      <w:r>
        <w:rPr>
          <w:rFonts w:ascii="Arial" w:hAnsi="Arial" w:cs="Arial"/>
        </w:rPr>
        <w:t xml:space="preserve">Other surveys </w:t>
      </w:r>
      <w:r w:rsidR="00D07E53">
        <w:rPr>
          <w:rFonts w:ascii="Arial" w:hAnsi="Arial" w:cs="Arial"/>
        </w:rPr>
        <w:t xml:space="preserve">have </w:t>
      </w:r>
      <w:r>
        <w:rPr>
          <w:rFonts w:ascii="Arial" w:hAnsi="Arial" w:cs="Arial"/>
        </w:rPr>
        <w:t>reported similar findings</w:t>
      </w:r>
      <w:r w:rsidR="00D07E53">
        <w:rPr>
          <w:rFonts w:ascii="Arial" w:hAnsi="Arial" w:cs="Arial"/>
        </w:rPr>
        <w:fldChar w:fldCharType="begin">
          <w:fldData xml:space="preserve">PEVuZE5vdGU+PENpdGU+PEF1dGhvcj5OYXRpb25hbCBDZW50cmUgZm9yIFNvY2lhbCBSZXNlYXJj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==
</w:fldData>
        </w:fldChar>
      </w:r>
      <w:r w:rsidR="00716E55">
        <w:rPr>
          <w:rFonts w:ascii="Arial" w:hAnsi="Arial" w:cs="Arial"/>
        </w:rPr>
        <w:instrText xml:space="preserve"> ADDIN EN.CITE </w:instrText>
      </w:r>
      <w:r w:rsidR="00716E55">
        <w:rPr>
          <w:rFonts w:ascii="Arial" w:hAnsi="Arial" w:cs="Arial"/>
        </w:rPr>
        <w:fldChar w:fldCharType="begin">
          <w:fldData xml:space="preserve">PEVuZE5vdGU+PENpdGU+PEF1dGhvcj5OYXRpb25hbCBDZW50cmUgZm9yIFNvY2lhbCBSZXNlYXJj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==
</w:fldData>
        </w:fldChar>
      </w:r>
      <w:r w:rsidR="00716E55">
        <w:rPr>
          <w:rFonts w:ascii="Arial" w:hAnsi="Arial" w:cs="Arial"/>
        </w:rPr>
        <w:instrText xml:space="preserve"> ADDIN EN.CITE.DATA </w:instrText>
      </w:r>
      <w:r w:rsidR="00716E55">
        <w:rPr>
          <w:rFonts w:ascii="Arial" w:hAnsi="Arial" w:cs="Arial"/>
        </w:rPr>
      </w:r>
      <w:r w:rsidR="00716E55">
        <w:rPr>
          <w:rFonts w:ascii="Arial" w:hAnsi="Arial" w:cs="Arial"/>
        </w:rPr>
        <w:fldChar w:fldCharType="end"/>
      </w:r>
      <w:r w:rsidR="00D07E53">
        <w:rPr>
          <w:rFonts w:ascii="Arial" w:hAnsi="Arial" w:cs="Arial"/>
        </w:rPr>
      </w:r>
      <w:r w:rsidR="00D07E53">
        <w:rPr>
          <w:rFonts w:ascii="Arial" w:hAnsi="Arial" w:cs="Arial"/>
        </w:rPr>
        <w:fldChar w:fldCharType="separate"/>
      </w:r>
      <w:r w:rsidR="00716E55">
        <w:rPr>
          <w:rFonts w:ascii="Arial" w:hAnsi="Arial" w:cs="Arial"/>
          <w:noProof/>
        </w:rPr>
        <w:t>[</w:t>
      </w:r>
      <w:hyperlink w:anchor="_ENREF_16" w:tooltip="National Centre for Social Research (NatCen), 2009 #317" w:history="1">
        <w:r w:rsidR="00716E55">
          <w:rPr>
            <w:rFonts w:ascii="Arial" w:hAnsi="Arial" w:cs="Arial"/>
            <w:noProof/>
          </w:rPr>
          <w:t>16-18</w:t>
        </w:r>
      </w:hyperlink>
      <w:r w:rsidR="00716E55">
        <w:rPr>
          <w:rFonts w:ascii="Arial" w:hAnsi="Arial" w:cs="Arial"/>
          <w:noProof/>
        </w:rPr>
        <w:t>]</w:t>
      </w:r>
      <w:r w:rsidR="00D07E53">
        <w:rPr>
          <w:rFonts w:ascii="Arial" w:hAnsi="Arial" w:cs="Arial"/>
        </w:rPr>
        <w:fldChar w:fldCharType="end"/>
      </w:r>
      <w:r w:rsidR="00223407">
        <w:rPr>
          <w:rFonts w:ascii="Arial" w:hAnsi="Arial" w:cs="Arial"/>
        </w:rPr>
        <w:t>.</w:t>
      </w:r>
      <w:r w:rsidR="00485083">
        <w:rPr>
          <w:rFonts w:ascii="Arial" w:hAnsi="Arial" w:cs="Arial"/>
          <w:vanish/>
        </w:rPr>
        <w:t xml:space="preserve">  </w:t>
      </w:r>
    </w:p>
    <w:p w:rsidR="002C4B48" w:rsidRDefault="002C4B48" w:rsidP="00415A34">
      <w:pPr>
        <w:spacing w:line="360" w:lineRule="auto"/>
        <w:rPr>
          <w:rFonts w:ascii="Arial" w:hAnsi="Arial" w:cs="Arial"/>
        </w:rPr>
      </w:pPr>
      <w:r w:rsidRPr="00E535C9">
        <w:rPr>
          <w:rFonts w:ascii="Arial" w:hAnsi="Arial" w:cs="Arial"/>
        </w:rPr>
        <w:t xml:space="preserve">There is currently limited evidence on effective </w:t>
      </w:r>
      <w:r>
        <w:rPr>
          <w:rFonts w:ascii="Arial" w:hAnsi="Arial" w:cs="Arial"/>
        </w:rPr>
        <w:t xml:space="preserve">public health </w:t>
      </w:r>
      <w:r w:rsidRPr="00E535C9">
        <w:rPr>
          <w:rFonts w:ascii="Arial" w:hAnsi="Arial" w:cs="Arial"/>
        </w:rPr>
        <w:t>interv</w:t>
      </w:r>
      <w:r>
        <w:rPr>
          <w:rFonts w:ascii="Arial" w:hAnsi="Arial" w:cs="Arial"/>
        </w:rPr>
        <w:t>entions</w:t>
      </w:r>
      <w:r w:rsidRPr="00E535C9">
        <w:rPr>
          <w:rFonts w:ascii="Arial" w:hAnsi="Arial" w:cs="Arial"/>
        </w:rPr>
        <w:t xml:space="preserve">. Suggested initiatives include education to help communities prepare for death and activities to ‘normalise’ death as something that can be talked about </w:t>
      </w:r>
      <w:r w:rsidRPr="00E535C9">
        <w:rPr>
          <w:rFonts w:ascii="Arial" w:hAnsi="Arial" w:cs="Arial"/>
        </w:rPr>
        <w:fldChar w:fldCharType="begin"/>
      </w:r>
      <w:r w:rsidR="00716E55">
        <w:rPr>
          <w:rFonts w:ascii="Arial" w:hAnsi="Arial" w:cs="Arial"/>
        </w:rPr>
        <w:instrText xml:space="preserve"> ADDIN EN.CITE &lt;EndNote&gt;&lt;Cite&gt;&lt;Author&gt;Kellehear&lt;/Author&gt;&lt;Year&gt;2010&lt;/Year&gt;&lt;RecNum&gt;34&lt;/RecNum&gt;&lt;DisplayText&gt;[10, 19]&lt;/DisplayText&gt;&lt;record&gt;&lt;rec-number&gt;34&lt;/rec-number&gt;&lt;foreign-keys&gt;&lt;key app="EN" db-id="ezfa0awta2ze5se9vz25asd0v2xevvev99pd" timestamp="1340620798"&gt;34&lt;/key&gt;&lt;/foreign-keys&gt;&lt;ref-type name="Journal Article"&gt;17&lt;/ref-type&gt;&lt;contributors&gt;&lt;authors&gt;&lt;author&gt;Kellehear, Allan&lt;/author&gt;&lt;author&gt;Fook, Jan&lt;/author&gt;&lt;/authors&gt;&lt;/contributors&gt;&lt;titles&gt;&lt;title&gt;Bereavement care for the non-bereaved&lt;/title&gt;&lt;secondary-title&gt;Bereavement Care&lt;/secondary-title&gt;&lt;/titles&gt;&lt;periodical&gt;&lt;full-title&gt;Bereavement Care&lt;/full-title&gt;&lt;/periodical&gt;&lt;pages&gt;21-25&lt;/pages&gt;&lt;volume&gt;29&lt;/volume&gt;&lt;number&gt;3&lt;/number&gt;&lt;dates&gt;&lt;year&gt;2010&lt;/year&gt;&lt;pub-dates&gt;&lt;date&gt;2010/12/01&lt;/date&gt;&lt;/pub-dates&gt;&lt;/dates&gt;&lt;publisher&gt;Routledge&lt;/publisher&gt;&lt;isbn&gt;0268-2621&lt;/isbn&gt;&lt;urls&gt;&lt;related-urls&gt;&lt;url&gt;http://dx.doi.org/10.1080/02682621.2010.522376&lt;/url&gt;&lt;/related-urls&gt;&lt;/urls&gt;&lt;electronic-resource-num&gt;10.1080/02682621.2010.522376&lt;/electronic-resource-num&gt;&lt;access-date&gt;2012/06/25&lt;/access-date&gt;&lt;/record&gt;&lt;/Cite&gt;&lt;Cite&gt;&lt;Author&gt;Larson&lt;/Author&gt;&lt;Year&gt;2000&lt;/Year&gt;&lt;RecNum&gt;246&lt;/RecNum&gt;&lt;record&gt;&lt;rec-number&gt;246&lt;/rec-number&gt;&lt;foreign-keys&gt;&lt;key app="EN" db-id="ezfa0awta2ze5se9vz25asd0v2xevvev99pd" timestamp="1349093053"&gt;246&lt;/key&gt;&lt;/foreign-keys&gt;&lt;ref-type name="Journal Article"&gt;17&lt;/ref-type&gt;&lt;contributors&gt;&lt;authors&gt;&lt;author&gt;Larson, DG. &lt;/author&gt;&lt;author&gt;Tobin, DR.&lt;/author&gt;&lt;/authors&gt;&lt;/contributors&gt;&lt;titles&gt;&lt;title&gt;End-of-life conversations: Evolving practice and theory&lt;/title&gt;&lt;secondary-title&gt;JAMA: The Journal of the American Medical Association&lt;/secondary-title&gt;&lt;/titles&gt;&lt;periodical&gt;&lt;full-title&gt;JAMA: The Journal of the American Medical Association&lt;/full-title&gt;&lt;/periodical&gt;&lt;pages&gt;1573-8&lt;/pages&gt;&lt;volume&gt;284&lt;/volume&gt;&lt;number&gt;12&lt;/number&gt;&lt;dates&gt;&lt;year&gt;2000&lt;/year&gt;&lt;/dates&gt;&lt;isbn&gt;0098-7484&lt;/isbn&gt;&lt;urls&gt;&lt;related-urls&gt;&lt;url&gt;http://dx.doi.org/10.1001/jama.284.12.1573&lt;/url&gt;&lt;/related-urls&gt;&lt;/urls&gt;&lt;electronic-resource-num&gt;10.1001/jama.284.12.1573&lt;/electronic-resource-num&gt;&lt;/record&gt;&lt;/Cite&gt;&lt;/EndNote&gt;</w:instrText>
      </w:r>
      <w:r w:rsidRPr="00E535C9">
        <w:rPr>
          <w:rFonts w:ascii="Arial" w:hAnsi="Arial" w:cs="Arial"/>
        </w:rPr>
        <w:fldChar w:fldCharType="separate"/>
      </w:r>
      <w:r w:rsidR="00716E55">
        <w:rPr>
          <w:rFonts w:ascii="Arial" w:hAnsi="Arial" w:cs="Arial"/>
          <w:noProof/>
        </w:rPr>
        <w:t>[</w:t>
      </w:r>
      <w:hyperlink w:anchor="_ENREF_10" w:tooltip="Larson, 2000 #246" w:history="1">
        <w:r w:rsidR="00716E55">
          <w:rPr>
            <w:rFonts w:ascii="Arial" w:hAnsi="Arial" w:cs="Arial"/>
            <w:noProof/>
          </w:rPr>
          <w:t>10</w:t>
        </w:r>
      </w:hyperlink>
      <w:r w:rsidR="00716E55">
        <w:rPr>
          <w:rFonts w:ascii="Arial" w:hAnsi="Arial" w:cs="Arial"/>
          <w:noProof/>
        </w:rPr>
        <w:t xml:space="preserve">, </w:t>
      </w:r>
      <w:hyperlink w:anchor="_ENREF_19" w:tooltip="Kellehear, 2010 #34" w:history="1">
        <w:r w:rsidR="00716E55">
          <w:rPr>
            <w:rFonts w:ascii="Arial" w:hAnsi="Arial" w:cs="Arial"/>
            <w:noProof/>
          </w:rPr>
          <w:t>19</w:t>
        </w:r>
      </w:hyperlink>
      <w:r w:rsidR="00716E55">
        <w:rPr>
          <w:rFonts w:ascii="Arial" w:hAnsi="Arial" w:cs="Arial"/>
          <w:noProof/>
        </w:rPr>
        <w:t>]</w:t>
      </w:r>
      <w:r w:rsidRPr="00E535C9">
        <w:rPr>
          <w:rFonts w:ascii="Arial" w:hAnsi="Arial" w:cs="Arial"/>
        </w:rPr>
        <w:fldChar w:fldCharType="end"/>
      </w:r>
      <w:r w:rsidRPr="00E535C9">
        <w:rPr>
          <w:rFonts w:ascii="Arial" w:hAnsi="Arial" w:cs="Arial"/>
        </w:rPr>
        <w:t>. A recent systematic literature review identified five relevant published studies</w:t>
      </w:r>
      <w:r w:rsidRPr="00E535C9">
        <w:rPr>
          <w:rFonts w:ascii="Arial" w:hAnsi="Arial" w:cs="Arial"/>
        </w:rPr>
        <w:fldChar w:fldCharType="begin"/>
      </w:r>
      <w:r w:rsidR="00716E55">
        <w:rPr>
          <w:rFonts w:ascii="Arial" w:hAnsi="Arial" w:cs="Arial"/>
        </w:rPr>
        <w:instrText xml:space="preserve"> ADDIN EN.CITE &lt;EndNote&gt;&lt;Cite&gt;&lt;Author&gt;Abba&lt;/Author&gt;&lt;Year&gt;2013&lt;/Year&gt;&lt;RecNum&gt;493&lt;/RecNum&gt;&lt;DisplayText&gt;[20]&lt;/DisplayText&gt;&lt;record&gt;&lt;rec-number&gt;493&lt;/rec-number&gt;&lt;foreign-keys&gt;&lt;key app="EN" db-id="ezfa0awta2ze5se9vz25asd0v2xevvev99pd" timestamp="1438258648"&gt;493&lt;/key&gt;&lt;/foreign-keys&gt;&lt;ref-type name="Journal Article"&gt;17&lt;/ref-type&gt;&lt;contributors&gt;&lt;authors&gt;&lt;author&gt;Abba, K&lt;/author&gt;&lt;author&gt;Byrne, P&lt;/author&gt;&lt;author&gt;Horton, S.&lt;/author&gt;&lt;author&gt;Lloyd-Williams, M.&lt;/author&gt;&lt;/authors&gt;&lt;/contributors&gt;&lt;titles&gt;&lt;title&gt;Interventions to encouage discussion of end of life preferences between members of the general population and the people closest to them - a systematic review &lt;/title&gt;&lt;secondary-title&gt;BMC Palliative Care&lt;/secondary-title&gt;&lt;/titles&gt;&lt;periodical&gt;&lt;full-title&gt;BMC Palliative Care&lt;/full-title&gt;&lt;/periodical&gt;&lt;pages&gt;doi:10.1186/1472-684X-12-40&lt;/pages&gt;&lt;volume&gt;12&lt;/volume&gt;&lt;number&gt;40&lt;/number&gt;&lt;dates&gt;&lt;year&gt;2013&lt;/year&gt;&lt;/dates&gt;&lt;urls&gt;&lt;related-urls&gt;&lt;url&gt;http://www.biomedcentral.com/1472-684X/12/40&lt;/url&gt;&lt;/related-urls&gt;&lt;/urls&gt;&lt;/record&gt;&lt;/Cite&gt;&lt;/EndNote&gt;</w:instrText>
      </w:r>
      <w:r w:rsidRPr="00E535C9">
        <w:rPr>
          <w:rFonts w:ascii="Arial" w:hAnsi="Arial" w:cs="Arial"/>
        </w:rPr>
        <w:fldChar w:fldCharType="separate"/>
      </w:r>
      <w:r w:rsidR="00716E55">
        <w:rPr>
          <w:rFonts w:ascii="Arial" w:hAnsi="Arial" w:cs="Arial"/>
          <w:noProof/>
        </w:rPr>
        <w:t>[</w:t>
      </w:r>
      <w:hyperlink w:anchor="_ENREF_20" w:tooltip="Abba, 2013 #493" w:history="1">
        <w:r w:rsidR="00716E55">
          <w:rPr>
            <w:rFonts w:ascii="Arial" w:hAnsi="Arial" w:cs="Arial"/>
            <w:noProof/>
          </w:rPr>
          <w:t>20</w:t>
        </w:r>
      </w:hyperlink>
      <w:r w:rsidR="00716E55">
        <w:rPr>
          <w:rFonts w:ascii="Arial" w:hAnsi="Arial" w:cs="Arial"/>
          <w:noProof/>
        </w:rPr>
        <w:t>]</w:t>
      </w:r>
      <w:r w:rsidRPr="00E535C9">
        <w:rPr>
          <w:rFonts w:ascii="Arial" w:hAnsi="Arial" w:cs="Arial"/>
        </w:rPr>
        <w:fldChar w:fldCharType="end"/>
      </w:r>
      <w:r w:rsidRPr="00E535C9">
        <w:rPr>
          <w:rFonts w:ascii="Arial" w:hAnsi="Arial" w:cs="Arial"/>
        </w:rPr>
        <w:t xml:space="preserve"> and concluded that, in the </w:t>
      </w:r>
      <w:r>
        <w:rPr>
          <w:rFonts w:ascii="Arial" w:hAnsi="Arial" w:cs="Arial"/>
        </w:rPr>
        <w:t>right</w:t>
      </w:r>
      <w:r w:rsidRPr="00E535C9">
        <w:rPr>
          <w:rFonts w:ascii="Arial" w:hAnsi="Arial" w:cs="Arial"/>
        </w:rPr>
        <w:t xml:space="preserve"> circumstances, people often appreciate the opportunity to discuss end of life issues.</w:t>
      </w:r>
    </w:p>
    <w:p w:rsidR="00D51E09" w:rsidRDefault="008F31AD" w:rsidP="008F31AD">
      <w:pPr>
        <w:pStyle w:val="ListBullet"/>
        <w:numPr>
          <w:ilvl w:val="0"/>
          <w:numId w:val="0"/>
        </w:numPr>
        <w:spacing w:line="360" w:lineRule="auto"/>
        <w:contextualSpacing w:val="0"/>
        <w:rPr>
          <w:rFonts w:ascii="Arial" w:hAnsi="Arial" w:cs="Arial"/>
        </w:rPr>
      </w:pPr>
      <w:r>
        <w:rPr>
          <w:rFonts w:ascii="Arial" w:hAnsi="Arial" w:cs="Arial"/>
        </w:rPr>
        <w:t xml:space="preserve">In 2005, The International Work Group on Death, Dying and Bereavement </w:t>
      </w:r>
      <w:r w:rsidR="005E38AB">
        <w:rPr>
          <w:rFonts w:ascii="Arial" w:hAnsi="Arial" w:cs="Arial"/>
        </w:rPr>
        <w:fldChar w:fldCharType="begin"/>
      </w:r>
      <w:r w:rsidR="00716E55">
        <w:rPr>
          <w:rFonts w:ascii="Arial" w:hAnsi="Arial" w:cs="Arial"/>
        </w:rPr>
        <w:instrText xml:space="preserve"> ADDIN EN.CITE &lt;EndNote&gt;&lt;Cite&gt;&lt;Author&gt;International Work Group on Death Dying and Bereavement&lt;/Author&gt;&lt;Year&gt;2005&lt;/Year&gt;&lt;RecNum&gt;311&lt;/RecNum&gt;&lt;DisplayText&gt;[21]&lt;/DisplayText&gt;&lt;record&gt;&lt;rec-number&gt;311&lt;/rec-number&gt;&lt;foreign-keys&gt;&lt;key app="EN" db-id="ezfa0awta2ze5se9vz25asd0v2xevvev99pd" timestamp="1355246487"&gt;311&lt;/key&gt;&lt;/foreign-keys&gt;&lt;ref-type name="Journal Article"&gt;17&lt;/ref-type&gt;&lt;contributors&gt;&lt;authors&gt;&lt;author&gt;International Work Group on Death Dying and Bereavement,&lt;/author&gt;&lt;/authors&gt;&lt;/contributors&gt;&lt;titles&gt;&lt;title&gt;Charter for the normalisation of dying, death and loss: Draft statement&lt;/title&gt;&lt;secondary-title&gt;Mortality&lt;/secondary-title&gt;&lt;/titles&gt;&lt;periodical&gt;&lt;full-title&gt;Mortality&lt;/full-title&gt;&lt;/periodical&gt;&lt;pages&gt;157-61&lt;/pages&gt;&lt;volume&gt;10&lt;/volume&gt;&lt;number&gt;2&lt;/number&gt;&lt;dates&gt;&lt;year&gt;2005&lt;/year&gt;&lt;/dates&gt;&lt;urls&gt;&lt;/urls&gt;&lt;/record&gt;&lt;/Cite&gt;&lt;/EndNote&gt;</w:instrText>
      </w:r>
      <w:r w:rsidR="005E38AB">
        <w:rPr>
          <w:rFonts w:ascii="Arial" w:hAnsi="Arial" w:cs="Arial"/>
        </w:rPr>
        <w:fldChar w:fldCharType="separate"/>
      </w:r>
      <w:r w:rsidR="00716E55">
        <w:rPr>
          <w:rFonts w:ascii="Arial" w:hAnsi="Arial" w:cs="Arial"/>
          <w:noProof/>
        </w:rPr>
        <w:t>[</w:t>
      </w:r>
      <w:hyperlink w:anchor="_ENREF_21" w:tooltip="International Work Group on Death Dying and Bereavement, 2005 #311" w:history="1">
        <w:r w:rsidR="00716E55">
          <w:rPr>
            <w:rFonts w:ascii="Arial" w:hAnsi="Arial" w:cs="Arial"/>
            <w:noProof/>
          </w:rPr>
          <w:t>21</w:t>
        </w:r>
      </w:hyperlink>
      <w:r w:rsidR="00716E55">
        <w:rPr>
          <w:rFonts w:ascii="Arial" w:hAnsi="Arial" w:cs="Arial"/>
          <w:noProof/>
        </w:rPr>
        <w:t>]</w:t>
      </w:r>
      <w:r w:rsidR="005E38AB">
        <w:rPr>
          <w:rFonts w:ascii="Arial" w:hAnsi="Arial" w:cs="Arial"/>
        </w:rPr>
        <w:fldChar w:fldCharType="end"/>
      </w:r>
      <w:r>
        <w:rPr>
          <w:rFonts w:ascii="Arial" w:hAnsi="Arial" w:cs="Arial"/>
        </w:rPr>
        <w:t xml:space="preserve"> recommended a combined approach from Public Health and End of Life Care provide</w:t>
      </w:r>
      <w:r w:rsidR="00B97F30">
        <w:rPr>
          <w:rFonts w:ascii="Arial" w:hAnsi="Arial" w:cs="Arial"/>
        </w:rPr>
        <w:t xml:space="preserve">rs to </w:t>
      </w:r>
      <w:r>
        <w:rPr>
          <w:rFonts w:ascii="Arial" w:hAnsi="Arial" w:cs="Arial"/>
        </w:rPr>
        <w:t>the normalisation of death, dying and loss within society at large.</w:t>
      </w:r>
      <w:r w:rsidR="00D87DA6">
        <w:rPr>
          <w:rFonts w:ascii="Arial" w:hAnsi="Arial" w:cs="Arial"/>
        </w:rPr>
        <w:t xml:space="preserve"> </w:t>
      </w:r>
      <w:r w:rsidR="007633E6">
        <w:rPr>
          <w:rFonts w:ascii="Arial" w:hAnsi="Arial" w:cs="Arial"/>
        </w:rPr>
        <w:t xml:space="preserve">The Cheshire Living Well Dying Well </w:t>
      </w:r>
      <w:r w:rsidR="00A176F8">
        <w:rPr>
          <w:rFonts w:ascii="Arial" w:hAnsi="Arial" w:cs="Arial"/>
        </w:rPr>
        <w:t xml:space="preserve">(CLWDW) </w:t>
      </w:r>
      <w:r w:rsidR="007633E6">
        <w:rPr>
          <w:rFonts w:ascii="Arial" w:hAnsi="Arial" w:cs="Arial"/>
        </w:rPr>
        <w:t>Public Health Programme, led by St</w:t>
      </w:r>
      <w:r w:rsidR="00F23324">
        <w:rPr>
          <w:rFonts w:ascii="Arial" w:hAnsi="Arial" w:cs="Arial"/>
        </w:rPr>
        <w:t xml:space="preserve"> Luke’s Hospice, Cheshire was </w:t>
      </w:r>
      <w:r w:rsidR="00BB2277">
        <w:rPr>
          <w:rFonts w:ascii="Arial" w:hAnsi="Arial" w:cs="Arial"/>
        </w:rPr>
        <w:t>established to</w:t>
      </w:r>
      <w:r w:rsidR="00F23324">
        <w:rPr>
          <w:rFonts w:ascii="Arial" w:hAnsi="Arial" w:cs="Arial"/>
        </w:rPr>
        <w:t xml:space="preserve"> support </w:t>
      </w:r>
      <w:r w:rsidR="007A7797">
        <w:rPr>
          <w:rFonts w:ascii="Arial" w:hAnsi="Arial" w:cs="Arial"/>
        </w:rPr>
        <w:t xml:space="preserve">these aims </w:t>
      </w:r>
      <w:r w:rsidR="00BB2277">
        <w:rPr>
          <w:rFonts w:ascii="Arial" w:hAnsi="Arial" w:cs="Arial"/>
        </w:rPr>
        <w:t xml:space="preserve">within </w:t>
      </w:r>
      <w:r w:rsidR="00190B05">
        <w:rPr>
          <w:rFonts w:ascii="Arial" w:hAnsi="Arial" w:cs="Arial"/>
        </w:rPr>
        <w:t xml:space="preserve">the county of </w:t>
      </w:r>
      <w:r w:rsidR="00263BB1">
        <w:rPr>
          <w:rFonts w:ascii="Arial" w:hAnsi="Arial" w:cs="Arial"/>
        </w:rPr>
        <w:t>Cheshire, England</w:t>
      </w:r>
      <w:r w:rsidR="00964FEB">
        <w:rPr>
          <w:rFonts w:ascii="Arial" w:hAnsi="Arial" w:cs="Arial"/>
        </w:rPr>
        <w:t>.</w:t>
      </w:r>
      <w:r w:rsidR="00BB2277" w:rsidDel="00BB2277">
        <w:rPr>
          <w:rFonts w:ascii="Arial" w:hAnsi="Arial" w:cs="Arial"/>
        </w:rPr>
        <w:t xml:space="preserve"> </w:t>
      </w:r>
      <w:r w:rsidR="00E8034A">
        <w:rPr>
          <w:rFonts w:ascii="Arial" w:hAnsi="Arial" w:cs="Arial"/>
        </w:rPr>
        <w:t xml:space="preserve">In </w:t>
      </w:r>
      <w:r w:rsidR="0048362B">
        <w:rPr>
          <w:rFonts w:ascii="Arial" w:hAnsi="Arial" w:cs="Arial"/>
        </w:rPr>
        <w:t>2011,</w:t>
      </w:r>
      <w:r w:rsidR="00ED43B8">
        <w:rPr>
          <w:rFonts w:ascii="Arial" w:hAnsi="Arial" w:cs="Arial"/>
        </w:rPr>
        <w:t xml:space="preserve"> </w:t>
      </w:r>
      <w:r w:rsidR="0048362B">
        <w:rPr>
          <w:rFonts w:ascii="Arial" w:hAnsi="Arial" w:cs="Arial"/>
        </w:rPr>
        <w:t xml:space="preserve">a </w:t>
      </w:r>
      <w:r w:rsidR="0048362B">
        <w:rPr>
          <w:rFonts w:ascii="Arial" w:hAnsi="Arial" w:cs="Arial"/>
        </w:rPr>
        <w:lastRenderedPageBreak/>
        <w:t xml:space="preserve">dedicated public health lead was </w:t>
      </w:r>
      <w:r w:rsidR="00F23324">
        <w:rPr>
          <w:rFonts w:ascii="Arial" w:hAnsi="Arial" w:cs="Arial"/>
        </w:rPr>
        <w:t xml:space="preserve">appointed, </w:t>
      </w:r>
      <w:r w:rsidR="00E8034A">
        <w:rPr>
          <w:rFonts w:ascii="Arial" w:hAnsi="Arial" w:cs="Arial"/>
        </w:rPr>
        <w:t xml:space="preserve">and in 2012, a public health worker was appointed to </w:t>
      </w:r>
      <w:r w:rsidR="00D51E09">
        <w:rPr>
          <w:rFonts w:ascii="Arial" w:hAnsi="Arial" w:cs="Arial"/>
        </w:rPr>
        <w:t xml:space="preserve">assist with the </w:t>
      </w:r>
      <w:r w:rsidR="00E8034A">
        <w:rPr>
          <w:rFonts w:ascii="Arial" w:hAnsi="Arial" w:cs="Arial"/>
        </w:rPr>
        <w:t>design and deliver</w:t>
      </w:r>
      <w:r w:rsidR="00D51E09">
        <w:rPr>
          <w:rFonts w:ascii="Arial" w:hAnsi="Arial" w:cs="Arial"/>
        </w:rPr>
        <w:t>y</w:t>
      </w:r>
      <w:r w:rsidR="00E8034A">
        <w:rPr>
          <w:rFonts w:ascii="Arial" w:hAnsi="Arial" w:cs="Arial"/>
        </w:rPr>
        <w:t xml:space="preserve"> the programme</w:t>
      </w:r>
      <w:r w:rsidR="00A176F8">
        <w:rPr>
          <w:rFonts w:ascii="Arial" w:hAnsi="Arial" w:cs="Arial"/>
        </w:rPr>
        <w:t xml:space="preserve">. </w:t>
      </w:r>
    </w:p>
    <w:p w:rsidR="008D60D0" w:rsidRDefault="00A176F8" w:rsidP="00D51E09">
      <w:pPr>
        <w:pStyle w:val="ListBullet"/>
        <w:numPr>
          <w:ilvl w:val="0"/>
          <w:numId w:val="0"/>
        </w:numPr>
        <w:spacing w:line="360" w:lineRule="auto"/>
        <w:contextualSpacing w:val="0"/>
        <w:rPr>
          <w:rFonts w:ascii="Arial" w:hAnsi="Arial" w:cs="Arial"/>
        </w:rPr>
      </w:pPr>
      <w:r>
        <w:rPr>
          <w:rFonts w:ascii="Arial" w:hAnsi="Arial" w:cs="Arial"/>
        </w:rPr>
        <w:t xml:space="preserve">This study </w:t>
      </w:r>
      <w:r w:rsidR="002911BF">
        <w:rPr>
          <w:rFonts w:ascii="Arial" w:hAnsi="Arial" w:cs="Arial"/>
        </w:rPr>
        <w:t>evaluated</w:t>
      </w:r>
      <w:r w:rsidR="00AE7FD5">
        <w:rPr>
          <w:rFonts w:ascii="Arial" w:hAnsi="Arial" w:cs="Arial"/>
        </w:rPr>
        <w:t xml:space="preserve"> the impact</w:t>
      </w:r>
      <w:r w:rsidR="00ED43B8">
        <w:rPr>
          <w:rFonts w:ascii="Arial" w:hAnsi="Arial" w:cs="Arial"/>
        </w:rPr>
        <w:t xml:space="preserve"> of a CLWDW </w:t>
      </w:r>
      <w:r w:rsidR="00B97F30">
        <w:rPr>
          <w:rFonts w:ascii="Arial" w:hAnsi="Arial" w:cs="Arial"/>
        </w:rPr>
        <w:t xml:space="preserve">community public health </w:t>
      </w:r>
      <w:r>
        <w:rPr>
          <w:rFonts w:ascii="Arial" w:hAnsi="Arial" w:cs="Arial"/>
        </w:rPr>
        <w:t xml:space="preserve">intervention </w:t>
      </w:r>
      <w:r w:rsidR="00BD29C9">
        <w:rPr>
          <w:rFonts w:ascii="Arial" w:hAnsi="Arial" w:cs="Arial"/>
        </w:rPr>
        <w:t xml:space="preserve">designed </w:t>
      </w:r>
      <w:r>
        <w:rPr>
          <w:rFonts w:ascii="Arial" w:hAnsi="Arial" w:cs="Arial"/>
        </w:rPr>
        <w:t xml:space="preserve">to </w:t>
      </w:r>
      <w:r w:rsidR="00D51E09">
        <w:rPr>
          <w:rFonts w:ascii="Arial" w:hAnsi="Arial" w:cs="Arial"/>
        </w:rPr>
        <w:t>help normalise death and promote preparation and discussion of end of life preferences within the local community</w:t>
      </w:r>
      <w:r w:rsidR="00420105">
        <w:rPr>
          <w:rFonts w:ascii="Arial" w:hAnsi="Arial" w:cs="Arial"/>
        </w:rPr>
        <w:t>.</w:t>
      </w:r>
    </w:p>
    <w:p w:rsidR="00E8034A" w:rsidRDefault="00E8034A" w:rsidP="008D60D0">
      <w:pPr>
        <w:spacing w:line="360" w:lineRule="auto"/>
        <w:rPr>
          <w:rFonts w:ascii="Arial" w:hAnsi="Arial" w:cs="Arial"/>
          <w:b/>
        </w:rPr>
      </w:pPr>
      <w:r>
        <w:rPr>
          <w:rFonts w:ascii="Arial" w:hAnsi="Arial" w:cs="Arial"/>
          <w:b/>
        </w:rPr>
        <w:t>Aims</w:t>
      </w:r>
      <w:r w:rsidR="00027CB9">
        <w:rPr>
          <w:rFonts w:ascii="Arial" w:hAnsi="Arial" w:cs="Arial"/>
          <w:b/>
        </w:rPr>
        <w:t xml:space="preserve"> </w:t>
      </w:r>
    </w:p>
    <w:p w:rsidR="00E8034A" w:rsidRPr="008C3663" w:rsidRDefault="00B97F30" w:rsidP="008D60D0">
      <w:pPr>
        <w:spacing w:line="360" w:lineRule="auto"/>
        <w:rPr>
          <w:rFonts w:ascii="Arial" w:hAnsi="Arial" w:cs="Arial"/>
        </w:rPr>
      </w:pPr>
      <w:r>
        <w:rPr>
          <w:rFonts w:ascii="Arial" w:hAnsi="Arial" w:cs="Arial"/>
        </w:rPr>
        <w:t>T</w:t>
      </w:r>
      <w:r w:rsidR="00027CB9">
        <w:rPr>
          <w:rFonts w:ascii="Arial" w:hAnsi="Arial" w:cs="Arial"/>
        </w:rPr>
        <w:t>o examine</w:t>
      </w:r>
      <w:r>
        <w:rPr>
          <w:rFonts w:ascii="Arial" w:hAnsi="Arial" w:cs="Arial"/>
        </w:rPr>
        <w:t xml:space="preserve"> the impact of the CLWDW</w:t>
      </w:r>
      <w:r w:rsidR="008C3663">
        <w:rPr>
          <w:rFonts w:ascii="Arial" w:hAnsi="Arial" w:cs="Arial"/>
        </w:rPr>
        <w:t xml:space="preserve"> community public health intervention</w:t>
      </w:r>
      <w:r w:rsidR="00027CB9">
        <w:rPr>
          <w:rFonts w:ascii="Arial" w:hAnsi="Arial" w:cs="Arial"/>
        </w:rPr>
        <w:t>s</w:t>
      </w:r>
      <w:r w:rsidR="008C3663">
        <w:rPr>
          <w:rFonts w:ascii="Arial" w:hAnsi="Arial" w:cs="Arial"/>
        </w:rPr>
        <w:t xml:space="preserve"> in</w:t>
      </w:r>
      <w:r w:rsidR="00027CB9">
        <w:rPr>
          <w:rFonts w:ascii="Arial" w:hAnsi="Arial" w:cs="Arial"/>
        </w:rPr>
        <w:t xml:space="preserve"> the short and medium term</w:t>
      </w:r>
      <w:r w:rsidR="00A377F6">
        <w:rPr>
          <w:rFonts w:ascii="Arial" w:hAnsi="Arial" w:cs="Arial"/>
        </w:rPr>
        <w:t xml:space="preserve">. </w:t>
      </w:r>
    </w:p>
    <w:p w:rsidR="00AE7FD5" w:rsidRDefault="00AE7FD5" w:rsidP="008D60D0">
      <w:pPr>
        <w:spacing w:line="360" w:lineRule="auto"/>
        <w:rPr>
          <w:rFonts w:ascii="Arial" w:hAnsi="Arial" w:cs="Arial"/>
          <w:b/>
        </w:rPr>
      </w:pPr>
      <w:r w:rsidRPr="00AE7FD5">
        <w:rPr>
          <w:rFonts w:ascii="Arial" w:hAnsi="Arial" w:cs="Arial"/>
          <w:b/>
        </w:rPr>
        <w:t>Methods</w:t>
      </w:r>
    </w:p>
    <w:p w:rsidR="00877241" w:rsidRPr="00877241" w:rsidRDefault="00877241" w:rsidP="008D60D0">
      <w:pPr>
        <w:spacing w:line="360" w:lineRule="auto"/>
        <w:rPr>
          <w:rFonts w:ascii="Arial" w:hAnsi="Arial" w:cs="Arial"/>
          <w:u w:val="single"/>
        </w:rPr>
      </w:pPr>
      <w:r w:rsidRPr="00877241">
        <w:rPr>
          <w:rFonts w:ascii="Arial" w:hAnsi="Arial" w:cs="Arial"/>
          <w:u w:val="single"/>
        </w:rPr>
        <w:t>The intervention</w:t>
      </w:r>
    </w:p>
    <w:p w:rsidR="00AE7FD5" w:rsidRPr="00AE7FD5" w:rsidRDefault="00877241" w:rsidP="00476880">
      <w:pPr>
        <w:spacing w:before="240" w:line="360" w:lineRule="auto"/>
        <w:rPr>
          <w:rFonts w:ascii="Arial" w:hAnsi="Arial" w:cs="Arial"/>
        </w:rPr>
      </w:pPr>
      <w:r>
        <w:rPr>
          <w:rFonts w:ascii="Arial" w:hAnsi="Arial" w:cs="Arial"/>
        </w:rPr>
        <w:t xml:space="preserve">Two </w:t>
      </w:r>
      <w:r w:rsidR="00AE7FD5">
        <w:rPr>
          <w:rFonts w:ascii="Arial" w:hAnsi="Arial" w:cs="Arial"/>
        </w:rPr>
        <w:t xml:space="preserve">different types of </w:t>
      </w:r>
      <w:r w:rsidR="00D95BDF">
        <w:rPr>
          <w:rFonts w:ascii="Arial" w:hAnsi="Arial" w:cs="Arial"/>
        </w:rPr>
        <w:t>intervention</w:t>
      </w:r>
      <w:r w:rsidR="00027CB9">
        <w:rPr>
          <w:rFonts w:ascii="Arial" w:hAnsi="Arial" w:cs="Arial"/>
        </w:rPr>
        <w:t xml:space="preserve"> were evaluated</w:t>
      </w:r>
      <w:r w:rsidR="007E2765">
        <w:rPr>
          <w:rFonts w:ascii="Arial" w:hAnsi="Arial" w:cs="Arial"/>
        </w:rPr>
        <w:t>;</w:t>
      </w:r>
      <w:r w:rsidR="00AE7FD5">
        <w:rPr>
          <w:rFonts w:ascii="Arial" w:hAnsi="Arial" w:cs="Arial"/>
        </w:rPr>
        <w:t xml:space="preserve"> ‘Awareness-Raising’ </w:t>
      </w:r>
      <w:r w:rsidR="00D26D18">
        <w:rPr>
          <w:rFonts w:ascii="Arial" w:hAnsi="Arial" w:cs="Arial"/>
        </w:rPr>
        <w:t>presentation</w:t>
      </w:r>
      <w:r>
        <w:rPr>
          <w:rFonts w:ascii="Arial" w:hAnsi="Arial" w:cs="Arial"/>
        </w:rPr>
        <w:t>s</w:t>
      </w:r>
      <w:r w:rsidR="00D26D18">
        <w:rPr>
          <w:rFonts w:ascii="Arial" w:hAnsi="Arial" w:cs="Arial"/>
        </w:rPr>
        <w:t xml:space="preserve"> </w:t>
      </w:r>
      <w:r w:rsidR="00F05028">
        <w:rPr>
          <w:rFonts w:ascii="Arial" w:hAnsi="Arial" w:cs="Arial"/>
        </w:rPr>
        <w:t>(N</w:t>
      </w:r>
      <w:r w:rsidR="00476880">
        <w:rPr>
          <w:rFonts w:ascii="Arial" w:hAnsi="Arial" w:cs="Arial"/>
        </w:rPr>
        <w:t xml:space="preserve">=40) </w:t>
      </w:r>
      <w:r w:rsidR="00AE7FD5">
        <w:rPr>
          <w:rFonts w:ascii="Arial" w:hAnsi="Arial" w:cs="Arial"/>
        </w:rPr>
        <w:t>and ‘How to’</w:t>
      </w:r>
      <w:r w:rsidR="00D26D18">
        <w:rPr>
          <w:rFonts w:ascii="Arial" w:hAnsi="Arial" w:cs="Arial"/>
        </w:rPr>
        <w:t xml:space="preserve"> workshops</w:t>
      </w:r>
      <w:r w:rsidR="00476880">
        <w:rPr>
          <w:rFonts w:ascii="Arial" w:hAnsi="Arial" w:cs="Arial"/>
        </w:rPr>
        <w:t xml:space="preserve"> (n=21)</w:t>
      </w:r>
      <w:r w:rsidR="007E2765">
        <w:rPr>
          <w:rFonts w:ascii="Arial" w:hAnsi="Arial" w:cs="Arial"/>
        </w:rPr>
        <w:t xml:space="preserve">, </w:t>
      </w:r>
      <w:r w:rsidR="00AE7FD5">
        <w:rPr>
          <w:rFonts w:ascii="Arial" w:hAnsi="Arial" w:cs="Arial"/>
        </w:rPr>
        <w:t>delivered</w:t>
      </w:r>
      <w:r w:rsidR="00F23324">
        <w:rPr>
          <w:rFonts w:ascii="Arial" w:hAnsi="Arial" w:cs="Arial"/>
        </w:rPr>
        <w:t xml:space="preserve"> </w:t>
      </w:r>
      <w:r w:rsidR="00476880">
        <w:rPr>
          <w:rFonts w:ascii="Arial" w:hAnsi="Arial" w:cs="Arial"/>
        </w:rPr>
        <w:t>between February 2013 and April 2014</w:t>
      </w:r>
      <w:r w:rsidR="007E2765">
        <w:rPr>
          <w:rFonts w:ascii="Arial" w:hAnsi="Arial" w:cs="Arial"/>
        </w:rPr>
        <w:t xml:space="preserve">. </w:t>
      </w:r>
    </w:p>
    <w:p w:rsidR="00D26D18" w:rsidRDefault="00F23324" w:rsidP="00D26D18">
      <w:pPr>
        <w:spacing w:line="360" w:lineRule="auto"/>
        <w:rPr>
          <w:rFonts w:ascii="Arial" w:hAnsi="Arial" w:cs="Arial"/>
        </w:rPr>
      </w:pPr>
      <w:r>
        <w:rPr>
          <w:rFonts w:ascii="Arial" w:hAnsi="Arial" w:cs="Arial"/>
        </w:rPr>
        <w:t>‘</w:t>
      </w:r>
      <w:r w:rsidR="00D26D18">
        <w:rPr>
          <w:rFonts w:ascii="Arial" w:hAnsi="Arial" w:cs="Arial"/>
        </w:rPr>
        <w:t>Awareness-Raising</w:t>
      </w:r>
      <w:r>
        <w:rPr>
          <w:rFonts w:ascii="Arial" w:hAnsi="Arial" w:cs="Arial"/>
        </w:rPr>
        <w:t>’</w:t>
      </w:r>
      <w:r w:rsidR="00D26D18">
        <w:rPr>
          <w:rFonts w:ascii="Arial" w:hAnsi="Arial" w:cs="Arial"/>
        </w:rPr>
        <w:t xml:space="preserve"> presentat</w:t>
      </w:r>
      <w:r w:rsidR="00F76119">
        <w:rPr>
          <w:rFonts w:ascii="Arial" w:hAnsi="Arial" w:cs="Arial"/>
        </w:rPr>
        <w:t xml:space="preserve">ions </w:t>
      </w:r>
      <w:r w:rsidR="007E2765">
        <w:rPr>
          <w:rFonts w:ascii="Arial" w:hAnsi="Arial" w:cs="Arial"/>
        </w:rPr>
        <w:t>aimed to raise awareness of</w:t>
      </w:r>
      <w:r w:rsidR="00D26D18">
        <w:rPr>
          <w:rFonts w:ascii="Arial" w:hAnsi="Arial" w:cs="Arial"/>
        </w:rPr>
        <w:t xml:space="preserve"> </w:t>
      </w:r>
      <w:r>
        <w:rPr>
          <w:rFonts w:ascii="Arial" w:hAnsi="Arial" w:cs="Arial"/>
        </w:rPr>
        <w:t>the benef</w:t>
      </w:r>
      <w:r w:rsidR="00027CB9">
        <w:rPr>
          <w:rFonts w:ascii="Arial" w:hAnsi="Arial" w:cs="Arial"/>
        </w:rPr>
        <w:t>its of planning for end of life</w:t>
      </w:r>
      <w:r>
        <w:rPr>
          <w:rFonts w:ascii="Arial" w:hAnsi="Arial" w:cs="Arial"/>
        </w:rPr>
        <w:t xml:space="preserve"> and talking about plans and preferences. </w:t>
      </w:r>
      <w:r w:rsidR="000937AD">
        <w:rPr>
          <w:rFonts w:ascii="Arial" w:hAnsi="Arial" w:cs="Arial"/>
        </w:rPr>
        <w:t>E</w:t>
      </w:r>
      <w:r w:rsidR="004E0418">
        <w:rPr>
          <w:rFonts w:ascii="Arial" w:hAnsi="Arial" w:cs="Arial"/>
        </w:rPr>
        <w:t>vent</w:t>
      </w:r>
      <w:r w:rsidR="000937AD">
        <w:rPr>
          <w:rFonts w:ascii="Arial" w:hAnsi="Arial" w:cs="Arial"/>
        </w:rPr>
        <w:t>s</w:t>
      </w:r>
      <w:r w:rsidR="004E0418">
        <w:rPr>
          <w:rFonts w:ascii="Arial" w:hAnsi="Arial" w:cs="Arial"/>
        </w:rPr>
        <w:t xml:space="preserve"> </w:t>
      </w:r>
      <w:r w:rsidR="000937AD">
        <w:rPr>
          <w:rFonts w:ascii="Arial" w:hAnsi="Arial" w:cs="Arial"/>
        </w:rPr>
        <w:t>were 60 to</w:t>
      </w:r>
      <w:r w:rsidR="00D26D18">
        <w:rPr>
          <w:rFonts w:ascii="Arial" w:hAnsi="Arial" w:cs="Arial"/>
        </w:rPr>
        <w:t xml:space="preserve"> 90 minutes </w:t>
      </w:r>
      <w:r w:rsidR="000937AD">
        <w:rPr>
          <w:rFonts w:ascii="Arial" w:hAnsi="Arial" w:cs="Arial"/>
        </w:rPr>
        <w:t xml:space="preserve">long </w:t>
      </w:r>
      <w:r w:rsidR="00D26D18">
        <w:rPr>
          <w:rFonts w:ascii="Arial" w:hAnsi="Arial" w:cs="Arial"/>
        </w:rPr>
        <w:t>and delivered free of ch</w:t>
      </w:r>
      <w:r w:rsidR="00DA218D">
        <w:rPr>
          <w:rFonts w:ascii="Arial" w:hAnsi="Arial" w:cs="Arial"/>
        </w:rPr>
        <w:t>arge</w:t>
      </w:r>
      <w:r w:rsidR="00D26D18">
        <w:rPr>
          <w:rFonts w:ascii="Arial" w:hAnsi="Arial" w:cs="Arial"/>
        </w:rPr>
        <w:t xml:space="preserve"> </w:t>
      </w:r>
      <w:r w:rsidR="00DA218D">
        <w:rPr>
          <w:rFonts w:ascii="Arial" w:hAnsi="Arial" w:cs="Arial"/>
        </w:rPr>
        <w:t xml:space="preserve">to </w:t>
      </w:r>
      <w:r w:rsidR="002D7549">
        <w:rPr>
          <w:rFonts w:ascii="Arial" w:hAnsi="Arial" w:cs="Arial"/>
        </w:rPr>
        <w:t>community group</w:t>
      </w:r>
      <w:r w:rsidR="00EB7691">
        <w:rPr>
          <w:rFonts w:ascii="Arial" w:hAnsi="Arial" w:cs="Arial"/>
        </w:rPr>
        <w:t>s</w:t>
      </w:r>
      <w:r w:rsidR="00DA218D">
        <w:rPr>
          <w:rFonts w:ascii="Arial" w:hAnsi="Arial" w:cs="Arial"/>
        </w:rPr>
        <w:t xml:space="preserve"> (</w:t>
      </w:r>
      <w:r w:rsidR="00F05028">
        <w:rPr>
          <w:rFonts w:ascii="Arial" w:hAnsi="Arial" w:cs="Arial"/>
        </w:rPr>
        <w:t>N</w:t>
      </w:r>
      <w:r w:rsidR="004842A4">
        <w:rPr>
          <w:rFonts w:ascii="Arial" w:hAnsi="Arial" w:cs="Arial"/>
        </w:rPr>
        <w:t>=37</w:t>
      </w:r>
      <w:r w:rsidR="00DA218D">
        <w:rPr>
          <w:rFonts w:ascii="Arial" w:hAnsi="Arial" w:cs="Arial"/>
        </w:rPr>
        <w:t>)</w:t>
      </w:r>
      <w:r w:rsidR="00D26D18">
        <w:rPr>
          <w:rFonts w:ascii="Arial" w:hAnsi="Arial" w:cs="Arial"/>
        </w:rPr>
        <w:t>; the gen</w:t>
      </w:r>
      <w:r>
        <w:rPr>
          <w:rFonts w:ascii="Arial" w:hAnsi="Arial" w:cs="Arial"/>
        </w:rPr>
        <w:t>eral public</w:t>
      </w:r>
      <w:r w:rsidR="00F05028">
        <w:rPr>
          <w:rFonts w:ascii="Arial" w:hAnsi="Arial" w:cs="Arial"/>
        </w:rPr>
        <w:t xml:space="preserve"> (N</w:t>
      </w:r>
      <w:r w:rsidR="004842A4">
        <w:rPr>
          <w:rFonts w:ascii="Arial" w:hAnsi="Arial" w:cs="Arial"/>
        </w:rPr>
        <w:t>=2)</w:t>
      </w:r>
      <w:r w:rsidR="00D26D18">
        <w:rPr>
          <w:rFonts w:ascii="Arial" w:hAnsi="Arial" w:cs="Arial"/>
        </w:rPr>
        <w:t xml:space="preserve">; </w:t>
      </w:r>
      <w:r>
        <w:rPr>
          <w:rFonts w:ascii="Arial" w:hAnsi="Arial" w:cs="Arial"/>
        </w:rPr>
        <w:t xml:space="preserve">and </w:t>
      </w:r>
      <w:r w:rsidR="00D26D18">
        <w:rPr>
          <w:rFonts w:ascii="Arial" w:hAnsi="Arial" w:cs="Arial"/>
        </w:rPr>
        <w:t>to health and social care staff</w:t>
      </w:r>
      <w:r w:rsidR="000937AD">
        <w:rPr>
          <w:rFonts w:ascii="Arial" w:hAnsi="Arial" w:cs="Arial"/>
        </w:rPr>
        <w:t xml:space="preserve">, </w:t>
      </w:r>
      <w:r w:rsidR="001B0A58">
        <w:rPr>
          <w:rFonts w:ascii="Arial" w:hAnsi="Arial" w:cs="Arial"/>
        </w:rPr>
        <w:t xml:space="preserve">in this case </w:t>
      </w:r>
      <w:r w:rsidR="00420105">
        <w:rPr>
          <w:rFonts w:ascii="Arial" w:hAnsi="Arial" w:cs="Arial"/>
        </w:rPr>
        <w:t xml:space="preserve">branded </w:t>
      </w:r>
      <w:r w:rsidR="00D26D18">
        <w:rPr>
          <w:rFonts w:ascii="Arial" w:hAnsi="Arial" w:cs="Arial"/>
        </w:rPr>
        <w:t>as</w:t>
      </w:r>
      <w:r w:rsidR="002D7549">
        <w:rPr>
          <w:rFonts w:ascii="Arial" w:hAnsi="Arial" w:cs="Arial"/>
        </w:rPr>
        <w:t xml:space="preserve"> </w:t>
      </w:r>
      <w:r w:rsidR="00D26D18">
        <w:rPr>
          <w:rFonts w:ascii="Arial" w:hAnsi="Arial" w:cs="Arial"/>
        </w:rPr>
        <w:t>‘Making the Professional Personal’</w:t>
      </w:r>
      <w:r w:rsidR="00F05028">
        <w:rPr>
          <w:rFonts w:ascii="Arial" w:hAnsi="Arial" w:cs="Arial"/>
        </w:rPr>
        <w:t xml:space="preserve"> (N</w:t>
      </w:r>
      <w:r w:rsidR="000937AD">
        <w:rPr>
          <w:rFonts w:ascii="Arial" w:hAnsi="Arial" w:cs="Arial"/>
        </w:rPr>
        <w:t>=1)</w:t>
      </w:r>
      <w:r w:rsidR="00D26D18">
        <w:rPr>
          <w:rFonts w:ascii="Arial" w:hAnsi="Arial" w:cs="Arial"/>
        </w:rPr>
        <w:t xml:space="preserve">. </w:t>
      </w:r>
      <w:r w:rsidR="00431F21">
        <w:rPr>
          <w:rFonts w:ascii="Arial" w:hAnsi="Arial" w:cs="Arial"/>
        </w:rPr>
        <w:t>Presentations delivered to community groups were advertised to group members as ‘visiting speakers’ and held at the same time and location as the group</w:t>
      </w:r>
      <w:r w:rsidR="001B0A58">
        <w:rPr>
          <w:rFonts w:ascii="Arial" w:hAnsi="Arial" w:cs="Arial"/>
        </w:rPr>
        <w:t>s</w:t>
      </w:r>
      <w:r w:rsidR="00431F21">
        <w:rPr>
          <w:rFonts w:ascii="Arial" w:hAnsi="Arial" w:cs="Arial"/>
        </w:rPr>
        <w:t xml:space="preserve"> usually met. Presentations for the general public were openly advertised, and presentations aimed at health and social care staff were advertised through local employers.      </w:t>
      </w:r>
    </w:p>
    <w:p w:rsidR="00D26D18" w:rsidRDefault="002E7E2D" w:rsidP="00D26D18">
      <w:pPr>
        <w:spacing w:line="360" w:lineRule="auto"/>
        <w:rPr>
          <w:rFonts w:ascii="Arial" w:hAnsi="Arial" w:cs="Arial"/>
        </w:rPr>
      </w:pPr>
      <w:r>
        <w:rPr>
          <w:rFonts w:ascii="Arial" w:hAnsi="Arial" w:cs="Arial"/>
        </w:rPr>
        <w:t>Presentations</w:t>
      </w:r>
      <w:r w:rsidR="007E2765">
        <w:rPr>
          <w:rFonts w:ascii="Arial" w:hAnsi="Arial" w:cs="Arial"/>
        </w:rPr>
        <w:t xml:space="preserve"> were facilitated by the public health </w:t>
      </w:r>
      <w:r w:rsidR="00F23324">
        <w:rPr>
          <w:rFonts w:ascii="Arial" w:hAnsi="Arial" w:cs="Arial"/>
        </w:rPr>
        <w:t>worker, supported by volunteers. They</w:t>
      </w:r>
      <w:r w:rsidR="007E2765">
        <w:rPr>
          <w:rFonts w:ascii="Arial" w:hAnsi="Arial" w:cs="Arial"/>
        </w:rPr>
        <w:t xml:space="preserve"> </w:t>
      </w:r>
      <w:r w:rsidR="00EB7691">
        <w:rPr>
          <w:rFonts w:ascii="Arial" w:hAnsi="Arial" w:cs="Arial"/>
        </w:rPr>
        <w:t xml:space="preserve">included </w:t>
      </w:r>
      <w:r w:rsidR="001F6D80">
        <w:rPr>
          <w:rFonts w:ascii="Arial" w:hAnsi="Arial" w:cs="Arial"/>
        </w:rPr>
        <w:t>PowerPoint</w:t>
      </w:r>
      <w:r>
        <w:rPr>
          <w:rFonts w:ascii="Arial" w:hAnsi="Arial" w:cs="Arial"/>
        </w:rPr>
        <w:t>-aided talks</w:t>
      </w:r>
      <w:r w:rsidR="004E0418">
        <w:rPr>
          <w:rFonts w:ascii="Arial" w:hAnsi="Arial" w:cs="Arial"/>
        </w:rPr>
        <w:t>, group discussions, a</w:t>
      </w:r>
      <w:r w:rsidR="000937AD">
        <w:rPr>
          <w:rFonts w:ascii="Arial" w:hAnsi="Arial" w:cs="Arial"/>
        </w:rPr>
        <w:t xml:space="preserve">nd </w:t>
      </w:r>
      <w:r>
        <w:rPr>
          <w:rFonts w:ascii="Arial" w:hAnsi="Arial" w:cs="Arial"/>
        </w:rPr>
        <w:t xml:space="preserve">showing of </w:t>
      </w:r>
      <w:r w:rsidR="00FF524F">
        <w:rPr>
          <w:rFonts w:ascii="Arial" w:hAnsi="Arial" w:cs="Arial"/>
        </w:rPr>
        <w:t xml:space="preserve">three </w:t>
      </w:r>
      <w:r w:rsidR="004E0418">
        <w:rPr>
          <w:rFonts w:ascii="Arial" w:hAnsi="Arial" w:cs="Arial"/>
        </w:rPr>
        <w:t>films.</w:t>
      </w:r>
      <w:r w:rsidR="00FF524F">
        <w:rPr>
          <w:rFonts w:ascii="Arial" w:hAnsi="Arial" w:cs="Arial"/>
        </w:rPr>
        <w:t xml:space="preserve"> ‘Cheshire Bill United’ was</w:t>
      </w:r>
      <w:r w:rsidR="00D26D18">
        <w:rPr>
          <w:rFonts w:ascii="Arial" w:hAnsi="Arial" w:cs="Arial"/>
        </w:rPr>
        <w:t xml:space="preserve"> adapted from ‘Bill’s Story’</w:t>
      </w:r>
      <w:r w:rsidR="00482342">
        <w:rPr>
          <w:rFonts w:ascii="Arial" w:hAnsi="Arial" w:cs="Arial"/>
        </w:rPr>
        <w:t xml:space="preserve"> produced by the </w:t>
      </w:r>
      <w:r w:rsidR="001F6D80">
        <w:rPr>
          <w:rFonts w:ascii="Arial" w:hAnsi="Arial" w:cs="Arial"/>
        </w:rPr>
        <w:t>Milford</w:t>
      </w:r>
      <w:r w:rsidR="00482342">
        <w:rPr>
          <w:rFonts w:ascii="Arial" w:hAnsi="Arial" w:cs="Arial"/>
        </w:rPr>
        <w:t xml:space="preserve"> Care Centre in Ireland</w:t>
      </w:r>
      <w:r w:rsidR="00D26D18">
        <w:rPr>
          <w:rFonts w:ascii="Arial" w:hAnsi="Arial" w:cs="Arial"/>
        </w:rPr>
        <w:t xml:space="preserve"> </w:t>
      </w:r>
      <w:r w:rsidR="005E38AB">
        <w:rPr>
          <w:rFonts w:ascii="Arial" w:hAnsi="Arial" w:cs="Arial"/>
        </w:rPr>
        <w:fldChar w:fldCharType="begin"/>
      </w:r>
      <w:r w:rsidR="00716E55">
        <w:rPr>
          <w:rFonts w:ascii="Arial" w:hAnsi="Arial" w:cs="Arial"/>
        </w:rPr>
        <w:instrText xml:space="preserve"> ADDIN EN.CITE &lt;EndNote&gt;&lt;Cite&gt;&lt;Author&gt;Lloyd&lt;/Author&gt;&lt;Year&gt;2011&lt;/Year&gt;&lt;RecNum&gt;495&lt;/RecNum&gt;&lt;DisplayText&gt;[22]&lt;/DisplayText&gt;&lt;record&gt;&lt;rec-number&gt;495&lt;/rec-number&gt;&lt;foreign-keys&gt;&lt;key app="EN" db-id="ezfa0awta2ze5se9vz25asd0v2xevvev99pd" timestamp="1438944734"&gt;495&lt;/key&gt;&lt;/foreign-keys&gt;&lt;ref-type name="Web Page"&gt;12&lt;/ref-type&gt;&lt;contributors&gt;&lt;authors&gt;&lt;author&gt;Lloyd, R.&lt;/author&gt;&lt;/authors&gt;&lt;/contributors&gt;&lt;titles&gt;&lt;title&gt;Bill&amp;apos;s Story&lt;/title&gt;&lt;/titles&gt;&lt;pages&gt;Animation&lt;/pages&gt;&lt;number&gt;07/08/2015&lt;/number&gt;&lt;dates&gt;&lt;year&gt;2011&lt;/year&gt;&lt;/dates&gt;&lt;urls&gt;&lt;related-urls&gt;&lt;url&gt;http://www.youtube.com/watch?v=mqYmTTY-3gs&lt;/url&gt;&lt;/related-urls&gt;&lt;/urls&gt;&lt;/record&gt;&lt;/Cite&gt;&lt;/EndNote&gt;</w:instrText>
      </w:r>
      <w:r w:rsidR="005E38AB">
        <w:rPr>
          <w:rFonts w:ascii="Arial" w:hAnsi="Arial" w:cs="Arial"/>
        </w:rPr>
        <w:fldChar w:fldCharType="separate"/>
      </w:r>
      <w:r w:rsidR="00716E55">
        <w:rPr>
          <w:rFonts w:ascii="Arial" w:hAnsi="Arial" w:cs="Arial"/>
          <w:noProof/>
        </w:rPr>
        <w:t>[</w:t>
      </w:r>
      <w:hyperlink w:anchor="_ENREF_22" w:tooltip="Lloyd, 2011 #495" w:history="1">
        <w:r w:rsidR="00716E55">
          <w:rPr>
            <w:rFonts w:ascii="Arial" w:hAnsi="Arial" w:cs="Arial"/>
            <w:noProof/>
          </w:rPr>
          <w:t>22</w:t>
        </w:r>
      </w:hyperlink>
      <w:r w:rsidR="00716E55">
        <w:rPr>
          <w:rFonts w:ascii="Arial" w:hAnsi="Arial" w:cs="Arial"/>
          <w:noProof/>
        </w:rPr>
        <w:t>]</w:t>
      </w:r>
      <w:r w:rsidR="005E38AB">
        <w:rPr>
          <w:rFonts w:ascii="Arial" w:hAnsi="Arial" w:cs="Arial"/>
        </w:rPr>
        <w:fldChar w:fldCharType="end"/>
      </w:r>
      <w:r w:rsidR="00D26D18">
        <w:rPr>
          <w:rFonts w:ascii="Arial" w:hAnsi="Arial" w:cs="Arial"/>
        </w:rPr>
        <w:t xml:space="preserve">, </w:t>
      </w:r>
      <w:r w:rsidR="000937AD">
        <w:rPr>
          <w:rFonts w:ascii="Arial" w:hAnsi="Arial" w:cs="Arial"/>
        </w:rPr>
        <w:t xml:space="preserve">an animation </w:t>
      </w:r>
      <w:r w:rsidR="00400EE1">
        <w:rPr>
          <w:rFonts w:ascii="Arial" w:hAnsi="Arial" w:cs="Arial"/>
        </w:rPr>
        <w:t xml:space="preserve">of </w:t>
      </w:r>
      <w:r w:rsidR="00D26D18">
        <w:rPr>
          <w:rFonts w:ascii="Arial" w:hAnsi="Arial" w:cs="Arial"/>
        </w:rPr>
        <w:t xml:space="preserve">community </w:t>
      </w:r>
      <w:r w:rsidR="007E2765">
        <w:rPr>
          <w:rFonts w:ascii="Arial" w:hAnsi="Arial" w:cs="Arial"/>
        </w:rPr>
        <w:t xml:space="preserve">coming together to </w:t>
      </w:r>
      <w:r w:rsidR="000937AD">
        <w:rPr>
          <w:rFonts w:ascii="Arial" w:hAnsi="Arial" w:cs="Arial"/>
        </w:rPr>
        <w:t>support a man</w:t>
      </w:r>
      <w:r w:rsidR="00D26D18">
        <w:rPr>
          <w:rFonts w:ascii="Arial" w:hAnsi="Arial" w:cs="Arial"/>
        </w:rPr>
        <w:t xml:space="preserve"> and his family as he is diagnosed with a terminal illness</w:t>
      </w:r>
      <w:r w:rsidR="00C76B5F">
        <w:rPr>
          <w:rFonts w:ascii="Arial" w:hAnsi="Arial" w:cs="Arial"/>
        </w:rPr>
        <w:t xml:space="preserve"> </w:t>
      </w:r>
      <w:r w:rsidR="00D26D18">
        <w:rPr>
          <w:rFonts w:ascii="Arial" w:hAnsi="Arial" w:cs="Arial"/>
        </w:rPr>
        <w:t xml:space="preserve">and dies. </w:t>
      </w:r>
      <w:r w:rsidR="00482342">
        <w:rPr>
          <w:rFonts w:ascii="Arial" w:hAnsi="Arial" w:cs="Arial"/>
        </w:rPr>
        <w:t>T</w:t>
      </w:r>
      <w:r w:rsidR="00D26D18">
        <w:rPr>
          <w:rFonts w:ascii="Arial" w:hAnsi="Arial" w:cs="Arial"/>
        </w:rPr>
        <w:t>he ‘C</w:t>
      </w:r>
      <w:r w:rsidR="000937AD">
        <w:rPr>
          <w:rFonts w:ascii="Arial" w:hAnsi="Arial" w:cs="Arial"/>
        </w:rPr>
        <w:t xml:space="preserve">ircle of Life’, </w:t>
      </w:r>
      <w:r w:rsidR="004E3009">
        <w:rPr>
          <w:rFonts w:ascii="Arial" w:hAnsi="Arial" w:cs="Arial"/>
        </w:rPr>
        <w:t xml:space="preserve">was </w:t>
      </w:r>
      <w:r w:rsidR="00482342">
        <w:rPr>
          <w:rFonts w:ascii="Arial" w:hAnsi="Arial" w:cs="Arial"/>
        </w:rPr>
        <w:t xml:space="preserve">an animated montage </w:t>
      </w:r>
      <w:r w:rsidR="000937AD">
        <w:rPr>
          <w:rFonts w:ascii="Arial" w:hAnsi="Arial" w:cs="Arial"/>
        </w:rPr>
        <w:t xml:space="preserve">produced by </w:t>
      </w:r>
      <w:r w:rsidR="00ED2136">
        <w:rPr>
          <w:rFonts w:ascii="Arial" w:hAnsi="Arial" w:cs="Arial"/>
        </w:rPr>
        <w:t xml:space="preserve">the </w:t>
      </w:r>
      <w:r w:rsidR="000937AD">
        <w:rPr>
          <w:rFonts w:ascii="Arial" w:hAnsi="Arial" w:cs="Arial"/>
        </w:rPr>
        <w:t>CLWDW</w:t>
      </w:r>
      <w:r w:rsidR="00ED2136">
        <w:rPr>
          <w:rFonts w:ascii="Arial" w:hAnsi="Arial" w:cs="Arial"/>
        </w:rPr>
        <w:t xml:space="preserve"> Public Health Lead</w:t>
      </w:r>
      <w:r w:rsidR="00D26D18">
        <w:rPr>
          <w:rFonts w:ascii="Arial" w:hAnsi="Arial" w:cs="Arial"/>
        </w:rPr>
        <w:t xml:space="preserve">, </w:t>
      </w:r>
      <w:r w:rsidR="004E3009">
        <w:rPr>
          <w:rFonts w:ascii="Arial" w:hAnsi="Arial" w:cs="Arial"/>
        </w:rPr>
        <w:t>illustrating</w:t>
      </w:r>
      <w:r w:rsidR="000D38A6">
        <w:rPr>
          <w:rFonts w:ascii="Arial" w:hAnsi="Arial" w:cs="Arial"/>
        </w:rPr>
        <w:t xml:space="preserve"> </w:t>
      </w:r>
      <w:r w:rsidR="00D26D18">
        <w:rPr>
          <w:rFonts w:ascii="Arial" w:hAnsi="Arial" w:cs="Arial"/>
        </w:rPr>
        <w:t>that death could be made easier, especia</w:t>
      </w:r>
      <w:r w:rsidR="000D38A6">
        <w:rPr>
          <w:rFonts w:ascii="Arial" w:hAnsi="Arial" w:cs="Arial"/>
        </w:rPr>
        <w:t>lly for those</w:t>
      </w:r>
      <w:r w:rsidR="00D46695">
        <w:rPr>
          <w:rFonts w:ascii="Arial" w:hAnsi="Arial" w:cs="Arial"/>
        </w:rPr>
        <w:t xml:space="preserve"> left behind.</w:t>
      </w:r>
      <w:r w:rsidR="004E3009">
        <w:rPr>
          <w:rFonts w:ascii="Arial" w:hAnsi="Arial" w:cs="Arial"/>
        </w:rPr>
        <w:t xml:space="preserve"> ‘Dying for a Laugh’</w:t>
      </w:r>
      <w:r w:rsidR="00D26D18">
        <w:rPr>
          <w:rFonts w:ascii="Arial" w:hAnsi="Arial" w:cs="Arial"/>
        </w:rPr>
        <w:t xml:space="preserve"> </w:t>
      </w:r>
      <w:r w:rsidR="004E3009">
        <w:rPr>
          <w:rFonts w:ascii="Arial" w:hAnsi="Arial" w:cs="Arial"/>
        </w:rPr>
        <w:t xml:space="preserve">was </w:t>
      </w:r>
      <w:r w:rsidR="004E0418">
        <w:rPr>
          <w:rFonts w:ascii="Arial" w:hAnsi="Arial" w:cs="Arial"/>
        </w:rPr>
        <w:t xml:space="preserve">adapted from a film </w:t>
      </w:r>
      <w:r w:rsidR="00D26D18">
        <w:rPr>
          <w:rFonts w:ascii="Arial" w:hAnsi="Arial" w:cs="Arial"/>
        </w:rPr>
        <w:t>produced by the National Dying Matters Coalition</w:t>
      </w:r>
      <w:r w:rsidR="005E38AB">
        <w:rPr>
          <w:rFonts w:ascii="Arial" w:hAnsi="Arial" w:cs="Arial"/>
        </w:rPr>
        <w:fldChar w:fldCharType="begin"/>
      </w:r>
      <w:r w:rsidR="00716E55">
        <w:rPr>
          <w:rFonts w:ascii="Arial" w:hAnsi="Arial" w:cs="Arial"/>
        </w:rPr>
        <w:instrText xml:space="preserve"> ADDIN EN.CITE &lt;EndNote&gt;&lt;Cite&gt;&lt;Author&gt;Coalition&lt;/Author&gt;&lt;Year&gt;2011&lt;/Year&gt;&lt;RecNum&gt;496&lt;/RecNum&gt;&lt;DisplayText&gt;[23]&lt;/DisplayText&gt;&lt;record&gt;&lt;rec-number&gt;496&lt;/rec-number&gt;&lt;foreign-keys&gt;&lt;key app="EN" db-id="ezfa0awta2ze5se9vz25asd0v2xevvev99pd" timestamp="1438944922"&gt;496&lt;/key&gt;&lt;/foreign-keys&gt;&lt;ref-type name="Web Page"&gt;12&lt;/ref-type&gt;&lt;contributors&gt;&lt;authors&gt;&lt;author&gt;Dying Matters Coalition&lt;/author&gt;&lt;/authors&gt;&lt;/contributors&gt;&lt;titles&gt;&lt;title&gt;Dying for a Laugh&lt;/title&gt;&lt;/titles&gt;&lt;number&gt;07/08/2015&lt;/number&gt;&lt;dates&gt;&lt;year&gt;2011&lt;/year&gt;&lt;/dates&gt;&lt;urls&gt;&lt;related-urls&gt;&lt;url&gt;http://dyingmatters.org/page/dying-laugh&lt;/url&gt;&lt;/related-urls&gt;&lt;/urls&gt;&lt;/record&gt;&lt;/Cite&gt;&lt;/EndNote&gt;</w:instrText>
      </w:r>
      <w:r w:rsidR="005E38AB">
        <w:rPr>
          <w:rFonts w:ascii="Arial" w:hAnsi="Arial" w:cs="Arial"/>
        </w:rPr>
        <w:fldChar w:fldCharType="separate"/>
      </w:r>
      <w:r w:rsidR="00716E55">
        <w:rPr>
          <w:rFonts w:ascii="Arial" w:hAnsi="Arial" w:cs="Arial"/>
          <w:noProof/>
        </w:rPr>
        <w:t>[</w:t>
      </w:r>
      <w:hyperlink w:anchor="_ENREF_23" w:tooltip="Coalition, 2011 #496" w:history="1">
        <w:r w:rsidR="00716E55">
          <w:rPr>
            <w:rFonts w:ascii="Arial" w:hAnsi="Arial" w:cs="Arial"/>
            <w:noProof/>
          </w:rPr>
          <w:t>23</w:t>
        </w:r>
      </w:hyperlink>
      <w:r w:rsidR="00716E55">
        <w:rPr>
          <w:rFonts w:ascii="Arial" w:hAnsi="Arial" w:cs="Arial"/>
          <w:noProof/>
        </w:rPr>
        <w:t>]</w:t>
      </w:r>
      <w:r w:rsidR="005E38AB">
        <w:rPr>
          <w:rFonts w:ascii="Arial" w:hAnsi="Arial" w:cs="Arial"/>
        </w:rPr>
        <w:fldChar w:fldCharType="end"/>
      </w:r>
      <w:r w:rsidR="004E0418">
        <w:rPr>
          <w:rFonts w:ascii="Arial" w:hAnsi="Arial" w:cs="Arial"/>
        </w:rPr>
        <w:t xml:space="preserve">, </w:t>
      </w:r>
      <w:r w:rsidR="004E3009">
        <w:rPr>
          <w:rFonts w:ascii="Arial" w:hAnsi="Arial" w:cs="Arial"/>
        </w:rPr>
        <w:t>comprising</w:t>
      </w:r>
      <w:r w:rsidR="00D46695">
        <w:rPr>
          <w:rFonts w:ascii="Arial" w:hAnsi="Arial" w:cs="Arial"/>
        </w:rPr>
        <w:t xml:space="preserve"> clips of </w:t>
      </w:r>
      <w:r w:rsidR="000D38A6">
        <w:rPr>
          <w:rFonts w:ascii="Arial" w:hAnsi="Arial" w:cs="Arial"/>
        </w:rPr>
        <w:t xml:space="preserve">comedians talking </w:t>
      </w:r>
      <w:r w:rsidR="00D26D18">
        <w:rPr>
          <w:rFonts w:ascii="Arial" w:hAnsi="Arial" w:cs="Arial"/>
        </w:rPr>
        <w:t>about death.</w:t>
      </w:r>
      <w:r w:rsidR="000937AD">
        <w:rPr>
          <w:rFonts w:ascii="Arial" w:hAnsi="Arial" w:cs="Arial"/>
        </w:rPr>
        <w:t xml:space="preserve"> After the event</w:t>
      </w:r>
      <w:r w:rsidR="004E0418">
        <w:rPr>
          <w:rFonts w:ascii="Arial" w:hAnsi="Arial" w:cs="Arial"/>
        </w:rPr>
        <w:t xml:space="preserve">, </w:t>
      </w:r>
      <w:r w:rsidR="000937AD">
        <w:rPr>
          <w:rFonts w:ascii="Arial" w:hAnsi="Arial" w:cs="Arial"/>
        </w:rPr>
        <w:t>the facilitators</w:t>
      </w:r>
      <w:r w:rsidR="00D26D18">
        <w:rPr>
          <w:rFonts w:ascii="Arial" w:hAnsi="Arial" w:cs="Arial"/>
        </w:rPr>
        <w:t xml:space="preserve"> remained </w:t>
      </w:r>
      <w:r w:rsidR="000D38A6">
        <w:rPr>
          <w:rFonts w:ascii="Arial" w:hAnsi="Arial" w:cs="Arial"/>
        </w:rPr>
        <w:t>to answer questions and talk with</w:t>
      </w:r>
      <w:r w:rsidR="00D26D18">
        <w:rPr>
          <w:rFonts w:ascii="Arial" w:hAnsi="Arial" w:cs="Arial"/>
        </w:rPr>
        <w:t xml:space="preserve"> individuals as needed.     </w:t>
      </w:r>
    </w:p>
    <w:p w:rsidR="002176C8" w:rsidRDefault="00D26D18" w:rsidP="00D26D18">
      <w:pPr>
        <w:spacing w:line="360" w:lineRule="auto"/>
        <w:rPr>
          <w:rFonts w:ascii="Arial" w:hAnsi="Arial" w:cs="Arial"/>
        </w:rPr>
      </w:pPr>
      <w:r>
        <w:rPr>
          <w:rFonts w:ascii="Arial" w:hAnsi="Arial" w:cs="Arial"/>
        </w:rPr>
        <w:t>‘How to’ workshop</w:t>
      </w:r>
      <w:r w:rsidR="002E7E2D">
        <w:rPr>
          <w:rFonts w:ascii="Arial" w:hAnsi="Arial" w:cs="Arial"/>
        </w:rPr>
        <w:t>s</w:t>
      </w:r>
      <w:r>
        <w:rPr>
          <w:rFonts w:ascii="Arial" w:hAnsi="Arial" w:cs="Arial"/>
        </w:rPr>
        <w:t xml:space="preserve"> </w:t>
      </w:r>
      <w:r w:rsidR="000D38A6">
        <w:rPr>
          <w:rFonts w:ascii="Arial" w:hAnsi="Arial" w:cs="Arial"/>
        </w:rPr>
        <w:t>aimed to increase confidence and equip participants</w:t>
      </w:r>
      <w:r>
        <w:rPr>
          <w:rFonts w:ascii="Arial" w:hAnsi="Arial" w:cs="Arial"/>
        </w:rPr>
        <w:t xml:space="preserve"> with tools to facilitate conversations </w:t>
      </w:r>
      <w:r w:rsidR="004E0418">
        <w:rPr>
          <w:rFonts w:ascii="Arial" w:hAnsi="Arial" w:cs="Arial"/>
        </w:rPr>
        <w:t xml:space="preserve">with people close to them </w:t>
      </w:r>
      <w:r>
        <w:rPr>
          <w:rFonts w:ascii="Arial" w:hAnsi="Arial" w:cs="Arial"/>
        </w:rPr>
        <w:t>a</w:t>
      </w:r>
      <w:r w:rsidR="00482342">
        <w:rPr>
          <w:rFonts w:ascii="Arial" w:hAnsi="Arial" w:cs="Arial"/>
        </w:rPr>
        <w:t>bout end of life plans and</w:t>
      </w:r>
      <w:r w:rsidR="004E0418">
        <w:rPr>
          <w:rFonts w:ascii="Arial" w:hAnsi="Arial" w:cs="Arial"/>
        </w:rPr>
        <w:t xml:space="preserve"> preferences</w:t>
      </w:r>
      <w:r>
        <w:rPr>
          <w:rFonts w:ascii="Arial" w:hAnsi="Arial" w:cs="Arial"/>
        </w:rPr>
        <w:t xml:space="preserve">. </w:t>
      </w:r>
      <w:r w:rsidR="00420BD2">
        <w:rPr>
          <w:rFonts w:ascii="Arial" w:hAnsi="Arial" w:cs="Arial"/>
        </w:rPr>
        <w:lastRenderedPageBreak/>
        <w:t>Workshops</w:t>
      </w:r>
      <w:r w:rsidR="004842A4">
        <w:rPr>
          <w:rFonts w:ascii="Arial" w:hAnsi="Arial" w:cs="Arial"/>
        </w:rPr>
        <w:t xml:space="preserve"> </w:t>
      </w:r>
      <w:r w:rsidR="000D38A6">
        <w:rPr>
          <w:rFonts w:ascii="Arial" w:hAnsi="Arial" w:cs="Arial"/>
        </w:rPr>
        <w:t xml:space="preserve">were </w:t>
      </w:r>
      <w:r w:rsidR="004842A4">
        <w:rPr>
          <w:rFonts w:ascii="Arial" w:hAnsi="Arial" w:cs="Arial"/>
        </w:rPr>
        <w:t>delivered</w:t>
      </w:r>
      <w:r w:rsidR="00482342" w:rsidRPr="00482342">
        <w:rPr>
          <w:rFonts w:ascii="Arial" w:hAnsi="Arial" w:cs="Arial"/>
        </w:rPr>
        <w:t xml:space="preserve"> </w:t>
      </w:r>
      <w:r w:rsidR="00F05028">
        <w:rPr>
          <w:rFonts w:ascii="Arial" w:hAnsi="Arial" w:cs="Arial"/>
        </w:rPr>
        <w:t>to community groups (N</w:t>
      </w:r>
      <w:r w:rsidR="004842A4">
        <w:rPr>
          <w:rFonts w:ascii="Arial" w:hAnsi="Arial" w:cs="Arial"/>
        </w:rPr>
        <w:t>=1</w:t>
      </w:r>
      <w:r w:rsidR="00ED2136">
        <w:rPr>
          <w:rFonts w:ascii="Arial" w:hAnsi="Arial" w:cs="Arial"/>
        </w:rPr>
        <w:t>0) and</w:t>
      </w:r>
      <w:r w:rsidR="00F05028">
        <w:rPr>
          <w:rFonts w:ascii="Arial" w:hAnsi="Arial" w:cs="Arial"/>
        </w:rPr>
        <w:t xml:space="preserve"> </w:t>
      </w:r>
      <w:r w:rsidR="00ED2136">
        <w:rPr>
          <w:rFonts w:ascii="Arial" w:hAnsi="Arial" w:cs="Arial"/>
        </w:rPr>
        <w:t xml:space="preserve">to the general public </w:t>
      </w:r>
      <w:r w:rsidR="00F05028">
        <w:rPr>
          <w:rFonts w:ascii="Arial" w:hAnsi="Arial" w:cs="Arial"/>
        </w:rPr>
        <w:t>(N=5)</w:t>
      </w:r>
      <w:r w:rsidR="00ED2136" w:rsidRPr="00ED2136">
        <w:rPr>
          <w:rFonts w:ascii="Arial" w:hAnsi="Arial" w:cs="Arial"/>
        </w:rPr>
        <w:t xml:space="preserve"> </w:t>
      </w:r>
      <w:r w:rsidR="00ED2136">
        <w:rPr>
          <w:rFonts w:ascii="Arial" w:hAnsi="Arial" w:cs="Arial"/>
        </w:rPr>
        <w:t xml:space="preserve">as ‘Dying to Talk’. They were presented </w:t>
      </w:r>
      <w:r w:rsidR="00F05028">
        <w:rPr>
          <w:rFonts w:ascii="Arial" w:hAnsi="Arial" w:cs="Arial"/>
        </w:rPr>
        <w:t>to health and social care staff as</w:t>
      </w:r>
      <w:r w:rsidR="00482342">
        <w:rPr>
          <w:rFonts w:ascii="Arial" w:hAnsi="Arial" w:cs="Arial"/>
        </w:rPr>
        <w:t xml:space="preserve"> ‘How to: Making the professional personal’ </w:t>
      </w:r>
      <w:r w:rsidR="00F05028">
        <w:rPr>
          <w:rFonts w:ascii="Arial" w:hAnsi="Arial" w:cs="Arial"/>
        </w:rPr>
        <w:t>(N</w:t>
      </w:r>
      <w:r w:rsidR="00476880">
        <w:rPr>
          <w:rFonts w:ascii="Arial" w:hAnsi="Arial" w:cs="Arial"/>
        </w:rPr>
        <w:t>=6)</w:t>
      </w:r>
      <w:r>
        <w:rPr>
          <w:rFonts w:ascii="Arial" w:hAnsi="Arial" w:cs="Arial"/>
        </w:rPr>
        <w:t xml:space="preserve">. </w:t>
      </w:r>
      <w:r w:rsidR="004E3009">
        <w:rPr>
          <w:rFonts w:ascii="Arial" w:hAnsi="Arial" w:cs="Arial"/>
        </w:rPr>
        <w:t xml:space="preserve">The five workshops for the general public were advertised </w:t>
      </w:r>
      <w:r w:rsidR="00431F21">
        <w:rPr>
          <w:rFonts w:ascii="Arial" w:hAnsi="Arial" w:cs="Arial"/>
        </w:rPr>
        <w:t xml:space="preserve">through awareness-raising events </w:t>
      </w:r>
      <w:r w:rsidR="00CF2FEC">
        <w:rPr>
          <w:rFonts w:ascii="Arial" w:hAnsi="Arial" w:cs="Arial"/>
        </w:rPr>
        <w:t>as a ‘follow-up’.</w:t>
      </w:r>
      <w:r w:rsidR="001B0A58">
        <w:rPr>
          <w:rFonts w:ascii="Arial" w:hAnsi="Arial" w:cs="Arial"/>
        </w:rPr>
        <w:t xml:space="preserve"> </w:t>
      </w:r>
      <w:r w:rsidR="00431F21">
        <w:rPr>
          <w:rFonts w:ascii="Arial" w:hAnsi="Arial" w:cs="Arial"/>
        </w:rPr>
        <w:t xml:space="preserve">Workshops aimed at health and social care staff were advertised through employers; there was no requirement for attendees to have previously attended am ‘awareness-raising’ session.  </w:t>
      </w:r>
    </w:p>
    <w:p w:rsidR="00D26D18" w:rsidRPr="00D4416D" w:rsidRDefault="002176C8" w:rsidP="00D4416D">
      <w:pPr>
        <w:spacing w:line="360" w:lineRule="auto"/>
        <w:rPr>
          <w:rFonts w:ascii="Arial" w:hAnsi="Arial" w:cs="Arial"/>
        </w:rPr>
      </w:pPr>
      <w:r>
        <w:rPr>
          <w:rFonts w:ascii="Arial" w:hAnsi="Arial" w:cs="Arial"/>
        </w:rPr>
        <w:t>Workshops</w:t>
      </w:r>
      <w:r w:rsidR="00420BD2">
        <w:rPr>
          <w:rFonts w:ascii="Arial" w:hAnsi="Arial" w:cs="Arial"/>
        </w:rPr>
        <w:t xml:space="preserve"> were around 15</w:t>
      </w:r>
      <w:r w:rsidR="00476880">
        <w:rPr>
          <w:rFonts w:ascii="Arial" w:hAnsi="Arial" w:cs="Arial"/>
        </w:rPr>
        <w:t>0 to 180 minutes long</w:t>
      </w:r>
      <w:r>
        <w:rPr>
          <w:rFonts w:ascii="Arial" w:hAnsi="Arial" w:cs="Arial"/>
        </w:rPr>
        <w:t xml:space="preserve">, free of charge and delivered jointly </w:t>
      </w:r>
      <w:r w:rsidR="00D4416D">
        <w:rPr>
          <w:rFonts w:ascii="Arial" w:hAnsi="Arial" w:cs="Arial"/>
        </w:rPr>
        <w:t>by</w:t>
      </w:r>
      <w:r>
        <w:rPr>
          <w:rFonts w:ascii="Arial" w:hAnsi="Arial" w:cs="Arial"/>
        </w:rPr>
        <w:t xml:space="preserve"> </w:t>
      </w:r>
      <w:r w:rsidR="003E0342">
        <w:rPr>
          <w:rFonts w:ascii="Arial" w:hAnsi="Arial" w:cs="Arial"/>
        </w:rPr>
        <w:t>the public health worker</w:t>
      </w:r>
      <w:r>
        <w:rPr>
          <w:rFonts w:ascii="Arial" w:hAnsi="Arial" w:cs="Arial"/>
        </w:rPr>
        <w:t xml:space="preserve"> and another facilitat</w:t>
      </w:r>
      <w:r w:rsidR="00482342">
        <w:rPr>
          <w:rFonts w:ascii="Arial" w:hAnsi="Arial" w:cs="Arial"/>
        </w:rPr>
        <w:t>or</w:t>
      </w:r>
      <w:r w:rsidR="00D26D18">
        <w:rPr>
          <w:rFonts w:ascii="Arial" w:hAnsi="Arial" w:cs="Arial"/>
        </w:rPr>
        <w:t xml:space="preserve">. </w:t>
      </w:r>
      <w:r w:rsidR="002E7E2D">
        <w:rPr>
          <w:rFonts w:ascii="Arial" w:hAnsi="Arial" w:cs="Arial"/>
        </w:rPr>
        <w:t xml:space="preserve">They began with </w:t>
      </w:r>
      <w:r w:rsidR="00482342">
        <w:rPr>
          <w:rFonts w:ascii="Arial" w:hAnsi="Arial" w:cs="Arial"/>
        </w:rPr>
        <w:t>discussion of the benefits</w:t>
      </w:r>
      <w:r w:rsidR="003E0342">
        <w:rPr>
          <w:rFonts w:ascii="Arial" w:hAnsi="Arial" w:cs="Arial"/>
        </w:rPr>
        <w:t xml:space="preserve"> </w:t>
      </w:r>
      <w:r w:rsidR="00D26D18">
        <w:rPr>
          <w:rFonts w:ascii="Arial" w:hAnsi="Arial" w:cs="Arial"/>
        </w:rPr>
        <w:t xml:space="preserve">of </w:t>
      </w:r>
      <w:r>
        <w:rPr>
          <w:rFonts w:ascii="Arial" w:hAnsi="Arial" w:cs="Arial"/>
        </w:rPr>
        <w:t>talking about end of life preferences</w:t>
      </w:r>
      <w:r w:rsidR="003E0342">
        <w:rPr>
          <w:rFonts w:ascii="Arial" w:hAnsi="Arial" w:cs="Arial"/>
        </w:rPr>
        <w:t xml:space="preserve"> </w:t>
      </w:r>
      <w:r w:rsidR="00482342">
        <w:rPr>
          <w:rFonts w:ascii="Arial" w:hAnsi="Arial" w:cs="Arial"/>
        </w:rPr>
        <w:t xml:space="preserve">and </w:t>
      </w:r>
      <w:r w:rsidR="00D26D18">
        <w:rPr>
          <w:rFonts w:ascii="Arial" w:hAnsi="Arial" w:cs="Arial"/>
        </w:rPr>
        <w:t xml:space="preserve">what </w:t>
      </w:r>
      <w:r w:rsidR="00C76B5F">
        <w:rPr>
          <w:rFonts w:ascii="Arial" w:hAnsi="Arial" w:cs="Arial"/>
        </w:rPr>
        <w:t xml:space="preserve">prevents </w:t>
      </w:r>
      <w:r>
        <w:rPr>
          <w:rFonts w:ascii="Arial" w:hAnsi="Arial" w:cs="Arial"/>
        </w:rPr>
        <w:t>conversations</w:t>
      </w:r>
      <w:r w:rsidR="00F05028">
        <w:rPr>
          <w:rFonts w:ascii="Arial" w:hAnsi="Arial" w:cs="Arial"/>
        </w:rPr>
        <w:t xml:space="preserve">, followed by </w:t>
      </w:r>
      <w:r w:rsidR="00482342">
        <w:rPr>
          <w:rFonts w:ascii="Arial" w:hAnsi="Arial" w:cs="Arial"/>
        </w:rPr>
        <w:t>presentation of ideas that might help</w:t>
      </w:r>
      <w:r w:rsidR="00D26D18">
        <w:rPr>
          <w:rFonts w:ascii="Arial" w:hAnsi="Arial" w:cs="Arial"/>
        </w:rPr>
        <w:t>, u</w:t>
      </w:r>
      <w:r w:rsidR="004E3009">
        <w:rPr>
          <w:rFonts w:ascii="Arial" w:hAnsi="Arial" w:cs="Arial"/>
        </w:rPr>
        <w:t>sing symbols as visual aids. Ideas presented</w:t>
      </w:r>
      <w:r w:rsidR="00D26D18">
        <w:rPr>
          <w:rFonts w:ascii="Arial" w:hAnsi="Arial" w:cs="Arial"/>
        </w:rPr>
        <w:t xml:space="preserve"> included: </w:t>
      </w:r>
      <w:r w:rsidR="00D4416D">
        <w:rPr>
          <w:rFonts w:ascii="Arial" w:hAnsi="Arial" w:cs="Arial"/>
        </w:rPr>
        <w:t>‘</w:t>
      </w:r>
      <w:r w:rsidR="00D26D18" w:rsidRPr="00D4416D">
        <w:rPr>
          <w:rFonts w:ascii="Arial" w:hAnsi="Arial" w:cs="Arial"/>
        </w:rPr>
        <w:t>talking upstream</w:t>
      </w:r>
      <w:r w:rsidR="00D4416D">
        <w:rPr>
          <w:rFonts w:ascii="Arial" w:hAnsi="Arial" w:cs="Arial"/>
        </w:rPr>
        <w:t>’</w:t>
      </w:r>
      <w:r w:rsidR="00D26D18" w:rsidRPr="00D4416D">
        <w:rPr>
          <w:rFonts w:ascii="Arial" w:hAnsi="Arial" w:cs="Arial"/>
        </w:rPr>
        <w:t xml:space="preserve"> (discussing end of life when</w:t>
      </w:r>
      <w:r w:rsidR="00D4416D">
        <w:rPr>
          <w:rFonts w:ascii="Arial" w:hAnsi="Arial" w:cs="Arial"/>
        </w:rPr>
        <w:t xml:space="preserve"> it </w:t>
      </w:r>
      <w:r w:rsidR="00D95BDF">
        <w:rPr>
          <w:rFonts w:ascii="Arial" w:hAnsi="Arial" w:cs="Arial"/>
        </w:rPr>
        <w:t>appeared</w:t>
      </w:r>
      <w:r w:rsidR="00D4416D">
        <w:rPr>
          <w:rFonts w:ascii="Arial" w:hAnsi="Arial" w:cs="Arial"/>
        </w:rPr>
        <w:t xml:space="preserve"> a long way off); ‘planning’ (planning what to say); ‘</w:t>
      </w:r>
      <w:r w:rsidR="00D26D18" w:rsidRPr="00D4416D">
        <w:rPr>
          <w:rFonts w:ascii="Arial" w:hAnsi="Arial" w:cs="Arial"/>
        </w:rPr>
        <w:t>practice</w:t>
      </w:r>
      <w:r w:rsidR="00D4416D">
        <w:rPr>
          <w:rFonts w:ascii="Arial" w:hAnsi="Arial" w:cs="Arial"/>
        </w:rPr>
        <w:t>’</w:t>
      </w:r>
      <w:r w:rsidR="00D26D18" w:rsidRPr="00D4416D">
        <w:rPr>
          <w:rFonts w:ascii="Arial" w:hAnsi="Arial" w:cs="Arial"/>
        </w:rPr>
        <w:t xml:space="preserve"> (practicing what to say)</w:t>
      </w:r>
      <w:r w:rsidR="00D4416D">
        <w:rPr>
          <w:rFonts w:ascii="Arial" w:hAnsi="Arial" w:cs="Arial"/>
        </w:rPr>
        <w:t>; ‘</w:t>
      </w:r>
      <w:r w:rsidR="00D26D18" w:rsidRPr="00D4416D">
        <w:rPr>
          <w:rFonts w:ascii="Arial" w:hAnsi="Arial" w:cs="Arial"/>
        </w:rPr>
        <w:t>triggers</w:t>
      </w:r>
      <w:r w:rsidR="00D4416D">
        <w:rPr>
          <w:rFonts w:ascii="Arial" w:hAnsi="Arial" w:cs="Arial"/>
        </w:rPr>
        <w:t>’</w:t>
      </w:r>
      <w:r w:rsidR="00D26D18" w:rsidRPr="00D4416D">
        <w:rPr>
          <w:rFonts w:ascii="Arial" w:hAnsi="Arial" w:cs="Arial"/>
        </w:rPr>
        <w:t xml:space="preserve"> (finding a suitable trigger for the conversation, such as a story in a soap opera)</w:t>
      </w:r>
      <w:r w:rsidR="00D4416D">
        <w:rPr>
          <w:rFonts w:ascii="Arial" w:hAnsi="Arial" w:cs="Arial"/>
        </w:rPr>
        <w:t>; ‘</w:t>
      </w:r>
      <w:r w:rsidR="00D26D18" w:rsidRPr="00D4416D">
        <w:rPr>
          <w:rFonts w:ascii="Arial" w:hAnsi="Arial" w:cs="Arial"/>
        </w:rPr>
        <w:t>listening</w:t>
      </w:r>
      <w:r w:rsidR="00D4416D">
        <w:rPr>
          <w:rFonts w:ascii="Arial" w:hAnsi="Arial" w:cs="Arial"/>
        </w:rPr>
        <w:t>’</w:t>
      </w:r>
      <w:r w:rsidR="00D26D18" w:rsidRPr="00D4416D">
        <w:rPr>
          <w:rFonts w:ascii="Arial" w:hAnsi="Arial" w:cs="Arial"/>
        </w:rPr>
        <w:t xml:space="preserve"> (listening carefully to what the other person is saying)</w:t>
      </w:r>
      <w:r w:rsidR="00D4416D">
        <w:rPr>
          <w:rFonts w:ascii="Arial" w:hAnsi="Arial" w:cs="Arial"/>
        </w:rPr>
        <w:t>; and ‘</w:t>
      </w:r>
      <w:r w:rsidR="00D26D18" w:rsidRPr="00D4416D">
        <w:rPr>
          <w:rFonts w:ascii="Arial" w:hAnsi="Arial" w:cs="Arial"/>
        </w:rPr>
        <w:t>starting</w:t>
      </w:r>
      <w:r w:rsidR="00D4416D">
        <w:rPr>
          <w:rFonts w:ascii="Arial" w:hAnsi="Arial" w:cs="Arial"/>
        </w:rPr>
        <w:t>’</w:t>
      </w:r>
      <w:r w:rsidR="00D26D18" w:rsidRPr="00D4416D">
        <w:rPr>
          <w:rFonts w:ascii="Arial" w:hAnsi="Arial" w:cs="Arial"/>
        </w:rPr>
        <w:t xml:space="preserve"> (starting by telling the other person your own end of life wishes)</w:t>
      </w:r>
      <w:r w:rsidR="00D4416D">
        <w:rPr>
          <w:rFonts w:ascii="Arial" w:hAnsi="Arial" w:cs="Arial"/>
        </w:rPr>
        <w:t>.</w:t>
      </w:r>
    </w:p>
    <w:p w:rsidR="00D26D18" w:rsidRDefault="00A377F6" w:rsidP="00D26D18">
      <w:pPr>
        <w:spacing w:line="360" w:lineRule="auto"/>
        <w:rPr>
          <w:rFonts w:ascii="Arial" w:hAnsi="Arial" w:cs="Arial"/>
        </w:rPr>
      </w:pPr>
      <w:r>
        <w:rPr>
          <w:rFonts w:ascii="Arial" w:hAnsi="Arial" w:cs="Arial"/>
        </w:rPr>
        <w:t>O</w:t>
      </w:r>
      <w:r w:rsidR="002E7E2D">
        <w:rPr>
          <w:rFonts w:ascii="Arial" w:hAnsi="Arial" w:cs="Arial"/>
        </w:rPr>
        <w:t>ne or two video vignettes</w:t>
      </w:r>
      <w:r w:rsidR="003E0342">
        <w:rPr>
          <w:rFonts w:ascii="Arial" w:hAnsi="Arial" w:cs="Arial"/>
        </w:rPr>
        <w:t xml:space="preserve">, </w:t>
      </w:r>
      <w:r w:rsidR="0075150F">
        <w:rPr>
          <w:rFonts w:ascii="Arial" w:hAnsi="Arial" w:cs="Arial"/>
        </w:rPr>
        <w:t>prod</w:t>
      </w:r>
      <w:r w:rsidR="000937AD">
        <w:rPr>
          <w:rFonts w:ascii="Arial" w:hAnsi="Arial" w:cs="Arial"/>
        </w:rPr>
        <w:t>uced by CLWDW</w:t>
      </w:r>
      <w:r w:rsidR="004E3009">
        <w:rPr>
          <w:rFonts w:ascii="Arial" w:hAnsi="Arial" w:cs="Arial"/>
        </w:rPr>
        <w:t>, depicted</w:t>
      </w:r>
      <w:r w:rsidR="0075150F">
        <w:rPr>
          <w:rFonts w:ascii="Arial" w:hAnsi="Arial" w:cs="Arial"/>
        </w:rPr>
        <w:t xml:space="preserve"> scenarios of a daughter and moth</w:t>
      </w:r>
      <w:r w:rsidR="002E7E2D">
        <w:rPr>
          <w:rFonts w:ascii="Arial" w:hAnsi="Arial" w:cs="Arial"/>
        </w:rPr>
        <w:t xml:space="preserve">er, or a wife and husband; </w:t>
      </w:r>
      <w:r w:rsidR="00482342">
        <w:rPr>
          <w:rFonts w:ascii="Arial" w:hAnsi="Arial" w:cs="Arial"/>
        </w:rPr>
        <w:t xml:space="preserve">one </w:t>
      </w:r>
      <w:r w:rsidR="0075150F">
        <w:rPr>
          <w:rFonts w:ascii="Arial" w:hAnsi="Arial" w:cs="Arial"/>
        </w:rPr>
        <w:t xml:space="preserve">wanting to talk about the </w:t>
      </w:r>
      <w:r w:rsidR="00482342">
        <w:rPr>
          <w:rFonts w:ascii="Arial" w:hAnsi="Arial" w:cs="Arial"/>
        </w:rPr>
        <w:t>other</w:t>
      </w:r>
      <w:r w:rsidR="00ED2136">
        <w:rPr>
          <w:rFonts w:ascii="Arial" w:hAnsi="Arial" w:cs="Arial"/>
        </w:rPr>
        <w:t>’</w:t>
      </w:r>
      <w:r w:rsidR="00482342">
        <w:rPr>
          <w:rFonts w:ascii="Arial" w:hAnsi="Arial" w:cs="Arial"/>
        </w:rPr>
        <w:t xml:space="preserve">s </w:t>
      </w:r>
      <w:r w:rsidR="0075150F">
        <w:rPr>
          <w:rFonts w:ascii="Arial" w:hAnsi="Arial" w:cs="Arial"/>
        </w:rPr>
        <w:t xml:space="preserve">end of life preferences and </w:t>
      </w:r>
      <w:r w:rsidR="00482342">
        <w:rPr>
          <w:rFonts w:ascii="Arial" w:hAnsi="Arial" w:cs="Arial"/>
        </w:rPr>
        <w:t xml:space="preserve">the other being reluctant to have the conversation. </w:t>
      </w:r>
      <w:r w:rsidR="000937AD">
        <w:rPr>
          <w:rFonts w:ascii="Arial" w:hAnsi="Arial" w:cs="Arial"/>
        </w:rPr>
        <w:t>Both scenarios</w:t>
      </w:r>
      <w:r w:rsidR="0075150F">
        <w:rPr>
          <w:rFonts w:ascii="Arial" w:hAnsi="Arial" w:cs="Arial"/>
        </w:rPr>
        <w:t xml:space="preserve"> </w:t>
      </w:r>
      <w:r w:rsidR="00D26D18">
        <w:rPr>
          <w:rFonts w:ascii="Arial" w:hAnsi="Arial" w:cs="Arial"/>
        </w:rPr>
        <w:t>included example</w:t>
      </w:r>
      <w:r w:rsidR="00C76B5F">
        <w:rPr>
          <w:rFonts w:ascii="Arial" w:hAnsi="Arial" w:cs="Arial"/>
        </w:rPr>
        <w:t>s</w:t>
      </w:r>
      <w:r w:rsidR="004E3009">
        <w:rPr>
          <w:rFonts w:ascii="Arial" w:hAnsi="Arial" w:cs="Arial"/>
        </w:rPr>
        <w:t xml:space="preserve"> of</w:t>
      </w:r>
      <w:r>
        <w:rPr>
          <w:rFonts w:ascii="Arial" w:hAnsi="Arial" w:cs="Arial"/>
        </w:rPr>
        <w:t xml:space="preserve"> </w:t>
      </w:r>
      <w:r w:rsidR="00D26D18">
        <w:rPr>
          <w:rFonts w:ascii="Arial" w:hAnsi="Arial" w:cs="Arial"/>
        </w:rPr>
        <w:t>‘poor communica</w:t>
      </w:r>
      <w:r>
        <w:rPr>
          <w:rFonts w:ascii="Arial" w:hAnsi="Arial" w:cs="Arial"/>
        </w:rPr>
        <w:t>tio</w:t>
      </w:r>
      <w:r w:rsidR="004E3009">
        <w:rPr>
          <w:rFonts w:ascii="Arial" w:hAnsi="Arial" w:cs="Arial"/>
        </w:rPr>
        <w:t>n’ and ‘good communication’. D</w:t>
      </w:r>
      <w:r>
        <w:rPr>
          <w:rFonts w:ascii="Arial" w:hAnsi="Arial" w:cs="Arial"/>
        </w:rPr>
        <w:t>iscussions followed</w:t>
      </w:r>
      <w:r w:rsidR="004E3009">
        <w:rPr>
          <w:rFonts w:ascii="Arial" w:hAnsi="Arial" w:cs="Arial"/>
        </w:rPr>
        <w:t>,</w:t>
      </w:r>
      <w:r>
        <w:rPr>
          <w:rFonts w:ascii="Arial" w:hAnsi="Arial" w:cs="Arial"/>
        </w:rPr>
        <w:t xml:space="preserve"> ending with </w:t>
      </w:r>
      <w:r w:rsidR="00482342">
        <w:rPr>
          <w:rFonts w:ascii="Arial" w:hAnsi="Arial" w:cs="Arial"/>
        </w:rPr>
        <w:t xml:space="preserve">a summary </w:t>
      </w:r>
      <w:r w:rsidR="00D26D18">
        <w:rPr>
          <w:rFonts w:ascii="Arial" w:hAnsi="Arial" w:cs="Arial"/>
        </w:rPr>
        <w:t xml:space="preserve">of the learning </w:t>
      </w:r>
      <w:r>
        <w:rPr>
          <w:rFonts w:ascii="Arial" w:hAnsi="Arial" w:cs="Arial"/>
        </w:rPr>
        <w:t xml:space="preserve">and </w:t>
      </w:r>
      <w:r w:rsidR="004E3009">
        <w:rPr>
          <w:rFonts w:ascii="Arial" w:hAnsi="Arial" w:cs="Arial"/>
        </w:rPr>
        <w:t xml:space="preserve">a </w:t>
      </w:r>
      <w:r w:rsidR="00877EC7">
        <w:rPr>
          <w:rFonts w:ascii="Arial" w:hAnsi="Arial" w:cs="Arial"/>
        </w:rPr>
        <w:t xml:space="preserve">short presentation about </w:t>
      </w:r>
      <w:r w:rsidR="00D26D18">
        <w:rPr>
          <w:rFonts w:ascii="Arial" w:hAnsi="Arial" w:cs="Arial"/>
        </w:rPr>
        <w:t>will</w:t>
      </w:r>
      <w:r w:rsidR="00E8034A">
        <w:rPr>
          <w:rFonts w:ascii="Arial" w:hAnsi="Arial" w:cs="Arial"/>
        </w:rPr>
        <w:t>s; power of attorney; advance care planning; funeral plans; letters of wishes;</w:t>
      </w:r>
      <w:r w:rsidR="00D26D18">
        <w:rPr>
          <w:rFonts w:ascii="Arial" w:hAnsi="Arial" w:cs="Arial"/>
        </w:rPr>
        <w:t xml:space="preserve"> emotional wills and bucket lists.</w:t>
      </w:r>
      <w:r w:rsidR="00877EC7">
        <w:rPr>
          <w:rFonts w:ascii="Arial" w:hAnsi="Arial" w:cs="Arial"/>
        </w:rPr>
        <w:t xml:space="preserve"> I</w:t>
      </w:r>
      <w:r w:rsidR="00877241">
        <w:rPr>
          <w:rFonts w:ascii="Arial" w:hAnsi="Arial" w:cs="Arial"/>
        </w:rPr>
        <w:t>nformation packs</w:t>
      </w:r>
      <w:r w:rsidR="00877EC7">
        <w:rPr>
          <w:rFonts w:ascii="Arial" w:hAnsi="Arial" w:cs="Arial"/>
        </w:rPr>
        <w:t xml:space="preserve"> were provided to </w:t>
      </w:r>
      <w:r w:rsidR="007500C4">
        <w:rPr>
          <w:rFonts w:ascii="Arial" w:hAnsi="Arial" w:cs="Arial"/>
        </w:rPr>
        <w:t>take</w:t>
      </w:r>
      <w:r w:rsidR="0075150F">
        <w:rPr>
          <w:rFonts w:ascii="Arial" w:hAnsi="Arial" w:cs="Arial"/>
        </w:rPr>
        <w:t xml:space="preserve"> away</w:t>
      </w:r>
      <w:r w:rsidR="00877241">
        <w:rPr>
          <w:rFonts w:ascii="Arial" w:hAnsi="Arial" w:cs="Arial"/>
        </w:rPr>
        <w:t>.</w:t>
      </w:r>
    </w:p>
    <w:p w:rsidR="002C4B48" w:rsidRDefault="002C4B48" w:rsidP="002C4B48">
      <w:pPr>
        <w:rPr>
          <w:rFonts w:ascii="Arial" w:hAnsi="Arial" w:cs="Arial"/>
          <w:u w:val="single"/>
        </w:rPr>
      </w:pPr>
    </w:p>
    <w:p w:rsidR="00D24D9A" w:rsidRDefault="00D24D9A" w:rsidP="002C4B48">
      <w:pPr>
        <w:rPr>
          <w:rFonts w:ascii="Arial" w:hAnsi="Arial" w:cs="Arial"/>
          <w:u w:val="single"/>
        </w:rPr>
      </w:pPr>
      <w:r>
        <w:rPr>
          <w:rFonts w:ascii="Arial" w:hAnsi="Arial" w:cs="Arial"/>
          <w:u w:val="single"/>
        </w:rPr>
        <w:t>The research</w:t>
      </w:r>
    </w:p>
    <w:p w:rsidR="00D24D9A" w:rsidRPr="00D24D9A" w:rsidRDefault="00A377F6" w:rsidP="008D60D0">
      <w:pPr>
        <w:spacing w:line="360" w:lineRule="auto"/>
        <w:rPr>
          <w:rFonts w:ascii="Arial" w:hAnsi="Arial" w:cs="Arial"/>
        </w:rPr>
      </w:pPr>
      <w:r>
        <w:rPr>
          <w:rFonts w:ascii="Arial" w:hAnsi="Arial" w:cs="Arial"/>
        </w:rPr>
        <w:t xml:space="preserve">The research </w:t>
      </w:r>
      <w:r w:rsidR="00E8034A">
        <w:rPr>
          <w:rFonts w:ascii="Arial" w:hAnsi="Arial" w:cs="Arial"/>
        </w:rPr>
        <w:t>comprise</w:t>
      </w:r>
      <w:r w:rsidR="007500C4">
        <w:rPr>
          <w:rFonts w:ascii="Arial" w:hAnsi="Arial" w:cs="Arial"/>
        </w:rPr>
        <w:t>d</w:t>
      </w:r>
      <w:r w:rsidR="00E8034A">
        <w:rPr>
          <w:rFonts w:ascii="Arial" w:hAnsi="Arial" w:cs="Arial"/>
        </w:rPr>
        <w:t xml:space="preserve"> three </w:t>
      </w:r>
      <w:r w:rsidR="0075150F">
        <w:rPr>
          <w:rFonts w:ascii="Arial" w:hAnsi="Arial" w:cs="Arial"/>
        </w:rPr>
        <w:t>linked questionnaires:</w:t>
      </w:r>
      <w:r w:rsidR="00D24D9A">
        <w:rPr>
          <w:rFonts w:ascii="Arial" w:hAnsi="Arial" w:cs="Arial"/>
        </w:rPr>
        <w:t xml:space="preserve"> ‘Baseline’ </w:t>
      </w:r>
      <w:r w:rsidR="0075150F">
        <w:rPr>
          <w:rFonts w:ascii="Arial" w:hAnsi="Arial" w:cs="Arial"/>
        </w:rPr>
        <w:t xml:space="preserve">administered </w:t>
      </w:r>
      <w:r w:rsidR="00D24D9A">
        <w:rPr>
          <w:rFonts w:ascii="Arial" w:hAnsi="Arial" w:cs="Arial"/>
        </w:rPr>
        <w:t>immediate</w:t>
      </w:r>
      <w:r w:rsidR="0075150F">
        <w:rPr>
          <w:rFonts w:ascii="Arial" w:hAnsi="Arial" w:cs="Arial"/>
        </w:rPr>
        <w:t>ly</w:t>
      </w:r>
      <w:r w:rsidR="00E16D38">
        <w:rPr>
          <w:rFonts w:ascii="Arial" w:hAnsi="Arial" w:cs="Arial"/>
        </w:rPr>
        <w:t xml:space="preserve"> prior to</w:t>
      </w:r>
      <w:r w:rsidR="00D24D9A">
        <w:rPr>
          <w:rFonts w:ascii="Arial" w:hAnsi="Arial" w:cs="Arial"/>
        </w:rPr>
        <w:t xml:space="preserve"> the </w:t>
      </w:r>
      <w:r w:rsidR="002E7E2D">
        <w:rPr>
          <w:rFonts w:ascii="Arial" w:hAnsi="Arial" w:cs="Arial"/>
        </w:rPr>
        <w:t>intervention</w:t>
      </w:r>
      <w:r w:rsidR="00D24D9A">
        <w:rPr>
          <w:rFonts w:ascii="Arial" w:hAnsi="Arial" w:cs="Arial"/>
        </w:rPr>
        <w:t xml:space="preserve">; ‘Post’ </w:t>
      </w:r>
      <w:r w:rsidR="00E16D38">
        <w:rPr>
          <w:rFonts w:ascii="Arial" w:hAnsi="Arial" w:cs="Arial"/>
        </w:rPr>
        <w:t xml:space="preserve">administered </w:t>
      </w:r>
      <w:r w:rsidR="00D24D9A">
        <w:rPr>
          <w:rFonts w:ascii="Arial" w:hAnsi="Arial" w:cs="Arial"/>
        </w:rPr>
        <w:t>im</w:t>
      </w:r>
      <w:r w:rsidR="0075150F">
        <w:rPr>
          <w:rFonts w:ascii="Arial" w:hAnsi="Arial" w:cs="Arial"/>
        </w:rPr>
        <w:t>mediately afterwards</w:t>
      </w:r>
      <w:r w:rsidR="00D24D9A">
        <w:rPr>
          <w:rFonts w:ascii="Arial" w:hAnsi="Arial" w:cs="Arial"/>
        </w:rPr>
        <w:t>; and ‘Follow-up’</w:t>
      </w:r>
      <w:r w:rsidR="00FB0BEC">
        <w:rPr>
          <w:rFonts w:ascii="Arial" w:hAnsi="Arial" w:cs="Arial"/>
        </w:rPr>
        <w:t xml:space="preserve"> </w:t>
      </w:r>
      <w:r w:rsidR="00E16D38">
        <w:rPr>
          <w:rFonts w:ascii="Arial" w:hAnsi="Arial" w:cs="Arial"/>
        </w:rPr>
        <w:t xml:space="preserve">administered </w:t>
      </w:r>
      <w:r w:rsidR="00FB0BEC">
        <w:rPr>
          <w:rFonts w:ascii="Arial" w:hAnsi="Arial" w:cs="Arial"/>
        </w:rPr>
        <w:t>three months later</w:t>
      </w:r>
      <w:r w:rsidR="00D24D9A">
        <w:rPr>
          <w:rFonts w:ascii="Arial" w:hAnsi="Arial" w:cs="Arial"/>
        </w:rPr>
        <w:t>.</w:t>
      </w:r>
      <w:r w:rsidR="00E8034A">
        <w:rPr>
          <w:rFonts w:ascii="Arial" w:hAnsi="Arial" w:cs="Arial"/>
        </w:rPr>
        <w:t xml:space="preserve"> </w:t>
      </w:r>
      <w:r w:rsidR="00367101">
        <w:rPr>
          <w:rFonts w:ascii="Arial" w:hAnsi="Arial" w:cs="Arial"/>
        </w:rPr>
        <w:t>All</w:t>
      </w:r>
      <w:r w:rsidR="007500C4">
        <w:rPr>
          <w:rFonts w:ascii="Arial" w:hAnsi="Arial" w:cs="Arial"/>
        </w:rPr>
        <w:t xml:space="preserve"> </w:t>
      </w:r>
      <w:r w:rsidR="0075150F">
        <w:rPr>
          <w:rFonts w:ascii="Arial" w:hAnsi="Arial" w:cs="Arial"/>
        </w:rPr>
        <w:t xml:space="preserve">included </w:t>
      </w:r>
      <w:r w:rsidR="00C76B5F">
        <w:rPr>
          <w:rFonts w:ascii="Arial" w:hAnsi="Arial" w:cs="Arial"/>
        </w:rPr>
        <w:t>fixed and</w:t>
      </w:r>
      <w:r w:rsidR="007500C4">
        <w:rPr>
          <w:rFonts w:ascii="Arial" w:hAnsi="Arial" w:cs="Arial"/>
        </w:rPr>
        <w:t xml:space="preserve"> </w:t>
      </w:r>
      <w:r w:rsidR="00E16D38">
        <w:rPr>
          <w:rFonts w:ascii="Arial" w:hAnsi="Arial" w:cs="Arial"/>
        </w:rPr>
        <w:t>free text response</w:t>
      </w:r>
      <w:r w:rsidR="00220605" w:rsidRPr="00220605">
        <w:rPr>
          <w:rFonts w:ascii="Arial" w:hAnsi="Arial" w:cs="Arial"/>
        </w:rPr>
        <w:t xml:space="preserve"> </w:t>
      </w:r>
      <w:r w:rsidR="0075150F">
        <w:rPr>
          <w:rFonts w:ascii="Arial" w:hAnsi="Arial" w:cs="Arial"/>
        </w:rPr>
        <w:t>questions</w:t>
      </w:r>
      <w:r>
        <w:rPr>
          <w:rFonts w:ascii="Arial" w:hAnsi="Arial" w:cs="Arial"/>
        </w:rPr>
        <w:t xml:space="preserve">. </w:t>
      </w:r>
      <w:r w:rsidR="00E16D38">
        <w:rPr>
          <w:rFonts w:ascii="Arial" w:hAnsi="Arial" w:cs="Arial"/>
        </w:rPr>
        <w:t xml:space="preserve">The questionnaires were </w:t>
      </w:r>
      <w:r w:rsidR="00420105">
        <w:rPr>
          <w:rFonts w:ascii="Arial" w:hAnsi="Arial" w:cs="Arial"/>
        </w:rPr>
        <w:t xml:space="preserve">developed by the main researcher (KA) in consultation with the wider research team and public health worker, and </w:t>
      </w:r>
      <w:r w:rsidR="00E16D38">
        <w:rPr>
          <w:rFonts w:ascii="Arial" w:hAnsi="Arial" w:cs="Arial"/>
        </w:rPr>
        <w:t>piloted at a pilot Awareness-Raising event attended mai</w:t>
      </w:r>
      <w:r w:rsidR="00877EC7">
        <w:rPr>
          <w:rFonts w:ascii="Arial" w:hAnsi="Arial" w:cs="Arial"/>
        </w:rPr>
        <w:t>nly by CLWDW volunteers.</w:t>
      </w:r>
      <w:r w:rsidR="00563F57">
        <w:rPr>
          <w:rFonts w:ascii="Arial" w:hAnsi="Arial" w:cs="Arial"/>
        </w:rPr>
        <w:t xml:space="preserve"> </w:t>
      </w:r>
      <w:r w:rsidR="00CF2FEC">
        <w:rPr>
          <w:rFonts w:ascii="Arial" w:hAnsi="Arial" w:cs="Arial"/>
        </w:rPr>
        <w:t xml:space="preserve">They </w:t>
      </w:r>
      <w:r w:rsidR="00262872">
        <w:rPr>
          <w:rFonts w:ascii="Arial" w:hAnsi="Arial" w:cs="Arial"/>
        </w:rPr>
        <w:t xml:space="preserve">included </w:t>
      </w:r>
      <w:r w:rsidR="00563F57">
        <w:rPr>
          <w:rFonts w:ascii="Arial" w:hAnsi="Arial" w:cs="Arial"/>
        </w:rPr>
        <w:t xml:space="preserve">questions </w:t>
      </w:r>
      <w:r w:rsidR="00217796">
        <w:rPr>
          <w:rFonts w:ascii="Arial" w:hAnsi="Arial" w:cs="Arial"/>
        </w:rPr>
        <w:t xml:space="preserve">that </w:t>
      </w:r>
      <w:r w:rsidR="00563F57">
        <w:rPr>
          <w:rFonts w:ascii="Arial" w:hAnsi="Arial" w:cs="Arial"/>
        </w:rPr>
        <w:t xml:space="preserve">were purposely similar to questions included in the Dying Matters 2012 survey </w:t>
      </w:r>
      <w:r w:rsidR="00563F57">
        <w:rPr>
          <w:rFonts w:ascii="Arial" w:hAnsi="Arial" w:cs="Arial"/>
        </w:rPr>
        <w:fldChar w:fldCharType="begin"/>
      </w:r>
      <w:r w:rsidR="0011397F">
        <w:rPr>
          <w:rFonts w:ascii="Arial" w:hAnsi="Arial" w:cs="Arial"/>
        </w:rPr>
        <w:instrText xml:space="preserve"> ADDIN EN.CITE &lt;EndNote&gt;&lt;Cite&gt;&lt;Author&gt;ComRes&lt;/Author&gt;&lt;Year&gt;2012&lt;/Year&gt;&lt;RecNum&gt;316&lt;/RecNum&gt;&lt;DisplayText&gt;[15]&lt;/DisplayText&gt;&lt;record&gt;&lt;rec-number&gt;316&lt;/rec-number&gt;&lt;foreign-keys&gt;&lt;key app="EN" db-id="ezfa0awta2ze5se9vz25asd0v2xevvev99pd" timestamp="1355314727"&gt;316&lt;/key&gt;&lt;/foreign-keys&gt;&lt;ref-type name="Web Page"&gt;12&lt;/ref-type&gt;&lt;contributors&gt;&lt;authors&gt;&lt;author&gt;ComRes&lt;/author&gt;&lt;/authors&gt;&lt;/contributors&gt;&lt;titles&gt;&lt;title&gt;Dying Matters Survey&lt;/title&gt;&lt;/titles&gt;&lt;volume&gt;2012&lt;/volume&gt;&lt;number&gt;12/11/2012&lt;/number&gt;&lt;dates&gt;&lt;year&gt;2012&lt;/year&gt;&lt;/dates&gt;&lt;urls&gt;&lt;related-urls&gt;&lt;url&gt;http://www.comres.co.uk/polls/Dying_Matters_Public_April12.pdf&lt;/url&gt;&lt;/related-urls&gt;&lt;/urls&gt;&lt;/record&gt;&lt;/Cite&gt;&lt;/EndNote&gt;</w:instrText>
      </w:r>
      <w:r w:rsidR="00563F57">
        <w:rPr>
          <w:rFonts w:ascii="Arial" w:hAnsi="Arial" w:cs="Arial"/>
        </w:rPr>
        <w:fldChar w:fldCharType="separate"/>
      </w:r>
      <w:r w:rsidR="0011397F">
        <w:rPr>
          <w:rFonts w:ascii="Arial" w:hAnsi="Arial" w:cs="Arial"/>
          <w:noProof/>
        </w:rPr>
        <w:t>[</w:t>
      </w:r>
      <w:hyperlink w:anchor="_ENREF_15" w:tooltip="ComRes, 2012 #316" w:history="1">
        <w:r w:rsidR="00716E55">
          <w:rPr>
            <w:rFonts w:ascii="Arial" w:hAnsi="Arial" w:cs="Arial"/>
            <w:noProof/>
          </w:rPr>
          <w:t>15</w:t>
        </w:r>
      </w:hyperlink>
      <w:r w:rsidR="0011397F">
        <w:rPr>
          <w:rFonts w:ascii="Arial" w:hAnsi="Arial" w:cs="Arial"/>
          <w:noProof/>
        </w:rPr>
        <w:t>]</w:t>
      </w:r>
      <w:r w:rsidR="00563F57">
        <w:rPr>
          <w:rFonts w:ascii="Arial" w:hAnsi="Arial" w:cs="Arial"/>
        </w:rPr>
        <w:fldChar w:fldCharType="end"/>
      </w:r>
      <w:r w:rsidR="00563F57">
        <w:rPr>
          <w:rFonts w:ascii="Arial" w:hAnsi="Arial" w:cs="Arial"/>
        </w:rPr>
        <w:t xml:space="preserve"> to allow comparison with a</w:t>
      </w:r>
      <w:r w:rsidR="00217796">
        <w:rPr>
          <w:rFonts w:ascii="Arial" w:hAnsi="Arial" w:cs="Arial"/>
        </w:rPr>
        <w:t xml:space="preserve"> representative national sample</w:t>
      </w:r>
      <w:r w:rsidR="001B0A58">
        <w:rPr>
          <w:rFonts w:ascii="Arial" w:hAnsi="Arial" w:cs="Arial"/>
        </w:rPr>
        <w:t xml:space="preserve"> and</w:t>
      </w:r>
      <w:r w:rsidR="00262872">
        <w:rPr>
          <w:rFonts w:ascii="Arial" w:hAnsi="Arial" w:cs="Arial"/>
        </w:rPr>
        <w:t xml:space="preserve"> ‘new’ questions designed to m</w:t>
      </w:r>
      <w:r w:rsidR="00157EE0">
        <w:rPr>
          <w:rFonts w:ascii="Arial" w:hAnsi="Arial" w:cs="Arial"/>
        </w:rPr>
        <w:t>easure outcomes relating to</w:t>
      </w:r>
      <w:r w:rsidR="00262872">
        <w:rPr>
          <w:rFonts w:ascii="Arial" w:hAnsi="Arial" w:cs="Arial"/>
        </w:rPr>
        <w:t xml:space="preserve"> the objectives of the events.</w:t>
      </w:r>
      <w:r w:rsidR="009439FE">
        <w:rPr>
          <w:rFonts w:ascii="Arial" w:hAnsi="Arial" w:cs="Arial"/>
        </w:rPr>
        <w:t xml:space="preserve"> </w:t>
      </w:r>
      <w:r w:rsidR="000104D7">
        <w:rPr>
          <w:rFonts w:ascii="Arial" w:hAnsi="Arial" w:cs="Arial"/>
        </w:rPr>
        <w:t>At baseline, d</w:t>
      </w:r>
      <w:r w:rsidR="000031A5">
        <w:rPr>
          <w:rFonts w:ascii="Arial" w:hAnsi="Arial" w:cs="Arial"/>
        </w:rPr>
        <w:t xml:space="preserve">emographic information, including age group, sex </w:t>
      </w:r>
      <w:r w:rsidR="000104D7">
        <w:rPr>
          <w:rFonts w:ascii="Arial" w:hAnsi="Arial" w:cs="Arial"/>
        </w:rPr>
        <w:t>and socio-economic role, was gathered</w:t>
      </w:r>
      <w:r w:rsidR="000031A5">
        <w:rPr>
          <w:rFonts w:ascii="Arial" w:hAnsi="Arial" w:cs="Arial"/>
        </w:rPr>
        <w:t xml:space="preserve"> to monitor the reach of the intervention</w:t>
      </w:r>
      <w:r w:rsidR="001B0A58">
        <w:rPr>
          <w:rFonts w:ascii="Arial" w:hAnsi="Arial" w:cs="Arial"/>
        </w:rPr>
        <w:t xml:space="preserve"> and</w:t>
      </w:r>
      <w:r w:rsidR="000031A5">
        <w:rPr>
          <w:rFonts w:ascii="Arial" w:hAnsi="Arial" w:cs="Arial"/>
        </w:rPr>
        <w:t xml:space="preserve"> determine whether there were any significant differences </w:t>
      </w:r>
      <w:r w:rsidR="000104D7">
        <w:rPr>
          <w:rFonts w:ascii="Arial" w:hAnsi="Arial" w:cs="Arial"/>
        </w:rPr>
        <w:t xml:space="preserve">in needs or response </w:t>
      </w:r>
      <w:r w:rsidR="000031A5">
        <w:rPr>
          <w:rFonts w:ascii="Arial" w:hAnsi="Arial" w:cs="Arial"/>
        </w:rPr>
        <w:t xml:space="preserve">between </w:t>
      </w:r>
      <w:r w:rsidR="000031A5">
        <w:rPr>
          <w:rFonts w:ascii="Arial" w:hAnsi="Arial" w:cs="Arial"/>
        </w:rPr>
        <w:lastRenderedPageBreak/>
        <w:t>groups with different characteristics.</w:t>
      </w:r>
      <w:r w:rsidR="00762948">
        <w:rPr>
          <w:rFonts w:ascii="Arial" w:hAnsi="Arial" w:cs="Arial"/>
        </w:rPr>
        <w:t xml:space="preserve"> Age group was collected in preference to exact age as we felt this might be more acceptable to the participants; </w:t>
      </w:r>
      <w:r w:rsidR="00217796">
        <w:rPr>
          <w:rFonts w:ascii="Arial" w:hAnsi="Arial" w:cs="Arial"/>
        </w:rPr>
        <w:t xml:space="preserve">the </w:t>
      </w:r>
      <w:r w:rsidR="00762948">
        <w:rPr>
          <w:rFonts w:ascii="Arial" w:hAnsi="Arial" w:cs="Arial"/>
        </w:rPr>
        <w:t>age bands used mirrored those use</w:t>
      </w:r>
      <w:r w:rsidR="00217796">
        <w:rPr>
          <w:rFonts w:ascii="Arial" w:hAnsi="Arial" w:cs="Arial"/>
        </w:rPr>
        <w:t>d</w:t>
      </w:r>
      <w:r w:rsidR="00762948">
        <w:rPr>
          <w:rFonts w:ascii="Arial" w:hAnsi="Arial" w:cs="Arial"/>
        </w:rPr>
        <w:t xml:space="preserve"> in the Dying Matters surveys</w:t>
      </w:r>
      <w:r w:rsidR="00217796">
        <w:rPr>
          <w:rFonts w:ascii="Arial" w:hAnsi="Arial" w:cs="Arial"/>
        </w:rPr>
        <w:fldChar w:fldCharType="begin"/>
      </w:r>
      <w:r w:rsidR="0011397F">
        <w:rPr>
          <w:rFonts w:ascii="Arial" w:hAnsi="Arial" w:cs="Arial"/>
        </w:rPr>
        <w:instrText xml:space="preserve"> ADDIN EN.CITE &lt;EndNote&gt;&lt;Cite&gt;&lt;Author&gt;ComRes&lt;/Author&gt;&lt;Year&gt;2012&lt;/Year&gt;&lt;RecNum&gt;316&lt;/RecNum&gt;&lt;DisplayText&gt;[15]&lt;/DisplayText&gt;&lt;record&gt;&lt;rec-number&gt;316&lt;/rec-number&gt;&lt;foreign-keys&gt;&lt;key app="EN" db-id="ezfa0awta2ze5se9vz25asd0v2xevvev99pd" timestamp="1355314727"&gt;316&lt;/key&gt;&lt;/foreign-keys&gt;&lt;ref-type name="Web Page"&gt;12&lt;/ref-type&gt;&lt;contributors&gt;&lt;authors&gt;&lt;author&gt;ComRes&lt;/author&gt;&lt;/authors&gt;&lt;/contributors&gt;&lt;titles&gt;&lt;title&gt;Dying Matters Survey&lt;/title&gt;&lt;/titles&gt;&lt;volume&gt;2012&lt;/volume&gt;&lt;number&gt;12/11/2012&lt;/number&gt;&lt;dates&gt;&lt;year&gt;2012&lt;/year&gt;&lt;/dates&gt;&lt;urls&gt;&lt;related-urls&gt;&lt;url&gt;http://www.comres.co.uk/polls/Dying_Matters_Public_April12.pdf&lt;/url&gt;&lt;/related-urls&gt;&lt;/urls&gt;&lt;/record&gt;&lt;/Cite&gt;&lt;/EndNote&gt;</w:instrText>
      </w:r>
      <w:r w:rsidR="00217796">
        <w:rPr>
          <w:rFonts w:ascii="Arial" w:hAnsi="Arial" w:cs="Arial"/>
        </w:rPr>
        <w:fldChar w:fldCharType="separate"/>
      </w:r>
      <w:r w:rsidR="0011397F">
        <w:rPr>
          <w:rFonts w:ascii="Arial" w:hAnsi="Arial" w:cs="Arial"/>
          <w:noProof/>
        </w:rPr>
        <w:t>[</w:t>
      </w:r>
      <w:hyperlink w:anchor="_ENREF_15" w:tooltip="ComRes, 2012 #316" w:history="1">
        <w:r w:rsidR="00716E55">
          <w:rPr>
            <w:rFonts w:ascii="Arial" w:hAnsi="Arial" w:cs="Arial"/>
            <w:noProof/>
          </w:rPr>
          <w:t>15</w:t>
        </w:r>
      </w:hyperlink>
      <w:r w:rsidR="0011397F">
        <w:rPr>
          <w:rFonts w:ascii="Arial" w:hAnsi="Arial" w:cs="Arial"/>
          <w:noProof/>
        </w:rPr>
        <w:t>]</w:t>
      </w:r>
      <w:r w:rsidR="00217796">
        <w:rPr>
          <w:rFonts w:ascii="Arial" w:hAnsi="Arial" w:cs="Arial"/>
        </w:rPr>
        <w:fldChar w:fldCharType="end"/>
      </w:r>
      <w:r w:rsidR="00217796">
        <w:rPr>
          <w:rFonts w:ascii="Arial" w:hAnsi="Arial" w:cs="Arial"/>
        </w:rPr>
        <w:t>.</w:t>
      </w:r>
      <w:r w:rsidR="000031A5">
        <w:rPr>
          <w:rFonts w:ascii="Arial" w:hAnsi="Arial" w:cs="Arial"/>
        </w:rPr>
        <w:t xml:space="preserve"> </w:t>
      </w:r>
      <w:r w:rsidR="001B0A58">
        <w:rPr>
          <w:rFonts w:ascii="Arial" w:hAnsi="Arial" w:cs="Arial"/>
        </w:rPr>
        <w:t>F</w:t>
      </w:r>
      <w:r w:rsidR="00217796">
        <w:rPr>
          <w:rFonts w:ascii="Arial" w:hAnsi="Arial" w:cs="Arial"/>
        </w:rPr>
        <w:t xml:space="preserve">ull postcode was requested, to facilitate linkage with public datasets. </w:t>
      </w:r>
      <w:r w:rsidR="00CF2FEC">
        <w:rPr>
          <w:rFonts w:ascii="Arial" w:hAnsi="Arial" w:cs="Arial"/>
        </w:rPr>
        <w:t xml:space="preserve">The ‘Post’ questionnaire requested permission to contact for follow-up and postal address. </w:t>
      </w:r>
      <w:r w:rsidR="000031A5">
        <w:rPr>
          <w:rFonts w:ascii="Arial" w:hAnsi="Arial" w:cs="Arial"/>
        </w:rPr>
        <w:t xml:space="preserve"> </w:t>
      </w:r>
    </w:p>
    <w:p w:rsidR="005B3E6F" w:rsidRDefault="005B5316" w:rsidP="005B3E6F">
      <w:pPr>
        <w:spacing w:line="360" w:lineRule="auto"/>
        <w:rPr>
          <w:rFonts w:ascii="Arial" w:hAnsi="Arial" w:cs="Arial"/>
        </w:rPr>
      </w:pPr>
      <w:r>
        <w:rPr>
          <w:rFonts w:ascii="Arial" w:hAnsi="Arial" w:cs="Arial"/>
        </w:rPr>
        <w:t>The ‘Baseline’ and ‘Post’ questionnaires</w:t>
      </w:r>
      <w:r w:rsidR="00E16D38">
        <w:rPr>
          <w:rFonts w:ascii="Arial" w:hAnsi="Arial" w:cs="Arial"/>
        </w:rPr>
        <w:t xml:space="preserve"> were printed</w:t>
      </w:r>
      <w:r w:rsidR="00220605">
        <w:rPr>
          <w:rFonts w:ascii="Arial" w:hAnsi="Arial" w:cs="Arial"/>
        </w:rPr>
        <w:t xml:space="preserve"> </w:t>
      </w:r>
      <w:r w:rsidR="00F05028">
        <w:rPr>
          <w:rFonts w:ascii="Arial" w:hAnsi="Arial" w:cs="Arial"/>
        </w:rPr>
        <w:t xml:space="preserve">together </w:t>
      </w:r>
      <w:r w:rsidR="00220605">
        <w:rPr>
          <w:rFonts w:ascii="Arial" w:hAnsi="Arial" w:cs="Arial"/>
        </w:rPr>
        <w:t>as a single booklet</w:t>
      </w:r>
      <w:r w:rsidR="00420BD2">
        <w:rPr>
          <w:rFonts w:ascii="Arial" w:hAnsi="Arial" w:cs="Arial"/>
        </w:rPr>
        <w:t xml:space="preserve">, </w:t>
      </w:r>
      <w:r w:rsidR="00E16D38">
        <w:rPr>
          <w:rFonts w:ascii="Arial" w:hAnsi="Arial" w:cs="Arial"/>
        </w:rPr>
        <w:t>each with a unique code</w:t>
      </w:r>
      <w:r w:rsidR="002E7E2D">
        <w:rPr>
          <w:rFonts w:ascii="Arial" w:hAnsi="Arial" w:cs="Arial"/>
        </w:rPr>
        <w:t xml:space="preserve">. The public health worker gave a </w:t>
      </w:r>
      <w:r w:rsidR="00220605">
        <w:rPr>
          <w:rFonts w:ascii="Arial" w:hAnsi="Arial" w:cs="Arial"/>
        </w:rPr>
        <w:t xml:space="preserve">questionnaire </w:t>
      </w:r>
      <w:r w:rsidR="002E7E2D">
        <w:rPr>
          <w:rFonts w:ascii="Arial" w:hAnsi="Arial" w:cs="Arial"/>
        </w:rPr>
        <w:t>booklet to attendees as</w:t>
      </w:r>
      <w:r w:rsidR="00220605">
        <w:rPr>
          <w:rFonts w:ascii="Arial" w:hAnsi="Arial" w:cs="Arial"/>
        </w:rPr>
        <w:t xml:space="preserve"> they arrived</w:t>
      </w:r>
      <w:r w:rsidR="002E7E2D">
        <w:rPr>
          <w:rFonts w:ascii="Arial" w:hAnsi="Arial" w:cs="Arial"/>
        </w:rPr>
        <w:t xml:space="preserve"> at event</w:t>
      </w:r>
      <w:r w:rsidR="00220605">
        <w:rPr>
          <w:rFonts w:ascii="Arial" w:hAnsi="Arial" w:cs="Arial"/>
        </w:rPr>
        <w:t xml:space="preserve">, </w:t>
      </w:r>
      <w:r w:rsidR="00877EC7">
        <w:rPr>
          <w:rFonts w:ascii="Arial" w:hAnsi="Arial" w:cs="Arial"/>
        </w:rPr>
        <w:t xml:space="preserve">and </w:t>
      </w:r>
      <w:r w:rsidR="00E16D38">
        <w:rPr>
          <w:rFonts w:ascii="Arial" w:hAnsi="Arial" w:cs="Arial"/>
        </w:rPr>
        <w:t>reminded</w:t>
      </w:r>
      <w:r w:rsidR="004842A4">
        <w:rPr>
          <w:rFonts w:ascii="Arial" w:hAnsi="Arial" w:cs="Arial"/>
        </w:rPr>
        <w:t xml:space="preserve"> </w:t>
      </w:r>
      <w:r w:rsidR="002E7E2D">
        <w:rPr>
          <w:rFonts w:ascii="Arial" w:hAnsi="Arial" w:cs="Arial"/>
        </w:rPr>
        <w:t xml:space="preserve">them </w:t>
      </w:r>
      <w:r w:rsidR="00420BD2">
        <w:rPr>
          <w:rFonts w:ascii="Arial" w:hAnsi="Arial" w:cs="Arial"/>
        </w:rPr>
        <w:t xml:space="preserve">to complete the </w:t>
      </w:r>
      <w:r w:rsidR="002E7E2D">
        <w:rPr>
          <w:rFonts w:ascii="Arial" w:hAnsi="Arial" w:cs="Arial"/>
        </w:rPr>
        <w:t>‘</w:t>
      </w:r>
      <w:r w:rsidR="00420BD2">
        <w:rPr>
          <w:rFonts w:ascii="Arial" w:hAnsi="Arial" w:cs="Arial"/>
        </w:rPr>
        <w:t>Ba</w:t>
      </w:r>
      <w:r w:rsidR="00F05028">
        <w:rPr>
          <w:rFonts w:ascii="Arial" w:hAnsi="Arial" w:cs="Arial"/>
        </w:rPr>
        <w:t>seline</w:t>
      </w:r>
      <w:r w:rsidR="002E7E2D">
        <w:rPr>
          <w:rFonts w:ascii="Arial" w:hAnsi="Arial" w:cs="Arial"/>
        </w:rPr>
        <w:t>’</w:t>
      </w:r>
      <w:r w:rsidR="00F05028">
        <w:rPr>
          <w:rFonts w:ascii="Arial" w:hAnsi="Arial" w:cs="Arial"/>
        </w:rPr>
        <w:t xml:space="preserve"> </w:t>
      </w:r>
      <w:r w:rsidR="002E7E2D">
        <w:rPr>
          <w:rFonts w:ascii="Arial" w:hAnsi="Arial" w:cs="Arial"/>
        </w:rPr>
        <w:t xml:space="preserve">questionnaire </w:t>
      </w:r>
      <w:r w:rsidR="00F05028">
        <w:rPr>
          <w:rFonts w:ascii="Arial" w:hAnsi="Arial" w:cs="Arial"/>
        </w:rPr>
        <w:t>before the event</w:t>
      </w:r>
      <w:r w:rsidR="00420BD2">
        <w:rPr>
          <w:rFonts w:ascii="Arial" w:hAnsi="Arial" w:cs="Arial"/>
        </w:rPr>
        <w:t xml:space="preserve"> </w:t>
      </w:r>
      <w:r w:rsidR="002E7E2D">
        <w:rPr>
          <w:rFonts w:ascii="Arial" w:hAnsi="Arial" w:cs="Arial"/>
        </w:rPr>
        <w:t xml:space="preserve">started </w:t>
      </w:r>
      <w:r w:rsidR="00420BD2">
        <w:rPr>
          <w:rFonts w:ascii="Arial" w:hAnsi="Arial" w:cs="Arial"/>
        </w:rPr>
        <w:t xml:space="preserve">and </w:t>
      </w:r>
      <w:r w:rsidR="00877EC7">
        <w:rPr>
          <w:rFonts w:ascii="Arial" w:hAnsi="Arial" w:cs="Arial"/>
        </w:rPr>
        <w:t xml:space="preserve">the </w:t>
      </w:r>
      <w:r w:rsidR="002E7E2D">
        <w:rPr>
          <w:rFonts w:ascii="Arial" w:hAnsi="Arial" w:cs="Arial"/>
        </w:rPr>
        <w:t>‘</w:t>
      </w:r>
      <w:r w:rsidR="00420BD2">
        <w:rPr>
          <w:rFonts w:ascii="Arial" w:hAnsi="Arial" w:cs="Arial"/>
        </w:rPr>
        <w:t>Post</w:t>
      </w:r>
      <w:r w:rsidR="002E7E2D">
        <w:rPr>
          <w:rFonts w:ascii="Arial" w:hAnsi="Arial" w:cs="Arial"/>
        </w:rPr>
        <w:t>’ questionnaire</w:t>
      </w:r>
      <w:r w:rsidR="00420BD2">
        <w:rPr>
          <w:rFonts w:ascii="Arial" w:hAnsi="Arial" w:cs="Arial"/>
        </w:rPr>
        <w:t xml:space="preserve"> before leaving.</w:t>
      </w:r>
      <w:r w:rsidR="00EB17D5">
        <w:rPr>
          <w:rFonts w:ascii="Arial" w:hAnsi="Arial" w:cs="Arial"/>
        </w:rPr>
        <w:t xml:space="preserve"> </w:t>
      </w:r>
      <w:r w:rsidR="00243B2C">
        <w:rPr>
          <w:rFonts w:ascii="Arial" w:hAnsi="Arial" w:cs="Arial"/>
        </w:rPr>
        <w:t xml:space="preserve">Where </w:t>
      </w:r>
      <w:r w:rsidR="00EB17D5">
        <w:rPr>
          <w:rFonts w:ascii="Arial" w:hAnsi="Arial" w:cs="Arial"/>
        </w:rPr>
        <w:t xml:space="preserve">permission and </w:t>
      </w:r>
      <w:r w:rsidR="00F05028">
        <w:rPr>
          <w:rFonts w:ascii="Arial" w:hAnsi="Arial" w:cs="Arial"/>
        </w:rPr>
        <w:t xml:space="preserve">postal address </w:t>
      </w:r>
      <w:r w:rsidR="00877EC7">
        <w:rPr>
          <w:rFonts w:ascii="Arial" w:hAnsi="Arial" w:cs="Arial"/>
        </w:rPr>
        <w:t xml:space="preserve">were </w:t>
      </w:r>
      <w:r w:rsidR="00EB17D5">
        <w:rPr>
          <w:rFonts w:ascii="Arial" w:hAnsi="Arial" w:cs="Arial"/>
        </w:rPr>
        <w:t>available</w:t>
      </w:r>
      <w:r w:rsidR="00367101">
        <w:rPr>
          <w:rFonts w:ascii="Arial" w:hAnsi="Arial" w:cs="Arial"/>
        </w:rPr>
        <w:t>,</w:t>
      </w:r>
      <w:r w:rsidR="00367101" w:rsidRPr="00367101">
        <w:rPr>
          <w:rFonts w:ascii="Arial" w:hAnsi="Arial" w:cs="Arial"/>
        </w:rPr>
        <w:t xml:space="preserve"> </w:t>
      </w:r>
      <w:r w:rsidR="00106C54">
        <w:rPr>
          <w:rFonts w:ascii="Arial" w:hAnsi="Arial" w:cs="Arial"/>
        </w:rPr>
        <w:t>the researcher sent</w:t>
      </w:r>
      <w:r w:rsidR="00EB17D5">
        <w:rPr>
          <w:rFonts w:ascii="Arial" w:hAnsi="Arial" w:cs="Arial"/>
        </w:rPr>
        <w:t xml:space="preserve"> </w:t>
      </w:r>
      <w:r w:rsidR="00243B2C">
        <w:rPr>
          <w:rFonts w:ascii="Arial" w:hAnsi="Arial" w:cs="Arial"/>
        </w:rPr>
        <w:t>‘Follow-up’ questionnaire</w:t>
      </w:r>
      <w:r w:rsidR="004E3009">
        <w:rPr>
          <w:rFonts w:ascii="Arial" w:hAnsi="Arial" w:cs="Arial"/>
        </w:rPr>
        <w:t>s</w:t>
      </w:r>
      <w:r w:rsidR="00106C54">
        <w:rPr>
          <w:rFonts w:ascii="Arial" w:hAnsi="Arial" w:cs="Arial"/>
        </w:rPr>
        <w:t xml:space="preserve"> approximately three months later</w:t>
      </w:r>
      <w:r w:rsidR="00EC03C0">
        <w:rPr>
          <w:rFonts w:ascii="Arial" w:hAnsi="Arial" w:cs="Arial"/>
        </w:rPr>
        <w:t>, with</w:t>
      </w:r>
      <w:r w:rsidR="00243B2C">
        <w:rPr>
          <w:rFonts w:ascii="Arial" w:hAnsi="Arial" w:cs="Arial"/>
        </w:rPr>
        <w:t xml:space="preserve"> pre-paid return envelope</w:t>
      </w:r>
      <w:r w:rsidR="004E3009">
        <w:rPr>
          <w:rFonts w:ascii="Arial" w:hAnsi="Arial" w:cs="Arial"/>
        </w:rPr>
        <w:t xml:space="preserve">s and </w:t>
      </w:r>
      <w:r w:rsidR="00EC03C0">
        <w:rPr>
          <w:rFonts w:ascii="Arial" w:hAnsi="Arial" w:cs="Arial"/>
        </w:rPr>
        <w:t>personally signed thank you note</w:t>
      </w:r>
      <w:r w:rsidR="004E3009">
        <w:rPr>
          <w:rFonts w:ascii="Arial" w:hAnsi="Arial" w:cs="Arial"/>
        </w:rPr>
        <w:t>s</w:t>
      </w:r>
      <w:r w:rsidR="00243B2C">
        <w:rPr>
          <w:rFonts w:ascii="Arial" w:hAnsi="Arial" w:cs="Arial"/>
        </w:rPr>
        <w:t xml:space="preserve">. </w:t>
      </w:r>
      <w:r w:rsidR="00877EC7">
        <w:rPr>
          <w:rFonts w:ascii="Arial" w:hAnsi="Arial" w:cs="Arial"/>
        </w:rPr>
        <w:t>Each questionnaire was</w:t>
      </w:r>
      <w:r w:rsidR="00EB17D5">
        <w:rPr>
          <w:rFonts w:ascii="Arial" w:hAnsi="Arial" w:cs="Arial"/>
        </w:rPr>
        <w:t xml:space="preserve"> printed with the unique code </w:t>
      </w:r>
      <w:r w:rsidR="00367101">
        <w:rPr>
          <w:rFonts w:ascii="Arial" w:hAnsi="Arial" w:cs="Arial"/>
        </w:rPr>
        <w:t xml:space="preserve">assigned at </w:t>
      </w:r>
      <w:r w:rsidR="00EB17D5">
        <w:rPr>
          <w:rFonts w:ascii="Arial" w:hAnsi="Arial" w:cs="Arial"/>
        </w:rPr>
        <w:t>Baseline</w:t>
      </w:r>
      <w:r w:rsidR="00E2782F">
        <w:rPr>
          <w:rFonts w:ascii="Arial" w:hAnsi="Arial" w:cs="Arial"/>
        </w:rPr>
        <w:t>.</w:t>
      </w:r>
      <w:r w:rsidR="00EB17D5">
        <w:rPr>
          <w:rFonts w:ascii="Arial" w:hAnsi="Arial" w:cs="Arial"/>
        </w:rPr>
        <w:t xml:space="preserve"> </w:t>
      </w:r>
      <w:r w:rsidR="00243B2C">
        <w:rPr>
          <w:rFonts w:ascii="Arial" w:hAnsi="Arial" w:cs="Arial"/>
        </w:rPr>
        <w:t xml:space="preserve">Where </w:t>
      </w:r>
      <w:r w:rsidR="00A346B5">
        <w:rPr>
          <w:rFonts w:ascii="Arial" w:hAnsi="Arial" w:cs="Arial"/>
        </w:rPr>
        <w:t>questionnaires</w:t>
      </w:r>
      <w:r w:rsidR="00747EF7">
        <w:rPr>
          <w:rFonts w:ascii="Arial" w:hAnsi="Arial" w:cs="Arial"/>
        </w:rPr>
        <w:t xml:space="preserve"> </w:t>
      </w:r>
      <w:r w:rsidR="00243B2C">
        <w:rPr>
          <w:rFonts w:ascii="Arial" w:hAnsi="Arial" w:cs="Arial"/>
        </w:rPr>
        <w:t xml:space="preserve">were not returned within two weeks, </w:t>
      </w:r>
      <w:r w:rsidR="00877EC7">
        <w:rPr>
          <w:rFonts w:ascii="Arial" w:hAnsi="Arial" w:cs="Arial"/>
        </w:rPr>
        <w:t>one</w:t>
      </w:r>
      <w:r w:rsidR="00243B2C">
        <w:rPr>
          <w:rFonts w:ascii="Arial" w:hAnsi="Arial" w:cs="Arial"/>
        </w:rPr>
        <w:t xml:space="preserve"> reminder</w:t>
      </w:r>
      <w:r w:rsidR="00877EC7">
        <w:rPr>
          <w:rFonts w:ascii="Arial" w:hAnsi="Arial" w:cs="Arial"/>
        </w:rPr>
        <w:t xml:space="preserve"> was sent</w:t>
      </w:r>
      <w:r w:rsidR="00243B2C">
        <w:rPr>
          <w:rFonts w:ascii="Arial" w:hAnsi="Arial" w:cs="Arial"/>
        </w:rPr>
        <w:t xml:space="preserve">.   </w:t>
      </w:r>
    </w:p>
    <w:p w:rsidR="00D11D3A" w:rsidRPr="00397415" w:rsidRDefault="00D11D3A" w:rsidP="00D11D3A">
      <w:pPr>
        <w:spacing w:after="240" w:line="360" w:lineRule="auto"/>
        <w:rPr>
          <w:rFonts w:ascii="Arial" w:hAnsi="Arial" w:cs="Arial"/>
        </w:rPr>
      </w:pPr>
      <w:r>
        <w:rPr>
          <w:rFonts w:ascii="Arial" w:hAnsi="Arial" w:cs="Arial"/>
        </w:rPr>
        <w:t>As far as possible, all</w:t>
      </w:r>
      <w:r w:rsidR="00431F21">
        <w:rPr>
          <w:rFonts w:ascii="Arial" w:hAnsi="Arial" w:cs="Arial"/>
        </w:rPr>
        <w:t xml:space="preserve"> persons who attended events and expressed a </w:t>
      </w:r>
      <w:r>
        <w:rPr>
          <w:rFonts w:ascii="Arial" w:hAnsi="Arial" w:cs="Arial"/>
        </w:rPr>
        <w:t>willingness to participate were included in the study. Clipboards and pens were provided, and assistance given as needed. Respondents were recruited at 61 of the 64 events taking place during the study period, including 40 ‘Awareness Raising’ presentations and 21 ‘How To’ workshops</w:t>
      </w:r>
      <w:r w:rsidR="001B0A58">
        <w:rPr>
          <w:rFonts w:ascii="Arial" w:hAnsi="Arial" w:cs="Arial"/>
        </w:rPr>
        <w:t>,</w:t>
      </w:r>
      <w:r>
        <w:rPr>
          <w:rFonts w:ascii="Arial" w:hAnsi="Arial" w:cs="Arial"/>
        </w:rPr>
        <w:t xml:space="preserve"> attended by a total of 676 people. Three events were no</w:t>
      </w:r>
      <w:r w:rsidR="009439FE">
        <w:rPr>
          <w:rFonts w:ascii="Arial" w:hAnsi="Arial" w:cs="Arial"/>
        </w:rPr>
        <w:t>t</w:t>
      </w:r>
      <w:r>
        <w:rPr>
          <w:rFonts w:ascii="Arial" w:hAnsi="Arial" w:cs="Arial"/>
        </w:rPr>
        <w:t xml:space="preserve"> included; </w:t>
      </w:r>
      <w:r w:rsidR="009439FE">
        <w:rPr>
          <w:rFonts w:ascii="Arial" w:hAnsi="Arial" w:cs="Arial"/>
        </w:rPr>
        <w:t xml:space="preserve">two due to </w:t>
      </w:r>
      <w:r>
        <w:rPr>
          <w:rFonts w:ascii="Arial" w:hAnsi="Arial" w:cs="Arial"/>
        </w:rPr>
        <w:t>insufficient ti</w:t>
      </w:r>
      <w:r w:rsidR="009439FE">
        <w:rPr>
          <w:rFonts w:ascii="Arial" w:hAnsi="Arial" w:cs="Arial"/>
        </w:rPr>
        <w:t xml:space="preserve">me, one because </w:t>
      </w:r>
      <w:r>
        <w:rPr>
          <w:rFonts w:ascii="Arial" w:hAnsi="Arial" w:cs="Arial"/>
        </w:rPr>
        <w:t xml:space="preserve">the facilitator was aware that two attendees had learning </w:t>
      </w:r>
      <w:r w:rsidR="009439FE">
        <w:rPr>
          <w:rFonts w:ascii="Arial" w:hAnsi="Arial" w:cs="Arial"/>
        </w:rPr>
        <w:t>disabilities and wanted to avoid drawing</w:t>
      </w:r>
      <w:r>
        <w:rPr>
          <w:rFonts w:ascii="Arial" w:hAnsi="Arial" w:cs="Arial"/>
        </w:rPr>
        <w:t xml:space="preserve"> attention to that.</w:t>
      </w:r>
      <w:r w:rsidR="00473277">
        <w:rPr>
          <w:rFonts w:ascii="Arial" w:hAnsi="Arial" w:cs="Arial"/>
        </w:rPr>
        <w:t xml:space="preserve"> Because the majority of events were delivered to established groups during their usual meeting times, it was not practical to collect demographic information on the participants who declined to </w:t>
      </w:r>
      <w:r w:rsidR="001B0A58">
        <w:rPr>
          <w:rFonts w:ascii="Arial" w:hAnsi="Arial" w:cs="Arial"/>
        </w:rPr>
        <w:t xml:space="preserve">attend or </w:t>
      </w:r>
      <w:r w:rsidR="00473277">
        <w:rPr>
          <w:rFonts w:ascii="Arial" w:hAnsi="Arial" w:cs="Arial"/>
        </w:rPr>
        <w:t>take part.</w:t>
      </w:r>
    </w:p>
    <w:p w:rsidR="00317E3E" w:rsidRDefault="00877EC7" w:rsidP="005B3E6F">
      <w:pPr>
        <w:spacing w:line="360" w:lineRule="auto"/>
        <w:rPr>
          <w:rFonts w:ascii="Arial" w:hAnsi="Arial" w:cs="Arial"/>
        </w:rPr>
      </w:pPr>
      <w:r>
        <w:rPr>
          <w:rFonts w:ascii="Arial" w:hAnsi="Arial" w:cs="Arial"/>
        </w:rPr>
        <w:t>D</w:t>
      </w:r>
      <w:r w:rsidR="00747EF7">
        <w:rPr>
          <w:rFonts w:ascii="Arial" w:hAnsi="Arial" w:cs="Arial"/>
        </w:rPr>
        <w:t>ata was entered manually into a Microsoft Access</w:t>
      </w:r>
      <w:r w:rsidR="00EC03C0">
        <w:rPr>
          <w:rFonts w:ascii="Arial" w:hAnsi="Arial" w:cs="Arial"/>
        </w:rPr>
        <w:t xml:space="preserve"> </w:t>
      </w:r>
      <w:r w:rsidR="005A1957">
        <w:rPr>
          <w:rFonts w:ascii="Arial" w:hAnsi="Arial" w:cs="Arial"/>
        </w:rPr>
        <w:t>2007</w:t>
      </w:r>
      <w:r w:rsidR="00747EF7">
        <w:rPr>
          <w:rFonts w:ascii="Arial" w:hAnsi="Arial" w:cs="Arial"/>
        </w:rPr>
        <w:t xml:space="preserve"> database, using an electronic form with appropriate validation checks. </w:t>
      </w:r>
      <w:r w:rsidR="00A346B5">
        <w:rPr>
          <w:rFonts w:ascii="Arial" w:hAnsi="Arial" w:cs="Arial"/>
        </w:rPr>
        <w:t xml:space="preserve">Data was then linked by postcode to </w:t>
      </w:r>
      <w:r w:rsidR="005A1957">
        <w:rPr>
          <w:rFonts w:ascii="Arial" w:hAnsi="Arial" w:cs="Arial"/>
        </w:rPr>
        <w:t xml:space="preserve">Census 2011 lower level super output area (LSOA) </w:t>
      </w:r>
      <w:r w:rsidR="005E38AB">
        <w:rPr>
          <w:rFonts w:ascii="Arial" w:hAnsi="Arial" w:cs="Arial"/>
        </w:rPr>
        <w:fldChar w:fldCharType="begin"/>
      </w:r>
      <w:r w:rsidR="00716E55">
        <w:rPr>
          <w:rFonts w:ascii="Arial" w:hAnsi="Arial" w:cs="Arial"/>
        </w:rPr>
        <w:instrText xml:space="preserve"> ADDIN EN.CITE &lt;EndNote&gt;&lt;Cite&gt;&lt;Year&gt;2013&lt;/Year&gt;&lt;RecNum&gt;529&lt;/RecNum&gt;&lt;DisplayText&gt;[24]&lt;/DisplayText&gt;&lt;record&gt;&lt;rec-number&gt;529&lt;/rec-number&gt;&lt;foreign-keys&gt;&lt;key app="EN" db-id="ezfa0awta2ze5se9vz25asd0v2xevvev99pd" timestamp="1441807020"&gt;529&lt;/key&gt;&lt;/foreign-keys&gt;&lt;ref-type name="Dataset"&gt;59&lt;/ref-type&gt;&lt;contributors&gt;&lt;secondary-authors&gt;&lt;author&gt;Office for National Statistics,&lt;/author&gt;&lt;/secondary-authors&gt;&lt;/contributors&gt;&lt;titles&gt;&lt;title&gt;2001 lower layer super output areas (LSOA) to 2011 LSOAs and LADs. &lt;/title&gt;&lt;/titles&gt;&lt;dates&gt;&lt;year&gt;2013&lt;/year&gt;&lt;pub-dates&gt;&lt;date&gt;2001&lt;/date&gt;&lt;/pub-dates&gt;&lt;/dates&gt;&lt;reviewed-item&gt;England&lt;/reviewed-item&gt;&lt;urls&gt;&lt;related-urls&gt;&lt;url&gt;http://www.ons.gov.uk/ons/guide-method/geography/products/census/lookup/2001-2011/index.html&lt;/url&gt;&lt;/related-urls&gt;&lt;/urls&gt;&lt;access-date&gt;04/04/2014&lt;/access-date&gt;&lt;/record&gt;&lt;/Cite&gt;&lt;/EndNote&gt;</w:instrText>
      </w:r>
      <w:r w:rsidR="005E38AB">
        <w:rPr>
          <w:rFonts w:ascii="Arial" w:hAnsi="Arial" w:cs="Arial"/>
        </w:rPr>
        <w:fldChar w:fldCharType="separate"/>
      </w:r>
      <w:r w:rsidR="00716E55">
        <w:rPr>
          <w:rFonts w:ascii="Arial" w:hAnsi="Arial" w:cs="Arial"/>
          <w:noProof/>
        </w:rPr>
        <w:t>[</w:t>
      </w:r>
      <w:hyperlink w:anchor="_ENREF_24" w:tooltip=", 2013 #529" w:history="1">
        <w:r w:rsidR="00716E55">
          <w:rPr>
            <w:rFonts w:ascii="Arial" w:hAnsi="Arial" w:cs="Arial"/>
            <w:noProof/>
          </w:rPr>
          <w:t>24</w:t>
        </w:r>
      </w:hyperlink>
      <w:r w:rsidR="00716E55">
        <w:rPr>
          <w:rFonts w:ascii="Arial" w:hAnsi="Arial" w:cs="Arial"/>
          <w:noProof/>
        </w:rPr>
        <w:t>]</w:t>
      </w:r>
      <w:r w:rsidR="005E38AB">
        <w:rPr>
          <w:rFonts w:ascii="Arial" w:hAnsi="Arial" w:cs="Arial"/>
        </w:rPr>
        <w:fldChar w:fldCharType="end"/>
      </w:r>
      <w:r>
        <w:rPr>
          <w:rFonts w:ascii="Arial" w:hAnsi="Arial" w:cs="Arial"/>
        </w:rPr>
        <w:t xml:space="preserve"> and</w:t>
      </w:r>
      <w:r w:rsidR="00A346B5">
        <w:rPr>
          <w:rFonts w:ascii="Arial" w:hAnsi="Arial" w:cs="Arial"/>
        </w:rPr>
        <w:t xml:space="preserve"> </w:t>
      </w:r>
      <w:r w:rsidR="005A1957">
        <w:rPr>
          <w:rFonts w:ascii="Arial" w:hAnsi="Arial" w:cs="Arial"/>
        </w:rPr>
        <w:t xml:space="preserve">LSOA </w:t>
      </w:r>
      <w:r w:rsidR="00A346B5">
        <w:rPr>
          <w:rFonts w:ascii="Arial" w:hAnsi="Arial" w:cs="Arial"/>
        </w:rPr>
        <w:t xml:space="preserve">linked </w:t>
      </w:r>
      <w:r w:rsidR="005A1957">
        <w:rPr>
          <w:rFonts w:ascii="Arial" w:hAnsi="Arial" w:cs="Arial"/>
        </w:rPr>
        <w:t xml:space="preserve">to rank of deprivation </w:t>
      </w:r>
      <w:r w:rsidR="00A346B5">
        <w:rPr>
          <w:rFonts w:ascii="Arial" w:hAnsi="Arial" w:cs="Arial"/>
        </w:rPr>
        <w:t xml:space="preserve">of LSOA </w:t>
      </w:r>
      <w:r w:rsidR="005A1957">
        <w:rPr>
          <w:rFonts w:ascii="Arial" w:hAnsi="Arial" w:cs="Arial"/>
        </w:rPr>
        <w:t xml:space="preserve">according 2010 English Index of Multiple </w:t>
      </w:r>
      <w:r w:rsidR="00EC03C0">
        <w:rPr>
          <w:rFonts w:ascii="Arial" w:hAnsi="Arial" w:cs="Arial"/>
        </w:rPr>
        <w:t>Deprivation (IMD 2010)</w:t>
      </w:r>
      <w:r w:rsidR="005E38AB">
        <w:rPr>
          <w:rFonts w:ascii="Arial" w:hAnsi="Arial" w:cs="Arial"/>
        </w:rPr>
        <w:fldChar w:fldCharType="begin"/>
      </w:r>
      <w:r w:rsidR="00716E55">
        <w:rPr>
          <w:rFonts w:ascii="Arial" w:hAnsi="Arial" w:cs="Arial"/>
        </w:rPr>
        <w:instrText xml:space="preserve"> ADDIN EN.CITE &lt;EndNote&gt;&lt;Cite&gt;&lt;Year&gt;2010&lt;/Year&gt;&lt;RecNum&gt;530&lt;/RecNum&gt;&lt;DisplayText&gt;[25]&lt;/DisplayText&gt;&lt;record&gt;&lt;rec-number&gt;530&lt;/rec-number&gt;&lt;foreign-keys&gt;&lt;key app="EN" db-id="ezfa0awta2ze5se9vz25asd0v2xevvev99pd" timestamp="1441807693"&gt;530&lt;/key&gt;&lt;/foreign-keys&gt;&lt;ref-type name="Dataset"&gt;59&lt;/ref-type&gt;&lt;contributors&gt;&lt;secondary-authors&gt;&lt;author&gt;Department for Communities and Local Government and the Rt Hon Sir Eric Pickles MP,&lt;/author&gt;&lt;/secondary-authors&gt;&lt;/contributors&gt;&lt;titles&gt;&lt;title&gt;English Indices of Deprivation 2010: overall. &lt;/title&gt;&lt;/titles&gt;&lt;dates&gt;&lt;year&gt;2010&lt;/year&gt;&lt;/dates&gt;&lt;urls&gt;&lt;related-urls&gt;&lt;url&gt;https://www.gov.uk/government/statistics/english-indices-of-deprivation-2010&lt;/url&gt;&lt;/related-urls&gt;&lt;/urls&gt;&lt;access-date&gt;04/04/2014&lt;/access-date&gt;&lt;/record&gt;&lt;/Cite&gt;&lt;/EndNote&gt;</w:instrText>
      </w:r>
      <w:r w:rsidR="005E38AB">
        <w:rPr>
          <w:rFonts w:ascii="Arial" w:hAnsi="Arial" w:cs="Arial"/>
        </w:rPr>
        <w:fldChar w:fldCharType="separate"/>
      </w:r>
      <w:r w:rsidR="00716E55">
        <w:rPr>
          <w:rFonts w:ascii="Arial" w:hAnsi="Arial" w:cs="Arial"/>
          <w:noProof/>
        </w:rPr>
        <w:t>[</w:t>
      </w:r>
      <w:hyperlink w:anchor="_ENREF_25" w:tooltip=", 2010 #530" w:history="1">
        <w:r w:rsidR="00716E55">
          <w:rPr>
            <w:rFonts w:ascii="Arial" w:hAnsi="Arial" w:cs="Arial"/>
            <w:noProof/>
          </w:rPr>
          <w:t>25</w:t>
        </w:r>
      </w:hyperlink>
      <w:r w:rsidR="00716E55">
        <w:rPr>
          <w:rFonts w:ascii="Arial" w:hAnsi="Arial" w:cs="Arial"/>
          <w:noProof/>
        </w:rPr>
        <w:t>]</w:t>
      </w:r>
      <w:r w:rsidR="005E38AB">
        <w:rPr>
          <w:rFonts w:ascii="Arial" w:hAnsi="Arial" w:cs="Arial"/>
        </w:rPr>
        <w:fldChar w:fldCharType="end"/>
      </w:r>
      <w:r>
        <w:rPr>
          <w:rFonts w:ascii="Arial" w:hAnsi="Arial" w:cs="Arial"/>
        </w:rPr>
        <w:t>. T</w:t>
      </w:r>
      <w:r w:rsidR="005A1957">
        <w:rPr>
          <w:rFonts w:ascii="Arial" w:hAnsi="Arial" w:cs="Arial"/>
        </w:rPr>
        <w:t xml:space="preserve">he </w:t>
      </w:r>
      <w:r w:rsidR="00ED2136">
        <w:rPr>
          <w:rFonts w:ascii="Arial" w:hAnsi="Arial" w:cs="Arial"/>
        </w:rPr>
        <w:t xml:space="preserve">full </w:t>
      </w:r>
      <w:r w:rsidR="005A1957">
        <w:rPr>
          <w:rFonts w:ascii="Arial" w:hAnsi="Arial" w:cs="Arial"/>
        </w:rPr>
        <w:t xml:space="preserve">dataset was </w:t>
      </w:r>
      <w:r>
        <w:rPr>
          <w:rFonts w:ascii="Arial" w:hAnsi="Arial" w:cs="Arial"/>
        </w:rPr>
        <w:t xml:space="preserve">then </w:t>
      </w:r>
      <w:r w:rsidR="005A1957">
        <w:rPr>
          <w:rFonts w:ascii="Arial" w:hAnsi="Arial" w:cs="Arial"/>
        </w:rPr>
        <w:t>exported into Microso</w:t>
      </w:r>
      <w:r>
        <w:rPr>
          <w:rFonts w:ascii="Arial" w:hAnsi="Arial" w:cs="Arial"/>
        </w:rPr>
        <w:t xml:space="preserve">ft Excel 2007 and </w:t>
      </w:r>
      <w:r w:rsidR="005A1957">
        <w:rPr>
          <w:rFonts w:ascii="Arial" w:hAnsi="Arial" w:cs="Arial"/>
        </w:rPr>
        <w:t xml:space="preserve">SPSS Statistics 2 for analysis. </w:t>
      </w:r>
    </w:p>
    <w:p w:rsidR="00210694" w:rsidRDefault="00832DBB" w:rsidP="00A66796">
      <w:pPr>
        <w:spacing w:line="360" w:lineRule="auto"/>
        <w:rPr>
          <w:rFonts w:ascii="Arial" w:hAnsi="Arial" w:cs="Arial"/>
        </w:rPr>
      </w:pPr>
      <w:r>
        <w:rPr>
          <w:rFonts w:ascii="Arial" w:hAnsi="Arial" w:cs="Arial"/>
        </w:rPr>
        <w:t>For</w:t>
      </w:r>
      <w:r w:rsidR="00A377F6">
        <w:rPr>
          <w:rFonts w:ascii="Arial" w:hAnsi="Arial" w:cs="Arial"/>
        </w:rPr>
        <w:t xml:space="preserve"> </w:t>
      </w:r>
      <w:r w:rsidR="00A346B5">
        <w:rPr>
          <w:rFonts w:ascii="Arial" w:hAnsi="Arial" w:cs="Arial"/>
        </w:rPr>
        <w:t xml:space="preserve">analysis, </w:t>
      </w:r>
      <w:r w:rsidR="00A66796">
        <w:rPr>
          <w:rFonts w:ascii="Arial" w:hAnsi="Arial" w:cs="Arial"/>
        </w:rPr>
        <w:t>ratings scores were treated as continuous data. An indepen</w:t>
      </w:r>
      <w:r w:rsidR="00877EC7">
        <w:rPr>
          <w:rFonts w:ascii="Arial" w:hAnsi="Arial" w:cs="Arial"/>
        </w:rPr>
        <w:t>dent samples t-test was used to compare</w:t>
      </w:r>
      <w:r w:rsidR="00A66796">
        <w:rPr>
          <w:rFonts w:ascii="Arial" w:hAnsi="Arial" w:cs="Arial"/>
        </w:rPr>
        <w:t xml:space="preserve"> group mean scores, and a related sa</w:t>
      </w:r>
      <w:r w:rsidR="00877EC7">
        <w:rPr>
          <w:rFonts w:ascii="Arial" w:hAnsi="Arial" w:cs="Arial"/>
        </w:rPr>
        <w:t>mples t-test was used to compare</w:t>
      </w:r>
      <w:r w:rsidR="00A66796">
        <w:rPr>
          <w:rFonts w:ascii="Arial" w:hAnsi="Arial" w:cs="Arial"/>
        </w:rPr>
        <w:t xml:space="preserve"> mean scores before and after the intervention. For categorical data, a chi-squared test and a chi-squared test for tr</w:t>
      </w:r>
      <w:r w:rsidR="00877EC7">
        <w:rPr>
          <w:rFonts w:ascii="Arial" w:hAnsi="Arial" w:cs="Arial"/>
        </w:rPr>
        <w:t>end were used to compare</w:t>
      </w:r>
      <w:r w:rsidR="00A66796">
        <w:rPr>
          <w:rFonts w:ascii="Arial" w:hAnsi="Arial" w:cs="Arial"/>
        </w:rPr>
        <w:t xml:space="preserve"> proportions of groups of respondents. </w:t>
      </w:r>
      <w:r w:rsidR="007658A7">
        <w:rPr>
          <w:rFonts w:ascii="Arial" w:hAnsi="Arial" w:cs="Arial"/>
        </w:rPr>
        <w:t xml:space="preserve">For age groups, the original ten-year age-bands were collapsed into larger bands according to visual trends observed in the distribution of the data. </w:t>
      </w:r>
      <w:r w:rsidR="00A66796">
        <w:rPr>
          <w:rFonts w:ascii="Arial" w:hAnsi="Arial" w:cs="Arial"/>
        </w:rPr>
        <w:t xml:space="preserve">An exact test for paired data was used for comparing proportions before and after the intervention. Two-sided significance tests were used, except where change in scores or proportions could only take place in one </w:t>
      </w:r>
      <w:r w:rsidR="00A66796">
        <w:rPr>
          <w:rFonts w:ascii="Arial" w:hAnsi="Arial" w:cs="Arial"/>
        </w:rPr>
        <w:lastRenderedPageBreak/>
        <w:t>direction. Where appropriate, logistic regression models were constructed and run in order to measure the independent effects of respondent variables on binary outcomes. For all tests, a conventional criterion of statistical significance (P&lt;0.05) was used.</w:t>
      </w:r>
      <w:r w:rsidR="00210694">
        <w:rPr>
          <w:rFonts w:ascii="Arial" w:hAnsi="Arial" w:cs="Arial"/>
        </w:rPr>
        <w:t xml:space="preserve"> Responses to ‘open’ questions were an</w:t>
      </w:r>
      <w:r w:rsidR="00FE7A1E">
        <w:rPr>
          <w:rFonts w:ascii="Arial" w:hAnsi="Arial" w:cs="Arial"/>
        </w:rPr>
        <w:t>alysed thematically</w:t>
      </w:r>
      <w:r w:rsidR="008E7796">
        <w:rPr>
          <w:rFonts w:ascii="Arial" w:hAnsi="Arial" w:cs="Arial"/>
        </w:rPr>
        <w:t xml:space="preserve"> by a single researcher, using an inductive approach</w:t>
      </w:r>
      <w:r w:rsidR="00FE7A1E">
        <w:rPr>
          <w:rFonts w:ascii="Arial" w:hAnsi="Arial" w:cs="Arial"/>
        </w:rPr>
        <w:t>; the number of responses within each theme were then counted, and the findings presented numerically.</w:t>
      </w:r>
      <w:r w:rsidR="00A344A9">
        <w:rPr>
          <w:rFonts w:ascii="Arial" w:hAnsi="Arial" w:cs="Arial"/>
        </w:rPr>
        <w:t xml:space="preserve"> </w:t>
      </w:r>
      <w:r w:rsidR="00210694">
        <w:rPr>
          <w:rFonts w:ascii="Arial" w:hAnsi="Arial" w:cs="Arial"/>
        </w:rPr>
        <w:t xml:space="preserve"> </w:t>
      </w:r>
    </w:p>
    <w:p w:rsidR="004E3009" w:rsidRDefault="004E3009" w:rsidP="004E3009">
      <w:pPr>
        <w:rPr>
          <w:rFonts w:ascii="Arial" w:hAnsi="Arial" w:cs="Arial"/>
          <w:b/>
        </w:rPr>
      </w:pPr>
    </w:p>
    <w:p w:rsidR="0006003E" w:rsidRDefault="00317E3E" w:rsidP="004E3009">
      <w:pPr>
        <w:rPr>
          <w:rFonts w:ascii="Arial" w:hAnsi="Arial" w:cs="Arial"/>
          <w:b/>
        </w:rPr>
      </w:pPr>
      <w:r w:rsidRPr="00317E3E">
        <w:rPr>
          <w:rFonts w:ascii="Arial" w:hAnsi="Arial" w:cs="Arial"/>
          <w:b/>
        </w:rPr>
        <w:t>Results</w:t>
      </w:r>
    </w:p>
    <w:p w:rsidR="00E73E18" w:rsidRPr="00E73E18" w:rsidRDefault="00E73E18" w:rsidP="005B3E6F">
      <w:pPr>
        <w:spacing w:line="360" w:lineRule="auto"/>
        <w:rPr>
          <w:rFonts w:ascii="Arial" w:hAnsi="Arial" w:cs="Arial"/>
          <w:u w:val="single"/>
        </w:rPr>
      </w:pPr>
      <w:r>
        <w:rPr>
          <w:rFonts w:ascii="Arial" w:hAnsi="Arial" w:cs="Arial"/>
          <w:u w:val="single"/>
        </w:rPr>
        <w:t>Response rate and demographics</w:t>
      </w:r>
    </w:p>
    <w:p w:rsidR="000E6BB8" w:rsidRDefault="000E6BB8" w:rsidP="005B3E6F">
      <w:pPr>
        <w:spacing w:line="360" w:lineRule="auto"/>
        <w:rPr>
          <w:rFonts w:ascii="Arial" w:hAnsi="Arial" w:cs="Arial"/>
        </w:rPr>
      </w:pPr>
      <w:r>
        <w:rPr>
          <w:rFonts w:ascii="Arial" w:hAnsi="Arial" w:cs="Arial"/>
        </w:rPr>
        <w:t>Sixty-one</w:t>
      </w:r>
      <w:r w:rsidR="00D95BDF">
        <w:rPr>
          <w:rFonts w:ascii="Arial" w:hAnsi="Arial" w:cs="Arial"/>
        </w:rPr>
        <w:t xml:space="preserve"> intervention</w:t>
      </w:r>
      <w:r>
        <w:rPr>
          <w:rFonts w:ascii="Arial" w:hAnsi="Arial" w:cs="Arial"/>
        </w:rPr>
        <w:t xml:space="preserve"> events</w:t>
      </w:r>
      <w:r w:rsidR="00386AC3">
        <w:rPr>
          <w:rFonts w:ascii="Arial" w:hAnsi="Arial" w:cs="Arial"/>
        </w:rPr>
        <w:t xml:space="preserve"> </w:t>
      </w:r>
      <w:r w:rsidR="004D67C2">
        <w:rPr>
          <w:rFonts w:ascii="Arial" w:hAnsi="Arial" w:cs="Arial"/>
        </w:rPr>
        <w:t xml:space="preserve">were attended by </w:t>
      </w:r>
      <w:r>
        <w:rPr>
          <w:rFonts w:ascii="Arial" w:hAnsi="Arial" w:cs="Arial"/>
        </w:rPr>
        <w:t>676</w:t>
      </w:r>
      <w:r w:rsidR="008169DD">
        <w:rPr>
          <w:rFonts w:ascii="Arial" w:hAnsi="Arial" w:cs="Arial"/>
        </w:rPr>
        <w:t xml:space="preserve"> people; median </w:t>
      </w:r>
      <w:r w:rsidR="00C76B5F">
        <w:rPr>
          <w:rFonts w:ascii="Arial" w:hAnsi="Arial" w:cs="Arial"/>
        </w:rPr>
        <w:t>attendance</w:t>
      </w:r>
      <w:r w:rsidR="008169DD">
        <w:rPr>
          <w:rFonts w:ascii="Arial" w:hAnsi="Arial" w:cs="Arial"/>
        </w:rPr>
        <w:t xml:space="preserve"> </w:t>
      </w:r>
      <w:r w:rsidR="00ED43B8">
        <w:rPr>
          <w:rFonts w:ascii="Arial" w:hAnsi="Arial" w:cs="Arial"/>
        </w:rPr>
        <w:t xml:space="preserve">nine </w:t>
      </w:r>
      <w:r w:rsidR="00106C54">
        <w:rPr>
          <w:rFonts w:ascii="Arial" w:hAnsi="Arial" w:cs="Arial"/>
        </w:rPr>
        <w:t xml:space="preserve">persons </w:t>
      </w:r>
      <w:r w:rsidR="00ED43B8">
        <w:rPr>
          <w:rFonts w:ascii="Arial" w:hAnsi="Arial" w:cs="Arial"/>
        </w:rPr>
        <w:t>per event.</w:t>
      </w:r>
      <w:r>
        <w:rPr>
          <w:rFonts w:ascii="Arial" w:hAnsi="Arial" w:cs="Arial"/>
        </w:rPr>
        <w:t xml:space="preserve"> Figure 1 shows the numbers and percentages participating in each stage of the study. </w:t>
      </w:r>
      <w:r w:rsidR="00386AC3">
        <w:rPr>
          <w:rFonts w:ascii="Arial" w:hAnsi="Arial" w:cs="Arial"/>
        </w:rPr>
        <w:t xml:space="preserve"> </w:t>
      </w:r>
    </w:p>
    <w:p w:rsidR="00D06415" w:rsidRDefault="00D06415" w:rsidP="005B3E6F">
      <w:pPr>
        <w:spacing w:line="360" w:lineRule="auto"/>
        <w:rPr>
          <w:rFonts w:ascii="Arial" w:hAnsi="Arial" w:cs="Arial"/>
        </w:rPr>
      </w:pPr>
    </w:p>
    <w:p w:rsidR="000112B3" w:rsidRDefault="000112B3">
      <w:pPr>
        <w:rPr>
          <w:rFonts w:ascii="Arial" w:hAnsi="Arial" w:cs="Arial"/>
          <w:b/>
          <w:i/>
        </w:rPr>
      </w:pPr>
      <w:r>
        <w:rPr>
          <w:rFonts w:ascii="Arial" w:hAnsi="Arial" w:cs="Arial"/>
          <w:b/>
          <w:i/>
        </w:rPr>
        <w:br w:type="page"/>
      </w:r>
    </w:p>
    <w:p w:rsidR="00285221" w:rsidRDefault="00285221" w:rsidP="00285221">
      <w:pPr>
        <w:spacing w:line="360" w:lineRule="auto"/>
        <w:rPr>
          <w:rFonts w:ascii="Arial" w:hAnsi="Arial" w:cs="Arial"/>
          <w:b/>
          <w:i/>
        </w:rPr>
      </w:pPr>
      <w:r>
        <w:rPr>
          <w:rFonts w:ascii="Arial" w:hAnsi="Arial" w:cs="Arial"/>
          <w:b/>
          <w:i/>
        </w:rPr>
        <w:lastRenderedPageBreak/>
        <w:t>Baseline and Post-event</w:t>
      </w:r>
    </w:p>
    <w:p w:rsidR="00285221" w:rsidRPr="00285221" w:rsidRDefault="00285221" w:rsidP="00285221">
      <w:pPr>
        <w:spacing w:line="360" w:lineRule="auto"/>
        <w:rPr>
          <w:rFonts w:ascii="Arial" w:hAnsi="Arial" w:cs="Arial"/>
          <w:i/>
          <w:u w:val="single"/>
        </w:rPr>
      </w:pPr>
      <w:r w:rsidRPr="00285221">
        <w:rPr>
          <w:rFonts w:ascii="Arial" w:hAnsi="Arial" w:cs="Arial"/>
          <w:i/>
          <w:u w:val="single"/>
        </w:rPr>
        <w:t>Demographics</w:t>
      </w:r>
    </w:p>
    <w:p w:rsidR="00A32A17" w:rsidRDefault="00A816F9" w:rsidP="005B3E6F">
      <w:pPr>
        <w:spacing w:line="360" w:lineRule="auto"/>
        <w:rPr>
          <w:rFonts w:ascii="Arial" w:hAnsi="Arial" w:cs="Arial"/>
        </w:rPr>
      </w:pPr>
      <w:r>
        <w:rPr>
          <w:rFonts w:ascii="Arial" w:hAnsi="Arial" w:cs="Arial"/>
        </w:rPr>
        <w:t xml:space="preserve">The baseline sample included </w:t>
      </w:r>
      <w:r w:rsidR="0063102F">
        <w:rPr>
          <w:rFonts w:ascii="Arial" w:hAnsi="Arial" w:cs="Arial"/>
        </w:rPr>
        <w:t>498 ind</w:t>
      </w:r>
      <w:r w:rsidR="00ED2136">
        <w:rPr>
          <w:rFonts w:ascii="Arial" w:hAnsi="Arial" w:cs="Arial"/>
        </w:rPr>
        <w:t>ividuals (74% of attendees</w:t>
      </w:r>
      <w:r w:rsidR="0063102F">
        <w:rPr>
          <w:rFonts w:ascii="Arial" w:hAnsi="Arial" w:cs="Arial"/>
        </w:rPr>
        <w:t xml:space="preserve">), of whom </w:t>
      </w:r>
      <w:r>
        <w:rPr>
          <w:rFonts w:ascii="Arial" w:hAnsi="Arial" w:cs="Arial"/>
        </w:rPr>
        <w:t xml:space="preserve">377 (76%) </w:t>
      </w:r>
      <w:r w:rsidR="0063102F">
        <w:rPr>
          <w:rFonts w:ascii="Arial" w:hAnsi="Arial" w:cs="Arial"/>
        </w:rPr>
        <w:t>were female</w:t>
      </w:r>
      <w:r>
        <w:rPr>
          <w:rFonts w:ascii="Arial" w:hAnsi="Arial" w:cs="Arial"/>
        </w:rPr>
        <w:t>. Age</w:t>
      </w:r>
      <w:r w:rsidR="00FE5063">
        <w:rPr>
          <w:rFonts w:ascii="Arial" w:hAnsi="Arial" w:cs="Arial"/>
        </w:rPr>
        <w:t xml:space="preserve"> groups</w:t>
      </w:r>
      <w:r>
        <w:rPr>
          <w:rFonts w:ascii="Arial" w:hAnsi="Arial" w:cs="Arial"/>
        </w:rPr>
        <w:t xml:space="preserve"> ranged from under 25 to over 85; including 99 (20%) </w:t>
      </w:r>
      <w:r w:rsidR="00ED2136">
        <w:rPr>
          <w:rFonts w:ascii="Arial" w:hAnsi="Arial" w:cs="Arial"/>
        </w:rPr>
        <w:t xml:space="preserve">aged </w:t>
      </w:r>
      <w:r w:rsidR="008238C2">
        <w:rPr>
          <w:rFonts w:ascii="Arial" w:hAnsi="Arial" w:cs="Arial"/>
        </w:rPr>
        <w:t>under 45;</w:t>
      </w:r>
      <w:r>
        <w:rPr>
          <w:rFonts w:ascii="Arial" w:hAnsi="Arial" w:cs="Arial"/>
        </w:rPr>
        <w:t xml:space="preserve"> </w:t>
      </w:r>
      <w:r w:rsidR="00771FBE">
        <w:rPr>
          <w:rFonts w:ascii="Arial" w:hAnsi="Arial" w:cs="Arial"/>
        </w:rPr>
        <w:t xml:space="preserve">327 (66%) </w:t>
      </w:r>
      <w:r w:rsidR="00ED2136">
        <w:rPr>
          <w:rFonts w:ascii="Arial" w:hAnsi="Arial" w:cs="Arial"/>
        </w:rPr>
        <w:t xml:space="preserve">aged </w:t>
      </w:r>
      <w:r w:rsidR="00771FBE">
        <w:rPr>
          <w:rFonts w:ascii="Arial" w:hAnsi="Arial" w:cs="Arial"/>
        </w:rPr>
        <w:t xml:space="preserve">45 to 74; and 75 (15%) </w:t>
      </w:r>
      <w:r w:rsidR="00ED2136">
        <w:rPr>
          <w:rFonts w:ascii="Arial" w:hAnsi="Arial" w:cs="Arial"/>
        </w:rPr>
        <w:t xml:space="preserve">aged </w:t>
      </w:r>
      <w:r w:rsidR="008238C2">
        <w:rPr>
          <w:rFonts w:ascii="Arial" w:hAnsi="Arial" w:cs="Arial"/>
        </w:rPr>
        <w:t>75 or o</w:t>
      </w:r>
      <w:r w:rsidR="00AB6931">
        <w:rPr>
          <w:rFonts w:ascii="Arial" w:hAnsi="Arial" w:cs="Arial"/>
        </w:rPr>
        <w:t>lder.</w:t>
      </w:r>
      <w:r w:rsidR="00642413">
        <w:rPr>
          <w:rFonts w:ascii="Arial" w:hAnsi="Arial" w:cs="Arial"/>
        </w:rPr>
        <w:t xml:space="preserve"> Respondents</w:t>
      </w:r>
      <w:r w:rsidR="00285221">
        <w:rPr>
          <w:rFonts w:ascii="Arial" w:hAnsi="Arial" w:cs="Arial"/>
        </w:rPr>
        <w:t xml:space="preserve"> attending ‘How to</w:t>
      </w:r>
      <w:r w:rsidR="00771FBE">
        <w:rPr>
          <w:rFonts w:ascii="Arial" w:hAnsi="Arial" w:cs="Arial"/>
        </w:rPr>
        <w:t xml:space="preserve">’ </w:t>
      </w:r>
      <w:r w:rsidR="00285221">
        <w:rPr>
          <w:rFonts w:ascii="Arial" w:hAnsi="Arial" w:cs="Arial"/>
        </w:rPr>
        <w:t xml:space="preserve">workshops </w:t>
      </w:r>
      <w:r w:rsidR="008238C2">
        <w:rPr>
          <w:rFonts w:ascii="Arial" w:hAnsi="Arial" w:cs="Arial"/>
        </w:rPr>
        <w:t>were younger on average</w:t>
      </w:r>
      <w:r w:rsidR="00285221">
        <w:rPr>
          <w:rFonts w:ascii="Arial" w:hAnsi="Arial" w:cs="Arial"/>
        </w:rPr>
        <w:t xml:space="preserve"> than those attending ‘Awareness-raising’ presentations</w:t>
      </w:r>
      <w:r w:rsidR="008238C2">
        <w:rPr>
          <w:rFonts w:ascii="Arial" w:hAnsi="Arial" w:cs="Arial"/>
        </w:rPr>
        <w:t xml:space="preserve"> (29% v 54% over </w:t>
      </w:r>
      <w:r w:rsidR="004E3009">
        <w:rPr>
          <w:rFonts w:ascii="Arial" w:hAnsi="Arial" w:cs="Arial"/>
        </w:rPr>
        <w:t xml:space="preserve">the age of </w:t>
      </w:r>
      <w:r w:rsidR="008238C2">
        <w:rPr>
          <w:rFonts w:ascii="Arial" w:hAnsi="Arial" w:cs="Arial"/>
        </w:rPr>
        <w:t>65).</w:t>
      </w:r>
      <w:r w:rsidR="00A32A17">
        <w:rPr>
          <w:rFonts w:ascii="Arial" w:hAnsi="Arial" w:cs="Arial"/>
        </w:rPr>
        <w:t xml:space="preserve"> </w:t>
      </w:r>
    </w:p>
    <w:p w:rsidR="00A32A17" w:rsidRDefault="00A32A17" w:rsidP="005B3E6F">
      <w:pPr>
        <w:spacing w:line="360" w:lineRule="auto"/>
        <w:rPr>
          <w:rFonts w:ascii="Arial" w:hAnsi="Arial" w:cs="Arial"/>
        </w:rPr>
      </w:pPr>
      <w:r>
        <w:rPr>
          <w:rFonts w:ascii="Arial" w:hAnsi="Arial" w:cs="Arial"/>
        </w:rPr>
        <w:t>The most frequently reported socio-economic role was retired (233, 47%) followed by working part-time (120, 24</w:t>
      </w:r>
      <w:r w:rsidR="00285221">
        <w:rPr>
          <w:rFonts w:ascii="Arial" w:hAnsi="Arial" w:cs="Arial"/>
        </w:rPr>
        <w:t>%); and working full-time (93, 19%).</w:t>
      </w:r>
      <w:r w:rsidR="00ED2136">
        <w:rPr>
          <w:rFonts w:ascii="Arial" w:hAnsi="Arial" w:cs="Arial"/>
        </w:rPr>
        <w:t xml:space="preserve"> Around a quarter (116, 23%) lived alone. Others </w:t>
      </w:r>
      <w:r w:rsidR="009B5DD8">
        <w:rPr>
          <w:rFonts w:ascii="Arial" w:hAnsi="Arial" w:cs="Arial"/>
        </w:rPr>
        <w:t>reported living with a</w:t>
      </w:r>
      <w:r w:rsidR="00771FBE">
        <w:rPr>
          <w:rFonts w:ascii="Arial" w:hAnsi="Arial" w:cs="Arial"/>
        </w:rPr>
        <w:t xml:space="preserve"> </w:t>
      </w:r>
      <w:r w:rsidR="00285221">
        <w:rPr>
          <w:rFonts w:ascii="Arial" w:hAnsi="Arial" w:cs="Arial"/>
        </w:rPr>
        <w:t xml:space="preserve">spouse or partner (n=299, 60%); </w:t>
      </w:r>
      <w:r w:rsidR="009B5DD8">
        <w:rPr>
          <w:rFonts w:ascii="Arial" w:hAnsi="Arial" w:cs="Arial"/>
        </w:rPr>
        <w:t xml:space="preserve">with a spouse or partner plus other </w:t>
      </w:r>
      <w:r w:rsidR="00285221">
        <w:rPr>
          <w:rFonts w:ascii="Arial" w:hAnsi="Arial" w:cs="Arial"/>
        </w:rPr>
        <w:t xml:space="preserve">family </w:t>
      </w:r>
      <w:r w:rsidR="00771FBE">
        <w:rPr>
          <w:rFonts w:ascii="Arial" w:hAnsi="Arial" w:cs="Arial"/>
        </w:rPr>
        <w:t>(26, 5%)</w:t>
      </w:r>
      <w:r w:rsidR="009B5DD8">
        <w:rPr>
          <w:rFonts w:ascii="Arial" w:hAnsi="Arial" w:cs="Arial"/>
        </w:rPr>
        <w:t xml:space="preserve">; </w:t>
      </w:r>
      <w:r w:rsidR="00285221">
        <w:rPr>
          <w:rFonts w:ascii="Arial" w:hAnsi="Arial" w:cs="Arial"/>
        </w:rPr>
        <w:t xml:space="preserve">or </w:t>
      </w:r>
      <w:r w:rsidR="009B5DD8">
        <w:rPr>
          <w:rFonts w:ascii="Arial" w:hAnsi="Arial" w:cs="Arial"/>
        </w:rPr>
        <w:t>with family members other than a spouse or partner</w:t>
      </w:r>
      <w:r w:rsidR="005C51F2">
        <w:rPr>
          <w:rFonts w:ascii="Arial" w:hAnsi="Arial" w:cs="Arial"/>
        </w:rPr>
        <w:t xml:space="preserve"> (43, 9%)</w:t>
      </w:r>
      <w:r w:rsidR="00285221">
        <w:rPr>
          <w:rFonts w:ascii="Arial" w:hAnsi="Arial" w:cs="Arial"/>
        </w:rPr>
        <w:t>.</w:t>
      </w:r>
      <w:r w:rsidR="009B5DD8">
        <w:rPr>
          <w:rFonts w:ascii="Arial" w:hAnsi="Arial" w:cs="Arial"/>
        </w:rPr>
        <w:t xml:space="preserve"> </w:t>
      </w:r>
    </w:p>
    <w:p w:rsidR="00844292" w:rsidRDefault="00830347" w:rsidP="005B3E6F">
      <w:pPr>
        <w:spacing w:line="360" w:lineRule="auto"/>
        <w:rPr>
          <w:rFonts w:ascii="Arial" w:hAnsi="Arial" w:cs="Arial"/>
        </w:rPr>
      </w:pPr>
      <w:r>
        <w:rPr>
          <w:rFonts w:ascii="Arial" w:hAnsi="Arial" w:cs="Arial"/>
        </w:rPr>
        <w:t>A</w:t>
      </w:r>
      <w:r w:rsidR="00A32A17">
        <w:rPr>
          <w:rFonts w:ascii="Arial" w:hAnsi="Arial" w:cs="Arial"/>
        </w:rPr>
        <w:t xml:space="preserve"> valid English postcode</w:t>
      </w:r>
      <w:r w:rsidR="005C51F2">
        <w:rPr>
          <w:rFonts w:ascii="Arial" w:hAnsi="Arial" w:cs="Arial"/>
        </w:rPr>
        <w:t xml:space="preserve"> was provi</w:t>
      </w:r>
      <w:r w:rsidR="00ED2136">
        <w:rPr>
          <w:rFonts w:ascii="Arial" w:hAnsi="Arial" w:cs="Arial"/>
        </w:rPr>
        <w:t>ded by 441 respondents, of whom</w:t>
      </w:r>
      <w:r w:rsidR="004C1C5E">
        <w:rPr>
          <w:rFonts w:ascii="Arial" w:hAnsi="Arial" w:cs="Arial"/>
        </w:rPr>
        <w:t xml:space="preserve"> 21</w:t>
      </w:r>
      <w:r w:rsidR="005C51F2">
        <w:rPr>
          <w:rFonts w:ascii="Arial" w:hAnsi="Arial" w:cs="Arial"/>
        </w:rPr>
        <w:t>8 (49%) resided in LOSAs</w:t>
      </w:r>
      <w:r w:rsidR="004C1C5E">
        <w:rPr>
          <w:rFonts w:ascii="Arial" w:hAnsi="Arial" w:cs="Arial"/>
        </w:rPr>
        <w:t xml:space="preserve"> within the l</w:t>
      </w:r>
      <w:r w:rsidR="005C51F2">
        <w:rPr>
          <w:rFonts w:ascii="Arial" w:hAnsi="Arial" w:cs="Arial"/>
        </w:rPr>
        <w:t xml:space="preserve">east deprived quintile </w:t>
      </w:r>
      <w:r w:rsidR="00ED2136">
        <w:rPr>
          <w:rFonts w:ascii="Arial" w:hAnsi="Arial" w:cs="Arial"/>
        </w:rPr>
        <w:t>in England</w:t>
      </w:r>
      <w:r w:rsidR="004C1C5E">
        <w:rPr>
          <w:rFonts w:ascii="Arial" w:hAnsi="Arial" w:cs="Arial"/>
        </w:rPr>
        <w:t xml:space="preserve"> a</w:t>
      </w:r>
      <w:r w:rsidR="00D95BDF">
        <w:rPr>
          <w:rFonts w:ascii="Arial" w:hAnsi="Arial" w:cs="Arial"/>
        </w:rPr>
        <w:t xml:space="preserve">nd </w:t>
      </w:r>
      <w:r w:rsidR="00F05028">
        <w:rPr>
          <w:rFonts w:ascii="Arial" w:hAnsi="Arial" w:cs="Arial"/>
        </w:rPr>
        <w:t xml:space="preserve">14 (3%) resided </w:t>
      </w:r>
      <w:r w:rsidR="00106C54">
        <w:rPr>
          <w:rFonts w:ascii="Arial" w:hAnsi="Arial" w:cs="Arial"/>
        </w:rPr>
        <w:t>in the</w:t>
      </w:r>
      <w:r w:rsidR="0097093A">
        <w:rPr>
          <w:rFonts w:ascii="Arial" w:hAnsi="Arial" w:cs="Arial"/>
        </w:rPr>
        <w:t xml:space="preserve"> </w:t>
      </w:r>
      <w:r w:rsidR="00106C54">
        <w:rPr>
          <w:rFonts w:ascii="Arial" w:hAnsi="Arial" w:cs="Arial"/>
        </w:rPr>
        <w:t>most deprived quintile. T</w:t>
      </w:r>
      <w:r w:rsidR="00ED47EF">
        <w:rPr>
          <w:rFonts w:ascii="Arial" w:hAnsi="Arial" w:cs="Arial"/>
        </w:rPr>
        <w:t>his</w:t>
      </w:r>
      <w:r w:rsidR="00106C54">
        <w:rPr>
          <w:rFonts w:ascii="Arial" w:hAnsi="Arial" w:cs="Arial"/>
        </w:rPr>
        <w:t xml:space="preserve"> </w:t>
      </w:r>
      <w:r w:rsidR="00ED47EF">
        <w:rPr>
          <w:rFonts w:ascii="Arial" w:hAnsi="Arial" w:cs="Arial"/>
        </w:rPr>
        <w:t>reflected the socio-economic char</w:t>
      </w:r>
      <w:r w:rsidR="00106C54">
        <w:rPr>
          <w:rFonts w:ascii="Arial" w:hAnsi="Arial" w:cs="Arial"/>
        </w:rPr>
        <w:t xml:space="preserve">acteristics of the area, which had relatively low levels of deprivation. </w:t>
      </w:r>
    </w:p>
    <w:p w:rsidR="00ED47EF" w:rsidRDefault="00ED47EF" w:rsidP="005B3E6F">
      <w:pPr>
        <w:spacing w:line="360" w:lineRule="auto"/>
        <w:rPr>
          <w:rFonts w:ascii="Arial" w:hAnsi="Arial" w:cs="Arial"/>
          <w:u w:val="single"/>
        </w:rPr>
      </w:pPr>
    </w:p>
    <w:p w:rsidR="000725C5" w:rsidRDefault="00844292" w:rsidP="005B3E6F">
      <w:pPr>
        <w:spacing w:line="360" w:lineRule="auto"/>
        <w:rPr>
          <w:rFonts w:ascii="Arial" w:hAnsi="Arial" w:cs="Arial"/>
          <w:u w:val="single"/>
        </w:rPr>
      </w:pPr>
      <w:r w:rsidRPr="00844292">
        <w:rPr>
          <w:rFonts w:ascii="Arial" w:hAnsi="Arial" w:cs="Arial"/>
          <w:u w:val="single"/>
        </w:rPr>
        <w:t>Preparations for end of life</w:t>
      </w:r>
      <w:r w:rsidR="00386AC3" w:rsidRPr="00844292">
        <w:rPr>
          <w:rFonts w:ascii="Arial" w:hAnsi="Arial" w:cs="Arial"/>
          <w:u w:val="single"/>
        </w:rPr>
        <w:t xml:space="preserve"> </w:t>
      </w:r>
    </w:p>
    <w:p w:rsidR="00A377F6" w:rsidRDefault="001D0C22" w:rsidP="00A377F6">
      <w:pPr>
        <w:spacing w:line="360" w:lineRule="auto"/>
        <w:rPr>
          <w:rFonts w:ascii="Arial" w:hAnsi="Arial" w:cs="Arial"/>
        </w:rPr>
      </w:pPr>
      <w:r w:rsidRPr="001B0A58">
        <w:rPr>
          <w:rFonts w:ascii="Arial" w:hAnsi="Arial" w:cs="Arial"/>
        </w:rPr>
        <w:t xml:space="preserve">At baseline, </w:t>
      </w:r>
      <w:r w:rsidR="00574272">
        <w:rPr>
          <w:rFonts w:ascii="Arial" w:hAnsi="Arial" w:cs="Arial"/>
        </w:rPr>
        <w:t>68%</w:t>
      </w:r>
      <w:r w:rsidR="0097093A">
        <w:rPr>
          <w:rFonts w:ascii="Arial" w:hAnsi="Arial" w:cs="Arial"/>
        </w:rPr>
        <w:t xml:space="preserve"> </w:t>
      </w:r>
      <w:r w:rsidR="00EB26B0">
        <w:rPr>
          <w:rFonts w:ascii="Arial" w:hAnsi="Arial" w:cs="Arial"/>
        </w:rPr>
        <w:t>r</w:t>
      </w:r>
      <w:r w:rsidR="005C51F2">
        <w:rPr>
          <w:rFonts w:ascii="Arial" w:hAnsi="Arial" w:cs="Arial"/>
        </w:rPr>
        <w:t>es</w:t>
      </w:r>
      <w:r w:rsidR="00ED47EF">
        <w:rPr>
          <w:rFonts w:ascii="Arial" w:hAnsi="Arial" w:cs="Arial"/>
        </w:rPr>
        <w:t>pondents reported having a will, and</w:t>
      </w:r>
      <w:r w:rsidR="005C51F2">
        <w:rPr>
          <w:rFonts w:ascii="Arial" w:hAnsi="Arial" w:cs="Arial"/>
        </w:rPr>
        <w:t xml:space="preserve"> </w:t>
      </w:r>
      <w:r w:rsidR="00106C54">
        <w:rPr>
          <w:rFonts w:ascii="Arial" w:hAnsi="Arial" w:cs="Arial"/>
        </w:rPr>
        <w:t xml:space="preserve">a further 24% indicated </w:t>
      </w:r>
      <w:r w:rsidR="004A5A2A">
        <w:rPr>
          <w:rFonts w:ascii="Arial" w:hAnsi="Arial" w:cs="Arial"/>
        </w:rPr>
        <w:t xml:space="preserve">they were </w:t>
      </w:r>
      <w:r w:rsidR="005C51F2">
        <w:rPr>
          <w:rFonts w:ascii="Arial" w:hAnsi="Arial" w:cs="Arial"/>
        </w:rPr>
        <w:t>thinking</w:t>
      </w:r>
      <w:r w:rsidR="00EB26B0">
        <w:rPr>
          <w:rFonts w:ascii="Arial" w:hAnsi="Arial" w:cs="Arial"/>
        </w:rPr>
        <w:t xml:space="preserve"> </w:t>
      </w:r>
      <w:r w:rsidR="008169DD">
        <w:rPr>
          <w:rFonts w:ascii="Arial" w:hAnsi="Arial" w:cs="Arial"/>
        </w:rPr>
        <w:t xml:space="preserve">of </w:t>
      </w:r>
      <w:r w:rsidR="00EB26B0">
        <w:rPr>
          <w:rFonts w:ascii="Arial" w:hAnsi="Arial" w:cs="Arial"/>
        </w:rPr>
        <w:t>making a will.</w:t>
      </w:r>
      <w:r w:rsidR="004F1946">
        <w:rPr>
          <w:rFonts w:ascii="Arial" w:hAnsi="Arial" w:cs="Arial"/>
        </w:rPr>
        <w:t xml:space="preserve"> There was considerable variation</w:t>
      </w:r>
      <w:r w:rsidR="008169DD">
        <w:rPr>
          <w:rFonts w:ascii="Arial" w:hAnsi="Arial" w:cs="Arial"/>
        </w:rPr>
        <w:t xml:space="preserve"> by age group, </w:t>
      </w:r>
      <w:r w:rsidR="001B0A58">
        <w:rPr>
          <w:rFonts w:ascii="Arial" w:hAnsi="Arial" w:cs="Arial"/>
        </w:rPr>
        <w:t>with</w:t>
      </w:r>
      <w:r w:rsidR="00C76B5F">
        <w:rPr>
          <w:rFonts w:ascii="Arial" w:hAnsi="Arial" w:cs="Arial"/>
        </w:rPr>
        <w:t xml:space="preserve"> </w:t>
      </w:r>
      <w:r w:rsidR="002951DC">
        <w:rPr>
          <w:rFonts w:ascii="Arial" w:hAnsi="Arial" w:cs="Arial"/>
        </w:rPr>
        <w:t xml:space="preserve">0% of under 35s </w:t>
      </w:r>
      <w:r w:rsidR="001B0A58">
        <w:rPr>
          <w:rFonts w:ascii="Arial" w:hAnsi="Arial" w:cs="Arial"/>
        </w:rPr>
        <w:t>and</w:t>
      </w:r>
      <w:r w:rsidR="005C51F2">
        <w:rPr>
          <w:rFonts w:ascii="Arial" w:hAnsi="Arial" w:cs="Arial"/>
        </w:rPr>
        <w:t xml:space="preserve"> 95% of over 75</w:t>
      </w:r>
      <w:r w:rsidR="002951DC">
        <w:rPr>
          <w:rFonts w:ascii="Arial" w:hAnsi="Arial" w:cs="Arial"/>
        </w:rPr>
        <w:t>s</w:t>
      </w:r>
      <w:r w:rsidR="001B0A58">
        <w:rPr>
          <w:rFonts w:ascii="Arial" w:hAnsi="Arial" w:cs="Arial"/>
        </w:rPr>
        <w:t xml:space="preserve"> reporting having a will</w:t>
      </w:r>
      <w:r w:rsidR="005C51F2">
        <w:rPr>
          <w:rFonts w:ascii="Arial" w:hAnsi="Arial" w:cs="Arial"/>
        </w:rPr>
        <w:t xml:space="preserve"> </w:t>
      </w:r>
      <w:r w:rsidR="00EB26B0">
        <w:rPr>
          <w:rFonts w:ascii="Arial" w:hAnsi="Arial" w:cs="Arial"/>
        </w:rPr>
        <w:t xml:space="preserve">(chi-square test for </w:t>
      </w:r>
      <w:r w:rsidR="00ED47EF">
        <w:rPr>
          <w:rFonts w:ascii="Arial" w:hAnsi="Arial" w:cs="Arial"/>
        </w:rPr>
        <w:t>trend p=&lt;0.001)</w:t>
      </w:r>
      <w:r w:rsidR="00106C54">
        <w:rPr>
          <w:rFonts w:ascii="Arial" w:hAnsi="Arial" w:cs="Arial"/>
        </w:rPr>
        <w:t xml:space="preserve"> (Table 1)</w:t>
      </w:r>
      <w:r w:rsidR="00512760">
        <w:rPr>
          <w:rFonts w:ascii="Arial" w:hAnsi="Arial" w:cs="Arial"/>
        </w:rPr>
        <w:t>.</w:t>
      </w:r>
      <w:r w:rsidR="004F1946">
        <w:rPr>
          <w:rFonts w:ascii="Arial" w:hAnsi="Arial" w:cs="Arial"/>
        </w:rPr>
        <w:t xml:space="preserve"> There was also variation</w:t>
      </w:r>
      <w:r w:rsidR="00512760">
        <w:rPr>
          <w:rFonts w:ascii="Arial" w:hAnsi="Arial" w:cs="Arial"/>
        </w:rPr>
        <w:t xml:space="preserve"> </w:t>
      </w:r>
      <w:r w:rsidR="00A377F6">
        <w:rPr>
          <w:rFonts w:ascii="Arial" w:hAnsi="Arial" w:cs="Arial"/>
        </w:rPr>
        <w:t>by neighbourhood deprivation, from 29% in the most deprived quintile within England to 78% within the least deprived quintile (chi-sq</w:t>
      </w:r>
      <w:r w:rsidR="00ED47EF">
        <w:rPr>
          <w:rFonts w:ascii="Arial" w:hAnsi="Arial" w:cs="Arial"/>
        </w:rPr>
        <w:t>uared test for t</w:t>
      </w:r>
      <w:r w:rsidR="004A5A2A">
        <w:rPr>
          <w:rFonts w:ascii="Arial" w:hAnsi="Arial" w:cs="Arial"/>
        </w:rPr>
        <w:t xml:space="preserve">rend p=&lt;0.001), which was </w:t>
      </w:r>
      <w:r w:rsidR="00ED47EF">
        <w:rPr>
          <w:rFonts w:ascii="Arial" w:hAnsi="Arial" w:cs="Arial"/>
        </w:rPr>
        <w:t xml:space="preserve">significant </w:t>
      </w:r>
      <w:r w:rsidR="004A5A2A">
        <w:rPr>
          <w:rFonts w:ascii="Arial" w:hAnsi="Arial" w:cs="Arial"/>
        </w:rPr>
        <w:t xml:space="preserve">even </w:t>
      </w:r>
      <w:r w:rsidR="00ED47EF">
        <w:rPr>
          <w:rFonts w:ascii="Arial" w:hAnsi="Arial" w:cs="Arial"/>
        </w:rPr>
        <w:t xml:space="preserve">when age group was taken into account </w:t>
      </w:r>
      <w:r w:rsidR="00A377F6">
        <w:rPr>
          <w:rFonts w:ascii="Arial" w:hAnsi="Arial" w:cs="Arial"/>
        </w:rPr>
        <w:t xml:space="preserve">(P=0.009). </w:t>
      </w:r>
    </w:p>
    <w:p w:rsidR="00512760" w:rsidRDefault="00C41E41" w:rsidP="00512760">
      <w:pPr>
        <w:spacing w:line="360" w:lineRule="auto"/>
        <w:rPr>
          <w:rFonts w:ascii="Arial" w:hAnsi="Arial" w:cs="Arial"/>
        </w:rPr>
      </w:pPr>
      <w:r>
        <w:rPr>
          <w:rFonts w:ascii="Arial" w:hAnsi="Arial" w:cs="Arial"/>
        </w:rPr>
        <w:t xml:space="preserve">Fifty-one percent reported </w:t>
      </w:r>
      <w:r w:rsidR="00C76B5F">
        <w:rPr>
          <w:rFonts w:ascii="Arial" w:hAnsi="Arial" w:cs="Arial"/>
        </w:rPr>
        <w:t>discussing</w:t>
      </w:r>
      <w:r>
        <w:rPr>
          <w:rFonts w:ascii="Arial" w:hAnsi="Arial" w:cs="Arial"/>
        </w:rPr>
        <w:t xml:space="preserve"> their own end of life care wishes with a close friend or f</w:t>
      </w:r>
      <w:r w:rsidR="005C51F2">
        <w:rPr>
          <w:rFonts w:ascii="Arial" w:hAnsi="Arial" w:cs="Arial"/>
        </w:rPr>
        <w:t xml:space="preserve">amily member; </w:t>
      </w:r>
      <w:r w:rsidR="00ED47EF">
        <w:rPr>
          <w:rFonts w:ascii="Arial" w:hAnsi="Arial" w:cs="Arial"/>
        </w:rPr>
        <w:t>285 (58%) reported</w:t>
      </w:r>
      <w:r w:rsidR="005C51F2">
        <w:rPr>
          <w:rFonts w:ascii="Arial" w:hAnsi="Arial" w:cs="Arial"/>
        </w:rPr>
        <w:t xml:space="preserve"> </w:t>
      </w:r>
      <w:r w:rsidR="00ED47EF">
        <w:rPr>
          <w:rFonts w:ascii="Arial" w:hAnsi="Arial" w:cs="Arial"/>
        </w:rPr>
        <w:t>discussing</w:t>
      </w:r>
      <w:r>
        <w:rPr>
          <w:rFonts w:ascii="Arial" w:hAnsi="Arial" w:cs="Arial"/>
        </w:rPr>
        <w:t xml:space="preserve"> what they w</w:t>
      </w:r>
      <w:r w:rsidR="00C76B5F">
        <w:rPr>
          <w:rFonts w:ascii="Arial" w:hAnsi="Arial" w:cs="Arial"/>
        </w:rPr>
        <w:t>ished</w:t>
      </w:r>
      <w:r>
        <w:rPr>
          <w:rFonts w:ascii="Arial" w:hAnsi="Arial" w:cs="Arial"/>
        </w:rPr>
        <w:t xml:space="preserve"> to happen after their death; and </w:t>
      </w:r>
      <w:r w:rsidR="00512760">
        <w:rPr>
          <w:rFonts w:ascii="Arial" w:hAnsi="Arial" w:cs="Arial"/>
        </w:rPr>
        <w:t xml:space="preserve">332 (67%) reported discussing either of these two </w:t>
      </w:r>
      <w:r w:rsidR="008638F6">
        <w:rPr>
          <w:rFonts w:ascii="Arial" w:hAnsi="Arial" w:cs="Arial"/>
        </w:rPr>
        <w:t>subjects</w:t>
      </w:r>
      <w:r w:rsidR="00512760">
        <w:rPr>
          <w:rFonts w:ascii="Arial" w:hAnsi="Arial" w:cs="Arial"/>
        </w:rPr>
        <w:t>.</w:t>
      </w:r>
      <w:r w:rsidR="00512760" w:rsidRPr="00512760">
        <w:rPr>
          <w:rFonts w:ascii="Arial" w:hAnsi="Arial" w:cs="Arial"/>
        </w:rPr>
        <w:t xml:space="preserve"> </w:t>
      </w:r>
      <w:r w:rsidR="00512760">
        <w:rPr>
          <w:rFonts w:ascii="Arial" w:hAnsi="Arial" w:cs="Arial"/>
        </w:rPr>
        <w:t xml:space="preserve">Similar proportions reported discussing another person’s end of life care wishes (263, 54%); another’s wishes for after they have died (254, 53%), or either of these (300, 60%). </w:t>
      </w:r>
    </w:p>
    <w:p w:rsidR="00BC50CD" w:rsidRDefault="00BC50CD" w:rsidP="005B3E6F">
      <w:pPr>
        <w:spacing w:line="360" w:lineRule="auto"/>
        <w:rPr>
          <w:rFonts w:ascii="Arial" w:hAnsi="Arial" w:cs="Arial"/>
        </w:rPr>
        <w:sectPr w:rsidR="00BC50CD" w:rsidSect="00D90B5D">
          <w:headerReference w:type="default" r:id="rId8"/>
          <w:footerReference w:type="default" r:id="rId9"/>
          <w:pgSz w:w="11907" w:h="16840" w:code="9"/>
          <w:pgMar w:top="1440" w:right="1440" w:bottom="1440" w:left="1440" w:header="709" w:footer="709" w:gutter="0"/>
          <w:cols w:space="708"/>
          <w:docGrid w:linePitch="299"/>
        </w:sectPr>
      </w:pPr>
    </w:p>
    <w:p w:rsidR="00BC50CD" w:rsidRDefault="00BC50CD" w:rsidP="005B3E6F">
      <w:pPr>
        <w:spacing w:line="360" w:lineRule="auto"/>
        <w:rPr>
          <w:rFonts w:ascii="Arial" w:hAnsi="Arial" w:cs="Arial"/>
        </w:rPr>
      </w:pPr>
    </w:p>
    <w:p w:rsidR="00BC50CD" w:rsidRDefault="00BC50CD" w:rsidP="00BC50CD">
      <w:pPr>
        <w:pStyle w:val="Caption"/>
        <w:keepNext/>
        <w:rPr>
          <w:i/>
          <w:sz w:val="20"/>
          <w:szCs w:val="20"/>
        </w:rPr>
      </w:pPr>
      <w:r>
        <w:rPr>
          <w:i/>
          <w:sz w:val="20"/>
          <w:szCs w:val="20"/>
        </w:rPr>
        <w:t>Table 1: Number and percentage of respondents who reported they had made a will or considering making a will, and had had conversations with people close to them about end of life-related subjects, by age group</w:t>
      </w:r>
    </w:p>
    <w:tbl>
      <w:tblPr>
        <w:tblStyle w:val="TableGrid"/>
        <w:tblW w:w="13949" w:type="dxa"/>
        <w:tblLook w:val="04A0" w:firstRow="1" w:lastRow="0" w:firstColumn="1" w:lastColumn="0" w:noHBand="0" w:noVBand="1"/>
      </w:tblPr>
      <w:tblGrid>
        <w:gridCol w:w="4392"/>
        <w:gridCol w:w="1143"/>
        <w:gridCol w:w="1143"/>
        <w:gridCol w:w="1145"/>
        <w:gridCol w:w="1147"/>
        <w:gridCol w:w="1148"/>
        <w:gridCol w:w="1145"/>
        <w:gridCol w:w="1369"/>
        <w:gridCol w:w="1317"/>
      </w:tblGrid>
      <w:tr w:rsidR="002611F6" w:rsidTr="00FE5063">
        <w:tc>
          <w:tcPr>
            <w:tcW w:w="4504" w:type="dxa"/>
            <w:tcBorders>
              <w:right w:val="single" w:sz="4" w:space="0" w:color="auto"/>
            </w:tcBorders>
          </w:tcPr>
          <w:p w:rsidR="002611F6" w:rsidRPr="009E4819" w:rsidRDefault="009E4819" w:rsidP="00ED2136">
            <w:pPr>
              <w:rPr>
                <w:b/>
                <w:i/>
                <w:sz w:val="20"/>
                <w:szCs w:val="20"/>
              </w:rPr>
            </w:pPr>
            <w:r w:rsidRPr="009E4819">
              <w:rPr>
                <w:b/>
                <w:i/>
                <w:sz w:val="20"/>
                <w:szCs w:val="20"/>
              </w:rPr>
              <w:t>Survey item</w:t>
            </w:r>
          </w:p>
        </w:tc>
        <w:tc>
          <w:tcPr>
            <w:tcW w:w="8116" w:type="dxa"/>
            <w:gridSpan w:val="7"/>
            <w:tcBorders>
              <w:top w:val="single" w:sz="8" w:space="0" w:color="000000"/>
              <w:left w:val="single" w:sz="4" w:space="0" w:color="auto"/>
              <w:bottom w:val="single" w:sz="4" w:space="0" w:color="auto"/>
              <w:right w:val="nil"/>
            </w:tcBorders>
            <w:vAlign w:val="center"/>
          </w:tcPr>
          <w:p w:rsidR="002611F6" w:rsidRPr="00FE5063" w:rsidRDefault="002611F6" w:rsidP="00ED2136">
            <w:pPr>
              <w:jc w:val="center"/>
              <w:rPr>
                <w:b/>
                <w:i/>
                <w:sz w:val="20"/>
                <w:szCs w:val="20"/>
              </w:rPr>
            </w:pPr>
            <w:r w:rsidRPr="00FE5063">
              <w:rPr>
                <w:b/>
                <w:i/>
                <w:sz w:val="20"/>
                <w:szCs w:val="20"/>
              </w:rPr>
              <w:t>Age Group</w:t>
            </w:r>
          </w:p>
        </w:tc>
        <w:tc>
          <w:tcPr>
            <w:tcW w:w="1329" w:type="dxa"/>
            <w:tcBorders>
              <w:left w:val="nil"/>
              <w:bottom w:val="single" w:sz="4" w:space="0" w:color="auto"/>
              <w:right w:val="single" w:sz="4" w:space="0" w:color="auto"/>
            </w:tcBorders>
          </w:tcPr>
          <w:p w:rsidR="002611F6" w:rsidRDefault="002611F6" w:rsidP="00ED2136">
            <w:pPr>
              <w:jc w:val="center"/>
              <w:rPr>
                <w:b/>
                <w:sz w:val="20"/>
                <w:szCs w:val="20"/>
              </w:rPr>
            </w:pPr>
          </w:p>
        </w:tc>
      </w:tr>
      <w:tr w:rsidR="00BC50CD" w:rsidTr="00FE5063">
        <w:tc>
          <w:tcPr>
            <w:tcW w:w="4504" w:type="dxa"/>
            <w:tcBorders>
              <w:bottom w:val="single" w:sz="4" w:space="0" w:color="auto"/>
              <w:right w:val="nil"/>
            </w:tcBorders>
          </w:tcPr>
          <w:p w:rsidR="00BC50CD" w:rsidRDefault="00BC50CD" w:rsidP="00ED2136"/>
        </w:tc>
        <w:tc>
          <w:tcPr>
            <w:tcW w:w="1159" w:type="dxa"/>
            <w:tcBorders>
              <w:top w:val="single" w:sz="8" w:space="0" w:color="000000"/>
              <w:left w:val="nil"/>
              <w:bottom w:val="single" w:sz="4" w:space="0" w:color="auto"/>
              <w:right w:val="nil"/>
            </w:tcBorders>
            <w:vAlign w:val="center"/>
          </w:tcPr>
          <w:p w:rsidR="00BC50CD" w:rsidRPr="00D9660F" w:rsidRDefault="00BC50CD" w:rsidP="00ED2136">
            <w:pPr>
              <w:jc w:val="center"/>
              <w:rPr>
                <w:rFonts w:eastAsia="Times New Roman" w:cs="Arial"/>
                <w:b/>
                <w:color w:val="000000"/>
                <w:sz w:val="18"/>
                <w:szCs w:val="18"/>
              </w:rPr>
            </w:pPr>
            <w:r w:rsidRPr="009A06A4">
              <w:rPr>
                <w:rFonts w:eastAsia="Times New Roman" w:cs="Arial"/>
                <w:b/>
                <w:color w:val="000000"/>
                <w:sz w:val="18"/>
                <w:szCs w:val="18"/>
              </w:rPr>
              <w:t>Under 35</w:t>
            </w:r>
          </w:p>
          <w:p w:rsidR="00BC50CD" w:rsidRPr="009A06A4" w:rsidRDefault="00BC50CD" w:rsidP="00ED2136">
            <w:pPr>
              <w:jc w:val="center"/>
              <w:rPr>
                <w:rFonts w:eastAsia="Times New Roman" w:cs="Arial"/>
                <w:b/>
                <w:color w:val="000000"/>
                <w:sz w:val="18"/>
                <w:szCs w:val="18"/>
              </w:rPr>
            </w:pPr>
            <w:r w:rsidRPr="00D9660F">
              <w:rPr>
                <w:rFonts w:eastAsia="Times New Roman" w:cs="Arial"/>
                <w:b/>
                <w:color w:val="000000"/>
                <w:sz w:val="18"/>
                <w:szCs w:val="18"/>
              </w:rPr>
              <w:t>(n=48)</w:t>
            </w:r>
          </w:p>
        </w:tc>
        <w:tc>
          <w:tcPr>
            <w:tcW w:w="1159" w:type="dxa"/>
            <w:tcBorders>
              <w:top w:val="single" w:sz="8" w:space="0" w:color="000000"/>
              <w:left w:val="nil"/>
              <w:bottom w:val="single" w:sz="4" w:space="0" w:color="auto"/>
              <w:right w:val="nil"/>
            </w:tcBorders>
            <w:shd w:val="clear" w:color="000000" w:fill="FFFFFF"/>
            <w:vAlign w:val="center"/>
          </w:tcPr>
          <w:p w:rsidR="00BC50CD" w:rsidRPr="00D9660F" w:rsidRDefault="00BC50CD" w:rsidP="00ED2136">
            <w:pPr>
              <w:jc w:val="center"/>
              <w:rPr>
                <w:rFonts w:eastAsia="Times New Roman" w:cs="Arial"/>
                <w:b/>
                <w:color w:val="000000"/>
                <w:sz w:val="18"/>
                <w:szCs w:val="18"/>
              </w:rPr>
            </w:pPr>
            <w:r w:rsidRPr="009A06A4">
              <w:rPr>
                <w:rFonts w:eastAsia="Times New Roman" w:cs="Arial"/>
                <w:b/>
                <w:color w:val="000000"/>
                <w:sz w:val="18"/>
                <w:szCs w:val="18"/>
              </w:rPr>
              <w:t>35 to 44</w:t>
            </w:r>
          </w:p>
          <w:p w:rsidR="00BC50CD" w:rsidRPr="009A06A4" w:rsidRDefault="00BC50CD" w:rsidP="00ED2136">
            <w:pPr>
              <w:jc w:val="center"/>
              <w:rPr>
                <w:rFonts w:eastAsia="Times New Roman" w:cs="Arial"/>
                <w:b/>
                <w:color w:val="000000"/>
                <w:sz w:val="18"/>
                <w:szCs w:val="18"/>
              </w:rPr>
            </w:pPr>
            <w:r w:rsidRPr="00D9660F">
              <w:rPr>
                <w:rFonts w:eastAsia="Times New Roman" w:cs="Arial"/>
                <w:b/>
                <w:color w:val="000000"/>
                <w:sz w:val="18"/>
                <w:szCs w:val="18"/>
              </w:rPr>
              <w:t>(n=51)</w:t>
            </w:r>
          </w:p>
        </w:tc>
        <w:tc>
          <w:tcPr>
            <w:tcW w:w="1160" w:type="dxa"/>
            <w:tcBorders>
              <w:top w:val="single" w:sz="8" w:space="0" w:color="000000"/>
              <w:left w:val="nil"/>
              <w:bottom w:val="single" w:sz="4" w:space="0" w:color="auto"/>
              <w:right w:val="nil"/>
            </w:tcBorders>
            <w:shd w:val="clear" w:color="000000" w:fill="FFFFFF"/>
            <w:vAlign w:val="center"/>
          </w:tcPr>
          <w:p w:rsidR="00BC50CD" w:rsidRPr="00D9660F" w:rsidRDefault="00BC50CD" w:rsidP="00ED2136">
            <w:pPr>
              <w:jc w:val="center"/>
              <w:rPr>
                <w:rFonts w:eastAsia="Times New Roman" w:cs="Arial"/>
                <w:b/>
                <w:color w:val="000000"/>
                <w:sz w:val="18"/>
                <w:szCs w:val="18"/>
              </w:rPr>
            </w:pPr>
            <w:r w:rsidRPr="009A06A4">
              <w:rPr>
                <w:rFonts w:eastAsia="Times New Roman" w:cs="Arial"/>
                <w:b/>
                <w:color w:val="000000"/>
                <w:sz w:val="18"/>
                <w:szCs w:val="18"/>
              </w:rPr>
              <w:t>45 to 54</w:t>
            </w:r>
          </w:p>
          <w:p w:rsidR="00BC50CD" w:rsidRPr="009A06A4" w:rsidRDefault="00BC50CD" w:rsidP="00ED2136">
            <w:pPr>
              <w:jc w:val="center"/>
              <w:rPr>
                <w:rFonts w:eastAsia="Times New Roman" w:cs="Arial"/>
                <w:b/>
                <w:color w:val="000000"/>
                <w:sz w:val="18"/>
                <w:szCs w:val="18"/>
              </w:rPr>
            </w:pPr>
            <w:r w:rsidRPr="00D9660F">
              <w:rPr>
                <w:rFonts w:eastAsia="Times New Roman" w:cs="Arial"/>
                <w:b/>
                <w:color w:val="000000"/>
                <w:sz w:val="18"/>
                <w:szCs w:val="18"/>
              </w:rPr>
              <w:t>(N=70)</w:t>
            </w:r>
          </w:p>
        </w:tc>
        <w:tc>
          <w:tcPr>
            <w:tcW w:w="1159" w:type="dxa"/>
            <w:tcBorders>
              <w:top w:val="single" w:sz="8" w:space="0" w:color="000000"/>
              <w:left w:val="nil"/>
              <w:bottom w:val="single" w:sz="4" w:space="0" w:color="auto"/>
              <w:right w:val="nil"/>
            </w:tcBorders>
            <w:shd w:val="clear" w:color="000000" w:fill="FFFFFF"/>
            <w:vAlign w:val="center"/>
          </w:tcPr>
          <w:p w:rsidR="00BC50CD" w:rsidRPr="00D9660F" w:rsidRDefault="00BC50CD" w:rsidP="00ED2136">
            <w:pPr>
              <w:jc w:val="center"/>
              <w:rPr>
                <w:rFonts w:eastAsia="Times New Roman" w:cs="Arial"/>
                <w:b/>
                <w:color w:val="000000"/>
                <w:sz w:val="18"/>
                <w:szCs w:val="18"/>
              </w:rPr>
            </w:pPr>
            <w:r w:rsidRPr="009A06A4">
              <w:rPr>
                <w:rFonts w:eastAsia="Times New Roman" w:cs="Arial"/>
                <w:b/>
                <w:color w:val="000000"/>
                <w:sz w:val="18"/>
                <w:szCs w:val="18"/>
              </w:rPr>
              <w:t>55 to 64</w:t>
            </w:r>
          </w:p>
          <w:p w:rsidR="00BC50CD" w:rsidRPr="009A06A4" w:rsidRDefault="00BC50CD" w:rsidP="00ED2136">
            <w:pPr>
              <w:jc w:val="center"/>
              <w:rPr>
                <w:rFonts w:eastAsia="Times New Roman" w:cs="Arial"/>
                <w:b/>
                <w:color w:val="000000"/>
                <w:sz w:val="18"/>
                <w:szCs w:val="18"/>
              </w:rPr>
            </w:pPr>
            <w:r w:rsidRPr="00D9660F">
              <w:rPr>
                <w:rFonts w:eastAsia="Times New Roman" w:cs="Arial"/>
                <w:b/>
                <w:color w:val="000000"/>
                <w:sz w:val="18"/>
                <w:szCs w:val="18"/>
              </w:rPr>
              <w:t>(N=104)</w:t>
            </w:r>
          </w:p>
        </w:tc>
        <w:tc>
          <w:tcPr>
            <w:tcW w:w="1160" w:type="dxa"/>
            <w:tcBorders>
              <w:top w:val="single" w:sz="8" w:space="0" w:color="000000"/>
              <w:left w:val="nil"/>
              <w:bottom w:val="single" w:sz="4" w:space="0" w:color="auto"/>
              <w:right w:val="nil"/>
            </w:tcBorders>
            <w:shd w:val="clear" w:color="000000" w:fill="FFFFFF"/>
            <w:vAlign w:val="center"/>
          </w:tcPr>
          <w:p w:rsidR="00BC50CD" w:rsidRPr="00D9660F" w:rsidRDefault="00BC50CD" w:rsidP="00ED2136">
            <w:pPr>
              <w:jc w:val="center"/>
              <w:rPr>
                <w:rFonts w:eastAsia="Times New Roman" w:cs="Arial"/>
                <w:b/>
                <w:color w:val="000000"/>
                <w:sz w:val="18"/>
                <w:szCs w:val="18"/>
              </w:rPr>
            </w:pPr>
            <w:r w:rsidRPr="009A06A4">
              <w:rPr>
                <w:rFonts w:eastAsia="Times New Roman" w:cs="Arial"/>
                <w:b/>
                <w:color w:val="000000"/>
                <w:sz w:val="18"/>
                <w:szCs w:val="18"/>
              </w:rPr>
              <w:t>65 to 74</w:t>
            </w:r>
          </w:p>
          <w:p w:rsidR="00BC50CD" w:rsidRPr="009A06A4" w:rsidRDefault="00BC50CD" w:rsidP="00ED2136">
            <w:pPr>
              <w:jc w:val="center"/>
              <w:rPr>
                <w:rFonts w:eastAsia="Times New Roman" w:cs="Arial"/>
                <w:b/>
                <w:color w:val="000000"/>
                <w:sz w:val="18"/>
                <w:szCs w:val="18"/>
              </w:rPr>
            </w:pPr>
            <w:r w:rsidRPr="00D9660F">
              <w:rPr>
                <w:rFonts w:eastAsia="Times New Roman" w:cs="Arial"/>
                <w:b/>
                <w:color w:val="000000"/>
                <w:sz w:val="18"/>
                <w:szCs w:val="18"/>
              </w:rPr>
              <w:t>(N=147)</w:t>
            </w:r>
          </w:p>
        </w:tc>
        <w:tc>
          <w:tcPr>
            <w:tcW w:w="1159" w:type="dxa"/>
            <w:tcBorders>
              <w:top w:val="single" w:sz="8" w:space="0" w:color="000000"/>
              <w:left w:val="nil"/>
              <w:bottom w:val="single" w:sz="4" w:space="0" w:color="auto"/>
              <w:right w:val="nil"/>
            </w:tcBorders>
            <w:shd w:val="clear" w:color="000000" w:fill="FFFFFF"/>
            <w:vAlign w:val="center"/>
          </w:tcPr>
          <w:p w:rsidR="00BC50CD" w:rsidRPr="00D9660F" w:rsidRDefault="00BC50CD" w:rsidP="00ED2136">
            <w:pPr>
              <w:jc w:val="center"/>
              <w:rPr>
                <w:rFonts w:eastAsia="Times New Roman" w:cs="Arial"/>
                <w:b/>
                <w:color w:val="000000"/>
                <w:sz w:val="20"/>
                <w:szCs w:val="20"/>
              </w:rPr>
            </w:pPr>
            <w:r w:rsidRPr="009A06A4">
              <w:rPr>
                <w:rFonts w:eastAsia="Times New Roman" w:cs="Arial"/>
                <w:b/>
                <w:color w:val="000000"/>
                <w:sz w:val="20"/>
                <w:szCs w:val="20"/>
              </w:rPr>
              <w:t>Over 75</w:t>
            </w:r>
          </w:p>
          <w:p w:rsidR="00BC50CD" w:rsidRPr="009A06A4" w:rsidRDefault="00BC50CD" w:rsidP="00ED2136">
            <w:pPr>
              <w:jc w:val="center"/>
              <w:rPr>
                <w:rFonts w:eastAsia="Times New Roman" w:cs="Arial"/>
                <w:b/>
                <w:color w:val="000000"/>
                <w:sz w:val="20"/>
                <w:szCs w:val="20"/>
              </w:rPr>
            </w:pPr>
            <w:r w:rsidRPr="00D9660F">
              <w:rPr>
                <w:rFonts w:eastAsia="Times New Roman" w:cs="Arial"/>
                <w:b/>
                <w:color w:val="000000"/>
                <w:sz w:val="20"/>
                <w:szCs w:val="20"/>
              </w:rPr>
              <w:t>(n=76)</w:t>
            </w:r>
          </w:p>
        </w:tc>
        <w:tc>
          <w:tcPr>
            <w:tcW w:w="1160" w:type="dxa"/>
            <w:tcBorders>
              <w:left w:val="nil"/>
              <w:right w:val="single" w:sz="4" w:space="0" w:color="auto"/>
            </w:tcBorders>
          </w:tcPr>
          <w:p w:rsidR="00BC50CD" w:rsidRPr="00D9660F" w:rsidRDefault="00BC50CD" w:rsidP="00ED2136">
            <w:pPr>
              <w:jc w:val="center"/>
              <w:rPr>
                <w:b/>
                <w:sz w:val="20"/>
                <w:szCs w:val="20"/>
              </w:rPr>
            </w:pPr>
            <w:r w:rsidRPr="00D9660F">
              <w:rPr>
                <w:b/>
                <w:sz w:val="20"/>
                <w:szCs w:val="20"/>
              </w:rPr>
              <w:t>All ages</w:t>
            </w:r>
          </w:p>
          <w:p w:rsidR="00BC50CD" w:rsidRPr="00D9660F" w:rsidRDefault="00BC50CD" w:rsidP="00ED2136">
            <w:pPr>
              <w:jc w:val="center"/>
              <w:rPr>
                <w:b/>
                <w:sz w:val="20"/>
                <w:szCs w:val="20"/>
              </w:rPr>
            </w:pPr>
            <w:r w:rsidRPr="00D9660F">
              <w:rPr>
                <w:b/>
                <w:sz w:val="20"/>
                <w:szCs w:val="20"/>
              </w:rPr>
              <w:t>(n=496)</w:t>
            </w:r>
          </w:p>
        </w:tc>
        <w:tc>
          <w:tcPr>
            <w:tcW w:w="1329" w:type="dxa"/>
            <w:tcBorders>
              <w:left w:val="single" w:sz="4" w:space="0" w:color="auto"/>
              <w:right w:val="single" w:sz="4" w:space="0" w:color="auto"/>
            </w:tcBorders>
          </w:tcPr>
          <w:p w:rsidR="00BC50CD" w:rsidRPr="00D9660F" w:rsidRDefault="00BC50CD" w:rsidP="00ED2136">
            <w:pPr>
              <w:jc w:val="center"/>
              <w:rPr>
                <w:b/>
                <w:sz w:val="20"/>
                <w:szCs w:val="20"/>
              </w:rPr>
            </w:pPr>
            <w:r>
              <w:rPr>
                <w:b/>
                <w:sz w:val="20"/>
                <w:szCs w:val="20"/>
              </w:rPr>
              <w:t>Chi-square test for trend</w:t>
            </w:r>
          </w:p>
        </w:tc>
      </w:tr>
      <w:tr w:rsidR="00BC50CD" w:rsidTr="00FE5063">
        <w:trPr>
          <w:cantSplit/>
          <w:trHeight w:val="340"/>
        </w:trPr>
        <w:tc>
          <w:tcPr>
            <w:tcW w:w="4504" w:type="dxa"/>
            <w:tcBorders>
              <w:bottom w:val="single" w:sz="4" w:space="0" w:color="auto"/>
              <w:right w:val="single" w:sz="4" w:space="0" w:color="auto"/>
            </w:tcBorders>
            <w:vAlign w:val="center"/>
          </w:tcPr>
          <w:p w:rsidR="00BC50CD" w:rsidRPr="008D0739" w:rsidRDefault="00BC50CD" w:rsidP="00ED2136">
            <w:pPr>
              <w:rPr>
                <w:b/>
                <w:sz w:val="20"/>
                <w:szCs w:val="20"/>
              </w:rPr>
            </w:pPr>
            <w:r w:rsidRPr="008D0739">
              <w:rPr>
                <w:b/>
                <w:sz w:val="20"/>
                <w:szCs w:val="20"/>
              </w:rPr>
              <w:t>Already has a will</w:t>
            </w:r>
          </w:p>
        </w:tc>
        <w:tc>
          <w:tcPr>
            <w:tcW w:w="1159" w:type="dxa"/>
            <w:tcBorders>
              <w:top w:val="single" w:sz="4" w:space="0" w:color="auto"/>
              <w:left w:val="single" w:sz="4" w:space="0" w:color="auto"/>
              <w:bottom w:val="single" w:sz="4" w:space="0" w:color="auto"/>
              <w:right w:val="nil"/>
            </w:tcBorders>
            <w:vAlign w:val="center"/>
          </w:tcPr>
          <w:p w:rsidR="00BC50CD" w:rsidRPr="009A06A4" w:rsidRDefault="00BC50CD" w:rsidP="002611F6">
            <w:pPr>
              <w:jc w:val="center"/>
              <w:rPr>
                <w:rFonts w:ascii="Arial" w:eastAsia="Times New Roman" w:hAnsi="Arial" w:cs="Arial"/>
                <w:color w:val="000000"/>
                <w:sz w:val="18"/>
                <w:szCs w:val="18"/>
              </w:rPr>
            </w:pPr>
            <w:r>
              <w:rPr>
                <w:rFonts w:ascii="Arial" w:eastAsia="Times New Roman" w:hAnsi="Arial" w:cs="Arial"/>
                <w:color w:val="000000"/>
                <w:sz w:val="18"/>
                <w:szCs w:val="18"/>
              </w:rPr>
              <w:t>0 (</w:t>
            </w:r>
            <w:r w:rsidRPr="009A06A4">
              <w:rPr>
                <w:rFonts w:ascii="Arial" w:eastAsia="Times New Roman" w:hAnsi="Arial" w:cs="Arial"/>
                <w:color w:val="000000"/>
                <w:sz w:val="18"/>
                <w:szCs w:val="18"/>
              </w:rPr>
              <w:t>0%</w:t>
            </w:r>
            <w:r>
              <w:rPr>
                <w:rFonts w:ascii="Arial" w:eastAsia="Times New Roman" w:hAnsi="Arial" w:cs="Arial"/>
                <w:color w:val="000000"/>
                <w:sz w:val="18"/>
                <w:szCs w:val="18"/>
              </w:rPr>
              <w:t>)</w:t>
            </w:r>
          </w:p>
        </w:tc>
        <w:tc>
          <w:tcPr>
            <w:tcW w:w="1159" w:type="dxa"/>
            <w:tcBorders>
              <w:top w:val="single" w:sz="4" w:space="0" w:color="auto"/>
              <w:left w:val="nil"/>
              <w:bottom w:val="single" w:sz="4" w:space="0" w:color="auto"/>
              <w:right w:val="nil"/>
            </w:tcBorders>
            <w:shd w:val="clear" w:color="000000" w:fill="FFFFFF"/>
            <w:vAlign w:val="center"/>
          </w:tcPr>
          <w:p w:rsidR="00BC50CD" w:rsidRPr="009A06A4" w:rsidRDefault="00BC50CD" w:rsidP="002611F6">
            <w:pPr>
              <w:jc w:val="center"/>
              <w:rPr>
                <w:rFonts w:ascii="Arial" w:eastAsia="Times New Roman" w:hAnsi="Arial" w:cs="Arial"/>
                <w:color w:val="000000"/>
                <w:sz w:val="18"/>
                <w:szCs w:val="18"/>
              </w:rPr>
            </w:pPr>
            <w:r>
              <w:rPr>
                <w:rFonts w:ascii="Arial" w:eastAsia="Times New Roman" w:hAnsi="Arial" w:cs="Arial"/>
                <w:color w:val="000000"/>
                <w:sz w:val="18"/>
                <w:szCs w:val="18"/>
              </w:rPr>
              <w:t>17 (</w:t>
            </w:r>
            <w:r w:rsidRPr="009A06A4">
              <w:rPr>
                <w:rFonts w:ascii="Arial" w:eastAsia="Times New Roman" w:hAnsi="Arial" w:cs="Arial"/>
                <w:color w:val="000000"/>
                <w:sz w:val="18"/>
                <w:szCs w:val="18"/>
              </w:rPr>
              <w:t>33%</w:t>
            </w:r>
            <w:r>
              <w:rPr>
                <w:rFonts w:ascii="Arial" w:eastAsia="Times New Roman" w:hAnsi="Arial" w:cs="Arial"/>
                <w:color w:val="000000"/>
                <w:sz w:val="18"/>
                <w:szCs w:val="18"/>
              </w:rPr>
              <w:t>)</w:t>
            </w:r>
          </w:p>
        </w:tc>
        <w:tc>
          <w:tcPr>
            <w:tcW w:w="1160" w:type="dxa"/>
            <w:tcBorders>
              <w:top w:val="single" w:sz="4" w:space="0" w:color="auto"/>
              <w:left w:val="nil"/>
              <w:bottom w:val="single" w:sz="4" w:space="0" w:color="auto"/>
              <w:right w:val="nil"/>
            </w:tcBorders>
            <w:shd w:val="clear" w:color="000000" w:fill="FFFFFF"/>
            <w:vAlign w:val="center"/>
          </w:tcPr>
          <w:p w:rsidR="00BC50CD" w:rsidRPr="009A06A4" w:rsidRDefault="00BC50CD" w:rsidP="002611F6">
            <w:pPr>
              <w:jc w:val="center"/>
              <w:rPr>
                <w:rFonts w:ascii="Arial" w:eastAsia="Times New Roman" w:hAnsi="Arial" w:cs="Arial"/>
                <w:color w:val="000000"/>
                <w:sz w:val="18"/>
                <w:szCs w:val="18"/>
              </w:rPr>
            </w:pPr>
            <w:r>
              <w:rPr>
                <w:rFonts w:ascii="Arial" w:eastAsia="Times New Roman" w:hAnsi="Arial" w:cs="Arial"/>
                <w:color w:val="000000"/>
                <w:sz w:val="18"/>
                <w:szCs w:val="18"/>
              </w:rPr>
              <w:t>35 (</w:t>
            </w:r>
            <w:r w:rsidRPr="009A06A4">
              <w:rPr>
                <w:rFonts w:ascii="Arial" w:eastAsia="Times New Roman" w:hAnsi="Arial" w:cs="Arial"/>
                <w:color w:val="000000"/>
                <w:sz w:val="18"/>
                <w:szCs w:val="18"/>
              </w:rPr>
              <w:t>50%</w:t>
            </w:r>
            <w:r>
              <w:rPr>
                <w:rFonts w:ascii="Arial" w:eastAsia="Times New Roman" w:hAnsi="Arial" w:cs="Arial"/>
                <w:color w:val="000000"/>
                <w:sz w:val="18"/>
                <w:szCs w:val="18"/>
              </w:rPr>
              <w:t>)</w:t>
            </w:r>
          </w:p>
        </w:tc>
        <w:tc>
          <w:tcPr>
            <w:tcW w:w="1159" w:type="dxa"/>
            <w:tcBorders>
              <w:top w:val="single" w:sz="4" w:space="0" w:color="auto"/>
              <w:left w:val="nil"/>
              <w:bottom w:val="single" w:sz="4" w:space="0" w:color="auto"/>
              <w:right w:val="nil"/>
            </w:tcBorders>
            <w:shd w:val="clear" w:color="000000" w:fill="FFFFFF"/>
            <w:vAlign w:val="center"/>
          </w:tcPr>
          <w:p w:rsidR="00BC50CD" w:rsidRPr="009A06A4" w:rsidRDefault="00BC50CD" w:rsidP="001B2FB7">
            <w:pPr>
              <w:jc w:val="center"/>
              <w:rPr>
                <w:rFonts w:ascii="Arial" w:eastAsia="Times New Roman" w:hAnsi="Arial" w:cs="Arial"/>
                <w:color w:val="000000"/>
                <w:sz w:val="18"/>
                <w:szCs w:val="18"/>
              </w:rPr>
            </w:pPr>
            <w:r>
              <w:rPr>
                <w:rFonts w:ascii="Arial" w:eastAsia="Times New Roman" w:hAnsi="Arial" w:cs="Arial"/>
                <w:color w:val="000000"/>
                <w:sz w:val="18"/>
                <w:szCs w:val="18"/>
              </w:rPr>
              <w:t>79 (</w:t>
            </w:r>
            <w:r w:rsidRPr="009A06A4">
              <w:rPr>
                <w:rFonts w:ascii="Arial" w:eastAsia="Times New Roman" w:hAnsi="Arial" w:cs="Arial"/>
                <w:color w:val="000000"/>
                <w:sz w:val="18"/>
                <w:szCs w:val="18"/>
              </w:rPr>
              <w:t>67%</w:t>
            </w:r>
            <w:r>
              <w:rPr>
                <w:rFonts w:ascii="Arial" w:eastAsia="Times New Roman" w:hAnsi="Arial" w:cs="Arial"/>
                <w:color w:val="000000"/>
                <w:sz w:val="18"/>
                <w:szCs w:val="18"/>
              </w:rPr>
              <w:t>)</w:t>
            </w:r>
          </w:p>
        </w:tc>
        <w:tc>
          <w:tcPr>
            <w:tcW w:w="1160" w:type="dxa"/>
            <w:tcBorders>
              <w:top w:val="single" w:sz="4" w:space="0" w:color="auto"/>
              <w:left w:val="nil"/>
              <w:bottom w:val="single" w:sz="4" w:space="0" w:color="auto"/>
              <w:right w:val="nil"/>
            </w:tcBorders>
            <w:shd w:val="clear" w:color="000000" w:fill="FFFFFF"/>
            <w:vAlign w:val="center"/>
          </w:tcPr>
          <w:p w:rsidR="00BC50CD" w:rsidRPr="009A06A4" w:rsidRDefault="00BC50CD" w:rsidP="001B2FB7">
            <w:pPr>
              <w:jc w:val="center"/>
              <w:rPr>
                <w:rFonts w:ascii="Arial" w:eastAsia="Times New Roman" w:hAnsi="Arial" w:cs="Arial"/>
                <w:color w:val="000000"/>
                <w:sz w:val="18"/>
                <w:szCs w:val="18"/>
              </w:rPr>
            </w:pPr>
            <w:r>
              <w:rPr>
                <w:rFonts w:ascii="Arial" w:eastAsia="Times New Roman" w:hAnsi="Arial" w:cs="Arial"/>
                <w:color w:val="000000"/>
                <w:sz w:val="18"/>
                <w:szCs w:val="18"/>
              </w:rPr>
              <w:t>132 (</w:t>
            </w:r>
            <w:r w:rsidRPr="009A06A4">
              <w:rPr>
                <w:rFonts w:ascii="Arial" w:eastAsia="Times New Roman" w:hAnsi="Arial" w:cs="Arial"/>
                <w:color w:val="000000"/>
                <w:sz w:val="18"/>
                <w:szCs w:val="18"/>
              </w:rPr>
              <w:t>90%</w:t>
            </w:r>
            <w:r>
              <w:rPr>
                <w:rFonts w:ascii="Arial" w:eastAsia="Times New Roman" w:hAnsi="Arial" w:cs="Arial"/>
                <w:color w:val="000000"/>
                <w:sz w:val="18"/>
                <w:szCs w:val="18"/>
              </w:rPr>
              <w:t>)</w:t>
            </w:r>
          </w:p>
        </w:tc>
        <w:tc>
          <w:tcPr>
            <w:tcW w:w="1159" w:type="dxa"/>
            <w:tcBorders>
              <w:top w:val="single" w:sz="4" w:space="0" w:color="auto"/>
              <w:left w:val="nil"/>
              <w:bottom w:val="single" w:sz="4" w:space="0" w:color="auto"/>
              <w:right w:val="nil"/>
            </w:tcBorders>
            <w:shd w:val="clear" w:color="000000" w:fill="FFFFFF"/>
            <w:vAlign w:val="center"/>
          </w:tcPr>
          <w:p w:rsidR="00BC50CD" w:rsidRPr="009A06A4" w:rsidRDefault="00BC50CD" w:rsidP="001B2FB7">
            <w:pPr>
              <w:jc w:val="center"/>
              <w:rPr>
                <w:rFonts w:ascii="Arial" w:eastAsia="Times New Roman" w:hAnsi="Arial" w:cs="Arial"/>
                <w:color w:val="000000"/>
                <w:sz w:val="18"/>
                <w:szCs w:val="18"/>
              </w:rPr>
            </w:pPr>
            <w:r>
              <w:rPr>
                <w:rFonts w:ascii="Arial" w:eastAsia="Times New Roman" w:hAnsi="Arial" w:cs="Arial"/>
                <w:color w:val="000000"/>
                <w:sz w:val="18"/>
                <w:szCs w:val="18"/>
              </w:rPr>
              <w:t>73 (</w:t>
            </w:r>
            <w:r w:rsidRPr="009A06A4">
              <w:rPr>
                <w:rFonts w:ascii="Arial" w:eastAsia="Times New Roman" w:hAnsi="Arial" w:cs="Arial"/>
                <w:color w:val="000000"/>
                <w:sz w:val="18"/>
                <w:szCs w:val="18"/>
              </w:rPr>
              <w:t>95%</w:t>
            </w:r>
            <w:r>
              <w:rPr>
                <w:rFonts w:ascii="Arial" w:eastAsia="Times New Roman" w:hAnsi="Arial" w:cs="Arial"/>
                <w:color w:val="000000"/>
                <w:sz w:val="18"/>
                <w:szCs w:val="18"/>
              </w:rPr>
              <w:t>)</w:t>
            </w:r>
          </w:p>
        </w:tc>
        <w:tc>
          <w:tcPr>
            <w:tcW w:w="1160" w:type="dxa"/>
            <w:tcBorders>
              <w:left w:val="nil"/>
              <w:bottom w:val="single" w:sz="4" w:space="0" w:color="auto"/>
              <w:right w:val="single" w:sz="4" w:space="0" w:color="auto"/>
            </w:tcBorders>
            <w:vAlign w:val="center"/>
          </w:tcPr>
          <w:p w:rsidR="00BC50CD" w:rsidRPr="00D9660F" w:rsidRDefault="00BC50CD" w:rsidP="001B2FB7">
            <w:pPr>
              <w:jc w:val="center"/>
              <w:rPr>
                <w:sz w:val="20"/>
                <w:szCs w:val="20"/>
              </w:rPr>
            </w:pPr>
            <w:r w:rsidRPr="00D9660F">
              <w:rPr>
                <w:sz w:val="20"/>
                <w:szCs w:val="20"/>
              </w:rPr>
              <w:t>335 (68%)</w:t>
            </w:r>
          </w:p>
        </w:tc>
        <w:tc>
          <w:tcPr>
            <w:tcW w:w="1329" w:type="dxa"/>
            <w:tcBorders>
              <w:left w:val="single" w:sz="4" w:space="0" w:color="auto"/>
              <w:bottom w:val="single" w:sz="4" w:space="0" w:color="auto"/>
              <w:right w:val="single" w:sz="4" w:space="0" w:color="auto"/>
            </w:tcBorders>
            <w:vAlign w:val="center"/>
          </w:tcPr>
          <w:p w:rsidR="00BC50CD" w:rsidRPr="00D9660F" w:rsidRDefault="00BC50CD" w:rsidP="001B2FB7">
            <w:pPr>
              <w:jc w:val="center"/>
              <w:rPr>
                <w:sz w:val="20"/>
                <w:szCs w:val="20"/>
              </w:rPr>
            </w:pPr>
            <w:r>
              <w:rPr>
                <w:sz w:val="20"/>
                <w:szCs w:val="20"/>
              </w:rPr>
              <w:t>P=&lt;0.001</w:t>
            </w:r>
          </w:p>
        </w:tc>
      </w:tr>
      <w:tr w:rsidR="00BC50CD" w:rsidTr="00FE5063">
        <w:trPr>
          <w:cantSplit/>
          <w:trHeight w:val="340"/>
        </w:trPr>
        <w:tc>
          <w:tcPr>
            <w:tcW w:w="4504" w:type="dxa"/>
            <w:tcBorders>
              <w:bottom w:val="single" w:sz="4" w:space="0" w:color="auto"/>
              <w:right w:val="single" w:sz="4" w:space="0" w:color="auto"/>
            </w:tcBorders>
            <w:vAlign w:val="center"/>
          </w:tcPr>
          <w:p w:rsidR="00BC50CD" w:rsidRPr="008D0739" w:rsidRDefault="00BC50CD" w:rsidP="00ED2136">
            <w:pPr>
              <w:rPr>
                <w:b/>
                <w:sz w:val="20"/>
                <w:szCs w:val="20"/>
              </w:rPr>
            </w:pPr>
            <w:r w:rsidRPr="008D0739">
              <w:rPr>
                <w:b/>
                <w:sz w:val="20"/>
                <w:szCs w:val="20"/>
              </w:rPr>
              <w:t>Considering making a will</w:t>
            </w:r>
          </w:p>
        </w:tc>
        <w:tc>
          <w:tcPr>
            <w:tcW w:w="1159" w:type="dxa"/>
            <w:tcBorders>
              <w:top w:val="single" w:sz="4" w:space="0" w:color="auto"/>
              <w:left w:val="single" w:sz="4" w:space="0" w:color="auto"/>
              <w:bottom w:val="single" w:sz="4" w:space="0" w:color="auto"/>
              <w:right w:val="nil"/>
            </w:tcBorders>
            <w:vAlign w:val="center"/>
          </w:tcPr>
          <w:p w:rsidR="00BC50CD" w:rsidRDefault="00BC50CD" w:rsidP="002611F6">
            <w:pPr>
              <w:jc w:val="center"/>
              <w:rPr>
                <w:rFonts w:ascii="Arial" w:eastAsia="Times New Roman" w:hAnsi="Arial" w:cs="Arial"/>
                <w:color w:val="000000"/>
                <w:sz w:val="18"/>
                <w:szCs w:val="18"/>
              </w:rPr>
            </w:pPr>
          </w:p>
          <w:p w:rsidR="00BC50CD" w:rsidRPr="009A06A4" w:rsidRDefault="00BC50CD" w:rsidP="002611F6">
            <w:pPr>
              <w:jc w:val="center"/>
              <w:rPr>
                <w:rFonts w:ascii="Arial" w:eastAsia="Times New Roman" w:hAnsi="Arial" w:cs="Arial"/>
                <w:color w:val="000000"/>
                <w:sz w:val="18"/>
                <w:szCs w:val="18"/>
              </w:rPr>
            </w:pPr>
            <w:r w:rsidRPr="009A06A4">
              <w:rPr>
                <w:rFonts w:ascii="Arial" w:eastAsia="Times New Roman" w:hAnsi="Arial" w:cs="Arial"/>
                <w:color w:val="000000"/>
                <w:sz w:val="18"/>
                <w:szCs w:val="18"/>
              </w:rPr>
              <w:t>27</w:t>
            </w:r>
            <w:r>
              <w:rPr>
                <w:rFonts w:ascii="Arial" w:eastAsia="Times New Roman" w:hAnsi="Arial" w:cs="Arial"/>
                <w:color w:val="000000"/>
                <w:sz w:val="18"/>
                <w:szCs w:val="18"/>
              </w:rPr>
              <w:t xml:space="preserve"> (58%)</w:t>
            </w:r>
          </w:p>
        </w:tc>
        <w:tc>
          <w:tcPr>
            <w:tcW w:w="1159" w:type="dxa"/>
            <w:tcBorders>
              <w:top w:val="single" w:sz="4" w:space="0" w:color="auto"/>
              <w:left w:val="nil"/>
              <w:bottom w:val="single" w:sz="4" w:space="0" w:color="auto"/>
              <w:right w:val="nil"/>
            </w:tcBorders>
            <w:shd w:val="clear" w:color="000000" w:fill="FFFFFF"/>
            <w:vAlign w:val="center"/>
          </w:tcPr>
          <w:p w:rsidR="00BC50CD" w:rsidRDefault="00BC50CD" w:rsidP="001B2FB7">
            <w:pPr>
              <w:jc w:val="center"/>
              <w:rPr>
                <w:rFonts w:ascii="Arial" w:eastAsia="Times New Roman" w:hAnsi="Arial" w:cs="Arial"/>
                <w:color w:val="000000"/>
                <w:sz w:val="18"/>
                <w:szCs w:val="18"/>
              </w:rPr>
            </w:pPr>
          </w:p>
          <w:p w:rsidR="00BC50CD" w:rsidRPr="009A06A4" w:rsidRDefault="00BC50CD" w:rsidP="001B2FB7">
            <w:pPr>
              <w:jc w:val="center"/>
              <w:rPr>
                <w:rFonts w:ascii="Arial" w:eastAsia="Times New Roman" w:hAnsi="Arial" w:cs="Arial"/>
                <w:color w:val="000000"/>
                <w:sz w:val="18"/>
                <w:szCs w:val="18"/>
              </w:rPr>
            </w:pPr>
            <w:r w:rsidRPr="009A06A4">
              <w:rPr>
                <w:rFonts w:ascii="Arial" w:eastAsia="Times New Roman" w:hAnsi="Arial" w:cs="Arial"/>
                <w:color w:val="000000"/>
                <w:sz w:val="18"/>
                <w:szCs w:val="18"/>
              </w:rPr>
              <w:t>29</w:t>
            </w:r>
            <w:r>
              <w:rPr>
                <w:rFonts w:ascii="Arial" w:eastAsia="Times New Roman" w:hAnsi="Arial" w:cs="Arial"/>
                <w:color w:val="000000"/>
                <w:sz w:val="18"/>
                <w:szCs w:val="18"/>
              </w:rPr>
              <w:t xml:space="preserve"> (56%)</w:t>
            </w:r>
          </w:p>
        </w:tc>
        <w:tc>
          <w:tcPr>
            <w:tcW w:w="1160" w:type="dxa"/>
            <w:tcBorders>
              <w:top w:val="single" w:sz="4" w:space="0" w:color="auto"/>
              <w:left w:val="nil"/>
              <w:bottom w:val="single" w:sz="4" w:space="0" w:color="auto"/>
              <w:right w:val="nil"/>
            </w:tcBorders>
            <w:shd w:val="clear" w:color="000000" w:fill="FFFFFF"/>
            <w:vAlign w:val="center"/>
          </w:tcPr>
          <w:p w:rsidR="00BC50CD" w:rsidRDefault="00BC50CD" w:rsidP="001B2FB7">
            <w:pPr>
              <w:jc w:val="center"/>
              <w:rPr>
                <w:rFonts w:ascii="Arial" w:eastAsia="Times New Roman" w:hAnsi="Arial" w:cs="Arial"/>
                <w:color w:val="000000"/>
                <w:sz w:val="18"/>
                <w:szCs w:val="18"/>
              </w:rPr>
            </w:pPr>
          </w:p>
          <w:p w:rsidR="00BC50CD" w:rsidRPr="009A06A4" w:rsidRDefault="00BC50CD" w:rsidP="001B2FB7">
            <w:pPr>
              <w:jc w:val="center"/>
              <w:rPr>
                <w:rFonts w:ascii="Arial" w:eastAsia="Times New Roman" w:hAnsi="Arial" w:cs="Arial"/>
                <w:color w:val="000000"/>
                <w:sz w:val="18"/>
                <w:szCs w:val="18"/>
              </w:rPr>
            </w:pPr>
            <w:r w:rsidRPr="009A06A4">
              <w:rPr>
                <w:rFonts w:ascii="Arial" w:eastAsia="Times New Roman" w:hAnsi="Arial" w:cs="Arial"/>
                <w:color w:val="000000"/>
                <w:sz w:val="18"/>
                <w:szCs w:val="18"/>
              </w:rPr>
              <w:t>29</w:t>
            </w:r>
            <w:r>
              <w:rPr>
                <w:rFonts w:ascii="Arial" w:eastAsia="Times New Roman" w:hAnsi="Arial" w:cs="Arial"/>
                <w:color w:val="000000"/>
                <w:sz w:val="18"/>
                <w:szCs w:val="18"/>
              </w:rPr>
              <w:t xml:space="preserve"> (41%)</w:t>
            </w:r>
          </w:p>
        </w:tc>
        <w:tc>
          <w:tcPr>
            <w:tcW w:w="1159" w:type="dxa"/>
            <w:tcBorders>
              <w:top w:val="single" w:sz="4" w:space="0" w:color="auto"/>
              <w:left w:val="nil"/>
              <w:bottom w:val="single" w:sz="4" w:space="0" w:color="auto"/>
              <w:right w:val="nil"/>
            </w:tcBorders>
            <w:shd w:val="clear" w:color="000000" w:fill="FFFFFF"/>
            <w:vAlign w:val="center"/>
          </w:tcPr>
          <w:p w:rsidR="00BC50CD" w:rsidRDefault="00BC50CD" w:rsidP="001B2FB7">
            <w:pPr>
              <w:jc w:val="center"/>
              <w:rPr>
                <w:rFonts w:ascii="Arial" w:eastAsia="Times New Roman" w:hAnsi="Arial" w:cs="Arial"/>
                <w:color w:val="000000"/>
                <w:sz w:val="18"/>
                <w:szCs w:val="18"/>
              </w:rPr>
            </w:pPr>
          </w:p>
          <w:p w:rsidR="00BC50CD" w:rsidRPr="009A06A4" w:rsidRDefault="00BC50CD" w:rsidP="001B2FB7">
            <w:pPr>
              <w:jc w:val="center"/>
              <w:rPr>
                <w:rFonts w:ascii="Arial" w:eastAsia="Times New Roman" w:hAnsi="Arial" w:cs="Arial"/>
                <w:color w:val="000000"/>
                <w:sz w:val="18"/>
                <w:szCs w:val="18"/>
              </w:rPr>
            </w:pPr>
            <w:r w:rsidRPr="009A06A4">
              <w:rPr>
                <w:rFonts w:ascii="Arial" w:eastAsia="Times New Roman" w:hAnsi="Arial" w:cs="Arial"/>
                <w:color w:val="000000"/>
                <w:sz w:val="18"/>
                <w:szCs w:val="18"/>
              </w:rPr>
              <w:t>20</w:t>
            </w:r>
            <w:r>
              <w:rPr>
                <w:rFonts w:ascii="Arial" w:eastAsia="Times New Roman" w:hAnsi="Arial" w:cs="Arial"/>
                <w:color w:val="000000"/>
                <w:sz w:val="18"/>
                <w:szCs w:val="18"/>
              </w:rPr>
              <w:t xml:space="preserve"> (19%)</w:t>
            </w:r>
          </w:p>
        </w:tc>
        <w:tc>
          <w:tcPr>
            <w:tcW w:w="1160" w:type="dxa"/>
            <w:tcBorders>
              <w:top w:val="single" w:sz="4" w:space="0" w:color="auto"/>
              <w:left w:val="nil"/>
              <w:bottom w:val="single" w:sz="4" w:space="0" w:color="auto"/>
              <w:right w:val="nil"/>
            </w:tcBorders>
            <w:shd w:val="clear" w:color="000000" w:fill="FFFFFF"/>
            <w:vAlign w:val="center"/>
          </w:tcPr>
          <w:p w:rsidR="00BC50CD" w:rsidRDefault="00BC50CD" w:rsidP="001B2FB7">
            <w:pPr>
              <w:jc w:val="center"/>
              <w:rPr>
                <w:rFonts w:ascii="Arial" w:eastAsia="Times New Roman" w:hAnsi="Arial" w:cs="Arial"/>
                <w:color w:val="000000"/>
                <w:sz w:val="18"/>
                <w:szCs w:val="18"/>
              </w:rPr>
            </w:pPr>
          </w:p>
          <w:p w:rsidR="00BC50CD" w:rsidRPr="009A06A4" w:rsidRDefault="00BC50CD" w:rsidP="001B2FB7">
            <w:pPr>
              <w:jc w:val="center"/>
              <w:rPr>
                <w:rFonts w:ascii="Arial" w:eastAsia="Times New Roman" w:hAnsi="Arial" w:cs="Arial"/>
                <w:color w:val="000000"/>
                <w:sz w:val="18"/>
                <w:szCs w:val="18"/>
              </w:rPr>
            </w:pPr>
            <w:r w:rsidRPr="009A06A4">
              <w:rPr>
                <w:rFonts w:ascii="Arial" w:eastAsia="Times New Roman" w:hAnsi="Arial" w:cs="Arial"/>
                <w:color w:val="000000"/>
                <w:sz w:val="18"/>
                <w:szCs w:val="18"/>
              </w:rPr>
              <w:t>12</w:t>
            </w:r>
            <w:r>
              <w:rPr>
                <w:rFonts w:ascii="Arial" w:eastAsia="Times New Roman" w:hAnsi="Arial" w:cs="Arial"/>
                <w:color w:val="000000"/>
                <w:sz w:val="18"/>
                <w:szCs w:val="18"/>
              </w:rPr>
              <w:t xml:space="preserve"> (8%)</w:t>
            </w:r>
          </w:p>
        </w:tc>
        <w:tc>
          <w:tcPr>
            <w:tcW w:w="1159" w:type="dxa"/>
            <w:tcBorders>
              <w:top w:val="single" w:sz="4" w:space="0" w:color="auto"/>
              <w:left w:val="nil"/>
              <w:bottom w:val="single" w:sz="4" w:space="0" w:color="auto"/>
              <w:right w:val="nil"/>
            </w:tcBorders>
            <w:shd w:val="clear" w:color="000000" w:fill="FFFFFF"/>
            <w:vAlign w:val="center"/>
          </w:tcPr>
          <w:p w:rsidR="00BC50CD" w:rsidRDefault="00BC50CD">
            <w:pPr>
              <w:jc w:val="center"/>
              <w:rPr>
                <w:rFonts w:ascii="Arial" w:eastAsia="Times New Roman" w:hAnsi="Arial" w:cs="Arial"/>
                <w:color w:val="000000"/>
                <w:sz w:val="18"/>
                <w:szCs w:val="18"/>
              </w:rPr>
            </w:pPr>
          </w:p>
          <w:p w:rsidR="00BC50CD" w:rsidRPr="009A06A4" w:rsidRDefault="00BC50CD">
            <w:pPr>
              <w:jc w:val="center"/>
              <w:rPr>
                <w:rFonts w:ascii="Arial" w:eastAsia="Times New Roman" w:hAnsi="Arial" w:cs="Arial"/>
                <w:color w:val="000000"/>
                <w:sz w:val="18"/>
                <w:szCs w:val="18"/>
              </w:rPr>
            </w:pPr>
            <w:r w:rsidRPr="009A06A4">
              <w:rPr>
                <w:rFonts w:ascii="Arial" w:eastAsia="Times New Roman" w:hAnsi="Arial" w:cs="Arial"/>
                <w:color w:val="000000"/>
                <w:sz w:val="18"/>
                <w:szCs w:val="18"/>
              </w:rPr>
              <w:t>2</w:t>
            </w:r>
            <w:r>
              <w:rPr>
                <w:rFonts w:ascii="Arial" w:eastAsia="Times New Roman" w:hAnsi="Arial" w:cs="Arial"/>
                <w:color w:val="000000"/>
                <w:sz w:val="18"/>
                <w:szCs w:val="18"/>
              </w:rPr>
              <w:t xml:space="preserve"> (3%)</w:t>
            </w:r>
          </w:p>
        </w:tc>
        <w:tc>
          <w:tcPr>
            <w:tcW w:w="1160" w:type="dxa"/>
            <w:tcBorders>
              <w:top w:val="single" w:sz="4" w:space="0" w:color="auto"/>
              <w:left w:val="nil"/>
              <w:bottom w:val="single" w:sz="4" w:space="0" w:color="auto"/>
              <w:right w:val="single" w:sz="4" w:space="0" w:color="auto"/>
            </w:tcBorders>
            <w:vAlign w:val="center"/>
          </w:tcPr>
          <w:p w:rsidR="00BC50CD" w:rsidRPr="00D9660F" w:rsidRDefault="00BC50CD">
            <w:pPr>
              <w:jc w:val="center"/>
              <w:rPr>
                <w:sz w:val="20"/>
                <w:szCs w:val="20"/>
              </w:rPr>
            </w:pPr>
            <w:r w:rsidRPr="00D9660F">
              <w:rPr>
                <w:sz w:val="20"/>
                <w:szCs w:val="20"/>
              </w:rPr>
              <w:t>119 (24%)</w:t>
            </w:r>
          </w:p>
        </w:tc>
        <w:tc>
          <w:tcPr>
            <w:tcW w:w="1329" w:type="dxa"/>
            <w:tcBorders>
              <w:top w:val="single" w:sz="4" w:space="0" w:color="auto"/>
              <w:left w:val="single" w:sz="4" w:space="0" w:color="auto"/>
              <w:bottom w:val="single" w:sz="4" w:space="0" w:color="auto"/>
              <w:right w:val="single" w:sz="4" w:space="0" w:color="auto"/>
            </w:tcBorders>
            <w:vAlign w:val="center"/>
          </w:tcPr>
          <w:p w:rsidR="00BC50CD" w:rsidRPr="00D9660F" w:rsidRDefault="00BC50CD" w:rsidP="001B2FB7">
            <w:pPr>
              <w:jc w:val="center"/>
              <w:rPr>
                <w:sz w:val="20"/>
                <w:szCs w:val="20"/>
              </w:rPr>
            </w:pPr>
            <w:r>
              <w:rPr>
                <w:sz w:val="20"/>
                <w:szCs w:val="20"/>
              </w:rPr>
              <w:t>P=&lt;0.001</w:t>
            </w:r>
          </w:p>
        </w:tc>
      </w:tr>
      <w:tr w:rsidR="00BC50CD" w:rsidTr="00FE5063">
        <w:trPr>
          <w:cantSplit/>
          <w:trHeight w:val="340"/>
        </w:trPr>
        <w:tc>
          <w:tcPr>
            <w:tcW w:w="4504" w:type="dxa"/>
            <w:tcBorders>
              <w:right w:val="single" w:sz="4" w:space="0" w:color="auto"/>
            </w:tcBorders>
            <w:vAlign w:val="center"/>
          </w:tcPr>
          <w:p w:rsidR="00BC50CD" w:rsidRPr="008D0739" w:rsidRDefault="00BC50CD" w:rsidP="00ED2136">
            <w:pPr>
              <w:rPr>
                <w:b/>
                <w:sz w:val="20"/>
                <w:szCs w:val="20"/>
              </w:rPr>
            </w:pPr>
            <w:r w:rsidRPr="008D0739">
              <w:rPr>
                <w:b/>
                <w:sz w:val="20"/>
                <w:szCs w:val="20"/>
              </w:rPr>
              <w:t xml:space="preserve">No will and not considering making one </w:t>
            </w:r>
          </w:p>
        </w:tc>
        <w:tc>
          <w:tcPr>
            <w:tcW w:w="1159" w:type="dxa"/>
            <w:tcBorders>
              <w:top w:val="single" w:sz="4" w:space="0" w:color="auto"/>
              <w:left w:val="single" w:sz="4" w:space="0" w:color="auto"/>
              <w:bottom w:val="single" w:sz="4" w:space="0" w:color="auto"/>
              <w:right w:val="nil"/>
            </w:tcBorders>
            <w:vAlign w:val="center"/>
          </w:tcPr>
          <w:p w:rsidR="00BC50CD" w:rsidRDefault="00BC50CD" w:rsidP="002611F6">
            <w:pPr>
              <w:jc w:val="center"/>
              <w:rPr>
                <w:rFonts w:ascii="Arial" w:eastAsia="Times New Roman" w:hAnsi="Arial" w:cs="Arial"/>
                <w:color w:val="000000"/>
                <w:sz w:val="18"/>
                <w:szCs w:val="18"/>
              </w:rPr>
            </w:pPr>
          </w:p>
          <w:p w:rsidR="00BC50CD" w:rsidRPr="009A06A4" w:rsidRDefault="00BC50CD" w:rsidP="001B2FB7">
            <w:pPr>
              <w:jc w:val="center"/>
              <w:rPr>
                <w:rFonts w:ascii="Arial" w:eastAsia="Times New Roman" w:hAnsi="Arial" w:cs="Arial"/>
                <w:color w:val="000000"/>
                <w:sz w:val="18"/>
                <w:szCs w:val="18"/>
              </w:rPr>
            </w:pPr>
            <w:r w:rsidRPr="009A06A4">
              <w:rPr>
                <w:rFonts w:ascii="Arial" w:eastAsia="Times New Roman" w:hAnsi="Arial" w:cs="Arial"/>
                <w:color w:val="000000"/>
                <w:sz w:val="18"/>
                <w:szCs w:val="18"/>
              </w:rPr>
              <w:t>21</w:t>
            </w:r>
            <w:r>
              <w:rPr>
                <w:rFonts w:ascii="Arial" w:eastAsia="Times New Roman" w:hAnsi="Arial" w:cs="Arial"/>
                <w:color w:val="000000"/>
                <w:sz w:val="18"/>
                <w:szCs w:val="18"/>
              </w:rPr>
              <w:t xml:space="preserve"> (42%)</w:t>
            </w:r>
          </w:p>
        </w:tc>
        <w:tc>
          <w:tcPr>
            <w:tcW w:w="1159" w:type="dxa"/>
            <w:tcBorders>
              <w:top w:val="single" w:sz="4" w:space="0" w:color="auto"/>
              <w:left w:val="nil"/>
              <w:bottom w:val="single" w:sz="4" w:space="0" w:color="auto"/>
              <w:right w:val="nil"/>
            </w:tcBorders>
            <w:shd w:val="clear" w:color="000000" w:fill="FFFFFF"/>
            <w:vAlign w:val="center"/>
          </w:tcPr>
          <w:p w:rsidR="00BC50CD" w:rsidRDefault="00BC50CD" w:rsidP="001B2FB7">
            <w:pPr>
              <w:jc w:val="center"/>
              <w:rPr>
                <w:rFonts w:ascii="Arial" w:eastAsia="Times New Roman" w:hAnsi="Arial" w:cs="Arial"/>
                <w:color w:val="000000"/>
                <w:sz w:val="18"/>
                <w:szCs w:val="18"/>
              </w:rPr>
            </w:pPr>
          </w:p>
          <w:p w:rsidR="00BC50CD" w:rsidRPr="009A06A4" w:rsidRDefault="00BC50CD" w:rsidP="001B2FB7">
            <w:pPr>
              <w:jc w:val="center"/>
              <w:rPr>
                <w:rFonts w:ascii="Arial" w:eastAsia="Times New Roman" w:hAnsi="Arial" w:cs="Arial"/>
                <w:color w:val="000000"/>
                <w:sz w:val="18"/>
                <w:szCs w:val="18"/>
              </w:rPr>
            </w:pPr>
            <w:r w:rsidRPr="009A06A4">
              <w:rPr>
                <w:rFonts w:ascii="Arial" w:eastAsia="Times New Roman" w:hAnsi="Arial" w:cs="Arial"/>
                <w:color w:val="000000"/>
                <w:sz w:val="18"/>
                <w:szCs w:val="18"/>
              </w:rPr>
              <w:t>5</w:t>
            </w:r>
            <w:r>
              <w:rPr>
                <w:rFonts w:ascii="Arial" w:eastAsia="Times New Roman" w:hAnsi="Arial" w:cs="Arial"/>
                <w:color w:val="000000"/>
                <w:sz w:val="18"/>
                <w:szCs w:val="18"/>
              </w:rPr>
              <w:t xml:space="preserve"> (10%)</w:t>
            </w:r>
          </w:p>
        </w:tc>
        <w:tc>
          <w:tcPr>
            <w:tcW w:w="1160" w:type="dxa"/>
            <w:tcBorders>
              <w:top w:val="single" w:sz="4" w:space="0" w:color="auto"/>
              <w:left w:val="nil"/>
              <w:bottom w:val="single" w:sz="4" w:space="0" w:color="auto"/>
              <w:right w:val="nil"/>
            </w:tcBorders>
            <w:shd w:val="clear" w:color="000000" w:fill="FFFFFF"/>
            <w:vAlign w:val="center"/>
          </w:tcPr>
          <w:p w:rsidR="00BC50CD" w:rsidRDefault="00BC50CD" w:rsidP="001B2FB7">
            <w:pPr>
              <w:jc w:val="center"/>
              <w:rPr>
                <w:rFonts w:ascii="Arial" w:eastAsia="Times New Roman" w:hAnsi="Arial" w:cs="Arial"/>
                <w:color w:val="000000"/>
                <w:sz w:val="18"/>
                <w:szCs w:val="18"/>
              </w:rPr>
            </w:pPr>
          </w:p>
          <w:p w:rsidR="00BC50CD" w:rsidRPr="009A06A4" w:rsidRDefault="00BC50CD" w:rsidP="001B2FB7">
            <w:pPr>
              <w:jc w:val="center"/>
              <w:rPr>
                <w:rFonts w:ascii="Arial" w:eastAsia="Times New Roman" w:hAnsi="Arial" w:cs="Arial"/>
                <w:color w:val="000000"/>
                <w:sz w:val="18"/>
                <w:szCs w:val="18"/>
              </w:rPr>
            </w:pPr>
            <w:r w:rsidRPr="009A06A4">
              <w:rPr>
                <w:rFonts w:ascii="Arial" w:eastAsia="Times New Roman" w:hAnsi="Arial" w:cs="Arial"/>
                <w:color w:val="000000"/>
                <w:sz w:val="18"/>
                <w:szCs w:val="18"/>
              </w:rPr>
              <w:t>6</w:t>
            </w:r>
            <w:r>
              <w:rPr>
                <w:rFonts w:ascii="Arial" w:eastAsia="Times New Roman" w:hAnsi="Arial" w:cs="Arial"/>
                <w:color w:val="000000"/>
                <w:sz w:val="18"/>
                <w:szCs w:val="18"/>
              </w:rPr>
              <w:t xml:space="preserve"> (9%)</w:t>
            </w:r>
          </w:p>
        </w:tc>
        <w:tc>
          <w:tcPr>
            <w:tcW w:w="1159" w:type="dxa"/>
            <w:tcBorders>
              <w:top w:val="single" w:sz="4" w:space="0" w:color="auto"/>
              <w:left w:val="nil"/>
              <w:bottom w:val="single" w:sz="4" w:space="0" w:color="auto"/>
              <w:right w:val="nil"/>
            </w:tcBorders>
            <w:shd w:val="clear" w:color="000000" w:fill="FFFFFF"/>
            <w:vAlign w:val="center"/>
          </w:tcPr>
          <w:p w:rsidR="00BC50CD" w:rsidRDefault="00BC50CD" w:rsidP="001B2FB7">
            <w:pPr>
              <w:jc w:val="center"/>
              <w:rPr>
                <w:rFonts w:ascii="Arial" w:eastAsia="Times New Roman" w:hAnsi="Arial" w:cs="Arial"/>
                <w:color w:val="000000"/>
                <w:sz w:val="18"/>
                <w:szCs w:val="18"/>
              </w:rPr>
            </w:pPr>
          </w:p>
          <w:p w:rsidR="00BC50CD" w:rsidRPr="009A06A4" w:rsidRDefault="00BC50CD" w:rsidP="001B2FB7">
            <w:pPr>
              <w:jc w:val="center"/>
              <w:rPr>
                <w:rFonts w:ascii="Arial" w:eastAsia="Times New Roman" w:hAnsi="Arial" w:cs="Arial"/>
                <w:color w:val="000000"/>
                <w:sz w:val="18"/>
                <w:szCs w:val="18"/>
              </w:rPr>
            </w:pPr>
            <w:r w:rsidRPr="009A06A4">
              <w:rPr>
                <w:rFonts w:ascii="Arial" w:eastAsia="Times New Roman" w:hAnsi="Arial" w:cs="Arial"/>
                <w:color w:val="000000"/>
                <w:sz w:val="18"/>
                <w:szCs w:val="18"/>
              </w:rPr>
              <w:t>5</w:t>
            </w:r>
            <w:r>
              <w:rPr>
                <w:rFonts w:ascii="Arial" w:eastAsia="Times New Roman" w:hAnsi="Arial" w:cs="Arial"/>
                <w:color w:val="000000"/>
                <w:sz w:val="18"/>
                <w:szCs w:val="18"/>
              </w:rPr>
              <w:t xml:space="preserve"> (5%)</w:t>
            </w:r>
          </w:p>
        </w:tc>
        <w:tc>
          <w:tcPr>
            <w:tcW w:w="1160" w:type="dxa"/>
            <w:tcBorders>
              <w:top w:val="single" w:sz="4" w:space="0" w:color="auto"/>
              <w:left w:val="nil"/>
              <w:bottom w:val="single" w:sz="4" w:space="0" w:color="auto"/>
              <w:right w:val="nil"/>
            </w:tcBorders>
            <w:shd w:val="clear" w:color="000000" w:fill="FFFFFF"/>
            <w:vAlign w:val="center"/>
          </w:tcPr>
          <w:p w:rsidR="00BC50CD" w:rsidRDefault="00BC50CD" w:rsidP="001B2FB7">
            <w:pPr>
              <w:jc w:val="center"/>
              <w:rPr>
                <w:rFonts w:ascii="Arial" w:eastAsia="Times New Roman" w:hAnsi="Arial" w:cs="Arial"/>
                <w:color w:val="000000"/>
                <w:sz w:val="18"/>
                <w:szCs w:val="18"/>
              </w:rPr>
            </w:pPr>
          </w:p>
          <w:p w:rsidR="00BC50CD" w:rsidRPr="009A06A4" w:rsidRDefault="00BC50CD">
            <w:pPr>
              <w:jc w:val="center"/>
              <w:rPr>
                <w:rFonts w:ascii="Arial" w:eastAsia="Times New Roman" w:hAnsi="Arial" w:cs="Arial"/>
                <w:color w:val="000000"/>
                <w:sz w:val="18"/>
                <w:szCs w:val="18"/>
              </w:rPr>
            </w:pPr>
            <w:r w:rsidRPr="009A06A4">
              <w:rPr>
                <w:rFonts w:ascii="Arial" w:eastAsia="Times New Roman" w:hAnsi="Arial" w:cs="Arial"/>
                <w:color w:val="000000"/>
                <w:sz w:val="18"/>
                <w:szCs w:val="18"/>
              </w:rPr>
              <w:t>3</w:t>
            </w:r>
            <w:r>
              <w:rPr>
                <w:rFonts w:ascii="Arial" w:eastAsia="Times New Roman" w:hAnsi="Arial" w:cs="Arial"/>
                <w:color w:val="000000"/>
                <w:sz w:val="18"/>
                <w:szCs w:val="18"/>
              </w:rPr>
              <w:t xml:space="preserve"> (2%)</w:t>
            </w:r>
          </w:p>
        </w:tc>
        <w:tc>
          <w:tcPr>
            <w:tcW w:w="1159" w:type="dxa"/>
            <w:tcBorders>
              <w:top w:val="single" w:sz="4" w:space="0" w:color="auto"/>
              <w:left w:val="nil"/>
              <w:bottom w:val="single" w:sz="4" w:space="0" w:color="auto"/>
              <w:right w:val="nil"/>
            </w:tcBorders>
            <w:shd w:val="clear" w:color="000000" w:fill="FFFFFF"/>
            <w:vAlign w:val="center"/>
          </w:tcPr>
          <w:p w:rsidR="00BC50CD" w:rsidRDefault="00BC50CD">
            <w:pPr>
              <w:jc w:val="center"/>
              <w:rPr>
                <w:rFonts w:ascii="Arial" w:eastAsia="Times New Roman" w:hAnsi="Arial" w:cs="Arial"/>
                <w:color w:val="000000"/>
                <w:sz w:val="18"/>
                <w:szCs w:val="18"/>
              </w:rPr>
            </w:pPr>
          </w:p>
          <w:p w:rsidR="00BC50CD" w:rsidRPr="009A06A4" w:rsidRDefault="00BC50CD">
            <w:pPr>
              <w:jc w:val="center"/>
              <w:rPr>
                <w:rFonts w:ascii="Arial" w:eastAsia="Times New Roman" w:hAnsi="Arial" w:cs="Arial"/>
                <w:color w:val="000000"/>
                <w:sz w:val="18"/>
                <w:szCs w:val="18"/>
              </w:rPr>
            </w:pPr>
            <w:r w:rsidRPr="009A06A4">
              <w:rPr>
                <w:rFonts w:ascii="Arial" w:eastAsia="Times New Roman" w:hAnsi="Arial" w:cs="Arial"/>
                <w:color w:val="000000"/>
                <w:sz w:val="18"/>
                <w:szCs w:val="18"/>
              </w:rPr>
              <w:t>2</w:t>
            </w:r>
            <w:r>
              <w:rPr>
                <w:rFonts w:ascii="Arial" w:eastAsia="Times New Roman" w:hAnsi="Arial" w:cs="Arial"/>
                <w:color w:val="000000"/>
                <w:sz w:val="18"/>
                <w:szCs w:val="18"/>
              </w:rPr>
              <w:t xml:space="preserve"> (3%)</w:t>
            </w:r>
          </w:p>
        </w:tc>
        <w:tc>
          <w:tcPr>
            <w:tcW w:w="1160" w:type="dxa"/>
            <w:tcBorders>
              <w:top w:val="single" w:sz="4" w:space="0" w:color="auto"/>
              <w:left w:val="nil"/>
              <w:bottom w:val="single" w:sz="4" w:space="0" w:color="auto"/>
              <w:right w:val="single" w:sz="4" w:space="0" w:color="auto"/>
            </w:tcBorders>
            <w:vAlign w:val="center"/>
          </w:tcPr>
          <w:p w:rsidR="00BC50CD" w:rsidRPr="00D9660F" w:rsidRDefault="00BC50CD">
            <w:pPr>
              <w:jc w:val="center"/>
              <w:rPr>
                <w:sz w:val="20"/>
                <w:szCs w:val="20"/>
              </w:rPr>
            </w:pPr>
            <w:r w:rsidRPr="00D9660F">
              <w:rPr>
                <w:sz w:val="20"/>
                <w:szCs w:val="20"/>
              </w:rPr>
              <w:t>42 (8%)</w:t>
            </w:r>
          </w:p>
        </w:tc>
        <w:tc>
          <w:tcPr>
            <w:tcW w:w="1329" w:type="dxa"/>
            <w:tcBorders>
              <w:top w:val="single" w:sz="4" w:space="0" w:color="auto"/>
              <w:left w:val="single" w:sz="4" w:space="0" w:color="auto"/>
              <w:bottom w:val="single" w:sz="4" w:space="0" w:color="auto"/>
              <w:right w:val="single" w:sz="4" w:space="0" w:color="auto"/>
            </w:tcBorders>
            <w:vAlign w:val="center"/>
          </w:tcPr>
          <w:p w:rsidR="00BC50CD" w:rsidRPr="00D9660F" w:rsidRDefault="00BC50CD" w:rsidP="001B2FB7">
            <w:pPr>
              <w:jc w:val="center"/>
              <w:rPr>
                <w:sz w:val="20"/>
                <w:szCs w:val="20"/>
              </w:rPr>
            </w:pPr>
            <w:r>
              <w:rPr>
                <w:sz w:val="20"/>
                <w:szCs w:val="20"/>
              </w:rPr>
              <w:t>P=&lt;0.001</w:t>
            </w:r>
          </w:p>
        </w:tc>
      </w:tr>
      <w:tr w:rsidR="00BC50CD" w:rsidTr="00FE5063">
        <w:trPr>
          <w:cantSplit/>
          <w:trHeight w:val="284"/>
        </w:trPr>
        <w:tc>
          <w:tcPr>
            <w:tcW w:w="4504" w:type="dxa"/>
            <w:tcBorders>
              <w:bottom w:val="single" w:sz="4" w:space="0" w:color="auto"/>
              <w:right w:val="nil"/>
            </w:tcBorders>
            <w:vAlign w:val="center"/>
          </w:tcPr>
          <w:p w:rsidR="00BC50CD" w:rsidRDefault="00BC50CD" w:rsidP="00ED2136">
            <w:pPr>
              <w:rPr>
                <w:b/>
                <w:sz w:val="20"/>
                <w:szCs w:val="20"/>
              </w:rPr>
            </w:pPr>
          </w:p>
          <w:p w:rsidR="00BC50CD" w:rsidRPr="008D0739" w:rsidRDefault="00BC50CD" w:rsidP="00ED2136">
            <w:pPr>
              <w:rPr>
                <w:b/>
                <w:sz w:val="20"/>
                <w:szCs w:val="20"/>
              </w:rPr>
            </w:pPr>
          </w:p>
        </w:tc>
        <w:tc>
          <w:tcPr>
            <w:tcW w:w="1159" w:type="dxa"/>
            <w:tcBorders>
              <w:top w:val="single" w:sz="4" w:space="0" w:color="auto"/>
              <w:left w:val="nil"/>
              <w:bottom w:val="single" w:sz="4" w:space="0" w:color="auto"/>
              <w:right w:val="nil"/>
            </w:tcBorders>
            <w:vAlign w:val="center"/>
          </w:tcPr>
          <w:p w:rsidR="00BC50CD" w:rsidRPr="00724F13" w:rsidRDefault="00BC50CD" w:rsidP="002611F6">
            <w:pPr>
              <w:jc w:val="center"/>
              <w:rPr>
                <w:rFonts w:ascii="Arial" w:eastAsia="Times New Roman" w:hAnsi="Arial" w:cs="Arial"/>
                <w:b/>
                <w:color w:val="000000"/>
                <w:sz w:val="18"/>
                <w:szCs w:val="18"/>
              </w:rPr>
            </w:pPr>
          </w:p>
        </w:tc>
        <w:tc>
          <w:tcPr>
            <w:tcW w:w="1159" w:type="dxa"/>
            <w:tcBorders>
              <w:top w:val="single" w:sz="4" w:space="0" w:color="auto"/>
              <w:left w:val="nil"/>
              <w:bottom w:val="single" w:sz="4" w:space="0" w:color="auto"/>
              <w:right w:val="nil"/>
            </w:tcBorders>
            <w:shd w:val="clear" w:color="000000" w:fill="FFFFFF"/>
            <w:vAlign w:val="center"/>
          </w:tcPr>
          <w:p w:rsidR="00BC50CD" w:rsidRPr="00724F13" w:rsidRDefault="00BC50CD" w:rsidP="001B2FB7">
            <w:pPr>
              <w:jc w:val="center"/>
              <w:rPr>
                <w:rFonts w:ascii="Arial" w:eastAsia="Times New Roman" w:hAnsi="Arial" w:cs="Arial"/>
                <w:b/>
                <w:color w:val="000000"/>
                <w:sz w:val="18"/>
                <w:szCs w:val="18"/>
              </w:rPr>
            </w:pPr>
          </w:p>
        </w:tc>
        <w:tc>
          <w:tcPr>
            <w:tcW w:w="1160" w:type="dxa"/>
            <w:tcBorders>
              <w:top w:val="single" w:sz="4" w:space="0" w:color="auto"/>
              <w:left w:val="nil"/>
              <w:bottom w:val="single" w:sz="4" w:space="0" w:color="auto"/>
              <w:right w:val="nil"/>
            </w:tcBorders>
            <w:shd w:val="clear" w:color="000000" w:fill="FFFFFF"/>
            <w:vAlign w:val="center"/>
          </w:tcPr>
          <w:p w:rsidR="00BC50CD" w:rsidRPr="00724F13" w:rsidRDefault="00BC50CD" w:rsidP="001B2FB7">
            <w:pPr>
              <w:jc w:val="center"/>
              <w:rPr>
                <w:rFonts w:ascii="Arial" w:eastAsia="Times New Roman" w:hAnsi="Arial" w:cs="Arial"/>
                <w:b/>
                <w:color w:val="000000"/>
                <w:sz w:val="18"/>
                <w:szCs w:val="18"/>
              </w:rPr>
            </w:pPr>
          </w:p>
        </w:tc>
        <w:tc>
          <w:tcPr>
            <w:tcW w:w="1159" w:type="dxa"/>
            <w:tcBorders>
              <w:top w:val="single" w:sz="4" w:space="0" w:color="auto"/>
              <w:left w:val="nil"/>
              <w:bottom w:val="single" w:sz="4" w:space="0" w:color="auto"/>
              <w:right w:val="nil"/>
            </w:tcBorders>
            <w:shd w:val="clear" w:color="000000" w:fill="FFFFFF"/>
            <w:vAlign w:val="center"/>
          </w:tcPr>
          <w:p w:rsidR="00BC50CD" w:rsidRPr="00724F13" w:rsidRDefault="00BC50CD" w:rsidP="001B2FB7">
            <w:pPr>
              <w:jc w:val="center"/>
              <w:rPr>
                <w:rFonts w:ascii="Arial" w:eastAsia="Times New Roman" w:hAnsi="Arial" w:cs="Arial"/>
                <w:b/>
                <w:color w:val="000000"/>
                <w:sz w:val="18"/>
                <w:szCs w:val="18"/>
              </w:rPr>
            </w:pPr>
          </w:p>
        </w:tc>
        <w:tc>
          <w:tcPr>
            <w:tcW w:w="1160" w:type="dxa"/>
            <w:tcBorders>
              <w:top w:val="single" w:sz="4" w:space="0" w:color="auto"/>
              <w:left w:val="nil"/>
              <w:bottom w:val="single" w:sz="4" w:space="0" w:color="auto"/>
              <w:right w:val="nil"/>
            </w:tcBorders>
            <w:shd w:val="clear" w:color="000000" w:fill="FFFFFF"/>
            <w:vAlign w:val="center"/>
          </w:tcPr>
          <w:p w:rsidR="00BC50CD" w:rsidRPr="00724F13" w:rsidRDefault="00BC50CD" w:rsidP="001B2FB7">
            <w:pPr>
              <w:jc w:val="center"/>
              <w:rPr>
                <w:rFonts w:ascii="Arial" w:eastAsia="Times New Roman" w:hAnsi="Arial" w:cs="Arial"/>
                <w:b/>
                <w:color w:val="000000"/>
                <w:sz w:val="18"/>
                <w:szCs w:val="18"/>
              </w:rPr>
            </w:pPr>
          </w:p>
        </w:tc>
        <w:tc>
          <w:tcPr>
            <w:tcW w:w="1159" w:type="dxa"/>
            <w:tcBorders>
              <w:top w:val="single" w:sz="4" w:space="0" w:color="auto"/>
              <w:left w:val="nil"/>
              <w:bottom w:val="single" w:sz="4" w:space="0" w:color="auto"/>
              <w:right w:val="nil"/>
            </w:tcBorders>
            <w:shd w:val="clear" w:color="000000" w:fill="FFFFFF"/>
            <w:vAlign w:val="center"/>
          </w:tcPr>
          <w:p w:rsidR="00BC50CD" w:rsidRPr="00724F13" w:rsidRDefault="00BC50CD" w:rsidP="001B2FB7">
            <w:pPr>
              <w:jc w:val="center"/>
              <w:rPr>
                <w:rFonts w:ascii="Arial" w:eastAsia="Times New Roman" w:hAnsi="Arial" w:cs="Arial"/>
                <w:b/>
                <w:color w:val="000000"/>
                <w:sz w:val="18"/>
                <w:szCs w:val="18"/>
              </w:rPr>
            </w:pPr>
          </w:p>
        </w:tc>
        <w:tc>
          <w:tcPr>
            <w:tcW w:w="1160" w:type="dxa"/>
            <w:tcBorders>
              <w:top w:val="single" w:sz="4" w:space="0" w:color="auto"/>
              <w:left w:val="nil"/>
              <w:bottom w:val="single" w:sz="4" w:space="0" w:color="auto"/>
              <w:right w:val="nil"/>
            </w:tcBorders>
            <w:vAlign w:val="center"/>
          </w:tcPr>
          <w:p w:rsidR="00BC50CD" w:rsidRPr="00724F13" w:rsidRDefault="00BC50CD" w:rsidP="001B2FB7">
            <w:pPr>
              <w:jc w:val="center"/>
              <w:rPr>
                <w:b/>
                <w:sz w:val="20"/>
                <w:szCs w:val="20"/>
              </w:rPr>
            </w:pPr>
          </w:p>
        </w:tc>
        <w:tc>
          <w:tcPr>
            <w:tcW w:w="1329" w:type="dxa"/>
            <w:tcBorders>
              <w:top w:val="single" w:sz="4" w:space="0" w:color="auto"/>
              <w:left w:val="nil"/>
              <w:bottom w:val="single" w:sz="4" w:space="0" w:color="auto"/>
              <w:right w:val="single" w:sz="4" w:space="0" w:color="auto"/>
            </w:tcBorders>
            <w:vAlign w:val="center"/>
          </w:tcPr>
          <w:p w:rsidR="00BC50CD" w:rsidRDefault="00BC50CD" w:rsidP="001B2FB7">
            <w:pPr>
              <w:jc w:val="center"/>
              <w:rPr>
                <w:sz w:val="20"/>
                <w:szCs w:val="20"/>
              </w:rPr>
            </w:pPr>
          </w:p>
        </w:tc>
      </w:tr>
      <w:tr w:rsidR="00BC50CD" w:rsidTr="00FE5063">
        <w:trPr>
          <w:cantSplit/>
          <w:trHeight w:val="340"/>
        </w:trPr>
        <w:tc>
          <w:tcPr>
            <w:tcW w:w="4504" w:type="dxa"/>
            <w:tcBorders>
              <w:top w:val="single" w:sz="4" w:space="0" w:color="auto"/>
              <w:bottom w:val="single" w:sz="4" w:space="0" w:color="auto"/>
              <w:right w:val="single" w:sz="4" w:space="0" w:color="auto"/>
            </w:tcBorders>
            <w:vAlign w:val="center"/>
          </w:tcPr>
          <w:p w:rsidR="00BC50CD" w:rsidRPr="00720354" w:rsidRDefault="00BC50CD" w:rsidP="00ED2136">
            <w:pPr>
              <w:rPr>
                <w:rFonts w:cs="Arial"/>
                <w:b/>
                <w:sz w:val="20"/>
                <w:szCs w:val="20"/>
              </w:rPr>
            </w:pPr>
            <w:r>
              <w:rPr>
                <w:rFonts w:cs="Arial"/>
                <w:b/>
                <w:sz w:val="20"/>
                <w:szCs w:val="20"/>
              </w:rPr>
              <w:t>Discussed o</w:t>
            </w:r>
            <w:r w:rsidRPr="00720354">
              <w:rPr>
                <w:rFonts w:cs="Arial"/>
                <w:b/>
                <w:sz w:val="20"/>
                <w:szCs w:val="20"/>
              </w:rPr>
              <w:t>wn wishes for end of life care</w:t>
            </w:r>
          </w:p>
        </w:tc>
        <w:tc>
          <w:tcPr>
            <w:tcW w:w="1159" w:type="dxa"/>
            <w:tcBorders>
              <w:top w:val="single" w:sz="4" w:space="0" w:color="auto"/>
              <w:left w:val="single" w:sz="4" w:space="0" w:color="auto"/>
              <w:bottom w:val="single" w:sz="4" w:space="0" w:color="auto"/>
              <w:right w:val="none" w:sz="0" w:space="0" w:color="000000"/>
            </w:tcBorders>
            <w:vAlign w:val="center"/>
          </w:tcPr>
          <w:p w:rsidR="00BC50CD" w:rsidRPr="00720354" w:rsidRDefault="00BC50CD" w:rsidP="002611F6">
            <w:pPr>
              <w:jc w:val="center"/>
              <w:rPr>
                <w:rFonts w:cs="Arial"/>
                <w:sz w:val="20"/>
                <w:szCs w:val="20"/>
              </w:rPr>
            </w:pPr>
            <w:r w:rsidRPr="00720354">
              <w:rPr>
                <w:rFonts w:cs="Arial"/>
                <w:sz w:val="20"/>
                <w:szCs w:val="20"/>
              </w:rPr>
              <w:t>13 (27%)</w:t>
            </w:r>
          </w:p>
        </w:tc>
        <w:tc>
          <w:tcPr>
            <w:tcW w:w="1159"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20 (39%)</w:t>
            </w:r>
          </w:p>
        </w:tc>
        <w:tc>
          <w:tcPr>
            <w:tcW w:w="1160"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37 (52%)</w:t>
            </w:r>
          </w:p>
        </w:tc>
        <w:tc>
          <w:tcPr>
            <w:tcW w:w="1159"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57 (55%)</w:t>
            </w:r>
          </w:p>
        </w:tc>
        <w:tc>
          <w:tcPr>
            <w:tcW w:w="1160"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81 (55%)</w:t>
            </w:r>
          </w:p>
        </w:tc>
        <w:tc>
          <w:tcPr>
            <w:tcW w:w="1159"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44 (60%)</w:t>
            </w:r>
          </w:p>
        </w:tc>
        <w:tc>
          <w:tcPr>
            <w:tcW w:w="1160" w:type="dxa"/>
            <w:tcBorders>
              <w:top w:val="single" w:sz="4" w:space="0" w:color="auto"/>
              <w:left w:val="none" w:sz="0" w:space="0" w:color="000000"/>
              <w:bottom w:val="single" w:sz="4" w:space="0" w:color="auto"/>
            </w:tcBorders>
            <w:vAlign w:val="center"/>
          </w:tcPr>
          <w:p w:rsidR="00BC50CD" w:rsidRPr="00720354" w:rsidRDefault="00BC50CD" w:rsidP="001B2FB7">
            <w:pPr>
              <w:jc w:val="center"/>
              <w:rPr>
                <w:rFonts w:cs="Arial"/>
                <w:sz w:val="20"/>
                <w:szCs w:val="20"/>
              </w:rPr>
            </w:pPr>
            <w:r w:rsidRPr="00720354">
              <w:rPr>
                <w:rFonts w:cs="Arial"/>
                <w:sz w:val="20"/>
                <w:szCs w:val="20"/>
              </w:rPr>
              <w:t>252/495(51%)</w:t>
            </w:r>
          </w:p>
        </w:tc>
        <w:tc>
          <w:tcPr>
            <w:tcW w:w="1329" w:type="dxa"/>
            <w:tcBorders>
              <w:top w:val="single" w:sz="4" w:space="0" w:color="auto"/>
              <w:left w:val="none" w:sz="0" w:space="0" w:color="000000"/>
              <w:bottom w:val="single" w:sz="4" w:space="0" w:color="auto"/>
            </w:tcBorders>
            <w:vAlign w:val="center"/>
          </w:tcPr>
          <w:p w:rsidR="00BC50CD" w:rsidRPr="00720354" w:rsidRDefault="00BC50CD" w:rsidP="001B2FB7">
            <w:pPr>
              <w:jc w:val="center"/>
              <w:rPr>
                <w:rFonts w:cs="Arial"/>
                <w:sz w:val="20"/>
                <w:szCs w:val="20"/>
              </w:rPr>
            </w:pPr>
            <w:r>
              <w:rPr>
                <w:rFonts w:cs="Arial"/>
                <w:sz w:val="20"/>
                <w:szCs w:val="20"/>
              </w:rPr>
              <w:t>P=</w:t>
            </w:r>
            <w:r w:rsidRPr="00720354">
              <w:rPr>
                <w:rFonts w:cs="Arial"/>
                <w:sz w:val="20"/>
                <w:szCs w:val="20"/>
              </w:rPr>
              <w:t>&lt;0.001</w:t>
            </w:r>
          </w:p>
        </w:tc>
      </w:tr>
      <w:tr w:rsidR="00BC50CD" w:rsidTr="00FE5063">
        <w:trPr>
          <w:cantSplit/>
          <w:trHeight w:val="340"/>
        </w:trPr>
        <w:tc>
          <w:tcPr>
            <w:tcW w:w="4504" w:type="dxa"/>
            <w:tcBorders>
              <w:top w:val="single" w:sz="4" w:space="0" w:color="auto"/>
              <w:bottom w:val="single" w:sz="4" w:space="0" w:color="auto"/>
              <w:right w:val="single" w:sz="4" w:space="0" w:color="auto"/>
            </w:tcBorders>
            <w:vAlign w:val="center"/>
          </w:tcPr>
          <w:p w:rsidR="00BC50CD" w:rsidRPr="00720354" w:rsidRDefault="00BC50CD" w:rsidP="00ED2136">
            <w:pPr>
              <w:rPr>
                <w:rFonts w:cs="Arial"/>
                <w:b/>
                <w:sz w:val="20"/>
                <w:szCs w:val="20"/>
              </w:rPr>
            </w:pPr>
            <w:r>
              <w:rPr>
                <w:rFonts w:cs="Arial"/>
                <w:b/>
                <w:sz w:val="20"/>
                <w:szCs w:val="20"/>
              </w:rPr>
              <w:t>Discussed o</w:t>
            </w:r>
            <w:r w:rsidRPr="00720354">
              <w:rPr>
                <w:rFonts w:cs="Arial"/>
                <w:b/>
                <w:sz w:val="20"/>
                <w:szCs w:val="20"/>
              </w:rPr>
              <w:t>wn wishes for after death</w:t>
            </w:r>
          </w:p>
        </w:tc>
        <w:tc>
          <w:tcPr>
            <w:tcW w:w="1159" w:type="dxa"/>
            <w:tcBorders>
              <w:top w:val="single" w:sz="4" w:space="0" w:color="auto"/>
              <w:left w:val="single" w:sz="4" w:space="0" w:color="auto"/>
              <w:bottom w:val="single" w:sz="4" w:space="0" w:color="auto"/>
              <w:right w:val="none" w:sz="0" w:space="0" w:color="000000"/>
            </w:tcBorders>
            <w:vAlign w:val="center"/>
          </w:tcPr>
          <w:p w:rsidR="00BC50CD" w:rsidRPr="00720354" w:rsidRDefault="00BC50CD" w:rsidP="002611F6">
            <w:pPr>
              <w:jc w:val="center"/>
              <w:rPr>
                <w:rFonts w:cs="Arial"/>
                <w:sz w:val="20"/>
                <w:szCs w:val="20"/>
              </w:rPr>
            </w:pPr>
            <w:r w:rsidRPr="00720354">
              <w:rPr>
                <w:rFonts w:cs="Arial"/>
                <w:sz w:val="20"/>
                <w:szCs w:val="20"/>
              </w:rPr>
              <w:t>15 (31%)</w:t>
            </w:r>
          </w:p>
        </w:tc>
        <w:tc>
          <w:tcPr>
            <w:tcW w:w="1159"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23 (45%)</w:t>
            </w:r>
          </w:p>
        </w:tc>
        <w:tc>
          <w:tcPr>
            <w:tcW w:w="1160"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46 (65%)</w:t>
            </w:r>
          </w:p>
        </w:tc>
        <w:tc>
          <w:tcPr>
            <w:tcW w:w="1159"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66 (64%)</w:t>
            </w:r>
          </w:p>
        </w:tc>
        <w:tc>
          <w:tcPr>
            <w:tcW w:w="1160"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83 (57%)</w:t>
            </w:r>
          </w:p>
        </w:tc>
        <w:tc>
          <w:tcPr>
            <w:tcW w:w="1159"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52 (74%)</w:t>
            </w:r>
          </w:p>
        </w:tc>
        <w:tc>
          <w:tcPr>
            <w:tcW w:w="1160" w:type="dxa"/>
            <w:tcBorders>
              <w:top w:val="single" w:sz="4" w:space="0" w:color="auto"/>
              <w:left w:val="none" w:sz="0" w:space="0" w:color="000000"/>
              <w:bottom w:val="single" w:sz="4" w:space="0" w:color="auto"/>
            </w:tcBorders>
            <w:vAlign w:val="center"/>
          </w:tcPr>
          <w:p w:rsidR="00BC50CD" w:rsidRPr="00720354" w:rsidRDefault="00BC50CD" w:rsidP="001B2FB7">
            <w:pPr>
              <w:jc w:val="center"/>
              <w:rPr>
                <w:rFonts w:cs="Arial"/>
                <w:sz w:val="20"/>
                <w:szCs w:val="20"/>
              </w:rPr>
            </w:pPr>
            <w:r w:rsidRPr="00720354">
              <w:rPr>
                <w:rFonts w:cs="Arial"/>
                <w:sz w:val="20"/>
                <w:szCs w:val="20"/>
              </w:rPr>
              <w:t>285/489(58%)</w:t>
            </w:r>
          </w:p>
        </w:tc>
        <w:tc>
          <w:tcPr>
            <w:tcW w:w="1329" w:type="dxa"/>
            <w:tcBorders>
              <w:top w:val="single" w:sz="4" w:space="0" w:color="auto"/>
              <w:left w:val="none" w:sz="0" w:space="0" w:color="000000"/>
              <w:bottom w:val="single" w:sz="4" w:space="0" w:color="auto"/>
            </w:tcBorders>
            <w:vAlign w:val="center"/>
          </w:tcPr>
          <w:p w:rsidR="00BC50CD" w:rsidRPr="00720354" w:rsidRDefault="00BC50CD" w:rsidP="001B2FB7">
            <w:pPr>
              <w:jc w:val="center"/>
              <w:rPr>
                <w:rFonts w:cs="Arial"/>
                <w:sz w:val="20"/>
                <w:szCs w:val="20"/>
              </w:rPr>
            </w:pPr>
            <w:r>
              <w:rPr>
                <w:rFonts w:cs="Arial"/>
                <w:sz w:val="20"/>
                <w:szCs w:val="20"/>
              </w:rPr>
              <w:t>P=</w:t>
            </w:r>
            <w:r w:rsidRPr="00720354">
              <w:rPr>
                <w:rFonts w:cs="Arial"/>
                <w:sz w:val="20"/>
                <w:szCs w:val="20"/>
              </w:rPr>
              <w:t>&lt;0.001</w:t>
            </w:r>
          </w:p>
        </w:tc>
      </w:tr>
      <w:tr w:rsidR="00BC50CD" w:rsidTr="00FE5063">
        <w:trPr>
          <w:cantSplit/>
          <w:trHeight w:val="340"/>
        </w:trPr>
        <w:tc>
          <w:tcPr>
            <w:tcW w:w="4504" w:type="dxa"/>
            <w:tcBorders>
              <w:top w:val="single" w:sz="4" w:space="0" w:color="auto"/>
              <w:bottom w:val="single" w:sz="4" w:space="0" w:color="auto"/>
              <w:right w:val="single" w:sz="4" w:space="0" w:color="auto"/>
            </w:tcBorders>
            <w:vAlign w:val="center"/>
          </w:tcPr>
          <w:p w:rsidR="00BC50CD" w:rsidRPr="00720354" w:rsidRDefault="00BC50CD" w:rsidP="00ED2136">
            <w:pPr>
              <w:rPr>
                <w:rFonts w:cs="Arial"/>
                <w:b/>
                <w:sz w:val="20"/>
                <w:szCs w:val="20"/>
              </w:rPr>
            </w:pPr>
            <w:r>
              <w:rPr>
                <w:rFonts w:cs="Arial"/>
                <w:b/>
                <w:sz w:val="20"/>
                <w:szCs w:val="20"/>
              </w:rPr>
              <w:t>Discussed a</w:t>
            </w:r>
            <w:r w:rsidRPr="00720354">
              <w:rPr>
                <w:rFonts w:cs="Arial"/>
                <w:b/>
                <w:sz w:val="20"/>
                <w:szCs w:val="20"/>
              </w:rPr>
              <w:t xml:space="preserve">nother’s wishes for end of life care </w:t>
            </w:r>
          </w:p>
        </w:tc>
        <w:tc>
          <w:tcPr>
            <w:tcW w:w="1159" w:type="dxa"/>
            <w:tcBorders>
              <w:top w:val="single" w:sz="4" w:space="0" w:color="auto"/>
              <w:left w:val="single" w:sz="4" w:space="0" w:color="auto"/>
              <w:bottom w:val="single" w:sz="4" w:space="0" w:color="auto"/>
              <w:right w:val="none" w:sz="0" w:space="0" w:color="000000"/>
            </w:tcBorders>
            <w:vAlign w:val="center"/>
          </w:tcPr>
          <w:p w:rsidR="00BC50CD" w:rsidRPr="00720354" w:rsidRDefault="00BC50CD" w:rsidP="002611F6">
            <w:pPr>
              <w:jc w:val="center"/>
              <w:rPr>
                <w:rFonts w:cs="Arial"/>
                <w:sz w:val="20"/>
                <w:szCs w:val="20"/>
              </w:rPr>
            </w:pPr>
            <w:r w:rsidRPr="00720354">
              <w:rPr>
                <w:rFonts w:cs="Arial"/>
                <w:sz w:val="20"/>
                <w:szCs w:val="20"/>
              </w:rPr>
              <w:t>23 (48%)</w:t>
            </w:r>
          </w:p>
        </w:tc>
        <w:tc>
          <w:tcPr>
            <w:tcW w:w="1159"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29 (57%)</w:t>
            </w:r>
          </w:p>
        </w:tc>
        <w:tc>
          <w:tcPr>
            <w:tcW w:w="1160"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43 (61%)</w:t>
            </w:r>
          </w:p>
        </w:tc>
        <w:tc>
          <w:tcPr>
            <w:tcW w:w="1159"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60 (57%)</w:t>
            </w:r>
          </w:p>
        </w:tc>
        <w:tc>
          <w:tcPr>
            <w:tcW w:w="1160"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78 (53%)</w:t>
            </w:r>
          </w:p>
        </w:tc>
        <w:tc>
          <w:tcPr>
            <w:tcW w:w="1159"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30 (42%)</w:t>
            </w:r>
          </w:p>
        </w:tc>
        <w:tc>
          <w:tcPr>
            <w:tcW w:w="1160" w:type="dxa"/>
            <w:tcBorders>
              <w:top w:val="single" w:sz="4" w:space="0" w:color="auto"/>
              <w:left w:val="none" w:sz="0" w:space="0" w:color="000000"/>
              <w:bottom w:val="single" w:sz="4" w:space="0" w:color="auto"/>
            </w:tcBorders>
            <w:vAlign w:val="center"/>
          </w:tcPr>
          <w:p w:rsidR="00BC50CD" w:rsidRPr="00720354" w:rsidRDefault="00BC50CD" w:rsidP="001B2FB7">
            <w:pPr>
              <w:jc w:val="center"/>
              <w:rPr>
                <w:rFonts w:cs="Arial"/>
                <w:sz w:val="20"/>
                <w:szCs w:val="20"/>
              </w:rPr>
            </w:pPr>
            <w:r w:rsidRPr="00720354">
              <w:rPr>
                <w:rFonts w:cs="Arial"/>
                <w:sz w:val="20"/>
                <w:szCs w:val="20"/>
              </w:rPr>
              <w:t>263/492(54%)</w:t>
            </w:r>
          </w:p>
        </w:tc>
        <w:tc>
          <w:tcPr>
            <w:tcW w:w="1329" w:type="dxa"/>
            <w:tcBorders>
              <w:top w:val="single" w:sz="4" w:space="0" w:color="auto"/>
              <w:left w:val="none" w:sz="0" w:space="0" w:color="000000"/>
              <w:bottom w:val="single" w:sz="4" w:space="0" w:color="auto"/>
            </w:tcBorders>
            <w:vAlign w:val="center"/>
          </w:tcPr>
          <w:p w:rsidR="00BC50CD" w:rsidRPr="00720354" w:rsidRDefault="00BC50CD" w:rsidP="001B2FB7">
            <w:pPr>
              <w:jc w:val="center"/>
              <w:rPr>
                <w:rFonts w:cs="Arial"/>
                <w:sz w:val="20"/>
                <w:szCs w:val="20"/>
              </w:rPr>
            </w:pPr>
            <w:r>
              <w:rPr>
                <w:rFonts w:cs="Arial"/>
                <w:sz w:val="20"/>
                <w:szCs w:val="20"/>
              </w:rPr>
              <w:t>NS</w:t>
            </w:r>
          </w:p>
        </w:tc>
      </w:tr>
      <w:tr w:rsidR="00BC50CD" w:rsidTr="00FE5063">
        <w:trPr>
          <w:cantSplit/>
          <w:trHeight w:val="340"/>
        </w:trPr>
        <w:tc>
          <w:tcPr>
            <w:tcW w:w="4504" w:type="dxa"/>
            <w:tcBorders>
              <w:top w:val="single" w:sz="4" w:space="0" w:color="auto"/>
              <w:bottom w:val="single" w:sz="4" w:space="0" w:color="auto"/>
              <w:right w:val="single" w:sz="4" w:space="0" w:color="auto"/>
            </w:tcBorders>
            <w:vAlign w:val="center"/>
          </w:tcPr>
          <w:p w:rsidR="00BC50CD" w:rsidRPr="00720354" w:rsidRDefault="00BC50CD" w:rsidP="00ED2136">
            <w:pPr>
              <w:rPr>
                <w:rFonts w:cs="Arial"/>
                <w:b/>
                <w:sz w:val="20"/>
                <w:szCs w:val="20"/>
              </w:rPr>
            </w:pPr>
            <w:r>
              <w:rPr>
                <w:rFonts w:cs="Arial"/>
                <w:b/>
                <w:sz w:val="20"/>
                <w:szCs w:val="20"/>
              </w:rPr>
              <w:t>Discussed a</w:t>
            </w:r>
            <w:r w:rsidRPr="00720354">
              <w:rPr>
                <w:rFonts w:cs="Arial"/>
                <w:b/>
                <w:sz w:val="20"/>
                <w:szCs w:val="20"/>
              </w:rPr>
              <w:t xml:space="preserve">nother’s wishes for after death </w:t>
            </w:r>
          </w:p>
        </w:tc>
        <w:tc>
          <w:tcPr>
            <w:tcW w:w="1159" w:type="dxa"/>
            <w:tcBorders>
              <w:top w:val="single" w:sz="4" w:space="0" w:color="auto"/>
              <w:left w:val="single" w:sz="4" w:space="0" w:color="auto"/>
              <w:bottom w:val="single" w:sz="4" w:space="0" w:color="auto"/>
              <w:right w:val="none" w:sz="0" w:space="0" w:color="000000"/>
            </w:tcBorders>
            <w:vAlign w:val="center"/>
          </w:tcPr>
          <w:p w:rsidR="00BC50CD" w:rsidRPr="00720354" w:rsidRDefault="00BC50CD" w:rsidP="002611F6">
            <w:pPr>
              <w:jc w:val="center"/>
              <w:rPr>
                <w:rFonts w:cs="Arial"/>
                <w:sz w:val="20"/>
                <w:szCs w:val="20"/>
              </w:rPr>
            </w:pPr>
            <w:r w:rsidRPr="00720354">
              <w:rPr>
                <w:rFonts w:cs="Arial"/>
                <w:sz w:val="20"/>
                <w:szCs w:val="20"/>
              </w:rPr>
              <w:t>22 (46%)</w:t>
            </w:r>
          </w:p>
        </w:tc>
        <w:tc>
          <w:tcPr>
            <w:tcW w:w="1159"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27 (54%)</w:t>
            </w:r>
          </w:p>
        </w:tc>
        <w:tc>
          <w:tcPr>
            <w:tcW w:w="1160"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48 (69%)</w:t>
            </w:r>
          </w:p>
        </w:tc>
        <w:tc>
          <w:tcPr>
            <w:tcW w:w="1159"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59 (57%)</w:t>
            </w:r>
          </w:p>
        </w:tc>
        <w:tc>
          <w:tcPr>
            <w:tcW w:w="1160"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73 (51%)</w:t>
            </w:r>
          </w:p>
        </w:tc>
        <w:tc>
          <w:tcPr>
            <w:tcW w:w="1159"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sidRPr="00720354">
              <w:rPr>
                <w:rFonts w:cs="Arial"/>
                <w:sz w:val="20"/>
                <w:szCs w:val="20"/>
              </w:rPr>
              <w:t>25 (36%)</w:t>
            </w:r>
          </w:p>
        </w:tc>
        <w:tc>
          <w:tcPr>
            <w:tcW w:w="1160" w:type="dxa"/>
            <w:tcBorders>
              <w:top w:val="single" w:sz="4" w:space="0" w:color="auto"/>
              <w:left w:val="none" w:sz="0" w:space="0" w:color="000000"/>
              <w:bottom w:val="single" w:sz="4" w:space="0" w:color="auto"/>
            </w:tcBorders>
            <w:vAlign w:val="center"/>
          </w:tcPr>
          <w:p w:rsidR="00BC50CD" w:rsidRPr="00720354" w:rsidRDefault="00BC50CD" w:rsidP="001B2FB7">
            <w:pPr>
              <w:jc w:val="center"/>
              <w:rPr>
                <w:rFonts w:cs="Arial"/>
                <w:sz w:val="20"/>
                <w:szCs w:val="20"/>
              </w:rPr>
            </w:pPr>
            <w:r w:rsidRPr="00720354">
              <w:rPr>
                <w:rFonts w:cs="Arial"/>
                <w:sz w:val="20"/>
                <w:szCs w:val="20"/>
              </w:rPr>
              <w:t>254/484(53%)</w:t>
            </w:r>
          </w:p>
        </w:tc>
        <w:tc>
          <w:tcPr>
            <w:tcW w:w="1329" w:type="dxa"/>
            <w:tcBorders>
              <w:top w:val="single" w:sz="4" w:space="0" w:color="auto"/>
              <w:left w:val="none" w:sz="0" w:space="0" w:color="000000"/>
              <w:bottom w:val="single" w:sz="4" w:space="0" w:color="auto"/>
            </w:tcBorders>
            <w:vAlign w:val="center"/>
          </w:tcPr>
          <w:p w:rsidR="00BC50CD" w:rsidRPr="00720354" w:rsidRDefault="00BC50CD" w:rsidP="001B2FB7">
            <w:pPr>
              <w:jc w:val="center"/>
              <w:rPr>
                <w:rFonts w:cs="Arial"/>
                <w:sz w:val="20"/>
                <w:szCs w:val="20"/>
              </w:rPr>
            </w:pPr>
            <w:r>
              <w:rPr>
                <w:rFonts w:cs="Arial"/>
                <w:sz w:val="20"/>
                <w:szCs w:val="20"/>
              </w:rPr>
              <w:t>NS</w:t>
            </w:r>
          </w:p>
        </w:tc>
      </w:tr>
      <w:tr w:rsidR="00BC50CD" w:rsidTr="00FE5063">
        <w:trPr>
          <w:cantSplit/>
          <w:trHeight w:val="340"/>
        </w:trPr>
        <w:tc>
          <w:tcPr>
            <w:tcW w:w="4504" w:type="dxa"/>
            <w:tcBorders>
              <w:top w:val="single" w:sz="4" w:space="0" w:color="auto"/>
              <w:bottom w:val="single" w:sz="4" w:space="0" w:color="auto"/>
              <w:right w:val="single" w:sz="4" w:space="0" w:color="auto"/>
            </w:tcBorders>
            <w:vAlign w:val="center"/>
          </w:tcPr>
          <w:p w:rsidR="00BC50CD" w:rsidRPr="00522EA5" w:rsidRDefault="00BC50CD" w:rsidP="00ED2136">
            <w:pPr>
              <w:rPr>
                <w:rFonts w:cs="Arial"/>
                <w:b/>
                <w:color w:val="000000" w:themeColor="text1"/>
                <w:sz w:val="20"/>
                <w:szCs w:val="20"/>
              </w:rPr>
            </w:pPr>
            <w:r>
              <w:rPr>
                <w:rFonts w:cs="Arial"/>
                <w:b/>
                <w:color w:val="000000" w:themeColor="text1"/>
                <w:sz w:val="20"/>
                <w:szCs w:val="20"/>
              </w:rPr>
              <w:t>Comforted</w:t>
            </w:r>
            <w:r w:rsidRPr="00522EA5">
              <w:rPr>
                <w:rFonts w:cs="Arial"/>
                <w:b/>
                <w:color w:val="000000" w:themeColor="text1"/>
                <w:sz w:val="20"/>
                <w:szCs w:val="20"/>
              </w:rPr>
              <w:t xml:space="preserve"> somebody who has been bereaved</w:t>
            </w:r>
          </w:p>
        </w:tc>
        <w:tc>
          <w:tcPr>
            <w:tcW w:w="1159" w:type="dxa"/>
            <w:tcBorders>
              <w:top w:val="single" w:sz="4" w:space="0" w:color="auto"/>
              <w:left w:val="single" w:sz="4" w:space="0" w:color="auto"/>
              <w:bottom w:val="single" w:sz="4" w:space="0" w:color="auto"/>
              <w:right w:val="none" w:sz="0" w:space="0" w:color="000000"/>
            </w:tcBorders>
            <w:vAlign w:val="center"/>
          </w:tcPr>
          <w:p w:rsidR="00BC50CD" w:rsidRPr="00720354" w:rsidRDefault="00BC50CD" w:rsidP="002611F6">
            <w:pPr>
              <w:jc w:val="center"/>
              <w:rPr>
                <w:rFonts w:cs="Arial"/>
                <w:sz w:val="20"/>
                <w:szCs w:val="20"/>
              </w:rPr>
            </w:pPr>
            <w:r>
              <w:rPr>
                <w:rFonts w:cs="Arial"/>
                <w:sz w:val="20"/>
                <w:szCs w:val="20"/>
              </w:rPr>
              <w:t>45 (94%)</w:t>
            </w:r>
          </w:p>
        </w:tc>
        <w:tc>
          <w:tcPr>
            <w:tcW w:w="1159"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Pr>
                <w:rFonts w:cs="Arial"/>
                <w:sz w:val="20"/>
                <w:szCs w:val="20"/>
              </w:rPr>
              <w:t>38 (75%)</w:t>
            </w:r>
          </w:p>
        </w:tc>
        <w:tc>
          <w:tcPr>
            <w:tcW w:w="1160"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Pr>
                <w:rFonts w:cs="Arial"/>
                <w:sz w:val="20"/>
                <w:szCs w:val="20"/>
              </w:rPr>
              <w:t>63 (89%)</w:t>
            </w:r>
          </w:p>
        </w:tc>
        <w:tc>
          <w:tcPr>
            <w:tcW w:w="1159"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Pr>
                <w:rFonts w:cs="Arial"/>
                <w:sz w:val="20"/>
                <w:szCs w:val="20"/>
              </w:rPr>
              <w:t>95 (91%)</w:t>
            </w:r>
          </w:p>
        </w:tc>
        <w:tc>
          <w:tcPr>
            <w:tcW w:w="1160"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Pr>
                <w:rFonts w:cs="Arial"/>
                <w:sz w:val="20"/>
                <w:szCs w:val="20"/>
              </w:rPr>
              <w:t>116 (79%)</w:t>
            </w:r>
          </w:p>
        </w:tc>
        <w:tc>
          <w:tcPr>
            <w:tcW w:w="1159" w:type="dxa"/>
            <w:tcBorders>
              <w:top w:val="single" w:sz="4" w:space="0" w:color="auto"/>
              <w:left w:val="none" w:sz="0" w:space="0" w:color="000000"/>
              <w:bottom w:val="single" w:sz="4" w:space="0" w:color="auto"/>
              <w:right w:val="none" w:sz="0" w:space="0" w:color="000000"/>
            </w:tcBorders>
            <w:vAlign w:val="center"/>
          </w:tcPr>
          <w:p w:rsidR="00BC50CD" w:rsidRPr="00720354" w:rsidRDefault="00BC50CD" w:rsidP="001B2FB7">
            <w:pPr>
              <w:jc w:val="center"/>
              <w:rPr>
                <w:rFonts w:cs="Arial"/>
                <w:sz w:val="20"/>
                <w:szCs w:val="20"/>
              </w:rPr>
            </w:pPr>
            <w:r>
              <w:rPr>
                <w:rFonts w:cs="Arial"/>
                <w:sz w:val="20"/>
                <w:szCs w:val="20"/>
              </w:rPr>
              <w:t>58 (81%)</w:t>
            </w:r>
          </w:p>
        </w:tc>
        <w:tc>
          <w:tcPr>
            <w:tcW w:w="1160" w:type="dxa"/>
            <w:tcBorders>
              <w:top w:val="single" w:sz="4" w:space="0" w:color="auto"/>
              <w:left w:val="none" w:sz="0" w:space="0" w:color="000000"/>
              <w:bottom w:val="single" w:sz="4" w:space="0" w:color="auto"/>
            </w:tcBorders>
            <w:vAlign w:val="center"/>
          </w:tcPr>
          <w:p w:rsidR="00BC50CD" w:rsidRPr="00720354" w:rsidRDefault="00BC50CD" w:rsidP="001B2FB7">
            <w:pPr>
              <w:jc w:val="center"/>
              <w:rPr>
                <w:rFonts w:cs="Arial"/>
                <w:sz w:val="20"/>
                <w:szCs w:val="20"/>
              </w:rPr>
            </w:pPr>
            <w:r>
              <w:rPr>
                <w:rFonts w:cs="Arial"/>
                <w:sz w:val="20"/>
                <w:szCs w:val="20"/>
              </w:rPr>
              <w:t>415/492(84%)</w:t>
            </w:r>
          </w:p>
        </w:tc>
        <w:tc>
          <w:tcPr>
            <w:tcW w:w="1329" w:type="dxa"/>
            <w:tcBorders>
              <w:top w:val="single" w:sz="4" w:space="0" w:color="auto"/>
              <w:left w:val="none" w:sz="0" w:space="0" w:color="000000"/>
              <w:bottom w:val="single" w:sz="4" w:space="0" w:color="auto"/>
            </w:tcBorders>
            <w:vAlign w:val="center"/>
          </w:tcPr>
          <w:p w:rsidR="00BC50CD" w:rsidRPr="00720354" w:rsidRDefault="00BC50CD" w:rsidP="001B2FB7">
            <w:pPr>
              <w:jc w:val="center"/>
              <w:rPr>
                <w:rFonts w:cs="Arial"/>
                <w:sz w:val="20"/>
                <w:szCs w:val="20"/>
              </w:rPr>
            </w:pPr>
            <w:r>
              <w:rPr>
                <w:rFonts w:cs="Arial"/>
                <w:sz w:val="20"/>
                <w:szCs w:val="20"/>
              </w:rPr>
              <w:t>NS</w:t>
            </w:r>
          </w:p>
        </w:tc>
      </w:tr>
    </w:tbl>
    <w:p w:rsidR="00BC50CD" w:rsidRDefault="00BC50CD" w:rsidP="00BC50CD">
      <w:pPr>
        <w:pStyle w:val="Caption"/>
        <w:keepNext/>
        <w:rPr>
          <w:i/>
          <w:sz w:val="20"/>
          <w:szCs w:val="20"/>
        </w:rPr>
      </w:pPr>
    </w:p>
    <w:p w:rsidR="00BC50CD" w:rsidRDefault="00BC50CD" w:rsidP="005B3E6F">
      <w:pPr>
        <w:spacing w:line="360" w:lineRule="auto"/>
        <w:rPr>
          <w:rFonts w:ascii="Arial" w:hAnsi="Arial" w:cs="Arial"/>
        </w:rPr>
        <w:sectPr w:rsidR="00BC50CD" w:rsidSect="00BC50CD">
          <w:pgSz w:w="16840" w:h="11907" w:orient="landscape" w:code="9"/>
          <w:pgMar w:top="1440" w:right="1440" w:bottom="1440" w:left="1440" w:header="709" w:footer="709" w:gutter="0"/>
          <w:cols w:space="708"/>
          <w:docGrid w:linePitch="299"/>
        </w:sectPr>
      </w:pPr>
    </w:p>
    <w:p w:rsidR="00512760" w:rsidRDefault="00512760" w:rsidP="00512760">
      <w:pPr>
        <w:spacing w:line="360" w:lineRule="auto"/>
        <w:rPr>
          <w:rFonts w:ascii="Arial" w:hAnsi="Arial" w:cs="Arial"/>
        </w:rPr>
      </w:pPr>
      <w:r>
        <w:rPr>
          <w:rFonts w:ascii="Arial" w:hAnsi="Arial" w:cs="Arial"/>
        </w:rPr>
        <w:lastRenderedPageBreak/>
        <w:t>Overall, 386 (78%) reported having some discussions with friends or family about either their own or the other’s end of life preferences. A larger proportion (415, 83%) reported supporting or comforting somebody who had been bereaved.</w:t>
      </w:r>
    </w:p>
    <w:p w:rsidR="00C41E41" w:rsidRDefault="005C03A9" w:rsidP="00C41E41">
      <w:pPr>
        <w:spacing w:line="360" w:lineRule="auto"/>
        <w:rPr>
          <w:rFonts w:ascii="Arial" w:hAnsi="Arial" w:cs="Arial"/>
        </w:rPr>
      </w:pPr>
      <w:r>
        <w:rPr>
          <w:rFonts w:ascii="Arial" w:hAnsi="Arial" w:cs="Arial"/>
        </w:rPr>
        <w:t>The proportion</w:t>
      </w:r>
      <w:r w:rsidR="00C41E41">
        <w:rPr>
          <w:rFonts w:ascii="Arial" w:hAnsi="Arial" w:cs="Arial"/>
        </w:rPr>
        <w:t xml:space="preserve"> </w:t>
      </w:r>
      <w:r w:rsidR="005E7307">
        <w:rPr>
          <w:rFonts w:ascii="Arial" w:hAnsi="Arial" w:cs="Arial"/>
        </w:rPr>
        <w:t>reporting</w:t>
      </w:r>
      <w:r w:rsidR="00C41E41">
        <w:rPr>
          <w:rFonts w:ascii="Arial" w:hAnsi="Arial" w:cs="Arial"/>
        </w:rPr>
        <w:t xml:space="preserve"> talking about their own end of life</w:t>
      </w:r>
      <w:r>
        <w:rPr>
          <w:rFonts w:ascii="Arial" w:hAnsi="Arial" w:cs="Arial"/>
        </w:rPr>
        <w:t xml:space="preserve"> preferences</w:t>
      </w:r>
      <w:r w:rsidR="00C41E41">
        <w:rPr>
          <w:rFonts w:ascii="Arial" w:hAnsi="Arial" w:cs="Arial"/>
        </w:rPr>
        <w:t xml:space="preserve"> varied by age group, with older age groups more frequentl</w:t>
      </w:r>
      <w:r w:rsidR="00ED47EF">
        <w:rPr>
          <w:rFonts w:ascii="Arial" w:hAnsi="Arial" w:cs="Arial"/>
        </w:rPr>
        <w:t>y reporting these discussions (</w:t>
      </w:r>
      <w:r w:rsidR="00C41E41">
        <w:rPr>
          <w:rFonts w:ascii="Arial" w:hAnsi="Arial" w:cs="Arial"/>
        </w:rPr>
        <w:t>P=&lt;0.00</w:t>
      </w:r>
      <w:r>
        <w:rPr>
          <w:rFonts w:ascii="Arial" w:hAnsi="Arial" w:cs="Arial"/>
        </w:rPr>
        <w:t>1)</w:t>
      </w:r>
      <w:r w:rsidR="00512760">
        <w:rPr>
          <w:rFonts w:ascii="Arial" w:hAnsi="Arial" w:cs="Arial"/>
        </w:rPr>
        <w:t xml:space="preserve"> (Table 1)</w:t>
      </w:r>
      <w:r>
        <w:rPr>
          <w:rFonts w:ascii="Arial" w:hAnsi="Arial" w:cs="Arial"/>
        </w:rPr>
        <w:t xml:space="preserve">. </w:t>
      </w:r>
      <w:r w:rsidR="00C41E41">
        <w:rPr>
          <w:rFonts w:ascii="Arial" w:hAnsi="Arial" w:cs="Arial"/>
        </w:rPr>
        <w:t xml:space="preserve">There were no differences </w:t>
      </w:r>
      <w:r w:rsidR="005E7307">
        <w:rPr>
          <w:rFonts w:ascii="Arial" w:hAnsi="Arial" w:cs="Arial"/>
        </w:rPr>
        <w:t xml:space="preserve">by sex or neighbourhood </w:t>
      </w:r>
      <w:r w:rsidR="00C41E41">
        <w:rPr>
          <w:rFonts w:ascii="Arial" w:hAnsi="Arial" w:cs="Arial"/>
        </w:rPr>
        <w:t>deprivati</w:t>
      </w:r>
      <w:r w:rsidR="004D35C5">
        <w:rPr>
          <w:rFonts w:ascii="Arial" w:hAnsi="Arial" w:cs="Arial"/>
        </w:rPr>
        <w:t>on</w:t>
      </w:r>
      <w:r w:rsidR="00C41E41">
        <w:rPr>
          <w:rFonts w:ascii="Arial" w:hAnsi="Arial" w:cs="Arial"/>
        </w:rPr>
        <w:t>.</w:t>
      </w:r>
      <w:r w:rsidR="00051295">
        <w:rPr>
          <w:rFonts w:ascii="Arial" w:hAnsi="Arial" w:cs="Arial"/>
        </w:rPr>
        <w:t xml:space="preserve"> </w:t>
      </w:r>
    </w:p>
    <w:p w:rsidR="004D35C5" w:rsidRDefault="004D35C5" w:rsidP="005B3E6F">
      <w:pPr>
        <w:spacing w:line="360" w:lineRule="auto"/>
        <w:rPr>
          <w:rFonts w:ascii="Arial" w:hAnsi="Arial" w:cs="Arial"/>
          <w:u w:val="single"/>
        </w:rPr>
      </w:pPr>
    </w:p>
    <w:p w:rsidR="0006003E" w:rsidRPr="007A7DFE" w:rsidRDefault="007A7DFE" w:rsidP="005B3E6F">
      <w:pPr>
        <w:spacing w:line="360" w:lineRule="auto"/>
        <w:rPr>
          <w:rFonts w:ascii="Arial" w:hAnsi="Arial" w:cs="Arial"/>
          <w:u w:val="single"/>
        </w:rPr>
      </w:pPr>
      <w:r w:rsidRPr="007A7DFE">
        <w:rPr>
          <w:rFonts w:ascii="Arial" w:hAnsi="Arial" w:cs="Arial"/>
          <w:u w:val="single"/>
        </w:rPr>
        <w:t xml:space="preserve">How comfortable were </w:t>
      </w:r>
      <w:r w:rsidR="00512760">
        <w:rPr>
          <w:rFonts w:ascii="Arial" w:hAnsi="Arial" w:cs="Arial"/>
          <w:u w:val="single"/>
        </w:rPr>
        <w:t>respondents</w:t>
      </w:r>
      <w:r w:rsidR="006C5827">
        <w:rPr>
          <w:rFonts w:ascii="Arial" w:hAnsi="Arial" w:cs="Arial"/>
          <w:u w:val="single"/>
        </w:rPr>
        <w:t xml:space="preserve"> in</w:t>
      </w:r>
      <w:r w:rsidRPr="007A7DFE">
        <w:rPr>
          <w:rFonts w:ascii="Arial" w:hAnsi="Arial" w:cs="Arial"/>
          <w:u w:val="single"/>
        </w:rPr>
        <w:t xml:space="preserve"> talking about end of life preferences and bereavement?</w:t>
      </w:r>
    </w:p>
    <w:p w:rsidR="00BC50CD" w:rsidRDefault="007A7DFE" w:rsidP="005B3E6F">
      <w:pPr>
        <w:spacing w:line="360" w:lineRule="auto"/>
        <w:rPr>
          <w:rFonts w:ascii="Arial" w:hAnsi="Arial" w:cs="Arial"/>
        </w:rPr>
      </w:pPr>
      <w:r>
        <w:rPr>
          <w:rFonts w:ascii="Arial" w:hAnsi="Arial" w:cs="Arial"/>
        </w:rPr>
        <w:t xml:space="preserve">Respondents </w:t>
      </w:r>
      <w:r w:rsidR="004A5A2A">
        <w:rPr>
          <w:rFonts w:ascii="Arial" w:hAnsi="Arial" w:cs="Arial"/>
        </w:rPr>
        <w:t>were asked to indicate</w:t>
      </w:r>
      <w:r>
        <w:rPr>
          <w:rFonts w:ascii="Arial" w:hAnsi="Arial" w:cs="Arial"/>
        </w:rPr>
        <w:t xml:space="preserve"> how comfortable they we</w:t>
      </w:r>
      <w:r w:rsidR="004D35C5">
        <w:rPr>
          <w:rFonts w:ascii="Arial" w:hAnsi="Arial" w:cs="Arial"/>
        </w:rPr>
        <w:t xml:space="preserve">re, on a scale of 1 to 10, </w:t>
      </w:r>
      <w:r w:rsidR="006C5827">
        <w:rPr>
          <w:rFonts w:ascii="Arial" w:hAnsi="Arial" w:cs="Arial"/>
        </w:rPr>
        <w:t xml:space="preserve">in </w:t>
      </w:r>
      <w:r>
        <w:rPr>
          <w:rFonts w:ascii="Arial" w:hAnsi="Arial" w:cs="Arial"/>
        </w:rPr>
        <w:t>talking about</w:t>
      </w:r>
      <w:r w:rsidR="004D35C5">
        <w:rPr>
          <w:rFonts w:ascii="Arial" w:hAnsi="Arial" w:cs="Arial"/>
        </w:rPr>
        <w:t xml:space="preserve"> end of life preferences and bereavement</w:t>
      </w:r>
      <w:r w:rsidR="002951DC">
        <w:rPr>
          <w:rFonts w:ascii="Arial" w:hAnsi="Arial" w:cs="Arial"/>
        </w:rPr>
        <w:t>.</w:t>
      </w:r>
      <w:r>
        <w:rPr>
          <w:rFonts w:ascii="Arial" w:hAnsi="Arial" w:cs="Arial"/>
        </w:rPr>
        <w:t xml:space="preserve"> </w:t>
      </w:r>
      <w:r w:rsidR="004D35C5">
        <w:rPr>
          <w:rFonts w:ascii="Arial" w:hAnsi="Arial" w:cs="Arial"/>
        </w:rPr>
        <w:t xml:space="preserve">For each </w:t>
      </w:r>
      <w:r w:rsidR="00E01B6A">
        <w:rPr>
          <w:rFonts w:ascii="Arial" w:hAnsi="Arial" w:cs="Arial"/>
        </w:rPr>
        <w:t>survey item</w:t>
      </w:r>
      <w:r w:rsidR="00F76774">
        <w:rPr>
          <w:rFonts w:ascii="Arial" w:hAnsi="Arial" w:cs="Arial"/>
        </w:rPr>
        <w:t>, the most frequent response was 10 (completely comfortab</w:t>
      </w:r>
      <w:r w:rsidR="002951DC">
        <w:rPr>
          <w:rFonts w:ascii="Arial" w:hAnsi="Arial" w:cs="Arial"/>
        </w:rPr>
        <w:t>le)</w:t>
      </w:r>
      <w:r w:rsidR="005E7307">
        <w:rPr>
          <w:rFonts w:ascii="Arial" w:hAnsi="Arial" w:cs="Arial"/>
        </w:rPr>
        <w:t xml:space="preserve"> and the mean rating was around 8</w:t>
      </w:r>
      <w:r w:rsidR="00F76774">
        <w:rPr>
          <w:rFonts w:ascii="Arial" w:hAnsi="Arial" w:cs="Arial"/>
        </w:rPr>
        <w:t>.</w:t>
      </w:r>
      <w:r w:rsidR="005E7307">
        <w:rPr>
          <w:rFonts w:ascii="Arial" w:hAnsi="Arial" w:cs="Arial"/>
        </w:rPr>
        <w:t xml:space="preserve"> The range</w:t>
      </w:r>
      <w:r w:rsidR="00E01B6A">
        <w:rPr>
          <w:rFonts w:ascii="Arial" w:hAnsi="Arial" w:cs="Arial"/>
        </w:rPr>
        <w:t>s</w:t>
      </w:r>
      <w:r w:rsidR="005E7307">
        <w:rPr>
          <w:rFonts w:ascii="Arial" w:hAnsi="Arial" w:cs="Arial"/>
        </w:rPr>
        <w:t xml:space="preserve"> and means </w:t>
      </w:r>
      <w:r w:rsidR="00A16958">
        <w:rPr>
          <w:rFonts w:ascii="Arial" w:hAnsi="Arial" w:cs="Arial"/>
        </w:rPr>
        <w:t>are shown</w:t>
      </w:r>
      <w:r w:rsidR="005E7307">
        <w:rPr>
          <w:rFonts w:ascii="Arial" w:hAnsi="Arial" w:cs="Arial"/>
        </w:rPr>
        <w:t xml:space="preserve"> by age group</w:t>
      </w:r>
      <w:r w:rsidR="00A16958">
        <w:rPr>
          <w:rFonts w:ascii="Arial" w:hAnsi="Arial" w:cs="Arial"/>
        </w:rPr>
        <w:t xml:space="preserve"> in Table 2</w:t>
      </w:r>
      <w:r w:rsidR="006529D5">
        <w:rPr>
          <w:rFonts w:ascii="Arial" w:hAnsi="Arial" w:cs="Arial"/>
        </w:rPr>
        <w:t>.</w:t>
      </w:r>
      <w:r w:rsidR="00B861D1">
        <w:rPr>
          <w:rFonts w:ascii="Arial" w:hAnsi="Arial" w:cs="Arial"/>
        </w:rPr>
        <w:t xml:space="preserve"> </w:t>
      </w:r>
      <w:r w:rsidR="00E01B6A">
        <w:rPr>
          <w:rFonts w:ascii="Arial" w:hAnsi="Arial" w:cs="Arial"/>
        </w:rPr>
        <w:t>T</w:t>
      </w:r>
      <w:r w:rsidR="00ED47EF">
        <w:rPr>
          <w:rFonts w:ascii="Arial" w:hAnsi="Arial" w:cs="Arial"/>
        </w:rPr>
        <w:t>here were</w:t>
      </w:r>
      <w:r w:rsidR="005E7307">
        <w:rPr>
          <w:rFonts w:ascii="Arial" w:hAnsi="Arial" w:cs="Arial"/>
        </w:rPr>
        <w:t xml:space="preserve"> </w:t>
      </w:r>
      <w:r w:rsidR="00ED47EF">
        <w:rPr>
          <w:rFonts w:ascii="Arial" w:hAnsi="Arial" w:cs="Arial"/>
        </w:rPr>
        <w:t xml:space="preserve">statistically </w:t>
      </w:r>
      <w:r w:rsidR="005E7307">
        <w:rPr>
          <w:rFonts w:ascii="Arial" w:hAnsi="Arial" w:cs="Arial"/>
        </w:rPr>
        <w:t xml:space="preserve">significant </w:t>
      </w:r>
      <w:r w:rsidR="00BE3C72">
        <w:rPr>
          <w:rFonts w:ascii="Arial" w:hAnsi="Arial" w:cs="Arial"/>
        </w:rPr>
        <w:t>difference</w:t>
      </w:r>
      <w:r w:rsidR="00ED47EF">
        <w:rPr>
          <w:rFonts w:ascii="Arial" w:hAnsi="Arial" w:cs="Arial"/>
        </w:rPr>
        <w:t>s</w:t>
      </w:r>
      <w:r w:rsidR="00033F48">
        <w:rPr>
          <w:rFonts w:ascii="Arial" w:hAnsi="Arial" w:cs="Arial"/>
        </w:rPr>
        <w:t xml:space="preserve"> </w:t>
      </w:r>
      <w:r w:rsidR="00BE3C72">
        <w:rPr>
          <w:rFonts w:ascii="Arial" w:hAnsi="Arial" w:cs="Arial"/>
        </w:rPr>
        <w:t>be</w:t>
      </w:r>
      <w:r w:rsidR="004A5A2A">
        <w:rPr>
          <w:rFonts w:ascii="Arial" w:hAnsi="Arial" w:cs="Arial"/>
        </w:rPr>
        <w:t>tween respondents age</w:t>
      </w:r>
      <w:r w:rsidR="00E01B6A">
        <w:rPr>
          <w:rFonts w:ascii="Arial" w:hAnsi="Arial" w:cs="Arial"/>
        </w:rPr>
        <w:t>d</w:t>
      </w:r>
      <w:r w:rsidR="004A5A2A">
        <w:rPr>
          <w:rFonts w:ascii="Arial" w:hAnsi="Arial" w:cs="Arial"/>
        </w:rPr>
        <w:t xml:space="preserve"> </w:t>
      </w:r>
      <w:r w:rsidR="00E01B6A">
        <w:rPr>
          <w:rFonts w:ascii="Arial" w:hAnsi="Arial" w:cs="Arial"/>
        </w:rPr>
        <w:t>under</w:t>
      </w:r>
      <w:r w:rsidR="000976E0">
        <w:rPr>
          <w:rFonts w:ascii="Arial" w:hAnsi="Arial" w:cs="Arial"/>
        </w:rPr>
        <w:t xml:space="preserve"> </w:t>
      </w:r>
      <w:r w:rsidR="004A5A2A">
        <w:rPr>
          <w:rFonts w:ascii="Arial" w:hAnsi="Arial" w:cs="Arial"/>
        </w:rPr>
        <w:t>65</w:t>
      </w:r>
      <w:r w:rsidR="00E01B6A">
        <w:rPr>
          <w:rFonts w:ascii="Arial" w:hAnsi="Arial" w:cs="Arial"/>
        </w:rPr>
        <w:t xml:space="preserve"> and those age 65 or older</w:t>
      </w:r>
      <w:r w:rsidR="0097093A">
        <w:rPr>
          <w:rFonts w:ascii="Arial" w:hAnsi="Arial" w:cs="Arial"/>
        </w:rPr>
        <w:t xml:space="preserve">, and </w:t>
      </w:r>
      <w:r w:rsidR="005E7307">
        <w:rPr>
          <w:rFonts w:ascii="Arial" w:hAnsi="Arial" w:cs="Arial"/>
        </w:rPr>
        <w:t xml:space="preserve">between </w:t>
      </w:r>
      <w:r w:rsidR="004A5A2A">
        <w:rPr>
          <w:rFonts w:ascii="Arial" w:hAnsi="Arial" w:cs="Arial"/>
        </w:rPr>
        <w:t xml:space="preserve">those </w:t>
      </w:r>
      <w:r w:rsidR="005E7307">
        <w:rPr>
          <w:rFonts w:ascii="Arial" w:hAnsi="Arial" w:cs="Arial"/>
        </w:rPr>
        <w:t xml:space="preserve">who had previously </w:t>
      </w:r>
      <w:r w:rsidR="00644E99">
        <w:rPr>
          <w:rFonts w:ascii="Arial" w:hAnsi="Arial" w:cs="Arial"/>
        </w:rPr>
        <w:t xml:space="preserve">discussed </w:t>
      </w:r>
      <w:r w:rsidR="00E01B6A">
        <w:rPr>
          <w:rFonts w:ascii="Arial" w:hAnsi="Arial" w:cs="Arial"/>
        </w:rPr>
        <w:t xml:space="preserve">the subject </w:t>
      </w:r>
      <w:r w:rsidR="00ED47EF">
        <w:rPr>
          <w:rFonts w:ascii="Arial" w:hAnsi="Arial" w:cs="Arial"/>
        </w:rPr>
        <w:t>and</w:t>
      </w:r>
      <w:r w:rsidR="005E7307">
        <w:rPr>
          <w:rFonts w:ascii="Arial" w:hAnsi="Arial" w:cs="Arial"/>
        </w:rPr>
        <w:t xml:space="preserve"> those who had not. </w:t>
      </w:r>
      <w:r w:rsidR="008E1321">
        <w:rPr>
          <w:rFonts w:ascii="Arial" w:hAnsi="Arial" w:cs="Arial"/>
        </w:rPr>
        <w:t>There wer</w:t>
      </w:r>
      <w:r w:rsidR="005E7307">
        <w:rPr>
          <w:rFonts w:ascii="Arial" w:hAnsi="Arial" w:cs="Arial"/>
        </w:rPr>
        <w:t xml:space="preserve">e no </w:t>
      </w:r>
      <w:r w:rsidR="0097093A">
        <w:rPr>
          <w:rFonts w:ascii="Arial" w:hAnsi="Arial" w:cs="Arial"/>
        </w:rPr>
        <w:t xml:space="preserve">significant </w:t>
      </w:r>
      <w:r w:rsidR="008E1321">
        <w:rPr>
          <w:rFonts w:ascii="Arial" w:hAnsi="Arial" w:cs="Arial"/>
        </w:rPr>
        <w:t>differences by sex or neighbourhood deprivation.</w:t>
      </w:r>
    </w:p>
    <w:p w:rsidR="00512760" w:rsidRDefault="00512760" w:rsidP="005B3E6F">
      <w:pPr>
        <w:spacing w:line="360" w:lineRule="auto"/>
        <w:rPr>
          <w:rFonts w:ascii="Arial" w:hAnsi="Arial" w:cs="Arial"/>
        </w:rPr>
      </w:pPr>
    </w:p>
    <w:p w:rsidR="00512760" w:rsidRPr="008E1321" w:rsidRDefault="00512760" w:rsidP="00512760">
      <w:pPr>
        <w:rPr>
          <w:rFonts w:ascii="Arial" w:hAnsi="Arial" w:cs="Arial"/>
          <w:u w:val="single"/>
          <w:lang w:eastAsia="en-GB"/>
        </w:rPr>
      </w:pPr>
      <w:r w:rsidRPr="008E1321">
        <w:rPr>
          <w:rFonts w:ascii="Arial" w:hAnsi="Arial" w:cs="Arial"/>
          <w:u w:val="single"/>
          <w:lang w:eastAsia="en-GB"/>
        </w:rPr>
        <w:t xml:space="preserve">How relevant </w:t>
      </w:r>
      <w:r>
        <w:rPr>
          <w:rFonts w:ascii="Arial" w:hAnsi="Arial" w:cs="Arial"/>
          <w:u w:val="single"/>
          <w:lang w:eastAsia="en-GB"/>
        </w:rPr>
        <w:t>were the</w:t>
      </w:r>
      <w:r w:rsidRPr="008E1321">
        <w:rPr>
          <w:rFonts w:ascii="Arial" w:hAnsi="Arial" w:cs="Arial"/>
          <w:u w:val="single"/>
          <w:lang w:eastAsia="en-GB"/>
        </w:rPr>
        <w:t xml:space="preserve"> event</w:t>
      </w:r>
      <w:r>
        <w:rPr>
          <w:rFonts w:ascii="Arial" w:hAnsi="Arial" w:cs="Arial"/>
          <w:u w:val="single"/>
          <w:lang w:eastAsia="en-GB"/>
        </w:rPr>
        <w:t>s to those who attended them</w:t>
      </w:r>
      <w:r w:rsidRPr="008E1321">
        <w:rPr>
          <w:rFonts w:ascii="Arial" w:hAnsi="Arial" w:cs="Arial"/>
          <w:u w:val="single"/>
          <w:lang w:eastAsia="en-GB"/>
        </w:rPr>
        <w:t>?</w:t>
      </w:r>
    </w:p>
    <w:p w:rsidR="00512760" w:rsidRPr="008E1321" w:rsidRDefault="00512760" w:rsidP="00512760">
      <w:pPr>
        <w:spacing w:after="240" w:line="360" w:lineRule="auto"/>
        <w:rPr>
          <w:rFonts w:ascii="Arial" w:hAnsi="Arial" w:cs="Arial"/>
        </w:rPr>
      </w:pPr>
      <w:r>
        <w:rPr>
          <w:rFonts w:ascii="Arial" w:hAnsi="Arial" w:cs="Arial"/>
        </w:rPr>
        <w:t xml:space="preserve">Respondents rated the personal relevance of events on a scale of one (completely irrelevant) to five (completely relevant). For both </w:t>
      </w:r>
      <w:r w:rsidR="00E01B6A">
        <w:rPr>
          <w:rFonts w:ascii="Arial" w:hAnsi="Arial" w:cs="Arial"/>
        </w:rPr>
        <w:t>type</w:t>
      </w:r>
      <w:r w:rsidR="00644E99">
        <w:rPr>
          <w:rFonts w:ascii="Arial" w:hAnsi="Arial" w:cs="Arial"/>
        </w:rPr>
        <w:t>s</w:t>
      </w:r>
      <w:r w:rsidR="00E01B6A">
        <w:rPr>
          <w:rFonts w:ascii="Arial" w:hAnsi="Arial" w:cs="Arial"/>
        </w:rPr>
        <w:t xml:space="preserve"> of </w:t>
      </w:r>
      <w:r>
        <w:rPr>
          <w:rFonts w:ascii="Arial" w:hAnsi="Arial" w:cs="Arial"/>
        </w:rPr>
        <w:t xml:space="preserve">event, the most frequent response was five. The mean rating score was 4.15 (95% CI 4.04 to 4.26) for ‘Awareness Raising’ presentations and 4.23 (95% CI 4.08 to 4.37) for ‘How to’ workshops. </w:t>
      </w:r>
    </w:p>
    <w:p w:rsidR="00512760" w:rsidRDefault="00512760" w:rsidP="00512760">
      <w:pPr>
        <w:spacing w:line="360" w:lineRule="auto"/>
        <w:rPr>
          <w:rFonts w:ascii="Arial" w:hAnsi="Arial" w:cs="Arial"/>
        </w:rPr>
      </w:pPr>
      <w:r>
        <w:rPr>
          <w:rFonts w:ascii="Arial" w:hAnsi="Arial" w:cs="Arial"/>
        </w:rPr>
        <w:t>Events attended specifically by health and social care staff were rated as more relevant than those attended by community groups (4.67, 95% CI 4.28 to 5.00 v 4.13, 95% CI 4.02 to 4.25). Respondents aged 45 to 74 (4.32, 95% CI 4.23 to 4.42) reported events to be more relevant than those aged under 45 (3.88, 95% CI 3.65 to 4.11) or over 75 (3.91, 95% CI 3.65 to 4.16). There were no significant differences by sex or level of neighbourhood deprivation.</w:t>
      </w:r>
    </w:p>
    <w:p w:rsidR="00512760" w:rsidRDefault="00512760" w:rsidP="00512760">
      <w:pPr>
        <w:spacing w:line="360" w:lineRule="auto"/>
        <w:rPr>
          <w:rFonts w:ascii="Arial" w:hAnsi="Arial" w:cs="Arial"/>
          <w:lang w:eastAsia="en-GB"/>
        </w:rPr>
      </w:pPr>
      <w:r>
        <w:rPr>
          <w:rFonts w:ascii="Arial" w:hAnsi="Arial" w:cs="Arial"/>
          <w:lang w:eastAsia="en-GB"/>
        </w:rPr>
        <w:t xml:space="preserve">Participants were also asked for general comments about the event. Most comments were positive, including praise for the content, the opportunities for discussion, the sensitive facilitation, and the use of humour. Some expressed surprise </w:t>
      </w:r>
      <w:r w:rsidR="00E01B6A">
        <w:rPr>
          <w:rFonts w:ascii="Arial" w:hAnsi="Arial" w:cs="Arial"/>
          <w:lang w:eastAsia="en-GB"/>
        </w:rPr>
        <w:t xml:space="preserve">that </w:t>
      </w:r>
      <w:r>
        <w:rPr>
          <w:rFonts w:ascii="Arial" w:hAnsi="Arial" w:cs="Arial"/>
          <w:lang w:eastAsia="en-GB"/>
        </w:rPr>
        <w:t>the event was not ‘morbid’.</w:t>
      </w:r>
    </w:p>
    <w:p w:rsidR="00512760" w:rsidRDefault="00512760" w:rsidP="005B3E6F">
      <w:pPr>
        <w:spacing w:line="360" w:lineRule="auto"/>
        <w:rPr>
          <w:rFonts w:ascii="Arial" w:hAnsi="Arial" w:cs="Arial"/>
        </w:rPr>
        <w:sectPr w:rsidR="00512760" w:rsidSect="00D90B5D">
          <w:pgSz w:w="11907" w:h="16840" w:code="9"/>
          <w:pgMar w:top="1440" w:right="1440" w:bottom="1440" w:left="1440" w:header="709" w:footer="709" w:gutter="0"/>
          <w:cols w:space="708"/>
          <w:docGrid w:linePitch="299"/>
        </w:sectPr>
      </w:pPr>
    </w:p>
    <w:p w:rsidR="00BC50CD" w:rsidRPr="00D90B5D" w:rsidRDefault="00BC50CD" w:rsidP="00BC50CD">
      <w:pPr>
        <w:pStyle w:val="Caption"/>
        <w:keepNext/>
        <w:rPr>
          <w:i/>
          <w:sz w:val="20"/>
          <w:szCs w:val="20"/>
        </w:rPr>
      </w:pPr>
      <w:bookmarkStart w:id="1" w:name="_Toc442778243"/>
      <w:r w:rsidRPr="00310AB8">
        <w:rPr>
          <w:i/>
          <w:sz w:val="20"/>
          <w:szCs w:val="20"/>
        </w:rPr>
        <w:lastRenderedPageBreak/>
        <w:t xml:space="preserve">Table </w:t>
      </w:r>
      <w:r>
        <w:rPr>
          <w:i/>
          <w:sz w:val="20"/>
          <w:szCs w:val="20"/>
        </w:rPr>
        <w:t>2</w:t>
      </w:r>
      <w:r w:rsidRPr="00310AB8">
        <w:rPr>
          <w:i/>
          <w:sz w:val="20"/>
          <w:szCs w:val="20"/>
        </w:rPr>
        <w:t xml:space="preserve">: </w:t>
      </w:r>
      <w:r w:rsidRPr="00310AB8">
        <w:rPr>
          <w:rFonts w:cs="Arial"/>
          <w:i/>
          <w:sz w:val="20"/>
          <w:szCs w:val="20"/>
        </w:rPr>
        <w:t>Distribution of score categories</w:t>
      </w:r>
      <w:r>
        <w:rPr>
          <w:rFonts w:cs="Arial"/>
          <w:i/>
          <w:sz w:val="20"/>
          <w:szCs w:val="20"/>
        </w:rPr>
        <w:t>, and mean scores</w:t>
      </w:r>
      <w:r w:rsidRPr="00310AB8">
        <w:rPr>
          <w:rFonts w:cs="Arial"/>
          <w:i/>
          <w:sz w:val="20"/>
          <w:szCs w:val="20"/>
        </w:rPr>
        <w:t xml:space="preserve"> for how comfortable baseline sur</w:t>
      </w:r>
      <w:r>
        <w:rPr>
          <w:rFonts w:cs="Arial"/>
          <w:i/>
          <w:sz w:val="20"/>
          <w:szCs w:val="20"/>
        </w:rPr>
        <w:t>vey respondents stated they were about</w:t>
      </w:r>
      <w:r w:rsidRPr="00310AB8">
        <w:rPr>
          <w:rFonts w:cs="Arial"/>
          <w:i/>
          <w:sz w:val="20"/>
          <w:szCs w:val="20"/>
        </w:rPr>
        <w:t xml:space="preserve"> talking with close friends and </w:t>
      </w:r>
      <w:r>
        <w:rPr>
          <w:rFonts w:cs="Arial"/>
          <w:i/>
          <w:sz w:val="20"/>
          <w:szCs w:val="20"/>
        </w:rPr>
        <w:t>family about different aspects of end of life preferences, or comforting a person who has been bereaved</w:t>
      </w:r>
    </w:p>
    <w:tbl>
      <w:tblPr>
        <w:tblStyle w:val="TableGrid"/>
        <w:tblW w:w="14737" w:type="dxa"/>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4360"/>
        <w:gridCol w:w="30"/>
        <w:gridCol w:w="1452"/>
        <w:gridCol w:w="593"/>
        <w:gridCol w:w="889"/>
        <w:gridCol w:w="1186"/>
        <w:gridCol w:w="296"/>
        <w:gridCol w:w="1483"/>
        <w:gridCol w:w="297"/>
        <w:gridCol w:w="1186"/>
        <w:gridCol w:w="889"/>
        <w:gridCol w:w="593"/>
        <w:gridCol w:w="1483"/>
      </w:tblGrid>
      <w:tr w:rsidR="001B2FB7" w:rsidRPr="00720354" w:rsidTr="00E01B6A">
        <w:trPr>
          <w:trHeight w:val="340"/>
        </w:trPr>
        <w:tc>
          <w:tcPr>
            <w:tcW w:w="4360" w:type="dxa"/>
            <w:tcBorders>
              <w:top w:val="single" w:sz="4" w:space="0" w:color="auto"/>
              <w:bottom w:val="single" w:sz="4" w:space="0" w:color="auto"/>
              <w:right w:val="single" w:sz="4" w:space="0" w:color="auto"/>
            </w:tcBorders>
            <w:shd w:val="clear" w:color="auto" w:fill="FFFFFF"/>
          </w:tcPr>
          <w:p w:rsidR="001B2FB7" w:rsidRPr="00E01B6A" w:rsidRDefault="001B2FB7" w:rsidP="00ED2136">
            <w:pPr>
              <w:rPr>
                <w:rFonts w:cs="Arial"/>
                <w:b/>
                <w:i/>
                <w:sz w:val="20"/>
                <w:szCs w:val="20"/>
              </w:rPr>
            </w:pPr>
            <w:r w:rsidRPr="00E01B6A">
              <w:rPr>
                <w:rFonts w:cs="Arial"/>
                <w:b/>
                <w:i/>
                <w:sz w:val="20"/>
                <w:szCs w:val="20"/>
              </w:rPr>
              <w:t>Survey item</w:t>
            </w:r>
          </w:p>
        </w:tc>
        <w:tc>
          <w:tcPr>
            <w:tcW w:w="7412" w:type="dxa"/>
            <w:gridSpan w:val="9"/>
            <w:tcBorders>
              <w:left w:val="single" w:sz="4" w:space="0" w:color="auto"/>
              <w:bottom w:val="single" w:sz="4" w:space="0" w:color="auto"/>
            </w:tcBorders>
            <w:shd w:val="clear" w:color="auto" w:fill="FFFFFF"/>
          </w:tcPr>
          <w:p w:rsidR="001B2FB7" w:rsidRPr="00E01B6A" w:rsidRDefault="001B2FB7" w:rsidP="00ED2136">
            <w:pPr>
              <w:jc w:val="center"/>
              <w:rPr>
                <w:rFonts w:cs="Arial"/>
                <w:b/>
                <w:i/>
                <w:sz w:val="20"/>
                <w:szCs w:val="20"/>
              </w:rPr>
            </w:pPr>
            <w:r w:rsidRPr="00E01B6A">
              <w:rPr>
                <w:rFonts w:cs="Arial"/>
                <w:b/>
                <w:i/>
                <w:sz w:val="20"/>
                <w:szCs w:val="20"/>
              </w:rPr>
              <w:t xml:space="preserve">Survey Response </w:t>
            </w:r>
          </w:p>
        </w:tc>
        <w:tc>
          <w:tcPr>
            <w:tcW w:w="2965" w:type="dxa"/>
            <w:gridSpan w:val="3"/>
            <w:tcBorders>
              <w:bottom w:val="single" w:sz="4" w:space="0" w:color="auto"/>
            </w:tcBorders>
            <w:shd w:val="clear" w:color="auto" w:fill="FFFFFF"/>
            <w:vAlign w:val="center"/>
          </w:tcPr>
          <w:p w:rsidR="001B2FB7" w:rsidRPr="00720354" w:rsidRDefault="001B2FB7" w:rsidP="00ED2136">
            <w:pPr>
              <w:jc w:val="center"/>
              <w:rPr>
                <w:rFonts w:cs="Arial"/>
                <w:b/>
                <w:sz w:val="20"/>
                <w:szCs w:val="20"/>
              </w:rPr>
            </w:pPr>
          </w:p>
        </w:tc>
      </w:tr>
      <w:tr w:rsidR="00A37C7E" w:rsidRPr="00720354" w:rsidTr="00FE5063">
        <w:trPr>
          <w:trHeight w:val="340"/>
        </w:trPr>
        <w:tc>
          <w:tcPr>
            <w:tcW w:w="4360" w:type="dxa"/>
            <w:tcBorders>
              <w:bottom w:val="single" w:sz="4" w:space="0" w:color="auto"/>
            </w:tcBorders>
            <w:shd w:val="clear" w:color="auto" w:fill="FFFFFF"/>
          </w:tcPr>
          <w:p w:rsidR="00A37C7E" w:rsidRPr="00720354" w:rsidRDefault="00A37C7E" w:rsidP="00ED2136">
            <w:pPr>
              <w:rPr>
                <w:rFonts w:cs="Arial"/>
                <w:b/>
                <w:sz w:val="20"/>
                <w:szCs w:val="20"/>
              </w:rPr>
            </w:pPr>
            <w:r w:rsidRPr="00720354">
              <w:rPr>
                <w:rFonts w:cs="Arial"/>
                <w:sz w:val="20"/>
                <w:szCs w:val="20"/>
              </w:rPr>
              <w:t xml:space="preserve">  </w:t>
            </w:r>
          </w:p>
        </w:tc>
        <w:tc>
          <w:tcPr>
            <w:tcW w:w="2075" w:type="dxa"/>
            <w:gridSpan w:val="3"/>
            <w:tcBorders>
              <w:bottom w:val="single" w:sz="4" w:space="0" w:color="auto"/>
            </w:tcBorders>
            <w:shd w:val="clear" w:color="auto" w:fill="FFFFFF"/>
          </w:tcPr>
          <w:p w:rsidR="00A37C7E" w:rsidRPr="00720354" w:rsidRDefault="00A37C7E" w:rsidP="00ED2136">
            <w:pPr>
              <w:jc w:val="center"/>
              <w:rPr>
                <w:rFonts w:cs="Arial"/>
                <w:b/>
                <w:sz w:val="20"/>
                <w:szCs w:val="20"/>
              </w:rPr>
            </w:pPr>
            <w:r w:rsidRPr="00720354">
              <w:rPr>
                <w:rFonts w:cs="Arial"/>
                <w:b/>
                <w:sz w:val="20"/>
                <w:szCs w:val="20"/>
              </w:rPr>
              <w:t>Very uncomfortable</w:t>
            </w:r>
          </w:p>
          <w:p w:rsidR="00A37C7E" w:rsidRPr="00720354" w:rsidRDefault="00A37C7E" w:rsidP="00ED2136">
            <w:pPr>
              <w:jc w:val="center"/>
              <w:rPr>
                <w:rFonts w:cs="Arial"/>
                <w:b/>
                <w:sz w:val="20"/>
                <w:szCs w:val="20"/>
              </w:rPr>
            </w:pPr>
            <w:r w:rsidRPr="00720354">
              <w:rPr>
                <w:rFonts w:cs="Arial"/>
                <w:b/>
                <w:sz w:val="20"/>
                <w:szCs w:val="20"/>
              </w:rPr>
              <w:t>(1 or 2)</w:t>
            </w:r>
          </w:p>
        </w:tc>
        <w:tc>
          <w:tcPr>
            <w:tcW w:w="2075" w:type="dxa"/>
            <w:gridSpan w:val="2"/>
            <w:tcBorders>
              <w:bottom w:val="single" w:sz="4" w:space="0" w:color="auto"/>
            </w:tcBorders>
            <w:shd w:val="clear" w:color="auto" w:fill="FFFFFF"/>
          </w:tcPr>
          <w:p w:rsidR="00A37C7E" w:rsidRPr="00720354" w:rsidRDefault="00A37C7E" w:rsidP="00ED2136">
            <w:pPr>
              <w:jc w:val="center"/>
              <w:rPr>
                <w:rFonts w:cs="Arial"/>
                <w:b/>
                <w:sz w:val="20"/>
                <w:szCs w:val="20"/>
              </w:rPr>
            </w:pPr>
            <w:r w:rsidRPr="00720354">
              <w:rPr>
                <w:rFonts w:cs="Arial"/>
                <w:b/>
                <w:sz w:val="20"/>
                <w:szCs w:val="20"/>
              </w:rPr>
              <w:t>Quite uncomfortable</w:t>
            </w:r>
          </w:p>
          <w:p w:rsidR="00A37C7E" w:rsidRPr="00720354" w:rsidRDefault="00A37C7E" w:rsidP="00ED2136">
            <w:pPr>
              <w:jc w:val="center"/>
              <w:rPr>
                <w:rFonts w:cs="Arial"/>
                <w:b/>
                <w:sz w:val="20"/>
                <w:szCs w:val="20"/>
              </w:rPr>
            </w:pPr>
            <w:r w:rsidRPr="00720354">
              <w:rPr>
                <w:rFonts w:cs="Arial"/>
                <w:b/>
                <w:sz w:val="20"/>
                <w:szCs w:val="20"/>
              </w:rPr>
              <w:t>(3 or 4)</w:t>
            </w:r>
          </w:p>
        </w:tc>
        <w:tc>
          <w:tcPr>
            <w:tcW w:w="2076" w:type="dxa"/>
            <w:gridSpan w:val="3"/>
            <w:tcBorders>
              <w:bottom w:val="single" w:sz="4" w:space="0" w:color="auto"/>
            </w:tcBorders>
            <w:shd w:val="clear" w:color="auto" w:fill="FFFFFF"/>
          </w:tcPr>
          <w:p w:rsidR="00A37C7E" w:rsidRPr="00720354" w:rsidRDefault="00A37C7E" w:rsidP="00ED2136">
            <w:pPr>
              <w:jc w:val="center"/>
              <w:rPr>
                <w:rFonts w:cs="Arial"/>
                <w:b/>
                <w:sz w:val="20"/>
                <w:szCs w:val="20"/>
              </w:rPr>
            </w:pPr>
            <w:r w:rsidRPr="00720354">
              <w:rPr>
                <w:rFonts w:cs="Arial"/>
                <w:b/>
                <w:sz w:val="20"/>
                <w:szCs w:val="20"/>
              </w:rPr>
              <w:t>Neutral</w:t>
            </w:r>
          </w:p>
          <w:p w:rsidR="00A37C7E" w:rsidRPr="00720354" w:rsidRDefault="00A37C7E" w:rsidP="00ED2136">
            <w:pPr>
              <w:jc w:val="center"/>
              <w:rPr>
                <w:rFonts w:cs="Arial"/>
                <w:b/>
                <w:sz w:val="20"/>
                <w:szCs w:val="20"/>
              </w:rPr>
            </w:pPr>
            <w:r w:rsidRPr="00720354">
              <w:rPr>
                <w:rFonts w:cs="Arial"/>
                <w:b/>
                <w:sz w:val="20"/>
                <w:szCs w:val="20"/>
              </w:rPr>
              <w:t>(5 or 6)</w:t>
            </w:r>
          </w:p>
        </w:tc>
        <w:tc>
          <w:tcPr>
            <w:tcW w:w="2075" w:type="dxa"/>
            <w:gridSpan w:val="2"/>
            <w:tcBorders>
              <w:bottom w:val="single" w:sz="4" w:space="0" w:color="auto"/>
            </w:tcBorders>
            <w:shd w:val="clear" w:color="auto" w:fill="FFFFFF"/>
          </w:tcPr>
          <w:p w:rsidR="00A37C7E" w:rsidRPr="00720354" w:rsidRDefault="00A37C7E" w:rsidP="00ED2136">
            <w:pPr>
              <w:jc w:val="center"/>
              <w:rPr>
                <w:rFonts w:cs="Arial"/>
                <w:b/>
                <w:sz w:val="20"/>
                <w:szCs w:val="20"/>
              </w:rPr>
            </w:pPr>
            <w:r w:rsidRPr="00720354">
              <w:rPr>
                <w:rFonts w:cs="Arial"/>
                <w:b/>
                <w:sz w:val="20"/>
                <w:szCs w:val="20"/>
              </w:rPr>
              <w:t>Quite comfortable</w:t>
            </w:r>
          </w:p>
          <w:p w:rsidR="00A37C7E" w:rsidRPr="00720354" w:rsidRDefault="00A37C7E" w:rsidP="00ED2136">
            <w:pPr>
              <w:jc w:val="center"/>
              <w:rPr>
                <w:rFonts w:cs="Arial"/>
                <w:b/>
                <w:sz w:val="20"/>
                <w:szCs w:val="20"/>
              </w:rPr>
            </w:pPr>
            <w:r w:rsidRPr="00720354">
              <w:rPr>
                <w:rFonts w:cs="Arial"/>
                <w:b/>
                <w:sz w:val="20"/>
                <w:szCs w:val="20"/>
              </w:rPr>
              <w:t>(7 or 8)</w:t>
            </w:r>
          </w:p>
        </w:tc>
        <w:tc>
          <w:tcPr>
            <w:tcW w:w="2076" w:type="dxa"/>
            <w:gridSpan w:val="2"/>
            <w:tcBorders>
              <w:bottom w:val="single" w:sz="4" w:space="0" w:color="auto"/>
            </w:tcBorders>
            <w:shd w:val="clear" w:color="auto" w:fill="FFFFFF"/>
          </w:tcPr>
          <w:p w:rsidR="00A37C7E" w:rsidRPr="00720354" w:rsidRDefault="00A37C7E" w:rsidP="00ED2136">
            <w:pPr>
              <w:jc w:val="center"/>
              <w:rPr>
                <w:rFonts w:cs="Arial"/>
                <w:b/>
                <w:sz w:val="20"/>
                <w:szCs w:val="20"/>
              </w:rPr>
            </w:pPr>
            <w:r w:rsidRPr="00720354">
              <w:rPr>
                <w:rFonts w:cs="Arial"/>
                <w:b/>
                <w:sz w:val="20"/>
                <w:szCs w:val="20"/>
              </w:rPr>
              <w:t>Very comfortable</w:t>
            </w:r>
          </w:p>
          <w:p w:rsidR="00A37C7E" w:rsidRPr="00720354" w:rsidRDefault="00A37C7E" w:rsidP="00ED2136">
            <w:pPr>
              <w:jc w:val="center"/>
              <w:rPr>
                <w:rFonts w:cs="Arial"/>
                <w:b/>
                <w:sz w:val="20"/>
                <w:szCs w:val="20"/>
              </w:rPr>
            </w:pPr>
            <w:r w:rsidRPr="00720354">
              <w:rPr>
                <w:rFonts w:cs="Arial"/>
                <w:b/>
                <w:sz w:val="20"/>
                <w:szCs w:val="20"/>
              </w:rPr>
              <w:t>(9 or 10)</w:t>
            </w:r>
          </w:p>
        </w:tc>
      </w:tr>
      <w:tr w:rsidR="00A37C7E" w:rsidRPr="00720354" w:rsidTr="00E01B6A">
        <w:trPr>
          <w:trHeight w:val="318"/>
        </w:trPr>
        <w:tc>
          <w:tcPr>
            <w:tcW w:w="4360" w:type="dxa"/>
            <w:tcBorders>
              <w:top w:val="single" w:sz="4" w:space="0" w:color="auto"/>
              <w:bottom w:val="single" w:sz="4" w:space="0" w:color="auto"/>
            </w:tcBorders>
            <w:shd w:val="clear" w:color="auto" w:fill="FFFFFF"/>
            <w:vAlign w:val="center"/>
          </w:tcPr>
          <w:p w:rsidR="00A37C7E" w:rsidRPr="00BE3C72" w:rsidRDefault="00A37C7E" w:rsidP="00ED2136">
            <w:pPr>
              <w:rPr>
                <w:rFonts w:cs="Arial"/>
                <w:sz w:val="20"/>
                <w:szCs w:val="20"/>
              </w:rPr>
            </w:pPr>
            <w:r>
              <w:rPr>
                <w:rFonts w:cs="Arial"/>
                <w:sz w:val="20"/>
                <w:szCs w:val="20"/>
              </w:rPr>
              <w:t>Talking about o</w:t>
            </w:r>
            <w:r w:rsidRPr="00BE3C72">
              <w:rPr>
                <w:rFonts w:cs="Arial"/>
                <w:sz w:val="20"/>
                <w:szCs w:val="20"/>
              </w:rPr>
              <w:t>wn end of life care</w:t>
            </w:r>
          </w:p>
        </w:tc>
        <w:tc>
          <w:tcPr>
            <w:tcW w:w="2075" w:type="dxa"/>
            <w:gridSpan w:val="3"/>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8 (2%)</w:t>
            </w:r>
          </w:p>
        </w:tc>
        <w:tc>
          <w:tcPr>
            <w:tcW w:w="2075" w:type="dxa"/>
            <w:gridSpan w:val="2"/>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29 (6%)</w:t>
            </w:r>
          </w:p>
        </w:tc>
        <w:tc>
          <w:tcPr>
            <w:tcW w:w="2076" w:type="dxa"/>
            <w:gridSpan w:val="3"/>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58 (12%)</w:t>
            </w:r>
          </w:p>
        </w:tc>
        <w:tc>
          <w:tcPr>
            <w:tcW w:w="2075" w:type="dxa"/>
            <w:gridSpan w:val="2"/>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117 (24%)</w:t>
            </w:r>
          </w:p>
        </w:tc>
        <w:tc>
          <w:tcPr>
            <w:tcW w:w="2076" w:type="dxa"/>
            <w:gridSpan w:val="2"/>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283 (57%)</w:t>
            </w:r>
          </w:p>
        </w:tc>
      </w:tr>
      <w:tr w:rsidR="00A37C7E" w:rsidRPr="00720354" w:rsidTr="00E01B6A">
        <w:trPr>
          <w:trHeight w:val="318"/>
        </w:trPr>
        <w:tc>
          <w:tcPr>
            <w:tcW w:w="4360" w:type="dxa"/>
            <w:tcBorders>
              <w:top w:val="single" w:sz="4" w:space="0" w:color="auto"/>
              <w:bottom w:val="single" w:sz="4" w:space="0" w:color="auto"/>
            </w:tcBorders>
            <w:shd w:val="clear" w:color="auto" w:fill="FFFFFF"/>
            <w:vAlign w:val="center"/>
          </w:tcPr>
          <w:p w:rsidR="00A37C7E" w:rsidRPr="00BE3C72" w:rsidRDefault="00A37C7E" w:rsidP="00ED2136">
            <w:pPr>
              <w:rPr>
                <w:rFonts w:cs="Arial"/>
                <w:sz w:val="20"/>
                <w:szCs w:val="20"/>
              </w:rPr>
            </w:pPr>
            <w:r>
              <w:rPr>
                <w:rFonts w:cs="Arial"/>
                <w:sz w:val="20"/>
                <w:szCs w:val="20"/>
              </w:rPr>
              <w:t>Talking about o</w:t>
            </w:r>
            <w:r w:rsidRPr="00BE3C72">
              <w:rPr>
                <w:rFonts w:cs="Arial"/>
                <w:sz w:val="20"/>
                <w:szCs w:val="20"/>
              </w:rPr>
              <w:t>wn wishes for after death</w:t>
            </w:r>
          </w:p>
        </w:tc>
        <w:tc>
          <w:tcPr>
            <w:tcW w:w="2075" w:type="dxa"/>
            <w:gridSpan w:val="3"/>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8 (2%)</w:t>
            </w:r>
          </w:p>
        </w:tc>
        <w:tc>
          <w:tcPr>
            <w:tcW w:w="2075" w:type="dxa"/>
            <w:gridSpan w:val="2"/>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29 (6%)</w:t>
            </w:r>
          </w:p>
        </w:tc>
        <w:tc>
          <w:tcPr>
            <w:tcW w:w="2076" w:type="dxa"/>
            <w:gridSpan w:val="3"/>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56 (12%)</w:t>
            </w:r>
          </w:p>
        </w:tc>
        <w:tc>
          <w:tcPr>
            <w:tcW w:w="2075" w:type="dxa"/>
            <w:gridSpan w:val="2"/>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113 (23%)</w:t>
            </w:r>
          </w:p>
        </w:tc>
        <w:tc>
          <w:tcPr>
            <w:tcW w:w="2076" w:type="dxa"/>
            <w:gridSpan w:val="2"/>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283 (58%)</w:t>
            </w:r>
          </w:p>
        </w:tc>
      </w:tr>
      <w:tr w:rsidR="00A37C7E" w:rsidRPr="00720354" w:rsidTr="00E01B6A">
        <w:trPr>
          <w:trHeight w:val="318"/>
        </w:trPr>
        <w:tc>
          <w:tcPr>
            <w:tcW w:w="4360" w:type="dxa"/>
            <w:tcBorders>
              <w:top w:val="single" w:sz="4" w:space="0" w:color="auto"/>
              <w:bottom w:val="single" w:sz="4" w:space="0" w:color="auto"/>
            </w:tcBorders>
            <w:shd w:val="clear" w:color="auto" w:fill="FFFFFF"/>
            <w:vAlign w:val="center"/>
          </w:tcPr>
          <w:p w:rsidR="00A37C7E" w:rsidRPr="00BE3C72" w:rsidRDefault="00A37C7E" w:rsidP="00ED2136">
            <w:pPr>
              <w:rPr>
                <w:rFonts w:cs="Arial"/>
                <w:sz w:val="20"/>
                <w:szCs w:val="20"/>
              </w:rPr>
            </w:pPr>
            <w:r>
              <w:rPr>
                <w:rFonts w:cs="Arial"/>
                <w:sz w:val="20"/>
                <w:szCs w:val="20"/>
              </w:rPr>
              <w:t>Talking about a</w:t>
            </w:r>
            <w:r w:rsidRPr="00BE3C72">
              <w:rPr>
                <w:rFonts w:cs="Arial"/>
                <w:sz w:val="20"/>
                <w:szCs w:val="20"/>
              </w:rPr>
              <w:t xml:space="preserve">nother’s end of life care </w:t>
            </w:r>
          </w:p>
        </w:tc>
        <w:tc>
          <w:tcPr>
            <w:tcW w:w="2075" w:type="dxa"/>
            <w:gridSpan w:val="3"/>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9 (2%)</w:t>
            </w:r>
          </w:p>
        </w:tc>
        <w:tc>
          <w:tcPr>
            <w:tcW w:w="2075" w:type="dxa"/>
            <w:gridSpan w:val="2"/>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34 (7%)</w:t>
            </w:r>
          </w:p>
        </w:tc>
        <w:tc>
          <w:tcPr>
            <w:tcW w:w="2076" w:type="dxa"/>
            <w:gridSpan w:val="3"/>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80 (17%)</w:t>
            </w:r>
          </w:p>
        </w:tc>
        <w:tc>
          <w:tcPr>
            <w:tcW w:w="2075" w:type="dxa"/>
            <w:gridSpan w:val="2"/>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124 (26%)</w:t>
            </w:r>
          </w:p>
        </w:tc>
        <w:tc>
          <w:tcPr>
            <w:tcW w:w="2076" w:type="dxa"/>
            <w:gridSpan w:val="2"/>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236 (49%)</w:t>
            </w:r>
          </w:p>
        </w:tc>
      </w:tr>
      <w:tr w:rsidR="00A37C7E" w:rsidRPr="00720354" w:rsidTr="00E01B6A">
        <w:trPr>
          <w:trHeight w:val="318"/>
        </w:trPr>
        <w:tc>
          <w:tcPr>
            <w:tcW w:w="4360" w:type="dxa"/>
            <w:tcBorders>
              <w:top w:val="single" w:sz="4" w:space="0" w:color="auto"/>
              <w:bottom w:val="single" w:sz="4" w:space="0" w:color="auto"/>
            </w:tcBorders>
            <w:shd w:val="clear" w:color="auto" w:fill="FFFFFF"/>
            <w:vAlign w:val="center"/>
          </w:tcPr>
          <w:p w:rsidR="00A37C7E" w:rsidRPr="00BE3C72" w:rsidRDefault="00A37C7E" w:rsidP="00ED2136">
            <w:pPr>
              <w:rPr>
                <w:rFonts w:cs="Arial"/>
                <w:sz w:val="20"/>
                <w:szCs w:val="20"/>
              </w:rPr>
            </w:pPr>
            <w:r>
              <w:rPr>
                <w:rFonts w:cs="Arial"/>
                <w:sz w:val="20"/>
                <w:szCs w:val="20"/>
              </w:rPr>
              <w:t>Talking about a</w:t>
            </w:r>
            <w:r w:rsidRPr="00BE3C72">
              <w:rPr>
                <w:rFonts w:cs="Arial"/>
                <w:sz w:val="20"/>
                <w:szCs w:val="20"/>
              </w:rPr>
              <w:t xml:space="preserve">nother’s wishes for after death </w:t>
            </w:r>
          </w:p>
        </w:tc>
        <w:tc>
          <w:tcPr>
            <w:tcW w:w="2075" w:type="dxa"/>
            <w:gridSpan w:val="3"/>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9 (2%)</w:t>
            </w:r>
          </w:p>
        </w:tc>
        <w:tc>
          <w:tcPr>
            <w:tcW w:w="2075" w:type="dxa"/>
            <w:gridSpan w:val="2"/>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32 (6%)</w:t>
            </w:r>
          </w:p>
        </w:tc>
        <w:tc>
          <w:tcPr>
            <w:tcW w:w="2076" w:type="dxa"/>
            <w:gridSpan w:val="3"/>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80 (17%)</w:t>
            </w:r>
          </w:p>
        </w:tc>
        <w:tc>
          <w:tcPr>
            <w:tcW w:w="2075" w:type="dxa"/>
            <w:gridSpan w:val="2"/>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126 (26%)</w:t>
            </w:r>
          </w:p>
        </w:tc>
        <w:tc>
          <w:tcPr>
            <w:tcW w:w="2076" w:type="dxa"/>
            <w:gridSpan w:val="2"/>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236 (49%)</w:t>
            </w:r>
          </w:p>
        </w:tc>
      </w:tr>
      <w:tr w:rsidR="00A37C7E" w:rsidRPr="00720354" w:rsidTr="00E01B6A">
        <w:trPr>
          <w:trHeight w:val="318"/>
        </w:trPr>
        <w:tc>
          <w:tcPr>
            <w:tcW w:w="4360" w:type="dxa"/>
            <w:tcBorders>
              <w:top w:val="single" w:sz="4" w:space="0" w:color="auto"/>
              <w:bottom w:val="single" w:sz="4" w:space="0" w:color="auto"/>
            </w:tcBorders>
            <w:shd w:val="clear" w:color="auto" w:fill="FFFFFF"/>
            <w:vAlign w:val="center"/>
          </w:tcPr>
          <w:p w:rsidR="00A37C7E" w:rsidRPr="00BE3C72" w:rsidRDefault="00A37C7E" w:rsidP="00ED2136">
            <w:pPr>
              <w:rPr>
                <w:rFonts w:cs="Arial"/>
                <w:sz w:val="20"/>
                <w:szCs w:val="20"/>
              </w:rPr>
            </w:pPr>
            <w:r w:rsidRPr="00BE3C72">
              <w:rPr>
                <w:rFonts w:cs="Arial"/>
                <w:sz w:val="20"/>
                <w:szCs w:val="20"/>
              </w:rPr>
              <w:t xml:space="preserve">Comforting somebody who is bereaved </w:t>
            </w:r>
          </w:p>
        </w:tc>
        <w:tc>
          <w:tcPr>
            <w:tcW w:w="2075" w:type="dxa"/>
            <w:gridSpan w:val="3"/>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4 (1%)</w:t>
            </w:r>
          </w:p>
        </w:tc>
        <w:tc>
          <w:tcPr>
            <w:tcW w:w="2075" w:type="dxa"/>
            <w:gridSpan w:val="2"/>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22 (5%)</w:t>
            </w:r>
          </w:p>
        </w:tc>
        <w:tc>
          <w:tcPr>
            <w:tcW w:w="2076" w:type="dxa"/>
            <w:gridSpan w:val="3"/>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54 (11%)</w:t>
            </w:r>
          </w:p>
        </w:tc>
        <w:tc>
          <w:tcPr>
            <w:tcW w:w="2075" w:type="dxa"/>
            <w:gridSpan w:val="2"/>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143 (29%)</w:t>
            </w:r>
          </w:p>
        </w:tc>
        <w:tc>
          <w:tcPr>
            <w:tcW w:w="2076" w:type="dxa"/>
            <w:gridSpan w:val="2"/>
            <w:tcBorders>
              <w:top w:val="single" w:sz="4" w:space="0" w:color="auto"/>
              <w:bottom w:val="single" w:sz="4" w:space="0" w:color="auto"/>
            </w:tcBorders>
            <w:shd w:val="clear" w:color="auto" w:fill="FFFFFF"/>
            <w:vAlign w:val="center"/>
          </w:tcPr>
          <w:p w:rsidR="00A37C7E" w:rsidRPr="00720354" w:rsidRDefault="00A37C7E" w:rsidP="00ED2136">
            <w:pPr>
              <w:jc w:val="center"/>
              <w:rPr>
                <w:rFonts w:cs="Arial"/>
                <w:sz w:val="20"/>
                <w:szCs w:val="20"/>
              </w:rPr>
            </w:pPr>
            <w:r w:rsidRPr="00720354">
              <w:rPr>
                <w:rFonts w:cs="Arial"/>
                <w:sz w:val="20"/>
                <w:szCs w:val="20"/>
              </w:rPr>
              <w:t>266 (54%)</w:t>
            </w:r>
          </w:p>
        </w:tc>
      </w:tr>
      <w:tr w:rsidR="00BC50CD" w:rsidRPr="00720354" w:rsidTr="00E01B6A">
        <w:trPr>
          <w:trHeight w:val="211"/>
        </w:trPr>
        <w:tc>
          <w:tcPr>
            <w:tcW w:w="14737" w:type="dxa"/>
            <w:gridSpan w:val="13"/>
            <w:tcBorders>
              <w:top w:val="single" w:sz="4" w:space="0" w:color="auto"/>
              <w:bottom w:val="single" w:sz="4" w:space="0" w:color="auto"/>
            </w:tcBorders>
            <w:shd w:val="clear" w:color="auto" w:fill="FFFFFF"/>
            <w:vAlign w:val="center"/>
          </w:tcPr>
          <w:p w:rsidR="00BC50CD" w:rsidRPr="00720354" w:rsidRDefault="00BC50CD" w:rsidP="00ED2136">
            <w:pPr>
              <w:rPr>
                <w:rFonts w:cs="Arial"/>
                <w:sz w:val="20"/>
                <w:szCs w:val="20"/>
              </w:rPr>
            </w:pPr>
          </w:p>
        </w:tc>
      </w:tr>
      <w:tr w:rsidR="002947F9" w:rsidRPr="00720354" w:rsidTr="00E01B6A">
        <w:trPr>
          <w:trHeight w:val="340"/>
        </w:trPr>
        <w:tc>
          <w:tcPr>
            <w:tcW w:w="4390" w:type="dxa"/>
            <w:gridSpan w:val="2"/>
            <w:tcBorders>
              <w:top w:val="single" w:sz="4" w:space="0" w:color="auto"/>
              <w:bottom w:val="single" w:sz="4" w:space="0" w:color="auto"/>
              <w:right w:val="single" w:sz="4" w:space="0" w:color="auto"/>
            </w:tcBorders>
            <w:shd w:val="clear" w:color="auto" w:fill="FFFFFF"/>
            <w:vAlign w:val="center"/>
          </w:tcPr>
          <w:p w:rsidR="002947F9" w:rsidRPr="002947F9" w:rsidRDefault="002947F9" w:rsidP="00ED2136">
            <w:pPr>
              <w:rPr>
                <w:rFonts w:cs="Arial"/>
                <w:b/>
                <w:i/>
                <w:sz w:val="20"/>
                <w:szCs w:val="20"/>
              </w:rPr>
            </w:pPr>
            <w:r>
              <w:rPr>
                <w:rFonts w:cs="Arial"/>
                <w:b/>
                <w:i/>
                <w:sz w:val="20"/>
                <w:szCs w:val="20"/>
              </w:rPr>
              <w:t xml:space="preserve">Survey item - </w:t>
            </w:r>
            <w:r w:rsidRPr="00EB0600">
              <w:rPr>
                <w:rFonts w:cs="Arial"/>
                <w:b/>
                <w:i/>
                <w:sz w:val="20"/>
                <w:szCs w:val="20"/>
              </w:rPr>
              <w:t>Mean score (95% CI)</w:t>
            </w:r>
          </w:p>
        </w:tc>
        <w:tc>
          <w:tcPr>
            <w:tcW w:w="10347" w:type="dxa"/>
            <w:gridSpan w:val="11"/>
            <w:tcBorders>
              <w:top w:val="single" w:sz="4" w:space="0" w:color="auto"/>
              <w:left w:val="single" w:sz="4" w:space="0" w:color="auto"/>
              <w:bottom w:val="single" w:sz="4" w:space="0" w:color="auto"/>
            </w:tcBorders>
            <w:shd w:val="clear" w:color="auto" w:fill="FFFFFF"/>
            <w:vAlign w:val="center"/>
          </w:tcPr>
          <w:p w:rsidR="002947F9" w:rsidRPr="00E01B6A" w:rsidRDefault="002947F9" w:rsidP="00E01B6A">
            <w:pPr>
              <w:jc w:val="center"/>
              <w:rPr>
                <w:rFonts w:cs="Arial"/>
                <w:b/>
                <w:i/>
                <w:sz w:val="20"/>
                <w:szCs w:val="20"/>
              </w:rPr>
            </w:pPr>
            <w:r>
              <w:rPr>
                <w:rFonts w:cs="Arial"/>
                <w:b/>
                <w:i/>
                <w:sz w:val="20"/>
                <w:szCs w:val="20"/>
              </w:rPr>
              <w:t>Age Group</w:t>
            </w:r>
          </w:p>
        </w:tc>
      </w:tr>
      <w:tr w:rsidR="00BC50CD" w:rsidRPr="00720354" w:rsidTr="00ED2136">
        <w:trPr>
          <w:trHeight w:val="340"/>
        </w:trPr>
        <w:tc>
          <w:tcPr>
            <w:tcW w:w="4360" w:type="dxa"/>
            <w:tcBorders>
              <w:top w:val="single" w:sz="4" w:space="0" w:color="auto"/>
              <w:bottom w:val="single" w:sz="4" w:space="0" w:color="auto"/>
            </w:tcBorders>
            <w:shd w:val="clear" w:color="auto" w:fill="FFFFFF"/>
            <w:vAlign w:val="center"/>
          </w:tcPr>
          <w:p w:rsidR="00BC50CD" w:rsidRPr="00720354" w:rsidRDefault="00BC50CD" w:rsidP="00ED2136">
            <w:pPr>
              <w:rPr>
                <w:rFonts w:cs="Arial"/>
                <w:b/>
                <w:sz w:val="20"/>
                <w:szCs w:val="20"/>
              </w:rPr>
            </w:pPr>
          </w:p>
        </w:tc>
        <w:tc>
          <w:tcPr>
            <w:tcW w:w="1482" w:type="dxa"/>
            <w:gridSpan w:val="2"/>
            <w:tcBorders>
              <w:top w:val="single" w:sz="4" w:space="0" w:color="auto"/>
              <w:bottom w:val="single" w:sz="4" w:space="0" w:color="auto"/>
            </w:tcBorders>
            <w:shd w:val="clear" w:color="auto" w:fill="FFFFFF"/>
            <w:vAlign w:val="center"/>
          </w:tcPr>
          <w:p w:rsidR="00BC50CD" w:rsidRPr="00EB0600" w:rsidRDefault="00BC50CD" w:rsidP="00ED2136">
            <w:pPr>
              <w:jc w:val="center"/>
              <w:rPr>
                <w:rFonts w:cs="Arial"/>
                <w:b/>
                <w:sz w:val="20"/>
                <w:szCs w:val="20"/>
              </w:rPr>
            </w:pPr>
            <w:r w:rsidRPr="00EB0600">
              <w:rPr>
                <w:rFonts w:cs="Arial"/>
                <w:b/>
                <w:sz w:val="20"/>
                <w:szCs w:val="20"/>
              </w:rPr>
              <w:t>Under 35</w:t>
            </w:r>
          </w:p>
        </w:tc>
        <w:tc>
          <w:tcPr>
            <w:tcW w:w="1482" w:type="dxa"/>
            <w:gridSpan w:val="2"/>
            <w:tcBorders>
              <w:top w:val="single" w:sz="4" w:space="0" w:color="auto"/>
              <w:bottom w:val="single" w:sz="4" w:space="0" w:color="auto"/>
            </w:tcBorders>
            <w:shd w:val="clear" w:color="auto" w:fill="FFFFFF"/>
            <w:vAlign w:val="center"/>
          </w:tcPr>
          <w:p w:rsidR="00BC50CD" w:rsidRPr="00EB0600" w:rsidRDefault="00BC50CD" w:rsidP="00ED2136">
            <w:pPr>
              <w:jc w:val="center"/>
              <w:rPr>
                <w:rFonts w:cs="Arial"/>
                <w:b/>
                <w:sz w:val="20"/>
                <w:szCs w:val="20"/>
              </w:rPr>
            </w:pPr>
            <w:r>
              <w:rPr>
                <w:rFonts w:cs="Arial"/>
                <w:b/>
                <w:sz w:val="20"/>
                <w:szCs w:val="20"/>
              </w:rPr>
              <w:t>35</w:t>
            </w:r>
            <w:r w:rsidRPr="00EB0600">
              <w:rPr>
                <w:rFonts w:cs="Arial"/>
                <w:b/>
                <w:sz w:val="20"/>
                <w:szCs w:val="20"/>
              </w:rPr>
              <w:t xml:space="preserve"> to 44</w:t>
            </w:r>
          </w:p>
        </w:tc>
        <w:tc>
          <w:tcPr>
            <w:tcW w:w="1482" w:type="dxa"/>
            <w:gridSpan w:val="2"/>
            <w:tcBorders>
              <w:top w:val="single" w:sz="4" w:space="0" w:color="auto"/>
              <w:bottom w:val="single" w:sz="4" w:space="0" w:color="auto"/>
            </w:tcBorders>
            <w:shd w:val="clear" w:color="auto" w:fill="FFFFFF"/>
            <w:vAlign w:val="center"/>
          </w:tcPr>
          <w:p w:rsidR="00BC50CD" w:rsidRPr="00EB0600" w:rsidRDefault="00BC50CD" w:rsidP="00ED2136">
            <w:pPr>
              <w:jc w:val="center"/>
              <w:rPr>
                <w:rFonts w:cs="Arial"/>
                <w:b/>
                <w:sz w:val="20"/>
                <w:szCs w:val="20"/>
              </w:rPr>
            </w:pPr>
            <w:r w:rsidRPr="00EB0600">
              <w:rPr>
                <w:rFonts w:cs="Arial"/>
                <w:b/>
                <w:sz w:val="20"/>
                <w:szCs w:val="20"/>
              </w:rPr>
              <w:t>45 to 54</w:t>
            </w:r>
          </w:p>
        </w:tc>
        <w:tc>
          <w:tcPr>
            <w:tcW w:w="1483" w:type="dxa"/>
            <w:tcBorders>
              <w:top w:val="single" w:sz="4" w:space="0" w:color="auto"/>
              <w:bottom w:val="single" w:sz="4" w:space="0" w:color="auto"/>
            </w:tcBorders>
            <w:shd w:val="clear" w:color="auto" w:fill="FFFFFF"/>
            <w:vAlign w:val="center"/>
          </w:tcPr>
          <w:p w:rsidR="00BC50CD" w:rsidRPr="00EB0600" w:rsidRDefault="00BC50CD" w:rsidP="00ED2136">
            <w:pPr>
              <w:jc w:val="center"/>
              <w:rPr>
                <w:rFonts w:cs="Arial"/>
                <w:b/>
                <w:sz w:val="20"/>
                <w:szCs w:val="20"/>
              </w:rPr>
            </w:pPr>
            <w:r w:rsidRPr="00EB0600">
              <w:rPr>
                <w:rFonts w:cs="Arial"/>
                <w:b/>
                <w:sz w:val="20"/>
                <w:szCs w:val="20"/>
              </w:rPr>
              <w:t>55 to 64</w:t>
            </w:r>
          </w:p>
        </w:tc>
        <w:tc>
          <w:tcPr>
            <w:tcW w:w="1483" w:type="dxa"/>
            <w:gridSpan w:val="2"/>
            <w:tcBorders>
              <w:top w:val="single" w:sz="4" w:space="0" w:color="auto"/>
              <w:bottom w:val="single" w:sz="4" w:space="0" w:color="auto"/>
            </w:tcBorders>
            <w:shd w:val="clear" w:color="auto" w:fill="FFFFFF"/>
            <w:vAlign w:val="center"/>
          </w:tcPr>
          <w:p w:rsidR="00BC50CD" w:rsidRPr="00EB0600" w:rsidRDefault="00BC50CD" w:rsidP="00ED2136">
            <w:pPr>
              <w:jc w:val="center"/>
              <w:rPr>
                <w:rFonts w:cs="Arial"/>
                <w:b/>
                <w:sz w:val="20"/>
                <w:szCs w:val="20"/>
              </w:rPr>
            </w:pPr>
            <w:r w:rsidRPr="00EB0600">
              <w:rPr>
                <w:rFonts w:cs="Arial"/>
                <w:b/>
                <w:sz w:val="20"/>
                <w:szCs w:val="20"/>
              </w:rPr>
              <w:t>65 to 74</w:t>
            </w:r>
          </w:p>
        </w:tc>
        <w:tc>
          <w:tcPr>
            <w:tcW w:w="1482" w:type="dxa"/>
            <w:gridSpan w:val="2"/>
            <w:tcBorders>
              <w:top w:val="single" w:sz="4" w:space="0" w:color="auto"/>
              <w:bottom w:val="single" w:sz="4" w:space="0" w:color="auto"/>
            </w:tcBorders>
            <w:shd w:val="clear" w:color="auto" w:fill="FFFFFF"/>
            <w:vAlign w:val="center"/>
          </w:tcPr>
          <w:p w:rsidR="00BC50CD" w:rsidRPr="00EB0600" w:rsidRDefault="00BC50CD" w:rsidP="00ED2136">
            <w:pPr>
              <w:jc w:val="center"/>
              <w:rPr>
                <w:rFonts w:cs="Arial"/>
                <w:b/>
                <w:sz w:val="20"/>
                <w:szCs w:val="20"/>
              </w:rPr>
            </w:pPr>
            <w:r w:rsidRPr="00EB0600">
              <w:rPr>
                <w:rFonts w:cs="Arial"/>
                <w:b/>
                <w:sz w:val="20"/>
                <w:szCs w:val="20"/>
              </w:rPr>
              <w:t>Over 75</w:t>
            </w:r>
          </w:p>
        </w:tc>
        <w:tc>
          <w:tcPr>
            <w:tcW w:w="1483" w:type="dxa"/>
            <w:tcBorders>
              <w:bottom w:val="single" w:sz="4" w:space="0" w:color="auto"/>
            </w:tcBorders>
            <w:shd w:val="clear" w:color="auto" w:fill="FFFFFF"/>
            <w:vAlign w:val="center"/>
          </w:tcPr>
          <w:p w:rsidR="00BC50CD" w:rsidRPr="00720354" w:rsidRDefault="00BC50CD" w:rsidP="00ED2136">
            <w:pPr>
              <w:jc w:val="center"/>
              <w:rPr>
                <w:rFonts w:cs="Arial"/>
                <w:b/>
                <w:sz w:val="20"/>
                <w:szCs w:val="20"/>
              </w:rPr>
            </w:pPr>
            <w:r>
              <w:rPr>
                <w:rFonts w:cs="Arial"/>
                <w:b/>
                <w:sz w:val="20"/>
                <w:szCs w:val="20"/>
              </w:rPr>
              <w:t>All ages</w:t>
            </w:r>
          </w:p>
        </w:tc>
      </w:tr>
      <w:tr w:rsidR="00BC50CD" w:rsidRPr="00720354" w:rsidTr="00ED2136">
        <w:trPr>
          <w:trHeight w:val="340"/>
        </w:trPr>
        <w:tc>
          <w:tcPr>
            <w:tcW w:w="4360" w:type="dxa"/>
            <w:tcBorders>
              <w:top w:val="single" w:sz="4" w:space="0" w:color="auto"/>
              <w:bottom w:val="single" w:sz="4" w:space="0" w:color="auto"/>
            </w:tcBorders>
            <w:shd w:val="clear" w:color="auto" w:fill="FFFFFF"/>
            <w:vAlign w:val="center"/>
          </w:tcPr>
          <w:p w:rsidR="00BC50CD" w:rsidRPr="00BE3C72" w:rsidRDefault="002947F9" w:rsidP="00ED2136">
            <w:pPr>
              <w:rPr>
                <w:rFonts w:cs="Arial"/>
                <w:sz w:val="20"/>
                <w:szCs w:val="20"/>
              </w:rPr>
            </w:pPr>
            <w:r>
              <w:rPr>
                <w:rFonts w:cs="Arial"/>
                <w:sz w:val="20"/>
                <w:szCs w:val="20"/>
              </w:rPr>
              <w:t>Talking about o</w:t>
            </w:r>
            <w:r w:rsidR="00BC50CD" w:rsidRPr="00BE3C72">
              <w:rPr>
                <w:rFonts w:cs="Arial"/>
                <w:sz w:val="20"/>
                <w:szCs w:val="20"/>
              </w:rPr>
              <w:t>wn end of life care</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7.77</w:t>
            </w:r>
          </w:p>
          <w:p w:rsidR="00BC50CD" w:rsidRPr="00720354" w:rsidRDefault="00BC50CD" w:rsidP="00ED2136">
            <w:pPr>
              <w:jc w:val="center"/>
              <w:rPr>
                <w:rFonts w:cs="Arial"/>
                <w:sz w:val="20"/>
                <w:szCs w:val="20"/>
              </w:rPr>
            </w:pPr>
            <w:r>
              <w:rPr>
                <w:rFonts w:cs="Arial"/>
                <w:sz w:val="20"/>
                <w:szCs w:val="20"/>
              </w:rPr>
              <w:t>(7.07 to 8.47)</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7.82</w:t>
            </w:r>
          </w:p>
          <w:p w:rsidR="00BC50CD" w:rsidRPr="00720354" w:rsidRDefault="00BC50CD" w:rsidP="00ED2136">
            <w:pPr>
              <w:jc w:val="center"/>
              <w:rPr>
                <w:rFonts w:cs="Arial"/>
                <w:sz w:val="20"/>
                <w:szCs w:val="20"/>
              </w:rPr>
            </w:pPr>
            <w:r>
              <w:rPr>
                <w:rFonts w:cs="Arial"/>
                <w:sz w:val="20"/>
                <w:szCs w:val="20"/>
              </w:rPr>
              <w:t>(7.15 to 8.49)</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8.32</w:t>
            </w:r>
          </w:p>
          <w:p w:rsidR="00BC50CD" w:rsidRPr="00720354" w:rsidRDefault="00BC50CD" w:rsidP="00ED2136">
            <w:pPr>
              <w:jc w:val="center"/>
              <w:rPr>
                <w:rFonts w:cs="Arial"/>
                <w:sz w:val="20"/>
                <w:szCs w:val="20"/>
              </w:rPr>
            </w:pPr>
            <w:r>
              <w:rPr>
                <w:rFonts w:cs="Arial"/>
                <w:sz w:val="20"/>
                <w:szCs w:val="20"/>
              </w:rPr>
              <w:t>(7.83 to 8.82)</w:t>
            </w:r>
          </w:p>
        </w:tc>
        <w:tc>
          <w:tcPr>
            <w:tcW w:w="1483" w:type="dxa"/>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8.26</w:t>
            </w:r>
          </w:p>
          <w:p w:rsidR="00BC50CD" w:rsidRPr="00720354" w:rsidRDefault="00BC50CD" w:rsidP="00ED2136">
            <w:pPr>
              <w:jc w:val="center"/>
              <w:rPr>
                <w:rFonts w:cs="Arial"/>
                <w:sz w:val="20"/>
                <w:szCs w:val="20"/>
              </w:rPr>
            </w:pPr>
            <w:r>
              <w:rPr>
                <w:rFonts w:cs="Arial"/>
                <w:sz w:val="20"/>
                <w:szCs w:val="20"/>
              </w:rPr>
              <w:t>(7.83 to 8.69)</w:t>
            </w:r>
          </w:p>
        </w:tc>
        <w:tc>
          <w:tcPr>
            <w:tcW w:w="1483"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8.63</w:t>
            </w:r>
          </w:p>
          <w:p w:rsidR="00BC50CD" w:rsidRPr="00720354" w:rsidRDefault="00BC50CD" w:rsidP="00ED2136">
            <w:pPr>
              <w:jc w:val="center"/>
              <w:rPr>
                <w:rFonts w:cs="Arial"/>
                <w:sz w:val="20"/>
                <w:szCs w:val="20"/>
              </w:rPr>
            </w:pPr>
            <w:r>
              <w:rPr>
                <w:rFonts w:cs="Arial"/>
                <w:sz w:val="20"/>
                <w:szCs w:val="20"/>
              </w:rPr>
              <w:t>(8.32 to 8.95)</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8.59</w:t>
            </w:r>
          </w:p>
          <w:p w:rsidR="00BC50CD" w:rsidRPr="00720354" w:rsidRDefault="00BC50CD" w:rsidP="00ED2136">
            <w:pPr>
              <w:jc w:val="center"/>
              <w:rPr>
                <w:rFonts w:cs="Arial"/>
                <w:sz w:val="20"/>
                <w:szCs w:val="20"/>
              </w:rPr>
            </w:pPr>
            <w:r>
              <w:rPr>
                <w:rFonts w:cs="Arial"/>
                <w:sz w:val="20"/>
                <w:szCs w:val="20"/>
              </w:rPr>
              <w:t>(8.04 to 9.14)</w:t>
            </w:r>
          </w:p>
        </w:tc>
        <w:tc>
          <w:tcPr>
            <w:tcW w:w="1483" w:type="dxa"/>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sidRPr="00720354">
              <w:rPr>
                <w:rFonts w:cs="Arial"/>
                <w:sz w:val="20"/>
                <w:szCs w:val="20"/>
              </w:rPr>
              <w:t>8.28</w:t>
            </w:r>
          </w:p>
          <w:p w:rsidR="00BC50CD" w:rsidRPr="00720354" w:rsidRDefault="00BC50CD" w:rsidP="00ED2136">
            <w:pPr>
              <w:jc w:val="center"/>
              <w:rPr>
                <w:rFonts w:cs="Arial"/>
                <w:sz w:val="20"/>
                <w:szCs w:val="20"/>
              </w:rPr>
            </w:pPr>
            <w:r w:rsidRPr="00720354">
              <w:rPr>
                <w:rFonts w:cs="Arial"/>
                <w:sz w:val="20"/>
                <w:szCs w:val="20"/>
              </w:rPr>
              <w:t>(8.08 to 8.48)</w:t>
            </w:r>
          </w:p>
        </w:tc>
      </w:tr>
      <w:tr w:rsidR="00BC50CD" w:rsidRPr="00720354" w:rsidTr="00ED2136">
        <w:trPr>
          <w:trHeight w:val="340"/>
        </w:trPr>
        <w:tc>
          <w:tcPr>
            <w:tcW w:w="4360" w:type="dxa"/>
            <w:tcBorders>
              <w:top w:val="single" w:sz="4" w:space="0" w:color="auto"/>
              <w:bottom w:val="single" w:sz="4" w:space="0" w:color="auto"/>
            </w:tcBorders>
            <w:shd w:val="clear" w:color="auto" w:fill="FFFFFF"/>
            <w:vAlign w:val="center"/>
          </w:tcPr>
          <w:p w:rsidR="00BC50CD" w:rsidRPr="00BE3C72" w:rsidRDefault="002947F9" w:rsidP="00ED2136">
            <w:pPr>
              <w:rPr>
                <w:rFonts w:cs="Arial"/>
                <w:sz w:val="20"/>
                <w:szCs w:val="20"/>
              </w:rPr>
            </w:pPr>
            <w:r>
              <w:rPr>
                <w:rFonts w:cs="Arial"/>
                <w:sz w:val="20"/>
                <w:szCs w:val="20"/>
              </w:rPr>
              <w:t>Talking about o</w:t>
            </w:r>
            <w:r w:rsidR="00BC50CD" w:rsidRPr="00BE3C72">
              <w:rPr>
                <w:rFonts w:cs="Arial"/>
                <w:sz w:val="20"/>
                <w:szCs w:val="20"/>
              </w:rPr>
              <w:t>wn wishes for after death</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7.65</w:t>
            </w:r>
          </w:p>
          <w:p w:rsidR="00BC50CD" w:rsidRPr="00720354" w:rsidRDefault="00BC50CD" w:rsidP="00ED2136">
            <w:pPr>
              <w:jc w:val="center"/>
              <w:rPr>
                <w:rFonts w:cs="Arial"/>
                <w:sz w:val="20"/>
                <w:szCs w:val="20"/>
              </w:rPr>
            </w:pPr>
            <w:r>
              <w:rPr>
                <w:rFonts w:cs="Arial"/>
                <w:sz w:val="20"/>
                <w:szCs w:val="20"/>
              </w:rPr>
              <w:t>(6.93 to 8.36)</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7.68</w:t>
            </w:r>
          </w:p>
          <w:p w:rsidR="00BC50CD" w:rsidRPr="00720354" w:rsidRDefault="00BC50CD" w:rsidP="00ED2136">
            <w:pPr>
              <w:jc w:val="center"/>
              <w:rPr>
                <w:rFonts w:cs="Arial"/>
                <w:sz w:val="20"/>
                <w:szCs w:val="20"/>
              </w:rPr>
            </w:pPr>
            <w:r>
              <w:rPr>
                <w:rFonts w:cs="Arial"/>
                <w:sz w:val="20"/>
                <w:szCs w:val="20"/>
              </w:rPr>
              <w:t>(6.99 to 8.37)</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8.49</w:t>
            </w:r>
          </w:p>
          <w:p w:rsidR="00BC50CD" w:rsidRPr="00720354" w:rsidRDefault="00BC50CD" w:rsidP="00ED2136">
            <w:pPr>
              <w:jc w:val="center"/>
              <w:rPr>
                <w:rFonts w:cs="Arial"/>
                <w:sz w:val="20"/>
                <w:szCs w:val="20"/>
              </w:rPr>
            </w:pPr>
            <w:r>
              <w:rPr>
                <w:rFonts w:cs="Arial"/>
                <w:sz w:val="20"/>
                <w:szCs w:val="20"/>
              </w:rPr>
              <w:t>(8.01 to 8.96)</w:t>
            </w:r>
          </w:p>
        </w:tc>
        <w:tc>
          <w:tcPr>
            <w:tcW w:w="1483" w:type="dxa"/>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8.26</w:t>
            </w:r>
          </w:p>
          <w:p w:rsidR="00BC50CD" w:rsidRPr="00720354" w:rsidRDefault="00BC50CD" w:rsidP="00ED2136">
            <w:pPr>
              <w:jc w:val="center"/>
              <w:rPr>
                <w:rFonts w:cs="Arial"/>
                <w:sz w:val="20"/>
                <w:szCs w:val="20"/>
              </w:rPr>
            </w:pPr>
            <w:r>
              <w:rPr>
                <w:rFonts w:cs="Arial"/>
                <w:sz w:val="20"/>
                <w:szCs w:val="20"/>
              </w:rPr>
              <w:t>(7.83 to 8.68)</w:t>
            </w:r>
          </w:p>
        </w:tc>
        <w:tc>
          <w:tcPr>
            <w:tcW w:w="1483"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8.47</w:t>
            </w:r>
          </w:p>
          <w:p w:rsidR="00BC50CD" w:rsidRPr="00720354" w:rsidRDefault="00BC50CD" w:rsidP="00ED2136">
            <w:pPr>
              <w:jc w:val="center"/>
              <w:rPr>
                <w:rFonts w:cs="Arial"/>
                <w:sz w:val="20"/>
                <w:szCs w:val="20"/>
              </w:rPr>
            </w:pPr>
            <w:r>
              <w:rPr>
                <w:rFonts w:cs="Arial"/>
                <w:sz w:val="20"/>
                <w:szCs w:val="20"/>
              </w:rPr>
              <w:t>(8.13 to 8.81)</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8.84</w:t>
            </w:r>
          </w:p>
          <w:p w:rsidR="00BC50CD" w:rsidRPr="00720354" w:rsidRDefault="00BC50CD" w:rsidP="00ED2136">
            <w:pPr>
              <w:jc w:val="center"/>
              <w:rPr>
                <w:rFonts w:cs="Arial"/>
                <w:sz w:val="20"/>
                <w:szCs w:val="20"/>
              </w:rPr>
            </w:pPr>
            <w:r>
              <w:rPr>
                <w:rFonts w:cs="Arial"/>
                <w:sz w:val="20"/>
                <w:szCs w:val="20"/>
              </w:rPr>
              <w:t>(8.37 to 9.32)</w:t>
            </w:r>
          </w:p>
        </w:tc>
        <w:tc>
          <w:tcPr>
            <w:tcW w:w="1483" w:type="dxa"/>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sidRPr="00720354">
              <w:rPr>
                <w:rFonts w:cs="Arial"/>
                <w:sz w:val="20"/>
                <w:szCs w:val="20"/>
              </w:rPr>
              <w:t>8.28</w:t>
            </w:r>
          </w:p>
          <w:p w:rsidR="00BC50CD" w:rsidRPr="00720354" w:rsidRDefault="00BC50CD" w:rsidP="00ED2136">
            <w:pPr>
              <w:jc w:val="center"/>
              <w:rPr>
                <w:rFonts w:cs="Arial"/>
                <w:sz w:val="20"/>
                <w:szCs w:val="20"/>
              </w:rPr>
            </w:pPr>
            <w:r w:rsidRPr="00720354">
              <w:rPr>
                <w:rFonts w:cs="Arial"/>
                <w:sz w:val="20"/>
                <w:szCs w:val="20"/>
              </w:rPr>
              <w:t>(8.08 to 8.47)</w:t>
            </w:r>
          </w:p>
        </w:tc>
      </w:tr>
      <w:tr w:rsidR="00BC50CD" w:rsidRPr="00720354" w:rsidTr="00ED2136">
        <w:trPr>
          <w:trHeight w:val="340"/>
        </w:trPr>
        <w:tc>
          <w:tcPr>
            <w:tcW w:w="4360" w:type="dxa"/>
            <w:tcBorders>
              <w:top w:val="single" w:sz="4" w:space="0" w:color="auto"/>
              <w:bottom w:val="single" w:sz="4" w:space="0" w:color="auto"/>
            </w:tcBorders>
            <w:shd w:val="clear" w:color="auto" w:fill="FFFFFF"/>
            <w:vAlign w:val="center"/>
          </w:tcPr>
          <w:p w:rsidR="00BC50CD" w:rsidRPr="00BE3C72" w:rsidRDefault="002947F9" w:rsidP="00ED2136">
            <w:pPr>
              <w:rPr>
                <w:rFonts w:cs="Arial"/>
                <w:sz w:val="20"/>
                <w:szCs w:val="20"/>
              </w:rPr>
            </w:pPr>
            <w:r>
              <w:rPr>
                <w:rFonts w:cs="Arial"/>
                <w:sz w:val="20"/>
                <w:szCs w:val="20"/>
              </w:rPr>
              <w:t>Talking about a</w:t>
            </w:r>
            <w:r w:rsidR="00BC50CD" w:rsidRPr="00BE3C72">
              <w:rPr>
                <w:rFonts w:cs="Arial"/>
                <w:sz w:val="20"/>
                <w:szCs w:val="20"/>
              </w:rPr>
              <w:t xml:space="preserve">nother’s end of life care </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7.15</w:t>
            </w:r>
          </w:p>
          <w:p w:rsidR="00BC50CD" w:rsidRPr="00720354" w:rsidRDefault="00BC50CD" w:rsidP="00ED2136">
            <w:pPr>
              <w:jc w:val="center"/>
              <w:rPr>
                <w:rFonts w:cs="Arial"/>
                <w:sz w:val="20"/>
                <w:szCs w:val="20"/>
              </w:rPr>
            </w:pPr>
            <w:r>
              <w:rPr>
                <w:rFonts w:cs="Arial"/>
                <w:sz w:val="20"/>
                <w:szCs w:val="20"/>
              </w:rPr>
              <w:t>(6.39 to 7.90)</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7.40</w:t>
            </w:r>
          </w:p>
          <w:p w:rsidR="00BC50CD" w:rsidRPr="00720354" w:rsidRDefault="00BC50CD" w:rsidP="00ED2136">
            <w:pPr>
              <w:jc w:val="center"/>
              <w:rPr>
                <w:rFonts w:cs="Arial"/>
                <w:sz w:val="20"/>
                <w:szCs w:val="20"/>
              </w:rPr>
            </w:pPr>
            <w:r>
              <w:rPr>
                <w:rFonts w:cs="Arial"/>
                <w:sz w:val="20"/>
                <w:szCs w:val="20"/>
              </w:rPr>
              <w:t>(6.67 to 8.04)</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7.79</w:t>
            </w:r>
          </w:p>
          <w:p w:rsidR="00BC50CD" w:rsidRPr="00720354" w:rsidRDefault="00BC50CD" w:rsidP="00ED2136">
            <w:pPr>
              <w:jc w:val="center"/>
              <w:rPr>
                <w:rFonts w:cs="Arial"/>
                <w:sz w:val="20"/>
                <w:szCs w:val="20"/>
              </w:rPr>
            </w:pPr>
            <w:r>
              <w:rPr>
                <w:rFonts w:cs="Arial"/>
                <w:sz w:val="20"/>
                <w:szCs w:val="20"/>
              </w:rPr>
              <w:t>(7.22 to 8.37)</w:t>
            </w:r>
          </w:p>
        </w:tc>
        <w:tc>
          <w:tcPr>
            <w:tcW w:w="1483" w:type="dxa"/>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7.85</w:t>
            </w:r>
          </w:p>
          <w:p w:rsidR="00BC50CD" w:rsidRPr="00720354" w:rsidRDefault="00BC50CD" w:rsidP="00ED2136">
            <w:pPr>
              <w:jc w:val="center"/>
              <w:rPr>
                <w:rFonts w:cs="Arial"/>
                <w:sz w:val="20"/>
                <w:szCs w:val="20"/>
              </w:rPr>
            </w:pPr>
            <w:r>
              <w:rPr>
                <w:rFonts w:cs="Arial"/>
                <w:sz w:val="20"/>
                <w:szCs w:val="20"/>
              </w:rPr>
              <w:t>(7.40 to 8.30)</w:t>
            </w:r>
          </w:p>
        </w:tc>
        <w:tc>
          <w:tcPr>
            <w:tcW w:w="1483"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8.41</w:t>
            </w:r>
          </w:p>
          <w:p w:rsidR="00BC50CD" w:rsidRPr="00720354" w:rsidRDefault="00BC50CD" w:rsidP="00ED2136">
            <w:pPr>
              <w:jc w:val="center"/>
              <w:rPr>
                <w:rFonts w:cs="Arial"/>
                <w:sz w:val="20"/>
                <w:szCs w:val="20"/>
              </w:rPr>
            </w:pPr>
            <w:r>
              <w:rPr>
                <w:rFonts w:cs="Arial"/>
                <w:sz w:val="20"/>
                <w:szCs w:val="20"/>
              </w:rPr>
              <w:t>(8.11 to 8.71)</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8.41</w:t>
            </w:r>
          </w:p>
          <w:p w:rsidR="00BC50CD" w:rsidRPr="00720354" w:rsidRDefault="00BC50CD" w:rsidP="00ED2136">
            <w:pPr>
              <w:jc w:val="center"/>
              <w:rPr>
                <w:rFonts w:cs="Arial"/>
                <w:sz w:val="20"/>
                <w:szCs w:val="20"/>
              </w:rPr>
            </w:pPr>
            <w:r>
              <w:rPr>
                <w:rFonts w:cs="Arial"/>
                <w:sz w:val="20"/>
                <w:szCs w:val="20"/>
              </w:rPr>
              <w:t>(7.85 to 8.96)</w:t>
            </w:r>
          </w:p>
        </w:tc>
        <w:tc>
          <w:tcPr>
            <w:tcW w:w="1483" w:type="dxa"/>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sidRPr="00720354">
              <w:rPr>
                <w:rFonts w:cs="Arial"/>
                <w:sz w:val="20"/>
                <w:szCs w:val="20"/>
              </w:rPr>
              <w:t>7.93</w:t>
            </w:r>
          </w:p>
          <w:p w:rsidR="00BC50CD" w:rsidRPr="00720354" w:rsidRDefault="00BC50CD" w:rsidP="00ED2136">
            <w:pPr>
              <w:jc w:val="center"/>
              <w:rPr>
                <w:rFonts w:cs="Arial"/>
                <w:sz w:val="20"/>
                <w:szCs w:val="20"/>
              </w:rPr>
            </w:pPr>
            <w:r w:rsidRPr="00720354">
              <w:rPr>
                <w:rFonts w:cs="Arial"/>
                <w:sz w:val="20"/>
                <w:szCs w:val="20"/>
              </w:rPr>
              <w:t>(7.73 to 8.13)</w:t>
            </w:r>
          </w:p>
        </w:tc>
      </w:tr>
      <w:tr w:rsidR="00BC50CD" w:rsidRPr="00720354" w:rsidTr="00ED2136">
        <w:trPr>
          <w:trHeight w:val="340"/>
        </w:trPr>
        <w:tc>
          <w:tcPr>
            <w:tcW w:w="4360" w:type="dxa"/>
            <w:tcBorders>
              <w:top w:val="single" w:sz="4" w:space="0" w:color="auto"/>
              <w:bottom w:val="single" w:sz="4" w:space="0" w:color="auto"/>
            </w:tcBorders>
            <w:shd w:val="clear" w:color="auto" w:fill="FFFFFF"/>
            <w:vAlign w:val="center"/>
          </w:tcPr>
          <w:p w:rsidR="00BC50CD" w:rsidRPr="00BE3C72" w:rsidRDefault="002947F9" w:rsidP="00ED2136">
            <w:pPr>
              <w:rPr>
                <w:rFonts w:cs="Arial"/>
                <w:sz w:val="20"/>
                <w:szCs w:val="20"/>
              </w:rPr>
            </w:pPr>
            <w:r>
              <w:rPr>
                <w:rFonts w:cs="Arial"/>
                <w:sz w:val="20"/>
                <w:szCs w:val="20"/>
              </w:rPr>
              <w:t>Talking about a</w:t>
            </w:r>
            <w:r w:rsidR="00BC50CD" w:rsidRPr="00BE3C72">
              <w:rPr>
                <w:rFonts w:cs="Arial"/>
                <w:sz w:val="20"/>
                <w:szCs w:val="20"/>
              </w:rPr>
              <w:t xml:space="preserve">nother’s wishes for after death </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6.92</w:t>
            </w:r>
          </w:p>
          <w:p w:rsidR="00BC50CD" w:rsidRPr="00720354" w:rsidRDefault="00BC50CD" w:rsidP="00ED2136">
            <w:pPr>
              <w:jc w:val="center"/>
              <w:rPr>
                <w:rFonts w:cs="Arial"/>
                <w:sz w:val="20"/>
                <w:szCs w:val="20"/>
              </w:rPr>
            </w:pPr>
            <w:r>
              <w:rPr>
                <w:rFonts w:cs="Arial"/>
                <w:sz w:val="20"/>
                <w:szCs w:val="20"/>
              </w:rPr>
              <w:t>(6.15 to 7.68)</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7.48</w:t>
            </w:r>
          </w:p>
          <w:p w:rsidR="00BC50CD" w:rsidRPr="00720354" w:rsidRDefault="00BC50CD" w:rsidP="00ED2136">
            <w:pPr>
              <w:jc w:val="center"/>
              <w:rPr>
                <w:rFonts w:cs="Arial"/>
                <w:sz w:val="20"/>
                <w:szCs w:val="20"/>
              </w:rPr>
            </w:pPr>
            <w:r>
              <w:rPr>
                <w:rFonts w:cs="Arial"/>
                <w:sz w:val="20"/>
                <w:szCs w:val="20"/>
              </w:rPr>
              <w:t>(6.81 to 8.15)</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 xml:space="preserve">7.84 </w:t>
            </w:r>
          </w:p>
          <w:p w:rsidR="00BC50CD" w:rsidRPr="00720354" w:rsidRDefault="00BC50CD" w:rsidP="00ED2136">
            <w:pPr>
              <w:jc w:val="center"/>
              <w:rPr>
                <w:rFonts w:cs="Arial"/>
                <w:sz w:val="20"/>
                <w:szCs w:val="20"/>
              </w:rPr>
            </w:pPr>
            <w:r>
              <w:rPr>
                <w:rFonts w:cs="Arial"/>
                <w:sz w:val="20"/>
                <w:szCs w:val="20"/>
              </w:rPr>
              <w:t>(7.28 to 8.40)</w:t>
            </w:r>
          </w:p>
        </w:tc>
        <w:tc>
          <w:tcPr>
            <w:tcW w:w="1483" w:type="dxa"/>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8.05</w:t>
            </w:r>
          </w:p>
          <w:p w:rsidR="00BC50CD" w:rsidRPr="00720354" w:rsidRDefault="00BC50CD" w:rsidP="00ED2136">
            <w:pPr>
              <w:jc w:val="center"/>
              <w:rPr>
                <w:rFonts w:cs="Arial"/>
                <w:sz w:val="20"/>
                <w:szCs w:val="20"/>
              </w:rPr>
            </w:pPr>
            <w:r>
              <w:rPr>
                <w:rFonts w:cs="Arial"/>
                <w:sz w:val="20"/>
                <w:szCs w:val="20"/>
              </w:rPr>
              <w:t>(7.64 to 8.46)</w:t>
            </w:r>
          </w:p>
        </w:tc>
        <w:tc>
          <w:tcPr>
            <w:tcW w:w="1483"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8.30</w:t>
            </w:r>
          </w:p>
          <w:p w:rsidR="00BC50CD" w:rsidRPr="00720354" w:rsidRDefault="00BC50CD" w:rsidP="00ED2136">
            <w:pPr>
              <w:jc w:val="center"/>
              <w:rPr>
                <w:rFonts w:cs="Arial"/>
                <w:sz w:val="20"/>
                <w:szCs w:val="20"/>
              </w:rPr>
            </w:pPr>
            <w:r>
              <w:rPr>
                <w:rFonts w:cs="Arial"/>
                <w:sz w:val="20"/>
                <w:szCs w:val="20"/>
              </w:rPr>
              <w:t>(7.99 to 8.61)</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8.55</w:t>
            </w:r>
          </w:p>
          <w:p w:rsidR="00BC50CD" w:rsidRPr="00720354" w:rsidRDefault="00BC50CD" w:rsidP="00ED2136">
            <w:pPr>
              <w:jc w:val="center"/>
              <w:rPr>
                <w:rFonts w:cs="Arial"/>
                <w:sz w:val="20"/>
                <w:szCs w:val="20"/>
              </w:rPr>
            </w:pPr>
            <w:r>
              <w:rPr>
                <w:rFonts w:cs="Arial"/>
                <w:sz w:val="20"/>
                <w:szCs w:val="20"/>
              </w:rPr>
              <w:t>(8.00 to 9.09)</w:t>
            </w:r>
          </w:p>
        </w:tc>
        <w:tc>
          <w:tcPr>
            <w:tcW w:w="1483" w:type="dxa"/>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sidRPr="00720354">
              <w:rPr>
                <w:rFonts w:cs="Arial"/>
                <w:sz w:val="20"/>
                <w:szCs w:val="20"/>
              </w:rPr>
              <w:t>7.95</w:t>
            </w:r>
          </w:p>
          <w:p w:rsidR="00BC50CD" w:rsidRPr="00720354" w:rsidRDefault="00BC50CD" w:rsidP="00ED2136">
            <w:pPr>
              <w:jc w:val="center"/>
              <w:rPr>
                <w:rFonts w:cs="Arial"/>
                <w:sz w:val="20"/>
                <w:szCs w:val="20"/>
              </w:rPr>
            </w:pPr>
            <w:r w:rsidRPr="00720354">
              <w:rPr>
                <w:rFonts w:cs="Arial"/>
                <w:sz w:val="20"/>
                <w:szCs w:val="20"/>
              </w:rPr>
              <w:t>(7.76  to 8.15)</w:t>
            </w:r>
          </w:p>
        </w:tc>
      </w:tr>
      <w:tr w:rsidR="00BC50CD" w:rsidRPr="00720354" w:rsidTr="00ED2136">
        <w:trPr>
          <w:trHeight w:val="340"/>
        </w:trPr>
        <w:tc>
          <w:tcPr>
            <w:tcW w:w="4360" w:type="dxa"/>
            <w:tcBorders>
              <w:top w:val="single" w:sz="4" w:space="0" w:color="auto"/>
              <w:bottom w:val="single" w:sz="4" w:space="0" w:color="auto"/>
            </w:tcBorders>
            <w:shd w:val="clear" w:color="auto" w:fill="FFFFFF"/>
            <w:vAlign w:val="center"/>
          </w:tcPr>
          <w:p w:rsidR="00BC50CD" w:rsidRPr="00BE3C72" w:rsidRDefault="00BC50CD" w:rsidP="00ED2136">
            <w:pPr>
              <w:rPr>
                <w:rFonts w:cs="Arial"/>
                <w:sz w:val="20"/>
                <w:szCs w:val="20"/>
              </w:rPr>
            </w:pPr>
            <w:r>
              <w:rPr>
                <w:rFonts w:cs="Arial"/>
                <w:sz w:val="20"/>
                <w:szCs w:val="20"/>
              </w:rPr>
              <w:t>Comforting somebody who has been</w:t>
            </w:r>
            <w:r w:rsidRPr="00BE3C72">
              <w:rPr>
                <w:rFonts w:cs="Arial"/>
                <w:sz w:val="20"/>
                <w:szCs w:val="20"/>
              </w:rPr>
              <w:t xml:space="preserve"> bereaved </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8.02</w:t>
            </w:r>
          </w:p>
          <w:p w:rsidR="00BC50CD" w:rsidRPr="00720354" w:rsidRDefault="00BC50CD" w:rsidP="00ED2136">
            <w:pPr>
              <w:jc w:val="center"/>
              <w:rPr>
                <w:rFonts w:cs="Arial"/>
                <w:sz w:val="20"/>
                <w:szCs w:val="20"/>
              </w:rPr>
            </w:pPr>
            <w:r>
              <w:rPr>
                <w:rFonts w:cs="Arial"/>
                <w:sz w:val="20"/>
                <w:szCs w:val="20"/>
              </w:rPr>
              <w:t>(7.42 to 8.62)</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7.68</w:t>
            </w:r>
          </w:p>
          <w:p w:rsidR="00BC50CD" w:rsidRPr="00720354" w:rsidRDefault="00BC50CD" w:rsidP="00ED2136">
            <w:pPr>
              <w:jc w:val="center"/>
              <w:rPr>
                <w:rFonts w:cs="Arial"/>
                <w:sz w:val="20"/>
                <w:szCs w:val="20"/>
              </w:rPr>
            </w:pPr>
            <w:r>
              <w:rPr>
                <w:rFonts w:cs="Arial"/>
                <w:sz w:val="20"/>
                <w:szCs w:val="20"/>
              </w:rPr>
              <w:t>(7.06 to 8.30)</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8.18</w:t>
            </w:r>
          </w:p>
          <w:p w:rsidR="00BC50CD" w:rsidRPr="00720354" w:rsidRDefault="00BC50CD" w:rsidP="00ED2136">
            <w:pPr>
              <w:jc w:val="center"/>
              <w:rPr>
                <w:rFonts w:cs="Arial"/>
                <w:sz w:val="20"/>
                <w:szCs w:val="20"/>
              </w:rPr>
            </w:pPr>
            <w:r>
              <w:rPr>
                <w:rFonts w:cs="Arial"/>
                <w:sz w:val="20"/>
                <w:szCs w:val="20"/>
              </w:rPr>
              <w:t>(7.71 to 8.65)</w:t>
            </w:r>
          </w:p>
        </w:tc>
        <w:tc>
          <w:tcPr>
            <w:tcW w:w="1483" w:type="dxa"/>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8.22</w:t>
            </w:r>
          </w:p>
          <w:p w:rsidR="00BC50CD" w:rsidRPr="00720354" w:rsidRDefault="00BC50CD" w:rsidP="00ED2136">
            <w:pPr>
              <w:jc w:val="center"/>
              <w:rPr>
                <w:rFonts w:cs="Arial"/>
                <w:sz w:val="20"/>
                <w:szCs w:val="20"/>
              </w:rPr>
            </w:pPr>
            <w:r>
              <w:rPr>
                <w:rFonts w:cs="Arial"/>
                <w:sz w:val="20"/>
                <w:szCs w:val="20"/>
              </w:rPr>
              <w:t>(7.84 to 8.59)</w:t>
            </w:r>
          </w:p>
        </w:tc>
        <w:tc>
          <w:tcPr>
            <w:tcW w:w="1483"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8.62</w:t>
            </w:r>
          </w:p>
          <w:p w:rsidR="00BC50CD" w:rsidRPr="00720354" w:rsidRDefault="00BC50CD" w:rsidP="00ED2136">
            <w:pPr>
              <w:jc w:val="center"/>
              <w:rPr>
                <w:rFonts w:cs="Arial"/>
                <w:sz w:val="20"/>
                <w:szCs w:val="20"/>
              </w:rPr>
            </w:pPr>
            <w:r>
              <w:rPr>
                <w:rFonts w:cs="Arial"/>
                <w:sz w:val="20"/>
                <w:szCs w:val="20"/>
              </w:rPr>
              <w:t>(8.32 to 8.92)</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Pr>
                <w:rFonts w:cs="Arial"/>
                <w:sz w:val="20"/>
                <w:szCs w:val="20"/>
              </w:rPr>
              <w:t>8.94</w:t>
            </w:r>
          </w:p>
          <w:p w:rsidR="00BC50CD" w:rsidRPr="00720354" w:rsidRDefault="00BC50CD" w:rsidP="00ED2136">
            <w:pPr>
              <w:jc w:val="center"/>
              <w:rPr>
                <w:rFonts w:cs="Arial"/>
                <w:sz w:val="20"/>
                <w:szCs w:val="20"/>
              </w:rPr>
            </w:pPr>
            <w:r>
              <w:rPr>
                <w:rFonts w:cs="Arial"/>
                <w:sz w:val="20"/>
                <w:szCs w:val="20"/>
              </w:rPr>
              <w:t>(8.55 to 9.33)</w:t>
            </w:r>
          </w:p>
        </w:tc>
        <w:tc>
          <w:tcPr>
            <w:tcW w:w="1483" w:type="dxa"/>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r w:rsidRPr="00720354">
              <w:rPr>
                <w:rFonts w:cs="Arial"/>
                <w:sz w:val="20"/>
                <w:szCs w:val="20"/>
              </w:rPr>
              <w:t>8.33</w:t>
            </w:r>
          </w:p>
          <w:p w:rsidR="00BC50CD" w:rsidRPr="00720354" w:rsidRDefault="00BC50CD" w:rsidP="00ED2136">
            <w:pPr>
              <w:jc w:val="center"/>
              <w:rPr>
                <w:rFonts w:cs="Arial"/>
                <w:sz w:val="20"/>
                <w:szCs w:val="20"/>
              </w:rPr>
            </w:pPr>
            <w:r w:rsidRPr="00720354">
              <w:rPr>
                <w:rFonts w:cs="Arial"/>
                <w:sz w:val="20"/>
                <w:szCs w:val="20"/>
              </w:rPr>
              <w:t>(8.15 to 8.51)</w:t>
            </w:r>
          </w:p>
        </w:tc>
      </w:tr>
      <w:tr w:rsidR="00BC50CD" w:rsidRPr="00720354" w:rsidTr="00644E99">
        <w:trPr>
          <w:trHeight w:val="175"/>
        </w:trPr>
        <w:tc>
          <w:tcPr>
            <w:tcW w:w="4360" w:type="dxa"/>
            <w:tcBorders>
              <w:top w:val="single" w:sz="4" w:space="0" w:color="auto"/>
              <w:bottom w:val="single" w:sz="4" w:space="0" w:color="auto"/>
            </w:tcBorders>
            <w:shd w:val="clear" w:color="auto" w:fill="FFFFFF"/>
            <w:vAlign w:val="center"/>
          </w:tcPr>
          <w:p w:rsidR="00BC50CD" w:rsidRPr="00BE3C72" w:rsidRDefault="00BC50CD" w:rsidP="00ED2136">
            <w:pPr>
              <w:rPr>
                <w:rFonts w:cs="Arial"/>
                <w:sz w:val="20"/>
                <w:szCs w:val="20"/>
              </w:rPr>
            </w:pP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p>
        </w:tc>
        <w:tc>
          <w:tcPr>
            <w:tcW w:w="1483" w:type="dxa"/>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p>
        </w:tc>
        <w:tc>
          <w:tcPr>
            <w:tcW w:w="1483"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p>
        </w:tc>
        <w:tc>
          <w:tcPr>
            <w:tcW w:w="1483" w:type="dxa"/>
            <w:tcBorders>
              <w:top w:val="single" w:sz="4" w:space="0" w:color="auto"/>
              <w:bottom w:val="single" w:sz="4" w:space="0" w:color="auto"/>
            </w:tcBorders>
            <w:shd w:val="clear" w:color="auto" w:fill="FFFFFF"/>
            <w:vAlign w:val="center"/>
          </w:tcPr>
          <w:p w:rsidR="00BC50CD" w:rsidRPr="00720354" w:rsidRDefault="00BC50CD" w:rsidP="00ED2136">
            <w:pPr>
              <w:jc w:val="center"/>
              <w:rPr>
                <w:rFonts w:cs="Arial"/>
                <w:sz w:val="20"/>
                <w:szCs w:val="20"/>
              </w:rPr>
            </w:pPr>
          </w:p>
        </w:tc>
      </w:tr>
      <w:tr w:rsidR="00BC50CD" w:rsidRPr="00720354" w:rsidTr="00644E99">
        <w:trPr>
          <w:trHeight w:val="340"/>
        </w:trPr>
        <w:tc>
          <w:tcPr>
            <w:tcW w:w="4360" w:type="dxa"/>
            <w:tcBorders>
              <w:top w:val="single" w:sz="4" w:space="0" w:color="auto"/>
              <w:bottom w:val="single" w:sz="4" w:space="0" w:color="auto"/>
              <w:right w:val="single" w:sz="4" w:space="0" w:color="auto"/>
            </w:tcBorders>
            <w:shd w:val="clear" w:color="auto" w:fill="FFFFFF"/>
            <w:vAlign w:val="center"/>
          </w:tcPr>
          <w:p w:rsidR="00BC50CD" w:rsidRPr="00BE3C72" w:rsidRDefault="002947F9" w:rsidP="00ED2136">
            <w:pPr>
              <w:rPr>
                <w:rFonts w:cs="Arial"/>
                <w:b/>
                <w:i/>
                <w:sz w:val="20"/>
                <w:szCs w:val="20"/>
              </w:rPr>
            </w:pPr>
            <w:r>
              <w:rPr>
                <w:rFonts w:cs="Arial"/>
                <w:b/>
                <w:i/>
                <w:sz w:val="20"/>
                <w:szCs w:val="20"/>
              </w:rPr>
              <w:t xml:space="preserve">Survey item - </w:t>
            </w:r>
            <w:r w:rsidR="00BC50CD" w:rsidRPr="00BE3C72">
              <w:rPr>
                <w:rFonts w:cs="Arial"/>
                <w:b/>
                <w:i/>
                <w:sz w:val="20"/>
                <w:szCs w:val="20"/>
              </w:rPr>
              <w:t xml:space="preserve">Mean score difference </w:t>
            </w:r>
          </w:p>
        </w:tc>
        <w:tc>
          <w:tcPr>
            <w:tcW w:w="2964" w:type="dxa"/>
            <w:gridSpan w:val="4"/>
            <w:tcBorders>
              <w:top w:val="single" w:sz="4" w:space="0" w:color="auto"/>
              <w:left w:val="single" w:sz="4" w:space="0" w:color="auto"/>
              <w:bottom w:val="single" w:sz="4" w:space="0" w:color="auto"/>
            </w:tcBorders>
            <w:shd w:val="clear" w:color="auto" w:fill="FFFFFF"/>
            <w:vAlign w:val="center"/>
          </w:tcPr>
          <w:p w:rsidR="00BC50CD" w:rsidRPr="00BE3C72" w:rsidRDefault="001B2FB7" w:rsidP="00ED2136">
            <w:pPr>
              <w:rPr>
                <w:rFonts w:cs="Arial"/>
                <w:b/>
                <w:sz w:val="20"/>
                <w:szCs w:val="20"/>
              </w:rPr>
            </w:pPr>
            <w:r>
              <w:rPr>
                <w:rFonts w:cs="Arial"/>
                <w:b/>
                <w:sz w:val="20"/>
                <w:szCs w:val="20"/>
              </w:rPr>
              <w:t xml:space="preserve">Under 65/ </w:t>
            </w:r>
            <w:r w:rsidR="00BC50CD">
              <w:rPr>
                <w:rFonts w:cs="Arial"/>
                <w:b/>
                <w:sz w:val="20"/>
                <w:szCs w:val="20"/>
              </w:rPr>
              <w:t>65</w:t>
            </w:r>
            <w:r>
              <w:rPr>
                <w:rFonts w:cs="Arial"/>
                <w:b/>
                <w:sz w:val="20"/>
                <w:szCs w:val="20"/>
              </w:rPr>
              <w:t xml:space="preserve"> and over</w:t>
            </w:r>
          </w:p>
        </w:tc>
        <w:tc>
          <w:tcPr>
            <w:tcW w:w="1482" w:type="dxa"/>
            <w:gridSpan w:val="2"/>
            <w:tcBorders>
              <w:top w:val="single" w:sz="4" w:space="0" w:color="auto"/>
              <w:bottom w:val="single" w:sz="4" w:space="0" w:color="auto"/>
            </w:tcBorders>
            <w:shd w:val="clear" w:color="auto" w:fill="FFFFFF"/>
            <w:vAlign w:val="center"/>
          </w:tcPr>
          <w:p w:rsidR="00BC50CD" w:rsidRPr="00BE3C72" w:rsidRDefault="00BC50CD" w:rsidP="00ED2136">
            <w:pPr>
              <w:jc w:val="center"/>
              <w:rPr>
                <w:rFonts w:cs="Arial"/>
                <w:b/>
                <w:sz w:val="20"/>
                <w:szCs w:val="20"/>
              </w:rPr>
            </w:pPr>
          </w:p>
        </w:tc>
        <w:tc>
          <w:tcPr>
            <w:tcW w:w="5931" w:type="dxa"/>
            <w:gridSpan w:val="6"/>
            <w:tcBorders>
              <w:top w:val="single" w:sz="4" w:space="0" w:color="auto"/>
              <w:bottom w:val="single" w:sz="4" w:space="0" w:color="auto"/>
            </w:tcBorders>
            <w:shd w:val="clear" w:color="auto" w:fill="FFFFFF"/>
            <w:vAlign w:val="center"/>
          </w:tcPr>
          <w:p w:rsidR="00BC50CD" w:rsidRPr="00720354" w:rsidRDefault="00BC50CD" w:rsidP="00ED2136">
            <w:pPr>
              <w:rPr>
                <w:rFonts w:cs="Arial"/>
                <w:sz w:val="20"/>
                <w:szCs w:val="20"/>
              </w:rPr>
            </w:pPr>
            <w:r>
              <w:rPr>
                <w:rFonts w:cs="Arial"/>
                <w:b/>
                <w:sz w:val="20"/>
                <w:szCs w:val="20"/>
              </w:rPr>
              <w:t>Previous</w:t>
            </w:r>
            <w:r w:rsidR="00E01B6A">
              <w:rPr>
                <w:rFonts w:cs="Arial"/>
                <w:b/>
                <w:sz w:val="20"/>
                <w:szCs w:val="20"/>
              </w:rPr>
              <w:t>ly</w:t>
            </w:r>
            <w:r>
              <w:rPr>
                <w:rFonts w:cs="Arial"/>
                <w:b/>
                <w:sz w:val="20"/>
                <w:szCs w:val="20"/>
              </w:rPr>
              <w:t xml:space="preserve"> talked about the </w:t>
            </w:r>
            <w:r w:rsidR="00E01B6A">
              <w:rPr>
                <w:rFonts w:cs="Arial"/>
                <w:b/>
                <w:sz w:val="20"/>
                <w:szCs w:val="20"/>
              </w:rPr>
              <w:t>subject</w:t>
            </w:r>
            <w:r>
              <w:rPr>
                <w:rFonts w:cs="Arial"/>
                <w:b/>
                <w:sz w:val="20"/>
                <w:szCs w:val="20"/>
              </w:rPr>
              <w:t>/ not talked about it</w:t>
            </w:r>
          </w:p>
        </w:tc>
      </w:tr>
      <w:tr w:rsidR="00BC50CD" w:rsidRPr="00720354" w:rsidTr="00644E99">
        <w:trPr>
          <w:trHeight w:val="318"/>
        </w:trPr>
        <w:tc>
          <w:tcPr>
            <w:tcW w:w="4360" w:type="dxa"/>
            <w:tcBorders>
              <w:top w:val="single" w:sz="4" w:space="0" w:color="auto"/>
              <w:bottom w:val="single" w:sz="4" w:space="0" w:color="auto"/>
            </w:tcBorders>
            <w:shd w:val="clear" w:color="auto" w:fill="FFFFFF"/>
            <w:vAlign w:val="center"/>
          </w:tcPr>
          <w:p w:rsidR="00BC50CD" w:rsidRPr="00BE3C72" w:rsidRDefault="002947F9" w:rsidP="00ED2136">
            <w:pPr>
              <w:rPr>
                <w:rFonts w:cs="Arial"/>
                <w:sz w:val="20"/>
                <w:szCs w:val="20"/>
              </w:rPr>
            </w:pPr>
            <w:r>
              <w:rPr>
                <w:rFonts w:cs="Arial"/>
                <w:sz w:val="20"/>
                <w:szCs w:val="20"/>
              </w:rPr>
              <w:t>Talking about o</w:t>
            </w:r>
            <w:r w:rsidR="00BC50CD" w:rsidRPr="00BE3C72">
              <w:rPr>
                <w:rFonts w:cs="Arial"/>
                <w:sz w:val="20"/>
                <w:szCs w:val="20"/>
              </w:rPr>
              <w:t>wn end of life care</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0.45</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(p=0.02)</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p>
        </w:tc>
        <w:tc>
          <w:tcPr>
            <w:tcW w:w="1483" w:type="dxa"/>
            <w:tcBorders>
              <w:top w:val="single" w:sz="4" w:space="0" w:color="auto"/>
              <w:bottom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 xml:space="preserve">1.18 </w:t>
            </w:r>
          </w:p>
        </w:tc>
        <w:tc>
          <w:tcPr>
            <w:tcW w:w="1483" w:type="dxa"/>
            <w:gridSpan w:val="2"/>
            <w:tcBorders>
              <w:top w:val="single" w:sz="4" w:space="0" w:color="auto"/>
              <w:bottom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(p=&lt;0.001)</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p>
        </w:tc>
        <w:tc>
          <w:tcPr>
            <w:tcW w:w="1483" w:type="dxa"/>
            <w:tcBorders>
              <w:top w:val="single" w:sz="4" w:space="0" w:color="auto"/>
              <w:bottom w:val="single" w:sz="4" w:space="0" w:color="auto"/>
            </w:tcBorders>
            <w:shd w:val="clear" w:color="auto" w:fill="FFFFFF"/>
            <w:vAlign w:val="center"/>
          </w:tcPr>
          <w:p w:rsidR="00BC50CD" w:rsidRPr="00720354" w:rsidRDefault="00BC50CD" w:rsidP="00ED2136">
            <w:pPr>
              <w:jc w:val="center"/>
              <w:rPr>
                <w:rFonts w:cs="Arial"/>
                <w:sz w:val="20"/>
                <w:szCs w:val="20"/>
              </w:rPr>
            </w:pPr>
          </w:p>
        </w:tc>
      </w:tr>
      <w:tr w:rsidR="00BC50CD" w:rsidRPr="00720354" w:rsidTr="00644E99">
        <w:trPr>
          <w:trHeight w:val="318"/>
        </w:trPr>
        <w:tc>
          <w:tcPr>
            <w:tcW w:w="4360" w:type="dxa"/>
            <w:tcBorders>
              <w:top w:val="single" w:sz="4" w:space="0" w:color="auto"/>
              <w:bottom w:val="single" w:sz="4" w:space="0" w:color="auto"/>
            </w:tcBorders>
            <w:shd w:val="clear" w:color="auto" w:fill="FFFFFF"/>
            <w:vAlign w:val="center"/>
          </w:tcPr>
          <w:p w:rsidR="00BC50CD" w:rsidRPr="00BE3C72" w:rsidRDefault="002947F9" w:rsidP="00ED2136">
            <w:pPr>
              <w:rPr>
                <w:rFonts w:cs="Arial"/>
                <w:sz w:val="20"/>
                <w:szCs w:val="20"/>
              </w:rPr>
            </w:pPr>
            <w:r>
              <w:rPr>
                <w:rFonts w:cs="Arial"/>
                <w:sz w:val="20"/>
                <w:szCs w:val="20"/>
              </w:rPr>
              <w:t>Talking about o</w:t>
            </w:r>
            <w:r w:rsidR="00BC50CD" w:rsidRPr="00BE3C72">
              <w:rPr>
                <w:rFonts w:cs="Arial"/>
                <w:sz w:val="20"/>
                <w:szCs w:val="20"/>
              </w:rPr>
              <w:t>wn wishes for after death</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0.48</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(p=0.019)</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p>
        </w:tc>
        <w:tc>
          <w:tcPr>
            <w:tcW w:w="1483" w:type="dxa"/>
            <w:tcBorders>
              <w:top w:val="single" w:sz="4" w:space="0" w:color="auto"/>
              <w:bottom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1.88</w:t>
            </w:r>
          </w:p>
        </w:tc>
        <w:tc>
          <w:tcPr>
            <w:tcW w:w="1483" w:type="dxa"/>
            <w:gridSpan w:val="2"/>
            <w:tcBorders>
              <w:top w:val="single" w:sz="4" w:space="0" w:color="auto"/>
              <w:bottom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(p=&lt;0.001)</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p>
        </w:tc>
        <w:tc>
          <w:tcPr>
            <w:tcW w:w="1483" w:type="dxa"/>
            <w:tcBorders>
              <w:top w:val="single" w:sz="4" w:space="0" w:color="auto"/>
              <w:bottom w:val="single" w:sz="4" w:space="0" w:color="auto"/>
            </w:tcBorders>
            <w:shd w:val="clear" w:color="auto" w:fill="FFFFFF"/>
            <w:vAlign w:val="center"/>
          </w:tcPr>
          <w:p w:rsidR="00BC50CD" w:rsidRPr="00720354" w:rsidRDefault="00BC50CD" w:rsidP="00ED2136">
            <w:pPr>
              <w:jc w:val="center"/>
              <w:rPr>
                <w:rFonts w:cs="Arial"/>
                <w:sz w:val="20"/>
                <w:szCs w:val="20"/>
              </w:rPr>
            </w:pPr>
          </w:p>
        </w:tc>
      </w:tr>
      <w:tr w:rsidR="00BC50CD" w:rsidRPr="00720354" w:rsidTr="00644E99">
        <w:trPr>
          <w:trHeight w:val="318"/>
        </w:trPr>
        <w:tc>
          <w:tcPr>
            <w:tcW w:w="4360" w:type="dxa"/>
            <w:tcBorders>
              <w:top w:val="single" w:sz="4" w:space="0" w:color="auto"/>
              <w:bottom w:val="single" w:sz="4" w:space="0" w:color="auto"/>
            </w:tcBorders>
            <w:shd w:val="clear" w:color="auto" w:fill="FFFFFF"/>
            <w:vAlign w:val="center"/>
          </w:tcPr>
          <w:p w:rsidR="00BC50CD" w:rsidRPr="00BE3C72" w:rsidRDefault="002947F9" w:rsidP="00ED2136">
            <w:pPr>
              <w:rPr>
                <w:rFonts w:cs="Arial"/>
                <w:sz w:val="20"/>
                <w:szCs w:val="20"/>
              </w:rPr>
            </w:pPr>
            <w:r>
              <w:rPr>
                <w:rFonts w:cs="Arial"/>
                <w:sz w:val="20"/>
                <w:szCs w:val="20"/>
              </w:rPr>
              <w:t>Talking about a</w:t>
            </w:r>
            <w:r w:rsidR="00BC50CD" w:rsidRPr="00BE3C72">
              <w:rPr>
                <w:rFonts w:cs="Arial"/>
                <w:sz w:val="20"/>
                <w:szCs w:val="20"/>
              </w:rPr>
              <w:t xml:space="preserve">nother’s end of life care </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0.72</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(p=&lt;0.001)</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p>
        </w:tc>
        <w:tc>
          <w:tcPr>
            <w:tcW w:w="1483" w:type="dxa"/>
            <w:tcBorders>
              <w:top w:val="single" w:sz="4" w:space="0" w:color="auto"/>
              <w:bottom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1.31</w:t>
            </w:r>
          </w:p>
        </w:tc>
        <w:tc>
          <w:tcPr>
            <w:tcW w:w="1483" w:type="dxa"/>
            <w:gridSpan w:val="2"/>
            <w:tcBorders>
              <w:top w:val="single" w:sz="4" w:space="0" w:color="auto"/>
              <w:bottom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(p=&lt;0.001)</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p>
        </w:tc>
        <w:tc>
          <w:tcPr>
            <w:tcW w:w="1483" w:type="dxa"/>
            <w:tcBorders>
              <w:top w:val="single" w:sz="4" w:space="0" w:color="auto"/>
              <w:bottom w:val="single" w:sz="4" w:space="0" w:color="auto"/>
            </w:tcBorders>
            <w:shd w:val="clear" w:color="auto" w:fill="FFFFFF"/>
            <w:vAlign w:val="center"/>
          </w:tcPr>
          <w:p w:rsidR="00BC50CD" w:rsidRPr="00720354" w:rsidRDefault="00BC50CD" w:rsidP="00ED2136">
            <w:pPr>
              <w:jc w:val="center"/>
              <w:rPr>
                <w:rFonts w:cs="Arial"/>
                <w:sz w:val="20"/>
                <w:szCs w:val="20"/>
              </w:rPr>
            </w:pPr>
          </w:p>
        </w:tc>
      </w:tr>
      <w:tr w:rsidR="00BC50CD" w:rsidRPr="00720354" w:rsidTr="00644E99">
        <w:trPr>
          <w:trHeight w:val="318"/>
        </w:trPr>
        <w:tc>
          <w:tcPr>
            <w:tcW w:w="4360" w:type="dxa"/>
            <w:tcBorders>
              <w:top w:val="single" w:sz="4" w:space="0" w:color="auto"/>
              <w:bottom w:val="single" w:sz="4" w:space="0" w:color="auto"/>
            </w:tcBorders>
            <w:shd w:val="clear" w:color="auto" w:fill="FFFFFF"/>
            <w:vAlign w:val="center"/>
          </w:tcPr>
          <w:p w:rsidR="00BC50CD" w:rsidRPr="00BE3C72" w:rsidRDefault="002947F9" w:rsidP="00ED2136">
            <w:pPr>
              <w:rPr>
                <w:rFonts w:cs="Arial"/>
                <w:sz w:val="20"/>
                <w:szCs w:val="20"/>
              </w:rPr>
            </w:pPr>
            <w:r>
              <w:rPr>
                <w:rFonts w:cs="Arial"/>
                <w:sz w:val="20"/>
                <w:szCs w:val="20"/>
              </w:rPr>
              <w:t>Talking about a</w:t>
            </w:r>
            <w:r w:rsidR="00BC50CD" w:rsidRPr="00BE3C72">
              <w:rPr>
                <w:rFonts w:cs="Arial"/>
                <w:sz w:val="20"/>
                <w:szCs w:val="20"/>
              </w:rPr>
              <w:t xml:space="preserve">nother’s wishes for after death </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0.66</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(p=0.001)</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p>
        </w:tc>
        <w:tc>
          <w:tcPr>
            <w:tcW w:w="1483" w:type="dxa"/>
            <w:tcBorders>
              <w:top w:val="single" w:sz="4" w:space="0" w:color="auto"/>
              <w:bottom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1.47</w:t>
            </w:r>
          </w:p>
        </w:tc>
        <w:tc>
          <w:tcPr>
            <w:tcW w:w="1483" w:type="dxa"/>
            <w:gridSpan w:val="2"/>
            <w:tcBorders>
              <w:top w:val="single" w:sz="4" w:space="0" w:color="auto"/>
              <w:bottom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(p=&lt;0.001)</w:t>
            </w:r>
          </w:p>
        </w:tc>
        <w:tc>
          <w:tcPr>
            <w:tcW w:w="1482" w:type="dxa"/>
            <w:gridSpan w:val="2"/>
            <w:tcBorders>
              <w:top w:val="single" w:sz="4" w:space="0" w:color="auto"/>
              <w:bottom w:val="single" w:sz="4" w:space="0" w:color="auto"/>
            </w:tcBorders>
            <w:shd w:val="clear" w:color="auto" w:fill="FFFFFF"/>
            <w:vAlign w:val="center"/>
          </w:tcPr>
          <w:p w:rsidR="00BC50CD" w:rsidRDefault="00BC50CD" w:rsidP="00ED2136">
            <w:pPr>
              <w:jc w:val="center"/>
              <w:rPr>
                <w:rFonts w:cs="Arial"/>
                <w:sz w:val="20"/>
                <w:szCs w:val="20"/>
              </w:rPr>
            </w:pPr>
          </w:p>
        </w:tc>
        <w:tc>
          <w:tcPr>
            <w:tcW w:w="1483" w:type="dxa"/>
            <w:tcBorders>
              <w:top w:val="single" w:sz="4" w:space="0" w:color="auto"/>
              <w:bottom w:val="single" w:sz="4" w:space="0" w:color="auto"/>
            </w:tcBorders>
            <w:shd w:val="clear" w:color="auto" w:fill="FFFFFF"/>
            <w:vAlign w:val="center"/>
          </w:tcPr>
          <w:p w:rsidR="00BC50CD" w:rsidRPr="00720354" w:rsidRDefault="00BC50CD" w:rsidP="00ED2136">
            <w:pPr>
              <w:jc w:val="center"/>
              <w:rPr>
                <w:rFonts w:cs="Arial"/>
                <w:sz w:val="20"/>
                <w:szCs w:val="20"/>
              </w:rPr>
            </w:pPr>
          </w:p>
        </w:tc>
      </w:tr>
      <w:tr w:rsidR="00BC50CD" w:rsidRPr="00720354" w:rsidTr="00644E99">
        <w:trPr>
          <w:trHeight w:val="318"/>
        </w:trPr>
        <w:tc>
          <w:tcPr>
            <w:tcW w:w="4360" w:type="dxa"/>
            <w:tcBorders>
              <w:top w:val="single" w:sz="4" w:space="0" w:color="auto"/>
              <w:bottom w:val="single" w:sz="4" w:space="0" w:color="auto"/>
            </w:tcBorders>
            <w:shd w:val="clear" w:color="auto" w:fill="FFFFFF"/>
            <w:vAlign w:val="center"/>
          </w:tcPr>
          <w:p w:rsidR="00BC50CD" w:rsidRPr="00BE3C72" w:rsidRDefault="00BC50CD" w:rsidP="00ED2136">
            <w:pPr>
              <w:rPr>
                <w:rFonts w:cs="Arial"/>
                <w:sz w:val="20"/>
                <w:szCs w:val="20"/>
              </w:rPr>
            </w:pPr>
            <w:r>
              <w:rPr>
                <w:rFonts w:cs="Arial"/>
                <w:sz w:val="20"/>
                <w:szCs w:val="20"/>
              </w:rPr>
              <w:t>Comforting somebody who has been</w:t>
            </w:r>
            <w:r w:rsidRPr="00BE3C72">
              <w:rPr>
                <w:rFonts w:cs="Arial"/>
                <w:sz w:val="20"/>
                <w:szCs w:val="20"/>
              </w:rPr>
              <w:t xml:space="preserve"> bereaved </w:t>
            </w:r>
          </w:p>
        </w:tc>
        <w:tc>
          <w:tcPr>
            <w:tcW w:w="1482" w:type="dxa"/>
            <w:gridSpan w:val="2"/>
            <w:tcBorders>
              <w:top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0.66</w:t>
            </w:r>
          </w:p>
        </w:tc>
        <w:tc>
          <w:tcPr>
            <w:tcW w:w="1482" w:type="dxa"/>
            <w:gridSpan w:val="2"/>
            <w:tcBorders>
              <w:top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(p=&lt;0.001)</w:t>
            </w:r>
          </w:p>
        </w:tc>
        <w:tc>
          <w:tcPr>
            <w:tcW w:w="1482" w:type="dxa"/>
            <w:gridSpan w:val="2"/>
            <w:tcBorders>
              <w:top w:val="single" w:sz="4" w:space="0" w:color="auto"/>
            </w:tcBorders>
            <w:shd w:val="clear" w:color="auto" w:fill="FFFFFF"/>
            <w:vAlign w:val="center"/>
          </w:tcPr>
          <w:p w:rsidR="00BC50CD" w:rsidRDefault="00BC50CD" w:rsidP="00ED2136">
            <w:pPr>
              <w:jc w:val="center"/>
              <w:rPr>
                <w:rFonts w:cs="Arial"/>
                <w:sz w:val="20"/>
                <w:szCs w:val="20"/>
              </w:rPr>
            </w:pPr>
          </w:p>
        </w:tc>
        <w:tc>
          <w:tcPr>
            <w:tcW w:w="1483" w:type="dxa"/>
            <w:tcBorders>
              <w:top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1.75</w:t>
            </w:r>
          </w:p>
        </w:tc>
        <w:tc>
          <w:tcPr>
            <w:tcW w:w="1483" w:type="dxa"/>
            <w:gridSpan w:val="2"/>
            <w:tcBorders>
              <w:top w:val="single" w:sz="4" w:space="0" w:color="auto"/>
            </w:tcBorders>
            <w:shd w:val="clear" w:color="auto" w:fill="FFFFFF"/>
            <w:vAlign w:val="center"/>
          </w:tcPr>
          <w:p w:rsidR="00BC50CD" w:rsidRDefault="00BC50CD" w:rsidP="00ED2136">
            <w:pPr>
              <w:rPr>
                <w:rFonts w:cs="Arial"/>
                <w:sz w:val="20"/>
                <w:szCs w:val="20"/>
              </w:rPr>
            </w:pPr>
            <w:r>
              <w:rPr>
                <w:rFonts w:cs="Arial"/>
                <w:sz w:val="20"/>
                <w:szCs w:val="20"/>
              </w:rPr>
              <w:t>(p=&lt;0.001)</w:t>
            </w:r>
          </w:p>
        </w:tc>
        <w:tc>
          <w:tcPr>
            <w:tcW w:w="1482" w:type="dxa"/>
            <w:gridSpan w:val="2"/>
            <w:tcBorders>
              <w:top w:val="single" w:sz="4" w:space="0" w:color="auto"/>
            </w:tcBorders>
            <w:shd w:val="clear" w:color="auto" w:fill="FFFFFF"/>
            <w:vAlign w:val="center"/>
          </w:tcPr>
          <w:p w:rsidR="00BC50CD" w:rsidRDefault="00BC50CD" w:rsidP="00ED2136">
            <w:pPr>
              <w:jc w:val="center"/>
              <w:rPr>
                <w:rFonts w:cs="Arial"/>
                <w:sz w:val="20"/>
                <w:szCs w:val="20"/>
              </w:rPr>
            </w:pPr>
          </w:p>
        </w:tc>
        <w:tc>
          <w:tcPr>
            <w:tcW w:w="1483" w:type="dxa"/>
            <w:tcBorders>
              <w:top w:val="single" w:sz="4" w:space="0" w:color="auto"/>
              <w:bottom w:val="single" w:sz="4" w:space="0" w:color="auto"/>
            </w:tcBorders>
            <w:shd w:val="clear" w:color="auto" w:fill="FFFFFF"/>
            <w:vAlign w:val="center"/>
          </w:tcPr>
          <w:p w:rsidR="00BC50CD" w:rsidRPr="00720354" w:rsidRDefault="00BC50CD" w:rsidP="00ED2136">
            <w:pPr>
              <w:jc w:val="center"/>
              <w:rPr>
                <w:rFonts w:cs="Arial"/>
                <w:sz w:val="20"/>
                <w:szCs w:val="20"/>
              </w:rPr>
            </w:pPr>
          </w:p>
        </w:tc>
      </w:tr>
    </w:tbl>
    <w:p w:rsidR="00BC50CD" w:rsidRDefault="00BC50CD" w:rsidP="005174F3">
      <w:pPr>
        <w:rPr>
          <w:rFonts w:ascii="Arial" w:hAnsi="Arial" w:cs="Arial"/>
          <w:u w:val="single"/>
          <w:lang w:eastAsia="en-GB"/>
        </w:rPr>
        <w:sectPr w:rsidR="00BC50CD" w:rsidSect="00BC50CD">
          <w:pgSz w:w="16840" w:h="11907" w:orient="landscape" w:code="9"/>
          <w:pgMar w:top="1440" w:right="1440" w:bottom="1440" w:left="1440" w:header="709" w:footer="709" w:gutter="0"/>
          <w:cols w:space="708"/>
          <w:docGrid w:linePitch="299"/>
        </w:sectPr>
      </w:pPr>
    </w:p>
    <w:p w:rsidR="008E1321" w:rsidRDefault="008E1321" w:rsidP="008E1321">
      <w:pPr>
        <w:spacing w:line="360" w:lineRule="auto"/>
        <w:rPr>
          <w:rFonts w:ascii="Arial" w:hAnsi="Arial" w:cs="Arial"/>
          <w:u w:val="single"/>
          <w:lang w:eastAsia="en-GB"/>
        </w:rPr>
      </w:pPr>
      <w:r w:rsidRPr="008E1321">
        <w:rPr>
          <w:rFonts w:ascii="Arial" w:hAnsi="Arial" w:cs="Arial"/>
          <w:u w:val="single"/>
          <w:lang w:eastAsia="en-GB"/>
        </w:rPr>
        <w:lastRenderedPageBreak/>
        <w:t>Changes in intention</w:t>
      </w:r>
      <w:r w:rsidR="00421EBF">
        <w:rPr>
          <w:rFonts w:ascii="Arial" w:hAnsi="Arial" w:cs="Arial"/>
          <w:u w:val="single"/>
          <w:lang w:eastAsia="en-GB"/>
        </w:rPr>
        <w:t>s</w:t>
      </w:r>
      <w:r w:rsidRPr="008E1321">
        <w:rPr>
          <w:rFonts w:ascii="Arial" w:hAnsi="Arial" w:cs="Arial"/>
          <w:u w:val="single"/>
          <w:lang w:eastAsia="en-GB"/>
        </w:rPr>
        <w:t xml:space="preserve"> </w:t>
      </w:r>
      <w:r w:rsidR="0048236A">
        <w:rPr>
          <w:rFonts w:ascii="Arial" w:hAnsi="Arial" w:cs="Arial"/>
          <w:u w:val="single"/>
          <w:lang w:eastAsia="en-GB"/>
        </w:rPr>
        <w:t>Post-</w:t>
      </w:r>
      <w:r w:rsidR="00421EBF">
        <w:rPr>
          <w:rFonts w:ascii="Arial" w:hAnsi="Arial" w:cs="Arial"/>
          <w:u w:val="single"/>
          <w:lang w:eastAsia="en-GB"/>
        </w:rPr>
        <w:t>event</w:t>
      </w:r>
    </w:p>
    <w:p w:rsidR="000961CB" w:rsidRPr="000961CB" w:rsidRDefault="00D24CA7" w:rsidP="008E1321">
      <w:pPr>
        <w:spacing w:line="360" w:lineRule="auto"/>
        <w:rPr>
          <w:rFonts w:ascii="Arial" w:hAnsi="Arial" w:cs="Arial"/>
          <w:lang w:eastAsia="en-GB"/>
        </w:rPr>
      </w:pPr>
      <w:r>
        <w:rPr>
          <w:rFonts w:ascii="Arial" w:hAnsi="Arial" w:cs="Arial"/>
          <w:lang w:eastAsia="en-GB"/>
        </w:rPr>
        <w:t>There was a</w:t>
      </w:r>
      <w:r w:rsidR="000961CB">
        <w:rPr>
          <w:rFonts w:ascii="Arial" w:hAnsi="Arial" w:cs="Arial"/>
          <w:lang w:eastAsia="en-GB"/>
        </w:rPr>
        <w:t xml:space="preserve"> significant increase</w:t>
      </w:r>
      <w:r w:rsidR="008E64CE">
        <w:rPr>
          <w:rFonts w:ascii="Arial" w:hAnsi="Arial" w:cs="Arial"/>
          <w:lang w:eastAsia="en-GB"/>
        </w:rPr>
        <w:t xml:space="preserve"> </w:t>
      </w:r>
      <w:r w:rsidR="00313C9C">
        <w:rPr>
          <w:rFonts w:ascii="Arial" w:hAnsi="Arial" w:cs="Arial"/>
          <w:lang w:eastAsia="en-GB"/>
        </w:rPr>
        <w:t xml:space="preserve">post-intervention </w:t>
      </w:r>
      <w:r w:rsidR="000961CB">
        <w:rPr>
          <w:rFonts w:ascii="Arial" w:hAnsi="Arial" w:cs="Arial"/>
          <w:lang w:eastAsia="en-GB"/>
        </w:rPr>
        <w:t xml:space="preserve">in the proportion of people without a will who indicated they were </w:t>
      </w:r>
      <w:r w:rsidR="008E64CE">
        <w:rPr>
          <w:rFonts w:ascii="Arial" w:hAnsi="Arial" w:cs="Arial"/>
          <w:lang w:eastAsia="en-GB"/>
        </w:rPr>
        <w:t>thinking of</w:t>
      </w:r>
      <w:r w:rsidR="003E6A2A">
        <w:rPr>
          <w:rFonts w:ascii="Arial" w:hAnsi="Arial" w:cs="Arial"/>
          <w:lang w:eastAsia="en-GB"/>
        </w:rPr>
        <w:t xml:space="preserve"> </w:t>
      </w:r>
      <w:r w:rsidR="000961CB">
        <w:rPr>
          <w:rFonts w:ascii="Arial" w:hAnsi="Arial" w:cs="Arial"/>
          <w:lang w:eastAsia="en-GB"/>
        </w:rPr>
        <w:t>ma</w:t>
      </w:r>
      <w:r w:rsidR="003E6A2A">
        <w:rPr>
          <w:rFonts w:ascii="Arial" w:hAnsi="Arial" w:cs="Arial"/>
          <w:lang w:eastAsia="en-GB"/>
        </w:rPr>
        <w:t>k</w:t>
      </w:r>
      <w:r w:rsidR="008E64CE">
        <w:rPr>
          <w:rFonts w:ascii="Arial" w:hAnsi="Arial" w:cs="Arial"/>
          <w:lang w:eastAsia="en-GB"/>
        </w:rPr>
        <w:t>ing</w:t>
      </w:r>
      <w:r w:rsidR="003E6A2A">
        <w:rPr>
          <w:rFonts w:ascii="Arial" w:hAnsi="Arial" w:cs="Arial"/>
          <w:lang w:eastAsia="en-GB"/>
        </w:rPr>
        <w:t xml:space="preserve"> </w:t>
      </w:r>
      <w:r w:rsidR="000961CB">
        <w:rPr>
          <w:rFonts w:ascii="Arial" w:hAnsi="Arial" w:cs="Arial"/>
          <w:lang w:eastAsia="en-GB"/>
        </w:rPr>
        <w:t xml:space="preserve">a will </w:t>
      </w:r>
      <w:r w:rsidR="008907F0">
        <w:rPr>
          <w:rFonts w:ascii="Arial" w:hAnsi="Arial" w:cs="Arial"/>
          <w:lang w:eastAsia="en-GB"/>
        </w:rPr>
        <w:t xml:space="preserve">(74% v 90%, </w:t>
      </w:r>
      <w:r w:rsidR="00DA027C">
        <w:rPr>
          <w:rFonts w:ascii="Arial" w:hAnsi="Arial" w:cs="Arial"/>
          <w:lang w:eastAsia="en-GB"/>
        </w:rPr>
        <w:t>P=&lt;0.0001).</w:t>
      </w:r>
    </w:p>
    <w:p w:rsidR="0048236A" w:rsidRDefault="00D24CA7" w:rsidP="002A2E3E">
      <w:pPr>
        <w:spacing w:after="240" w:line="360" w:lineRule="auto"/>
        <w:rPr>
          <w:rFonts w:ascii="Arial" w:hAnsi="Arial" w:cs="Arial"/>
        </w:rPr>
      </w:pPr>
      <w:r>
        <w:rPr>
          <w:rFonts w:ascii="Arial" w:hAnsi="Arial" w:cs="Arial"/>
        </w:rPr>
        <w:t xml:space="preserve">Respondents </w:t>
      </w:r>
      <w:r w:rsidR="00E84629">
        <w:rPr>
          <w:rFonts w:ascii="Arial" w:hAnsi="Arial" w:cs="Arial"/>
        </w:rPr>
        <w:t xml:space="preserve">were asked to indicate whether, due to </w:t>
      </w:r>
      <w:r w:rsidR="006C5827">
        <w:rPr>
          <w:rFonts w:ascii="Arial" w:hAnsi="Arial" w:cs="Arial"/>
        </w:rPr>
        <w:t>intervention</w:t>
      </w:r>
      <w:r w:rsidR="00E84629">
        <w:rPr>
          <w:rFonts w:ascii="Arial" w:hAnsi="Arial" w:cs="Arial"/>
        </w:rPr>
        <w:t xml:space="preserve">, they </w:t>
      </w:r>
      <w:r>
        <w:rPr>
          <w:rFonts w:ascii="Arial" w:hAnsi="Arial" w:cs="Arial"/>
        </w:rPr>
        <w:t xml:space="preserve">intended </w:t>
      </w:r>
      <w:r w:rsidR="002A2E3E">
        <w:rPr>
          <w:rFonts w:ascii="Arial" w:hAnsi="Arial" w:cs="Arial"/>
        </w:rPr>
        <w:t xml:space="preserve">to have </w:t>
      </w:r>
      <w:r>
        <w:rPr>
          <w:rFonts w:ascii="Arial" w:hAnsi="Arial" w:cs="Arial"/>
        </w:rPr>
        <w:t xml:space="preserve">a </w:t>
      </w:r>
      <w:r w:rsidR="004A5A2A">
        <w:rPr>
          <w:rFonts w:ascii="Arial" w:hAnsi="Arial" w:cs="Arial"/>
        </w:rPr>
        <w:t xml:space="preserve">specific </w:t>
      </w:r>
      <w:r>
        <w:rPr>
          <w:rFonts w:ascii="Arial" w:hAnsi="Arial" w:cs="Arial"/>
        </w:rPr>
        <w:t>conversation</w:t>
      </w:r>
      <w:r w:rsidR="004A5A2A">
        <w:rPr>
          <w:rFonts w:ascii="Arial" w:hAnsi="Arial" w:cs="Arial"/>
        </w:rPr>
        <w:t>,</w:t>
      </w:r>
      <w:r>
        <w:rPr>
          <w:rFonts w:ascii="Arial" w:hAnsi="Arial" w:cs="Arial"/>
        </w:rPr>
        <w:t xml:space="preserve"> </w:t>
      </w:r>
      <w:r w:rsidR="00E84629">
        <w:rPr>
          <w:rFonts w:ascii="Arial" w:hAnsi="Arial" w:cs="Arial"/>
        </w:rPr>
        <w:t xml:space="preserve">or </w:t>
      </w:r>
      <w:r w:rsidR="004A5A2A">
        <w:rPr>
          <w:rFonts w:ascii="Arial" w:hAnsi="Arial" w:cs="Arial"/>
        </w:rPr>
        <w:t xml:space="preserve">to </w:t>
      </w:r>
      <w:r w:rsidR="00E84629">
        <w:rPr>
          <w:rFonts w:ascii="Arial" w:hAnsi="Arial" w:cs="Arial"/>
        </w:rPr>
        <w:t xml:space="preserve">take </w:t>
      </w:r>
      <w:r w:rsidR="004A5A2A">
        <w:rPr>
          <w:rFonts w:ascii="Arial" w:hAnsi="Arial" w:cs="Arial"/>
        </w:rPr>
        <w:t xml:space="preserve">another </w:t>
      </w:r>
      <w:r w:rsidR="00E84629">
        <w:rPr>
          <w:rFonts w:ascii="Arial" w:hAnsi="Arial" w:cs="Arial"/>
        </w:rPr>
        <w:t>action</w:t>
      </w:r>
      <w:r w:rsidR="002A2E3E">
        <w:rPr>
          <w:rFonts w:ascii="Arial" w:hAnsi="Arial" w:cs="Arial"/>
        </w:rPr>
        <w:t>. Overall, 70% attending Awareness raising presentation</w:t>
      </w:r>
      <w:r w:rsidR="00512760">
        <w:rPr>
          <w:rFonts w:ascii="Arial" w:hAnsi="Arial" w:cs="Arial"/>
        </w:rPr>
        <w:t>s</w:t>
      </w:r>
      <w:r w:rsidR="002A2E3E">
        <w:rPr>
          <w:rFonts w:ascii="Arial" w:hAnsi="Arial" w:cs="Arial"/>
        </w:rPr>
        <w:t xml:space="preserve"> and 79% attending ‘How to’ workshops </w:t>
      </w:r>
      <w:r>
        <w:rPr>
          <w:rFonts w:ascii="Arial" w:hAnsi="Arial" w:cs="Arial"/>
        </w:rPr>
        <w:t xml:space="preserve">stated their intention to </w:t>
      </w:r>
      <w:r w:rsidR="00E84629">
        <w:rPr>
          <w:rFonts w:ascii="Arial" w:hAnsi="Arial" w:cs="Arial"/>
        </w:rPr>
        <w:t xml:space="preserve">take </w:t>
      </w:r>
      <w:r w:rsidR="003E6A2A">
        <w:rPr>
          <w:rFonts w:ascii="Arial" w:hAnsi="Arial" w:cs="Arial"/>
        </w:rPr>
        <w:t xml:space="preserve">action </w:t>
      </w:r>
      <w:r w:rsidR="00E84629">
        <w:rPr>
          <w:rFonts w:ascii="Arial" w:hAnsi="Arial" w:cs="Arial"/>
        </w:rPr>
        <w:t>(Table 3)</w:t>
      </w:r>
      <w:r>
        <w:rPr>
          <w:rFonts w:ascii="Arial" w:hAnsi="Arial" w:cs="Arial"/>
        </w:rPr>
        <w:t>.</w:t>
      </w:r>
      <w:r w:rsidR="00E84629">
        <w:rPr>
          <w:rFonts w:ascii="Arial" w:hAnsi="Arial" w:cs="Arial"/>
        </w:rPr>
        <w:t xml:space="preserve"> </w:t>
      </w:r>
    </w:p>
    <w:p w:rsidR="00C0126D" w:rsidRDefault="00D2745D" w:rsidP="002A2E3E">
      <w:pPr>
        <w:spacing w:after="240" w:line="360" w:lineRule="auto"/>
        <w:rPr>
          <w:rFonts w:ascii="Arial" w:hAnsi="Arial" w:cs="Arial"/>
        </w:rPr>
      </w:pPr>
      <w:r>
        <w:rPr>
          <w:rFonts w:ascii="Arial" w:hAnsi="Arial" w:cs="Arial"/>
        </w:rPr>
        <w:t>The most f</w:t>
      </w:r>
      <w:r w:rsidR="00D24CA7">
        <w:rPr>
          <w:rFonts w:ascii="Arial" w:hAnsi="Arial" w:cs="Arial"/>
        </w:rPr>
        <w:t xml:space="preserve">requently mentioned </w:t>
      </w:r>
      <w:r w:rsidR="006F19CE">
        <w:rPr>
          <w:rFonts w:ascii="Arial" w:hAnsi="Arial" w:cs="Arial"/>
        </w:rPr>
        <w:t>conversations</w:t>
      </w:r>
      <w:r>
        <w:rPr>
          <w:rFonts w:ascii="Arial" w:hAnsi="Arial" w:cs="Arial"/>
        </w:rPr>
        <w:t xml:space="preserve"> included</w:t>
      </w:r>
      <w:r w:rsidR="006F19CE">
        <w:rPr>
          <w:rFonts w:ascii="Arial" w:hAnsi="Arial" w:cs="Arial"/>
        </w:rPr>
        <w:t xml:space="preserve"> </w:t>
      </w:r>
      <w:r w:rsidR="001D0E53">
        <w:rPr>
          <w:rFonts w:ascii="Arial" w:hAnsi="Arial" w:cs="Arial"/>
        </w:rPr>
        <w:t>own end of life or funeral wishes (n=75)</w:t>
      </w:r>
      <w:r w:rsidR="006F19CE">
        <w:rPr>
          <w:rFonts w:ascii="Arial" w:hAnsi="Arial" w:cs="Arial"/>
        </w:rPr>
        <w:t xml:space="preserve">; </w:t>
      </w:r>
      <w:r w:rsidR="001D0E53">
        <w:rPr>
          <w:rFonts w:ascii="Arial" w:hAnsi="Arial" w:cs="Arial"/>
        </w:rPr>
        <w:t xml:space="preserve">mutual </w:t>
      </w:r>
      <w:r>
        <w:rPr>
          <w:rFonts w:ascii="Arial" w:hAnsi="Arial" w:cs="Arial"/>
        </w:rPr>
        <w:t xml:space="preserve">wishes </w:t>
      </w:r>
      <w:r w:rsidR="006F19CE">
        <w:rPr>
          <w:rFonts w:ascii="Arial" w:hAnsi="Arial" w:cs="Arial"/>
        </w:rPr>
        <w:t>with somebody close</w:t>
      </w:r>
      <w:r>
        <w:rPr>
          <w:rFonts w:ascii="Arial" w:hAnsi="Arial" w:cs="Arial"/>
        </w:rPr>
        <w:t xml:space="preserve"> (</w:t>
      </w:r>
      <w:r w:rsidR="001D0E53">
        <w:rPr>
          <w:rFonts w:ascii="Arial" w:hAnsi="Arial" w:cs="Arial"/>
        </w:rPr>
        <w:t>n=75)</w:t>
      </w:r>
      <w:r w:rsidR="006F19CE">
        <w:rPr>
          <w:rFonts w:ascii="Arial" w:hAnsi="Arial" w:cs="Arial"/>
        </w:rPr>
        <w:t>, and another</w:t>
      </w:r>
      <w:r w:rsidR="001D0E53">
        <w:rPr>
          <w:rFonts w:ascii="Arial" w:hAnsi="Arial" w:cs="Arial"/>
        </w:rPr>
        <w:t>’s wishes</w:t>
      </w:r>
      <w:r w:rsidR="00E84629">
        <w:rPr>
          <w:rFonts w:ascii="Arial" w:hAnsi="Arial" w:cs="Arial"/>
        </w:rPr>
        <w:t xml:space="preserve"> (n=46). E</w:t>
      </w:r>
      <w:r>
        <w:rPr>
          <w:rFonts w:ascii="Arial" w:hAnsi="Arial" w:cs="Arial"/>
        </w:rPr>
        <w:t xml:space="preserve">nd of life care or resuscitation </w:t>
      </w:r>
      <w:r w:rsidR="00E84629">
        <w:rPr>
          <w:rFonts w:ascii="Arial" w:hAnsi="Arial" w:cs="Arial"/>
        </w:rPr>
        <w:t xml:space="preserve">was mentioned </w:t>
      </w:r>
      <w:r>
        <w:rPr>
          <w:rFonts w:ascii="Arial" w:hAnsi="Arial" w:cs="Arial"/>
        </w:rPr>
        <w:t xml:space="preserve">by 22. Other </w:t>
      </w:r>
      <w:r w:rsidR="008638F6">
        <w:rPr>
          <w:rFonts w:ascii="Arial" w:hAnsi="Arial" w:cs="Arial"/>
        </w:rPr>
        <w:t>subjects</w:t>
      </w:r>
      <w:r w:rsidR="0097093A">
        <w:rPr>
          <w:rFonts w:ascii="Arial" w:hAnsi="Arial" w:cs="Arial"/>
        </w:rPr>
        <w:t xml:space="preserve"> </w:t>
      </w:r>
      <w:r>
        <w:rPr>
          <w:rFonts w:ascii="Arial" w:hAnsi="Arial" w:cs="Arial"/>
        </w:rPr>
        <w:t xml:space="preserve">included </w:t>
      </w:r>
      <w:r w:rsidR="001D0E53">
        <w:rPr>
          <w:rFonts w:ascii="Arial" w:hAnsi="Arial" w:cs="Arial"/>
        </w:rPr>
        <w:t>organising financial arrangement</w:t>
      </w:r>
      <w:r>
        <w:rPr>
          <w:rFonts w:ascii="Arial" w:hAnsi="Arial" w:cs="Arial"/>
        </w:rPr>
        <w:t>s</w:t>
      </w:r>
      <w:r w:rsidR="00C0126D">
        <w:rPr>
          <w:rFonts w:ascii="Arial" w:hAnsi="Arial" w:cs="Arial"/>
        </w:rPr>
        <w:t xml:space="preserve"> for after death (n=27), </w:t>
      </w:r>
      <w:r w:rsidR="001D0E53">
        <w:rPr>
          <w:rFonts w:ascii="Arial" w:hAnsi="Arial" w:cs="Arial"/>
        </w:rPr>
        <w:t xml:space="preserve">telling people where important documents </w:t>
      </w:r>
      <w:r w:rsidR="00C0126D">
        <w:rPr>
          <w:rFonts w:ascii="Arial" w:hAnsi="Arial" w:cs="Arial"/>
        </w:rPr>
        <w:t xml:space="preserve">were kept (n=7), or persuading other </w:t>
      </w:r>
      <w:r>
        <w:rPr>
          <w:rFonts w:ascii="Arial" w:hAnsi="Arial" w:cs="Arial"/>
        </w:rPr>
        <w:t>family member</w:t>
      </w:r>
      <w:r w:rsidR="00C0126D">
        <w:rPr>
          <w:rFonts w:ascii="Arial" w:hAnsi="Arial" w:cs="Arial"/>
        </w:rPr>
        <w:t>s</w:t>
      </w:r>
      <w:r>
        <w:rPr>
          <w:rFonts w:ascii="Arial" w:hAnsi="Arial" w:cs="Arial"/>
        </w:rPr>
        <w:t xml:space="preserve"> to </w:t>
      </w:r>
      <w:r w:rsidR="00C0126D">
        <w:rPr>
          <w:rFonts w:ascii="Arial" w:hAnsi="Arial" w:cs="Arial"/>
        </w:rPr>
        <w:t xml:space="preserve">talk about their end of life wishes or </w:t>
      </w:r>
      <w:r>
        <w:rPr>
          <w:rFonts w:ascii="Arial" w:hAnsi="Arial" w:cs="Arial"/>
        </w:rPr>
        <w:t xml:space="preserve">make preparations </w:t>
      </w:r>
      <w:r w:rsidR="00C0126D">
        <w:rPr>
          <w:rFonts w:ascii="Arial" w:hAnsi="Arial" w:cs="Arial"/>
        </w:rPr>
        <w:t xml:space="preserve">such as a will.  </w:t>
      </w:r>
    </w:p>
    <w:p w:rsidR="004D798B" w:rsidRDefault="006F19CE" w:rsidP="004D798B">
      <w:pPr>
        <w:spacing w:after="240" w:line="360" w:lineRule="auto"/>
        <w:rPr>
          <w:rFonts w:ascii="Arial" w:hAnsi="Arial" w:cs="Arial"/>
        </w:rPr>
      </w:pPr>
      <w:r>
        <w:rPr>
          <w:rFonts w:ascii="Arial" w:hAnsi="Arial" w:cs="Arial"/>
        </w:rPr>
        <w:t>There were four</w:t>
      </w:r>
      <w:r w:rsidR="00BA229B">
        <w:rPr>
          <w:rFonts w:ascii="Arial" w:hAnsi="Arial" w:cs="Arial"/>
        </w:rPr>
        <w:t xml:space="preserve"> main themes relating to </w:t>
      </w:r>
      <w:r w:rsidR="00A65107">
        <w:rPr>
          <w:rFonts w:ascii="Arial" w:hAnsi="Arial" w:cs="Arial"/>
        </w:rPr>
        <w:t>actions</w:t>
      </w:r>
      <w:r w:rsidR="004D798B">
        <w:rPr>
          <w:rFonts w:ascii="Arial" w:hAnsi="Arial" w:cs="Arial"/>
        </w:rPr>
        <w:t xml:space="preserve"> other than specific conversations</w:t>
      </w:r>
      <w:r w:rsidR="00A65107">
        <w:rPr>
          <w:rFonts w:ascii="Arial" w:hAnsi="Arial" w:cs="Arial"/>
        </w:rPr>
        <w:t xml:space="preserve">. The first was </w:t>
      </w:r>
      <w:r w:rsidR="00EA36B8">
        <w:rPr>
          <w:rFonts w:ascii="Arial" w:hAnsi="Arial" w:cs="Arial"/>
        </w:rPr>
        <w:t>practical matters such as</w:t>
      </w:r>
      <w:r w:rsidR="00C0126D">
        <w:rPr>
          <w:rFonts w:ascii="Arial" w:hAnsi="Arial" w:cs="Arial"/>
        </w:rPr>
        <w:t xml:space="preserve"> making</w:t>
      </w:r>
      <w:r w:rsidR="00D2745D">
        <w:rPr>
          <w:rFonts w:ascii="Arial" w:hAnsi="Arial" w:cs="Arial"/>
        </w:rPr>
        <w:t xml:space="preserve"> a will (n=24); </w:t>
      </w:r>
      <w:r w:rsidR="00C0126D">
        <w:rPr>
          <w:rFonts w:ascii="Arial" w:hAnsi="Arial" w:cs="Arial"/>
        </w:rPr>
        <w:t>changing</w:t>
      </w:r>
      <w:r w:rsidR="00D2745D">
        <w:rPr>
          <w:rFonts w:ascii="Arial" w:hAnsi="Arial" w:cs="Arial"/>
        </w:rPr>
        <w:t xml:space="preserve"> an existing will (n=23); </w:t>
      </w:r>
      <w:r w:rsidR="003E6A2A">
        <w:rPr>
          <w:rFonts w:ascii="Arial" w:hAnsi="Arial" w:cs="Arial"/>
        </w:rPr>
        <w:t>stating</w:t>
      </w:r>
      <w:r w:rsidR="00D2745D">
        <w:rPr>
          <w:rFonts w:ascii="Arial" w:hAnsi="Arial" w:cs="Arial"/>
        </w:rPr>
        <w:t xml:space="preserve"> </w:t>
      </w:r>
      <w:r w:rsidR="00C0126D">
        <w:rPr>
          <w:rFonts w:ascii="Arial" w:hAnsi="Arial" w:cs="Arial"/>
        </w:rPr>
        <w:t xml:space="preserve">or updating written wishes (n=24) </w:t>
      </w:r>
      <w:r w:rsidR="00D2745D">
        <w:rPr>
          <w:rFonts w:ascii="Arial" w:hAnsi="Arial" w:cs="Arial"/>
        </w:rPr>
        <w:t>plan</w:t>
      </w:r>
      <w:r w:rsidR="00C0126D">
        <w:rPr>
          <w:rFonts w:ascii="Arial" w:hAnsi="Arial" w:cs="Arial"/>
        </w:rPr>
        <w:t>ning for</w:t>
      </w:r>
      <w:r w:rsidR="00D2745D">
        <w:rPr>
          <w:rFonts w:ascii="Arial" w:hAnsi="Arial" w:cs="Arial"/>
        </w:rPr>
        <w:t xml:space="preserve"> </w:t>
      </w:r>
      <w:r w:rsidR="00C0126D">
        <w:rPr>
          <w:rFonts w:ascii="Arial" w:hAnsi="Arial" w:cs="Arial"/>
        </w:rPr>
        <w:t xml:space="preserve">or updating plans for </w:t>
      </w:r>
      <w:r w:rsidR="00D2745D">
        <w:rPr>
          <w:rFonts w:ascii="Arial" w:hAnsi="Arial" w:cs="Arial"/>
        </w:rPr>
        <w:t xml:space="preserve">a funeral </w:t>
      </w:r>
      <w:r w:rsidR="00C0126D">
        <w:rPr>
          <w:rFonts w:ascii="Arial" w:hAnsi="Arial" w:cs="Arial"/>
        </w:rPr>
        <w:t>(n=24); tidying up or decluttering (n=7), starting a</w:t>
      </w:r>
      <w:r>
        <w:rPr>
          <w:rFonts w:ascii="Arial" w:hAnsi="Arial" w:cs="Arial"/>
        </w:rPr>
        <w:t xml:space="preserve"> life book or ICE file (n=5), </w:t>
      </w:r>
      <w:r w:rsidR="00C0126D">
        <w:rPr>
          <w:rFonts w:ascii="Arial" w:hAnsi="Arial" w:cs="Arial"/>
        </w:rPr>
        <w:t>obtain</w:t>
      </w:r>
      <w:r>
        <w:rPr>
          <w:rFonts w:ascii="Arial" w:hAnsi="Arial" w:cs="Arial"/>
        </w:rPr>
        <w:t xml:space="preserve">ing a donor card (n=3), or making plans for own end of life care (n=3). </w:t>
      </w:r>
      <w:r w:rsidR="00A65107">
        <w:rPr>
          <w:rFonts w:ascii="Arial" w:hAnsi="Arial" w:cs="Arial"/>
        </w:rPr>
        <w:t>The second w</w:t>
      </w:r>
      <w:r w:rsidR="004D798B">
        <w:rPr>
          <w:rFonts w:ascii="Arial" w:hAnsi="Arial" w:cs="Arial"/>
        </w:rPr>
        <w:t>as</w:t>
      </w:r>
      <w:r w:rsidR="00A65107">
        <w:rPr>
          <w:rFonts w:ascii="Arial" w:hAnsi="Arial" w:cs="Arial"/>
        </w:rPr>
        <w:t xml:space="preserve"> personal and emotional plans</w:t>
      </w:r>
      <w:r w:rsidR="002609A9">
        <w:rPr>
          <w:rFonts w:ascii="Arial" w:hAnsi="Arial" w:cs="Arial"/>
        </w:rPr>
        <w:t>, including</w:t>
      </w:r>
      <w:r>
        <w:rPr>
          <w:rFonts w:ascii="Arial" w:hAnsi="Arial" w:cs="Arial"/>
        </w:rPr>
        <w:t xml:space="preserve"> </w:t>
      </w:r>
      <w:r w:rsidR="00EA36B8">
        <w:rPr>
          <w:rFonts w:ascii="Arial" w:hAnsi="Arial" w:cs="Arial"/>
        </w:rPr>
        <w:t>writing an emotional will or letter to</w:t>
      </w:r>
      <w:r>
        <w:rPr>
          <w:rFonts w:ascii="Arial" w:hAnsi="Arial" w:cs="Arial"/>
        </w:rPr>
        <w:t xml:space="preserve"> be opened after </w:t>
      </w:r>
      <w:r w:rsidR="00EA36B8">
        <w:rPr>
          <w:rFonts w:ascii="Arial" w:hAnsi="Arial" w:cs="Arial"/>
        </w:rPr>
        <w:t>death (n=17), starting a journal or recording family history (n=14)</w:t>
      </w:r>
      <w:r w:rsidR="002A5E18">
        <w:rPr>
          <w:rFonts w:ascii="Arial" w:hAnsi="Arial" w:cs="Arial"/>
        </w:rPr>
        <w:t xml:space="preserve">; </w:t>
      </w:r>
      <w:r w:rsidR="002609A9">
        <w:rPr>
          <w:rFonts w:ascii="Arial" w:hAnsi="Arial" w:cs="Arial"/>
        </w:rPr>
        <w:t>or writing a bucket list (n=20).</w:t>
      </w:r>
      <w:r w:rsidR="00A65107">
        <w:rPr>
          <w:rFonts w:ascii="Arial" w:hAnsi="Arial" w:cs="Arial"/>
        </w:rPr>
        <w:t xml:space="preserve">  The third was changing</w:t>
      </w:r>
      <w:r w:rsidR="004D798B" w:rsidRPr="004D798B">
        <w:rPr>
          <w:rFonts w:ascii="Arial" w:hAnsi="Arial" w:cs="Arial"/>
        </w:rPr>
        <w:t xml:space="preserve"> </w:t>
      </w:r>
      <w:r w:rsidR="004D798B">
        <w:rPr>
          <w:rFonts w:ascii="Arial" w:hAnsi="Arial" w:cs="Arial"/>
        </w:rPr>
        <w:t>general approaches to talking about death, including talking more or being more open (n=15), being more confident (n=10), listening better (n=9) and being more supportive of people who were bereaved (n=7). The fourth theme was living well, or ‘for the day’ (n=24).</w:t>
      </w:r>
    </w:p>
    <w:p w:rsidR="004D798B" w:rsidRDefault="004D798B" w:rsidP="004D798B">
      <w:pPr>
        <w:spacing w:after="240" w:line="360" w:lineRule="auto"/>
        <w:rPr>
          <w:rFonts w:ascii="Arial" w:hAnsi="Arial" w:cs="Arial"/>
        </w:rPr>
      </w:pPr>
      <w:r>
        <w:rPr>
          <w:rFonts w:ascii="Arial" w:hAnsi="Arial" w:cs="Arial"/>
        </w:rPr>
        <w:t>A significantly</w:t>
      </w:r>
      <w:r w:rsidRPr="005D433D">
        <w:rPr>
          <w:rFonts w:ascii="Arial" w:hAnsi="Arial" w:cs="Arial"/>
        </w:rPr>
        <w:t xml:space="preserve"> </w:t>
      </w:r>
      <w:r>
        <w:rPr>
          <w:rFonts w:ascii="Arial" w:hAnsi="Arial" w:cs="Arial"/>
        </w:rPr>
        <w:t>higher proportion of respondents aged 45 to 74 (78%) than over the age of 75 (46%) and under the age of 45 (67%) indicated intention take action due to an Awareness-raising presentation (Chi-squared test P=&lt;0.001). For ‘How to’ workshops, a significantly higher proportion of under 75s compared with over 75s (82% v 40%) indicated intention to take action due (P=0.007), with no significant difference between those aged under 45 and those aged 45 to 74.</w:t>
      </w:r>
    </w:p>
    <w:p w:rsidR="004D798B" w:rsidRDefault="004D798B" w:rsidP="004D798B">
      <w:pPr>
        <w:spacing w:line="360" w:lineRule="auto"/>
        <w:rPr>
          <w:rFonts w:ascii="Arial" w:hAnsi="Arial" w:cs="Arial"/>
        </w:rPr>
      </w:pPr>
      <w:r>
        <w:rPr>
          <w:rFonts w:ascii="Arial" w:hAnsi="Arial" w:cs="Arial"/>
        </w:rPr>
        <w:t xml:space="preserve">For both event types combined, respondents who had not previously discussed their own end of life preferences, compared with those who had, more often stated that they intended to take some action due to the event (67% v 79%, P= 0.001; and 69% v 79%, P=0.011). </w:t>
      </w:r>
    </w:p>
    <w:p w:rsidR="00BC50CD" w:rsidRDefault="00BC50CD" w:rsidP="002A2E3E">
      <w:pPr>
        <w:spacing w:after="240" w:line="360" w:lineRule="auto"/>
        <w:rPr>
          <w:rFonts w:ascii="Arial" w:hAnsi="Arial" w:cs="Arial"/>
        </w:rPr>
        <w:sectPr w:rsidR="00BC50CD" w:rsidSect="00D90B5D">
          <w:pgSz w:w="11907" w:h="16840" w:code="9"/>
          <w:pgMar w:top="1440" w:right="1440" w:bottom="1440" w:left="1440" w:header="709" w:footer="709" w:gutter="0"/>
          <w:cols w:space="708"/>
          <w:docGrid w:linePitch="299"/>
        </w:sectPr>
      </w:pPr>
    </w:p>
    <w:p w:rsidR="00BC50CD" w:rsidRPr="00B35514" w:rsidRDefault="00BC50CD" w:rsidP="00BC50CD">
      <w:pPr>
        <w:pStyle w:val="Caption"/>
        <w:keepNext/>
        <w:rPr>
          <w:i/>
          <w:sz w:val="20"/>
          <w:szCs w:val="20"/>
        </w:rPr>
      </w:pPr>
      <w:bookmarkStart w:id="2" w:name="_Toc442778247"/>
      <w:r w:rsidRPr="00B35514">
        <w:rPr>
          <w:i/>
          <w:sz w:val="20"/>
          <w:szCs w:val="20"/>
        </w:rPr>
        <w:lastRenderedPageBreak/>
        <w:t>Table</w:t>
      </w:r>
      <w:r>
        <w:rPr>
          <w:i/>
          <w:sz w:val="20"/>
          <w:szCs w:val="20"/>
        </w:rPr>
        <w:t xml:space="preserve"> 3</w:t>
      </w:r>
      <w:r w:rsidRPr="00B35514">
        <w:rPr>
          <w:i/>
          <w:sz w:val="20"/>
          <w:szCs w:val="20"/>
        </w:rPr>
        <w:t>:</w:t>
      </w:r>
      <w:r>
        <w:rPr>
          <w:rFonts w:cs="Arial"/>
          <w:i/>
          <w:sz w:val="20"/>
          <w:szCs w:val="20"/>
        </w:rPr>
        <w:t xml:space="preserve"> Percentage of ‘Post</w:t>
      </w:r>
      <w:r w:rsidRPr="00B35514">
        <w:rPr>
          <w:rFonts w:cs="Arial"/>
          <w:i/>
          <w:sz w:val="20"/>
          <w:szCs w:val="20"/>
        </w:rPr>
        <w:t>’ survey respondents who answered ‘yes’ to questions about whether they plan</w:t>
      </w:r>
      <w:r>
        <w:rPr>
          <w:rFonts w:cs="Arial"/>
          <w:i/>
          <w:sz w:val="20"/>
          <w:szCs w:val="20"/>
        </w:rPr>
        <w:t xml:space="preserve">ned any specific conversations </w:t>
      </w:r>
      <w:r w:rsidRPr="00B35514">
        <w:rPr>
          <w:rFonts w:cs="Arial"/>
          <w:i/>
          <w:sz w:val="20"/>
          <w:szCs w:val="20"/>
        </w:rPr>
        <w:t>o</w:t>
      </w:r>
      <w:r>
        <w:rPr>
          <w:rFonts w:cs="Arial"/>
          <w:i/>
          <w:sz w:val="20"/>
          <w:szCs w:val="20"/>
        </w:rPr>
        <w:t>r</w:t>
      </w:r>
      <w:r w:rsidRPr="00B35514">
        <w:rPr>
          <w:rFonts w:cs="Arial"/>
          <w:i/>
          <w:sz w:val="20"/>
          <w:szCs w:val="20"/>
        </w:rPr>
        <w:t xml:space="preserve"> other</w:t>
      </w:r>
      <w:r>
        <w:rPr>
          <w:rFonts w:cs="Arial"/>
          <w:i/>
          <w:sz w:val="20"/>
          <w:szCs w:val="20"/>
        </w:rPr>
        <w:t xml:space="preserve"> actions relating to the event</w:t>
      </w:r>
      <w:r w:rsidRPr="00B35514">
        <w:rPr>
          <w:rFonts w:cs="Arial"/>
          <w:i/>
          <w:sz w:val="20"/>
          <w:szCs w:val="20"/>
        </w:rPr>
        <w:t xml:space="preserve"> they had attended</w:t>
      </w:r>
      <w:bookmarkEnd w:id="2"/>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20"/>
        <w:gridCol w:w="1559"/>
        <w:gridCol w:w="1418"/>
        <w:gridCol w:w="1418"/>
      </w:tblGrid>
      <w:tr w:rsidR="00BC50CD" w:rsidTr="00ED2136">
        <w:trPr>
          <w:trHeight w:val="567"/>
        </w:trPr>
        <w:tc>
          <w:tcPr>
            <w:tcW w:w="5920" w:type="dxa"/>
            <w:tcBorders>
              <w:top w:val="single" w:sz="4" w:space="0" w:color="auto"/>
              <w:bottom w:val="none" w:sz="0" w:space="0" w:color="000000"/>
            </w:tcBorders>
            <w:shd w:val="clear" w:color="auto" w:fill="auto"/>
          </w:tcPr>
          <w:p w:rsidR="00BC50CD" w:rsidRPr="005434BD" w:rsidRDefault="00BC50CD" w:rsidP="00ED2136">
            <w:pPr>
              <w:rPr>
                <w:rFonts w:cs="Arial"/>
                <w:sz w:val="20"/>
                <w:szCs w:val="20"/>
              </w:rPr>
            </w:pPr>
          </w:p>
        </w:tc>
        <w:tc>
          <w:tcPr>
            <w:tcW w:w="1559" w:type="dxa"/>
            <w:vAlign w:val="center"/>
          </w:tcPr>
          <w:p w:rsidR="00BC50CD" w:rsidRPr="005434BD" w:rsidRDefault="00BC50CD" w:rsidP="00ED2136">
            <w:pPr>
              <w:jc w:val="center"/>
              <w:rPr>
                <w:rFonts w:cs="Arial"/>
                <w:b/>
                <w:sz w:val="20"/>
                <w:szCs w:val="20"/>
              </w:rPr>
            </w:pPr>
            <w:r w:rsidRPr="005434BD">
              <w:rPr>
                <w:rFonts w:cs="Arial"/>
                <w:b/>
                <w:sz w:val="20"/>
                <w:szCs w:val="20"/>
              </w:rPr>
              <w:t>Awareness</w:t>
            </w:r>
          </w:p>
          <w:p w:rsidR="00BC50CD" w:rsidRPr="005434BD" w:rsidRDefault="00BC50CD" w:rsidP="00ED2136">
            <w:pPr>
              <w:jc w:val="center"/>
              <w:rPr>
                <w:rFonts w:cs="Arial"/>
                <w:b/>
                <w:sz w:val="20"/>
                <w:szCs w:val="20"/>
              </w:rPr>
            </w:pPr>
            <w:r>
              <w:rPr>
                <w:rFonts w:cs="Arial"/>
                <w:b/>
                <w:sz w:val="20"/>
                <w:szCs w:val="20"/>
              </w:rPr>
              <w:t>(n=326</w:t>
            </w:r>
            <w:r w:rsidRPr="005434BD">
              <w:rPr>
                <w:rFonts w:cs="Arial"/>
                <w:b/>
                <w:sz w:val="20"/>
                <w:szCs w:val="20"/>
              </w:rPr>
              <w:t>)</w:t>
            </w:r>
          </w:p>
        </w:tc>
        <w:tc>
          <w:tcPr>
            <w:tcW w:w="1418" w:type="dxa"/>
            <w:vAlign w:val="center"/>
          </w:tcPr>
          <w:p w:rsidR="00BC50CD" w:rsidRPr="005434BD" w:rsidRDefault="00BC50CD" w:rsidP="00ED2136">
            <w:pPr>
              <w:jc w:val="center"/>
              <w:rPr>
                <w:rFonts w:cs="Arial"/>
                <w:b/>
                <w:sz w:val="20"/>
                <w:szCs w:val="20"/>
              </w:rPr>
            </w:pPr>
            <w:r w:rsidRPr="005434BD">
              <w:rPr>
                <w:rFonts w:cs="Arial"/>
                <w:b/>
                <w:sz w:val="20"/>
                <w:szCs w:val="20"/>
              </w:rPr>
              <w:t>How to</w:t>
            </w:r>
          </w:p>
          <w:p w:rsidR="00BC50CD" w:rsidRPr="005434BD" w:rsidRDefault="00BC50CD" w:rsidP="00ED2136">
            <w:pPr>
              <w:jc w:val="center"/>
              <w:rPr>
                <w:rFonts w:cs="Arial"/>
                <w:b/>
                <w:sz w:val="20"/>
                <w:szCs w:val="20"/>
              </w:rPr>
            </w:pPr>
            <w:r>
              <w:rPr>
                <w:rFonts w:cs="Arial"/>
                <w:b/>
                <w:sz w:val="20"/>
                <w:szCs w:val="20"/>
              </w:rPr>
              <w:t>(n=172</w:t>
            </w:r>
            <w:r w:rsidRPr="005434BD">
              <w:rPr>
                <w:rFonts w:cs="Arial"/>
                <w:b/>
                <w:sz w:val="20"/>
                <w:szCs w:val="20"/>
              </w:rPr>
              <w:t>)</w:t>
            </w:r>
          </w:p>
        </w:tc>
        <w:tc>
          <w:tcPr>
            <w:tcW w:w="1418" w:type="dxa"/>
            <w:vAlign w:val="center"/>
          </w:tcPr>
          <w:p w:rsidR="00BC50CD" w:rsidRDefault="00BC50CD" w:rsidP="00ED2136">
            <w:pPr>
              <w:jc w:val="center"/>
              <w:rPr>
                <w:rFonts w:cs="Arial"/>
                <w:b/>
                <w:sz w:val="20"/>
                <w:szCs w:val="20"/>
              </w:rPr>
            </w:pPr>
            <w:r>
              <w:rPr>
                <w:rFonts w:cs="Arial"/>
                <w:b/>
                <w:sz w:val="20"/>
                <w:szCs w:val="20"/>
              </w:rPr>
              <w:t>Total</w:t>
            </w:r>
          </w:p>
          <w:p w:rsidR="00BC50CD" w:rsidRPr="005434BD" w:rsidRDefault="00BC50CD" w:rsidP="00ED2136">
            <w:pPr>
              <w:jc w:val="center"/>
              <w:rPr>
                <w:rFonts w:cs="Arial"/>
                <w:b/>
                <w:sz w:val="20"/>
                <w:szCs w:val="20"/>
              </w:rPr>
            </w:pPr>
            <w:r>
              <w:rPr>
                <w:rFonts w:cs="Arial"/>
                <w:b/>
                <w:sz w:val="20"/>
                <w:szCs w:val="20"/>
              </w:rPr>
              <w:t>(n=498)</w:t>
            </w:r>
          </w:p>
        </w:tc>
      </w:tr>
      <w:tr w:rsidR="00BC50CD" w:rsidTr="00ED2136">
        <w:trPr>
          <w:trHeight w:val="567"/>
        </w:trPr>
        <w:tc>
          <w:tcPr>
            <w:tcW w:w="5920" w:type="dxa"/>
            <w:tcBorders>
              <w:top w:val="none" w:sz="0" w:space="0" w:color="000000"/>
            </w:tcBorders>
            <w:vAlign w:val="center"/>
          </w:tcPr>
          <w:p w:rsidR="00BC50CD" w:rsidRPr="005434BD" w:rsidRDefault="00BC50CD" w:rsidP="00ED2136">
            <w:pPr>
              <w:rPr>
                <w:rFonts w:cs="Arial"/>
                <w:sz w:val="20"/>
                <w:szCs w:val="20"/>
              </w:rPr>
            </w:pPr>
            <w:r w:rsidRPr="005434BD">
              <w:rPr>
                <w:rFonts w:cs="Arial"/>
                <w:sz w:val="20"/>
                <w:szCs w:val="20"/>
              </w:rPr>
              <w:t>Are you planning any specific questions with family or friend</w:t>
            </w:r>
            <w:r>
              <w:rPr>
                <w:rFonts w:cs="Arial"/>
                <w:sz w:val="20"/>
                <w:szCs w:val="20"/>
              </w:rPr>
              <w:t>s</w:t>
            </w:r>
            <w:r w:rsidRPr="005434BD">
              <w:rPr>
                <w:rFonts w:cs="Arial"/>
                <w:sz w:val="20"/>
                <w:szCs w:val="20"/>
              </w:rPr>
              <w:t xml:space="preserve"> because of anything you have heard today?</w:t>
            </w:r>
          </w:p>
        </w:tc>
        <w:tc>
          <w:tcPr>
            <w:tcW w:w="1559" w:type="dxa"/>
            <w:vAlign w:val="center"/>
          </w:tcPr>
          <w:p w:rsidR="00BC50CD" w:rsidRPr="005434BD" w:rsidRDefault="00BC50CD" w:rsidP="00ED2136">
            <w:pPr>
              <w:jc w:val="center"/>
              <w:rPr>
                <w:rFonts w:cs="Arial"/>
                <w:sz w:val="20"/>
                <w:szCs w:val="20"/>
              </w:rPr>
            </w:pPr>
            <w:r w:rsidRPr="005434BD">
              <w:rPr>
                <w:rFonts w:cs="Arial"/>
                <w:sz w:val="20"/>
                <w:szCs w:val="20"/>
              </w:rPr>
              <w:t>187 (57%)</w:t>
            </w:r>
          </w:p>
        </w:tc>
        <w:tc>
          <w:tcPr>
            <w:tcW w:w="1418" w:type="dxa"/>
            <w:vAlign w:val="center"/>
          </w:tcPr>
          <w:p w:rsidR="00BC50CD" w:rsidRPr="005434BD" w:rsidRDefault="00BC50CD" w:rsidP="00ED2136">
            <w:pPr>
              <w:jc w:val="center"/>
              <w:rPr>
                <w:rFonts w:cs="Arial"/>
                <w:sz w:val="20"/>
                <w:szCs w:val="20"/>
              </w:rPr>
            </w:pPr>
            <w:r w:rsidRPr="005434BD">
              <w:rPr>
                <w:rFonts w:cs="Arial"/>
                <w:sz w:val="20"/>
                <w:szCs w:val="20"/>
              </w:rPr>
              <w:t>119 (69%)</w:t>
            </w:r>
          </w:p>
        </w:tc>
        <w:tc>
          <w:tcPr>
            <w:tcW w:w="1418" w:type="dxa"/>
            <w:vAlign w:val="center"/>
          </w:tcPr>
          <w:p w:rsidR="00BC50CD" w:rsidRPr="005434BD" w:rsidRDefault="00BC50CD" w:rsidP="00ED2136">
            <w:pPr>
              <w:jc w:val="center"/>
              <w:rPr>
                <w:rFonts w:cs="Arial"/>
                <w:sz w:val="20"/>
                <w:szCs w:val="20"/>
              </w:rPr>
            </w:pPr>
            <w:r>
              <w:rPr>
                <w:rFonts w:cs="Arial"/>
                <w:sz w:val="20"/>
                <w:szCs w:val="20"/>
              </w:rPr>
              <w:t>306 (61%)</w:t>
            </w:r>
          </w:p>
        </w:tc>
      </w:tr>
      <w:tr w:rsidR="00BC50CD" w:rsidTr="00ED2136">
        <w:trPr>
          <w:trHeight w:val="567"/>
        </w:trPr>
        <w:tc>
          <w:tcPr>
            <w:tcW w:w="5920" w:type="dxa"/>
            <w:vAlign w:val="center"/>
          </w:tcPr>
          <w:p w:rsidR="00BC50CD" w:rsidRPr="005434BD" w:rsidRDefault="00BC50CD" w:rsidP="00ED2136">
            <w:pPr>
              <w:rPr>
                <w:rFonts w:cs="Arial"/>
                <w:sz w:val="20"/>
                <w:szCs w:val="20"/>
              </w:rPr>
            </w:pPr>
            <w:r w:rsidRPr="005434BD">
              <w:rPr>
                <w:rFonts w:cs="Arial"/>
                <w:sz w:val="20"/>
                <w:szCs w:val="20"/>
              </w:rPr>
              <w:t>Did the presentation inspire you to do anything else or make any other changes in your life?</w:t>
            </w:r>
          </w:p>
        </w:tc>
        <w:tc>
          <w:tcPr>
            <w:tcW w:w="1559" w:type="dxa"/>
            <w:vAlign w:val="center"/>
          </w:tcPr>
          <w:p w:rsidR="00BC50CD" w:rsidRPr="005434BD" w:rsidRDefault="00BC50CD" w:rsidP="00ED2136">
            <w:pPr>
              <w:jc w:val="center"/>
              <w:rPr>
                <w:rFonts w:cs="Arial"/>
                <w:sz w:val="20"/>
                <w:szCs w:val="20"/>
              </w:rPr>
            </w:pPr>
            <w:r w:rsidRPr="005434BD">
              <w:rPr>
                <w:rFonts w:cs="Arial"/>
                <w:sz w:val="20"/>
                <w:szCs w:val="20"/>
              </w:rPr>
              <w:t>168 (52%)</w:t>
            </w:r>
          </w:p>
        </w:tc>
        <w:tc>
          <w:tcPr>
            <w:tcW w:w="1418" w:type="dxa"/>
            <w:vAlign w:val="center"/>
          </w:tcPr>
          <w:p w:rsidR="00BC50CD" w:rsidRPr="005434BD" w:rsidRDefault="00BC50CD" w:rsidP="00ED2136">
            <w:pPr>
              <w:jc w:val="center"/>
              <w:rPr>
                <w:rFonts w:cs="Arial"/>
                <w:sz w:val="20"/>
                <w:szCs w:val="20"/>
              </w:rPr>
            </w:pPr>
            <w:r w:rsidRPr="005434BD">
              <w:rPr>
                <w:rFonts w:cs="Arial"/>
                <w:sz w:val="20"/>
                <w:szCs w:val="20"/>
              </w:rPr>
              <w:t>106 (62%)</w:t>
            </w:r>
          </w:p>
        </w:tc>
        <w:tc>
          <w:tcPr>
            <w:tcW w:w="1418" w:type="dxa"/>
            <w:vAlign w:val="center"/>
          </w:tcPr>
          <w:p w:rsidR="00BC50CD" w:rsidRPr="005434BD" w:rsidRDefault="00BC50CD" w:rsidP="00ED2136">
            <w:pPr>
              <w:jc w:val="center"/>
              <w:rPr>
                <w:rFonts w:cs="Arial"/>
                <w:sz w:val="20"/>
                <w:szCs w:val="20"/>
              </w:rPr>
            </w:pPr>
            <w:r>
              <w:rPr>
                <w:rFonts w:cs="Arial"/>
                <w:sz w:val="20"/>
                <w:szCs w:val="20"/>
              </w:rPr>
              <w:t>274 (55%)</w:t>
            </w:r>
          </w:p>
        </w:tc>
      </w:tr>
      <w:tr w:rsidR="00BC50CD" w:rsidTr="00ED2136">
        <w:trPr>
          <w:trHeight w:val="284"/>
        </w:trPr>
        <w:tc>
          <w:tcPr>
            <w:tcW w:w="5920" w:type="dxa"/>
            <w:vAlign w:val="center"/>
          </w:tcPr>
          <w:p w:rsidR="00BC50CD" w:rsidRPr="005434BD" w:rsidRDefault="00BC50CD" w:rsidP="00ED2136">
            <w:pPr>
              <w:rPr>
                <w:rFonts w:cs="Arial"/>
                <w:b/>
                <w:i/>
                <w:sz w:val="20"/>
                <w:szCs w:val="20"/>
              </w:rPr>
            </w:pPr>
            <w:r w:rsidRPr="005434BD">
              <w:rPr>
                <w:rFonts w:cs="Arial"/>
                <w:b/>
                <w:i/>
                <w:sz w:val="20"/>
                <w:szCs w:val="20"/>
              </w:rPr>
              <w:t>Answered ‘yes’ to either question above</w:t>
            </w:r>
          </w:p>
        </w:tc>
        <w:tc>
          <w:tcPr>
            <w:tcW w:w="1559" w:type="dxa"/>
            <w:vAlign w:val="center"/>
          </w:tcPr>
          <w:p w:rsidR="00BC50CD" w:rsidRPr="005434BD" w:rsidRDefault="00BC50CD" w:rsidP="00ED2136">
            <w:pPr>
              <w:jc w:val="center"/>
              <w:rPr>
                <w:rFonts w:cs="Arial"/>
                <w:b/>
                <w:i/>
                <w:sz w:val="20"/>
                <w:szCs w:val="20"/>
              </w:rPr>
            </w:pPr>
            <w:r w:rsidRPr="005434BD">
              <w:rPr>
                <w:rFonts w:cs="Arial"/>
                <w:b/>
                <w:i/>
                <w:sz w:val="20"/>
                <w:szCs w:val="20"/>
              </w:rPr>
              <w:t>227 (70%)</w:t>
            </w:r>
          </w:p>
        </w:tc>
        <w:tc>
          <w:tcPr>
            <w:tcW w:w="1418" w:type="dxa"/>
            <w:vAlign w:val="center"/>
          </w:tcPr>
          <w:p w:rsidR="00BC50CD" w:rsidRPr="005434BD" w:rsidRDefault="00BC50CD" w:rsidP="00ED2136">
            <w:pPr>
              <w:jc w:val="center"/>
              <w:rPr>
                <w:rFonts w:cs="Arial"/>
                <w:b/>
                <w:i/>
                <w:sz w:val="20"/>
                <w:szCs w:val="20"/>
              </w:rPr>
            </w:pPr>
            <w:r w:rsidRPr="005434BD">
              <w:rPr>
                <w:rFonts w:cs="Arial"/>
                <w:b/>
                <w:i/>
                <w:sz w:val="20"/>
                <w:szCs w:val="20"/>
              </w:rPr>
              <w:t>136 (79%)</w:t>
            </w:r>
          </w:p>
        </w:tc>
        <w:tc>
          <w:tcPr>
            <w:tcW w:w="1418" w:type="dxa"/>
            <w:vAlign w:val="center"/>
          </w:tcPr>
          <w:p w:rsidR="00BC50CD" w:rsidRPr="005434BD" w:rsidRDefault="00BC50CD" w:rsidP="00ED2136">
            <w:pPr>
              <w:jc w:val="center"/>
              <w:rPr>
                <w:rFonts w:cs="Arial"/>
                <w:b/>
                <w:i/>
                <w:sz w:val="20"/>
                <w:szCs w:val="20"/>
              </w:rPr>
            </w:pPr>
            <w:r>
              <w:rPr>
                <w:rFonts w:cs="Arial"/>
                <w:b/>
                <w:i/>
                <w:sz w:val="20"/>
                <w:szCs w:val="20"/>
              </w:rPr>
              <w:t>363 (73%)</w:t>
            </w:r>
          </w:p>
        </w:tc>
      </w:tr>
    </w:tbl>
    <w:p w:rsidR="00BC50CD" w:rsidRDefault="00BC50CD" w:rsidP="00BC50CD">
      <w:pPr>
        <w:pStyle w:val="Caption"/>
        <w:keepNext/>
        <w:rPr>
          <w:i/>
          <w:sz w:val="20"/>
          <w:szCs w:val="20"/>
        </w:rPr>
      </w:pPr>
    </w:p>
    <w:p w:rsidR="00BC50CD" w:rsidRPr="008D0739" w:rsidRDefault="00BC50CD" w:rsidP="00BC50CD">
      <w:pPr>
        <w:rPr>
          <w:lang w:eastAsia="en-GB"/>
        </w:rPr>
      </w:pPr>
    </w:p>
    <w:p w:rsidR="00BC50CD" w:rsidRDefault="00BC50CD" w:rsidP="00BC50CD">
      <w:pPr>
        <w:pStyle w:val="Caption"/>
        <w:keepNext/>
        <w:rPr>
          <w:i/>
          <w:sz w:val="20"/>
          <w:szCs w:val="20"/>
        </w:rPr>
      </w:pPr>
    </w:p>
    <w:p w:rsidR="00BC50CD" w:rsidRPr="00151934" w:rsidRDefault="00BC50CD" w:rsidP="00BC50CD">
      <w:pPr>
        <w:pStyle w:val="Caption"/>
        <w:keepNext/>
        <w:rPr>
          <w:i/>
          <w:sz w:val="20"/>
          <w:szCs w:val="20"/>
        </w:rPr>
      </w:pPr>
      <w:bookmarkStart w:id="3" w:name="_Toc442778249"/>
      <w:r w:rsidRPr="00151934">
        <w:rPr>
          <w:i/>
          <w:sz w:val="20"/>
          <w:szCs w:val="20"/>
        </w:rPr>
        <w:t>Table</w:t>
      </w:r>
      <w:r>
        <w:rPr>
          <w:i/>
          <w:sz w:val="20"/>
          <w:szCs w:val="20"/>
        </w:rPr>
        <w:t xml:space="preserve"> 4</w:t>
      </w:r>
      <w:r w:rsidRPr="00151934">
        <w:rPr>
          <w:rFonts w:cs="Arial"/>
          <w:i/>
          <w:sz w:val="20"/>
          <w:szCs w:val="20"/>
        </w:rPr>
        <w:t xml:space="preserve">: Percentage </w:t>
      </w:r>
      <w:bookmarkEnd w:id="3"/>
      <w:r>
        <w:rPr>
          <w:rFonts w:cs="Arial"/>
          <w:i/>
          <w:sz w:val="20"/>
          <w:szCs w:val="20"/>
        </w:rPr>
        <w:t xml:space="preserve">of </w:t>
      </w:r>
      <w:r w:rsidR="001D0C22">
        <w:rPr>
          <w:rFonts w:cs="Arial"/>
          <w:i/>
          <w:sz w:val="20"/>
          <w:szCs w:val="20"/>
        </w:rPr>
        <w:t>baseline survey responders, by whether or no</w:t>
      </w:r>
      <w:r w:rsidR="00FE5063">
        <w:rPr>
          <w:rFonts w:cs="Arial"/>
          <w:i/>
          <w:sz w:val="20"/>
          <w:szCs w:val="20"/>
        </w:rPr>
        <w:t>t</w:t>
      </w:r>
      <w:r w:rsidR="001D0C22">
        <w:rPr>
          <w:rFonts w:cs="Arial"/>
          <w:i/>
          <w:sz w:val="20"/>
          <w:szCs w:val="20"/>
        </w:rPr>
        <w:t xml:space="preserve"> they responded to the follow-up survey,</w:t>
      </w:r>
      <w:r w:rsidR="009E4819">
        <w:rPr>
          <w:rFonts w:cs="Arial"/>
          <w:i/>
          <w:sz w:val="20"/>
          <w:szCs w:val="20"/>
        </w:rPr>
        <w:t xml:space="preserve"> </w:t>
      </w:r>
      <w:r>
        <w:rPr>
          <w:rFonts w:cs="Arial"/>
          <w:i/>
          <w:sz w:val="20"/>
          <w:szCs w:val="20"/>
        </w:rPr>
        <w:t xml:space="preserve">who reported having had different end of life conversations a baseline, and mean difference, on a scale of 1 to 10, in how comfortable they reported feeling about such conversations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61"/>
        <w:gridCol w:w="1701"/>
        <w:gridCol w:w="1871"/>
        <w:gridCol w:w="1309"/>
        <w:gridCol w:w="1755"/>
        <w:gridCol w:w="1756"/>
      </w:tblGrid>
      <w:tr w:rsidR="00BC50CD" w:rsidTr="00ED2136">
        <w:trPr>
          <w:trHeight w:val="340"/>
        </w:trPr>
        <w:tc>
          <w:tcPr>
            <w:tcW w:w="4361" w:type="dxa"/>
            <w:tcBorders>
              <w:top w:val="single" w:sz="4" w:space="0" w:color="auto"/>
              <w:bottom w:val="single" w:sz="4" w:space="0" w:color="auto"/>
            </w:tcBorders>
            <w:shd w:val="clear" w:color="auto" w:fill="auto"/>
            <w:vAlign w:val="center"/>
          </w:tcPr>
          <w:p w:rsidR="00BC50CD" w:rsidRDefault="00BC50CD" w:rsidP="00ED2136">
            <w:pPr>
              <w:rPr>
                <w:rFonts w:cs="Arial"/>
                <w:b/>
                <w:sz w:val="20"/>
                <w:szCs w:val="20"/>
              </w:rPr>
            </w:pPr>
          </w:p>
        </w:tc>
        <w:tc>
          <w:tcPr>
            <w:tcW w:w="4881" w:type="dxa"/>
            <w:gridSpan w:val="3"/>
            <w:tcBorders>
              <w:top w:val="single" w:sz="4" w:space="0" w:color="auto"/>
              <w:bottom w:val="single" w:sz="4" w:space="0" w:color="auto"/>
            </w:tcBorders>
            <w:vAlign w:val="center"/>
          </w:tcPr>
          <w:p w:rsidR="00BC50CD" w:rsidRPr="00985B80" w:rsidRDefault="00BC50CD" w:rsidP="00ED2136">
            <w:pPr>
              <w:rPr>
                <w:rFonts w:cs="Arial"/>
                <w:b/>
                <w:sz w:val="20"/>
                <w:szCs w:val="20"/>
              </w:rPr>
            </w:pPr>
            <w:r>
              <w:rPr>
                <w:rFonts w:cs="Arial"/>
                <w:b/>
                <w:sz w:val="20"/>
                <w:szCs w:val="20"/>
              </w:rPr>
              <w:t>Had the conversation</w:t>
            </w:r>
          </w:p>
        </w:tc>
        <w:tc>
          <w:tcPr>
            <w:tcW w:w="3511" w:type="dxa"/>
            <w:gridSpan w:val="2"/>
            <w:tcBorders>
              <w:top w:val="single" w:sz="4" w:space="0" w:color="auto"/>
              <w:bottom w:val="single" w:sz="4" w:space="0" w:color="auto"/>
            </w:tcBorders>
          </w:tcPr>
          <w:p w:rsidR="00BC50CD" w:rsidRPr="00985B80" w:rsidRDefault="00BC50CD" w:rsidP="00ED2136">
            <w:pPr>
              <w:rPr>
                <w:rFonts w:cs="Arial"/>
                <w:b/>
                <w:sz w:val="20"/>
                <w:szCs w:val="20"/>
              </w:rPr>
            </w:pPr>
            <w:r>
              <w:rPr>
                <w:rFonts w:cs="Arial"/>
                <w:b/>
                <w:sz w:val="20"/>
                <w:szCs w:val="20"/>
              </w:rPr>
              <w:t>Mean difference in how comfortable</w:t>
            </w:r>
          </w:p>
        </w:tc>
      </w:tr>
      <w:tr w:rsidR="00BC50CD" w:rsidTr="00ED2136">
        <w:trPr>
          <w:trHeight w:val="340"/>
        </w:trPr>
        <w:tc>
          <w:tcPr>
            <w:tcW w:w="4361" w:type="dxa"/>
            <w:tcBorders>
              <w:top w:val="single" w:sz="4" w:space="0" w:color="auto"/>
              <w:bottom w:val="single" w:sz="4" w:space="0" w:color="auto"/>
            </w:tcBorders>
            <w:shd w:val="clear" w:color="auto" w:fill="auto"/>
            <w:vAlign w:val="center"/>
          </w:tcPr>
          <w:p w:rsidR="00BC50CD" w:rsidRPr="00985B80" w:rsidRDefault="00BC50CD" w:rsidP="00ED2136">
            <w:pPr>
              <w:rPr>
                <w:rFonts w:cs="Arial"/>
                <w:b/>
                <w:sz w:val="20"/>
                <w:szCs w:val="20"/>
              </w:rPr>
            </w:pPr>
            <w:r>
              <w:rPr>
                <w:rFonts w:cs="Arial"/>
                <w:b/>
                <w:sz w:val="20"/>
                <w:szCs w:val="20"/>
              </w:rPr>
              <w:t>Topic of Conversation</w:t>
            </w:r>
          </w:p>
        </w:tc>
        <w:tc>
          <w:tcPr>
            <w:tcW w:w="1701" w:type="dxa"/>
            <w:tcBorders>
              <w:top w:val="single" w:sz="4" w:space="0" w:color="auto"/>
              <w:bottom w:val="single" w:sz="4" w:space="0" w:color="auto"/>
            </w:tcBorders>
            <w:vAlign w:val="center"/>
          </w:tcPr>
          <w:p w:rsidR="00BC50CD" w:rsidRPr="00985B80" w:rsidRDefault="001D0C22" w:rsidP="00ED2136">
            <w:pPr>
              <w:rPr>
                <w:rFonts w:cs="Arial"/>
                <w:b/>
                <w:sz w:val="20"/>
                <w:szCs w:val="20"/>
              </w:rPr>
            </w:pPr>
            <w:r>
              <w:rPr>
                <w:rFonts w:cs="Arial"/>
                <w:b/>
                <w:sz w:val="20"/>
                <w:szCs w:val="20"/>
              </w:rPr>
              <w:t xml:space="preserve">Follow-up </w:t>
            </w:r>
            <w:r w:rsidR="00BC50CD" w:rsidRPr="00985B80">
              <w:rPr>
                <w:rFonts w:cs="Arial"/>
                <w:b/>
                <w:sz w:val="20"/>
                <w:szCs w:val="20"/>
              </w:rPr>
              <w:t>Responder</w:t>
            </w:r>
          </w:p>
        </w:tc>
        <w:tc>
          <w:tcPr>
            <w:tcW w:w="1871" w:type="dxa"/>
            <w:tcBorders>
              <w:top w:val="single" w:sz="4" w:space="0" w:color="auto"/>
              <w:bottom w:val="single" w:sz="4" w:space="0" w:color="auto"/>
            </w:tcBorders>
            <w:vAlign w:val="center"/>
          </w:tcPr>
          <w:p w:rsidR="001D0C22" w:rsidRDefault="001D0C22" w:rsidP="00ED2136">
            <w:pPr>
              <w:rPr>
                <w:rFonts w:cs="Arial"/>
                <w:b/>
                <w:sz w:val="20"/>
                <w:szCs w:val="20"/>
              </w:rPr>
            </w:pPr>
            <w:r>
              <w:rPr>
                <w:rFonts w:cs="Arial"/>
                <w:b/>
                <w:sz w:val="20"/>
                <w:szCs w:val="20"/>
              </w:rPr>
              <w:t>Follow-up</w:t>
            </w:r>
          </w:p>
          <w:p w:rsidR="00BC50CD" w:rsidRPr="00985B80" w:rsidRDefault="00BC50CD" w:rsidP="00ED2136">
            <w:pPr>
              <w:rPr>
                <w:rFonts w:cs="Arial"/>
                <w:b/>
                <w:sz w:val="20"/>
                <w:szCs w:val="20"/>
              </w:rPr>
            </w:pPr>
            <w:r w:rsidRPr="00985B80">
              <w:rPr>
                <w:rFonts w:cs="Arial"/>
                <w:b/>
                <w:sz w:val="20"/>
                <w:szCs w:val="20"/>
              </w:rPr>
              <w:t>Non-responder</w:t>
            </w:r>
          </w:p>
        </w:tc>
        <w:tc>
          <w:tcPr>
            <w:tcW w:w="1309" w:type="dxa"/>
            <w:tcBorders>
              <w:top w:val="single" w:sz="4" w:space="0" w:color="auto"/>
              <w:bottom w:val="single" w:sz="4" w:space="0" w:color="auto"/>
            </w:tcBorders>
            <w:vAlign w:val="center"/>
          </w:tcPr>
          <w:p w:rsidR="00BC50CD" w:rsidRPr="00985B80" w:rsidRDefault="00BC50CD" w:rsidP="00ED2136">
            <w:pPr>
              <w:rPr>
                <w:rFonts w:cs="Arial"/>
                <w:b/>
                <w:sz w:val="20"/>
                <w:szCs w:val="20"/>
              </w:rPr>
            </w:pPr>
            <w:r w:rsidRPr="00985B80">
              <w:rPr>
                <w:rFonts w:cs="Arial"/>
                <w:b/>
                <w:sz w:val="20"/>
                <w:szCs w:val="20"/>
              </w:rPr>
              <w:t>P-value</w:t>
            </w:r>
          </w:p>
          <w:p w:rsidR="00BC50CD" w:rsidRPr="00985B80" w:rsidRDefault="00BC50CD" w:rsidP="00ED2136">
            <w:pPr>
              <w:rPr>
                <w:rFonts w:cs="Arial"/>
                <w:b/>
                <w:sz w:val="20"/>
                <w:szCs w:val="20"/>
              </w:rPr>
            </w:pPr>
          </w:p>
        </w:tc>
        <w:tc>
          <w:tcPr>
            <w:tcW w:w="1755" w:type="dxa"/>
            <w:tcBorders>
              <w:top w:val="single" w:sz="4" w:space="0" w:color="auto"/>
              <w:bottom w:val="single" w:sz="4" w:space="0" w:color="auto"/>
            </w:tcBorders>
          </w:tcPr>
          <w:p w:rsidR="00BC50CD" w:rsidRPr="00985B80" w:rsidRDefault="00BC50CD" w:rsidP="00ED2136">
            <w:pPr>
              <w:rPr>
                <w:rFonts w:cs="Arial"/>
                <w:b/>
                <w:sz w:val="20"/>
                <w:szCs w:val="20"/>
              </w:rPr>
            </w:pPr>
            <w:r>
              <w:rPr>
                <w:rFonts w:cs="Arial"/>
                <w:b/>
                <w:sz w:val="20"/>
                <w:szCs w:val="20"/>
              </w:rPr>
              <w:t>Responder/non responder</w:t>
            </w:r>
          </w:p>
        </w:tc>
        <w:tc>
          <w:tcPr>
            <w:tcW w:w="1756" w:type="dxa"/>
            <w:tcBorders>
              <w:top w:val="single" w:sz="4" w:space="0" w:color="auto"/>
              <w:bottom w:val="single" w:sz="4" w:space="0" w:color="auto"/>
            </w:tcBorders>
          </w:tcPr>
          <w:p w:rsidR="00BC50CD" w:rsidRPr="00985B80" w:rsidRDefault="00BC50CD" w:rsidP="00ED2136">
            <w:pPr>
              <w:rPr>
                <w:rFonts w:cs="Arial"/>
                <w:b/>
                <w:sz w:val="20"/>
                <w:szCs w:val="20"/>
              </w:rPr>
            </w:pPr>
            <w:r>
              <w:rPr>
                <w:rFonts w:cs="Arial"/>
                <w:b/>
                <w:sz w:val="20"/>
                <w:szCs w:val="20"/>
              </w:rPr>
              <w:t>P-value</w:t>
            </w:r>
          </w:p>
        </w:tc>
      </w:tr>
      <w:tr w:rsidR="00BC50CD" w:rsidTr="00ED2136">
        <w:trPr>
          <w:trHeight w:val="340"/>
        </w:trPr>
        <w:tc>
          <w:tcPr>
            <w:tcW w:w="4361" w:type="dxa"/>
            <w:tcBorders>
              <w:top w:val="single" w:sz="4" w:space="0" w:color="auto"/>
            </w:tcBorders>
            <w:vAlign w:val="center"/>
          </w:tcPr>
          <w:p w:rsidR="00BC50CD" w:rsidRPr="00985B80" w:rsidRDefault="00BC50CD" w:rsidP="00ED2136">
            <w:pPr>
              <w:rPr>
                <w:rFonts w:cs="Arial"/>
                <w:sz w:val="20"/>
                <w:szCs w:val="20"/>
              </w:rPr>
            </w:pPr>
            <w:r w:rsidRPr="00985B80">
              <w:rPr>
                <w:rFonts w:cs="Arial"/>
                <w:sz w:val="20"/>
                <w:szCs w:val="20"/>
              </w:rPr>
              <w:t>Own end of life care</w:t>
            </w:r>
          </w:p>
        </w:tc>
        <w:tc>
          <w:tcPr>
            <w:tcW w:w="1701" w:type="dxa"/>
            <w:tcBorders>
              <w:top w:val="single" w:sz="4" w:space="0" w:color="auto"/>
            </w:tcBorders>
            <w:vAlign w:val="center"/>
          </w:tcPr>
          <w:p w:rsidR="00BC50CD" w:rsidRPr="00985B80" w:rsidRDefault="00BC50CD" w:rsidP="00ED2136">
            <w:pPr>
              <w:rPr>
                <w:rFonts w:cs="Arial"/>
                <w:sz w:val="20"/>
                <w:szCs w:val="20"/>
              </w:rPr>
            </w:pPr>
            <w:r w:rsidRPr="00985B80">
              <w:rPr>
                <w:rFonts w:cs="Arial"/>
                <w:sz w:val="20"/>
                <w:szCs w:val="20"/>
              </w:rPr>
              <w:t>85/140 (61%)</w:t>
            </w:r>
          </w:p>
        </w:tc>
        <w:tc>
          <w:tcPr>
            <w:tcW w:w="1871" w:type="dxa"/>
            <w:tcBorders>
              <w:top w:val="single" w:sz="4" w:space="0" w:color="auto"/>
            </w:tcBorders>
            <w:vAlign w:val="center"/>
          </w:tcPr>
          <w:p w:rsidR="00BC50CD" w:rsidRPr="00985B80" w:rsidRDefault="00BC50CD" w:rsidP="00ED2136">
            <w:pPr>
              <w:rPr>
                <w:rFonts w:cs="Arial"/>
                <w:sz w:val="20"/>
                <w:szCs w:val="20"/>
              </w:rPr>
            </w:pPr>
            <w:r w:rsidRPr="00985B80">
              <w:rPr>
                <w:rFonts w:cs="Arial"/>
                <w:sz w:val="20"/>
                <w:szCs w:val="20"/>
              </w:rPr>
              <w:t>167/355 (47%)</w:t>
            </w:r>
          </w:p>
        </w:tc>
        <w:tc>
          <w:tcPr>
            <w:tcW w:w="1309" w:type="dxa"/>
            <w:tcBorders>
              <w:top w:val="single" w:sz="4" w:space="0" w:color="auto"/>
            </w:tcBorders>
            <w:vAlign w:val="center"/>
          </w:tcPr>
          <w:p w:rsidR="00BC50CD" w:rsidRPr="00985B80" w:rsidRDefault="00BC50CD" w:rsidP="00ED2136">
            <w:pPr>
              <w:rPr>
                <w:rFonts w:cs="Arial"/>
                <w:sz w:val="20"/>
                <w:szCs w:val="20"/>
              </w:rPr>
            </w:pPr>
            <w:r w:rsidRPr="00985B80">
              <w:rPr>
                <w:rFonts w:cs="Arial"/>
                <w:sz w:val="20"/>
                <w:szCs w:val="20"/>
              </w:rPr>
              <w:t>0.006</w:t>
            </w:r>
          </w:p>
        </w:tc>
        <w:tc>
          <w:tcPr>
            <w:tcW w:w="1755" w:type="dxa"/>
            <w:vAlign w:val="center"/>
          </w:tcPr>
          <w:p w:rsidR="00BC50CD" w:rsidRPr="00985B80" w:rsidRDefault="00BC50CD" w:rsidP="00ED2136">
            <w:pPr>
              <w:rPr>
                <w:rFonts w:cs="Arial"/>
                <w:sz w:val="20"/>
                <w:szCs w:val="20"/>
              </w:rPr>
            </w:pPr>
            <w:r w:rsidRPr="00985B80">
              <w:rPr>
                <w:rFonts w:cs="Arial"/>
                <w:sz w:val="20"/>
                <w:szCs w:val="20"/>
              </w:rPr>
              <w:t>0.642</w:t>
            </w:r>
          </w:p>
        </w:tc>
        <w:tc>
          <w:tcPr>
            <w:tcW w:w="1756" w:type="dxa"/>
            <w:vAlign w:val="center"/>
          </w:tcPr>
          <w:p w:rsidR="00BC50CD" w:rsidRPr="00985B80" w:rsidRDefault="00BC50CD" w:rsidP="00ED2136">
            <w:pPr>
              <w:rPr>
                <w:rFonts w:cs="Arial"/>
                <w:sz w:val="20"/>
                <w:szCs w:val="20"/>
              </w:rPr>
            </w:pPr>
            <w:r w:rsidRPr="00985B80">
              <w:rPr>
                <w:rFonts w:cs="Arial"/>
                <w:sz w:val="20"/>
                <w:szCs w:val="20"/>
              </w:rPr>
              <w:t>0.001</w:t>
            </w:r>
          </w:p>
        </w:tc>
      </w:tr>
      <w:tr w:rsidR="00BC50CD" w:rsidTr="00ED2136">
        <w:trPr>
          <w:trHeight w:val="340"/>
        </w:trPr>
        <w:tc>
          <w:tcPr>
            <w:tcW w:w="4361" w:type="dxa"/>
            <w:vAlign w:val="center"/>
          </w:tcPr>
          <w:p w:rsidR="00BC50CD" w:rsidRPr="00985B80" w:rsidRDefault="00BC50CD" w:rsidP="00ED2136">
            <w:pPr>
              <w:rPr>
                <w:rFonts w:cs="Arial"/>
                <w:sz w:val="20"/>
                <w:szCs w:val="20"/>
              </w:rPr>
            </w:pPr>
            <w:r w:rsidRPr="00985B80">
              <w:rPr>
                <w:rFonts w:cs="Arial"/>
                <w:sz w:val="20"/>
                <w:szCs w:val="20"/>
              </w:rPr>
              <w:t>Own wishes for after your death</w:t>
            </w:r>
          </w:p>
        </w:tc>
        <w:tc>
          <w:tcPr>
            <w:tcW w:w="1701" w:type="dxa"/>
            <w:vAlign w:val="center"/>
          </w:tcPr>
          <w:p w:rsidR="00BC50CD" w:rsidRPr="00985B80" w:rsidRDefault="00BC50CD" w:rsidP="00ED2136">
            <w:pPr>
              <w:rPr>
                <w:rFonts w:cs="Arial"/>
                <w:sz w:val="20"/>
                <w:szCs w:val="20"/>
              </w:rPr>
            </w:pPr>
            <w:r w:rsidRPr="00985B80">
              <w:rPr>
                <w:rFonts w:cs="Arial"/>
                <w:sz w:val="20"/>
                <w:szCs w:val="20"/>
              </w:rPr>
              <w:t>96/140 (69%)</w:t>
            </w:r>
          </w:p>
        </w:tc>
        <w:tc>
          <w:tcPr>
            <w:tcW w:w="1871" w:type="dxa"/>
            <w:vAlign w:val="center"/>
          </w:tcPr>
          <w:p w:rsidR="00BC50CD" w:rsidRPr="00985B80" w:rsidRDefault="00BC50CD" w:rsidP="00ED2136">
            <w:pPr>
              <w:rPr>
                <w:rFonts w:cs="Arial"/>
                <w:sz w:val="20"/>
                <w:szCs w:val="20"/>
              </w:rPr>
            </w:pPr>
            <w:r w:rsidRPr="00985B80">
              <w:rPr>
                <w:rFonts w:cs="Arial"/>
                <w:sz w:val="20"/>
                <w:szCs w:val="20"/>
              </w:rPr>
              <w:t>189/349 (54%)</w:t>
            </w:r>
          </w:p>
        </w:tc>
        <w:tc>
          <w:tcPr>
            <w:tcW w:w="1309" w:type="dxa"/>
            <w:vAlign w:val="center"/>
          </w:tcPr>
          <w:p w:rsidR="00BC50CD" w:rsidRPr="00985B80" w:rsidRDefault="00BC50CD" w:rsidP="00ED2136">
            <w:pPr>
              <w:rPr>
                <w:rFonts w:cs="Arial"/>
                <w:sz w:val="20"/>
                <w:szCs w:val="20"/>
              </w:rPr>
            </w:pPr>
            <w:r w:rsidRPr="00985B80">
              <w:rPr>
                <w:rFonts w:cs="Arial"/>
                <w:sz w:val="20"/>
                <w:szCs w:val="20"/>
              </w:rPr>
              <w:t>0.003</w:t>
            </w:r>
          </w:p>
        </w:tc>
        <w:tc>
          <w:tcPr>
            <w:tcW w:w="1755" w:type="dxa"/>
            <w:vAlign w:val="center"/>
          </w:tcPr>
          <w:p w:rsidR="00BC50CD" w:rsidRPr="00985B80" w:rsidRDefault="00BC50CD" w:rsidP="00ED2136">
            <w:pPr>
              <w:rPr>
                <w:rFonts w:cs="Arial"/>
                <w:sz w:val="20"/>
                <w:szCs w:val="20"/>
              </w:rPr>
            </w:pPr>
            <w:r w:rsidRPr="00985B80">
              <w:rPr>
                <w:rFonts w:cs="Arial"/>
                <w:sz w:val="20"/>
                <w:szCs w:val="20"/>
              </w:rPr>
              <w:t>0.613</w:t>
            </w:r>
          </w:p>
        </w:tc>
        <w:tc>
          <w:tcPr>
            <w:tcW w:w="1756" w:type="dxa"/>
            <w:vAlign w:val="center"/>
          </w:tcPr>
          <w:p w:rsidR="00BC50CD" w:rsidRPr="00985B80" w:rsidRDefault="00BC50CD" w:rsidP="00ED2136">
            <w:pPr>
              <w:rPr>
                <w:rFonts w:cs="Arial"/>
                <w:sz w:val="20"/>
                <w:szCs w:val="20"/>
              </w:rPr>
            </w:pPr>
            <w:r w:rsidRPr="00985B80">
              <w:rPr>
                <w:rFonts w:cs="Arial"/>
                <w:sz w:val="20"/>
                <w:szCs w:val="20"/>
              </w:rPr>
              <w:t>0.001</w:t>
            </w:r>
          </w:p>
        </w:tc>
      </w:tr>
      <w:tr w:rsidR="00BC50CD" w:rsidTr="00ED2136">
        <w:trPr>
          <w:trHeight w:val="340"/>
        </w:trPr>
        <w:tc>
          <w:tcPr>
            <w:tcW w:w="4361" w:type="dxa"/>
            <w:vAlign w:val="center"/>
          </w:tcPr>
          <w:p w:rsidR="00BC50CD" w:rsidRPr="00985B80" w:rsidRDefault="00BC50CD" w:rsidP="00ED2136">
            <w:pPr>
              <w:rPr>
                <w:rFonts w:cs="Arial"/>
                <w:sz w:val="20"/>
                <w:szCs w:val="20"/>
              </w:rPr>
            </w:pPr>
            <w:r w:rsidRPr="00985B80">
              <w:rPr>
                <w:rFonts w:cs="Arial"/>
                <w:sz w:val="20"/>
                <w:szCs w:val="20"/>
              </w:rPr>
              <w:t>Another person’s end of life care</w:t>
            </w:r>
          </w:p>
        </w:tc>
        <w:tc>
          <w:tcPr>
            <w:tcW w:w="1701" w:type="dxa"/>
            <w:vAlign w:val="center"/>
          </w:tcPr>
          <w:p w:rsidR="00BC50CD" w:rsidRPr="00985B80" w:rsidRDefault="00BC50CD" w:rsidP="00ED2136">
            <w:pPr>
              <w:rPr>
                <w:rFonts w:cs="Arial"/>
                <w:sz w:val="20"/>
                <w:szCs w:val="20"/>
              </w:rPr>
            </w:pPr>
            <w:r w:rsidRPr="00985B80">
              <w:rPr>
                <w:rFonts w:cs="Arial"/>
                <w:sz w:val="20"/>
                <w:szCs w:val="20"/>
              </w:rPr>
              <w:t>97/141 (69%)</w:t>
            </w:r>
          </w:p>
        </w:tc>
        <w:tc>
          <w:tcPr>
            <w:tcW w:w="1871" w:type="dxa"/>
            <w:vAlign w:val="center"/>
          </w:tcPr>
          <w:p w:rsidR="00BC50CD" w:rsidRPr="00985B80" w:rsidRDefault="00BC50CD" w:rsidP="00ED2136">
            <w:pPr>
              <w:rPr>
                <w:rFonts w:cs="Arial"/>
                <w:sz w:val="20"/>
                <w:szCs w:val="20"/>
              </w:rPr>
            </w:pPr>
            <w:r w:rsidRPr="00985B80">
              <w:rPr>
                <w:rFonts w:cs="Arial"/>
                <w:sz w:val="20"/>
                <w:szCs w:val="20"/>
              </w:rPr>
              <w:t>166/351 (47%)</w:t>
            </w:r>
          </w:p>
        </w:tc>
        <w:tc>
          <w:tcPr>
            <w:tcW w:w="1309" w:type="dxa"/>
            <w:vAlign w:val="center"/>
          </w:tcPr>
          <w:p w:rsidR="00BC50CD" w:rsidRPr="00985B80" w:rsidRDefault="00BC50CD" w:rsidP="00ED2136">
            <w:pPr>
              <w:rPr>
                <w:rFonts w:cs="Arial"/>
                <w:sz w:val="20"/>
                <w:szCs w:val="20"/>
              </w:rPr>
            </w:pPr>
            <w:r w:rsidRPr="00985B80">
              <w:rPr>
                <w:rFonts w:cs="Arial"/>
                <w:sz w:val="20"/>
                <w:szCs w:val="20"/>
              </w:rPr>
              <w:t>&lt;0.001</w:t>
            </w:r>
          </w:p>
        </w:tc>
        <w:tc>
          <w:tcPr>
            <w:tcW w:w="1755" w:type="dxa"/>
            <w:vAlign w:val="center"/>
          </w:tcPr>
          <w:p w:rsidR="00BC50CD" w:rsidRPr="00985B80" w:rsidRDefault="00BC50CD" w:rsidP="00ED2136">
            <w:pPr>
              <w:rPr>
                <w:rFonts w:cs="Arial"/>
                <w:sz w:val="20"/>
                <w:szCs w:val="20"/>
              </w:rPr>
            </w:pPr>
            <w:r w:rsidRPr="00985B80">
              <w:rPr>
                <w:rFonts w:cs="Arial"/>
                <w:sz w:val="20"/>
                <w:szCs w:val="20"/>
              </w:rPr>
              <w:t>0.737</w:t>
            </w:r>
          </w:p>
        </w:tc>
        <w:tc>
          <w:tcPr>
            <w:tcW w:w="1756" w:type="dxa"/>
            <w:vAlign w:val="center"/>
          </w:tcPr>
          <w:p w:rsidR="00BC50CD" w:rsidRPr="00985B80" w:rsidRDefault="00BC50CD" w:rsidP="00ED2136">
            <w:pPr>
              <w:rPr>
                <w:rFonts w:cs="Arial"/>
                <w:sz w:val="20"/>
                <w:szCs w:val="20"/>
              </w:rPr>
            </w:pPr>
            <w:r w:rsidRPr="00985B80">
              <w:rPr>
                <w:rFonts w:cs="Arial"/>
                <w:sz w:val="20"/>
                <w:szCs w:val="20"/>
              </w:rPr>
              <w:t>&lt;0.001</w:t>
            </w:r>
          </w:p>
        </w:tc>
      </w:tr>
      <w:tr w:rsidR="00BC50CD" w:rsidTr="00ED2136">
        <w:trPr>
          <w:trHeight w:val="340"/>
        </w:trPr>
        <w:tc>
          <w:tcPr>
            <w:tcW w:w="4361" w:type="dxa"/>
            <w:vAlign w:val="center"/>
          </w:tcPr>
          <w:p w:rsidR="00BC50CD" w:rsidRPr="00985B80" w:rsidRDefault="00BC50CD" w:rsidP="00ED2136">
            <w:pPr>
              <w:rPr>
                <w:rFonts w:cs="Arial"/>
                <w:sz w:val="20"/>
                <w:szCs w:val="20"/>
              </w:rPr>
            </w:pPr>
            <w:r w:rsidRPr="00985B80">
              <w:rPr>
                <w:rFonts w:cs="Arial"/>
                <w:sz w:val="20"/>
                <w:szCs w:val="20"/>
              </w:rPr>
              <w:t>Another person’s wishes for after their death</w:t>
            </w:r>
          </w:p>
        </w:tc>
        <w:tc>
          <w:tcPr>
            <w:tcW w:w="1701" w:type="dxa"/>
            <w:vAlign w:val="center"/>
          </w:tcPr>
          <w:p w:rsidR="00BC50CD" w:rsidRPr="00985B80" w:rsidRDefault="00BC50CD" w:rsidP="00ED2136">
            <w:pPr>
              <w:rPr>
                <w:rFonts w:cs="Arial"/>
                <w:sz w:val="20"/>
                <w:szCs w:val="20"/>
              </w:rPr>
            </w:pPr>
            <w:r w:rsidRPr="00985B80">
              <w:rPr>
                <w:rFonts w:cs="Arial"/>
                <w:sz w:val="20"/>
                <w:szCs w:val="20"/>
              </w:rPr>
              <w:t>94/140 (47%)</w:t>
            </w:r>
          </w:p>
        </w:tc>
        <w:tc>
          <w:tcPr>
            <w:tcW w:w="1871" w:type="dxa"/>
            <w:vAlign w:val="center"/>
          </w:tcPr>
          <w:p w:rsidR="00BC50CD" w:rsidRPr="00985B80" w:rsidRDefault="00BC50CD" w:rsidP="00ED2136">
            <w:pPr>
              <w:rPr>
                <w:rFonts w:cs="Arial"/>
                <w:sz w:val="20"/>
                <w:szCs w:val="20"/>
              </w:rPr>
            </w:pPr>
            <w:r w:rsidRPr="00985B80">
              <w:rPr>
                <w:rFonts w:cs="Arial"/>
                <w:sz w:val="20"/>
                <w:szCs w:val="20"/>
              </w:rPr>
              <w:t>160/344 (67%)</w:t>
            </w:r>
          </w:p>
        </w:tc>
        <w:tc>
          <w:tcPr>
            <w:tcW w:w="1309" w:type="dxa"/>
            <w:vAlign w:val="center"/>
          </w:tcPr>
          <w:p w:rsidR="00BC50CD" w:rsidRPr="00985B80" w:rsidRDefault="00BC50CD" w:rsidP="00ED2136">
            <w:pPr>
              <w:rPr>
                <w:rFonts w:cs="Arial"/>
                <w:sz w:val="20"/>
                <w:szCs w:val="20"/>
              </w:rPr>
            </w:pPr>
            <w:r w:rsidRPr="00985B80">
              <w:rPr>
                <w:rFonts w:cs="Arial"/>
                <w:sz w:val="20"/>
                <w:szCs w:val="20"/>
              </w:rPr>
              <w:t>&lt;0.001</w:t>
            </w:r>
          </w:p>
        </w:tc>
        <w:tc>
          <w:tcPr>
            <w:tcW w:w="1755" w:type="dxa"/>
            <w:vAlign w:val="center"/>
          </w:tcPr>
          <w:p w:rsidR="00BC50CD" w:rsidRPr="00985B80" w:rsidRDefault="00BC50CD" w:rsidP="00ED2136">
            <w:pPr>
              <w:rPr>
                <w:rFonts w:cs="Arial"/>
                <w:sz w:val="20"/>
                <w:szCs w:val="20"/>
              </w:rPr>
            </w:pPr>
            <w:r w:rsidRPr="00985B80">
              <w:rPr>
                <w:rFonts w:cs="Arial"/>
                <w:sz w:val="20"/>
                <w:szCs w:val="20"/>
              </w:rPr>
              <w:t>0.648</w:t>
            </w:r>
          </w:p>
        </w:tc>
        <w:tc>
          <w:tcPr>
            <w:tcW w:w="1756" w:type="dxa"/>
            <w:vAlign w:val="center"/>
          </w:tcPr>
          <w:p w:rsidR="00BC50CD" w:rsidRPr="00985B80" w:rsidRDefault="00BC50CD" w:rsidP="00ED2136">
            <w:pPr>
              <w:rPr>
                <w:rFonts w:cs="Arial"/>
                <w:sz w:val="20"/>
                <w:szCs w:val="20"/>
              </w:rPr>
            </w:pPr>
            <w:r w:rsidRPr="00985B80">
              <w:rPr>
                <w:rFonts w:cs="Arial"/>
                <w:sz w:val="20"/>
                <w:szCs w:val="20"/>
              </w:rPr>
              <w:t>0.002</w:t>
            </w:r>
          </w:p>
        </w:tc>
      </w:tr>
    </w:tbl>
    <w:p w:rsidR="00BC50CD" w:rsidRDefault="00BC50CD" w:rsidP="00BC50CD">
      <w:pPr>
        <w:spacing w:after="0" w:line="240" w:lineRule="auto"/>
        <w:rPr>
          <w:rFonts w:ascii="Arial" w:hAnsi="Arial" w:cs="Arial"/>
          <w:i/>
          <w:sz w:val="16"/>
          <w:szCs w:val="16"/>
        </w:rPr>
      </w:pPr>
    </w:p>
    <w:p w:rsidR="00BC50CD" w:rsidRPr="00310AB8" w:rsidRDefault="00BC50CD" w:rsidP="00BC50CD">
      <w:pPr>
        <w:pStyle w:val="Caption"/>
        <w:keepNext/>
        <w:rPr>
          <w:i/>
          <w:sz w:val="20"/>
          <w:szCs w:val="20"/>
        </w:rPr>
      </w:pPr>
    </w:p>
    <w:p w:rsidR="00BC50CD" w:rsidRDefault="00BC50CD" w:rsidP="00BC50CD">
      <w:pPr>
        <w:spacing w:after="0"/>
        <w:rPr>
          <w:rFonts w:ascii="Arial" w:hAnsi="Arial" w:cs="Arial"/>
          <w:i/>
          <w:sz w:val="16"/>
          <w:szCs w:val="16"/>
        </w:rPr>
      </w:pPr>
    </w:p>
    <w:p w:rsidR="00BC50CD" w:rsidRDefault="00BC50CD" w:rsidP="002A2E3E">
      <w:pPr>
        <w:spacing w:after="240" w:line="360" w:lineRule="auto"/>
        <w:rPr>
          <w:rFonts w:ascii="Arial" w:hAnsi="Arial" w:cs="Arial"/>
        </w:rPr>
        <w:sectPr w:rsidR="00BC50CD" w:rsidSect="00BC50CD">
          <w:pgSz w:w="16840" w:h="11907" w:orient="landscape" w:code="9"/>
          <w:pgMar w:top="1440" w:right="1440" w:bottom="1440" w:left="1440" w:header="709" w:footer="709" w:gutter="0"/>
          <w:cols w:space="708"/>
          <w:docGrid w:linePitch="299"/>
        </w:sectPr>
      </w:pPr>
    </w:p>
    <w:p w:rsidR="008907F0" w:rsidRDefault="00D126C2" w:rsidP="008E1321">
      <w:pPr>
        <w:spacing w:line="360" w:lineRule="auto"/>
        <w:rPr>
          <w:b/>
          <w:i/>
          <w:sz w:val="24"/>
          <w:szCs w:val="24"/>
          <w:lang w:eastAsia="en-GB"/>
        </w:rPr>
      </w:pPr>
      <w:r w:rsidRPr="00D126C2">
        <w:rPr>
          <w:b/>
          <w:i/>
          <w:sz w:val="24"/>
          <w:szCs w:val="24"/>
          <w:lang w:eastAsia="en-GB"/>
        </w:rPr>
        <w:lastRenderedPageBreak/>
        <w:t>Follow-up</w:t>
      </w:r>
    </w:p>
    <w:p w:rsidR="00B0692D" w:rsidRPr="00D126C2" w:rsidRDefault="00B0692D" w:rsidP="008E1321">
      <w:pPr>
        <w:spacing w:line="360" w:lineRule="auto"/>
        <w:rPr>
          <w:b/>
          <w:i/>
          <w:sz w:val="24"/>
          <w:szCs w:val="24"/>
          <w:lang w:eastAsia="en-GB"/>
        </w:rPr>
      </w:pPr>
      <w:r>
        <w:rPr>
          <w:b/>
          <w:i/>
          <w:sz w:val="24"/>
          <w:szCs w:val="24"/>
          <w:lang w:eastAsia="en-GB"/>
        </w:rPr>
        <w:t>Response rate and potential bias</w:t>
      </w:r>
    </w:p>
    <w:p w:rsidR="00D126C2" w:rsidRDefault="008B3058" w:rsidP="00D126C2">
      <w:pPr>
        <w:spacing w:after="240" w:line="360" w:lineRule="auto"/>
        <w:rPr>
          <w:rFonts w:ascii="Arial" w:hAnsi="Arial" w:cs="Arial"/>
        </w:rPr>
      </w:pPr>
      <w:r>
        <w:rPr>
          <w:rFonts w:ascii="Arial" w:hAnsi="Arial" w:cs="Arial"/>
        </w:rPr>
        <w:t xml:space="preserve">Of the </w:t>
      </w:r>
      <w:r w:rsidR="006F19CE">
        <w:rPr>
          <w:rFonts w:ascii="Arial" w:hAnsi="Arial" w:cs="Arial"/>
        </w:rPr>
        <w:t>141 individuals who returned follow-up questionnaires, 100 had attended an ‘A</w:t>
      </w:r>
      <w:r w:rsidR="00D126C2">
        <w:rPr>
          <w:rFonts w:ascii="Arial" w:hAnsi="Arial" w:cs="Arial"/>
        </w:rPr>
        <w:t>wareness</w:t>
      </w:r>
      <w:r w:rsidR="006F19CE">
        <w:rPr>
          <w:rFonts w:ascii="Arial" w:hAnsi="Arial" w:cs="Arial"/>
        </w:rPr>
        <w:t>-raising’ presentation; 41</w:t>
      </w:r>
      <w:r w:rsidR="00F21159">
        <w:rPr>
          <w:rFonts w:ascii="Arial" w:hAnsi="Arial" w:cs="Arial"/>
        </w:rPr>
        <w:t xml:space="preserve"> had</w:t>
      </w:r>
      <w:r w:rsidR="006F19CE">
        <w:rPr>
          <w:rFonts w:ascii="Arial" w:hAnsi="Arial" w:cs="Arial"/>
        </w:rPr>
        <w:t xml:space="preserve"> attended a ‘How to’ workshop; and 15 indicated </w:t>
      </w:r>
      <w:r w:rsidR="00D126C2">
        <w:rPr>
          <w:rFonts w:ascii="Arial" w:hAnsi="Arial" w:cs="Arial"/>
        </w:rPr>
        <w:t xml:space="preserve">they </w:t>
      </w:r>
      <w:r w:rsidR="00F21159">
        <w:rPr>
          <w:rFonts w:ascii="Arial" w:hAnsi="Arial" w:cs="Arial"/>
        </w:rPr>
        <w:t xml:space="preserve">had </w:t>
      </w:r>
      <w:r w:rsidR="00D126C2">
        <w:rPr>
          <w:rFonts w:ascii="Arial" w:hAnsi="Arial" w:cs="Arial"/>
        </w:rPr>
        <w:t>attended both</w:t>
      </w:r>
      <w:r w:rsidR="006F19CE">
        <w:rPr>
          <w:rFonts w:ascii="Arial" w:hAnsi="Arial" w:cs="Arial"/>
        </w:rPr>
        <w:t xml:space="preserve"> types of event</w:t>
      </w:r>
      <w:r w:rsidR="00D126C2">
        <w:rPr>
          <w:rFonts w:ascii="Arial" w:hAnsi="Arial" w:cs="Arial"/>
        </w:rPr>
        <w:t xml:space="preserve">. The median time between baseline and follow-up </w:t>
      </w:r>
      <w:r w:rsidR="006F19CE">
        <w:rPr>
          <w:rFonts w:ascii="Arial" w:hAnsi="Arial" w:cs="Arial"/>
        </w:rPr>
        <w:t xml:space="preserve">was 13 weeks six days (range </w:t>
      </w:r>
      <w:r w:rsidR="00D126C2">
        <w:rPr>
          <w:rFonts w:ascii="Arial" w:hAnsi="Arial" w:cs="Arial"/>
        </w:rPr>
        <w:t>1</w:t>
      </w:r>
      <w:r w:rsidR="006F19CE">
        <w:rPr>
          <w:rFonts w:ascii="Arial" w:hAnsi="Arial" w:cs="Arial"/>
        </w:rPr>
        <w:t>1 weeks 3 days to 30 weeks 2</w:t>
      </w:r>
      <w:r w:rsidR="00D126C2">
        <w:rPr>
          <w:rFonts w:ascii="Arial" w:hAnsi="Arial" w:cs="Arial"/>
        </w:rPr>
        <w:t xml:space="preserve"> days</w:t>
      </w:r>
      <w:r w:rsidR="006F19CE">
        <w:rPr>
          <w:rFonts w:ascii="Arial" w:hAnsi="Arial" w:cs="Arial"/>
        </w:rPr>
        <w:t>)</w:t>
      </w:r>
      <w:r w:rsidR="00D126C2">
        <w:rPr>
          <w:rFonts w:ascii="Arial" w:hAnsi="Arial" w:cs="Arial"/>
        </w:rPr>
        <w:t xml:space="preserve">.  </w:t>
      </w:r>
    </w:p>
    <w:p w:rsidR="00B0692D" w:rsidRDefault="006F19CE" w:rsidP="00B0692D">
      <w:pPr>
        <w:spacing w:after="0" w:line="360" w:lineRule="auto"/>
        <w:rPr>
          <w:rFonts w:ascii="Arial" w:hAnsi="Arial" w:cs="Arial"/>
        </w:rPr>
      </w:pPr>
      <w:r>
        <w:rPr>
          <w:lang w:eastAsia="en-GB"/>
        </w:rPr>
        <w:t>R</w:t>
      </w:r>
      <w:r w:rsidR="008B3058">
        <w:rPr>
          <w:rFonts w:ascii="Arial" w:hAnsi="Arial" w:cs="Arial"/>
        </w:rPr>
        <w:t>esponders</w:t>
      </w:r>
      <w:r w:rsidR="0048236A">
        <w:rPr>
          <w:rFonts w:ascii="Arial" w:hAnsi="Arial" w:cs="Arial"/>
        </w:rPr>
        <w:t xml:space="preserve"> to both the baseline and </w:t>
      </w:r>
      <w:r w:rsidR="001D0C22">
        <w:rPr>
          <w:rFonts w:ascii="Arial" w:hAnsi="Arial" w:cs="Arial"/>
        </w:rPr>
        <w:t>follow-up survey</w:t>
      </w:r>
      <w:r w:rsidR="0048236A">
        <w:rPr>
          <w:rFonts w:ascii="Arial" w:hAnsi="Arial" w:cs="Arial"/>
        </w:rPr>
        <w:t>s</w:t>
      </w:r>
      <w:r w:rsidR="008B3058">
        <w:rPr>
          <w:rFonts w:ascii="Arial" w:hAnsi="Arial" w:cs="Arial"/>
        </w:rPr>
        <w:t xml:space="preserve"> differed significantly</w:t>
      </w:r>
      <w:r w:rsidR="00B0692D">
        <w:rPr>
          <w:rFonts w:ascii="Arial" w:hAnsi="Arial" w:cs="Arial"/>
        </w:rPr>
        <w:t xml:space="preserve"> </w:t>
      </w:r>
      <w:r w:rsidR="008B3058">
        <w:rPr>
          <w:rFonts w:ascii="Arial" w:hAnsi="Arial" w:cs="Arial"/>
        </w:rPr>
        <w:t>from</w:t>
      </w:r>
      <w:r w:rsidR="001D0C22">
        <w:rPr>
          <w:rFonts w:ascii="Arial" w:hAnsi="Arial" w:cs="Arial"/>
        </w:rPr>
        <w:t xml:space="preserve"> those who completed </w:t>
      </w:r>
      <w:r w:rsidR="0048236A">
        <w:rPr>
          <w:rFonts w:ascii="Arial" w:hAnsi="Arial" w:cs="Arial"/>
        </w:rPr>
        <w:t xml:space="preserve">only </w:t>
      </w:r>
      <w:r w:rsidR="001D0C22">
        <w:rPr>
          <w:rFonts w:ascii="Arial" w:hAnsi="Arial" w:cs="Arial"/>
        </w:rPr>
        <w:t>the baseline su</w:t>
      </w:r>
      <w:r w:rsidR="0048236A">
        <w:rPr>
          <w:rFonts w:ascii="Arial" w:hAnsi="Arial" w:cs="Arial"/>
        </w:rPr>
        <w:t>rvey</w:t>
      </w:r>
      <w:r w:rsidR="0095445F">
        <w:rPr>
          <w:rFonts w:ascii="Arial" w:hAnsi="Arial" w:cs="Arial"/>
        </w:rPr>
        <w:t xml:space="preserve">. </w:t>
      </w:r>
      <w:r w:rsidR="0048236A">
        <w:rPr>
          <w:rFonts w:ascii="Arial" w:hAnsi="Arial" w:cs="Arial"/>
        </w:rPr>
        <w:t xml:space="preserve">At baseline, </w:t>
      </w:r>
      <w:r w:rsidR="00FA623D">
        <w:rPr>
          <w:rFonts w:ascii="Arial" w:hAnsi="Arial" w:cs="Arial"/>
        </w:rPr>
        <w:t>those who went on to</w:t>
      </w:r>
      <w:r w:rsidR="0048236A">
        <w:rPr>
          <w:rFonts w:ascii="Arial" w:hAnsi="Arial" w:cs="Arial"/>
        </w:rPr>
        <w:t xml:space="preserve"> complete the follow-up survey</w:t>
      </w:r>
      <w:r w:rsidR="00E84629">
        <w:rPr>
          <w:rFonts w:ascii="Arial" w:hAnsi="Arial" w:cs="Arial"/>
        </w:rPr>
        <w:t xml:space="preserve"> had more </w:t>
      </w:r>
      <w:r w:rsidR="0095445F">
        <w:rPr>
          <w:rFonts w:ascii="Arial" w:hAnsi="Arial" w:cs="Arial"/>
        </w:rPr>
        <w:t>often</w:t>
      </w:r>
      <w:r w:rsidR="006C5827">
        <w:rPr>
          <w:rFonts w:ascii="Arial" w:hAnsi="Arial" w:cs="Arial"/>
        </w:rPr>
        <w:t xml:space="preserve"> </w:t>
      </w:r>
      <w:r w:rsidR="00E84629">
        <w:rPr>
          <w:rFonts w:ascii="Arial" w:hAnsi="Arial" w:cs="Arial"/>
        </w:rPr>
        <w:t xml:space="preserve">talked to somebody close to them about their own or the other person’s end of life and final wishes, and reported being more comfortable with these conversations (Table 4). </w:t>
      </w:r>
      <w:r w:rsidR="0048236A">
        <w:rPr>
          <w:rFonts w:ascii="Arial" w:hAnsi="Arial" w:cs="Arial"/>
        </w:rPr>
        <w:t>Immediately p</w:t>
      </w:r>
      <w:r w:rsidR="00283C4D">
        <w:rPr>
          <w:rFonts w:ascii="Arial" w:hAnsi="Arial" w:cs="Arial"/>
        </w:rPr>
        <w:t>ost-</w:t>
      </w:r>
      <w:r w:rsidR="006C5827">
        <w:rPr>
          <w:rFonts w:ascii="Arial" w:hAnsi="Arial" w:cs="Arial"/>
        </w:rPr>
        <w:t>intervention</w:t>
      </w:r>
      <w:r w:rsidR="00283C4D">
        <w:rPr>
          <w:rFonts w:ascii="Arial" w:hAnsi="Arial" w:cs="Arial"/>
        </w:rPr>
        <w:t xml:space="preserve">, </w:t>
      </w:r>
      <w:r w:rsidR="0048236A">
        <w:rPr>
          <w:rFonts w:ascii="Arial" w:hAnsi="Arial" w:cs="Arial"/>
        </w:rPr>
        <w:t xml:space="preserve">follow-up </w:t>
      </w:r>
      <w:r w:rsidR="00283C4D">
        <w:rPr>
          <w:rFonts w:ascii="Arial" w:hAnsi="Arial" w:cs="Arial"/>
        </w:rPr>
        <w:t xml:space="preserve">responders </w:t>
      </w:r>
      <w:r w:rsidR="004B650D">
        <w:rPr>
          <w:rFonts w:ascii="Arial" w:hAnsi="Arial" w:cs="Arial"/>
        </w:rPr>
        <w:t xml:space="preserve">had </w:t>
      </w:r>
      <w:r w:rsidR="00283C4D">
        <w:rPr>
          <w:rFonts w:ascii="Arial" w:hAnsi="Arial" w:cs="Arial"/>
        </w:rPr>
        <w:t>rated</w:t>
      </w:r>
      <w:r w:rsidR="00752E4F">
        <w:rPr>
          <w:rFonts w:ascii="Arial" w:hAnsi="Arial" w:cs="Arial"/>
        </w:rPr>
        <w:t xml:space="preserve"> events as more relevant </w:t>
      </w:r>
      <w:r w:rsidR="00283C4D">
        <w:rPr>
          <w:rFonts w:ascii="Arial" w:hAnsi="Arial" w:cs="Arial"/>
        </w:rPr>
        <w:t>(chi-square test fo</w:t>
      </w:r>
      <w:r w:rsidR="004B650D">
        <w:rPr>
          <w:rFonts w:ascii="Arial" w:hAnsi="Arial" w:cs="Arial"/>
        </w:rPr>
        <w:t xml:space="preserve">r trend p=0.001) and more often indicated that they planned to take some action </w:t>
      </w:r>
      <w:r w:rsidR="007754E7">
        <w:rPr>
          <w:rFonts w:ascii="Arial" w:hAnsi="Arial" w:cs="Arial"/>
        </w:rPr>
        <w:t xml:space="preserve">due to the </w:t>
      </w:r>
      <w:r w:rsidR="004B650D">
        <w:rPr>
          <w:rFonts w:ascii="Arial" w:hAnsi="Arial" w:cs="Arial"/>
        </w:rPr>
        <w:t xml:space="preserve">event (118/141 (84%) v 245/357 (69%), P=0.001). </w:t>
      </w:r>
      <w:r w:rsidR="00B0692D">
        <w:rPr>
          <w:rFonts w:ascii="Arial" w:hAnsi="Arial" w:cs="Arial"/>
        </w:rPr>
        <w:t xml:space="preserve">There were no significant differences between </w:t>
      </w:r>
      <w:r w:rsidR="0048236A">
        <w:rPr>
          <w:rFonts w:ascii="Arial" w:hAnsi="Arial" w:cs="Arial"/>
        </w:rPr>
        <w:t xml:space="preserve">follow-up </w:t>
      </w:r>
      <w:r w:rsidR="00B0692D">
        <w:rPr>
          <w:rFonts w:ascii="Arial" w:hAnsi="Arial" w:cs="Arial"/>
        </w:rPr>
        <w:t>responders and non-responders in</w:t>
      </w:r>
      <w:r w:rsidR="007754E7">
        <w:rPr>
          <w:rFonts w:ascii="Arial" w:hAnsi="Arial" w:cs="Arial"/>
        </w:rPr>
        <w:t xml:space="preserve"> sex, neighbourhood deprivation</w:t>
      </w:r>
      <w:r w:rsidR="00B0692D">
        <w:rPr>
          <w:rFonts w:ascii="Arial" w:hAnsi="Arial" w:cs="Arial"/>
        </w:rPr>
        <w:t xml:space="preserve"> </w:t>
      </w:r>
      <w:r>
        <w:rPr>
          <w:rFonts w:ascii="Arial" w:hAnsi="Arial" w:cs="Arial"/>
        </w:rPr>
        <w:t>or type of event.</w:t>
      </w:r>
    </w:p>
    <w:p w:rsidR="00C93B0B" w:rsidRDefault="00C93B0B" w:rsidP="00C93B0B">
      <w:pPr>
        <w:rPr>
          <w:rFonts w:ascii="Arial" w:hAnsi="Arial" w:cs="Arial"/>
          <w:i/>
          <w:u w:val="single"/>
        </w:rPr>
      </w:pPr>
    </w:p>
    <w:p w:rsidR="00752E4F" w:rsidRPr="00770F3C" w:rsidRDefault="00770F3C" w:rsidP="00C93B0B">
      <w:pPr>
        <w:rPr>
          <w:rFonts w:ascii="Arial" w:hAnsi="Arial" w:cs="Arial"/>
          <w:i/>
          <w:u w:val="single"/>
        </w:rPr>
      </w:pPr>
      <w:r w:rsidRPr="00770F3C">
        <w:rPr>
          <w:rFonts w:ascii="Arial" w:hAnsi="Arial" w:cs="Arial"/>
          <w:i/>
          <w:u w:val="single"/>
        </w:rPr>
        <w:t>Wills</w:t>
      </w:r>
    </w:p>
    <w:p w:rsidR="007754E7" w:rsidRDefault="00DC1927" w:rsidP="00752E4F">
      <w:pPr>
        <w:spacing w:before="240" w:after="0" w:line="360" w:lineRule="auto"/>
        <w:rPr>
          <w:rFonts w:ascii="Arial" w:hAnsi="Arial" w:cs="Arial"/>
        </w:rPr>
      </w:pPr>
      <w:r>
        <w:rPr>
          <w:rFonts w:ascii="Arial" w:hAnsi="Arial" w:cs="Arial"/>
        </w:rPr>
        <w:t xml:space="preserve">Baseline and </w:t>
      </w:r>
      <w:r w:rsidR="00770F3C" w:rsidRPr="00770F3C">
        <w:rPr>
          <w:rFonts w:ascii="Arial" w:hAnsi="Arial" w:cs="Arial"/>
        </w:rPr>
        <w:t>follow-up data on wills was available for 132 individuals</w:t>
      </w:r>
      <w:r w:rsidR="00770F3C">
        <w:rPr>
          <w:rFonts w:ascii="Arial" w:hAnsi="Arial" w:cs="Arial"/>
        </w:rPr>
        <w:t xml:space="preserve">. At baseline, 98 </w:t>
      </w:r>
      <w:r w:rsidR="007754E7">
        <w:rPr>
          <w:rFonts w:ascii="Arial" w:hAnsi="Arial" w:cs="Arial"/>
        </w:rPr>
        <w:t>(74%) reported having a will, increasing to 100 (76%) at follow-up</w:t>
      </w:r>
      <w:r>
        <w:rPr>
          <w:rFonts w:ascii="Arial" w:hAnsi="Arial" w:cs="Arial"/>
        </w:rPr>
        <w:t xml:space="preserve">. </w:t>
      </w:r>
      <w:r w:rsidR="007754E7">
        <w:rPr>
          <w:rFonts w:ascii="Arial" w:hAnsi="Arial" w:cs="Arial"/>
        </w:rPr>
        <w:t>The difference comprised two indi</w:t>
      </w:r>
      <w:r w:rsidR="004A5A2A">
        <w:rPr>
          <w:rFonts w:ascii="Arial" w:hAnsi="Arial" w:cs="Arial"/>
        </w:rPr>
        <w:t>viduals who indicated they were thinking of</w:t>
      </w:r>
      <w:r w:rsidR="007754E7">
        <w:rPr>
          <w:rFonts w:ascii="Arial" w:hAnsi="Arial" w:cs="Arial"/>
        </w:rPr>
        <w:t xml:space="preserve"> </w:t>
      </w:r>
      <w:r w:rsidR="00770F3C">
        <w:rPr>
          <w:rFonts w:ascii="Arial" w:hAnsi="Arial" w:cs="Arial"/>
        </w:rPr>
        <w:t>making a will</w:t>
      </w:r>
      <w:r w:rsidR="00152756">
        <w:rPr>
          <w:rFonts w:ascii="Arial" w:hAnsi="Arial" w:cs="Arial"/>
        </w:rPr>
        <w:t xml:space="preserve"> </w:t>
      </w:r>
      <w:r w:rsidR="007754E7">
        <w:rPr>
          <w:rFonts w:ascii="Arial" w:hAnsi="Arial" w:cs="Arial"/>
        </w:rPr>
        <w:t xml:space="preserve">at baseline and </w:t>
      </w:r>
      <w:r w:rsidR="00152756">
        <w:rPr>
          <w:rFonts w:ascii="Arial" w:hAnsi="Arial" w:cs="Arial"/>
        </w:rPr>
        <w:t>h</w:t>
      </w:r>
      <w:r w:rsidR="004A5A2A">
        <w:rPr>
          <w:rFonts w:ascii="Arial" w:hAnsi="Arial" w:cs="Arial"/>
        </w:rPr>
        <w:t>ad</w:t>
      </w:r>
      <w:r w:rsidR="00DA027C">
        <w:rPr>
          <w:rFonts w:ascii="Arial" w:hAnsi="Arial" w:cs="Arial"/>
        </w:rPr>
        <w:t xml:space="preserve"> a will</w:t>
      </w:r>
      <w:r w:rsidR="007754E7">
        <w:rPr>
          <w:rFonts w:ascii="Arial" w:hAnsi="Arial" w:cs="Arial"/>
        </w:rPr>
        <w:t xml:space="preserve"> at follow-up</w:t>
      </w:r>
      <w:r w:rsidR="004A0AD7">
        <w:rPr>
          <w:rFonts w:ascii="Arial" w:hAnsi="Arial" w:cs="Arial"/>
        </w:rPr>
        <w:t xml:space="preserve">, one of whom, elsewhere in the questionnaire, mentioned the </w:t>
      </w:r>
      <w:r w:rsidR="006C5827">
        <w:rPr>
          <w:rFonts w:ascii="Arial" w:hAnsi="Arial" w:cs="Arial"/>
        </w:rPr>
        <w:t xml:space="preserve">intervention </w:t>
      </w:r>
      <w:r w:rsidR="004A0AD7">
        <w:rPr>
          <w:rFonts w:ascii="Arial" w:hAnsi="Arial" w:cs="Arial"/>
        </w:rPr>
        <w:t xml:space="preserve">event as a motivating factor in </w:t>
      </w:r>
      <w:r w:rsidR="006C5827">
        <w:rPr>
          <w:rFonts w:ascii="Arial" w:hAnsi="Arial" w:cs="Arial"/>
        </w:rPr>
        <w:t>writing</w:t>
      </w:r>
      <w:r w:rsidR="004A0AD7">
        <w:rPr>
          <w:rFonts w:ascii="Arial" w:hAnsi="Arial" w:cs="Arial"/>
        </w:rPr>
        <w:t xml:space="preserve"> a will.</w:t>
      </w:r>
      <w:r w:rsidR="004D798B">
        <w:rPr>
          <w:rFonts w:ascii="Arial" w:hAnsi="Arial" w:cs="Arial"/>
        </w:rPr>
        <w:t xml:space="preserve"> Of</w:t>
      </w:r>
      <w:r w:rsidR="001841DB">
        <w:rPr>
          <w:rFonts w:ascii="Arial" w:hAnsi="Arial" w:cs="Arial"/>
        </w:rPr>
        <w:t xml:space="preserve"> those</w:t>
      </w:r>
      <w:r w:rsidR="007754E7">
        <w:rPr>
          <w:rFonts w:ascii="Arial" w:hAnsi="Arial" w:cs="Arial"/>
        </w:rPr>
        <w:t xml:space="preserve"> without a will at baseline</w:t>
      </w:r>
      <w:r w:rsidR="001841DB">
        <w:rPr>
          <w:rFonts w:ascii="Arial" w:hAnsi="Arial" w:cs="Arial"/>
        </w:rPr>
        <w:t xml:space="preserve"> or follow-up</w:t>
      </w:r>
      <w:r w:rsidR="007754E7">
        <w:rPr>
          <w:rFonts w:ascii="Arial" w:hAnsi="Arial" w:cs="Arial"/>
        </w:rPr>
        <w:t xml:space="preserve">, four who </w:t>
      </w:r>
      <w:r w:rsidR="001841DB">
        <w:rPr>
          <w:rFonts w:ascii="Arial" w:hAnsi="Arial" w:cs="Arial"/>
        </w:rPr>
        <w:t>were not thinking of making a will at baseline were considering it at follow-up</w:t>
      </w:r>
      <w:r w:rsidR="007754E7">
        <w:rPr>
          <w:rFonts w:ascii="Arial" w:hAnsi="Arial" w:cs="Arial"/>
        </w:rPr>
        <w:t>, while two who were considering</w:t>
      </w:r>
      <w:r w:rsidR="006C5827">
        <w:rPr>
          <w:rFonts w:ascii="Arial" w:hAnsi="Arial" w:cs="Arial"/>
        </w:rPr>
        <w:t xml:space="preserve"> writing</w:t>
      </w:r>
      <w:r w:rsidR="00313C9C">
        <w:rPr>
          <w:rFonts w:ascii="Arial" w:hAnsi="Arial" w:cs="Arial"/>
        </w:rPr>
        <w:t xml:space="preserve"> </w:t>
      </w:r>
      <w:r w:rsidR="007754E7">
        <w:rPr>
          <w:rFonts w:ascii="Arial" w:hAnsi="Arial" w:cs="Arial"/>
        </w:rPr>
        <w:t>a will were no longer considering</w:t>
      </w:r>
      <w:r w:rsidR="000F253A">
        <w:rPr>
          <w:rFonts w:ascii="Arial" w:hAnsi="Arial" w:cs="Arial"/>
        </w:rPr>
        <w:t xml:space="preserve"> it</w:t>
      </w:r>
      <w:r w:rsidR="007754E7">
        <w:rPr>
          <w:rFonts w:ascii="Arial" w:hAnsi="Arial" w:cs="Arial"/>
        </w:rPr>
        <w:t xml:space="preserve">. </w:t>
      </w:r>
    </w:p>
    <w:p w:rsidR="004D798B" w:rsidRPr="00681166" w:rsidRDefault="00681166" w:rsidP="00FB014B">
      <w:pPr>
        <w:spacing w:before="240" w:line="360" w:lineRule="auto"/>
        <w:rPr>
          <w:rFonts w:ascii="Arial" w:hAnsi="Arial" w:cs="Arial"/>
          <w:i/>
          <w:u w:val="single"/>
        </w:rPr>
      </w:pPr>
      <w:r w:rsidRPr="00681166">
        <w:rPr>
          <w:rFonts w:ascii="Arial" w:hAnsi="Arial" w:cs="Arial"/>
          <w:i/>
          <w:u w:val="single"/>
        </w:rPr>
        <w:t>Talking about end of life preferences and bereavement</w:t>
      </w:r>
    </w:p>
    <w:p w:rsidR="00D74A7A" w:rsidRDefault="009D6F5D" w:rsidP="00D74A7A">
      <w:pPr>
        <w:spacing w:after="240" w:line="360" w:lineRule="auto"/>
        <w:rPr>
          <w:rFonts w:ascii="Arial" w:hAnsi="Arial" w:cs="Arial"/>
        </w:rPr>
      </w:pPr>
      <w:r>
        <w:rPr>
          <w:rFonts w:ascii="Arial" w:hAnsi="Arial" w:cs="Arial"/>
        </w:rPr>
        <w:t>Between baseline and follow-up, there was a signif</w:t>
      </w:r>
      <w:r w:rsidR="00DC1927">
        <w:rPr>
          <w:rFonts w:ascii="Arial" w:hAnsi="Arial" w:cs="Arial"/>
        </w:rPr>
        <w:t>icant increase (9% respondents,</w:t>
      </w:r>
      <w:r>
        <w:rPr>
          <w:rFonts w:ascii="Arial" w:hAnsi="Arial" w:cs="Arial"/>
        </w:rPr>
        <w:t xml:space="preserve"> P=0.033) in the number of people reporting having </w:t>
      </w:r>
      <w:r w:rsidR="00FB014B">
        <w:rPr>
          <w:rFonts w:ascii="Arial" w:hAnsi="Arial" w:cs="Arial"/>
        </w:rPr>
        <w:t xml:space="preserve">ever </w:t>
      </w:r>
      <w:r>
        <w:rPr>
          <w:rFonts w:ascii="Arial" w:hAnsi="Arial" w:cs="Arial"/>
        </w:rPr>
        <w:t xml:space="preserve">talked to </w:t>
      </w:r>
      <w:r w:rsidR="006C5827">
        <w:rPr>
          <w:rFonts w:ascii="Arial" w:hAnsi="Arial" w:cs="Arial"/>
        </w:rPr>
        <w:t>a</w:t>
      </w:r>
      <w:r>
        <w:rPr>
          <w:rFonts w:ascii="Arial" w:hAnsi="Arial" w:cs="Arial"/>
        </w:rPr>
        <w:t xml:space="preserve"> close</w:t>
      </w:r>
      <w:r w:rsidR="006C5827">
        <w:rPr>
          <w:rFonts w:ascii="Arial" w:hAnsi="Arial" w:cs="Arial"/>
        </w:rPr>
        <w:t xml:space="preserve"> other </w:t>
      </w:r>
      <w:r>
        <w:rPr>
          <w:rFonts w:ascii="Arial" w:hAnsi="Arial" w:cs="Arial"/>
        </w:rPr>
        <w:t>about</w:t>
      </w:r>
      <w:r w:rsidR="00DC1927">
        <w:rPr>
          <w:rFonts w:ascii="Arial" w:hAnsi="Arial" w:cs="Arial"/>
        </w:rPr>
        <w:t xml:space="preserve"> end of life preferences</w:t>
      </w:r>
      <w:r>
        <w:rPr>
          <w:rFonts w:ascii="Arial" w:hAnsi="Arial" w:cs="Arial"/>
        </w:rPr>
        <w:t xml:space="preserve">. There were no significant </w:t>
      </w:r>
      <w:r w:rsidR="00D74A7A">
        <w:rPr>
          <w:rFonts w:ascii="Arial" w:hAnsi="Arial" w:cs="Arial"/>
        </w:rPr>
        <w:t>difference</w:t>
      </w:r>
      <w:r>
        <w:rPr>
          <w:rFonts w:ascii="Arial" w:hAnsi="Arial" w:cs="Arial"/>
        </w:rPr>
        <w:t>s</w:t>
      </w:r>
      <w:r w:rsidR="00D74A7A">
        <w:rPr>
          <w:rFonts w:ascii="Arial" w:hAnsi="Arial" w:cs="Arial"/>
        </w:rPr>
        <w:t xml:space="preserve"> </w:t>
      </w:r>
      <w:r>
        <w:rPr>
          <w:rFonts w:ascii="Arial" w:hAnsi="Arial" w:cs="Arial"/>
        </w:rPr>
        <w:t xml:space="preserve">in numbers who had talked </w:t>
      </w:r>
      <w:r w:rsidR="00D74A7A">
        <w:rPr>
          <w:rFonts w:ascii="Arial" w:hAnsi="Arial" w:cs="Arial"/>
        </w:rPr>
        <w:t>about another person’s</w:t>
      </w:r>
      <w:r>
        <w:rPr>
          <w:rFonts w:ascii="Arial" w:hAnsi="Arial" w:cs="Arial"/>
        </w:rPr>
        <w:t xml:space="preserve"> end of life</w:t>
      </w:r>
      <w:r w:rsidR="00DC1927">
        <w:rPr>
          <w:rFonts w:ascii="Arial" w:hAnsi="Arial" w:cs="Arial"/>
        </w:rPr>
        <w:t xml:space="preserve"> preferences</w:t>
      </w:r>
      <w:r w:rsidR="00D74A7A">
        <w:rPr>
          <w:rFonts w:ascii="Arial" w:hAnsi="Arial" w:cs="Arial"/>
        </w:rPr>
        <w:t xml:space="preserve">, or </w:t>
      </w:r>
      <w:r w:rsidR="000A315A">
        <w:rPr>
          <w:rFonts w:ascii="Arial" w:hAnsi="Arial" w:cs="Arial"/>
        </w:rPr>
        <w:t xml:space="preserve">supported/ </w:t>
      </w:r>
      <w:r w:rsidR="00D74A7A">
        <w:rPr>
          <w:rFonts w:ascii="Arial" w:hAnsi="Arial" w:cs="Arial"/>
        </w:rPr>
        <w:t>comfort</w:t>
      </w:r>
      <w:r w:rsidR="00DC1927">
        <w:rPr>
          <w:rFonts w:ascii="Arial" w:hAnsi="Arial" w:cs="Arial"/>
        </w:rPr>
        <w:t>ed</w:t>
      </w:r>
      <w:r>
        <w:rPr>
          <w:rFonts w:ascii="Arial" w:hAnsi="Arial" w:cs="Arial"/>
        </w:rPr>
        <w:t xml:space="preserve"> somebody who had been </w:t>
      </w:r>
      <w:r w:rsidR="00D74A7A">
        <w:rPr>
          <w:rFonts w:ascii="Arial" w:hAnsi="Arial" w:cs="Arial"/>
        </w:rPr>
        <w:t>bereaved</w:t>
      </w:r>
      <w:r>
        <w:rPr>
          <w:rFonts w:ascii="Arial" w:hAnsi="Arial" w:cs="Arial"/>
        </w:rPr>
        <w:t xml:space="preserve"> (Table 5)</w:t>
      </w:r>
      <w:r w:rsidR="00D74A7A">
        <w:rPr>
          <w:rFonts w:ascii="Arial" w:hAnsi="Arial" w:cs="Arial"/>
        </w:rPr>
        <w:t>.</w:t>
      </w:r>
      <w:r w:rsidR="007754E7">
        <w:rPr>
          <w:rFonts w:ascii="Arial" w:hAnsi="Arial" w:cs="Arial"/>
        </w:rPr>
        <w:t xml:space="preserve"> Consistent with this</w:t>
      </w:r>
      <w:r>
        <w:rPr>
          <w:rFonts w:ascii="Arial" w:hAnsi="Arial" w:cs="Arial"/>
        </w:rPr>
        <w:t>, 12 respondents</w:t>
      </w:r>
      <w:r w:rsidR="004D798B">
        <w:rPr>
          <w:rFonts w:ascii="Arial" w:hAnsi="Arial" w:cs="Arial"/>
        </w:rPr>
        <w:t xml:space="preserve"> (9%) </w:t>
      </w:r>
      <w:r>
        <w:rPr>
          <w:rFonts w:ascii="Arial" w:hAnsi="Arial" w:cs="Arial"/>
        </w:rPr>
        <w:t xml:space="preserve">reported at baseline </w:t>
      </w:r>
      <w:r w:rsidR="00FB014B">
        <w:rPr>
          <w:rFonts w:ascii="Arial" w:hAnsi="Arial" w:cs="Arial"/>
        </w:rPr>
        <w:t xml:space="preserve">that </w:t>
      </w:r>
      <w:r>
        <w:rPr>
          <w:rFonts w:ascii="Arial" w:hAnsi="Arial" w:cs="Arial"/>
        </w:rPr>
        <w:t>they had never spoken about end of life preferences</w:t>
      </w:r>
      <w:r w:rsidR="00FB014B">
        <w:rPr>
          <w:rFonts w:ascii="Arial" w:hAnsi="Arial" w:cs="Arial"/>
        </w:rPr>
        <w:t>, then</w:t>
      </w:r>
      <w:r>
        <w:rPr>
          <w:rFonts w:ascii="Arial" w:hAnsi="Arial" w:cs="Arial"/>
        </w:rPr>
        <w:t xml:space="preserve"> reported </w:t>
      </w:r>
      <w:r w:rsidR="00FB014B">
        <w:rPr>
          <w:rFonts w:ascii="Arial" w:hAnsi="Arial" w:cs="Arial"/>
        </w:rPr>
        <w:t xml:space="preserve">at follow-up that they had had those </w:t>
      </w:r>
      <w:r>
        <w:rPr>
          <w:rFonts w:ascii="Arial" w:hAnsi="Arial" w:cs="Arial"/>
        </w:rPr>
        <w:t>conversati</w:t>
      </w:r>
      <w:r w:rsidR="007754E7">
        <w:rPr>
          <w:rFonts w:ascii="Arial" w:hAnsi="Arial" w:cs="Arial"/>
        </w:rPr>
        <w:t>o</w:t>
      </w:r>
      <w:r w:rsidR="00FB014B">
        <w:rPr>
          <w:rFonts w:ascii="Arial" w:hAnsi="Arial" w:cs="Arial"/>
        </w:rPr>
        <w:t xml:space="preserve">ns </w:t>
      </w:r>
      <w:r w:rsidR="007754E7">
        <w:rPr>
          <w:rFonts w:ascii="Arial" w:hAnsi="Arial" w:cs="Arial"/>
        </w:rPr>
        <w:t xml:space="preserve">due to </w:t>
      </w:r>
      <w:r>
        <w:rPr>
          <w:rFonts w:ascii="Arial" w:hAnsi="Arial" w:cs="Arial"/>
        </w:rPr>
        <w:t xml:space="preserve">the </w:t>
      </w:r>
      <w:r w:rsidR="000F253A">
        <w:rPr>
          <w:rFonts w:ascii="Arial" w:hAnsi="Arial" w:cs="Arial"/>
        </w:rPr>
        <w:t>intervention</w:t>
      </w:r>
      <w:r w:rsidR="00FA623D">
        <w:rPr>
          <w:rFonts w:ascii="Arial" w:hAnsi="Arial" w:cs="Arial"/>
        </w:rPr>
        <w:t>.</w:t>
      </w:r>
      <w:r w:rsidR="000F253A">
        <w:rPr>
          <w:rFonts w:ascii="Arial" w:hAnsi="Arial" w:cs="Arial"/>
        </w:rPr>
        <w:t xml:space="preserve"> </w:t>
      </w:r>
    </w:p>
    <w:p w:rsidR="00D74A7A" w:rsidRDefault="009D6F5D" w:rsidP="008B3058">
      <w:pPr>
        <w:spacing w:after="240" w:line="360" w:lineRule="auto"/>
        <w:rPr>
          <w:rFonts w:ascii="Arial" w:hAnsi="Arial" w:cs="Arial"/>
        </w:rPr>
      </w:pPr>
      <w:r>
        <w:rPr>
          <w:rFonts w:ascii="Arial" w:hAnsi="Arial" w:cs="Arial"/>
        </w:rPr>
        <w:lastRenderedPageBreak/>
        <w:t xml:space="preserve">There were no differences between baseline and follow-up in how comfortable respondents </w:t>
      </w:r>
      <w:r w:rsidR="00DC1927">
        <w:rPr>
          <w:rFonts w:ascii="Arial" w:hAnsi="Arial" w:cs="Arial"/>
        </w:rPr>
        <w:t xml:space="preserve">reported </w:t>
      </w:r>
      <w:r w:rsidR="0097093A">
        <w:rPr>
          <w:rFonts w:ascii="Arial" w:hAnsi="Arial" w:cs="Arial"/>
        </w:rPr>
        <w:t xml:space="preserve">being </w:t>
      </w:r>
      <w:r>
        <w:rPr>
          <w:rFonts w:ascii="Arial" w:hAnsi="Arial" w:cs="Arial"/>
        </w:rPr>
        <w:t>talking to close friends and family about end of life preferences o</w:t>
      </w:r>
      <w:r w:rsidR="008E64CE">
        <w:rPr>
          <w:rFonts w:ascii="Arial" w:hAnsi="Arial" w:cs="Arial"/>
        </w:rPr>
        <w:t xml:space="preserve">r </w:t>
      </w:r>
      <w:r w:rsidR="003E6A2A">
        <w:rPr>
          <w:rFonts w:ascii="Arial" w:hAnsi="Arial" w:cs="Arial"/>
        </w:rPr>
        <w:t>supporting</w:t>
      </w:r>
      <w:r w:rsidR="008E64CE">
        <w:rPr>
          <w:rFonts w:ascii="Arial" w:hAnsi="Arial" w:cs="Arial"/>
        </w:rPr>
        <w:t xml:space="preserve"> </w:t>
      </w:r>
      <w:r>
        <w:rPr>
          <w:rFonts w:ascii="Arial" w:hAnsi="Arial" w:cs="Arial"/>
        </w:rPr>
        <w:t>somebody who had been bereaved</w:t>
      </w:r>
      <w:r w:rsidR="00F227AC">
        <w:rPr>
          <w:rFonts w:ascii="Arial" w:hAnsi="Arial" w:cs="Arial"/>
        </w:rPr>
        <w:t xml:space="preserve"> (mean score for all five </w:t>
      </w:r>
      <w:r w:rsidR="0048236A">
        <w:rPr>
          <w:rFonts w:ascii="Arial" w:hAnsi="Arial" w:cs="Arial"/>
        </w:rPr>
        <w:t>survey items</w:t>
      </w:r>
      <w:r w:rsidR="00DC1927">
        <w:rPr>
          <w:rFonts w:ascii="Arial" w:hAnsi="Arial" w:cs="Arial"/>
        </w:rPr>
        <w:t xml:space="preserve"> combined</w:t>
      </w:r>
      <w:r w:rsidR="00F227AC">
        <w:rPr>
          <w:rFonts w:ascii="Arial" w:hAnsi="Arial" w:cs="Arial"/>
        </w:rPr>
        <w:t xml:space="preserve"> 8.58 (95% CI 8.34 to 8.82) at baseline; 8.48 (8.23 to 8.74 at follow-up)</w:t>
      </w:r>
      <w:r>
        <w:rPr>
          <w:rFonts w:ascii="Arial" w:hAnsi="Arial" w:cs="Arial"/>
        </w:rPr>
        <w:t>.</w:t>
      </w:r>
      <w:r w:rsidR="00F227AC">
        <w:rPr>
          <w:rFonts w:ascii="Arial" w:hAnsi="Arial" w:cs="Arial"/>
        </w:rPr>
        <w:t xml:space="preserve"> Most respondents had similar scores at both time points; 108 (77%) </w:t>
      </w:r>
      <w:r w:rsidR="0097093A">
        <w:rPr>
          <w:rFonts w:ascii="Arial" w:hAnsi="Arial" w:cs="Arial"/>
        </w:rPr>
        <w:t xml:space="preserve">were </w:t>
      </w:r>
      <w:r w:rsidR="00F227AC">
        <w:rPr>
          <w:rFonts w:ascii="Arial" w:hAnsi="Arial" w:cs="Arial"/>
        </w:rPr>
        <w:t>within one point</w:t>
      </w:r>
      <w:r w:rsidR="00FB014B">
        <w:rPr>
          <w:rFonts w:ascii="Arial" w:hAnsi="Arial" w:cs="Arial"/>
        </w:rPr>
        <w:t xml:space="preserve"> of each other</w:t>
      </w:r>
      <w:r w:rsidR="00F227AC">
        <w:rPr>
          <w:rFonts w:ascii="Arial" w:hAnsi="Arial" w:cs="Arial"/>
        </w:rPr>
        <w:t xml:space="preserve">. </w:t>
      </w:r>
      <w:r w:rsidR="003A7795">
        <w:rPr>
          <w:rFonts w:ascii="Arial" w:hAnsi="Arial" w:cs="Arial"/>
        </w:rPr>
        <w:t xml:space="preserve">To control for </w:t>
      </w:r>
      <w:r w:rsidR="0048236A">
        <w:rPr>
          <w:rFonts w:ascii="Arial" w:hAnsi="Arial" w:cs="Arial"/>
        </w:rPr>
        <w:t xml:space="preserve">floor and </w:t>
      </w:r>
      <w:r w:rsidR="00602B95">
        <w:rPr>
          <w:rFonts w:ascii="Arial" w:hAnsi="Arial" w:cs="Arial"/>
        </w:rPr>
        <w:t>ceiling effect</w:t>
      </w:r>
      <w:r w:rsidR="003A7795">
        <w:rPr>
          <w:rFonts w:ascii="Arial" w:hAnsi="Arial" w:cs="Arial"/>
        </w:rPr>
        <w:t>s, a further</w:t>
      </w:r>
      <w:r w:rsidR="00602B95">
        <w:rPr>
          <w:rFonts w:ascii="Arial" w:hAnsi="Arial" w:cs="Arial"/>
        </w:rPr>
        <w:t xml:space="preserve"> analysis was undertaken excluding individuals </w:t>
      </w:r>
      <w:r w:rsidR="00B10156">
        <w:rPr>
          <w:rFonts w:ascii="Arial" w:hAnsi="Arial" w:cs="Arial"/>
        </w:rPr>
        <w:t>with a bas</w:t>
      </w:r>
      <w:r w:rsidR="003A7795">
        <w:rPr>
          <w:rFonts w:ascii="Arial" w:hAnsi="Arial" w:cs="Arial"/>
        </w:rPr>
        <w:t>eline score of one or ten. This yielded</w:t>
      </w:r>
      <w:r w:rsidR="00B10156">
        <w:rPr>
          <w:rFonts w:ascii="Arial" w:hAnsi="Arial" w:cs="Arial"/>
        </w:rPr>
        <w:t xml:space="preserve"> a small positive mean difference for each </w:t>
      </w:r>
      <w:r w:rsidR="008638F6">
        <w:rPr>
          <w:rFonts w:ascii="Arial" w:hAnsi="Arial" w:cs="Arial"/>
        </w:rPr>
        <w:t>survey item</w:t>
      </w:r>
      <w:r w:rsidR="00B10156">
        <w:rPr>
          <w:rFonts w:ascii="Arial" w:hAnsi="Arial" w:cs="Arial"/>
        </w:rPr>
        <w:t xml:space="preserve">, </w:t>
      </w:r>
      <w:r w:rsidR="003A7795">
        <w:rPr>
          <w:rFonts w:ascii="Arial" w:hAnsi="Arial" w:cs="Arial"/>
        </w:rPr>
        <w:t>which reached significance</w:t>
      </w:r>
      <w:r w:rsidR="00B10156">
        <w:rPr>
          <w:rFonts w:ascii="Arial" w:hAnsi="Arial" w:cs="Arial"/>
        </w:rPr>
        <w:t xml:space="preserve"> for talking about own end of life care (Table 6). There were no apparent differences by type of event attended. </w:t>
      </w:r>
      <w:r w:rsidR="00602B95">
        <w:rPr>
          <w:rFonts w:ascii="Arial" w:hAnsi="Arial" w:cs="Arial"/>
        </w:rPr>
        <w:t xml:space="preserve"> </w:t>
      </w:r>
    </w:p>
    <w:p w:rsidR="00DA027C" w:rsidRDefault="00B10156" w:rsidP="008B3058">
      <w:pPr>
        <w:spacing w:after="240" w:line="360" w:lineRule="auto"/>
        <w:rPr>
          <w:rFonts w:ascii="Arial" w:hAnsi="Arial" w:cs="Arial"/>
          <w:i/>
          <w:u w:val="single"/>
        </w:rPr>
      </w:pPr>
      <w:r w:rsidRPr="00B10156">
        <w:rPr>
          <w:rFonts w:ascii="Arial" w:hAnsi="Arial" w:cs="Arial"/>
          <w:i/>
          <w:u w:val="single"/>
        </w:rPr>
        <w:t>Actions taken and changes made as a result of attending the event</w:t>
      </w:r>
    </w:p>
    <w:p w:rsidR="001841DB" w:rsidRDefault="003A7795" w:rsidP="008E1321">
      <w:pPr>
        <w:spacing w:line="360" w:lineRule="auto"/>
        <w:rPr>
          <w:rFonts w:ascii="Arial" w:hAnsi="Arial" w:cs="Arial"/>
        </w:rPr>
      </w:pPr>
      <w:r>
        <w:rPr>
          <w:rFonts w:ascii="Arial" w:hAnsi="Arial" w:cs="Arial"/>
        </w:rPr>
        <w:t>Eighty</w:t>
      </w:r>
      <w:r w:rsidR="00B10156">
        <w:rPr>
          <w:rFonts w:ascii="Arial" w:hAnsi="Arial" w:cs="Arial"/>
        </w:rPr>
        <w:t xml:space="preserve"> </w:t>
      </w:r>
      <w:r>
        <w:rPr>
          <w:rFonts w:ascii="Arial" w:hAnsi="Arial" w:cs="Arial"/>
        </w:rPr>
        <w:t>respondents (64</w:t>
      </w:r>
      <w:r w:rsidR="00B10156">
        <w:rPr>
          <w:rFonts w:ascii="Arial" w:hAnsi="Arial" w:cs="Arial"/>
        </w:rPr>
        <w:t xml:space="preserve">%) </w:t>
      </w:r>
      <w:r w:rsidR="00C246F2">
        <w:rPr>
          <w:rFonts w:ascii="Arial" w:hAnsi="Arial" w:cs="Arial"/>
        </w:rPr>
        <w:t xml:space="preserve">reported </w:t>
      </w:r>
      <w:r w:rsidR="000A315A">
        <w:rPr>
          <w:rFonts w:ascii="Arial" w:hAnsi="Arial" w:cs="Arial"/>
        </w:rPr>
        <w:t xml:space="preserve">taking </w:t>
      </w:r>
      <w:r w:rsidR="003E6A2A">
        <w:rPr>
          <w:rFonts w:ascii="Arial" w:hAnsi="Arial" w:cs="Arial"/>
        </w:rPr>
        <w:t>action due</w:t>
      </w:r>
      <w:r w:rsidR="008E64CE">
        <w:rPr>
          <w:rFonts w:ascii="Arial" w:hAnsi="Arial" w:cs="Arial"/>
        </w:rPr>
        <w:t xml:space="preserve"> to</w:t>
      </w:r>
      <w:r w:rsidR="00B10156">
        <w:rPr>
          <w:rFonts w:ascii="Arial" w:hAnsi="Arial" w:cs="Arial"/>
        </w:rPr>
        <w:t xml:space="preserve"> the </w:t>
      </w:r>
      <w:r w:rsidR="00FB014B">
        <w:rPr>
          <w:rFonts w:ascii="Arial" w:hAnsi="Arial" w:cs="Arial"/>
        </w:rPr>
        <w:t>intervention</w:t>
      </w:r>
      <w:r w:rsidR="00B10156">
        <w:rPr>
          <w:rFonts w:ascii="Arial" w:hAnsi="Arial" w:cs="Arial"/>
        </w:rPr>
        <w:t>.</w:t>
      </w:r>
      <w:r w:rsidR="000A315A">
        <w:rPr>
          <w:rFonts w:ascii="Arial" w:hAnsi="Arial" w:cs="Arial"/>
        </w:rPr>
        <w:t xml:space="preserve"> This included 58 (43%) who had</w:t>
      </w:r>
      <w:r w:rsidR="00C246F2">
        <w:rPr>
          <w:rFonts w:ascii="Arial" w:hAnsi="Arial" w:cs="Arial"/>
        </w:rPr>
        <w:t xml:space="preserve"> talked about their own end of life preferences, 52 (39%) who </w:t>
      </w:r>
      <w:r w:rsidR="000A315A">
        <w:rPr>
          <w:rFonts w:ascii="Arial" w:hAnsi="Arial" w:cs="Arial"/>
        </w:rPr>
        <w:t xml:space="preserve">had taken </w:t>
      </w:r>
      <w:r w:rsidR="008E64CE">
        <w:rPr>
          <w:rFonts w:ascii="Arial" w:hAnsi="Arial" w:cs="Arial"/>
        </w:rPr>
        <w:t xml:space="preserve">other action, </w:t>
      </w:r>
      <w:r w:rsidR="00C246F2">
        <w:rPr>
          <w:rFonts w:ascii="Arial" w:hAnsi="Arial" w:cs="Arial"/>
        </w:rPr>
        <w:t xml:space="preserve">and 30 (23%) who </w:t>
      </w:r>
      <w:r w:rsidR="000A315A">
        <w:rPr>
          <w:rFonts w:ascii="Arial" w:hAnsi="Arial" w:cs="Arial"/>
        </w:rPr>
        <w:t xml:space="preserve">had </w:t>
      </w:r>
      <w:r w:rsidR="00C246F2">
        <w:rPr>
          <w:rFonts w:ascii="Arial" w:hAnsi="Arial" w:cs="Arial"/>
        </w:rPr>
        <w:t>both talked about their own end of life wishes and</w:t>
      </w:r>
      <w:r w:rsidR="000A315A">
        <w:rPr>
          <w:rFonts w:ascii="Arial" w:hAnsi="Arial" w:cs="Arial"/>
        </w:rPr>
        <w:t xml:space="preserve"> taken other action. </w:t>
      </w:r>
    </w:p>
    <w:p w:rsidR="00BB0605" w:rsidRDefault="00FB014B" w:rsidP="008E1321">
      <w:pPr>
        <w:spacing w:line="360" w:lineRule="auto"/>
        <w:rPr>
          <w:rFonts w:ascii="Arial" w:hAnsi="Arial" w:cs="Arial"/>
        </w:rPr>
      </w:pPr>
      <w:r>
        <w:rPr>
          <w:rFonts w:ascii="Arial" w:hAnsi="Arial" w:cs="Arial"/>
        </w:rPr>
        <w:t>Immediately post-intervention</w:t>
      </w:r>
      <w:r w:rsidR="003A7795">
        <w:rPr>
          <w:rFonts w:ascii="Arial" w:hAnsi="Arial" w:cs="Arial"/>
        </w:rPr>
        <w:t xml:space="preserve"> </w:t>
      </w:r>
      <w:r w:rsidR="000A315A">
        <w:rPr>
          <w:rFonts w:ascii="Arial" w:hAnsi="Arial" w:cs="Arial"/>
        </w:rPr>
        <w:t xml:space="preserve">114 (84%) </w:t>
      </w:r>
      <w:r w:rsidR="001841DB">
        <w:rPr>
          <w:rFonts w:ascii="Arial" w:hAnsi="Arial" w:cs="Arial"/>
        </w:rPr>
        <w:t xml:space="preserve">had </w:t>
      </w:r>
      <w:r w:rsidR="000A315A">
        <w:rPr>
          <w:rFonts w:ascii="Arial" w:hAnsi="Arial" w:cs="Arial"/>
        </w:rPr>
        <w:t>indicated their intention to take some action</w:t>
      </w:r>
      <w:r w:rsidR="00542914">
        <w:rPr>
          <w:rFonts w:ascii="Arial" w:hAnsi="Arial" w:cs="Arial"/>
        </w:rPr>
        <w:t xml:space="preserve">; </w:t>
      </w:r>
      <w:r w:rsidR="000A315A">
        <w:rPr>
          <w:rFonts w:ascii="Arial" w:hAnsi="Arial" w:cs="Arial"/>
        </w:rPr>
        <w:t xml:space="preserve">at follow-up </w:t>
      </w:r>
      <w:r w:rsidR="00542914">
        <w:rPr>
          <w:rFonts w:ascii="Arial" w:hAnsi="Arial" w:cs="Arial"/>
        </w:rPr>
        <w:t>73 (64%) of these</w:t>
      </w:r>
      <w:r w:rsidR="000A315A">
        <w:rPr>
          <w:rFonts w:ascii="Arial" w:hAnsi="Arial" w:cs="Arial"/>
        </w:rPr>
        <w:t xml:space="preserve"> had taken action. In addition,</w:t>
      </w:r>
      <w:r w:rsidR="003A7795">
        <w:rPr>
          <w:rFonts w:ascii="Arial" w:hAnsi="Arial" w:cs="Arial"/>
        </w:rPr>
        <w:t xml:space="preserve"> 7/19 (37%) </w:t>
      </w:r>
      <w:r w:rsidR="00542914">
        <w:rPr>
          <w:rFonts w:ascii="Arial" w:hAnsi="Arial" w:cs="Arial"/>
        </w:rPr>
        <w:t xml:space="preserve">of those </w:t>
      </w:r>
      <w:r w:rsidR="003A7795">
        <w:rPr>
          <w:rFonts w:ascii="Arial" w:hAnsi="Arial" w:cs="Arial"/>
        </w:rPr>
        <w:t xml:space="preserve">who </w:t>
      </w:r>
      <w:r w:rsidR="000A315A">
        <w:rPr>
          <w:rFonts w:ascii="Arial" w:hAnsi="Arial" w:cs="Arial"/>
        </w:rPr>
        <w:t>indicated</w:t>
      </w:r>
      <w:r w:rsidR="001841DB" w:rsidRPr="001841DB">
        <w:rPr>
          <w:rFonts w:ascii="Arial" w:hAnsi="Arial" w:cs="Arial"/>
        </w:rPr>
        <w:t xml:space="preserve"> </w:t>
      </w:r>
      <w:r w:rsidR="001841DB">
        <w:rPr>
          <w:rFonts w:ascii="Arial" w:hAnsi="Arial" w:cs="Arial"/>
        </w:rPr>
        <w:t>no intention to take action</w:t>
      </w:r>
      <w:r>
        <w:rPr>
          <w:rFonts w:ascii="Arial" w:hAnsi="Arial" w:cs="Arial"/>
        </w:rPr>
        <w:t xml:space="preserve"> post-intervention</w:t>
      </w:r>
      <w:r w:rsidR="000A315A">
        <w:rPr>
          <w:rFonts w:ascii="Arial" w:hAnsi="Arial" w:cs="Arial"/>
        </w:rPr>
        <w:t xml:space="preserve"> </w:t>
      </w:r>
      <w:r w:rsidR="001841DB">
        <w:rPr>
          <w:rFonts w:ascii="Arial" w:hAnsi="Arial" w:cs="Arial"/>
        </w:rPr>
        <w:t xml:space="preserve">reported they </w:t>
      </w:r>
      <w:r w:rsidR="000A315A">
        <w:rPr>
          <w:rFonts w:ascii="Arial" w:hAnsi="Arial" w:cs="Arial"/>
        </w:rPr>
        <w:t>had taken action</w:t>
      </w:r>
      <w:r w:rsidR="00542914">
        <w:rPr>
          <w:rFonts w:ascii="Arial" w:hAnsi="Arial" w:cs="Arial"/>
        </w:rPr>
        <w:t xml:space="preserve">. Taking into account respondents whose </w:t>
      </w:r>
      <w:r w:rsidR="000A315A">
        <w:rPr>
          <w:rFonts w:ascii="Arial" w:hAnsi="Arial" w:cs="Arial"/>
        </w:rPr>
        <w:t xml:space="preserve">reported </w:t>
      </w:r>
      <w:r w:rsidR="00542914">
        <w:rPr>
          <w:rFonts w:ascii="Arial" w:hAnsi="Arial" w:cs="Arial"/>
        </w:rPr>
        <w:t>intentions and actions were completely different (for example, intended to have a co</w:t>
      </w:r>
      <w:r w:rsidR="000A315A">
        <w:rPr>
          <w:rFonts w:ascii="Arial" w:hAnsi="Arial" w:cs="Arial"/>
        </w:rPr>
        <w:t>nversation but actually planned</w:t>
      </w:r>
      <w:r w:rsidR="00542914">
        <w:rPr>
          <w:rFonts w:ascii="Arial" w:hAnsi="Arial" w:cs="Arial"/>
        </w:rPr>
        <w:t xml:space="preserve"> a funeral)</w:t>
      </w:r>
      <w:r w:rsidR="003A7795">
        <w:rPr>
          <w:rFonts w:ascii="Arial" w:hAnsi="Arial" w:cs="Arial"/>
        </w:rPr>
        <w:t xml:space="preserve">; only 43% of reported intentions and actions corresponded or overlapped. </w:t>
      </w:r>
    </w:p>
    <w:p w:rsidR="00FB014B" w:rsidRDefault="004F1946" w:rsidP="00FB014B">
      <w:pPr>
        <w:spacing w:line="360" w:lineRule="auto"/>
        <w:rPr>
          <w:rFonts w:ascii="Arial" w:hAnsi="Arial" w:cs="Arial"/>
        </w:rPr>
      </w:pPr>
      <w:r>
        <w:rPr>
          <w:rFonts w:ascii="Arial" w:hAnsi="Arial" w:cs="Arial"/>
        </w:rPr>
        <w:t xml:space="preserve">In relation to types of actions taken, </w:t>
      </w:r>
      <w:r w:rsidR="00FB014B">
        <w:rPr>
          <w:rFonts w:ascii="Arial" w:hAnsi="Arial" w:cs="Arial"/>
        </w:rPr>
        <w:t>a fifth theme, ‘passing on the message’</w:t>
      </w:r>
      <w:r>
        <w:rPr>
          <w:rFonts w:ascii="Arial" w:hAnsi="Arial" w:cs="Arial"/>
        </w:rPr>
        <w:t xml:space="preserve"> emerged. This included </w:t>
      </w:r>
      <w:r w:rsidR="00FB014B">
        <w:rPr>
          <w:rFonts w:ascii="Arial" w:hAnsi="Arial" w:cs="Arial"/>
        </w:rPr>
        <w:t xml:space="preserve">four respondents who had arranged a similar or related information event, and two who had discussed arranging an event. Seven reported encouraging others to talk more or prepare better for death. </w:t>
      </w:r>
    </w:p>
    <w:p w:rsidR="00FB014B" w:rsidRDefault="00FB014B" w:rsidP="008E1321">
      <w:pPr>
        <w:spacing w:line="360" w:lineRule="auto"/>
        <w:rPr>
          <w:rFonts w:ascii="Arial" w:hAnsi="Arial" w:cs="Arial"/>
        </w:rPr>
        <w:sectPr w:rsidR="00FB014B" w:rsidSect="00D90B5D">
          <w:pgSz w:w="11907" w:h="16840" w:code="9"/>
          <w:pgMar w:top="1440" w:right="1440" w:bottom="1440" w:left="1440" w:header="709" w:footer="709" w:gutter="0"/>
          <w:cols w:space="708"/>
          <w:docGrid w:linePitch="299"/>
        </w:sectPr>
      </w:pPr>
    </w:p>
    <w:p w:rsidR="00BB0605" w:rsidRPr="00BB0605" w:rsidRDefault="00BB0605" w:rsidP="00BB0605">
      <w:pPr>
        <w:spacing w:line="360" w:lineRule="auto"/>
        <w:rPr>
          <w:b/>
        </w:rPr>
      </w:pPr>
      <w:bookmarkStart w:id="4" w:name="_Toc442778253"/>
      <w:r w:rsidRPr="00BB0605">
        <w:rPr>
          <w:b/>
          <w:i/>
          <w:sz w:val="20"/>
          <w:szCs w:val="20"/>
        </w:rPr>
        <w:lastRenderedPageBreak/>
        <w:t>Table 5</w:t>
      </w:r>
      <w:r w:rsidRPr="00BB0605">
        <w:rPr>
          <w:rFonts w:cs="Arial"/>
          <w:b/>
          <w:i/>
          <w:sz w:val="20"/>
          <w:szCs w:val="20"/>
        </w:rPr>
        <w:t>:</w:t>
      </w:r>
      <w:r w:rsidRPr="00BB0605">
        <w:rPr>
          <w:rFonts w:ascii="Arial" w:hAnsi="Arial" w:cs="Arial"/>
          <w:b/>
          <w:i/>
        </w:rPr>
        <w:t xml:space="preserve"> </w:t>
      </w:r>
      <w:r w:rsidRPr="00BB0605">
        <w:rPr>
          <w:rFonts w:cs="Arial"/>
          <w:b/>
          <w:i/>
          <w:sz w:val="20"/>
          <w:szCs w:val="20"/>
        </w:rPr>
        <w:t>Number and percentage of follow-up survey respondents who indicated that they had talked to close friends and family about end of life wishes, or comforted somebody who had been bereaved, at baseline and follow-up, and change between the two time points</w:t>
      </w:r>
      <w:bookmarkEnd w:id="4"/>
    </w:p>
    <w:tbl>
      <w:tblPr>
        <w:tblStyle w:val="TableGrid"/>
        <w:tblW w:w="0" w:type="auto"/>
        <w:tblLayout w:type="fixed"/>
        <w:tblLook w:val="04A0" w:firstRow="1" w:lastRow="0" w:firstColumn="1" w:lastColumn="0" w:noHBand="0" w:noVBand="1"/>
      </w:tblPr>
      <w:tblGrid>
        <w:gridCol w:w="3510"/>
        <w:gridCol w:w="1055"/>
        <w:gridCol w:w="1055"/>
        <w:gridCol w:w="1056"/>
        <w:gridCol w:w="1055"/>
        <w:gridCol w:w="1055"/>
        <w:gridCol w:w="1056"/>
        <w:gridCol w:w="1055"/>
        <w:gridCol w:w="1055"/>
        <w:gridCol w:w="1056"/>
        <w:gridCol w:w="992"/>
      </w:tblGrid>
      <w:tr w:rsidR="00BB0605" w:rsidTr="00ED2136">
        <w:tc>
          <w:tcPr>
            <w:tcW w:w="3510" w:type="dxa"/>
            <w:vMerge w:val="restart"/>
            <w:shd w:val="pct25" w:color="auto" w:fill="auto"/>
          </w:tcPr>
          <w:p w:rsidR="00BB0605" w:rsidRPr="00221951" w:rsidRDefault="00BB0605" w:rsidP="00ED2136">
            <w:pPr>
              <w:rPr>
                <w:rFonts w:cs="Arial"/>
                <w:b/>
                <w:sz w:val="20"/>
                <w:szCs w:val="20"/>
              </w:rPr>
            </w:pPr>
          </w:p>
        </w:tc>
        <w:tc>
          <w:tcPr>
            <w:tcW w:w="3166" w:type="dxa"/>
            <w:gridSpan w:val="3"/>
            <w:vAlign w:val="center"/>
          </w:tcPr>
          <w:p w:rsidR="00BB0605" w:rsidRPr="00221951" w:rsidRDefault="00BB0605" w:rsidP="00ED2136">
            <w:pPr>
              <w:jc w:val="center"/>
              <w:rPr>
                <w:rFonts w:cs="Arial"/>
                <w:b/>
                <w:sz w:val="20"/>
                <w:szCs w:val="20"/>
              </w:rPr>
            </w:pPr>
          </w:p>
          <w:p w:rsidR="00BB0605" w:rsidRPr="00221951" w:rsidRDefault="00BB0605" w:rsidP="00ED2136">
            <w:pPr>
              <w:jc w:val="center"/>
              <w:rPr>
                <w:rFonts w:cs="Arial"/>
                <w:b/>
                <w:sz w:val="20"/>
                <w:szCs w:val="20"/>
              </w:rPr>
            </w:pPr>
            <w:r w:rsidRPr="00221951">
              <w:rPr>
                <w:rFonts w:cs="Arial"/>
                <w:b/>
                <w:sz w:val="20"/>
                <w:szCs w:val="20"/>
              </w:rPr>
              <w:t>Before</w:t>
            </w:r>
          </w:p>
        </w:tc>
        <w:tc>
          <w:tcPr>
            <w:tcW w:w="3166" w:type="dxa"/>
            <w:gridSpan w:val="3"/>
            <w:vAlign w:val="center"/>
          </w:tcPr>
          <w:p w:rsidR="00BB0605" w:rsidRPr="00221951" w:rsidRDefault="00BB0605" w:rsidP="00ED2136">
            <w:pPr>
              <w:jc w:val="center"/>
              <w:rPr>
                <w:rFonts w:cs="Arial"/>
                <w:b/>
                <w:sz w:val="20"/>
                <w:szCs w:val="20"/>
              </w:rPr>
            </w:pPr>
          </w:p>
          <w:p w:rsidR="00BB0605" w:rsidRPr="00221951" w:rsidRDefault="00BB0605" w:rsidP="00ED2136">
            <w:pPr>
              <w:jc w:val="center"/>
              <w:rPr>
                <w:rFonts w:cs="Arial"/>
                <w:b/>
                <w:sz w:val="20"/>
                <w:szCs w:val="20"/>
              </w:rPr>
            </w:pPr>
            <w:r w:rsidRPr="00221951">
              <w:rPr>
                <w:rFonts w:cs="Arial"/>
                <w:b/>
                <w:sz w:val="20"/>
                <w:szCs w:val="20"/>
              </w:rPr>
              <w:t>Follow-up</w:t>
            </w:r>
          </w:p>
        </w:tc>
        <w:tc>
          <w:tcPr>
            <w:tcW w:w="3166" w:type="dxa"/>
            <w:gridSpan w:val="3"/>
            <w:vAlign w:val="center"/>
          </w:tcPr>
          <w:p w:rsidR="00BB0605" w:rsidRPr="00221951" w:rsidRDefault="00BB0605" w:rsidP="00ED2136">
            <w:pPr>
              <w:jc w:val="center"/>
              <w:rPr>
                <w:rFonts w:cs="Arial"/>
                <w:b/>
                <w:sz w:val="20"/>
                <w:szCs w:val="20"/>
              </w:rPr>
            </w:pPr>
            <w:r w:rsidRPr="00221951">
              <w:rPr>
                <w:rFonts w:cs="Arial"/>
                <w:b/>
                <w:sz w:val="20"/>
                <w:szCs w:val="20"/>
              </w:rPr>
              <w:t>Difference</w:t>
            </w:r>
          </w:p>
        </w:tc>
        <w:tc>
          <w:tcPr>
            <w:tcW w:w="992" w:type="dxa"/>
            <w:vAlign w:val="center"/>
          </w:tcPr>
          <w:p w:rsidR="00BB0605" w:rsidRPr="00221951" w:rsidRDefault="00BB0605" w:rsidP="00ED2136">
            <w:pPr>
              <w:jc w:val="center"/>
              <w:rPr>
                <w:rFonts w:cs="Arial"/>
                <w:b/>
                <w:sz w:val="20"/>
                <w:szCs w:val="20"/>
              </w:rPr>
            </w:pPr>
          </w:p>
          <w:p w:rsidR="00BB0605" w:rsidRPr="00221951" w:rsidRDefault="00BB0605" w:rsidP="00ED2136">
            <w:pPr>
              <w:jc w:val="center"/>
              <w:rPr>
                <w:rFonts w:cs="Arial"/>
                <w:b/>
                <w:sz w:val="20"/>
                <w:szCs w:val="20"/>
              </w:rPr>
            </w:pPr>
            <w:r w:rsidRPr="00221951">
              <w:rPr>
                <w:rFonts w:cs="Arial"/>
                <w:b/>
                <w:sz w:val="20"/>
                <w:szCs w:val="20"/>
              </w:rPr>
              <w:t>P value</w:t>
            </w:r>
          </w:p>
        </w:tc>
      </w:tr>
      <w:tr w:rsidR="00BB0605" w:rsidTr="00ED2136">
        <w:trPr>
          <w:trHeight w:val="1310"/>
        </w:trPr>
        <w:tc>
          <w:tcPr>
            <w:tcW w:w="3510" w:type="dxa"/>
            <w:vMerge/>
            <w:shd w:val="pct25" w:color="auto" w:fill="auto"/>
          </w:tcPr>
          <w:p w:rsidR="00BB0605" w:rsidRPr="00221951" w:rsidRDefault="00BB0605" w:rsidP="00ED2136">
            <w:pPr>
              <w:rPr>
                <w:rFonts w:cs="Arial"/>
                <w:sz w:val="20"/>
                <w:szCs w:val="20"/>
              </w:rPr>
            </w:pPr>
          </w:p>
        </w:tc>
        <w:tc>
          <w:tcPr>
            <w:tcW w:w="1055" w:type="dxa"/>
            <w:tcBorders>
              <w:bottom w:val="single" w:sz="4" w:space="0" w:color="auto"/>
            </w:tcBorders>
            <w:vAlign w:val="center"/>
          </w:tcPr>
          <w:p w:rsidR="00BB0605" w:rsidRPr="00221951" w:rsidRDefault="00BB0605" w:rsidP="00ED2136">
            <w:pPr>
              <w:ind w:left="113" w:right="113"/>
              <w:jc w:val="center"/>
              <w:rPr>
                <w:rFonts w:cs="Arial"/>
                <w:b/>
                <w:sz w:val="20"/>
                <w:szCs w:val="20"/>
              </w:rPr>
            </w:pPr>
            <w:r w:rsidRPr="00221951">
              <w:rPr>
                <w:rFonts w:cs="Arial"/>
                <w:b/>
                <w:sz w:val="20"/>
                <w:szCs w:val="20"/>
              </w:rPr>
              <w:t>Awareness</w:t>
            </w:r>
          </w:p>
        </w:tc>
        <w:tc>
          <w:tcPr>
            <w:tcW w:w="1055" w:type="dxa"/>
            <w:tcBorders>
              <w:bottom w:val="single" w:sz="4" w:space="0" w:color="auto"/>
            </w:tcBorders>
            <w:vAlign w:val="center"/>
          </w:tcPr>
          <w:p w:rsidR="00BB0605" w:rsidRPr="00221951" w:rsidRDefault="00BB0605" w:rsidP="00ED2136">
            <w:pPr>
              <w:ind w:left="113" w:right="113"/>
              <w:jc w:val="center"/>
              <w:rPr>
                <w:rFonts w:cs="Arial"/>
                <w:b/>
                <w:sz w:val="20"/>
                <w:szCs w:val="20"/>
              </w:rPr>
            </w:pPr>
            <w:r w:rsidRPr="00221951">
              <w:rPr>
                <w:rFonts w:cs="Arial"/>
                <w:b/>
                <w:sz w:val="20"/>
                <w:szCs w:val="20"/>
              </w:rPr>
              <w:t>How to</w:t>
            </w:r>
          </w:p>
        </w:tc>
        <w:tc>
          <w:tcPr>
            <w:tcW w:w="1056" w:type="dxa"/>
            <w:tcBorders>
              <w:bottom w:val="single" w:sz="4" w:space="0" w:color="auto"/>
            </w:tcBorders>
            <w:vAlign w:val="center"/>
          </w:tcPr>
          <w:p w:rsidR="00BB0605" w:rsidRPr="00221951" w:rsidRDefault="00BB0605" w:rsidP="00ED2136">
            <w:pPr>
              <w:ind w:left="113" w:right="113"/>
              <w:jc w:val="center"/>
              <w:rPr>
                <w:rFonts w:cs="Arial"/>
                <w:b/>
                <w:sz w:val="20"/>
                <w:szCs w:val="20"/>
              </w:rPr>
            </w:pPr>
            <w:r w:rsidRPr="00221951">
              <w:rPr>
                <w:rFonts w:cs="Arial"/>
                <w:b/>
                <w:sz w:val="20"/>
                <w:szCs w:val="20"/>
              </w:rPr>
              <w:t>Total</w:t>
            </w:r>
          </w:p>
        </w:tc>
        <w:tc>
          <w:tcPr>
            <w:tcW w:w="1055" w:type="dxa"/>
            <w:tcBorders>
              <w:bottom w:val="single" w:sz="4" w:space="0" w:color="auto"/>
            </w:tcBorders>
            <w:vAlign w:val="center"/>
          </w:tcPr>
          <w:p w:rsidR="00BB0605" w:rsidRPr="00221951" w:rsidRDefault="00BB0605" w:rsidP="00ED2136">
            <w:pPr>
              <w:ind w:left="113" w:right="113"/>
              <w:jc w:val="center"/>
              <w:rPr>
                <w:rFonts w:cs="Arial"/>
                <w:b/>
                <w:sz w:val="20"/>
                <w:szCs w:val="20"/>
              </w:rPr>
            </w:pPr>
            <w:r w:rsidRPr="00221951">
              <w:rPr>
                <w:rFonts w:cs="Arial"/>
                <w:b/>
                <w:sz w:val="20"/>
                <w:szCs w:val="20"/>
              </w:rPr>
              <w:t>Awareness</w:t>
            </w:r>
          </w:p>
        </w:tc>
        <w:tc>
          <w:tcPr>
            <w:tcW w:w="1055" w:type="dxa"/>
            <w:tcBorders>
              <w:bottom w:val="single" w:sz="4" w:space="0" w:color="auto"/>
            </w:tcBorders>
            <w:vAlign w:val="center"/>
          </w:tcPr>
          <w:p w:rsidR="00BB0605" w:rsidRPr="00221951" w:rsidRDefault="00BB0605" w:rsidP="00ED2136">
            <w:pPr>
              <w:ind w:left="113" w:right="113"/>
              <w:jc w:val="center"/>
              <w:rPr>
                <w:rFonts w:cs="Arial"/>
                <w:b/>
                <w:sz w:val="20"/>
                <w:szCs w:val="20"/>
              </w:rPr>
            </w:pPr>
            <w:r w:rsidRPr="00221951">
              <w:rPr>
                <w:rFonts w:cs="Arial"/>
                <w:b/>
                <w:sz w:val="20"/>
                <w:szCs w:val="20"/>
              </w:rPr>
              <w:t>How to</w:t>
            </w:r>
          </w:p>
        </w:tc>
        <w:tc>
          <w:tcPr>
            <w:tcW w:w="1056" w:type="dxa"/>
            <w:tcBorders>
              <w:bottom w:val="single" w:sz="4" w:space="0" w:color="auto"/>
            </w:tcBorders>
            <w:vAlign w:val="center"/>
          </w:tcPr>
          <w:p w:rsidR="00BB0605" w:rsidRPr="00221951" w:rsidRDefault="00BB0605" w:rsidP="00ED2136">
            <w:pPr>
              <w:ind w:left="113" w:right="113"/>
              <w:jc w:val="center"/>
              <w:rPr>
                <w:rFonts w:cs="Arial"/>
                <w:b/>
                <w:sz w:val="20"/>
                <w:szCs w:val="20"/>
              </w:rPr>
            </w:pPr>
            <w:r w:rsidRPr="00221951">
              <w:rPr>
                <w:rFonts w:cs="Arial"/>
                <w:b/>
                <w:sz w:val="20"/>
                <w:szCs w:val="20"/>
              </w:rPr>
              <w:t>Total</w:t>
            </w:r>
          </w:p>
        </w:tc>
        <w:tc>
          <w:tcPr>
            <w:tcW w:w="1055" w:type="dxa"/>
            <w:tcBorders>
              <w:bottom w:val="single" w:sz="4" w:space="0" w:color="auto"/>
            </w:tcBorders>
            <w:vAlign w:val="center"/>
          </w:tcPr>
          <w:p w:rsidR="00BB0605" w:rsidRPr="00221951" w:rsidRDefault="00BB0605" w:rsidP="00ED2136">
            <w:pPr>
              <w:ind w:left="113" w:right="113"/>
              <w:jc w:val="center"/>
              <w:rPr>
                <w:rFonts w:cs="Arial"/>
                <w:b/>
                <w:sz w:val="20"/>
                <w:szCs w:val="20"/>
              </w:rPr>
            </w:pPr>
            <w:r w:rsidRPr="00221951">
              <w:rPr>
                <w:rFonts w:cs="Arial"/>
                <w:b/>
                <w:sz w:val="20"/>
                <w:szCs w:val="20"/>
              </w:rPr>
              <w:t>Awareness</w:t>
            </w:r>
          </w:p>
        </w:tc>
        <w:tc>
          <w:tcPr>
            <w:tcW w:w="1055" w:type="dxa"/>
            <w:tcBorders>
              <w:bottom w:val="single" w:sz="4" w:space="0" w:color="auto"/>
            </w:tcBorders>
            <w:vAlign w:val="center"/>
          </w:tcPr>
          <w:p w:rsidR="00BB0605" w:rsidRPr="00221951" w:rsidRDefault="00BB0605" w:rsidP="00ED2136">
            <w:pPr>
              <w:ind w:left="113" w:right="113"/>
              <w:jc w:val="center"/>
              <w:rPr>
                <w:rFonts w:cs="Arial"/>
                <w:b/>
                <w:sz w:val="20"/>
                <w:szCs w:val="20"/>
              </w:rPr>
            </w:pPr>
            <w:r w:rsidRPr="00221951">
              <w:rPr>
                <w:rFonts w:cs="Arial"/>
                <w:b/>
                <w:sz w:val="20"/>
                <w:szCs w:val="20"/>
              </w:rPr>
              <w:t>How to</w:t>
            </w:r>
          </w:p>
        </w:tc>
        <w:tc>
          <w:tcPr>
            <w:tcW w:w="1056" w:type="dxa"/>
            <w:tcBorders>
              <w:bottom w:val="single" w:sz="4" w:space="0" w:color="auto"/>
            </w:tcBorders>
            <w:vAlign w:val="center"/>
          </w:tcPr>
          <w:p w:rsidR="00BB0605" w:rsidRPr="00221951" w:rsidRDefault="00BB0605" w:rsidP="00ED2136">
            <w:pPr>
              <w:ind w:left="113" w:right="113"/>
              <w:jc w:val="center"/>
              <w:rPr>
                <w:rFonts w:cs="Arial"/>
                <w:b/>
                <w:sz w:val="20"/>
                <w:szCs w:val="20"/>
              </w:rPr>
            </w:pPr>
            <w:r w:rsidRPr="00221951">
              <w:rPr>
                <w:rFonts w:cs="Arial"/>
                <w:b/>
                <w:sz w:val="20"/>
                <w:szCs w:val="20"/>
              </w:rPr>
              <w:t>Total</w:t>
            </w:r>
          </w:p>
        </w:tc>
        <w:tc>
          <w:tcPr>
            <w:tcW w:w="992" w:type="dxa"/>
            <w:vAlign w:val="center"/>
          </w:tcPr>
          <w:p w:rsidR="00BB0605" w:rsidRPr="00221951" w:rsidRDefault="00BB0605" w:rsidP="00ED2136">
            <w:pPr>
              <w:ind w:left="113" w:right="113"/>
              <w:jc w:val="center"/>
              <w:rPr>
                <w:rFonts w:cs="Arial"/>
                <w:b/>
                <w:sz w:val="20"/>
                <w:szCs w:val="20"/>
              </w:rPr>
            </w:pPr>
            <w:r w:rsidRPr="00221951">
              <w:rPr>
                <w:rFonts w:cs="Arial"/>
                <w:b/>
                <w:sz w:val="20"/>
                <w:szCs w:val="20"/>
              </w:rPr>
              <w:t>Total</w:t>
            </w:r>
          </w:p>
        </w:tc>
      </w:tr>
      <w:tr w:rsidR="00BB0605" w:rsidTr="00ED2136">
        <w:trPr>
          <w:trHeight w:val="567"/>
        </w:trPr>
        <w:tc>
          <w:tcPr>
            <w:tcW w:w="3510" w:type="dxa"/>
            <w:vAlign w:val="center"/>
          </w:tcPr>
          <w:p w:rsidR="00BB0605" w:rsidRPr="00221951" w:rsidRDefault="00BB0605" w:rsidP="00ED2136">
            <w:pPr>
              <w:rPr>
                <w:rFonts w:cs="Arial"/>
                <w:b/>
                <w:sz w:val="20"/>
                <w:szCs w:val="20"/>
              </w:rPr>
            </w:pPr>
            <w:r w:rsidRPr="00221951">
              <w:rPr>
                <w:rFonts w:cs="Arial"/>
                <w:b/>
                <w:sz w:val="20"/>
                <w:szCs w:val="20"/>
              </w:rPr>
              <w:t>Own end of life care</w:t>
            </w:r>
          </w:p>
        </w:tc>
        <w:tc>
          <w:tcPr>
            <w:tcW w:w="1055" w:type="dxa"/>
            <w:tcBorders>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59/99 (60%)</w:t>
            </w:r>
          </w:p>
        </w:tc>
        <w:tc>
          <w:tcPr>
            <w:tcW w:w="1055" w:type="dxa"/>
            <w:tcBorders>
              <w:left w:val="none" w:sz="0" w:space="0" w:color="000000"/>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26/40 (65%)</w:t>
            </w:r>
          </w:p>
        </w:tc>
        <w:tc>
          <w:tcPr>
            <w:tcW w:w="1056" w:type="dxa"/>
            <w:tcBorders>
              <w:left w:val="none" w:sz="0" w:space="0" w:color="000000"/>
              <w:bottom w:val="single" w:sz="4" w:space="0" w:color="auto"/>
            </w:tcBorders>
            <w:vAlign w:val="center"/>
          </w:tcPr>
          <w:p w:rsidR="00BB0605" w:rsidRPr="00221951" w:rsidRDefault="00BB0605" w:rsidP="00ED2136">
            <w:pPr>
              <w:jc w:val="center"/>
              <w:rPr>
                <w:rFonts w:cs="Arial"/>
                <w:sz w:val="20"/>
                <w:szCs w:val="20"/>
              </w:rPr>
            </w:pPr>
            <w:r w:rsidRPr="00221951">
              <w:rPr>
                <w:rFonts w:cs="Arial"/>
                <w:sz w:val="20"/>
                <w:szCs w:val="20"/>
              </w:rPr>
              <w:t>85</w:t>
            </w:r>
          </w:p>
          <w:p w:rsidR="00BB0605" w:rsidRPr="00221951" w:rsidRDefault="00BB0605" w:rsidP="00ED2136">
            <w:pPr>
              <w:jc w:val="center"/>
              <w:rPr>
                <w:rFonts w:cs="Arial"/>
                <w:sz w:val="20"/>
                <w:szCs w:val="20"/>
              </w:rPr>
            </w:pPr>
            <w:r w:rsidRPr="00221951">
              <w:rPr>
                <w:rFonts w:cs="Arial"/>
                <w:sz w:val="20"/>
                <w:szCs w:val="20"/>
              </w:rPr>
              <w:t>(61%)</w:t>
            </w:r>
          </w:p>
        </w:tc>
        <w:tc>
          <w:tcPr>
            <w:tcW w:w="1055" w:type="dxa"/>
            <w:tcBorders>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70/99 (71%)</w:t>
            </w:r>
          </w:p>
        </w:tc>
        <w:tc>
          <w:tcPr>
            <w:tcW w:w="1055" w:type="dxa"/>
            <w:tcBorders>
              <w:left w:val="none" w:sz="0" w:space="0" w:color="000000"/>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27/40 (68%)</w:t>
            </w:r>
          </w:p>
        </w:tc>
        <w:tc>
          <w:tcPr>
            <w:tcW w:w="1056" w:type="dxa"/>
            <w:tcBorders>
              <w:left w:val="none" w:sz="0" w:space="0" w:color="000000"/>
              <w:bottom w:val="single" w:sz="4" w:space="0" w:color="auto"/>
            </w:tcBorders>
            <w:vAlign w:val="center"/>
          </w:tcPr>
          <w:p w:rsidR="00BB0605" w:rsidRPr="00221951" w:rsidRDefault="00BB0605" w:rsidP="00ED2136">
            <w:pPr>
              <w:jc w:val="center"/>
              <w:rPr>
                <w:rFonts w:cs="Arial"/>
                <w:sz w:val="20"/>
                <w:szCs w:val="20"/>
              </w:rPr>
            </w:pPr>
            <w:r w:rsidRPr="00221951">
              <w:rPr>
                <w:rFonts w:cs="Arial"/>
                <w:sz w:val="20"/>
                <w:szCs w:val="20"/>
              </w:rPr>
              <w:t>97</w:t>
            </w:r>
          </w:p>
          <w:p w:rsidR="00BB0605" w:rsidRPr="00221951" w:rsidRDefault="00BB0605" w:rsidP="00ED2136">
            <w:pPr>
              <w:jc w:val="center"/>
              <w:rPr>
                <w:rFonts w:cs="Arial"/>
                <w:sz w:val="20"/>
                <w:szCs w:val="20"/>
              </w:rPr>
            </w:pPr>
            <w:r w:rsidRPr="00221951">
              <w:rPr>
                <w:rFonts w:cs="Arial"/>
                <w:sz w:val="20"/>
                <w:szCs w:val="20"/>
              </w:rPr>
              <w:t>(70%)</w:t>
            </w:r>
          </w:p>
        </w:tc>
        <w:tc>
          <w:tcPr>
            <w:tcW w:w="1055" w:type="dxa"/>
            <w:tcBorders>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11%</w:t>
            </w:r>
          </w:p>
        </w:tc>
        <w:tc>
          <w:tcPr>
            <w:tcW w:w="1055" w:type="dxa"/>
            <w:tcBorders>
              <w:left w:val="none" w:sz="0" w:space="0" w:color="000000"/>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3%</w:t>
            </w:r>
          </w:p>
        </w:tc>
        <w:tc>
          <w:tcPr>
            <w:tcW w:w="1056" w:type="dxa"/>
            <w:tcBorders>
              <w:left w:val="none" w:sz="0" w:space="0" w:color="000000"/>
              <w:bottom w:val="single" w:sz="4" w:space="0" w:color="auto"/>
            </w:tcBorders>
            <w:vAlign w:val="center"/>
          </w:tcPr>
          <w:p w:rsidR="00BB0605" w:rsidRPr="00221951" w:rsidRDefault="00BB0605" w:rsidP="00ED2136">
            <w:pPr>
              <w:jc w:val="center"/>
              <w:rPr>
                <w:rFonts w:cs="Arial"/>
                <w:sz w:val="20"/>
                <w:szCs w:val="20"/>
              </w:rPr>
            </w:pPr>
            <w:r w:rsidRPr="00221951">
              <w:rPr>
                <w:rFonts w:cs="Arial"/>
                <w:sz w:val="20"/>
                <w:szCs w:val="20"/>
              </w:rPr>
              <w:t>9%</w:t>
            </w:r>
          </w:p>
        </w:tc>
        <w:tc>
          <w:tcPr>
            <w:tcW w:w="992" w:type="dxa"/>
            <w:vAlign w:val="center"/>
          </w:tcPr>
          <w:p w:rsidR="00BB0605" w:rsidRPr="00221951" w:rsidRDefault="00BB0605" w:rsidP="00ED2136">
            <w:pPr>
              <w:jc w:val="center"/>
              <w:rPr>
                <w:rFonts w:cs="Arial"/>
                <w:sz w:val="20"/>
                <w:szCs w:val="20"/>
              </w:rPr>
            </w:pPr>
            <w:r w:rsidRPr="00221951">
              <w:rPr>
                <w:rFonts w:cs="Arial"/>
                <w:sz w:val="20"/>
                <w:szCs w:val="20"/>
              </w:rPr>
              <w:t>0.033</w:t>
            </w:r>
          </w:p>
        </w:tc>
      </w:tr>
      <w:tr w:rsidR="00BB0605" w:rsidTr="00ED2136">
        <w:trPr>
          <w:trHeight w:val="567"/>
        </w:trPr>
        <w:tc>
          <w:tcPr>
            <w:tcW w:w="3510" w:type="dxa"/>
            <w:vAlign w:val="center"/>
          </w:tcPr>
          <w:p w:rsidR="00BB0605" w:rsidRPr="00221951" w:rsidRDefault="00BB0605" w:rsidP="00ED2136">
            <w:pPr>
              <w:rPr>
                <w:rFonts w:cs="Arial"/>
                <w:b/>
                <w:sz w:val="20"/>
                <w:szCs w:val="20"/>
              </w:rPr>
            </w:pPr>
            <w:r w:rsidRPr="00221951">
              <w:rPr>
                <w:rFonts w:cs="Arial"/>
                <w:b/>
                <w:sz w:val="20"/>
                <w:szCs w:val="20"/>
              </w:rPr>
              <w:t>Own wishes for after your death</w:t>
            </w:r>
          </w:p>
        </w:tc>
        <w:tc>
          <w:tcPr>
            <w:tcW w:w="1055" w:type="dxa"/>
            <w:tcBorders>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70/99</w:t>
            </w:r>
          </w:p>
          <w:p w:rsidR="00BB0605" w:rsidRPr="00221951" w:rsidRDefault="00BB0605" w:rsidP="00ED2136">
            <w:pPr>
              <w:jc w:val="center"/>
              <w:rPr>
                <w:rFonts w:cs="Arial"/>
                <w:sz w:val="20"/>
                <w:szCs w:val="20"/>
              </w:rPr>
            </w:pPr>
            <w:r w:rsidRPr="00221951">
              <w:rPr>
                <w:rFonts w:cs="Arial"/>
                <w:sz w:val="20"/>
                <w:szCs w:val="20"/>
              </w:rPr>
              <w:t>(71%)</w:t>
            </w:r>
          </w:p>
        </w:tc>
        <w:tc>
          <w:tcPr>
            <w:tcW w:w="1055" w:type="dxa"/>
            <w:tcBorders>
              <w:left w:val="none" w:sz="0" w:space="0" w:color="000000"/>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26/40</w:t>
            </w:r>
          </w:p>
          <w:p w:rsidR="00BB0605" w:rsidRPr="00221951" w:rsidRDefault="00BB0605" w:rsidP="00ED2136">
            <w:pPr>
              <w:jc w:val="center"/>
              <w:rPr>
                <w:rFonts w:cs="Arial"/>
                <w:sz w:val="20"/>
                <w:szCs w:val="20"/>
              </w:rPr>
            </w:pPr>
            <w:r w:rsidRPr="00221951">
              <w:rPr>
                <w:rFonts w:cs="Arial"/>
                <w:sz w:val="20"/>
                <w:szCs w:val="20"/>
              </w:rPr>
              <w:t>(64%)</w:t>
            </w:r>
          </w:p>
        </w:tc>
        <w:tc>
          <w:tcPr>
            <w:tcW w:w="1056" w:type="dxa"/>
            <w:tcBorders>
              <w:left w:val="none" w:sz="0" w:space="0" w:color="000000"/>
              <w:bottom w:val="single" w:sz="4" w:space="0" w:color="auto"/>
            </w:tcBorders>
            <w:vAlign w:val="center"/>
          </w:tcPr>
          <w:p w:rsidR="00BB0605" w:rsidRPr="00221951" w:rsidRDefault="00BB0605" w:rsidP="00ED2136">
            <w:pPr>
              <w:jc w:val="center"/>
              <w:rPr>
                <w:rFonts w:cs="Arial"/>
                <w:sz w:val="20"/>
                <w:szCs w:val="20"/>
              </w:rPr>
            </w:pPr>
            <w:r w:rsidRPr="00221951">
              <w:rPr>
                <w:rFonts w:cs="Arial"/>
                <w:sz w:val="20"/>
                <w:szCs w:val="20"/>
              </w:rPr>
              <w:t>96</w:t>
            </w:r>
          </w:p>
          <w:p w:rsidR="00BB0605" w:rsidRPr="00221951" w:rsidRDefault="00BB0605" w:rsidP="00ED2136">
            <w:pPr>
              <w:jc w:val="center"/>
              <w:rPr>
                <w:rFonts w:cs="Arial"/>
                <w:sz w:val="20"/>
                <w:szCs w:val="20"/>
              </w:rPr>
            </w:pPr>
            <w:r w:rsidRPr="00221951">
              <w:rPr>
                <w:rFonts w:cs="Arial"/>
                <w:sz w:val="20"/>
                <w:szCs w:val="20"/>
              </w:rPr>
              <w:t>(69%)</w:t>
            </w:r>
          </w:p>
        </w:tc>
        <w:tc>
          <w:tcPr>
            <w:tcW w:w="1055" w:type="dxa"/>
            <w:tcBorders>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79/99</w:t>
            </w:r>
          </w:p>
          <w:p w:rsidR="00BB0605" w:rsidRPr="00221951" w:rsidRDefault="00BB0605" w:rsidP="00ED2136">
            <w:pPr>
              <w:jc w:val="center"/>
              <w:rPr>
                <w:rFonts w:cs="Arial"/>
                <w:sz w:val="20"/>
                <w:szCs w:val="20"/>
              </w:rPr>
            </w:pPr>
            <w:r w:rsidRPr="00221951">
              <w:rPr>
                <w:rFonts w:cs="Arial"/>
                <w:sz w:val="20"/>
                <w:szCs w:val="20"/>
              </w:rPr>
              <w:t>(80%)</w:t>
            </w:r>
          </w:p>
        </w:tc>
        <w:tc>
          <w:tcPr>
            <w:tcW w:w="1055" w:type="dxa"/>
            <w:tcBorders>
              <w:left w:val="none" w:sz="0" w:space="0" w:color="000000"/>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29/40</w:t>
            </w:r>
          </w:p>
          <w:p w:rsidR="00BB0605" w:rsidRPr="00221951" w:rsidRDefault="00BB0605" w:rsidP="00ED2136">
            <w:pPr>
              <w:jc w:val="center"/>
              <w:rPr>
                <w:rFonts w:cs="Arial"/>
                <w:sz w:val="20"/>
                <w:szCs w:val="20"/>
              </w:rPr>
            </w:pPr>
            <w:r w:rsidRPr="00221951">
              <w:rPr>
                <w:rFonts w:cs="Arial"/>
                <w:sz w:val="20"/>
                <w:szCs w:val="20"/>
              </w:rPr>
              <w:t>(73%)</w:t>
            </w:r>
          </w:p>
        </w:tc>
        <w:tc>
          <w:tcPr>
            <w:tcW w:w="1056" w:type="dxa"/>
            <w:tcBorders>
              <w:left w:val="none" w:sz="0" w:space="0" w:color="000000"/>
              <w:bottom w:val="single" w:sz="4" w:space="0" w:color="auto"/>
            </w:tcBorders>
            <w:vAlign w:val="center"/>
          </w:tcPr>
          <w:p w:rsidR="00BB0605" w:rsidRPr="00221951" w:rsidRDefault="00BB0605" w:rsidP="00ED2136">
            <w:pPr>
              <w:jc w:val="center"/>
              <w:rPr>
                <w:rFonts w:cs="Arial"/>
                <w:sz w:val="20"/>
                <w:szCs w:val="20"/>
              </w:rPr>
            </w:pPr>
            <w:r w:rsidRPr="00221951">
              <w:rPr>
                <w:rFonts w:cs="Arial"/>
                <w:sz w:val="20"/>
                <w:szCs w:val="20"/>
              </w:rPr>
              <w:t xml:space="preserve">108 </w:t>
            </w:r>
          </w:p>
          <w:p w:rsidR="00BB0605" w:rsidRPr="00221951" w:rsidRDefault="00BB0605" w:rsidP="00ED2136">
            <w:pPr>
              <w:jc w:val="center"/>
              <w:rPr>
                <w:rFonts w:cs="Arial"/>
                <w:sz w:val="20"/>
                <w:szCs w:val="20"/>
              </w:rPr>
            </w:pPr>
            <w:r w:rsidRPr="00221951">
              <w:rPr>
                <w:rFonts w:cs="Arial"/>
                <w:sz w:val="20"/>
                <w:szCs w:val="20"/>
              </w:rPr>
              <w:t>(78%)</w:t>
            </w:r>
          </w:p>
        </w:tc>
        <w:tc>
          <w:tcPr>
            <w:tcW w:w="1055" w:type="dxa"/>
            <w:tcBorders>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9%</w:t>
            </w:r>
          </w:p>
        </w:tc>
        <w:tc>
          <w:tcPr>
            <w:tcW w:w="1055" w:type="dxa"/>
            <w:tcBorders>
              <w:left w:val="none" w:sz="0" w:space="0" w:color="000000"/>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9%</w:t>
            </w:r>
          </w:p>
        </w:tc>
        <w:tc>
          <w:tcPr>
            <w:tcW w:w="1056" w:type="dxa"/>
            <w:tcBorders>
              <w:left w:val="none" w:sz="0" w:space="0" w:color="000000"/>
              <w:bottom w:val="single" w:sz="4" w:space="0" w:color="auto"/>
            </w:tcBorders>
            <w:vAlign w:val="center"/>
          </w:tcPr>
          <w:p w:rsidR="00BB0605" w:rsidRPr="00221951" w:rsidRDefault="00BB0605" w:rsidP="00ED2136">
            <w:pPr>
              <w:jc w:val="center"/>
              <w:rPr>
                <w:rFonts w:cs="Arial"/>
                <w:sz w:val="20"/>
                <w:szCs w:val="20"/>
              </w:rPr>
            </w:pPr>
            <w:r w:rsidRPr="00221951">
              <w:rPr>
                <w:rFonts w:cs="Arial"/>
                <w:sz w:val="20"/>
                <w:szCs w:val="20"/>
              </w:rPr>
              <w:t>9%</w:t>
            </w:r>
          </w:p>
        </w:tc>
        <w:tc>
          <w:tcPr>
            <w:tcW w:w="992" w:type="dxa"/>
            <w:vAlign w:val="center"/>
          </w:tcPr>
          <w:p w:rsidR="00BB0605" w:rsidRPr="00221951" w:rsidRDefault="00BB0605" w:rsidP="00ED2136">
            <w:pPr>
              <w:jc w:val="center"/>
              <w:rPr>
                <w:rFonts w:cs="Arial"/>
                <w:sz w:val="20"/>
                <w:szCs w:val="20"/>
              </w:rPr>
            </w:pPr>
            <w:r w:rsidRPr="00221951">
              <w:rPr>
                <w:rFonts w:cs="Arial"/>
                <w:sz w:val="20"/>
                <w:szCs w:val="20"/>
              </w:rPr>
              <w:t>0.033</w:t>
            </w:r>
          </w:p>
        </w:tc>
      </w:tr>
      <w:tr w:rsidR="00BB0605" w:rsidTr="00ED2136">
        <w:trPr>
          <w:trHeight w:val="567"/>
        </w:trPr>
        <w:tc>
          <w:tcPr>
            <w:tcW w:w="3510" w:type="dxa"/>
            <w:vAlign w:val="center"/>
          </w:tcPr>
          <w:p w:rsidR="00BB0605" w:rsidRPr="00221951" w:rsidRDefault="00BB0605" w:rsidP="00ED2136">
            <w:pPr>
              <w:rPr>
                <w:rFonts w:cs="Arial"/>
                <w:b/>
                <w:sz w:val="20"/>
                <w:szCs w:val="20"/>
              </w:rPr>
            </w:pPr>
            <w:r w:rsidRPr="00221951">
              <w:rPr>
                <w:rFonts w:cs="Arial"/>
                <w:b/>
                <w:sz w:val="20"/>
                <w:szCs w:val="20"/>
              </w:rPr>
              <w:t>Other’s wishes for end of life care</w:t>
            </w:r>
          </w:p>
        </w:tc>
        <w:tc>
          <w:tcPr>
            <w:tcW w:w="1055" w:type="dxa"/>
            <w:tcBorders>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66/100</w:t>
            </w:r>
          </w:p>
          <w:p w:rsidR="00BB0605" w:rsidRPr="00221951" w:rsidRDefault="00BB0605" w:rsidP="00ED2136">
            <w:pPr>
              <w:jc w:val="center"/>
              <w:rPr>
                <w:rFonts w:cs="Arial"/>
                <w:sz w:val="20"/>
                <w:szCs w:val="20"/>
              </w:rPr>
            </w:pPr>
            <w:r w:rsidRPr="00221951">
              <w:rPr>
                <w:rFonts w:cs="Arial"/>
                <w:sz w:val="20"/>
                <w:szCs w:val="20"/>
              </w:rPr>
              <w:t>(66%)</w:t>
            </w:r>
          </w:p>
        </w:tc>
        <w:tc>
          <w:tcPr>
            <w:tcW w:w="1055" w:type="dxa"/>
            <w:tcBorders>
              <w:left w:val="none" w:sz="0" w:space="0" w:color="000000"/>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29/39</w:t>
            </w:r>
          </w:p>
          <w:p w:rsidR="00BB0605" w:rsidRPr="00221951" w:rsidRDefault="00BB0605" w:rsidP="00ED2136">
            <w:pPr>
              <w:jc w:val="center"/>
              <w:rPr>
                <w:rFonts w:cs="Arial"/>
                <w:sz w:val="20"/>
                <w:szCs w:val="20"/>
              </w:rPr>
            </w:pPr>
            <w:r w:rsidRPr="00221951">
              <w:rPr>
                <w:rFonts w:cs="Arial"/>
                <w:sz w:val="20"/>
                <w:szCs w:val="20"/>
              </w:rPr>
              <w:t>(74%)</w:t>
            </w:r>
          </w:p>
        </w:tc>
        <w:tc>
          <w:tcPr>
            <w:tcW w:w="1056" w:type="dxa"/>
            <w:tcBorders>
              <w:left w:val="none" w:sz="0" w:space="0" w:color="000000"/>
              <w:bottom w:val="single" w:sz="4" w:space="0" w:color="auto"/>
            </w:tcBorders>
            <w:vAlign w:val="center"/>
          </w:tcPr>
          <w:p w:rsidR="00BB0605" w:rsidRPr="00221951" w:rsidRDefault="00BB0605" w:rsidP="00ED2136">
            <w:pPr>
              <w:jc w:val="center"/>
              <w:rPr>
                <w:rFonts w:cs="Arial"/>
                <w:sz w:val="20"/>
                <w:szCs w:val="20"/>
              </w:rPr>
            </w:pPr>
            <w:r w:rsidRPr="00221951">
              <w:rPr>
                <w:rFonts w:cs="Arial"/>
                <w:sz w:val="20"/>
                <w:szCs w:val="20"/>
              </w:rPr>
              <w:t>95</w:t>
            </w:r>
          </w:p>
          <w:p w:rsidR="00BB0605" w:rsidRPr="00221951" w:rsidRDefault="00BB0605" w:rsidP="00ED2136">
            <w:pPr>
              <w:jc w:val="center"/>
              <w:rPr>
                <w:rFonts w:cs="Arial"/>
                <w:sz w:val="20"/>
                <w:szCs w:val="20"/>
              </w:rPr>
            </w:pPr>
            <w:r w:rsidRPr="00221951">
              <w:rPr>
                <w:rFonts w:cs="Arial"/>
                <w:sz w:val="20"/>
                <w:szCs w:val="20"/>
              </w:rPr>
              <w:t>(68%)</w:t>
            </w:r>
          </w:p>
        </w:tc>
        <w:tc>
          <w:tcPr>
            <w:tcW w:w="1055" w:type="dxa"/>
            <w:tcBorders>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68/100</w:t>
            </w:r>
          </w:p>
          <w:p w:rsidR="00BB0605" w:rsidRPr="00221951" w:rsidRDefault="00BB0605" w:rsidP="00ED2136">
            <w:pPr>
              <w:jc w:val="center"/>
              <w:rPr>
                <w:rFonts w:cs="Arial"/>
                <w:sz w:val="20"/>
                <w:szCs w:val="20"/>
              </w:rPr>
            </w:pPr>
            <w:r w:rsidRPr="00221951">
              <w:rPr>
                <w:rFonts w:cs="Arial"/>
                <w:sz w:val="20"/>
                <w:szCs w:val="20"/>
              </w:rPr>
              <w:t>(68%)</w:t>
            </w:r>
          </w:p>
        </w:tc>
        <w:tc>
          <w:tcPr>
            <w:tcW w:w="1055" w:type="dxa"/>
            <w:tcBorders>
              <w:left w:val="none" w:sz="0" w:space="0" w:color="000000"/>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27/39</w:t>
            </w:r>
          </w:p>
          <w:p w:rsidR="00BB0605" w:rsidRPr="00221951" w:rsidRDefault="00BB0605" w:rsidP="00ED2136">
            <w:pPr>
              <w:jc w:val="center"/>
              <w:rPr>
                <w:rFonts w:cs="Arial"/>
                <w:sz w:val="20"/>
                <w:szCs w:val="20"/>
              </w:rPr>
            </w:pPr>
            <w:r w:rsidRPr="00221951">
              <w:rPr>
                <w:rFonts w:cs="Arial"/>
                <w:sz w:val="20"/>
                <w:szCs w:val="20"/>
              </w:rPr>
              <w:t>(69%)</w:t>
            </w:r>
          </w:p>
        </w:tc>
        <w:tc>
          <w:tcPr>
            <w:tcW w:w="1056" w:type="dxa"/>
            <w:tcBorders>
              <w:left w:val="none" w:sz="0" w:space="0" w:color="000000"/>
              <w:bottom w:val="single" w:sz="4" w:space="0" w:color="auto"/>
            </w:tcBorders>
            <w:vAlign w:val="center"/>
          </w:tcPr>
          <w:p w:rsidR="00BB0605" w:rsidRPr="00221951" w:rsidRDefault="00BB0605" w:rsidP="00ED2136">
            <w:pPr>
              <w:jc w:val="center"/>
              <w:rPr>
                <w:rFonts w:cs="Arial"/>
                <w:sz w:val="20"/>
                <w:szCs w:val="20"/>
              </w:rPr>
            </w:pPr>
            <w:r w:rsidRPr="00221951">
              <w:rPr>
                <w:rFonts w:cs="Arial"/>
                <w:sz w:val="20"/>
                <w:szCs w:val="20"/>
              </w:rPr>
              <w:t xml:space="preserve">95 </w:t>
            </w:r>
          </w:p>
          <w:p w:rsidR="00BB0605" w:rsidRPr="00221951" w:rsidRDefault="00BB0605" w:rsidP="00ED2136">
            <w:pPr>
              <w:jc w:val="center"/>
              <w:rPr>
                <w:rFonts w:cs="Arial"/>
                <w:sz w:val="20"/>
                <w:szCs w:val="20"/>
              </w:rPr>
            </w:pPr>
            <w:r w:rsidRPr="00221951">
              <w:rPr>
                <w:rFonts w:cs="Arial"/>
                <w:sz w:val="20"/>
                <w:szCs w:val="20"/>
              </w:rPr>
              <w:t>(68%)</w:t>
            </w:r>
          </w:p>
        </w:tc>
        <w:tc>
          <w:tcPr>
            <w:tcW w:w="1055" w:type="dxa"/>
            <w:tcBorders>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2%</w:t>
            </w:r>
          </w:p>
        </w:tc>
        <w:tc>
          <w:tcPr>
            <w:tcW w:w="1055" w:type="dxa"/>
            <w:tcBorders>
              <w:left w:val="none" w:sz="0" w:space="0" w:color="000000"/>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-5%</w:t>
            </w:r>
          </w:p>
        </w:tc>
        <w:tc>
          <w:tcPr>
            <w:tcW w:w="1056" w:type="dxa"/>
            <w:tcBorders>
              <w:left w:val="none" w:sz="0" w:space="0" w:color="000000"/>
              <w:bottom w:val="single" w:sz="4" w:space="0" w:color="auto"/>
            </w:tcBorders>
            <w:vAlign w:val="center"/>
          </w:tcPr>
          <w:p w:rsidR="00BB0605" w:rsidRPr="00221951" w:rsidRDefault="00BB0605" w:rsidP="00ED2136">
            <w:pPr>
              <w:jc w:val="center"/>
              <w:rPr>
                <w:rFonts w:cs="Arial"/>
                <w:sz w:val="20"/>
                <w:szCs w:val="20"/>
              </w:rPr>
            </w:pPr>
            <w:r w:rsidRPr="00221951">
              <w:rPr>
                <w:rFonts w:cs="Arial"/>
                <w:sz w:val="20"/>
                <w:szCs w:val="20"/>
              </w:rPr>
              <w:t>0%</w:t>
            </w:r>
          </w:p>
        </w:tc>
        <w:tc>
          <w:tcPr>
            <w:tcW w:w="992" w:type="dxa"/>
            <w:vAlign w:val="center"/>
          </w:tcPr>
          <w:p w:rsidR="00BB0605" w:rsidRPr="00221951" w:rsidRDefault="00BB0605" w:rsidP="00ED2136">
            <w:pPr>
              <w:jc w:val="center"/>
              <w:rPr>
                <w:rFonts w:cs="Arial"/>
                <w:sz w:val="20"/>
                <w:szCs w:val="20"/>
              </w:rPr>
            </w:pPr>
            <w:r w:rsidRPr="00221951">
              <w:rPr>
                <w:rFonts w:cs="Arial"/>
                <w:sz w:val="20"/>
                <w:szCs w:val="20"/>
              </w:rPr>
              <w:t>N/A</w:t>
            </w:r>
          </w:p>
        </w:tc>
      </w:tr>
      <w:tr w:rsidR="00BB0605" w:rsidTr="00ED2136">
        <w:trPr>
          <w:trHeight w:val="567"/>
        </w:trPr>
        <w:tc>
          <w:tcPr>
            <w:tcW w:w="3510" w:type="dxa"/>
            <w:vAlign w:val="center"/>
          </w:tcPr>
          <w:p w:rsidR="00BB0605" w:rsidRPr="00221951" w:rsidRDefault="00BB0605" w:rsidP="00ED2136">
            <w:pPr>
              <w:rPr>
                <w:rFonts w:cs="Arial"/>
                <w:b/>
                <w:sz w:val="20"/>
                <w:szCs w:val="20"/>
              </w:rPr>
            </w:pPr>
            <w:r w:rsidRPr="00221951">
              <w:rPr>
                <w:rFonts w:cs="Arial"/>
                <w:b/>
                <w:sz w:val="20"/>
                <w:szCs w:val="20"/>
              </w:rPr>
              <w:t>Other’s wishes for after their death</w:t>
            </w:r>
          </w:p>
        </w:tc>
        <w:tc>
          <w:tcPr>
            <w:tcW w:w="1055" w:type="dxa"/>
            <w:tcBorders>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67/98</w:t>
            </w:r>
          </w:p>
          <w:p w:rsidR="00BB0605" w:rsidRPr="00221951" w:rsidRDefault="00BB0605" w:rsidP="00ED2136">
            <w:pPr>
              <w:jc w:val="center"/>
              <w:rPr>
                <w:rFonts w:cs="Arial"/>
                <w:sz w:val="20"/>
                <w:szCs w:val="20"/>
              </w:rPr>
            </w:pPr>
            <w:r w:rsidRPr="00221951">
              <w:rPr>
                <w:rFonts w:cs="Arial"/>
                <w:sz w:val="20"/>
                <w:szCs w:val="20"/>
              </w:rPr>
              <w:t>(68%)</w:t>
            </w:r>
          </w:p>
        </w:tc>
        <w:tc>
          <w:tcPr>
            <w:tcW w:w="1055" w:type="dxa"/>
            <w:tcBorders>
              <w:left w:val="none" w:sz="0" w:space="0" w:color="000000"/>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24/39</w:t>
            </w:r>
          </w:p>
          <w:p w:rsidR="00BB0605" w:rsidRPr="00221951" w:rsidRDefault="00BB0605" w:rsidP="00ED2136">
            <w:pPr>
              <w:jc w:val="center"/>
              <w:rPr>
                <w:rFonts w:cs="Arial"/>
                <w:sz w:val="20"/>
                <w:szCs w:val="20"/>
              </w:rPr>
            </w:pPr>
            <w:r w:rsidRPr="00221951">
              <w:rPr>
                <w:rFonts w:cs="Arial"/>
                <w:sz w:val="20"/>
                <w:szCs w:val="20"/>
              </w:rPr>
              <w:t>(85%)</w:t>
            </w:r>
          </w:p>
        </w:tc>
        <w:tc>
          <w:tcPr>
            <w:tcW w:w="1056" w:type="dxa"/>
            <w:tcBorders>
              <w:left w:val="none" w:sz="0" w:space="0" w:color="000000"/>
              <w:bottom w:val="single" w:sz="4" w:space="0" w:color="auto"/>
            </w:tcBorders>
            <w:vAlign w:val="center"/>
          </w:tcPr>
          <w:p w:rsidR="00BB0605" w:rsidRPr="00221951" w:rsidRDefault="00BB0605" w:rsidP="00ED2136">
            <w:pPr>
              <w:jc w:val="center"/>
              <w:rPr>
                <w:rFonts w:cs="Arial"/>
                <w:sz w:val="20"/>
                <w:szCs w:val="20"/>
              </w:rPr>
            </w:pPr>
            <w:r w:rsidRPr="00221951">
              <w:rPr>
                <w:rFonts w:cs="Arial"/>
                <w:sz w:val="20"/>
                <w:szCs w:val="20"/>
              </w:rPr>
              <w:t>91</w:t>
            </w:r>
          </w:p>
          <w:p w:rsidR="00BB0605" w:rsidRPr="00221951" w:rsidRDefault="00BB0605" w:rsidP="00ED2136">
            <w:pPr>
              <w:jc w:val="center"/>
              <w:rPr>
                <w:rFonts w:cs="Arial"/>
                <w:sz w:val="20"/>
                <w:szCs w:val="20"/>
              </w:rPr>
            </w:pPr>
            <w:r w:rsidRPr="00221951">
              <w:rPr>
                <w:rFonts w:cs="Arial"/>
                <w:sz w:val="20"/>
                <w:szCs w:val="20"/>
              </w:rPr>
              <w:t>(66%)</w:t>
            </w:r>
          </w:p>
        </w:tc>
        <w:tc>
          <w:tcPr>
            <w:tcW w:w="1055" w:type="dxa"/>
            <w:tcBorders>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67/98</w:t>
            </w:r>
          </w:p>
          <w:p w:rsidR="00BB0605" w:rsidRPr="00221951" w:rsidRDefault="00BB0605" w:rsidP="00ED2136">
            <w:pPr>
              <w:jc w:val="center"/>
              <w:rPr>
                <w:rFonts w:cs="Arial"/>
                <w:sz w:val="20"/>
                <w:szCs w:val="20"/>
              </w:rPr>
            </w:pPr>
            <w:r w:rsidRPr="00221951">
              <w:rPr>
                <w:rFonts w:cs="Arial"/>
                <w:sz w:val="20"/>
                <w:szCs w:val="20"/>
              </w:rPr>
              <w:t>(68%)</w:t>
            </w:r>
          </w:p>
        </w:tc>
        <w:tc>
          <w:tcPr>
            <w:tcW w:w="1055" w:type="dxa"/>
            <w:tcBorders>
              <w:left w:val="none" w:sz="0" w:space="0" w:color="000000"/>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26/39</w:t>
            </w:r>
          </w:p>
          <w:p w:rsidR="00BB0605" w:rsidRPr="00221951" w:rsidRDefault="00BB0605" w:rsidP="00ED2136">
            <w:pPr>
              <w:jc w:val="center"/>
              <w:rPr>
                <w:rFonts w:cs="Arial"/>
                <w:sz w:val="20"/>
                <w:szCs w:val="20"/>
              </w:rPr>
            </w:pPr>
            <w:r w:rsidRPr="00221951">
              <w:rPr>
                <w:rFonts w:cs="Arial"/>
                <w:sz w:val="20"/>
                <w:szCs w:val="20"/>
              </w:rPr>
              <w:t>(74%)</w:t>
            </w:r>
          </w:p>
        </w:tc>
        <w:tc>
          <w:tcPr>
            <w:tcW w:w="1056" w:type="dxa"/>
            <w:tcBorders>
              <w:left w:val="none" w:sz="0" w:space="0" w:color="000000"/>
              <w:bottom w:val="single" w:sz="4" w:space="0" w:color="auto"/>
            </w:tcBorders>
            <w:vAlign w:val="center"/>
          </w:tcPr>
          <w:p w:rsidR="00BB0605" w:rsidRPr="00221951" w:rsidRDefault="00BB0605" w:rsidP="00ED2136">
            <w:pPr>
              <w:jc w:val="center"/>
              <w:rPr>
                <w:rFonts w:cs="Arial"/>
                <w:sz w:val="20"/>
                <w:szCs w:val="20"/>
              </w:rPr>
            </w:pPr>
            <w:r w:rsidRPr="00221951">
              <w:rPr>
                <w:rFonts w:cs="Arial"/>
                <w:sz w:val="20"/>
                <w:szCs w:val="20"/>
              </w:rPr>
              <w:t xml:space="preserve">93 </w:t>
            </w:r>
          </w:p>
          <w:p w:rsidR="00BB0605" w:rsidRPr="00221951" w:rsidRDefault="00BB0605" w:rsidP="00ED2136">
            <w:pPr>
              <w:jc w:val="center"/>
              <w:rPr>
                <w:rFonts w:cs="Arial"/>
                <w:sz w:val="20"/>
                <w:szCs w:val="20"/>
              </w:rPr>
            </w:pPr>
            <w:r w:rsidRPr="00221951">
              <w:rPr>
                <w:rFonts w:cs="Arial"/>
                <w:sz w:val="20"/>
                <w:szCs w:val="20"/>
              </w:rPr>
              <w:t>(68%)</w:t>
            </w:r>
          </w:p>
        </w:tc>
        <w:tc>
          <w:tcPr>
            <w:tcW w:w="1055" w:type="dxa"/>
            <w:tcBorders>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0%</w:t>
            </w:r>
          </w:p>
        </w:tc>
        <w:tc>
          <w:tcPr>
            <w:tcW w:w="1055" w:type="dxa"/>
            <w:tcBorders>
              <w:left w:val="none" w:sz="0" w:space="0" w:color="000000"/>
              <w:bottom w:val="single" w:sz="4" w:space="0" w:color="auto"/>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2%</w:t>
            </w:r>
          </w:p>
        </w:tc>
        <w:tc>
          <w:tcPr>
            <w:tcW w:w="1056" w:type="dxa"/>
            <w:tcBorders>
              <w:left w:val="none" w:sz="0" w:space="0" w:color="000000"/>
              <w:bottom w:val="single" w:sz="4" w:space="0" w:color="auto"/>
            </w:tcBorders>
            <w:vAlign w:val="center"/>
          </w:tcPr>
          <w:p w:rsidR="00BB0605" w:rsidRPr="00221951" w:rsidRDefault="00BB0605" w:rsidP="00ED2136">
            <w:pPr>
              <w:jc w:val="center"/>
              <w:rPr>
                <w:rFonts w:cs="Arial"/>
                <w:sz w:val="20"/>
                <w:szCs w:val="20"/>
              </w:rPr>
            </w:pPr>
            <w:r w:rsidRPr="00221951">
              <w:rPr>
                <w:rFonts w:cs="Arial"/>
                <w:sz w:val="20"/>
                <w:szCs w:val="20"/>
              </w:rPr>
              <w:t>2%</w:t>
            </w:r>
          </w:p>
        </w:tc>
        <w:tc>
          <w:tcPr>
            <w:tcW w:w="992" w:type="dxa"/>
            <w:vAlign w:val="center"/>
          </w:tcPr>
          <w:p w:rsidR="00BB0605" w:rsidRPr="00221951" w:rsidRDefault="00BB0605" w:rsidP="00ED2136">
            <w:pPr>
              <w:jc w:val="center"/>
              <w:rPr>
                <w:rFonts w:cs="Arial"/>
                <w:sz w:val="20"/>
                <w:szCs w:val="20"/>
              </w:rPr>
            </w:pPr>
            <w:r w:rsidRPr="00221951">
              <w:rPr>
                <w:rFonts w:cs="Arial"/>
                <w:sz w:val="20"/>
                <w:szCs w:val="20"/>
              </w:rPr>
              <w:t>0.44 (NS)</w:t>
            </w:r>
          </w:p>
        </w:tc>
      </w:tr>
      <w:tr w:rsidR="00BB0605" w:rsidTr="00ED2136">
        <w:trPr>
          <w:trHeight w:val="567"/>
        </w:trPr>
        <w:tc>
          <w:tcPr>
            <w:tcW w:w="3510" w:type="dxa"/>
            <w:vAlign w:val="center"/>
          </w:tcPr>
          <w:p w:rsidR="00BB0605" w:rsidRPr="00221951" w:rsidRDefault="00BB0605" w:rsidP="00ED2136">
            <w:pPr>
              <w:rPr>
                <w:rFonts w:cs="Arial"/>
                <w:b/>
                <w:sz w:val="20"/>
                <w:szCs w:val="20"/>
              </w:rPr>
            </w:pPr>
            <w:r w:rsidRPr="00221951">
              <w:rPr>
                <w:rFonts w:cs="Arial"/>
                <w:b/>
                <w:sz w:val="20"/>
                <w:szCs w:val="20"/>
              </w:rPr>
              <w:t>To comfort somebody who is bereaved</w:t>
            </w:r>
          </w:p>
        </w:tc>
        <w:tc>
          <w:tcPr>
            <w:tcW w:w="1055" w:type="dxa"/>
            <w:tcBorders>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86/100</w:t>
            </w:r>
          </w:p>
          <w:p w:rsidR="00BB0605" w:rsidRPr="00221951" w:rsidRDefault="00BB0605" w:rsidP="00ED2136">
            <w:pPr>
              <w:jc w:val="center"/>
              <w:rPr>
                <w:rFonts w:cs="Arial"/>
                <w:sz w:val="20"/>
                <w:szCs w:val="20"/>
              </w:rPr>
            </w:pPr>
            <w:r w:rsidRPr="00221951">
              <w:rPr>
                <w:rFonts w:cs="Arial"/>
                <w:sz w:val="20"/>
                <w:szCs w:val="20"/>
              </w:rPr>
              <w:t>(86%)</w:t>
            </w:r>
          </w:p>
        </w:tc>
        <w:tc>
          <w:tcPr>
            <w:tcW w:w="1055" w:type="dxa"/>
            <w:tcBorders>
              <w:left w:val="none" w:sz="0" w:space="0" w:color="000000"/>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36/39</w:t>
            </w:r>
          </w:p>
          <w:p w:rsidR="00BB0605" w:rsidRPr="00221951" w:rsidRDefault="00BB0605" w:rsidP="00ED2136">
            <w:pPr>
              <w:jc w:val="center"/>
              <w:rPr>
                <w:rFonts w:cs="Arial"/>
                <w:sz w:val="20"/>
                <w:szCs w:val="20"/>
              </w:rPr>
            </w:pPr>
            <w:r w:rsidRPr="00221951">
              <w:rPr>
                <w:rFonts w:cs="Arial"/>
                <w:sz w:val="20"/>
                <w:szCs w:val="20"/>
              </w:rPr>
              <w:t>(92%)</w:t>
            </w:r>
          </w:p>
        </w:tc>
        <w:tc>
          <w:tcPr>
            <w:tcW w:w="1056" w:type="dxa"/>
            <w:tcBorders>
              <w:lef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122</w:t>
            </w:r>
          </w:p>
          <w:p w:rsidR="00BB0605" w:rsidRPr="00221951" w:rsidRDefault="00BB0605" w:rsidP="00ED2136">
            <w:pPr>
              <w:jc w:val="center"/>
              <w:rPr>
                <w:rFonts w:cs="Arial"/>
                <w:sz w:val="20"/>
                <w:szCs w:val="20"/>
              </w:rPr>
            </w:pPr>
            <w:r w:rsidRPr="00221951">
              <w:rPr>
                <w:rFonts w:cs="Arial"/>
                <w:sz w:val="20"/>
                <w:szCs w:val="20"/>
              </w:rPr>
              <w:t>(88%)</w:t>
            </w:r>
          </w:p>
        </w:tc>
        <w:tc>
          <w:tcPr>
            <w:tcW w:w="1055" w:type="dxa"/>
            <w:tcBorders>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83/100</w:t>
            </w:r>
          </w:p>
          <w:p w:rsidR="00BB0605" w:rsidRPr="00221951" w:rsidRDefault="00BB0605" w:rsidP="00ED2136">
            <w:pPr>
              <w:jc w:val="center"/>
              <w:rPr>
                <w:rFonts w:cs="Arial"/>
                <w:sz w:val="20"/>
                <w:szCs w:val="20"/>
              </w:rPr>
            </w:pPr>
            <w:r w:rsidRPr="00221951">
              <w:rPr>
                <w:rFonts w:cs="Arial"/>
                <w:sz w:val="20"/>
                <w:szCs w:val="20"/>
              </w:rPr>
              <w:t>(83%)</w:t>
            </w:r>
          </w:p>
        </w:tc>
        <w:tc>
          <w:tcPr>
            <w:tcW w:w="1055" w:type="dxa"/>
            <w:tcBorders>
              <w:left w:val="none" w:sz="0" w:space="0" w:color="000000"/>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34/39</w:t>
            </w:r>
          </w:p>
          <w:p w:rsidR="00BB0605" w:rsidRPr="00221951" w:rsidRDefault="00BB0605" w:rsidP="00ED2136">
            <w:pPr>
              <w:jc w:val="center"/>
              <w:rPr>
                <w:rFonts w:cs="Arial"/>
                <w:sz w:val="20"/>
                <w:szCs w:val="20"/>
              </w:rPr>
            </w:pPr>
            <w:r w:rsidRPr="00221951">
              <w:rPr>
                <w:rFonts w:cs="Arial"/>
                <w:sz w:val="20"/>
                <w:szCs w:val="20"/>
              </w:rPr>
              <w:t>(87%)</w:t>
            </w:r>
          </w:p>
        </w:tc>
        <w:tc>
          <w:tcPr>
            <w:tcW w:w="1056" w:type="dxa"/>
            <w:tcBorders>
              <w:lef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118 (85%)</w:t>
            </w:r>
          </w:p>
        </w:tc>
        <w:tc>
          <w:tcPr>
            <w:tcW w:w="1055" w:type="dxa"/>
            <w:tcBorders>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-3%</w:t>
            </w:r>
          </w:p>
        </w:tc>
        <w:tc>
          <w:tcPr>
            <w:tcW w:w="1055" w:type="dxa"/>
            <w:tcBorders>
              <w:left w:val="none" w:sz="0" w:space="0" w:color="000000"/>
              <w:righ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-5%</w:t>
            </w:r>
          </w:p>
        </w:tc>
        <w:tc>
          <w:tcPr>
            <w:tcW w:w="1056" w:type="dxa"/>
            <w:tcBorders>
              <w:left w:val="none" w:sz="0" w:space="0" w:color="000000"/>
            </w:tcBorders>
            <w:vAlign w:val="center"/>
          </w:tcPr>
          <w:p w:rsidR="00BB0605" w:rsidRPr="00221951" w:rsidRDefault="00BB0605" w:rsidP="00ED2136">
            <w:pPr>
              <w:jc w:val="center"/>
              <w:rPr>
                <w:rFonts w:cs="Arial"/>
                <w:sz w:val="20"/>
                <w:szCs w:val="20"/>
              </w:rPr>
            </w:pPr>
            <w:r w:rsidRPr="00221951">
              <w:rPr>
                <w:rFonts w:cs="Arial"/>
                <w:sz w:val="20"/>
                <w:szCs w:val="20"/>
              </w:rPr>
              <w:t>-3%</w:t>
            </w:r>
          </w:p>
        </w:tc>
        <w:tc>
          <w:tcPr>
            <w:tcW w:w="992" w:type="dxa"/>
            <w:vAlign w:val="center"/>
          </w:tcPr>
          <w:p w:rsidR="00BB0605" w:rsidRPr="00221951" w:rsidRDefault="00BB0605" w:rsidP="00ED2136">
            <w:pPr>
              <w:jc w:val="center"/>
              <w:rPr>
                <w:rFonts w:cs="Arial"/>
                <w:sz w:val="20"/>
                <w:szCs w:val="20"/>
              </w:rPr>
            </w:pPr>
            <w:r w:rsidRPr="00221951">
              <w:rPr>
                <w:rFonts w:cs="Arial"/>
                <w:sz w:val="20"/>
                <w:szCs w:val="20"/>
              </w:rPr>
              <w:t>N/A</w:t>
            </w:r>
          </w:p>
        </w:tc>
      </w:tr>
    </w:tbl>
    <w:p w:rsidR="00BB0605" w:rsidRDefault="00BB0605" w:rsidP="00BB0605">
      <w:pPr>
        <w:spacing w:after="0" w:line="240" w:lineRule="auto"/>
        <w:rPr>
          <w:rFonts w:ascii="Arial" w:hAnsi="Arial" w:cs="Arial"/>
        </w:rPr>
      </w:pPr>
    </w:p>
    <w:p w:rsidR="00BB0605" w:rsidRDefault="00BB0605" w:rsidP="00BB0605">
      <w:pPr>
        <w:spacing w:line="360" w:lineRule="auto"/>
        <w:rPr>
          <w:b/>
          <w:i/>
          <w:sz w:val="20"/>
          <w:szCs w:val="20"/>
        </w:rPr>
      </w:pPr>
      <w:bookmarkStart w:id="5" w:name="_Toc442778256"/>
    </w:p>
    <w:p w:rsidR="00BB0605" w:rsidRDefault="00BB0605" w:rsidP="00BB0605">
      <w:pPr>
        <w:spacing w:line="360" w:lineRule="auto"/>
        <w:rPr>
          <w:b/>
          <w:i/>
          <w:sz w:val="20"/>
          <w:szCs w:val="20"/>
        </w:rPr>
      </w:pPr>
    </w:p>
    <w:p w:rsidR="00BB0605" w:rsidRDefault="00BB0605" w:rsidP="00BB0605">
      <w:pPr>
        <w:spacing w:line="360" w:lineRule="auto"/>
        <w:rPr>
          <w:b/>
          <w:i/>
          <w:sz w:val="20"/>
          <w:szCs w:val="20"/>
        </w:rPr>
      </w:pPr>
    </w:p>
    <w:p w:rsidR="00BB0605" w:rsidRDefault="00BB0605" w:rsidP="00BB0605">
      <w:pPr>
        <w:spacing w:line="360" w:lineRule="auto"/>
        <w:rPr>
          <w:b/>
          <w:i/>
          <w:sz w:val="20"/>
          <w:szCs w:val="20"/>
        </w:rPr>
      </w:pPr>
    </w:p>
    <w:p w:rsidR="00BB0605" w:rsidRDefault="00BB0605" w:rsidP="00BB0605">
      <w:pPr>
        <w:spacing w:line="360" w:lineRule="auto"/>
        <w:rPr>
          <w:b/>
          <w:i/>
          <w:sz w:val="20"/>
          <w:szCs w:val="20"/>
        </w:rPr>
      </w:pPr>
    </w:p>
    <w:p w:rsidR="00BB0605" w:rsidRDefault="00BB0605" w:rsidP="00BB0605">
      <w:pPr>
        <w:spacing w:line="360" w:lineRule="auto"/>
        <w:rPr>
          <w:b/>
          <w:i/>
          <w:sz w:val="20"/>
          <w:szCs w:val="20"/>
        </w:rPr>
      </w:pPr>
    </w:p>
    <w:p w:rsidR="00BB0605" w:rsidRPr="006B26F2" w:rsidRDefault="00BB0605" w:rsidP="00BB0605">
      <w:pPr>
        <w:spacing w:line="360" w:lineRule="auto"/>
        <w:rPr>
          <w:rFonts w:ascii="Arial" w:hAnsi="Arial" w:cs="Arial"/>
          <w:b/>
        </w:rPr>
      </w:pPr>
      <w:r w:rsidRPr="006B26F2">
        <w:rPr>
          <w:b/>
          <w:i/>
          <w:sz w:val="20"/>
          <w:szCs w:val="20"/>
        </w:rPr>
        <w:lastRenderedPageBreak/>
        <w:t xml:space="preserve">Table </w:t>
      </w:r>
      <w:r w:rsidR="002473D0">
        <w:rPr>
          <w:b/>
          <w:i/>
          <w:sz w:val="20"/>
          <w:szCs w:val="20"/>
        </w:rPr>
        <w:t>6</w:t>
      </w:r>
      <w:r w:rsidRPr="006B26F2">
        <w:rPr>
          <w:b/>
          <w:i/>
          <w:sz w:val="20"/>
          <w:szCs w:val="20"/>
        </w:rPr>
        <w:t xml:space="preserve">: </w:t>
      </w:r>
      <w:r w:rsidRPr="006B26F2">
        <w:rPr>
          <w:rFonts w:cs="Arial"/>
          <w:b/>
          <w:i/>
          <w:sz w:val="20"/>
          <w:szCs w:val="20"/>
        </w:rPr>
        <w:t>Mean differences in baseline and follow-up scores for how comfortable respondents indicated that they would be talking about different about end of life wishes and bereavement, excluding individuals with baseline scores of one or ten</w:t>
      </w:r>
      <w:bookmarkEnd w:id="5"/>
    </w:p>
    <w:tbl>
      <w:tblPr>
        <w:tblStyle w:val="TableGrid"/>
        <w:tblW w:w="0" w:type="auto"/>
        <w:tblLook w:val="04A0" w:firstRow="1" w:lastRow="0" w:firstColumn="1" w:lastColumn="0" w:noHBand="0" w:noVBand="1"/>
      </w:tblPr>
      <w:tblGrid>
        <w:gridCol w:w="4171"/>
        <w:gridCol w:w="1692"/>
        <w:gridCol w:w="1707"/>
        <w:gridCol w:w="1672"/>
      </w:tblGrid>
      <w:tr w:rsidR="00BB0605" w:rsidTr="00ED2136">
        <w:tc>
          <w:tcPr>
            <w:tcW w:w="4171" w:type="dxa"/>
            <w:shd w:val="clear" w:color="auto" w:fill="auto"/>
          </w:tcPr>
          <w:p w:rsidR="00BB0605" w:rsidRDefault="00BB0605" w:rsidP="00ED2136">
            <w:pPr>
              <w:rPr>
                <w:rFonts w:cs="Arial"/>
                <w:b/>
                <w:sz w:val="20"/>
                <w:szCs w:val="20"/>
              </w:rPr>
            </w:pPr>
            <w:r>
              <w:rPr>
                <w:rFonts w:cs="Arial"/>
                <w:b/>
                <w:sz w:val="20"/>
                <w:szCs w:val="20"/>
              </w:rPr>
              <w:t>Topic of conversation</w:t>
            </w:r>
          </w:p>
          <w:p w:rsidR="00BB0605" w:rsidRPr="005A2286" w:rsidRDefault="00BB0605" w:rsidP="00ED2136">
            <w:pPr>
              <w:rPr>
                <w:rFonts w:cs="Arial"/>
                <w:b/>
                <w:sz w:val="20"/>
                <w:szCs w:val="20"/>
              </w:rPr>
            </w:pPr>
          </w:p>
        </w:tc>
        <w:tc>
          <w:tcPr>
            <w:tcW w:w="1692" w:type="dxa"/>
          </w:tcPr>
          <w:p w:rsidR="00BB0605" w:rsidRDefault="00BB0605" w:rsidP="00ED2136">
            <w:pPr>
              <w:jc w:val="center"/>
              <w:rPr>
                <w:rFonts w:cs="Arial"/>
                <w:b/>
                <w:sz w:val="20"/>
                <w:szCs w:val="20"/>
              </w:rPr>
            </w:pPr>
          </w:p>
          <w:p w:rsidR="00BB0605" w:rsidRPr="00221951" w:rsidRDefault="00BB0605" w:rsidP="00ED2136">
            <w:pPr>
              <w:jc w:val="center"/>
              <w:rPr>
                <w:rFonts w:cs="Arial"/>
                <w:b/>
                <w:sz w:val="20"/>
                <w:szCs w:val="20"/>
              </w:rPr>
            </w:pPr>
            <w:r w:rsidRPr="00221951">
              <w:rPr>
                <w:rFonts w:cs="Arial"/>
                <w:b/>
                <w:sz w:val="20"/>
                <w:szCs w:val="20"/>
              </w:rPr>
              <w:t>Sample size</w:t>
            </w:r>
          </w:p>
        </w:tc>
        <w:tc>
          <w:tcPr>
            <w:tcW w:w="1707" w:type="dxa"/>
          </w:tcPr>
          <w:p w:rsidR="00BB0605" w:rsidRDefault="00BB0605" w:rsidP="00ED2136">
            <w:pPr>
              <w:jc w:val="center"/>
              <w:rPr>
                <w:rFonts w:cs="Arial"/>
                <w:b/>
                <w:sz w:val="20"/>
                <w:szCs w:val="20"/>
              </w:rPr>
            </w:pPr>
          </w:p>
          <w:p w:rsidR="00BB0605" w:rsidRPr="00221951" w:rsidRDefault="00BB0605" w:rsidP="00ED2136">
            <w:pPr>
              <w:jc w:val="center"/>
              <w:rPr>
                <w:rFonts w:cs="Arial"/>
                <w:b/>
                <w:sz w:val="20"/>
                <w:szCs w:val="20"/>
              </w:rPr>
            </w:pPr>
            <w:r w:rsidRPr="00221951">
              <w:rPr>
                <w:rFonts w:cs="Arial"/>
                <w:b/>
                <w:sz w:val="20"/>
                <w:szCs w:val="20"/>
              </w:rPr>
              <w:t>Mean difference</w:t>
            </w:r>
          </w:p>
        </w:tc>
        <w:tc>
          <w:tcPr>
            <w:tcW w:w="1672" w:type="dxa"/>
          </w:tcPr>
          <w:p w:rsidR="00BB0605" w:rsidRDefault="00BB0605" w:rsidP="00ED2136">
            <w:pPr>
              <w:jc w:val="center"/>
              <w:rPr>
                <w:rFonts w:cs="Arial"/>
                <w:b/>
                <w:sz w:val="20"/>
                <w:szCs w:val="20"/>
              </w:rPr>
            </w:pPr>
          </w:p>
          <w:p w:rsidR="00BB0605" w:rsidRPr="00221951" w:rsidRDefault="00BB0605" w:rsidP="00ED2136">
            <w:pPr>
              <w:jc w:val="center"/>
              <w:rPr>
                <w:rFonts w:cs="Arial"/>
                <w:b/>
                <w:sz w:val="20"/>
                <w:szCs w:val="20"/>
              </w:rPr>
            </w:pPr>
            <w:r w:rsidRPr="00221951">
              <w:rPr>
                <w:rFonts w:cs="Arial"/>
                <w:b/>
                <w:sz w:val="20"/>
                <w:szCs w:val="20"/>
              </w:rPr>
              <w:t>P-value</w:t>
            </w:r>
          </w:p>
        </w:tc>
      </w:tr>
      <w:tr w:rsidR="00BB0605" w:rsidTr="00ED2136">
        <w:trPr>
          <w:trHeight w:val="340"/>
        </w:trPr>
        <w:tc>
          <w:tcPr>
            <w:tcW w:w="4171" w:type="dxa"/>
          </w:tcPr>
          <w:p w:rsidR="00BB0605" w:rsidRPr="005A2286" w:rsidRDefault="00BB0605" w:rsidP="00ED2136">
            <w:pPr>
              <w:rPr>
                <w:rFonts w:cs="Arial"/>
                <w:sz w:val="20"/>
                <w:szCs w:val="20"/>
              </w:rPr>
            </w:pPr>
            <w:r w:rsidRPr="005A2286">
              <w:rPr>
                <w:rFonts w:cs="Arial"/>
                <w:sz w:val="20"/>
                <w:szCs w:val="20"/>
              </w:rPr>
              <w:t>Own end of life care</w:t>
            </w:r>
          </w:p>
        </w:tc>
        <w:tc>
          <w:tcPr>
            <w:tcW w:w="1692" w:type="dxa"/>
          </w:tcPr>
          <w:p w:rsidR="00BB0605" w:rsidRPr="00221951" w:rsidRDefault="00BB0605" w:rsidP="00ED2136">
            <w:pPr>
              <w:jc w:val="center"/>
              <w:rPr>
                <w:rFonts w:cs="Arial"/>
                <w:sz w:val="20"/>
                <w:szCs w:val="20"/>
              </w:rPr>
            </w:pPr>
            <w:r w:rsidRPr="00221951">
              <w:rPr>
                <w:rFonts w:cs="Arial"/>
                <w:sz w:val="20"/>
                <w:szCs w:val="20"/>
              </w:rPr>
              <w:t>67</w:t>
            </w:r>
          </w:p>
        </w:tc>
        <w:tc>
          <w:tcPr>
            <w:tcW w:w="1707" w:type="dxa"/>
          </w:tcPr>
          <w:p w:rsidR="00BB0605" w:rsidRPr="00221951" w:rsidRDefault="00BB0605" w:rsidP="00ED2136">
            <w:pPr>
              <w:jc w:val="center"/>
              <w:rPr>
                <w:rFonts w:cs="Arial"/>
                <w:sz w:val="20"/>
                <w:szCs w:val="20"/>
              </w:rPr>
            </w:pPr>
            <w:r w:rsidRPr="00221951">
              <w:rPr>
                <w:rFonts w:cs="Arial"/>
                <w:sz w:val="20"/>
                <w:szCs w:val="20"/>
              </w:rPr>
              <w:t>0.627</w:t>
            </w:r>
          </w:p>
        </w:tc>
        <w:tc>
          <w:tcPr>
            <w:tcW w:w="1672" w:type="dxa"/>
          </w:tcPr>
          <w:p w:rsidR="00BB0605" w:rsidRPr="00221951" w:rsidRDefault="00BB0605" w:rsidP="00ED2136">
            <w:pPr>
              <w:jc w:val="center"/>
              <w:rPr>
                <w:rFonts w:cs="Arial"/>
                <w:sz w:val="20"/>
                <w:szCs w:val="20"/>
              </w:rPr>
            </w:pPr>
            <w:r w:rsidRPr="00221951">
              <w:rPr>
                <w:rFonts w:cs="Arial"/>
                <w:sz w:val="20"/>
                <w:szCs w:val="20"/>
              </w:rPr>
              <w:t>0.003</w:t>
            </w:r>
          </w:p>
        </w:tc>
      </w:tr>
      <w:tr w:rsidR="00BB0605" w:rsidTr="00ED2136">
        <w:trPr>
          <w:trHeight w:val="340"/>
        </w:trPr>
        <w:tc>
          <w:tcPr>
            <w:tcW w:w="4171" w:type="dxa"/>
          </w:tcPr>
          <w:p w:rsidR="00BB0605" w:rsidRPr="005A2286" w:rsidRDefault="00BB0605" w:rsidP="00ED2136">
            <w:pPr>
              <w:rPr>
                <w:rFonts w:cs="Arial"/>
                <w:sz w:val="20"/>
                <w:szCs w:val="20"/>
              </w:rPr>
            </w:pPr>
            <w:r w:rsidRPr="005A2286">
              <w:rPr>
                <w:rFonts w:cs="Arial"/>
                <w:sz w:val="20"/>
                <w:szCs w:val="20"/>
              </w:rPr>
              <w:t>Own wishes for after your death</w:t>
            </w:r>
          </w:p>
        </w:tc>
        <w:tc>
          <w:tcPr>
            <w:tcW w:w="1692" w:type="dxa"/>
          </w:tcPr>
          <w:p w:rsidR="00BB0605" w:rsidRPr="00221951" w:rsidRDefault="00BB0605" w:rsidP="00ED2136">
            <w:pPr>
              <w:jc w:val="center"/>
              <w:rPr>
                <w:rFonts w:cs="Arial"/>
                <w:sz w:val="20"/>
                <w:szCs w:val="20"/>
              </w:rPr>
            </w:pPr>
            <w:r w:rsidRPr="00221951">
              <w:rPr>
                <w:rFonts w:cs="Arial"/>
                <w:sz w:val="20"/>
                <w:szCs w:val="20"/>
              </w:rPr>
              <w:t>69</w:t>
            </w:r>
          </w:p>
        </w:tc>
        <w:tc>
          <w:tcPr>
            <w:tcW w:w="1707" w:type="dxa"/>
          </w:tcPr>
          <w:p w:rsidR="00BB0605" w:rsidRPr="00221951" w:rsidRDefault="00BB0605" w:rsidP="00ED2136">
            <w:pPr>
              <w:jc w:val="center"/>
              <w:rPr>
                <w:rFonts w:cs="Arial"/>
                <w:sz w:val="20"/>
                <w:szCs w:val="20"/>
              </w:rPr>
            </w:pPr>
            <w:r w:rsidRPr="00221951">
              <w:rPr>
                <w:rFonts w:cs="Arial"/>
                <w:sz w:val="20"/>
                <w:szCs w:val="20"/>
              </w:rPr>
              <w:t>0.420</w:t>
            </w:r>
          </w:p>
        </w:tc>
        <w:tc>
          <w:tcPr>
            <w:tcW w:w="1672" w:type="dxa"/>
          </w:tcPr>
          <w:p w:rsidR="00BB0605" w:rsidRPr="00221951" w:rsidRDefault="00BB0605" w:rsidP="00ED2136">
            <w:pPr>
              <w:jc w:val="center"/>
              <w:rPr>
                <w:rFonts w:cs="Arial"/>
                <w:sz w:val="20"/>
                <w:szCs w:val="20"/>
              </w:rPr>
            </w:pPr>
            <w:r w:rsidRPr="00221951">
              <w:rPr>
                <w:rFonts w:cs="Arial"/>
                <w:sz w:val="20"/>
                <w:szCs w:val="20"/>
              </w:rPr>
              <w:t>NS</w:t>
            </w:r>
          </w:p>
        </w:tc>
      </w:tr>
      <w:tr w:rsidR="00BB0605" w:rsidTr="00ED2136">
        <w:trPr>
          <w:trHeight w:val="340"/>
        </w:trPr>
        <w:tc>
          <w:tcPr>
            <w:tcW w:w="4171" w:type="dxa"/>
          </w:tcPr>
          <w:p w:rsidR="00BB0605" w:rsidRPr="005A2286" w:rsidRDefault="00BB0605" w:rsidP="00ED2136">
            <w:pPr>
              <w:rPr>
                <w:rFonts w:cs="Arial"/>
                <w:sz w:val="20"/>
                <w:szCs w:val="20"/>
              </w:rPr>
            </w:pPr>
            <w:r w:rsidRPr="005A2286">
              <w:rPr>
                <w:rFonts w:cs="Arial"/>
                <w:sz w:val="20"/>
                <w:szCs w:val="20"/>
              </w:rPr>
              <w:t>Other’s wishes for end of life care</w:t>
            </w:r>
          </w:p>
        </w:tc>
        <w:tc>
          <w:tcPr>
            <w:tcW w:w="1692" w:type="dxa"/>
          </w:tcPr>
          <w:p w:rsidR="00BB0605" w:rsidRPr="00221951" w:rsidRDefault="00BB0605" w:rsidP="00ED2136">
            <w:pPr>
              <w:jc w:val="center"/>
              <w:rPr>
                <w:rFonts w:cs="Arial"/>
                <w:sz w:val="20"/>
                <w:szCs w:val="20"/>
              </w:rPr>
            </w:pPr>
            <w:r w:rsidRPr="00221951">
              <w:rPr>
                <w:rFonts w:cs="Arial"/>
                <w:sz w:val="20"/>
                <w:szCs w:val="20"/>
              </w:rPr>
              <w:t>77</w:t>
            </w:r>
          </w:p>
        </w:tc>
        <w:tc>
          <w:tcPr>
            <w:tcW w:w="1707" w:type="dxa"/>
          </w:tcPr>
          <w:p w:rsidR="00BB0605" w:rsidRPr="00221951" w:rsidRDefault="00BB0605" w:rsidP="00ED2136">
            <w:pPr>
              <w:jc w:val="center"/>
              <w:rPr>
                <w:rFonts w:cs="Arial"/>
                <w:sz w:val="20"/>
                <w:szCs w:val="20"/>
              </w:rPr>
            </w:pPr>
            <w:r w:rsidRPr="00221951">
              <w:rPr>
                <w:rFonts w:cs="Arial"/>
                <w:sz w:val="20"/>
                <w:szCs w:val="20"/>
              </w:rPr>
              <w:t>0.182</w:t>
            </w:r>
          </w:p>
        </w:tc>
        <w:tc>
          <w:tcPr>
            <w:tcW w:w="1672" w:type="dxa"/>
          </w:tcPr>
          <w:p w:rsidR="00BB0605" w:rsidRPr="00221951" w:rsidRDefault="00BB0605" w:rsidP="00ED2136">
            <w:pPr>
              <w:jc w:val="center"/>
              <w:rPr>
                <w:rFonts w:cs="Arial"/>
                <w:sz w:val="20"/>
                <w:szCs w:val="20"/>
              </w:rPr>
            </w:pPr>
            <w:r w:rsidRPr="00221951">
              <w:rPr>
                <w:rFonts w:cs="Arial"/>
                <w:sz w:val="20"/>
                <w:szCs w:val="20"/>
              </w:rPr>
              <w:t>NS</w:t>
            </w:r>
          </w:p>
        </w:tc>
      </w:tr>
      <w:tr w:rsidR="00BB0605" w:rsidTr="00ED2136">
        <w:trPr>
          <w:trHeight w:val="340"/>
        </w:trPr>
        <w:tc>
          <w:tcPr>
            <w:tcW w:w="4171" w:type="dxa"/>
          </w:tcPr>
          <w:p w:rsidR="00BB0605" w:rsidRPr="005A2286" w:rsidRDefault="00BB0605" w:rsidP="00ED2136">
            <w:pPr>
              <w:rPr>
                <w:rFonts w:cs="Arial"/>
                <w:sz w:val="20"/>
                <w:szCs w:val="20"/>
              </w:rPr>
            </w:pPr>
            <w:r w:rsidRPr="005A2286">
              <w:rPr>
                <w:rFonts w:cs="Arial"/>
                <w:sz w:val="20"/>
                <w:szCs w:val="20"/>
              </w:rPr>
              <w:t>Other’s wishes for after their death</w:t>
            </w:r>
          </w:p>
        </w:tc>
        <w:tc>
          <w:tcPr>
            <w:tcW w:w="1692" w:type="dxa"/>
          </w:tcPr>
          <w:p w:rsidR="00BB0605" w:rsidRPr="00221951" w:rsidRDefault="00BB0605" w:rsidP="00ED2136">
            <w:pPr>
              <w:jc w:val="center"/>
              <w:rPr>
                <w:rFonts w:cs="Arial"/>
                <w:sz w:val="20"/>
                <w:szCs w:val="20"/>
              </w:rPr>
            </w:pPr>
            <w:r w:rsidRPr="00221951">
              <w:rPr>
                <w:rFonts w:cs="Arial"/>
                <w:sz w:val="20"/>
                <w:szCs w:val="20"/>
              </w:rPr>
              <w:t>77</w:t>
            </w:r>
          </w:p>
        </w:tc>
        <w:tc>
          <w:tcPr>
            <w:tcW w:w="1707" w:type="dxa"/>
          </w:tcPr>
          <w:p w:rsidR="00BB0605" w:rsidRPr="00221951" w:rsidRDefault="00BB0605" w:rsidP="00ED2136">
            <w:pPr>
              <w:jc w:val="center"/>
              <w:rPr>
                <w:rFonts w:cs="Arial"/>
                <w:sz w:val="20"/>
                <w:szCs w:val="20"/>
              </w:rPr>
            </w:pPr>
            <w:r w:rsidRPr="00221951">
              <w:rPr>
                <w:rFonts w:cs="Arial"/>
                <w:sz w:val="20"/>
                <w:szCs w:val="20"/>
              </w:rPr>
              <w:t>0.052</w:t>
            </w:r>
          </w:p>
        </w:tc>
        <w:tc>
          <w:tcPr>
            <w:tcW w:w="1672" w:type="dxa"/>
          </w:tcPr>
          <w:p w:rsidR="00BB0605" w:rsidRPr="00221951" w:rsidRDefault="00BB0605" w:rsidP="00ED2136">
            <w:pPr>
              <w:jc w:val="center"/>
              <w:rPr>
                <w:rFonts w:cs="Arial"/>
                <w:sz w:val="20"/>
                <w:szCs w:val="20"/>
              </w:rPr>
            </w:pPr>
            <w:r w:rsidRPr="00221951">
              <w:rPr>
                <w:rFonts w:cs="Arial"/>
                <w:sz w:val="20"/>
                <w:szCs w:val="20"/>
              </w:rPr>
              <w:t>NS</w:t>
            </w:r>
          </w:p>
        </w:tc>
      </w:tr>
      <w:tr w:rsidR="00BB0605" w:rsidTr="00ED2136">
        <w:trPr>
          <w:trHeight w:val="340"/>
        </w:trPr>
        <w:tc>
          <w:tcPr>
            <w:tcW w:w="4171" w:type="dxa"/>
          </w:tcPr>
          <w:p w:rsidR="00BB0605" w:rsidRPr="005A2286" w:rsidRDefault="00BB0605" w:rsidP="00ED2136">
            <w:pPr>
              <w:rPr>
                <w:rFonts w:cs="Arial"/>
                <w:sz w:val="20"/>
                <w:szCs w:val="20"/>
              </w:rPr>
            </w:pPr>
            <w:r w:rsidRPr="005A2286">
              <w:rPr>
                <w:rFonts w:cs="Arial"/>
                <w:sz w:val="20"/>
                <w:szCs w:val="20"/>
              </w:rPr>
              <w:t>To comfort somebody who is bereaved</w:t>
            </w:r>
          </w:p>
        </w:tc>
        <w:tc>
          <w:tcPr>
            <w:tcW w:w="1692" w:type="dxa"/>
          </w:tcPr>
          <w:p w:rsidR="00BB0605" w:rsidRPr="00221951" w:rsidRDefault="00BB0605" w:rsidP="00ED2136">
            <w:pPr>
              <w:jc w:val="center"/>
              <w:rPr>
                <w:rFonts w:cs="Arial"/>
                <w:sz w:val="20"/>
                <w:szCs w:val="20"/>
              </w:rPr>
            </w:pPr>
            <w:r w:rsidRPr="00221951">
              <w:rPr>
                <w:rFonts w:cs="Arial"/>
                <w:sz w:val="20"/>
                <w:szCs w:val="20"/>
              </w:rPr>
              <w:t>86</w:t>
            </w:r>
          </w:p>
        </w:tc>
        <w:tc>
          <w:tcPr>
            <w:tcW w:w="1707" w:type="dxa"/>
          </w:tcPr>
          <w:p w:rsidR="00BB0605" w:rsidRPr="00221951" w:rsidRDefault="00BB0605" w:rsidP="00ED2136">
            <w:pPr>
              <w:jc w:val="center"/>
              <w:rPr>
                <w:rFonts w:cs="Arial"/>
                <w:sz w:val="20"/>
                <w:szCs w:val="20"/>
              </w:rPr>
            </w:pPr>
            <w:r w:rsidRPr="00221951">
              <w:rPr>
                <w:rFonts w:cs="Arial"/>
                <w:sz w:val="20"/>
                <w:szCs w:val="20"/>
              </w:rPr>
              <w:t>0.070</w:t>
            </w:r>
          </w:p>
        </w:tc>
        <w:tc>
          <w:tcPr>
            <w:tcW w:w="1672" w:type="dxa"/>
          </w:tcPr>
          <w:p w:rsidR="00BB0605" w:rsidRPr="00221951" w:rsidRDefault="00BB0605" w:rsidP="00ED2136">
            <w:pPr>
              <w:jc w:val="center"/>
              <w:rPr>
                <w:rFonts w:cs="Arial"/>
                <w:sz w:val="20"/>
                <w:szCs w:val="20"/>
              </w:rPr>
            </w:pPr>
            <w:r w:rsidRPr="00221951">
              <w:rPr>
                <w:rFonts w:cs="Arial"/>
                <w:sz w:val="20"/>
                <w:szCs w:val="20"/>
              </w:rPr>
              <w:t>NS</w:t>
            </w:r>
          </w:p>
        </w:tc>
      </w:tr>
    </w:tbl>
    <w:p w:rsidR="00BB0605" w:rsidRDefault="00BB0605" w:rsidP="00BB0605">
      <w:pPr>
        <w:spacing w:after="0"/>
        <w:rPr>
          <w:rFonts w:ascii="Arial" w:hAnsi="Arial" w:cs="Arial"/>
          <w:i/>
        </w:rPr>
      </w:pPr>
    </w:p>
    <w:p w:rsidR="00BB0605" w:rsidRDefault="00BB0605" w:rsidP="008E1321">
      <w:pPr>
        <w:spacing w:line="360" w:lineRule="auto"/>
        <w:rPr>
          <w:rFonts w:ascii="Arial" w:hAnsi="Arial" w:cs="Arial"/>
        </w:rPr>
        <w:sectPr w:rsidR="00BB0605" w:rsidSect="00BB0605">
          <w:pgSz w:w="16840" w:h="11907" w:orient="landscape" w:code="9"/>
          <w:pgMar w:top="1440" w:right="1440" w:bottom="1440" w:left="1440" w:header="709" w:footer="709" w:gutter="0"/>
          <w:cols w:space="708"/>
          <w:docGrid w:linePitch="299"/>
        </w:sectPr>
      </w:pPr>
    </w:p>
    <w:p w:rsidR="004520FC" w:rsidRPr="005C1A57" w:rsidRDefault="004520FC" w:rsidP="000F253A">
      <w:pPr>
        <w:rPr>
          <w:rFonts w:ascii="Arial" w:hAnsi="Arial" w:cs="Arial"/>
          <w:b/>
        </w:rPr>
      </w:pPr>
      <w:r w:rsidRPr="005C1A57">
        <w:rPr>
          <w:rFonts w:ascii="Arial" w:hAnsi="Arial" w:cs="Arial"/>
          <w:b/>
        </w:rPr>
        <w:lastRenderedPageBreak/>
        <w:t>Discussion</w:t>
      </w:r>
    </w:p>
    <w:p w:rsidR="000A315A" w:rsidRDefault="000A315A" w:rsidP="008E1321">
      <w:pPr>
        <w:spacing w:line="360" w:lineRule="auto"/>
        <w:rPr>
          <w:rFonts w:ascii="Arial" w:hAnsi="Arial" w:cs="Arial"/>
          <w:i/>
          <w:u w:val="single"/>
        </w:rPr>
      </w:pPr>
      <w:r>
        <w:rPr>
          <w:rFonts w:ascii="Arial" w:hAnsi="Arial" w:cs="Arial"/>
          <w:i/>
          <w:u w:val="single"/>
        </w:rPr>
        <w:t>Summary of findings</w:t>
      </w:r>
    </w:p>
    <w:p w:rsidR="003B16B7" w:rsidRPr="005C1A57" w:rsidRDefault="003B16B7" w:rsidP="008E1321">
      <w:pPr>
        <w:spacing w:line="360" w:lineRule="auto"/>
        <w:rPr>
          <w:rFonts w:ascii="Arial" w:hAnsi="Arial" w:cs="Arial"/>
          <w:i/>
        </w:rPr>
      </w:pPr>
      <w:r w:rsidRPr="005C1A57">
        <w:rPr>
          <w:rFonts w:ascii="Arial" w:hAnsi="Arial" w:cs="Arial"/>
          <w:i/>
        </w:rPr>
        <w:t>Characteristics of participants</w:t>
      </w:r>
    </w:p>
    <w:p w:rsidR="004520FC" w:rsidRDefault="004520FC" w:rsidP="004520FC">
      <w:pPr>
        <w:spacing w:line="360" w:lineRule="auto"/>
        <w:rPr>
          <w:rFonts w:ascii="Arial" w:hAnsi="Arial" w:cs="Arial"/>
        </w:rPr>
      </w:pPr>
      <w:r>
        <w:rPr>
          <w:rFonts w:ascii="Arial" w:hAnsi="Arial" w:cs="Arial"/>
        </w:rPr>
        <w:t>Responde</w:t>
      </w:r>
      <w:r w:rsidR="00B86AA5">
        <w:rPr>
          <w:rFonts w:ascii="Arial" w:hAnsi="Arial" w:cs="Arial"/>
        </w:rPr>
        <w:t xml:space="preserve">nts were older than the </w:t>
      </w:r>
      <w:r w:rsidR="009A5A42">
        <w:rPr>
          <w:rFonts w:ascii="Arial" w:hAnsi="Arial" w:cs="Arial"/>
        </w:rPr>
        <w:t xml:space="preserve">UK </w:t>
      </w:r>
      <w:r w:rsidR="00B86AA5">
        <w:rPr>
          <w:rFonts w:ascii="Arial" w:hAnsi="Arial" w:cs="Arial"/>
        </w:rPr>
        <w:t xml:space="preserve">population as a whole (46% </w:t>
      </w:r>
      <w:r w:rsidR="008521B7">
        <w:rPr>
          <w:rFonts w:ascii="Arial" w:hAnsi="Arial" w:cs="Arial"/>
        </w:rPr>
        <w:t xml:space="preserve">were </w:t>
      </w:r>
      <w:r>
        <w:rPr>
          <w:rFonts w:ascii="Arial" w:hAnsi="Arial" w:cs="Arial"/>
        </w:rPr>
        <w:t>over the age of</w:t>
      </w:r>
      <w:r w:rsidR="00B86AA5">
        <w:rPr>
          <w:rFonts w:ascii="Arial" w:hAnsi="Arial" w:cs="Arial"/>
        </w:rPr>
        <w:t xml:space="preserve"> 65 compared with 22% of adults over </w:t>
      </w:r>
      <w:r>
        <w:rPr>
          <w:rFonts w:ascii="Arial" w:hAnsi="Arial" w:cs="Arial"/>
        </w:rPr>
        <w:t>20</w:t>
      </w:r>
      <w:r w:rsidR="00065C4D">
        <w:rPr>
          <w:rFonts w:ascii="Arial" w:hAnsi="Arial" w:cs="Arial"/>
        </w:rPr>
        <w:t xml:space="preserve"> in England</w:t>
      </w:r>
      <w:r w:rsidR="005E38AB">
        <w:rPr>
          <w:rFonts w:ascii="Arial" w:hAnsi="Arial" w:cs="Arial"/>
        </w:rPr>
        <w:fldChar w:fldCharType="begin"/>
      </w:r>
      <w:r w:rsidR="00716E55">
        <w:rPr>
          <w:rFonts w:ascii="Arial" w:hAnsi="Arial" w:cs="Arial"/>
        </w:rPr>
        <w:instrText xml:space="preserve"> ADDIN EN.CITE &lt;EndNote&gt;&lt;Cite&gt;&lt;Author&gt;Statistics&lt;/Author&gt;&lt;Year&gt;2012&lt;/Year&gt;&lt;RecNum&gt;1065&lt;/RecNum&gt;&lt;DisplayText&gt;[26]&lt;/DisplayText&gt;&lt;record&gt;&lt;rec-number&gt;1065&lt;/rec-number&gt;&lt;foreign-keys&gt;&lt;key app="EN" db-id="ezfa0awta2ze5se9vz25asd0v2xevvev99pd" timestamp="1473950362"&gt;1065&lt;/key&gt;&lt;/foreign-keys&gt;&lt;ref-type name="Journal Article"&gt;17&lt;/ref-type&gt;&lt;contributors&gt;&lt;authors&gt;&lt;author&gt;Office for National Statistics&lt;/author&gt;&lt;/authors&gt;&lt;/contributors&gt;&lt;titles&gt;&lt;title&gt;Statistical Bulletin: 2011 Census: Key Statistics for England and Wales, March 2011&lt;/title&gt;&lt;/titles&gt;&lt;dates&gt;&lt;year&gt;2012&lt;/year&gt;&lt;/dates&gt;&lt;urls&gt;&lt;/urls&gt;&lt;/record&gt;&lt;/Cite&gt;&lt;/EndNote&gt;</w:instrText>
      </w:r>
      <w:r w:rsidR="005E38AB">
        <w:rPr>
          <w:rFonts w:ascii="Arial" w:hAnsi="Arial" w:cs="Arial"/>
        </w:rPr>
        <w:fldChar w:fldCharType="separate"/>
      </w:r>
      <w:r w:rsidR="00716E55">
        <w:rPr>
          <w:rFonts w:ascii="Arial" w:hAnsi="Arial" w:cs="Arial"/>
          <w:noProof/>
        </w:rPr>
        <w:t>[</w:t>
      </w:r>
      <w:hyperlink w:anchor="_ENREF_26" w:tooltip="Statistics, 2012 #1065" w:history="1">
        <w:r w:rsidR="00716E55">
          <w:rPr>
            <w:rFonts w:ascii="Arial" w:hAnsi="Arial" w:cs="Arial"/>
            <w:noProof/>
          </w:rPr>
          <w:t>26</w:t>
        </w:r>
      </w:hyperlink>
      <w:r w:rsidR="00716E55">
        <w:rPr>
          <w:rFonts w:ascii="Arial" w:hAnsi="Arial" w:cs="Arial"/>
          <w:noProof/>
        </w:rPr>
        <w:t>]</w:t>
      </w:r>
      <w:r w:rsidR="005E38AB">
        <w:rPr>
          <w:rFonts w:ascii="Arial" w:hAnsi="Arial" w:cs="Arial"/>
        </w:rPr>
        <w:fldChar w:fldCharType="end"/>
      </w:r>
      <w:r>
        <w:rPr>
          <w:rFonts w:ascii="Arial" w:hAnsi="Arial" w:cs="Arial"/>
        </w:rPr>
        <w:t xml:space="preserve">); were more often female (76% </w:t>
      </w:r>
      <w:r w:rsidR="00B86AA5">
        <w:rPr>
          <w:rFonts w:ascii="Arial" w:hAnsi="Arial" w:cs="Arial"/>
        </w:rPr>
        <w:t>compared with approximately 51%</w:t>
      </w:r>
      <w:r>
        <w:rPr>
          <w:rFonts w:ascii="Arial" w:hAnsi="Arial" w:cs="Arial"/>
        </w:rPr>
        <w:t>); and experienced lower levels of neighbourhood deprivation.</w:t>
      </w:r>
      <w:r w:rsidR="00542914">
        <w:rPr>
          <w:rFonts w:ascii="Arial" w:hAnsi="Arial" w:cs="Arial"/>
        </w:rPr>
        <w:t xml:space="preserve"> </w:t>
      </w:r>
      <w:r w:rsidR="00887D16">
        <w:rPr>
          <w:rFonts w:ascii="Arial" w:hAnsi="Arial" w:cs="Arial"/>
        </w:rPr>
        <w:t xml:space="preserve">The preponderance of females mirrors the experience </w:t>
      </w:r>
      <w:r w:rsidR="00FA623D">
        <w:rPr>
          <w:rFonts w:ascii="Arial" w:hAnsi="Arial" w:cs="Arial"/>
        </w:rPr>
        <w:t xml:space="preserve">of a project </w:t>
      </w:r>
      <w:r w:rsidR="00887D16">
        <w:rPr>
          <w:rFonts w:ascii="Arial" w:hAnsi="Arial" w:cs="Arial"/>
        </w:rPr>
        <w:t>in Ireland, which used ‘Cafe Conversation’ events to stimulate discussion about similar issues</w:t>
      </w:r>
      <w:r w:rsidR="00217796">
        <w:rPr>
          <w:rFonts w:ascii="Arial" w:hAnsi="Arial" w:cs="Arial"/>
        </w:rPr>
        <w:fldChar w:fldCharType="begin"/>
      </w:r>
      <w:r w:rsidR="00716E55">
        <w:rPr>
          <w:rFonts w:ascii="Arial" w:hAnsi="Arial" w:cs="Arial"/>
        </w:rPr>
        <w:instrText xml:space="preserve"> ADDIN EN.CITE &lt;EndNote&gt;&lt;Cite&gt;&lt;Author&gt;McLoughlin&lt;/Author&gt;&lt;Year&gt;2016&lt;/Year&gt;&lt;RecNum&gt;1309&lt;/RecNum&gt;&lt;DisplayText&gt;[27]&lt;/DisplayText&gt;&lt;record&gt;&lt;rec-number&gt;1309&lt;/rec-number&gt;&lt;foreign-keys&gt;&lt;key app="EN" db-id="ezfa0awta2ze5se9vz25asd0v2xevvev99pd" timestamp="1540811000"&gt;1309&lt;/key&gt;&lt;/foreign-keys&gt;&lt;ref-type name="Journal Article"&gt;17&lt;/ref-type&gt;&lt;contributors&gt;&lt;authors&gt;&lt;author&gt;McLoughlin, K., McGilloway, S., Lloyd, R., O&amp;apos;Connor, M., Rhatigan, J., Shanahan, M., Richardson, M., Keevey, A. &lt;/author&gt;&lt;/authors&gt;&lt;/contributors&gt;&lt;titles&gt;&lt;title&gt;Walls, wisdom, worries, and wishes: Engaging communities in discussion about death, dying, loss, and care using Cafe Conversation  &lt;/title&gt;&lt;secondary-title&gt;Progress in Palliative Care &lt;/secondary-title&gt;&lt;/titles&gt;&lt;periodical&gt;&lt;full-title&gt;Progress in Palliative Care&lt;/full-title&gt;&lt;/periodical&gt;&lt;pages&gt;9-14&lt;/pages&gt;&lt;volume&gt;24&lt;/volume&gt;&lt;number&gt;1&lt;/number&gt;&lt;dates&gt;&lt;year&gt;2016&lt;/year&gt;&lt;/dates&gt;&lt;urls&gt;&lt;/urls&gt;&lt;/record&gt;&lt;/Cite&gt;&lt;/EndNote&gt;</w:instrText>
      </w:r>
      <w:r w:rsidR="00217796">
        <w:rPr>
          <w:rFonts w:ascii="Arial" w:hAnsi="Arial" w:cs="Arial"/>
        </w:rPr>
        <w:fldChar w:fldCharType="separate"/>
      </w:r>
      <w:r w:rsidR="00716E55">
        <w:rPr>
          <w:rFonts w:ascii="Arial" w:hAnsi="Arial" w:cs="Arial"/>
          <w:noProof/>
        </w:rPr>
        <w:t>[</w:t>
      </w:r>
      <w:hyperlink w:anchor="_ENREF_27" w:tooltip="McLoughlin, 2016 #1309" w:history="1">
        <w:r w:rsidR="00716E55">
          <w:rPr>
            <w:rFonts w:ascii="Arial" w:hAnsi="Arial" w:cs="Arial"/>
            <w:noProof/>
          </w:rPr>
          <w:t>27</w:t>
        </w:r>
      </w:hyperlink>
      <w:r w:rsidR="00716E55">
        <w:rPr>
          <w:rFonts w:ascii="Arial" w:hAnsi="Arial" w:cs="Arial"/>
          <w:noProof/>
        </w:rPr>
        <w:t>]</w:t>
      </w:r>
      <w:r w:rsidR="00217796">
        <w:rPr>
          <w:rFonts w:ascii="Arial" w:hAnsi="Arial" w:cs="Arial"/>
        </w:rPr>
        <w:fldChar w:fldCharType="end"/>
      </w:r>
      <w:r w:rsidR="000862D1">
        <w:rPr>
          <w:rFonts w:ascii="Arial" w:hAnsi="Arial" w:cs="Arial"/>
        </w:rPr>
        <w:t>.</w:t>
      </w:r>
      <w:r w:rsidR="001861F3">
        <w:rPr>
          <w:rFonts w:ascii="Arial" w:hAnsi="Arial" w:cs="Arial"/>
        </w:rPr>
        <w:t xml:space="preserve"> </w:t>
      </w:r>
      <w:r w:rsidR="000862D1">
        <w:rPr>
          <w:rFonts w:ascii="Arial" w:hAnsi="Arial" w:cs="Arial"/>
        </w:rPr>
        <w:t xml:space="preserve">This suggests </w:t>
      </w:r>
      <w:r w:rsidR="00FA623D">
        <w:rPr>
          <w:rFonts w:ascii="Arial" w:hAnsi="Arial" w:cs="Arial"/>
        </w:rPr>
        <w:t>that these type of events might be</w:t>
      </w:r>
      <w:r w:rsidR="001861F3">
        <w:rPr>
          <w:rFonts w:ascii="Arial" w:hAnsi="Arial" w:cs="Arial"/>
        </w:rPr>
        <w:t xml:space="preserve"> of more interest to, or more accessible by,</w:t>
      </w:r>
      <w:r w:rsidR="00FA623D">
        <w:rPr>
          <w:rFonts w:ascii="Arial" w:hAnsi="Arial" w:cs="Arial"/>
        </w:rPr>
        <w:t xml:space="preserve"> women compared with men</w:t>
      </w:r>
      <w:r w:rsidR="009A5A42">
        <w:rPr>
          <w:rFonts w:ascii="Arial" w:hAnsi="Arial" w:cs="Arial"/>
        </w:rPr>
        <w:t xml:space="preserve">. The lower </w:t>
      </w:r>
      <w:r w:rsidR="001861F3">
        <w:rPr>
          <w:rFonts w:ascii="Arial" w:hAnsi="Arial" w:cs="Arial"/>
        </w:rPr>
        <w:t>levels of deprivation are mainly</w:t>
      </w:r>
      <w:r w:rsidR="009A5A42">
        <w:rPr>
          <w:rFonts w:ascii="Arial" w:hAnsi="Arial" w:cs="Arial"/>
        </w:rPr>
        <w:t xml:space="preserve"> a reflection of the relatively affluent </w:t>
      </w:r>
      <w:r w:rsidR="001861F3">
        <w:rPr>
          <w:rFonts w:ascii="Arial" w:hAnsi="Arial" w:cs="Arial"/>
        </w:rPr>
        <w:t xml:space="preserve">area in which </w:t>
      </w:r>
      <w:r w:rsidR="009A5A42">
        <w:rPr>
          <w:rFonts w:ascii="Arial" w:hAnsi="Arial" w:cs="Arial"/>
        </w:rPr>
        <w:t xml:space="preserve">the intervention was conducted. </w:t>
      </w:r>
      <w:r w:rsidR="00887D16">
        <w:rPr>
          <w:rFonts w:ascii="Arial" w:hAnsi="Arial" w:cs="Arial"/>
        </w:rPr>
        <w:t xml:space="preserve"> </w:t>
      </w:r>
    </w:p>
    <w:p w:rsidR="0042449F" w:rsidRDefault="00AC6B34" w:rsidP="004520FC">
      <w:pPr>
        <w:spacing w:line="360" w:lineRule="auto"/>
        <w:rPr>
          <w:rFonts w:ascii="Arial" w:hAnsi="Arial" w:cs="Arial"/>
        </w:rPr>
      </w:pPr>
      <w:r>
        <w:rPr>
          <w:rFonts w:ascii="Arial" w:hAnsi="Arial" w:cs="Arial"/>
        </w:rPr>
        <w:t xml:space="preserve">The observed trends for the proportion of people with a will to increase with increasing age and decreasing neighbourhood deprivation mirror </w:t>
      </w:r>
      <w:r w:rsidR="004F66B2">
        <w:rPr>
          <w:rFonts w:ascii="Arial" w:hAnsi="Arial" w:cs="Arial"/>
        </w:rPr>
        <w:t>those found in national surveys</w:t>
      </w:r>
      <w:r w:rsidR="005E38AB">
        <w:rPr>
          <w:rFonts w:ascii="Arial" w:hAnsi="Arial" w:cs="Arial"/>
        </w:rPr>
        <w:fldChar w:fldCharType="begin">
          <w:fldData xml:space="preserve">PEVuZE5vdGU+PENpdGU+PEF1dGhvcj5JQ00gUmVzZWFyY2ggZm9yIEVuZGVtb2wgVUs8L0F1dGhv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</w:fldData>
        </w:fldChar>
      </w:r>
      <w:r w:rsidR="00716E55">
        <w:rPr>
          <w:rFonts w:ascii="Arial" w:hAnsi="Arial" w:cs="Arial"/>
        </w:rPr>
        <w:instrText xml:space="preserve"> ADDIN EN.CITE </w:instrText>
      </w:r>
      <w:r w:rsidR="00716E55">
        <w:rPr>
          <w:rFonts w:ascii="Arial" w:hAnsi="Arial" w:cs="Arial"/>
        </w:rPr>
        <w:fldChar w:fldCharType="begin">
          <w:fldData xml:space="preserve">PEVuZE5vdGU+PENpdGU+PEF1dGhvcj5JQ00gUmVzZWFyY2ggZm9yIEVuZGVtb2wgVUs8L0F1dGhv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</w:fldData>
        </w:fldChar>
      </w:r>
      <w:r w:rsidR="00716E55">
        <w:rPr>
          <w:rFonts w:ascii="Arial" w:hAnsi="Arial" w:cs="Arial"/>
        </w:rPr>
        <w:instrText xml:space="preserve"> ADDIN EN.CITE.DATA </w:instrText>
      </w:r>
      <w:r w:rsidR="00716E55">
        <w:rPr>
          <w:rFonts w:ascii="Arial" w:hAnsi="Arial" w:cs="Arial"/>
        </w:rPr>
      </w:r>
      <w:r w:rsidR="00716E55">
        <w:rPr>
          <w:rFonts w:ascii="Arial" w:hAnsi="Arial" w:cs="Arial"/>
        </w:rPr>
        <w:fldChar w:fldCharType="end"/>
      </w:r>
      <w:r w:rsidR="005E38AB">
        <w:rPr>
          <w:rFonts w:ascii="Arial" w:hAnsi="Arial" w:cs="Arial"/>
        </w:rPr>
      </w:r>
      <w:r w:rsidR="005E38AB">
        <w:rPr>
          <w:rFonts w:ascii="Arial" w:hAnsi="Arial" w:cs="Arial"/>
        </w:rPr>
        <w:fldChar w:fldCharType="separate"/>
      </w:r>
      <w:r w:rsidR="00716E55">
        <w:rPr>
          <w:rFonts w:ascii="Arial" w:hAnsi="Arial" w:cs="Arial"/>
          <w:noProof/>
        </w:rPr>
        <w:t>[</w:t>
      </w:r>
      <w:hyperlink w:anchor="_ENREF_15" w:tooltip="ComRes, 2012 #316" w:history="1">
        <w:r w:rsidR="00716E55">
          <w:rPr>
            <w:rFonts w:ascii="Arial" w:hAnsi="Arial" w:cs="Arial"/>
            <w:noProof/>
          </w:rPr>
          <w:t>15-17</w:t>
        </w:r>
      </w:hyperlink>
      <w:r w:rsidR="00716E55">
        <w:rPr>
          <w:rFonts w:ascii="Arial" w:hAnsi="Arial" w:cs="Arial"/>
          <w:noProof/>
        </w:rPr>
        <w:t>]</w:t>
      </w:r>
      <w:r w:rsidR="005E38AB">
        <w:rPr>
          <w:rFonts w:ascii="Arial" w:hAnsi="Arial" w:cs="Arial"/>
        </w:rPr>
        <w:fldChar w:fldCharType="end"/>
      </w:r>
      <w:r w:rsidR="008521B7">
        <w:rPr>
          <w:rFonts w:ascii="Arial" w:hAnsi="Arial" w:cs="Arial"/>
        </w:rPr>
        <w:t>, although in age</w:t>
      </w:r>
      <w:r w:rsidR="00A20F83">
        <w:rPr>
          <w:rFonts w:ascii="Arial" w:hAnsi="Arial" w:cs="Arial"/>
        </w:rPr>
        <w:t xml:space="preserve"> groups </w:t>
      </w:r>
      <w:r>
        <w:rPr>
          <w:rFonts w:ascii="Arial" w:hAnsi="Arial" w:cs="Arial"/>
        </w:rPr>
        <w:t xml:space="preserve">over the age </w:t>
      </w:r>
      <w:r w:rsidR="00B86AA5">
        <w:rPr>
          <w:rFonts w:ascii="Arial" w:hAnsi="Arial" w:cs="Arial"/>
        </w:rPr>
        <w:t xml:space="preserve">of 45, the proportion </w:t>
      </w:r>
      <w:r>
        <w:rPr>
          <w:rFonts w:ascii="Arial" w:hAnsi="Arial" w:cs="Arial"/>
        </w:rPr>
        <w:t>with a will was slightly h</w:t>
      </w:r>
      <w:r w:rsidR="00A20F83">
        <w:rPr>
          <w:rFonts w:ascii="Arial" w:hAnsi="Arial" w:cs="Arial"/>
        </w:rPr>
        <w:t>igher in this study</w:t>
      </w:r>
      <w:r w:rsidR="002473D0">
        <w:rPr>
          <w:rFonts w:ascii="Arial" w:hAnsi="Arial" w:cs="Arial"/>
        </w:rPr>
        <w:t>, perhaps reflecting the lower levels of deprivation</w:t>
      </w:r>
      <w:r w:rsidR="0095445F">
        <w:rPr>
          <w:rFonts w:ascii="Arial" w:hAnsi="Arial" w:cs="Arial"/>
        </w:rPr>
        <w:t xml:space="preserve"> in the study area.</w:t>
      </w:r>
    </w:p>
    <w:p w:rsidR="006D5903" w:rsidRDefault="004F66B2" w:rsidP="006D5903">
      <w:pPr>
        <w:spacing w:line="360" w:lineRule="auto"/>
        <w:rPr>
          <w:rFonts w:ascii="Arial" w:hAnsi="Arial" w:cs="Arial"/>
        </w:rPr>
      </w:pPr>
      <w:r>
        <w:rPr>
          <w:rFonts w:ascii="Arial" w:hAnsi="Arial" w:cs="Arial"/>
        </w:rPr>
        <w:t xml:space="preserve">Also in line with </w:t>
      </w:r>
      <w:r w:rsidR="00A20F83">
        <w:rPr>
          <w:rFonts w:ascii="Arial" w:hAnsi="Arial" w:cs="Arial"/>
        </w:rPr>
        <w:t xml:space="preserve">national </w:t>
      </w:r>
      <w:r w:rsidR="008521B7">
        <w:rPr>
          <w:rFonts w:ascii="Arial" w:hAnsi="Arial" w:cs="Arial"/>
        </w:rPr>
        <w:t>survey results,</w:t>
      </w:r>
      <w:r w:rsidR="00AC6B34" w:rsidRPr="008E64CE">
        <w:rPr>
          <w:rFonts w:ascii="Arial" w:hAnsi="Arial" w:cs="Arial"/>
          <w:color w:val="FF0000"/>
        </w:rPr>
        <w:t xml:space="preserve"> </w:t>
      </w:r>
      <w:r w:rsidR="008521B7">
        <w:rPr>
          <w:rFonts w:ascii="Arial" w:hAnsi="Arial" w:cs="Arial"/>
        </w:rPr>
        <w:t xml:space="preserve">most </w:t>
      </w:r>
      <w:r w:rsidR="00AC6B34">
        <w:rPr>
          <w:rFonts w:ascii="Arial" w:hAnsi="Arial" w:cs="Arial"/>
        </w:rPr>
        <w:t xml:space="preserve">respondents reported being </w:t>
      </w:r>
      <w:r w:rsidR="00A20F83">
        <w:rPr>
          <w:rFonts w:ascii="Arial" w:hAnsi="Arial" w:cs="Arial"/>
        </w:rPr>
        <w:t xml:space="preserve">comfortable talking about death, and older respondents </w:t>
      </w:r>
      <w:r w:rsidR="008521B7">
        <w:rPr>
          <w:rFonts w:ascii="Arial" w:hAnsi="Arial" w:cs="Arial"/>
        </w:rPr>
        <w:t xml:space="preserve">reported </w:t>
      </w:r>
      <w:r w:rsidR="00A20F83">
        <w:rPr>
          <w:rFonts w:ascii="Arial" w:hAnsi="Arial" w:cs="Arial"/>
        </w:rPr>
        <w:t>being more comfortable than younger respondents</w:t>
      </w:r>
      <w:r w:rsidR="00B86AA5">
        <w:rPr>
          <w:rFonts w:ascii="Arial" w:hAnsi="Arial" w:cs="Arial"/>
        </w:rPr>
        <w:t xml:space="preserve">. </w:t>
      </w:r>
      <w:r w:rsidR="009D0942">
        <w:rPr>
          <w:rFonts w:ascii="Arial" w:hAnsi="Arial" w:cs="Arial"/>
        </w:rPr>
        <w:t>Both selection bias and r</w:t>
      </w:r>
      <w:r w:rsidR="006D5903">
        <w:rPr>
          <w:rFonts w:ascii="Arial" w:hAnsi="Arial" w:cs="Arial"/>
        </w:rPr>
        <w:t xml:space="preserve">esponse </w:t>
      </w:r>
      <w:r w:rsidR="009D0942">
        <w:rPr>
          <w:rFonts w:ascii="Arial" w:hAnsi="Arial" w:cs="Arial"/>
        </w:rPr>
        <w:t>bias are</w:t>
      </w:r>
      <w:r w:rsidR="000862D1">
        <w:rPr>
          <w:rFonts w:ascii="Arial" w:hAnsi="Arial" w:cs="Arial"/>
        </w:rPr>
        <w:t xml:space="preserve"> possible, as those who we</w:t>
      </w:r>
      <w:r w:rsidR="006D5903">
        <w:rPr>
          <w:rFonts w:ascii="Arial" w:hAnsi="Arial" w:cs="Arial"/>
        </w:rPr>
        <w:t xml:space="preserve">re less comfortable talking about death may </w:t>
      </w:r>
      <w:r w:rsidR="000862D1">
        <w:rPr>
          <w:rFonts w:ascii="Arial" w:hAnsi="Arial" w:cs="Arial"/>
        </w:rPr>
        <w:t xml:space="preserve">have </w:t>
      </w:r>
      <w:r w:rsidR="006D5903">
        <w:rPr>
          <w:rFonts w:ascii="Arial" w:hAnsi="Arial" w:cs="Arial"/>
        </w:rPr>
        <w:t>be</w:t>
      </w:r>
      <w:r w:rsidR="000862D1">
        <w:rPr>
          <w:rFonts w:ascii="Arial" w:hAnsi="Arial" w:cs="Arial"/>
        </w:rPr>
        <w:t xml:space="preserve">en </w:t>
      </w:r>
      <w:r w:rsidR="006D5903">
        <w:rPr>
          <w:rFonts w:ascii="Arial" w:hAnsi="Arial" w:cs="Arial"/>
        </w:rPr>
        <w:t>less likely t</w:t>
      </w:r>
      <w:r w:rsidR="000862D1">
        <w:rPr>
          <w:rFonts w:ascii="Arial" w:hAnsi="Arial" w:cs="Arial"/>
        </w:rPr>
        <w:t xml:space="preserve">o attend events and </w:t>
      </w:r>
      <w:r w:rsidR="006D5903">
        <w:rPr>
          <w:rFonts w:ascii="Arial" w:hAnsi="Arial" w:cs="Arial"/>
        </w:rPr>
        <w:t>to comp</w:t>
      </w:r>
      <w:r w:rsidR="000862D1">
        <w:rPr>
          <w:rFonts w:ascii="Arial" w:hAnsi="Arial" w:cs="Arial"/>
        </w:rPr>
        <w:t>lete the survey than those who we</w:t>
      </w:r>
      <w:r w:rsidR="00DB34CD">
        <w:rPr>
          <w:rFonts w:ascii="Arial" w:hAnsi="Arial" w:cs="Arial"/>
        </w:rPr>
        <w:t xml:space="preserve">re more comfortable. However, </w:t>
      </w:r>
      <w:r w:rsidR="006D5903">
        <w:rPr>
          <w:rFonts w:ascii="Arial" w:hAnsi="Arial" w:cs="Arial"/>
        </w:rPr>
        <w:t>response rates to the baseline survey were high</w:t>
      </w:r>
      <w:r w:rsidR="000862D1">
        <w:rPr>
          <w:rFonts w:ascii="Arial" w:hAnsi="Arial" w:cs="Arial"/>
        </w:rPr>
        <w:t xml:space="preserve"> (74%),</w:t>
      </w:r>
      <w:r w:rsidR="006D5903">
        <w:rPr>
          <w:rFonts w:ascii="Arial" w:hAnsi="Arial" w:cs="Arial"/>
        </w:rPr>
        <w:t xml:space="preserve"> and </w:t>
      </w:r>
      <w:r w:rsidR="001861F3">
        <w:rPr>
          <w:rFonts w:ascii="Arial" w:hAnsi="Arial" w:cs="Arial"/>
        </w:rPr>
        <w:t xml:space="preserve">over half </w:t>
      </w:r>
      <w:r w:rsidR="006D5903">
        <w:rPr>
          <w:rFonts w:ascii="Arial" w:hAnsi="Arial" w:cs="Arial"/>
        </w:rPr>
        <w:t>the events were delivered to established groups as one of their regular meetings, with organisers reporting only a few members choosing not to attend. This provides further evidence against the common description of death as ‘taboo’ as a subject of conversation</w:t>
      </w:r>
      <w:r w:rsidR="006D5903">
        <w:rPr>
          <w:rFonts w:ascii="Arial" w:hAnsi="Arial" w:cs="Arial"/>
        </w:rPr>
        <w:fldChar w:fldCharType="begin"/>
      </w:r>
      <w:r w:rsidR="00716E55">
        <w:rPr>
          <w:rFonts w:ascii="Arial" w:hAnsi="Arial" w:cs="Arial"/>
        </w:rPr>
        <w:instrText xml:space="preserve"> ADDIN EN.CITE &lt;EndNote&gt;&lt;Cite&gt;&lt;Author&gt;Zimmermann&lt;/Author&gt;&lt;Year&gt;2004&lt;/Year&gt;&lt;RecNum&gt;271&lt;/RecNum&gt;&lt;DisplayText&gt;[28]&lt;/DisplayText&gt;&lt;record&gt;&lt;rec-number&gt;271&lt;/rec-number&gt;&lt;foreign-keys&gt;&lt;key app="EN" db-id="ezfa0awta2ze5se9vz25asd0v2xevvev99pd" timestamp="1350922014"&gt;271&lt;/key&gt;&lt;/foreign-keys&gt;&lt;ref-type name="Journal Article"&gt;17&lt;/ref-type&gt;&lt;contributors&gt;&lt;authors&gt;&lt;author&gt;Zimmermann, Camilla&lt;/author&gt;&lt;author&gt;Rodin, Gary&lt;/author&gt;&lt;/authors&gt;&lt;/contributors&gt;&lt;titles&gt;&lt;title&gt;The denial of death thesis: sociological critique and implications for palliative care&lt;/title&gt;&lt;secondary-title&gt;Palliative Medicine&lt;/secondary-title&gt;&lt;/titles&gt;&lt;periodical&gt;&lt;full-title&gt;Palliative Medicine&lt;/full-title&gt;&lt;/periodical&gt;&lt;pages&gt;121-128&lt;/pages&gt;&lt;volume&gt;18&lt;/volume&gt;&lt;number&gt;2&lt;/number&gt;&lt;dates&gt;&lt;year&gt;2004&lt;/year&gt;&lt;pub-dates&gt;&lt;date&gt;March 1, 2004&lt;/date&gt;&lt;/pub-dates&gt;&lt;/dates&gt;&lt;urls&gt;&lt;related-urls&gt;&lt;url&gt;http://pmj.sagepub.com/content/18/2/121.abstract&lt;/url&gt;&lt;/related-urls&gt;&lt;/urls&gt;&lt;electronic-resource-num&gt;10.1191/0269216304pm858oa&lt;/electronic-resource-num&gt;&lt;/record&gt;&lt;/Cite&gt;&lt;/EndNote&gt;</w:instrText>
      </w:r>
      <w:r w:rsidR="006D5903">
        <w:rPr>
          <w:rFonts w:ascii="Arial" w:hAnsi="Arial" w:cs="Arial"/>
        </w:rPr>
        <w:fldChar w:fldCharType="separate"/>
      </w:r>
      <w:r w:rsidR="00716E55">
        <w:rPr>
          <w:rFonts w:ascii="Arial" w:hAnsi="Arial" w:cs="Arial"/>
          <w:noProof/>
        </w:rPr>
        <w:t>[</w:t>
      </w:r>
      <w:hyperlink w:anchor="_ENREF_28" w:tooltip="Zimmermann, 2004 #271" w:history="1">
        <w:r w:rsidR="00716E55">
          <w:rPr>
            <w:rFonts w:ascii="Arial" w:hAnsi="Arial" w:cs="Arial"/>
            <w:noProof/>
          </w:rPr>
          <w:t>28</w:t>
        </w:r>
      </w:hyperlink>
      <w:r w:rsidR="00716E55">
        <w:rPr>
          <w:rFonts w:ascii="Arial" w:hAnsi="Arial" w:cs="Arial"/>
          <w:noProof/>
        </w:rPr>
        <w:t>]</w:t>
      </w:r>
      <w:r w:rsidR="006D5903">
        <w:rPr>
          <w:rFonts w:ascii="Arial" w:hAnsi="Arial" w:cs="Arial"/>
        </w:rPr>
        <w:fldChar w:fldCharType="end"/>
      </w:r>
      <w:r w:rsidR="006D5903">
        <w:rPr>
          <w:rFonts w:ascii="Arial" w:hAnsi="Arial" w:cs="Arial"/>
        </w:rPr>
        <w:t>. In a Canadian population survey</w:t>
      </w:r>
      <w:r w:rsidR="006D5903">
        <w:rPr>
          <w:rFonts w:ascii="Arial" w:hAnsi="Arial" w:cs="Arial"/>
        </w:rPr>
        <w:fldChar w:fldCharType="begin"/>
      </w:r>
      <w:r w:rsidR="00716E55">
        <w:rPr>
          <w:rFonts w:ascii="Arial" w:hAnsi="Arial" w:cs="Arial"/>
        </w:rPr>
        <w:instrText xml:space="preserve"> ADDIN EN.CITE &lt;EndNote&gt;&lt;Cite&gt;&lt;Author&gt;Lovegreen&lt;/Author&gt;&lt;Year&gt;2009&lt;/Year&gt;&lt;RecNum&gt;536&lt;/RecNum&gt;&lt;DisplayText&gt;[29, 30]&lt;/DisplayText&gt;&lt;record&gt;&lt;rec-number&gt;536&lt;/rec-number&gt;&lt;foreign-keys&gt;&lt;key app="EN" db-id="ezfa0awta2ze5se9vz25asd0v2xevvev99pd" timestamp="1444126367"&gt;536&lt;/key&gt;&lt;/foreign-keys&gt;&lt;ref-type name="Manuscript"&gt;36&lt;/ref-type&gt;&lt;contributors&gt;&lt;authors&gt;&lt;author&gt;Lovegreen, L.&lt;/author&gt;&lt;author&gt;Barcza, C.&lt;/author&gt;&lt;author&gt;Burgess, W.&lt;/author&gt;&lt;author&gt;Polchenko, N.&lt;/author&gt;&lt;author&gt;Yen, H.&lt;/author&gt;&lt;/authors&gt;&lt;secondary-authors&gt;&lt;author&gt;Simon Fraser University&lt;/author&gt;&lt;/secondary-authors&gt;&lt;/contributors&gt;&lt;titles&gt;&lt;title&gt;Can we talk?  Willingness to communicate and communication preferences about end of life issues&lt;/title&gt;&lt;/titles&gt;&lt;dates&gt;&lt;year&gt;2009&lt;/year&gt;&lt;/dates&gt;&lt;pub-location&gt;Canada&lt;/pub-location&gt;&lt;urls&gt;&lt;/urls&gt;&lt;/record&gt;&lt;/Cite&gt;&lt;Cite&gt;&lt;Author&gt;Polchenko&lt;/Author&gt;&lt;Year&gt;2013&lt;/Year&gt;&lt;RecNum&gt;537&lt;/RecNum&gt;&lt;record&gt;&lt;rec-number&gt;537&lt;/rec-number&gt;&lt;foreign-keys&gt;&lt;key app="EN" db-id="ezfa0awta2ze5se9vz25asd0v2xevvev99pd" timestamp="1444126585"&gt;537&lt;/key&gt;&lt;/foreign-keys&gt;&lt;ref-type name="Conference Paper"&gt;47&lt;/ref-type&gt;&lt;contributors&gt;&lt;authors&gt;&lt;author&gt;Polchenko, N.&lt;/author&gt;&lt;/authors&gt;&lt;/contributors&gt;&lt;titles&gt;&lt;title&gt;Can we Talk? Willingness to Communicate and Communication Preferences about End-of-Life Issues in Community-Dwelling Adults&lt;/title&gt;&lt;secondary-title&gt;3rd Annual Public Health &amp;amp; Palliative Care Conference&lt;/secondary-title&gt;&lt;/titles&gt;&lt;dates&gt;&lt;year&gt;2013&lt;/year&gt;&lt;/dates&gt;&lt;pub-location&gt;Limerick, Ireland&lt;/pub-location&gt;&lt;urls&gt;&lt;/urls&gt;&lt;/record&gt;&lt;/Cite&gt;&lt;/EndNote&gt;</w:instrText>
      </w:r>
      <w:r w:rsidR="006D5903">
        <w:rPr>
          <w:rFonts w:ascii="Arial" w:hAnsi="Arial" w:cs="Arial"/>
        </w:rPr>
        <w:fldChar w:fldCharType="separate"/>
      </w:r>
      <w:r w:rsidR="00716E55">
        <w:rPr>
          <w:rFonts w:ascii="Arial" w:hAnsi="Arial" w:cs="Arial"/>
          <w:noProof/>
        </w:rPr>
        <w:t>[</w:t>
      </w:r>
      <w:hyperlink w:anchor="_ENREF_29" w:tooltip="Lovegreen, 2009 #536" w:history="1">
        <w:r w:rsidR="00716E55">
          <w:rPr>
            <w:rFonts w:ascii="Arial" w:hAnsi="Arial" w:cs="Arial"/>
            <w:noProof/>
          </w:rPr>
          <w:t>29</w:t>
        </w:r>
      </w:hyperlink>
      <w:r w:rsidR="00716E55">
        <w:rPr>
          <w:rFonts w:ascii="Arial" w:hAnsi="Arial" w:cs="Arial"/>
          <w:noProof/>
        </w:rPr>
        <w:t xml:space="preserve">, </w:t>
      </w:r>
      <w:hyperlink w:anchor="_ENREF_30" w:tooltip="Polchenko, 2013 #537" w:history="1">
        <w:r w:rsidR="00716E55">
          <w:rPr>
            <w:rFonts w:ascii="Arial" w:hAnsi="Arial" w:cs="Arial"/>
            <w:noProof/>
          </w:rPr>
          <w:t>30</w:t>
        </w:r>
      </w:hyperlink>
      <w:r w:rsidR="00716E55">
        <w:rPr>
          <w:rFonts w:ascii="Arial" w:hAnsi="Arial" w:cs="Arial"/>
          <w:noProof/>
        </w:rPr>
        <w:t>]</w:t>
      </w:r>
      <w:r w:rsidR="006D5903">
        <w:rPr>
          <w:rFonts w:ascii="Arial" w:hAnsi="Arial" w:cs="Arial"/>
        </w:rPr>
        <w:fldChar w:fldCharType="end"/>
      </w:r>
      <w:r w:rsidR="006D5903">
        <w:rPr>
          <w:rFonts w:ascii="Arial" w:hAnsi="Arial" w:cs="Arial"/>
        </w:rPr>
        <w:t>, only 9% agreed that ‘end of life is too sensit</w:t>
      </w:r>
      <w:r w:rsidR="001861F3">
        <w:rPr>
          <w:rFonts w:ascii="Arial" w:hAnsi="Arial" w:cs="Arial"/>
        </w:rPr>
        <w:t xml:space="preserve">ive a topic to talk </w:t>
      </w:r>
      <w:r w:rsidR="001861F3" w:rsidRPr="00E44D54">
        <w:rPr>
          <w:rFonts w:ascii="Arial" w:hAnsi="Arial" w:cs="Arial"/>
        </w:rPr>
        <w:t xml:space="preserve">about’. </w:t>
      </w:r>
    </w:p>
    <w:p w:rsidR="00BA743F" w:rsidRDefault="00644E99" w:rsidP="004520FC">
      <w:pPr>
        <w:spacing w:line="360" w:lineRule="auto"/>
        <w:rPr>
          <w:rFonts w:ascii="Arial" w:hAnsi="Arial" w:cs="Arial"/>
        </w:rPr>
      </w:pPr>
      <w:r>
        <w:rPr>
          <w:rFonts w:ascii="Arial" w:hAnsi="Arial" w:cs="Arial"/>
        </w:rPr>
        <w:t xml:space="preserve">The proportion </w:t>
      </w:r>
      <w:r w:rsidR="0095445F">
        <w:rPr>
          <w:rFonts w:ascii="Arial" w:hAnsi="Arial" w:cs="Arial"/>
        </w:rPr>
        <w:t xml:space="preserve">of respondents </w:t>
      </w:r>
      <w:r>
        <w:rPr>
          <w:rFonts w:ascii="Arial" w:hAnsi="Arial" w:cs="Arial"/>
        </w:rPr>
        <w:t xml:space="preserve">reporting talking to somebody close to them about what they wished to happen after their death was </w:t>
      </w:r>
      <w:r w:rsidR="001861F3">
        <w:rPr>
          <w:rFonts w:ascii="Arial" w:hAnsi="Arial" w:cs="Arial"/>
        </w:rPr>
        <w:t xml:space="preserve">also </w:t>
      </w:r>
      <w:r>
        <w:rPr>
          <w:rFonts w:ascii="Arial" w:hAnsi="Arial" w:cs="Arial"/>
        </w:rPr>
        <w:t xml:space="preserve">very similar, by age group, to the proportion in a national survey who reporting telling another whether they wished to be cremated or buried </w:t>
      </w:r>
      <w:r>
        <w:rPr>
          <w:rFonts w:ascii="Arial" w:hAnsi="Arial" w:cs="Arial"/>
        </w:rPr>
        <w:fldChar w:fldCharType="begin"/>
      </w:r>
      <w:r w:rsidR="0011397F">
        <w:rPr>
          <w:rFonts w:ascii="Arial" w:hAnsi="Arial" w:cs="Arial"/>
        </w:rPr>
        <w:instrText xml:space="preserve"> ADDIN EN.CITE &lt;EndNote&gt;&lt;Cite&gt;&lt;Author&gt;ComRes&lt;/Author&gt;&lt;Year&gt;2012&lt;/Year&gt;&lt;RecNum&gt;316&lt;/RecNum&gt;&lt;DisplayText&gt;[15]&lt;/DisplayText&gt;&lt;record&gt;&lt;rec-number&gt;316&lt;/rec-number&gt;&lt;foreign-keys&gt;&lt;key app="EN" db-id="ezfa0awta2ze5se9vz25asd0v2xevvev99pd" timestamp="1355314727"&gt;316&lt;/key&gt;&lt;/foreign-keys&gt;&lt;ref-type name="Web Page"&gt;12&lt;/ref-type&gt;&lt;contributors&gt;&lt;authors&gt;&lt;author&gt;ComRes&lt;/author&gt;&lt;/authors&gt;&lt;/contributors&gt;&lt;titles&gt;&lt;title&gt;Dying Matters Survey&lt;/title&gt;&lt;/titles&gt;&lt;volume&gt;2012&lt;/volume&gt;&lt;number&gt;12/11/2012&lt;/number&gt;&lt;dates&gt;&lt;year&gt;2012&lt;/year&gt;&lt;/dates&gt;&lt;urls&gt;&lt;related-urls&gt;&lt;url&gt;http://www.comres.co.uk/polls/Dying_Matters_Public_April12.pdf&lt;/url&gt;&lt;/related-urls&gt;&lt;/urls&gt;&lt;/record&gt;&lt;/Cite&gt;&lt;/EndNote&gt;</w:instrText>
      </w:r>
      <w:r>
        <w:rPr>
          <w:rFonts w:ascii="Arial" w:hAnsi="Arial" w:cs="Arial"/>
        </w:rPr>
        <w:fldChar w:fldCharType="separate"/>
      </w:r>
      <w:r w:rsidR="0011397F">
        <w:rPr>
          <w:rFonts w:ascii="Arial" w:hAnsi="Arial" w:cs="Arial"/>
          <w:noProof/>
        </w:rPr>
        <w:t>[</w:t>
      </w:r>
      <w:hyperlink w:anchor="_ENREF_15" w:tooltip="ComRes, 2012 #316" w:history="1">
        <w:r w:rsidR="00716E55">
          <w:rPr>
            <w:rFonts w:ascii="Arial" w:hAnsi="Arial" w:cs="Arial"/>
            <w:noProof/>
          </w:rPr>
          <w:t>15</w:t>
        </w:r>
      </w:hyperlink>
      <w:r w:rsidR="0011397F">
        <w:rPr>
          <w:rFonts w:ascii="Arial" w:hAnsi="Arial" w:cs="Arial"/>
          <w:noProof/>
        </w:rPr>
        <w:t>]</w:t>
      </w:r>
      <w:r>
        <w:rPr>
          <w:rFonts w:ascii="Arial" w:hAnsi="Arial" w:cs="Arial"/>
        </w:rPr>
        <w:fldChar w:fldCharType="end"/>
      </w:r>
      <w:r>
        <w:rPr>
          <w:rFonts w:ascii="Arial" w:hAnsi="Arial" w:cs="Arial"/>
        </w:rPr>
        <w:t>.</w:t>
      </w:r>
      <w:r>
        <w:rPr>
          <w:rFonts w:ascii="Arial" w:hAnsi="Arial" w:cs="Arial"/>
          <w:color w:val="FF0000"/>
        </w:rPr>
        <w:t xml:space="preserve"> </w:t>
      </w:r>
      <w:r w:rsidR="00F03B29">
        <w:rPr>
          <w:rFonts w:ascii="Arial" w:hAnsi="Arial" w:cs="Arial"/>
        </w:rPr>
        <w:t xml:space="preserve">Neither experience of talking about end of life wishes or bereavement, or how comfortable persons reported being about these conversations, appeared to differ by sex or neighbourhood deprivation. </w:t>
      </w:r>
    </w:p>
    <w:p w:rsidR="00BB0605" w:rsidRPr="005C1A57" w:rsidRDefault="00BB0605" w:rsidP="0095445F">
      <w:pPr>
        <w:spacing w:line="360" w:lineRule="auto"/>
        <w:rPr>
          <w:rFonts w:ascii="Arial" w:hAnsi="Arial" w:cs="Arial"/>
          <w:b/>
          <w:i/>
          <w:u w:val="single"/>
        </w:rPr>
      </w:pPr>
    </w:p>
    <w:p w:rsidR="00B53DF8" w:rsidRDefault="00B53DF8">
      <w:pPr>
        <w:rPr>
          <w:rFonts w:ascii="Arial" w:hAnsi="Arial" w:cs="Arial"/>
          <w:i/>
        </w:rPr>
      </w:pPr>
      <w:r>
        <w:rPr>
          <w:rFonts w:ascii="Arial" w:hAnsi="Arial" w:cs="Arial"/>
          <w:i/>
        </w:rPr>
        <w:br w:type="page"/>
      </w:r>
    </w:p>
    <w:p w:rsidR="00BA743F" w:rsidRDefault="003B16B7" w:rsidP="00BB0605">
      <w:pPr>
        <w:rPr>
          <w:rFonts w:ascii="Arial" w:hAnsi="Arial" w:cs="Arial"/>
          <w:i/>
        </w:rPr>
      </w:pPr>
      <w:r w:rsidRPr="005C1A57">
        <w:rPr>
          <w:rFonts w:ascii="Arial" w:hAnsi="Arial" w:cs="Arial"/>
          <w:i/>
        </w:rPr>
        <w:lastRenderedPageBreak/>
        <w:t>Effectiveness of the intervention</w:t>
      </w:r>
      <w:r w:rsidR="00BB0605" w:rsidRPr="005C1A57">
        <w:rPr>
          <w:rFonts w:ascii="Arial" w:hAnsi="Arial" w:cs="Arial"/>
          <w:i/>
        </w:rPr>
        <w:t>s</w:t>
      </w:r>
    </w:p>
    <w:p w:rsidR="00B57D61" w:rsidRDefault="000F6569" w:rsidP="00497F06">
      <w:pPr>
        <w:spacing w:line="360" w:lineRule="auto"/>
        <w:rPr>
          <w:rFonts w:ascii="Arial" w:hAnsi="Arial" w:cs="Arial"/>
        </w:rPr>
      </w:pPr>
      <w:r>
        <w:rPr>
          <w:rFonts w:ascii="Arial" w:hAnsi="Arial" w:cs="Arial"/>
        </w:rPr>
        <w:t>Bot</w:t>
      </w:r>
      <w:r w:rsidR="00A20F83">
        <w:rPr>
          <w:rFonts w:ascii="Arial" w:hAnsi="Arial" w:cs="Arial"/>
        </w:rPr>
        <w:t xml:space="preserve">h types of </w:t>
      </w:r>
      <w:r w:rsidR="001A4D98">
        <w:rPr>
          <w:rFonts w:ascii="Arial" w:hAnsi="Arial" w:cs="Arial"/>
        </w:rPr>
        <w:t xml:space="preserve">intervention </w:t>
      </w:r>
      <w:r w:rsidR="00A20F83">
        <w:rPr>
          <w:rFonts w:ascii="Arial" w:hAnsi="Arial" w:cs="Arial"/>
        </w:rPr>
        <w:t xml:space="preserve">event were </w:t>
      </w:r>
      <w:r>
        <w:rPr>
          <w:rFonts w:ascii="Arial" w:hAnsi="Arial" w:cs="Arial"/>
        </w:rPr>
        <w:t xml:space="preserve">well-received and rated </w:t>
      </w:r>
      <w:r w:rsidR="005C1A57">
        <w:rPr>
          <w:rFonts w:ascii="Arial" w:hAnsi="Arial" w:cs="Arial"/>
        </w:rPr>
        <w:t xml:space="preserve">as </w:t>
      </w:r>
      <w:r w:rsidR="00B86AA5">
        <w:rPr>
          <w:rFonts w:ascii="Arial" w:hAnsi="Arial" w:cs="Arial"/>
        </w:rPr>
        <w:t>highly relevant</w:t>
      </w:r>
      <w:r w:rsidR="0048236A">
        <w:rPr>
          <w:rFonts w:ascii="Arial" w:hAnsi="Arial" w:cs="Arial"/>
        </w:rPr>
        <w:t xml:space="preserve"> by those who attended them</w:t>
      </w:r>
      <w:r>
        <w:rPr>
          <w:rFonts w:ascii="Arial" w:hAnsi="Arial" w:cs="Arial"/>
        </w:rPr>
        <w:t>.</w:t>
      </w:r>
      <w:r w:rsidR="005F2F29">
        <w:rPr>
          <w:rFonts w:ascii="Arial" w:hAnsi="Arial" w:cs="Arial"/>
        </w:rPr>
        <w:t xml:space="preserve"> </w:t>
      </w:r>
      <w:r w:rsidR="00B57D61">
        <w:rPr>
          <w:rFonts w:ascii="Arial" w:hAnsi="Arial" w:cs="Arial"/>
        </w:rPr>
        <w:t xml:space="preserve">The relevance of the </w:t>
      </w:r>
      <w:r w:rsidR="00950CD3">
        <w:rPr>
          <w:rFonts w:ascii="Arial" w:hAnsi="Arial" w:cs="Arial"/>
        </w:rPr>
        <w:t>subject matter</w:t>
      </w:r>
      <w:r w:rsidR="00B57D61">
        <w:rPr>
          <w:rFonts w:ascii="Arial" w:hAnsi="Arial" w:cs="Arial"/>
        </w:rPr>
        <w:t xml:space="preserve"> reflects the findings of a 2005 survey of people over the age of 55 </w:t>
      </w:r>
      <w:r w:rsidR="00B57D61">
        <w:rPr>
          <w:rFonts w:ascii="Arial" w:hAnsi="Arial" w:cs="Arial"/>
        </w:rPr>
        <w:fldChar w:fldCharType="begin"/>
      </w:r>
      <w:r w:rsidR="00716E55">
        <w:rPr>
          <w:rFonts w:ascii="Arial" w:hAnsi="Arial" w:cs="Arial"/>
        </w:rPr>
        <w:instrText xml:space="preserve"> ADDIN EN.CITE &lt;EndNote&gt;&lt;Cite&gt;&lt;Author&gt;Catt&lt;/Author&gt;&lt;Year&gt;2005&lt;/Year&gt;&lt;RecNum&gt;255&lt;/RecNum&gt;&lt;DisplayText&gt;[31]&lt;/DisplayText&gt;&lt;record&gt;&lt;rec-number&gt;255&lt;/rec-number&gt;&lt;foreign-keys&gt;&lt;key app="EN" db-id="ezfa0awta2ze5se9vz25asd0v2xevvev99pd" timestamp="1349355695"&gt;255&lt;/key&gt;&lt;/foreign-keys&gt;&lt;ref-type name="Journal Article"&gt;17&lt;/ref-type&gt;&lt;contributors&gt;&lt;authors&gt;&lt;author&gt;Catt, Susan&lt;/author&gt;&lt;author&gt;Blanchard, Martin&lt;/author&gt;&lt;author&gt;Addington-Hall, Julia&lt;/author&gt;&lt;author&gt;Zis, Maria&lt;/author&gt;&lt;author&gt;Blizard, Robert&lt;/author&gt;&lt;author&gt;King, Michael&lt;/author&gt;&lt;/authors&gt;&lt;/contributors&gt;&lt;titles&gt;&lt;title&gt;Older adults&amp;apos; attitudes to death, palliative treatment and hospice care&lt;/title&gt;&lt;secondary-title&gt;Palliative Medicine&lt;/secondary-title&gt;&lt;/titles&gt;&lt;periodical&gt;&lt;full-title&gt;Palliative Medicine&lt;/full-title&gt;&lt;/periodical&gt;&lt;pages&gt;402-410&lt;/pages&gt;&lt;volume&gt;19&lt;/volume&gt;&lt;number&gt;5&lt;/number&gt;&lt;keywords&gt;&lt;keyword&gt;AUTOMATIC data collection systems&lt;/keyword&gt;&lt;keyword&gt;PALLIATIVE treatment&lt;/keyword&gt;&lt;keyword&gt;OLDER people -- Medical care&lt;/keyword&gt;&lt;keyword&gt;MEDICAL care&lt;/keyword&gt;&lt;keyword&gt;HOSPITALS -- Home care programs&lt;/keyword&gt;&lt;keyword&gt;PRIMARY health care&lt;/keyword&gt;&lt;keyword&gt;AGED&lt;/keyword&gt;&lt;keyword&gt;ATTITUDE TO DEATH&lt;/keyword&gt;&lt;keyword&gt;data collection&lt;/keyword&gt;&lt;keyword&gt;EIGHTY AND OVER&lt;/keyword&gt;&lt;keyword&gt;palliative care&lt;/keyword&gt;&lt;/keywords&gt;&lt;dates&gt;&lt;year&gt;2005&lt;/year&gt;&lt;/dates&gt;&lt;publisher&gt;Sage Publications, Ltd.&lt;/publisher&gt;&lt;isbn&gt;02692163&lt;/isbn&gt;&lt;accession-num&gt;17602534&lt;/accession-num&gt;&lt;work-type&gt;Article&lt;/work-type&gt;&lt;urls&gt;&lt;related-urls&gt;&lt;url&gt;http://search.ebscohost.com.ezproxy.liv.ac.uk/login.aspx?direct=true&amp;amp;db=a9h&amp;amp;AN=17602534&amp;amp;site=ehost-live&amp;amp;scope=site&lt;/url&gt;&lt;/related-urls&gt;&lt;/urls&gt;&lt;electronic-resource-num&gt;10.1191/0269216305pm1037oa&lt;/electronic-resource-num&gt;&lt;remote-database-name&gt;a9h&lt;/remote-database-name&gt;&lt;remote-database-provider&gt;EBSCOhost&lt;/remote-database-provider&gt;&lt;/record&gt;&lt;/Cite&gt;&lt;/EndNote&gt;</w:instrText>
      </w:r>
      <w:r w:rsidR="00B57D61">
        <w:rPr>
          <w:rFonts w:ascii="Arial" w:hAnsi="Arial" w:cs="Arial"/>
        </w:rPr>
        <w:fldChar w:fldCharType="separate"/>
      </w:r>
      <w:r w:rsidR="00716E55">
        <w:rPr>
          <w:rFonts w:ascii="Arial" w:hAnsi="Arial" w:cs="Arial"/>
          <w:noProof/>
        </w:rPr>
        <w:t>[</w:t>
      </w:r>
      <w:hyperlink w:anchor="_ENREF_31" w:tooltip="Catt, 2005 #255" w:history="1">
        <w:r w:rsidR="00716E55">
          <w:rPr>
            <w:rFonts w:ascii="Arial" w:hAnsi="Arial" w:cs="Arial"/>
            <w:noProof/>
          </w:rPr>
          <w:t>31</w:t>
        </w:r>
      </w:hyperlink>
      <w:r w:rsidR="00716E55">
        <w:rPr>
          <w:rFonts w:ascii="Arial" w:hAnsi="Arial" w:cs="Arial"/>
          <w:noProof/>
        </w:rPr>
        <w:t>]</w:t>
      </w:r>
      <w:r w:rsidR="00B57D61">
        <w:rPr>
          <w:rFonts w:ascii="Arial" w:hAnsi="Arial" w:cs="Arial"/>
        </w:rPr>
        <w:fldChar w:fldCharType="end"/>
      </w:r>
      <w:r w:rsidR="00B57D61">
        <w:rPr>
          <w:rFonts w:ascii="Arial" w:hAnsi="Arial" w:cs="Arial"/>
        </w:rPr>
        <w:t xml:space="preserve">, where most agreed with the statement: “I wish that death and dying were more openly discussed within society”. </w:t>
      </w:r>
      <w:r w:rsidR="00950CD3">
        <w:rPr>
          <w:rFonts w:ascii="Arial" w:hAnsi="Arial" w:cs="Arial"/>
        </w:rPr>
        <w:t>It also re</w:t>
      </w:r>
      <w:r w:rsidR="00E44D54">
        <w:rPr>
          <w:rFonts w:ascii="Arial" w:hAnsi="Arial" w:cs="Arial"/>
        </w:rPr>
        <w:t>lates to</w:t>
      </w:r>
      <w:r w:rsidR="00950CD3">
        <w:rPr>
          <w:rFonts w:ascii="Arial" w:hAnsi="Arial" w:cs="Arial"/>
        </w:rPr>
        <w:t xml:space="preserve"> the </w:t>
      </w:r>
      <w:r w:rsidR="00E94C70">
        <w:rPr>
          <w:rFonts w:ascii="Arial" w:hAnsi="Arial" w:cs="Arial"/>
        </w:rPr>
        <w:t xml:space="preserve">perceived </w:t>
      </w:r>
      <w:r w:rsidR="00E44D54">
        <w:rPr>
          <w:rFonts w:ascii="Arial" w:hAnsi="Arial" w:cs="Arial"/>
        </w:rPr>
        <w:t xml:space="preserve">high </w:t>
      </w:r>
      <w:r w:rsidR="00950CD3">
        <w:rPr>
          <w:rFonts w:ascii="Arial" w:hAnsi="Arial" w:cs="Arial"/>
        </w:rPr>
        <w:t>quality of the intervention; c</w:t>
      </w:r>
      <w:r w:rsidR="00B86AA5">
        <w:rPr>
          <w:rFonts w:ascii="Arial" w:hAnsi="Arial" w:cs="Arial"/>
        </w:rPr>
        <w:t xml:space="preserve">omments </w:t>
      </w:r>
      <w:r w:rsidR="0098223C">
        <w:rPr>
          <w:rFonts w:ascii="Arial" w:hAnsi="Arial" w:cs="Arial"/>
        </w:rPr>
        <w:t xml:space="preserve">received </w:t>
      </w:r>
      <w:r w:rsidR="00B86AA5">
        <w:rPr>
          <w:rFonts w:ascii="Arial" w:hAnsi="Arial" w:cs="Arial"/>
        </w:rPr>
        <w:t>indicated tha</w:t>
      </w:r>
      <w:r w:rsidR="000B15AB">
        <w:rPr>
          <w:rFonts w:ascii="Arial" w:hAnsi="Arial" w:cs="Arial"/>
        </w:rPr>
        <w:t>t</w:t>
      </w:r>
      <w:r w:rsidR="00A20F83">
        <w:rPr>
          <w:rFonts w:ascii="Arial" w:hAnsi="Arial" w:cs="Arial"/>
        </w:rPr>
        <w:t xml:space="preserve"> the</w:t>
      </w:r>
      <w:r w:rsidR="00B86AA5">
        <w:rPr>
          <w:rFonts w:ascii="Arial" w:hAnsi="Arial" w:cs="Arial"/>
        </w:rPr>
        <w:t xml:space="preserve"> ideas presented, humour, sensitive facilitation and opportunities for discussion were particularly appreciated. </w:t>
      </w:r>
      <w:r w:rsidR="005C1A57">
        <w:rPr>
          <w:rFonts w:ascii="Arial" w:hAnsi="Arial" w:cs="Arial"/>
        </w:rPr>
        <w:t>Th</w:t>
      </w:r>
      <w:r w:rsidR="00950CD3">
        <w:rPr>
          <w:rFonts w:ascii="Arial" w:hAnsi="Arial" w:cs="Arial"/>
        </w:rPr>
        <w:t>ese findings</w:t>
      </w:r>
      <w:r w:rsidR="005F2F29">
        <w:rPr>
          <w:rFonts w:ascii="Arial" w:hAnsi="Arial" w:cs="Arial"/>
        </w:rPr>
        <w:t xml:space="preserve"> </w:t>
      </w:r>
      <w:r w:rsidR="000B15AB">
        <w:rPr>
          <w:rFonts w:ascii="Arial" w:hAnsi="Arial" w:cs="Arial"/>
        </w:rPr>
        <w:t>confirm</w:t>
      </w:r>
      <w:r w:rsidR="00950CD3">
        <w:rPr>
          <w:rFonts w:ascii="Arial" w:hAnsi="Arial" w:cs="Arial"/>
        </w:rPr>
        <w:t xml:space="preserve"> the</w:t>
      </w:r>
      <w:r w:rsidR="002473D0">
        <w:rPr>
          <w:rFonts w:ascii="Arial" w:hAnsi="Arial" w:cs="Arial"/>
        </w:rPr>
        <w:t xml:space="preserve"> conclusions</w:t>
      </w:r>
      <w:r w:rsidR="00A20F83">
        <w:rPr>
          <w:rFonts w:ascii="Arial" w:hAnsi="Arial" w:cs="Arial"/>
        </w:rPr>
        <w:t xml:space="preserve"> of </w:t>
      </w:r>
      <w:r w:rsidR="00D07768">
        <w:rPr>
          <w:rFonts w:ascii="Arial" w:hAnsi="Arial" w:cs="Arial"/>
        </w:rPr>
        <w:t xml:space="preserve">an </w:t>
      </w:r>
      <w:r w:rsidR="00A20F83">
        <w:rPr>
          <w:rFonts w:ascii="Arial" w:hAnsi="Arial" w:cs="Arial"/>
        </w:rPr>
        <w:t xml:space="preserve">earlier </w:t>
      </w:r>
      <w:r w:rsidR="00D07768">
        <w:rPr>
          <w:rFonts w:ascii="Arial" w:hAnsi="Arial" w:cs="Arial"/>
        </w:rPr>
        <w:t xml:space="preserve">systematic review </w:t>
      </w:r>
      <w:r w:rsidR="005E38AB">
        <w:rPr>
          <w:rFonts w:ascii="Arial" w:hAnsi="Arial" w:cs="Arial"/>
        </w:rPr>
        <w:fldChar w:fldCharType="begin"/>
      </w:r>
      <w:r w:rsidR="00716E55">
        <w:rPr>
          <w:rFonts w:ascii="Arial" w:hAnsi="Arial" w:cs="Arial"/>
        </w:rPr>
        <w:instrText xml:space="preserve"> ADDIN EN.CITE &lt;EndNote&gt;&lt;Cite&gt;&lt;Author&gt;Abba&lt;/Author&gt;&lt;Year&gt;2013&lt;/Year&gt;&lt;RecNum&gt;493&lt;/RecNum&gt;&lt;DisplayText&gt;[20]&lt;/DisplayText&gt;&lt;record&gt;&lt;rec-number&gt;493&lt;/rec-number&gt;&lt;foreign-keys&gt;&lt;key app="EN" db-id="ezfa0awta2ze5se9vz25asd0v2xevvev99pd" timestamp="1438258648"&gt;493&lt;/key&gt;&lt;/foreign-keys&gt;&lt;ref-type name="Journal Article"&gt;17&lt;/ref-type&gt;&lt;contributors&gt;&lt;authors&gt;&lt;author&gt;Abba, K&lt;/author&gt;&lt;author&gt;Byrne, P&lt;/author&gt;&lt;author&gt;Horton, S.&lt;/author&gt;&lt;author&gt;Lloyd-Williams, M.&lt;/author&gt;&lt;/authors&gt;&lt;/contributors&gt;&lt;titles&gt;&lt;title&gt;Interventions to encouage discussion of end of life preferences between members of the general population and the people closest to them - a systematic review &lt;/title&gt;&lt;secondary-title&gt;BMC Palliative Care&lt;/secondary-title&gt;&lt;/titles&gt;&lt;periodical&gt;&lt;full-title&gt;BMC Palliative Care&lt;/full-title&gt;&lt;/periodical&gt;&lt;pages&gt;doi:10.1186/1472-684X-12-40&lt;/pages&gt;&lt;volume&gt;12&lt;/volume&gt;&lt;number&gt;40&lt;/number&gt;&lt;dates&gt;&lt;year&gt;2013&lt;/year&gt;&lt;/dates&gt;&lt;urls&gt;&lt;related-urls&gt;&lt;url&gt;http://www.biomedcentral.com/1472-684X/12/40&lt;/url&gt;&lt;/related-urls&gt;&lt;/urls&gt;&lt;/record&gt;&lt;/Cite&gt;&lt;/EndNote&gt;</w:instrText>
      </w:r>
      <w:r w:rsidR="005E38AB">
        <w:rPr>
          <w:rFonts w:ascii="Arial" w:hAnsi="Arial" w:cs="Arial"/>
        </w:rPr>
        <w:fldChar w:fldCharType="separate"/>
      </w:r>
      <w:r w:rsidR="00716E55">
        <w:rPr>
          <w:rFonts w:ascii="Arial" w:hAnsi="Arial" w:cs="Arial"/>
          <w:noProof/>
        </w:rPr>
        <w:t>[</w:t>
      </w:r>
      <w:hyperlink w:anchor="_ENREF_20" w:tooltip="Abba, 2013 #493" w:history="1">
        <w:r w:rsidR="00716E55">
          <w:rPr>
            <w:rFonts w:ascii="Arial" w:hAnsi="Arial" w:cs="Arial"/>
            <w:noProof/>
          </w:rPr>
          <w:t>20</w:t>
        </w:r>
      </w:hyperlink>
      <w:r w:rsidR="00716E55">
        <w:rPr>
          <w:rFonts w:ascii="Arial" w:hAnsi="Arial" w:cs="Arial"/>
          <w:noProof/>
        </w:rPr>
        <w:t>]</w:t>
      </w:r>
      <w:r w:rsidR="005E38AB">
        <w:rPr>
          <w:rFonts w:ascii="Arial" w:hAnsi="Arial" w:cs="Arial"/>
        </w:rPr>
        <w:fldChar w:fldCharType="end"/>
      </w:r>
      <w:r w:rsidR="005F2F29" w:rsidRPr="000B15AB">
        <w:rPr>
          <w:rFonts w:ascii="Arial" w:hAnsi="Arial" w:cs="Arial"/>
          <w:color w:val="FF0000"/>
        </w:rPr>
        <w:t xml:space="preserve"> </w:t>
      </w:r>
      <w:r w:rsidR="005F2F29">
        <w:rPr>
          <w:rFonts w:ascii="Arial" w:hAnsi="Arial" w:cs="Arial"/>
        </w:rPr>
        <w:t>that</w:t>
      </w:r>
      <w:r w:rsidR="0048236A">
        <w:rPr>
          <w:rFonts w:ascii="Arial" w:hAnsi="Arial" w:cs="Arial"/>
        </w:rPr>
        <w:t>, in the right context,</w:t>
      </w:r>
      <w:r w:rsidR="00E44D54">
        <w:rPr>
          <w:rFonts w:ascii="Arial" w:hAnsi="Arial" w:cs="Arial"/>
        </w:rPr>
        <w:t xml:space="preserve"> </w:t>
      </w:r>
      <w:r w:rsidR="005F2F29">
        <w:rPr>
          <w:rFonts w:ascii="Arial" w:hAnsi="Arial" w:cs="Arial"/>
        </w:rPr>
        <w:t xml:space="preserve">people often appreciate the opportunity to talk about issues relating to </w:t>
      </w:r>
      <w:r w:rsidR="00E44D54">
        <w:rPr>
          <w:rFonts w:ascii="Arial" w:hAnsi="Arial" w:cs="Arial"/>
        </w:rPr>
        <w:t xml:space="preserve">death and </w:t>
      </w:r>
      <w:r w:rsidR="005F2F29">
        <w:rPr>
          <w:rFonts w:ascii="Arial" w:hAnsi="Arial" w:cs="Arial"/>
        </w:rPr>
        <w:t>end of life</w:t>
      </w:r>
      <w:r w:rsidR="0062464D">
        <w:rPr>
          <w:rFonts w:ascii="Arial" w:hAnsi="Arial" w:cs="Arial"/>
        </w:rPr>
        <w:t>.</w:t>
      </w:r>
    </w:p>
    <w:p w:rsidR="00D07768" w:rsidRDefault="00E94C70" w:rsidP="004520FC">
      <w:pPr>
        <w:spacing w:line="360" w:lineRule="auto"/>
        <w:rPr>
          <w:rFonts w:ascii="Arial" w:hAnsi="Arial" w:cs="Arial"/>
        </w:rPr>
      </w:pPr>
      <w:r>
        <w:rPr>
          <w:rFonts w:ascii="Arial" w:hAnsi="Arial" w:cs="Arial"/>
        </w:rPr>
        <w:t>In published literature, other</w:t>
      </w:r>
      <w:r w:rsidR="00035531">
        <w:rPr>
          <w:rFonts w:ascii="Arial" w:hAnsi="Arial" w:cs="Arial"/>
        </w:rPr>
        <w:t xml:space="preserve"> </w:t>
      </w:r>
      <w:r w:rsidR="00275448">
        <w:rPr>
          <w:rFonts w:ascii="Arial" w:hAnsi="Arial" w:cs="Arial"/>
        </w:rPr>
        <w:t>interventions</w:t>
      </w:r>
      <w:r w:rsidR="001861F3">
        <w:rPr>
          <w:rFonts w:ascii="Arial" w:hAnsi="Arial" w:cs="Arial"/>
        </w:rPr>
        <w:t xml:space="preserve"> </w:t>
      </w:r>
      <w:r w:rsidR="00B20FCD">
        <w:rPr>
          <w:rFonts w:ascii="Arial" w:hAnsi="Arial" w:cs="Arial"/>
        </w:rPr>
        <w:t>that were well-regarded</w:t>
      </w:r>
      <w:r w:rsidR="008C150F">
        <w:rPr>
          <w:rFonts w:ascii="Arial" w:hAnsi="Arial" w:cs="Arial"/>
        </w:rPr>
        <w:t xml:space="preserve"> </w:t>
      </w:r>
      <w:r w:rsidR="00950CD3">
        <w:rPr>
          <w:rFonts w:ascii="Arial" w:hAnsi="Arial" w:cs="Arial"/>
        </w:rPr>
        <w:t>by participants</w:t>
      </w:r>
      <w:r w:rsidR="00C41938">
        <w:rPr>
          <w:rFonts w:ascii="Arial" w:hAnsi="Arial" w:cs="Arial"/>
        </w:rPr>
        <w:t>,</w:t>
      </w:r>
      <w:r w:rsidR="00275448">
        <w:rPr>
          <w:rFonts w:ascii="Arial" w:hAnsi="Arial" w:cs="Arial"/>
        </w:rPr>
        <w:t xml:space="preserve"> </w:t>
      </w:r>
      <w:r>
        <w:rPr>
          <w:rFonts w:ascii="Arial" w:hAnsi="Arial" w:cs="Arial"/>
        </w:rPr>
        <w:t>and were able to generate discussion</w:t>
      </w:r>
      <w:r w:rsidR="00C41938">
        <w:rPr>
          <w:rFonts w:ascii="Arial" w:hAnsi="Arial" w:cs="Arial"/>
        </w:rPr>
        <w:t>,</w:t>
      </w:r>
      <w:r>
        <w:rPr>
          <w:rFonts w:ascii="Arial" w:hAnsi="Arial" w:cs="Arial"/>
        </w:rPr>
        <w:t xml:space="preserve"> </w:t>
      </w:r>
      <w:r w:rsidR="00950CD3">
        <w:rPr>
          <w:rFonts w:ascii="Arial" w:hAnsi="Arial" w:cs="Arial"/>
        </w:rPr>
        <w:t xml:space="preserve">include </w:t>
      </w:r>
      <w:r w:rsidR="0098223C">
        <w:rPr>
          <w:rFonts w:ascii="Arial" w:hAnsi="Arial" w:cs="Arial"/>
        </w:rPr>
        <w:t xml:space="preserve">a </w:t>
      </w:r>
      <w:r w:rsidR="00497F06" w:rsidRPr="00E535C9">
        <w:rPr>
          <w:rFonts w:ascii="Arial" w:hAnsi="Arial" w:cs="Arial"/>
        </w:rPr>
        <w:t>coll</w:t>
      </w:r>
      <w:r w:rsidR="00950CD3">
        <w:rPr>
          <w:rFonts w:ascii="Arial" w:hAnsi="Arial" w:cs="Arial"/>
        </w:rPr>
        <w:t>aboration between academics</w:t>
      </w:r>
      <w:r w:rsidR="00497F06" w:rsidRPr="00E535C9">
        <w:rPr>
          <w:rFonts w:ascii="Arial" w:hAnsi="Arial" w:cs="Arial"/>
        </w:rPr>
        <w:t xml:space="preserve"> and older people to develop an information booklet and p</w:t>
      </w:r>
      <w:r w:rsidR="00497F06">
        <w:rPr>
          <w:rFonts w:ascii="Arial" w:hAnsi="Arial" w:cs="Arial"/>
        </w:rPr>
        <w:t xml:space="preserve">eer education programme </w:t>
      </w:r>
      <w:r w:rsidR="00497F06">
        <w:rPr>
          <w:rFonts w:ascii="Arial" w:hAnsi="Arial" w:cs="Arial"/>
        </w:rPr>
        <w:fldChar w:fldCharType="begin">
          <w:fldData xml:space="preserve">PEVuZE5vdGU+PENpdGU+PEF1dGhvcj5TZXltb3VyPC9BdXRob3I+PFllYXI+MjAxMTwvWWVhcj48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</w:fldData>
        </w:fldChar>
      </w:r>
      <w:r w:rsidR="00716E55">
        <w:rPr>
          <w:rFonts w:ascii="Arial" w:hAnsi="Arial" w:cs="Arial"/>
        </w:rPr>
        <w:instrText xml:space="preserve"> ADDIN EN.CITE </w:instrText>
      </w:r>
      <w:r w:rsidR="00716E55">
        <w:rPr>
          <w:rFonts w:ascii="Arial" w:hAnsi="Arial" w:cs="Arial"/>
        </w:rPr>
        <w:fldChar w:fldCharType="begin">
          <w:fldData xml:space="preserve">PEVuZE5vdGU+PENpdGU+PEF1dGhvcj5TZXltb3VyPC9BdXRob3I+PFllYXI+MjAxMTwvWWVhcj48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</w:fldData>
        </w:fldChar>
      </w:r>
      <w:r w:rsidR="00716E55">
        <w:rPr>
          <w:rFonts w:ascii="Arial" w:hAnsi="Arial" w:cs="Arial"/>
        </w:rPr>
        <w:instrText xml:space="preserve"> ADDIN EN.CITE.DATA </w:instrText>
      </w:r>
      <w:r w:rsidR="00716E55">
        <w:rPr>
          <w:rFonts w:ascii="Arial" w:hAnsi="Arial" w:cs="Arial"/>
        </w:rPr>
      </w:r>
      <w:r w:rsidR="00716E55">
        <w:rPr>
          <w:rFonts w:ascii="Arial" w:hAnsi="Arial" w:cs="Arial"/>
        </w:rPr>
        <w:fldChar w:fldCharType="end"/>
      </w:r>
      <w:r w:rsidR="00497F06">
        <w:rPr>
          <w:rFonts w:ascii="Arial" w:hAnsi="Arial" w:cs="Arial"/>
        </w:rPr>
      </w:r>
      <w:r w:rsidR="00497F06">
        <w:rPr>
          <w:rFonts w:ascii="Arial" w:hAnsi="Arial" w:cs="Arial"/>
        </w:rPr>
        <w:fldChar w:fldCharType="separate"/>
      </w:r>
      <w:r w:rsidR="00716E55">
        <w:rPr>
          <w:rFonts w:ascii="Arial" w:hAnsi="Arial" w:cs="Arial"/>
          <w:noProof/>
        </w:rPr>
        <w:t>[</w:t>
      </w:r>
      <w:hyperlink w:anchor="_ENREF_32" w:tooltip="Seymour, 2011 #411" w:history="1">
        <w:r w:rsidR="00716E55">
          <w:rPr>
            <w:rFonts w:ascii="Arial" w:hAnsi="Arial" w:cs="Arial"/>
            <w:noProof/>
          </w:rPr>
          <w:t>32</w:t>
        </w:r>
      </w:hyperlink>
      <w:r w:rsidR="00716E55">
        <w:rPr>
          <w:rFonts w:ascii="Arial" w:hAnsi="Arial" w:cs="Arial"/>
          <w:noProof/>
        </w:rPr>
        <w:t>]</w:t>
      </w:r>
      <w:r w:rsidR="00497F06">
        <w:rPr>
          <w:rFonts w:ascii="Arial" w:hAnsi="Arial" w:cs="Arial"/>
        </w:rPr>
        <w:fldChar w:fldCharType="end"/>
      </w:r>
      <w:r w:rsidR="00497F06">
        <w:rPr>
          <w:rFonts w:ascii="Arial" w:hAnsi="Arial" w:cs="Arial"/>
        </w:rPr>
        <w:t>;</w:t>
      </w:r>
      <w:r w:rsidR="00950CD3">
        <w:rPr>
          <w:rFonts w:ascii="Arial" w:hAnsi="Arial" w:cs="Arial"/>
        </w:rPr>
        <w:t xml:space="preserve"> a series of</w:t>
      </w:r>
      <w:r w:rsidR="00497F06" w:rsidRPr="00E535C9">
        <w:rPr>
          <w:rFonts w:ascii="Arial" w:hAnsi="Arial" w:cs="Arial"/>
        </w:rPr>
        <w:t xml:space="preserve"> public information</w:t>
      </w:r>
      <w:r w:rsidR="00497F06">
        <w:rPr>
          <w:rFonts w:ascii="Arial" w:hAnsi="Arial" w:cs="Arial"/>
        </w:rPr>
        <w:t xml:space="preserve"> </w:t>
      </w:r>
      <w:r w:rsidR="00275448">
        <w:rPr>
          <w:rFonts w:ascii="Arial" w:hAnsi="Arial" w:cs="Arial"/>
        </w:rPr>
        <w:t>‘</w:t>
      </w:r>
      <w:r w:rsidR="00497F06" w:rsidRPr="00E535C9">
        <w:rPr>
          <w:rFonts w:ascii="Arial" w:hAnsi="Arial" w:cs="Arial"/>
        </w:rPr>
        <w:t>roadshows</w:t>
      </w:r>
      <w:r w:rsidR="00275448">
        <w:rPr>
          <w:rFonts w:ascii="Arial" w:hAnsi="Arial" w:cs="Arial"/>
        </w:rPr>
        <w:t>’</w:t>
      </w:r>
      <w:r w:rsidR="00497F06" w:rsidRPr="00E535C9">
        <w:rPr>
          <w:rFonts w:ascii="Arial" w:hAnsi="Arial" w:cs="Arial"/>
        </w:rPr>
        <w:t xml:space="preserve"> held in town centres </w:t>
      </w:r>
      <w:r w:rsidR="00497F06">
        <w:rPr>
          <w:rFonts w:ascii="Arial" w:hAnsi="Arial" w:cs="Arial"/>
        </w:rPr>
        <w:fldChar w:fldCharType="begin"/>
      </w:r>
      <w:r w:rsidR="00716E55">
        <w:rPr>
          <w:rFonts w:ascii="Arial" w:hAnsi="Arial" w:cs="Arial"/>
        </w:rPr>
        <w:instrText xml:space="preserve"> ADDIN EN.CITE &lt;EndNote&gt;&lt;Cite&gt;&lt;Author&gt;Hickey&lt;/Author&gt;&lt;Year&gt;2012&lt;/Year&gt;&lt;RecNum&gt;293&lt;/RecNum&gt;&lt;DisplayText&gt;[33]&lt;/DisplayText&gt;&lt;record&gt;&lt;rec-number&gt;293&lt;/rec-number&gt;&lt;foreign-keys&gt;&lt;key app="EN" db-id="ezfa0awta2ze5se9vz25asd0v2xevvev99pd" timestamp="1352990437"&gt;293&lt;/key&gt;&lt;/foreign-keys&gt;&lt;ref-type name="Journal Article"&gt;17&lt;/ref-type&gt;&lt;contributors&gt;&lt;authors&gt;&lt;author&gt;Hickey, D.&lt;/author&gt;&lt;author&gt;Quinn, S.&lt;/author&gt;&lt;/authors&gt;&lt;/contributors&gt;&lt;titles&gt;&lt;title&gt;I don&amp;apos;t want to talk about it. Raising public awareness of end-of-life care planning in your locality&lt;/title&gt;&lt;secondary-title&gt;International Journal of Palliative Nursing&lt;/secondary-title&gt;&lt;/titles&gt;&lt;periodical&gt;&lt;full-title&gt;International Journal of Palliative Nursing&lt;/full-title&gt;&lt;/periodical&gt;&lt;pages&gt;241-247&lt;/pages&gt;&lt;volume&gt;18&lt;/volume&gt;&lt;number&gt;5&lt;/number&gt;&lt;dates&gt;&lt;year&gt;2012&lt;/year&gt;&lt;/dates&gt;&lt;urls&gt;&lt;related-urls&gt;&lt;url&gt;http://www.scopus.com/inward/record.url?eid=2-s2.0-84865440595&amp;amp;partnerID=40&amp;amp;md5=38749c8e4ddf8bc5baa98a57894a686a&lt;/url&gt;&lt;/related-urls&gt;&lt;/urls&gt;&lt;/record&gt;&lt;/Cite&gt;&lt;/EndNote&gt;</w:instrText>
      </w:r>
      <w:r w:rsidR="00497F06">
        <w:rPr>
          <w:rFonts w:ascii="Arial" w:hAnsi="Arial" w:cs="Arial"/>
        </w:rPr>
        <w:fldChar w:fldCharType="separate"/>
      </w:r>
      <w:r w:rsidR="00716E55">
        <w:rPr>
          <w:rFonts w:ascii="Arial" w:hAnsi="Arial" w:cs="Arial"/>
          <w:noProof/>
        </w:rPr>
        <w:t>[</w:t>
      </w:r>
      <w:hyperlink w:anchor="_ENREF_33" w:tooltip="Hickey, 2012 #293" w:history="1">
        <w:r w:rsidR="00716E55">
          <w:rPr>
            <w:rFonts w:ascii="Arial" w:hAnsi="Arial" w:cs="Arial"/>
            <w:noProof/>
          </w:rPr>
          <w:t>33</w:t>
        </w:r>
      </w:hyperlink>
      <w:r w:rsidR="00716E55">
        <w:rPr>
          <w:rFonts w:ascii="Arial" w:hAnsi="Arial" w:cs="Arial"/>
          <w:noProof/>
        </w:rPr>
        <w:t>]</w:t>
      </w:r>
      <w:r w:rsidR="00497F06">
        <w:rPr>
          <w:rFonts w:ascii="Arial" w:hAnsi="Arial" w:cs="Arial"/>
        </w:rPr>
        <w:fldChar w:fldCharType="end"/>
      </w:r>
      <w:r w:rsidR="00497F06">
        <w:rPr>
          <w:rFonts w:ascii="Arial" w:hAnsi="Arial" w:cs="Arial"/>
        </w:rPr>
        <w:t xml:space="preserve"> and publicly advertised ‘</w:t>
      </w:r>
      <w:r w:rsidR="00275448">
        <w:rPr>
          <w:rFonts w:ascii="Arial" w:hAnsi="Arial" w:cs="Arial"/>
        </w:rPr>
        <w:t>Café Conversation’ events</w:t>
      </w:r>
      <w:r w:rsidR="00035531">
        <w:rPr>
          <w:rFonts w:ascii="Arial" w:hAnsi="Arial" w:cs="Arial"/>
        </w:rPr>
        <w:t xml:space="preserve"> </w:t>
      </w:r>
      <w:r w:rsidR="00497F06">
        <w:rPr>
          <w:rFonts w:ascii="Arial" w:hAnsi="Arial" w:cs="Arial"/>
        </w:rPr>
        <w:fldChar w:fldCharType="begin"/>
      </w:r>
      <w:r w:rsidR="00716E55">
        <w:rPr>
          <w:rFonts w:ascii="Arial" w:hAnsi="Arial" w:cs="Arial"/>
        </w:rPr>
        <w:instrText xml:space="preserve"> ADDIN EN.CITE &lt;EndNote&gt;&lt;Cite&gt;&lt;Author&gt;McLoughlin&lt;/Author&gt;&lt;Year&gt;2016&lt;/Year&gt;&lt;RecNum&gt;1309&lt;/RecNum&gt;&lt;DisplayText&gt;[27]&lt;/DisplayText&gt;&lt;record&gt;&lt;rec-number&gt;1309&lt;/rec-number&gt;&lt;foreign-keys&gt;&lt;key app="EN" db-id="ezfa0awta2ze5se9vz25asd0v2xevvev99pd" timestamp="1540811000"&gt;1309&lt;/key&gt;&lt;/foreign-keys&gt;&lt;ref-type name="Journal Article"&gt;17&lt;/ref-type&gt;&lt;contributors&gt;&lt;authors&gt;&lt;author&gt;McLoughlin, K., McGilloway, S., Lloyd, R., O&amp;apos;Connor, M., Rhatigan, J., Shanahan, M., Richardson, M., Keevey, A. &lt;/author&gt;&lt;/authors&gt;&lt;/contributors&gt;&lt;titles&gt;&lt;title&gt;Walls, wisdom, worries, and wishes: Engaging communities in discussion about death, dying, loss, and care using Cafe Conversation  &lt;/title&gt;&lt;secondary-title&gt;Progress in Palliative Care &lt;/secondary-title&gt;&lt;/titles&gt;&lt;periodical&gt;&lt;full-title&gt;Progress in Palliative Care&lt;/full-title&gt;&lt;/periodical&gt;&lt;pages&gt;9-14&lt;/pages&gt;&lt;volume&gt;24&lt;/volume&gt;&lt;number&gt;1&lt;/number&gt;&lt;dates&gt;&lt;year&gt;2016&lt;/year&gt;&lt;/dates&gt;&lt;urls&gt;&lt;/urls&gt;&lt;/record&gt;&lt;/Cite&gt;&lt;/EndNote&gt;</w:instrText>
      </w:r>
      <w:r w:rsidR="00497F06">
        <w:rPr>
          <w:rFonts w:ascii="Arial" w:hAnsi="Arial" w:cs="Arial"/>
        </w:rPr>
        <w:fldChar w:fldCharType="separate"/>
      </w:r>
      <w:r w:rsidR="00716E55">
        <w:rPr>
          <w:rFonts w:ascii="Arial" w:hAnsi="Arial" w:cs="Arial"/>
          <w:noProof/>
        </w:rPr>
        <w:t>[</w:t>
      </w:r>
      <w:hyperlink w:anchor="_ENREF_27" w:tooltip="McLoughlin, 2016 #1309" w:history="1">
        <w:r w:rsidR="00716E55">
          <w:rPr>
            <w:rFonts w:ascii="Arial" w:hAnsi="Arial" w:cs="Arial"/>
            <w:noProof/>
          </w:rPr>
          <w:t>27</w:t>
        </w:r>
      </w:hyperlink>
      <w:r w:rsidR="00716E55">
        <w:rPr>
          <w:rFonts w:ascii="Arial" w:hAnsi="Arial" w:cs="Arial"/>
          <w:noProof/>
        </w:rPr>
        <w:t>]</w:t>
      </w:r>
      <w:r w:rsidR="00497F06">
        <w:rPr>
          <w:rFonts w:ascii="Arial" w:hAnsi="Arial" w:cs="Arial"/>
        </w:rPr>
        <w:fldChar w:fldCharType="end"/>
      </w:r>
      <w:r w:rsidR="008C150F">
        <w:rPr>
          <w:rFonts w:ascii="Arial" w:hAnsi="Arial" w:cs="Arial"/>
        </w:rPr>
        <w:t>. All of t</w:t>
      </w:r>
      <w:r w:rsidR="00950CD3">
        <w:rPr>
          <w:rFonts w:ascii="Arial" w:hAnsi="Arial" w:cs="Arial"/>
        </w:rPr>
        <w:t xml:space="preserve">hese </w:t>
      </w:r>
      <w:r w:rsidR="00C03802">
        <w:rPr>
          <w:rFonts w:ascii="Arial" w:hAnsi="Arial" w:cs="Arial"/>
        </w:rPr>
        <w:t>intervention</w:t>
      </w:r>
      <w:r w:rsidR="00950CD3">
        <w:rPr>
          <w:rFonts w:ascii="Arial" w:hAnsi="Arial" w:cs="Arial"/>
        </w:rPr>
        <w:t>s</w:t>
      </w:r>
      <w:r w:rsidR="0078257E">
        <w:rPr>
          <w:rFonts w:ascii="Arial" w:hAnsi="Arial" w:cs="Arial"/>
        </w:rPr>
        <w:t xml:space="preserve">, </w:t>
      </w:r>
      <w:r w:rsidR="00B20FCD">
        <w:rPr>
          <w:rFonts w:ascii="Arial" w:hAnsi="Arial" w:cs="Arial"/>
        </w:rPr>
        <w:t>like the CLWDW events, were participatory or interactive in nature, covered subjects of universal relevance (such as planning funerals and coping with bereavement), and</w:t>
      </w:r>
      <w:r w:rsidR="00B20FCD" w:rsidRPr="00B20FCD">
        <w:rPr>
          <w:rFonts w:ascii="Arial" w:hAnsi="Arial" w:cs="Arial"/>
        </w:rPr>
        <w:t xml:space="preserve"> </w:t>
      </w:r>
      <w:r w:rsidR="00B20FCD">
        <w:rPr>
          <w:rFonts w:ascii="Arial" w:hAnsi="Arial" w:cs="Arial"/>
        </w:rPr>
        <w:t xml:space="preserve">ensured that participation was </w:t>
      </w:r>
      <w:r w:rsidR="00613F56">
        <w:rPr>
          <w:rFonts w:ascii="Arial" w:hAnsi="Arial" w:cs="Arial"/>
        </w:rPr>
        <w:t xml:space="preserve">both </w:t>
      </w:r>
      <w:r w:rsidR="00B20FCD">
        <w:rPr>
          <w:rFonts w:ascii="Arial" w:hAnsi="Arial" w:cs="Arial"/>
        </w:rPr>
        <w:t xml:space="preserve">informed and optional. </w:t>
      </w:r>
      <w:r w:rsidR="00275448">
        <w:rPr>
          <w:rFonts w:ascii="Arial" w:hAnsi="Arial" w:cs="Arial"/>
        </w:rPr>
        <w:t>In contrast, an</w:t>
      </w:r>
      <w:r w:rsidR="0098223C">
        <w:rPr>
          <w:rFonts w:ascii="Arial" w:hAnsi="Arial" w:cs="Arial"/>
        </w:rPr>
        <w:t xml:space="preserve"> </w:t>
      </w:r>
      <w:r w:rsidR="00C03802">
        <w:rPr>
          <w:rFonts w:ascii="Arial" w:hAnsi="Arial" w:cs="Arial"/>
        </w:rPr>
        <w:t xml:space="preserve">information-based </w:t>
      </w:r>
      <w:r w:rsidR="0098223C">
        <w:rPr>
          <w:rFonts w:ascii="Arial" w:hAnsi="Arial" w:cs="Arial"/>
        </w:rPr>
        <w:t>end of life planning module</w:t>
      </w:r>
      <w:r w:rsidR="0078257E">
        <w:rPr>
          <w:rFonts w:ascii="Arial" w:hAnsi="Arial" w:cs="Arial"/>
        </w:rPr>
        <w:t xml:space="preserve">, </w:t>
      </w:r>
      <w:r w:rsidR="008C150F">
        <w:rPr>
          <w:rFonts w:ascii="Arial" w:hAnsi="Arial" w:cs="Arial"/>
        </w:rPr>
        <w:t>included</w:t>
      </w:r>
      <w:r w:rsidR="00275448">
        <w:rPr>
          <w:rFonts w:ascii="Arial" w:hAnsi="Arial" w:cs="Arial"/>
        </w:rPr>
        <w:t xml:space="preserve"> </w:t>
      </w:r>
      <w:r w:rsidR="000114CE">
        <w:rPr>
          <w:rFonts w:ascii="Arial" w:hAnsi="Arial" w:cs="Arial"/>
        </w:rPr>
        <w:t>without prior warning</w:t>
      </w:r>
      <w:r w:rsidR="008C150F">
        <w:rPr>
          <w:rFonts w:ascii="Arial" w:hAnsi="Arial" w:cs="Arial"/>
        </w:rPr>
        <w:t xml:space="preserve"> within</w:t>
      </w:r>
      <w:r w:rsidR="0098223C">
        <w:rPr>
          <w:rFonts w:ascii="Arial" w:hAnsi="Arial" w:cs="Arial"/>
        </w:rPr>
        <w:t xml:space="preserve"> an </w:t>
      </w:r>
      <w:r w:rsidR="00C03802">
        <w:rPr>
          <w:rFonts w:ascii="Arial" w:hAnsi="Arial" w:cs="Arial"/>
        </w:rPr>
        <w:t>‘</w:t>
      </w:r>
      <w:r w:rsidR="0098223C">
        <w:rPr>
          <w:rFonts w:ascii="Arial" w:hAnsi="Arial" w:cs="Arial"/>
        </w:rPr>
        <w:t>expert patient</w:t>
      </w:r>
      <w:r w:rsidR="00C03802">
        <w:rPr>
          <w:rFonts w:ascii="Arial" w:hAnsi="Arial" w:cs="Arial"/>
        </w:rPr>
        <w:t>’</w:t>
      </w:r>
      <w:r w:rsidR="0098223C">
        <w:rPr>
          <w:rFonts w:ascii="Arial" w:hAnsi="Arial" w:cs="Arial"/>
        </w:rPr>
        <w:t xml:space="preserve"> </w:t>
      </w:r>
      <w:r w:rsidR="00275448">
        <w:rPr>
          <w:rFonts w:ascii="Arial" w:hAnsi="Arial" w:cs="Arial"/>
        </w:rPr>
        <w:t xml:space="preserve">chronic disease management </w:t>
      </w:r>
      <w:r w:rsidR="0098223C">
        <w:rPr>
          <w:rFonts w:ascii="Arial" w:hAnsi="Arial" w:cs="Arial"/>
        </w:rPr>
        <w:t>education programme</w:t>
      </w:r>
      <w:r w:rsidR="0078257E">
        <w:rPr>
          <w:rFonts w:ascii="Arial" w:hAnsi="Arial" w:cs="Arial"/>
        </w:rPr>
        <w:t>,</w:t>
      </w:r>
      <w:r w:rsidR="00275448">
        <w:rPr>
          <w:rFonts w:ascii="Arial" w:hAnsi="Arial" w:cs="Arial"/>
        </w:rPr>
        <w:t xml:space="preserve"> was felt by participant</w:t>
      </w:r>
      <w:r w:rsidR="008C150F">
        <w:rPr>
          <w:rFonts w:ascii="Arial" w:hAnsi="Arial" w:cs="Arial"/>
        </w:rPr>
        <w:t>s to be inappropriate</w:t>
      </w:r>
      <w:r>
        <w:rPr>
          <w:rFonts w:ascii="Arial" w:hAnsi="Arial" w:cs="Arial"/>
        </w:rPr>
        <w:t xml:space="preserve"> in that context</w:t>
      </w:r>
      <w:r w:rsidR="0078257E">
        <w:rPr>
          <w:rFonts w:ascii="Arial" w:hAnsi="Arial" w:cs="Arial"/>
        </w:rPr>
        <w:t xml:space="preserve">, and </w:t>
      </w:r>
      <w:r w:rsidR="008C150F">
        <w:rPr>
          <w:rFonts w:ascii="Arial" w:hAnsi="Arial" w:cs="Arial"/>
        </w:rPr>
        <w:t xml:space="preserve">caused distress to some who had recently been bereaved </w:t>
      </w:r>
      <w:r w:rsidR="00275448">
        <w:rPr>
          <w:rFonts w:ascii="Arial" w:hAnsi="Arial" w:cs="Arial"/>
        </w:rPr>
        <w:fldChar w:fldCharType="begin"/>
      </w:r>
      <w:r w:rsidR="00716E55">
        <w:rPr>
          <w:rFonts w:ascii="Arial" w:hAnsi="Arial" w:cs="Arial"/>
        </w:rPr>
        <w:instrText xml:space="preserve"> ADDIN EN.CITE &lt;EndNote&gt;&lt;Cite&gt;&lt;Author&gt;Sanders&lt;/Author&gt;&lt;Year&gt;2008&lt;/Year&gt;&lt;RecNum&gt;327&lt;/RecNum&gt;&lt;DisplayText&gt;[34]&lt;/DisplayText&gt;&lt;record&gt;&lt;rec-number&gt;327&lt;/rec-number&gt;&lt;foreign-keys&gt;&lt;key app="EN" db-id="ezfa0awta2ze5se9vz25asd0v2xevvev99pd" timestamp="1355758940"&gt;327&lt;/key&gt;&lt;/foreign-keys&gt;&lt;ref-type name="Journal Article"&gt;17&lt;/ref-type&gt;&lt;contributors&gt;&lt;authors&gt;&lt;author&gt;Sanders, C.&lt;/author&gt;&lt;author&gt;Rogers, A.&lt;/author&gt;&lt;author&gt;Gately, C.&lt;/author&gt;&lt;author&gt;Kennedy, A.&lt;/author&gt;&lt;/authors&gt;&lt;/contributors&gt;&lt;titles&gt;&lt;title&gt;Planning for end of life care within lay-led chronic illness self-managment training: The significance of &amp;apos;death awareness&amp;apos; and biographial context in participant accounts&lt;/title&gt;&lt;secondary-title&gt;Social Science and Medicine&lt;/secondary-title&gt;&lt;/titles&gt;&lt;periodical&gt;&lt;full-title&gt;Social Science and Medicine&lt;/full-title&gt;&lt;/periodical&gt;&lt;pages&gt;982-93&lt;/pages&gt;&lt;volume&gt;66&lt;/volume&gt;&lt;dates&gt;&lt;year&gt;2008&lt;/year&gt;&lt;/dates&gt;&lt;urls&gt;&lt;/urls&gt;&lt;/record&gt;&lt;/Cite&gt;&lt;/EndNote&gt;</w:instrText>
      </w:r>
      <w:r w:rsidR="00275448">
        <w:rPr>
          <w:rFonts w:ascii="Arial" w:hAnsi="Arial" w:cs="Arial"/>
        </w:rPr>
        <w:fldChar w:fldCharType="separate"/>
      </w:r>
      <w:r w:rsidR="00716E55">
        <w:rPr>
          <w:rFonts w:ascii="Arial" w:hAnsi="Arial" w:cs="Arial"/>
          <w:noProof/>
        </w:rPr>
        <w:t>[</w:t>
      </w:r>
      <w:hyperlink w:anchor="_ENREF_34" w:tooltip="Sanders, 2008 #327" w:history="1">
        <w:r w:rsidR="00716E55">
          <w:rPr>
            <w:rFonts w:ascii="Arial" w:hAnsi="Arial" w:cs="Arial"/>
            <w:noProof/>
          </w:rPr>
          <w:t>34</w:t>
        </w:r>
      </w:hyperlink>
      <w:r w:rsidR="00716E55">
        <w:rPr>
          <w:rFonts w:ascii="Arial" w:hAnsi="Arial" w:cs="Arial"/>
          <w:noProof/>
        </w:rPr>
        <w:t>]</w:t>
      </w:r>
      <w:r w:rsidR="00275448">
        <w:rPr>
          <w:rFonts w:ascii="Arial" w:hAnsi="Arial" w:cs="Arial"/>
        </w:rPr>
        <w:fldChar w:fldCharType="end"/>
      </w:r>
      <w:r w:rsidR="00275448">
        <w:rPr>
          <w:rFonts w:ascii="Arial" w:hAnsi="Arial" w:cs="Arial"/>
        </w:rPr>
        <w:t xml:space="preserve">. </w:t>
      </w:r>
      <w:r w:rsidR="00C03802">
        <w:rPr>
          <w:rFonts w:ascii="Arial" w:hAnsi="Arial" w:cs="Arial"/>
        </w:rPr>
        <w:t xml:space="preserve"> </w:t>
      </w:r>
    </w:p>
    <w:p w:rsidR="00355C36" w:rsidRDefault="002C683B" w:rsidP="00345E97">
      <w:pPr>
        <w:spacing w:line="360" w:lineRule="auto"/>
        <w:rPr>
          <w:rFonts w:ascii="Arial" w:hAnsi="Arial" w:cs="Arial"/>
        </w:rPr>
      </w:pPr>
      <w:r>
        <w:rPr>
          <w:rFonts w:ascii="Arial" w:hAnsi="Arial" w:cs="Arial"/>
        </w:rPr>
        <w:t xml:space="preserve">Of those who responded to </w:t>
      </w:r>
      <w:r w:rsidR="00355C36">
        <w:rPr>
          <w:rFonts w:ascii="Arial" w:hAnsi="Arial" w:cs="Arial"/>
        </w:rPr>
        <w:t xml:space="preserve">all three parts of </w:t>
      </w:r>
      <w:r>
        <w:rPr>
          <w:rFonts w:ascii="Arial" w:hAnsi="Arial" w:cs="Arial"/>
        </w:rPr>
        <w:t>t</w:t>
      </w:r>
      <w:r w:rsidR="00E44D54">
        <w:rPr>
          <w:rFonts w:ascii="Arial" w:hAnsi="Arial" w:cs="Arial"/>
        </w:rPr>
        <w:t xml:space="preserve">he </w:t>
      </w:r>
      <w:r>
        <w:rPr>
          <w:rFonts w:ascii="Arial" w:hAnsi="Arial" w:cs="Arial"/>
        </w:rPr>
        <w:t xml:space="preserve">survey, 84% indicated </w:t>
      </w:r>
      <w:r w:rsidR="00E44D54">
        <w:rPr>
          <w:rFonts w:ascii="Arial" w:hAnsi="Arial" w:cs="Arial"/>
        </w:rPr>
        <w:t xml:space="preserve">their </w:t>
      </w:r>
      <w:r>
        <w:rPr>
          <w:rFonts w:ascii="Arial" w:hAnsi="Arial" w:cs="Arial"/>
        </w:rPr>
        <w:t xml:space="preserve">intention to take action post-intervention, and </w:t>
      </w:r>
      <w:r w:rsidR="00A20F83">
        <w:rPr>
          <w:rFonts w:ascii="Arial" w:hAnsi="Arial" w:cs="Arial"/>
        </w:rPr>
        <w:t>64</w:t>
      </w:r>
      <w:r w:rsidR="00B6288F">
        <w:rPr>
          <w:rFonts w:ascii="Arial" w:hAnsi="Arial" w:cs="Arial"/>
        </w:rPr>
        <w:t>% reported</w:t>
      </w:r>
      <w:r>
        <w:rPr>
          <w:rFonts w:ascii="Arial" w:hAnsi="Arial" w:cs="Arial"/>
        </w:rPr>
        <w:t xml:space="preserve"> taking action</w:t>
      </w:r>
      <w:r w:rsidR="00355C36">
        <w:rPr>
          <w:rFonts w:ascii="Arial" w:hAnsi="Arial" w:cs="Arial"/>
        </w:rPr>
        <w:t xml:space="preserve"> at three month’s follow-up;</w:t>
      </w:r>
      <w:r w:rsidR="00460ABE">
        <w:rPr>
          <w:rFonts w:ascii="Arial" w:hAnsi="Arial" w:cs="Arial"/>
        </w:rPr>
        <w:t xml:space="preserve"> the most frequent </w:t>
      </w:r>
      <w:r w:rsidR="00275448">
        <w:rPr>
          <w:rFonts w:ascii="Arial" w:hAnsi="Arial" w:cs="Arial"/>
        </w:rPr>
        <w:t xml:space="preserve">type of action </w:t>
      </w:r>
      <w:r w:rsidR="00460ABE">
        <w:rPr>
          <w:rFonts w:ascii="Arial" w:hAnsi="Arial" w:cs="Arial"/>
        </w:rPr>
        <w:t>being specific conversations with family members</w:t>
      </w:r>
      <w:r w:rsidR="00E44D54">
        <w:rPr>
          <w:rFonts w:ascii="Arial" w:hAnsi="Arial" w:cs="Arial"/>
        </w:rPr>
        <w:t>.</w:t>
      </w:r>
      <w:r w:rsidR="00033F48">
        <w:rPr>
          <w:rFonts w:ascii="Arial" w:hAnsi="Arial" w:cs="Arial"/>
        </w:rPr>
        <w:t xml:space="preserve"> </w:t>
      </w:r>
      <w:r w:rsidR="00460ABE">
        <w:rPr>
          <w:rFonts w:ascii="Arial" w:hAnsi="Arial" w:cs="Arial"/>
        </w:rPr>
        <w:t xml:space="preserve">These very high figures </w:t>
      </w:r>
      <w:r w:rsidR="007658A7">
        <w:rPr>
          <w:rFonts w:ascii="Arial" w:hAnsi="Arial" w:cs="Arial"/>
        </w:rPr>
        <w:t xml:space="preserve">may </w:t>
      </w:r>
      <w:r w:rsidR="00275448">
        <w:rPr>
          <w:rFonts w:ascii="Arial" w:hAnsi="Arial" w:cs="Arial"/>
        </w:rPr>
        <w:t xml:space="preserve">partly reflect </w:t>
      </w:r>
      <w:r w:rsidR="00355C36">
        <w:rPr>
          <w:rFonts w:ascii="Arial" w:hAnsi="Arial" w:cs="Arial"/>
        </w:rPr>
        <w:t>the</w:t>
      </w:r>
      <w:r w:rsidR="00275448">
        <w:rPr>
          <w:rFonts w:ascii="Arial" w:hAnsi="Arial" w:cs="Arial"/>
        </w:rPr>
        <w:t xml:space="preserve"> observed</w:t>
      </w:r>
      <w:r w:rsidR="00B336B3">
        <w:rPr>
          <w:rFonts w:ascii="Arial" w:hAnsi="Arial" w:cs="Arial"/>
        </w:rPr>
        <w:t xml:space="preserve"> response </w:t>
      </w:r>
      <w:r w:rsidR="00103C21">
        <w:rPr>
          <w:rFonts w:ascii="Arial" w:hAnsi="Arial" w:cs="Arial"/>
        </w:rPr>
        <w:t>bias</w:t>
      </w:r>
      <w:r w:rsidR="00355C36">
        <w:rPr>
          <w:rFonts w:ascii="Arial" w:hAnsi="Arial" w:cs="Arial"/>
        </w:rPr>
        <w:t>es</w:t>
      </w:r>
      <w:r w:rsidR="00103C21">
        <w:rPr>
          <w:rFonts w:ascii="Arial" w:hAnsi="Arial" w:cs="Arial"/>
        </w:rPr>
        <w:t>. To tes</w:t>
      </w:r>
      <w:r w:rsidR="00345E97">
        <w:rPr>
          <w:rFonts w:ascii="Arial" w:hAnsi="Arial" w:cs="Arial"/>
        </w:rPr>
        <w:t xml:space="preserve">t the possible extent of this, </w:t>
      </w:r>
      <w:r w:rsidR="00103C21">
        <w:rPr>
          <w:rFonts w:ascii="Arial" w:hAnsi="Arial" w:cs="Arial"/>
        </w:rPr>
        <w:t xml:space="preserve">we conducted a </w:t>
      </w:r>
      <w:r w:rsidR="00460ABE">
        <w:rPr>
          <w:rFonts w:ascii="Arial" w:hAnsi="Arial" w:cs="Arial"/>
        </w:rPr>
        <w:t>s</w:t>
      </w:r>
      <w:r w:rsidR="00B336B3">
        <w:rPr>
          <w:rFonts w:ascii="Arial" w:hAnsi="Arial" w:cs="Arial"/>
        </w:rPr>
        <w:t>ensitivity analysis</w:t>
      </w:r>
      <w:r w:rsidR="00345E97">
        <w:rPr>
          <w:rFonts w:ascii="Arial" w:hAnsi="Arial" w:cs="Arial"/>
        </w:rPr>
        <w:t>, a</w:t>
      </w:r>
      <w:r w:rsidR="00460ABE">
        <w:rPr>
          <w:rFonts w:ascii="Arial" w:hAnsi="Arial" w:cs="Arial"/>
        </w:rPr>
        <w:t>ssuming that no attendees other than those who responded to the 3-month follow-up survey and reported taking acti</w:t>
      </w:r>
      <w:r w:rsidR="00103C21">
        <w:rPr>
          <w:rFonts w:ascii="Arial" w:hAnsi="Arial" w:cs="Arial"/>
        </w:rPr>
        <w:t>on were influen</w:t>
      </w:r>
      <w:r w:rsidR="00E66D87">
        <w:rPr>
          <w:rFonts w:ascii="Arial" w:hAnsi="Arial" w:cs="Arial"/>
        </w:rPr>
        <w:t>ced by the event. This suggests</w:t>
      </w:r>
      <w:r w:rsidR="00460ABE">
        <w:rPr>
          <w:rFonts w:ascii="Arial" w:hAnsi="Arial" w:cs="Arial"/>
        </w:rPr>
        <w:t xml:space="preserve"> that a mi</w:t>
      </w:r>
      <w:r w:rsidR="00E66D87">
        <w:rPr>
          <w:rFonts w:ascii="Arial" w:hAnsi="Arial" w:cs="Arial"/>
        </w:rPr>
        <w:t>nimum of 12</w:t>
      </w:r>
      <w:r w:rsidR="00460ABE">
        <w:rPr>
          <w:rFonts w:ascii="Arial" w:hAnsi="Arial" w:cs="Arial"/>
        </w:rPr>
        <w:t xml:space="preserve">% (141/676) attendees took action; still a significant </w:t>
      </w:r>
      <w:r w:rsidR="00345E97">
        <w:rPr>
          <w:rFonts w:ascii="Arial" w:hAnsi="Arial" w:cs="Arial"/>
        </w:rPr>
        <w:t>proportion.</w:t>
      </w:r>
      <w:r w:rsidR="00345E97" w:rsidRPr="00345E97">
        <w:rPr>
          <w:rFonts w:ascii="Arial" w:hAnsi="Arial" w:cs="Arial"/>
        </w:rPr>
        <w:t xml:space="preserve"> </w:t>
      </w:r>
    </w:p>
    <w:p w:rsidR="00B336B3" w:rsidRDefault="00355C36" w:rsidP="004520FC">
      <w:pPr>
        <w:spacing w:line="360" w:lineRule="auto"/>
        <w:rPr>
          <w:rFonts w:ascii="Arial" w:hAnsi="Arial" w:cs="Arial"/>
        </w:rPr>
      </w:pPr>
      <w:r>
        <w:rPr>
          <w:rFonts w:ascii="Arial" w:hAnsi="Arial" w:cs="Arial"/>
        </w:rPr>
        <w:t xml:space="preserve">There was little difference between baseline and follow-up in how comfortable respondents reported being talking about end of life preferences and bereavement. This suggests that the positive impact on behaviour was not mediated by changes in confidence or attitude. </w:t>
      </w:r>
      <w:r w:rsidR="00B57D61">
        <w:rPr>
          <w:rFonts w:ascii="Arial" w:hAnsi="Arial" w:cs="Arial"/>
        </w:rPr>
        <w:t>In free-text comments, p</w:t>
      </w:r>
      <w:r w:rsidR="00345E97">
        <w:rPr>
          <w:rFonts w:ascii="Arial" w:hAnsi="Arial" w:cs="Arial"/>
        </w:rPr>
        <w:t>articipants often described being ‘prompted’ to act, or realising t</w:t>
      </w:r>
      <w:r w:rsidR="00B76E42">
        <w:rPr>
          <w:rFonts w:ascii="Arial" w:hAnsi="Arial" w:cs="Arial"/>
        </w:rPr>
        <w:t xml:space="preserve">hat they needed to take action. This </w:t>
      </w:r>
      <w:r w:rsidR="00E44D54">
        <w:rPr>
          <w:rFonts w:ascii="Arial" w:hAnsi="Arial" w:cs="Arial"/>
        </w:rPr>
        <w:t>is consistent with</w:t>
      </w:r>
      <w:r w:rsidR="00B76E42">
        <w:rPr>
          <w:rFonts w:ascii="Arial" w:hAnsi="Arial" w:cs="Arial"/>
        </w:rPr>
        <w:t xml:space="preserve"> the findings of UK population surveys, where </w:t>
      </w:r>
      <w:r w:rsidR="00B76E42">
        <w:rPr>
          <w:rFonts w:ascii="Arial" w:hAnsi="Arial" w:cs="Arial"/>
        </w:rPr>
        <w:lastRenderedPageBreak/>
        <w:t>the most common reason people give for not discussing end of life preferences is not that they feel uncomfortable about it, but that death seems a long way off</w:t>
      </w:r>
      <w:r w:rsidR="00B76E42">
        <w:rPr>
          <w:rFonts w:ascii="Arial" w:hAnsi="Arial" w:cs="Arial"/>
        </w:rPr>
        <w:fldChar w:fldCharType="begin"/>
      </w:r>
      <w:r w:rsidR="00716E55">
        <w:rPr>
          <w:rFonts w:ascii="Arial" w:hAnsi="Arial" w:cs="Arial"/>
        </w:rPr>
        <w:instrText xml:space="preserve"> ADDIN EN.CITE &lt;EndNote&gt;&lt;Cite&gt;&lt;Author&gt;National Centre for Social Research (NatCen)&lt;/Author&gt;&lt;Year&gt;2009&lt;/Year&gt;&lt;RecNum&gt;317&lt;/RecNum&gt;&lt;DisplayText&gt;[16, 18]&lt;/DisplayText&gt;&lt;record&gt;&lt;rec-number&gt;317&lt;/rec-number&gt;&lt;foreign-keys&gt;&lt;key app="EN" db-id="ezfa0awta2ze5se9vz25asd0v2xevvev99pd" timestamp="1355316516"&gt;317&lt;/key&gt;&lt;/foreign-keys&gt;&lt;ref-type name="Web Page"&gt;12&lt;/ref-type&gt;&lt;contributors&gt;&lt;authors&gt;&lt;author&gt;National Centre for Social Research (NatCen),&lt;/author&gt;&lt;/authors&gt;&lt;/contributors&gt;&lt;titles&gt;&lt;title&gt;Dying Matters Survey (module of 2009 Omnibus survey)&lt;/title&gt;&lt;/titles&gt;&lt;volume&gt;2012&lt;/volume&gt;&lt;number&gt;11/11/2012&lt;/number&gt;&lt;dates&gt;&lt;year&gt;2009&lt;/year&gt;&lt;/dates&gt;&lt;pub-location&gt;UK&lt;/pub-location&gt;&lt;publisher&gt;National Centre for Social Research&lt;/publisher&gt;&lt;urls&gt;&lt;related-urls&gt;&lt;url&gt;http://www.dyingmatters.org/sites/default/files/user/Full%20view%20final%20Palliative%20original%20tables%20htm.pdf&lt;/url&gt;&lt;/related-urls&gt;&lt;/urls&gt;&lt;/record&gt;&lt;/Cite&gt;&lt;Cite&gt;&lt;Author&gt;Ipsos MORI on behalf of NHS East of England&lt;/Author&gt;&lt;Year&gt;2011&lt;/Year&gt;&lt;RecNum&gt;492&lt;/RecNum&gt;&lt;record&gt;&lt;rec-number&gt;492&lt;/rec-number&gt;&lt;foreign-keys&gt;&lt;key app="EN" db-id="ezfa0awta2ze5se9vz25asd0v2xevvev99pd" timestamp="1438250986"&gt;492&lt;/key&gt;&lt;/foreign-keys&gt;&lt;ref-type name="Web Page"&gt;12&lt;/ref-type&gt;&lt;contributors&gt;&lt;authors&gt;&lt;author&gt;Ipsos MORI on behalf of NHS East of England,&lt;/author&gt;&lt;/authors&gt;&lt;/contributors&gt;&lt;titles&gt;&lt;title&gt;Attitudes Towards Death and Dying in the East of England&lt;/title&gt;&lt;/titles&gt;&lt;number&gt;30/07/2015&lt;/number&gt;&lt;dates&gt;&lt;year&gt;2011&lt;/year&gt;&lt;/dates&gt;&lt;urls&gt;&lt;related-urls&gt;&lt;url&gt;https://www.ipsos-mori.com/researchpublications/researcharchive/2796/Attitudes-Towards-Death-and-Dying-in-the-East-of-England.aspx&lt;/url&gt;&lt;/related-urls&gt;&lt;/urls&gt;&lt;/record&gt;&lt;/Cite&gt;&lt;/EndNote&gt;</w:instrText>
      </w:r>
      <w:r w:rsidR="00B76E42">
        <w:rPr>
          <w:rFonts w:ascii="Arial" w:hAnsi="Arial" w:cs="Arial"/>
        </w:rPr>
        <w:fldChar w:fldCharType="separate"/>
      </w:r>
      <w:r w:rsidR="00716E55">
        <w:rPr>
          <w:rFonts w:ascii="Arial" w:hAnsi="Arial" w:cs="Arial"/>
          <w:noProof/>
        </w:rPr>
        <w:t>[</w:t>
      </w:r>
      <w:hyperlink w:anchor="_ENREF_16" w:tooltip="National Centre for Social Research (NatCen), 2009 #317" w:history="1">
        <w:r w:rsidR="00716E55">
          <w:rPr>
            <w:rFonts w:ascii="Arial" w:hAnsi="Arial" w:cs="Arial"/>
            <w:noProof/>
          </w:rPr>
          <w:t>16</w:t>
        </w:r>
      </w:hyperlink>
      <w:r w:rsidR="00716E55">
        <w:rPr>
          <w:rFonts w:ascii="Arial" w:hAnsi="Arial" w:cs="Arial"/>
          <w:noProof/>
        </w:rPr>
        <w:t xml:space="preserve">, </w:t>
      </w:r>
      <w:hyperlink w:anchor="_ENREF_18" w:tooltip="Ipsos MORI on behalf of NHS East of England, 2011 #34" w:history="1">
        <w:r w:rsidR="00716E55">
          <w:rPr>
            <w:rFonts w:ascii="Arial" w:hAnsi="Arial" w:cs="Arial"/>
            <w:noProof/>
          </w:rPr>
          <w:t>18</w:t>
        </w:r>
      </w:hyperlink>
      <w:r w:rsidR="00716E55">
        <w:rPr>
          <w:rFonts w:ascii="Arial" w:hAnsi="Arial" w:cs="Arial"/>
          <w:noProof/>
        </w:rPr>
        <w:t>]</w:t>
      </w:r>
      <w:r w:rsidR="00B76E42">
        <w:rPr>
          <w:rFonts w:ascii="Arial" w:hAnsi="Arial" w:cs="Arial"/>
        </w:rPr>
        <w:fldChar w:fldCharType="end"/>
      </w:r>
      <w:r w:rsidR="00B76E42">
        <w:rPr>
          <w:rFonts w:ascii="Arial" w:hAnsi="Arial" w:cs="Arial"/>
        </w:rPr>
        <w:t>.</w:t>
      </w:r>
    </w:p>
    <w:p w:rsidR="00B76E42" w:rsidRDefault="002C683B" w:rsidP="00B76E42">
      <w:pPr>
        <w:spacing w:line="360" w:lineRule="auto"/>
        <w:rPr>
          <w:rFonts w:ascii="Arial" w:hAnsi="Arial" w:cs="Arial"/>
        </w:rPr>
      </w:pPr>
      <w:r>
        <w:rPr>
          <w:rFonts w:ascii="Arial" w:hAnsi="Arial" w:cs="Arial"/>
        </w:rPr>
        <w:t>The intervention</w:t>
      </w:r>
      <w:r w:rsidR="0066169A">
        <w:rPr>
          <w:rFonts w:ascii="Arial" w:hAnsi="Arial" w:cs="Arial"/>
        </w:rPr>
        <w:t>s appeared to have limited success</w:t>
      </w:r>
      <w:r w:rsidR="008947ED">
        <w:rPr>
          <w:rFonts w:ascii="Arial" w:hAnsi="Arial" w:cs="Arial"/>
        </w:rPr>
        <w:t xml:space="preserve"> in encouragi</w:t>
      </w:r>
      <w:r>
        <w:rPr>
          <w:rFonts w:ascii="Arial" w:hAnsi="Arial" w:cs="Arial"/>
        </w:rPr>
        <w:t>ng people to make a will; o</w:t>
      </w:r>
      <w:r w:rsidR="001A4D98">
        <w:rPr>
          <w:rFonts w:ascii="Arial" w:hAnsi="Arial" w:cs="Arial"/>
        </w:rPr>
        <w:t>nly two</w:t>
      </w:r>
      <w:r w:rsidR="008947ED">
        <w:rPr>
          <w:rFonts w:ascii="Arial" w:hAnsi="Arial" w:cs="Arial"/>
        </w:rPr>
        <w:t xml:space="preserve"> </w:t>
      </w:r>
      <w:r>
        <w:rPr>
          <w:rFonts w:ascii="Arial" w:hAnsi="Arial" w:cs="Arial"/>
        </w:rPr>
        <w:t>follow-up respondents reported making</w:t>
      </w:r>
      <w:r w:rsidR="0066169A">
        <w:rPr>
          <w:rFonts w:ascii="Arial" w:hAnsi="Arial" w:cs="Arial"/>
        </w:rPr>
        <w:t xml:space="preserve"> a wil</w:t>
      </w:r>
      <w:r w:rsidR="00EC187F">
        <w:rPr>
          <w:rFonts w:ascii="Arial" w:hAnsi="Arial" w:cs="Arial"/>
        </w:rPr>
        <w:t xml:space="preserve">l between baseline and follow-up. This suggests </w:t>
      </w:r>
      <w:r w:rsidR="001A4D98">
        <w:rPr>
          <w:rFonts w:ascii="Arial" w:hAnsi="Arial" w:cs="Arial"/>
        </w:rPr>
        <w:t>t</w:t>
      </w:r>
      <w:r w:rsidR="00710D38">
        <w:rPr>
          <w:rFonts w:ascii="Arial" w:hAnsi="Arial" w:cs="Arial"/>
        </w:rPr>
        <w:t xml:space="preserve">he </w:t>
      </w:r>
      <w:r w:rsidR="006543FB">
        <w:rPr>
          <w:rFonts w:ascii="Arial" w:hAnsi="Arial" w:cs="Arial"/>
        </w:rPr>
        <w:t xml:space="preserve">process of </w:t>
      </w:r>
      <w:r w:rsidR="0066169A">
        <w:rPr>
          <w:rFonts w:ascii="Arial" w:hAnsi="Arial" w:cs="Arial"/>
        </w:rPr>
        <w:t xml:space="preserve">thinking about and </w:t>
      </w:r>
      <w:r w:rsidR="00710D38">
        <w:rPr>
          <w:rFonts w:ascii="Arial" w:hAnsi="Arial" w:cs="Arial"/>
        </w:rPr>
        <w:t>writing</w:t>
      </w:r>
      <w:r w:rsidR="006543FB">
        <w:rPr>
          <w:rFonts w:ascii="Arial" w:hAnsi="Arial" w:cs="Arial"/>
        </w:rPr>
        <w:t xml:space="preserve"> </w:t>
      </w:r>
      <w:r w:rsidR="0066169A">
        <w:rPr>
          <w:rFonts w:ascii="Arial" w:hAnsi="Arial" w:cs="Arial"/>
        </w:rPr>
        <w:t xml:space="preserve">a will </w:t>
      </w:r>
      <w:r w:rsidR="00EC187F">
        <w:rPr>
          <w:rFonts w:ascii="Arial" w:hAnsi="Arial" w:cs="Arial"/>
        </w:rPr>
        <w:t xml:space="preserve">might often take longer than three months, or </w:t>
      </w:r>
      <w:r w:rsidR="003F7EFD">
        <w:rPr>
          <w:rFonts w:ascii="Arial" w:hAnsi="Arial" w:cs="Arial"/>
        </w:rPr>
        <w:t xml:space="preserve">perhaps </w:t>
      </w:r>
      <w:r w:rsidR="00EC187F">
        <w:rPr>
          <w:rFonts w:ascii="Arial" w:hAnsi="Arial" w:cs="Arial"/>
        </w:rPr>
        <w:t xml:space="preserve">that </w:t>
      </w:r>
      <w:r w:rsidR="006543FB">
        <w:rPr>
          <w:rFonts w:ascii="Arial" w:hAnsi="Arial" w:cs="Arial"/>
        </w:rPr>
        <w:t xml:space="preserve">different, more practical interventions </w:t>
      </w:r>
      <w:r w:rsidR="00B76E42">
        <w:rPr>
          <w:rFonts w:ascii="Arial" w:hAnsi="Arial" w:cs="Arial"/>
        </w:rPr>
        <w:t>will be</w:t>
      </w:r>
      <w:r w:rsidR="0066169A">
        <w:rPr>
          <w:rFonts w:ascii="Arial" w:hAnsi="Arial" w:cs="Arial"/>
        </w:rPr>
        <w:t xml:space="preserve"> </w:t>
      </w:r>
      <w:r w:rsidR="003A1BE4">
        <w:rPr>
          <w:rFonts w:ascii="Arial" w:hAnsi="Arial" w:cs="Arial"/>
        </w:rPr>
        <w:t xml:space="preserve">required </w:t>
      </w:r>
      <w:r w:rsidR="006543FB">
        <w:rPr>
          <w:rFonts w:ascii="Arial" w:hAnsi="Arial" w:cs="Arial"/>
        </w:rPr>
        <w:t xml:space="preserve">to </w:t>
      </w:r>
      <w:r w:rsidR="004A0AD7">
        <w:rPr>
          <w:rFonts w:ascii="Arial" w:hAnsi="Arial" w:cs="Arial"/>
        </w:rPr>
        <w:t xml:space="preserve">significantly </w:t>
      </w:r>
      <w:r w:rsidR="006543FB">
        <w:rPr>
          <w:rFonts w:ascii="Arial" w:hAnsi="Arial" w:cs="Arial"/>
        </w:rPr>
        <w:t>increase</w:t>
      </w:r>
      <w:r>
        <w:rPr>
          <w:rFonts w:ascii="Arial" w:hAnsi="Arial" w:cs="Arial"/>
        </w:rPr>
        <w:t xml:space="preserve"> will-makin</w:t>
      </w:r>
      <w:r w:rsidR="00B76E42">
        <w:rPr>
          <w:rFonts w:ascii="Arial" w:hAnsi="Arial" w:cs="Arial"/>
        </w:rPr>
        <w:t>g.</w:t>
      </w:r>
      <w:r w:rsidR="00B76E42" w:rsidRPr="00B76E42">
        <w:rPr>
          <w:rFonts w:ascii="Arial" w:hAnsi="Arial" w:cs="Arial"/>
        </w:rPr>
        <w:t xml:space="preserve"> </w:t>
      </w:r>
    </w:p>
    <w:p w:rsidR="00B76E42" w:rsidRDefault="00B76E42" w:rsidP="00B76E42">
      <w:pPr>
        <w:spacing w:line="360" w:lineRule="auto"/>
        <w:rPr>
          <w:rFonts w:ascii="Arial" w:hAnsi="Arial" w:cs="Arial"/>
        </w:rPr>
      </w:pPr>
      <w:r>
        <w:rPr>
          <w:rFonts w:ascii="Arial" w:hAnsi="Arial" w:cs="Arial"/>
        </w:rPr>
        <w:t>Respondents aged 45 to 74 rated events as more relevant than older and younger groups, and more often reported taking action</w:t>
      </w:r>
      <w:r w:rsidR="00B171D2">
        <w:rPr>
          <w:rFonts w:ascii="Arial" w:hAnsi="Arial" w:cs="Arial"/>
        </w:rPr>
        <w:t xml:space="preserve"> as a result of attending event</w:t>
      </w:r>
      <w:r w:rsidR="00E66D87">
        <w:rPr>
          <w:rFonts w:ascii="Arial" w:hAnsi="Arial" w:cs="Arial"/>
        </w:rPr>
        <w:t>s</w:t>
      </w:r>
      <w:r>
        <w:rPr>
          <w:rFonts w:ascii="Arial" w:hAnsi="Arial" w:cs="Arial"/>
        </w:rPr>
        <w:t>. It may be t</w:t>
      </w:r>
      <w:r w:rsidR="00B171D2">
        <w:rPr>
          <w:rFonts w:ascii="Arial" w:hAnsi="Arial" w:cs="Arial"/>
        </w:rPr>
        <w:t>hat the content was inherently more</w:t>
      </w:r>
      <w:r>
        <w:rPr>
          <w:rFonts w:ascii="Arial" w:hAnsi="Arial" w:cs="Arial"/>
        </w:rPr>
        <w:t xml:space="preserve"> relevant to people</w:t>
      </w:r>
      <w:r w:rsidR="00E66D87">
        <w:rPr>
          <w:rFonts w:ascii="Arial" w:hAnsi="Arial" w:cs="Arial"/>
        </w:rPr>
        <w:t xml:space="preserve"> within this age range, for example</w:t>
      </w:r>
      <w:r>
        <w:rPr>
          <w:rFonts w:ascii="Arial" w:hAnsi="Arial" w:cs="Arial"/>
        </w:rPr>
        <w:t xml:space="preserve"> </w:t>
      </w:r>
      <w:r w:rsidR="00B171D2">
        <w:rPr>
          <w:rFonts w:ascii="Arial" w:hAnsi="Arial" w:cs="Arial"/>
        </w:rPr>
        <w:t xml:space="preserve">they </w:t>
      </w:r>
      <w:r w:rsidR="00E66D87">
        <w:rPr>
          <w:rFonts w:ascii="Arial" w:hAnsi="Arial" w:cs="Arial"/>
        </w:rPr>
        <w:t xml:space="preserve">may </w:t>
      </w:r>
      <w:r>
        <w:rPr>
          <w:rFonts w:ascii="Arial" w:hAnsi="Arial" w:cs="Arial"/>
        </w:rPr>
        <w:t>consider planning for end</w:t>
      </w:r>
      <w:r w:rsidR="00B171D2">
        <w:rPr>
          <w:rFonts w:ascii="Arial" w:hAnsi="Arial" w:cs="Arial"/>
        </w:rPr>
        <w:t xml:space="preserve"> o</w:t>
      </w:r>
      <w:r w:rsidR="00E66D87">
        <w:rPr>
          <w:rFonts w:ascii="Arial" w:hAnsi="Arial" w:cs="Arial"/>
        </w:rPr>
        <w:t xml:space="preserve">f life to be something </w:t>
      </w:r>
      <w:r w:rsidR="00B171D2">
        <w:rPr>
          <w:rFonts w:ascii="Arial" w:hAnsi="Arial" w:cs="Arial"/>
        </w:rPr>
        <w:t>relevant to their life-stage,</w:t>
      </w:r>
      <w:r>
        <w:rPr>
          <w:rFonts w:ascii="Arial" w:hAnsi="Arial" w:cs="Arial"/>
        </w:rPr>
        <w:t xml:space="preserve"> but not something they h</w:t>
      </w:r>
      <w:r w:rsidR="00B171D2">
        <w:rPr>
          <w:rFonts w:ascii="Arial" w:hAnsi="Arial" w:cs="Arial"/>
        </w:rPr>
        <w:t>ad yet done anything about</w:t>
      </w:r>
      <w:r>
        <w:rPr>
          <w:rFonts w:ascii="Arial" w:hAnsi="Arial" w:cs="Arial"/>
        </w:rPr>
        <w:t>. It could also be that the content, style and delivery of the events was most suited to this age group.</w:t>
      </w:r>
      <w:r w:rsidR="00B171D2">
        <w:rPr>
          <w:rFonts w:ascii="Arial" w:hAnsi="Arial" w:cs="Arial"/>
        </w:rPr>
        <w:t xml:space="preserve"> The </w:t>
      </w:r>
      <w:r w:rsidR="00FF5092">
        <w:rPr>
          <w:rFonts w:ascii="Arial" w:hAnsi="Arial" w:cs="Arial"/>
        </w:rPr>
        <w:t>CLWDW team are continuing to develop alternative interventions targeted towards other demographic groups, for example, theatre workshops for young students and ‘wil</w:t>
      </w:r>
      <w:r w:rsidR="00E66D87">
        <w:rPr>
          <w:rFonts w:ascii="Arial" w:hAnsi="Arial" w:cs="Arial"/>
        </w:rPr>
        <w:t>ls workshops’ in workplaces.</w:t>
      </w:r>
    </w:p>
    <w:p w:rsidR="00B6288F" w:rsidRDefault="00FF5092" w:rsidP="004520FC">
      <w:pPr>
        <w:spacing w:line="360" w:lineRule="auto"/>
        <w:rPr>
          <w:rFonts w:ascii="Arial" w:hAnsi="Arial" w:cs="Arial"/>
        </w:rPr>
      </w:pPr>
      <w:r>
        <w:rPr>
          <w:rFonts w:ascii="Arial" w:hAnsi="Arial" w:cs="Arial"/>
        </w:rPr>
        <w:t>The positive impact of the CLWDW interventions</w:t>
      </w:r>
      <w:r w:rsidR="00252DD2">
        <w:rPr>
          <w:rFonts w:ascii="Arial" w:hAnsi="Arial" w:cs="Arial"/>
        </w:rPr>
        <w:t xml:space="preserve"> could reach beyond those actually attending events.</w:t>
      </w:r>
      <w:r>
        <w:rPr>
          <w:rFonts w:ascii="Arial" w:hAnsi="Arial" w:cs="Arial"/>
        </w:rPr>
        <w:t xml:space="preserve"> </w:t>
      </w:r>
      <w:r w:rsidR="00AF533A">
        <w:rPr>
          <w:rFonts w:ascii="Arial" w:hAnsi="Arial" w:cs="Arial"/>
        </w:rPr>
        <w:t>By encouraging discussion with</w:t>
      </w:r>
      <w:r w:rsidR="0066169A">
        <w:rPr>
          <w:rFonts w:ascii="Arial" w:hAnsi="Arial" w:cs="Arial"/>
        </w:rPr>
        <w:t xml:space="preserve"> others,</w:t>
      </w:r>
      <w:r w:rsidR="002C683B">
        <w:rPr>
          <w:rFonts w:ascii="Arial" w:hAnsi="Arial" w:cs="Arial"/>
        </w:rPr>
        <w:t xml:space="preserve"> the </w:t>
      </w:r>
      <w:r w:rsidR="00252DD2">
        <w:rPr>
          <w:rFonts w:ascii="Arial" w:hAnsi="Arial" w:cs="Arial"/>
        </w:rPr>
        <w:t>intervention</w:t>
      </w:r>
      <w:r w:rsidR="003F7EFD">
        <w:rPr>
          <w:rFonts w:ascii="Arial" w:hAnsi="Arial" w:cs="Arial"/>
        </w:rPr>
        <w:t xml:space="preserve"> could be acting</w:t>
      </w:r>
      <w:r w:rsidR="005155B7">
        <w:rPr>
          <w:rFonts w:ascii="Arial" w:hAnsi="Arial" w:cs="Arial"/>
        </w:rPr>
        <w:t xml:space="preserve"> </w:t>
      </w:r>
      <w:r w:rsidR="002C683B">
        <w:rPr>
          <w:rFonts w:ascii="Arial" w:hAnsi="Arial" w:cs="Arial"/>
        </w:rPr>
        <w:t xml:space="preserve">as </w:t>
      </w:r>
      <w:r w:rsidR="00252DD2">
        <w:rPr>
          <w:rFonts w:ascii="Arial" w:hAnsi="Arial" w:cs="Arial"/>
        </w:rPr>
        <w:t xml:space="preserve">a </w:t>
      </w:r>
      <w:r w:rsidR="0066169A">
        <w:rPr>
          <w:rFonts w:ascii="Arial" w:hAnsi="Arial" w:cs="Arial"/>
        </w:rPr>
        <w:t>‘seed</w:t>
      </w:r>
      <w:r w:rsidR="00AF533A">
        <w:rPr>
          <w:rFonts w:ascii="Arial" w:hAnsi="Arial" w:cs="Arial"/>
        </w:rPr>
        <w:t>’ spreading ideas within the population</w:t>
      </w:r>
      <w:r w:rsidR="000B15AB">
        <w:rPr>
          <w:rFonts w:ascii="Arial" w:hAnsi="Arial" w:cs="Arial"/>
        </w:rPr>
        <w:t>.</w:t>
      </w:r>
      <w:r w:rsidR="00C422BE">
        <w:rPr>
          <w:rFonts w:ascii="Arial" w:hAnsi="Arial" w:cs="Arial"/>
        </w:rPr>
        <w:t xml:space="preserve"> </w:t>
      </w:r>
      <w:r w:rsidR="00E66D87">
        <w:rPr>
          <w:rFonts w:ascii="Arial" w:hAnsi="Arial" w:cs="Arial"/>
        </w:rPr>
        <w:t>It</w:t>
      </w:r>
      <w:r w:rsidR="002C683B">
        <w:rPr>
          <w:rFonts w:ascii="Arial" w:hAnsi="Arial" w:cs="Arial"/>
        </w:rPr>
        <w:t xml:space="preserve"> has </w:t>
      </w:r>
      <w:r>
        <w:rPr>
          <w:rFonts w:ascii="Arial" w:hAnsi="Arial" w:cs="Arial"/>
        </w:rPr>
        <w:t xml:space="preserve">also </w:t>
      </w:r>
      <w:r w:rsidR="00C422BE">
        <w:rPr>
          <w:rFonts w:ascii="Arial" w:hAnsi="Arial" w:cs="Arial"/>
        </w:rPr>
        <w:t>inspired other similar events and projects</w:t>
      </w:r>
      <w:r w:rsidR="00642B2C">
        <w:rPr>
          <w:rFonts w:ascii="Arial" w:hAnsi="Arial" w:cs="Arial"/>
        </w:rPr>
        <w:t xml:space="preserve">, delivered </w:t>
      </w:r>
      <w:r w:rsidR="00C422BE">
        <w:rPr>
          <w:rFonts w:ascii="Arial" w:hAnsi="Arial" w:cs="Arial"/>
        </w:rPr>
        <w:t xml:space="preserve">independently of CLWDW, therefore acting as a wider community development initiative, which </w:t>
      </w:r>
      <w:r>
        <w:rPr>
          <w:rFonts w:ascii="Arial" w:hAnsi="Arial" w:cs="Arial"/>
        </w:rPr>
        <w:t>c</w:t>
      </w:r>
      <w:r w:rsidR="00C422BE">
        <w:rPr>
          <w:rFonts w:ascii="Arial" w:hAnsi="Arial" w:cs="Arial"/>
        </w:rPr>
        <w:t>ould make it more responsive and sustainable in the long term.</w:t>
      </w:r>
    </w:p>
    <w:p w:rsidR="00AF533A" w:rsidRDefault="00AF533A" w:rsidP="004520FC">
      <w:pPr>
        <w:spacing w:line="360" w:lineRule="auto"/>
        <w:rPr>
          <w:rFonts w:ascii="Arial" w:hAnsi="Arial" w:cs="Arial"/>
        </w:rPr>
      </w:pPr>
    </w:p>
    <w:p w:rsidR="006543FB" w:rsidRDefault="004F1946" w:rsidP="00642B2C">
      <w:pPr>
        <w:rPr>
          <w:rFonts w:ascii="Arial" w:hAnsi="Arial" w:cs="Arial"/>
          <w:i/>
          <w:u w:val="single"/>
        </w:rPr>
      </w:pPr>
      <w:r>
        <w:rPr>
          <w:rFonts w:ascii="Arial" w:hAnsi="Arial" w:cs="Arial"/>
          <w:i/>
          <w:u w:val="single"/>
        </w:rPr>
        <w:t xml:space="preserve">Strengths and </w:t>
      </w:r>
      <w:r w:rsidR="00420105">
        <w:rPr>
          <w:rFonts w:ascii="Arial" w:hAnsi="Arial" w:cs="Arial"/>
          <w:i/>
          <w:u w:val="single"/>
        </w:rPr>
        <w:t>limitations</w:t>
      </w:r>
      <w:r w:rsidR="006543FB" w:rsidRPr="006543FB">
        <w:rPr>
          <w:rFonts w:ascii="Arial" w:hAnsi="Arial" w:cs="Arial"/>
          <w:i/>
          <w:u w:val="single"/>
        </w:rPr>
        <w:t xml:space="preserve"> of the study</w:t>
      </w:r>
    </w:p>
    <w:p w:rsidR="00A939D3" w:rsidRDefault="00252DD2" w:rsidP="00252DD2">
      <w:pPr>
        <w:spacing w:line="360" w:lineRule="auto"/>
        <w:rPr>
          <w:rFonts w:ascii="Arial" w:hAnsi="Arial" w:cs="Arial"/>
        </w:rPr>
      </w:pPr>
      <w:r>
        <w:rPr>
          <w:rFonts w:ascii="Arial" w:hAnsi="Arial" w:cs="Arial"/>
        </w:rPr>
        <w:t xml:space="preserve">The </w:t>
      </w:r>
      <w:r w:rsidR="00E44D54">
        <w:rPr>
          <w:rFonts w:ascii="Arial" w:hAnsi="Arial" w:cs="Arial"/>
        </w:rPr>
        <w:t xml:space="preserve">strength of the </w:t>
      </w:r>
      <w:r>
        <w:rPr>
          <w:rFonts w:ascii="Arial" w:hAnsi="Arial" w:cs="Arial"/>
        </w:rPr>
        <w:t xml:space="preserve">study </w:t>
      </w:r>
      <w:r w:rsidRPr="00E33F64">
        <w:rPr>
          <w:rFonts w:ascii="Arial" w:hAnsi="Arial" w:cs="Arial"/>
        </w:rPr>
        <w:t xml:space="preserve">was conducted in a ‘real life’ setting among </w:t>
      </w:r>
      <w:r>
        <w:rPr>
          <w:rFonts w:ascii="Arial" w:hAnsi="Arial" w:cs="Arial"/>
        </w:rPr>
        <w:t xml:space="preserve">males and females </w:t>
      </w:r>
      <w:r w:rsidRPr="00E33F64">
        <w:rPr>
          <w:rFonts w:ascii="Arial" w:hAnsi="Arial" w:cs="Arial"/>
        </w:rPr>
        <w:t xml:space="preserve">of different ages </w:t>
      </w:r>
      <w:r>
        <w:rPr>
          <w:rFonts w:ascii="Arial" w:hAnsi="Arial" w:cs="Arial"/>
        </w:rPr>
        <w:t xml:space="preserve">and backgrounds residing in both rural and urban areas. </w:t>
      </w:r>
      <w:r w:rsidR="00BB73B1">
        <w:rPr>
          <w:rFonts w:ascii="Arial" w:hAnsi="Arial" w:cs="Arial"/>
        </w:rPr>
        <w:t>It</w:t>
      </w:r>
      <w:r>
        <w:rPr>
          <w:rFonts w:ascii="Arial" w:hAnsi="Arial" w:cs="Arial"/>
        </w:rPr>
        <w:t xml:space="preserve"> </w:t>
      </w:r>
      <w:r w:rsidRPr="00E33F64">
        <w:rPr>
          <w:rFonts w:ascii="Arial" w:hAnsi="Arial" w:cs="Arial"/>
        </w:rPr>
        <w:t xml:space="preserve">included a follow-up phase, so that impact on actual behaviour, rather than just short term intentions, could be evaluated. </w:t>
      </w:r>
    </w:p>
    <w:p w:rsidR="00252DD2" w:rsidRPr="00E33F64" w:rsidRDefault="00252DD2" w:rsidP="00252DD2">
      <w:pPr>
        <w:spacing w:line="360" w:lineRule="auto"/>
        <w:rPr>
          <w:rFonts w:ascii="Arial" w:hAnsi="Arial" w:cs="Arial"/>
        </w:rPr>
      </w:pPr>
      <w:r>
        <w:rPr>
          <w:rFonts w:ascii="Arial" w:hAnsi="Arial" w:cs="Arial"/>
        </w:rPr>
        <w:t>The main limitation was the unavoidable potential for non-response bias</w:t>
      </w:r>
      <w:r w:rsidR="003E0CAE">
        <w:rPr>
          <w:rFonts w:ascii="Arial" w:hAnsi="Arial" w:cs="Arial"/>
        </w:rPr>
        <w:t>.</w:t>
      </w:r>
      <w:r w:rsidR="00A939D3">
        <w:rPr>
          <w:rFonts w:ascii="Arial" w:hAnsi="Arial" w:cs="Arial"/>
        </w:rPr>
        <w:t xml:space="preserve"> </w:t>
      </w:r>
      <w:r w:rsidR="003E0CAE">
        <w:rPr>
          <w:rFonts w:ascii="Arial" w:hAnsi="Arial" w:cs="Arial"/>
        </w:rPr>
        <w:t>T</w:t>
      </w:r>
      <w:r w:rsidR="00BB73B1">
        <w:rPr>
          <w:rFonts w:ascii="Arial" w:hAnsi="Arial" w:cs="Arial"/>
        </w:rPr>
        <w:t>his probably caused effect of the intervention on behaviour</w:t>
      </w:r>
      <w:r w:rsidR="00A939D3">
        <w:rPr>
          <w:rFonts w:ascii="Arial" w:hAnsi="Arial" w:cs="Arial"/>
        </w:rPr>
        <w:t xml:space="preserve"> to be over-estimated</w:t>
      </w:r>
      <w:r w:rsidR="00BB73B1">
        <w:rPr>
          <w:rFonts w:ascii="Arial" w:hAnsi="Arial" w:cs="Arial"/>
        </w:rPr>
        <w:t>, but did not change our conclusion that they were successful in meeting their objectives.</w:t>
      </w:r>
      <w:r w:rsidR="00E44D54">
        <w:rPr>
          <w:rFonts w:ascii="Arial" w:hAnsi="Arial" w:cs="Arial"/>
        </w:rPr>
        <w:t xml:space="preserve"> </w:t>
      </w:r>
      <w:r w:rsidR="00A939D3">
        <w:rPr>
          <w:rFonts w:ascii="Arial" w:hAnsi="Arial" w:cs="Arial"/>
        </w:rPr>
        <w:t xml:space="preserve">The survey might also have acted as an intervention itself, prompting more thought </w:t>
      </w:r>
      <w:r w:rsidR="00BB73B1">
        <w:rPr>
          <w:rFonts w:ascii="Arial" w:hAnsi="Arial" w:cs="Arial"/>
        </w:rPr>
        <w:t xml:space="preserve">on </w:t>
      </w:r>
      <w:r w:rsidR="00A939D3">
        <w:rPr>
          <w:rFonts w:ascii="Arial" w:hAnsi="Arial" w:cs="Arial"/>
        </w:rPr>
        <w:t xml:space="preserve">preparations for end of life. However, this </w:t>
      </w:r>
      <w:r w:rsidR="003E0CAE">
        <w:rPr>
          <w:rFonts w:ascii="Arial" w:hAnsi="Arial" w:cs="Arial"/>
        </w:rPr>
        <w:t xml:space="preserve">is probably not a </w:t>
      </w:r>
      <w:r w:rsidR="00A939D3">
        <w:rPr>
          <w:rFonts w:ascii="Arial" w:hAnsi="Arial" w:cs="Arial"/>
        </w:rPr>
        <w:t xml:space="preserve">major </w:t>
      </w:r>
      <w:r w:rsidR="00BB73B1">
        <w:rPr>
          <w:rFonts w:ascii="Arial" w:hAnsi="Arial" w:cs="Arial"/>
        </w:rPr>
        <w:t xml:space="preserve">methodological </w:t>
      </w:r>
      <w:r w:rsidR="003E0CAE">
        <w:rPr>
          <w:rFonts w:ascii="Arial" w:hAnsi="Arial" w:cs="Arial"/>
        </w:rPr>
        <w:t>flaw</w:t>
      </w:r>
      <w:r w:rsidR="00A939D3">
        <w:rPr>
          <w:rFonts w:ascii="Arial" w:hAnsi="Arial" w:cs="Arial"/>
        </w:rPr>
        <w:t xml:space="preserve"> as, in practice, questionnaires are often used immediately after events to both evaluate the event and intentionally prompt further reflection</w:t>
      </w:r>
    </w:p>
    <w:p w:rsidR="00B6288F" w:rsidRDefault="00B6288F" w:rsidP="004520FC">
      <w:pPr>
        <w:spacing w:line="360" w:lineRule="auto"/>
        <w:rPr>
          <w:rFonts w:ascii="Arial" w:hAnsi="Arial" w:cs="Arial"/>
          <w:u w:val="single"/>
        </w:rPr>
      </w:pPr>
      <w:r w:rsidRPr="007E1064">
        <w:rPr>
          <w:rFonts w:ascii="Arial" w:hAnsi="Arial" w:cs="Arial"/>
          <w:u w:val="single"/>
        </w:rPr>
        <w:lastRenderedPageBreak/>
        <w:t>Conclusions</w:t>
      </w:r>
    </w:p>
    <w:p w:rsidR="00D0026F" w:rsidRDefault="00D0026F" w:rsidP="004520FC">
      <w:pPr>
        <w:spacing w:line="360" w:lineRule="auto"/>
        <w:rPr>
          <w:rFonts w:ascii="Arial" w:hAnsi="Arial" w:cs="Arial"/>
          <w:u w:val="single"/>
        </w:rPr>
      </w:pPr>
      <w:r>
        <w:rPr>
          <w:rFonts w:ascii="Arial" w:hAnsi="Arial" w:cs="Arial"/>
        </w:rPr>
        <w:t xml:space="preserve">As far as we are aware, this is the first follow-up study of a </w:t>
      </w:r>
      <w:r w:rsidR="00E87069">
        <w:rPr>
          <w:rFonts w:ascii="Arial" w:hAnsi="Arial" w:cs="Arial"/>
        </w:rPr>
        <w:t xml:space="preserve">community </w:t>
      </w:r>
      <w:r>
        <w:rPr>
          <w:rFonts w:ascii="Arial" w:hAnsi="Arial" w:cs="Arial"/>
        </w:rPr>
        <w:t xml:space="preserve">intervention </w:t>
      </w:r>
      <w:r w:rsidR="00134BAC">
        <w:rPr>
          <w:rFonts w:ascii="Arial" w:hAnsi="Arial" w:cs="Arial"/>
        </w:rPr>
        <w:t xml:space="preserve">intended </w:t>
      </w:r>
      <w:r>
        <w:rPr>
          <w:rFonts w:ascii="Arial" w:hAnsi="Arial" w:cs="Arial"/>
        </w:rPr>
        <w:t xml:space="preserve">to improve </w:t>
      </w:r>
      <w:r w:rsidR="00E87069">
        <w:rPr>
          <w:rFonts w:ascii="Arial" w:hAnsi="Arial" w:cs="Arial"/>
        </w:rPr>
        <w:t xml:space="preserve">upstream </w:t>
      </w:r>
      <w:r>
        <w:rPr>
          <w:rFonts w:ascii="Arial" w:hAnsi="Arial" w:cs="Arial"/>
        </w:rPr>
        <w:t xml:space="preserve">communication </w:t>
      </w:r>
      <w:r w:rsidR="001F6D80">
        <w:rPr>
          <w:rFonts w:ascii="Arial" w:hAnsi="Arial" w:cs="Arial"/>
        </w:rPr>
        <w:t>of</w:t>
      </w:r>
      <w:r>
        <w:rPr>
          <w:rFonts w:ascii="Arial" w:hAnsi="Arial" w:cs="Arial"/>
        </w:rPr>
        <w:t xml:space="preserve"> end of life preferences</w:t>
      </w:r>
      <w:r w:rsidRPr="00D0026F">
        <w:rPr>
          <w:rFonts w:ascii="Arial" w:hAnsi="Arial" w:cs="Arial"/>
        </w:rPr>
        <w:t xml:space="preserve"> </w:t>
      </w:r>
      <w:r>
        <w:rPr>
          <w:rFonts w:ascii="Arial" w:hAnsi="Arial" w:cs="Arial"/>
        </w:rPr>
        <w:t xml:space="preserve">and </w:t>
      </w:r>
      <w:r w:rsidR="00EC187F">
        <w:rPr>
          <w:rFonts w:ascii="Arial" w:hAnsi="Arial" w:cs="Arial"/>
        </w:rPr>
        <w:t xml:space="preserve">to </w:t>
      </w:r>
      <w:r>
        <w:rPr>
          <w:rFonts w:ascii="Arial" w:hAnsi="Arial" w:cs="Arial"/>
        </w:rPr>
        <w:t>normalise death as a subject of conversation.</w:t>
      </w:r>
    </w:p>
    <w:p w:rsidR="00736B8E" w:rsidRDefault="00E87069" w:rsidP="004520FC">
      <w:pPr>
        <w:spacing w:line="360" w:lineRule="auto"/>
        <w:rPr>
          <w:rFonts w:ascii="Arial" w:hAnsi="Arial" w:cs="Arial"/>
        </w:rPr>
      </w:pPr>
      <w:r>
        <w:rPr>
          <w:rFonts w:ascii="Arial" w:hAnsi="Arial" w:cs="Arial"/>
        </w:rPr>
        <w:t xml:space="preserve">The findings suggest that </w:t>
      </w:r>
      <w:r w:rsidR="00386F26">
        <w:rPr>
          <w:rFonts w:ascii="Arial" w:hAnsi="Arial" w:cs="Arial"/>
        </w:rPr>
        <w:t xml:space="preserve">well-designed </w:t>
      </w:r>
      <w:r>
        <w:rPr>
          <w:rFonts w:ascii="Arial" w:hAnsi="Arial" w:cs="Arial"/>
        </w:rPr>
        <w:t>awareness-raising</w:t>
      </w:r>
      <w:r w:rsidR="00BB73B1">
        <w:rPr>
          <w:rFonts w:ascii="Arial" w:hAnsi="Arial" w:cs="Arial"/>
        </w:rPr>
        <w:t xml:space="preserve"> and educational</w:t>
      </w:r>
      <w:r>
        <w:rPr>
          <w:rFonts w:ascii="Arial" w:hAnsi="Arial" w:cs="Arial"/>
        </w:rPr>
        <w:t xml:space="preserve"> events</w:t>
      </w:r>
      <w:r w:rsidR="00386F26">
        <w:rPr>
          <w:rFonts w:ascii="Arial" w:hAnsi="Arial" w:cs="Arial"/>
        </w:rPr>
        <w:t>, delivered in a sen</w:t>
      </w:r>
      <w:r>
        <w:rPr>
          <w:rFonts w:ascii="Arial" w:hAnsi="Arial" w:cs="Arial"/>
        </w:rPr>
        <w:t>sitive manne</w:t>
      </w:r>
      <w:r w:rsidR="00033F48">
        <w:rPr>
          <w:rFonts w:ascii="Arial" w:hAnsi="Arial" w:cs="Arial"/>
        </w:rPr>
        <w:t xml:space="preserve">r, can prompt the public </w:t>
      </w:r>
      <w:r w:rsidR="00386F26">
        <w:rPr>
          <w:rFonts w:ascii="Arial" w:hAnsi="Arial" w:cs="Arial"/>
        </w:rPr>
        <w:t xml:space="preserve">to consider </w:t>
      </w:r>
      <w:r w:rsidR="00E33F64">
        <w:rPr>
          <w:rFonts w:ascii="Arial" w:hAnsi="Arial" w:cs="Arial"/>
        </w:rPr>
        <w:t>end of life preferences and discuss these with the people closest to them</w:t>
      </w:r>
      <w:r w:rsidR="00BB73B1">
        <w:rPr>
          <w:rFonts w:ascii="Arial" w:hAnsi="Arial" w:cs="Arial"/>
        </w:rPr>
        <w:t>, and</w:t>
      </w:r>
      <w:r w:rsidR="00386F26">
        <w:rPr>
          <w:rFonts w:ascii="Arial" w:hAnsi="Arial" w:cs="Arial"/>
        </w:rPr>
        <w:t xml:space="preserve"> </w:t>
      </w:r>
      <w:r w:rsidR="00BB73B1">
        <w:rPr>
          <w:rFonts w:ascii="Arial" w:hAnsi="Arial" w:cs="Arial"/>
        </w:rPr>
        <w:t>may</w:t>
      </w:r>
      <w:r w:rsidR="00386F26">
        <w:rPr>
          <w:rFonts w:ascii="Arial" w:hAnsi="Arial" w:cs="Arial"/>
        </w:rPr>
        <w:t xml:space="preserve"> increase recipient</w:t>
      </w:r>
      <w:r w:rsidR="00BB73B1">
        <w:rPr>
          <w:rFonts w:ascii="Arial" w:hAnsi="Arial" w:cs="Arial"/>
        </w:rPr>
        <w:t>’</w:t>
      </w:r>
      <w:r w:rsidR="00386F26">
        <w:rPr>
          <w:rFonts w:ascii="Arial" w:hAnsi="Arial" w:cs="Arial"/>
        </w:rPr>
        <w:t xml:space="preserve">s confidence </w:t>
      </w:r>
      <w:r w:rsidR="00710D38">
        <w:rPr>
          <w:rFonts w:ascii="Arial" w:hAnsi="Arial" w:cs="Arial"/>
        </w:rPr>
        <w:t xml:space="preserve">in having </w:t>
      </w:r>
      <w:r w:rsidR="00E33F64">
        <w:rPr>
          <w:rFonts w:ascii="Arial" w:hAnsi="Arial" w:cs="Arial"/>
        </w:rPr>
        <w:t xml:space="preserve">those </w:t>
      </w:r>
      <w:r w:rsidR="00386F26">
        <w:rPr>
          <w:rFonts w:ascii="Arial" w:hAnsi="Arial" w:cs="Arial"/>
        </w:rPr>
        <w:t xml:space="preserve">conversations. </w:t>
      </w:r>
      <w:r>
        <w:rPr>
          <w:rFonts w:ascii="Arial" w:hAnsi="Arial" w:cs="Arial"/>
        </w:rPr>
        <w:t xml:space="preserve">These </w:t>
      </w:r>
      <w:r w:rsidR="00BB73B1">
        <w:rPr>
          <w:rFonts w:ascii="Arial" w:hAnsi="Arial" w:cs="Arial"/>
        </w:rPr>
        <w:t xml:space="preserve">types of </w:t>
      </w:r>
      <w:r>
        <w:rPr>
          <w:rFonts w:ascii="Arial" w:hAnsi="Arial" w:cs="Arial"/>
        </w:rPr>
        <w:t>intervention</w:t>
      </w:r>
      <w:r w:rsidR="00BB73B1">
        <w:rPr>
          <w:rFonts w:ascii="Arial" w:hAnsi="Arial" w:cs="Arial"/>
        </w:rPr>
        <w:t xml:space="preserve"> have the potential to </w:t>
      </w:r>
      <w:r w:rsidR="009A14C0">
        <w:rPr>
          <w:rFonts w:ascii="Arial" w:hAnsi="Arial" w:cs="Arial"/>
        </w:rPr>
        <w:t>reach beyond th</w:t>
      </w:r>
      <w:r w:rsidR="001F6D80">
        <w:rPr>
          <w:rFonts w:ascii="Arial" w:hAnsi="Arial" w:cs="Arial"/>
        </w:rPr>
        <w:t>e immediate recipients</w:t>
      </w:r>
      <w:r w:rsidR="009A14C0">
        <w:rPr>
          <w:rFonts w:ascii="Arial" w:hAnsi="Arial" w:cs="Arial"/>
        </w:rPr>
        <w:t>, as attendees talk to othe</w:t>
      </w:r>
      <w:r w:rsidR="000B15AB">
        <w:rPr>
          <w:rFonts w:ascii="Arial" w:hAnsi="Arial" w:cs="Arial"/>
        </w:rPr>
        <w:t>rs about</w:t>
      </w:r>
      <w:r w:rsidR="003A1BE4">
        <w:rPr>
          <w:rFonts w:ascii="Arial" w:hAnsi="Arial" w:cs="Arial"/>
        </w:rPr>
        <w:t xml:space="preserve"> issues</w:t>
      </w:r>
      <w:r w:rsidR="001F6D80">
        <w:rPr>
          <w:rFonts w:ascii="Arial" w:hAnsi="Arial" w:cs="Arial"/>
        </w:rPr>
        <w:t xml:space="preserve">, </w:t>
      </w:r>
      <w:r w:rsidR="00BB73B1">
        <w:rPr>
          <w:rFonts w:ascii="Arial" w:hAnsi="Arial" w:cs="Arial"/>
        </w:rPr>
        <w:t xml:space="preserve">or </w:t>
      </w:r>
      <w:r>
        <w:rPr>
          <w:rFonts w:ascii="Arial" w:hAnsi="Arial" w:cs="Arial"/>
        </w:rPr>
        <w:t xml:space="preserve">even </w:t>
      </w:r>
      <w:r w:rsidR="00710D38">
        <w:rPr>
          <w:rFonts w:ascii="Arial" w:hAnsi="Arial" w:cs="Arial"/>
        </w:rPr>
        <w:t>host</w:t>
      </w:r>
      <w:r>
        <w:rPr>
          <w:rFonts w:ascii="Arial" w:hAnsi="Arial" w:cs="Arial"/>
        </w:rPr>
        <w:t xml:space="preserve"> </w:t>
      </w:r>
      <w:r w:rsidR="00E33F64">
        <w:rPr>
          <w:rFonts w:ascii="Arial" w:hAnsi="Arial" w:cs="Arial"/>
        </w:rPr>
        <w:t>their</w:t>
      </w:r>
      <w:r>
        <w:rPr>
          <w:rFonts w:ascii="Arial" w:hAnsi="Arial" w:cs="Arial"/>
        </w:rPr>
        <w:t xml:space="preserve"> own similar event</w:t>
      </w:r>
      <w:r w:rsidR="00E33F64">
        <w:rPr>
          <w:rFonts w:ascii="Arial" w:hAnsi="Arial" w:cs="Arial"/>
        </w:rPr>
        <w:t>s</w:t>
      </w:r>
      <w:r w:rsidR="00BB73B1">
        <w:rPr>
          <w:rFonts w:ascii="Arial" w:hAnsi="Arial" w:cs="Arial"/>
        </w:rPr>
        <w:t>.</w:t>
      </w:r>
      <w:r w:rsidR="00A939D3">
        <w:rPr>
          <w:rFonts w:ascii="Arial" w:hAnsi="Arial" w:cs="Arial"/>
        </w:rPr>
        <w:t xml:space="preserve"> The events evaluated in this study</w:t>
      </w:r>
      <w:r w:rsidR="00134BAC">
        <w:rPr>
          <w:rFonts w:ascii="Arial" w:hAnsi="Arial" w:cs="Arial"/>
        </w:rPr>
        <w:t xml:space="preserve"> </w:t>
      </w:r>
      <w:r w:rsidR="009A14C0">
        <w:rPr>
          <w:rFonts w:ascii="Arial" w:hAnsi="Arial" w:cs="Arial"/>
        </w:rPr>
        <w:t>appear</w:t>
      </w:r>
      <w:r w:rsidR="00033F48">
        <w:rPr>
          <w:rFonts w:ascii="Arial" w:hAnsi="Arial" w:cs="Arial"/>
        </w:rPr>
        <w:t>ed</w:t>
      </w:r>
      <w:r w:rsidR="009A14C0">
        <w:rPr>
          <w:rFonts w:ascii="Arial" w:hAnsi="Arial" w:cs="Arial"/>
        </w:rPr>
        <w:t xml:space="preserve"> to be </w:t>
      </w:r>
      <w:r>
        <w:rPr>
          <w:rFonts w:ascii="Arial" w:hAnsi="Arial" w:cs="Arial"/>
        </w:rPr>
        <w:t>relevant and effective for</w:t>
      </w:r>
      <w:r w:rsidR="00A00674">
        <w:rPr>
          <w:rFonts w:ascii="Arial" w:hAnsi="Arial" w:cs="Arial"/>
        </w:rPr>
        <w:t xml:space="preserve"> all age groups, </w:t>
      </w:r>
      <w:r w:rsidR="00BB73B1">
        <w:rPr>
          <w:rFonts w:ascii="Arial" w:hAnsi="Arial" w:cs="Arial"/>
        </w:rPr>
        <w:t xml:space="preserve">but </w:t>
      </w:r>
      <w:r w:rsidR="00A00674">
        <w:rPr>
          <w:rFonts w:ascii="Arial" w:hAnsi="Arial" w:cs="Arial"/>
        </w:rPr>
        <w:t>we</w:t>
      </w:r>
      <w:r>
        <w:rPr>
          <w:rFonts w:ascii="Arial" w:hAnsi="Arial" w:cs="Arial"/>
        </w:rPr>
        <w:t xml:space="preserve">re </w:t>
      </w:r>
      <w:r w:rsidR="009A14C0">
        <w:rPr>
          <w:rFonts w:ascii="Arial" w:hAnsi="Arial" w:cs="Arial"/>
        </w:rPr>
        <w:t>most relevant and effective</w:t>
      </w:r>
      <w:r w:rsidR="00BB73B1">
        <w:rPr>
          <w:rFonts w:ascii="Arial" w:hAnsi="Arial" w:cs="Arial"/>
        </w:rPr>
        <w:t xml:space="preserve"> for</w:t>
      </w:r>
      <w:r w:rsidR="009A14C0">
        <w:rPr>
          <w:rFonts w:ascii="Arial" w:hAnsi="Arial" w:cs="Arial"/>
        </w:rPr>
        <w:t xml:space="preserve"> </w:t>
      </w:r>
      <w:r w:rsidR="003A1BE4">
        <w:rPr>
          <w:rFonts w:ascii="Arial" w:hAnsi="Arial" w:cs="Arial"/>
        </w:rPr>
        <w:t>those</w:t>
      </w:r>
      <w:r>
        <w:rPr>
          <w:rFonts w:ascii="Arial" w:hAnsi="Arial" w:cs="Arial"/>
        </w:rPr>
        <w:t xml:space="preserve"> aged 45 to 74. F</w:t>
      </w:r>
      <w:r w:rsidR="003A1BE4">
        <w:rPr>
          <w:rFonts w:ascii="Arial" w:hAnsi="Arial" w:cs="Arial"/>
        </w:rPr>
        <w:t>urther</w:t>
      </w:r>
      <w:r w:rsidR="009A14C0">
        <w:rPr>
          <w:rFonts w:ascii="Arial" w:hAnsi="Arial" w:cs="Arial"/>
        </w:rPr>
        <w:t xml:space="preserve"> research might identify interventions more suitable for younger and older age groups</w:t>
      </w:r>
      <w:r w:rsidR="00BB73B1">
        <w:rPr>
          <w:rFonts w:ascii="Arial" w:hAnsi="Arial" w:cs="Arial"/>
        </w:rPr>
        <w:t>, and those who would not be reached by events like these</w:t>
      </w:r>
      <w:r w:rsidR="002F39EA">
        <w:rPr>
          <w:rFonts w:ascii="Arial" w:hAnsi="Arial" w:cs="Arial"/>
        </w:rPr>
        <w:t>.</w:t>
      </w:r>
      <w:r w:rsidR="009A14C0">
        <w:rPr>
          <w:rFonts w:ascii="Arial" w:hAnsi="Arial" w:cs="Arial"/>
        </w:rPr>
        <w:t xml:space="preserve"> </w:t>
      </w:r>
      <w:r w:rsidR="00386F26">
        <w:rPr>
          <w:rFonts w:ascii="Arial" w:hAnsi="Arial" w:cs="Arial"/>
        </w:rPr>
        <w:t xml:space="preserve">  </w:t>
      </w:r>
    </w:p>
    <w:p w:rsidR="00CE7220" w:rsidRDefault="00CE7220" w:rsidP="004520FC">
      <w:pPr>
        <w:spacing w:line="360" w:lineRule="auto"/>
        <w:rPr>
          <w:rFonts w:ascii="Arial" w:hAnsi="Arial" w:cs="Arial"/>
        </w:rPr>
      </w:pPr>
    </w:p>
    <w:p w:rsidR="00CE7220" w:rsidRPr="006B13F7" w:rsidRDefault="00CE7220" w:rsidP="004520FC">
      <w:pPr>
        <w:spacing w:line="360" w:lineRule="auto"/>
        <w:rPr>
          <w:rFonts w:ascii="Arial" w:hAnsi="Arial" w:cs="Arial"/>
          <w:b/>
        </w:rPr>
      </w:pPr>
    </w:p>
    <w:p w:rsidR="00F80D4D" w:rsidRDefault="00F80D4D">
      <w:pPr>
        <w:rPr>
          <w:rFonts w:ascii="Arial" w:hAnsi="Arial" w:cs="Arial"/>
          <w:b/>
        </w:rPr>
      </w:pPr>
      <w:r>
        <w:rPr>
          <w:rFonts w:ascii="Arial" w:hAnsi="Arial" w:cs="Arial"/>
          <w:b/>
        </w:rPr>
        <w:br w:type="page"/>
      </w:r>
    </w:p>
    <w:p w:rsidR="006B13F7" w:rsidRPr="006B13F7" w:rsidRDefault="006B13F7" w:rsidP="006B13F7">
      <w:pPr>
        <w:spacing w:line="360" w:lineRule="auto"/>
        <w:rPr>
          <w:rFonts w:ascii="Arial" w:hAnsi="Arial" w:cs="Arial"/>
          <w:b/>
        </w:rPr>
      </w:pPr>
      <w:r w:rsidRPr="006B13F7">
        <w:rPr>
          <w:rFonts w:ascii="Arial" w:hAnsi="Arial" w:cs="Arial"/>
          <w:b/>
        </w:rPr>
        <w:lastRenderedPageBreak/>
        <w:t>Declarations</w:t>
      </w:r>
    </w:p>
    <w:p w:rsidR="00924B22" w:rsidRPr="00924B22" w:rsidRDefault="00924B22" w:rsidP="006B13F7">
      <w:pPr>
        <w:spacing w:line="360" w:lineRule="auto"/>
        <w:rPr>
          <w:rFonts w:ascii="Arial" w:hAnsi="Arial" w:cs="Arial"/>
          <w:b/>
          <w:i/>
        </w:rPr>
      </w:pPr>
      <w:r>
        <w:rPr>
          <w:rFonts w:ascii="Arial" w:hAnsi="Arial" w:cs="Arial"/>
          <w:b/>
          <w:i/>
        </w:rPr>
        <w:t>Ethics approval and consent to participate</w:t>
      </w:r>
    </w:p>
    <w:p w:rsidR="006B13F7" w:rsidRDefault="006B13F7" w:rsidP="006B13F7">
      <w:pPr>
        <w:spacing w:line="360" w:lineRule="auto"/>
        <w:rPr>
          <w:rFonts w:ascii="Arial" w:hAnsi="Arial" w:cs="Arial"/>
        </w:rPr>
      </w:pPr>
      <w:r>
        <w:rPr>
          <w:rFonts w:ascii="Arial" w:hAnsi="Arial" w:cs="Arial"/>
        </w:rPr>
        <w:t xml:space="preserve">Full ethical approval was </w:t>
      </w:r>
      <w:r w:rsidRPr="00D95BDF">
        <w:rPr>
          <w:rFonts w:ascii="Arial" w:hAnsi="Arial" w:cs="Arial"/>
        </w:rPr>
        <w:t>obtained</w:t>
      </w:r>
      <w:r>
        <w:rPr>
          <w:rFonts w:ascii="Arial" w:hAnsi="Arial" w:cs="Arial"/>
        </w:rPr>
        <w:t xml:space="preserve"> from the Non-Invasive Subgroup of the Research Ethics Committee of the University </w:t>
      </w:r>
      <w:r w:rsidR="001F6D80">
        <w:rPr>
          <w:rFonts w:ascii="Arial" w:hAnsi="Arial" w:cs="Arial"/>
        </w:rPr>
        <w:t>of</w:t>
      </w:r>
      <w:r>
        <w:rPr>
          <w:rFonts w:ascii="Arial" w:hAnsi="Arial" w:cs="Arial"/>
        </w:rPr>
        <w:t xml:space="preserve"> Liverpool</w:t>
      </w:r>
      <w:r w:rsidRPr="00D95BDF">
        <w:rPr>
          <w:rFonts w:ascii="Arial" w:hAnsi="Arial" w:cs="Arial"/>
        </w:rPr>
        <w:t xml:space="preserve"> (</w:t>
      </w:r>
      <w:r w:rsidRPr="00E2782F">
        <w:rPr>
          <w:rFonts w:ascii="Arial" w:hAnsi="Arial" w:cs="Arial"/>
          <w:color w:val="000000"/>
          <w:lang w:val="en-US"/>
        </w:rPr>
        <w:t>RETH000583</w:t>
      </w:r>
      <w:r w:rsidRPr="00D95BDF">
        <w:rPr>
          <w:rFonts w:ascii="Arial" w:hAnsi="Arial" w:cs="Arial"/>
        </w:rPr>
        <w:t>)</w:t>
      </w:r>
      <w:r>
        <w:rPr>
          <w:rFonts w:ascii="Arial" w:hAnsi="Arial" w:cs="Arial"/>
        </w:rPr>
        <w:t>.</w:t>
      </w:r>
    </w:p>
    <w:p w:rsidR="00924B22" w:rsidRPr="00E04881" w:rsidRDefault="00924B22" w:rsidP="001A08FF">
      <w:pPr>
        <w:spacing w:line="360" w:lineRule="auto"/>
        <w:rPr>
          <w:sz w:val="24"/>
          <w:szCs w:val="24"/>
        </w:rPr>
      </w:pPr>
      <w:r>
        <w:rPr>
          <w:rFonts w:ascii="Arial" w:hAnsi="Arial" w:cs="Arial"/>
        </w:rPr>
        <w:t>As agreed by the ethics committee, written consent was not taken for participation in the baseline study</w:t>
      </w:r>
      <w:r w:rsidR="00F91444">
        <w:rPr>
          <w:rFonts w:ascii="Arial" w:hAnsi="Arial" w:cs="Arial"/>
        </w:rPr>
        <w:t>, but implied by completion of a questionnaire</w:t>
      </w:r>
      <w:r>
        <w:rPr>
          <w:rFonts w:ascii="Arial" w:hAnsi="Arial" w:cs="Arial"/>
        </w:rPr>
        <w:t xml:space="preserve">. </w:t>
      </w:r>
      <w:r w:rsidR="00F91444">
        <w:rPr>
          <w:rFonts w:ascii="Arial" w:hAnsi="Arial" w:cs="Arial"/>
        </w:rPr>
        <w:t xml:space="preserve">Written consent was taken to contact participants for follow-up. When presenting the questionnaire to attendees at events, care was taken not to put them under any pressure to participate. </w:t>
      </w:r>
    </w:p>
    <w:p w:rsidR="00F91444" w:rsidRPr="003823B1" w:rsidRDefault="00F91444" w:rsidP="004520FC">
      <w:pPr>
        <w:spacing w:line="360" w:lineRule="auto"/>
        <w:rPr>
          <w:rFonts w:ascii="Arial" w:hAnsi="Arial" w:cs="Arial"/>
          <w:b/>
        </w:rPr>
      </w:pPr>
      <w:r w:rsidRPr="003823B1">
        <w:rPr>
          <w:rFonts w:ascii="Arial" w:hAnsi="Arial" w:cs="Arial"/>
          <w:b/>
        </w:rPr>
        <w:t>Availability of data and materials</w:t>
      </w:r>
    </w:p>
    <w:p w:rsidR="00F91444" w:rsidRDefault="00F91444" w:rsidP="004520FC">
      <w:pPr>
        <w:spacing w:line="360" w:lineRule="auto"/>
        <w:rPr>
          <w:color w:val="333333"/>
          <w:sz w:val="20"/>
          <w:szCs w:val="20"/>
        </w:rPr>
      </w:pPr>
      <w:r w:rsidRPr="003823B1">
        <w:rPr>
          <w:rFonts w:ascii="Arial" w:hAnsi="Arial" w:cs="Arial"/>
          <w:color w:val="333333"/>
        </w:rPr>
        <w:t>The data that support the findings of this study are available on request from the corresponding a</w:t>
      </w:r>
      <w:r w:rsidR="003823B1" w:rsidRPr="003823B1">
        <w:rPr>
          <w:rFonts w:ascii="Arial" w:hAnsi="Arial" w:cs="Arial"/>
          <w:color w:val="333333"/>
        </w:rPr>
        <w:t>uthor [KA</w:t>
      </w:r>
      <w:r w:rsidRPr="003823B1">
        <w:rPr>
          <w:rFonts w:ascii="Arial" w:hAnsi="Arial" w:cs="Arial"/>
          <w:color w:val="333333"/>
        </w:rPr>
        <w:t>]. The data are not publicly available d</w:t>
      </w:r>
      <w:r w:rsidR="003823B1" w:rsidRPr="003823B1">
        <w:rPr>
          <w:rFonts w:ascii="Arial" w:hAnsi="Arial" w:cs="Arial"/>
          <w:color w:val="333333"/>
        </w:rPr>
        <w:t xml:space="preserve">ue to </w:t>
      </w:r>
      <w:r w:rsidRPr="003823B1">
        <w:rPr>
          <w:rFonts w:ascii="Arial" w:hAnsi="Arial" w:cs="Arial"/>
          <w:color w:val="333333"/>
        </w:rPr>
        <w:t>them containing information that could compromise rese</w:t>
      </w:r>
      <w:r w:rsidR="003823B1" w:rsidRPr="003823B1">
        <w:rPr>
          <w:rFonts w:ascii="Arial" w:hAnsi="Arial" w:cs="Arial"/>
          <w:color w:val="333333"/>
        </w:rPr>
        <w:t>arch participant privacy</w:t>
      </w:r>
      <w:r w:rsidR="003823B1">
        <w:rPr>
          <w:color w:val="333333"/>
          <w:sz w:val="20"/>
          <w:szCs w:val="20"/>
        </w:rPr>
        <w:t>.</w:t>
      </w:r>
    </w:p>
    <w:p w:rsidR="00D25617" w:rsidRDefault="00D25617" w:rsidP="004520FC">
      <w:pPr>
        <w:spacing w:line="360" w:lineRule="auto"/>
        <w:rPr>
          <w:rFonts w:ascii="Arial" w:hAnsi="Arial" w:cs="Arial"/>
          <w:b/>
          <w:color w:val="333333"/>
        </w:rPr>
      </w:pPr>
      <w:r w:rsidRPr="00D25617">
        <w:rPr>
          <w:rFonts w:ascii="Arial" w:hAnsi="Arial" w:cs="Arial"/>
          <w:b/>
          <w:color w:val="333333"/>
        </w:rPr>
        <w:t xml:space="preserve">Consent for publication </w:t>
      </w:r>
    </w:p>
    <w:p w:rsidR="00D25617" w:rsidRPr="00D25617" w:rsidRDefault="00D25617" w:rsidP="004520FC">
      <w:pPr>
        <w:spacing w:line="360" w:lineRule="auto"/>
        <w:rPr>
          <w:rFonts w:ascii="Arial" w:hAnsi="Arial" w:cs="Arial"/>
        </w:rPr>
      </w:pPr>
      <w:r w:rsidRPr="00D25617">
        <w:rPr>
          <w:rFonts w:ascii="Arial" w:hAnsi="Arial" w:cs="Arial"/>
          <w:color w:val="333333"/>
        </w:rPr>
        <w:t xml:space="preserve">Not applicable </w:t>
      </w:r>
    </w:p>
    <w:p w:rsidR="00D25617" w:rsidRDefault="00D25617" w:rsidP="004520FC">
      <w:pPr>
        <w:spacing w:line="360" w:lineRule="auto"/>
        <w:rPr>
          <w:rFonts w:ascii="Arial" w:hAnsi="Arial" w:cs="Arial"/>
          <w:b/>
        </w:rPr>
      </w:pPr>
      <w:r>
        <w:rPr>
          <w:rFonts w:ascii="Arial" w:hAnsi="Arial" w:cs="Arial"/>
          <w:b/>
        </w:rPr>
        <w:t>Funding</w:t>
      </w:r>
    </w:p>
    <w:p w:rsidR="00D25617" w:rsidRDefault="00D25617" w:rsidP="00D25617">
      <w:pPr>
        <w:pStyle w:val="PlainText"/>
      </w:pPr>
      <w:r>
        <w:t>This research was part funded by St Luke's Hospice, Cheshire, as part of the Living Well Dying Well Initiative, and was conducted at the University of Liverpool as part of a PhD study</w:t>
      </w:r>
    </w:p>
    <w:p w:rsidR="00D25617" w:rsidRDefault="00D25617" w:rsidP="004520FC">
      <w:pPr>
        <w:spacing w:line="360" w:lineRule="auto"/>
        <w:rPr>
          <w:rFonts w:ascii="Arial" w:hAnsi="Arial" w:cs="Arial"/>
          <w:b/>
        </w:rPr>
      </w:pPr>
    </w:p>
    <w:p w:rsidR="003823B1" w:rsidRPr="003823B1" w:rsidRDefault="003823B1" w:rsidP="004520FC">
      <w:pPr>
        <w:spacing w:line="360" w:lineRule="auto"/>
        <w:rPr>
          <w:rFonts w:ascii="Arial" w:hAnsi="Arial" w:cs="Arial"/>
          <w:b/>
        </w:rPr>
      </w:pPr>
      <w:r w:rsidRPr="003823B1">
        <w:rPr>
          <w:rFonts w:ascii="Arial" w:hAnsi="Arial" w:cs="Arial"/>
          <w:b/>
        </w:rPr>
        <w:t>Competing Interests</w:t>
      </w:r>
    </w:p>
    <w:p w:rsidR="00F91444" w:rsidRDefault="003823B1" w:rsidP="004520FC">
      <w:pPr>
        <w:spacing w:line="360" w:lineRule="auto"/>
        <w:rPr>
          <w:rFonts w:ascii="Arial" w:hAnsi="Arial" w:cs="Arial"/>
        </w:rPr>
      </w:pPr>
      <w:r w:rsidRPr="003823B1">
        <w:rPr>
          <w:rFonts w:ascii="Arial" w:hAnsi="Arial" w:cs="Arial"/>
        </w:rPr>
        <w:t>The authors declare that they have no competing interests.</w:t>
      </w:r>
    </w:p>
    <w:p w:rsidR="003823B1" w:rsidRPr="003823B1" w:rsidRDefault="003823B1" w:rsidP="004520FC">
      <w:pPr>
        <w:spacing w:line="360" w:lineRule="auto"/>
        <w:rPr>
          <w:rFonts w:ascii="Arial" w:hAnsi="Arial" w:cs="Arial"/>
          <w:b/>
        </w:rPr>
      </w:pPr>
      <w:r w:rsidRPr="003823B1">
        <w:rPr>
          <w:rFonts w:ascii="Arial" w:hAnsi="Arial" w:cs="Arial"/>
          <w:b/>
        </w:rPr>
        <w:t>Authors' contributions</w:t>
      </w:r>
    </w:p>
    <w:p w:rsidR="003823B1" w:rsidRDefault="003823B1" w:rsidP="004520FC">
      <w:pPr>
        <w:spacing w:line="360" w:lineRule="auto"/>
        <w:rPr>
          <w:rFonts w:ascii="Arial" w:hAnsi="Arial" w:cs="Arial"/>
        </w:rPr>
      </w:pPr>
      <w:r>
        <w:rPr>
          <w:rFonts w:ascii="Arial" w:hAnsi="Arial" w:cs="Arial"/>
        </w:rPr>
        <w:t xml:space="preserve">KA designed the </w:t>
      </w:r>
      <w:r w:rsidR="00F80D4D">
        <w:rPr>
          <w:rFonts w:ascii="Arial" w:hAnsi="Arial" w:cs="Arial"/>
        </w:rPr>
        <w:t xml:space="preserve">questionnaire </w:t>
      </w:r>
      <w:r w:rsidR="001F6D80">
        <w:rPr>
          <w:rFonts w:ascii="Arial" w:hAnsi="Arial" w:cs="Arial"/>
        </w:rPr>
        <w:t>and analys</w:t>
      </w:r>
      <w:r>
        <w:rPr>
          <w:rFonts w:ascii="Arial" w:hAnsi="Arial" w:cs="Arial"/>
        </w:rPr>
        <w:t xml:space="preserve">ed the findings, with advice from MLW. </w:t>
      </w:r>
      <w:r w:rsidRPr="003823B1">
        <w:rPr>
          <w:rFonts w:ascii="Arial" w:hAnsi="Arial" w:cs="Arial"/>
        </w:rPr>
        <w:t xml:space="preserve">SH advised </w:t>
      </w:r>
      <w:r w:rsidR="00F80D4D">
        <w:rPr>
          <w:rFonts w:ascii="Arial" w:hAnsi="Arial" w:cs="Arial"/>
        </w:rPr>
        <w:t xml:space="preserve">on the </w:t>
      </w:r>
      <w:r w:rsidRPr="003823B1">
        <w:rPr>
          <w:rFonts w:ascii="Arial" w:hAnsi="Arial" w:cs="Arial"/>
        </w:rPr>
        <w:t xml:space="preserve">design of both the </w:t>
      </w:r>
      <w:r w:rsidR="00F80D4D">
        <w:rPr>
          <w:rFonts w:ascii="Arial" w:hAnsi="Arial" w:cs="Arial"/>
        </w:rPr>
        <w:t xml:space="preserve">community </w:t>
      </w:r>
      <w:r w:rsidRPr="003823B1">
        <w:rPr>
          <w:rFonts w:ascii="Arial" w:hAnsi="Arial" w:cs="Arial"/>
        </w:rPr>
        <w:t>interventions</w:t>
      </w:r>
      <w:r w:rsidR="00F80D4D">
        <w:rPr>
          <w:rFonts w:ascii="Arial" w:hAnsi="Arial" w:cs="Arial"/>
        </w:rPr>
        <w:t xml:space="preserve"> tested in the research and on the survey</w:t>
      </w:r>
      <w:r>
        <w:rPr>
          <w:rFonts w:ascii="Arial" w:hAnsi="Arial" w:cs="Arial"/>
        </w:rPr>
        <w:t xml:space="preserve">. All authors were involved in the interpretation of the results and in drafting the manuscript. </w:t>
      </w:r>
      <w:r w:rsidR="00F80D4D">
        <w:rPr>
          <w:rFonts w:ascii="Arial" w:hAnsi="Arial" w:cs="Arial"/>
        </w:rPr>
        <w:t>All authors read and approved the final manuscript.</w:t>
      </w:r>
    </w:p>
    <w:p w:rsidR="00F80D4D" w:rsidRDefault="00F80D4D" w:rsidP="00F80D4D">
      <w:pPr>
        <w:spacing w:line="360" w:lineRule="auto"/>
        <w:rPr>
          <w:rFonts w:ascii="Arial" w:hAnsi="Arial" w:cs="Arial"/>
          <w:b/>
        </w:rPr>
      </w:pPr>
      <w:r w:rsidRPr="00F80D4D">
        <w:rPr>
          <w:rFonts w:ascii="Arial" w:hAnsi="Arial" w:cs="Arial"/>
          <w:b/>
        </w:rPr>
        <w:t>Acknowledgements:</w:t>
      </w:r>
    </w:p>
    <w:p w:rsidR="00F80D4D" w:rsidRPr="00F80D4D" w:rsidRDefault="003A0244" w:rsidP="00F80D4D">
      <w:pPr>
        <w:spacing w:line="360" w:lineRule="auto"/>
        <w:rPr>
          <w:rFonts w:ascii="Arial" w:hAnsi="Arial" w:cs="Arial"/>
          <w:b/>
        </w:rPr>
      </w:pPr>
      <w:r>
        <w:rPr>
          <w:rFonts w:ascii="Arial" w:hAnsi="Arial" w:cs="Arial"/>
        </w:rPr>
        <w:t>Ceri Edwards and Alison Colclough</w:t>
      </w:r>
      <w:r w:rsidR="00F80D4D">
        <w:rPr>
          <w:rFonts w:ascii="Arial" w:hAnsi="Arial" w:cs="Arial"/>
        </w:rPr>
        <w:t xml:space="preserve"> designed th</w:t>
      </w:r>
      <w:r>
        <w:rPr>
          <w:rFonts w:ascii="Arial" w:hAnsi="Arial" w:cs="Arial"/>
        </w:rPr>
        <w:t>e interventions evaluated in this study</w:t>
      </w:r>
      <w:r w:rsidR="00F80D4D">
        <w:rPr>
          <w:rFonts w:ascii="Arial" w:hAnsi="Arial" w:cs="Arial"/>
        </w:rPr>
        <w:t>.</w:t>
      </w:r>
      <w:r w:rsidR="00F80D4D" w:rsidRPr="00F80D4D">
        <w:rPr>
          <w:rFonts w:ascii="Arial" w:hAnsi="Arial" w:cs="Arial"/>
          <w:b/>
        </w:rPr>
        <w:t xml:space="preserve"> </w:t>
      </w:r>
      <w:r w:rsidR="00F80D4D" w:rsidRPr="00F80D4D">
        <w:rPr>
          <w:rFonts w:ascii="Arial" w:hAnsi="Arial" w:cs="Arial"/>
        </w:rPr>
        <w:t>Ceri Edwards</w:t>
      </w:r>
      <w:r w:rsidR="00F80D4D">
        <w:rPr>
          <w:rFonts w:ascii="Arial" w:hAnsi="Arial" w:cs="Arial"/>
        </w:rPr>
        <w:t xml:space="preserve"> facilitated the interventions and administered the baseline questionnaire. </w:t>
      </w:r>
      <w:r w:rsidR="002D499B">
        <w:rPr>
          <w:rFonts w:ascii="Arial" w:hAnsi="Arial" w:cs="Arial"/>
        </w:rPr>
        <w:t xml:space="preserve">Staff and volunteers of the Cheshire Living Well Dying Well Public Health Programme piloted the baseline questionnaires, assisted with the </w:t>
      </w:r>
      <w:r w:rsidR="00EC187F">
        <w:rPr>
          <w:rFonts w:ascii="Arial" w:hAnsi="Arial" w:cs="Arial"/>
        </w:rPr>
        <w:t xml:space="preserve">design and </w:t>
      </w:r>
      <w:r w:rsidR="002D499B">
        <w:rPr>
          <w:rFonts w:ascii="Arial" w:hAnsi="Arial" w:cs="Arial"/>
        </w:rPr>
        <w:t xml:space="preserve">delivery of the interventions, and assisted participants to complete questionnaires, where necessary. Chris Sheils provided </w:t>
      </w:r>
      <w:r w:rsidR="002D499B">
        <w:rPr>
          <w:rFonts w:ascii="Arial" w:hAnsi="Arial" w:cs="Arial"/>
        </w:rPr>
        <w:lastRenderedPageBreak/>
        <w:t xml:space="preserve">statistical advice. </w:t>
      </w:r>
      <w:r>
        <w:rPr>
          <w:rFonts w:ascii="Arial" w:hAnsi="Arial" w:cs="Arial"/>
        </w:rPr>
        <w:t>Rachel Zammit oversaw the development and implementation of the interventions, commented on the design of the questionnaire, and provided minor comments on the draft manuscript.</w:t>
      </w:r>
      <w:r w:rsidR="002D499B">
        <w:rPr>
          <w:rFonts w:ascii="Arial" w:hAnsi="Arial" w:cs="Arial"/>
        </w:rPr>
        <w:t xml:space="preserve"> </w:t>
      </w:r>
      <w:r w:rsidR="00F80D4D">
        <w:rPr>
          <w:rFonts w:ascii="Arial" w:hAnsi="Arial" w:cs="Arial"/>
        </w:rPr>
        <w:t xml:space="preserve"> </w:t>
      </w:r>
    </w:p>
    <w:p w:rsidR="00F80D4D" w:rsidRDefault="00F80D4D" w:rsidP="00F80D4D">
      <w:pPr>
        <w:spacing w:line="360" w:lineRule="auto"/>
        <w:rPr>
          <w:rFonts w:ascii="Arial" w:hAnsi="Arial" w:cs="Arial"/>
        </w:rPr>
      </w:pPr>
    </w:p>
    <w:p w:rsidR="002D499B" w:rsidRDefault="002D499B">
      <w:pPr>
        <w:rPr>
          <w:rFonts w:ascii="Arial" w:hAnsi="Arial" w:cs="Arial"/>
        </w:rPr>
      </w:pPr>
      <w:r>
        <w:rPr>
          <w:rFonts w:ascii="Arial" w:hAnsi="Arial" w:cs="Arial"/>
        </w:rPr>
        <w:br w:type="page"/>
      </w:r>
    </w:p>
    <w:p w:rsidR="002D499B" w:rsidRDefault="002D499B" w:rsidP="002D499B">
      <w:pPr>
        <w:spacing w:line="360" w:lineRule="auto"/>
        <w:rPr>
          <w:rFonts w:ascii="Arial" w:hAnsi="Arial" w:cs="Arial"/>
        </w:rPr>
      </w:pPr>
      <w:r>
        <w:rPr>
          <w:rFonts w:ascii="Arial" w:hAnsi="Arial" w:cs="Arial"/>
        </w:rPr>
        <w:lastRenderedPageBreak/>
        <w:t>References</w:t>
      </w:r>
    </w:p>
    <w:p w:rsidR="00716E55" w:rsidRPr="00716E55" w:rsidRDefault="005E38AB" w:rsidP="00716E55">
      <w:pPr>
        <w:pStyle w:val="EndNoteBibliography"/>
        <w:spacing w:after="0"/>
        <w:ind w:left="720" w:hanging="720"/>
      </w:pPr>
      <w:r>
        <w:rPr>
          <w:rFonts w:ascii="Arial" w:hAnsi="Arial" w:cs="Arial"/>
        </w:rPr>
        <w:fldChar w:fldCharType="begin"/>
      </w:r>
      <w:r w:rsidR="002D499B">
        <w:rPr>
          <w:rFonts w:ascii="Arial" w:hAnsi="Arial" w:cs="Arial"/>
        </w:rPr>
        <w:instrText xml:space="preserve"> ADDIN EN.REFLIST </w:instrText>
      </w:r>
      <w:r>
        <w:rPr>
          <w:rFonts w:ascii="Arial" w:hAnsi="Arial" w:cs="Arial"/>
        </w:rPr>
        <w:fldChar w:fldCharType="separate"/>
      </w:r>
      <w:bookmarkStart w:id="6" w:name="_ENREF_1"/>
      <w:r w:rsidR="00716E55" w:rsidRPr="00716E55">
        <w:t>1.</w:t>
      </w:r>
      <w:r w:rsidR="00716E55" w:rsidRPr="00716E55">
        <w:tab/>
        <w:t xml:space="preserve">Office for National Statistics: </w:t>
      </w:r>
      <w:r w:rsidR="00716E55" w:rsidRPr="00716E55">
        <w:rPr>
          <w:b/>
        </w:rPr>
        <w:t>Statistical Bulletin: Births and Deaths in England and Wales, 2011 (Final)</w:t>
      </w:r>
      <w:r w:rsidR="00716E55" w:rsidRPr="00716E55">
        <w:t>. In</w:t>
      </w:r>
      <w:r w:rsidR="00716E55" w:rsidRPr="00716E55">
        <w:rPr>
          <w:i/>
        </w:rPr>
        <w:t>.</w:t>
      </w:r>
      <w:r w:rsidR="00716E55" w:rsidRPr="00716E55">
        <w:t xml:space="preserve"> Edited by Office for National Statistics; 2012.</w:t>
      </w:r>
      <w:bookmarkEnd w:id="6"/>
    </w:p>
    <w:p w:rsidR="00716E55" w:rsidRPr="00716E55" w:rsidRDefault="00716E55" w:rsidP="00716E55">
      <w:pPr>
        <w:pStyle w:val="EndNoteBibliography"/>
        <w:spacing w:after="0"/>
        <w:ind w:left="720" w:hanging="720"/>
      </w:pPr>
      <w:bookmarkStart w:id="7" w:name="_ENREF_2"/>
      <w:r w:rsidRPr="00716E55">
        <w:t>2.</w:t>
      </w:r>
      <w:r w:rsidRPr="00716E55">
        <w:tab/>
        <w:t xml:space="preserve">Cohen J, Deliens L: </w:t>
      </w:r>
      <w:r w:rsidRPr="00716E55">
        <w:rPr>
          <w:b/>
        </w:rPr>
        <w:t>Applying a public health perspective on end-of-life care</w:t>
      </w:r>
      <w:r w:rsidRPr="00716E55">
        <w:t xml:space="preserve">. In: </w:t>
      </w:r>
      <w:r w:rsidRPr="00716E55">
        <w:rPr>
          <w:i/>
        </w:rPr>
        <w:t>A Public Health Perspective on End of Life Care.</w:t>
      </w:r>
      <w:r w:rsidRPr="00716E55">
        <w:t xml:space="preserve"> edn. Edited by Cohen J, Deliens L. Oxford: Oxford University Press; 2012.</w:t>
      </w:r>
      <w:bookmarkEnd w:id="7"/>
    </w:p>
    <w:p w:rsidR="00716E55" w:rsidRPr="00716E55" w:rsidRDefault="00716E55" w:rsidP="00716E55">
      <w:pPr>
        <w:pStyle w:val="EndNoteBibliography"/>
        <w:spacing w:after="0"/>
        <w:ind w:left="720" w:hanging="720"/>
      </w:pPr>
      <w:bookmarkStart w:id="8" w:name="_ENREF_3"/>
      <w:r w:rsidRPr="00716E55">
        <w:t>3.</w:t>
      </w:r>
      <w:r w:rsidRPr="00716E55">
        <w:tab/>
        <w:t xml:space="preserve">Hickman SE, Tilden VP, Tolle SW: </w:t>
      </w:r>
      <w:r w:rsidRPr="00716E55">
        <w:rPr>
          <w:b/>
        </w:rPr>
        <w:t>Family Perceptions of Worry, Symptoms, and Suffering in the Dying</w:t>
      </w:r>
      <w:r w:rsidRPr="00716E55">
        <w:t xml:space="preserve">. </w:t>
      </w:r>
      <w:r w:rsidRPr="00716E55">
        <w:rPr>
          <w:i/>
        </w:rPr>
        <w:t xml:space="preserve">Journal of Palliative Care </w:t>
      </w:r>
      <w:r w:rsidRPr="00716E55">
        <w:t xml:space="preserve">2004, </w:t>
      </w:r>
      <w:r w:rsidRPr="00716E55">
        <w:rPr>
          <w:b/>
        </w:rPr>
        <w:t>20</w:t>
      </w:r>
      <w:r w:rsidRPr="00716E55">
        <w:t>(1):20-27.</w:t>
      </w:r>
      <w:bookmarkEnd w:id="8"/>
    </w:p>
    <w:p w:rsidR="00716E55" w:rsidRPr="00716E55" w:rsidRDefault="00716E55" w:rsidP="00716E55">
      <w:pPr>
        <w:pStyle w:val="EndNoteBibliography"/>
        <w:spacing w:after="0"/>
        <w:ind w:left="720" w:hanging="720"/>
      </w:pPr>
      <w:bookmarkStart w:id="9" w:name="_ENREF_4"/>
      <w:r w:rsidRPr="00716E55">
        <w:t>4.</w:t>
      </w:r>
      <w:r w:rsidRPr="00716E55">
        <w:tab/>
        <w:t xml:space="preserve">Finlay-Jones R, Brown GW: </w:t>
      </w:r>
      <w:r w:rsidRPr="00716E55">
        <w:rPr>
          <w:b/>
        </w:rPr>
        <w:t>Types of stressful life event and the onset of anxiety and depressive disorders</w:t>
      </w:r>
      <w:r w:rsidRPr="00716E55">
        <w:t xml:space="preserve">. </w:t>
      </w:r>
      <w:r w:rsidRPr="00716E55">
        <w:rPr>
          <w:i/>
        </w:rPr>
        <w:t xml:space="preserve">Psychological Medicine </w:t>
      </w:r>
      <w:r w:rsidRPr="00716E55">
        <w:t xml:space="preserve">1981, </w:t>
      </w:r>
      <w:r w:rsidRPr="00716E55">
        <w:rPr>
          <w:b/>
        </w:rPr>
        <w:t>11</w:t>
      </w:r>
      <w:r w:rsidRPr="00716E55">
        <w:t>(04):803-815.</w:t>
      </w:r>
      <w:bookmarkEnd w:id="9"/>
    </w:p>
    <w:p w:rsidR="00716E55" w:rsidRPr="00716E55" w:rsidRDefault="00716E55" w:rsidP="00716E55">
      <w:pPr>
        <w:pStyle w:val="EndNoteBibliography"/>
        <w:spacing w:after="0"/>
        <w:ind w:left="720" w:hanging="720"/>
      </w:pPr>
      <w:bookmarkStart w:id="10" w:name="_ENREF_5"/>
      <w:r w:rsidRPr="00716E55">
        <w:t>5.</w:t>
      </w:r>
      <w:r w:rsidRPr="00716E55">
        <w:tab/>
        <w:t xml:space="preserve">Kellehear A: </w:t>
      </w:r>
      <w:r w:rsidRPr="00716E55">
        <w:rPr>
          <w:b/>
        </w:rPr>
        <w:t>Health Promoting Palliative Care</w:t>
      </w:r>
      <w:r w:rsidRPr="00716E55">
        <w:t>. Oxford, UK: Oxford University Press; 1999.</w:t>
      </w:r>
      <w:bookmarkEnd w:id="10"/>
    </w:p>
    <w:p w:rsidR="00716E55" w:rsidRPr="00716E55" w:rsidRDefault="00716E55" w:rsidP="00716E55">
      <w:pPr>
        <w:pStyle w:val="EndNoteBibliography"/>
        <w:spacing w:after="0"/>
        <w:ind w:left="720" w:hanging="720"/>
      </w:pPr>
      <w:bookmarkStart w:id="11" w:name="_ENREF_6"/>
      <w:r w:rsidRPr="00716E55">
        <w:t>6.</w:t>
      </w:r>
      <w:r w:rsidRPr="00716E55">
        <w:tab/>
        <w:t xml:space="preserve">Kellehear A: </w:t>
      </w:r>
      <w:r w:rsidRPr="00716E55">
        <w:rPr>
          <w:b/>
        </w:rPr>
        <w:t>Compassionate Cities: Public health and end-of-life care</w:t>
      </w:r>
      <w:r w:rsidRPr="00716E55">
        <w:t>. London: Routledge; 2005.</w:t>
      </w:r>
      <w:bookmarkEnd w:id="11"/>
    </w:p>
    <w:p w:rsidR="00716E55" w:rsidRPr="00716E55" w:rsidRDefault="00716E55" w:rsidP="00716E55">
      <w:pPr>
        <w:pStyle w:val="EndNoteBibliography"/>
        <w:spacing w:after="0"/>
        <w:ind w:left="720" w:hanging="720"/>
      </w:pPr>
      <w:bookmarkStart w:id="12" w:name="_ENREF_7"/>
      <w:r w:rsidRPr="00716E55">
        <w:t>7.</w:t>
      </w:r>
      <w:r w:rsidRPr="00716E55">
        <w:tab/>
        <w:t xml:space="preserve">Janssen DJA, Engelberg RA, Wouters EFM, Curtis JR: </w:t>
      </w:r>
      <w:r w:rsidRPr="00716E55">
        <w:rPr>
          <w:b/>
        </w:rPr>
        <w:t>Advance care planning for patients with COPD: Past, present and future</w:t>
      </w:r>
      <w:r w:rsidRPr="00716E55">
        <w:t xml:space="preserve">. </w:t>
      </w:r>
      <w:r w:rsidRPr="00716E55">
        <w:rPr>
          <w:i/>
        </w:rPr>
        <w:t xml:space="preserve">Patient Education and Counseling </w:t>
      </w:r>
      <w:r w:rsidRPr="00716E55">
        <w:t xml:space="preserve">2012, </w:t>
      </w:r>
      <w:r w:rsidRPr="00716E55">
        <w:rPr>
          <w:b/>
        </w:rPr>
        <w:t>86</w:t>
      </w:r>
      <w:r w:rsidRPr="00716E55">
        <w:t>(1):19-24.</w:t>
      </w:r>
      <w:bookmarkEnd w:id="12"/>
    </w:p>
    <w:p w:rsidR="00716E55" w:rsidRPr="00716E55" w:rsidRDefault="00716E55" w:rsidP="00716E55">
      <w:pPr>
        <w:pStyle w:val="EndNoteBibliography"/>
        <w:spacing w:after="0"/>
        <w:ind w:left="720" w:hanging="720"/>
      </w:pPr>
      <w:bookmarkStart w:id="13" w:name="_ENREF_8"/>
      <w:r w:rsidRPr="00716E55">
        <w:t>8.</w:t>
      </w:r>
      <w:r w:rsidRPr="00716E55">
        <w:tab/>
        <w:t xml:space="preserve">Handy CM, Sulmasy DP, Merkel CK, Ury WA: </w:t>
      </w:r>
      <w:r w:rsidRPr="00716E55">
        <w:rPr>
          <w:b/>
        </w:rPr>
        <w:t xml:space="preserve">The surrogate's experience in authorizing a do not resusitate order </w:t>
      </w:r>
      <w:r w:rsidRPr="00716E55">
        <w:rPr>
          <w:i/>
        </w:rPr>
        <w:t xml:space="preserve">Palliative &amp; supportive care </w:t>
      </w:r>
      <w:r w:rsidRPr="00716E55">
        <w:t xml:space="preserve">2008, </w:t>
      </w:r>
      <w:r w:rsidRPr="00716E55">
        <w:rPr>
          <w:b/>
        </w:rPr>
        <w:t>6</w:t>
      </w:r>
      <w:r w:rsidRPr="00716E55">
        <w:t>:13-19.</w:t>
      </w:r>
      <w:bookmarkEnd w:id="13"/>
    </w:p>
    <w:p w:rsidR="00716E55" w:rsidRPr="00716E55" w:rsidRDefault="00716E55" w:rsidP="00716E55">
      <w:pPr>
        <w:pStyle w:val="EndNoteBibliography"/>
        <w:spacing w:after="0"/>
        <w:ind w:left="720" w:hanging="720"/>
      </w:pPr>
      <w:bookmarkStart w:id="14" w:name="_ENREF_9"/>
      <w:r w:rsidRPr="00716E55">
        <w:t>9.</w:t>
      </w:r>
      <w:r w:rsidRPr="00716E55">
        <w:tab/>
        <w:t xml:space="preserve">Lunney JR, Lynn J, Foley DJ, Lipson S, Guralnik JM: </w:t>
      </w:r>
      <w:r w:rsidRPr="00716E55">
        <w:rPr>
          <w:b/>
        </w:rPr>
        <w:t>Patterns of functional decline at the end of life</w:t>
      </w:r>
      <w:r w:rsidRPr="00716E55">
        <w:t xml:space="preserve">. </w:t>
      </w:r>
      <w:r w:rsidRPr="00716E55">
        <w:rPr>
          <w:i/>
        </w:rPr>
        <w:t xml:space="preserve">JAMA: The Journal of the American Medical Association </w:t>
      </w:r>
      <w:r w:rsidRPr="00716E55">
        <w:t xml:space="preserve">2003, </w:t>
      </w:r>
      <w:r w:rsidRPr="00716E55">
        <w:rPr>
          <w:b/>
        </w:rPr>
        <w:t>289</w:t>
      </w:r>
      <w:r w:rsidRPr="00716E55">
        <w:t>(18):2387-2392.</w:t>
      </w:r>
      <w:bookmarkEnd w:id="14"/>
    </w:p>
    <w:p w:rsidR="00716E55" w:rsidRPr="00716E55" w:rsidRDefault="00716E55" w:rsidP="00716E55">
      <w:pPr>
        <w:pStyle w:val="EndNoteBibliography"/>
        <w:spacing w:after="0"/>
        <w:ind w:left="720" w:hanging="720"/>
      </w:pPr>
      <w:bookmarkStart w:id="15" w:name="_ENREF_10"/>
      <w:r w:rsidRPr="00716E55">
        <w:t>10.</w:t>
      </w:r>
      <w:r w:rsidRPr="00716E55">
        <w:tab/>
        <w:t xml:space="preserve">Larson D, Tobin D: </w:t>
      </w:r>
      <w:r w:rsidRPr="00716E55">
        <w:rPr>
          <w:b/>
        </w:rPr>
        <w:t>End-of-life conversations: Evolving practice and theory</w:t>
      </w:r>
      <w:r w:rsidRPr="00716E55">
        <w:t xml:space="preserve">. </w:t>
      </w:r>
      <w:r w:rsidRPr="00716E55">
        <w:rPr>
          <w:i/>
        </w:rPr>
        <w:t xml:space="preserve">JAMA: The Journal of the American Medical Association </w:t>
      </w:r>
      <w:r w:rsidRPr="00716E55">
        <w:t xml:space="preserve">2000, </w:t>
      </w:r>
      <w:r w:rsidRPr="00716E55">
        <w:rPr>
          <w:b/>
        </w:rPr>
        <w:t>284</w:t>
      </w:r>
      <w:r w:rsidRPr="00716E55">
        <w:t>(12):1573-1578.</w:t>
      </w:r>
      <w:bookmarkEnd w:id="15"/>
    </w:p>
    <w:p w:rsidR="00716E55" w:rsidRPr="00716E55" w:rsidRDefault="00716E55" w:rsidP="00716E55">
      <w:pPr>
        <w:pStyle w:val="EndNoteBibliography"/>
        <w:spacing w:after="0"/>
        <w:ind w:left="720" w:hanging="720"/>
      </w:pPr>
      <w:bookmarkStart w:id="16" w:name="_ENREF_11"/>
      <w:r w:rsidRPr="00716E55">
        <w:t>11.</w:t>
      </w:r>
      <w:r w:rsidRPr="00716E55">
        <w:tab/>
        <w:t xml:space="preserve">Knauft E, Nielsen EL, Engelberg RA, Patrick DL, Curtis JR: </w:t>
      </w:r>
      <w:r w:rsidRPr="00716E55">
        <w:rPr>
          <w:b/>
        </w:rPr>
        <w:t>Barriers and facilitators to end-of-life care communication for patients with COPD</w:t>
      </w:r>
      <w:r w:rsidRPr="00716E55">
        <w:t xml:space="preserve">. </w:t>
      </w:r>
      <w:r w:rsidRPr="00716E55">
        <w:rPr>
          <w:i/>
        </w:rPr>
        <w:t xml:space="preserve">Chest </w:t>
      </w:r>
      <w:r w:rsidRPr="00716E55">
        <w:t xml:space="preserve">2005, </w:t>
      </w:r>
      <w:r w:rsidRPr="00716E55">
        <w:rPr>
          <w:b/>
        </w:rPr>
        <w:t>127</w:t>
      </w:r>
      <w:r w:rsidRPr="00716E55">
        <w:t>(6):2188-2196.</w:t>
      </w:r>
      <w:bookmarkEnd w:id="16"/>
    </w:p>
    <w:p w:rsidR="00716E55" w:rsidRPr="00716E55" w:rsidRDefault="00716E55" w:rsidP="00716E55">
      <w:pPr>
        <w:pStyle w:val="EndNoteBibliography"/>
        <w:spacing w:after="0"/>
        <w:ind w:left="720" w:hanging="720"/>
      </w:pPr>
      <w:bookmarkStart w:id="17" w:name="_ENREF_12"/>
      <w:r w:rsidRPr="00716E55">
        <w:t>12.</w:t>
      </w:r>
      <w:r w:rsidRPr="00716E55">
        <w:tab/>
        <w:t xml:space="preserve">Janssen DJA, Curtis JR, Au DH, Spruit MA, Downey L, Schols JMGA, Wouters EFM, Engelberg RA: </w:t>
      </w:r>
      <w:r w:rsidRPr="00716E55">
        <w:rPr>
          <w:b/>
        </w:rPr>
        <w:t>Patient-clinician communication about end-of-life care for Dutch and US patients with COPD</w:t>
      </w:r>
      <w:r w:rsidRPr="00716E55">
        <w:t xml:space="preserve">. </w:t>
      </w:r>
      <w:r w:rsidRPr="00716E55">
        <w:rPr>
          <w:i/>
        </w:rPr>
        <w:t xml:space="preserve">European Respiratory Journal </w:t>
      </w:r>
      <w:r w:rsidRPr="00716E55">
        <w:t xml:space="preserve">2011, </w:t>
      </w:r>
      <w:r w:rsidRPr="00716E55">
        <w:rPr>
          <w:b/>
        </w:rPr>
        <w:t>38</w:t>
      </w:r>
      <w:r w:rsidRPr="00716E55">
        <w:t>(2):268-276.</w:t>
      </w:r>
      <w:bookmarkEnd w:id="17"/>
    </w:p>
    <w:p w:rsidR="00716E55" w:rsidRPr="00716E55" w:rsidRDefault="00716E55" w:rsidP="00716E55">
      <w:pPr>
        <w:pStyle w:val="EndNoteBibliography"/>
        <w:spacing w:after="0"/>
        <w:ind w:left="720" w:hanging="720"/>
      </w:pPr>
      <w:bookmarkStart w:id="18" w:name="_ENREF_13"/>
      <w:r w:rsidRPr="00716E55">
        <w:t>13.</w:t>
      </w:r>
      <w:r w:rsidRPr="00716E55">
        <w:tab/>
        <w:t xml:space="preserve">Gott M, Small N, Barnes S, Payne S, Seamark D: </w:t>
      </w:r>
      <w:r w:rsidRPr="00716E55">
        <w:rPr>
          <w:b/>
        </w:rPr>
        <w:t>Older people's views of a good death in heart failure: Implications for palliative care provision</w:t>
      </w:r>
      <w:r w:rsidRPr="00716E55">
        <w:t xml:space="preserve">. </w:t>
      </w:r>
      <w:r w:rsidRPr="00716E55">
        <w:rPr>
          <w:i/>
        </w:rPr>
        <w:t xml:space="preserve">Social Science &amp;amp; Medicine </w:t>
      </w:r>
      <w:r w:rsidRPr="00716E55">
        <w:t xml:space="preserve">2008, </w:t>
      </w:r>
      <w:r w:rsidRPr="00716E55">
        <w:rPr>
          <w:b/>
        </w:rPr>
        <w:t>67</w:t>
      </w:r>
      <w:r w:rsidRPr="00716E55">
        <w:t>(7):1113-1121.</w:t>
      </w:r>
      <w:bookmarkEnd w:id="18"/>
    </w:p>
    <w:p w:rsidR="00716E55" w:rsidRPr="00716E55" w:rsidRDefault="00716E55" w:rsidP="00716E55">
      <w:pPr>
        <w:pStyle w:val="EndNoteBibliography"/>
        <w:spacing w:after="0"/>
        <w:ind w:left="720" w:hanging="720"/>
      </w:pPr>
      <w:bookmarkStart w:id="19" w:name="_ENREF_14"/>
      <w:r w:rsidRPr="00716E55">
        <w:t>14.</w:t>
      </w:r>
      <w:r w:rsidRPr="00716E55">
        <w:tab/>
        <w:t xml:space="preserve">Mezey M, Leitman R, Mitty E, Bottrell M, Ranmsey G: </w:t>
      </w:r>
      <w:r w:rsidRPr="00716E55">
        <w:rPr>
          <w:b/>
        </w:rPr>
        <w:t xml:space="preserve">Why hospital patients do and do not execute an advance directive </w:t>
      </w:r>
      <w:r w:rsidRPr="00716E55">
        <w:rPr>
          <w:i/>
        </w:rPr>
        <w:t xml:space="preserve">Nursing Outlook </w:t>
      </w:r>
      <w:r w:rsidRPr="00716E55">
        <w:t xml:space="preserve">2000, </w:t>
      </w:r>
      <w:r w:rsidRPr="00716E55">
        <w:rPr>
          <w:b/>
        </w:rPr>
        <w:t>48</w:t>
      </w:r>
      <w:r w:rsidRPr="00716E55">
        <w:t>:165-171.</w:t>
      </w:r>
      <w:bookmarkEnd w:id="19"/>
    </w:p>
    <w:p w:rsidR="00716E55" w:rsidRPr="00716E55" w:rsidRDefault="00716E55" w:rsidP="00716E55">
      <w:pPr>
        <w:pStyle w:val="EndNoteBibliography"/>
        <w:spacing w:after="0"/>
        <w:ind w:left="720" w:hanging="720"/>
      </w:pPr>
      <w:bookmarkStart w:id="20" w:name="_ENREF_15"/>
      <w:r w:rsidRPr="00716E55">
        <w:t>15.</w:t>
      </w:r>
      <w:r w:rsidRPr="00716E55">
        <w:tab/>
      </w:r>
      <w:r w:rsidRPr="00716E55">
        <w:rPr>
          <w:b/>
        </w:rPr>
        <w:t xml:space="preserve">Dying Matters Survey </w:t>
      </w:r>
      <w:r w:rsidRPr="00716E55">
        <w:t>[</w:t>
      </w:r>
      <w:hyperlink r:id="rId10" w:history="1">
        <w:r w:rsidRPr="00716E55">
          <w:rPr>
            <w:rStyle w:val="Hyperlink"/>
          </w:rPr>
          <w:t>http://www.comres.co.uk/polls/Dying_Matters_Public_April12.pdf</w:t>
        </w:r>
      </w:hyperlink>
      <w:r w:rsidRPr="00716E55">
        <w:t>]</w:t>
      </w:r>
      <w:bookmarkEnd w:id="20"/>
    </w:p>
    <w:p w:rsidR="00716E55" w:rsidRPr="00716E55" w:rsidRDefault="00716E55" w:rsidP="00716E55">
      <w:pPr>
        <w:pStyle w:val="EndNoteBibliography"/>
        <w:spacing w:after="0"/>
        <w:ind w:left="720" w:hanging="720"/>
      </w:pPr>
      <w:bookmarkStart w:id="21" w:name="_ENREF_16"/>
      <w:r w:rsidRPr="00716E55">
        <w:t>16.</w:t>
      </w:r>
      <w:r w:rsidRPr="00716E55">
        <w:tab/>
      </w:r>
      <w:r w:rsidRPr="00716E55">
        <w:rPr>
          <w:b/>
        </w:rPr>
        <w:t xml:space="preserve">Dying Matters Survey (module of 2009 Omnibus survey) </w:t>
      </w:r>
      <w:r w:rsidRPr="00716E55">
        <w:t>[</w:t>
      </w:r>
      <w:hyperlink r:id="rId11" w:history="1">
        <w:r w:rsidRPr="00716E55">
          <w:rPr>
            <w:rStyle w:val="Hyperlink"/>
          </w:rPr>
          <w:t>http://www.dyingmatters.org/sites/default/files/user/Full%20view%20final%20Palliative%20original%20tables%20htm.pdf</w:t>
        </w:r>
      </w:hyperlink>
      <w:r w:rsidRPr="00716E55">
        <w:t>]</w:t>
      </w:r>
      <w:bookmarkEnd w:id="21"/>
    </w:p>
    <w:p w:rsidR="00716E55" w:rsidRPr="00716E55" w:rsidRDefault="00716E55" w:rsidP="00716E55">
      <w:pPr>
        <w:pStyle w:val="EndNoteBibliography"/>
        <w:spacing w:after="0"/>
        <w:ind w:left="720" w:hanging="720"/>
      </w:pPr>
      <w:bookmarkStart w:id="22" w:name="_ENREF_17"/>
      <w:r w:rsidRPr="00716E55">
        <w:t>17.</w:t>
      </w:r>
      <w:r w:rsidRPr="00716E55">
        <w:tab/>
        <w:t xml:space="preserve">ICM Research for Endemol UK: </w:t>
      </w:r>
      <w:r w:rsidRPr="00716E55">
        <w:rPr>
          <w:b/>
        </w:rPr>
        <w:t xml:space="preserve">How to Have a Good Death - General Public </w:t>
      </w:r>
      <w:r w:rsidRPr="00716E55">
        <w:t>In</w:t>
      </w:r>
      <w:r w:rsidRPr="00716E55">
        <w:rPr>
          <w:i/>
        </w:rPr>
        <w:t>.</w:t>
      </w:r>
      <w:r w:rsidRPr="00716E55">
        <w:t xml:space="preserve"> UK: ICM Research 2006.</w:t>
      </w:r>
      <w:bookmarkEnd w:id="22"/>
    </w:p>
    <w:p w:rsidR="00716E55" w:rsidRPr="00716E55" w:rsidRDefault="00716E55" w:rsidP="00716E55">
      <w:pPr>
        <w:pStyle w:val="EndNoteBibliography"/>
        <w:spacing w:after="0"/>
        <w:ind w:left="720" w:hanging="720"/>
      </w:pPr>
      <w:bookmarkStart w:id="23" w:name="_ENREF_18"/>
      <w:r w:rsidRPr="00716E55">
        <w:t>18.</w:t>
      </w:r>
      <w:r w:rsidRPr="00716E55">
        <w:tab/>
      </w:r>
      <w:r w:rsidRPr="00716E55">
        <w:rPr>
          <w:b/>
        </w:rPr>
        <w:t xml:space="preserve">Attitudes Towards Death and Dying in the East of England </w:t>
      </w:r>
      <w:r w:rsidRPr="00716E55">
        <w:t>[</w:t>
      </w:r>
      <w:hyperlink r:id="rId12" w:history="1">
        <w:r w:rsidRPr="00716E55">
          <w:rPr>
            <w:rStyle w:val="Hyperlink"/>
          </w:rPr>
          <w:t>https://www.ipsos-mori.com/researchpublications/researcharchive/2796/Attitudes-Towards-Death-and-Dying-in-the-East-of-England.aspx</w:t>
        </w:r>
      </w:hyperlink>
      <w:r w:rsidRPr="00716E55">
        <w:t>]</w:t>
      </w:r>
      <w:bookmarkEnd w:id="23"/>
    </w:p>
    <w:p w:rsidR="00716E55" w:rsidRPr="00716E55" w:rsidRDefault="00716E55" w:rsidP="00716E55">
      <w:pPr>
        <w:pStyle w:val="EndNoteBibliography"/>
        <w:spacing w:after="0"/>
        <w:ind w:left="720" w:hanging="720"/>
      </w:pPr>
      <w:bookmarkStart w:id="24" w:name="_ENREF_19"/>
      <w:r w:rsidRPr="00716E55">
        <w:t>19.</w:t>
      </w:r>
      <w:r w:rsidRPr="00716E55">
        <w:tab/>
        <w:t xml:space="preserve">Kellehear A, Fook J: </w:t>
      </w:r>
      <w:r w:rsidRPr="00716E55">
        <w:rPr>
          <w:b/>
        </w:rPr>
        <w:t>Bereavement care for the non-bereaved</w:t>
      </w:r>
      <w:r w:rsidRPr="00716E55">
        <w:t xml:space="preserve">. </w:t>
      </w:r>
      <w:r w:rsidRPr="00716E55">
        <w:rPr>
          <w:i/>
        </w:rPr>
        <w:t xml:space="preserve">Bereavement Care </w:t>
      </w:r>
      <w:r w:rsidRPr="00716E55">
        <w:t xml:space="preserve">2010, </w:t>
      </w:r>
      <w:r w:rsidRPr="00716E55">
        <w:rPr>
          <w:b/>
        </w:rPr>
        <w:t>29</w:t>
      </w:r>
      <w:r w:rsidRPr="00716E55">
        <w:t>(3):21-25.</w:t>
      </w:r>
      <w:bookmarkEnd w:id="24"/>
    </w:p>
    <w:p w:rsidR="00716E55" w:rsidRPr="00716E55" w:rsidRDefault="00716E55" w:rsidP="00716E55">
      <w:pPr>
        <w:pStyle w:val="EndNoteBibliography"/>
        <w:spacing w:after="0"/>
        <w:ind w:left="720" w:hanging="720"/>
      </w:pPr>
      <w:bookmarkStart w:id="25" w:name="_ENREF_20"/>
      <w:r w:rsidRPr="00716E55">
        <w:t>20.</w:t>
      </w:r>
      <w:r w:rsidRPr="00716E55">
        <w:tab/>
        <w:t xml:space="preserve">Abba K, Byrne P, Horton S, Lloyd-Williams M: </w:t>
      </w:r>
      <w:r w:rsidRPr="00716E55">
        <w:rPr>
          <w:b/>
        </w:rPr>
        <w:t xml:space="preserve">Interventions to encouage discussion of end of life preferences between members of the general population and the people closest to them - a systematic review </w:t>
      </w:r>
      <w:r w:rsidRPr="00716E55">
        <w:rPr>
          <w:i/>
        </w:rPr>
        <w:t xml:space="preserve">BMC Palliative Care </w:t>
      </w:r>
      <w:r w:rsidRPr="00716E55">
        <w:t xml:space="preserve">2013, </w:t>
      </w:r>
      <w:r w:rsidRPr="00716E55">
        <w:rPr>
          <w:b/>
        </w:rPr>
        <w:t>12</w:t>
      </w:r>
      <w:r w:rsidRPr="00716E55">
        <w:t>(40):doi:10.1186/1472-1684X-1112-1140.</w:t>
      </w:r>
      <w:bookmarkEnd w:id="25"/>
    </w:p>
    <w:p w:rsidR="00716E55" w:rsidRPr="00716E55" w:rsidRDefault="00716E55" w:rsidP="00716E55">
      <w:pPr>
        <w:pStyle w:val="EndNoteBibliography"/>
        <w:spacing w:after="0"/>
        <w:ind w:left="720" w:hanging="720"/>
      </w:pPr>
      <w:bookmarkStart w:id="26" w:name="_ENREF_21"/>
      <w:r w:rsidRPr="00716E55">
        <w:t>21.</w:t>
      </w:r>
      <w:r w:rsidRPr="00716E55">
        <w:tab/>
        <w:t xml:space="preserve">International Work Group on Death Dying and Bereavement: </w:t>
      </w:r>
      <w:r w:rsidRPr="00716E55">
        <w:rPr>
          <w:b/>
        </w:rPr>
        <w:t>Charter for the normalisation of dying, death and loss: Draft statement</w:t>
      </w:r>
      <w:r w:rsidRPr="00716E55">
        <w:t xml:space="preserve">. </w:t>
      </w:r>
      <w:r w:rsidRPr="00716E55">
        <w:rPr>
          <w:i/>
        </w:rPr>
        <w:t xml:space="preserve">Mortality </w:t>
      </w:r>
      <w:r w:rsidRPr="00716E55">
        <w:t xml:space="preserve">2005, </w:t>
      </w:r>
      <w:r w:rsidRPr="00716E55">
        <w:rPr>
          <w:b/>
        </w:rPr>
        <w:t>10</w:t>
      </w:r>
      <w:r w:rsidRPr="00716E55">
        <w:t>(2):157-161.</w:t>
      </w:r>
      <w:bookmarkEnd w:id="26"/>
    </w:p>
    <w:p w:rsidR="00716E55" w:rsidRPr="00716E55" w:rsidRDefault="00716E55" w:rsidP="00716E55">
      <w:pPr>
        <w:pStyle w:val="EndNoteBibliography"/>
        <w:spacing w:after="0"/>
        <w:ind w:left="720" w:hanging="720"/>
      </w:pPr>
      <w:bookmarkStart w:id="27" w:name="_ENREF_22"/>
      <w:r w:rsidRPr="00716E55">
        <w:t>22.</w:t>
      </w:r>
      <w:r w:rsidRPr="00716E55">
        <w:tab/>
      </w:r>
      <w:r w:rsidRPr="00716E55">
        <w:rPr>
          <w:b/>
        </w:rPr>
        <w:t xml:space="preserve">Bill's Story </w:t>
      </w:r>
      <w:r w:rsidRPr="00716E55">
        <w:t>[</w:t>
      </w:r>
      <w:hyperlink r:id="rId13" w:history="1">
        <w:r w:rsidRPr="00716E55">
          <w:rPr>
            <w:rStyle w:val="Hyperlink"/>
          </w:rPr>
          <w:t>http://www.youtube.com/watch?v=mqYmTTY-3gs</w:t>
        </w:r>
      </w:hyperlink>
      <w:r w:rsidRPr="00716E55">
        <w:t>]</w:t>
      </w:r>
      <w:bookmarkEnd w:id="27"/>
    </w:p>
    <w:p w:rsidR="00716E55" w:rsidRPr="00716E55" w:rsidRDefault="00716E55" w:rsidP="00716E55">
      <w:pPr>
        <w:pStyle w:val="EndNoteBibliography"/>
        <w:spacing w:after="0"/>
        <w:ind w:left="720" w:hanging="720"/>
      </w:pPr>
      <w:bookmarkStart w:id="28" w:name="_ENREF_23"/>
      <w:r w:rsidRPr="00716E55">
        <w:t>23.</w:t>
      </w:r>
      <w:r w:rsidRPr="00716E55">
        <w:tab/>
      </w:r>
      <w:r w:rsidRPr="00716E55">
        <w:rPr>
          <w:b/>
        </w:rPr>
        <w:t xml:space="preserve">Dying for a Laugh </w:t>
      </w:r>
      <w:r w:rsidRPr="00716E55">
        <w:t>[</w:t>
      </w:r>
      <w:hyperlink r:id="rId14" w:history="1">
        <w:r w:rsidRPr="00716E55">
          <w:rPr>
            <w:rStyle w:val="Hyperlink"/>
          </w:rPr>
          <w:t>http://dyingmatters.org/page/dying-laugh</w:t>
        </w:r>
      </w:hyperlink>
      <w:r w:rsidRPr="00716E55">
        <w:t>]</w:t>
      </w:r>
      <w:bookmarkEnd w:id="28"/>
    </w:p>
    <w:p w:rsidR="00716E55" w:rsidRPr="00716E55" w:rsidRDefault="00716E55" w:rsidP="00716E55">
      <w:pPr>
        <w:pStyle w:val="EndNoteBibliography"/>
        <w:spacing w:after="0"/>
        <w:ind w:left="720" w:hanging="720"/>
      </w:pPr>
      <w:bookmarkStart w:id="29" w:name="_ENREF_24"/>
      <w:r w:rsidRPr="00716E55">
        <w:lastRenderedPageBreak/>
        <w:t>24.</w:t>
      </w:r>
      <w:r w:rsidRPr="00716E55">
        <w:tab/>
      </w:r>
      <w:r w:rsidRPr="00716E55">
        <w:rPr>
          <w:b/>
        </w:rPr>
        <w:t xml:space="preserve">2001 lower layer super output areas (LSOA) to 2011 LSOAs and LADs. </w:t>
      </w:r>
      <w:r w:rsidRPr="00716E55">
        <w:t>. In</w:t>
      </w:r>
      <w:r w:rsidRPr="00716E55">
        <w:rPr>
          <w:i/>
        </w:rPr>
        <w:t>.</w:t>
      </w:r>
      <w:r w:rsidRPr="00716E55">
        <w:t xml:space="preserve"> Edited by Office for National Statistics; 2013.</w:t>
      </w:r>
      <w:bookmarkEnd w:id="29"/>
    </w:p>
    <w:p w:rsidR="00716E55" w:rsidRPr="00716E55" w:rsidRDefault="00716E55" w:rsidP="00716E55">
      <w:pPr>
        <w:pStyle w:val="EndNoteBibliography"/>
        <w:spacing w:after="0"/>
        <w:ind w:left="720" w:hanging="720"/>
      </w:pPr>
      <w:bookmarkStart w:id="30" w:name="_ENREF_25"/>
      <w:r w:rsidRPr="00716E55">
        <w:t>25.</w:t>
      </w:r>
      <w:r w:rsidRPr="00716E55">
        <w:tab/>
      </w:r>
      <w:r w:rsidRPr="00716E55">
        <w:rPr>
          <w:b/>
        </w:rPr>
        <w:t xml:space="preserve">English Indices of Deprivation 2010: overall. </w:t>
      </w:r>
      <w:r w:rsidRPr="00716E55">
        <w:t>. In</w:t>
      </w:r>
      <w:r w:rsidRPr="00716E55">
        <w:rPr>
          <w:i/>
        </w:rPr>
        <w:t>.</w:t>
      </w:r>
      <w:r w:rsidRPr="00716E55">
        <w:t xml:space="preserve"> Edited by Department for Communities and Local Government and the Rt Hon Sir Eric Pickles MP; 2010.</w:t>
      </w:r>
      <w:bookmarkEnd w:id="30"/>
    </w:p>
    <w:p w:rsidR="00716E55" w:rsidRPr="00716E55" w:rsidRDefault="00716E55" w:rsidP="00716E55">
      <w:pPr>
        <w:pStyle w:val="EndNoteBibliography"/>
        <w:spacing w:after="0"/>
        <w:ind w:left="720" w:hanging="720"/>
      </w:pPr>
      <w:bookmarkStart w:id="31" w:name="_ENREF_26"/>
      <w:r w:rsidRPr="00716E55">
        <w:t>26.</w:t>
      </w:r>
      <w:r w:rsidRPr="00716E55">
        <w:tab/>
        <w:t xml:space="preserve">Statistics OfN: </w:t>
      </w:r>
      <w:r w:rsidRPr="00716E55">
        <w:rPr>
          <w:b/>
        </w:rPr>
        <w:t>Statistical Bulletin: 2011 Census: Key Statistics for England and Wales, March 2011</w:t>
      </w:r>
      <w:r w:rsidRPr="00716E55">
        <w:t>. 2012.</w:t>
      </w:r>
      <w:bookmarkEnd w:id="31"/>
    </w:p>
    <w:p w:rsidR="00716E55" w:rsidRPr="00716E55" w:rsidRDefault="00716E55" w:rsidP="00716E55">
      <w:pPr>
        <w:pStyle w:val="EndNoteBibliography"/>
        <w:spacing w:after="0"/>
        <w:ind w:left="720" w:hanging="720"/>
      </w:pPr>
      <w:bookmarkStart w:id="32" w:name="_ENREF_27"/>
      <w:r w:rsidRPr="00716E55">
        <w:t>27.</w:t>
      </w:r>
      <w:r w:rsidRPr="00716E55">
        <w:tab/>
        <w:t xml:space="preserve">McLoughlin K, McGilloway, S., Lloyd, R., O'Connor, M., Rhatigan, J., Shanahan, M., Richardson, M., Keevey, A. : </w:t>
      </w:r>
      <w:r w:rsidRPr="00716E55">
        <w:rPr>
          <w:b/>
        </w:rPr>
        <w:t xml:space="preserve">Walls, wisdom, worries, and wishes: Engaging communities in discussion about death, dying, loss, and care using Cafe Conversation  </w:t>
      </w:r>
      <w:r w:rsidRPr="00716E55">
        <w:rPr>
          <w:i/>
        </w:rPr>
        <w:t xml:space="preserve">Progress in Palliative Care </w:t>
      </w:r>
      <w:r w:rsidRPr="00716E55">
        <w:t xml:space="preserve">2016, </w:t>
      </w:r>
      <w:r w:rsidRPr="00716E55">
        <w:rPr>
          <w:b/>
        </w:rPr>
        <w:t>24</w:t>
      </w:r>
      <w:r w:rsidRPr="00716E55">
        <w:t>(1):9-14.</w:t>
      </w:r>
      <w:bookmarkEnd w:id="32"/>
    </w:p>
    <w:p w:rsidR="00716E55" w:rsidRPr="00716E55" w:rsidRDefault="00716E55" w:rsidP="00716E55">
      <w:pPr>
        <w:pStyle w:val="EndNoteBibliography"/>
        <w:spacing w:after="0"/>
        <w:ind w:left="720" w:hanging="720"/>
      </w:pPr>
      <w:bookmarkStart w:id="33" w:name="_ENREF_28"/>
      <w:r w:rsidRPr="00716E55">
        <w:t>28.</w:t>
      </w:r>
      <w:r w:rsidRPr="00716E55">
        <w:tab/>
        <w:t xml:space="preserve">Zimmermann C, Rodin G: </w:t>
      </w:r>
      <w:r w:rsidRPr="00716E55">
        <w:rPr>
          <w:b/>
        </w:rPr>
        <w:t>The denial of death thesis: sociological critique and implications for palliative care</w:t>
      </w:r>
      <w:r w:rsidRPr="00716E55">
        <w:t xml:space="preserve">. </w:t>
      </w:r>
      <w:r w:rsidRPr="00716E55">
        <w:rPr>
          <w:i/>
        </w:rPr>
        <w:t xml:space="preserve">Palliative Medicine </w:t>
      </w:r>
      <w:r w:rsidRPr="00716E55">
        <w:t xml:space="preserve">2004, </w:t>
      </w:r>
      <w:r w:rsidRPr="00716E55">
        <w:rPr>
          <w:b/>
        </w:rPr>
        <w:t>18</w:t>
      </w:r>
      <w:r w:rsidRPr="00716E55">
        <w:t>(2):121-128.</w:t>
      </w:r>
      <w:bookmarkEnd w:id="33"/>
    </w:p>
    <w:p w:rsidR="00716E55" w:rsidRPr="00716E55" w:rsidRDefault="00716E55" w:rsidP="00716E55">
      <w:pPr>
        <w:pStyle w:val="EndNoteBibliography"/>
        <w:spacing w:after="0"/>
        <w:ind w:left="720" w:hanging="720"/>
      </w:pPr>
      <w:bookmarkStart w:id="34" w:name="_ENREF_29"/>
      <w:r w:rsidRPr="00716E55">
        <w:t>29.</w:t>
      </w:r>
      <w:r w:rsidRPr="00716E55">
        <w:tab/>
        <w:t xml:space="preserve">Lovegreen L, Barcza C, Burgess W, Polchenko N, Yen H: </w:t>
      </w:r>
      <w:r w:rsidRPr="00716E55">
        <w:rPr>
          <w:b/>
        </w:rPr>
        <w:t>Can we talk?  Willingness to communicate and communication preferences about end of life issues</w:t>
      </w:r>
      <w:r w:rsidRPr="00716E55">
        <w:t>. In</w:t>
      </w:r>
      <w:r w:rsidRPr="00716E55">
        <w:rPr>
          <w:i/>
        </w:rPr>
        <w:t>.</w:t>
      </w:r>
      <w:r w:rsidRPr="00716E55">
        <w:t xml:space="preserve"> Edited by University SF. Canada; 2009.</w:t>
      </w:r>
      <w:bookmarkEnd w:id="34"/>
    </w:p>
    <w:p w:rsidR="00716E55" w:rsidRPr="00716E55" w:rsidRDefault="00716E55" w:rsidP="00716E55">
      <w:pPr>
        <w:pStyle w:val="EndNoteBibliography"/>
        <w:spacing w:after="0"/>
        <w:ind w:left="720" w:hanging="720"/>
      </w:pPr>
      <w:bookmarkStart w:id="35" w:name="_ENREF_30"/>
      <w:r w:rsidRPr="00716E55">
        <w:t>30.</w:t>
      </w:r>
      <w:r w:rsidRPr="00716E55">
        <w:tab/>
        <w:t xml:space="preserve">Polchenko N: </w:t>
      </w:r>
      <w:r w:rsidRPr="00716E55">
        <w:rPr>
          <w:b/>
        </w:rPr>
        <w:t>Can we Talk? Willingness to Communicate and Communication Preferences about End-of-Life Issues in Community-Dwelling Adults</w:t>
      </w:r>
      <w:r w:rsidRPr="00716E55">
        <w:t xml:space="preserve">. In: </w:t>
      </w:r>
      <w:r w:rsidRPr="00716E55">
        <w:rPr>
          <w:i/>
        </w:rPr>
        <w:t>3rd Annual Public Health &amp; Palliative Care Conference.</w:t>
      </w:r>
      <w:r w:rsidRPr="00716E55">
        <w:t xml:space="preserve"> Limerick, Ireland; 2013.</w:t>
      </w:r>
      <w:bookmarkEnd w:id="35"/>
    </w:p>
    <w:p w:rsidR="00716E55" w:rsidRPr="00716E55" w:rsidRDefault="00716E55" w:rsidP="00716E55">
      <w:pPr>
        <w:pStyle w:val="EndNoteBibliography"/>
        <w:spacing w:after="0"/>
        <w:ind w:left="720" w:hanging="720"/>
      </w:pPr>
      <w:bookmarkStart w:id="36" w:name="_ENREF_31"/>
      <w:r w:rsidRPr="00716E55">
        <w:t>31.</w:t>
      </w:r>
      <w:r w:rsidRPr="00716E55">
        <w:tab/>
        <w:t xml:space="preserve">Catt S, Blanchard M, Addington-Hall J, Zis M, Blizard R, King M: </w:t>
      </w:r>
      <w:r w:rsidRPr="00716E55">
        <w:rPr>
          <w:b/>
        </w:rPr>
        <w:t>Older adults' attitudes to death, palliative treatment and hospice care</w:t>
      </w:r>
      <w:r w:rsidRPr="00716E55">
        <w:t xml:space="preserve">. </w:t>
      </w:r>
      <w:r w:rsidRPr="00716E55">
        <w:rPr>
          <w:i/>
        </w:rPr>
        <w:t xml:space="preserve">Palliative Medicine </w:t>
      </w:r>
      <w:r w:rsidRPr="00716E55">
        <w:t xml:space="preserve">2005, </w:t>
      </w:r>
      <w:r w:rsidRPr="00716E55">
        <w:rPr>
          <w:b/>
        </w:rPr>
        <w:t>19</w:t>
      </w:r>
      <w:r w:rsidRPr="00716E55">
        <w:t>(5):402-410.</w:t>
      </w:r>
      <w:bookmarkEnd w:id="36"/>
    </w:p>
    <w:p w:rsidR="00716E55" w:rsidRPr="00716E55" w:rsidRDefault="00716E55" w:rsidP="00716E55">
      <w:pPr>
        <w:pStyle w:val="EndNoteBibliography"/>
        <w:spacing w:after="0"/>
        <w:ind w:left="720" w:hanging="720"/>
      </w:pPr>
      <w:bookmarkStart w:id="37" w:name="_ENREF_32"/>
      <w:r w:rsidRPr="00716E55">
        <w:t>32.</w:t>
      </w:r>
      <w:r w:rsidRPr="00716E55">
        <w:tab/>
        <w:t xml:space="preserve">Seymour JE, Almack K, Kennedy S, Froggatt K: </w:t>
      </w:r>
      <w:r w:rsidRPr="00716E55">
        <w:rPr>
          <w:b/>
        </w:rPr>
        <w:t>Peer education for advance care planning: Volunteers' perspectives on training and community engagement activities</w:t>
      </w:r>
      <w:r w:rsidRPr="00716E55">
        <w:t xml:space="preserve">. </w:t>
      </w:r>
      <w:r w:rsidRPr="00716E55">
        <w:rPr>
          <w:i/>
        </w:rPr>
        <w:t xml:space="preserve">Health Expectations </w:t>
      </w:r>
      <w:r w:rsidRPr="00716E55">
        <w:t xml:space="preserve">2011, </w:t>
      </w:r>
      <w:r w:rsidRPr="00716E55">
        <w:rPr>
          <w:b/>
        </w:rPr>
        <w:t>16</w:t>
      </w:r>
      <w:r w:rsidRPr="00716E55">
        <w:t>(1):43-55.</w:t>
      </w:r>
      <w:bookmarkEnd w:id="37"/>
    </w:p>
    <w:p w:rsidR="00716E55" w:rsidRPr="00716E55" w:rsidRDefault="00716E55" w:rsidP="00716E55">
      <w:pPr>
        <w:pStyle w:val="EndNoteBibliography"/>
        <w:spacing w:after="0"/>
        <w:ind w:left="720" w:hanging="720"/>
      </w:pPr>
      <w:bookmarkStart w:id="38" w:name="_ENREF_33"/>
      <w:r w:rsidRPr="00716E55">
        <w:t>33.</w:t>
      </w:r>
      <w:r w:rsidRPr="00716E55">
        <w:tab/>
        <w:t xml:space="preserve">Hickey D, Quinn S: </w:t>
      </w:r>
      <w:r w:rsidRPr="00716E55">
        <w:rPr>
          <w:b/>
        </w:rPr>
        <w:t>I don't want to talk about it. Raising public awareness of end-of-life care planning in your locality</w:t>
      </w:r>
      <w:r w:rsidRPr="00716E55">
        <w:t xml:space="preserve">. </w:t>
      </w:r>
      <w:r w:rsidRPr="00716E55">
        <w:rPr>
          <w:i/>
        </w:rPr>
        <w:t xml:space="preserve">International Journal of Palliative Nursing </w:t>
      </w:r>
      <w:r w:rsidRPr="00716E55">
        <w:t xml:space="preserve">2012, </w:t>
      </w:r>
      <w:r w:rsidRPr="00716E55">
        <w:rPr>
          <w:b/>
        </w:rPr>
        <w:t>18</w:t>
      </w:r>
      <w:r w:rsidRPr="00716E55">
        <w:t>(5):241-247.</w:t>
      </w:r>
      <w:bookmarkEnd w:id="38"/>
    </w:p>
    <w:p w:rsidR="00716E55" w:rsidRPr="00716E55" w:rsidRDefault="00716E55" w:rsidP="00716E55">
      <w:pPr>
        <w:pStyle w:val="EndNoteBibliography"/>
        <w:ind w:left="720" w:hanging="720"/>
      </w:pPr>
      <w:bookmarkStart w:id="39" w:name="_ENREF_34"/>
      <w:r w:rsidRPr="00716E55">
        <w:t>34.</w:t>
      </w:r>
      <w:r w:rsidRPr="00716E55">
        <w:tab/>
        <w:t xml:space="preserve">Sanders C, Rogers A, Gately C, Kennedy A: </w:t>
      </w:r>
      <w:r w:rsidRPr="00716E55">
        <w:rPr>
          <w:b/>
        </w:rPr>
        <w:t>Planning for end of life care within lay-led chronic illness self-managment training: The significance of 'death awareness' and biographial context in participant accounts</w:t>
      </w:r>
      <w:r w:rsidRPr="00716E55">
        <w:t xml:space="preserve">. </w:t>
      </w:r>
      <w:r w:rsidRPr="00716E55">
        <w:rPr>
          <w:i/>
        </w:rPr>
        <w:t xml:space="preserve">Social Science and Medicine </w:t>
      </w:r>
      <w:r w:rsidRPr="00716E55">
        <w:t xml:space="preserve">2008, </w:t>
      </w:r>
      <w:r w:rsidRPr="00716E55">
        <w:rPr>
          <w:b/>
        </w:rPr>
        <w:t>66</w:t>
      </w:r>
      <w:r w:rsidRPr="00716E55">
        <w:t>:982-993.</w:t>
      </w:r>
      <w:bookmarkEnd w:id="39"/>
    </w:p>
    <w:p w:rsidR="006529D5" w:rsidRDefault="005E38AB" w:rsidP="000112B3">
      <w:pPr>
        <w:spacing w:line="360" w:lineRule="auto"/>
        <w:rPr>
          <w:rFonts w:ascii="Arial" w:hAnsi="Arial" w:cs="Arial"/>
          <w:i/>
        </w:rPr>
      </w:pPr>
      <w:r>
        <w:rPr>
          <w:rFonts w:ascii="Arial" w:hAnsi="Arial" w:cs="Arial"/>
        </w:rPr>
        <w:fldChar w:fldCharType="end"/>
      </w:r>
      <w:bookmarkEnd w:id="1"/>
      <w:r w:rsidR="00D06415">
        <w:rPr>
          <w:rFonts w:ascii="Arial" w:hAnsi="Arial" w:cs="Arial"/>
          <w:i/>
        </w:rPr>
        <w:t xml:space="preserve">                  </w:t>
      </w:r>
    </w:p>
    <w:p w:rsidR="0047026B" w:rsidRDefault="0047026B" w:rsidP="000112B3">
      <w:pPr>
        <w:spacing w:line="360" w:lineRule="auto"/>
        <w:rPr>
          <w:rFonts w:ascii="Arial" w:hAnsi="Arial" w:cs="Arial"/>
          <w:i/>
        </w:rPr>
      </w:pPr>
    </w:p>
    <w:p w:rsidR="0047026B" w:rsidRDefault="0047026B" w:rsidP="000112B3">
      <w:pPr>
        <w:spacing w:line="360" w:lineRule="auto"/>
        <w:rPr>
          <w:rFonts w:ascii="Arial" w:hAnsi="Arial" w:cs="Arial"/>
          <w:i/>
        </w:rPr>
      </w:pPr>
    </w:p>
    <w:p w:rsidR="0047026B" w:rsidRPr="0047026B" w:rsidRDefault="0040550C" w:rsidP="000112B3">
      <w:pPr>
        <w:spacing w:line="360" w:lineRule="auto"/>
        <w:rPr>
          <w:rFonts w:ascii="Arial" w:hAnsi="Arial" w:cs="Arial"/>
          <w:u w:val="single"/>
        </w:rPr>
      </w:pPr>
      <w:r>
        <w:rPr>
          <w:rFonts w:ascii="Arial" w:hAnsi="Arial" w:cs="Arial"/>
          <w:u w:val="single"/>
        </w:rPr>
        <w:t>Figure l</w:t>
      </w:r>
      <w:r w:rsidR="0047026B">
        <w:rPr>
          <w:rFonts w:ascii="Arial" w:hAnsi="Arial" w:cs="Arial"/>
          <w:u w:val="single"/>
        </w:rPr>
        <w:t xml:space="preserve">egends </w:t>
      </w:r>
    </w:p>
    <w:p w:rsidR="0047026B" w:rsidRPr="00D06415" w:rsidRDefault="0047026B" w:rsidP="0047026B">
      <w:pPr>
        <w:spacing w:after="0"/>
        <w:rPr>
          <w:rFonts w:ascii="Arial" w:hAnsi="Arial" w:cs="Arial"/>
          <w:b/>
          <w:i/>
        </w:rPr>
      </w:pPr>
      <w:r w:rsidRPr="00D06415">
        <w:rPr>
          <w:rFonts w:ascii="Arial" w:hAnsi="Arial" w:cs="Arial"/>
          <w:b/>
          <w:i/>
        </w:rPr>
        <w:t>Figure 1: Number of participants at each stage of the study</w:t>
      </w:r>
    </w:p>
    <w:p w:rsidR="0047026B" w:rsidRDefault="0047026B" w:rsidP="000112B3">
      <w:pPr>
        <w:spacing w:line="360" w:lineRule="auto"/>
        <w:rPr>
          <w:rFonts w:ascii="Arial" w:hAnsi="Arial" w:cs="Arial"/>
        </w:rPr>
      </w:pPr>
    </w:p>
    <w:p w:rsidR="0040550C" w:rsidRDefault="0040550C" w:rsidP="000112B3">
      <w:pPr>
        <w:spacing w:line="360" w:lineRule="auto"/>
        <w:rPr>
          <w:rFonts w:ascii="Arial" w:hAnsi="Arial" w:cs="Arial"/>
        </w:rPr>
      </w:pPr>
    </w:p>
    <w:p w:rsidR="0040550C" w:rsidRDefault="0040550C" w:rsidP="000112B3">
      <w:pPr>
        <w:spacing w:line="360" w:lineRule="auto"/>
        <w:rPr>
          <w:rFonts w:ascii="Arial" w:hAnsi="Arial" w:cs="Arial"/>
          <w:u w:val="single"/>
        </w:rPr>
      </w:pPr>
      <w:r>
        <w:rPr>
          <w:rFonts w:ascii="Arial" w:hAnsi="Arial" w:cs="Arial"/>
          <w:u w:val="single"/>
        </w:rPr>
        <w:t>Additional files</w:t>
      </w:r>
    </w:p>
    <w:p w:rsidR="001D271D" w:rsidRDefault="001D271D" w:rsidP="001D271D">
      <w:pPr>
        <w:spacing w:line="240" w:lineRule="auto"/>
        <w:rPr>
          <w:rFonts w:ascii="Arial" w:hAnsi="Arial" w:cs="Arial"/>
        </w:rPr>
      </w:pPr>
      <w:r>
        <w:rPr>
          <w:rFonts w:ascii="Arial" w:hAnsi="Arial" w:cs="Arial"/>
        </w:rPr>
        <w:t xml:space="preserve">File name: Final questionnaire part 1 and 2 awareness </w:t>
      </w:r>
    </w:p>
    <w:p w:rsidR="001D271D" w:rsidRDefault="001D271D" w:rsidP="001D271D">
      <w:pPr>
        <w:spacing w:line="240" w:lineRule="auto"/>
        <w:rPr>
          <w:rFonts w:ascii="Arial" w:hAnsi="Arial" w:cs="Arial"/>
        </w:rPr>
      </w:pPr>
      <w:r>
        <w:rPr>
          <w:rFonts w:ascii="Arial" w:hAnsi="Arial" w:cs="Arial"/>
        </w:rPr>
        <w:t xml:space="preserve">Title of data: ‘Baseline’ and ‘post’ questionnaire for awareness-raising events </w:t>
      </w:r>
    </w:p>
    <w:p w:rsidR="001D271D" w:rsidRDefault="001D271D" w:rsidP="001D271D">
      <w:pPr>
        <w:spacing w:line="240" w:lineRule="auto"/>
        <w:rPr>
          <w:rFonts w:ascii="Arial" w:hAnsi="Arial" w:cs="Arial"/>
        </w:rPr>
      </w:pPr>
      <w:r>
        <w:rPr>
          <w:rFonts w:ascii="Arial" w:hAnsi="Arial" w:cs="Arial"/>
        </w:rPr>
        <w:t xml:space="preserve">Description of data:  Copy of baseline and post-event questionnaires used at Living Well Dying Well ‘Awareness-raising’ events </w:t>
      </w:r>
    </w:p>
    <w:p w:rsidR="001D271D" w:rsidRDefault="001D271D" w:rsidP="001D271D">
      <w:pPr>
        <w:spacing w:line="240" w:lineRule="auto"/>
        <w:rPr>
          <w:rFonts w:ascii="Arial" w:hAnsi="Arial" w:cs="Arial"/>
        </w:rPr>
      </w:pPr>
    </w:p>
    <w:p w:rsidR="001D271D" w:rsidRDefault="001D271D" w:rsidP="001D271D">
      <w:pPr>
        <w:spacing w:line="240" w:lineRule="auto"/>
        <w:rPr>
          <w:rFonts w:ascii="Arial" w:hAnsi="Arial" w:cs="Arial"/>
        </w:rPr>
      </w:pPr>
    </w:p>
    <w:p w:rsidR="001D271D" w:rsidRDefault="001D271D" w:rsidP="001D271D">
      <w:pPr>
        <w:spacing w:line="240" w:lineRule="auto"/>
        <w:rPr>
          <w:rFonts w:ascii="Arial" w:hAnsi="Arial" w:cs="Arial"/>
        </w:rPr>
      </w:pPr>
      <w:r>
        <w:rPr>
          <w:rFonts w:ascii="Arial" w:hAnsi="Arial" w:cs="Arial"/>
        </w:rPr>
        <w:lastRenderedPageBreak/>
        <w:t xml:space="preserve">File name: Final questionnaire part 1 and 2 how to </w:t>
      </w:r>
    </w:p>
    <w:p w:rsidR="001D271D" w:rsidRDefault="001D271D" w:rsidP="001D271D">
      <w:pPr>
        <w:spacing w:line="240" w:lineRule="auto"/>
        <w:rPr>
          <w:rFonts w:ascii="Arial" w:hAnsi="Arial" w:cs="Arial"/>
        </w:rPr>
      </w:pPr>
      <w:r>
        <w:rPr>
          <w:rFonts w:ascii="Arial" w:hAnsi="Arial" w:cs="Arial"/>
        </w:rPr>
        <w:t>Title of data: ‘Baseline’ and ‘post’ questionnaire for ‘how to’ events</w:t>
      </w:r>
    </w:p>
    <w:p w:rsidR="001D271D" w:rsidRPr="001D271D" w:rsidRDefault="001D271D" w:rsidP="001D271D">
      <w:pPr>
        <w:spacing w:line="240" w:lineRule="auto"/>
        <w:rPr>
          <w:rFonts w:ascii="Arial" w:hAnsi="Arial" w:cs="Arial"/>
        </w:rPr>
      </w:pPr>
      <w:r>
        <w:rPr>
          <w:rFonts w:ascii="Arial" w:hAnsi="Arial" w:cs="Arial"/>
        </w:rPr>
        <w:t xml:space="preserve">Description of data:  Copy of baseline and post-event questionnaires used at Living Well Dying Well ‘How to’ events </w:t>
      </w:r>
    </w:p>
    <w:p w:rsidR="00A13186" w:rsidRDefault="00A13186" w:rsidP="001D271D">
      <w:pPr>
        <w:spacing w:line="240" w:lineRule="auto"/>
        <w:rPr>
          <w:rFonts w:ascii="Arial" w:hAnsi="Arial" w:cs="Arial"/>
        </w:rPr>
      </w:pPr>
    </w:p>
    <w:p w:rsidR="001D271D" w:rsidRDefault="001D271D" w:rsidP="001D271D">
      <w:pPr>
        <w:spacing w:line="240" w:lineRule="auto"/>
        <w:rPr>
          <w:rFonts w:ascii="Arial" w:hAnsi="Arial" w:cs="Arial"/>
        </w:rPr>
      </w:pPr>
      <w:r>
        <w:rPr>
          <w:rFonts w:ascii="Arial" w:hAnsi="Arial" w:cs="Arial"/>
        </w:rPr>
        <w:t>File name: Final questionnaire part 3</w:t>
      </w:r>
    </w:p>
    <w:p w:rsidR="001D271D" w:rsidRDefault="001D271D" w:rsidP="001D271D">
      <w:pPr>
        <w:spacing w:line="240" w:lineRule="auto"/>
        <w:rPr>
          <w:rFonts w:ascii="Arial" w:hAnsi="Arial" w:cs="Arial"/>
        </w:rPr>
      </w:pPr>
      <w:r>
        <w:rPr>
          <w:rFonts w:ascii="Arial" w:hAnsi="Arial" w:cs="Arial"/>
        </w:rPr>
        <w:t>Title of data: ‘Follow-up’ questionnaires for all event types</w:t>
      </w:r>
    </w:p>
    <w:p w:rsidR="001D271D" w:rsidRPr="001D271D" w:rsidRDefault="001D271D" w:rsidP="001D271D">
      <w:pPr>
        <w:spacing w:line="240" w:lineRule="auto"/>
        <w:rPr>
          <w:rFonts w:ascii="Arial" w:hAnsi="Arial" w:cs="Arial"/>
        </w:rPr>
      </w:pPr>
      <w:r>
        <w:rPr>
          <w:rFonts w:ascii="Arial" w:hAnsi="Arial" w:cs="Arial"/>
        </w:rPr>
        <w:t>Description of data:  Copy of follow-up questionnaires use</w:t>
      </w:r>
      <w:r w:rsidR="009227B2">
        <w:rPr>
          <w:rFonts w:ascii="Arial" w:hAnsi="Arial" w:cs="Arial"/>
        </w:rPr>
        <w:t>d three months after</w:t>
      </w:r>
      <w:r>
        <w:rPr>
          <w:rFonts w:ascii="Arial" w:hAnsi="Arial" w:cs="Arial"/>
        </w:rPr>
        <w:t xml:space="preserve"> Living Well Dying Well ‘Awareness-raising’ and ‘How to’ events </w:t>
      </w:r>
    </w:p>
    <w:p w:rsidR="001D271D" w:rsidRPr="001D271D" w:rsidRDefault="001D271D" w:rsidP="001D271D">
      <w:pPr>
        <w:spacing w:line="240" w:lineRule="auto"/>
        <w:rPr>
          <w:rFonts w:ascii="Arial" w:hAnsi="Arial" w:cs="Arial"/>
        </w:rPr>
      </w:pPr>
    </w:p>
    <w:sectPr w:rsidR="001D271D" w:rsidRPr="001D271D" w:rsidSect="00AA0B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3AE" w:rsidRDefault="00BF53AE" w:rsidP="00AA0BEC">
      <w:pPr>
        <w:spacing w:after="0" w:line="240" w:lineRule="auto"/>
      </w:pPr>
      <w:r>
        <w:separator/>
      </w:r>
    </w:p>
  </w:endnote>
  <w:endnote w:type="continuationSeparator" w:id="0">
    <w:p w:rsidR="00BF53AE" w:rsidRDefault="00BF53AE" w:rsidP="00AA0BEC">
      <w:pPr>
        <w:spacing w:after="0" w:line="240" w:lineRule="auto"/>
      </w:pPr>
      <w:r>
        <w:continuationSeparator/>
      </w:r>
    </w:p>
  </w:endnote>
  <w:endnote w:type="continuationNotice" w:id="1">
    <w:p w:rsidR="00BF53AE" w:rsidRDefault="00BF53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7725"/>
      <w:docPartObj>
        <w:docPartGallery w:val="Page Numbers (Bottom of Page)"/>
        <w:docPartUnique/>
      </w:docPartObj>
    </w:sdtPr>
    <w:sdtEndPr>
      <w:rPr>
        <w:noProof/>
      </w:rPr>
    </w:sdtEndPr>
    <w:sdtContent>
      <w:p w:rsidR="001D271D" w:rsidRDefault="001D271D">
        <w:pPr>
          <w:pStyle w:val="Footer"/>
          <w:jc w:val="center"/>
        </w:pPr>
        <w:r>
          <w:fldChar w:fldCharType="begin"/>
        </w:r>
        <w:r>
          <w:instrText xml:space="preserve"> PAGE   \* MERGEFORMAT </w:instrText>
        </w:r>
        <w:r>
          <w:fldChar w:fldCharType="separate"/>
        </w:r>
        <w:r w:rsidR="00C978CD">
          <w:rPr>
            <w:noProof/>
          </w:rPr>
          <w:t>1</w:t>
        </w:r>
        <w:r>
          <w:rPr>
            <w:noProof/>
          </w:rPr>
          <w:fldChar w:fldCharType="end"/>
        </w:r>
      </w:p>
    </w:sdtContent>
  </w:sdt>
  <w:p w:rsidR="001D271D" w:rsidRDefault="001D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3AE" w:rsidRDefault="00BF53AE" w:rsidP="00AA0BEC">
      <w:pPr>
        <w:spacing w:after="0" w:line="240" w:lineRule="auto"/>
      </w:pPr>
      <w:r>
        <w:separator/>
      </w:r>
    </w:p>
  </w:footnote>
  <w:footnote w:type="continuationSeparator" w:id="0">
    <w:p w:rsidR="00BF53AE" w:rsidRDefault="00BF53AE" w:rsidP="00AA0BEC">
      <w:pPr>
        <w:spacing w:after="0" w:line="240" w:lineRule="auto"/>
      </w:pPr>
      <w:r>
        <w:continuationSeparator/>
      </w:r>
    </w:p>
  </w:footnote>
  <w:footnote w:type="continuationNotice" w:id="1">
    <w:p w:rsidR="00BF53AE" w:rsidRDefault="00BF53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1D" w:rsidRDefault="001D2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E8D6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0B38E7"/>
    <w:multiLevelType w:val="hybridMultilevel"/>
    <w:tmpl w:val="50BA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D1D3C"/>
    <w:multiLevelType w:val="hybridMultilevel"/>
    <w:tmpl w:val="827403C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3589783A"/>
    <w:multiLevelType w:val="hybridMultilevel"/>
    <w:tmpl w:val="466E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5B3E6F"/>
    <w:rsid w:val="000023C9"/>
    <w:rsid w:val="000031A5"/>
    <w:rsid w:val="00003556"/>
    <w:rsid w:val="00005518"/>
    <w:rsid w:val="00006322"/>
    <w:rsid w:val="000104D7"/>
    <w:rsid w:val="000112B3"/>
    <w:rsid w:val="000114CE"/>
    <w:rsid w:val="000124FF"/>
    <w:rsid w:val="000129F8"/>
    <w:rsid w:val="00027CB9"/>
    <w:rsid w:val="00032479"/>
    <w:rsid w:val="00032E44"/>
    <w:rsid w:val="00033F48"/>
    <w:rsid w:val="00035531"/>
    <w:rsid w:val="00051295"/>
    <w:rsid w:val="0006003E"/>
    <w:rsid w:val="00065C4D"/>
    <w:rsid w:val="000725C5"/>
    <w:rsid w:val="00072C7E"/>
    <w:rsid w:val="000769CB"/>
    <w:rsid w:val="000862D1"/>
    <w:rsid w:val="00087AE1"/>
    <w:rsid w:val="000937AD"/>
    <w:rsid w:val="000961CB"/>
    <w:rsid w:val="000976E0"/>
    <w:rsid w:val="000A315A"/>
    <w:rsid w:val="000A6986"/>
    <w:rsid w:val="000B15AB"/>
    <w:rsid w:val="000B1889"/>
    <w:rsid w:val="000B3649"/>
    <w:rsid w:val="000B7A28"/>
    <w:rsid w:val="000D38A6"/>
    <w:rsid w:val="000E0112"/>
    <w:rsid w:val="000E6BB8"/>
    <w:rsid w:val="000F253A"/>
    <w:rsid w:val="000F326A"/>
    <w:rsid w:val="000F6569"/>
    <w:rsid w:val="00100D46"/>
    <w:rsid w:val="00103C21"/>
    <w:rsid w:val="001044CF"/>
    <w:rsid w:val="001044D1"/>
    <w:rsid w:val="001048F8"/>
    <w:rsid w:val="00106C54"/>
    <w:rsid w:val="0011397F"/>
    <w:rsid w:val="00113DE0"/>
    <w:rsid w:val="00124343"/>
    <w:rsid w:val="00134BAC"/>
    <w:rsid w:val="00152756"/>
    <w:rsid w:val="00157EE0"/>
    <w:rsid w:val="0016153E"/>
    <w:rsid w:val="0016342B"/>
    <w:rsid w:val="00177ABA"/>
    <w:rsid w:val="00181958"/>
    <w:rsid w:val="001841DB"/>
    <w:rsid w:val="001861F3"/>
    <w:rsid w:val="00190B05"/>
    <w:rsid w:val="0019302C"/>
    <w:rsid w:val="001A08FF"/>
    <w:rsid w:val="001A4D98"/>
    <w:rsid w:val="001B0A58"/>
    <w:rsid w:val="001B2FB7"/>
    <w:rsid w:val="001C284D"/>
    <w:rsid w:val="001D0C22"/>
    <w:rsid w:val="001D0E53"/>
    <w:rsid w:val="001D271D"/>
    <w:rsid w:val="001F6D80"/>
    <w:rsid w:val="002053B6"/>
    <w:rsid w:val="00210694"/>
    <w:rsid w:val="002176C8"/>
    <w:rsid w:val="00217796"/>
    <w:rsid w:val="00220605"/>
    <w:rsid w:val="00223407"/>
    <w:rsid w:val="00230F36"/>
    <w:rsid w:val="00243B2C"/>
    <w:rsid w:val="00244FBC"/>
    <w:rsid w:val="002473D0"/>
    <w:rsid w:val="00252ABC"/>
    <w:rsid w:val="00252DD2"/>
    <w:rsid w:val="002609A9"/>
    <w:rsid w:val="002611F6"/>
    <w:rsid w:val="00262872"/>
    <w:rsid w:val="00263BB1"/>
    <w:rsid w:val="00272488"/>
    <w:rsid w:val="00274FC1"/>
    <w:rsid w:val="00275448"/>
    <w:rsid w:val="00282EDB"/>
    <w:rsid w:val="00283C4D"/>
    <w:rsid w:val="00285221"/>
    <w:rsid w:val="0028640A"/>
    <w:rsid w:val="0028662C"/>
    <w:rsid w:val="002911BF"/>
    <w:rsid w:val="00293176"/>
    <w:rsid w:val="002947F9"/>
    <w:rsid w:val="002951DC"/>
    <w:rsid w:val="002A2E3E"/>
    <w:rsid w:val="002A5E18"/>
    <w:rsid w:val="002A6AB5"/>
    <w:rsid w:val="002B1709"/>
    <w:rsid w:val="002C35F0"/>
    <w:rsid w:val="002C4B48"/>
    <w:rsid w:val="002C683B"/>
    <w:rsid w:val="002D2290"/>
    <w:rsid w:val="002D499B"/>
    <w:rsid w:val="002D7549"/>
    <w:rsid w:val="002E7E2D"/>
    <w:rsid w:val="002F39EA"/>
    <w:rsid w:val="002F6879"/>
    <w:rsid w:val="00310F97"/>
    <w:rsid w:val="00311557"/>
    <w:rsid w:val="00313C9C"/>
    <w:rsid w:val="00317E3E"/>
    <w:rsid w:val="00345E97"/>
    <w:rsid w:val="00352885"/>
    <w:rsid w:val="003540D4"/>
    <w:rsid w:val="00355C36"/>
    <w:rsid w:val="00367101"/>
    <w:rsid w:val="0037335F"/>
    <w:rsid w:val="003823B1"/>
    <w:rsid w:val="0038479E"/>
    <w:rsid w:val="00384C6B"/>
    <w:rsid w:val="00386AC3"/>
    <w:rsid w:val="00386F26"/>
    <w:rsid w:val="00392F5D"/>
    <w:rsid w:val="00396C19"/>
    <w:rsid w:val="003A0244"/>
    <w:rsid w:val="003A1BE4"/>
    <w:rsid w:val="003A5695"/>
    <w:rsid w:val="003A7795"/>
    <w:rsid w:val="003B16B7"/>
    <w:rsid w:val="003B4C42"/>
    <w:rsid w:val="003C0C17"/>
    <w:rsid w:val="003E0342"/>
    <w:rsid w:val="003E0CAE"/>
    <w:rsid w:val="003E6A2A"/>
    <w:rsid w:val="003F157F"/>
    <w:rsid w:val="003F4097"/>
    <w:rsid w:val="003F5784"/>
    <w:rsid w:val="003F7EFD"/>
    <w:rsid w:val="00400EE1"/>
    <w:rsid w:val="0040550C"/>
    <w:rsid w:val="0041582B"/>
    <w:rsid w:val="00415A34"/>
    <w:rsid w:val="004161C5"/>
    <w:rsid w:val="0041665A"/>
    <w:rsid w:val="00420105"/>
    <w:rsid w:val="00420BD2"/>
    <w:rsid w:val="00421384"/>
    <w:rsid w:val="00421EBF"/>
    <w:rsid w:val="004237E4"/>
    <w:rsid w:val="0042449F"/>
    <w:rsid w:val="00431F21"/>
    <w:rsid w:val="00434B0D"/>
    <w:rsid w:val="004430D3"/>
    <w:rsid w:val="004520FC"/>
    <w:rsid w:val="00453614"/>
    <w:rsid w:val="00460ABE"/>
    <w:rsid w:val="0046233F"/>
    <w:rsid w:val="004655C8"/>
    <w:rsid w:val="0046574D"/>
    <w:rsid w:val="0047026B"/>
    <w:rsid w:val="00473277"/>
    <w:rsid w:val="00476880"/>
    <w:rsid w:val="00477789"/>
    <w:rsid w:val="00482342"/>
    <w:rsid w:val="0048236A"/>
    <w:rsid w:val="0048362B"/>
    <w:rsid w:val="004842A4"/>
    <w:rsid w:val="00485083"/>
    <w:rsid w:val="00487A64"/>
    <w:rsid w:val="0049106C"/>
    <w:rsid w:val="004939FE"/>
    <w:rsid w:val="00497F06"/>
    <w:rsid w:val="004A0AD7"/>
    <w:rsid w:val="004A5A2A"/>
    <w:rsid w:val="004B650D"/>
    <w:rsid w:val="004C1C5E"/>
    <w:rsid w:val="004D35C5"/>
    <w:rsid w:val="004D67C2"/>
    <w:rsid w:val="004D798B"/>
    <w:rsid w:val="004D79DC"/>
    <w:rsid w:val="004E0418"/>
    <w:rsid w:val="004E3009"/>
    <w:rsid w:val="004F1946"/>
    <w:rsid w:val="004F66B2"/>
    <w:rsid w:val="00507D3C"/>
    <w:rsid w:val="00507FC9"/>
    <w:rsid w:val="00512760"/>
    <w:rsid w:val="005155B7"/>
    <w:rsid w:val="005174F3"/>
    <w:rsid w:val="005279D3"/>
    <w:rsid w:val="0053163F"/>
    <w:rsid w:val="00532515"/>
    <w:rsid w:val="00533F02"/>
    <w:rsid w:val="00542914"/>
    <w:rsid w:val="00557435"/>
    <w:rsid w:val="00562DE8"/>
    <w:rsid w:val="00563F57"/>
    <w:rsid w:val="00570253"/>
    <w:rsid w:val="00574272"/>
    <w:rsid w:val="00574D12"/>
    <w:rsid w:val="00593A59"/>
    <w:rsid w:val="005A1957"/>
    <w:rsid w:val="005B3E6F"/>
    <w:rsid w:val="005B5316"/>
    <w:rsid w:val="005C03A9"/>
    <w:rsid w:val="005C16FC"/>
    <w:rsid w:val="005C1A57"/>
    <w:rsid w:val="005C51F2"/>
    <w:rsid w:val="005D096D"/>
    <w:rsid w:val="005D315B"/>
    <w:rsid w:val="005D433D"/>
    <w:rsid w:val="005D5CD1"/>
    <w:rsid w:val="005E38AB"/>
    <w:rsid w:val="005E7307"/>
    <w:rsid w:val="005F2F29"/>
    <w:rsid w:val="005F4E46"/>
    <w:rsid w:val="00602B95"/>
    <w:rsid w:val="00613F56"/>
    <w:rsid w:val="0062216B"/>
    <w:rsid w:val="0062464D"/>
    <w:rsid w:val="0063102F"/>
    <w:rsid w:val="006347B4"/>
    <w:rsid w:val="00642413"/>
    <w:rsid w:val="00642B2C"/>
    <w:rsid w:val="00644E99"/>
    <w:rsid w:val="006529D5"/>
    <w:rsid w:val="006543FB"/>
    <w:rsid w:val="00654A10"/>
    <w:rsid w:val="006551D4"/>
    <w:rsid w:val="00655350"/>
    <w:rsid w:val="006570D9"/>
    <w:rsid w:val="0066169A"/>
    <w:rsid w:val="00670686"/>
    <w:rsid w:val="00681166"/>
    <w:rsid w:val="006863B5"/>
    <w:rsid w:val="006974F9"/>
    <w:rsid w:val="00697B4C"/>
    <w:rsid w:val="006B13F7"/>
    <w:rsid w:val="006C5827"/>
    <w:rsid w:val="006D29A5"/>
    <w:rsid w:val="006D5903"/>
    <w:rsid w:val="006E141F"/>
    <w:rsid w:val="006F19CE"/>
    <w:rsid w:val="00710D38"/>
    <w:rsid w:val="00715071"/>
    <w:rsid w:val="00716E55"/>
    <w:rsid w:val="00724F13"/>
    <w:rsid w:val="0072574E"/>
    <w:rsid w:val="0073073D"/>
    <w:rsid w:val="00736B8E"/>
    <w:rsid w:val="00743E11"/>
    <w:rsid w:val="00747EF7"/>
    <w:rsid w:val="007500C4"/>
    <w:rsid w:val="0075150F"/>
    <w:rsid w:val="00752E4F"/>
    <w:rsid w:val="00762948"/>
    <w:rsid w:val="0076325A"/>
    <w:rsid w:val="007633E6"/>
    <w:rsid w:val="007643DC"/>
    <w:rsid w:val="007658A7"/>
    <w:rsid w:val="00770F3C"/>
    <w:rsid w:val="00771FBE"/>
    <w:rsid w:val="00772525"/>
    <w:rsid w:val="007754E7"/>
    <w:rsid w:val="0078257E"/>
    <w:rsid w:val="007A7797"/>
    <w:rsid w:val="007A7DFE"/>
    <w:rsid w:val="007B0936"/>
    <w:rsid w:val="007B7C15"/>
    <w:rsid w:val="007C74E9"/>
    <w:rsid w:val="007E1064"/>
    <w:rsid w:val="007E2765"/>
    <w:rsid w:val="00802F89"/>
    <w:rsid w:val="008169DD"/>
    <w:rsid w:val="008238C2"/>
    <w:rsid w:val="0082394C"/>
    <w:rsid w:val="00830347"/>
    <w:rsid w:val="00832DBB"/>
    <w:rsid w:val="00834898"/>
    <w:rsid w:val="0083690F"/>
    <w:rsid w:val="00844292"/>
    <w:rsid w:val="008521B7"/>
    <w:rsid w:val="008638F6"/>
    <w:rsid w:val="00877241"/>
    <w:rsid w:val="00877EC7"/>
    <w:rsid w:val="0088455F"/>
    <w:rsid w:val="00887D16"/>
    <w:rsid w:val="008907F0"/>
    <w:rsid w:val="00890CA5"/>
    <w:rsid w:val="008947ED"/>
    <w:rsid w:val="00894E19"/>
    <w:rsid w:val="008B0B0C"/>
    <w:rsid w:val="008B3058"/>
    <w:rsid w:val="008C150F"/>
    <w:rsid w:val="008C3663"/>
    <w:rsid w:val="008C747D"/>
    <w:rsid w:val="008D0739"/>
    <w:rsid w:val="008D60D0"/>
    <w:rsid w:val="008E1321"/>
    <w:rsid w:val="008E64CE"/>
    <w:rsid w:val="008E7796"/>
    <w:rsid w:val="008F31AD"/>
    <w:rsid w:val="008F3BD4"/>
    <w:rsid w:val="008F4CA1"/>
    <w:rsid w:val="00901F7B"/>
    <w:rsid w:val="00905809"/>
    <w:rsid w:val="009131D1"/>
    <w:rsid w:val="009227B2"/>
    <w:rsid w:val="00924B22"/>
    <w:rsid w:val="009439FE"/>
    <w:rsid w:val="0095096D"/>
    <w:rsid w:val="00950CD3"/>
    <w:rsid w:val="0095445F"/>
    <w:rsid w:val="00964FEB"/>
    <w:rsid w:val="0097093A"/>
    <w:rsid w:val="009734B6"/>
    <w:rsid w:val="00977530"/>
    <w:rsid w:val="0098223C"/>
    <w:rsid w:val="0098271D"/>
    <w:rsid w:val="00982822"/>
    <w:rsid w:val="009A14C0"/>
    <w:rsid w:val="009A5A42"/>
    <w:rsid w:val="009B5DD8"/>
    <w:rsid w:val="009B7873"/>
    <w:rsid w:val="009D0942"/>
    <w:rsid w:val="009D5D5E"/>
    <w:rsid w:val="009D5F5E"/>
    <w:rsid w:val="009D6F5D"/>
    <w:rsid w:val="009E35A5"/>
    <w:rsid w:val="009E35C8"/>
    <w:rsid w:val="009E4819"/>
    <w:rsid w:val="009E4879"/>
    <w:rsid w:val="00A00674"/>
    <w:rsid w:val="00A11063"/>
    <w:rsid w:val="00A13186"/>
    <w:rsid w:val="00A14811"/>
    <w:rsid w:val="00A15D1B"/>
    <w:rsid w:val="00A16958"/>
    <w:rsid w:val="00A169F8"/>
    <w:rsid w:val="00A176F8"/>
    <w:rsid w:val="00A20F83"/>
    <w:rsid w:val="00A24988"/>
    <w:rsid w:val="00A249B0"/>
    <w:rsid w:val="00A32A17"/>
    <w:rsid w:val="00A338EB"/>
    <w:rsid w:val="00A344A9"/>
    <w:rsid w:val="00A346B5"/>
    <w:rsid w:val="00A377F6"/>
    <w:rsid w:val="00A37C7E"/>
    <w:rsid w:val="00A4480A"/>
    <w:rsid w:val="00A556CC"/>
    <w:rsid w:val="00A65107"/>
    <w:rsid w:val="00A66796"/>
    <w:rsid w:val="00A70FE7"/>
    <w:rsid w:val="00A779B8"/>
    <w:rsid w:val="00A816F9"/>
    <w:rsid w:val="00A83A47"/>
    <w:rsid w:val="00A858AA"/>
    <w:rsid w:val="00A90176"/>
    <w:rsid w:val="00A939D3"/>
    <w:rsid w:val="00AA0BEC"/>
    <w:rsid w:val="00AB5C4B"/>
    <w:rsid w:val="00AB6931"/>
    <w:rsid w:val="00AC6B34"/>
    <w:rsid w:val="00AC74C1"/>
    <w:rsid w:val="00AE2FED"/>
    <w:rsid w:val="00AE426E"/>
    <w:rsid w:val="00AE7FD5"/>
    <w:rsid w:val="00AF533A"/>
    <w:rsid w:val="00B001D7"/>
    <w:rsid w:val="00B009DF"/>
    <w:rsid w:val="00B0692D"/>
    <w:rsid w:val="00B10156"/>
    <w:rsid w:val="00B171D2"/>
    <w:rsid w:val="00B20FCD"/>
    <w:rsid w:val="00B336B3"/>
    <w:rsid w:val="00B33C00"/>
    <w:rsid w:val="00B52916"/>
    <w:rsid w:val="00B53DF8"/>
    <w:rsid w:val="00B55F77"/>
    <w:rsid w:val="00B57D61"/>
    <w:rsid w:val="00B6288F"/>
    <w:rsid w:val="00B632DE"/>
    <w:rsid w:val="00B74ADC"/>
    <w:rsid w:val="00B76E42"/>
    <w:rsid w:val="00B861D1"/>
    <w:rsid w:val="00B86AA5"/>
    <w:rsid w:val="00B940B2"/>
    <w:rsid w:val="00B95897"/>
    <w:rsid w:val="00B97F30"/>
    <w:rsid w:val="00BA229B"/>
    <w:rsid w:val="00BA3171"/>
    <w:rsid w:val="00BA42A2"/>
    <w:rsid w:val="00BA743F"/>
    <w:rsid w:val="00BB0605"/>
    <w:rsid w:val="00BB2277"/>
    <w:rsid w:val="00BB5A70"/>
    <w:rsid w:val="00BB73B1"/>
    <w:rsid w:val="00BC50CD"/>
    <w:rsid w:val="00BC6D49"/>
    <w:rsid w:val="00BD29C9"/>
    <w:rsid w:val="00BD4EFD"/>
    <w:rsid w:val="00BE3C72"/>
    <w:rsid w:val="00BF0F41"/>
    <w:rsid w:val="00BF53AE"/>
    <w:rsid w:val="00C0126D"/>
    <w:rsid w:val="00C028D3"/>
    <w:rsid w:val="00C03802"/>
    <w:rsid w:val="00C03B9E"/>
    <w:rsid w:val="00C246F2"/>
    <w:rsid w:val="00C3754D"/>
    <w:rsid w:val="00C41938"/>
    <w:rsid w:val="00C41E41"/>
    <w:rsid w:val="00C422BE"/>
    <w:rsid w:val="00C61FA6"/>
    <w:rsid w:val="00C62ED2"/>
    <w:rsid w:val="00C66FD8"/>
    <w:rsid w:val="00C73273"/>
    <w:rsid w:val="00C75DDD"/>
    <w:rsid w:val="00C76B5F"/>
    <w:rsid w:val="00C93B0B"/>
    <w:rsid w:val="00C978CD"/>
    <w:rsid w:val="00CB349A"/>
    <w:rsid w:val="00CB457D"/>
    <w:rsid w:val="00CC059A"/>
    <w:rsid w:val="00CC262F"/>
    <w:rsid w:val="00CD118A"/>
    <w:rsid w:val="00CE0196"/>
    <w:rsid w:val="00CE5C23"/>
    <w:rsid w:val="00CE7220"/>
    <w:rsid w:val="00CF2FEC"/>
    <w:rsid w:val="00CF524B"/>
    <w:rsid w:val="00D0026F"/>
    <w:rsid w:val="00D021D9"/>
    <w:rsid w:val="00D06415"/>
    <w:rsid w:val="00D07768"/>
    <w:rsid w:val="00D07E53"/>
    <w:rsid w:val="00D1187D"/>
    <w:rsid w:val="00D11D3A"/>
    <w:rsid w:val="00D126C2"/>
    <w:rsid w:val="00D22681"/>
    <w:rsid w:val="00D24A98"/>
    <w:rsid w:val="00D24CA7"/>
    <w:rsid w:val="00D24D9A"/>
    <w:rsid w:val="00D25617"/>
    <w:rsid w:val="00D26D18"/>
    <w:rsid w:val="00D2745D"/>
    <w:rsid w:val="00D37425"/>
    <w:rsid w:val="00D4416D"/>
    <w:rsid w:val="00D44250"/>
    <w:rsid w:val="00D46695"/>
    <w:rsid w:val="00D46F3A"/>
    <w:rsid w:val="00D51E09"/>
    <w:rsid w:val="00D71232"/>
    <w:rsid w:val="00D7391E"/>
    <w:rsid w:val="00D74A7A"/>
    <w:rsid w:val="00D87DA6"/>
    <w:rsid w:val="00D90B5D"/>
    <w:rsid w:val="00D95BDF"/>
    <w:rsid w:val="00D9660F"/>
    <w:rsid w:val="00D97BAD"/>
    <w:rsid w:val="00DA027C"/>
    <w:rsid w:val="00DA218D"/>
    <w:rsid w:val="00DB34CD"/>
    <w:rsid w:val="00DC1927"/>
    <w:rsid w:val="00DC5375"/>
    <w:rsid w:val="00DC5C57"/>
    <w:rsid w:val="00E01B6A"/>
    <w:rsid w:val="00E101E5"/>
    <w:rsid w:val="00E132B9"/>
    <w:rsid w:val="00E16D38"/>
    <w:rsid w:val="00E2782F"/>
    <w:rsid w:val="00E33F64"/>
    <w:rsid w:val="00E43920"/>
    <w:rsid w:val="00E44D54"/>
    <w:rsid w:val="00E535C9"/>
    <w:rsid w:val="00E650DE"/>
    <w:rsid w:val="00E66D87"/>
    <w:rsid w:val="00E72774"/>
    <w:rsid w:val="00E73E18"/>
    <w:rsid w:val="00E8034A"/>
    <w:rsid w:val="00E84629"/>
    <w:rsid w:val="00E87069"/>
    <w:rsid w:val="00E92C18"/>
    <w:rsid w:val="00E92C7B"/>
    <w:rsid w:val="00E94336"/>
    <w:rsid w:val="00E945DF"/>
    <w:rsid w:val="00E94C70"/>
    <w:rsid w:val="00EA21A2"/>
    <w:rsid w:val="00EA35CD"/>
    <w:rsid w:val="00EA36B8"/>
    <w:rsid w:val="00EB0600"/>
    <w:rsid w:val="00EB17D5"/>
    <w:rsid w:val="00EB26B0"/>
    <w:rsid w:val="00EB7691"/>
    <w:rsid w:val="00EC03C0"/>
    <w:rsid w:val="00EC187F"/>
    <w:rsid w:val="00ED0F09"/>
    <w:rsid w:val="00ED2136"/>
    <w:rsid w:val="00ED43B8"/>
    <w:rsid w:val="00ED47EF"/>
    <w:rsid w:val="00ED4D1E"/>
    <w:rsid w:val="00EE5D20"/>
    <w:rsid w:val="00EF4473"/>
    <w:rsid w:val="00F027D4"/>
    <w:rsid w:val="00F03B29"/>
    <w:rsid w:val="00F05028"/>
    <w:rsid w:val="00F05239"/>
    <w:rsid w:val="00F16804"/>
    <w:rsid w:val="00F21159"/>
    <w:rsid w:val="00F227AC"/>
    <w:rsid w:val="00F23324"/>
    <w:rsid w:val="00F24C6B"/>
    <w:rsid w:val="00F27508"/>
    <w:rsid w:val="00F31F3F"/>
    <w:rsid w:val="00F4186B"/>
    <w:rsid w:val="00F46233"/>
    <w:rsid w:val="00F50F58"/>
    <w:rsid w:val="00F55979"/>
    <w:rsid w:val="00F7022A"/>
    <w:rsid w:val="00F7064B"/>
    <w:rsid w:val="00F76119"/>
    <w:rsid w:val="00F76774"/>
    <w:rsid w:val="00F767B2"/>
    <w:rsid w:val="00F80D4D"/>
    <w:rsid w:val="00F91444"/>
    <w:rsid w:val="00FA623D"/>
    <w:rsid w:val="00FA7D38"/>
    <w:rsid w:val="00FB014B"/>
    <w:rsid w:val="00FB0BEC"/>
    <w:rsid w:val="00FB24D5"/>
    <w:rsid w:val="00FC2069"/>
    <w:rsid w:val="00FC5A12"/>
    <w:rsid w:val="00FC6E54"/>
    <w:rsid w:val="00FD2825"/>
    <w:rsid w:val="00FE40D2"/>
    <w:rsid w:val="00FE4845"/>
    <w:rsid w:val="00FE5063"/>
    <w:rsid w:val="00FE7A1E"/>
    <w:rsid w:val="00FF3BA3"/>
    <w:rsid w:val="00FF5092"/>
    <w:rsid w:val="00FF5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449E-FE4E-4E0A-98F9-82535876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0D2"/>
  </w:style>
  <w:style w:type="paragraph" w:styleId="Heading3">
    <w:name w:val="heading 3"/>
    <w:basedOn w:val="Normal"/>
    <w:next w:val="Normal"/>
    <w:link w:val="Heading3Char"/>
    <w:uiPriority w:val="9"/>
    <w:unhideWhenUsed/>
    <w:qFormat/>
    <w:rsid w:val="00D26D18"/>
    <w:pPr>
      <w:spacing w:before="200" w:after="0" w:line="271" w:lineRule="auto"/>
      <w:outlineLvl w:val="2"/>
    </w:pPr>
    <w:rPr>
      <w:rFonts w:asciiTheme="majorHAnsi" w:eastAsiaTheme="majorEastAsia" w:hAnsiTheme="majorHAnsi" w:cstheme="majorBidi"/>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B3E6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B3E6F"/>
    <w:rPr>
      <w:rFonts w:ascii="Calibri" w:hAnsi="Calibri" w:cs="Calibri"/>
      <w:noProof/>
      <w:lang w:val="en-US"/>
    </w:rPr>
  </w:style>
  <w:style w:type="paragraph" w:customStyle="1" w:styleId="EndNoteBibliography">
    <w:name w:val="EndNote Bibliography"/>
    <w:basedOn w:val="Normal"/>
    <w:link w:val="EndNoteBibliographyChar"/>
    <w:rsid w:val="005B3E6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B3E6F"/>
    <w:rPr>
      <w:rFonts w:ascii="Calibri" w:hAnsi="Calibri" w:cs="Calibri"/>
      <w:noProof/>
      <w:lang w:val="en-US"/>
    </w:rPr>
  </w:style>
  <w:style w:type="paragraph" w:styleId="ListBullet">
    <w:name w:val="List Bullet"/>
    <w:basedOn w:val="Normal"/>
    <w:uiPriority w:val="99"/>
    <w:unhideWhenUsed/>
    <w:rsid w:val="005B3E6F"/>
    <w:pPr>
      <w:numPr>
        <w:numId w:val="1"/>
      </w:numPr>
      <w:spacing w:after="200" w:line="276" w:lineRule="auto"/>
      <w:contextualSpacing/>
    </w:pPr>
    <w:rPr>
      <w:rFonts w:eastAsiaTheme="minorEastAsia"/>
      <w:lang w:eastAsia="en-GB"/>
    </w:rPr>
  </w:style>
  <w:style w:type="character" w:styleId="Hyperlink">
    <w:name w:val="Hyperlink"/>
    <w:basedOn w:val="DefaultParagraphFont"/>
    <w:uiPriority w:val="99"/>
    <w:unhideWhenUsed/>
    <w:rsid w:val="004D79DC"/>
    <w:rPr>
      <w:color w:val="0563C1" w:themeColor="hyperlink"/>
      <w:u w:val="single"/>
    </w:rPr>
  </w:style>
  <w:style w:type="character" w:customStyle="1" w:styleId="Heading3Char">
    <w:name w:val="Heading 3 Char"/>
    <w:basedOn w:val="DefaultParagraphFont"/>
    <w:link w:val="Heading3"/>
    <w:uiPriority w:val="9"/>
    <w:rsid w:val="00D26D18"/>
    <w:rPr>
      <w:rFonts w:asciiTheme="majorHAnsi" w:eastAsiaTheme="majorEastAsia" w:hAnsiTheme="majorHAnsi" w:cstheme="majorBidi"/>
      <w:b/>
      <w:bCs/>
      <w:lang w:eastAsia="en-GB"/>
    </w:rPr>
  </w:style>
  <w:style w:type="paragraph" w:styleId="ListParagraph">
    <w:name w:val="List Paragraph"/>
    <w:basedOn w:val="Normal"/>
    <w:link w:val="ListParagraphChar"/>
    <w:uiPriority w:val="34"/>
    <w:qFormat/>
    <w:rsid w:val="00D26D18"/>
    <w:pPr>
      <w:spacing w:after="200" w:line="276" w:lineRule="auto"/>
      <w:ind w:left="720"/>
      <w:contextualSpacing/>
    </w:pPr>
    <w:rPr>
      <w:rFonts w:eastAsiaTheme="minorEastAsia"/>
      <w:lang w:eastAsia="en-GB"/>
    </w:rPr>
  </w:style>
  <w:style w:type="character" w:customStyle="1" w:styleId="ListParagraphChar">
    <w:name w:val="List Paragraph Char"/>
    <w:basedOn w:val="DefaultParagraphFont"/>
    <w:link w:val="ListParagraph"/>
    <w:uiPriority w:val="34"/>
    <w:rsid w:val="00D26D18"/>
    <w:rPr>
      <w:rFonts w:eastAsiaTheme="minorEastAsia"/>
      <w:lang w:eastAsia="en-GB"/>
    </w:rPr>
  </w:style>
  <w:style w:type="paragraph" w:styleId="BalloonText">
    <w:name w:val="Balloon Text"/>
    <w:basedOn w:val="Normal"/>
    <w:link w:val="BalloonTextChar"/>
    <w:uiPriority w:val="99"/>
    <w:semiHidden/>
    <w:unhideWhenUsed/>
    <w:rsid w:val="00C7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DD"/>
    <w:rPr>
      <w:rFonts w:ascii="Tahoma" w:hAnsi="Tahoma" w:cs="Tahoma"/>
      <w:sz w:val="16"/>
      <w:szCs w:val="16"/>
    </w:rPr>
  </w:style>
  <w:style w:type="paragraph" w:styleId="CommentText">
    <w:name w:val="annotation text"/>
    <w:basedOn w:val="Normal"/>
    <w:link w:val="CommentTextChar"/>
    <w:uiPriority w:val="99"/>
    <w:semiHidden/>
    <w:unhideWhenUsed/>
    <w:rsid w:val="00A66796"/>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A66796"/>
    <w:rPr>
      <w:rFonts w:eastAsiaTheme="minorEastAsia"/>
      <w:sz w:val="20"/>
      <w:szCs w:val="20"/>
      <w:lang w:eastAsia="en-GB"/>
    </w:rPr>
  </w:style>
  <w:style w:type="table" w:styleId="TableGrid">
    <w:name w:val="Table Grid"/>
    <w:basedOn w:val="TableNormal"/>
    <w:uiPriority w:val="59"/>
    <w:rsid w:val="006529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6529D5"/>
    <w:pPr>
      <w:spacing w:after="200" w:line="276" w:lineRule="auto"/>
    </w:pPr>
    <w:rPr>
      <w:rFonts w:eastAsiaTheme="minorEastAsia"/>
      <w:b/>
      <w:bCs/>
      <w:sz w:val="18"/>
      <w:szCs w:val="18"/>
      <w:lang w:eastAsia="en-GB"/>
    </w:rPr>
  </w:style>
  <w:style w:type="paragraph" w:styleId="NormalWeb">
    <w:name w:val="Normal (Web)"/>
    <w:basedOn w:val="Normal"/>
    <w:uiPriority w:val="99"/>
    <w:semiHidden/>
    <w:unhideWhenUsed/>
    <w:rsid w:val="00AC74C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0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BEC"/>
  </w:style>
  <w:style w:type="paragraph" w:styleId="Footer">
    <w:name w:val="footer"/>
    <w:basedOn w:val="Normal"/>
    <w:link w:val="FooterChar"/>
    <w:uiPriority w:val="99"/>
    <w:unhideWhenUsed/>
    <w:rsid w:val="00AA0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BEC"/>
  </w:style>
  <w:style w:type="character" w:styleId="CommentReference">
    <w:name w:val="annotation reference"/>
    <w:basedOn w:val="DefaultParagraphFont"/>
    <w:uiPriority w:val="99"/>
    <w:semiHidden/>
    <w:unhideWhenUsed/>
    <w:rsid w:val="00C028D3"/>
    <w:rPr>
      <w:sz w:val="16"/>
      <w:szCs w:val="16"/>
    </w:rPr>
  </w:style>
  <w:style w:type="paragraph" w:styleId="CommentSubject">
    <w:name w:val="annotation subject"/>
    <w:basedOn w:val="CommentText"/>
    <w:next w:val="CommentText"/>
    <w:link w:val="CommentSubjectChar"/>
    <w:uiPriority w:val="99"/>
    <w:semiHidden/>
    <w:unhideWhenUsed/>
    <w:rsid w:val="00C028D3"/>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C028D3"/>
    <w:rPr>
      <w:rFonts w:eastAsiaTheme="minorEastAsia"/>
      <w:b/>
      <w:bCs/>
      <w:sz w:val="20"/>
      <w:szCs w:val="20"/>
      <w:lang w:eastAsia="en-GB"/>
    </w:rPr>
  </w:style>
  <w:style w:type="paragraph" w:styleId="Revision">
    <w:name w:val="Revision"/>
    <w:hidden/>
    <w:uiPriority w:val="99"/>
    <w:semiHidden/>
    <w:rsid w:val="00532515"/>
    <w:pPr>
      <w:spacing w:after="0" w:line="240" w:lineRule="auto"/>
    </w:pPr>
  </w:style>
  <w:style w:type="paragraph" w:styleId="PlainText">
    <w:name w:val="Plain Text"/>
    <w:basedOn w:val="Normal"/>
    <w:link w:val="PlainTextChar"/>
    <w:uiPriority w:val="99"/>
    <w:semiHidden/>
    <w:unhideWhenUsed/>
    <w:rsid w:val="00D256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2561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tube.com/watch?v=mqYmTTY-3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sos-mori.com/researchpublications/researcharchive/2796/Attitudes-Towards-Death-and-Dying-in-the-East-of-England.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ingmatters.org/sites/default/files/user/Full%20view%20final%20Palliative%20original%20tables%20ht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res.co.uk/polls/Dying_Matters_Public_April1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yingmatters.org/page/dying-la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8E77-7723-49EA-AD21-15148599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12320</Words>
  <Characters>70226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 Katharine</dc:creator>
  <cp:keywords/>
  <dc:description/>
  <cp:lastModifiedBy>Lloyd-Williams,</cp:lastModifiedBy>
  <cp:revision>2</cp:revision>
  <cp:lastPrinted>2016-10-31T15:22:00Z</cp:lastPrinted>
  <dcterms:created xsi:type="dcterms:W3CDTF">2019-03-12T21:52:00Z</dcterms:created>
  <dcterms:modified xsi:type="dcterms:W3CDTF">2019-03-12T21:52:00Z</dcterms:modified>
</cp:coreProperties>
</file>