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E1" w:rsidRPr="00067E60" w:rsidRDefault="002D24E1" w:rsidP="002D24E1">
      <w:pPr>
        <w:pStyle w:val="Heading1"/>
        <w:jc w:val="center"/>
        <w:rPr>
          <w:rFonts w:ascii="Times New Roman" w:hAnsi="Times New Roman"/>
          <w:lang w:val="en-US"/>
        </w:rPr>
      </w:pPr>
      <w:r>
        <w:rPr>
          <w:rFonts w:ascii="Times New Roman" w:hAnsi="Times New Roman"/>
          <w:lang w:val="en-US"/>
        </w:rPr>
        <w:t>Why Some International Norms Disappear</w:t>
      </w:r>
    </w:p>
    <w:p w:rsidR="002D24E1" w:rsidRDefault="002D24E1" w:rsidP="002D24E1">
      <w:pPr>
        <w:jc w:val="both"/>
        <w:rPr>
          <w:lang w:val="en-US"/>
        </w:rPr>
      </w:pPr>
    </w:p>
    <w:p w:rsidR="002D24E1" w:rsidRDefault="00877EF0" w:rsidP="00877EF0">
      <w:pPr>
        <w:jc w:val="both"/>
        <w:rPr>
          <w:lang w:val="en-US"/>
        </w:rPr>
      </w:pPr>
      <w:bookmarkStart w:id="0" w:name="_GoBack"/>
      <w:bookmarkEnd w:id="0"/>
      <w:r w:rsidRPr="00877EF0">
        <w:rPr>
          <w:lang w:val="en-US"/>
        </w:rPr>
        <w:t xml:space="preserve">Diana </w:t>
      </w:r>
      <w:proofErr w:type="spellStart"/>
      <w:r w:rsidRPr="00877EF0">
        <w:rPr>
          <w:lang w:val="en-US"/>
        </w:rPr>
        <w:t>Panke</w:t>
      </w:r>
      <w:proofErr w:type="spellEnd"/>
      <w:r w:rsidRPr="00877EF0">
        <w:rPr>
          <w:lang w:val="en-US"/>
        </w:rPr>
        <w:t xml:space="preserve"> &amp; Ulrich Petersohn</w:t>
      </w:r>
    </w:p>
    <w:p w:rsidR="002D24E1" w:rsidRDefault="002D24E1" w:rsidP="002D24E1">
      <w:pPr>
        <w:jc w:val="both"/>
        <w:rPr>
          <w:lang w:val="en-US"/>
        </w:rPr>
      </w:pPr>
    </w:p>
    <w:p w:rsidR="00B2563D" w:rsidRDefault="00A15FED" w:rsidP="002D24E1">
      <w:pPr>
        <w:jc w:val="both"/>
        <w:rPr>
          <w:lang w:val="en-US"/>
        </w:rPr>
      </w:pPr>
      <w:r>
        <w:rPr>
          <w:lang w:val="en-US"/>
        </w:rPr>
        <w:t xml:space="preserve">Word count: 13.445 </w:t>
      </w:r>
    </w:p>
    <w:p w:rsidR="00A15FED" w:rsidRDefault="00A15FED" w:rsidP="002D24E1">
      <w:pPr>
        <w:jc w:val="both"/>
        <w:rPr>
          <w:lang w:val="en-US"/>
        </w:rPr>
      </w:pPr>
    </w:p>
    <w:p w:rsidR="00A15FED" w:rsidRDefault="00A15FED" w:rsidP="002D24E1">
      <w:pPr>
        <w:jc w:val="both"/>
        <w:rPr>
          <w:lang w:val="en-US"/>
        </w:rPr>
      </w:pPr>
    </w:p>
    <w:p w:rsidR="00B2563D" w:rsidRPr="00067E60" w:rsidRDefault="00B2563D" w:rsidP="002D24E1">
      <w:pPr>
        <w:jc w:val="both"/>
        <w:rPr>
          <w:lang w:val="en-US"/>
        </w:rPr>
      </w:pPr>
    </w:p>
    <w:p w:rsidR="002D24E1" w:rsidRPr="00067E60" w:rsidRDefault="002D24E1" w:rsidP="002D24E1">
      <w:pPr>
        <w:jc w:val="both"/>
        <w:rPr>
          <w:lang w:val="en-US"/>
        </w:rPr>
      </w:pPr>
      <w:r w:rsidRPr="00067E60">
        <w:rPr>
          <w:lang w:val="en-US"/>
        </w:rPr>
        <w:t>Abstract:</w:t>
      </w:r>
    </w:p>
    <w:p w:rsidR="002D24E1" w:rsidRPr="00067E60" w:rsidRDefault="002D24E1" w:rsidP="002D24E1">
      <w:pPr>
        <w:jc w:val="both"/>
        <w:rPr>
          <w:lang w:val="en-US"/>
        </w:rPr>
      </w:pPr>
    </w:p>
    <w:p w:rsidR="002D24E1" w:rsidRPr="00067E60" w:rsidRDefault="002D24E1" w:rsidP="002D24E1">
      <w:pPr>
        <w:jc w:val="both"/>
        <w:rPr>
          <w:lang w:val="en-US"/>
        </w:rPr>
      </w:pPr>
      <w:r w:rsidRPr="00067E60">
        <w:rPr>
          <w:lang w:val="en-US"/>
        </w:rPr>
        <w:t>This paper addresses the empirical puzzle</w:t>
      </w:r>
      <w:r>
        <w:rPr>
          <w:color w:val="FF0000"/>
          <w:lang w:val="en-US"/>
        </w:rPr>
        <w:t xml:space="preserve"> </w:t>
      </w:r>
      <w:r w:rsidRPr="005108ED">
        <w:rPr>
          <w:lang w:val="en-US"/>
        </w:rPr>
        <w:t>as to</w:t>
      </w:r>
      <w:r w:rsidRPr="00067E60">
        <w:rPr>
          <w:lang w:val="en-US"/>
        </w:rPr>
        <w:t xml:space="preserve"> why some formerly deeply embedded international norms </w:t>
      </w:r>
      <w:r>
        <w:rPr>
          <w:lang w:val="en-US"/>
        </w:rPr>
        <w:t xml:space="preserve">either </w:t>
      </w:r>
      <w:r w:rsidRPr="00067E60">
        <w:rPr>
          <w:lang w:val="en-US"/>
        </w:rPr>
        <w:t xml:space="preserve">incrementally or rapidly </w:t>
      </w:r>
      <w:r>
        <w:rPr>
          <w:lang w:val="en-US"/>
        </w:rPr>
        <w:t>lose</w:t>
      </w:r>
      <w:r w:rsidRPr="00067E60">
        <w:rPr>
          <w:lang w:val="en-US"/>
        </w:rPr>
        <w:t xml:space="preserve"> their prescriptive status and </w:t>
      </w:r>
      <w:r>
        <w:rPr>
          <w:lang w:val="en-US"/>
        </w:rPr>
        <w:t xml:space="preserve">to the extreme, </w:t>
      </w:r>
      <w:r w:rsidRPr="00067E60">
        <w:rPr>
          <w:lang w:val="en-US"/>
        </w:rPr>
        <w:t xml:space="preserve">can even cease to exist. Why is it that some norms are replaced, while others simply disappear? The IR literature has rich explanations for norm creation, diffusion and socialization, </w:t>
      </w:r>
      <w:r>
        <w:rPr>
          <w:lang w:val="en-US"/>
        </w:rPr>
        <w:t>yet</w:t>
      </w:r>
      <w:r w:rsidRPr="00067E60">
        <w:rPr>
          <w:lang w:val="en-US"/>
        </w:rPr>
        <w:t xml:space="preserve"> there is a theoretical and an empirical gap on </w:t>
      </w:r>
      <w:r>
        <w:rPr>
          <w:lang w:val="en-US"/>
        </w:rPr>
        <w:t xml:space="preserve">both the </w:t>
      </w:r>
      <w:r w:rsidRPr="00067E60">
        <w:rPr>
          <w:lang w:val="en-US"/>
        </w:rPr>
        <w:t xml:space="preserve">dynamics and scope conditions for the </w:t>
      </w:r>
      <w:r>
        <w:rPr>
          <w:lang w:val="en-US"/>
        </w:rPr>
        <w:t>degeneration</w:t>
      </w:r>
      <w:r w:rsidRPr="00067E60">
        <w:rPr>
          <w:lang w:val="en-US"/>
        </w:rPr>
        <w:t xml:space="preserve"> of international norms. </w:t>
      </w:r>
      <w:r>
        <w:rPr>
          <w:lang w:val="en-US"/>
        </w:rPr>
        <w:t>In this paper, we develop</w:t>
      </w:r>
      <w:r w:rsidRPr="00067E60">
        <w:rPr>
          <w:lang w:val="en-US"/>
        </w:rPr>
        <w:t xml:space="preserve"> hypotheses on </w:t>
      </w:r>
      <w:r>
        <w:rPr>
          <w:lang w:val="en-US"/>
        </w:rPr>
        <w:t>processes and outcomes of norm disappearance</w:t>
      </w:r>
      <w:r w:rsidRPr="00067E60">
        <w:rPr>
          <w:lang w:val="en-US"/>
        </w:rPr>
        <w:t xml:space="preserve"> that </w:t>
      </w:r>
      <w:r>
        <w:rPr>
          <w:lang w:val="en-US"/>
        </w:rPr>
        <w:t>are</w:t>
      </w:r>
      <w:r w:rsidRPr="00067E60">
        <w:rPr>
          <w:lang w:val="en-US"/>
        </w:rPr>
        <w:t xml:space="preserve"> test</w:t>
      </w:r>
      <w:r>
        <w:rPr>
          <w:lang w:val="en-US"/>
        </w:rPr>
        <w:t>ed</w:t>
      </w:r>
      <w:r w:rsidRPr="00067E60">
        <w:rPr>
          <w:lang w:val="en-US"/>
        </w:rPr>
        <w:t xml:space="preserve"> with a series of qualitative studies. </w:t>
      </w:r>
      <w:r>
        <w:rPr>
          <w:lang w:val="en-US"/>
        </w:rPr>
        <w:t>Norm degenerations require the presence of actors who challenge the norm and the absence of central enforcement authorities</w:t>
      </w:r>
      <w:r w:rsidRPr="00067E60">
        <w:rPr>
          <w:lang w:val="en-US"/>
        </w:rPr>
        <w:t xml:space="preserve"> or individual state</w:t>
      </w:r>
      <w:r>
        <w:rPr>
          <w:lang w:val="en-US"/>
        </w:rPr>
        <w:t>s</w:t>
      </w:r>
      <w:r w:rsidRPr="00067E60">
        <w:rPr>
          <w:lang w:val="en-US"/>
        </w:rPr>
        <w:t xml:space="preserve"> </w:t>
      </w:r>
      <w:r>
        <w:rPr>
          <w:lang w:val="en-US"/>
        </w:rPr>
        <w:t xml:space="preserve">that are </w:t>
      </w:r>
      <w:r w:rsidRPr="00067E60">
        <w:rPr>
          <w:lang w:val="en-US"/>
        </w:rPr>
        <w:t>willing and capable of punishing norm violations</w:t>
      </w:r>
      <w:r>
        <w:rPr>
          <w:lang w:val="en-US"/>
        </w:rPr>
        <w:t xml:space="preserve">. Moreover, our study </w:t>
      </w:r>
      <w:r w:rsidRPr="00067E60">
        <w:rPr>
          <w:lang w:val="en-US"/>
        </w:rPr>
        <w:t>shows that norms are likely to be</w:t>
      </w:r>
      <w:r>
        <w:rPr>
          <w:lang w:val="en-US"/>
        </w:rPr>
        <w:t xml:space="preserve"> abolished</w:t>
      </w:r>
      <w:r w:rsidRPr="00067E60">
        <w:rPr>
          <w:lang w:val="en-US"/>
        </w:rPr>
        <w:t xml:space="preserve"> swiftly if the environment is unstable and rapidly changing</w:t>
      </w:r>
      <w:r>
        <w:rPr>
          <w:lang w:val="en-US"/>
        </w:rPr>
        <w:t xml:space="preserve"> and</w:t>
      </w:r>
      <w:r w:rsidRPr="00067E60">
        <w:rPr>
          <w:lang w:val="en-US"/>
        </w:rPr>
        <w:t xml:space="preserve"> if norms are highly precise. By </w:t>
      </w:r>
      <w:proofErr w:type="gramStart"/>
      <w:r w:rsidRPr="00067E60">
        <w:rPr>
          <w:lang w:val="en-US"/>
        </w:rPr>
        <w:t>contrast</w:t>
      </w:r>
      <w:proofErr w:type="gramEnd"/>
      <w:r w:rsidRPr="00067E60">
        <w:rPr>
          <w:lang w:val="en-US"/>
        </w:rPr>
        <w:t>, norm</w:t>
      </w:r>
      <w:r>
        <w:rPr>
          <w:lang w:val="en-US"/>
        </w:rPr>
        <w:t>s</w:t>
      </w:r>
      <w:r w:rsidRPr="00067E60">
        <w:rPr>
          <w:lang w:val="en-US"/>
        </w:rPr>
        <w:t xml:space="preserve"> are likely to become incrementally </w:t>
      </w:r>
      <w:r>
        <w:rPr>
          <w:lang w:val="en-US"/>
        </w:rPr>
        <w:t>degenerated</w:t>
      </w:r>
      <w:r w:rsidRPr="00067E60">
        <w:rPr>
          <w:lang w:val="en-US"/>
        </w:rPr>
        <w:t xml:space="preserve"> if the environment </w:t>
      </w:r>
      <w:r>
        <w:rPr>
          <w:lang w:val="en-US"/>
        </w:rPr>
        <w:t>is relatively stable and</w:t>
      </w:r>
      <w:r w:rsidRPr="00067E60">
        <w:rPr>
          <w:lang w:val="en-US"/>
        </w:rPr>
        <w:t xml:space="preserve"> if norms are </w:t>
      </w:r>
      <w:r>
        <w:rPr>
          <w:lang w:val="en-US"/>
        </w:rPr>
        <w:t>imprecise. Both</w:t>
      </w:r>
      <w:r w:rsidRPr="00067E60">
        <w:rPr>
          <w:lang w:val="en-US"/>
        </w:rPr>
        <w:t xml:space="preserve"> processes lead to norm substitutions, </w:t>
      </w:r>
      <w:r>
        <w:rPr>
          <w:lang w:val="en-US"/>
        </w:rPr>
        <w:t xml:space="preserve">provided that </w:t>
      </w:r>
      <w:r w:rsidRPr="00067E60">
        <w:rPr>
          <w:lang w:val="en-US"/>
        </w:rPr>
        <w:t>competing norms are present. If rival</w:t>
      </w:r>
      <w:r>
        <w:rPr>
          <w:lang w:val="en-US"/>
        </w:rPr>
        <w:t xml:space="preserve"> norms are absent, norms simply disappear</w:t>
      </w:r>
      <w:r w:rsidRPr="00067E60">
        <w:rPr>
          <w:lang w:val="en-US"/>
        </w:rPr>
        <w:t xml:space="preserve"> without being replaced.</w:t>
      </w:r>
    </w:p>
    <w:p w:rsidR="002D24E1" w:rsidRPr="00067E60" w:rsidRDefault="002D24E1" w:rsidP="002D24E1">
      <w:pPr>
        <w:jc w:val="both"/>
        <w:rPr>
          <w:lang w:val="en-US"/>
        </w:rPr>
      </w:pPr>
    </w:p>
    <w:p w:rsidR="002D24E1" w:rsidRPr="00067E60" w:rsidRDefault="002D24E1" w:rsidP="002D24E1">
      <w:pPr>
        <w:jc w:val="both"/>
        <w:rPr>
          <w:lang w:val="en-US"/>
        </w:rPr>
      </w:pPr>
    </w:p>
    <w:p w:rsidR="002D24E1" w:rsidRPr="00067E60" w:rsidRDefault="002D24E1" w:rsidP="002D24E1">
      <w:pPr>
        <w:jc w:val="both"/>
        <w:rPr>
          <w:lang w:val="en-US"/>
        </w:rPr>
      </w:pPr>
    </w:p>
    <w:p w:rsidR="002D24E1" w:rsidRPr="00067E60" w:rsidRDefault="002D24E1" w:rsidP="002D24E1">
      <w:pPr>
        <w:numPr>
          <w:ilvl w:val="0"/>
          <w:numId w:val="1"/>
        </w:numPr>
        <w:jc w:val="both"/>
        <w:rPr>
          <w:b/>
          <w:lang w:val="en-US"/>
        </w:rPr>
      </w:pPr>
      <w:r>
        <w:rPr>
          <w:b/>
          <w:lang w:val="en-US"/>
        </w:rPr>
        <w:br w:type="page"/>
      </w:r>
      <w:r w:rsidRPr="00067E60">
        <w:rPr>
          <w:b/>
          <w:lang w:val="en-US"/>
        </w:rPr>
        <w:lastRenderedPageBreak/>
        <w:t>Introduction</w:t>
      </w:r>
    </w:p>
    <w:p w:rsidR="002D24E1" w:rsidRPr="00067E60" w:rsidRDefault="002D24E1" w:rsidP="002D24E1">
      <w:pPr>
        <w:jc w:val="both"/>
        <w:rPr>
          <w:lang w:val="en-US"/>
        </w:rPr>
      </w:pPr>
    </w:p>
    <w:p w:rsidR="002D24E1" w:rsidRPr="00067E60" w:rsidRDefault="002D24E1" w:rsidP="002D24E1">
      <w:pPr>
        <w:jc w:val="both"/>
        <w:rPr>
          <w:lang w:val="en-US"/>
        </w:rPr>
      </w:pPr>
    </w:p>
    <w:p w:rsidR="002D24E1" w:rsidRPr="00067E60" w:rsidRDefault="002D24E1" w:rsidP="002D24E1">
      <w:pPr>
        <w:jc w:val="both"/>
        <w:rPr>
          <w:sz w:val="20"/>
          <w:szCs w:val="20"/>
          <w:lang w:val="en-US"/>
        </w:rPr>
      </w:pPr>
      <w:r w:rsidRPr="00067E60">
        <w:rPr>
          <w:sz w:val="20"/>
          <w:szCs w:val="20"/>
          <w:lang w:val="en-US"/>
        </w:rPr>
        <w:t xml:space="preserve">‘“Are the seven Commandments the same as they used to be, Benjamin?” For once Benjamin consented to break his rule, and he read out to her what was written on the wall. There was nothing there except of a single </w:t>
      </w:r>
      <w:r>
        <w:rPr>
          <w:sz w:val="20"/>
          <w:szCs w:val="20"/>
          <w:lang w:val="en-US"/>
        </w:rPr>
        <w:t>C</w:t>
      </w:r>
      <w:r w:rsidRPr="00067E60">
        <w:rPr>
          <w:sz w:val="20"/>
          <w:szCs w:val="20"/>
          <w:lang w:val="en-US"/>
        </w:rPr>
        <w:t>ommandment.’ (The horse Clover to the donkey Benjamin, Orwell, 1956, Animal Farm,</w:t>
      </w:r>
      <w:r>
        <w:rPr>
          <w:sz w:val="20"/>
          <w:szCs w:val="20"/>
          <w:lang w:val="en-US"/>
        </w:rPr>
        <w:t xml:space="preserve"> </w:t>
      </w:r>
      <w:r w:rsidRPr="00067E60">
        <w:rPr>
          <w:sz w:val="20"/>
          <w:szCs w:val="20"/>
          <w:lang w:val="en-US"/>
        </w:rPr>
        <w:t xml:space="preserve">133) </w:t>
      </w:r>
    </w:p>
    <w:p w:rsidR="002D24E1" w:rsidRPr="00067E60" w:rsidRDefault="002D24E1" w:rsidP="002D24E1">
      <w:pPr>
        <w:jc w:val="both"/>
        <w:rPr>
          <w:sz w:val="20"/>
          <w:szCs w:val="20"/>
          <w:lang w:val="en-US"/>
        </w:rPr>
      </w:pPr>
    </w:p>
    <w:p w:rsidR="002D24E1" w:rsidRPr="00067E60" w:rsidRDefault="002D24E1" w:rsidP="002D24E1">
      <w:pPr>
        <w:jc w:val="both"/>
        <w:rPr>
          <w:sz w:val="20"/>
          <w:szCs w:val="20"/>
          <w:lang w:val="en-US"/>
        </w:rPr>
      </w:pPr>
    </w:p>
    <w:p w:rsidR="002D24E1" w:rsidRPr="00067E60" w:rsidRDefault="002D24E1" w:rsidP="002D24E1">
      <w:pPr>
        <w:autoSpaceDE w:val="0"/>
        <w:autoSpaceDN w:val="0"/>
        <w:adjustRightInd w:val="0"/>
        <w:spacing w:line="480" w:lineRule="auto"/>
        <w:jc w:val="both"/>
        <w:rPr>
          <w:lang w:val="en-US"/>
        </w:rPr>
      </w:pPr>
      <w:r w:rsidRPr="00067E60">
        <w:rPr>
          <w:lang w:val="en-US"/>
        </w:rPr>
        <w:t xml:space="preserve">This paper </w:t>
      </w:r>
      <w:r>
        <w:rPr>
          <w:lang w:val="en-US"/>
        </w:rPr>
        <w:t>addresses</w:t>
      </w:r>
      <w:r w:rsidRPr="00067E60">
        <w:rPr>
          <w:lang w:val="en-US"/>
        </w:rPr>
        <w:t xml:space="preserve"> the empirical puzzle </w:t>
      </w:r>
      <w:r>
        <w:rPr>
          <w:lang w:val="en-US"/>
        </w:rPr>
        <w:t xml:space="preserve">as to </w:t>
      </w:r>
      <w:r w:rsidRPr="00067E60">
        <w:rPr>
          <w:lang w:val="en-US"/>
        </w:rPr>
        <w:t>why</w:t>
      </w:r>
      <w:r>
        <w:rPr>
          <w:lang w:val="en-US"/>
        </w:rPr>
        <w:t>,</w:t>
      </w:r>
      <w:r w:rsidRPr="00980866">
        <w:rPr>
          <w:lang w:val="en-US"/>
        </w:rPr>
        <w:t xml:space="preserve"> </w:t>
      </w:r>
      <w:r w:rsidRPr="00067E60">
        <w:rPr>
          <w:lang w:val="en-US"/>
        </w:rPr>
        <w:t>at one point</w:t>
      </w:r>
      <w:r>
        <w:rPr>
          <w:lang w:val="en-US"/>
        </w:rPr>
        <w:t xml:space="preserve">, </w:t>
      </w:r>
      <w:r w:rsidRPr="00067E60">
        <w:rPr>
          <w:lang w:val="en-US"/>
        </w:rPr>
        <w:t xml:space="preserve">some formerly deeply embedded norms </w:t>
      </w:r>
      <w:r>
        <w:rPr>
          <w:lang w:val="en-US"/>
        </w:rPr>
        <w:t>lose</w:t>
      </w:r>
      <w:r w:rsidRPr="00067E60">
        <w:rPr>
          <w:lang w:val="en-US"/>
        </w:rPr>
        <w:t xml:space="preserve"> their prescriptive status and can even cease to exist. </w:t>
      </w:r>
      <w:r>
        <w:rPr>
          <w:lang w:val="en-US"/>
        </w:rPr>
        <w:t xml:space="preserve">In the above abstract, </w:t>
      </w:r>
      <w:r w:rsidRPr="00067E60">
        <w:rPr>
          <w:lang w:val="en-US"/>
        </w:rPr>
        <w:t xml:space="preserve">Benjamin and Clover speculate about a process integral to our international social environment: </w:t>
      </w:r>
      <w:r>
        <w:rPr>
          <w:lang w:val="en-US"/>
        </w:rPr>
        <w:t>norm degenerations</w:t>
      </w:r>
      <w:r w:rsidRPr="00067E60">
        <w:rPr>
          <w:lang w:val="en-US"/>
        </w:rPr>
        <w:t>. Of course</w:t>
      </w:r>
      <w:r>
        <w:rPr>
          <w:lang w:val="en-US"/>
        </w:rPr>
        <w:t>,</w:t>
      </w:r>
      <w:r w:rsidRPr="00067E60">
        <w:rPr>
          <w:lang w:val="en-US"/>
        </w:rPr>
        <w:t xml:space="preserve"> norms are </w:t>
      </w:r>
      <w:r>
        <w:rPr>
          <w:lang w:val="en-US"/>
        </w:rPr>
        <w:t>not</w:t>
      </w:r>
      <w:r w:rsidRPr="00067E60">
        <w:rPr>
          <w:lang w:val="en-US"/>
        </w:rPr>
        <w:t xml:space="preserve"> often changed by pigs through decree as in the case of the animal farm. However, they can become </w:t>
      </w:r>
      <w:r>
        <w:rPr>
          <w:lang w:val="en-US"/>
        </w:rPr>
        <w:t>abolished</w:t>
      </w:r>
      <w:r w:rsidRPr="00067E60">
        <w:rPr>
          <w:lang w:val="en-US"/>
        </w:rPr>
        <w:t xml:space="preserve"> in many other ways. Even though the </w:t>
      </w:r>
      <w:r>
        <w:rPr>
          <w:lang w:val="en-US"/>
        </w:rPr>
        <w:t>disappearance</w:t>
      </w:r>
      <w:r w:rsidRPr="00067E60">
        <w:rPr>
          <w:lang w:val="en-US"/>
        </w:rPr>
        <w:t xml:space="preserve"> of international norms is not a rare phenomenon, it is not and has not been </w:t>
      </w:r>
      <w:r>
        <w:rPr>
          <w:lang w:val="en-US"/>
        </w:rPr>
        <w:t>at</w:t>
      </w:r>
      <w:r w:rsidRPr="00067E60">
        <w:rPr>
          <w:lang w:val="en-US"/>
        </w:rPr>
        <w:t xml:space="preserve"> the </w:t>
      </w:r>
      <w:proofErr w:type="spellStart"/>
      <w:r w:rsidRPr="00067E60">
        <w:rPr>
          <w:lang w:val="en-US"/>
        </w:rPr>
        <w:t>centre</w:t>
      </w:r>
      <w:proofErr w:type="spellEnd"/>
      <w:r w:rsidRPr="00067E60">
        <w:rPr>
          <w:lang w:val="en-US"/>
        </w:rPr>
        <w:t xml:space="preserve"> of </w:t>
      </w:r>
      <w:r>
        <w:rPr>
          <w:lang w:val="en-US"/>
        </w:rPr>
        <w:t xml:space="preserve">scholarly </w:t>
      </w:r>
      <w:r w:rsidRPr="00067E60">
        <w:rPr>
          <w:lang w:val="en-US"/>
        </w:rPr>
        <w:t xml:space="preserve">attention. </w:t>
      </w:r>
      <w:r>
        <w:rPr>
          <w:lang w:val="en-US"/>
        </w:rPr>
        <w:t>In the last two decades, International Relations research has</w:t>
      </w:r>
      <w:r w:rsidRPr="00067E60">
        <w:rPr>
          <w:lang w:val="en-US"/>
        </w:rPr>
        <w:t xml:space="preserve"> examined how international norms, as a set </w:t>
      </w:r>
      <w:r>
        <w:rPr>
          <w:lang w:val="en-US"/>
        </w:rPr>
        <w:t>of</w:t>
      </w:r>
      <w:r w:rsidRPr="00067E60">
        <w:rPr>
          <w:lang w:val="en-US"/>
        </w:rPr>
        <w:t xml:space="preserve"> prescriptive rules with a specified applicatory scope, were created and under which conditions different ac</w:t>
      </w:r>
      <w:r>
        <w:rPr>
          <w:lang w:val="en-US"/>
        </w:rPr>
        <w:t>tors became socialized into them. T</w:t>
      </w:r>
      <w:r w:rsidRPr="00067E60">
        <w:rPr>
          <w:lang w:val="en-US"/>
        </w:rPr>
        <w:t>his article focuses not on norm creation and the impact of existing norms</w:t>
      </w:r>
      <w:r>
        <w:rPr>
          <w:lang w:val="en-US"/>
        </w:rPr>
        <w:t>;</w:t>
      </w:r>
      <w:r w:rsidRPr="00067E60">
        <w:rPr>
          <w:lang w:val="en-US"/>
        </w:rPr>
        <w:t xml:space="preserve"> </w:t>
      </w:r>
      <w:r>
        <w:rPr>
          <w:lang w:val="en-US"/>
        </w:rPr>
        <w:t xml:space="preserve">rather it concentrates </w:t>
      </w:r>
      <w:r w:rsidRPr="00067E60">
        <w:rPr>
          <w:lang w:val="en-US"/>
        </w:rPr>
        <w:t xml:space="preserve">on the other side of the coin: the </w:t>
      </w:r>
      <w:r>
        <w:rPr>
          <w:lang w:val="en-US"/>
        </w:rPr>
        <w:t>degeneration</w:t>
      </w:r>
      <w:r w:rsidRPr="00067E60">
        <w:rPr>
          <w:lang w:val="en-US"/>
        </w:rPr>
        <w:t xml:space="preserve"> of international norms. While we have so far </w:t>
      </w:r>
      <w:r>
        <w:rPr>
          <w:lang w:val="en-US"/>
        </w:rPr>
        <w:t xml:space="preserve">been inundated with literature on </w:t>
      </w:r>
      <w:r w:rsidRPr="00067E60">
        <w:rPr>
          <w:lang w:val="en-US"/>
        </w:rPr>
        <w:t xml:space="preserve">norm creation, diffusion and socialization, the literature </w:t>
      </w:r>
      <w:r>
        <w:rPr>
          <w:lang w:val="en-US"/>
        </w:rPr>
        <w:t xml:space="preserve">often suffers from </w:t>
      </w:r>
      <w:r w:rsidRPr="00067E60">
        <w:rPr>
          <w:lang w:val="en-US"/>
        </w:rPr>
        <w:t xml:space="preserve">a theoretical and an empirical gap on </w:t>
      </w:r>
      <w:r>
        <w:rPr>
          <w:lang w:val="en-US"/>
        </w:rPr>
        <w:t xml:space="preserve">the </w:t>
      </w:r>
      <w:r w:rsidRPr="00067E60">
        <w:rPr>
          <w:lang w:val="en-US"/>
        </w:rPr>
        <w:t xml:space="preserve">dynamics and scope </w:t>
      </w:r>
      <w:r w:rsidRPr="0058064D">
        <w:rPr>
          <w:lang w:val="en-US"/>
        </w:rPr>
        <w:t>conditions for the gradual and incremental weakening of international norms. Part of the reason</w:t>
      </w:r>
      <w:r>
        <w:rPr>
          <w:lang w:val="en-US"/>
        </w:rPr>
        <w:t xml:space="preserve"> for this</w:t>
      </w:r>
      <w:r w:rsidRPr="0058064D">
        <w:rPr>
          <w:lang w:val="en-US"/>
        </w:rPr>
        <w:t xml:space="preserve"> might be that norms are counterfactually valid and do not cease to exist simply because non-compliance occurs.</w:t>
      </w:r>
      <w:r w:rsidR="007519C8">
        <w:rPr>
          <w:rStyle w:val="FootnoteReference"/>
          <w:lang w:val="en-US"/>
        </w:rPr>
        <w:footnoteReference w:id="1"/>
      </w:r>
      <w:r w:rsidRPr="0058064D">
        <w:rPr>
          <w:lang w:val="en-US"/>
        </w:rPr>
        <w:t xml:space="preserve"> </w:t>
      </w:r>
      <w:r>
        <w:rPr>
          <w:lang w:val="en-US"/>
        </w:rPr>
        <w:t>N</w:t>
      </w:r>
      <w:r w:rsidRPr="0058064D">
        <w:rPr>
          <w:lang w:val="en-US"/>
        </w:rPr>
        <w:t xml:space="preserve">evertheless, this does not imply that norm disappearances do not </w:t>
      </w:r>
      <w:r>
        <w:rPr>
          <w:lang w:val="en-US"/>
        </w:rPr>
        <w:t>occur</w:t>
      </w:r>
      <w:r w:rsidRPr="0058064D">
        <w:rPr>
          <w:lang w:val="en-US"/>
        </w:rPr>
        <w:t>.</w:t>
      </w:r>
      <w:r>
        <w:rPr>
          <w:lang w:val="en-US"/>
        </w:rPr>
        <w:t xml:space="preserve"> </w:t>
      </w:r>
      <w:r>
        <w:t>While</w:t>
      </w:r>
      <w:r w:rsidRPr="00B66BF3">
        <w:t xml:space="preserve"> ‘almost all states comply with almost all international norms almost </w:t>
      </w:r>
      <w:r w:rsidRPr="00B66BF3">
        <w:lastRenderedPageBreak/>
        <w:t>all the time’</w:t>
      </w:r>
      <w:r>
        <w:t>,</w:t>
      </w:r>
      <w:r w:rsidR="007519C8">
        <w:rPr>
          <w:rStyle w:val="FootnoteReference"/>
        </w:rPr>
        <w:footnoteReference w:id="2"/>
      </w:r>
      <w:r>
        <w:t xml:space="preserve"> </w:t>
      </w:r>
      <w:r w:rsidRPr="00B66BF3">
        <w:t xml:space="preserve">non-compliance occurs </w:t>
      </w:r>
      <w:r>
        <w:t xml:space="preserve">frequently and </w:t>
      </w:r>
      <w:r w:rsidRPr="00B66BF3">
        <w:t>impairs the power of international law</w:t>
      </w:r>
      <w:r w:rsidRPr="00EE19AD">
        <w:t xml:space="preserve">. </w:t>
      </w:r>
      <w:r>
        <w:t>In fact, international norms get violated all the time.</w:t>
      </w:r>
      <w:r w:rsidR="007519C8">
        <w:rPr>
          <w:rStyle w:val="FootnoteReference"/>
        </w:rPr>
        <w:footnoteReference w:id="3"/>
      </w:r>
      <w:r>
        <w:t xml:space="preserve"> </w:t>
      </w:r>
      <w:r>
        <w:rPr>
          <w:lang w:val="en-US"/>
        </w:rPr>
        <w:t>Yet, while non-compliance by individual states does not automatically abolish an international norm, norms can lose</w:t>
      </w:r>
      <w:r w:rsidRPr="00067E60">
        <w:rPr>
          <w:lang w:val="en-US"/>
        </w:rPr>
        <w:t xml:space="preserve"> their prescriptive status</w:t>
      </w:r>
      <w:r w:rsidRPr="0058064D">
        <w:rPr>
          <w:lang w:val="en-US"/>
        </w:rPr>
        <w:t xml:space="preserve"> </w:t>
      </w:r>
      <w:r>
        <w:rPr>
          <w:lang w:val="en-US"/>
        </w:rPr>
        <w:t>if initial norm violations trigger a cascade of norm violations by other actors, who start to also violate the norm (without calling this practice non-compliance) instead of criticizing the initial non-compliant states and instead of individually or collectively sanctioning the norm violations. Thus, i</w:t>
      </w:r>
      <w:r w:rsidRPr="0058064D">
        <w:rPr>
          <w:lang w:val="en-US"/>
        </w:rPr>
        <w:t>f norm violations become the rule rather than the exception</w:t>
      </w:r>
      <w:r>
        <w:rPr>
          <w:lang w:val="en-US"/>
        </w:rPr>
        <w:t>, n</w:t>
      </w:r>
      <w:r w:rsidRPr="0058064D">
        <w:rPr>
          <w:lang w:val="en-US"/>
        </w:rPr>
        <w:t xml:space="preserve">orms are in the process of becoming obsolete and are eventually </w:t>
      </w:r>
      <w:r>
        <w:rPr>
          <w:lang w:val="en-US"/>
        </w:rPr>
        <w:t>abolished</w:t>
      </w:r>
      <w:r w:rsidRPr="0058064D">
        <w:rPr>
          <w:lang w:val="en-US"/>
        </w:rPr>
        <w:t xml:space="preserve"> if the emerging new practice is not framed as non-compliance any longer. </w:t>
      </w:r>
      <w:r>
        <w:rPr>
          <w:lang w:val="en-US"/>
        </w:rPr>
        <w:t xml:space="preserve">The eradication of </w:t>
      </w:r>
      <w:r w:rsidRPr="00067E60">
        <w:rPr>
          <w:lang w:val="en-US"/>
        </w:rPr>
        <w:t>previously strongly embedded norms</w:t>
      </w:r>
      <w:r>
        <w:rPr>
          <w:lang w:val="en-US"/>
        </w:rPr>
        <w:t xml:space="preserve"> can be observed for norms of</w:t>
      </w:r>
      <w:r w:rsidRPr="00067E60">
        <w:rPr>
          <w:lang w:val="en-US"/>
        </w:rPr>
        <w:t xml:space="preserve"> colonial domination and subordination, slavery, or the right to torture on the international level, to name but a few. Why </w:t>
      </w:r>
      <w:r>
        <w:rPr>
          <w:lang w:val="en-US"/>
        </w:rPr>
        <w:t>do</w:t>
      </w:r>
      <w:r w:rsidRPr="00067E60">
        <w:rPr>
          <w:lang w:val="en-US"/>
        </w:rPr>
        <w:t xml:space="preserve"> formerly embedded norms, such as the one against mercenaries or the use of formal declarations of war, </w:t>
      </w:r>
      <w:r>
        <w:rPr>
          <w:lang w:val="en-US"/>
        </w:rPr>
        <w:t xml:space="preserve">become </w:t>
      </w:r>
      <w:r w:rsidRPr="00067E60">
        <w:rPr>
          <w:lang w:val="en-US"/>
        </w:rPr>
        <w:t xml:space="preserve">incrementally or suddenly obsolete, even without being substituted </w:t>
      </w:r>
      <w:r>
        <w:rPr>
          <w:lang w:val="en-US"/>
        </w:rPr>
        <w:t>with</w:t>
      </w:r>
      <w:r w:rsidRPr="00067E60">
        <w:rPr>
          <w:lang w:val="en-US"/>
        </w:rPr>
        <w:t xml:space="preserve"> new norms? Why is it that international actors adhere to a particular norm for </w:t>
      </w:r>
      <w:r>
        <w:rPr>
          <w:lang w:val="en-US"/>
        </w:rPr>
        <w:t xml:space="preserve">quite </w:t>
      </w:r>
      <w:r w:rsidRPr="00067E60">
        <w:rPr>
          <w:lang w:val="en-US"/>
        </w:rPr>
        <w:t xml:space="preserve">some time, but at one point cease to </w:t>
      </w:r>
      <w:r>
        <w:rPr>
          <w:lang w:val="en-US"/>
        </w:rPr>
        <w:t>obey</w:t>
      </w:r>
      <w:r w:rsidRPr="00067E60">
        <w:rPr>
          <w:lang w:val="en-US"/>
        </w:rPr>
        <w:t xml:space="preserve">? In order to shed light on these processes, we inquire why and under which conditions international norms, some deeply institutionalized for centuries, become </w:t>
      </w:r>
      <w:r>
        <w:rPr>
          <w:lang w:val="en-US"/>
        </w:rPr>
        <w:t>degenerated</w:t>
      </w:r>
      <w:r w:rsidRPr="00067E60">
        <w:rPr>
          <w:lang w:val="en-US"/>
        </w:rPr>
        <w:t>.</w:t>
      </w:r>
    </w:p>
    <w:p w:rsidR="002D24E1" w:rsidRPr="00067E60" w:rsidRDefault="002D24E1" w:rsidP="002D24E1">
      <w:pPr>
        <w:spacing w:line="480" w:lineRule="auto"/>
        <w:ind w:firstLine="708"/>
        <w:jc w:val="both"/>
        <w:rPr>
          <w:lang w:val="en-US"/>
        </w:rPr>
      </w:pPr>
      <w:r w:rsidRPr="00067E60">
        <w:rPr>
          <w:lang w:val="en-US"/>
        </w:rPr>
        <w:tab/>
        <w:t xml:space="preserve">The argument proceeds in the following steps. In the next section (II) we demonstrate that norm </w:t>
      </w:r>
      <w:r>
        <w:rPr>
          <w:lang w:val="en-US"/>
        </w:rPr>
        <w:t>degenerations</w:t>
      </w:r>
      <w:r w:rsidRPr="00067E60">
        <w:rPr>
          <w:lang w:val="en-US"/>
        </w:rPr>
        <w:t xml:space="preserve"> are common on the international level but cannot sufficiently be explained by prominent </w:t>
      </w:r>
      <w:r>
        <w:rPr>
          <w:lang w:val="en-US"/>
        </w:rPr>
        <w:t xml:space="preserve">rationalist and constructivist </w:t>
      </w:r>
      <w:r w:rsidRPr="00067E60">
        <w:rPr>
          <w:lang w:val="en-US"/>
        </w:rPr>
        <w:t xml:space="preserve">approaches. There are different types of </w:t>
      </w:r>
      <w:r>
        <w:rPr>
          <w:lang w:val="en-US"/>
        </w:rPr>
        <w:t>degenerations</w:t>
      </w:r>
      <w:r w:rsidRPr="00067E60">
        <w:rPr>
          <w:lang w:val="en-US"/>
        </w:rPr>
        <w:t xml:space="preserve">: </w:t>
      </w:r>
      <w:r>
        <w:rPr>
          <w:lang w:val="en-US"/>
        </w:rPr>
        <w:t>those taking</w:t>
      </w:r>
      <w:r w:rsidRPr="00067E60">
        <w:rPr>
          <w:lang w:val="en-US"/>
        </w:rPr>
        <w:t xml:space="preserve"> place rapidly or </w:t>
      </w:r>
      <w:r>
        <w:rPr>
          <w:lang w:val="en-US"/>
        </w:rPr>
        <w:t xml:space="preserve">those occurring incrementally and possibly leading to a </w:t>
      </w:r>
      <w:r w:rsidRPr="00067E60">
        <w:rPr>
          <w:lang w:val="en-US"/>
        </w:rPr>
        <w:t>replace</w:t>
      </w:r>
      <w:r>
        <w:rPr>
          <w:lang w:val="en-US"/>
        </w:rPr>
        <w:t>ment</w:t>
      </w:r>
      <w:r w:rsidRPr="00067E60">
        <w:rPr>
          <w:lang w:val="en-US"/>
        </w:rPr>
        <w:t xml:space="preserve"> through a </w:t>
      </w:r>
      <w:r w:rsidRPr="00067E60">
        <w:rPr>
          <w:lang w:val="en-US"/>
        </w:rPr>
        <w:lastRenderedPageBreak/>
        <w:t xml:space="preserve">competing norm or </w:t>
      </w:r>
      <w:r>
        <w:rPr>
          <w:lang w:val="en-US"/>
        </w:rPr>
        <w:t xml:space="preserve">the </w:t>
      </w:r>
      <w:r w:rsidRPr="00067E60">
        <w:rPr>
          <w:lang w:val="en-US"/>
        </w:rPr>
        <w:t>abolish</w:t>
      </w:r>
      <w:r>
        <w:rPr>
          <w:lang w:val="en-US"/>
        </w:rPr>
        <w:t>ment of a norm w</w:t>
      </w:r>
      <w:r w:rsidRPr="00067E60">
        <w:rPr>
          <w:lang w:val="en-US"/>
        </w:rPr>
        <w:t xml:space="preserve">ithout </w:t>
      </w:r>
      <w:r>
        <w:rPr>
          <w:lang w:val="en-US"/>
        </w:rPr>
        <w:t xml:space="preserve">a </w:t>
      </w:r>
      <w:r w:rsidRPr="00067E60">
        <w:rPr>
          <w:lang w:val="en-US"/>
        </w:rPr>
        <w:t xml:space="preserve">substitution. </w:t>
      </w:r>
      <w:r>
        <w:rPr>
          <w:lang w:val="en-US"/>
        </w:rPr>
        <w:t>Thus far, research</w:t>
      </w:r>
      <w:r w:rsidRPr="00067E60">
        <w:rPr>
          <w:lang w:val="en-US"/>
        </w:rPr>
        <w:t xml:space="preserve"> has not systematically focused on the </w:t>
      </w:r>
      <w:r>
        <w:rPr>
          <w:lang w:val="en-US"/>
        </w:rPr>
        <w:t>degeneration</w:t>
      </w:r>
      <w:r w:rsidRPr="00067E60">
        <w:rPr>
          <w:lang w:val="en-US"/>
        </w:rPr>
        <w:t xml:space="preserve"> of international norms and cannot explain differences in the observed cases. Therefore, we develop a theoretical account </w:t>
      </w:r>
      <w:r>
        <w:rPr>
          <w:lang w:val="en-US"/>
        </w:rPr>
        <w:t>of how formerly strong international norms lose their strength,</w:t>
      </w:r>
      <w:r w:rsidRPr="00067E60">
        <w:rPr>
          <w:lang w:val="en-US"/>
        </w:rPr>
        <w:t xml:space="preserve"> distinguishing between rapid and incremental processes </w:t>
      </w:r>
      <w:r>
        <w:rPr>
          <w:lang w:val="en-US"/>
        </w:rPr>
        <w:t xml:space="preserve">of change </w:t>
      </w:r>
      <w:r w:rsidRPr="00067E60">
        <w:rPr>
          <w:lang w:val="en-US"/>
        </w:rPr>
        <w:t>and different outcomes, ranging from complete abolition without substitution</w:t>
      </w:r>
      <w:r>
        <w:rPr>
          <w:lang w:val="en-US"/>
        </w:rPr>
        <w:t>,</w:t>
      </w:r>
      <w:r w:rsidRPr="00067E60">
        <w:rPr>
          <w:lang w:val="en-US"/>
        </w:rPr>
        <w:t xml:space="preserve"> to </w:t>
      </w:r>
      <w:r>
        <w:rPr>
          <w:lang w:val="en-US"/>
        </w:rPr>
        <w:t xml:space="preserve">the partial or complete replacement through other </w:t>
      </w:r>
      <w:r w:rsidRPr="00067E60">
        <w:rPr>
          <w:lang w:val="en-US"/>
        </w:rPr>
        <w:t xml:space="preserve">norms (III). We systematically inquire into actors’ motivations for change, </w:t>
      </w:r>
      <w:r>
        <w:rPr>
          <w:lang w:val="en-US"/>
        </w:rPr>
        <w:t>as well as</w:t>
      </w:r>
      <w:r w:rsidRPr="00067E60">
        <w:rPr>
          <w:lang w:val="en-US"/>
        </w:rPr>
        <w:t xml:space="preserve"> facilitating or inhibiting variables such as the precision of the norm at hand, the role of competing norms, the stability of the environment, and the presence of monitoring and enforcement authorities. We develop hypotheses </w:t>
      </w:r>
      <w:r>
        <w:rPr>
          <w:lang w:val="en-US"/>
        </w:rPr>
        <w:t xml:space="preserve">on the speed of degeneration (rapid or incremental) as well as its outcome (norm disappearance with or without substitution through another norm) </w:t>
      </w:r>
      <w:r w:rsidRPr="00067E60">
        <w:rPr>
          <w:lang w:val="en-US"/>
        </w:rPr>
        <w:t xml:space="preserve">and illustrate their explanatory power with </w:t>
      </w:r>
      <w:r>
        <w:rPr>
          <w:lang w:val="en-US"/>
        </w:rPr>
        <w:t xml:space="preserve">case studies </w:t>
      </w:r>
      <w:r w:rsidRPr="00067E60">
        <w:rPr>
          <w:lang w:val="en-US"/>
        </w:rPr>
        <w:t xml:space="preserve">(IV). The submarine warfare case shows that rapid </w:t>
      </w:r>
      <w:r>
        <w:rPr>
          <w:lang w:val="en-US"/>
        </w:rPr>
        <w:t>degeneration</w:t>
      </w:r>
      <w:r w:rsidRPr="00067E60">
        <w:rPr>
          <w:lang w:val="en-US"/>
        </w:rPr>
        <w:t xml:space="preserve"> takes place if norms are very precise, the environment is changing rapidly, and enforcement authorities are absent or inactive. By contrast, the anti-mercenary and non-intervention norms are ambiguous. In relatively stable environments</w:t>
      </w:r>
      <w:r>
        <w:rPr>
          <w:lang w:val="en-US"/>
        </w:rPr>
        <w:t>, vague norms</w:t>
      </w:r>
      <w:r w:rsidRPr="00067E60">
        <w:rPr>
          <w:lang w:val="en-US"/>
        </w:rPr>
        <w:t xml:space="preserve"> present opportunity structures for incremental </w:t>
      </w:r>
      <w:r>
        <w:rPr>
          <w:lang w:val="en-US"/>
        </w:rPr>
        <w:t>degenerations</w:t>
      </w:r>
      <w:r w:rsidRPr="00067E60">
        <w:rPr>
          <w:lang w:val="en-US"/>
        </w:rPr>
        <w:t xml:space="preserve"> through scope restrictions, especially if no actor is willing to invest </w:t>
      </w:r>
      <w:r>
        <w:rPr>
          <w:lang w:val="en-US"/>
        </w:rPr>
        <w:t xml:space="preserve">their </w:t>
      </w:r>
      <w:r w:rsidRPr="00067E60">
        <w:rPr>
          <w:lang w:val="en-US"/>
        </w:rPr>
        <w:t xml:space="preserve">own resources </w:t>
      </w:r>
      <w:r>
        <w:rPr>
          <w:lang w:val="en-US"/>
        </w:rPr>
        <w:t xml:space="preserve">in order </w:t>
      </w:r>
      <w:r w:rsidRPr="00067E60">
        <w:rPr>
          <w:lang w:val="en-US"/>
        </w:rPr>
        <w:t xml:space="preserve">to protect the old norm definition. While the anti-mercenary norm was not competing with other norms and </w:t>
      </w:r>
      <w:r>
        <w:rPr>
          <w:lang w:val="en-US"/>
        </w:rPr>
        <w:t>became abolished</w:t>
      </w:r>
      <w:r w:rsidRPr="00067E60">
        <w:rPr>
          <w:lang w:val="en-US"/>
        </w:rPr>
        <w:t xml:space="preserve"> without substitution, the norm against forcible interventions </w:t>
      </w:r>
      <w:r>
        <w:rPr>
          <w:lang w:val="en-US"/>
        </w:rPr>
        <w:t>was</w:t>
      </w:r>
      <w:r w:rsidRPr="00067E60">
        <w:rPr>
          <w:lang w:val="en-US"/>
        </w:rPr>
        <w:t xml:space="preserve"> partially substituted through the humanitarian intervention norm. In the final section (V), the article concludes that norms are likely to rapidly de</w:t>
      </w:r>
      <w:r>
        <w:rPr>
          <w:lang w:val="en-US"/>
        </w:rPr>
        <w:t>generate</w:t>
      </w:r>
      <w:r w:rsidRPr="00067E60">
        <w:rPr>
          <w:lang w:val="en-US"/>
        </w:rPr>
        <w:t xml:space="preserve"> if the </w:t>
      </w:r>
      <w:r>
        <w:rPr>
          <w:lang w:val="en-US"/>
        </w:rPr>
        <w:t xml:space="preserve">relevant </w:t>
      </w:r>
      <w:r w:rsidRPr="00067E60">
        <w:rPr>
          <w:lang w:val="en-US"/>
        </w:rPr>
        <w:t xml:space="preserve">environment is unstable and rapidly changing, if norms are highly precise and if there is no central enforcement authority or individual state willing and capable of punishing norm violations. </w:t>
      </w:r>
      <w:r>
        <w:rPr>
          <w:lang w:val="en-US"/>
        </w:rPr>
        <w:t>In</w:t>
      </w:r>
      <w:r w:rsidRPr="00067E60">
        <w:rPr>
          <w:lang w:val="en-US"/>
        </w:rPr>
        <w:t xml:space="preserve"> </w:t>
      </w:r>
      <w:r w:rsidRPr="00067E60">
        <w:rPr>
          <w:lang w:val="en-US"/>
        </w:rPr>
        <w:lastRenderedPageBreak/>
        <w:t>contrast, norm</w:t>
      </w:r>
      <w:r>
        <w:rPr>
          <w:lang w:val="en-US"/>
        </w:rPr>
        <w:t>s</w:t>
      </w:r>
      <w:r w:rsidRPr="00067E60">
        <w:rPr>
          <w:lang w:val="en-US"/>
        </w:rPr>
        <w:t xml:space="preserve"> are likely to become incrementally </w:t>
      </w:r>
      <w:r>
        <w:rPr>
          <w:lang w:val="en-US"/>
        </w:rPr>
        <w:t>eradicated</w:t>
      </w:r>
      <w:r w:rsidRPr="00067E60">
        <w:rPr>
          <w:lang w:val="en-US"/>
        </w:rPr>
        <w:t xml:space="preserve"> if t</w:t>
      </w:r>
      <w:r>
        <w:rPr>
          <w:lang w:val="en-US"/>
        </w:rPr>
        <w:t xml:space="preserve">he environment </w:t>
      </w:r>
      <w:r w:rsidRPr="00067E60">
        <w:rPr>
          <w:lang w:val="en-US"/>
        </w:rPr>
        <w:t xml:space="preserve">is relatively stable, if norms are </w:t>
      </w:r>
      <w:r>
        <w:rPr>
          <w:lang w:val="en-US"/>
        </w:rPr>
        <w:t>imprecise</w:t>
      </w:r>
      <w:r w:rsidRPr="00067E60">
        <w:rPr>
          <w:lang w:val="en-US"/>
        </w:rPr>
        <w:t xml:space="preserve"> and if there is no central enforcement authority or no individual state willing and capable of punishing norm violations. Both </w:t>
      </w:r>
      <w:r>
        <w:rPr>
          <w:lang w:val="en-US"/>
        </w:rPr>
        <w:t>degeneration</w:t>
      </w:r>
      <w:r w:rsidRPr="00067E60">
        <w:rPr>
          <w:lang w:val="en-US"/>
        </w:rPr>
        <w:t xml:space="preserve"> processes lead to </w:t>
      </w:r>
      <w:r>
        <w:rPr>
          <w:lang w:val="en-US"/>
        </w:rPr>
        <w:t xml:space="preserve">partial or complete </w:t>
      </w:r>
      <w:r w:rsidRPr="00067E60">
        <w:rPr>
          <w:lang w:val="en-US"/>
        </w:rPr>
        <w:t xml:space="preserve">norm substitutions, </w:t>
      </w:r>
      <w:r>
        <w:rPr>
          <w:lang w:val="en-US"/>
        </w:rPr>
        <w:t>provided</w:t>
      </w:r>
      <w:r w:rsidRPr="00067E60">
        <w:rPr>
          <w:lang w:val="en-US"/>
        </w:rPr>
        <w:t xml:space="preserve"> competing norms are present. If rival</w:t>
      </w:r>
      <w:r>
        <w:rPr>
          <w:lang w:val="en-US"/>
        </w:rPr>
        <w:t xml:space="preserve"> norms are absent, norms are simply de</w:t>
      </w:r>
      <w:r w:rsidRPr="00067E60">
        <w:rPr>
          <w:lang w:val="en-US"/>
        </w:rPr>
        <w:t xml:space="preserve">institutionalized without being replaced.  </w:t>
      </w:r>
    </w:p>
    <w:p w:rsidR="002D24E1" w:rsidRPr="00067E60" w:rsidRDefault="002D24E1" w:rsidP="002D24E1">
      <w:pPr>
        <w:spacing w:line="480" w:lineRule="auto"/>
        <w:jc w:val="both"/>
        <w:rPr>
          <w:lang w:val="en-US"/>
        </w:rPr>
      </w:pPr>
    </w:p>
    <w:p w:rsidR="002D24E1" w:rsidRPr="00067E60" w:rsidRDefault="002D24E1" w:rsidP="002D24E1">
      <w:pPr>
        <w:numPr>
          <w:ilvl w:val="0"/>
          <w:numId w:val="1"/>
        </w:numPr>
        <w:tabs>
          <w:tab w:val="clear" w:pos="1080"/>
          <w:tab w:val="num" w:pos="540"/>
        </w:tabs>
        <w:spacing w:line="480" w:lineRule="auto"/>
        <w:ind w:hanging="1080"/>
        <w:jc w:val="both"/>
        <w:rPr>
          <w:b/>
          <w:lang w:val="en-US"/>
        </w:rPr>
      </w:pPr>
      <w:r w:rsidRPr="00067E60">
        <w:rPr>
          <w:b/>
          <w:lang w:val="en-US"/>
        </w:rPr>
        <w:t>A (Common) – Yet Unresolved Empirical Puzzle</w:t>
      </w:r>
    </w:p>
    <w:p w:rsidR="002D24E1" w:rsidRPr="00067E60" w:rsidRDefault="002D24E1" w:rsidP="002D24E1">
      <w:pPr>
        <w:spacing w:line="480" w:lineRule="auto"/>
        <w:jc w:val="both"/>
        <w:rPr>
          <w:lang w:val="en-US"/>
        </w:rPr>
      </w:pPr>
      <w:r w:rsidRPr="00067E60">
        <w:rPr>
          <w:lang w:val="en-US"/>
        </w:rPr>
        <w:t>International norms are common and part of the daily business of any diplomat, state ministry, tr</w:t>
      </w:r>
      <w:r>
        <w:rPr>
          <w:lang w:val="en-US"/>
        </w:rPr>
        <w:t>ansnational corporation, or NGO</w:t>
      </w:r>
      <w:r w:rsidRPr="00067E60">
        <w:rPr>
          <w:lang w:val="en-US"/>
        </w:rPr>
        <w:t xml:space="preserve"> to name but a few international actors. Norms sp</w:t>
      </w:r>
      <w:r>
        <w:rPr>
          <w:lang w:val="en-US"/>
        </w:rPr>
        <w:t>read in almost all issue areas; the</w:t>
      </w:r>
      <w:r w:rsidRPr="00067E60">
        <w:rPr>
          <w:lang w:val="en-US"/>
        </w:rPr>
        <w:t xml:space="preserve"> density of international norms is so high that some speak of a ‘regulated’ anarchy as the international-level ordering principle</w:t>
      </w:r>
      <w:r w:rsidRPr="00067E60">
        <w:t>.</w:t>
      </w:r>
      <w:r w:rsidR="007519C8">
        <w:rPr>
          <w:rStyle w:val="FootnoteReference"/>
        </w:rPr>
        <w:footnoteReference w:id="4"/>
      </w:r>
      <w:r w:rsidRPr="00067E60">
        <w:t xml:space="preserve"> But what</w:t>
      </w:r>
      <w:r>
        <w:t xml:space="preserve"> exactly </w:t>
      </w:r>
      <w:r w:rsidRPr="00067E60">
        <w:t xml:space="preserve">are international norms and what do they do? </w:t>
      </w:r>
      <w:r w:rsidRPr="00067E60">
        <w:rPr>
          <w:lang w:val="en-US"/>
        </w:rPr>
        <w:t xml:space="preserve">This article advances a broad definition of </w:t>
      </w:r>
      <w:r w:rsidRPr="004A0F74">
        <w:rPr>
          <w:lang w:val="en-US"/>
        </w:rPr>
        <w:t>norms as a set of rules with a</w:t>
      </w:r>
      <w:r w:rsidRPr="00067E60">
        <w:rPr>
          <w:lang w:val="en-US"/>
        </w:rPr>
        <w:t xml:space="preserve"> prescriptive character for a defined sc</w:t>
      </w:r>
      <w:r>
        <w:rPr>
          <w:lang w:val="en-US"/>
        </w:rPr>
        <w:t>ope of application</w:t>
      </w:r>
      <w:r w:rsidRPr="00067E60">
        <w:rPr>
          <w:lang w:val="en-US"/>
        </w:rPr>
        <w:t xml:space="preserve">. Norms can be codified through </w:t>
      </w:r>
      <w:r>
        <w:rPr>
          <w:lang w:val="en-US"/>
        </w:rPr>
        <w:t>T</w:t>
      </w:r>
      <w:r w:rsidRPr="00067E60">
        <w:rPr>
          <w:lang w:val="en-US"/>
        </w:rPr>
        <w:t xml:space="preserve">reaties or </w:t>
      </w:r>
      <w:r>
        <w:rPr>
          <w:lang w:val="en-US"/>
        </w:rPr>
        <w:t>conventions, yet can also be un</w:t>
      </w:r>
      <w:r w:rsidRPr="00067E60">
        <w:rPr>
          <w:lang w:val="en-US"/>
        </w:rPr>
        <w:t xml:space="preserve">codified, </w:t>
      </w:r>
      <w:r>
        <w:rPr>
          <w:lang w:val="en-US"/>
        </w:rPr>
        <w:t xml:space="preserve">as seen with </w:t>
      </w:r>
      <w:r w:rsidRPr="00067E60">
        <w:rPr>
          <w:lang w:val="en-US"/>
        </w:rPr>
        <w:t xml:space="preserve">customary rights. In the international system, </w:t>
      </w:r>
      <w:r>
        <w:rPr>
          <w:lang w:val="en-US"/>
        </w:rPr>
        <w:t xml:space="preserve">international </w:t>
      </w:r>
      <w:r w:rsidRPr="00067E60">
        <w:rPr>
          <w:lang w:val="en-US"/>
        </w:rPr>
        <w:t xml:space="preserve">norms regulate states’ </w:t>
      </w:r>
      <w:r>
        <w:rPr>
          <w:lang w:val="en-US"/>
        </w:rPr>
        <w:t>behavior</w:t>
      </w:r>
      <w:r w:rsidRPr="00067E60">
        <w:rPr>
          <w:lang w:val="en-US"/>
        </w:rPr>
        <w:t xml:space="preserve"> </w:t>
      </w:r>
      <w:r>
        <w:rPr>
          <w:lang w:val="en-US"/>
        </w:rPr>
        <w:t>through</w:t>
      </w:r>
      <w:r w:rsidRPr="00067E60">
        <w:rPr>
          <w:lang w:val="en-US"/>
        </w:rPr>
        <w:t xml:space="preserve"> enabling </w:t>
      </w:r>
      <w:r>
        <w:rPr>
          <w:lang w:val="en-US"/>
        </w:rPr>
        <w:t xml:space="preserve">certain actions </w:t>
      </w:r>
      <w:r w:rsidRPr="00067E60">
        <w:rPr>
          <w:lang w:val="en-US"/>
        </w:rPr>
        <w:t xml:space="preserve">in accordance with the norm and in prohibiting </w:t>
      </w:r>
      <w:r>
        <w:rPr>
          <w:lang w:val="en-US"/>
        </w:rPr>
        <w:t xml:space="preserve">other </w:t>
      </w:r>
      <w:r w:rsidRPr="00067E60">
        <w:rPr>
          <w:lang w:val="en-US"/>
        </w:rPr>
        <w:t xml:space="preserve">actions </w:t>
      </w:r>
      <w:r>
        <w:rPr>
          <w:lang w:val="en-US"/>
        </w:rPr>
        <w:t xml:space="preserve">which may </w:t>
      </w:r>
      <w:r w:rsidRPr="00067E60">
        <w:rPr>
          <w:lang w:val="en-US"/>
        </w:rPr>
        <w:t>violat</w:t>
      </w:r>
      <w:r>
        <w:rPr>
          <w:lang w:val="en-US"/>
        </w:rPr>
        <w:t>e</w:t>
      </w:r>
      <w:r w:rsidRPr="00067E60">
        <w:rPr>
          <w:lang w:val="en-US"/>
        </w:rPr>
        <w:t xml:space="preserve"> or juxtapos</w:t>
      </w:r>
      <w:r>
        <w:rPr>
          <w:lang w:val="en-US"/>
        </w:rPr>
        <w:t>e</w:t>
      </w:r>
      <w:r w:rsidRPr="00067E60">
        <w:rPr>
          <w:lang w:val="en-US"/>
        </w:rPr>
        <w:t xml:space="preserve"> </w:t>
      </w:r>
      <w:r>
        <w:rPr>
          <w:lang w:val="en-US"/>
        </w:rPr>
        <w:t>that</w:t>
      </w:r>
      <w:r w:rsidRPr="00067E60">
        <w:rPr>
          <w:lang w:val="en-US"/>
        </w:rPr>
        <w:t xml:space="preserve"> norm. </w:t>
      </w:r>
    </w:p>
    <w:p w:rsidR="002D24E1" w:rsidRDefault="002D24E1" w:rsidP="002D24E1">
      <w:pPr>
        <w:spacing w:line="480" w:lineRule="auto"/>
        <w:ind w:firstLine="708"/>
        <w:jc w:val="both"/>
        <w:rPr>
          <w:lang w:val="en-US"/>
        </w:rPr>
      </w:pPr>
      <w:r w:rsidRPr="00067E60">
        <w:rPr>
          <w:lang w:val="en-US"/>
        </w:rPr>
        <w:t>Norms are counterfactually valid and do not cease to exist simply because non-compliance occurs.</w:t>
      </w:r>
      <w:r w:rsidR="007519C8">
        <w:rPr>
          <w:rStyle w:val="FootnoteReference"/>
          <w:lang w:val="en-US"/>
        </w:rPr>
        <w:footnoteReference w:id="5"/>
      </w:r>
      <w:r w:rsidRPr="00067E60">
        <w:rPr>
          <w:lang w:val="en-US"/>
        </w:rPr>
        <w:t xml:space="preserve"> </w:t>
      </w:r>
      <w:r>
        <w:rPr>
          <w:lang w:val="en-US"/>
        </w:rPr>
        <w:t>Perhaps</w:t>
      </w:r>
      <w:r w:rsidRPr="00067E60">
        <w:rPr>
          <w:lang w:val="en-US"/>
        </w:rPr>
        <w:t xml:space="preserve"> as a result of that, scholarship on the emergence of new international norms has mushroomed, while </w:t>
      </w:r>
      <w:r>
        <w:rPr>
          <w:lang w:val="en-US"/>
        </w:rPr>
        <w:t>their abolishment attracts</w:t>
      </w:r>
      <w:r w:rsidRPr="00067E60">
        <w:rPr>
          <w:lang w:val="en-US"/>
        </w:rPr>
        <w:t xml:space="preserve"> less attention. This article seeks to add value to our understanding of how formerly embedded norms </w:t>
      </w:r>
      <w:r>
        <w:rPr>
          <w:lang w:val="en-US"/>
        </w:rPr>
        <w:t>lose</w:t>
      </w:r>
      <w:r w:rsidRPr="00067E60">
        <w:rPr>
          <w:lang w:val="en-US"/>
        </w:rPr>
        <w:t xml:space="preserve"> their impact upon actors’ behaviors. We advance the claim that </w:t>
      </w:r>
      <w:r w:rsidRPr="00067E60">
        <w:rPr>
          <w:lang w:val="en-US"/>
        </w:rPr>
        <w:lastRenderedPageBreak/>
        <w:t xml:space="preserve">norms are in the process of being </w:t>
      </w:r>
      <w:r>
        <w:rPr>
          <w:lang w:val="en-US"/>
        </w:rPr>
        <w:t>degenerated</w:t>
      </w:r>
      <w:r w:rsidRPr="00067E60">
        <w:rPr>
          <w:lang w:val="en-US"/>
        </w:rPr>
        <w:t xml:space="preserve"> if norm violations</w:t>
      </w:r>
      <w:r>
        <w:rPr>
          <w:lang w:val="en-US"/>
        </w:rPr>
        <w:t xml:space="preserve"> </w:t>
      </w:r>
      <w:r w:rsidRPr="00067E60">
        <w:rPr>
          <w:lang w:val="en-US"/>
        </w:rPr>
        <w:t xml:space="preserve">become the rule rather than the exception and </w:t>
      </w:r>
      <w:r>
        <w:rPr>
          <w:lang w:val="en-US"/>
        </w:rPr>
        <w:t xml:space="preserve">they </w:t>
      </w:r>
      <w:r w:rsidRPr="00067E60">
        <w:rPr>
          <w:lang w:val="en-US"/>
        </w:rPr>
        <w:t>are</w:t>
      </w:r>
      <w:r>
        <w:rPr>
          <w:lang w:val="en-US"/>
        </w:rPr>
        <w:t xml:space="preserve"> eventually</w:t>
      </w:r>
      <w:r w:rsidRPr="00067E60">
        <w:rPr>
          <w:lang w:val="en-US"/>
        </w:rPr>
        <w:t xml:space="preserve"> </w:t>
      </w:r>
      <w:r>
        <w:rPr>
          <w:lang w:val="en-US"/>
        </w:rPr>
        <w:t>completely abolished</w:t>
      </w:r>
      <w:r w:rsidRPr="00067E60">
        <w:rPr>
          <w:lang w:val="en-US"/>
        </w:rPr>
        <w:t xml:space="preserve"> if </w:t>
      </w:r>
      <w:r>
        <w:rPr>
          <w:lang w:val="en-US"/>
        </w:rPr>
        <w:t xml:space="preserve">the norm no longer guides states’ behaviors and if the </w:t>
      </w:r>
      <w:r w:rsidRPr="00067E60">
        <w:rPr>
          <w:lang w:val="en-US"/>
        </w:rPr>
        <w:t>new practice</w:t>
      </w:r>
      <w:r>
        <w:rPr>
          <w:lang w:val="en-US"/>
        </w:rPr>
        <w:t>s are</w:t>
      </w:r>
      <w:r w:rsidRPr="00067E60">
        <w:rPr>
          <w:lang w:val="en-US"/>
        </w:rPr>
        <w:t xml:space="preserve"> not framed as non-compliance any</w:t>
      </w:r>
      <w:r>
        <w:rPr>
          <w:lang w:val="en-US"/>
        </w:rPr>
        <w:t xml:space="preserve"> longer</w:t>
      </w:r>
      <w:r w:rsidRPr="00067E60">
        <w:rPr>
          <w:lang w:val="en-US"/>
        </w:rPr>
        <w:t xml:space="preserve">. </w:t>
      </w:r>
    </w:p>
    <w:p w:rsidR="002D24E1" w:rsidRPr="00067E60" w:rsidRDefault="002D24E1" w:rsidP="002D24E1">
      <w:pPr>
        <w:spacing w:line="480" w:lineRule="auto"/>
        <w:ind w:firstLine="708"/>
        <w:jc w:val="both"/>
        <w:rPr>
          <w:lang w:val="en-US"/>
        </w:rPr>
      </w:pPr>
      <w:r>
        <w:rPr>
          <w:lang w:val="en-US"/>
        </w:rPr>
        <w:t xml:space="preserve">Non-compliance with international norms through individual states happens frequently on the international level, but it does not automatically abolish an international norm. Norm disappearances are defined by the loss of the </w:t>
      </w:r>
      <w:r w:rsidRPr="00067E60">
        <w:rPr>
          <w:lang w:val="en-US"/>
        </w:rPr>
        <w:t>prescriptive status</w:t>
      </w:r>
      <w:r w:rsidRPr="0058064D">
        <w:rPr>
          <w:lang w:val="en-US"/>
        </w:rPr>
        <w:t xml:space="preserve"> </w:t>
      </w:r>
      <w:r>
        <w:rPr>
          <w:lang w:val="en-US"/>
        </w:rPr>
        <w:t>of formerly embedded norms. Thus, a norm has disappeared (= de facto lost its prescriptive status) if the a state’s non-compliance at one point triggers a cascade of norm violations by other actors, who also start to violate the norm instead of individually or collectively criticizing and eventually sanctioning the norm violating state. Thus, i</w:t>
      </w:r>
      <w:r w:rsidRPr="0058064D">
        <w:rPr>
          <w:lang w:val="en-US"/>
        </w:rPr>
        <w:t>f norm violations become the rule rather than the exception</w:t>
      </w:r>
      <w:r>
        <w:rPr>
          <w:lang w:val="en-US"/>
        </w:rPr>
        <w:t>, a n</w:t>
      </w:r>
      <w:r w:rsidRPr="0058064D">
        <w:rPr>
          <w:lang w:val="en-US"/>
        </w:rPr>
        <w:t>orm</w:t>
      </w:r>
      <w:r>
        <w:rPr>
          <w:lang w:val="en-US"/>
        </w:rPr>
        <w:t xml:space="preserve"> is</w:t>
      </w:r>
      <w:r w:rsidRPr="0058064D">
        <w:rPr>
          <w:lang w:val="en-US"/>
        </w:rPr>
        <w:t xml:space="preserve"> in the process of becoming obsolete and </w:t>
      </w:r>
      <w:r>
        <w:rPr>
          <w:lang w:val="en-US"/>
        </w:rPr>
        <w:t>is</w:t>
      </w:r>
      <w:r w:rsidRPr="0058064D">
        <w:rPr>
          <w:lang w:val="en-US"/>
        </w:rPr>
        <w:t xml:space="preserve"> </w:t>
      </w:r>
      <w:r>
        <w:rPr>
          <w:lang w:val="en-US"/>
        </w:rPr>
        <w:t>abolished</w:t>
      </w:r>
      <w:r w:rsidRPr="0058064D">
        <w:rPr>
          <w:lang w:val="en-US"/>
        </w:rPr>
        <w:t xml:space="preserve"> if the emerging new practice is not framed as non-compliance any longer.</w:t>
      </w:r>
    </w:p>
    <w:p w:rsidR="002D24E1" w:rsidRPr="00067E60" w:rsidRDefault="002D24E1" w:rsidP="002D24E1">
      <w:pPr>
        <w:autoSpaceDE w:val="0"/>
        <w:autoSpaceDN w:val="0"/>
        <w:adjustRightInd w:val="0"/>
        <w:spacing w:line="480" w:lineRule="auto"/>
        <w:jc w:val="both"/>
        <w:rPr>
          <w:lang w:val="en-US"/>
        </w:rPr>
      </w:pPr>
      <w:r w:rsidRPr="00067E60">
        <w:rPr>
          <w:lang w:val="en-US"/>
        </w:rPr>
        <w:tab/>
      </w:r>
      <w:r>
        <w:rPr>
          <w:lang w:val="en-US"/>
        </w:rPr>
        <w:t>Incremental degeneration</w:t>
      </w:r>
      <w:r w:rsidRPr="00067E60">
        <w:rPr>
          <w:lang w:val="en-US"/>
        </w:rPr>
        <w:t xml:space="preserve"> </w:t>
      </w:r>
      <w:r>
        <w:rPr>
          <w:lang w:val="en-US"/>
        </w:rPr>
        <w:t>can be observed</w:t>
      </w:r>
      <w:r w:rsidRPr="00067E60">
        <w:rPr>
          <w:lang w:val="en-US"/>
        </w:rPr>
        <w:t xml:space="preserve"> in the case of the non-interv</w:t>
      </w:r>
      <w:r>
        <w:rPr>
          <w:lang w:val="en-US"/>
        </w:rPr>
        <w:t>ention norm. Rather than replacing</w:t>
      </w:r>
      <w:r w:rsidRPr="00067E60">
        <w:rPr>
          <w:lang w:val="en-US"/>
        </w:rPr>
        <w:t xml:space="preserve"> the entire norm</w:t>
      </w:r>
      <w:r w:rsidRPr="00DD45AE">
        <w:rPr>
          <w:lang w:val="en-US"/>
        </w:rPr>
        <w:t xml:space="preserve">, the scope of the norm was continuously curbed by new exceptions. </w:t>
      </w:r>
      <w:r>
        <w:rPr>
          <w:lang w:val="en-US"/>
        </w:rPr>
        <w:t>N</w:t>
      </w:r>
      <w:r w:rsidRPr="00DD45AE">
        <w:rPr>
          <w:lang w:val="en-US"/>
        </w:rPr>
        <w:t>on-interventio</w:t>
      </w:r>
      <w:r w:rsidRPr="00067E60">
        <w:rPr>
          <w:lang w:val="en-US"/>
        </w:rPr>
        <w:t xml:space="preserve">n is codified in the UN </w:t>
      </w:r>
      <w:r>
        <w:rPr>
          <w:lang w:val="en-US"/>
        </w:rPr>
        <w:t>Charter</w:t>
      </w:r>
      <w:r w:rsidRPr="00067E60">
        <w:rPr>
          <w:lang w:val="en-US"/>
        </w:rPr>
        <w:t xml:space="preserve"> in Art. 2 VII and </w:t>
      </w:r>
      <w:r>
        <w:rPr>
          <w:lang w:val="en-US"/>
        </w:rPr>
        <w:t xml:space="preserve">during the Cold War, it </w:t>
      </w:r>
      <w:r w:rsidRPr="00067E60">
        <w:rPr>
          <w:lang w:val="en-US"/>
        </w:rPr>
        <w:t>was considered one of the most important pillars of the international system</w:t>
      </w:r>
      <w:r>
        <w:rPr>
          <w:lang w:val="en-US"/>
        </w:rPr>
        <w:t>.</w:t>
      </w:r>
      <w:r w:rsidRPr="00067E60">
        <w:rPr>
          <w:lang w:val="en-US"/>
        </w:rPr>
        <w:t xml:space="preserve"> This opinion was expressed by the UN General Assembly in its Declaration on the Inadmissibility of Intervention (1965) and </w:t>
      </w:r>
      <w:r>
        <w:rPr>
          <w:lang w:val="en-US"/>
        </w:rPr>
        <w:t xml:space="preserve">similarly </w:t>
      </w:r>
      <w:r w:rsidRPr="00067E60">
        <w:rPr>
          <w:lang w:val="en-US"/>
        </w:rPr>
        <w:t>by the International Court of Justice</w:t>
      </w:r>
      <w:r>
        <w:rPr>
          <w:lang w:val="en-US"/>
        </w:rPr>
        <w:t>,</w:t>
      </w:r>
      <w:r w:rsidRPr="00067E60">
        <w:rPr>
          <w:lang w:val="en-US"/>
        </w:rPr>
        <w:t xml:space="preserve"> declared in reference to the Corfu Channel case (1949) </w:t>
      </w:r>
      <w:r>
        <w:rPr>
          <w:lang w:val="en-US"/>
        </w:rPr>
        <w:t xml:space="preserve">stating </w:t>
      </w:r>
      <w:r w:rsidRPr="00067E60">
        <w:rPr>
          <w:lang w:val="en-US"/>
        </w:rPr>
        <w:t xml:space="preserve">that </w:t>
      </w:r>
      <w:r w:rsidRPr="00067E60">
        <w:rPr>
          <w:kern w:val="16"/>
          <w:lang w:val="en-US"/>
        </w:rPr>
        <w:t>“between independent States the respect for territorial sovereignty is an essential foundation for international relations”.</w:t>
      </w:r>
      <w:r w:rsidR="007519C8">
        <w:rPr>
          <w:rStyle w:val="FootnoteReference"/>
          <w:kern w:val="16"/>
          <w:lang w:val="en-US"/>
        </w:rPr>
        <w:footnoteReference w:id="6"/>
      </w:r>
      <w:r>
        <w:rPr>
          <w:color w:val="000000"/>
          <w:kern w:val="16"/>
          <w:lang w:val="en-US"/>
        </w:rPr>
        <w:t xml:space="preserve"> </w:t>
      </w:r>
      <w:r w:rsidRPr="00067E60">
        <w:rPr>
          <w:color w:val="000000"/>
          <w:kern w:val="16"/>
          <w:lang w:val="en-US"/>
        </w:rPr>
        <w:t>However, the restrictive interpretation was challenged on several occasions. After the Cold War</w:t>
      </w:r>
      <w:r>
        <w:rPr>
          <w:color w:val="000000"/>
          <w:kern w:val="16"/>
          <w:lang w:val="en-US"/>
        </w:rPr>
        <w:t>,</w:t>
      </w:r>
      <w:r w:rsidRPr="00067E60">
        <w:rPr>
          <w:color w:val="000000"/>
          <w:kern w:val="16"/>
          <w:lang w:val="en-US"/>
        </w:rPr>
        <w:t xml:space="preserve"> a broad </w:t>
      </w:r>
      <w:r w:rsidRPr="00067E60">
        <w:rPr>
          <w:color w:val="000000"/>
          <w:kern w:val="16"/>
          <w:lang w:val="en-US"/>
        </w:rPr>
        <w:lastRenderedPageBreak/>
        <w:t>discussion</w:t>
      </w:r>
      <w:r>
        <w:rPr>
          <w:color w:val="000000"/>
          <w:kern w:val="16"/>
          <w:lang w:val="en-US"/>
        </w:rPr>
        <w:t xml:space="preserve"> </w:t>
      </w:r>
      <w:r w:rsidRPr="00067E60">
        <w:rPr>
          <w:color w:val="000000"/>
          <w:kern w:val="16"/>
          <w:lang w:val="en-US"/>
        </w:rPr>
        <w:t xml:space="preserve">occurred </w:t>
      </w:r>
      <w:r>
        <w:rPr>
          <w:color w:val="000000"/>
          <w:kern w:val="16"/>
          <w:lang w:val="en-US"/>
        </w:rPr>
        <w:t>regarding</w:t>
      </w:r>
      <w:r w:rsidRPr="00067E60">
        <w:rPr>
          <w:color w:val="000000"/>
          <w:kern w:val="16"/>
          <w:lang w:val="en-US"/>
        </w:rPr>
        <w:t xml:space="preserve"> new security threats. </w:t>
      </w:r>
      <w:r>
        <w:rPr>
          <w:color w:val="000000"/>
          <w:kern w:val="16"/>
          <w:lang w:val="en-US"/>
        </w:rPr>
        <w:t>In p</w:t>
      </w:r>
      <w:r w:rsidRPr="00067E60">
        <w:rPr>
          <w:color w:val="000000"/>
          <w:kern w:val="16"/>
          <w:lang w:val="en-US"/>
        </w:rPr>
        <w:t>articular</w:t>
      </w:r>
      <w:r>
        <w:rPr>
          <w:color w:val="000000"/>
          <w:kern w:val="16"/>
          <w:lang w:val="en-US"/>
        </w:rPr>
        <w:t>,</w:t>
      </w:r>
      <w:r w:rsidRPr="00067E60">
        <w:rPr>
          <w:color w:val="000000"/>
          <w:kern w:val="16"/>
          <w:lang w:val="en-US"/>
        </w:rPr>
        <w:t xml:space="preserve"> state and non-state actors in possession of </w:t>
      </w:r>
      <w:r>
        <w:rPr>
          <w:color w:val="000000"/>
          <w:kern w:val="16"/>
          <w:lang w:val="en-US"/>
        </w:rPr>
        <w:t>weapons of mass d</w:t>
      </w:r>
      <w:r w:rsidRPr="00067E60">
        <w:rPr>
          <w:color w:val="000000"/>
          <w:kern w:val="16"/>
          <w:lang w:val="en-US"/>
        </w:rPr>
        <w:t>estruction were</w:t>
      </w:r>
      <w:r>
        <w:rPr>
          <w:color w:val="000000"/>
          <w:kern w:val="16"/>
          <w:lang w:val="en-US"/>
        </w:rPr>
        <w:t>,</w:t>
      </w:r>
      <w:r w:rsidRPr="00067E60">
        <w:rPr>
          <w:color w:val="000000"/>
          <w:kern w:val="16"/>
          <w:lang w:val="en-US"/>
        </w:rPr>
        <w:t xml:space="preserve"> and </w:t>
      </w:r>
      <w:r>
        <w:rPr>
          <w:color w:val="000000"/>
          <w:kern w:val="16"/>
          <w:lang w:val="en-US"/>
        </w:rPr>
        <w:t xml:space="preserve">still </w:t>
      </w:r>
      <w:r w:rsidRPr="00067E60">
        <w:rPr>
          <w:color w:val="000000"/>
          <w:kern w:val="16"/>
          <w:lang w:val="en-US"/>
        </w:rPr>
        <w:t>are</w:t>
      </w:r>
      <w:r>
        <w:rPr>
          <w:color w:val="000000"/>
          <w:kern w:val="16"/>
          <w:lang w:val="en-US"/>
        </w:rPr>
        <w:t>,</w:t>
      </w:r>
      <w:r w:rsidRPr="00067E60">
        <w:rPr>
          <w:color w:val="000000"/>
          <w:kern w:val="16"/>
          <w:lang w:val="en-US"/>
        </w:rPr>
        <w:t xml:space="preserve"> seen as a vital threat to international peace a</w:t>
      </w:r>
      <w:r>
        <w:rPr>
          <w:color w:val="000000"/>
          <w:kern w:val="16"/>
          <w:lang w:val="en-US"/>
        </w:rPr>
        <w:t xml:space="preserve">nd security by western states. </w:t>
      </w:r>
      <w:r w:rsidRPr="00067E60">
        <w:rPr>
          <w:color w:val="000000"/>
          <w:kern w:val="16"/>
          <w:lang w:val="en-US"/>
        </w:rPr>
        <w:t xml:space="preserve">This triggered a discussion </w:t>
      </w:r>
      <w:r>
        <w:rPr>
          <w:color w:val="000000"/>
          <w:kern w:val="16"/>
          <w:lang w:val="en-US"/>
        </w:rPr>
        <w:t xml:space="preserve">on </w:t>
      </w:r>
      <w:r w:rsidRPr="00067E60">
        <w:rPr>
          <w:color w:val="000000"/>
          <w:kern w:val="16"/>
          <w:lang w:val="en-US"/>
        </w:rPr>
        <w:t>whether preventive and pre-emptive military strikes are legitimate exceptions to the non-intervention norm</w:t>
      </w:r>
      <w:r>
        <w:rPr>
          <w:rStyle w:val="FootnoteReference"/>
          <w:color w:val="000000"/>
          <w:kern w:val="16"/>
          <w:lang w:val="en-US"/>
        </w:rPr>
        <w:footnoteReference w:id="7"/>
      </w:r>
      <w:r w:rsidRPr="00067E60">
        <w:rPr>
          <w:color w:val="000000"/>
          <w:kern w:val="16"/>
          <w:lang w:val="en-US"/>
        </w:rPr>
        <w:t>.</w:t>
      </w:r>
      <w:r w:rsidRPr="00067E60">
        <w:rPr>
          <w:lang w:val="en-US"/>
        </w:rPr>
        <w:t xml:space="preserve"> </w:t>
      </w:r>
      <w:r w:rsidRPr="00067E60">
        <w:rPr>
          <w:color w:val="000000"/>
          <w:kern w:val="16"/>
          <w:lang w:val="en-US"/>
        </w:rPr>
        <w:t xml:space="preserve">More recently, a resurgence of the idea of humanitarian intervention also challenged the initial norm. </w:t>
      </w:r>
      <w:r w:rsidRPr="00067E60">
        <w:rPr>
          <w:kern w:val="16"/>
          <w:lang w:val="en-US"/>
        </w:rPr>
        <w:t xml:space="preserve">UN secretary general Kofi Annan defined sovereignty as </w:t>
      </w:r>
      <w:r>
        <w:rPr>
          <w:kern w:val="16"/>
          <w:lang w:val="en-US"/>
        </w:rPr>
        <w:t xml:space="preserve">a </w:t>
      </w:r>
      <w:r w:rsidRPr="00067E60">
        <w:rPr>
          <w:kern w:val="16"/>
          <w:lang w:val="en-US"/>
        </w:rPr>
        <w:t xml:space="preserve">responsibility, not just power. He stressed that the protection of sovereignty by the non-intervention norm was associated </w:t>
      </w:r>
      <w:r>
        <w:rPr>
          <w:kern w:val="16"/>
          <w:lang w:val="en-US"/>
        </w:rPr>
        <w:t>with</w:t>
      </w:r>
      <w:r w:rsidRPr="00067E60">
        <w:rPr>
          <w:kern w:val="16"/>
          <w:lang w:val="en-US"/>
        </w:rPr>
        <w:t xml:space="preserve"> compliance to the fundamental standards </w:t>
      </w:r>
      <w:r>
        <w:rPr>
          <w:kern w:val="16"/>
          <w:lang w:val="en-US"/>
        </w:rPr>
        <w:t>of the international community</w:t>
      </w:r>
      <w:r w:rsidRPr="00067E60">
        <w:rPr>
          <w:kern w:val="16"/>
          <w:lang w:val="en-US"/>
        </w:rPr>
        <w:t>.</w:t>
      </w:r>
      <w:r>
        <w:rPr>
          <w:rStyle w:val="FootnoteReference"/>
          <w:kern w:val="16"/>
          <w:lang w:val="en-US"/>
        </w:rPr>
        <w:footnoteReference w:id="8"/>
      </w:r>
      <w:r w:rsidRPr="00067E60">
        <w:rPr>
          <w:kern w:val="16"/>
          <w:lang w:val="en-US"/>
        </w:rPr>
        <w:t xml:space="preserve"> Consequently, states violating these standards can forfeit their protection under the non-intervention norm. </w:t>
      </w:r>
      <w:r w:rsidRPr="00067E60">
        <w:rPr>
          <w:color w:val="000000"/>
          <w:kern w:val="16"/>
          <w:lang w:val="en-US"/>
        </w:rPr>
        <w:t>These examples show that</w:t>
      </w:r>
      <w:r w:rsidRPr="00067E60">
        <w:rPr>
          <w:lang w:val="en-US"/>
        </w:rPr>
        <w:t xml:space="preserve"> a strong trend </w:t>
      </w:r>
      <w:r>
        <w:rPr>
          <w:lang w:val="en-US"/>
        </w:rPr>
        <w:t xml:space="preserve">exists </w:t>
      </w:r>
      <w:r w:rsidRPr="00067E60">
        <w:rPr>
          <w:lang w:val="en-US"/>
        </w:rPr>
        <w:t>towards restricting</w:t>
      </w:r>
      <w:r w:rsidRPr="00067E60">
        <w:rPr>
          <w:color w:val="000000"/>
          <w:kern w:val="16"/>
          <w:lang w:val="en-US"/>
        </w:rPr>
        <w:t xml:space="preserve"> the scope of the non-intervention norm. </w:t>
      </w:r>
    </w:p>
    <w:p w:rsidR="002D24E1" w:rsidRPr="00067E60" w:rsidRDefault="002D24E1" w:rsidP="002D24E1">
      <w:pPr>
        <w:autoSpaceDE w:val="0"/>
        <w:autoSpaceDN w:val="0"/>
        <w:adjustRightInd w:val="0"/>
        <w:spacing w:line="480" w:lineRule="auto"/>
        <w:jc w:val="both"/>
        <w:rPr>
          <w:lang w:val="en-US"/>
        </w:rPr>
      </w:pPr>
    </w:p>
    <w:p w:rsidR="002D24E1" w:rsidRPr="00067E60" w:rsidRDefault="002D24E1" w:rsidP="002D24E1">
      <w:pPr>
        <w:autoSpaceDE w:val="0"/>
        <w:autoSpaceDN w:val="0"/>
        <w:adjustRightInd w:val="0"/>
        <w:spacing w:line="480" w:lineRule="auto"/>
        <w:jc w:val="both"/>
        <w:rPr>
          <w:lang w:val="en-US"/>
        </w:rPr>
      </w:pPr>
      <w:r w:rsidRPr="00067E60">
        <w:rPr>
          <w:lang w:val="en-US"/>
        </w:rPr>
        <w:t xml:space="preserve">Norms can also become </w:t>
      </w:r>
      <w:r>
        <w:rPr>
          <w:i/>
          <w:lang w:val="en-US"/>
        </w:rPr>
        <w:t>abolished</w:t>
      </w:r>
      <w:r w:rsidRPr="00067E60">
        <w:rPr>
          <w:i/>
          <w:lang w:val="en-US"/>
        </w:rPr>
        <w:t xml:space="preserve"> without being replaced </w:t>
      </w:r>
      <w:r w:rsidRPr="002D0541">
        <w:rPr>
          <w:lang w:val="en-US"/>
        </w:rPr>
        <w:t>or</w:t>
      </w:r>
      <w:r w:rsidRPr="00067E60">
        <w:rPr>
          <w:i/>
          <w:lang w:val="en-US"/>
        </w:rPr>
        <w:t xml:space="preserve"> weakened by another norm</w:t>
      </w:r>
      <w:r w:rsidRPr="00067E60">
        <w:rPr>
          <w:lang w:val="en-US"/>
        </w:rPr>
        <w:t xml:space="preserve">. Article 53 of the </w:t>
      </w:r>
      <w:r>
        <w:rPr>
          <w:lang w:val="en-US"/>
        </w:rPr>
        <w:t>Charter</w:t>
      </w:r>
      <w:r w:rsidRPr="00067E60">
        <w:rPr>
          <w:lang w:val="en-US"/>
        </w:rPr>
        <w:t xml:space="preserve"> of the United Nations</w:t>
      </w:r>
      <w:r>
        <w:rPr>
          <w:lang w:val="en-US"/>
        </w:rPr>
        <w:t>,</w:t>
      </w:r>
      <w:r w:rsidRPr="00067E60">
        <w:rPr>
          <w:lang w:val="en-US"/>
        </w:rPr>
        <w:t xml:space="preserve"> for example</w:t>
      </w:r>
      <w:r>
        <w:rPr>
          <w:lang w:val="en-US"/>
        </w:rPr>
        <w:t>,</w:t>
      </w:r>
      <w:r w:rsidRPr="00067E60">
        <w:rPr>
          <w:lang w:val="en-US"/>
        </w:rPr>
        <w:t xml:space="preserve"> permits forcible measures against enemy states of the Second World War (WW II) without a Security Council Resolution. However, in 1995 the General Assembly recognized the substantial changes on the international level in Resolution 50/ 52 and deemed the "enemy state" clauses in Articles 53, 77 and 107 as obsolete. Although the norm is formally still part of the </w:t>
      </w:r>
      <w:r>
        <w:rPr>
          <w:lang w:val="en-US"/>
        </w:rPr>
        <w:t>Charter,</w:t>
      </w:r>
      <w:r w:rsidRPr="00067E60">
        <w:rPr>
          <w:lang w:val="en-US"/>
        </w:rPr>
        <w:t xml:space="preserve"> it has been deinstitutionalized by “decree”. </w:t>
      </w:r>
    </w:p>
    <w:p w:rsidR="002D24E1" w:rsidRPr="00067E60" w:rsidRDefault="002D24E1" w:rsidP="002D24E1">
      <w:pPr>
        <w:autoSpaceDE w:val="0"/>
        <w:autoSpaceDN w:val="0"/>
        <w:adjustRightInd w:val="0"/>
        <w:spacing w:line="480" w:lineRule="auto"/>
        <w:ind w:firstLine="708"/>
        <w:jc w:val="both"/>
        <w:rPr>
          <w:lang w:val="en-US"/>
        </w:rPr>
      </w:pPr>
      <w:r w:rsidRPr="00067E60">
        <w:rPr>
          <w:lang w:val="en-US"/>
        </w:rPr>
        <w:t xml:space="preserve">Another, </w:t>
      </w:r>
      <w:r>
        <w:rPr>
          <w:lang w:val="en-US"/>
        </w:rPr>
        <w:t xml:space="preserve">perhaps </w:t>
      </w:r>
      <w:r w:rsidRPr="00067E60">
        <w:rPr>
          <w:lang w:val="en-US"/>
        </w:rPr>
        <w:t xml:space="preserve">more impressive example of </w:t>
      </w:r>
      <w:r w:rsidRPr="006B5833">
        <w:rPr>
          <w:i/>
          <w:lang w:val="en-US"/>
        </w:rPr>
        <w:t>a norm disappearing without replacement</w:t>
      </w:r>
      <w:r>
        <w:rPr>
          <w:i/>
          <w:lang w:val="en-US"/>
        </w:rPr>
        <w:t>,</w:t>
      </w:r>
      <w:r w:rsidRPr="006B5833">
        <w:rPr>
          <w:i/>
          <w:lang w:val="en-US"/>
        </w:rPr>
        <w:t xml:space="preserve"> </w:t>
      </w:r>
      <w:r w:rsidRPr="00067E60">
        <w:rPr>
          <w:lang w:val="en-US"/>
        </w:rPr>
        <w:t xml:space="preserve">is the norm to declare war. As shown in various studies, war is a social activity and its conduct is highly influenced by the respective culture of the fighting </w:t>
      </w:r>
      <w:r w:rsidRPr="00067E60">
        <w:rPr>
          <w:lang w:val="en-US"/>
        </w:rPr>
        <w:lastRenderedPageBreak/>
        <w:t>society.</w:t>
      </w:r>
      <w:r w:rsidR="007519C8">
        <w:rPr>
          <w:rStyle w:val="FootnoteReference"/>
          <w:lang w:val="en-US"/>
        </w:rPr>
        <w:footnoteReference w:id="9"/>
      </w:r>
      <w:r w:rsidRPr="00067E60">
        <w:rPr>
          <w:lang w:val="en-US"/>
        </w:rPr>
        <w:t xml:space="preserve"> Western societies imposed a set of limitations on the conduct of war </w:t>
      </w:r>
      <w:r>
        <w:rPr>
          <w:lang w:val="en-US"/>
        </w:rPr>
        <w:t>upon</w:t>
      </w:r>
      <w:r w:rsidRPr="00067E60">
        <w:rPr>
          <w:lang w:val="en-US"/>
        </w:rPr>
        <w:t xml:space="preserve"> themselves.</w:t>
      </w:r>
      <w:r w:rsidR="007519C8">
        <w:rPr>
          <w:rStyle w:val="FootnoteReference"/>
          <w:lang w:val="en-US"/>
        </w:rPr>
        <w:footnoteReference w:id="10"/>
      </w:r>
      <w:r w:rsidRPr="00067E60">
        <w:rPr>
          <w:lang w:val="en-US"/>
        </w:rPr>
        <w:t xml:space="preserve"> One element of the “cultural regulation of violence” that </w:t>
      </w:r>
      <w:r>
        <w:rPr>
          <w:lang w:val="en-US"/>
        </w:rPr>
        <w:t>persisted</w:t>
      </w:r>
      <w:r w:rsidRPr="00067E60">
        <w:rPr>
          <w:lang w:val="en-US"/>
        </w:rPr>
        <w:t xml:space="preserve"> over time is the desire for a formal declaration of war. </w:t>
      </w:r>
      <w:r>
        <w:rPr>
          <w:lang w:val="en-US"/>
        </w:rPr>
        <w:t>T</w:t>
      </w:r>
      <w:r w:rsidRPr="00067E60">
        <w:rPr>
          <w:lang w:val="en-US"/>
        </w:rPr>
        <w:t xml:space="preserve">he first evidences in the literature can be found in </w:t>
      </w:r>
      <w:r>
        <w:rPr>
          <w:lang w:val="en-US"/>
        </w:rPr>
        <w:t>a</w:t>
      </w:r>
      <w:r w:rsidRPr="00067E60">
        <w:rPr>
          <w:lang w:val="en-US"/>
        </w:rPr>
        <w:t xml:space="preserve"> five thousand year old Sumerian epic. </w:t>
      </w:r>
      <w:r>
        <w:rPr>
          <w:lang w:val="en-US"/>
        </w:rPr>
        <w:t>It</w:t>
      </w:r>
      <w:r w:rsidRPr="00067E60">
        <w:rPr>
          <w:lang w:val="en-US"/>
        </w:rPr>
        <w:t xml:space="preserve"> begins with </w:t>
      </w:r>
      <w:r>
        <w:rPr>
          <w:lang w:val="en-US"/>
        </w:rPr>
        <w:t xml:space="preserve">an </w:t>
      </w:r>
      <w:r w:rsidRPr="00067E60">
        <w:rPr>
          <w:lang w:val="en-US"/>
        </w:rPr>
        <w:t xml:space="preserve">announcement by a herald </w:t>
      </w:r>
      <w:r>
        <w:rPr>
          <w:lang w:val="en-US"/>
        </w:rPr>
        <w:t>sent</w:t>
      </w:r>
      <w:r w:rsidRPr="00067E60">
        <w:rPr>
          <w:lang w:val="en-US"/>
        </w:rPr>
        <w:t xml:space="preserve"> by </w:t>
      </w:r>
      <w:proofErr w:type="spellStart"/>
      <w:r w:rsidRPr="00067E60">
        <w:rPr>
          <w:lang w:val="en-US"/>
        </w:rPr>
        <w:t>Agga</w:t>
      </w:r>
      <w:proofErr w:type="spellEnd"/>
      <w:r w:rsidRPr="00067E60">
        <w:rPr>
          <w:lang w:val="en-US"/>
        </w:rPr>
        <w:t xml:space="preserve"> to Gilgamesh of the reason </w:t>
      </w:r>
      <w:r>
        <w:rPr>
          <w:lang w:val="en-US"/>
        </w:rPr>
        <w:t>to go to</w:t>
      </w:r>
      <w:r w:rsidRPr="00067E60">
        <w:rPr>
          <w:lang w:val="en-US"/>
        </w:rPr>
        <w:t xml:space="preserve"> war</w:t>
      </w:r>
      <w:r>
        <w:rPr>
          <w:lang w:val="en-US"/>
        </w:rPr>
        <w:t>.</w:t>
      </w:r>
      <w:r w:rsidR="007519C8">
        <w:rPr>
          <w:rStyle w:val="FootnoteReference"/>
          <w:lang w:val="en-US"/>
        </w:rPr>
        <w:footnoteReference w:id="11"/>
      </w:r>
      <w:r w:rsidRPr="00067E60">
        <w:rPr>
          <w:lang w:val="en-US"/>
        </w:rPr>
        <w:t xml:space="preserve">  During the period of the Greek city states</w:t>
      </w:r>
      <w:r>
        <w:rPr>
          <w:lang w:val="en-US"/>
        </w:rPr>
        <w:t>,</w:t>
      </w:r>
      <w:r w:rsidRPr="00067E60">
        <w:rPr>
          <w:lang w:val="en-US"/>
        </w:rPr>
        <w:t xml:space="preserve"> hostilities were highly ritualized. Before the hoplites met on the battlefield, war had to be formally declared.</w:t>
      </w:r>
      <w:r w:rsidR="007519C8">
        <w:rPr>
          <w:rStyle w:val="FootnoteReference"/>
          <w:lang w:val="en-US"/>
        </w:rPr>
        <w:footnoteReference w:id="12"/>
      </w:r>
      <w:r w:rsidRPr="00067E60">
        <w:rPr>
          <w:lang w:val="en-US"/>
        </w:rPr>
        <w:t xml:space="preserve"> Although the form and regulations changed over the next </w:t>
      </w:r>
      <w:r>
        <w:rPr>
          <w:lang w:val="en-US"/>
        </w:rPr>
        <w:t xml:space="preserve">number of </w:t>
      </w:r>
      <w:r w:rsidRPr="00067E60">
        <w:rPr>
          <w:lang w:val="en-US"/>
        </w:rPr>
        <w:t>centuries, the basic requirement of declaring war was relatively stable.</w:t>
      </w:r>
      <w:r w:rsidRPr="004C1F51">
        <w:rPr>
          <w:lang w:val="en-US"/>
        </w:rPr>
        <w:t xml:space="preserve"> </w:t>
      </w:r>
      <w:r>
        <w:rPr>
          <w:lang w:val="en-US"/>
        </w:rPr>
        <w:t>I</w:t>
      </w:r>
      <w:r w:rsidRPr="00067E60">
        <w:rPr>
          <w:lang w:val="en-US"/>
        </w:rPr>
        <w:t xml:space="preserve">nfluential writers of the sixteenth and seventeenth </w:t>
      </w:r>
      <w:proofErr w:type="gramStart"/>
      <w:r>
        <w:rPr>
          <w:lang w:val="en-US"/>
        </w:rPr>
        <w:t>centuries,</w:t>
      </w:r>
      <w:proofErr w:type="gramEnd"/>
      <w:r w:rsidRPr="00067E60">
        <w:rPr>
          <w:lang w:val="en-US"/>
        </w:rPr>
        <w:t xml:space="preserve"> like Jean </w:t>
      </w:r>
      <w:proofErr w:type="spellStart"/>
      <w:r w:rsidRPr="00067E60">
        <w:rPr>
          <w:lang w:val="en-US"/>
        </w:rPr>
        <w:t>Bodin</w:t>
      </w:r>
      <w:proofErr w:type="spellEnd"/>
      <w:r w:rsidRPr="00067E60">
        <w:rPr>
          <w:lang w:val="en-US"/>
        </w:rPr>
        <w:t>, Machiavelli and Thomas Hobbes</w:t>
      </w:r>
      <w:r>
        <w:rPr>
          <w:lang w:val="en-US"/>
        </w:rPr>
        <w:t xml:space="preserve"> all agreed on the prerogative to an</w:t>
      </w:r>
      <w:r w:rsidRPr="00067E60">
        <w:rPr>
          <w:lang w:val="en-US"/>
        </w:rPr>
        <w:t xml:space="preserve">nounce war in the hand of the ruler and </w:t>
      </w:r>
      <w:r>
        <w:rPr>
          <w:lang w:val="en-US"/>
        </w:rPr>
        <w:t xml:space="preserve">thereby implicitly </w:t>
      </w:r>
      <w:r w:rsidRPr="00067E60">
        <w:rPr>
          <w:lang w:val="en-US"/>
        </w:rPr>
        <w:t>produced evidences to the existence of the norm. This tradition was set forth during the eighteenth and nineteenth centur</w:t>
      </w:r>
      <w:r>
        <w:rPr>
          <w:lang w:val="en-US"/>
        </w:rPr>
        <w:t>ies</w:t>
      </w:r>
      <w:r w:rsidR="007519C8">
        <w:rPr>
          <w:rStyle w:val="FootnoteReference"/>
          <w:lang w:val="en-US"/>
        </w:rPr>
        <w:footnoteReference w:id="13"/>
      </w:r>
      <w:r w:rsidRPr="00067E60">
        <w:rPr>
          <w:lang w:val="en-US"/>
        </w:rPr>
        <w:t xml:space="preserve"> and the norm was even codified </w:t>
      </w:r>
      <w:r>
        <w:rPr>
          <w:lang w:val="en-US"/>
        </w:rPr>
        <w:t>in</w:t>
      </w:r>
      <w:r w:rsidRPr="00067E60">
        <w:rPr>
          <w:lang w:val="en-US"/>
        </w:rPr>
        <w:t xml:space="preserve"> the Second Hague Convention in 1907. Art. 1 obliges the signatory powers to </w:t>
      </w:r>
      <w:r w:rsidRPr="00067E60">
        <w:rPr>
          <w:color w:val="000000"/>
          <w:lang w:val="en-US"/>
        </w:rPr>
        <w:t xml:space="preserve">commence hostilities </w:t>
      </w:r>
      <w:r>
        <w:rPr>
          <w:color w:val="000000"/>
          <w:lang w:val="en-US"/>
        </w:rPr>
        <w:t>only with</w:t>
      </w:r>
      <w:r w:rsidRPr="00067E60">
        <w:rPr>
          <w:color w:val="000000"/>
          <w:lang w:val="en-US"/>
        </w:rPr>
        <w:t xml:space="preserve"> previous and explicit warning, in </w:t>
      </w:r>
      <w:r>
        <w:rPr>
          <w:color w:val="000000"/>
          <w:lang w:val="en-US"/>
        </w:rPr>
        <w:t xml:space="preserve">the </w:t>
      </w:r>
      <w:r w:rsidRPr="00067E60">
        <w:rPr>
          <w:color w:val="000000"/>
          <w:lang w:val="en-US"/>
        </w:rPr>
        <w:t>form of either a reasoned declaration or an ultimatum.</w:t>
      </w:r>
      <w:r w:rsidRPr="00067E60">
        <w:rPr>
          <w:lang w:val="en-US"/>
        </w:rPr>
        <w:t xml:space="preserve"> Following the norm, at the dawn of the First World War</w:t>
      </w:r>
      <w:r>
        <w:rPr>
          <w:lang w:val="en-US"/>
        </w:rPr>
        <w:t>,</w:t>
      </w:r>
      <w:r w:rsidRPr="00067E60">
        <w:rPr>
          <w:lang w:val="en-US"/>
        </w:rPr>
        <w:t xml:space="preserve"> at least 42 declarations of war were issued (Ibid, 27). Even when war was banned as a mean in international relations by the Briand-Kellogg-Pact in 1928, the practice did not disappear. During WWII declarations of war were widely used. However, this custom </w:t>
      </w:r>
      <w:r>
        <w:rPr>
          <w:lang w:val="en-US"/>
        </w:rPr>
        <w:t xml:space="preserve">has since </w:t>
      </w:r>
      <w:r w:rsidRPr="00067E60">
        <w:rPr>
          <w:lang w:val="en-US"/>
        </w:rPr>
        <w:t>disappeared</w:t>
      </w:r>
      <w:r>
        <w:rPr>
          <w:lang w:val="en-US"/>
        </w:rPr>
        <w:t>.</w:t>
      </w:r>
      <w:r w:rsidRPr="00067E60">
        <w:rPr>
          <w:lang w:val="en-US"/>
        </w:rPr>
        <w:t xml:space="preserve"> </w:t>
      </w:r>
      <w:r>
        <w:rPr>
          <w:lang w:val="en-US"/>
        </w:rPr>
        <w:t xml:space="preserve">More than </w:t>
      </w:r>
      <w:r w:rsidRPr="00067E60">
        <w:rPr>
          <w:lang w:val="en-US"/>
        </w:rPr>
        <w:t>30 intersta</w:t>
      </w:r>
      <w:r>
        <w:rPr>
          <w:lang w:val="en-US"/>
        </w:rPr>
        <w:t xml:space="preserve">te wars have </w:t>
      </w:r>
      <w:r>
        <w:rPr>
          <w:lang w:val="en-US"/>
        </w:rPr>
        <w:lastRenderedPageBreak/>
        <w:t>occurred since 1945, and</w:t>
      </w:r>
      <w:r w:rsidRPr="00067E60">
        <w:rPr>
          <w:lang w:val="en-US"/>
        </w:rPr>
        <w:t xml:space="preserve"> almost none </w:t>
      </w:r>
      <w:r>
        <w:rPr>
          <w:lang w:val="en-US"/>
        </w:rPr>
        <w:t xml:space="preserve">of these have </w:t>
      </w:r>
      <w:r w:rsidRPr="00067E60">
        <w:rPr>
          <w:lang w:val="en-US"/>
        </w:rPr>
        <w:t>been declared</w:t>
      </w:r>
      <w:r>
        <w:rPr>
          <w:lang w:val="en-US"/>
        </w:rPr>
        <w:t>,</w:t>
      </w:r>
      <w:r w:rsidRPr="00067E60">
        <w:rPr>
          <w:rStyle w:val="FootnoteReference"/>
          <w:lang w:val="en-US"/>
        </w:rPr>
        <w:footnoteReference w:id="14"/>
      </w:r>
      <w:r>
        <w:rPr>
          <w:lang w:val="en-US"/>
        </w:rPr>
        <w:t xml:space="preserve"> without the states being criticized as violating Article 1 of the convention.</w:t>
      </w:r>
    </w:p>
    <w:p w:rsidR="002D24E1" w:rsidRPr="00067E60" w:rsidRDefault="002D24E1" w:rsidP="002D24E1">
      <w:pPr>
        <w:spacing w:line="480" w:lineRule="auto"/>
        <w:jc w:val="both"/>
        <w:rPr>
          <w:lang w:val="en-US"/>
        </w:rPr>
      </w:pPr>
    </w:p>
    <w:p w:rsidR="002D24E1" w:rsidRPr="00067E60" w:rsidRDefault="002D24E1" w:rsidP="002D24E1">
      <w:pPr>
        <w:spacing w:line="480" w:lineRule="auto"/>
        <w:jc w:val="both"/>
        <w:rPr>
          <w:lang w:val="en-US"/>
        </w:rPr>
      </w:pPr>
      <w:r w:rsidRPr="00067E60">
        <w:rPr>
          <w:lang w:val="en-US"/>
        </w:rPr>
        <w:t xml:space="preserve">As these examples show, </w:t>
      </w:r>
      <w:r>
        <w:rPr>
          <w:lang w:val="en-US"/>
        </w:rPr>
        <w:t xml:space="preserve">norm degenerations are </w:t>
      </w:r>
      <w:r w:rsidRPr="00067E60">
        <w:rPr>
          <w:lang w:val="en-US"/>
        </w:rPr>
        <w:t xml:space="preserve">widespread </w:t>
      </w:r>
      <w:r>
        <w:rPr>
          <w:lang w:val="en-US"/>
        </w:rPr>
        <w:t xml:space="preserve">in </w:t>
      </w:r>
      <w:r w:rsidRPr="00067E60">
        <w:rPr>
          <w:lang w:val="en-US"/>
        </w:rPr>
        <w:t xml:space="preserve">international relations and take place in </w:t>
      </w:r>
      <w:r>
        <w:rPr>
          <w:lang w:val="en-US"/>
        </w:rPr>
        <w:t>various</w:t>
      </w:r>
      <w:r w:rsidRPr="00067E60">
        <w:rPr>
          <w:lang w:val="en-US"/>
        </w:rPr>
        <w:t xml:space="preserve"> forms. However, unlike Benjamin and Clover</w:t>
      </w:r>
      <w:r>
        <w:rPr>
          <w:lang w:val="en-US"/>
        </w:rPr>
        <w:t>,</w:t>
      </w:r>
      <w:r w:rsidRPr="00067E60">
        <w:rPr>
          <w:lang w:val="en-US"/>
        </w:rPr>
        <w:t xml:space="preserve"> we do not intend </w:t>
      </w:r>
      <w:r>
        <w:rPr>
          <w:lang w:val="en-US"/>
        </w:rPr>
        <w:t>to merely stare</w:t>
      </w:r>
      <w:r w:rsidRPr="00067E60">
        <w:rPr>
          <w:lang w:val="en-US"/>
        </w:rPr>
        <w:t xml:space="preserve"> at the writings on the wall</w:t>
      </w:r>
      <w:r>
        <w:rPr>
          <w:lang w:val="en-US"/>
        </w:rPr>
        <w:t xml:space="preserve">. Rather, we </w:t>
      </w:r>
      <w:r w:rsidRPr="00067E60">
        <w:rPr>
          <w:lang w:val="en-US"/>
        </w:rPr>
        <w:t>seek to explain the phenomen</w:t>
      </w:r>
      <w:r>
        <w:rPr>
          <w:lang w:val="en-US"/>
        </w:rPr>
        <w:t>on</w:t>
      </w:r>
      <w:r w:rsidRPr="00067E60">
        <w:rPr>
          <w:lang w:val="en-US"/>
        </w:rPr>
        <w:t>.</w:t>
      </w:r>
      <w:r>
        <w:rPr>
          <w:lang w:val="en-US"/>
        </w:rPr>
        <w:t xml:space="preserve"> </w:t>
      </w:r>
    </w:p>
    <w:p w:rsidR="002D24E1" w:rsidRPr="00067E60" w:rsidRDefault="002D24E1" w:rsidP="002D24E1">
      <w:pPr>
        <w:spacing w:line="480" w:lineRule="auto"/>
        <w:jc w:val="both"/>
        <w:rPr>
          <w:lang w:val="en-US"/>
        </w:rPr>
      </w:pPr>
      <w:r w:rsidRPr="00067E60">
        <w:rPr>
          <w:lang w:val="en-US"/>
        </w:rPr>
        <w:tab/>
        <w:t>Prominent approaches dealing with international norm</w:t>
      </w:r>
      <w:r>
        <w:rPr>
          <w:lang w:val="en-US"/>
        </w:rPr>
        <w:t>s</w:t>
      </w:r>
      <w:r w:rsidRPr="00067E60">
        <w:rPr>
          <w:lang w:val="en-US"/>
        </w:rPr>
        <w:t xml:space="preserve"> focus overwhelmingly on the creation of international norms and their impact </w:t>
      </w:r>
      <w:r>
        <w:rPr>
          <w:lang w:val="en-US"/>
        </w:rPr>
        <w:t>on</w:t>
      </w:r>
      <w:r w:rsidRPr="00067E60">
        <w:rPr>
          <w:lang w:val="en-US"/>
        </w:rPr>
        <w:t xml:space="preserve"> states, but rarely analyze </w:t>
      </w:r>
      <w:r>
        <w:rPr>
          <w:lang w:val="en-US"/>
        </w:rPr>
        <w:t>degenerations</w:t>
      </w:r>
      <w:r w:rsidRPr="00067E60">
        <w:rPr>
          <w:lang w:val="en-US"/>
        </w:rPr>
        <w:t xml:space="preserve">. Rationalist approaches regard norms either </w:t>
      </w:r>
      <w:r>
        <w:rPr>
          <w:lang w:val="en-US"/>
        </w:rPr>
        <w:t xml:space="preserve">as costly external constraints </w:t>
      </w:r>
      <w:r w:rsidRPr="00067E60">
        <w:rPr>
          <w:lang w:val="en-US"/>
        </w:rPr>
        <w:t xml:space="preserve">or </w:t>
      </w:r>
      <w:r>
        <w:rPr>
          <w:lang w:val="en-US"/>
        </w:rPr>
        <w:t>as opportunity structures</w:t>
      </w:r>
      <w:r w:rsidRPr="00067E60">
        <w:rPr>
          <w:lang w:val="en-US"/>
        </w:rPr>
        <w:t xml:space="preserve">. </w:t>
      </w:r>
      <w:r>
        <w:rPr>
          <w:lang w:val="en-US"/>
        </w:rPr>
        <w:t>N</w:t>
      </w:r>
      <w:r w:rsidRPr="00067E60">
        <w:rPr>
          <w:lang w:val="en-US"/>
        </w:rPr>
        <w:t>orms can alter means-ends calculations, but do not influence a</w:t>
      </w:r>
      <w:r>
        <w:rPr>
          <w:lang w:val="en-US"/>
        </w:rPr>
        <w:t>ctors’ identities</w:t>
      </w:r>
      <w:r w:rsidRPr="00067E60">
        <w:rPr>
          <w:lang w:val="en-US"/>
        </w:rPr>
        <w:t xml:space="preserve">. </w:t>
      </w:r>
      <w:r>
        <w:rPr>
          <w:lang w:val="en-US"/>
        </w:rPr>
        <w:t>I</w:t>
      </w:r>
      <w:r w:rsidRPr="00067E60">
        <w:rPr>
          <w:lang w:val="en-US"/>
        </w:rPr>
        <w:t>nternational norms are created as a means to achieve the interests of powerful actors. Thereby, prior existing, countervailing norms are abolished or severely restricted.</w:t>
      </w:r>
      <w:r w:rsidR="007519C8">
        <w:rPr>
          <w:rStyle w:val="FootnoteReference"/>
          <w:lang w:val="en-US"/>
        </w:rPr>
        <w:footnoteReference w:id="15"/>
      </w:r>
      <w:r w:rsidRPr="00067E60">
        <w:rPr>
          <w:lang w:val="en-US"/>
        </w:rPr>
        <w:t xml:space="preserve"> Other approaches </w:t>
      </w:r>
      <w:r>
        <w:rPr>
          <w:lang w:val="en-US"/>
        </w:rPr>
        <w:t>claim that</w:t>
      </w:r>
      <w:r w:rsidRPr="00067E60">
        <w:rPr>
          <w:lang w:val="en-US"/>
        </w:rPr>
        <w:t xml:space="preserve"> environmental shocks</w:t>
      </w:r>
      <w:r>
        <w:rPr>
          <w:lang w:val="en-US"/>
        </w:rPr>
        <w:t xml:space="preserve"> </w:t>
      </w:r>
      <w:r w:rsidRPr="00067E60">
        <w:rPr>
          <w:lang w:val="en-US"/>
        </w:rPr>
        <w:t xml:space="preserve">facilitate </w:t>
      </w:r>
      <w:r>
        <w:rPr>
          <w:lang w:val="en-US"/>
        </w:rPr>
        <w:t>the establishment of new</w:t>
      </w:r>
      <w:r w:rsidRPr="00067E60">
        <w:rPr>
          <w:lang w:val="en-US"/>
        </w:rPr>
        <w:t xml:space="preserve"> norms.</w:t>
      </w:r>
      <w:r w:rsidR="007519C8">
        <w:rPr>
          <w:rStyle w:val="FootnoteReference"/>
          <w:lang w:val="en-US"/>
        </w:rPr>
        <w:footnoteReference w:id="16"/>
      </w:r>
      <w:r w:rsidRPr="00067E60">
        <w:rPr>
          <w:lang w:val="en-US"/>
        </w:rPr>
        <w:t xml:space="preserve"> They explicitly or implicitly assume that unsuited </w:t>
      </w:r>
      <w:r>
        <w:rPr>
          <w:lang w:val="en-US"/>
        </w:rPr>
        <w:t xml:space="preserve">old </w:t>
      </w:r>
      <w:r w:rsidRPr="00067E60">
        <w:rPr>
          <w:lang w:val="en-US"/>
        </w:rPr>
        <w:t xml:space="preserve">norms are replaced in processes of </w:t>
      </w:r>
      <w:r>
        <w:rPr>
          <w:lang w:val="en-US"/>
        </w:rPr>
        <w:t>norm creations.</w:t>
      </w:r>
    </w:p>
    <w:p w:rsidR="002D24E1" w:rsidRPr="00067E60" w:rsidRDefault="002D24E1" w:rsidP="002D24E1">
      <w:pPr>
        <w:spacing w:line="480" w:lineRule="auto"/>
        <w:ind w:firstLine="720"/>
        <w:jc w:val="both"/>
        <w:rPr>
          <w:lang w:val="en-US"/>
        </w:rPr>
      </w:pPr>
      <w:r w:rsidRPr="00067E60">
        <w:rPr>
          <w:lang w:val="en-US"/>
        </w:rPr>
        <w:t>In constructivist accounts</w:t>
      </w:r>
      <w:r>
        <w:rPr>
          <w:lang w:val="en-US"/>
        </w:rPr>
        <w:t>,</w:t>
      </w:r>
      <w:r w:rsidRPr="00067E60">
        <w:rPr>
          <w:lang w:val="en-US"/>
        </w:rPr>
        <w:t xml:space="preserve"> norms not only regulate certain actions in defining what is appropriate and what is inappropriate</w:t>
      </w:r>
      <w:r>
        <w:rPr>
          <w:lang w:val="en-US"/>
        </w:rPr>
        <w:t xml:space="preserve"> behavior</w:t>
      </w:r>
      <w:r w:rsidRPr="00067E60">
        <w:rPr>
          <w:lang w:val="en-US"/>
        </w:rPr>
        <w:t xml:space="preserve"> (and eventually sanctioning non-compliance and </w:t>
      </w:r>
      <w:r>
        <w:rPr>
          <w:lang w:val="en-US"/>
        </w:rPr>
        <w:t>rewarding</w:t>
      </w:r>
      <w:r w:rsidRPr="00067E60">
        <w:rPr>
          <w:lang w:val="en-US"/>
        </w:rPr>
        <w:t xml:space="preserve"> compliance), but</w:t>
      </w:r>
      <w:r>
        <w:rPr>
          <w:lang w:val="en-US"/>
        </w:rPr>
        <w:t xml:space="preserve"> also </w:t>
      </w:r>
      <w:r w:rsidRPr="00067E60">
        <w:rPr>
          <w:lang w:val="en-US"/>
        </w:rPr>
        <w:t xml:space="preserve">have a ‘deep impact’. </w:t>
      </w:r>
      <w:r>
        <w:rPr>
          <w:lang w:val="en-US"/>
        </w:rPr>
        <w:t>Through</w:t>
      </w:r>
      <w:r w:rsidRPr="00067E60">
        <w:rPr>
          <w:lang w:val="en-US"/>
        </w:rPr>
        <w:t xml:space="preserve"> reproducing</w:t>
      </w:r>
      <w:r>
        <w:rPr>
          <w:lang w:val="en-US"/>
        </w:rPr>
        <w:t xml:space="preserve"> a</w:t>
      </w:r>
      <w:r w:rsidRPr="00067E60">
        <w:rPr>
          <w:lang w:val="en-US"/>
        </w:rPr>
        <w:t xml:space="preserve"> norm, actors are gradually socialized </w:t>
      </w:r>
      <w:r>
        <w:rPr>
          <w:lang w:val="en-US"/>
        </w:rPr>
        <w:t xml:space="preserve">into </w:t>
      </w:r>
      <w:r w:rsidRPr="00067E60">
        <w:rPr>
          <w:lang w:val="en-US"/>
        </w:rPr>
        <w:t>accept</w:t>
      </w:r>
      <w:r>
        <w:rPr>
          <w:lang w:val="en-US"/>
        </w:rPr>
        <w:t>ing</w:t>
      </w:r>
      <w:r w:rsidRPr="00067E60">
        <w:rPr>
          <w:lang w:val="en-US"/>
        </w:rPr>
        <w:t xml:space="preserve"> </w:t>
      </w:r>
      <w:r>
        <w:rPr>
          <w:lang w:val="en-US"/>
        </w:rPr>
        <w:t>it</w:t>
      </w:r>
      <w:r w:rsidRPr="00067E60">
        <w:rPr>
          <w:lang w:val="en-US"/>
        </w:rPr>
        <w:t xml:space="preserve"> as a standard for ‘good’ behavior in a given situation. </w:t>
      </w:r>
      <w:r>
        <w:rPr>
          <w:lang w:val="en-US"/>
        </w:rPr>
        <w:t>T</w:t>
      </w:r>
      <w:r w:rsidRPr="00067E60">
        <w:rPr>
          <w:lang w:val="en-US"/>
        </w:rPr>
        <w:t xml:space="preserve">he norm </w:t>
      </w:r>
      <w:r>
        <w:rPr>
          <w:lang w:val="en-US"/>
        </w:rPr>
        <w:t xml:space="preserve">thus </w:t>
      </w:r>
      <w:r w:rsidRPr="00067E60">
        <w:rPr>
          <w:lang w:val="en-US"/>
        </w:rPr>
        <w:t>creates or reinforces</w:t>
      </w:r>
      <w:r>
        <w:rPr>
          <w:lang w:val="en-US"/>
        </w:rPr>
        <w:t xml:space="preserve"> an identity</w:t>
      </w:r>
      <w:r w:rsidRPr="00067E60">
        <w:rPr>
          <w:lang w:val="en-US"/>
        </w:rPr>
        <w:t>. For example, compliance with human rights is appropriate for ‘good citizen</w:t>
      </w:r>
      <w:r>
        <w:rPr>
          <w:lang w:val="en-US"/>
        </w:rPr>
        <w:t>s</w:t>
      </w:r>
      <w:r w:rsidRPr="00067E60">
        <w:rPr>
          <w:lang w:val="en-US"/>
        </w:rPr>
        <w:t xml:space="preserve">’ or </w:t>
      </w:r>
      <w:r w:rsidRPr="00067E60">
        <w:rPr>
          <w:lang w:val="en-US"/>
        </w:rPr>
        <w:lastRenderedPageBreak/>
        <w:t xml:space="preserve">‘good and democratic states’, while non-compliance would create cognitive dissonances for actors </w:t>
      </w:r>
      <w:r>
        <w:rPr>
          <w:lang w:val="en-US"/>
        </w:rPr>
        <w:t>socialized into human rights norms</w:t>
      </w:r>
      <w:r w:rsidRPr="00067E60">
        <w:rPr>
          <w:lang w:val="en-US"/>
        </w:rPr>
        <w:t>.</w:t>
      </w:r>
      <w:r w:rsidR="007519C8">
        <w:rPr>
          <w:rStyle w:val="FootnoteReference"/>
          <w:lang w:val="en-US"/>
        </w:rPr>
        <w:footnoteReference w:id="17"/>
      </w:r>
      <w:r w:rsidRPr="00067E60">
        <w:rPr>
          <w:lang w:val="en-US"/>
        </w:rPr>
        <w:t xml:space="preserve"> Constructivist accounts </w:t>
      </w:r>
      <w:r>
        <w:rPr>
          <w:lang w:val="en-US"/>
        </w:rPr>
        <w:t>on</w:t>
      </w:r>
      <w:r w:rsidRPr="00067E60">
        <w:rPr>
          <w:lang w:val="en-US"/>
        </w:rPr>
        <w:t xml:space="preserve"> international norm creation focus </w:t>
      </w:r>
      <w:r>
        <w:rPr>
          <w:lang w:val="en-US"/>
        </w:rPr>
        <w:t>on persuasion and</w:t>
      </w:r>
      <w:r w:rsidRPr="00067E60">
        <w:rPr>
          <w:lang w:val="en-US"/>
        </w:rPr>
        <w:t xml:space="preserve"> the power of the better argument.</w:t>
      </w:r>
      <w:r>
        <w:rPr>
          <w:lang w:val="en-US"/>
        </w:rPr>
        <w:t xml:space="preserve"> They argue that o</w:t>
      </w:r>
      <w:r w:rsidRPr="00067E60">
        <w:rPr>
          <w:lang w:val="en-US"/>
        </w:rPr>
        <w:t>ld norms are more easily substituted by new ones, the higher the uncertainty of the environment and the more rapidly it changes.</w:t>
      </w:r>
      <w:r w:rsidR="007519C8">
        <w:rPr>
          <w:rStyle w:val="FootnoteReference"/>
          <w:lang w:val="en-US"/>
        </w:rPr>
        <w:footnoteReference w:id="18"/>
      </w:r>
      <w:r w:rsidRPr="00067E60">
        <w:rPr>
          <w:lang w:val="en-US"/>
        </w:rPr>
        <w:t xml:space="preserve"> </w:t>
      </w:r>
    </w:p>
    <w:p w:rsidR="002D24E1" w:rsidRPr="00067E60" w:rsidRDefault="002D24E1" w:rsidP="002D24E1">
      <w:pPr>
        <w:spacing w:line="480" w:lineRule="auto"/>
        <w:ind w:firstLine="720"/>
        <w:jc w:val="both"/>
        <w:rPr>
          <w:lang w:val="en-US"/>
        </w:rPr>
      </w:pPr>
      <w:r>
        <w:rPr>
          <w:lang w:val="en-US"/>
        </w:rPr>
        <w:t>M</w:t>
      </w:r>
      <w:r w:rsidRPr="00067E60">
        <w:rPr>
          <w:lang w:val="en-US"/>
        </w:rPr>
        <w:t xml:space="preserve">any constructivist accounts seem to assume that </w:t>
      </w:r>
      <w:r>
        <w:rPr>
          <w:lang w:val="en-US"/>
        </w:rPr>
        <w:t>degeneration</w:t>
      </w:r>
      <w:r w:rsidRPr="00067E60">
        <w:rPr>
          <w:lang w:val="en-US"/>
        </w:rPr>
        <w:t xml:space="preserve"> processes are </w:t>
      </w:r>
      <w:r>
        <w:rPr>
          <w:lang w:val="en-US"/>
        </w:rPr>
        <w:t>simply</w:t>
      </w:r>
      <w:r w:rsidRPr="00067E60">
        <w:rPr>
          <w:lang w:val="en-US"/>
        </w:rPr>
        <w:t xml:space="preserve"> the other side of the coin of institutionalization processes of new norms. However, they do not explain why and under what conditions institutionalized norms</w:t>
      </w:r>
      <w:r>
        <w:rPr>
          <w:lang w:val="en-US"/>
        </w:rPr>
        <w:t>,</w:t>
      </w:r>
      <w:r w:rsidRPr="00067E60">
        <w:rPr>
          <w:lang w:val="en-US"/>
        </w:rPr>
        <w:t xml:space="preserve"> su</w:t>
      </w:r>
      <w:r>
        <w:rPr>
          <w:lang w:val="en-US"/>
        </w:rPr>
        <w:t>ch as the norm to declare war, l</w:t>
      </w:r>
      <w:r w:rsidRPr="00067E60">
        <w:rPr>
          <w:lang w:val="en-US"/>
        </w:rPr>
        <w:t xml:space="preserve">ose their prescriptive status independent </w:t>
      </w:r>
      <w:r>
        <w:rPr>
          <w:lang w:val="en-US"/>
        </w:rPr>
        <w:t>of</w:t>
      </w:r>
      <w:r w:rsidRPr="00067E60">
        <w:rPr>
          <w:lang w:val="en-US"/>
        </w:rPr>
        <w:t xml:space="preserve"> new norms. The challenge </w:t>
      </w:r>
      <w:r>
        <w:rPr>
          <w:lang w:val="en-US"/>
        </w:rPr>
        <w:t>by</w:t>
      </w:r>
      <w:r w:rsidRPr="00067E60">
        <w:rPr>
          <w:lang w:val="en-US"/>
        </w:rPr>
        <w:t xml:space="preserve"> rival new norms, such as human rights in the cases of the abolition of slavery, o</w:t>
      </w:r>
      <w:r>
        <w:rPr>
          <w:lang w:val="en-US"/>
        </w:rPr>
        <w:t>r</w:t>
      </w:r>
      <w:r w:rsidRPr="00067E60">
        <w:rPr>
          <w:lang w:val="en-US"/>
        </w:rPr>
        <w:t xml:space="preserve"> the changing non-intervention norm or the end of colonial subordination, might be important, but cannot be a necessary condi</w:t>
      </w:r>
      <w:r>
        <w:rPr>
          <w:lang w:val="en-US"/>
        </w:rPr>
        <w:t xml:space="preserve">tion, since there are instances </w:t>
      </w:r>
      <w:r w:rsidRPr="00067E60">
        <w:rPr>
          <w:lang w:val="en-US"/>
        </w:rPr>
        <w:t xml:space="preserve">in which norms were abolished but not </w:t>
      </w:r>
      <w:r>
        <w:rPr>
          <w:lang w:val="en-US"/>
        </w:rPr>
        <w:t xml:space="preserve">replaced by others (e.g. </w:t>
      </w:r>
      <w:r w:rsidRPr="00067E60">
        <w:rPr>
          <w:lang w:val="en-US"/>
        </w:rPr>
        <w:t xml:space="preserve">the </w:t>
      </w:r>
      <w:r>
        <w:rPr>
          <w:lang w:val="en-US"/>
        </w:rPr>
        <w:t>norms</w:t>
      </w:r>
      <w:r w:rsidRPr="00067E60">
        <w:rPr>
          <w:lang w:val="en-US"/>
        </w:rPr>
        <w:t xml:space="preserve"> on enemy states, on submarine</w:t>
      </w:r>
      <w:r>
        <w:rPr>
          <w:lang w:val="en-US"/>
        </w:rPr>
        <w:t xml:space="preserve"> warfare or against mercenaries)</w:t>
      </w:r>
      <w:r w:rsidRPr="00067E60">
        <w:rPr>
          <w:lang w:val="en-US"/>
        </w:rPr>
        <w:t xml:space="preserve">. </w:t>
      </w:r>
      <w:r>
        <w:rPr>
          <w:lang w:val="en-US"/>
        </w:rPr>
        <w:t>With a</w:t>
      </w:r>
      <w:r w:rsidRPr="00067E60">
        <w:rPr>
          <w:lang w:val="en-US"/>
        </w:rPr>
        <w:t xml:space="preserve"> closer</w:t>
      </w:r>
      <w:r>
        <w:rPr>
          <w:lang w:val="en-US"/>
        </w:rPr>
        <w:t>, detailed</w:t>
      </w:r>
      <w:r w:rsidRPr="00067E60">
        <w:rPr>
          <w:lang w:val="en-US"/>
        </w:rPr>
        <w:t xml:space="preserve"> </w:t>
      </w:r>
      <w:r>
        <w:rPr>
          <w:lang w:val="en-US"/>
        </w:rPr>
        <w:t xml:space="preserve">inspection, </w:t>
      </w:r>
      <w:r w:rsidRPr="00067E60">
        <w:rPr>
          <w:lang w:val="en-US"/>
        </w:rPr>
        <w:t>even more unanswered questions</w:t>
      </w:r>
      <w:r>
        <w:rPr>
          <w:lang w:val="en-US"/>
        </w:rPr>
        <w:t xml:space="preserve"> transpire</w:t>
      </w:r>
      <w:r w:rsidRPr="00067E60">
        <w:rPr>
          <w:lang w:val="en-US"/>
        </w:rPr>
        <w:t xml:space="preserve">: Why does a critical mass of states </w:t>
      </w:r>
      <w:r>
        <w:rPr>
          <w:lang w:val="en-US"/>
        </w:rPr>
        <w:t>cease</w:t>
      </w:r>
      <w:r w:rsidRPr="00067E60">
        <w:rPr>
          <w:lang w:val="en-US"/>
        </w:rPr>
        <w:t xml:space="preserve"> to reproduce formerly embedded norms and </w:t>
      </w:r>
      <w:r>
        <w:rPr>
          <w:lang w:val="en-US"/>
        </w:rPr>
        <w:t>begin</w:t>
      </w:r>
      <w:r w:rsidRPr="00067E60">
        <w:rPr>
          <w:lang w:val="en-US"/>
        </w:rPr>
        <w:t xml:space="preserve"> to question established logics of appropriateness or regulative features? Why do states with changed interests sometimes push for </w:t>
      </w:r>
      <w:r>
        <w:rPr>
          <w:lang w:val="en-US"/>
        </w:rPr>
        <w:t>degenerations</w:t>
      </w:r>
      <w:r w:rsidRPr="00067E60">
        <w:rPr>
          <w:lang w:val="en-US"/>
        </w:rPr>
        <w:t xml:space="preserve"> but stick to path dependency in other instances? How</w:t>
      </w:r>
      <w:r>
        <w:rPr>
          <w:lang w:val="en-US"/>
        </w:rPr>
        <w:t>,</w:t>
      </w:r>
      <w:r w:rsidRPr="00067E60">
        <w:rPr>
          <w:lang w:val="en-US"/>
        </w:rPr>
        <w:t xml:space="preserve"> and under which conditions</w:t>
      </w:r>
      <w:r>
        <w:rPr>
          <w:lang w:val="en-US"/>
        </w:rPr>
        <w:t>,</w:t>
      </w:r>
      <w:r w:rsidRPr="00067E60">
        <w:rPr>
          <w:lang w:val="en-US"/>
        </w:rPr>
        <w:t xml:space="preserve"> do norm challenges translate into the abolishment of norms? Rationalist and constructivist approaches highlight the importance of environmental change for processes of </w:t>
      </w:r>
      <w:r>
        <w:rPr>
          <w:lang w:val="en-US"/>
        </w:rPr>
        <w:t>norm replacements</w:t>
      </w:r>
      <w:r w:rsidRPr="00067E60">
        <w:rPr>
          <w:lang w:val="en-US"/>
        </w:rPr>
        <w:t xml:space="preserve">. Thus, state of </w:t>
      </w:r>
      <w:r w:rsidRPr="00D84CF3">
        <w:rPr>
          <w:lang w:val="en-US"/>
        </w:rPr>
        <w:t>the art approaches cannot</w:t>
      </w:r>
      <w:r w:rsidRPr="00067E60">
        <w:rPr>
          <w:lang w:val="en-US"/>
        </w:rPr>
        <w:t xml:space="preserve"> explain why some norms are rapidly</w:t>
      </w:r>
      <w:r>
        <w:rPr>
          <w:lang w:val="en-US"/>
        </w:rPr>
        <w:t xml:space="preserve"> degenerated, whilst</w:t>
      </w:r>
      <w:r w:rsidRPr="00067E60">
        <w:rPr>
          <w:lang w:val="en-US"/>
        </w:rPr>
        <w:t xml:space="preserve"> others </w:t>
      </w:r>
      <w:r>
        <w:rPr>
          <w:lang w:val="en-US"/>
        </w:rPr>
        <w:t xml:space="preserve">are merely affected </w:t>
      </w:r>
      <w:r w:rsidRPr="00067E60">
        <w:rPr>
          <w:lang w:val="en-US"/>
        </w:rPr>
        <w:t xml:space="preserve">incrementally, and why some norms are replaced by </w:t>
      </w:r>
      <w:r w:rsidRPr="00067E60">
        <w:rPr>
          <w:lang w:val="en-US"/>
        </w:rPr>
        <w:lastRenderedPageBreak/>
        <w:t xml:space="preserve">competing ones, others are restricted, and yet other norms are abolished without substitution. The next section seeks to fill </w:t>
      </w:r>
      <w:r>
        <w:rPr>
          <w:lang w:val="en-US"/>
        </w:rPr>
        <w:t xml:space="preserve">in </w:t>
      </w:r>
      <w:r w:rsidRPr="00067E60">
        <w:rPr>
          <w:lang w:val="en-US"/>
        </w:rPr>
        <w:t>these gaps and systematically analyses whether and how the character of the norm in question, the nature of environmental changes, compliance monitoring and norm enforcement authorities and the presence of rival norms</w:t>
      </w:r>
      <w:r>
        <w:rPr>
          <w:lang w:val="en-US"/>
        </w:rPr>
        <w:t>,</w:t>
      </w:r>
      <w:r w:rsidRPr="00067E60">
        <w:rPr>
          <w:lang w:val="en-US"/>
        </w:rPr>
        <w:t xml:space="preserve"> influence </w:t>
      </w:r>
      <w:r>
        <w:rPr>
          <w:lang w:val="en-US"/>
        </w:rPr>
        <w:t>degeneration</w:t>
      </w:r>
      <w:r w:rsidRPr="00067E60">
        <w:rPr>
          <w:lang w:val="en-US"/>
        </w:rPr>
        <w:t xml:space="preserve"> processes and outcomes. </w:t>
      </w:r>
    </w:p>
    <w:p w:rsidR="002D24E1" w:rsidRPr="00067E60" w:rsidRDefault="002D24E1" w:rsidP="002D24E1">
      <w:pPr>
        <w:spacing w:line="480" w:lineRule="auto"/>
        <w:jc w:val="both"/>
        <w:rPr>
          <w:lang w:val="en-US"/>
        </w:rPr>
      </w:pPr>
    </w:p>
    <w:p w:rsidR="002D24E1" w:rsidRPr="00067E60" w:rsidRDefault="002D24E1" w:rsidP="002D24E1">
      <w:pPr>
        <w:numPr>
          <w:ilvl w:val="0"/>
          <w:numId w:val="1"/>
        </w:numPr>
        <w:spacing w:line="480" w:lineRule="auto"/>
        <w:jc w:val="both"/>
        <w:rPr>
          <w:b/>
          <w:lang w:val="en-US"/>
        </w:rPr>
      </w:pPr>
      <w:r w:rsidRPr="00067E60">
        <w:rPr>
          <w:b/>
          <w:lang w:val="en-US"/>
        </w:rPr>
        <w:t xml:space="preserve">Accounting for </w:t>
      </w:r>
      <w:r>
        <w:rPr>
          <w:b/>
          <w:lang w:val="en-US"/>
        </w:rPr>
        <w:t>Degeneration</w:t>
      </w:r>
      <w:r w:rsidRPr="00067E60">
        <w:rPr>
          <w:b/>
          <w:lang w:val="en-US"/>
        </w:rPr>
        <w:t xml:space="preserve"> Dynamics</w:t>
      </w:r>
    </w:p>
    <w:p w:rsidR="002D24E1" w:rsidRPr="00067E60" w:rsidRDefault="002D24E1" w:rsidP="002D24E1">
      <w:pPr>
        <w:spacing w:line="480" w:lineRule="auto"/>
        <w:jc w:val="both"/>
        <w:rPr>
          <w:lang w:val="en-US"/>
        </w:rPr>
      </w:pPr>
      <w:r w:rsidRPr="00067E60">
        <w:rPr>
          <w:lang w:val="en-US"/>
        </w:rPr>
        <w:t xml:space="preserve">The state of the art </w:t>
      </w:r>
      <w:r>
        <w:rPr>
          <w:lang w:val="en-US"/>
        </w:rPr>
        <w:t xml:space="preserve">approach </w:t>
      </w:r>
      <w:r w:rsidRPr="00067E60">
        <w:rPr>
          <w:lang w:val="en-US"/>
        </w:rPr>
        <w:t xml:space="preserve">offers rich accounts for the creation of norms on the international level, but is almost silent when it comes to </w:t>
      </w:r>
      <w:r>
        <w:rPr>
          <w:lang w:val="en-US"/>
        </w:rPr>
        <w:t>the disappearance of a formerly embedded norm</w:t>
      </w:r>
      <w:r w:rsidRPr="00067E60">
        <w:rPr>
          <w:lang w:val="en-US"/>
        </w:rPr>
        <w:t xml:space="preserve">. Why do some previously strong norms become rapidly rather than incrementally </w:t>
      </w:r>
      <w:r>
        <w:rPr>
          <w:lang w:val="en-US"/>
        </w:rPr>
        <w:t>weakened</w:t>
      </w:r>
      <w:r w:rsidRPr="00067E60">
        <w:rPr>
          <w:lang w:val="en-US"/>
        </w:rPr>
        <w:t xml:space="preserve"> and </w:t>
      </w:r>
      <w:r>
        <w:rPr>
          <w:lang w:val="en-US"/>
        </w:rPr>
        <w:t xml:space="preserve">similarly </w:t>
      </w:r>
      <w:r w:rsidRPr="00067E60">
        <w:rPr>
          <w:lang w:val="en-US"/>
        </w:rPr>
        <w:t>why are some replaced, while others are not?</w:t>
      </w:r>
    </w:p>
    <w:p w:rsidR="002D24E1" w:rsidRDefault="002D24E1" w:rsidP="002D24E1">
      <w:pPr>
        <w:spacing w:line="480" w:lineRule="auto"/>
        <w:jc w:val="both"/>
        <w:rPr>
          <w:lang w:val="en-US"/>
        </w:rPr>
      </w:pPr>
      <w:r w:rsidRPr="00067E60">
        <w:rPr>
          <w:lang w:val="en-US"/>
        </w:rPr>
        <w:tab/>
        <w:t xml:space="preserve">In order to develop hypotheses on norm </w:t>
      </w:r>
      <w:r>
        <w:rPr>
          <w:lang w:val="en-US"/>
        </w:rPr>
        <w:t>degenerations</w:t>
      </w:r>
      <w:r w:rsidRPr="00067E60">
        <w:rPr>
          <w:lang w:val="en-US"/>
        </w:rPr>
        <w:t>, we first inquire into the</w:t>
      </w:r>
      <w:r>
        <w:rPr>
          <w:lang w:val="en-US"/>
        </w:rPr>
        <w:t xml:space="preserve"> </w:t>
      </w:r>
      <w:r w:rsidRPr="00067E60">
        <w:rPr>
          <w:lang w:val="en-US"/>
        </w:rPr>
        <w:t>necessary condition</w:t>
      </w:r>
      <w:r>
        <w:rPr>
          <w:lang w:val="en-US"/>
        </w:rPr>
        <w:t>s</w:t>
      </w:r>
      <w:r w:rsidRPr="00067E60">
        <w:rPr>
          <w:lang w:val="en-US"/>
        </w:rPr>
        <w:t xml:space="preserve"> for </w:t>
      </w:r>
      <w:r>
        <w:rPr>
          <w:lang w:val="en-US"/>
        </w:rPr>
        <w:t>norm degenerations</w:t>
      </w:r>
      <w:r w:rsidRPr="00067E60">
        <w:rPr>
          <w:lang w:val="en-US"/>
        </w:rPr>
        <w:t xml:space="preserve"> and </w:t>
      </w:r>
      <w:r>
        <w:rPr>
          <w:lang w:val="en-US"/>
        </w:rPr>
        <w:t>then</w:t>
      </w:r>
      <w:r w:rsidRPr="00067E60">
        <w:rPr>
          <w:lang w:val="en-US"/>
        </w:rPr>
        <w:t xml:space="preserve"> distinguish between dynamics and outcomes</w:t>
      </w:r>
      <w:r>
        <w:rPr>
          <w:lang w:val="en-US"/>
        </w:rPr>
        <w:t xml:space="preserve"> as well as the facilitating variables triggering them</w:t>
      </w:r>
      <w:r w:rsidRPr="00067E60">
        <w:rPr>
          <w:lang w:val="en-US"/>
        </w:rPr>
        <w:t xml:space="preserve">. </w:t>
      </w:r>
      <w:r>
        <w:rPr>
          <w:lang w:val="en-US"/>
        </w:rPr>
        <w:t>In general, norm disappearance requires</w:t>
      </w:r>
      <w:r w:rsidRPr="00067E60">
        <w:rPr>
          <w:lang w:val="en-US"/>
        </w:rPr>
        <w:t xml:space="preserve"> that some actors are unsatisfied with a particular norm and have incentives to limit material or cognitive costs through either completely ignoring the norm or curbing it step-by-step. If actors want to save compliance costs </w:t>
      </w:r>
      <w:r>
        <w:rPr>
          <w:lang w:val="en-US"/>
        </w:rPr>
        <w:t>due to</w:t>
      </w:r>
      <w:r w:rsidRPr="00067E60">
        <w:rPr>
          <w:lang w:val="en-US"/>
        </w:rPr>
        <w:t xml:space="preserve"> mismatches between their interests and particular norms or </w:t>
      </w:r>
      <w:r>
        <w:rPr>
          <w:lang w:val="en-US"/>
        </w:rPr>
        <w:t xml:space="preserve">due to </w:t>
      </w:r>
      <w:r w:rsidRPr="00067E60">
        <w:rPr>
          <w:lang w:val="en-US"/>
        </w:rPr>
        <w:t xml:space="preserve">cognitive costs stemming from </w:t>
      </w:r>
      <w:r>
        <w:rPr>
          <w:lang w:val="en-US"/>
        </w:rPr>
        <w:t xml:space="preserve">the </w:t>
      </w:r>
      <w:r w:rsidRPr="00067E60">
        <w:rPr>
          <w:lang w:val="en-US"/>
        </w:rPr>
        <w:t xml:space="preserve">misfit between their identities and a norm, they can violate the latter and thereby introduce </w:t>
      </w:r>
      <w:r>
        <w:rPr>
          <w:lang w:val="en-US"/>
        </w:rPr>
        <w:t xml:space="preserve">the </w:t>
      </w:r>
      <w:r w:rsidRPr="00067E60">
        <w:rPr>
          <w:lang w:val="en-US"/>
        </w:rPr>
        <w:t xml:space="preserve">first steps </w:t>
      </w:r>
      <w:r>
        <w:rPr>
          <w:lang w:val="en-US"/>
        </w:rPr>
        <w:t>towards incremental or rapid norm weakening</w:t>
      </w:r>
      <w:r w:rsidRPr="00067E60">
        <w:rPr>
          <w:lang w:val="en-US"/>
        </w:rPr>
        <w:t xml:space="preserve"> processes. </w:t>
      </w:r>
    </w:p>
    <w:p w:rsidR="002D24E1" w:rsidRPr="00067E60" w:rsidRDefault="002D24E1" w:rsidP="002D24E1">
      <w:pPr>
        <w:spacing w:line="480" w:lineRule="auto"/>
        <w:ind w:firstLine="708"/>
        <w:jc w:val="both"/>
        <w:rPr>
          <w:lang w:val="en-US"/>
        </w:rPr>
      </w:pPr>
      <w:r>
        <w:rPr>
          <w:lang w:val="en-US"/>
        </w:rPr>
        <w:t xml:space="preserve">Yet, non-compliance does not automatically lead to the abolishment an international norm, but the norm violating state is usually criticized and possibly also sanctioned by other state or non-state actors. Yet, a norm can disappear (= de facto </w:t>
      </w:r>
      <w:r>
        <w:rPr>
          <w:lang w:val="en-US"/>
        </w:rPr>
        <w:lastRenderedPageBreak/>
        <w:t>lose its prescriptive status) if the a state’s non-compliance at one point triggers a cascade of norm violations by other actors, who also start to violate the norm instead of individually or collectively criticizing and eventually sanctioning the norm violating state. Thus, i</w:t>
      </w:r>
      <w:r w:rsidRPr="0058064D">
        <w:rPr>
          <w:lang w:val="en-US"/>
        </w:rPr>
        <w:t>f norm violations become the rule rather than the exception</w:t>
      </w:r>
      <w:r>
        <w:rPr>
          <w:lang w:val="en-US"/>
        </w:rPr>
        <w:t>, a n</w:t>
      </w:r>
      <w:r w:rsidRPr="0058064D">
        <w:rPr>
          <w:lang w:val="en-US"/>
        </w:rPr>
        <w:t>orm</w:t>
      </w:r>
      <w:r>
        <w:rPr>
          <w:lang w:val="en-US"/>
        </w:rPr>
        <w:t xml:space="preserve"> is</w:t>
      </w:r>
      <w:r w:rsidRPr="0058064D">
        <w:rPr>
          <w:lang w:val="en-US"/>
        </w:rPr>
        <w:t xml:space="preserve"> in the process of becoming obsolete and </w:t>
      </w:r>
      <w:r>
        <w:rPr>
          <w:lang w:val="en-US"/>
        </w:rPr>
        <w:t>is</w:t>
      </w:r>
      <w:r w:rsidRPr="0058064D">
        <w:rPr>
          <w:lang w:val="en-US"/>
        </w:rPr>
        <w:t xml:space="preserve"> </w:t>
      </w:r>
      <w:r>
        <w:rPr>
          <w:lang w:val="en-US"/>
        </w:rPr>
        <w:t>abolished</w:t>
      </w:r>
      <w:r w:rsidRPr="0058064D">
        <w:rPr>
          <w:lang w:val="en-US"/>
        </w:rPr>
        <w:t xml:space="preserve"> if the emerging new practice is not framed as non-compliance any longer.</w:t>
      </w:r>
      <w:r w:rsidRPr="00184F0D">
        <w:rPr>
          <w:lang w:val="en-US"/>
        </w:rPr>
        <w:t xml:space="preserve"> </w:t>
      </w:r>
      <w:r>
        <w:rPr>
          <w:lang w:val="en-US"/>
        </w:rPr>
        <w:t xml:space="preserve">The processes of norm </w:t>
      </w:r>
      <w:r w:rsidRPr="00827ABB">
        <w:rPr>
          <w:lang w:val="en-US"/>
        </w:rPr>
        <w:t>disappearance</w:t>
      </w:r>
      <w:r>
        <w:rPr>
          <w:lang w:val="en-US"/>
        </w:rPr>
        <w:t xml:space="preserve">s can </w:t>
      </w:r>
      <w:r w:rsidRPr="00067E60">
        <w:rPr>
          <w:lang w:val="en-US"/>
        </w:rPr>
        <w:t>differ</w:t>
      </w:r>
      <w:r>
        <w:rPr>
          <w:lang w:val="en-US"/>
        </w:rPr>
        <w:t xml:space="preserve">, as norms can </w:t>
      </w:r>
      <w:proofErr w:type="spellStart"/>
      <w:r>
        <w:rPr>
          <w:lang w:val="en-US"/>
        </w:rPr>
        <w:t>loose</w:t>
      </w:r>
      <w:proofErr w:type="spellEnd"/>
      <w:r>
        <w:rPr>
          <w:lang w:val="en-US"/>
        </w:rPr>
        <w:t xml:space="preserve"> their prescriptive status incrementally or rapidly</w:t>
      </w:r>
      <w:r w:rsidRPr="00067E60">
        <w:rPr>
          <w:lang w:val="en-US"/>
        </w:rPr>
        <w:t xml:space="preserve">. Incremental change is brought about by actors’ attempts to limit the applicatory scope of a norm, while they do not openly challenge its legitimacy, its prescriptive status </w:t>
      </w:r>
      <w:r>
        <w:rPr>
          <w:lang w:val="en-US"/>
        </w:rPr>
        <w:t>or even</w:t>
      </w:r>
      <w:r w:rsidRPr="00067E60">
        <w:rPr>
          <w:lang w:val="en-US"/>
        </w:rPr>
        <w:t xml:space="preserve"> its aim as such. In </w:t>
      </w:r>
      <w:r>
        <w:rPr>
          <w:lang w:val="en-US"/>
        </w:rPr>
        <w:t>such contexts</w:t>
      </w:r>
      <w:r w:rsidRPr="00067E60">
        <w:rPr>
          <w:lang w:val="en-US"/>
        </w:rPr>
        <w:t xml:space="preserve">, driving agents </w:t>
      </w:r>
      <w:r>
        <w:rPr>
          <w:lang w:val="en-US"/>
        </w:rPr>
        <w:t>typically</w:t>
      </w:r>
      <w:r w:rsidRPr="00067E60">
        <w:rPr>
          <w:lang w:val="en-US"/>
        </w:rPr>
        <w:t xml:space="preserve"> argue that a particular norm, such as the non-intervention norm</w:t>
      </w:r>
      <w:r>
        <w:rPr>
          <w:lang w:val="en-US"/>
        </w:rPr>
        <w:t>, is general</w:t>
      </w:r>
      <w:r w:rsidRPr="00067E60">
        <w:rPr>
          <w:lang w:val="en-US"/>
        </w:rPr>
        <w:t xml:space="preserve">ly a good thing and valid, but cannot be applied to </w:t>
      </w:r>
      <w:r>
        <w:rPr>
          <w:lang w:val="en-US"/>
        </w:rPr>
        <w:t>a particular circumstance</w:t>
      </w:r>
      <w:r w:rsidRPr="00067E60">
        <w:rPr>
          <w:lang w:val="en-US"/>
        </w:rPr>
        <w:t xml:space="preserve"> (e.g. if a state violates fundamental international human rights standards). This curbing</w:t>
      </w:r>
      <w:r>
        <w:rPr>
          <w:lang w:val="en-US"/>
        </w:rPr>
        <w:t xml:space="preserve"> mechanism</w:t>
      </w:r>
      <w:r w:rsidRPr="00067E60">
        <w:rPr>
          <w:lang w:val="en-US"/>
        </w:rPr>
        <w:t xml:space="preserve"> reduces material or cognitive </w:t>
      </w:r>
      <w:r>
        <w:rPr>
          <w:lang w:val="en-US"/>
        </w:rPr>
        <w:t>compliance costs</w:t>
      </w:r>
      <w:r w:rsidRPr="00067E60">
        <w:rPr>
          <w:lang w:val="en-US"/>
        </w:rPr>
        <w:t xml:space="preserve"> step-by-step. If </w:t>
      </w:r>
      <w:r>
        <w:rPr>
          <w:lang w:val="en-US"/>
        </w:rPr>
        <w:t>this</w:t>
      </w:r>
      <w:r w:rsidRPr="00067E60">
        <w:rPr>
          <w:lang w:val="en-US"/>
        </w:rPr>
        <w:t xml:space="preserve"> continues</w:t>
      </w:r>
      <w:r>
        <w:rPr>
          <w:lang w:val="en-US"/>
        </w:rPr>
        <w:t>,</w:t>
      </w:r>
      <w:r w:rsidRPr="00067E60">
        <w:rPr>
          <w:lang w:val="en-US"/>
        </w:rPr>
        <w:t xml:space="preserve"> the applicatory scope becomes more and more limited. Over time, this </w:t>
      </w:r>
      <w:r>
        <w:rPr>
          <w:lang w:val="en-US"/>
        </w:rPr>
        <w:t>can degenerate</w:t>
      </w:r>
      <w:r w:rsidRPr="00067E60">
        <w:rPr>
          <w:lang w:val="en-US"/>
        </w:rPr>
        <w:t xml:space="preserve"> a norm, </w:t>
      </w:r>
      <w:r>
        <w:rPr>
          <w:lang w:val="en-US"/>
        </w:rPr>
        <w:t>since</w:t>
      </w:r>
      <w:r w:rsidRPr="00067E60">
        <w:rPr>
          <w:lang w:val="en-US"/>
        </w:rPr>
        <w:t xml:space="preserve"> its rules can hardly be applied to empirical circumstances anymore, which practically impedes a norms very purpose. In </w:t>
      </w:r>
      <w:r>
        <w:rPr>
          <w:lang w:val="en-US"/>
        </w:rPr>
        <w:t>processes of incremental norm degenerations</w:t>
      </w:r>
      <w:r w:rsidRPr="00067E60">
        <w:rPr>
          <w:lang w:val="en-US"/>
        </w:rPr>
        <w:t xml:space="preserve">, agents can still rhetorically pay tribute </w:t>
      </w:r>
      <w:r>
        <w:rPr>
          <w:lang w:val="en-US"/>
        </w:rPr>
        <w:t>to the aims of the old norm, while</w:t>
      </w:r>
      <w:r w:rsidRPr="00067E60">
        <w:rPr>
          <w:lang w:val="en-US"/>
        </w:rPr>
        <w:t xml:space="preserve"> limiting scopes of application minimizes compliance costs and reduces cognitive mismatches. At the same time, th</w:t>
      </w:r>
      <w:r>
        <w:rPr>
          <w:lang w:val="en-US"/>
        </w:rPr>
        <w:t>e</w:t>
      </w:r>
      <w:r w:rsidRPr="00067E60">
        <w:rPr>
          <w:lang w:val="en-US"/>
        </w:rPr>
        <w:t xml:space="preserve"> incremental manner of change also minimizes the resistance of other actors, who are in favor of the norm and oppose change. Changing agents do not openly criticize the aim of the norm and do not challenge its prescriptive status. Change takes place through the backdoor. This reduces the likelihood that curbing is detected, </w:t>
      </w:r>
      <w:r>
        <w:rPr>
          <w:lang w:val="en-US"/>
        </w:rPr>
        <w:t>or that the action is</w:t>
      </w:r>
      <w:r w:rsidRPr="00067E60">
        <w:rPr>
          <w:lang w:val="en-US"/>
        </w:rPr>
        <w:t xml:space="preserve"> framed as </w:t>
      </w:r>
      <w:r>
        <w:rPr>
          <w:lang w:val="en-US"/>
        </w:rPr>
        <w:t>norm violation</w:t>
      </w:r>
      <w:r w:rsidRPr="00067E60">
        <w:rPr>
          <w:lang w:val="en-US"/>
        </w:rPr>
        <w:t xml:space="preserve"> and provokes resistance </w:t>
      </w:r>
      <w:r>
        <w:rPr>
          <w:lang w:val="en-US"/>
        </w:rPr>
        <w:t xml:space="preserve">from </w:t>
      </w:r>
      <w:r w:rsidRPr="00067E60">
        <w:rPr>
          <w:lang w:val="en-US"/>
        </w:rPr>
        <w:t>other states</w:t>
      </w:r>
      <w:r>
        <w:rPr>
          <w:lang w:val="en-US"/>
        </w:rPr>
        <w:t xml:space="preserve"> who are</w:t>
      </w:r>
      <w:r w:rsidRPr="00067E60">
        <w:rPr>
          <w:lang w:val="en-US"/>
        </w:rPr>
        <w:t xml:space="preserve"> possibly willing to invest </w:t>
      </w:r>
      <w:r w:rsidRPr="00067E60">
        <w:rPr>
          <w:lang w:val="en-US"/>
        </w:rPr>
        <w:lastRenderedPageBreak/>
        <w:t>resources to sanction scope-related deviations in order to protect or restore the norm. In instances in which centralized monitoring or enforcement authorities</w:t>
      </w:r>
      <w:r>
        <w:rPr>
          <w:lang w:val="en-US"/>
        </w:rPr>
        <w:t xml:space="preserve"> </w:t>
      </w:r>
      <w:r w:rsidRPr="00067E60">
        <w:rPr>
          <w:lang w:val="en-US"/>
        </w:rPr>
        <w:t xml:space="preserve">are present, such as international secretariats or international courts, enforcement costs </w:t>
      </w:r>
      <w:r>
        <w:rPr>
          <w:lang w:val="en-US"/>
        </w:rPr>
        <w:t xml:space="preserve">are decentralized </w:t>
      </w:r>
      <w:r w:rsidRPr="00067E60">
        <w:rPr>
          <w:lang w:val="en-US"/>
        </w:rPr>
        <w:t xml:space="preserve">so that no single state has to invest resources to rescue the norm and protect it from change. This </w:t>
      </w:r>
      <w:r>
        <w:rPr>
          <w:lang w:val="en-US"/>
        </w:rPr>
        <w:t>may</w:t>
      </w:r>
      <w:r w:rsidRPr="00067E60">
        <w:rPr>
          <w:lang w:val="en-US"/>
        </w:rPr>
        <w:t xml:space="preserve"> stop incremental </w:t>
      </w:r>
      <w:r>
        <w:rPr>
          <w:lang w:val="en-US"/>
        </w:rPr>
        <w:t>degenerations</w:t>
      </w:r>
      <w:r w:rsidRPr="00067E60">
        <w:rPr>
          <w:lang w:val="en-US"/>
        </w:rPr>
        <w:t xml:space="preserve">. Yet, compared to open challenges of the prescriptive status of a norm, scope-related curbing is harder to detect. Hence, it is less likely that infringement procedures are opened and pursued, if non-compliance is not obvious. </w:t>
      </w:r>
    </w:p>
    <w:p w:rsidR="002D24E1" w:rsidRDefault="002D24E1" w:rsidP="002D24E1">
      <w:pPr>
        <w:spacing w:line="480" w:lineRule="auto"/>
        <w:jc w:val="both"/>
        <w:rPr>
          <w:lang w:val="en-US"/>
        </w:rPr>
      </w:pPr>
      <w:r w:rsidRPr="00067E60">
        <w:rPr>
          <w:lang w:val="en-US"/>
        </w:rPr>
        <w:tab/>
      </w:r>
      <w:r>
        <w:rPr>
          <w:lang w:val="en-US"/>
        </w:rPr>
        <w:t>In</w:t>
      </w:r>
      <w:r w:rsidRPr="00067E60">
        <w:rPr>
          <w:lang w:val="en-US"/>
        </w:rPr>
        <w:t xml:space="preserve"> rapid </w:t>
      </w:r>
      <w:r>
        <w:rPr>
          <w:lang w:val="en-US"/>
        </w:rPr>
        <w:t>processes of norm abolition</w:t>
      </w:r>
      <w:r w:rsidRPr="00067E60">
        <w:rPr>
          <w:lang w:val="en-US"/>
        </w:rPr>
        <w:t>, actors who are unsatisfied with a particular norm do not challenge its scope of application. Instead, they violate</w:t>
      </w:r>
      <w:r>
        <w:rPr>
          <w:lang w:val="en-US"/>
        </w:rPr>
        <w:t xml:space="preserve"> the</w:t>
      </w:r>
      <w:r w:rsidRPr="00067E60">
        <w:rPr>
          <w:lang w:val="en-US"/>
        </w:rPr>
        <w:t xml:space="preserve"> basic aims. This instantly saves compliance costs and reduces material or cognitive mismatches. </w:t>
      </w:r>
      <w:r>
        <w:rPr>
          <w:lang w:val="en-US"/>
        </w:rPr>
        <w:t>A</w:t>
      </w:r>
      <w:r w:rsidRPr="00067E60">
        <w:rPr>
          <w:lang w:val="en-US"/>
        </w:rPr>
        <w:t xml:space="preserve">gents </w:t>
      </w:r>
      <w:r>
        <w:rPr>
          <w:lang w:val="en-US"/>
        </w:rPr>
        <w:t xml:space="preserve">driving degeneration processes </w:t>
      </w:r>
      <w:r w:rsidRPr="00067E60">
        <w:rPr>
          <w:lang w:val="en-US"/>
        </w:rPr>
        <w:t xml:space="preserve">do not justify non-compliant actions as being in line with the norm and they do not highlight the general appropriateness and validity of the old norm. Compared to incremental de-institutionalizations, rapid </w:t>
      </w:r>
      <w:r>
        <w:rPr>
          <w:lang w:val="en-US"/>
        </w:rPr>
        <w:t>degenerations</w:t>
      </w:r>
      <w:r w:rsidRPr="00067E60">
        <w:rPr>
          <w:lang w:val="en-US"/>
        </w:rPr>
        <w:t xml:space="preserve"> are more obvious norm violations. </w:t>
      </w:r>
      <w:r>
        <w:rPr>
          <w:lang w:val="en-US"/>
        </w:rPr>
        <w:t>Consequently, t</w:t>
      </w:r>
      <w:r w:rsidRPr="00067E60">
        <w:rPr>
          <w:lang w:val="en-US"/>
        </w:rPr>
        <w:t xml:space="preserve">hey are </w:t>
      </w:r>
      <w:r>
        <w:rPr>
          <w:lang w:val="en-US"/>
        </w:rPr>
        <w:t>considerably</w:t>
      </w:r>
      <w:r w:rsidRPr="00067E60" w:rsidDel="00FD17B5">
        <w:rPr>
          <w:lang w:val="en-US"/>
        </w:rPr>
        <w:t xml:space="preserve"> </w:t>
      </w:r>
      <w:r w:rsidRPr="00067E60">
        <w:rPr>
          <w:lang w:val="en-US"/>
        </w:rPr>
        <w:t xml:space="preserve">easier to detect by monitoring institutions and norm adhering actors. </w:t>
      </w:r>
      <w:r>
        <w:rPr>
          <w:lang w:val="en-US"/>
        </w:rPr>
        <w:t>T</w:t>
      </w:r>
      <w:r w:rsidRPr="00067E60">
        <w:rPr>
          <w:lang w:val="en-US"/>
        </w:rPr>
        <w:t xml:space="preserve">hus, rapid </w:t>
      </w:r>
      <w:r>
        <w:rPr>
          <w:lang w:val="en-US"/>
        </w:rPr>
        <w:t>degeneration</w:t>
      </w:r>
      <w:r w:rsidRPr="00067E60">
        <w:rPr>
          <w:lang w:val="en-US"/>
        </w:rPr>
        <w:t xml:space="preserve"> processes face a much higher risk of being detected and stopped, if other norm-adhering actors or enforcement authorities are present and willing to invest resources to prevent non-compliance.</w:t>
      </w:r>
    </w:p>
    <w:p w:rsidR="002D24E1" w:rsidRPr="00067E60" w:rsidRDefault="002D24E1" w:rsidP="002D24E1">
      <w:pPr>
        <w:spacing w:line="480" w:lineRule="auto"/>
        <w:jc w:val="both"/>
        <w:rPr>
          <w:lang w:val="en-US"/>
        </w:rPr>
      </w:pPr>
      <w:r w:rsidRPr="00067E60">
        <w:rPr>
          <w:lang w:val="en-US"/>
        </w:rPr>
        <w:tab/>
        <w:t xml:space="preserve">But how do challenges translate into </w:t>
      </w:r>
      <w:r>
        <w:rPr>
          <w:lang w:val="en-US"/>
        </w:rPr>
        <w:t>the abolishment of norms</w:t>
      </w:r>
      <w:r w:rsidRPr="00067E60">
        <w:rPr>
          <w:lang w:val="en-US"/>
        </w:rPr>
        <w:t xml:space="preserve">? Under which conditions can we expect these two </w:t>
      </w:r>
      <w:r>
        <w:rPr>
          <w:lang w:val="en-US"/>
        </w:rPr>
        <w:t>degeneration</w:t>
      </w:r>
      <w:r w:rsidRPr="00067E60">
        <w:rPr>
          <w:lang w:val="en-US"/>
        </w:rPr>
        <w:t xml:space="preserve"> dynamics to take place and actually succeed? </w:t>
      </w:r>
      <w:r>
        <w:rPr>
          <w:lang w:val="en-US"/>
        </w:rPr>
        <w:t>When are norms substituted and when do they disappear completely?</w:t>
      </w:r>
    </w:p>
    <w:p w:rsidR="002D24E1" w:rsidRDefault="002D24E1" w:rsidP="00532611">
      <w:pPr>
        <w:spacing w:line="480" w:lineRule="auto"/>
        <w:ind w:firstLine="708"/>
        <w:jc w:val="both"/>
        <w:rPr>
          <w:lang w:val="en-US"/>
        </w:rPr>
      </w:pPr>
      <w:r>
        <w:rPr>
          <w:lang w:val="en-US"/>
        </w:rPr>
        <w:lastRenderedPageBreak/>
        <w:t>Firstly, highly u</w:t>
      </w:r>
      <w:r w:rsidRPr="00067E60">
        <w:rPr>
          <w:lang w:val="en-US"/>
        </w:rPr>
        <w:t>nstable environment</w:t>
      </w:r>
      <w:r>
        <w:rPr>
          <w:lang w:val="en-US"/>
        </w:rPr>
        <w:t>s</w:t>
      </w:r>
      <w:r w:rsidRPr="00067E60">
        <w:rPr>
          <w:lang w:val="en-US"/>
        </w:rPr>
        <w:t xml:space="preserve"> </w:t>
      </w:r>
      <w:r>
        <w:rPr>
          <w:lang w:val="en-US"/>
        </w:rPr>
        <w:t xml:space="preserve">in the immediate context of the norm </w:t>
      </w:r>
      <w:r w:rsidRPr="00067E60">
        <w:rPr>
          <w:lang w:val="en-US"/>
        </w:rPr>
        <w:t>facilitat</w:t>
      </w:r>
      <w:r>
        <w:rPr>
          <w:lang w:val="en-US"/>
        </w:rPr>
        <w:t>e</w:t>
      </w:r>
      <w:r w:rsidRPr="00067E60">
        <w:rPr>
          <w:lang w:val="en-US"/>
        </w:rPr>
        <w:t xml:space="preserve"> rapid </w:t>
      </w:r>
      <w:r>
        <w:rPr>
          <w:lang w:val="en-US"/>
        </w:rPr>
        <w:t>degenerations</w:t>
      </w:r>
      <w:r w:rsidRPr="00067E60">
        <w:rPr>
          <w:lang w:val="en-US"/>
        </w:rPr>
        <w:t>.</w:t>
      </w:r>
      <w:r w:rsidR="007519C8">
        <w:rPr>
          <w:rStyle w:val="FootnoteReference"/>
          <w:lang w:val="en-US"/>
        </w:rPr>
        <w:footnoteReference w:id="19"/>
      </w:r>
      <w:r w:rsidRPr="00067E60">
        <w:rPr>
          <w:lang w:val="en-US"/>
        </w:rPr>
        <w:t xml:space="preserve"> Norms reduce uncertainty and stabilize mutual expectations. Hence, sunk costs and transaction costs necessary for fundamental and rapid norm changes are especially high</w:t>
      </w:r>
      <w:r>
        <w:rPr>
          <w:lang w:val="en-US"/>
        </w:rPr>
        <w:t xml:space="preserve"> in stable</w:t>
      </w:r>
      <w:r w:rsidRPr="00067E60">
        <w:rPr>
          <w:lang w:val="en-US"/>
        </w:rPr>
        <w:t xml:space="preserve"> environments. These costs considerably decline in unstable environments</w:t>
      </w:r>
      <w:r>
        <w:rPr>
          <w:lang w:val="en-US"/>
        </w:rPr>
        <w:t>, where many other norms that relate to the norm in question are in flux or where innovations alter traditions</w:t>
      </w:r>
      <w:r w:rsidRPr="00067E60">
        <w:rPr>
          <w:lang w:val="en-US"/>
        </w:rPr>
        <w:t xml:space="preserve">, particularly if </w:t>
      </w:r>
      <w:r>
        <w:rPr>
          <w:lang w:val="en-US"/>
        </w:rPr>
        <w:t>the</w:t>
      </w:r>
      <w:r w:rsidRPr="00067E60">
        <w:rPr>
          <w:lang w:val="en-US"/>
        </w:rPr>
        <w:t xml:space="preserve"> rapid </w:t>
      </w:r>
      <w:r>
        <w:rPr>
          <w:lang w:val="en-US"/>
        </w:rPr>
        <w:t xml:space="preserve">contextual </w:t>
      </w:r>
      <w:r w:rsidRPr="00067E60">
        <w:rPr>
          <w:lang w:val="en-US"/>
        </w:rPr>
        <w:t xml:space="preserve">change </w:t>
      </w:r>
      <w:r>
        <w:rPr>
          <w:lang w:val="en-US"/>
        </w:rPr>
        <w:t>proves</w:t>
      </w:r>
      <w:r w:rsidRPr="00067E60">
        <w:rPr>
          <w:lang w:val="en-US"/>
        </w:rPr>
        <w:t xml:space="preserve"> a</w:t>
      </w:r>
      <w:r>
        <w:rPr>
          <w:lang w:val="en-US"/>
        </w:rPr>
        <w:t xml:space="preserve"> particular old</w:t>
      </w:r>
      <w:r w:rsidRPr="00067E60">
        <w:rPr>
          <w:lang w:val="en-US"/>
        </w:rPr>
        <w:t xml:space="preserve"> norm as dysfunctional. </w:t>
      </w:r>
      <w:r>
        <w:rPr>
          <w:lang w:val="en-US"/>
        </w:rPr>
        <w:t>In addition</w:t>
      </w:r>
      <w:r w:rsidRPr="00067E60">
        <w:rPr>
          <w:lang w:val="en-US"/>
        </w:rPr>
        <w:t xml:space="preserve">, it is more likely that many actors support </w:t>
      </w:r>
      <w:r>
        <w:rPr>
          <w:lang w:val="en-US"/>
        </w:rPr>
        <w:t>the abolition of a dysfunctional norm</w:t>
      </w:r>
      <w:r w:rsidRPr="00067E60">
        <w:rPr>
          <w:lang w:val="en-US"/>
        </w:rPr>
        <w:t xml:space="preserve">. </w:t>
      </w:r>
      <w:r>
        <w:rPr>
          <w:lang w:val="en-US"/>
        </w:rPr>
        <w:t>R</w:t>
      </w:r>
      <w:r w:rsidRPr="00067E60">
        <w:rPr>
          <w:lang w:val="en-US"/>
        </w:rPr>
        <w:t xml:space="preserve">apid environmental changes </w:t>
      </w:r>
      <w:r>
        <w:rPr>
          <w:lang w:val="en-US"/>
        </w:rPr>
        <w:t xml:space="preserve">in the immediate context of a particular norm can also </w:t>
      </w:r>
      <w:r w:rsidRPr="00067E60">
        <w:rPr>
          <w:lang w:val="en-US"/>
        </w:rPr>
        <w:t xml:space="preserve">create fundamental cognitive misfits </w:t>
      </w:r>
      <w:r w:rsidR="00532611">
        <w:rPr>
          <w:lang w:val="en-US"/>
        </w:rPr>
        <w:t>as</w:t>
      </w:r>
      <w:r w:rsidRPr="00067E60">
        <w:rPr>
          <w:lang w:val="en-US"/>
        </w:rPr>
        <w:t xml:space="preserve"> incentives to quickly deinstitutionalize the norm</w:t>
      </w:r>
      <w:r>
        <w:rPr>
          <w:lang w:val="en-US"/>
        </w:rPr>
        <w:t xml:space="preserve">. </w:t>
      </w:r>
      <w:r w:rsidR="00532611">
        <w:rPr>
          <w:lang w:val="en-US"/>
        </w:rPr>
        <w:t>In a</w:t>
      </w:r>
      <w:r w:rsidRPr="00067E60">
        <w:rPr>
          <w:lang w:val="en-US"/>
        </w:rPr>
        <w:t xml:space="preserve"> stable or a slowly </w:t>
      </w:r>
      <w:r w:rsidR="00532611">
        <w:rPr>
          <w:lang w:val="en-US"/>
        </w:rPr>
        <w:t xml:space="preserve">changing environment, by contrast, </w:t>
      </w:r>
      <w:r>
        <w:rPr>
          <w:lang w:val="en-US"/>
        </w:rPr>
        <w:t>it is</w:t>
      </w:r>
      <w:r w:rsidRPr="00067E60">
        <w:rPr>
          <w:lang w:val="en-US"/>
        </w:rPr>
        <w:t xml:space="preserve"> less likely </w:t>
      </w:r>
      <w:r>
        <w:rPr>
          <w:lang w:val="en-US"/>
        </w:rPr>
        <w:t>that</w:t>
      </w:r>
      <w:r w:rsidRPr="00067E60">
        <w:rPr>
          <w:lang w:val="en-US"/>
        </w:rPr>
        <w:t xml:space="preserve"> many states seek to abolish the norm at once, </w:t>
      </w:r>
      <w:r>
        <w:rPr>
          <w:lang w:val="en-US"/>
        </w:rPr>
        <w:t>which increases the chances that</w:t>
      </w:r>
      <w:r w:rsidRPr="00067E60">
        <w:rPr>
          <w:lang w:val="en-US"/>
        </w:rPr>
        <w:t xml:space="preserve"> </w:t>
      </w:r>
      <w:r>
        <w:rPr>
          <w:lang w:val="en-US"/>
        </w:rPr>
        <w:t>norm violations</w:t>
      </w:r>
      <w:r w:rsidRPr="00067E60">
        <w:rPr>
          <w:lang w:val="en-US"/>
        </w:rPr>
        <w:t xml:space="preserve"> </w:t>
      </w:r>
      <w:r>
        <w:rPr>
          <w:lang w:val="en-US"/>
        </w:rPr>
        <w:t xml:space="preserve">are </w:t>
      </w:r>
      <w:r w:rsidRPr="00067E60">
        <w:rPr>
          <w:lang w:val="en-US"/>
        </w:rPr>
        <w:t xml:space="preserve">regarded </w:t>
      </w:r>
      <w:r>
        <w:rPr>
          <w:lang w:val="en-US"/>
        </w:rPr>
        <w:t>as inappropriate behavior and eventually</w:t>
      </w:r>
      <w:r w:rsidRPr="00067E60">
        <w:rPr>
          <w:lang w:val="en-US"/>
        </w:rPr>
        <w:t xml:space="preserve"> punish</w:t>
      </w:r>
      <w:r>
        <w:rPr>
          <w:lang w:val="en-US"/>
        </w:rPr>
        <w:t>ed.</w:t>
      </w:r>
      <w:r w:rsidRPr="00067E60">
        <w:rPr>
          <w:lang w:val="en-US"/>
        </w:rPr>
        <w:t xml:space="preserve"> </w:t>
      </w:r>
      <w:r>
        <w:rPr>
          <w:lang w:val="en-US"/>
        </w:rPr>
        <w:t xml:space="preserve">The variable stability of the environment is </w:t>
      </w:r>
      <w:proofErr w:type="spellStart"/>
      <w:r>
        <w:rPr>
          <w:lang w:val="en-US"/>
        </w:rPr>
        <w:t>operationalised</w:t>
      </w:r>
      <w:proofErr w:type="spellEnd"/>
      <w:r>
        <w:rPr>
          <w:lang w:val="en-US"/>
        </w:rPr>
        <w:t xml:space="preserve"> in the following way: Rapid environmental changes are characterized by fundamental changes in the relevant context. Thus, in the policy or regulatory field to which the norm in question belongs, there are </w:t>
      </w:r>
      <w:r w:rsidRPr="00317D31">
        <w:rPr>
          <w:lang w:val="en-US"/>
        </w:rPr>
        <w:t>many new norms evolving in a short period of time</w:t>
      </w:r>
      <w:r>
        <w:rPr>
          <w:lang w:val="en-US"/>
        </w:rPr>
        <w:t>, or new scientific or technological insights trigger a paradigm shift,</w:t>
      </w:r>
      <w:r w:rsidRPr="00317D31">
        <w:rPr>
          <w:lang w:val="en-US"/>
        </w:rPr>
        <w:t xml:space="preserve"> or many</w:t>
      </w:r>
      <w:r>
        <w:rPr>
          <w:lang w:val="en-US"/>
        </w:rPr>
        <w:t xml:space="preserve"> related </w:t>
      </w:r>
      <w:r w:rsidRPr="00317D31">
        <w:rPr>
          <w:lang w:val="en-US"/>
        </w:rPr>
        <w:t>norms are suddenly violated</w:t>
      </w:r>
      <w:r>
        <w:rPr>
          <w:lang w:val="en-US"/>
        </w:rPr>
        <w:t>, so that the regulative, technological or normative context in which the norm in question is situated changes very quickly</w:t>
      </w:r>
      <w:r w:rsidRPr="00317D31">
        <w:rPr>
          <w:lang w:val="en-US"/>
        </w:rPr>
        <w:t>.</w:t>
      </w:r>
      <w:r>
        <w:rPr>
          <w:lang w:val="en-US"/>
        </w:rPr>
        <w:t xml:space="preserve"> In a stable environment, by contrast, the relevant scientific, normative or regulatory context of a norm does not change: no major technological innovations are made, no new norms come into existence that relate to the norm in question, or other </w:t>
      </w:r>
      <w:r w:rsidRPr="00317D31">
        <w:rPr>
          <w:lang w:val="en-US"/>
        </w:rPr>
        <w:t xml:space="preserve">norms are </w:t>
      </w:r>
      <w:r>
        <w:rPr>
          <w:lang w:val="en-US"/>
        </w:rPr>
        <w:t xml:space="preserve">hardly </w:t>
      </w:r>
      <w:r w:rsidRPr="00317D31">
        <w:rPr>
          <w:lang w:val="en-US"/>
        </w:rPr>
        <w:t>violated</w:t>
      </w:r>
      <w:r>
        <w:rPr>
          <w:lang w:val="en-US"/>
        </w:rPr>
        <w:t xml:space="preserve">. </w:t>
      </w:r>
    </w:p>
    <w:p w:rsidR="002D24E1" w:rsidRDefault="002D24E1" w:rsidP="00A96AF6">
      <w:pPr>
        <w:spacing w:line="480" w:lineRule="auto"/>
        <w:ind w:firstLine="708"/>
        <w:jc w:val="both"/>
        <w:rPr>
          <w:lang w:val="en-US"/>
        </w:rPr>
      </w:pPr>
      <w:r w:rsidRPr="00067E60">
        <w:rPr>
          <w:lang w:val="en-US"/>
        </w:rPr>
        <w:lastRenderedPageBreak/>
        <w:t xml:space="preserve">A second facilitating variable is the character of the norm in question. Very precise norms have clearly defined aims, detailed procedures without complex undefined concepts, without overlapping regulations, and have precisely defined applicatory scopes (e.g. enumerated exceptions without introducing new and </w:t>
      </w:r>
      <w:r>
        <w:rPr>
          <w:lang w:val="en-US"/>
        </w:rPr>
        <w:t>vague</w:t>
      </w:r>
      <w:r w:rsidRPr="00067E60">
        <w:rPr>
          <w:lang w:val="en-US"/>
        </w:rPr>
        <w:t xml:space="preserve"> concepts). Precise norms foster rapid </w:t>
      </w:r>
      <w:r>
        <w:rPr>
          <w:lang w:val="en-US"/>
        </w:rPr>
        <w:t>degenerations</w:t>
      </w:r>
      <w:r w:rsidRPr="00067E60">
        <w:rPr>
          <w:lang w:val="en-US"/>
        </w:rPr>
        <w:t xml:space="preserve">, while </w:t>
      </w:r>
      <w:r>
        <w:rPr>
          <w:lang w:val="en-US"/>
        </w:rPr>
        <w:t>their imprecise</w:t>
      </w:r>
      <w:r w:rsidRPr="00067E60">
        <w:rPr>
          <w:lang w:val="en-US"/>
        </w:rPr>
        <w:t xml:space="preserve"> </w:t>
      </w:r>
      <w:r>
        <w:rPr>
          <w:lang w:val="en-US"/>
        </w:rPr>
        <w:t>counterparts</w:t>
      </w:r>
      <w:r w:rsidRPr="00067E60">
        <w:rPr>
          <w:lang w:val="en-US"/>
        </w:rPr>
        <w:t xml:space="preserve"> facilitate incremental change</w:t>
      </w:r>
      <w:r>
        <w:rPr>
          <w:lang w:val="en-US"/>
        </w:rPr>
        <w:t>s</w:t>
      </w:r>
      <w:r w:rsidRPr="00067E60">
        <w:rPr>
          <w:lang w:val="en-US"/>
        </w:rPr>
        <w:t xml:space="preserve">. </w:t>
      </w:r>
      <w:r w:rsidR="00A96AF6">
        <w:rPr>
          <w:lang w:val="en-US"/>
        </w:rPr>
        <w:t>Precise norms prevent disguising violations of the vague aspects of the norm (e.g. in limiting the applicatory scope) as still being in line with the norm in principle, which renders the detection of non-compliance and its sanctioning easier and speeds up degeneration processes especially in the context of a rapidly changing environment. In regard to imprecise norms, by contrast,</w:t>
      </w:r>
      <w:r w:rsidRPr="00067E60">
        <w:rPr>
          <w:lang w:val="en-US"/>
        </w:rPr>
        <w:t xml:space="preserve"> strategic rational actors can save some compliance costs</w:t>
      </w:r>
      <w:r w:rsidR="00A96AF6">
        <w:rPr>
          <w:lang w:val="en-US"/>
        </w:rPr>
        <w:t xml:space="preserve"> in violating the vague aspects of a norm</w:t>
      </w:r>
      <w:r w:rsidRPr="00067E60">
        <w:rPr>
          <w:lang w:val="en-US"/>
        </w:rPr>
        <w:t xml:space="preserve">, </w:t>
      </w:r>
      <w:r>
        <w:rPr>
          <w:lang w:val="en-US"/>
        </w:rPr>
        <w:t>whilst</w:t>
      </w:r>
      <w:r w:rsidRPr="00067E60">
        <w:rPr>
          <w:lang w:val="en-US"/>
        </w:rPr>
        <w:t xml:space="preserve"> still </w:t>
      </w:r>
      <w:r w:rsidR="00A96AF6">
        <w:rPr>
          <w:lang w:val="en-US"/>
        </w:rPr>
        <w:t xml:space="preserve">pretending to </w:t>
      </w:r>
      <w:r w:rsidRPr="00067E60">
        <w:rPr>
          <w:lang w:val="en-US"/>
        </w:rPr>
        <w:t>obey the norm</w:t>
      </w:r>
      <w:r w:rsidR="00A96AF6">
        <w:rPr>
          <w:lang w:val="en-US"/>
        </w:rPr>
        <w:t xml:space="preserve"> as a whole. This</w:t>
      </w:r>
      <w:r w:rsidRPr="00067E60">
        <w:rPr>
          <w:lang w:val="en-US"/>
        </w:rPr>
        <w:t xml:space="preserve"> reduces the risk of being accused of and punished for norm violations</w:t>
      </w:r>
      <w:r w:rsidR="00A96AF6">
        <w:rPr>
          <w:lang w:val="en-US"/>
        </w:rPr>
        <w:t xml:space="preserve"> and fosters a slow, step-by-step curbing of the norm instead of a speedy degeneration</w:t>
      </w:r>
      <w:r w:rsidRPr="00067E60">
        <w:rPr>
          <w:lang w:val="en-US"/>
        </w:rPr>
        <w:t>.</w:t>
      </w:r>
      <w:r w:rsidR="00A96AF6">
        <w:rPr>
          <w:rStyle w:val="FootnoteReference"/>
          <w:lang w:val="en-US"/>
        </w:rPr>
        <w:footnoteReference w:id="20"/>
      </w:r>
      <w:r w:rsidRPr="00067E60">
        <w:rPr>
          <w:lang w:val="en-US"/>
        </w:rPr>
        <w:t xml:space="preserve"> </w:t>
      </w:r>
      <w:r>
        <w:rPr>
          <w:lang w:val="en-US"/>
        </w:rPr>
        <w:t xml:space="preserve">The precision/imprecision of norms is </w:t>
      </w:r>
      <w:proofErr w:type="spellStart"/>
      <w:r>
        <w:rPr>
          <w:lang w:val="en-US"/>
        </w:rPr>
        <w:t>operationalised</w:t>
      </w:r>
      <w:proofErr w:type="spellEnd"/>
      <w:r>
        <w:rPr>
          <w:lang w:val="en-US"/>
        </w:rPr>
        <w:t xml:space="preserve"> through the extent to which norms have clearly defined aims and</w:t>
      </w:r>
      <w:r w:rsidRPr="00067E60">
        <w:rPr>
          <w:lang w:val="en-US"/>
        </w:rPr>
        <w:t xml:space="preserve"> procedures</w:t>
      </w:r>
      <w:r w:rsidRPr="00EB5A69">
        <w:rPr>
          <w:lang w:val="en-US"/>
        </w:rPr>
        <w:t xml:space="preserve"> </w:t>
      </w:r>
      <w:r w:rsidRPr="00067E60">
        <w:rPr>
          <w:lang w:val="en-US"/>
        </w:rPr>
        <w:t>and have precisely defined applicatory scopes</w:t>
      </w:r>
      <w:r>
        <w:rPr>
          <w:lang w:val="en-US"/>
        </w:rPr>
        <w:t>. Thus, vague norms entail</w:t>
      </w:r>
      <w:r w:rsidRPr="00067E60">
        <w:rPr>
          <w:lang w:val="en-US"/>
        </w:rPr>
        <w:t xml:space="preserve"> complex undefined concepts, </w:t>
      </w:r>
      <w:r>
        <w:rPr>
          <w:lang w:val="en-US"/>
        </w:rPr>
        <w:t>indistinct or conflicting procedures, unclear or</w:t>
      </w:r>
      <w:r w:rsidRPr="00067E60">
        <w:rPr>
          <w:lang w:val="en-US"/>
        </w:rPr>
        <w:t xml:space="preserve"> overlapping </w:t>
      </w:r>
      <w:r>
        <w:rPr>
          <w:lang w:val="en-US"/>
        </w:rPr>
        <w:t>aims</w:t>
      </w:r>
      <w:r w:rsidRPr="00067E60">
        <w:rPr>
          <w:lang w:val="en-US"/>
        </w:rPr>
        <w:t xml:space="preserve">, </w:t>
      </w:r>
      <w:r>
        <w:rPr>
          <w:lang w:val="en-US"/>
        </w:rPr>
        <w:t xml:space="preserve">and </w:t>
      </w:r>
      <w:r w:rsidRPr="00067E60">
        <w:rPr>
          <w:lang w:val="en-US"/>
        </w:rPr>
        <w:t>exception</w:t>
      </w:r>
      <w:r>
        <w:rPr>
          <w:lang w:val="en-US"/>
        </w:rPr>
        <w:t>al clauses</w:t>
      </w:r>
      <w:r w:rsidRPr="00067E60">
        <w:rPr>
          <w:lang w:val="en-US"/>
        </w:rPr>
        <w:t xml:space="preserve"> </w:t>
      </w:r>
      <w:r>
        <w:rPr>
          <w:lang w:val="en-US"/>
        </w:rPr>
        <w:t xml:space="preserve">that increase the interpretational leeway. </w:t>
      </w:r>
    </w:p>
    <w:p w:rsidR="00E476F4" w:rsidRDefault="00A96AF6" w:rsidP="002D24E1">
      <w:pPr>
        <w:spacing w:line="480" w:lineRule="auto"/>
        <w:ind w:firstLine="708"/>
        <w:jc w:val="both"/>
        <w:rPr>
          <w:lang w:val="en-US"/>
        </w:rPr>
      </w:pPr>
      <w:r>
        <w:rPr>
          <w:lang w:val="en-US"/>
        </w:rPr>
        <w:t>Norm</w:t>
      </w:r>
      <w:r w:rsidR="002D24E1" w:rsidRPr="00067E60">
        <w:rPr>
          <w:lang w:val="en-US"/>
        </w:rPr>
        <w:t xml:space="preserve"> </w:t>
      </w:r>
      <w:r w:rsidR="002D24E1">
        <w:rPr>
          <w:lang w:val="en-US"/>
        </w:rPr>
        <w:t>degenerations</w:t>
      </w:r>
      <w:r w:rsidR="00E476F4">
        <w:rPr>
          <w:lang w:val="en-US"/>
        </w:rPr>
        <w:t xml:space="preserve"> processes</w:t>
      </w:r>
      <w:r w:rsidR="002D24E1" w:rsidRPr="00067E60">
        <w:rPr>
          <w:lang w:val="en-US"/>
        </w:rPr>
        <w:t xml:space="preserve"> are </w:t>
      </w:r>
      <w:r w:rsidR="002D24E1">
        <w:rPr>
          <w:lang w:val="en-US"/>
        </w:rPr>
        <w:t xml:space="preserve">more likely </w:t>
      </w:r>
      <w:r w:rsidR="002D24E1" w:rsidRPr="00067E60">
        <w:rPr>
          <w:lang w:val="en-US"/>
        </w:rPr>
        <w:t>successful if other actors do not or cannot invest resources to punish obvious or hidden</w:t>
      </w:r>
      <w:r w:rsidR="002D24E1">
        <w:rPr>
          <w:lang w:val="en-US"/>
        </w:rPr>
        <w:t xml:space="preserve"> instances of</w:t>
      </w:r>
      <w:r w:rsidR="002D24E1" w:rsidRPr="00067E60">
        <w:rPr>
          <w:lang w:val="en-US"/>
        </w:rPr>
        <w:t xml:space="preserve"> non-compliance</w:t>
      </w:r>
      <w:r w:rsidR="00E476F4">
        <w:rPr>
          <w:lang w:val="en-US"/>
        </w:rPr>
        <w:t xml:space="preserve"> in order to stabilize and defend the norm in question</w:t>
      </w:r>
      <w:r w:rsidR="002D24E1" w:rsidRPr="00067E60">
        <w:rPr>
          <w:lang w:val="en-US"/>
        </w:rPr>
        <w:t>.</w:t>
      </w:r>
      <w:r w:rsidR="002D24E1">
        <w:rPr>
          <w:rStyle w:val="FootnoteReference"/>
          <w:lang w:val="en-US"/>
        </w:rPr>
        <w:footnoteReference w:id="21"/>
      </w:r>
      <w:r w:rsidR="002D24E1" w:rsidRPr="00067E60">
        <w:rPr>
          <w:lang w:val="en-US"/>
        </w:rPr>
        <w:t xml:space="preserve"> In particular if there is no </w:t>
      </w:r>
      <w:r w:rsidR="002D24E1" w:rsidRPr="00067E60">
        <w:rPr>
          <w:lang w:val="en-US"/>
        </w:rPr>
        <w:lastRenderedPageBreak/>
        <w:t>centralized enforcement authority, such as a court with jurisdiction over the non-compliant state</w:t>
      </w:r>
      <w:r>
        <w:rPr>
          <w:lang w:val="en-US"/>
        </w:rPr>
        <w:t>s</w:t>
      </w:r>
      <w:r w:rsidR="002D24E1" w:rsidRPr="00067E60">
        <w:rPr>
          <w:lang w:val="en-US"/>
        </w:rPr>
        <w:t xml:space="preserve">, non-enforcement is </w:t>
      </w:r>
      <w:r w:rsidR="002D24E1">
        <w:rPr>
          <w:lang w:val="en-US"/>
        </w:rPr>
        <w:t xml:space="preserve">more </w:t>
      </w:r>
      <w:r w:rsidR="002D24E1" w:rsidRPr="00067E60">
        <w:rPr>
          <w:lang w:val="en-US"/>
        </w:rPr>
        <w:t xml:space="preserve">likely. This, in turn, </w:t>
      </w:r>
      <w:r w:rsidR="00E476F4">
        <w:rPr>
          <w:lang w:val="en-US"/>
        </w:rPr>
        <w:t>feeds into</w:t>
      </w:r>
      <w:r w:rsidR="002D24E1" w:rsidRPr="00067E60">
        <w:rPr>
          <w:lang w:val="en-US"/>
        </w:rPr>
        <w:t xml:space="preserve"> </w:t>
      </w:r>
      <w:r w:rsidR="002D24E1">
        <w:rPr>
          <w:lang w:val="en-US"/>
        </w:rPr>
        <w:t>degeneration</w:t>
      </w:r>
      <w:r w:rsidR="00E476F4">
        <w:rPr>
          <w:lang w:val="en-US"/>
        </w:rPr>
        <w:t xml:space="preserve"> cascades with every additional actor who</w:t>
      </w:r>
      <w:r w:rsidR="002D24E1" w:rsidRPr="00067E60">
        <w:rPr>
          <w:lang w:val="en-US"/>
        </w:rPr>
        <w:t xml:space="preserve"> shift</w:t>
      </w:r>
      <w:r w:rsidR="00E476F4">
        <w:rPr>
          <w:lang w:val="en-US"/>
        </w:rPr>
        <w:t>s</w:t>
      </w:r>
      <w:r w:rsidR="002D24E1" w:rsidRPr="00067E60">
        <w:rPr>
          <w:lang w:val="en-US"/>
        </w:rPr>
        <w:t xml:space="preserve"> into non-compliance in order to avoid paying compliance costs</w:t>
      </w:r>
      <w:r w:rsidR="00E476F4">
        <w:rPr>
          <w:lang w:val="en-US"/>
        </w:rPr>
        <w:t xml:space="preserve"> while others are already free-riding</w:t>
      </w:r>
      <w:r w:rsidR="002D24E1" w:rsidRPr="00067E60">
        <w:rPr>
          <w:lang w:val="en-US"/>
        </w:rPr>
        <w:t>.</w:t>
      </w:r>
    </w:p>
    <w:p w:rsidR="002D24E1" w:rsidRDefault="002D24E1" w:rsidP="002D24E1">
      <w:pPr>
        <w:spacing w:line="480" w:lineRule="auto"/>
        <w:ind w:firstLine="708"/>
        <w:jc w:val="both"/>
        <w:rPr>
          <w:lang w:val="en-US"/>
        </w:rPr>
      </w:pPr>
      <w:r w:rsidRPr="00067E60">
        <w:rPr>
          <w:lang w:val="en-US"/>
        </w:rPr>
        <w:tab/>
        <w:t xml:space="preserve">There are two outcomes of </w:t>
      </w:r>
      <w:r>
        <w:rPr>
          <w:lang w:val="en-US"/>
        </w:rPr>
        <w:t>degeneration</w:t>
      </w:r>
      <w:r w:rsidRPr="00067E60">
        <w:rPr>
          <w:lang w:val="en-US"/>
        </w:rPr>
        <w:t xml:space="preserve"> dynamics. Norms can be abolished with or without </w:t>
      </w:r>
      <w:r>
        <w:rPr>
          <w:lang w:val="en-US"/>
        </w:rPr>
        <w:t xml:space="preserve">complete or partial </w:t>
      </w:r>
      <w:r w:rsidRPr="00067E60">
        <w:rPr>
          <w:lang w:val="en-US"/>
        </w:rPr>
        <w:t xml:space="preserve">substitution, depending on whether a competing norm is present or </w:t>
      </w:r>
      <w:r>
        <w:rPr>
          <w:lang w:val="en-US"/>
        </w:rPr>
        <w:t>absent</w:t>
      </w:r>
      <w:r w:rsidRPr="00067E60">
        <w:rPr>
          <w:lang w:val="en-US"/>
        </w:rPr>
        <w:t xml:space="preserve">. </w:t>
      </w:r>
      <w:r>
        <w:rPr>
          <w:lang w:val="en-US"/>
        </w:rPr>
        <w:t xml:space="preserve">Without a competing norm, norm substitution is impossible. </w:t>
      </w:r>
    </w:p>
    <w:p w:rsidR="002D24E1" w:rsidRDefault="002D24E1" w:rsidP="002D24E1">
      <w:pPr>
        <w:spacing w:line="480" w:lineRule="auto"/>
        <w:jc w:val="both"/>
        <w:rPr>
          <w:lang w:val="en-US"/>
        </w:rPr>
      </w:pPr>
    </w:p>
    <w:p w:rsidR="002D24E1" w:rsidRDefault="002D24E1" w:rsidP="002D24E1">
      <w:pPr>
        <w:spacing w:line="480" w:lineRule="auto"/>
        <w:jc w:val="both"/>
        <w:rPr>
          <w:lang w:val="en-US"/>
        </w:rPr>
      </w:pPr>
      <w:r w:rsidRPr="00067E60">
        <w:rPr>
          <w:lang w:val="en-US"/>
        </w:rPr>
        <w:t>In the subsequent section</w:t>
      </w:r>
      <w:r>
        <w:rPr>
          <w:lang w:val="en-US"/>
        </w:rPr>
        <w:t xml:space="preserve">s, we test the expectations on dynamics and outcomes of norm degenerations </w:t>
      </w:r>
      <w:r w:rsidRPr="00067E60">
        <w:rPr>
          <w:lang w:val="en-US"/>
        </w:rPr>
        <w:t xml:space="preserve">with qualitative case studies, selected according to a most similar systems design. We keep the enforcement aspect constant across the cases: in </w:t>
      </w:r>
      <w:r>
        <w:rPr>
          <w:lang w:val="en-US"/>
        </w:rPr>
        <w:t>none</w:t>
      </w:r>
      <w:r w:rsidRPr="00067E60">
        <w:rPr>
          <w:lang w:val="en-US"/>
        </w:rPr>
        <w:t xml:space="preserve"> of the cases</w:t>
      </w:r>
      <w:r>
        <w:rPr>
          <w:lang w:val="en-US"/>
        </w:rPr>
        <w:t xml:space="preserve"> </w:t>
      </w:r>
      <w:r w:rsidRPr="00067E60">
        <w:rPr>
          <w:lang w:val="en-US"/>
        </w:rPr>
        <w:t xml:space="preserve">international courts were active in punishing non-compliance and </w:t>
      </w:r>
      <w:r>
        <w:rPr>
          <w:lang w:val="en-US"/>
        </w:rPr>
        <w:t xml:space="preserve">no </w:t>
      </w:r>
      <w:r w:rsidR="00E476F4">
        <w:rPr>
          <w:lang w:val="en-US"/>
        </w:rPr>
        <w:t xml:space="preserve">extremely powerful </w:t>
      </w:r>
      <w:r w:rsidRPr="00067E60">
        <w:rPr>
          <w:lang w:val="en-US"/>
        </w:rPr>
        <w:t xml:space="preserve">individual state was willing </w:t>
      </w:r>
      <w:r>
        <w:rPr>
          <w:lang w:val="en-US"/>
        </w:rPr>
        <w:t>or</w:t>
      </w:r>
      <w:r w:rsidRPr="00067E60">
        <w:rPr>
          <w:lang w:val="en-US"/>
        </w:rPr>
        <w:t xml:space="preserve"> able to carry out enforcement measures in order to stop norm violations. Hence, we do not focus on cases from which we expect </w:t>
      </w:r>
      <w:r>
        <w:rPr>
          <w:lang w:val="en-US"/>
        </w:rPr>
        <w:t>degeneration</w:t>
      </w:r>
      <w:r w:rsidRPr="00067E60">
        <w:rPr>
          <w:lang w:val="en-US"/>
        </w:rPr>
        <w:t xml:space="preserve"> processes had been started by changing agents, </w:t>
      </w:r>
      <w:r>
        <w:rPr>
          <w:lang w:val="en-US"/>
        </w:rPr>
        <w:t>yet</w:t>
      </w:r>
      <w:r w:rsidRPr="00067E60">
        <w:rPr>
          <w:lang w:val="en-US"/>
        </w:rPr>
        <w:t xml:space="preserve"> stopped before the affected norm had been abolished. Instead, we are focusing on the facilitating variables for different dynamics and outcomes of </w:t>
      </w:r>
      <w:r>
        <w:rPr>
          <w:lang w:val="en-US"/>
        </w:rPr>
        <w:t>degenerations</w:t>
      </w:r>
      <w:r w:rsidRPr="00067E60">
        <w:rPr>
          <w:lang w:val="en-US"/>
        </w:rPr>
        <w:t xml:space="preserve">. </w:t>
      </w:r>
      <w:r>
        <w:rPr>
          <w:lang w:val="en-US"/>
        </w:rPr>
        <w:t>Accordingly, we test the following four hypotheses:</w:t>
      </w:r>
    </w:p>
    <w:p w:rsidR="002D24E1" w:rsidRPr="0020334D" w:rsidRDefault="002D24E1" w:rsidP="002D24E1">
      <w:pPr>
        <w:jc w:val="both"/>
        <w:rPr>
          <w:i/>
          <w:lang w:val="en-US"/>
        </w:rPr>
      </w:pPr>
      <w:r>
        <w:rPr>
          <w:b/>
          <w:i/>
          <w:lang w:val="en-US"/>
        </w:rPr>
        <w:t>H</w:t>
      </w:r>
      <w:r w:rsidRPr="0020334D">
        <w:rPr>
          <w:b/>
          <w:i/>
          <w:lang w:val="en-US"/>
        </w:rPr>
        <w:t>1</w:t>
      </w:r>
      <w:r w:rsidRPr="0020334D">
        <w:rPr>
          <w:i/>
          <w:lang w:val="en-US"/>
        </w:rPr>
        <w:t xml:space="preserve">: Actors are more likely to succeed in rapidly </w:t>
      </w:r>
      <w:r>
        <w:rPr>
          <w:i/>
          <w:lang w:val="en-US"/>
        </w:rPr>
        <w:t>weakening</w:t>
      </w:r>
      <w:r w:rsidRPr="0020334D">
        <w:rPr>
          <w:i/>
          <w:lang w:val="en-US"/>
        </w:rPr>
        <w:t xml:space="preserve"> a norm, if the norm is highly precise</w:t>
      </w:r>
      <w:r>
        <w:rPr>
          <w:i/>
          <w:lang w:val="en-US"/>
        </w:rPr>
        <w:t>,</w:t>
      </w:r>
      <w:r w:rsidRPr="0020334D">
        <w:rPr>
          <w:i/>
          <w:lang w:val="en-US"/>
        </w:rPr>
        <w:t xml:space="preserve"> </w:t>
      </w:r>
      <w:r>
        <w:rPr>
          <w:i/>
          <w:lang w:val="en-US"/>
        </w:rPr>
        <w:t xml:space="preserve">if </w:t>
      </w:r>
      <w:r w:rsidRPr="0020334D">
        <w:rPr>
          <w:i/>
          <w:lang w:val="en-US"/>
        </w:rPr>
        <w:t>the environment changes rapidly</w:t>
      </w:r>
      <w:r>
        <w:rPr>
          <w:i/>
          <w:lang w:val="en-US"/>
        </w:rPr>
        <w:t xml:space="preserve"> and if compliance is not enforced by others</w:t>
      </w:r>
      <w:r w:rsidRPr="0020334D">
        <w:rPr>
          <w:i/>
          <w:lang w:val="en-US"/>
        </w:rPr>
        <w:t xml:space="preserve">. </w:t>
      </w:r>
    </w:p>
    <w:p w:rsidR="002D24E1" w:rsidRPr="0020334D" w:rsidRDefault="002D24E1" w:rsidP="002D24E1">
      <w:pPr>
        <w:jc w:val="both"/>
        <w:rPr>
          <w:i/>
          <w:lang w:val="en-US"/>
        </w:rPr>
      </w:pPr>
    </w:p>
    <w:p w:rsidR="002D24E1" w:rsidRDefault="002D24E1" w:rsidP="002D24E1">
      <w:pPr>
        <w:jc w:val="both"/>
        <w:rPr>
          <w:i/>
          <w:lang w:val="en-US"/>
        </w:rPr>
      </w:pPr>
      <w:r w:rsidRPr="0020334D">
        <w:rPr>
          <w:b/>
          <w:i/>
          <w:lang w:val="en-US"/>
        </w:rPr>
        <w:t>H2</w:t>
      </w:r>
      <w:r w:rsidRPr="0020334D">
        <w:rPr>
          <w:i/>
          <w:lang w:val="en-US"/>
        </w:rPr>
        <w:t xml:space="preserve">: Actors are more likely to succeed in incrementally </w:t>
      </w:r>
      <w:r>
        <w:rPr>
          <w:i/>
          <w:lang w:val="en-US"/>
        </w:rPr>
        <w:t>curbing</w:t>
      </w:r>
      <w:r w:rsidRPr="0020334D">
        <w:rPr>
          <w:i/>
          <w:lang w:val="en-US"/>
        </w:rPr>
        <w:t xml:space="preserve"> a norm, if the norm is </w:t>
      </w:r>
      <w:r>
        <w:rPr>
          <w:i/>
          <w:lang w:val="en-US"/>
        </w:rPr>
        <w:t>imprecise, if</w:t>
      </w:r>
      <w:r w:rsidRPr="0020334D">
        <w:rPr>
          <w:i/>
          <w:lang w:val="en-US"/>
        </w:rPr>
        <w:t xml:space="preserve"> the environment does not change rapidly</w:t>
      </w:r>
      <w:r>
        <w:rPr>
          <w:i/>
          <w:lang w:val="en-US"/>
        </w:rPr>
        <w:t xml:space="preserve"> and if compliance is not enforced by others</w:t>
      </w:r>
      <w:r w:rsidRPr="0020334D">
        <w:rPr>
          <w:i/>
          <w:lang w:val="en-US"/>
        </w:rPr>
        <w:t>.</w:t>
      </w:r>
      <w:r w:rsidRPr="00067E60">
        <w:rPr>
          <w:i/>
          <w:lang w:val="en-US"/>
        </w:rPr>
        <w:t xml:space="preserve"> </w:t>
      </w:r>
    </w:p>
    <w:p w:rsidR="002D24E1" w:rsidRDefault="002D24E1" w:rsidP="002D24E1">
      <w:pPr>
        <w:jc w:val="both"/>
        <w:rPr>
          <w:i/>
          <w:lang w:val="en-US"/>
        </w:rPr>
      </w:pPr>
    </w:p>
    <w:p w:rsidR="002D24E1" w:rsidRDefault="002D24E1" w:rsidP="002D24E1">
      <w:pPr>
        <w:jc w:val="both"/>
        <w:rPr>
          <w:i/>
          <w:lang w:val="en-US"/>
        </w:rPr>
      </w:pPr>
      <w:r w:rsidRPr="00045059">
        <w:rPr>
          <w:b/>
          <w:i/>
          <w:lang w:val="en-US"/>
        </w:rPr>
        <w:lastRenderedPageBreak/>
        <w:t>H3</w:t>
      </w:r>
      <w:r>
        <w:rPr>
          <w:i/>
          <w:lang w:val="en-US"/>
        </w:rPr>
        <w:t>: Weakened norms are likely to disappear without substitution, if no competing norm is present.</w:t>
      </w:r>
    </w:p>
    <w:p w:rsidR="002D24E1" w:rsidRDefault="002D24E1" w:rsidP="002D24E1">
      <w:pPr>
        <w:jc w:val="both"/>
        <w:rPr>
          <w:i/>
          <w:lang w:val="en-US"/>
        </w:rPr>
      </w:pPr>
    </w:p>
    <w:p w:rsidR="002D24E1" w:rsidRPr="00067E60" w:rsidRDefault="002D24E1" w:rsidP="002D24E1">
      <w:pPr>
        <w:jc w:val="both"/>
        <w:rPr>
          <w:i/>
          <w:lang w:val="en-US"/>
        </w:rPr>
      </w:pPr>
      <w:r w:rsidRPr="00045059">
        <w:rPr>
          <w:b/>
          <w:i/>
          <w:lang w:val="en-US"/>
        </w:rPr>
        <w:t>H4</w:t>
      </w:r>
      <w:r>
        <w:rPr>
          <w:i/>
          <w:lang w:val="en-US"/>
        </w:rPr>
        <w:t>: Curbed norms are likely to become partially or even completely substituted by other norms, if competing norms are present.</w:t>
      </w:r>
    </w:p>
    <w:p w:rsidR="002D24E1" w:rsidRDefault="002D24E1" w:rsidP="002D24E1">
      <w:pPr>
        <w:spacing w:line="480" w:lineRule="auto"/>
        <w:ind w:firstLine="360"/>
        <w:jc w:val="both"/>
        <w:rPr>
          <w:i/>
          <w:lang w:val="en-US"/>
        </w:rPr>
      </w:pPr>
    </w:p>
    <w:p w:rsidR="002D24E1" w:rsidRPr="00067E60" w:rsidRDefault="002D24E1" w:rsidP="002D24E1">
      <w:pPr>
        <w:spacing w:line="480" w:lineRule="auto"/>
        <w:jc w:val="both"/>
        <w:rPr>
          <w:lang w:val="en-US"/>
        </w:rPr>
      </w:pPr>
      <w:r w:rsidRPr="00067E60">
        <w:rPr>
          <w:lang w:val="en-US"/>
        </w:rPr>
        <w:t>Our first case focuses on a precise norm within a</w:t>
      </w:r>
      <w:r>
        <w:rPr>
          <w:lang w:val="en-US"/>
        </w:rPr>
        <w:t xml:space="preserve">n unstable </w:t>
      </w:r>
      <w:r w:rsidRPr="00067E60">
        <w:rPr>
          <w:lang w:val="en-US"/>
        </w:rPr>
        <w:t xml:space="preserve">environment, so that we would expect rapid </w:t>
      </w:r>
      <w:r>
        <w:rPr>
          <w:lang w:val="en-US"/>
        </w:rPr>
        <w:t>norm degeneration</w:t>
      </w:r>
      <w:r w:rsidRPr="00067E60">
        <w:rPr>
          <w:lang w:val="en-US"/>
        </w:rPr>
        <w:t xml:space="preserve">. By contrast, the other cases will examine relatively imprecise norms in stable environments, for which our hypotheses </w:t>
      </w:r>
      <w:r>
        <w:rPr>
          <w:lang w:val="en-US"/>
        </w:rPr>
        <w:t>predict</w:t>
      </w:r>
      <w:r w:rsidRPr="00067E60">
        <w:rPr>
          <w:lang w:val="en-US"/>
        </w:rPr>
        <w:t xml:space="preserve"> incremental </w:t>
      </w:r>
      <w:r>
        <w:rPr>
          <w:lang w:val="en-US"/>
        </w:rPr>
        <w:t>norm degeneration</w:t>
      </w:r>
      <w:r w:rsidRPr="00067E60">
        <w:rPr>
          <w:lang w:val="en-US"/>
        </w:rPr>
        <w:t xml:space="preserve">. </w:t>
      </w:r>
      <w:r>
        <w:rPr>
          <w:lang w:val="en-US"/>
        </w:rPr>
        <w:t>Since</w:t>
      </w:r>
      <w:r w:rsidRPr="00067E60">
        <w:rPr>
          <w:lang w:val="en-US"/>
        </w:rPr>
        <w:t xml:space="preserve"> there </w:t>
      </w:r>
      <w:r w:rsidRPr="00037993">
        <w:rPr>
          <w:lang w:val="en-US"/>
        </w:rPr>
        <w:t>are no rival norms in the second case</w:t>
      </w:r>
      <w:r>
        <w:rPr>
          <w:lang w:val="en-US"/>
        </w:rPr>
        <w:t>,</w:t>
      </w:r>
      <w:r w:rsidRPr="00067E60">
        <w:rPr>
          <w:lang w:val="en-US"/>
        </w:rPr>
        <w:t xml:space="preserve"> we would anticipate incremental </w:t>
      </w:r>
      <w:r>
        <w:rPr>
          <w:lang w:val="en-US"/>
        </w:rPr>
        <w:t xml:space="preserve">degeneration </w:t>
      </w:r>
      <w:r w:rsidRPr="0023573F">
        <w:rPr>
          <w:lang w:val="en-US"/>
        </w:rPr>
        <w:t>without norm substitution. In the third case, however, competing norms are present, leading to the prediction of incremental norm disappearance with</w:t>
      </w:r>
      <w:r>
        <w:rPr>
          <w:lang w:val="en-US"/>
        </w:rPr>
        <w:t xml:space="preserve"> partial</w:t>
      </w:r>
      <w:r w:rsidRPr="0023573F">
        <w:rPr>
          <w:lang w:val="en-US"/>
        </w:rPr>
        <w:t xml:space="preserve"> substitution.</w:t>
      </w:r>
      <w:r w:rsidRPr="00067E60">
        <w:rPr>
          <w:lang w:val="en-US"/>
        </w:rPr>
        <w:t xml:space="preserve">  </w:t>
      </w:r>
    </w:p>
    <w:p w:rsidR="002D24E1" w:rsidRDefault="002D24E1" w:rsidP="002D24E1">
      <w:pPr>
        <w:spacing w:line="480" w:lineRule="auto"/>
        <w:jc w:val="both"/>
      </w:pPr>
    </w:p>
    <w:p w:rsidR="002D24E1" w:rsidRDefault="002D24E1" w:rsidP="002D24E1">
      <w:pPr>
        <w:keepNext/>
        <w:keepLines/>
        <w:jc w:val="both"/>
      </w:pPr>
      <w:r>
        <w:t>Table 1: The case selection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1261"/>
        <w:gridCol w:w="1080"/>
        <w:gridCol w:w="1170"/>
        <w:gridCol w:w="2567"/>
      </w:tblGrid>
      <w:tr w:rsidR="002D24E1">
        <w:tc>
          <w:tcPr>
            <w:tcW w:w="2130" w:type="dxa"/>
          </w:tcPr>
          <w:p w:rsidR="002D24E1" w:rsidRPr="00E03CE4" w:rsidRDefault="002D24E1" w:rsidP="002D24E1">
            <w:pPr>
              <w:keepNext/>
              <w:keepLines/>
              <w:jc w:val="both"/>
              <w:rPr>
                <w:sz w:val="20"/>
                <w:szCs w:val="20"/>
              </w:rPr>
            </w:pPr>
          </w:p>
        </w:tc>
        <w:tc>
          <w:tcPr>
            <w:tcW w:w="1261" w:type="dxa"/>
          </w:tcPr>
          <w:p w:rsidR="002D24E1" w:rsidRPr="00E03CE4" w:rsidRDefault="002D24E1" w:rsidP="002D24E1">
            <w:pPr>
              <w:keepNext/>
              <w:keepLines/>
              <w:jc w:val="both"/>
              <w:rPr>
                <w:sz w:val="20"/>
                <w:szCs w:val="20"/>
              </w:rPr>
            </w:pPr>
            <w:r w:rsidRPr="00E03CE4">
              <w:rPr>
                <w:sz w:val="20"/>
                <w:szCs w:val="20"/>
              </w:rPr>
              <w:t>Environment</w:t>
            </w:r>
          </w:p>
        </w:tc>
        <w:tc>
          <w:tcPr>
            <w:tcW w:w="1080" w:type="dxa"/>
          </w:tcPr>
          <w:p w:rsidR="002D24E1" w:rsidRPr="00E03CE4" w:rsidRDefault="002D24E1" w:rsidP="002D24E1">
            <w:pPr>
              <w:keepNext/>
              <w:keepLines/>
              <w:jc w:val="both"/>
              <w:rPr>
                <w:sz w:val="20"/>
                <w:szCs w:val="20"/>
              </w:rPr>
            </w:pPr>
            <w:r w:rsidRPr="00E03CE4">
              <w:rPr>
                <w:sz w:val="20"/>
                <w:szCs w:val="20"/>
              </w:rPr>
              <w:t>Precision</w:t>
            </w:r>
          </w:p>
        </w:tc>
        <w:tc>
          <w:tcPr>
            <w:tcW w:w="1170" w:type="dxa"/>
          </w:tcPr>
          <w:p w:rsidR="002D24E1" w:rsidRPr="00E03CE4" w:rsidRDefault="002D24E1" w:rsidP="002D24E1">
            <w:pPr>
              <w:keepNext/>
              <w:keepLines/>
              <w:jc w:val="both"/>
              <w:rPr>
                <w:sz w:val="20"/>
                <w:szCs w:val="20"/>
              </w:rPr>
            </w:pPr>
            <w:r w:rsidRPr="00E03CE4">
              <w:rPr>
                <w:sz w:val="20"/>
                <w:szCs w:val="20"/>
              </w:rPr>
              <w:t>Competing norm</w:t>
            </w:r>
          </w:p>
        </w:tc>
        <w:tc>
          <w:tcPr>
            <w:tcW w:w="2567" w:type="dxa"/>
          </w:tcPr>
          <w:p w:rsidR="002D24E1" w:rsidRPr="00E03CE4" w:rsidRDefault="000E7F75" w:rsidP="002D24E1">
            <w:pPr>
              <w:keepNext/>
              <w:keepLines/>
              <w:jc w:val="both"/>
              <w:rPr>
                <w:sz w:val="20"/>
                <w:szCs w:val="20"/>
              </w:rPr>
            </w:pPr>
            <w:r>
              <w:rPr>
                <w:sz w:val="20"/>
                <w:szCs w:val="20"/>
              </w:rPr>
              <w:t>Expected dependent variable</w:t>
            </w:r>
            <w:r w:rsidR="002D24E1" w:rsidRPr="00E03CE4">
              <w:rPr>
                <w:sz w:val="20"/>
                <w:szCs w:val="20"/>
              </w:rPr>
              <w:t xml:space="preserve"> </w:t>
            </w:r>
          </w:p>
        </w:tc>
      </w:tr>
      <w:tr w:rsidR="002D24E1">
        <w:tc>
          <w:tcPr>
            <w:tcW w:w="2130" w:type="dxa"/>
          </w:tcPr>
          <w:p w:rsidR="002D24E1" w:rsidRPr="00E03CE4" w:rsidRDefault="002D24E1" w:rsidP="002D24E1">
            <w:pPr>
              <w:keepNext/>
              <w:keepLines/>
              <w:jc w:val="both"/>
              <w:rPr>
                <w:sz w:val="20"/>
                <w:szCs w:val="20"/>
              </w:rPr>
            </w:pPr>
            <w:r w:rsidRPr="00E03CE4">
              <w:rPr>
                <w:sz w:val="20"/>
                <w:szCs w:val="20"/>
              </w:rPr>
              <w:t>Case 1 (submarine norm)</w:t>
            </w:r>
          </w:p>
        </w:tc>
        <w:tc>
          <w:tcPr>
            <w:tcW w:w="1261" w:type="dxa"/>
          </w:tcPr>
          <w:p w:rsidR="002D24E1" w:rsidRPr="00E03CE4" w:rsidRDefault="002D24E1" w:rsidP="002D24E1">
            <w:pPr>
              <w:keepNext/>
              <w:keepLines/>
              <w:jc w:val="both"/>
              <w:rPr>
                <w:sz w:val="20"/>
                <w:szCs w:val="20"/>
              </w:rPr>
            </w:pPr>
            <w:r w:rsidRPr="00E03CE4">
              <w:rPr>
                <w:sz w:val="20"/>
                <w:szCs w:val="20"/>
              </w:rPr>
              <w:t>Unstable</w:t>
            </w:r>
          </w:p>
        </w:tc>
        <w:tc>
          <w:tcPr>
            <w:tcW w:w="1080" w:type="dxa"/>
          </w:tcPr>
          <w:p w:rsidR="002D24E1" w:rsidRPr="00E03CE4" w:rsidRDefault="002D24E1" w:rsidP="002D24E1">
            <w:pPr>
              <w:keepNext/>
              <w:keepLines/>
              <w:jc w:val="both"/>
              <w:rPr>
                <w:sz w:val="20"/>
                <w:szCs w:val="20"/>
              </w:rPr>
            </w:pPr>
            <w:r w:rsidRPr="00E03CE4">
              <w:rPr>
                <w:sz w:val="20"/>
                <w:szCs w:val="20"/>
              </w:rPr>
              <w:t>High</w:t>
            </w:r>
          </w:p>
        </w:tc>
        <w:tc>
          <w:tcPr>
            <w:tcW w:w="1170" w:type="dxa"/>
          </w:tcPr>
          <w:p w:rsidR="002D24E1" w:rsidRPr="00E03CE4" w:rsidRDefault="002D24E1" w:rsidP="002D24E1">
            <w:pPr>
              <w:keepNext/>
              <w:keepLines/>
              <w:jc w:val="both"/>
              <w:rPr>
                <w:sz w:val="20"/>
                <w:szCs w:val="20"/>
              </w:rPr>
            </w:pPr>
            <w:r w:rsidRPr="00E03CE4">
              <w:rPr>
                <w:sz w:val="20"/>
                <w:szCs w:val="20"/>
              </w:rPr>
              <w:t>Not present</w:t>
            </w:r>
          </w:p>
        </w:tc>
        <w:tc>
          <w:tcPr>
            <w:tcW w:w="2567" w:type="dxa"/>
          </w:tcPr>
          <w:p w:rsidR="002D24E1" w:rsidRPr="00E03CE4" w:rsidRDefault="002D24E1" w:rsidP="002D24E1">
            <w:pPr>
              <w:keepNext/>
              <w:keepLines/>
              <w:numPr>
                <w:ilvl w:val="0"/>
                <w:numId w:val="24"/>
              </w:numPr>
              <w:ind w:left="299" w:hanging="180"/>
              <w:jc w:val="both"/>
              <w:rPr>
                <w:sz w:val="20"/>
                <w:szCs w:val="20"/>
              </w:rPr>
            </w:pPr>
            <w:r w:rsidRPr="00E03CE4">
              <w:rPr>
                <w:sz w:val="20"/>
                <w:szCs w:val="20"/>
              </w:rPr>
              <w:t>Rapid degeneration</w:t>
            </w:r>
          </w:p>
          <w:p w:rsidR="002D24E1" w:rsidRPr="00E03CE4" w:rsidRDefault="000E7F75" w:rsidP="002D24E1">
            <w:pPr>
              <w:keepNext/>
              <w:keepLines/>
              <w:numPr>
                <w:ilvl w:val="0"/>
                <w:numId w:val="24"/>
              </w:numPr>
              <w:ind w:left="299" w:hanging="180"/>
              <w:jc w:val="both"/>
              <w:rPr>
                <w:sz w:val="20"/>
                <w:szCs w:val="20"/>
              </w:rPr>
            </w:pPr>
            <w:r>
              <w:rPr>
                <w:sz w:val="20"/>
                <w:szCs w:val="20"/>
              </w:rPr>
              <w:t>Norm d</w:t>
            </w:r>
            <w:r w:rsidR="002D24E1" w:rsidRPr="00E03CE4">
              <w:rPr>
                <w:sz w:val="20"/>
                <w:szCs w:val="20"/>
              </w:rPr>
              <w:t>isappearance</w:t>
            </w:r>
          </w:p>
        </w:tc>
      </w:tr>
      <w:tr w:rsidR="002D24E1">
        <w:tc>
          <w:tcPr>
            <w:tcW w:w="2130" w:type="dxa"/>
          </w:tcPr>
          <w:p w:rsidR="002D24E1" w:rsidRPr="00E03CE4" w:rsidRDefault="002D24E1" w:rsidP="002D24E1">
            <w:pPr>
              <w:keepNext/>
              <w:keepLines/>
              <w:jc w:val="both"/>
              <w:rPr>
                <w:sz w:val="20"/>
                <w:szCs w:val="20"/>
              </w:rPr>
            </w:pPr>
            <w:r w:rsidRPr="00E03CE4">
              <w:rPr>
                <w:sz w:val="20"/>
                <w:szCs w:val="20"/>
              </w:rPr>
              <w:t>Case 2 (anti mercenary norm)</w:t>
            </w:r>
          </w:p>
        </w:tc>
        <w:tc>
          <w:tcPr>
            <w:tcW w:w="1261" w:type="dxa"/>
          </w:tcPr>
          <w:p w:rsidR="002D24E1" w:rsidRPr="00E03CE4" w:rsidRDefault="002D24E1" w:rsidP="002D24E1">
            <w:pPr>
              <w:keepNext/>
              <w:keepLines/>
              <w:jc w:val="both"/>
              <w:rPr>
                <w:sz w:val="20"/>
                <w:szCs w:val="20"/>
              </w:rPr>
            </w:pPr>
            <w:r w:rsidRPr="00E03CE4">
              <w:rPr>
                <w:sz w:val="20"/>
                <w:szCs w:val="20"/>
              </w:rPr>
              <w:t>Stable</w:t>
            </w:r>
          </w:p>
        </w:tc>
        <w:tc>
          <w:tcPr>
            <w:tcW w:w="1080" w:type="dxa"/>
          </w:tcPr>
          <w:p w:rsidR="002D24E1" w:rsidRPr="00E03CE4" w:rsidRDefault="002D24E1" w:rsidP="002D24E1">
            <w:pPr>
              <w:keepNext/>
              <w:keepLines/>
              <w:jc w:val="both"/>
              <w:rPr>
                <w:sz w:val="20"/>
                <w:szCs w:val="20"/>
              </w:rPr>
            </w:pPr>
            <w:r w:rsidRPr="00E03CE4">
              <w:rPr>
                <w:sz w:val="20"/>
                <w:szCs w:val="20"/>
              </w:rPr>
              <w:t>Low</w:t>
            </w:r>
          </w:p>
        </w:tc>
        <w:tc>
          <w:tcPr>
            <w:tcW w:w="1170" w:type="dxa"/>
          </w:tcPr>
          <w:p w:rsidR="002D24E1" w:rsidRPr="00E03CE4" w:rsidRDefault="002D24E1" w:rsidP="002D24E1">
            <w:pPr>
              <w:keepNext/>
              <w:keepLines/>
              <w:jc w:val="both"/>
              <w:rPr>
                <w:sz w:val="20"/>
                <w:szCs w:val="20"/>
              </w:rPr>
            </w:pPr>
            <w:r w:rsidRPr="00E03CE4">
              <w:rPr>
                <w:sz w:val="20"/>
                <w:szCs w:val="20"/>
              </w:rPr>
              <w:t>Not present</w:t>
            </w:r>
          </w:p>
        </w:tc>
        <w:tc>
          <w:tcPr>
            <w:tcW w:w="2567" w:type="dxa"/>
          </w:tcPr>
          <w:p w:rsidR="002D24E1" w:rsidRPr="00E03CE4" w:rsidRDefault="002D24E1" w:rsidP="002D24E1">
            <w:pPr>
              <w:keepNext/>
              <w:keepLines/>
              <w:numPr>
                <w:ilvl w:val="0"/>
                <w:numId w:val="24"/>
              </w:numPr>
              <w:ind w:left="299" w:hanging="180"/>
              <w:jc w:val="both"/>
              <w:rPr>
                <w:sz w:val="20"/>
                <w:szCs w:val="20"/>
              </w:rPr>
            </w:pPr>
            <w:r w:rsidRPr="00E03CE4">
              <w:rPr>
                <w:sz w:val="20"/>
                <w:szCs w:val="20"/>
              </w:rPr>
              <w:t>Incremental degeneration</w:t>
            </w:r>
          </w:p>
          <w:p w:rsidR="002D24E1" w:rsidRPr="00E03CE4" w:rsidRDefault="000E7F75" w:rsidP="002D24E1">
            <w:pPr>
              <w:keepNext/>
              <w:keepLines/>
              <w:numPr>
                <w:ilvl w:val="0"/>
                <w:numId w:val="24"/>
              </w:numPr>
              <w:ind w:left="299" w:hanging="180"/>
              <w:jc w:val="both"/>
              <w:rPr>
                <w:sz w:val="20"/>
                <w:szCs w:val="20"/>
              </w:rPr>
            </w:pPr>
            <w:r>
              <w:rPr>
                <w:sz w:val="20"/>
                <w:szCs w:val="20"/>
              </w:rPr>
              <w:t>Norm d</w:t>
            </w:r>
            <w:r w:rsidR="002D24E1" w:rsidRPr="00E03CE4">
              <w:rPr>
                <w:sz w:val="20"/>
                <w:szCs w:val="20"/>
              </w:rPr>
              <w:t>isappearance</w:t>
            </w:r>
          </w:p>
        </w:tc>
      </w:tr>
      <w:tr w:rsidR="002D24E1">
        <w:tc>
          <w:tcPr>
            <w:tcW w:w="2130" w:type="dxa"/>
          </w:tcPr>
          <w:p w:rsidR="002D24E1" w:rsidRPr="0023573F" w:rsidRDefault="002D24E1" w:rsidP="002D24E1">
            <w:pPr>
              <w:keepNext/>
              <w:keepLines/>
              <w:jc w:val="both"/>
              <w:rPr>
                <w:sz w:val="20"/>
                <w:szCs w:val="20"/>
              </w:rPr>
            </w:pPr>
            <w:r w:rsidRPr="0023573F">
              <w:rPr>
                <w:sz w:val="20"/>
                <w:szCs w:val="20"/>
              </w:rPr>
              <w:t>Case 3 (against forcible intervention norm)</w:t>
            </w:r>
          </w:p>
        </w:tc>
        <w:tc>
          <w:tcPr>
            <w:tcW w:w="1261" w:type="dxa"/>
          </w:tcPr>
          <w:p w:rsidR="002D24E1" w:rsidRPr="0023573F" w:rsidRDefault="002D24E1" w:rsidP="002D24E1">
            <w:pPr>
              <w:keepNext/>
              <w:keepLines/>
              <w:jc w:val="both"/>
              <w:rPr>
                <w:sz w:val="20"/>
                <w:szCs w:val="20"/>
              </w:rPr>
            </w:pPr>
            <w:r w:rsidRPr="0023573F">
              <w:rPr>
                <w:sz w:val="20"/>
                <w:szCs w:val="20"/>
              </w:rPr>
              <w:t>Stable</w:t>
            </w:r>
          </w:p>
        </w:tc>
        <w:tc>
          <w:tcPr>
            <w:tcW w:w="1080" w:type="dxa"/>
          </w:tcPr>
          <w:p w:rsidR="002D24E1" w:rsidRPr="0023573F" w:rsidRDefault="002D24E1" w:rsidP="002D24E1">
            <w:pPr>
              <w:keepNext/>
              <w:keepLines/>
              <w:jc w:val="both"/>
              <w:rPr>
                <w:sz w:val="20"/>
                <w:szCs w:val="20"/>
              </w:rPr>
            </w:pPr>
            <w:r w:rsidRPr="0023573F">
              <w:rPr>
                <w:sz w:val="20"/>
                <w:szCs w:val="20"/>
              </w:rPr>
              <w:t>Low</w:t>
            </w:r>
          </w:p>
        </w:tc>
        <w:tc>
          <w:tcPr>
            <w:tcW w:w="1170" w:type="dxa"/>
          </w:tcPr>
          <w:p w:rsidR="002D24E1" w:rsidRPr="0023573F" w:rsidRDefault="002D24E1" w:rsidP="002D24E1">
            <w:pPr>
              <w:keepNext/>
              <w:keepLines/>
              <w:jc w:val="both"/>
              <w:rPr>
                <w:sz w:val="20"/>
                <w:szCs w:val="20"/>
              </w:rPr>
            </w:pPr>
            <w:r w:rsidRPr="0023573F">
              <w:rPr>
                <w:sz w:val="20"/>
                <w:szCs w:val="20"/>
              </w:rPr>
              <w:t>Present</w:t>
            </w:r>
          </w:p>
        </w:tc>
        <w:tc>
          <w:tcPr>
            <w:tcW w:w="2567" w:type="dxa"/>
          </w:tcPr>
          <w:p w:rsidR="002D24E1" w:rsidRPr="0023573F" w:rsidRDefault="002D24E1" w:rsidP="002D24E1">
            <w:pPr>
              <w:keepNext/>
              <w:keepLines/>
              <w:numPr>
                <w:ilvl w:val="0"/>
                <w:numId w:val="24"/>
              </w:numPr>
              <w:ind w:left="299" w:hanging="180"/>
              <w:jc w:val="both"/>
              <w:rPr>
                <w:sz w:val="20"/>
                <w:szCs w:val="20"/>
              </w:rPr>
            </w:pPr>
            <w:r w:rsidRPr="0023573F">
              <w:rPr>
                <w:sz w:val="20"/>
                <w:szCs w:val="20"/>
              </w:rPr>
              <w:t>Incremental degeneration</w:t>
            </w:r>
          </w:p>
          <w:p w:rsidR="002D24E1" w:rsidRPr="0023573F" w:rsidRDefault="002D24E1" w:rsidP="002D24E1">
            <w:pPr>
              <w:keepNext/>
              <w:keepLines/>
              <w:numPr>
                <w:ilvl w:val="0"/>
                <w:numId w:val="24"/>
              </w:numPr>
              <w:ind w:left="299" w:hanging="180"/>
              <w:jc w:val="both"/>
              <w:rPr>
                <w:sz w:val="20"/>
                <w:szCs w:val="20"/>
              </w:rPr>
            </w:pPr>
            <w:r w:rsidRPr="0023573F">
              <w:rPr>
                <w:sz w:val="20"/>
                <w:szCs w:val="20"/>
              </w:rPr>
              <w:t>Partial substitution</w:t>
            </w:r>
          </w:p>
        </w:tc>
      </w:tr>
    </w:tbl>
    <w:p w:rsidR="002D24E1" w:rsidRDefault="002D24E1" w:rsidP="002D24E1">
      <w:pPr>
        <w:spacing w:line="480" w:lineRule="auto"/>
        <w:jc w:val="both"/>
      </w:pPr>
    </w:p>
    <w:p w:rsidR="002D24E1" w:rsidRDefault="002D24E1" w:rsidP="002D24E1">
      <w:pPr>
        <w:spacing w:line="480" w:lineRule="auto"/>
        <w:jc w:val="both"/>
      </w:pPr>
      <w:r>
        <w:t xml:space="preserve">Thus, contrasting the submarine case with the </w:t>
      </w:r>
      <w:proofErr w:type="spellStart"/>
      <w:r>
        <w:t>anti mercenary</w:t>
      </w:r>
      <w:proofErr w:type="spellEnd"/>
      <w:r>
        <w:t xml:space="preserve"> and the intervention cases generates variation on the independent variable of the first two hypotheses: as expected the norm rapidly degenerated in the submarine case, but was incrementally weakened in the other two cases. Hypotheses three and four are tested by contrasting the </w:t>
      </w:r>
      <w:proofErr w:type="spellStart"/>
      <w:r>
        <w:t>anti mercenaries</w:t>
      </w:r>
      <w:proofErr w:type="spellEnd"/>
      <w:r>
        <w:t xml:space="preserve"> norm with the </w:t>
      </w:r>
      <w:r w:rsidRPr="005D1C43">
        <w:t xml:space="preserve">intervention norm. As expected, the former disappeared, </w:t>
      </w:r>
      <w:r>
        <w:t xml:space="preserve">whilst </w:t>
      </w:r>
      <w:r w:rsidRPr="005D1C43">
        <w:t>the latter became partially substituted.</w:t>
      </w:r>
    </w:p>
    <w:p w:rsidR="002D24E1" w:rsidRDefault="002D24E1" w:rsidP="002D24E1">
      <w:pPr>
        <w:spacing w:line="480" w:lineRule="auto"/>
        <w:jc w:val="both"/>
      </w:pPr>
    </w:p>
    <w:p w:rsidR="0000370B" w:rsidRDefault="0000370B" w:rsidP="002D24E1">
      <w:pPr>
        <w:spacing w:line="480" w:lineRule="auto"/>
        <w:jc w:val="both"/>
      </w:pPr>
    </w:p>
    <w:p w:rsidR="0000370B" w:rsidRPr="00067E60" w:rsidRDefault="0000370B" w:rsidP="002D24E1">
      <w:pPr>
        <w:spacing w:line="480" w:lineRule="auto"/>
        <w:jc w:val="both"/>
      </w:pPr>
    </w:p>
    <w:p w:rsidR="002D24E1" w:rsidRPr="00067E60" w:rsidRDefault="002D24E1" w:rsidP="002D24E1">
      <w:pPr>
        <w:numPr>
          <w:ilvl w:val="0"/>
          <w:numId w:val="1"/>
        </w:numPr>
        <w:spacing w:line="480" w:lineRule="auto"/>
        <w:jc w:val="both"/>
        <w:rPr>
          <w:b/>
          <w:lang w:val="en-US"/>
        </w:rPr>
      </w:pPr>
      <w:r>
        <w:rPr>
          <w:b/>
          <w:lang w:val="en-US"/>
        </w:rPr>
        <w:lastRenderedPageBreak/>
        <w:t>Norm Degenerations</w:t>
      </w:r>
      <w:r w:rsidRPr="00067E60">
        <w:rPr>
          <w:b/>
          <w:lang w:val="en-US"/>
        </w:rPr>
        <w:t xml:space="preserve"> in Practice</w:t>
      </w:r>
    </w:p>
    <w:p w:rsidR="002D24E1" w:rsidRPr="00A26820" w:rsidRDefault="002D24E1" w:rsidP="002D24E1">
      <w:pPr>
        <w:tabs>
          <w:tab w:val="left" w:pos="3080"/>
        </w:tabs>
        <w:autoSpaceDE w:val="0"/>
        <w:autoSpaceDN w:val="0"/>
        <w:adjustRightInd w:val="0"/>
        <w:spacing w:line="480" w:lineRule="auto"/>
        <w:jc w:val="both"/>
        <w:rPr>
          <w:i/>
          <w:lang w:val="en-US"/>
        </w:rPr>
      </w:pPr>
      <w:r w:rsidRPr="00067E60">
        <w:rPr>
          <w:i/>
          <w:lang w:val="en-US"/>
        </w:rPr>
        <w:t xml:space="preserve">Rapid </w:t>
      </w:r>
      <w:r>
        <w:rPr>
          <w:i/>
          <w:lang w:val="en-US"/>
        </w:rPr>
        <w:t>degeneration</w:t>
      </w:r>
      <w:r w:rsidRPr="00067E60">
        <w:rPr>
          <w:i/>
          <w:lang w:val="en-US"/>
        </w:rPr>
        <w:t xml:space="preserve"> without norm substitution: the norm against unrestricted submarine warfare</w:t>
      </w:r>
    </w:p>
    <w:p w:rsidR="002D24E1" w:rsidRDefault="002D24E1" w:rsidP="002D24E1">
      <w:pPr>
        <w:tabs>
          <w:tab w:val="left" w:pos="3080"/>
        </w:tabs>
        <w:autoSpaceDE w:val="0"/>
        <w:autoSpaceDN w:val="0"/>
        <w:adjustRightInd w:val="0"/>
        <w:spacing w:line="480" w:lineRule="auto"/>
        <w:jc w:val="both"/>
        <w:rPr>
          <w:lang w:val="en-US"/>
        </w:rPr>
      </w:pPr>
      <w:r>
        <w:rPr>
          <w:lang w:val="en-US"/>
        </w:rPr>
        <w:t>By the end of the 19</w:t>
      </w:r>
      <w:r w:rsidRPr="00067E60">
        <w:rPr>
          <w:vertAlign w:val="superscript"/>
          <w:lang w:val="en-US"/>
        </w:rPr>
        <w:t>th</w:t>
      </w:r>
      <w:r w:rsidRPr="00067E60">
        <w:rPr>
          <w:lang w:val="en-US"/>
        </w:rPr>
        <w:t xml:space="preserve"> century</w:t>
      </w:r>
      <w:r>
        <w:rPr>
          <w:lang w:val="en-US"/>
        </w:rPr>
        <w:t>,</w:t>
      </w:r>
      <w:r w:rsidRPr="00067E60">
        <w:rPr>
          <w:lang w:val="en-US"/>
        </w:rPr>
        <w:t xml:space="preserve"> submarines had </w:t>
      </w:r>
      <w:r>
        <w:rPr>
          <w:lang w:val="en-US"/>
        </w:rPr>
        <w:t xml:space="preserve">become sophisticated enough to be utilized on a greater scale in warfare. Though attempts to </w:t>
      </w:r>
      <w:r w:rsidRPr="00067E60">
        <w:rPr>
          <w:lang w:val="en-US"/>
        </w:rPr>
        <w:t>regulate this new kind of w</w:t>
      </w:r>
      <w:r>
        <w:rPr>
          <w:lang w:val="en-US"/>
        </w:rPr>
        <w:t xml:space="preserve">eapons system had already been undertaken at </w:t>
      </w:r>
      <w:proofErr w:type="gramStart"/>
      <w:smartTag w:uri="urn:schemas-microsoft-com:office:smarttags" w:element="place">
        <w:smartTag w:uri="urn:schemas-microsoft-com:office:smarttags" w:element="City">
          <w:r>
            <w:rPr>
              <w:lang w:val="en-US"/>
            </w:rPr>
            <w:t>the</w:t>
          </w:r>
          <w:proofErr w:type="gramEnd"/>
          <w:r w:rsidRPr="00067E60">
            <w:rPr>
              <w:lang w:val="en-US"/>
            </w:rPr>
            <w:t xml:space="preserve"> Hague</w:t>
          </w:r>
        </w:smartTag>
      </w:smartTag>
      <w:r w:rsidRPr="00067E60">
        <w:rPr>
          <w:lang w:val="en-US"/>
        </w:rPr>
        <w:t xml:space="preserve"> Conference in 1899</w:t>
      </w:r>
      <w:r>
        <w:rPr>
          <w:lang w:val="en-US"/>
        </w:rPr>
        <w:t xml:space="preserve">, the </w:t>
      </w:r>
      <w:r w:rsidRPr="00067E60">
        <w:rPr>
          <w:lang w:val="en-US"/>
        </w:rPr>
        <w:t xml:space="preserve">experiences of </w:t>
      </w:r>
      <w:r>
        <w:rPr>
          <w:lang w:val="en-US"/>
        </w:rPr>
        <w:t xml:space="preserve">the </w:t>
      </w:r>
      <w:r w:rsidRPr="00067E60">
        <w:rPr>
          <w:lang w:val="en-US"/>
        </w:rPr>
        <w:t>First World War</w:t>
      </w:r>
      <w:r>
        <w:rPr>
          <w:lang w:val="en-US"/>
        </w:rPr>
        <w:t xml:space="preserve"> prompted the need for further regulations. At the Washington Conference in 1</w:t>
      </w:r>
      <w:r w:rsidRPr="00877882">
        <w:rPr>
          <w:lang w:val="en-US"/>
        </w:rPr>
        <w:t>922</w:t>
      </w:r>
      <w:r w:rsidRPr="00067E60">
        <w:rPr>
          <w:lang w:val="en-US"/>
        </w:rPr>
        <w:t xml:space="preserve"> </w:t>
      </w:r>
      <w:r>
        <w:rPr>
          <w:lang w:val="en-US"/>
        </w:rPr>
        <w:t xml:space="preserve">and the London Conference in 1930, the </w:t>
      </w:r>
      <w:r w:rsidRPr="00767EBF">
        <w:rPr>
          <w:lang w:val="en-US"/>
        </w:rPr>
        <w:t>major sea-powers</w:t>
      </w:r>
      <w:r>
        <w:rPr>
          <w:lang w:val="en-US"/>
        </w:rPr>
        <w:t xml:space="preserve"> – the </w:t>
      </w:r>
      <w:smartTag w:uri="urn:schemas-microsoft-com:office:smarttags" w:element="country-region">
        <w:r>
          <w:rPr>
            <w:lang w:val="en-US"/>
          </w:rPr>
          <w:t>U.S.</w:t>
        </w:r>
      </w:smartTag>
      <w:r>
        <w:rPr>
          <w:lang w:val="en-US"/>
        </w:rPr>
        <w:t xml:space="preserve">, </w:t>
      </w:r>
      <w:smartTag w:uri="urn:schemas-microsoft-com:office:smarttags" w:element="country-region">
        <w:r>
          <w:rPr>
            <w:lang w:val="en-US"/>
          </w:rPr>
          <w:t>Great Britain</w:t>
        </w:r>
      </w:smartTag>
      <w:r>
        <w:rPr>
          <w:lang w:val="en-US"/>
        </w:rPr>
        <w:t xml:space="preserve">, </w:t>
      </w:r>
      <w:smartTag w:uri="urn:schemas-microsoft-com:office:smarttags" w:element="country-region">
        <w:r>
          <w:rPr>
            <w:lang w:val="en-US"/>
          </w:rPr>
          <w:t>France</w:t>
        </w:r>
      </w:smartTag>
      <w:r>
        <w:rPr>
          <w:lang w:val="en-US"/>
        </w:rPr>
        <w:t xml:space="preserve">, </w:t>
      </w:r>
      <w:smartTag w:uri="urn:schemas-microsoft-com:office:smarttags" w:element="country-region">
        <w:r>
          <w:rPr>
            <w:lang w:val="en-US"/>
          </w:rPr>
          <w:t>Italy</w:t>
        </w:r>
      </w:smartTag>
      <w:r>
        <w:rPr>
          <w:lang w:val="en-US"/>
        </w:rPr>
        <w:t xml:space="preserve"> and </w:t>
      </w:r>
      <w:smartTag w:uri="urn:schemas-microsoft-com:office:smarttags" w:element="country-region">
        <w:smartTag w:uri="urn:schemas-microsoft-com:office:smarttags" w:element="place">
          <w:r>
            <w:rPr>
              <w:lang w:val="en-US"/>
            </w:rPr>
            <w:t>Japan</w:t>
          </w:r>
        </w:smartTag>
      </w:smartTag>
      <w:r>
        <w:rPr>
          <w:lang w:val="en-US"/>
        </w:rPr>
        <w:t xml:space="preserve"> – agreed on </w:t>
      </w:r>
      <w:r w:rsidRPr="00067E60">
        <w:rPr>
          <w:lang w:val="en-US"/>
        </w:rPr>
        <w:t>restrict</w:t>
      </w:r>
      <w:r>
        <w:rPr>
          <w:lang w:val="en-US"/>
        </w:rPr>
        <w:t>ing s</w:t>
      </w:r>
      <w:r w:rsidRPr="00067E60">
        <w:rPr>
          <w:lang w:val="en-US"/>
        </w:rPr>
        <w:t>ubmarine warfare.</w:t>
      </w:r>
      <w:r w:rsidR="00D45BD6">
        <w:rPr>
          <w:rStyle w:val="FootnoteReference"/>
          <w:lang w:val="en-US"/>
        </w:rPr>
        <w:footnoteReference w:id="22"/>
      </w:r>
      <w:r w:rsidRPr="00067E60">
        <w:rPr>
          <w:lang w:val="en-US"/>
        </w:rPr>
        <w:t xml:space="preserve"> </w:t>
      </w:r>
      <w:r>
        <w:rPr>
          <w:lang w:val="en-US"/>
        </w:rPr>
        <w:t>S</w:t>
      </w:r>
      <w:r w:rsidRPr="00067E60">
        <w:rPr>
          <w:lang w:val="en-US"/>
        </w:rPr>
        <w:t>ubmarines</w:t>
      </w:r>
      <w:r>
        <w:rPr>
          <w:lang w:val="en-US"/>
        </w:rPr>
        <w:t xml:space="preserve"> had t</w:t>
      </w:r>
      <w:r w:rsidRPr="00067E60">
        <w:rPr>
          <w:lang w:val="en-US"/>
        </w:rPr>
        <w:t xml:space="preserve">o </w:t>
      </w:r>
      <w:r>
        <w:rPr>
          <w:lang w:val="en-US"/>
        </w:rPr>
        <w:t>adhere</w:t>
      </w:r>
      <w:r w:rsidRPr="00067E60">
        <w:rPr>
          <w:lang w:val="en-US"/>
        </w:rPr>
        <w:t xml:space="preserve"> to the same rules as surface ships. Merchant vessels were not to be attacked unless they refused to stop after a warning and were not to be destroyed </w:t>
      </w:r>
      <w:r>
        <w:rPr>
          <w:lang w:val="en-US"/>
        </w:rPr>
        <w:t>unless the crew and passengers we</w:t>
      </w:r>
      <w:r w:rsidRPr="00067E60">
        <w:rPr>
          <w:lang w:val="en-US"/>
        </w:rPr>
        <w:t>re placed in safety. If a submarine was unable to comply with these rules it was expected to l</w:t>
      </w:r>
      <w:r>
        <w:rPr>
          <w:lang w:val="en-US"/>
        </w:rPr>
        <w:t>eave the merchant ship unharmed</w:t>
      </w:r>
      <w:r w:rsidRPr="00067E60">
        <w:rPr>
          <w:lang w:val="en-US"/>
        </w:rPr>
        <w:t xml:space="preserve">. </w:t>
      </w:r>
      <w:r>
        <w:rPr>
          <w:lang w:val="en-US"/>
        </w:rPr>
        <w:t xml:space="preserve">This submarine code garnered the support </w:t>
      </w:r>
      <w:r w:rsidRPr="00067E60">
        <w:rPr>
          <w:lang w:val="en-US"/>
        </w:rPr>
        <w:t>of over 30 countries</w:t>
      </w:r>
      <w:r>
        <w:rPr>
          <w:lang w:val="en-US"/>
        </w:rPr>
        <w:t xml:space="preserve"> until 1937 – including </w:t>
      </w:r>
      <w:smartTag w:uri="urn:schemas-microsoft-com:office:smarttags" w:element="country-region">
        <w:r>
          <w:rPr>
            <w:lang w:val="en-US"/>
          </w:rPr>
          <w:t>Russia</w:t>
        </w:r>
      </w:smartTag>
      <w:r>
        <w:rPr>
          <w:lang w:val="en-US"/>
        </w:rPr>
        <w:t xml:space="preserve"> and </w:t>
      </w:r>
      <w:smartTag w:uri="urn:schemas-microsoft-com:office:smarttags" w:element="country-region">
        <w:smartTag w:uri="urn:schemas-microsoft-com:office:smarttags" w:element="place">
          <w:r>
            <w:rPr>
              <w:lang w:val="en-US"/>
            </w:rPr>
            <w:t>Germany</w:t>
          </w:r>
        </w:smartTag>
      </w:smartTag>
      <w:r w:rsidRPr="00067E60">
        <w:rPr>
          <w:lang w:val="en-US"/>
        </w:rPr>
        <w:t>.</w:t>
      </w:r>
      <w:r w:rsidR="00D45BD6">
        <w:rPr>
          <w:rStyle w:val="FootnoteReference"/>
          <w:lang w:val="en-US"/>
        </w:rPr>
        <w:footnoteReference w:id="23"/>
      </w:r>
      <w:r w:rsidRPr="00067E60">
        <w:rPr>
          <w:lang w:val="en-US"/>
        </w:rPr>
        <w:t xml:space="preserve"> </w:t>
      </w:r>
      <w:r>
        <w:rPr>
          <w:lang w:val="en-US"/>
        </w:rPr>
        <w:t xml:space="preserve">Though the norm had been subject to severe criticism, it proved incredibly robust, observed when </w:t>
      </w:r>
      <w:smartTag w:uri="urn:schemas-microsoft-com:office:smarttags" w:element="place">
        <w:smartTag w:uri="urn:schemas-microsoft-com:office:smarttags" w:element="country-region">
          <w:r>
            <w:rPr>
              <w:lang w:val="en-US"/>
            </w:rPr>
            <w:t>Italy</w:t>
          </w:r>
        </w:smartTag>
      </w:smartTag>
      <w:r>
        <w:rPr>
          <w:lang w:val="en-US"/>
        </w:rPr>
        <w:t xml:space="preserve"> violated it</w:t>
      </w:r>
      <w:r w:rsidRPr="00067E60">
        <w:rPr>
          <w:lang w:val="en-US"/>
        </w:rPr>
        <w:t xml:space="preserve"> </w:t>
      </w:r>
      <w:r>
        <w:rPr>
          <w:lang w:val="en-US"/>
        </w:rPr>
        <w:t>during t</w:t>
      </w:r>
      <w:r w:rsidRPr="00067E60">
        <w:rPr>
          <w:lang w:val="en-US"/>
        </w:rPr>
        <w:t>he Spanish civil war in 1937</w:t>
      </w:r>
      <w:r>
        <w:rPr>
          <w:lang w:val="en-US"/>
        </w:rPr>
        <w:t>. V</w:t>
      </w:r>
      <w:r w:rsidRPr="00067E60">
        <w:rPr>
          <w:lang w:val="en-US"/>
        </w:rPr>
        <w:t xml:space="preserve">arious countries took action to sanction </w:t>
      </w:r>
      <w:r>
        <w:rPr>
          <w:lang w:val="en-US"/>
        </w:rPr>
        <w:t xml:space="preserve">the </w:t>
      </w:r>
      <w:r w:rsidRPr="00067E60">
        <w:rPr>
          <w:lang w:val="en-US"/>
        </w:rPr>
        <w:t>violations of the norm</w:t>
      </w:r>
      <w:r>
        <w:rPr>
          <w:lang w:val="en-US"/>
        </w:rPr>
        <w:t>.</w:t>
      </w:r>
      <w:r w:rsidR="00D45BD6">
        <w:rPr>
          <w:rStyle w:val="FootnoteReference"/>
          <w:lang w:val="en-US"/>
        </w:rPr>
        <w:footnoteReference w:id="24"/>
      </w:r>
      <w:r>
        <w:rPr>
          <w:lang w:val="en-US"/>
        </w:rPr>
        <w:t xml:space="preserve"> Despite this promising first test, unrestricted submarine warfare and the sinking of merchant vessels became the rule rather than the exception</w:t>
      </w:r>
      <w:r w:rsidRPr="00B418BB">
        <w:rPr>
          <w:lang w:val="en-US"/>
        </w:rPr>
        <w:t xml:space="preserve"> </w:t>
      </w:r>
      <w:r>
        <w:rPr>
          <w:lang w:val="en-US"/>
        </w:rPr>
        <w:t xml:space="preserve">during WWII. For instance, at the peak of the </w:t>
      </w:r>
      <w:smartTag w:uri="urn:schemas-microsoft-com:office:smarttags" w:element="City">
        <w:r>
          <w:rPr>
            <w:lang w:val="en-US"/>
          </w:rPr>
          <w:t>Battle</w:t>
        </w:r>
      </w:smartTag>
      <w:r>
        <w:rPr>
          <w:lang w:val="en-US"/>
        </w:rPr>
        <w:t xml:space="preserve"> of the </w:t>
      </w:r>
      <w:smartTag w:uri="urn:schemas-microsoft-com:office:smarttags" w:element="place">
        <w:r>
          <w:rPr>
            <w:lang w:val="en-US"/>
          </w:rPr>
          <w:t>Atlantic</w:t>
        </w:r>
      </w:smartTag>
      <w:r>
        <w:rPr>
          <w:lang w:val="en-US"/>
        </w:rPr>
        <w:t xml:space="preserve"> in 1942, the allies lost approximately 380,000 tons of merchant shipping a month to German U-boats. </w:t>
      </w:r>
      <w:r>
        <w:rPr>
          <w:lang w:val="en-US"/>
        </w:rPr>
        <w:lastRenderedPageBreak/>
        <w:t>Although ship loss was expected, the magnitude brought the allies close to losing the battle.</w:t>
      </w:r>
      <w:r w:rsidR="00D45BD6">
        <w:rPr>
          <w:rStyle w:val="FootnoteReference"/>
          <w:lang w:val="en-US"/>
        </w:rPr>
        <w:footnoteReference w:id="25"/>
      </w:r>
    </w:p>
    <w:p w:rsidR="002D24E1" w:rsidRDefault="002D24E1" w:rsidP="002D24E1">
      <w:pPr>
        <w:autoSpaceDE w:val="0"/>
        <w:autoSpaceDN w:val="0"/>
        <w:adjustRightInd w:val="0"/>
        <w:spacing w:line="480" w:lineRule="auto"/>
        <w:ind w:firstLine="708"/>
        <w:jc w:val="both"/>
        <w:rPr>
          <w:lang w:val="en-US"/>
        </w:rPr>
      </w:pPr>
      <w:r w:rsidRPr="00067E60">
        <w:rPr>
          <w:lang w:val="en-US"/>
        </w:rPr>
        <w:t>The</w:t>
      </w:r>
      <w:r>
        <w:rPr>
          <w:lang w:val="en-US"/>
        </w:rPr>
        <w:t xml:space="preserve"> submarine</w:t>
      </w:r>
      <w:r w:rsidRPr="00067E60">
        <w:rPr>
          <w:lang w:val="en-US"/>
        </w:rPr>
        <w:t xml:space="preserve"> norm was highly precise in its aim</w:t>
      </w:r>
      <w:r>
        <w:rPr>
          <w:lang w:val="en-US"/>
        </w:rPr>
        <w:t>;</w:t>
      </w:r>
      <w:r w:rsidRPr="00067E60">
        <w:rPr>
          <w:lang w:val="en-US"/>
        </w:rPr>
        <w:t xml:space="preserve"> namely to limit and restrict submarine warfare. </w:t>
      </w:r>
      <w:r>
        <w:rPr>
          <w:lang w:val="en-US"/>
        </w:rPr>
        <w:t>It described further very precisely the procedures of</w:t>
      </w:r>
      <w:r w:rsidRPr="00067E60">
        <w:rPr>
          <w:lang w:val="en-US"/>
        </w:rPr>
        <w:t xml:space="preserve"> how submarines</w:t>
      </w:r>
      <w:r>
        <w:rPr>
          <w:lang w:val="en-US"/>
        </w:rPr>
        <w:t xml:space="preserve"> should approach merchant ships. In this regard, </w:t>
      </w:r>
      <w:r w:rsidRPr="00067E60">
        <w:rPr>
          <w:lang w:val="en-US"/>
        </w:rPr>
        <w:t xml:space="preserve">complex clauses were avoided, </w:t>
      </w:r>
      <w:r>
        <w:rPr>
          <w:lang w:val="en-US"/>
        </w:rPr>
        <w:t xml:space="preserve">the necessary steps </w:t>
      </w:r>
      <w:r w:rsidRPr="00067E60">
        <w:rPr>
          <w:lang w:val="en-US"/>
        </w:rPr>
        <w:t xml:space="preserve">were clearly specified, and paragraphs were not overlapping </w:t>
      </w:r>
      <w:r>
        <w:rPr>
          <w:lang w:val="en-US"/>
        </w:rPr>
        <w:t xml:space="preserve">or vague in any respect. However, the </w:t>
      </w:r>
      <w:r w:rsidRPr="00067E60">
        <w:rPr>
          <w:lang w:val="en-US"/>
        </w:rPr>
        <w:t xml:space="preserve">applicatory scope </w:t>
      </w:r>
      <w:r>
        <w:rPr>
          <w:lang w:val="en-US"/>
        </w:rPr>
        <w:t>of the submarine norm is slightly vague</w:t>
      </w:r>
      <w:r w:rsidRPr="00067E60">
        <w:rPr>
          <w:lang w:val="en-US"/>
        </w:rPr>
        <w:t xml:space="preserve">. The norm clearly distinguished between merchant </w:t>
      </w:r>
      <w:r>
        <w:rPr>
          <w:lang w:val="en-US"/>
        </w:rPr>
        <w:t xml:space="preserve">ships </w:t>
      </w:r>
      <w:r w:rsidRPr="00067E60">
        <w:rPr>
          <w:lang w:val="en-US"/>
        </w:rPr>
        <w:t>and war</w:t>
      </w:r>
      <w:r>
        <w:rPr>
          <w:lang w:val="en-US"/>
        </w:rPr>
        <w:t>ships and attached</w:t>
      </w:r>
      <w:r w:rsidRPr="00067E60">
        <w:rPr>
          <w:lang w:val="en-US"/>
        </w:rPr>
        <w:t xml:space="preserve"> different procedures to the different types of ships. In this respect</w:t>
      </w:r>
      <w:r>
        <w:rPr>
          <w:lang w:val="en-US"/>
        </w:rPr>
        <w:t>,</w:t>
      </w:r>
      <w:r w:rsidRPr="00067E60">
        <w:rPr>
          <w:lang w:val="en-US"/>
        </w:rPr>
        <w:t xml:space="preserve"> the precision of the submarine norm is </w:t>
      </w:r>
      <w:r>
        <w:rPr>
          <w:lang w:val="en-US"/>
        </w:rPr>
        <w:t>also remarkably</w:t>
      </w:r>
      <w:r w:rsidRPr="00067E60" w:rsidDel="006E1A50">
        <w:rPr>
          <w:lang w:val="en-US"/>
        </w:rPr>
        <w:t xml:space="preserve"> </w:t>
      </w:r>
      <w:r w:rsidRPr="00067E60">
        <w:rPr>
          <w:lang w:val="en-US"/>
        </w:rPr>
        <w:t xml:space="preserve">high. </w:t>
      </w:r>
      <w:r>
        <w:rPr>
          <w:lang w:val="en-US"/>
        </w:rPr>
        <w:t>However, it</w:t>
      </w:r>
      <w:r w:rsidRPr="00067E60">
        <w:rPr>
          <w:lang w:val="en-US"/>
        </w:rPr>
        <w:t xml:space="preserve"> did not provide a distinction between a</w:t>
      </w:r>
      <w:r>
        <w:rPr>
          <w:lang w:val="en-US"/>
        </w:rPr>
        <w:t>rmed and unarmed merchant ships and left open whether the former</w:t>
      </w:r>
      <w:r w:rsidRPr="00067E60">
        <w:rPr>
          <w:lang w:val="en-US"/>
        </w:rPr>
        <w:t xml:space="preserve"> should be treated as merchant ships or as warfare ships.</w:t>
      </w:r>
      <w:r>
        <w:rPr>
          <w:rStyle w:val="FootnoteReference"/>
          <w:lang w:val="en-US"/>
        </w:rPr>
        <w:footnoteReference w:id="26"/>
      </w:r>
      <w:r w:rsidRPr="00067E60">
        <w:rPr>
          <w:lang w:val="en-US"/>
        </w:rPr>
        <w:t xml:space="preserve"> </w:t>
      </w:r>
      <w:r>
        <w:rPr>
          <w:lang w:val="en-US"/>
        </w:rPr>
        <w:t>Although the critical question as to whether armed merchant vessels lost their immunity was not explicitly answered in the treaties, the problem should not be taken too far. It was the British that had chiefly been opposed to including a differentiation in the treaty, but even they agreed that armed merchant vessels would lose their immunity.</w:t>
      </w:r>
      <w:r w:rsidR="00D45BD6">
        <w:rPr>
          <w:rStyle w:val="FootnoteReference"/>
          <w:lang w:val="en-US"/>
        </w:rPr>
        <w:footnoteReference w:id="27"/>
      </w:r>
      <w:r>
        <w:rPr>
          <w:lang w:val="en-US"/>
        </w:rPr>
        <w:t xml:space="preserve"> Thus, overall, </w:t>
      </w:r>
      <w:r w:rsidRPr="00067E60">
        <w:rPr>
          <w:lang w:val="en-US"/>
        </w:rPr>
        <w:t>the submarine norm was precise.</w:t>
      </w:r>
    </w:p>
    <w:p w:rsidR="002D24E1" w:rsidRDefault="002D24E1" w:rsidP="002D24E1">
      <w:pPr>
        <w:autoSpaceDE w:val="0"/>
        <w:autoSpaceDN w:val="0"/>
        <w:adjustRightInd w:val="0"/>
        <w:spacing w:line="480" w:lineRule="auto"/>
        <w:ind w:firstLine="708"/>
        <w:jc w:val="both"/>
        <w:rPr>
          <w:rFonts w:cs="RealpageTIM1"/>
          <w:szCs w:val="20"/>
          <w:lang w:val="en-US" w:eastAsia="en-US"/>
        </w:rPr>
      </w:pPr>
      <w:r>
        <w:rPr>
          <w:lang w:val="en-US"/>
        </w:rPr>
        <w:t>The environment around the norm was exceptionally unstable at the time it became eradicated. N</w:t>
      </w:r>
      <w:r>
        <w:rPr>
          <w:rFonts w:cs="RealpageTIM1"/>
          <w:szCs w:val="20"/>
          <w:lang w:val="en-US" w:eastAsia="en-US"/>
        </w:rPr>
        <w:t>aval armament had been subject to various international arms control efforts during the interwar period. The treaty regime had succeeded in holding the naval powers in check and restricting armament.</w:t>
      </w:r>
      <w:r w:rsidR="00D45BD6">
        <w:rPr>
          <w:rStyle w:val="FootnoteReference"/>
          <w:rFonts w:cs="RealpageTIM1"/>
          <w:szCs w:val="20"/>
          <w:lang w:val="en-US" w:eastAsia="en-US"/>
        </w:rPr>
        <w:footnoteReference w:id="28"/>
      </w:r>
      <w:r>
        <w:rPr>
          <w:rFonts w:cs="RealpageTIM1"/>
          <w:szCs w:val="20"/>
          <w:lang w:val="en-US" w:eastAsia="en-US"/>
        </w:rPr>
        <w:t xml:space="preserve"> However, from 1935 onwards, </w:t>
      </w:r>
      <w:r>
        <w:rPr>
          <w:rFonts w:cs="RealpageTIM1"/>
          <w:szCs w:val="20"/>
          <w:lang w:val="en-US" w:eastAsia="en-US"/>
        </w:rPr>
        <w:lastRenderedPageBreak/>
        <w:t xml:space="preserve">the regime began to disintegrate. </w:t>
      </w:r>
      <w:r w:rsidRPr="00AF3279">
        <w:rPr>
          <w:rFonts w:cs="RealpageTIM1"/>
          <w:szCs w:val="20"/>
          <w:lang w:val="en-US" w:eastAsia="en-US"/>
        </w:rPr>
        <w:t xml:space="preserve">First, </w:t>
      </w:r>
      <w:r>
        <w:rPr>
          <w:rFonts w:cs="RealpageTIM1"/>
          <w:szCs w:val="20"/>
          <w:lang w:val="en-US" w:eastAsia="en-US"/>
        </w:rPr>
        <w:t>of</w:t>
      </w:r>
      <w:r w:rsidRPr="00AF3279">
        <w:rPr>
          <w:rFonts w:cs="RealpageTIM1"/>
          <w:szCs w:val="20"/>
          <w:lang w:val="en-US" w:eastAsia="en-US"/>
        </w:rPr>
        <w:t xml:space="preserve"> all the major sea-powers </w:t>
      </w:r>
      <w:r>
        <w:rPr>
          <w:rFonts w:cs="RealpageTIM1"/>
          <w:szCs w:val="20"/>
          <w:lang w:val="en-US" w:eastAsia="en-US"/>
        </w:rPr>
        <w:t xml:space="preserve">that had </w:t>
      </w:r>
      <w:r w:rsidRPr="00AF3279">
        <w:rPr>
          <w:rFonts w:cs="RealpageTIM1"/>
          <w:szCs w:val="20"/>
          <w:lang w:val="en-US" w:eastAsia="en-US"/>
        </w:rPr>
        <w:t>been member</w:t>
      </w:r>
      <w:r>
        <w:rPr>
          <w:rFonts w:cs="RealpageTIM1"/>
          <w:szCs w:val="20"/>
          <w:lang w:val="en-US" w:eastAsia="en-US"/>
        </w:rPr>
        <w:t>s of</w:t>
      </w:r>
      <w:r w:rsidRPr="00AF3279">
        <w:rPr>
          <w:rFonts w:cs="RealpageTIM1"/>
          <w:szCs w:val="20"/>
          <w:lang w:val="en-US" w:eastAsia="en-US"/>
        </w:rPr>
        <w:t xml:space="preserve"> the Washington </w:t>
      </w:r>
      <w:r>
        <w:rPr>
          <w:rFonts w:cs="RealpageTIM1"/>
          <w:szCs w:val="20"/>
          <w:lang w:val="en-US" w:eastAsia="en-US"/>
        </w:rPr>
        <w:t>T</w:t>
      </w:r>
      <w:r w:rsidRPr="00AF3279">
        <w:rPr>
          <w:rFonts w:cs="RealpageTIM1"/>
          <w:szCs w:val="20"/>
          <w:lang w:val="en-US" w:eastAsia="en-US"/>
        </w:rPr>
        <w:t>rea</w:t>
      </w:r>
      <w:r>
        <w:rPr>
          <w:rFonts w:cs="RealpageTIM1"/>
          <w:szCs w:val="20"/>
          <w:lang w:val="en-US" w:eastAsia="en-US"/>
        </w:rPr>
        <w:t xml:space="preserve">ty and the First London Treaty (1930), the signatures of two major powers – </w:t>
      </w:r>
      <w:smartTag w:uri="urn:schemas-microsoft-com:office:smarttags" w:element="country-region">
        <w:r>
          <w:rPr>
            <w:rFonts w:cs="RealpageTIM1"/>
            <w:szCs w:val="20"/>
            <w:lang w:val="en-US" w:eastAsia="en-US"/>
          </w:rPr>
          <w:t>Italy</w:t>
        </w:r>
      </w:smartTag>
      <w:r>
        <w:rPr>
          <w:rFonts w:cs="RealpageTIM1"/>
          <w:szCs w:val="20"/>
          <w:lang w:val="en-US" w:eastAsia="en-US"/>
        </w:rPr>
        <w:t xml:space="preserve"> and </w:t>
      </w:r>
      <w:smartTag w:uri="urn:schemas-microsoft-com:office:smarttags" w:element="place">
        <w:smartTag w:uri="urn:schemas-microsoft-com:office:smarttags" w:element="country-region">
          <w:r>
            <w:rPr>
              <w:rFonts w:cs="RealpageTIM1"/>
              <w:szCs w:val="20"/>
              <w:lang w:val="en-US" w:eastAsia="en-US"/>
            </w:rPr>
            <w:t>Japan</w:t>
          </w:r>
        </w:smartTag>
      </w:smartTag>
      <w:r>
        <w:rPr>
          <w:rFonts w:cs="RealpageTIM1"/>
          <w:szCs w:val="20"/>
          <w:lang w:val="en-US" w:eastAsia="en-US"/>
        </w:rPr>
        <w:t xml:space="preserve"> – were missing under the Second London Treaty in 1936. The absence of </w:t>
      </w:r>
      <w:smartTag w:uri="urn:schemas-microsoft-com:office:smarttags" w:element="country-region">
        <w:r>
          <w:rPr>
            <w:rFonts w:cs="RealpageTIM1"/>
            <w:szCs w:val="20"/>
            <w:lang w:val="en-US" w:eastAsia="en-US"/>
          </w:rPr>
          <w:t>Japan</w:t>
        </w:r>
      </w:smartTag>
      <w:r>
        <w:rPr>
          <w:rFonts w:cs="RealpageTIM1"/>
          <w:szCs w:val="20"/>
          <w:lang w:val="en-US" w:eastAsia="en-US"/>
        </w:rPr>
        <w:t xml:space="preserve"> was of particular importance, as this meant the end of naval limitations and the cooperative system in the Pacific and in </w:t>
      </w:r>
      <w:smartTag w:uri="urn:schemas-microsoft-com:office:smarttags" w:element="place">
        <w:r>
          <w:rPr>
            <w:rFonts w:cs="RealpageTIM1"/>
            <w:szCs w:val="20"/>
            <w:lang w:val="en-US" w:eastAsia="en-US"/>
          </w:rPr>
          <w:t>East Asia</w:t>
        </w:r>
      </w:smartTag>
      <w:r>
        <w:rPr>
          <w:rFonts w:cs="RealpageTIM1"/>
          <w:szCs w:val="20"/>
          <w:lang w:val="en-US" w:eastAsia="en-US"/>
        </w:rPr>
        <w:t>.</w:t>
      </w:r>
      <w:r w:rsidR="00D45BD6">
        <w:rPr>
          <w:rStyle w:val="FootnoteReference"/>
          <w:rFonts w:cs="RealpageTIM1"/>
          <w:szCs w:val="20"/>
          <w:lang w:val="en-US" w:eastAsia="en-US"/>
        </w:rPr>
        <w:footnoteReference w:id="29"/>
      </w:r>
      <w:r>
        <w:rPr>
          <w:rFonts w:cs="RealpageTIM1"/>
          <w:szCs w:val="20"/>
          <w:lang w:val="en-US" w:eastAsia="en-US"/>
        </w:rPr>
        <w:t xml:space="preserve"> Second, </w:t>
      </w:r>
      <w:smartTag w:uri="urn:schemas-microsoft-com:office:smarttags" w:element="country-region">
        <w:r>
          <w:rPr>
            <w:rFonts w:cs="RealpageTIM1"/>
            <w:szCs w:val="20"/>
            <w:lang w:val="en-US" w:eastAsia="en-US"/>
          </w:rPr>
          <w:t>Germany</w:t>
        </w:r>
      </w:smartTag>
      <w:r>
        <w:rPr>
          <w:rFonts w:cs="RealpageTIM1"/>
          <w:szCs w:val="20"/>
          <w:lang w:val="en-US" w:eastAsia="en-US"/>
        </w:rPr>
        <w:t xml:space="preserve"> and </w:t>
      </w:r>
      <w:smartTag w:uri="urn:schemas-microsoft-com:office:smarttags" w:element="place">
        <w:smartTag w:uri="urn:schemas-microsoft-com:office:smarttags" w:element="country-region">
          <w:r>
            <w:rPr>
              <w:rFonts w:cs="RealpageTIM1"/>
              <w:szCs w:val="20"/>
              <w:lang w:val="en-US" w:eastAsia="en-US"/>
            </w:rPr>
            <w:t>Britain</w:t>
          </w:r>
        </w:smartTag>
      </w:smartTag>
      <w:r>
        <w:rPr>
          <w:rFonts w:cs="RealpageTIM1"/>
          <w:szCs w:val="20"/>
          <w:lang w:val="en-US" w:eastAsia="en-US"/>
        </w:rPr>
        <w:t xml:space="preserve"> signed the bilateral Anglo-German naval treaty in 1934, which limited the strength of the German navy to 35% of that of the Royal Navy. What appears to be an additional restraint at first sight turns out to be a carte blanche for armament. For instance, the Versailles Treaty proscribed the building of submarines. According to the Anglo-German treaty, </w:t>
      </w:r>
      <w:smartTag w:uri="urn:schemas-microsoft-com:office:smarttags" w:element="country-region">
        <w:smartTag w:uri="urn:schemas-microsoft-com:office:smarttags" w:element="place">
          <w:r>
            <w:rPr>
              <w:rFonts w:cs="RealpageTIM1"/>
              <w:szCs w:val="20"/>
              <w:lang w:val="en-US" w:eastAsia="en-US"/>
            </w:rPr>
            <w:t>Germany</w:t>
          </w:r>
        </w:smartTag>
      </w:smartTag>
      <w:r>
        <w:rPr>
          <w:rFonts w:cs="RealpageTIM1"/>
          <w:szCs w:val="20"/>
          <w:lang w:val="en-US" w:eastAsia="en-US"/>
        </w:rPr>
        <w:t xml:space="preserve"> was allowed to build up its submarine fleet up to 60% of the British tonnage.</w:t>
      </w:r>
      <w:r w:rsidR="00D45BD6">
        <w:rPr>
          <w:rStyle w:val="FootnoteReference"/>
          <w:rFonts w:cs="RealpageTIM1"/>
          <w:szCs w:val="20"/>
          <w:lang w:val="en-US" w:eastAsia="en-US"/>
        </w:rPr>
        <w:footnoteReference w:id="30"/>
      </w:r>
      <w:r>
        <w:rPr>
          <w:rFonts w:cs="RealpageTIM1"/>
          <w:szCs w:val="20"/>
          <w:lang w:val="en-US" w:eastAsia="en-US"/>
        </w:rPr>
        <w:t xml:space="preserve"> Hitler withdrew from the treaty in April </w:t>
      </w:r>
      <w:r w:rsidRPr="00677563">
        <w:rPr>
          <w:rFonts w:cs="RealpageTIM1"/>
          <w:szCs w:val="20"/>
          <w:lang w:val="en-US" w:eastAsia="en-US"/>
        </w:rPr>
        <w:t>1939</w:t>
      </w:r>
      <w:r>
        <w:rPr>
          <w:rFonts w:cs="RealpageTIM1"/>
          <w:szCs w:val="20"/>
          <w:lang w:val="en-US" w:eastAsia="en-US"/>
        </w:rPr>
        <w:t xml:space="preserve"> in order to launch an even more massive naval armament. Third, the major powers </w:t>
      </w:r>
      <w:r w:rsidR="00AE4B88">
        <w:rPr>
          <w:rFonts w:cs="RealpageTIM1"/>
          <w:szCs w:val="20"/>
          <w:lang w:val="en-US" w:eastAsia="en-US"/>
        </w:rPr>
        <w:t xml:space="preserve">had agreed on limits of ship displacement </w:t>
      </w:r>
      <w:r>
        <w:rPr>
          <w:rFonts w:cs="RealpageTIM1"/>
          <w:szCs w:val="20"/>
          <w:lang w:val="en-US" w:eastAsia="en-US"/>
        </w:rPr>
        <w:t xml:space="preserve">the </w:t>
      </w:r>
      <w:r w:rsidR="00AE4B88">
        <w:rPr>
          <w:rFonts w:cs="RealpageTIM1"/>
          <w:szCs w:val="20"/>
          <w:lang w:val="en-US" w:eastAsia="en-US"/>
        </w:rPr>
        <w:t xml:space="preserve">in </w:t>
      </w:r>
      <w:r>
        <w:rPr>
          <w:rFonts w:cs="RealpageTIM1"/>
          <w:szCs w:val="20"/>
          <w:lang w:val="en-US" w:eastAsia="en-US"/>
        </w:rPr>
        <w:t>Washington Treaty.</w:t>
      </w:r>
      <w:r w:rsidR="00AE4B88" w:rsidRPr="00AE4B88">
        <w:rPr>
          <w:rFonts w:cs="RealpageTIM1"/>
          <w:szCs w:val="20"/>
          <w:lang w:val="en-US" w:eastAsia="en-US"/>
        </w:rPr>
        <w:t xml:space="preserve"> </w:t>
      </w:r>
      <w:r w:rsidR="00AE4B88">
        <w:rPr>
          <w:rFonts w:cs="RealpageTIM1"/>
          <w:szCs w:val="20"/>
          <w:lang w:val="en-US" w:eastAsia="en-US"/>
        </w:rPr>
        <w:t>However, they all transgressed the restrictions:</w:t>
      </w:r>
      <w:r>
        <w:rPr>
          <w:rFonts w:cs="RealpageTIM1"/>
          <w:szCs w:val="20"/>
          <w:lang w:val="en-US" w:eastAsia="en-US"/>
        </w:rPr>
        <w:t xml:space="preserve"> Italy’s battleships exceeded the limits by 18%, France by 8% and the Japanese by a significant 95%.</w:t>
      </w:r>
      <w:r w:rsidR="00D45BD6">
        <w:rPr>
          <w:rStyle w:val="FootnoteReference"/>
          <w:rFonts w:cs="RealpageTIM1"/>
          <w:szCs w:val="20"/>
          <w:lang w:val="en-US" w:eastAsia="en-US"/>
        </w:rPr>
        <w:footnoteReference w:id="31"/>
      </w:r>
      <w:r>
        <w:rPr>
          <w:rFonts w:cs="RealpageTIM1"/>
          <w:szCs w:val="20"/>
          <w:lang w:val="en-US" w:eastAsia="en-US"/>
        </w:rPr>
        <w:t xml:space="preserve"> </w:t>
      </w:r>
      <w:r>
        <w:rPr>
          <w:lang w:val="en-US"/>
        </w:rPr>
        <w:t>Thus</w:t>
      </w:r>
      <w:r w:rsidRPr="00625E70">
        <w:rPr>
          <w:lang w:val="en-US"/>
        </w:rPr>
        <w:t xml:space="preserve">, </w:t>
      </w:r>
      <w:r>
        <w:rPr>
          <w:lang w:val="en-US"/>
        </w:rPr>
        <w:t xml:space="preserve">the barrier of violating </w:t>
      </w:r>
      <w:r w:rsidRPr="00286FEC">
        <w:rPr>
          <w:lang w:val="en-US"/>
        </w:rPr>
        <w:t>naval agreements had been significantly lowered by prior violations</w:t>
      </w:r>
      <w:r w:rsidRPr="00286FEC">
        <w:rPr>
          <w:rFonts w:cs="RealpageTIM1"/>
          <w:szCs w:val="20"/>
          <w:lang w:val="en-US" w:eastAsia="en-US"/>
        </w:rPr>
        <w:t xml:space="preserve">. </w:t>
      </w:r>
      <w:r>
        <w:rPr>
          <w:rFonts w:cs="RealpageTIM1"/>
          <w:szCs w:val="20"/>
          <w:lang w:val="en-US" w:eastAsia="en-US"/>
        </w:rPr>
        <w:t xml:space="preserve">This reduced the probability of actors being sanctioned for violating the submarine norm. </w:t>
      </w:r>
    </w:p>
    <w:p w:rsidR="002D24E1" w:rsidRPr="00067E60" w:rsidRDefault="002D24E1" w:rsidP="002D24E1">
      <w:pPr>
        <w:autoSpaceDE w:val="0"/>
        <w:autoSpaceDN w:val="0"/>
        <w:adjustRightInd w:val="0"/>
        <w:spacing w:line="480" w:lineRule="auto"/>
        <w:ind w:firstLine="708"/>
        <w:jc w:val="both"/>
        <w:rPr>
          <w:lang w:val="en-US"/>
        </w:rPr>
      </w:pPr>
      <w:r>
        <w:rPr>
          <w:rFonts w:cs="RealpageTIM1"/>
          <w:szCs w:val="20"/>
          <w:lang w:val="en-US" w:eastAsia="en-US"/>
        </w:rPr>
        <w:t>At the same time, the actors could gain relative economic and military advantages from violating the norm against unrestricted submarine warfare.</w:t>
      </w:r>
      <w:r>
        <w:rPr>
          <w:rStyle w:val="FootnoteReference"/>
          <w:rFonts w:cs="RealpageTIM1"/>
          <w:szCs w:val="20"/>
          <w:lang w:val="en-US" w:eastAsia="en-US"/>
        </w:rPr>
        <w:footnoteReference w:id="32"/>
      </w:r>
      <w:r>
        <w:rPr>
          <w:rFonts w:cs="RealpageTIM1"/>
          <w:szCs w:val="20"/>
          <w:lang w:val="en-US" w:eastAsia="en-US"/>
        </w:rPr>
        <w:t xml:space="preserve"> </w:t>
      </w:r>
      <w:smartTag w:uri="urn:schemas-microsoft-com:office:smarttags" w:element="country-region">
        <w:r w:rsidRPr="00067E60">
          <w:rPr>
            <w:lang w:val="en-US"/>
          </w:rPr>
          <w:t>Japan</w:t>
        </w:r>
      </w:smartTag>
      <w:r>
        <w:rPr>
          <w:lang w:val="en-US"/>
        </w:rPr>
        <w:t>,</w:t>
      </w:r>
      <w:r w:rsidRPr="00067E60">
        <w:rPr>
          <w:lang w:val="en-US"/>
        </w:rPr>
        <w:t xml:space="preserve"> as a sea</w:t>
      </w:r>
      <w:r>
        <w:rPr>
          <w:lang w:val="en-US"/>
        </w:rPr>
        <w:t>-</w:t>
      </w:r>
      <w:r w:rsidRPr="00067E60">
        <w:rPr>
          <w:lang w:val="en-US"/>
        </w:rPr>
        <w:t>power</w:t>
      </w:r>
      <w:r>
        <w:rPr>
          <w:lang w:val="en-US"/>
        </w:rPr>
        <w:t>,</w:t>
      </w:r>
      <w:r w:rsidRPr="00067E60">
        <w:rPr>
          <w:lang w:val="en-US"/>
        </w:rPr>
        <w:t xml:space="preserve"> was vulnerable </w:t>
      </w:r>
      <w:r>
        <w:rPr>
          <w:lang w:val="en-US"/>
        </w:rPr>
        <w:t>against</w:t>
      </w:r>
      <w:r w:rsidRPr="00067E60">
        <w:rPr>
          <w:lang w:val="en-US"/>
        </w:rPr>
        <w:t xml:space="preserve"> US submarines, </w:t>
      </w:r>
      <w:r>
        <w:rPr>
          <w:lang w:val="en-US"/>
        </w:rPr>
        <w:t>and</w:t>
      </w:r>
      <w:r w:rsidRPr="00067E60">
        <w:rPr>
          <w:lang w:val="en-US"/>
        </w:rPr>
        <w:t xml:space="preserve"> </w:t>
      </w:r>
      <w:smartTag w:uri="urn:schemas-microsoft-com:office:smarttags" w:element="place">
        <w:smartTag w:uri="urn:schemas-microsoft-com:office:smarttags" w:element="country-region">
          <w:r w:rsidRPr="00067E60">
            <w:rPr>
              <w:lang w:val="en-US"/>
            </w:rPr>
            <w:t>Great Britain</w:t>
          </w:r>
        </w:smartTag>
      </w:smartTag>
      <w:r w:rsidRPr="00067E60">
        <w:rPr>
          <w:lang w:val="en-US"/>
        </w:rPr>
        <w:t xml:space="preserve"> was </w:t>
      </w:r>
      <w:r w:rsidRPr="00067E60">
        <w:rPr>
          <w:lang w:val="en-US"/>
        </w:rPr>
        <w:lastRenderedPageBreak/>
        <w:t xml:space="preserve">vulnerable against the German attacks. </w:t>
      </w:r>
      <w:r>
        <w:rPr>
          <w:lang w:val="en-US"/>
        </w:rPr>
        <w:t>Accordingly, the German</w:t>
      </w:r>
      <w:r w:rsidRPr="00067E60">
        <w:rPr>
          <w:lang w:val="en-US"/>
        </w:rPr>
        <w:t xml:space="preserve"> strate</w:t>
      </w:r>
      <w:r>
        <w:rPr>
          <w:lang w:val="en-US"/>
        </w:rPr>
        <w:t xml:space="preserve">gy </w:t>
      </w:r>
      <w:r w:rsidRPr="00067E60">
        <w:rPr>
          <w:lang w:val="en-US"/>
        </w:rPr>
        <w:t xml:space="preserve">was to sink more shipping tonnage than the allies were able to replace. This would cut </w:t>
      </w:r>
      <w:smartTag w:uri="urn:schemas-microsoft-com:office:smarttags" w:element="country-region">
        <w:r w:rsidRPr="00067E60">
          <w:rPr>
            <w:lang w:val="en-US"/>
          </w:rPr>
          <w:t>Britain</w:t>
        </w:r>
      </w:smartTag>
      <w:r>
        <w:rPr>
          <w:lang w:val="en-US"/>
        </w:rPr>
        <w:t xml:space="preserve"> </w:t>
      </w:r>
      <w:r w:rsidRPr="00067E60">
        <w:rPr>
          <w:lang w:val="en-US"/>
        </w:rPr>
        <w:t xml:space="preserve">off from vital </w:t>
      </w:r>
      <w:smartTag w:uri="urn:schemas-microsoft-com:office:smarttags" w:element="country-region">
        <w:r w:rsidRPr="00067E60">
          <w:rPr>
            <w:lang w:val="en-US"/>
          </w:rPr>
          <w:t>US</w:t>
        </w:r>
      </w:smartTag>
      <w:r w:rsidRPr="00067E60">
        <w:rPr>
          <w:lang w:val="en-US"/>
        </w:rPr>
        <w:t xml:space="preserve"> support and make it impossible for </w:t>
      </w:r>
      <w:smartTag w:uri="urn:schemas-microsoft-com:office:smarttags" w:element="place">
        <w:smartTag w:uri="urn:schemas-microsoft-com:office:smarttags" w:element="country-region">
          <w:r w:rsidRPr="00067E60">
            <w:rPr>
              <w:lang w:val="en-US"/>
            </w:rPr>
            <w:t>Britain</w:t>
          </w:r>
        </w:smartTag>
      </w:smartTag>
      <w:r w:rsidRPr="00067E60">
        <w:rPr>
          <w:lang w:val="en-US"/>
        </w:rPr>
        <w:t xml:space="preserve"> and the Allies to prosecute the war further. For the very same reason, the Royal Navy could not afford </w:t>
      </w:r>
      <w:r>
        <w:rPr>
          <w:lang w:val="en-US"/>
        </w:rPr>
        <w:t>to leave</w:t>
      </w:r>
      <w:r w:rsidRPr="00067E60">
        <w:rPr>
          <w:lang w:val="en-US"/>
        </w:rPr>
        <w:t xml:space="preserve"> its merchant ships defenseless</w:t>
      </w:r>
      <w:r>
        <w:rPr>
          <w:lang w:val="en-US"/>
        </w:rPr>
        <w:t xml:space="preserve"> by not arming them</w:t>
      </w:r>
      <w:r w:rsidRPr="00067E60">
        <w:rPr>
          <w:lang w:val="en-US"/>
        </w:rPr>
        <w:t>.</w:t>
      </w:r>
      <w:r w:rsidR="00D45BD6">
        <w:rPr>
          <w:rStyle w:val="FootnoteReference"/>
          <w:lang w:val="en-US"/>
        </w:rPr>
        <w:footnoteReference w:id="33"/>
      </w:r>
      <w:r w:rsidRPr="00067E60">
        <w:rPr>
          <w:lang w:val="en-US"/>
        </w:rPr>
        <w:t xml:space="preserve"> </w:t>
      </w:r>
    </w:p>
    <w:p w:rsidR="002D24E1" w:rsidRDefault="002D24E1" w:rsidP="002D24E1">
      <w:pPr>
        <w:autoSpaceDE w:val="0"/>
        <w:autoSpaceDN w:val="0"/>
        <w:adjustRightInd w:val="0"/>
        <w:spacing w:line="480" w:lineRule="auto"/>
        <w:ind w:firstLine="708"/>
        <w:jc w:val="both"/>
        <w:rPr>
          <w:rFonts w:cs="RealpageTIM1"/>
          <w:szCs w:val="20"/>
          <w:lang w:val="en-US" w:eastAsia="en-US"/>
        </w:rPr>
      </w:pPr>
      <w:r>
        <w:rPr>
          <w:rFonts w:cs="RealpageTIM1"/>
          <w:szCs w:val="20"/>
          <w:lang w:val="en-US" w:eastAsia="en-US"/>
        </w:rPr>
        <w:t>When the actors decided to circumvent the norm, they had very little room for maneuver due to the high precision of the norm. The British navy ordered the merchant fleet to radio the position of U-boats and began arming the ships. These measures did not violate the norm, since it contained only procedures for submarines. However, as the procedures were designed to protect civilian vessels not participating in hostilities, they clearly undermined a necessary condition for the norm to be efficient. In October 1939 the British Admiralty gave further instructions to ram U-boats whenever possible. This step unmistakably rendered merchant sailors combatants.</w:t>
      </w:r>
      <w:r w:rsidR="00D45BD6">
        <w:rPr>
          <w:rStyle w:val="FootnoteReference"/>
          <w:rFonts w:cs="RealpageTIM1"/>
          <w:szCs w:val="20"/>
          <w:lang w:val="en-US" w:eastAsia="en-US"/>
        </w:rPr>
        <w:footnoteReference w:id="34"/>
      </w:r>
      <w:r>
        <w:rPr>
          <w:rFonts w:cs="RealpageTIM1"/>
          <w:szCs w:val="20"/>
          <w:lang w:val="en-US" w:eastAsia="en-US"/>
        </w:rPr>
        <w:t xml:space="preserve"> While the German navy entered the war with strict orders to abide with international law, including the rules regarding submarine warfare, already in October 1939 the German Admiralty issued orders allowing an attack on any “blacked out” vessels off the British and French coasts. Submarine warfare was further intensified, with permission given to attack all vessels under allied flag. A year later </w:t>
      </w:r>
      <w:smartTag w:uri="urn:schemas-microsoft-com:office:smarttags" w:element="country-region">
        <w:r>
          <w:rPr>
            <w:rFonts w:cs="RealpageTIM1"/>
            <w:szCs w:val="20"/>
            <w:lang w:val="en-US" w:eastAsia="en-US"/>
          </w:rPr>
          <w:t>Germany</w:t>
        </w:r>
      </w:smartTag>
      <w:r>
        <w:rPr>
          <w:rFonts w:cs="RealpageTIM1"/>
          <w:szCs w:val="20"/>
          <w:lang w:val="en-US" w:eastAsia="en-US"/>
        </w:rPr>
        <w:t xml:space="preserve"> declared </w:t>
      </w:r>
      <w:smartTag w:uri="urn:schemas-microsoft-com:office:smarttags" w:element="place">
        <w:smartTag w:uri="urn:schemas-microsoft-com:office:smarttags" w:element="country-region">
          <w:r>
            <w:rPr>
              <w:rFonts w:cs="RealpageTIM1"/>
              <w:szCs w:val="20"/>
              <w:lang w:val="en-US" w:eastAsia="en-US"/>
            </w:rPr>
            <w:t>Britain</w:t>
          </w:r>
        </w:smartTag>
      </w:smartTag>
      <w:r>
        <w:rPr>
          <w:rFonts w:cs="RealpageTIM1"/>
          <w:szCs w:val="20"/>
          <w:lang w:val="en-US" w:eastAsia="en-US"/>
        </w:rPr>
        <w:t xml:space="preserve"> under siege and affirmed unrestricted submarine warfare around the island. Subsequently, </w:t>
      </w:r>
      <w:smartTag w:uri="urn:schemas-microsoft-com:office:smarttags" w:element="State">
        <w:r>
          <w:rPr>
            <w:rFonts w:cs="RealpageTIM1"/>
            <w:szCs w:val="20"/>
            <w:lang w:val="en-US" w:eastAsia="en-US"/>
          </w:rPr>
          <w:t>Washington</w:t>
        </w:r>
      </w:smartTag>
      <w:r>
        <w:rPr>
          <w:rFonts w:cs="RealpageTIM1"/>
          <w:szCs w:val="20"/>
          <w:lang w:val="en-US" w:eastAsia="en-US"/>
        </w:rPr>
        <w:t xml:space="preserve"> immediately abandoned the norm, and declared unrestricted submarine warfare against </w:t>
      </w:r>
      <w:smartTag w:uri="urn:schemas-microsoft-com:office:smarttags" w:element="place">
        <w:smartTag w:uri="urn:schemas-microsoft-com:office:smarttags" w:element="country-region">
          <w:r>
            <w:rPr>
              <w:rFonts w:cs="RealpageTIM1"/>
              <w:szCs w:val="20"/>
              <w:lang w:val="en-US" w:eastAsia="en-US"/>
            </w:rPr>
            <w:t>Japan</w:t>
          </w:r>
        </w:smartTag>
      </w:smartTag>
      <w:r>
        <w:rPr>
          <w:rFonts w:cs="RealpageTIM1"/>
          <w:szCs w:val="20"/>
          <w:lang w:val="en-US" w:eastAsia="en-US"/>
        </w:rPr>
        <w:t xml:space="preserve"> when entering the war in 1941 (Ibid.).</w:t>
      </w:r>
    </w:p>
    <w:p w:rsidR="002D24E1" w:rsidRPr="00067E60" w:rsidRDefault="002D24E1" w:rsidP="002D24E1">
      <w:pPr>
        <w:tabs>
          <w:tab w:val="left" w:pos="720"/>
        </w:tabs>
        <w:autoSpaceDE w:val="0"/>
        <w:autoSpaceDN w:val="0"/>
        <w:adjustRightInd w:val="0"/>
        <w:spacing w:line="480" w:lineRule="auto"/>
        <w:jc w:val="both"/>
        <w:rPr>
          <w:lang w:val="en-US"/>
        </w:rPr>
      </w:pPr>
      <w:r>
        <w:rPr>
          <w:rFonts w:cs="RealpageTIM1"/>
          <w:szCs w:val="20"/>
          <w:lang w:val="en-US" w:eastAsia="en-US"/>
        </w:rPr>
        <w:tab/>
      </w:r>
      <w:r w:rsidRPr="00F95079">
        <w:rPr>
          <w:rFonts w:cs="RealpageTIM1"/>
          <w:szCs w:val="20"/>
          <w:lang w:val="en-US" w:eastAsia="en-US"/>
        </w:rPr>
        <w:t>In sum, as</w:t>
      </w:r>
      <w:r w:rsidRPr="00F95079">
        <w:rPr>
          <w:lang w:val="en-US"/>
        </w:rPr>
        <w:t xml:space="preserve"> expected</w:t>
      </w:r>
      <w:r>
        <w:rPr>
          <w:lang w:val="en-US"/>
        </w:rPr>
        <w:t xml:space="preserve"> by hypothesis one</w:t>
      </w:r>
      <w:r w:rsidRPr="00F95079">
        <w:rPr>
          <w:lang w:val="en-US"/>
        </w:rPr>
        <w:t xml:space="preserve">, the unstable environment and the </w:t>
      </w:r>
      <w:r>
        <w:rPr>
          <w:lang w:val="en-US"/>
        </w:rPr>
        <w:t xml:space="preserve">high </w:t>
      </w:r>
      <w:r w:rsidRPr="00F95079">
        <w:rPr>
          <w:lang w:val="en-US"/>
        </w:rPr>
        <w:t xml:space="preserve">precision </w:t>
      </w:r>
      <w:r>
        <w:rPr>
          <w:lang w:val="en-US"/>
        </w:rPr>
        <w:t xml:space="preserve">of the norm </w:t>
      </w:r>
      <w:r w:rsidRPr="00F95079">
        <w:rPr>
          <w:lang w:val="en-US"/>
        </w:rPr>
        <w:t xml:space="preserve">contributed to </w:t>
      </w:r>
      <w:r>
        <w:rPr>
          <w:lang w:val="en-US"/>
        </w:rPr>
        <w:t>its</w:t>
      </w:r>
      <w:r w:rsidRPr="00F95079">
        <w:rPr>
          <w:lang w:val="en-US"/>
        </w:rPr>
        <w:t xml:space="preserve"> rapid degeneration.</w:t>
      </w:r>
      <w:r>
        <w:rPr>
          <w:rFonts w:cs="RealpageTIM1"/>
          <w:szCs w:val="20"/>
          <w:lang w:val="en-US" w:eastAsia="en-US"/>
        </w:rPr>
        <w:t xml:space="preserve"> </w:t>
      </w:r>
      <w:r>
        <w:rPr>
          <w:lang w:val="en-US"/>
        </w:rPr>
        <w:t xml:space="preserve"> </w:t>
      </w:r>
      <w:r w:rsidRPr="00481E9F">
        <w:rPr>
          <w:lang w:val="en-US"/>
        </w:rPr>
        <w:t xml:space="preserve">Some may argue the norm was </w:t>
      </w:r>
      <w:r>
        <w:rPr>
          <w:lang w:val="en-US"/>
        </w:rPr>
        <w:t xml:space="preserve">the result of the efforts to implement </w:t>
      </w:r>
      <w:r w:rsidR="000154A3">
        <w:rPr>
          <w:lang w:val="en-US"/>
        </w:rPr>
        <w:t>the concept of</w:t>
      </w:r>
      <w:r>
        <w:rPr>
          <w:lang w:val="en-US"/>
        </w:rPr>
        <w:t xml:space="preserve"> limited war and it was </w:t>
      </w:r>
      <w:r>
        <w:rPr>
          <w:lang w:val="en-US"/>
        </w:rPr>
        <w:lastRenderedPageBreak/>
        <w:t>doomed to fail as soon the belligerents resorted to strategic concept of total war.</w:t>
      </w:r>
      <w:r w:rsidR="00D45BD6">
        <w:rPr>
          <w:rStyle w:val="FootnoteReference"/>
          <w:lang w:val="en-US"/>
        </w:rPr>
        <w:footnoteReference w:id="35"/>
      </w:r>
      <w:r>
        <w:rPr>
          <w:lang w:val="en-US"/>
        </w:rPr>
        <w:t xml:space="preserve"> Yet, this is not a satisfactory explanation, as </w:t>
      </w:r>
      <w:r w:rsidRPr="006A029F">
        <w:t xml:space="preserve">the very same Washington </w:t>
      </w:r>
      <w:r>
        <w:t>T</w:t>
      </w:r>
      <w:r w:rsidRPr="006A029F">
        <w:t>reaty, which regulated submarine warfa</w:t>
      </w:r>
      <w:r>
        <w:t>re, also prohibited the use of gas in warfare.</w:t>
      </w:r>
      <w:r w:rsidR="00E56C47">
        <w:rPr>
          <w:rStyle w:val="FootnoteReference"/>
        </w:rPr>
        <w:footnoteReference w:id="36"/>
      </w:r>
      <w:r>
        <w:t xml:space="preserve">  In contrast to the submarine regulations, all </w:t>
      </w:r>
      <w:r w:rsidRPr="006A029F">
        <w:t xml:space="preserve">parties complied with the </w:t>
      </w:r>
      <w:r>
        <w:t xml:space="preserve">latter </w:t>
      </w:r>
      <w:r w:rsidRPr="006A029F">
        <w:t>norm</w:t>
      </w:r>
      <w:r w:rsidRPr="00441257">
        <w:t xml:space="preserve"> </w:t>
      </w:r>
      <w:r w:rsidRPr="006A029F">
        <w:t>during WWII</w:t>
      </w:r>
      <w:r>
        <w:t>. Total war, therefore, does not necessarily cause the disappearance of any existing norms of limited warfare. In line with hypothesis three,</w:t>
      </w:r>
      <w:r>
        <w:rPr>
          <w:lang w:val="en-US"/>
        </w:rPr>
        <w:t xml:space="preserve"> the norm was not substituted by another emerging norm of less restricted submarine warfare. One </w:t>
      </w:r>
      <w:r w:rsidRPr="005C0338">
        <w:rPr>
          <w:lang w:val="en-US"/>
        </w:rPr>
        <w:t>could think</w:t>
      </w:r>
      <w:r>
        <w:rPr>
          <w:lang w:val="en-US"/>
        </w:rPr>
        <w:t xml:space="preserve"> of a norm</w:t>
      </w:r>
      <w:r w:rsidRPr="005C0338">
        <w:rPr>
          <w:lang w:val="en-US"/>
        </w:rPr>
        <w:t xml:space="preserve"> </w:t>
      </w:r>
      <w:r>
        <w:rPr>
          <w:lang w:val="en-US"/>
        </w:rPr>
        <w:t>lifting restrictions on armed merchant ships, while still protecting unarmed vessels, or a norm acknowledging the difference between submarines and surface vessels, setting up tailored procedures and regulation of how to engage in war-fighting for U-boats. However, such a norm did not emerge. On the contrary, when the German political and military leadership was held responsible for war crimes before the Nurnberg Tribunal, they were also charged with having violated the norm against unrestricted warfare. Yet, this was the only case, which could be rebutted by referring to the “</w:t>
      </w:r>
      <w:proofErr w:type="spellStart"/>
      <w:r>
        <w:rPr>
          <w:lang w:val="en-US"/>
        </w:rPr>
        <w:t>tu</w:t>
      </w:r>
      <w:proofErr w:type="spellEnd"/>
      <w:r>
        <w:rPr>
          <w:lang w:val="en-US"/>
        </w:rPr>
        <w:t>-</w:t>
      </w:r>
      <w:proofErr w:type="spellStart"/>
      <w:r>
        <w:rPr>
          <w:lang w:val="en-US"/>
        </w:rPr>
        <w:t>quequo</w:t>
      </w:r>
      <w:proofErr w:type="spellEnd"/>
      <w:r>
        <w:rPr>
          <w:lang w:val="en-US"/>
        </w:rPr>
        <w:t>-principle” (defending by accusing the opponent of the same conduct).</w:t>
      </w:r>
      <w:r w:rsidR="00D45BD6">
        <w:rPr>
          <w:rStyle w:val="FootnoteReference"/>
          <w:lang w:val="en-US"/>
        </w:rPr>
        <w:footnoteReference w:id="37"/>
      </w:r>
      <w:r>
        <w:rPr>
          <w:lang w:val="en-US"/>
        </w:rPr>
        <w:t xml:space="preserve"> On the one hand, the indictment and defendant - justifying unrestricted submarine warfare not by drawing on another norm - shows the norm</w:t>
      </w:r>
      <w:r w:rsidRPr="00276F98">
        <w:rPr>
          <w:lang w:val="en-US"/>
        </w:rPr>
        <w:t xml:space="preserve"> </w:t>
      </w:r>
      <w:r>
        <w:rPr>
          <w:lang w:val="en-US"/>
        </w:rPr>
        <w:t xml:space="preserve">still existed on paper and was not replaced by another. On the other hand, </w:t>
      </w:r>
      <w:r w:rsidRPr="00C84E5F">
        <w:rPr>
          <w:lang w:val="en-US"/>
        </w:rPr>
        <w:t>the court</w:t>
      </w:r>
      <w:r>
        <w:rPr>
          <w:lang w:val="en-US"/>
        </w:rPr>
        <w:t>’s acceptance of unrestricted warfare as common practice supports the conclusion that the norm had been deinstitutionalized</w:t>
      </w:r>
      <w:r w:rsidRPr="00DB6EDE">
        <w:rPr>
          <w:lang w:val="en-US"/>
        </w:rPr>
        <w:t xml:space="preserve">. </w:t>
      </w:r>
    </w:p>
    <w:p w:rsidR="002D24E1" w:rsidRDefault="002D24E1" w:rsidP="002D24E1">
      <w:pPr>
        <w:autoSpaceDE w:val="0"/>
        <w:autoSpaceDN w:val="0"/>
        <w:adjustRightInd w:val="0"/>
        <w:spacing w:line="480" w:lineRule="auto"/>
        <w:jc w:val="both"/>
        <w:rPr>
          <w:lang w:val="en-US"/>
        </w:rPr>
      </w:pPr>
    </w:p>
    <w:p w:rsidR="00783140" w:rsidRDefault="00783140" w:rsidP="002D24E1">
      <w:pPr>
        <w:autoSpaceDE w:val="0"/>
        <w:autoSpaceDN w:val="0"/>
        <w:adjustRightInd w:val="0"/>
        <w:spacing w:line="480" w:lineRule="auto"/>
        <w:jc w:val="both"/>
        <w:rPr>
          <w:lang w:val="en-US"/>
        </w:rPr>
      </w:pPr>
    </w:p>
    <w:p w:rsidR="00783140" w:rsidRDefault="00783140" w:rsidP="002D24E1">
      <w:pPr>
        <w:autoSpaceDE w:val="0"/>
        <w:autoSpaceDN w:val="0"/>
        <w:adjustRightInd w:val="0"/>
        <w:spacing w:line="480" w:lineRule="auto"/>
        <w:jc w:val="both"/>
        <w:rPr>
          <w:lang w:val="en-US"/>
        </w:rPr>
      </w:pPr>
    </w:p>
    <w:p w:rsidR="002D24E1" w:rsidRDefault="002D24E1" w:rsidP="002D24E1">
      <w:pPr>
        <w:tabs>
          <w:tab w:val="left" w:pos="3080"/>
        </w:tabs>
        <w:autoSpaceDE w:val="0"/>
        <w:autoSpaceDN w:val="0"/>
        <w:adjustRightInd w:val="0"/>
        <w:spacing w:line="480" w:lineRule="auto"/>
        <w:jc w:val="both"/>
        <w:rPr>
          <w:lang w:val="en-US"/>
        </w:rPr>
      </w:pPr>
      <w:r w:rsidRPr="00067E60">
        <w:rPr>
          <w:i/>
          <w:lang w:val="en-US"/>
        </w:rPr>
        <w:t xml:space="preserve">Incremental </w:t>
      </w:r>
      <w:r>
        <w:rPr>
          <w:i/>
          <w:lang w:val="en-US"/>
        </w:rPr>
        <w:t>degeneration</w:t>
      </w:r>
      <w:r w:rsidRPr="00067E60">
        <w:rPr>
          <w:i/>
          <w:lang w:val="en-US"/>
        </w:rPr>
        <w:t xml:space="preserve"> without norm substitution: The anti-mercenary norm</w:t>
      </w:r>
    </w:p>
    <w:p w:rsidR="002D24E1" w:rsidRDefault="002D24E1" w:rsidP="002D24E1">
      <w:pPr>
        <w:autoSpaceDE w:val="0"/>
        <w:autoSpaceDN w:val="0"/>
        <w:adjustRightInd w:val="0"/>
        <w:spacing w:line="480" w:lineRule="auto"/>
        <w:jc w:val="both"/>
        <w:rPr>
          <w:lang w:val="en-US"/>
        </w:rPr>
      </w:pPr>
      <w:r>
        <w:rPr>
          <w:lang w:val="en-US"/>
        </w:rPr>
        <w:t xml:space="preserve">The prohibition of the use of mercenaries is widely accepted in the international community. </w:t>
      </w:r>
      <w:r w:rsidRPr="00067E60">
        <w:rPr>
          <w:lang w:val="en-US"/>
        </w:rPr>
        <w:t>Since the late 1960</w:t>
      </w:r>
      <w:r>
        <w:rPr>
          <w:lang w:val="en-US"/>
        </w:rPr>
        <w:t>’s</w:t>
      </w:r>
      <w:r w:rsidRPr="00067E60">
        <w:rPr>
          <w:lang w:val="en-US"/>
        </w:rPr>
        <w:t>, more than 100 resolutions criticizing mercenary activities have been adopted by the UN General Assembly. Even the Security Council was involved several times with mercenaries in the 1960</w:t>
      </w:r>
      <w:r>
        <w:rPr>
          <w:lang w:val="en-US"/>
        </w:rPr>
        <w:t>’</w:t>
      </w:r>
      <w:r w:rsidRPr="00067E60">
        <w:rPr>
          <w:lang w:val="en-US"/>
        </w:rPr>
        <w:t>s and 1970</w:t>
      </w:r>
      <w:r>
        <w:rPr>
          <w:lang w:val="en-US"/>
        </w:rPr>
        <w:t>’</w:t>
      </w:r>
      <w:r w:rsidRPr="00067E60">
        <w:rPr>
          <w:lang w:val="en-US"/>
        </w:rPr>
        <w:t>s</w:t>
      </w:r>
      <w:r>
        <w:rPr>
          <w:lang w:val="en-US"/>
        </w:rPr>
        <w:t xml:space="preserve">, </w:t>
      </w:r>
      <w:r w:rsidRPr="00067E60">
        <w:rPr>
          <w:lang w:val="en-US"/>
        </w:rPr>
        <w:t>condemn</w:t>
      </w:r>
      <w:r>
        <w:rPr>
          <w:lang w:val="en-US"/>
        </w:rPr>
        <w:t>ing</w:t>
      </w:r>
      <w:r w:rsidRPr="00067E60">
        <w:rPr>
          <w:lang w:val="en-US"/>
        </w:rPr>
        <w:t xml:space="preserve"> their use</w:t>
      </w:r>
      <w:r>
        <w:rPr>
          <w:lang w:val="en-US"/>
        </w:rPr>
        <w:t>.</w:t>
      </w:r>
      <w:r w:rsidR="00D45BD6">
        <w:rPr>
          <w:rStyle w:val="FootnoteReference"/>
          <w:lang w:val="en-US"/>
        </w:rPr>
        <w:footnoteReference w:id="38"/>
      </w:r>
      <w:r>
        <w:rPr>
          <w:lang w:val="en-US"/>
        </w:rPr>
        <w:t xml:space="preserve"> Furthermore, t</w:t>
      </w:r>
      <w:r w:rsidRPr="00067E60">
        <w:rPr>
          <w:lang w:val="en-US"/>
        </w:rPr>
        <w:t xml:space="preserve">he anti-mercenary norm is deeply incorporated into the body of international law. Three international treaties deal with the question of mercenaries: the First </w:t>
      </w:r>
      <w:r>
        <w:rPr>
          <w:lang w:val="en-US"/>
        </w:rPr>
        <w:t>Additional</w:t>
      </w:r>
      <w:r w:rsidRPr="00067E60">
        <w:rPr>
          <w:lang w:val="en-US"/>
        </w:rPr>
        <w:t xml:space="preserve"> Protocol of the Third Geneva Convention (AP I) (1978), the OAU Convention for the Elimination of </w:t>
      </w:r>
      <w:proofErr w:type="spellStart"/>
      <w:r w:rsidRPr="00067E60">
        <w:rPr>
          <w:lang w:val="en-US"/>
        </w:rPr>
        <w:t>Mercenarism</w:t>
      </w:r>
      <w:proofErr w:type="spellEnd"/>
      <w:r w:rsidRPr="00067E60">
        <w:rPr>
          <w:lang w:val="en-US"/>
        </w:rPr>
        <w:t xml:space="preserve"> (1977) and the International Convention against the Recruitment, Use, Financing and Training of Mercenaries (1989). The most important document is the AP I since it is the most widely accepted </w:t>
      </w:r>
      <w:r>
        <w:rPr>
          <w:lang w:val="en-US"/>
        </w:rPr>
        <w:t xml:space="preserve">treaty, with </w:t>
      </w:r>
      <w:r w:rsidRPr="00067E60">
        <w:rPr>
          <w:lang w:val="en-US"/>
        </w:rPr>
        <w:t>167 states</w:t>
      </w:r>
      <w:r>
        <w:rPr>
          <w:lang w:val="en-US"/>
        </w:rPr>
        <w:t xml:space="preserve"> having ratified it in 2007.</w:t>
      </w:r>
      <w:r w:rsidRPr="00067E60">
        <w:rPr>
          <w:lang w:val="en-US"/>
        </w:rPr>
        <w:t xml:space="preserve"> However, there is hardly a chance that anyone qualifies as a mercenary under AP I, since the definition provides many loopholes.</w:t>
      </w:r>
      <w:r w:rsidRPr="00067E60">
        <w:rPr>
          <w:rStyle w:val="FootnoteReference"/>
          <w:lang w:val="en-US"/>
        </w:rPr>
        <w:footnoteReference w:id="39"/>
      </w:r>
      <w:r w:rsidRPr="00067E60">
        <w:rPr>
          <w:lang w:val="en-US"/>
        </w:rPr>
        <w:t xml:space="preserve"> Due to t</w:t>
      </w:r>
      <w:r>
        <w:rPr>
          <w:lang w:val="en-US"/>
        </w:rPr>
        <w:t xml:space="preserve">hese shortfalls the protocol </w:t>
      </w:r>
      <w:r w:rsidRPr="00067E60">
        <w:rPr>
          <w:lang w:val="en-US"/>
        </w:rPr>
        <w:t xml:space="preserve">is almost irrelevant for the categorization of </w:t>
      </w:r>
      <w:r>
        <w:rPr>
          <w:lang w:val="en-US"/>
        </w:rPr>
        <w:t xml:space="preserve">Private Security Companies, </w:t>
      </w:r>
      <w:r w:rsidRPr="00067E60">
        <w:rPr>
          <w:lang w:val="en-US"/>
        </w:rPr>
        <w:t>PSC</w:t>
      </w:r>
      <w:r>
        <w:rPr>
          <w:lang w:val="en-US"/>
        </w:rPr>
        <w:t>s</w:t>
      </w:r>
      <w:r w:rsidRPr="00067E60">
        <w:rPr>
          <w:lang w:val="en-US"/>
        </w:rPr>
        <w:t>.</w:t>
      </w:r>
      <w:r w:rsidR="00786022">
        <w:rPr>
          <w:rStyle w:val="FootnoteReference"/>
          <w:lang w:val="en-US"/>
        </w:rPr>
        <w:footnoteReference w:id="40"/>
      </w:r>
      <w:r w:rsidRPr="00067E60">
        <w:rPr>
          <w:lang w:val="en-US"/>
        </w:rPr>
        <w:t xml:space="preserve"> Paradoxically weak law does not imply that social norms are </w:t>
      </w:r>
      <w:r>
        <w:rPr>
          <w:lang w:val="en-US"/>
        </w:rPr>
        <w:t xml:space="preserve">also inevitably </w:t>
      </w:r>
      <w:r w:rsidRPr="00067E60">
        <w:rPr>
          <w:lang w:val="en-US"/>
        </w:rPr>
        <w:t>weak.</w:t>
      </w:r>
      <w:r w:rsidR="00786022">
        <w:rPr>
          <w:rStyle w:val="FootnoteReference"/>
          <w:lang w:val="en-US"/>
        </w:rPr>
        <w:footnoteReference w:id="41"/>
      </w:r>
      <w:r w:rsidRPr="00067E60">
        <w:rPr>
          <w:lang w:val="en-US"/>
        </w:rPr>
        <w:t xml:space="preserve"> On the contrary, the social anti-mercenary </w:t>
      </w:r>
      <w:r>
        <w:rPr>
          <w:lang w:val="en-US"/>
        </w:rPr>
        <w:t xml:space="preserve">norm </w:t>
      </w:r>
      <w:r w:rsidRPr="00067E60">
        <w:rPr>
          <w:lang w:val="en-US"/>
        </w:rPr>
        <w:t xml:space="preserve">has developed a considerable strength. The emergence of </w:t>
      </w:r>
      <w:r w:rsidRPr="00067E60">
        <w:rPr>
          <w:lang w:val="en-US"/>
        </w:rPr>
        <w:lastRenderedPageBreak/>
        <w:t xml:space="preserve">the </w:t>
      </w:r>
      <w:r>
        <w:rPr>
          <w:lang w:val="en-US"/>
        </w:rPr>
        <w:t xml:space="preserve">anti-mercenary </w:t>
      </w:r>
      <w:r w:rsidRPr="00067E60">
        <w:rPr>
          <w:lang w:val="en-US"/>
        </w:rPr>
        <w:t>norm is deeply intertwined with the emergence of the modern state. During the nineteenth century</w:t>
      </w:r>
      <w:r>
        <w:rPr>
          <w:lang w:val="en-US"/>
        </w:rPr>
        <w:t>,</w:t>
      </w:r>
      <w:r w:rsidRPr="00067E60">
        <w:rPr>
          <w:lang w:val="en-US"/>
        </w:rPr>
        <w:t xml:space="preserve"> non-state violence </w:t>
      </w:r>
      <w:r w:rsidR="00231F61">
        <w:rPr>
          <w:lang w:val="en-US"/>
        </w:rPr>
        <w:t xml:space="preserve">became </w:t>
      </w:r>
      <w:proofErr w:type="spellStart"/>
      <w:r w:rsidR="00231F61">
        <w:rPr>
          <w:lang w:val="en-US"/>
        </w:rPr>
        <w:t>delegitimated</w:t>
      </w:r>
      <w:proofErr w:type="spellEnd"/>
      <w:r w:rsidRPr="00067E60">
        <w:rPr>
          <w:lang w:val="en-US"/>
        </w:rPr>
        <w:t>. The decision-making authority and the ownership over the means of violence were monopolized in the hands of the state</w:t>
      </w:r>
      <w:r>
        <w:rPr>
          <w:lang w:val="en-US"/>
        </w:rPr>
        <w:t>.</w:t>
      </w:r>
      <w:r w:rsidRPr="00067E60">
        <w:rPr>
          <w:lang w:val="en-US"/>
        </w:rPr>
        <w:t xml:space="preserve"> </w:t>
      </w:r>
      <w:r>
        <w:rPr>
          <w:lang w:val="en-US"/>
        </w:rPr>
        <w:t>As mercenaries use force outside the control of the state, their employment became prohibited. This taboo</w:t>
      </w:r>
      <w:r w:rsidRPr="00067E60">
        <w:rPr>
          <w:lang w:val="en-US"/>
        </w:rPr>
        <w:t xml:space="preserve"> </w:t>
      </w:r>
      <w:r>
        <w:rPr>
          <w:lang w:val="en-US"/>
        </w:rPr>
        <w:t xml:space="preserve">even remained significant </w:t>
      </w:r>
      <w:r w:rsidRPr="00067E60">
        <w:rPr>
          <w:lang w:val="en-US"/>
        </w:rPr>
        <w:t xml:space="preserve">in the </w:t>
      </w:r>
      <w:r>
        <w:rPr>
          <w:lang w:val="en-US"/>
        </w:rPr>
        <w:t>second half of the last century and as of “[t]</w:t>
      </w:r>
      <w:proofErr w:type="spellStart"/>
      <w:r w:rsidRPr="00067E60">
        <w:rPr>
          <w:lang w:val="en-US"/>
        </w:rPr>
        <w:t>oday</w:t>
      </w:r>
      <w:proofErr w:type="spellEnd"/>
      <w:r w:rsidRPr="00067E60">
        <w:rPr>
          <w:lang w:val="en-US"/>
        </w:rPr>
        <w:t xml:space="preserve"> real states do not buy mercenaries”.</w:t>
      </w:r>
      <w:r w:rsidR="00786022">
        <w:rPr>
          <w:rStyle w:val="FootnoteReference"/>
          <w:lang w:val="en-US"/>
        </w:rPr>
        <w:footnoteReference w:id="42"/>
      </w:r>
      <w:r w:rsidRPr="00067E60">
        <w:rPr>
          <w:lang w:val="en-US"/>
        </w:rPr>
        <w:t xml:space="preserve"> </w:t>
      </w:r>
      <w:r>
        <w:rPr>
          <w:lang w:val="en-US"/>
        </w:rPr>
        <w:t xml:space="preserve">Accordingly, </w:t>
      </w:r>
      <w:r w:rsidRPr="00067E60">
        <w:rPr>
          <w:lang w:val="en-US"/>
        </w:rPr>
        <w:t>mercenaries played almost no role in 20</w:t>
      </w:r>
      <w:r w:rsidRPr="00067E60">
        <w:rPr>
          <w:vertAlign w:val="superscript"/>
          <w:lang w:val="en-US"/>
        </w:rPr>
        <w:t>th</w:t>
      </w:r>
      <w:r w:rsidRPr="00067E60">
        <w:rPr>
          <w:lang w:val="en-US"/>
        </w:rPr>
        <w:t xml:space="preserve"> century warfare, although they </w:t>
      </w:r>
      <w:r>
        <w:rPr>
          <w:lang w:val="en-US"/>
        </w:rPr>
        <w:t>never</w:t>
      </w:r>
      <w:r w:rsidRPr="00067E60">
        <w:rPr>
          <w:lang w:val="en-US"/>
        </w:rPr>
        <w:t xml:space="preserve"> completely vanished. </w:t>
      </w:r>
    </w:p>
    <w:p w:rsidR="002D24E1" w:rsidRDefault="002D24E1" w:rsidP="002D24E1">
      <w:pPr>
        <w:autoSpaceDE w:val="0"/>
        <w:autoSpaceDN w:val="0"/>
        <w:adjustRightInd w:val="0"/>
        <w:spacing w:line="480" w:lineRule="auto"/>
        <w:ind w:firstLine="708"/>
        <w:jc w:val="both"/>
        <w:rPr>
          <w:lang w:val="en-US"/>
        </w:rPr>
      </w:pPr>
      <w:r>
        <w:rPr>
          <w:lang w:val="en-US"/>
        </w:rPr>
        <w:t>Today a market for force has developed alongside the state system and the states armed forces.</w:t>
      </w:r>
      <w:r w:rsidR="00786022">
        <w:rPr>
          <w:rStyle w:val="FootnoteReference"/>
          <w:lang w:val="en-US"/>
        </w:rPr>
        <w:footnoteReference w:id="43"/>
      </w:r>
      <w:r>
        <w:rPr>
          <w:lang w:val="en-US"/>
        </w:rPr>
        <w:t xml:space="preserve"> PSCs providing armed services in conflict zones are present all over the world. To give just two prominent examples for their commonplace use: in Iraq, </w:t>
      </w:r>
      <w:r w:rsidRPr="00CE4964">
        <w:t xml:space="preserve">approximately 30,000 </w:t>
      </w:r>
      <w:r>
        <w:t>PSCs are present</w:t>
      </w:r>
      <w:r w:rsidR="00786022">
        <w:rPr>
          <w:rStyle w:val="FootnoteReference"/>
        </w:rPr>
        <w:footnoteReference w:id="44"/>
      </w:r>
      <w:r>
        <w:t xml:space="preserve"> whilst in Afghanistan, between approximately 18,500 and 28,000 PSCs</w:t>
      </w:r>
      <w:r w:rsidR="00786022">
        <w:rPr>
          <w:rStyle w:val="FootnoteReference"/>
        </w:rPr>
        <w:footnoteReference w:id="45"/>
      </w:r>
      <w:r>
        <w:t xml:space="preserve"> </w:t>
      </w:r>
      <w:r>
        <w:rPr>
          <w:lang w:val="en-US"/>
        </w:rPr>
        <w:t xml:space="preserve">provide </w:t>
      </w:r>
      <w:r>
        <w:rPr>
          <w:rFonts w:cs="RealpageTIM1"/>
          <w:szCs w:val="20"/>
          <w:lang w:val="en-US" w:eastAsia="en-US"/>
        </w:rPr>
        <w:t>convoy security and protect</w:t>
      </w:r>
      <w:r w:rsidR="00786022">
        <w:rPr>
          <w:rFonts w:cs="RealpageTIM1"/>
          <w:szCs w:val="20"/>
          <w:lang w:val="en-US" w:eastAsia="en-US"/>
        </w:rPr>
        <w:t xml:space="preserve"> </w:t>
      </w:r>
      <w:r>
        <w:rPr>
          <w:rFonts w:cs="RealpageTIM1"/>
          <w:szCs w:val="20"/>
          <w:lang w:val="en-US" w:eastAsia="en-US"/>
        </w:rPr>
        <w:t xml:space="preserve">property or personnel </w:t>
      </w:r>
      <w:r>
        <w:rPr>
          <w:lang w:val="en-US"/>
        </w:rPr>
        <w:t xml:space="preserve">to their customers. To put it bluntly, today, states are once again using mercenaries. </w:t>
      </w:r>
    </w:p>
    <w:p w:rsidR="002D24E1" w:rsidRPr="0063738A" w:rsidRDefault="002D24E1" w:rsidP="002D24E1">
      <w:pPr>
        <w:autoSpaceDE w:val="0"/>
        <w:autoSpaceDN w:val="0"/>
        <w:adjustRightInd w:val="0"/>
        <w:spacing w:line="480" w:lineRule="auto"/>
        <w:ind w:firstLine="708"/>
        <w:jc w:val="both"/>
        <w:rPr>
          <w:lang w:val="en-US"/>
        </w:rPr>
      </w:pPr>
      <w:r w:rsidRPr="007C6902">
        <w:rPr>
          <w:lang w:val="en-US"/>
        </w:rPr>
        <w:t xml:space="preserve">In the following section we show </w:t>
      </w:r>
      <w:r>
        <w:rPr>
          <w:lang w:val="en-US"/>
        </w:rPr>
        <w:t xml:space="preserve">how the anti-mercenary norm degenerated incrementally. </w:t>
      </w:r>
      <w:r w:rsidRPr="00067E60">
        <w:rPr>
          <w:lang w:val="en-US"/>
        </w:rPr>
        <w:t xml:space="preserve">Although the anti-mercenary norm provided a </w:t>
      </w:r>
      <w:r>
        <w:rPr>
          <w:lang w:val="en-US"/>
        </w:rPr>
        <w:t xml:space="preserve">clear aim - namely the prohibition of the use of mercenaries - </w:t>
      </w:r>
      <w:r w:rsidRPr="00067E60">
        <w:rPr>
          <w:lang w:val="en-US"/>
        </w:rPr>
        <w:t>the norm was nonetheless never especially precise</w:t>
      </w:r>
      <w:r>
        <w:rPr>
          <w:lang w:val="en-US"/>
        </w:rPr>
        <w:t>.</w:t>
      </w:r>
      <w:r w:rsidRPr="00067E60">
        <w:rPr>
          <w:lang w:val="en-US"/>
        </w:rPr>
        <w:t xml:space="preserve"> The classical definition of a mercenary is a foreign fighter,</w:t>
      </w:r>
      <w:r>
        <w:rPr>
          <w:lang w:val="en-US"/>
        </w:rPr>
        <w:t xml:space="preserve"> which signifies that they are not</w:t>
      </w:r>
      <w:r w:rsidRPr="00067E60">
        <w:rPr>
          <w:lang w:val="en-US"/>
        </w:rPr>
        <w:t xml:space="preserve"> national</w:t>
      </w:r>
      <w:r>
        <w:rPr>
          <w:lang w:val="en-US"/>
        </w:rPr>
        <w:t>s</w:t>
      </w:r>
      <w:r w:rsidRPr="00067E60">
        <w:rPr>
          <w:lang w:val="en-US"/>
        </w:rPr>
        <w:t xml:space="preserve"> to a party </w:t>
      </w:r>
      <w:r>
        <w:rPr>
          <w:lang w:val="en-US"/>
        </w:rPr>
        <w:t>in</w:t>
      </w:r>
      <w:r w:rsidRPr="00067E60">
        <w:rPr>
          <w:lang w:val="en-US"/>
        </w:rPr>
        <w:t xml:space="preserve"> the conflict, their primary motivation is money </w:t>
      </w:r>
      <w:r w:rsidRPr="00067E60">
        <w:rPr>
          <w:lang w:val="en-US"/>
        </w:rPr>
        <w:lastRenderedPageBreak/>
        <w:t>and they use force outside the control of the state.</w:t>
      </w:r>
      <w:r w:rsidR="00786022">
        <w:rPr>
          <w:rStyle w:val="FootnoteReference"/>
          <w:lang w:val="en-US"/>
        </w:rPr>
        <w:footnoteReference w:id="46"/>
      </w:r>
      <w:r>
        <w:rPr>
          <w:lang w:val="en-US"/>
        </w:rPr>
        <w:t xml:space="preserve"> The ambiguity of the norm derives from </w:t>
      </w:r>
      <w:r w:rsidRPr="00067E60">
        <w:rPr>
          <w:lang w:val="en-US"/>
        </w:rPr>
        <w:t>numerous exceptions</w:t>
      </w:r>
      <w:r>
        <w:rPr>
          <w:lang w:val="en-US"/>
        </w:rPr>
        <w:t xml:space="preserve"> to the concept of mercenaries</w:t>
      </w:r>
      <w:r w:rsidRPr="00067E60">
        <w:rPr>
          <w:lang w:val="en-US"/>
        </w:rPr>
        <w:t>.</w:t>
      </w:r>
      <w:r>
        <w:rPr>
          <w:lang w:val="en-US"/>
        </w:rPr>
        <w:t xml:space="preserve"> B</w:t>
      </w:r>
      <w:r w:rsidRPr="007C6902">
        <w:rPr>
          <w:lang w:val="en-US"/>
        </w:rPr>
        <w:t xml:space="preserve">eing foreign was a necessary component of a mercenary. </w:t>
      </w:r>
      <w:r>
        <w:rPr>
          <w:lang w:val="en-US"/>
        </w:rPr>
        <w:t xml:space="preserve">This, however, </w:t>
      </w:r>
      <w:r w:rsidRPr="00067E60">
        <w:rPr>
          <w:lang w:val="en-US"/>
        </w:rPr>
        <w:t>did not</w:t>
      </w:r>
      <w:r>
        <w:rPr>
          <w:lang w:val="en-US"/>
        </w:rPr>
        <w:t xml:space="preserve"> render</w:t>
      </w:r>
      <w:r w:rsidRPr="00067E60">
        <w:rPr>
          <w:lang w:val="en-US"/>
        </w:rPr>
        <w:t xml:space="preserve"> all foreigners part</w:t>
      </w:r>
      <w:r>
        <w:rPr>
          <w:lang w:val="en-US"/>
        </w:rPr>
        <w:t xml:space="preserve">icipating in hostilities as </w:t>
      </w:r>
      <w:r w:rsidRPr="00067E60">
        <w:rPr>
          <w:lang w:val="en-US"/>
        </w:rPr>
        <w:t>mercenaries.</w:t>
      </w:r>
      <w:r>
        <w:rPr>
          <w:rStyle w:val="FootnoteReference"/>
          <w:lang w:val="en-US"/>
        </w:rPr>
        <w:footnoteReference w:id="47"/>
      </w:r>
      <w:r w:rsidRPr="00067E60">
        <w:rPr>
          <w:lang w:val="en-US"/>
        </w:rPr>
        <w:t xml:space="preserve"> </w:t>
      </w:r>
      <w:r>
        <w:rPr>
          <w:rFonts w:cs="TimesNewRomanPSMT"/>
        </w:rPr>
        <w:t xml:space="preserve">Furthermore, </w:t>
      </w:r>
      <w:r w:rsidRPr="00067E60">
        <w:rPr>
          <w:rFonts w:cs="TimesNewRomanPSMT"/>
        </w:rPr>
        <w:t xml:space="preserve">a mercenary </w:t>
      </w:r>
      <w:r>
        <w:rPr>
          <w:rFonts w:cs="TimesNewRomanPSMT"/>
        </w:rPr>
        <w:t xml:space="preserve">is considered as being </w:t>
      </w:r>
      <w:r w:rsidRPr="00067E60">
        <w:rPr>
          <w:rFonts w:cs="TimesNewRomanPSMT"/>
        </w:rPr>
        <w:t xml:space="preserve">motivated by money. However, fighting for money does not automatically </w:t>
      </w:r>
      <w:r>
        <w:rPr>
          <w:rFonts w:cs="TimesNewRomanPSMT"/>
        </w:rPr>
        <w:t>qualify</w:t>
      </w:r>
      <w:r w:rsidRPr="00067E60">
        <w:rPr>
          <w:rFonts w:cs="TimesNewRomanPSMT"/>
        </w:rPr>
        <w:t xml:space="preserve"> someone </w:t>
      </w:r>
      <w:r>
        <w:rPr>
          <w:rFonts w:cs="TimesNewRomanPSMT"/>
        </w:rPr>
        <w:t xml:space="preserve">as </w:t>
      </w:r>
      <w:r w:rsidRPr="00067E60">
        <w:rPr>
          <w:rFonts w:cs="TimesNewRomanPSMT"/>
        </w:rPr>
        <w:t xml:space="preserve">a mercenary. Many national armed forces recruit new personnel by offering career </w:t>
      </w:r>
      <w:r>
        <w:rPr>
          <w:rFonts w:cs="TimesNewRomanPSMT"/>
        </w:rPr>
        <w:t>options</w:t>
      </w:r>
      <w:r w:rsidRPr="00067E60">
        <w:rPr>
          <w:rFonts w:cs="TimesNewRomanPSMT"/>
        </w:rPr>
        <w:t>, free education, health care and of course</w:t>
      </w:r>
      <w:r>
        <w:rPr>
          <w:rFonts w:cs="TimesNewRomanPSMT"/>
        </w:rPr>
        <w:t>,</w:t>
      </w:r>
      <w:r w:rsidRPr="00067E60">
        <w:rPr>
          <w:rFonts w:cs="TimesNewRomanPSMT"/>
        </w:rPr>
        <w:t xml:space="preserve"> a salary. </w:t>
      </w:r>
      <w:r>
        <w:rPr>
          <w:rFonts w:cs="TimesNewRomanPSMT"/>
        </w:rPr>
        <w:t>N</w:t>
      </w:r>
      <w:r w:rsidRPr="00067E60">
        <w:rPr>
          <w:rFonts w:cs="TimesNewRomanPSMT"/>
        </w:rPr>
        <w:t>ew applicants</w:t>
      </w:r>
      <w:r>
        <w:rPr>
          <w:rFonts w:cs="TimesNewRomanPSMT"/>
        </w:rPr>
        <w:t xml:space="preserve"> often</w:t>
      </w:r>
      <w:r w:rsidRPr="00067E60">
        <w:rPr>
          <w:rFonts w:cs="TimesNewRomanPSMT"/>
        </w:rPr>
        <w:t xml:space="preserve"> get a bonus when they sign up. Thus, there is no guarantee that soldiers are only motivated by patriotism and not (also) by financial benefits.</w:t>
      </w:r>
      <w:r w:rsidR="00786022">
        <w:rPr>
          <w:rStyle w:val="FootnoteReference"/>
          <w:rFonts w:cs="TimesNewRomanPSMT"/>
        </w:rPr>
        <w:footnoteReference w:id="48"/>
      </w:r>
      <w:r w:rsidRPr="00067E60">
        <w:rPr>
          <w:rFonts w:cs="TimesNewRomanPSMT"/>
        </w:rPr>
        <w:t xml:space="preserve"> </w:t>
      </w:r>
      <w:r>
        <w:rPr>
          <w:rFonts w:cs="TimesNewRomanPSMT"/>
        </w:rPr>
        <w:t>However, soldiers would not generally be considered</w:t>
      </w:r>
      <w:r w:rsidRPr="00E64473">
        <w:rPr>
          <w:rFonts w:cs="TimesNewRomanPSMT"/>
        </w:rPr>
        <w:t xml:space="preserve"> mercenar</w:t>
      </w:r>
      <w:r>
        <w:rPr>
          <w:rFonts w:cs="TimesNewRomanPSMT"/>
        </w:rPr>
        <w:t>ies</w:t>
      </w:r>
      <w:r w:rsidRPr="00E64473">
        <w:rPr>
          <w:rFonts w:cs="TimesNewRomanPSMT"/>
        </w:rPr>
        <w:t xml:space="preserve">. </w:t>
      </w:r>
    </w:p>
    <w:p w:rsidR="002D24E1" w:rsidRPr="00783204" w:rsidRDefault="002D24E1" w:rsidP="002D24E1">
      <w:pPr>
        <w:pStyle w:val="FootnoteText"/>
        <w:spacing w:line="480" w:lineRule="auto"/>
        <w:ind w:firstLine="708"/>
        <w:jc w:val="both"/>
        <w:rPr>
          <w:sz w:val="24"/>
        </w:rPr>
      </w:pPr>
      <w:r w:rsidRPr="00783204">
        <w:rPr>
          <w:sz w:val="24"/>
        </w:rPr>
        <w:t xml:space="preserve">The </w:t>
      </w:r>
      <w:r>
        <w:rPr>
          <w:sz w:val="24"/>
        </w:rPr>
        <w:t xml:space="preserve">relevant </w:t>
      </w:r>
      <w:r w:rsidRPr="00783204">
        <w:rPr>
          <w:sz w:val="24"/>
        </w:rPr>
        <w:t xml:space="preserve">environment did not </w:t>
      </w:r>
      <w:r>
        <w:rPr>
          <w:sz w:val="24"/>
        </w:rPr>
        <w:t xml:space="preserve">change </w:t>
      </w:r>
      <w:r w:rsidRPr="00783204">
        <w:rPr>
          <w:sz w:val="24"/>
        </w:rPr>
        <w:t xml:space="preserve">rapidly </w:t>
      </w:r>
      <w:r>
        <w:rPr>
          <w:sz w:val="24"/>
        </w:rPr>
        <w:t>or</w:t>
      </w:r>
      <w:r w:rsidRPr="00783204">
        <w:rPr>
          <w:sz w:val="24"/>
        </w:rPr>
        <w:t xml:space="preserve"> fundamentally. </w:t>
      </w:r>
      <w:r w:rsidRPr="00EC39DC">
        <w:rPr>
          <w:sz w:val="24"/>
        </w:rPr>
        <w:t>The end of the Cold</w:t>
      </w:r>
      <w:r w:rsidRPr="00783204">
        <w:rPr>
          <w:sz w:val="24"/>
        </w:rPr>
        <w:t xml:space="preserve"> War ca</w:t>
      </w:r>
      <w:r>
        <w:rPr>
          <w:sz w:val="24"/>
        </w:rPr>
        <w:t>u</w:t>
      </w:r>
      <w:r w:rsidRPr="00783204">
        <w:rPr>
          <w:sz w:val="24"/>
        </w:rPr>
        <w:t>sed a shift in the material environment of armed forces</w:t>
      </w:r>
      <w:r>
        <w:rPr>
          <w:sz w:val="24"/>
        </w:rPr>
        <w:t>, as t</w:t>
      </w:r>
      <w:r w:rsidRPr="00783204">
        <w:rPr>
          <w:sz w:val="24"/>
        </w:rPr>
        <w:t>he defen</w:t>
      </w:r>
      <w:r>
        <w:rPr>
          <w:sz w:val="24"/>
        </w:rPr>
        <w:t>s</w:t>
      </w:r>
      <w:r w:rsidRPr="00783204">
        <w:rPr>
          <w:sz w:val="24"/>
        </w:rPr>
        <w:t>e budget</w:t>
      </w:r>
      <w:r>
        <w:rPr>
          <w:sz w:val="24"/>
        </w:rPr>
        <w:t>s</w:t>
      </w:r>
      <w:r w:rsidRPr="00783204">
        <w:rPr>
          <w:sz w:val="24"/>
        </w:rPr>
        <w:t xml:space="preserve"> </w:t>
      </w:r>
      <w:r>
        <w:rPr>
          <w:sz w:val="24"/>
        </w:rPr>
        <w:t xml:space="preserve">were </w:t>
      </w:r>
      <w:r w:rsidRPr="00783204">
        <w:rPr>
          <w:sz w:val="24"/>
        </w:rPr>
        <w:t>shrunk and the size of the military forces was downsized. As a result</w:t>
      </w:r>
      <w:r>
        <w:rPr>
          <w:sz w:val="24"/>
        </w:rPr>
        <w:t>,</w:t>
      </w:r>
      <w:r w:rsidRPr="00783204">
        <w:rPr>
          <w:sz w:val="24"/>
        </w:rPr>
        <w:t xml:space="preserve"> a huge pool of military qualified personnel flooded the market seeking new employments.</w:t>
      </w:r>
      <w:r w:rsidR="00786022">
        <w:rPr>
          <w:rStyle w:val="FootnoteReference"/>
          <w:sz w:val="24"/>
        </w:rPr>
        <w:footnoteReference w:id="49"/>
      </w:r>
      <w:r w:rsidRPr="00783204">
        <w:rPr>
          <w:sz w:val="24"/>
        </w:rPr>
        <w:t xml:space="preserve"> This facilitated the emergence </w:t>
      </w:r>
      <w:r>
        <w:rPr>
          <w:sz w:val="24"/>
        </w:rPr>
        <w:t xml:space="preserve">of the supply side </w:t>
      </w:r>
      <w:r w:rsidRPr="00783204">
        <w:rPr>
          <w:sz w:val="24"/>
        </w:rPr>
        <w:t>of the market for force. On the other hand</w:t>
      </w:r>
      <w:r>
        <w:rPr>
          <w:sz w:val="24"/>
        </w:rPr>
        <w:t>,</w:t>
      </w:r>
      <w:r w:rsidRPr="00783204">
        <w:rPr>
          <w:sz w:val="24"/>
        </w:rPr>
        <w:t xml:space="preserve"> the </w:t>
      </w:r>
      <w:r>
        <w:rPr>
          <w:sz w:val="24"/>
        </w:rPr>
        <w:t xml:space="preserve">demand side was prompted by the </w:t>
      </w:r>
      <w:r w:rsidRPr="00783204">
        <w:rPr>
          <w:sz w:val="24"/>
        </w:rPr>
        <w:t>disengagement of the great powers in various</w:t>
      </w:r>
      <w:r>
        <w:rPr>
          <w:sz w:val="24"/>
        </w:rPr>
        <w:t xml:space="preserve"> regions of the world, which increased</w:t>
      </w:r>
      <w:r w:rsidRPr="00783204">
        <w:rPr>
          <w:sz w:val="24"/>
        </w:rPr>
        <w:t xml:space="preserve"> demand for military expertise and resources by weak states.</w:t>
      </w:r>
      <w:r w:rsidR="00786022">
        <w:rPr>
          <w:rStyle w:val="FootnoteReference"/>
          <w:sz w:val="24"/>
        </w:rPr>
        <w:footnoteReference w:id="50"/>
      </w:r>
      <w:r w:rsidRPr="00783204">
        <w:rPr>
          <w:sz w:val="24"/>
        </w:rPr>
        <w:t xml:space="preserve"> </w:t>
      </w:r>
      <w:r>
        <w:rPr>
          <w:sz w:val="24"/>
        </w:rPr>
        <w:t xml:space="preserve">Furthermore, </w:t>
      </w:r>
      <w:r w:rsidRPr="00783204">
        <w:rPr>
          <w:sz w:val="24"/>
        </w:rPr>
        <w:t xml:space="preserve">Western armed </w:t>
      </w:r>
      <w:r>
        <w:rPr>
          <w:sz w:val="24"/>
        </w:rPr>
        <w:t xml:space="preserve">forces also </w:t>
      </w:r>
      <w:r>
        <w:rPr>
          <w:sz w:val="24"/>
        </w:rPr>
        <w:lastRenderedPageBreak/>
        <w:t>developed</w:t>
      </w:r>
      <w:r w:rsidRPr="00783204">
        <w:rPr>
          <w:sz w:val="24"/>
        </w:rPr>
        <w:t xml:space="preserve"> a higher demand for military resources as deployment rates have increased significantly and put a severe strain on the troops.</w:t>
      </w:r>
      <w:r w:rsidR="00786022">
        <w:rPr>
          <w:rStyle w:val="FootnoteReference"/>
          <w:sz w:val="24"/>
        </w:rPr>
        <w:footnoteReference w:id="51"/>
      </w:r>
    </w:p>
    <w:p w:rsidR="00782E93" w:rsidRDefault="002D24E1" w:rsidP="0000370B">
      <w:pPr>
        <w:autoSpaceDE w:val="0"/>
        <w:autoSpaceDN w:val="0"/>
        <w:adjustRightInd w:val="0"/>
        <w:spacing w:line="480" w:lineRule="auto"/>
        <w:ind w:firstLine="708"/>
        <w:jc w:val="both"/>
        <w:rPr>
          <w:rFonts w:cs="RealpageTIM1"/>
          <w:szCs w:val="20"/>
          <w:lang w:val="en-US" w:eastAsia="en-US"/>
        </w:rPr>
      </w:pPr>
      <w:r>
        <w:rPr>
          <w:lang w:val="en-US"/>
        </w:rPr>
        <w:t>The s</w:t>
      </w:r>
      <w:r w:rsidRPr="00783204">
        <w:rPr>
          <w:lang w:val="en-US"/>
        </w:rPr>
        <w:t>tate</w:t>
      </w:r>
      <w:r>
        <w:rPr>
          <w:lang w:val="en-US"/>
        </w:rPr>
        <w:t>s</w:t>
      </w:r>
      <w:r w:rsidRPr="00783204">
        <w:rPr>
          <w:lang w:val="en-US"/>
        </w:rPr>
        <w:t xml:space="preserve"> had a significant interest in curbing the scope of the anti-mercenary norm </w:t>
      </w:r>
      <w:r>
        <w:rPr>
          <w:lang w:val="en-US"/>
        </w:rPr>
        <w:t>since</w:t>
      </w:r>
      <w:r w:rsidRPr="00783204">
        <w:rPr>
          <w:lang w:val="en-US"/>
        </w:rPr>
        <w:t xml:space="preserve"> hiring PSCs on the free market </w:t>
      </w:r>
      <w:r>
        <w:rPr>
          <w:lang w:val="en-US"/>
        </w:rPr>
        <w:t>provided</w:t>
      </w:r>
      <w:r w:rsidRPr="00783204">
        <w:rPr>
          <w:lang w:val="en-US"/>
        </w:rPr>
        <w:t xml:space="preserve"> at least two advantages. First, contractors are said to be </w:t>
      </w:r>
      <w:r>
        <w:rPr>
          <w:lang w:val="en-US"/>
        </w:rPr>
        <w:t xml:space="preserve">more </w:t>
      </w:r>
      <w:r w:rsidRPr="00783204">
        <w:rPr>
          <w:lang w:val="en-US"/>
        </w:rPr>
        <w:t xml:space="preserve">cost-efficient </w:t>
      </w:r>
      <w:r>
        <w:rPr>
          <w:lang w:val="en-US"/>
        </w:rPr>
        <w:t xml:space="preserve">than in-house </w:t>
      </w:r>
      <w:r w:rsidRPr="00783204">
        <w:rPr>
          <w:lang w:val="en-US"/>
        </w:rPr>
        <w:t>solution</w:t>
      </w:r>
      <w:r>
        <w:rPr>
          <w:lang w:val="en-US"/>
        </w:rPr>
        <w:t>s</w:t>
      </w:r>
      <w:r w:rsidRPr="00067E60">
        <w:rPr>
          <w:lang w:val="en-US"/>
        </w:rPr>
        <w:t>.</w:t>
      </w:r>
      <w:r w:rsidR="00786022">
        <w:rPr>
          <w:rStyle w:val="FootnoteReference"/>
          <w:lang w:val="en-US"/>
        </w:rPr>
        <w:footnoteReference w:id="52"/>
      </w:r>
      <w:r w:rsidRPr="00067E60">
        <w:rPr>
          <w:lang w:val="en-US"/>
        </w:rPr>
        <w:t xml:space="preserve"> However, it is not </w:t>
      </w:r>
      <w:r>
        <w:rPr>
          <w:lang w:val="en-US"/>
        </w:rPr>
        <w:t xml:space="preserve">an </w:t>
      </w:r>
      <w:r w:rsidRPr="00067E60">
        <w:rPr>
          <w:lang w:val="en-US"/>
        </w:rPr>
        <w:t xml:space="preserve">uncontested </w:t>
      </w:r>
      <w:r>
        <w:rPr>
          <w:lang w:val="en-US"/>
        </w:rPr>
        <w:t xml:space="preserve">issue as to </w:t>
      </w:r>
      <w:r w:rsidRPr="00067E60">
        <w:rPr>
          <w:lang w:val="en-US"/>
        </w:rPr>
        <w:t>whether outsourcing saves costs</w:t>
      </w:r>
      <w:r w:rsidR="00EC3A51">
        <w:rPr>
          <w:lang w:val="en-US"/>
        </w:rPr>
        <w:fldChar w:fldCharType="begin"/>
      </w:r>
      <w:r w:rsidR="00DF1A44">
        <w:rPr>
          <w:lang w:val="en-US"/>
        </w:rPr>
        <w:instrText xml:space="preserve"> ADDIN EN.CITE &lt;EndNote&gt;&lt;Cite&gt;&lt;Author&gt;Markusen&lt;/Author&gt;&lt;Year&gt;2001&lt;/Year&gt;&lt;RecNum&gt;55&lt;/RecNum&gt;&lt;record&gt;&lt;rec-number&gt;55&lt;/rec-number&gt;&lt;ref-type name="Conference Paper"&gt;47&lt;/ref-type&gt;&lt;contributors&gt;&lt;authors&gt;&lt;author&gt;Ann Markusen&lt;/author&gt;&lt;/authors&gt;&lt;/contributors&gt;&lt;titles&gt;&lt;title&gt;The Case Against Privatization National Security&lt;/title&gt;&lt;secondary-title&gt;International Political Science Association&lt;/secondary-title&gt;&lt;/titles&gt;&lt;dates&gt;&lt;year&gt;2001&lt;/year&gt;&lt;/dates&gt;&lt;pub-location&gt;University of Oklahoma&lt;/pub-location&gt;&lt;urls&gt;&lt;/urls&gt;&lt;/record&gt;&lt;/Cite&gt;&lt;/EndNote&gt;</w:instrText>
      </w:r>
      <w:r w:rsidR="00EC3A51">
        <w:rPr>
          <w:lang w:val="en-US"/>
        </w:rPr>
        <w:fldChar w:fldCharType="end"/>
      </w:r>
      <w:r>
        <w:rPr>
          <w:rFonts w:cs="Helvetica"/>
          <w:szCs w:val="22"/>
          <w:lang w:val="en-US" w:eastAsia="en-US"/>
        </w:rPr>
        <w:t xml:space="preserve">. </w:t>
      </w:r>
      <w:r w:rsidRPr="00067E60">
        <w:rPr>
          <w:lang w:val="en-US"/>
        </w:rPr>
        <w:t xml:space="preserve">Second, </w:t>
      </w:r>
      <w:r w:rsidRPr="00067E60">
        <w:rPr>
          <w:rFonts w:cs="AGaramond-Regular"/>
          <w:szCs w:val="21"/>
          <w:lang w:val="en-US" w:eastAsia="en-US"/>
        </w:rPr>
        <w:t xml:space="preserve">deploying </w:t>
      </w:r>
      <w:r>
        <w:rPr>
          <w:rFonts w:cs="AGaramond-Regular"/>
          <w:szCs w:val="21"/>
          <w:lang w:val="en-US" w:eastAsia="en-US"/>
        </w:rPr>
        <w:t xml:space="preserve">armed </w:t>
      </w:r>
      <w:r>
        <w:rPr>
          <w:rFonts w:cs="Helvetica"/>
          <w:szCs w:val="22"/>
          <w:lang w:val="en-US" w:eastAsia="en-US"/>
        </w:rPr>
        <w:t xml:space="preserve">contractors </w:t>
      </w:r>
      <w:r w:rsidRPr="00067E60">
        <w:rPr>
          <w:rFonts w:cs="Helvetica"/>
          <w:szCs w:val="22"/>
          <w:lang w:val="en-US" w:eastAsia="en-US"/>
        </w:rPr>
        <w:t xml:space="preserve">reduces the </w:t>
      </w:r>
      <w:r>
        <w:rPr>
          <w:rFonts w:cs="Helvetica"/>
          <w:szCs w:val="22"/>
          <w:lang w:val="en-US" w:eastAsia="en-US"/>
        </w:rPr>
        <w:t>strain on the troops as they serve as force multipliers</w:t>
      </w:r>
      <w:r w:rsidRPr="00067E60">
        <w:rPr>
          <w:rFonts w:cs="Helvetica"/>
          <w:szCs w:val="22"/>
          <w:lang w:val="en-US" w:eastAsia="en-US"/>
        </w:rPr>
        <w:t>.</w:t>
      </w:r>
      <w:r>
        <w:rPr>
          <w:rFonts w:cs="Helvetica"/>
          <w:szCs w:val="22"/>
          <w:lang w:val="en-US" w:eastAsia="en-US"/>
        </w:rPr>
        <w:t xml:space="preserve"> </w:t>
      </w:r>
      <w:r w:rsidRPr="00DE0402">
        <w:rPr>
          <w:rFonts w:cs="RealpageTIM1"/>
        </w:rPr>
        <w:t>However, none of the actors challenged the anti-mercenar</w:t>
      </w:r>
      <w:r>
        <w:rPr>
          <w:rFonts w:cs="RealpageTIM1"/>
        </w:rPr>
        <w:t>y norm openly. Instead of employing mercenaries, they hired private security companies (PSC). T</w:t>
      </w:r>
      <w:r>
        <w:t xml:space="preserve">he </w:t>
      </w:r>
      <w:smartTag w:uri="urn:schemas-microsoft-com:office:smarttags" w:element="country-region">
        <w:r>
          <w:t>U.S.</w:t>
        </w:r>
      </w:smartTag>
      <w:r>
        <w:t xml:space="preserve">, </w:t>
      </w:r>
      <w:smartTag w:uri="urn:schemas-microsoft-com:office:smarttags" w:element="country-region">
        <w:r>
          <w:t>Germany</w:t>
        </w:r>
      </w:smartTag>
      <w:r>
        <w:t xml:space="preserve"> and the </w:t>
      </w:r>
      <w:smartTag w:uri="urn:schemas-microsoft-com:office:smarttags" w:element="place">
        <w:smartTag w:uri="urn:schemas-microsoft-com:office:smarttags" w:element="country-region">
          <w:r>
            <w:t>UK</w:t>
          </w:r>
        </w:smartTag>
      </w:smartTag>
      <w:r>
        <w:t>, shared the view that PSCs were significantly different from mercenaries.</w:t>
      </w:r>
      <w:r>
        <w:rPr>
          <w:rStyle w:val="FootnoteReference"/>
        </w:rPr>
        <w:footnoteReference w:id="53"/>
      </w:r>
      <w:r>
        <w:t xml:space="preserve"> For example, t</w:t>
      </w:r>
      <w:r w:rsidRPr="00067E60">
        <w:rPr>
          <w:rFonts w:cs="TimesNewRomanPSMT"/>
        </w:rPr>
        <w:t xml:space="preserve">he Foreign Affairs committee in the British Parliament </w:t>
      </w:r>
      <w:r>
        <w:rPr>
          <w:rFonts w:cs="TimesNewRomanPSMT"/>
        </w:rPr>
        <w:t xml:space="preserve">differentiated </w:t>
      </w:r>
      <w:r>
        <w:rPr>
          <w:lang w:val="en-US"/>
        </w:rPr>
        <w:t xml:space="preserve">between different tasks </w:t>
      </w:r>
      <w:r>
        <w:rPr>
          <w:rFonts w:cs="TimesNewRomanPSMT"/>
        </w:rPr>
        <w:t>and argued that i</w:t>
      </w:r>
      <w:r>
        <w:rPr>
          <w:color w:val="000000"/>
          <w:szCs w:val="22"/>
        </w:rPr>
        <w:t>n contrast to firms providing military operations</w:t>
      </w:r>
      <w:r w:rsidRPr="00067E60">
        <w:rPr>
          <w:color w:val="000000"/>
          <w:szCs w:val="22"/>
        </w:rPr>
        <w:t>,</w:t>
      </w:r>
      <w:r w:rsidR="00786022">
        <w:rPr>
          <w:color w:val="000000"/>
          <w:szCs w:val="22"/>
        </w:rPr>
        <w:t xml:space="preserve"> PSCs using defensive force</w:t>
      </w:r>
      <w:r>
        <w:rPr>
          <w:color w:val="000000"/>
          <w:szCs w:val="22"/>
        </w:rPr>
        <w:t xml:space="preserve"> were</w:t>
      </w:r>
      <w:r w:rsidRPr="00067E60">
        <w:rPr>
          <w:color w:val="000000"/>
          <w:szCs w:val="22"/>
        </w:rPr>
        <w:t xml:space="preserve"> considered legitimate</w:t>
      </w:r>
      <w:r w:rsidRPr="00067E60">
        <w:rPr>
          <w:bCs/>
          <w:color w:val="000000"/>
          <w:szCs w:val="22"/>
        </w:rPr>
        <w:t>.</w:t>
      </w:r>
      <w:r w:rsidRPr="00067E60">
        <w:rPr>
          <w:rStyle w:val="FootnoteReference"/>
          <w:rFonts w:cs="TimesNewRomanPSMT"/>
        </w:rPr>
        <w:footnoteReference w:id="54"/>
      </w:r>
      <w:r w:rsidRPr="00067E60">
        <w:rPr>
          <w:bCs/>
          <w:color w:val="000000"/>
          <w:szCs w:val="22"/>
        </w:rPr>
        <w:t xml:space="preserve"> Although the distinction is not easily made, it has </w:t>
      </w:r>
      <w:r w:rsidRPr="00067E60">
        <w:rPr>
          <w:rFonts w:cs="TimesNewRomanPSMT"/>
        </w:rPr>
        <w:t>become widely accepted that if a</w:t>
      </w:r>
      <w:r w:rsidRPr="00067E60">
        <w:t xml:space="preserve"> firm is to cross the line and start</w:t>
      </w:r>
      <w:r>
        <w:t xml:space="preserve"> </w:t>
      </w:r>
      <w:r w:rsidRPr="00067E60">
        <w:t xml:space="preserve">providing offensive services, it would be </w:t>
      </w:r>
      <w:r>
        <w:t xml:space="preserve">considered </w:t>
      </w:r>
      <w:r w:rsidRPr="00067E60">
        <w:t>a mercenary company.</w:t>
      </w:r>
      <w:r w:rsidR="00786022">
        <w:rPr>
          <w:rStyle w:val="FootnoteReference"/>
        </w:rPr>
        <w:footnoteReference w:id="55"/>
      </w:r>
      <w:r w:rsidRPr="00067E60">
        <w:t xml:space="preserve"> Following</w:t>
      </w:r>
      <w:r>
        <w:t xml:space="preserve"> this vein, the U.S. and twenty-</w:t>
      </w:r>
      <w:r w:rsidRPr="00067E60">
        <w:t xml:space="preserve">five other states </w:t>
      </w:r>
      <w:r w:rsidRPr="00067E60">
        <w:lastRenderedPageBreak/>
        <w:t>embraced this view in the Montreux document in 2008.</w:t>
      </w:r>
      <w:r w:rsidRPr="00067E60">
        <w:rPr>
          <w:rStyle w:val="FootnoteReference"/>
        </w:rPr>
        <w:footnoteReference w:id="56"/>
      </w:r>
      <w:r w:rsidRPr="00067E60">
        <w:t xml:space="preserve"> PSCs were considered business entities providing </w:t>
      </w:r>
      <w:r w:rsidRPr="00067E60">
        <w:rPr>
          <w:rFonts w:cs="Times"/>
          <w:szCs w:val="22"/>
        </w:rPr>
        <w:t xml:space="preserve">military and security services including armed guarding and protection of persons and objects. </w:t>
      </w:r>
      <w:r w:rsidRPr="00067E60">
        <w:t xml:space="preserve">Such firms may use force, but only </w:t>
      </w:r>
      <w:r w:rsidRPr="00067E60">
        <w:rPr>
          <w:rFonts w:cs="Times"/>
          <w:szCs w:val="22"/>
        </w:rPr>
        <w:t>in self-defence or defence of third persons.</w:t>
      </w:r>
      <w:r w:rsidRPr="00067E60">
        <w:rPr>
          <w:rStyle w:val="FootnoteReference"/>
          <w:rFonts w:cs="Times"/>
          <w:szCs w:val="22"/>
        </w:rPr>
        <w:footnoteReference w:id="57"/>
      </w:r>
      <w:r>
        <w:rPr>
          <w:rFonts w:cs="RealpageTIM1"/>
          <w:szCs w:val="20"/>
          <w:lang w:val="en-US" w:eastAsia="en-US"/>
        </w:rPr>
        <w:t xml:space="preserve"> </w:t>
      </w:r>
    </w:p>
    <w:p w:rsidR="002D24E1" w:rsidRPr="0000370B" w:rsidRDefault="0000370B" w:rsidP="0000370B">
      <w:pPr>
        <w:autoSpaceDE w:val="0"/>
        <w:autoSpaceDN w:val="0"/>
        <w:adjustRightInd w:val="0"/>
        <w:spacing w:line="480" w:lineRule="auto"/>
        <w:ind w:firstLine="708"/>
        <w:jc w:val="both"/>
      </w:pPr>
      <w:r>
        <w:t xml:space="preserve">Sarah Percy </w:t>
      </w:r>
      <w:r w:rsidR="00126E5D">
        <w:t xml:space="preserve">argues that only defensive services are offered on today’s market is due to the </w:t>
      </w:r>
      <w:r w:rsidR="00C41F93">
        <w:t xml:space="preserve">power of the </w:t>
      </w:r>
      <w:r>
        <w:t xml:space="preserve">anti-mercenary norm. </w:t>
      </w:r>
      <w:r w:rsidR="00C41F93">
        <w:t xml:space="preserve">Against the backdrop of the anti-mercenary </w:t>
      </w:r>
      <w:r w:rsidR="00126E5D">
        <w:t>offensive tasks appeared to be</w:t>
      </w:r>
      <w:r w:rsidR="00C41F93">
        <w:t xml:space="preserve"> too controversial and were pushed off the market, while the </w:t>
      </w:r>
      <w:r w:rsidR="00126E5D">
        <w:t>defensive services were accepted</w:t>
      </w:r>
      <w:r w:rsidR="00C41F93">
        <w:t>.</w:t>
      </w:r>
      <w:r w:rsidR="00C41F93">
        <w:rPr>
          <w:rStyle w:val="FootnoteReference"/>
        </w:rPr>
        <w:footnoteReference w:id="58"/>
      </w:r>
      <w:r w:rsidR="00C41F93">
        <w:t xml:space="preserve"> </w:t>
      </w:r>
      <w:r w:rsidR="000C499D">
        <w:t xml:space="preserve">However, </w:t>
      </w:r>
      <w:r w:rsidR="000C499D">
        <w:rPr>
          <w:rFonts w:cs="RealpageTIM1"/>
          <w:szCs w:val="20"/>
          <w:lang w:val="en-US" w:eastAsia="en-US"/>
        </w:rPr>
        <w:t>a</w:t>
      </w:r>
      <w:r w:rsidR="002D24E1">
        <w:rPr>
          <w:rFonts w:cs="RealpageTIM1"/>
          <w:szCs w:val="20"/>
          <w:lang w:val="en-US" w:eastAsia="en-US"/>
        </w:rPr>
        <w:t>s aforementioned, th</w:t>
      </w:r>
      <w:r w:rsidR="002D24E1" w:rsidRPr="00067E60">
        <w:rPr>
          <w:rFonts w:cs="RealpageTIM1"/>
          <w:szCs w:val="20"/>
          <w:lang w:val="en-US" w:eastAsia="en-US"/>
        </w:rPr>
        <w:t xml:space="preserve">e differentiation between the kinds of forces is not </w:t>
      </w:r>
      <w:r w:rsidR="002D24E1">
        <w:rPr>
          <w:rFonts w:cs="RealpageTIM1"/>
          <w:szCs w:val="20"/>
          <w:lang w:val="en-US" w:eastAsia="en-US"/>
        </w:rPr>
        <w:t xml:space="preserve">required </w:t>
      </w:r>
      <w:r w:rsidR="002D24E1" w:rsidRPr="00067E60">
        <w:rPr>
          <w:rFonts w:cs="RealpageTIM1"/>
          <w:szCs w:val="20"/>
          <w:lang w:val="en-US" w:eastAsia="en-US"/>
        </w:rPr>
        <w:t>in the anti-mercenary norm</w:t>
      </w:r>
      <w:r w:rsidR="002D24E1" w:rsidRPr="00C320CF">
        <w:rPr>
          <w:rFonts w:cs="RealpageTIM1"/>
          <w:szCs w:val="20"/>
          <w:lang w:val="en-US" w:eastAsia="en-US"/>
        </w:rPr>
        <w:t>.</w:t>
      </w:r>
      <w:r w:rsidR="002D24E1" w:rsidRPr="00C320CF">
        <w:rPr>
          <w:lang w:val="en-US"/>
        </w:rPr>
        <w:t xml:space="preserve"> </w:t>
      </w:r>
      <w:r w:rsidR="002D24E1">
        <w:rPr>
          <w:lang w:val="en-US"/>
        </w:rPr>
        <w:t>However, as the use of defensive force is no longer an exception and is now considered legitimate</w:t>
      </w:r>
      <w:r w:rsidR="002D24E1" w:rsidRPr="00067E60">
        <w:rPr>
          <w:lang w:val="en-US"/>
        </w:rPr>
        <w:t>, the actors succeeded in limiting the applicatory scope of the anti-mercenary</w:t>
      </w:r>
      <w:r w:rsidR="002D24E1">
        <w:rPr>
          <w:lang w:val="en-US"/>
        </w:rPr>
        <w:t xml:space="preserve"> norm</w:t>
      </w:r>
      <w:r w:rsidR="002D24E1" w:rsidRPr="00067E60">
        <w:rPr>
          <w:lang w:val="en-US"/>
        </w:rPr>
        <w:t xml:space="preserve">. One could even go further and argue that this is just </w:t>
      </w:r>
      <w:r w:rsidR="002D24E1">
        <w:rPr>
          <w:lang w:val="en-US"/>
        </w:rPr>
        <w:t>a fig leave, the beginning of a radical reformulation, eventually culminating in the entire anti-</w:t>
      </w:r>
      <w:r w:rsidR="002D24E1" w:rsidRPr="00067E60">
        <w:rPr>
          <w:lang w:val="en-US"/>
        </w:rPr>
        <w:t xml:space="preserve">mercenary norm </w:t>
      </w:r>
      <w:r w:rsidR="002D24E1">
        <w:rPr>
          <w:lang w:val="en-US"/>
        </w:rPr>
        <w:t>becoming meaningless</w:t>
      </w:r>
      <w:r w:rsidR="002D24E1" w:rsidRPr="00067E60">
        <w:rPr>
          <w:lang w:val="en-US"/>
        </w:rPr>
        <w:t>. Although currently the defensive character of PSC</w:t>
      </w:r>
      <w:r w:rsidR="002D24E1">
        <w:rPr>
          <w:lang w:val="en-US"/>
        </w:rPr>
        <w:t>s</w:t>
      </w:r>
      <w:r w:rsidR="002D24E1" w:rsidRPr="00067E60">
        <w:rPr>
          <w:lang w:val="en-US"/>
        </w:rPr>
        <w:t xml:space="preserve"> is upheld, the substance of the argument can be doubted. In many cases it appears as if they even go beyond the security task. PSC</w:t>
      </w:r>
      <w:r w:rsidR="002D24E1">
        <w:rPr>
          <w:lang w:val="en-US"/>
        </w:rPr>
        <w:t>s</w:t>
      </w:r>
      <w:r w:rsidR="002D24E1" w:rsidRPr="00067E60">
        <w:rPr>
          <w:lang w:val="en-US"/>
        </w:rPr>
        <w:t xml:space="preserve"> in </w:t>
      </w:r>
      <w:smartTag w:uri="urn:schemas-microsoft-com:office:smarttags" w:element="country-region">
        <w:smartTag w:uri="urn:schemas-microsoft-com:office:smarttags" w:element="place">
          <w:r w:rsidR="002D24E1" w:rsidRPr="00067E60">
            <w:rPr>
              <w:lang w:val="en-US"/>
            </w:rPr>
            <w:t>Iraq</w:t>
          </w:r>
        </w:smartTag>
      </w:smartTag>
      <w:r w:rsidR="002D24E1">
        <w:rPr>
          <w:lang w:val="en-US"/>
        </w:rPr>
        <w:t xml:space="preserve">, for instance, also </w:t>
      </w:r>
      <w:r w:rsidR="002D24E1" w:rsidRPr="00067E60">
        <w:rPr>
          <w:lang w:val="en-US"/>
        </w:rPr>
        <w:t>conducted offensive operations by tak</w:t>
      </w:r>
      <w:r w:rsidR="002D24E1">
        <w:rPr>
          <w:lang w:val="en-US"/>
        </w:rPr>
        <w:t>in</w:t>
      </w:r>
      <w:r w:rsidR="002D24E1" w:rsidRPr="00067E60">
        <w:rPr>
          <w:lang w:val="en-US"/>
        </w:rPr>
        <w:t>g the initiative to the enemy</w:t>
      </w:r>
      <w:r w:rsidR="00786022">
        <w:rPr>
          <w:lang w:val="en-US"/>
        </w:rPr>
        <w:t>.</w:t>
      </w:r>
      <w:r w:rsidR="00786022">
        <w:rPr>
          <w:rStyle w:val="FootnoteReference"/>
          <w:lang w:val="en-US"/>
        </w:rPr>
        <w:footnoteReference w:id="59"/>
      </w:r>
      <w:r w:rsidR="002D24E1">
        <w:rPr>
          <w:lang w:val="en-US"/>
        </w:rPr>
        <w:t xml:space="preserve"> In short, neither has the anti-mercenary norm differentiated between offensive and defensive tasks, nor do PSCs perform purely defensive tasks</w:t>
      </w:r>
      <w:r w:rsidR="002D24E1" w:rsidRPr="00067E60">
        <w:rPr>
          <w:lang w:val="en-US"/>
        </w:rPr>
        <w:t xml:space="preserve">. </w:t>
      </w:r>
      <w:r w:rsidR="002D24E1">
        <w:rPr>
          <w:lang w:val="en-US"/>
        </w:rPr>
        <w:t>Thus, as expected by hypothesis two, the high precision and the rather stable environment, in combination with actors’ interests in violating the anti-mercenary norm, led to its incremental degeneration. In line with hypothesis three,</w:t>
      </w:r>
      <w:r w:rsidR="002D24E1">
        <w:rPr>
          <w:rFonts w:cs="RealpageTIM1"/>
        </w:rPr>
        <w:t xml:space="preserve"> the anti-mercenary norm was not substituted by another </w:t>
      </w:r>
      <w:r w:rsidR="002D24E1">
        <w:rPr>
          <w:rFonts w:cs="RealpageTIM1"/>
        </w:rPr>
        <w:lastRenderedPageBreak/>
        <w:t>norm since other</w:t>
      </w:r>
      <w:r w:rsidR="002D24E1">
        <w:rPr>
          <w:rFonts w:cs="RealpageTIM1"/>
          <w:szCs w:val="20"/>
          <w:lang w:val="en-US" w:eastAsia="en-US"/>
        </w:rPr>
        <w:t xml:space="preserve"> competing norms replacing the anti-mercenary norm did not exist.</w:t>
      </w:r>
      <w:r w:rsidR="002D24E1">
        <w:rPr>
          <w:rStyle w:val="FootnoteReference"/>
          <w:rFonts w:cs="RealpageTIM1"/>
          <w:szCs w:val="20"/>
          <w:lang w:val="en-US" w:eastAsia="en-US"/>
        </w:rPr>
        <w:footnoteReference w:id="60"/>
      </w:r>
      <w:r w:rsidR="002D24E1">
        <w:rPr>
          <w:rFonts w:cs="RealpageTIM1"/>
          <w:szCs w:val="20"/>
          <w:lang w:val="en-US" w:eastAsia="en-US"/>
        </w:rPr>
        <w:t xml:space="preserve"> One could, for instance, think of a norm legitimizing non-state actors’ use of force. Against the backdrop of shrinking national armies and a growing number of armed non-state actors participating in hostilities it does not seem </w:t>
      </w:r>
      <w:proofErr w:type="spellStart"/>
      <w:r w:rsidR="002D24E1">
        <w:rPr>
          <w:rFonts w:cs="RealpageTIM1"/>
          <w:szCs w:val="20"/>
          <w:lang w:val="en-US" w:eastAsia="en-US"/>
        </w:rPr>
        <w:t>far fetched</w:t>
      </w:r>
      <w:proofErr w:type="spellEnd"/>
      <w:r w:rsidR="002D24E1">
        <w:rPr>
          <w:rFonts w:cs="RealpageTIM1"/>
          <w:szCs w:val="20"/>
          <w:lang w:val="en-US" w:eastAsia="en-US"/>
        </w:rPr>
        <w:t xml:space="preserve"> to assume that the state lost its privileged status. Yet, such a norm did not emerge. On the contrary, armed non-state actors were perceived as undermining the </w:t>
      </w:r>
      <w:r w:rsidR="002D24E1" w:rsidRPr="00522BBE">
        <w:rPr>
          <w:rFonts w:cs="RealpageTIM1"/>
          <w:szCs w:val="20"/>
          <w:lang w:val="en-US" w:eastAsia="en-US"/>
        </w:rPr>
        <w:t>concept of legitimate use of force rather than contributing to it.</w:t>
      </w:r>
      <w:r w:rsidR="00786022">
        <w:rPr>
          <w:rStyle w:val="FootnoteReference"/>
          <w:rFonts w:cs="RealpageTIM1"/>
          <w:szCs w:val="20"/>
          <w:lang w:val="en-US" w:eastAsia="en-US"/>
        </w:rPr>
        <w:footnoteReference w:id="61"/>
      </w:r>
      <w:r w:rsidR="002D24E1" w:rsidRPr="00522BBE">
        <w:rPr>
          <w:rFonts w:cs="RealpageTIM1"/>
          <w:szCs w:val="20"/>
          <w:lang w:val="en-US" w:eastAsia="en-US"/>
        </w:rPr>
        <w:t xml:space="preserve"> </w:t>
      </w:r>
      <w:r w:rsidR="002D24E1" w:rsidRPr="00522BBE">
        <w:rPr>
          <w:rFonts w:cs="AdvPS94BA"/>
          <w:szCs w:val="22"/>
          <w:lang w:val="en-US" w:eastAsia="en-US"/>
        </w:rPr>
        <w:t xml:space="preserve">PMCs </w:t>
      </w:r>
      <w:r w:rsidR="002D24E1">
        <w:rPr>
          <w:rFonts w:cs="AdvPS94BA"/>
          <w:szCs w:val="22"/>
          <w:lang w:val="en-US" w:eastAsia="en-US"/>
        </w:rPr>
        <w:t>are often deemed to undermine</w:t>
      </w:r>
      <w:r w:rsidR="002D24E1" w:rsidRPr="00522BBE">
        <w:rPr>
          <w:rFonts w:cs="AdvPS94BA"/>
          <w:szCs w:val="22"/>
          <w:lang w:val="en-US" w:eastAsia="en-US"/>
        </w:rPr>
        <w:t xml:space="preserve"> the principle of legitimate authority, which internationally restricts the number of agents that are permitted to use force.</w:t>
      </w:r>
      <w:r w:rsidR="002D24E1" w:rsidRPr="00522BBE">
        <w:rPr>
          <w:rFonts w:cs="RealpageTIM1"/>
          <w:szCs w:val="20"/>
          <w:lang w:val="en-US" w:eastAsia="en-US"/>
        </w:rPr>
        <w:t xml:space="preserve"> </w:t>
      </w:r>
      <w:r w:rsidR="002D24E1">
        <w:rPr>
          <w:rFonts w:cs="AdvPS94BA"/>
          <w:szCs w:val="22"/>
          <w:lang w:val="en-US" w:eastAsia="en-US"/>
        </w:rPr>
        <w:t>James Pattison claims that “</w:t>
      </w:r>
      <w:r w:rsidR="002D24E1" w:rsidRPr="00522BBE">
        <w:rPr>
          <w:rFonts w:cs="AdvPS94BA"/>
          <w:szCs w:val="22"/>
          <w:lang w:val="en-US" w:eastAsia="en-US"/>
        </w:rPr>
        <w:t xml:space="preserve">privatization of military force introduces a set of </w:t>
      </w:r>
      <w:proofErr w:type="spellStart"/>
      <w:r w:rsidR="002D24E1" w:rsidRPr="00522BBE">
        <w:rPr>
          <w:rFonts w:cs="AdvPS94BA"/>
          <w:szCs w:val="22"/>
          <w:lang w:val="en-US" w:eastAsia="en-US"/>
        </w:rPr>
        <w:t>non state</w:t>
      </w:r>
      <w:proofErr w:type="spellEnd"/>
      <w:r w:rsidR="002D24E1" w:rsidRPr="00522BBE">
        <w:rPr>
          <w:rFonts w:cs="AdvPS94BA"/>
          <w:szCs w:val="22"/>
          <w:lang w:val="en-US" w:eastAsia="en-US"/>
        </w:rPr>
        <w:t xml:space="preserve"> actors that do not fit into state-based systems of regulation”.</w:t>
      </w:r>
      <w:r w:rsidR="00786022">
        <w:rPr>
          <w:rStyle w:val="FootnoteReference"/>
          <w:rFonts w:cs="AdvPS94BA"/>
          <w:szCs w:val="22"/>
          <w:lang w:val="en-US" w:eastAsia="en-US"/>
        </w:rPr>
        <w:footnoteReference w:id="62"/>
      </w:r>
      <w:r w:rsidR="002D24E1">
        <w:rPr>
          <w:rFonts w:cs="RealpageTIM1"/>
          <w:szCs w:val="20"/>
          <w:lang w:val="en-US" w:eastAsia="en-US"/>
        </w:rPr>
        <w:t xml:space="preserve"> Thus, the anti-mercenary norm was not substituted by another norm. Hypothesis 3 can therefore be confirmed.</w:t>
      </w:r>
    </w:p>
    <w:p w:rsidR="002D24E1" w:rsidRDefault="002D24E1" w:rsidP="002D24E1">
      <w:pPr>
        <w:autoSpaceDE w:val="0"/>
        <w:autoSpaceDN w:val="0"/>
        <w:adjustRightInd w:val="0"/>
        <w:spacing w:line="480" w:lineRule="auto"/>
        <w:ind w:firstLine="720"/>
        <w:jc w:val="both"/>
        <w:rPr>
          <w:rFonts w:cs="RealpageTIM1"/>
          <w:szCs w:val="20"/>
          <w:lang w:val="en-US" w:eastAsia="en-US"/>
        </w:rPr>
      </w:pPr>
      <w:r>
        <w:rPr>
          <w:rFonts w:cs="RealpageTIM1"/>
          <w:szCs w:val="20"/>
          <w:lang w:val="en-US" w:eastAsia="en-US"/>
        </w:rPr>
        <w:t>In sum, b</w:t>
      </w:r>
      <w:r w:rsidRPr="00067E60">
        <w:rPr>
          <w:rFonts w:cs="RealpageTIM1"/>
          <w:szCs w:val="20"/>
          <w:lang w:val="en-US" w:eastAsia="en-US"/>
        </w:rPr>
        <w:t>y the end of 2003</w:t>
      </w:r>
      <w:r>
        <w:rPr>
          <w:rFonts w:cs="RealpageTIM1"/>
          <w:szCs w:val="20"/>
          <w:lang w:val="en-US" w:eastAsia="en-US"/>
        </w:rPr>
        <w:t>,</w:t>
      </w:r>
      <w:r w:rsidRPr="00067E60">
        <w:rPr>
          <w:rFonts w:cs="RealpageTIM1"/>
          <w:szCs w:val="20"/>
          <w:lang w:val="en-US" w:eastAsia="en-US"/>
        </w:rPr>
        <w:t xml:space="preserve"> using PSC on a large scale in </w:t>
      </w:r>
      <w:smartTag w:uri="urn:schemas-microsoft-com:office:smarttags" w:element="place">
        <w:smartTag w:uri="urn:schemas-microsoft-com:office:smarttags" w:element="country-region">
          <w:r w:rsidRPr="00067E60">
            <w:rPr>
              <w:rFonts w:cs="RealpageTIM1"/>
              <w:szCs w:val="20"/>
              <w:lang w:val="en-US" w:eastAsia="en-US"/>
            </w:rPr>
            <w:t>Iraq</w:t>
          </w:r>
        </w:smartTag>
      </w:smartTag>
      <w:r w:rsidRPr="00067E60">
        <w:rPr>
          <w:rFonts w:cs="RealpageTIM1"/>
          <w:szCs w:val="20"/>
          <w:lang w:val="en-US" w:eastAsia="en-US"/>
        </w:rPr>
        <w:t xml:space="preserve"> </w:t>
      </w:r>
      <w:r w:rsidRPr="00067E60">
        <w:rPr>
          <w:lang w:val="en-US"/>
        </w:rPr>
        <w:t xml:space="preserve">was considered to be appropriate. It took </w:t>
      </w:r>
      <w:r>
        <w:rPr>
          <w:lang w:val="en-US"/>
        </w:rPr>
        <w:t xml:space="preserve">just </w:t>
      </w:r>
      <w:r w:rsidRPr="00067E60">
        <w:rPr>
          <w:lang w:val="en-US"/>
        </w:rPr>
        <w:t xml:space="preserve">a decade – from the first operation </w:t>
      </w:r>
      <w:r>
        <w:rPr>
          <w:lang w:val="en-US"/>
        </w:rPr>
        <w:t xml:space="preserve">combat in the early 1990s </w:t>
      </w:r>
      <w:r w:rsidRPr="00067E60">
        <w:rPr>
          <w:lang w:val="en-US"/>
        </w:rPr>
        <w:t xml:space="preserve">to the broad PSC employment in </w:t>
      </w:r>
      <w:smartTag w:uri="urn:schemas-microsoft-com:office:smarttags" w:element="place">
        <w:smartTag w:uri="urn:schemas-microsoft-com:office:smarttags" w:element="country-region">
          <w:r w:rsidRPr="00067E60">
            <w:rPr>
              <w:lang w:val="en-US"/>
            </w:rPr>
            <w:t>Iraq</w:t>
          </w:r>
        </w:smartTag>
      </w:smartTag>
      <w:r w:rsidRPr="00067E60">
        <w:rPr>
          <w:lang w:val="en-US"/>
        </w:rPr>
        <w:t xml:space="preserve"> – to change a norm</w:t>
      </w:r>
      <w:r>
        <w:rPr>
          <w:lang w:val="en-US"/>
        </w:rPr>
        <w:t>,</w:t>
      </w:r>
      <w:r w:rsidRPr="00067E60">
        <w:rPr>
          <w:lang w:val="en-US"/>
        </w:rPr>
        <w:t xml:space="preserve"> which had been in place for almost two hundred years.</w:t>
      </w:r>
      <w:r>
        <w:rPr>
          <w:lang w:val="en-US"/>
        </w:rPr>
        <w:t xml:space="preserve"> </w:t>
      </w:r>
      <w:r w:rsidRPr="00067E60">
        <w:rPr>
          <w:lang w:val="en-US"/>
        </w:rPr>
        <w:t>As expected</w:t>
      </w:r>
      <w:r>
        <w:rPr>
          <w:lang w:val="en-US"/>
        </w:rPr>
        <w:t xml:space="preserve"> from the hypotheses</w:t>
      </w:r>
      <w:r w:rsidRPr="00067E60">
        <w:rPr>
          <w:lang w:val="en-US"/>
        </w:rPr>
        <w:t>, t</w:t>
      </w:r>
      <w:r w:rsidRPr="00067E60">
        <w:rPr>
          <w:rFonts w:cs="RealpageTIM1"/>
          <w:szCs w:val="20"/>
          <w:lang w:val="en-US" w:eastAsia="en-US"/>
        </w:rPr>
        <w:t xml:space="preserve">he anti-mercenary norm </w:t>
      </w:r>
      <w:r>
        <w:rPr>
          <w:rFonts w:cs="RealpageTIM1"/>
          <w:szCs w:val="20"/>
          <w:lang w:val="en-US" w:eastAsia="en-US"/>
        </w:rPr>
        <w:t xml:space="preserve">has </w:t>
      </w:r>
      <w:r w:rsidRPr="00067E60">
        <w:rPr>
          <w:rFonts w:cs="RealpageTIM1"/>
          <w:szCs w:val="20"/>
          <w:lang w:val="en-US" w:eastAsia="en-US"/>
        </w:rPr>
        <w:t xml:space="preserve">incrementally </w:t>
      </w:r>
      <w:r>
        <w:rPr>
          <w:rFonts w:cs="RealpageTIM1"/>
          <w:szCs w:val="20"/>
          <w:lang w:val="en-US" w:eastAsia="en-US"/>
        </w:rPr>
        <w:t>degenerated</w:t>
      </w:r>
      <w:r w:rsidRPr="00067E60">
        <w:rPr>
          <w:rFonts w:cs="RealpageTIM1"/>
          <w:szCs w:val="20"/>
          <w:lang w:val="en-US" w:eastAsia="en-US"/>
        </w:rPr>
        <w:t>.</w:t>
      </w:r>
    </w:p>
    <w:p w:rsidR="002D24E1" w:rsidRDefault="002D24E1" w:rsidP="002D24E1">
      <w:pPr>
        <w:autoSpaceDE w:val="0"/>
        <w:autoSpaceDN w:val="0"/>
        <w:adjustRightInd w:val="0"/>
        <w:spacing w:line="480" w:lineRule="auto"/>
        <w:ind w:firstLine="720"/>
        <w:jc w:val="both"/>
        <w:rPr>
          <w:rFonts w:cs="RealpageTIM1"/>
          <w:szCs w:val="20"/>
          <w:lang w:val="en-US" w:eastAsia="en-US"/>
        </w:rPr>
      </w:pPr>
    </w:p>
    <w:p w:rsidR="002D24E1" w:rsidRDefault="002D24E1" w:rsidP="002D24E1">
      <w:pPr>
        <w:autoSpaceDE w:val="0"/>
        <w:autoSpaceDN w:val="0"/>
        <w:adjustRightInd w:val="0"/>
        <w:spacing w:line="480" w:lineRule="auto"/>
        <w:ind w:firstLine="720"/>
        <w:jc w:val="both"/>
        <w:rPr>
          <w:rFonts w:cs="RealpageTIM1"/>
          <w:szCs w:val="20"/>
          <w:lang w:val="en-US" w:eastAsia="en-US"/>
        </w:rPr>
      </w:pPr>
    </w:p>
    <w:p w:rsidR="00502546" w:rsidRDefault="00502546" w:rsidP="002D24E1">
      <w:pPr>
        <w:autoSpaceDE w:val="0"/>
        <w:autoSpaceDN w:val="0"/>
        <w:adjustRightInd w:val="0"/>
        <w:spacing w:line="480" w:lineRule="auto"/>
        <w:ind w:firstLine="720"/>
        <w:jc w:val="both"/>
        <w:rPr>
          <w:rFonts w:cs="RealpageTIM1"/>
          <w:szCs w:val="20"/>
          <w:lang w:val="en-US" w:eastAsia="en-US"/>
        </w:rPr>
      </w:pPr>
    </w:p>
    <w:p w:rsidR="002D24E1" w:rsidRPr="002F543C" w:rsidRDefault="002D24E1" w:rsidP="002D24E1">
      <w:pPr>
        <w:tabs>
          <w:tab w:val="left" w:pos="3080"/>
        </w:tabs>
        <w:autoSpaceDE w:val="0"/>
        <w:autoSpaceDN w:val="0"/>
        <w:adjustRightInd w:val="0"/>
        <w:spacing w:line="480" w:lineRule="auto"/>
        <w:jc w:val="both"/>
        <w:rPr>
          <w:lang w:val="en-US"/>
        </w:rPr>
      </w:pPr>
      <w:r w:rsidRPr="00067E60">
        <w:rPr>
          <w:i/>
          <w:lang w:val="en-US"/>
        </w:rPr>
        <w:lastRenderedPageBreak/>
        <w:t xml:space="preserve">Incremental </w:t>
      </w:r>
      <w:r>
        <w:rPr>
          <w:i/>
          <w:lang w:val="en-US"/>
        </w:rPr>
        <w:t>degeneration</w:t>
      </w:r>
      <w:r w:rsidRPr="00067E60">
        <w:rPr>
          <w:i/>
          <w:lang w:val="en-US"/>
        </w:rPr>
        <w:t xml:space="preserve"> with </w:t>
      </w:r>
      <w:r>
        <w:rPr>
          <w:i/>
          <w:lang w:val="en-US"/>
        </w:rPr>
        <w:t xml:space="preserve">partial </w:t>
      </w:r>
      <w:r w:rsidRPr="00067E60">
        <w:rPr>
          <w:i/>
          <w:lang w:val="en-US"/>
        </w:rPr>
        <w:t>norm substitution: the norm against forcible intervention</w:t>
      </w:r>
    </w:p>
    <w:p w:rsidR="002D24E1" w:rsidRPr="000E7F75" w:rsidRDefault="002D24E1" w:rsidP="002D24E1">
      <w:pPr>
        <w:tabs>
          <w:tab w:val="left" w:pos="3080"/>
        </w:tabs>
        <w:autoSpaceDE w:val="0"/>
        <w:autoSpaceDN w:val="0"/>
        <w:adjustRightInd w:val="0"/>
        <w:spacing w:line="480" w:lineRule="auto"/>
        <w:jc w:val="both"/>
        <w:rPr>
          <w:lang w:val="en-CA"/>
        </w:rPr>
      </w:pPr>
      <w:r w:rsidRPr="00067E60">
        <w:rPr>
          <w:lang w:val="en-US"/>
        </w:rPr>
        <w:t xml:space="preserve">The first attempt to </w:t>
      </w:r>
      <w:r>
        <w:rPr>
          <w:lang w:val="en-US"/>
        </w:rPr>
        <w:t xml:space="preserve">ban violence as a means </w:t>
      </w:r>
      <w:r w:rsidRPr="00067E60">
        <w:rPr>
          <w:lang w:val="en-US"/>
        </w:rPr>
        <w:t xml:space="preserve">in international relations was undertaken in 1928, when the major powers singed the Briand Kellogg Pact in </w:t>
      </w:r>
      <w:smartTag w:uri="urn:schemas-microsoft-com:office:smarttags" w:element="place">
        <w:smartTag w:uri="urn:schemas-microsoft-com:office:smarttags" w:element="City">
          <w:r w:rsidRPr="00067E60">
            <w:rPr>
              <w:lang w:val="en-US"/>
            </w:rPr>
            <w:t>Paris</w:t>
          </w:r>
        </w:smartTag>
      </w:smartTag>
      <w:r w:rsidRPr="00067E60">
        <w:rPr>
          <w:lang w:val="en-US"/>
        </w:rPr>
        <w:t xml:space="preserve">. Although the </w:t>
      </w:r>
      <w:r>
        <w:rPr>
          <w:lang w:val="en-US"/>
        </w:rPr>
        <w:t xml:space="preserve">pact </w:t>
      </w:r>
      <w:r w:rsidRPr="00067E60">
        <w:rPr>
          <w:lang w:val="en-US"/>
        </w:rPr>
        <w:t xml:space="preserve">was not able to prevent another World War, </w:t>
      </w:r>
      <w:r>
        <w:rPr>
          <w:lang w:val="en-US"/>
        </w:rPr>
        <w:t>the ban</w:t>
      </w:r>
      <w:r w:rsidRPr="00B13D16">
        <w:rPr>
          <w:lang w:val="en-US"/>
        </w:rPr>
        <w:t xml:space="preserve"> became </w:t>
      </w:r>
      <w:r w:rsidRPr="00067E60">
        <w:rPr>
          <w:lang w:val="en-US"/>
        </w:rPr>
        <w:t xml:space="preserve">a core principle </w:t>
      </w:r>
      <w:r>
        <w:rPr>
          <w:lang w:val="en-US"/>
        </w:rPr>
        <w:t xml:space="preserve">in </w:t>
      </w:r>
      <w:r w:rsidRPr="00067E60">
        <w:rPr>
          <w:lang w:val="en-US"/>
        </w:rPr>
        <w:t xml:space="preserve">the newly drafted Charter of the United Nations (UNC). Article 2 IV UNC went even further by proscribing any use </w:t>
      </w:r>
      <w:r>
        <w:rPr>
          <w:lang w:val="en-US"/>
        </w:rPr>
        <w:t>or</w:t>
      </w:r>
      <w:r w:rsidRPr="00067E60">
        <w:rPr>
          <w:lang w:val="en-US"/>
        </w:rPr>
        <w:t xml:space="preserve"> </w:t>
      </w:r>
      <w:r>
        <w:rPr>
          <w:lang w:val="en-US"/>
        </w:rPr>
        <w:t xml:space="preserve">even </w:t>
      </w:r>
      <w:r w:rsidRPr="00067E60">
        <w:rPr>
          <w:lang w:val="en-US"/>
        </w:rPr>
        <w:t>the threat of the use of force.</w:t>
      </w:r>
      <w:r w:rsidR="00786022">
        <w:rPr>
          <w:rStyle w:val="FootnoteReference"/>
          <w:lang w:val="en-US"/>
        </w:rPr>
        <w:footnoteReference w:id="63"/>
      </w:r>
      <w:r w:rsidRPr="00067E60">
        <w:rPr>
          <w:lang w:val="en-US"/>
        </w:rPr>
        <w:t xml:space="preserve"> Article 53 and 69 of the Vienna Convention on Treaty Law (1969) further </w:t>
      </w:r>
      <w:r>
        <w:rPr>
          <w:lang w:val="en-US"/>
        </w:rPr>
        <w:t>underscores</w:t>
      </w:r>
      <w:r w:rsidRPr="00067E60">
        <w:rPr>
          <w:lang w:val="en-US"/>
        </w:rPr>
        <w:t xml:space="preserve"> the importance of Article 2 IV by rendering it </w:t>
      </w:r>
      <w:proofErr w:type="spellStart"/>
      <w:r w:rsidRPr="00067E60">
        <w:rPr>
          <w:i/>
          <w:lang w:val="en-US"/>
        </w:rPr>
        <w:t>jus</w:t>
      </w:r>
      <w:proofErr w:type="spellEnd"/>
      <w:r w:rsidRPr="00067E60">
        <w:rPr>
          <w:i/>
          <w:lang w:val="en-US"/>
        </w:rPr>
        <w:t xml:space="preserve"> </w:t>
      </w:r>
      <w:proofErr w:type="spellStart"/>
      <w:r w:rsidRPr="00067E60">
        <w:rPr>
          <w:i/>
          <w:lang w:val="en-US"/>
        </w:rPr>
        <w:t>cogens</w:t>
      </w:r>
      <w:proofErr w:type="spellEnd"/>
      <w:r w:rsidRPr="00067E60">
        <w:rPr>
          <w:lang w:val="en-US"/>
        </w:rPr>
        <w:t xml:space="preserve">, </w:t>
      </w:r>
      <w:r>
        <w:rPr>
          <w:lang w:val="en-US"/>
        </w:rPr>
        <w:t>signifying</w:t>
      </w:r>
      <w:r w:rsidRPr="00067E60">
        <w:rPr>
          <w:lang w:val="en-US"/>
        </w:rPr>
        <w:t xml:space="preserve"> that it is </w:t>
      </w:r>
      <w:r>
        <w:rPr>
          <w:lang w:val="en-US"/>
        </w:rPr>
        <w:t>compelling law</w:t>
      </w:r>
      <w:r w:rsidRPr="00067E60">
        <w:rPr>
          <w:lang w:val="en-US"/>
        </w:rPr>
        <w:t xml:space="preserve"> and derogations are prohibited. </w:t>
      </w:r>
      <w:r>
        <w:rPr>
          <w:lang w:val="en-US"/>
        </w:rPr>
        <w:t>T</w:t>
      </w:r>
      <w:r w:rsidRPr="00067E60">
        <w:rPr>
          <w:lang w:val="en-US"/>
        </w:rPr>
        <w:t xml:space="preserve">he regulatory scope of the Article overlaps to some extent with Article 2 VII of the UN </w:t>
      </w:r>
      <w:r>
        <w:rPr>
          <w:lang w:val="en-US"/>
        </w:rPr>
        <w:t>Charter</w:t>
      </w:r>
      <w:r w:rsidRPr="00067E60">
        <w:rPr>
          <w:lang w:val="en-US"/>
        </w:rPr>
        <w:t>.</w:t>
      </w:r>
      <w:r w:rsidRPr="00067E60">
        <w:rPr>
          <w:rStyle w:val="FootnoteReference"/>
          <w:lang w:val="en-US"/>
        </w:rPr>
        <w:footnoteReference w:id="64"/>
      </w:r>
      <w:r w:rsidRPr="00067E60">
        <w:rPr>
          <w:lang w:val="en-US"/>
        </w:rPr>
        <w:t xml:space="preserve"> Article 2 VII prohibits any form of external intervention in the domestic affairs of a state by all means. Since military interventions are the most controversial and the discussion usually focu</w:t>
      </w:r>
      <w:r>
        <w:rPr>
          <w:lang w:val="en-US"/>
        </w:rPr>
        <w:t>ses on military measures, both a</w:t>
      </w:r>
      <w:r w:rsidRPr="00067E60">
        <w:rPr>
          <w:lang w:val="en-US"/>
        </w:rPr>
        <w:t xml:space="preserve">rticles are often used </w:t>
      </w:r>
      <w:r>
        <w:rPr>
          <w:lang w:val="en-US"/>
        </w:rPr>
        <w:t>interchangeably. The scopes of the a</w:t>
      </w:r>
      <w:r w:rsidRPr="00067E60">
        <w:rPr>
          <w:lang w:val="en-US"/>
        </w:rPr>
        <w:t xml:space="preserve">rticles, however, do not overlap completely. </w:t>
      </w:r>
      <w:r>
        <w:rPr>
          <w:lang w:val="en-US"/>
        </w:rPr>
        <w:t>W</w:t>
      </w:r>
      <w:r w:rsidRPr="00067E60">
        <w:rPr>
          <w:lang w:val="en-US"/>
        </w:rPr>
        <w:t xml:space="preserve">e </w:t>
      </w:r>
      <w:r>
        <w:rPr>
          <w:lang w:val="en-US"/>
        </w:rPr>
        <w:t>regard</w:t>
      </w:r>
      <w:r w:rsidRPr="00067E60">
        <w:rPr>
          <w:lang w:val="en-US"/>
        </w:rPr>
        <w:t xml:space="preserve"> the shared ground of the two Articles</w:t>
      </w:r>
      <w:r>
        <w:rPr>
          <w:lang w:val="en-US"/>
        </w:rPr>
        <w:t xml:space="preserve"> as</w:t>
      </w:r>
      <w:r w:rsidRPr="00067E60">
        <w:rPr>
          <w:lang w:val="en-US"/>
        </w:rPr>
        <w:t xml:space="preserve"> the foundation of the “norm against forcible intervention”. Although the </w:t>
      </w:r>
      <w:r w:rsidRPr="00067E60">
        <w:rPr>
          <w:lang w:val="en-CA"/>
        </w:rPr>
        <w:t xml:space="preserve">norm is considered a cornerstone of the international system, it is subject to incremental </w:t>
      </w:r>
      <w:r>
        <w:rPr>
          <w:lang w:val="en-CA"/>
        </w:rPr>
        <w:t>degeneration</w:t>
      </w:r>
      <w:r w:rsidRPr="00067E60">
        <w:rPr>
          <w:lang w:val="en-CA"/>
        </w:rPr>
        <w:t xml:space="preserve"> since the 1980s. </w:t>
      </w:r>
      <w:r>
        <w:rPr>
          <w:lang w:val="en-CA"/>
        </w:rPr>
        <w:t>The right of humanitarian intervention has been established as a new exception to the norm. Though humanitarian interventions are not new, from 1945 to 1990 only eleven were conducted.</w:t>
      </w:r>
      <w:r w:rsidR="00786022">
        <w:rPr>
          <w:rStyle w:val="FootnoteReference"/>
          <w:lang w:val="en-CA"/>
        </w:rPr>
        <w:footnoteReference w:id="65"/>
      </w:r>
      <w:r>
        <w:rPr>
          <w:lang w:val="en-CA"/>
        </w:rPr>
        <w:t xml:space="preserve"> Since the 1990s their number has increased substantially: </w:t>
      </w:r>
      <w:r w:rsidRPr="007640A4">
        <w:rPr>
          <w:lang w:val="en-US"/>
        </w:rPr>
        <w:t xml:space="preserve">The Economic Community of West African </w:t>
      </w:r>
      <w:r w:rsidRPr="007640A4">
        <w:rPr>
          <w:lang w:val="en-US"/>
        </w:rPr>
        <w:lastRenderedPageBreak/>
        <w:t>States (ECOWAS) intervention in Liberia in 1990; the French, British, and American intervention in northern Iraq in 1991; the U.S.-led intervention in Somalia in 1992; French intervention in Rwanda in mid-1994; U.S.-led intervention in Haiti in 1994; NATO’s bombing of</w:t>
      </w:r>
      <w:r>
        <w:rPr>
          <w:lang w:val="en-US"/>
        </w:rPr>
        <w:t xml:space="preserve"> Bosnian-Serb positions in 1995; </w:t>
      </w:r>
      <w:r w:rsidRPr="007640A4">
        <w:rPr>
          <w:lang w:val="en-US"/>
        </w:rPr>
        <w:t>ECOWAS inter</w:t>
      </w:r>
      <w:r>
        <w:rPr>
          <w:lang w:val="en-US"/>
        </w:rPr>
        <w:t xml:space="preserve">vention in Sierra Leone in 1997; </w:t>
      </w:r>
      <w:r w:rsidRPr="003341AB">
        <w:rPr>
          <w:lang w:val="en-US"/>
        </w:rPr>
        <w:t>NATO interv</w:t>
      </w:r>
      <w:r w:rsidRPr="000E7F75">
        <w:rPr>
          <w:lang w:val="en-US"/>
        </w:rPr>
        <w:t xml:space="preserve">ention in Kosovo in 1999 to protect the Kosovo-Albanians; Australian-led intervention in East Timor in 1999; UN action in eastern parts of the Democratic Republic of Congo (DR Congo) since 1999; U.K. intervention in Sierra Leone in 2000; ECOWAS, the UN, and the U.S. intervention in Liberia in 2003 and French and UN intervention in </w:t>
      </w:r>
      <w:r w:rsidRPr="000E7F75">
        <w:t>Côte d’Ivoire</w:t>
      </w:r>
      <w:r w:rsidRPr="000E7F75">
        <w:rPr>
          <w:lang w:val="en-US"/>
        </w:rPr>
        <w:t xml:space="preserve"> in 2003.</w:t>
      </w:r>
      <w:r w:rsidRPr="000E7F75">
        <w:rPr>
          <w:rStyle w:val="FootnoteReference"/>
          <w:lang w:val="en-US"/>
        </w:rPr>
        <w:footnoteReference w:id="66"/>
      </w:r>
    </w:p>
    <w:p w:rsidR="002D24E1" w:rsidRPr="00794204" w:rsidRDefault="002D24E1" w:rsidP="000E7F75">
      <w:pPr>
        <w:tabs>
          <w:tab w:val="left" w:pos="810"/>
        </w:tabs>
        <w:autoSpaceDE w:val="0"/>
        <w:autoSpaceDN w:val="0"/>
        <w:adjustRightInd w:val="0"/>
        <w:spacing w:line="480" w:lineRule="auto"/>
        <w:jc w:val="both"/>
        <w:rPr>
          <w:bCs/>
          <w:sz w:val="20"/>
        </w:rPr>
      </w:pPr>
      <w:r w:rsidRPr="000E7F75">
        <w:rPr>
          <w:lang w:val="en-US"/>
        </w:rPr>
        <w:tab/>
        <w:t xml:space="preserve">However, some might object that intervention is hardly a new phenomenon in international relations and that the norm of non-intervention is only heeded when it seems convenient. Martha </w:t>
      </w:r>
      <w:proofErr w:type="spellStart"/>
      <w:r w:rsidRPr="000E7F75">
        <w:rPr>
          <w:lang w:val="en-US"/>
        </w:rPr>
        <w:t>Finnemore</w:t>
      </w:r>
      <w:proofErr w:type="spellEnd"/>
      <w:r w:rsidRPr="000E7F75">
        <w:rPr>
          <w:lang w:val="en-US"/>
        </w:rPr>
        <w:t xml:space="preserve"> argued that stronger states have always intervened in weaker states, only the “when” has changed over time.</w:t>
      </w:r>
      <w:r w:rsidR="00786022">
        <w:rPr>
          <w:rStyle w:val="FootnoteReference"/>
          <w:lang w:val="en-US"/>
        </w:rPr>
        <w:footnoteReference w:id="67"/>
      </w:r>
      <w:r w:rsidRPr="000E7F75">
        <w:rPr>
          <w:lang w:val="en-US"/>
        </w:rPr>
        <w:t xml:space="preserve"> In the same vein, Steven Krasner concludes that sovereignty (and non-intervention) has always been violated and that the Westphalian system was nothi</w:t>
      </w:r>
      <w:r w:rsidR="00786022">
        <w:rPr>
          <w:lang w:val="en-US"/>
        </w:rPr>
        <w:t>ng more than organized hypocrisy</w:t>
      </w:r>
      <w:r w:rsidRPr="000E7F75">
        <w:rPr>
          <w:lang w:val="en-US"/>
        </w:rPr>
        <w:t>.</w:t>
      </w:r>
      <w:r w:rsidR="00786022">
        <w:rPr>
          <w:rStyle w:val="FootnoteReference"/>
          <w:lang w:val="en-US"/>
        </w:rPr>
        <w:footnoteReference w:id="68"/>
      </w:r>
      <w:r w:rsidRPr="000E7F75">
        <w:rPr>
          <w:lang w:val="en-US"/>
        </w:rPr>
        <w:t xml:space="preserve"> </w:t>
      </w:r>
      <w:r w:rsidR="000E7F75" w:rsidRPr="000E7F75">
        <w:rPr>
          <w:lang w:val="en-US"/>
        </w:rPr>
        <w:t>W</w:t>
      </w:r>
      <w:r w:rsidRPr="000E7F75">
        <w:rPr>
          <w:lang w:val="en-US"/>
        </w:rPr>
        <w:t>e do not reject the notion that interventions have taken place before. Nevertheless, states have been very eager to protect their sovereignty and considered interventions therefore usually as illegitimate (Ibid. 41). Depicting interventions as norm violation constitutes a confirmatory act of the current rule set.</w:t>
      </w:r>
      <w:r w:rsidR="00786022">
        <w:rPr>
          <w:rStyle w:val="FootnoteReference"/>
          <w:lang w:val="en-US"/>
        </w:rPr>
        <w:footnoteReference w:id="69"/>
      </w:r>
      <w:r w:rsidRPr="000E7F75">
        <w:rPr>
          <w:lang w:val="en-US"/>
        </w:rPr>
        <w:t xml:space="preserve"> The difference between traditional interventions and the current humanitarian intervention is that the latter is not considered a violation of the non-intervention norm anymore, but a </w:t>
      </w:r>
      <w:r w:rsidRPr="000E7F75">
        <w:rPr>
          <w:lang w:val="en-US"/>
        </w:rPr>
        <w:lastRenderedPageBreak/>
        <w:t xml:space="preserve">legitimate exception. This claim is indirectly even supported by Stephen Krasner perception of human right: </w:t>
      </w:r>
      <w:r w:rsidR="000E7F75" w:rsidRPr="000E7F75">
        <w:rPr>
          <w:lang w:val="en-US"/>
        </w:rPr>
        <w:t xml:space="preserve"> </w:t>
      </w:r>
      <w:r w:rsidRPr="000E7F75">
        <w:rPr>
          <w:lang w:val="en-US"/>
        </w:rPr>
        <w:t>“… the international law of human rights is revolutionary because it contradicts the notion of national sovereignty – that is, that a state can do as it pleases within its own jurisdiction”.</w:t>
      </w:r>
      <w:r w:rsidR="00786022">
        <w:rPr>
          <w:rStyle w:val="FootnoteReference"/>
          <w:lang w:val="en-US"/>
        </w:rPr>
        <w:footnoteReference w:id="70"/>
      </w:r>
      <w:r w:rsidRPr="00794204">
        <w:rPr>
          <w:sz w:val="20"/>
          <w:lang w:val="en-US"/>
        </w:rPr>
        <w:t xml:space="preserve"> </w:t>
      </w:r>
      <w:r w:rsidRPr="00794204">
        <w:rPr>
          <w:bCs/>
          <w:sz w:val="20"/>
        </w:rPr>
        <w:t xml:space="preserve"> </w:t>
      </w:r>
    </w:p>
    <w:p w:rsidR="002D24E1" w:rsidRPr="00067E60" w:rsidRDefault="00786022" w:rsidP="002D24E1">
      <w:pPr>
        <w:tabs>
          <w:tab w:val="left" w:pos="810"/>
        </w:tabs>
        <w:autoSpaceDE w:val="0"/>
        <w:autoSpaceDN w:val="0"/>
        <w:adjustRightInd w:val="0"/>
        <w:spacing w:line="480" w:lineRule="auto"/>
        <w:jc w:val="both"/>
        <w:rPr>
          <w:kern w:val="16"/>
          <w:lang w:val="en-CA"/>
        </w:rPr>
      </w:pPr>
      <w:r>
        <w:rPr>
          <w:bCs/>
        </w:rPr>
        <w:tab/>
      </w:r>
      <w:r w:rsidR="002D24E1">
        <w:rPr>
          <w:bCs/>
        </w:rPr>
        <w:t xml:space="preserve">In the </w:t>
      </w:r>
      <w:r w:rsidR="002D24E1">
        <w:rPr>
          <w:lang w:val="en-CA"/>
        </w:rPr>
        <w:t xml:space="preserve">following sections, we outline the vagueness of the norm and the slowly changing environment, entailing an emerging competitive norm. </w:t>
      </w:r>
      <w:r w:rsidR="002D24E1" w:rsidRPr="00067E60">
        <w:rPr>
          <w:kern w:val="16"/>
          <w:lang w:val="en-CA"/>
        </w:rPr>
        <w:t xml:space="preserve">At first sight there is nothing </w:t>
      </w:r>
      <w:r w:rsidR="002D24E1">
        <w:rPr>
          <w:kern w:val="16"/>
          <w:lang w:val="en-CA"/>
        </w:rPr>
        <w:t>imprecise</w:t>
      </w:r>
      <w:r w:rsidR="002D24E1" w:rsidRPr="00067E60">
        <w:rPr>
          <w:kern w:val="16"/>
          <w:lang w:val="en-CA"/>
        </w:rPr>
        <w:t xml:space="preserve"> about the norm against forcible intervention. In fact, it is based on straight</w:t>
      </w:r>
      <w:r w:rsidR="002D24E1">
        <w:rPr>
          <w:kern w:val="16"/>
          <w:lang w:val="en-CA"/>
        </w:rPr>
        <w:t>-</w:t>
      </w:r>
      <w:r w:rsidR="002D24E1" w:rsidRPr="00067E60">
        <w:rPr>
          <w:kern w:val="16"/>
          <w:lang w:val="en-CA"/>
        </w:rPr>
        <w:t xml:space="preserve">forward </w:t>
      </w:r>
      <w:r w:rsidR="002D24E1">
        <w:rPr>
          <w:kern w:val="16"/>
          <w:lang w:val="en-CA"/>
        </w:rPr>
        <w:t>a</w:t>
      </w:r>
      <w:r w:rsidR="002D24E1" w:rsidRPr="00067E60">
        <w:rPr>
          <w:kern w:val="16"/>
          <w:lang w:val="en-CA"/>
        </w:rPr>
        <w:t>rticles. The overlapping regulatory scope of Article 2 IV and VII UNC conveys a very clear aim: no forcible external intervention in domestic affairs of another state. This prescription is comprehensive</w:t>
      </w:r>
      <w:r w:rsidR="002D24E1">
        <w:rPr>
          <w:kern w:val="16"/>
          <w:lang w:val="en-CA"/>
        </w:rPr>
        <w:t xml:space="preserve">, </w:t>
      </w:r>
      <w:r w:rsidR="002D24E1" w:rsidRPr="00067E60">
        <w:rPr>
          <w:kern w:val="16"/>
          <w:lang w:val="en-CA"/>
        </w:rPr>
        <w:t>address</w:t>
      </w:r>
      <w:r w:rsidR="002D24E1">
        <w:rPr>
          <w:kern w:val="16"/>
          <w:lang w:val="en-CA"/>
        </w:rPr>
        <w:t>ing</w:t>
      </w:r>
      <w:r w:rsidR="002D24E1" w:rsidRPr="00067E60">
        <w:rPr>
          <w:kern w:val="16"/>
          <w:lang w:val="en-CA"/>
        </w:rPr>
        <w:t xml:space="preserve"> </w:t>
      </w:r>
      <w:r w:rsidR="002D24E1">
        <w:rPr>
          <w:kern w:val="16"/>
          <w:lang w:val="en-CA"/>
        </w:rPr>
        <w:t>all peoples</w:t>
      </w:r>
      <w:r w:rsidR="002D24E1" w:rsidRPr="00067E60">
        <w:rPr>
          <w:kern w:val="16"/>
          <w:lang w:val="en-CA"/>
        </w:rPr>
        <w:t xml:space="preserve"> and grant</w:t>
      </w:r>
      <w:r w:rsidR="002D24E1">
        <w:rPr>
          <w:kern w:val="16"/>
          <w:lang w:val="en-CA"/>
        </w:rPr>
        <w:t>ing</w:t>
      </w:r>
      <w:r w:rsidR="002D24E1" w:rsidRPr="00067E60">
        <w:rPr>
          <w:kern w:val="16"/>
          <w:lang w:val="en-CA"/>
        </w:rPr>
        <w:t xml:space="preserve"> no leeway for deviation. For this remarkable evolution in international affairs, the founders of the Charter needed just two sentences. Yet, the relatively high ambivalence of the norm against forcible intervention accrues from three exemptions stipulated in the same Charter</w:t>
      </w:r>
      <w:r w:rsidR="002D24E1">
        <w:rPr>
          <w:kern w:val="16"/>
          <w:lang w:val="en-CA"/>
        </w:rPr>
        <w:t>. Article 51 UNC allows an infringement on</w:t>
      </w:r>
      <w:r w:rsidR="002D24E1" w:rsidRPr="00067E60">
        <w:rPr>
          <w:kern w:val="16"/>
          <w:lang w:val="en-CA"/>
        </w:rPr>
        <w:t xml:space="preserve"> the territory of the attacker while being attacked</w:t>
      </w:r>
      <w:r w:rsidR="002D24E1">
        <w:rPr>
          <w:kern w:val="16"/>
          <w:lang w:val="en-CA"/>
        </w:rPr>
        <w:t>,</w:t>
      </w:r>
      <w:r w:rsidR="002D24E1">
        <w:rPr>
          <w:rStyle w:val="FootnoteReference"/>
          <w:kern w:val="16"/>
          <w:lang w:val="en-CA"/>
        </w:rPr>
        <w:footnoteReference w:id="71"/>
      </w:r>
      <w:r w:rsidR="002D24E1">
        <w:rPr>
          <w:kern w:val="16"/>
          <w:lang w:val="en-CA"/>
        </w:rPr>
        <w:t xml:space="preserve"> based in chapter VII UNC</w:t>
      </w:r>
      <w:r w:rsidR="002D24E1" w:rsidRPr="00067E60">
        <w:rPr>
          <w:kern w:val="16"/>
          <w:lang w:val="en-CA"/>
        </w:rPr>
        <w:t xml:space="preserve"> the UN Security Council </w:t>
      </w:r>
      <w:r w:rsidR="002D24E1">
        <w:rPr>
          <w:kern w:val="16"/>
          <w:lang w:val="en-CA"/>
        </w:rPr>
        <w:t>can</w:t>
      </w:r>
      <w:r w:rsidR="002D24E1" w:rsidRPr="00067E60">
        <w:rPr>
          <w:kern w:val="16"/>
          <w:lang w:val="en-CA"/>
        </w:rPr>
        <w:t xml:space="preserve"> use forcible measures whenever it considers a situation</w:t>
      </w:r>
      <w:r w:rsidR="002D24E1">
        <w:rPr>
          <w:kern w:val="16"/>
          <w:lang w:val="en-CA"/>
        </w:rPr>
        <w:t xml:space="preserve"> to be</w:t>
      </w:r>
      <w:r w:rsidR="002D24E1" w:rsidRPr="00067E60">
        <w:rPr>
          <w:kern w:val="16"/>
          <w:lang w:val="en-CA"/>
        </w:rPr>
        <w:t xml:space="preserve"> a “threat to peace and stability</w:t>
      </w:r>
      <w:r w:rsidR="002D24E1">
        <w:rPr>
          <w:kern w:val="16"/>
          <w:lang w:val="en-CA"/>
        </w:rPr>
        <w:t>,</w:t>
      </w:r>
      <w:r w:rsidR="002D24E1">
        <w:rPr>
          <w:rStyle w:val="FootnoteReference"/>
          <w:kern w:val="16"/>
          <w:lang w:val="en-CA"/>
        </w:rPr>
        <w:footnoteReference w:id="72"/>
      </w:r>
      <w:r w:rsidR="002D24E1" w:rsidRPr="00067E60">
        <w:rPr>
          <w:kern w:val="16"/>
          <w:lang w:val="en-CA"/>
        </w:rPr>
        <w:t xml:space="preserve"> </w:t>
      </w:r>
      <w:r w:rsidR="002D24E1">
        <w:rPr>
          <w:kern w:val="16"/>
          <w:lang w:val="en-CA"/>
        </w:rPr>
        <w:t xml:space="preserve">and </w:t>
      </w:r>
      <w:r w:rsidR="002D24E1" w:rsidRPr="00067E60">
        <w:rPr>
          <w:kern w:val="16"/>
          <w:lang w:val="en-CA"/>
        </w:rPr>
        <w:t>Article</w:t>
      </w:r>
      <w:r w:rsidR="002D24E1">
        <w:rPr>
          <w:kern w:val="16"/>
          <w:lang w:val="en-CA"/>
        </w:rPr>
        <w:t>s</w:t>
      </w:r>
      <w:r w:rsidR="002D24E1" w:rsidRPr="00067E60">
        <w:rPr>
          <w:kern w:val="16"/>
          <w:lang w:val="en-CA"/>
        </w:rPr>
        <w:t xml:space="preserve"> 53 and 107 UNC</w:t>
      </w:r>
      <w:r w:rsidR="002D24E1">
        <w:rPr>
          <w:kern w:val="16"/>
          <w:lang w:val="en-CA"/>
        </w:rPr>
        <w:t xml:space="preserve"> specify the </w:t>
      </w:r>
      <w:r w:rsidR="002D24E1" w:rsidRPr="00067E60">
        <w:rPr>
          <w:kern w:val="16"/>
          <w:lang w:val="en-CA"/>
        </w:rPr>
        <w:t>“enemy state clause”.</w:t>
      </w:r>
      <w:r w:rsidR="002D24E1">
        <w:rPr>
          <w:rStyle w:val="FootnoteReference"/>
          <w:kern w:val="16"/>
          <w:lang w:val="en-CA"/>
        </w:rPr>
        <w:footnoteReference w:id="73"/>
      </w:r>
      <w:r w:rsidR="002D24E1">
        <w:rPr>
          <w:kern w:val="16"/>
          <w:lang w:val="en-CA"/>
        </w:rPr>
        <w:t xml:space="preserve"> </w:t>
      </w:r>
      <w:r w:rsidR="002D24E1">
        <w:rPr>
          <w:kern w:val="16"/>
          <w:lang w:val="en-CA"/>
        </w:rPr>
        <w:lastRenderedPageBreak/>
        <w:t>Hence</w:t>
      </w:r>
      <w:r w:rsidR="002D24E1" w:rsidRPr="00067E60">
        <w:rPr>
          <w:kern w:val="16"/>
        </w:rPr>
        <w:t xml:space="preserve">, the </w:t>
      </w:r>
      <w:r w:rsidR="002D24E1" w:rsidRPr="00067E60">
        <w:rPr>
          <w:kern w:val="16"/>
          <w:lang w:val="en-CA"/>
        </w:rPr>
        <w:t xml:space="preserve">norm against the use of force is not </w:t>
      </w:r>
      <w:r w:rsidR="002D24E1">
        <w:rPr>
          <w:kern w:val="16"/>
          <w:lang w:val="en-CA"/>
        </w:rPr>
        <w:t>explicitly</w:t>
      </w:r>
      <w:r w:rsidR="002D24E1" w:rsidRPr="00067E60">
        <w:rPr>
          <w:kern w:val="16"/>
          <w:lang w:val="en-CA"/>
        </w:rPr>
        <w:t xml:space="preserve"> precise because the introduction of the</w:t>
      </w:r>
      <w:r w:rsidR="002D24E1">
        <w:rPr>
          <w:kern w:val="16"/>
          <w:lang w:val="en-CA"/>
        </w:rPr>
        <w:t xml:space="preserve"> various </w:t>
      </w:r>
      <w:r w:rsidR="002D24E1" w:rsidRPr="00067E60">
        <w:rPr>
          <w:kern w:val="16"/>
          <w:lang w:val="en-CA"/>
        </w:rPr>
        <w:t xml:space="preserve">exceptions made it more complex and allowed deviations from the general rule without providing clear guidelines on </w:t>
      </w:r>
      <w:r w:rsidR="002D24E1">
        <w:rPr>
          <w:kern w:val="16"/>
          <w:lang w:val="en-CA"/>
        </w:rPr>
        <w:t xml:space="preserve">the </w:t>
      </w:r>
      <w:r w:rsidR="002D24E1" w:rsidRPr="00067E60">
        <w:rPr>
          <w:kern w:val="16"/>
          <w:lang w:val="en-CA"/>
        </w:rPr>
        <w:t xml:space="preserve">necessary conditions. </w:t>
      </w:r>
    </w:p>
    <w:p w:rsidR="002D24E1" w:rsidRDefault="002D24E1" w:rsidP="002D24E1">
      <w:pPr>
        <w:tabs>
          <w:tab w:val="left" w:pos="3080"/>
        </w:tabs>
        <w:autoSpaceDE w:val="0"/>
        <w:autoSpaceDN w:val="0"/>
        <w:adjustRightInd w:val="0"/>
        <w:spacing w:line="480" w:lineRule="auto"/>
        <w:ind w:firstLine="630"/>
        <w:jc w:val="both"/>
        <w:rPr>
          <w:lang w:val="en-CA"/>
        </w:rPr>
      </w:pPr>
      <w:r>
        <w:rPr>
          <w:lang w:val="en-CA"/>
        </w:rPr>
        <w:t xml:space="preserve">The </w:t>
      </w:r>
      <w:r w:rsidRPr="00067E60">
        <w:rPr>
          <w:lang w:val="en-CA"/>
        </w:rPr>
        <w:t xml:space="preserve">environment </w:t>
      </w:r>
      <w:r>
        <w:rPr>
          <w:lang w:val="en-CA"/>
        </w:rPr>
        <w:t>in which the norm was embedded was not characterized by a fundamental change. Although</w:t>
      </w:r>
      <w:r w:rsidRPr="00067E60">
        <w:rPr>
          <w:lang w:val="en-CA"/>
        </w:rPr>
        <w:t xml:space="preserve"> </w:t>
      </w:r>
      <w:r>
        <w:rPr>
          <w:lang w:val="en-CA"/>
        </w:rPr>
        <w:t xml:space="preserve">the </w:t>
      </w:r>
      <w:r w:rsidRPr="00067E60">
        <w:rPr>
          <w:lang w:val="en-CA"/>
        </w:rPr>
        <w:t>UN Charter stipulates an obligation for its members to promote and implement human rights</w:t>
      </w:r>
      <w:r>
        <w:rPr>
          <w:lang w:val="en-CA"/>
        </w:rPr>
        <w:t>,</w:t>
      </w:r>
      <w:r w:rsidRPr="00067E60">
        <w:rPr>
          <w:lang w:val="en-CA"/>
        </w:rPr>
        <w:t xml:space="preserve"> </w:t>
      </w:r>
      <w:r w:rsidRPr="00067E60">
        <w:rPr>
          <w:color w:val="000000"/>
          <w:kern w:val="16"/>
          <w:lang w:val="en-CA"/>
        </w:rPr>
        <w:t>an enforcement mechanism was not established.</w:t>
      </w:r>
      <w:r w:rsidR="00786022">
        <w:rPr>
          <w:rStyle w:val="FootnoteReference"/>
          <w:color w:val="000000"/>
          <w:kern w:val="16"/>
          <w:lang w:val="en-CA"/>
        </w:rPr>
        <w:footnoteReference w:id="74"/>
      </w:r>
      <w:r w:rsidRPr="00067E60">
        <w:rPr>
          <w:color w:val="000000"/>
          <w:kern w:val="16"/>
          <w:lang w:val="en-CA"/>
        </w:rPr>
        <w:t xml:space="preserve"> The protection of </w:t>
      </w:r>
      <w:r>
        <w:rPr>
          <w:color w:val="000000"/>
          <w:kern w:val="16"/>
          <w:lang w:val="en-CA"/>
        </w:rPr>
        <w:t xml:space="preserve">state </w:t>
      </w:r>
      <w:r w:rsidRPr="00067E60">
        <w:rPr>
          <w:color w:val="000000"/>
          <w:kern w:val="16"/>
          <w:lang w:val="en-CA"/>
        </w:rPr>
        <w:t xml:space="preserve">sovereignty </w:t>
      </w:r>
      <w:r>
        <w:rPr>
          <w:color w:val="000000"/>
          <w:kern w:val="16"/>
          <w:lang w:val="en-CA"/>
        </w:rPr>
        <w:t xml:space="preserve">through the norm against forcible intervention </w:t>
      </w:r>
      <w:r w:rsidRPr="00067E60">
        <w:rPr>
          <w:color w:val="000000"/>
          <w:kern w:val="16"/>
          <w:lang w:val="en-CA"/>
        </w:rPr>
        <w:t xml:space="preserve">was valued </w:t>
      </w:r>
      <w:r>
        <w:rPr>
          <w:color w:val="000000"/>
          <w:kern w:val="16"/>
          <w:lang w:val="en-CA"/>
        </w:rPr>
        <w:t xml:space="preserve">as more superior </w:t>
      </w:r>
      <w:r w:rsidRPr="00067E60">
        <w:rPr>
          <w:color w:val="000000"/>
          <w:kern w:val="16"/>
          <w:lang w:val="en-CA"/>
        </w:rPr>
        <w:t xml:space="preserve">than the enforcement of human rights. </w:t>
      </w:r>
      <w:r>
        <w:rPr>
          <w:color w:val="000000"/>
          <w:kern w:val="16"/>
          <w:lang w:val="en-CA"/>
        </w:rPr>
        <w:t>I</w:t>
      </w:r>
      <w:r w:rsidRPr="00067E60">
        <w:rPr>
          <w:color w:val="000000"/>
          <w:kern w:val="16"/>
          <w:lang w:val="en-CA"/>
        </w:rPr>
        <w:t xml:space="preserve">n the late 1980s and early 1990s, this </w:t>
      </w:r>
      <w:r>
        <w:rPr>
          <w:color w:val="000000"/>
          <w:kern w:val="16"/>
          <w:lang w:val="en-CA"/>
        </w:rPr>
        <w:t xml:space="preserve">gradually </w:t>
      </w:r>
      <w:r w:rsidRPr="00067E60">
        <w:rPr>
          <w:color w:val="000000"/>
          <w:kern w:val="16"/>
          <w:lang w:val="en-CA"/>
        </w:rPr>
        <w:t xml:space="preserve">began to change. Powerful actors like the UN and transnational non-governmental organizations, such as Amnesty International </w:t>
      </w:r>
      <w:r>
        <w:rPr>
          <w:color w:val="000000"/>
          <w:kern w:val="16"/>
          <w:lang w:val="en-CA"/>
        </w:rPr>
        <w:t>and</w:t>
      </w:r>
      <w:r w:rsidRPr="00067E60">
        <w:rPr>
          <w:color w:val="000000"/>
          <w:kern w:val="16"/>
          <w:lang w:val="en-CA"/>
        </w:rPr>
        <w:t xml:space="preserve"> Oxfam, challenged this restrictive normative structure and demanded a more active promotion of human rights</w:t>
      </w:r>
      <w:r>
        <w:rPr>
          <w:color w:val="000000"/>
          <w:kern w:val="16"/>
          <w:lang w:val="en-CA"/>
        </w:rPr>
        <w:t>.</w:t>
      </w:r>
      <w:r w:rsidR="00786022">
        <w:rPr>
          <w:rStyle w:val="FootnoteReference"/>
          <w:color w:val="000000"/>
          <w:kern w:val="16"/>
          <w:lang w:val="en-CA"/>
        </w:rPr>
        <w:footnoteReference w:id="75"/>
      </w:r>
      <w:r w:rsidRPr="00067E60">
        <w:rPr>
          <w:color w:val="000000"/>
          <w:kern w:val="16"/>
          <w:lang w:val="en-CA"/>
        </w:rPr>
        <w:t xml:space="preserve"> </w:t>
      </w:r>
      <w:r>
        <w:rPr>
          <w:color w:val="000000"/>
          <w:kern w:val="16"/>
          <w:lang w:val="en-CA"/>
        </w:rPr>
        <w:t xml:space="preserve">In this regard, </w:t>
      </w:r>
      <w:r>
        <w:rPr>
          <w:lang w:val="en-CA"/>
        </w:rPr>
        <w:t>t</w:t>
      </w:r>
      <w:r w:rsidRPr="00F552DA">
        <w:rPr>
          <w:lang w:val="en-CA"/>
        </w:rPr>
        <w:t>he 1994</w:t>
      </w:r>
      <w:r>
        <w:rPr>
          <w:lang w:val="en-CA"/>
        </w:rPr>
        <w:t xml:space="preserve"> edition of the UN Development Programme (UNDP) Human Development Report is an important document:</w:t>
      </w:r>
    </w:p>
    <w:p w:rsidR="002D24E1" w:rsidRDefault="002D24E1" w:rsidP="002D24E1">
      <w:pPr>
        <w:autoSpaceDE w:val="0"/>
        <w:autoSpaceDN w:val="0"/>
        <w:adjustRightInd w:val="0"/>
        <w:ind w:left="720" w:hanging="12"/>
        <w:jc w:val="both"/>
        <w:rPr>
          <w:lang w:val="en-CA"/>
        </w:rPr>
      </w:pPr>
      <w:r>
        <w:rPr>
          <w:lang w:val="en-CA"/>
        </w:rPr>
        <w:t>T</w:t>
      </w:r>
      <w:r w:rsidRPr="00F552DA">
        <w:rPr>
          <w:lang w:val="en-CA"/>
        </w:rPr>
        <w:t>he concept of security has for too long been interpreted narrowly: as security of territory from external aggression, or as protection of national interests in foreign policy or as global security from the threat of nuclear holocaust</w:t>
      </w:r>
      <w:r>
        <w:rPr>
          <w:lang w:val="en-CA"/>
        </w:rPr>
        <w:t xml:space="preserve">…. </w:t>
      </w:r>
      <w:r w:rsidRPr="00F552DA">
        <w:rPr>
          <w:lang w:val="en-CA"/>
        </w:rPr>
        <w:t>Forgotten were the legitimate concerns of ordinary people who sought security in their daily lives.</w:t>
      </w:r>
      <w:r w:rsidR="00786022">
        <w:rPr>
          <w:rStyle w:val="FootnoteReference"/>
          <w:lang w:val="en-CA"/>
        </w:rPr>
        <w:footnoteReference w:id="76"/>
      </w:r>
    </w:p>
    <w:p w:rsidR="002D24E1" w:rsidRDefault="002D24E1" w:rsidP="002D24E1">
      <w:pPr>
        <w:autoSpaceDE w:val="0"/>
        <w:autoSpaceDN w:val="0"/>
        <w:adjustRightInd w:val="0"/>
        <w:ind w:left="720" w:hanging="12"/>
        <w:jc w:val="both"/>
        <w:rPr>
          <w:lang w:val="en-CA"/>
        </w:rPr>
      </w:pPr>
    </w:p>
    <w:p w:rsidR="002D24E1" w:rsidRDefault="002D24E1" w:rsidP="002D24E1">
      <w:pPr>
        <w:autoSpaceDE w:val="0"/>
        <w:autoSpaceDN w:val="0"/>
        <w:adjustRightInd w:val="0"/>
        <w:spacing w:line="480" w:lineRule="auto"/>
        <w:jc w:val="both"/>
        <w:rPr>
          <w:color w:val="000000"/>
          <w:kern w:val="16"/>
          <w:lang w:val="en-CA"/>
        </w:rPr>
      </w:pPr>
      <w:r w:rsidRPr="00F552DA">
        <w:rPr>
          <w:lang w:val="en-CA"/>
        </w:rPr>
        <w:t xml:space="preserve">The </w:t>
      </w:r>
      <w:r>
        <w:rPr>
          <w:lang w:val="en-CA"/>
        </w:rPr>
        <w:t xml:space="preserve">UNDP </w:t>
      </w:r>
      <w:r w:rsidRPr="00F552DA">
        <w:rPr>
          <w:lang w:val="en-CA"/>
        </w:rPr>
        <w:t xml:space="preserve">report promoted a new understanding of security, shifting from a state-centric </w:t>
      </w:r>
      <w:r>
        <w:rPr>
          <w:lang w:val="en-CA"/>
        </w:rPr>
        <w:t>perception</w:t>
      </w:r>
      <w:r w:rsidRPr="00F552DA">
        <w:rPr>
          <w:lang w:val="en-CA"/>
        </w:rPr>
        <w:t xml:space="preserve"> toward</w:t>
      </w:r>
      <w:r>
        <w:rPr>
          <w:lang w:val="en-CA"/>
        </w:rPr>
        <w:t>s</w:t>
      </w:r>
      <w:r w:rsidRPr="00F552DA">
        <w:rPr>
          <w:lang w:val="en-CA"/>
        </w:rPr>
        <w:t xml:space="preserve"> </w:t>
      </w:r>
      <w:r>
        <w:rPr>
          <w:lang w:val="en-CA"/>
        </w:rPr>
        <w:t>a more holistic</w:t>
      </w:r>
      <w:r w:rsidRPr="00F552DA">
        <w:rPr>
          <w:lang w:val="en-CA"/>
        </w:rPr>
        <w:t xml:space="preserve"> concept of </w:t>
      </w:r>
      <w:r>
        <w:rPr>
          <w:lang w:val="en-CA"/>
        </w:rPr>
        <w:t>‘</w:t>
      </w:r>
      <w:r w:rsidRPr="00F552DA">
        <w:rPr>
          <w:lang w:val="en-CA"/>
        </w:rPr>
        <w:t>human security</w:t>
      </w:r>
      <w:r>
        <w:rPr>
          <w:lang w:val="en-CA"/>
        </w:rPr>
        <w:t>’</w:t>
      </w:r>
      <w:r w:rsidRPr="00F552DA">
        <w:rPr>
          <w:lang w:val="en-CA"/>
        </w:rPr>
        <w:t>.</w:t>
      </w:r>
      <w:r w:rsidRPr="00F552DA">
        <w:rPr>
          <w:color w:val="000000"/>
          <w:kern w:val="16"/>
          <w:lang w:val="en-CA"/>
        </w:rPr>
        <w:t xml:space="preserve"> </w:t>
      </w:r>
      <w:r w:rsidRPr="00F552DA">
        <w:rPr>
          <w:lang w:val="en-CA"/>
        </w:rPr>
        <w:t>Human security was defined as safety from threats</w:t>
      </w:r>
      <w:r>
        <w:rPr>
          <w:lang w:val="en-CA"/>
        </w:rPr>
        <w:t xml:space="preserve"> such</w:t>
      </w:r>
      <w:r w:rsidRPr="00F552DA">
        <w:rPr>
          <w:lang w:val="en-CA"/>
        </w:rPr>
        <w:t xml:space="preserve"> as hunger, disease</w:t>
      </w:r>
      <w:r>
        <w:rPr>
          <w:lang w:val="en-CA"/>
        </w:rPr>
        <w:t>,</w:t>
      </w:r>
      <w:r w:rsidRPr="00F552DA">
        <w:rPr>
          <w:lang w:val="en-CA"/>
        </w:rPr>
        <w:t xml:space="preserve"> repression</w:t>
      </w:r>
      <w:r>
        <w:rPr>
          <w:lang w:val="en-CA"/>
        </w:rPr>
        <w:t>,</w:t>
      </w:r>
      <w:r w:rsidRPr="00F552DA">
        <w:rPr>
          <w:lang w:val="en-CA"/>
        </w:rPr>
        <w:t xml:space="preserve"> and protection from disruptions in the patterns of daily life. </w:t>
      </w:r>
      <w:r w:rsidRPr="00F552DA">
        <w:rPr>
          <w:color w:val="000000"/>
          <w:kern w:val="16"/>
          <w:lang w:val="en-CA"/>
        </w:rPr>
        <w:t xml:space="preserve">The concept meant adopting a </w:t>
      </w:r>
      <w:r w:rsidRPr="00F552DA">
        <w:rPr>
          <w:color w:val="000000"/>
          <w:kern w:val="16"/>
          <w:lang w:val="en-CA"/>
        </w:rPr>
        <w:lastRenderedPageBreak/>
        <w:t xml:space="preserve">bottom-up view </w:t>
      </w:r>
      <w:r>
        <w:rPr>
          <w:color w:val="000000"/>
          <w:kern w:val="16"/>
          <w:lang w:val="en-CA"/>
        </w:rPr>
        <w:t>of</w:t>
      </w:r>
      <w:r w:rsidRPr="00F552DA">
        <w:rPr>
          <w:color w:val="000000"/>
          <w:kern w:val="16"/>
          <w:lang w:val="en-CA"/>
        </w:rPr>
        <w:t xml:space="preserve"> security that focused on the relationship between states and their citizens. Security of </w:t>
      </w:r>
      <w:r>
        <w:rPr>
          <w:color w:val="000000"/>
          <w:kern w:val="16"/>
          <w:lang w:val="en-CA"/>
        </w:rPr>
        <w:t xml:space="preserve">a </w:t>
      </w:r>
      <w:r w:rsidRPr="00F552DA">
        <w:rPr>
          <w:color w:val="000000"/>
          <w:kern w:val="16"/>
          <w:lang w:val="en-CA"/>
        </w:rPr>
        <w:t xml:space="preserve">state or regime was no </w:t>
      </w:r>
      <w:r>
        <w:rPr>
          <w:color w:val="000000"/>
          <w:kern w:val="16"/>
          <w:lang w:val="en-CA"/>
        </w:rPr>
        <w:t>longer equated</w:t>
      </w:r>
      <w:r w:rsidRPr="00F552DA">
        <w:rPr>
          <w:color w:val="000000"/>
          <w:kern w:val="16"/>
          <w:lang w:val="en-CA"/>
        </w:rPr>
        <w:t xml:space="preserve"> with the well-being of </w:t>
      </w:r>
      <w:r>
        <w:rPr>
          <w:color w:val="000000"/>
          <w:kern w:val="16"/>
          <w:lang w:val="en-CA"/>
        </w:rPr>
        <w:t>its</w:t>
      </w:r>
      <w:r w:rsidRPr="00F552DA">
        <w:rPr>
          <w:color w:val="000000"/>
          <w:kern w:val="16"/>
          <w:lang w:val="en-CA"/>
        </w:rPr>
        <w:t xml:space="preserve"> citizens.</w:t>
      </w:r>
      <w:r w:rsidR="00786022">
        <w:rPr>
          <w:rStyle w:val="FootnoteReference"/>
          <w:color w:val="000000"/>
          <w:kern w:val="16"/>
          <w:lang w:val="en-CA"/>
        </w:rPr>
        <w:footnoteReference w:id="77"/>
      </w:r>
      <w:r w:rsidRPr="00F552DA">
        <w:rPr>
          <w:color w:val="000000"/>
          <w:kern w:val="16"/>
          <w:lang w:val="en-CA"/>
        </w:rPr>
        <w:t xml:space="preserve"> The UN was not alone in supporting this new understanding, </w:t>
      </w:r>
      <w:r>
        <w:rPr>
          <w:color w:val="000000"/>
          <w:kern w:val="16"/>
          <w:lang w:val="en-CA"/>
        </w:rPr>
        <w:t xml:space="preserve">with </w:t>
      </w:r>
      <w:r w:rsidRPr="00F552DA">
        <w:rPr>
          <w:color w:val="000000"/>
          <w:kern w:val="16"/>
          <w:lang w:val="en-CA"/>
        </w:rPr>
        <w:t>some states back</w:t>
      </w:r>
      <w:r>
        <w:rPr>
          <w:color w:val="000000"/>
          <w:kern w:val="16"/>
          <w:lang w:val="en-CA"/>
        </w:rPr>
        <w:t>ing</w:t>
      </w:r>
      <w:r w:rsidRPr="00F552DA">
        <w:rPr>
          <w:color w:val="000000"/>
          <w:kern w:val="16"/>
          <w:lang w:val="en-CA"/>
        </w:rPr>
        <w:t xml:space="preserve"> the new concept.</w:t>
      </w:r>
      <w:r>
        <w:rPr>
          <w:color w:val="000000"/>
          <w:kern w:val="16"/>
          <w:lang w:val="en-CA"/>
        </w:rPr>
        <w:t xml:space="preserve"> For example, </w:t>
      </w:r>
      <w:smartTag w:uri="urn:schemas-microsoft-com:office:smarttags" w:element="country-region">
        <w:r w:rsidRPr="00F552DA">
          <w:rPr>
            <w:color w:val="000000"/>
            <w:kern w:val="16"/>
            <w:lang w:val="en-CA"/>
          </w:rPr>
          <w:t>Canada</w:t>
        </w:r>
      </w:smartTag>
      <w:r w:rsidRPr="00F552DA">
        <w:rPr>
          <w:color w:val="000000"/>
          <w:kern w:val="16"/>
          <w:lang w:val="en-CA"/>
        </w:rPr>
        <w:t xml:space="preserve">, </w:t>
      </w:r>
      <w:smartTag w:uri="urn:schemas-microsoft-com:office:smarttags" w:element="country-region">
        <w:r w:rsidRPr="00F552DA">
          <w:rPr>
            <w:color w:val="000000"/>
            <w:kern w:val="16"/>
            <w:lang w:val="en-CA"/>
          </w:rPr>
          <w:t>Norway</w:t>
        </w:r>
      </w:smartTag>
      <w:r>
        <w:rPr>
          <w:color w:val="000000"/>
          <w:kern w:val="16"/>
          <w:lang w:val="en-CA"/>
        </w:rPr>
        <w:t>,</w:t>
      </w:r>
      <w:r w:rsidRPr="00F552DA">
        <w:rPr>
          <w:color w:val="000000"/>
          <w:kern w:val="16"/>
          <w:lang w:val="en-CA"/>
        </w:rPr>
        <w:t xml:space="preserve"> and </w:t>
      </w:r>
      <w:smartTag w:uri="urn:schemas-microsoft-com:office:smarttags" w:element="place">
        <w:smartTag w:uri="urn:schemas-microsoft-com:office:smarttags" w:element="country-region">
          <w:r w:rsidRPr="00F552DA">
            <w:rPr>
              <w:color w:val="000000"/>
              <w:kern w:val="16"/>
              <w:lang w:val="en-CA"/>
            </w:rPr>
            <w:t>Switzerland</w:t>
          </w:r>
        </w:smartTag>
      </w:smartTag>
      <w:r w:rsidRPr="00F552DA">
        <w:rPr>
          <w:color w:val="000000"/>
          <w:kern w:val="16"/>
          <w:lang w:val="en-CA"/>
        </w:rPr>
        <w:t xml:space="preserve"> </w:t>
      </w:r>
      <w:r>
        <w:rPr>
          <w:color w:val="000000"/>
          <w:kern w:val="16"/>
          <w:lang w:val="en-CA"/>
        </w:rPr>
        <w:t xml:space="preserve">were among the leaders of a group of states that </w:t>
      </w:r>
      <w:r w:rsidRPr="00F552DA">
        <w:rPr>
          <w:color w:val="000000"/>
          <w:kern w:val="16"/>
          <w:lang w:val="en-CA"/>
        </w:rPr>
        <w:t xml:space="preserve">founded </w:t>
      </w:r>
      <w:r>
        <w:rPr>
          <w:color w:val="000000"/>
          <w:kern w:val="16"/>
          <w:lang w:val="en-CA"/>
        </w:rPr>
        <w:t>the</w:t>
      </w:r>
      <w:r w:rsidRPr="00F552DA">
        <w:rPr>
          <w:color w:val="000000"/>
          <w:kern w:val="16"/>
          <w:lang w:val="en-CA"/>
        </w:rPr>
        <w:t xml:space="preserve"> </w:t>
      </w:r>
      <w:r>
        <w:rPr>
          <w:color w:val="000000"/>
          <w:kern w:val="16"/>
          <w:lang w:val="en-CA"/>
        </w:rPr>
        <w:t>H</w:t>
      </w:r>
      <w:r w:rsidRPr="00F552DA">
        <w:rPr>
          <w:color w:val="000000"/>
          <w:kern w:val="16"/>
          <w:lang w:val="en-CA"/>
        </w:rPr>
        <w:t xml:space="preserve">uman </w:t>
      </w:r>
      <w:r>
        <w:rPr>
          <w:color w:val="000000"/>
          <w:kern w:val="16"/>
          <w:lang w:val="en-CA"/>
        </w:rPr>
        <w:t>S</w:t>
      </w:r>
      <w:r w:rsidRPr="00F552DA">
        <w:rPr>
          <w:color w:val="000000"/>
          <w:kern w:val="16"/>
          <w:lang w:val="en-CA"/>
        </w:rPr>
        <w:t xml:space="preserve">ecurity </w:t>
      </w:r>
      <w:r>
        <w:rPr>
          <w:color w:val="000000"/>
          <w:kern w:val="16"/>
          <w:lang w:val="en-CA"/>
        </w:rPr>
        <w:t>N</w:t>
      </w:r>
      <w:r w:rsidRPr="00F552DA">
        <w:rPr>
          <w:color w:val="000000"/>
          <w:kern w:val="16"/>
          <w:lang w:val="en-CA"/>
        </w:rPr>
        <w:t>etwork</w:t>
      </w:r>
      <w:r>
        <w:rPr>
          <w:color w:val="000000"/>
          <w:kern w:val="16"/>
          <w:lang w:val="en-CA"/>
        </w:rPr>
        <w:t xml:space="preserve"> </w:t>
      </w:r>
      <w:r w:rsidRPr="00F552DA">
        <w:rPr>
          <w:color w:val="000000"/>
          <w:kern w:val="16"/>
          <w:lang w:val="en-CA"/>
        </w:rPr>
        <w:t>in 1999</w:t>
      </w:r>
      <w:r>
        <w:rPr>
          <w:color w:val="000000"/>
          <w:kern w:val="16"/>
          <w:lang w:val="en-CA"/>
        </w:rPr>
        <w:t>.</w:t>
      </w:r>
      <w:r>
        <w:rPr>
          <w:rStyle w:val="FootnoteReference"/>
          <w:color w:val="000000"/>
          <w:kern w:val="16"/>
          <w:lang w:val="en-CA"/>
        </w:rPr>
        <w:footnoteReference w:id="78"/>
      </w:r>
    </w:p>
    <w:p w:rsidR="002D24E1" w:rsidRPr="00FE61B4" w:rsidRDefault="002D24E1" w:rsidP="002D24E1">
      <w:pPr>
        <w:tabs>
          <w:tab w:val="left" w:pos="900"/>
        </w:tabs>
        <w:autoSpaceDE w:val="0"/>
        <w:autoSpaceDN w:val="0"/>
        <w:adjustRightInd w:val="0"/>
        <w:spacing w:line="480" w:lineRule="auto"/>
        <w:jc w:val="both"/>
        <w:rPr>
          <w:sz w:val="20"/>
        </w:rPr>
      </w:pPr>
      <w:r>
        <w:rPr>
          <w:lang w:val="en-CA"/>
        </w:rPr>
        <w:tab/>
        <w:t>The new emphasis on human security was, however, at odds with the concept of strong state sovereignty</w:t>
      </w:r>
      <w:r w:rsidRPr="00571E65">
        <w:rPr>
          <w:lang w:val="en-CA"/>
        </w:rPr>
        <w:t xml:space="preserve"> </w:t>
      </w:r>
      <w:r>
        <w:rPr>
          <w:lang w:val="en-CA"/>
        </w:rPr>
        <w:t xml:space="preserve">protected by a strong norm against forcible intervention. In cases of gross human rights violations, forcible intervention often appeared as the only option to immediately save people. In such </w:t>
      </w:r>
      <w:r w:rsidRPr="00EF0118">
        <w:rPr>
          <w:lang w:val="en-CA"/>
        </w:rPr>
        <w:t>cases</w:t>
      </w:r>
      <w:r>
        <w:rPr>
          <w:lang w:val="en-CA"/>
        </w:rPr>
        <w:t>,</w:t>
      </w:r>
      <w:r w:rsidRPr="00EF0118">
        <w:rPr>
          <w:lang w:val="en-CA"/>
        </w:rPr>
        <w:t xml:space="preserve"> </w:t>
      </w:r>
      <w:r>
        <w:rPr>
          <w:lang w:val="en-CA"/>
        </w:rPr>
        <w:t xml:space="preserve">complying with the norm against forcible intervention created </w:t>
      </w:r>
      <w:r w:rsidRPr="00EF0118">
        <w:rPr>
          <w:lang w:val="en-CA"/>
        </w:rPr>
        <w:t>a cognitive dissonance</w:t>
      </w:r>
      <w:r>
        <w:rPr>
          <w:lang w:val="en-CA"/>
        </w:rPr>
        <w:t xml:space="preserve">. A notorious example to illustrate this dissonance is the reactions regarding the non-intervention in the case of the </w:t>
      </w:r>
      <w:smartTag w:uri="urn:schemas-microsoft-com:office:smarttags" w:element="place">
        <w:smartTag w:uri="urn:schemas-microsoft-com:office:smarttags" w:element="country-region">
          <w:r>
            <w:rPr>
              <w:lang w:val="en-CA"/>
            </w:rPr>
            <w:t>Rwanda</w:t>
          </w:r>
        </w:smartTag>
      </w:smartTag>
      <w:r>
        <w:rPr>
          <w:lang w:val="en-CA"/>
        </w:rPr>
        <w:t xml:space="preserve"> genocide in 1994. Former</w:t>
      </w:r>
      <w:r w:rsidRPr="009D1E45">
        <w:rPr>
          <w:kern w:val="16"/>
        </w:rPr>
        <w:t xml:space="preserve"> UN General Secretary </w:t>
      </w:r>
      <w:r w:rsidRPr="009D1E45">
        <w:t xml:space="preserve">Kofi Annan accused the international community </w:t>
      </w:r>
      <w:r>
        <w:t xml:space="preserve">of </w:t>
      </w:r>
      <w:r w:rsidRPr="009D1E45">
        <w:t xml:space="preserve">being guilty of </w:t>
      </w:r>
      <w:r>
        <w:t>“</w:t>
      </w:r>
      <w:r w:rsidRPr="009D1E45">
        <w:t>sins of omission</w:t>
      </w:r>
      <w:r>
        <w:t>”</w:t>
      </w:r>
      <w:r>
        <w:rPr>
          <w:rStyle w:val="FootnoteReference"/>
        </w:rPr>
        <w:footnoteReference w:id="79"/>
      </w:r>
      <w:r w:rsidRPr="009D1E45">
        <w:t xml:space="preserve">. </w:t>
      </w:r>
      <w:r>
        <w:rPr>
          <w:kern w:val="16"/>
        </w:rPr>
        <w:t>US-President</w:t>
      </w:r>
      <w:r w:rsidRPr="009D1E45">
        <w:rPr>
          <w:kern w:val="16"/>
        </w:rPr>
        <w:t xml:space="preserve"> Clinton even apologized to survivors</w:t>
      </w:r>
      <w:r>
        <w:rPr>
          <w:kern w:val="16"/>
        </w:rPr>
        <w:t xml:space="preserve"> of the genocide</w:t>
      </w:r>
      <w:r w:rsidRPr="009D1E45">
        <w:rPr>
          <w:kern w:val="16"/>
        </w:rPr>
        <w:t xml:space="preserve"> for the absence of any help and extended further: </w:t>
      </w:r>
      <w:r>
        <w:rPr>
          <w:kern w:val="16"/>
        </w:rPr>
        <w:t>“</w:t>
      </w:r>
      <w:r w:rsidRPr="009D1E45">
        <w:rPr>
          <w:kern w:val="16"/>
        </w:rPr>
        <w:t>The international community was not organized to deal with this, and it still isn’t. We are better organized than four years ago, but we have much more to do”.</w:t>
      </w:r>
      <w:r w:rsidR="00786022">
        <w:rPr>
          <w:rStyle w:val="FootnoteReference"/>
          <w:kern w:val="16"/>
        </w:rPr>
        <w:footnoteReference w:id="80"/>
      </w:r>
      <w:r w:rsidRPr="009D1E45">
        <w:rPr>
          <w:kern w:val="16"/>
        </w:rPr>
        <w:t xml:space="preserve"> </w:t>
      </w:r>
      <w:r>
        <w:rPr>
          <w:kern w:val="16"/>
        </w:rPr>
        <w:t>In line with that t</w:t>
      </w:r>
      <w:r>
        <w:rPr>
          <w:kern w:val="16"/>
          <w:lang w:val="en-US"/>
        </w:rPr>
        <w:t>he former B</w:t>
      </w:r>
      <w:r w:rsidRPr="00076EC2">
        <w:rPr>
          <w:kern w:val="16"/>
          <w:lang w:val="en-US"/>
        </w:rPr>
        <w:t xml:space="preserve">ritish Foreign Minister </w:t>
      </w:r>
      <w:r w:rsidRPr="00076EC2">
        <w:rPr>
          <w:lang w:val="en-US"/>
        </w:rPr>
        <w:t>Hurd</w:t>
      </w:r>
      <w:r>
        <w:rPr>
          <w:lang w:val="en-US"/>
        </w:rPr>
        <w:t xml:space="preserve"> </w:t>
      </w:r>
      <w:r>
        <w:t>also claimed that “</w:t>
      </w:r>
      <w:r w:rsidRPr="00F36B97">
        <w:t>recent international law recognises the right to intervene in the affairs of another state in cases of extreme humanitarian need”.</w:t>
      </w:r>
      <w:r>
        <w:rPr>
          <w:rStyle w:val="FootnoteReference"/>
        </w:rPr>
        <w:footnoteReference w:id="81"/>
      </w:r>
    </w:p>
    <w:p w:rsidR="002D24E1" w:rsidRPr="00F5355F" w:rsidRDefault="002D24E1" w:rsidP="002D24E1">
      <w:pPr>
        <w:tabs>
          <w:tab w:val="left" w:pos="900"/>
        </w:tabs>
        <w:autoSpaceDE w:val="0"/>
        <w:autoSpaceDN w:val="0"/>
        <w:adjustRightInd w:val="0"/>
        <w:spacing w:line="480" w:lineRule="auto"/>
        <w:jc w:val="both"/>
        <w:rPr>
          <w:color w:val="000000"/>
          <w:kern w:val="16"/>
          <w:lang w:val="en-CA"/>
        </w:rPr>
      </w:pPr>
      <w:r>
        <w:rPr>
          <w:lang w:val="en-CA"/>
        </w:rPr>
        <w:lastRenderedPageBreak/>
        <w:tab/>
        <w:t>As states attempted to alleviate the dissonance, they failed to challenge the norm against forcible intervention, but rather questioned the foundations upon which the norm rested. While t</w:t>
      </w:r>
      <w:r w:rsidRPr="00370AF5">
        <w:rPr>
          <w:lang w:val="en-CA"/>
        </w:rPr>
        <w:t xml:space="preserve">he </w:t>
      </w:r>
      <w:r>
        <w:rPr>
          <w:lang w:val="en-CA"/>
        </w:rPr>
        <w:t xml:space="preserve">norm is meant to protect sovereignty, the meaning of sovereignty changes over time. During the Cold War it was interpreted in rather </w:t>
      </w:r>
      <w:r w:rsidRPr="0052762B">
        <w:rPr>
          <w:lang w:val="en-CA"/>
        </w:rPr>
        <w:t>absolute</w:t>
      </w:r>
      <w:r>
        <w:rPr>
          <w:lang w:val="en-CA"/>
        </w:rPr>
        <w:t xml:space="preserve"> terms, but this view</w:t>
      </w:r>
      <w:r w:rsidRPr="0052762B">
        <w:rPr>
          <w:lang w:val="en-CA"/>
        </w:rPr>
        <w:t xml:space="preserve"> was challenged </w:t>
      </w:r>
      <w:r w:rsidRPr="0052762B">
        <w:rPr>
          <w:color w:val="000000"/>
          <w:kern w:val="16"/>
          <w:lang w:val="en-CA"/>
        </w:rPr>
        <w:t xml:space="preserve">by </w:t>
      </w:r>
      <w:r w:rsidRPr="0052762B">
        <w:rPr>
          <w:kern w:val="16"/>
          <w:lang w:val="en-CA"/>
        </w:rPr>
        <w:t xml:space="preserve">UN Secretary-General Boutros-Ghali </w:t>
      </w:r>
      <w:r w:rsidRPr="00067E60">
        <w:rPr>
          <w:lang w:val="en-CA"/>
        </w:rPr>
        <w:t>and his</w:t>
      </w:r>
      <w:r w:rsidRPr="00067E60">
        <w:rPr>
          <w:kern w:val="16"/>
          <w:lang w:val="en-CA"/>
        </w:rPr>
        <w:t xml:space="preserve"> succ</w:t>
      </w:r>
      <w:r>
        <w:rPr>
          <w:kern w:val="16"/>
          <w:lang w:val="en-CA"/>
        </w:rPr>
        <w:t>essor.</w:t>
      </w:r>
      <w:r w:rsidR="00786022">
        <w:rPr>
          <w:rStyle w:val="FootnoteReference"/>
          <w:kern w:val="16"/>
          <w:lang w:val="en-CA"/>
        </w:rPr>
        <w:footnoteReference w:id="82"/>
      </w:r>
      <w:r>
        <w:rPr>
          <w:kern w:val="16"/>
          <w:lang w:val="en-CA"/>
        </w:rPr>
        <w:t xml:space="preserve"> They argued that </w:t>
      </w:r>
      <w:r w:rsidRPr="00067E60">
        <w:rPr>
          <w:kern w:val="16"/>
          <w:lang w:val="en-CA"/>
        </w:rPr>
        <w:t xml:space="preserve">sovereignty encompassed rights and duties and was </w:t>
      </w:r>
      <w:r>
        <w:rPr>
          <w:kern w:val="16"/>
          <w:lang w:val="en-CA"/>
        </w:rPr>
        <w:t>no</w:t>
      </w:r>
      <w:r w:rsidRPr="00067E60">
        <w:rPr>
          <w:kern w:val="16"/>
          <w:lang w:val="en-CA"/>
        </w:rPr>
        <w:t xml:space="preserve"> longer an inherent right of the state. Instead, it was granted to the state by its citizens and the international community. If a state violates its duties, mainly defined by the standards of the international community, it can f</w:t>
      </w:r>
      <w:r>
        <w:rPr>
          <w:kern w:val="16"/>
          <w:lang w:val="en-CA"/>
        </w:rPr>
        <w:t>orfeit its erstwhile protection against intervention</w:t>
      </w:r>
      <w:r w:rsidRPr="00067E60">
        <w:rPr>
          <w:kern w:val="16"/>
          <w:lang w:val="en-CA"/>
        </w:rPr>
        <w:t xml:space="preserve">. </w:t>
      </w:r>
      <w:r>
        <w:rPr>
          <w:color w:val="000000"/>
          <w:kern w:val="16"/>
          <w:lang w:val="en-CA"/>
        </w:rPr>
        <w:t>This slowly changing</w:t>
      </w:r>
      <w:r w:rsidRPr="00067E60">
        <w:rPr>
          <w:color w:val="000000"/>
          <w:kern w:val="16"/>
          <w:lang w:val="en-CA"/>
        </w:rPr>
        <w:t xml:space="preserve"> </w:t>
      </w:r>
      <w:r>
        <w:rPr>
          <w:color w:val="000000"/>
          <w:szCs w:val="18"/>
        </w:rPr>
        <w:t>normative environment was receptive for humanitarian interventions and offered the opportunity to curb</w:t>
      </w:r>
      <w:r w:rsidRPr="00EF5AB7">
        <w:rPr>
          <w:color w:val="000000"/>
          <w:szCs w:val="18"/>
        </w:rPr>
        <w:t xml:space="preserve"> </w:t>
      </w:r>
      <w:r>
        <w:rPr>
          <w:color w:val="000000"/>
          <w:szCs w:val="18"/>
        </w:rPr>
        <w:t xml:space="preserve">the </w:t>
      </w:r>
      <w:r w:rsidRPr="00EF5AB7">
        <w:rPr>
          <w:color w:val="000000"/>
          <w:szCs w:val="18"/>
        </w:rPr>
        <w:t>norm against forcible intervention</w:t>
      </w:r>
      <w:r>
        <w:rPr>
          <w:color w:val="000000"/>
          <w:szCs w:val="18"/>
        </w:rPr>
        <w:t>.</w:t>
      </w:r>
      <w:r w:rsidRPr="00067E60">
        <w:rPr>
          <w:lang w:val="en-CA"/>
        </w:rPr>
        <w:t xml:space="preserve"> </w:t>
      </w:r>
      <w:r>
        <w:rPr>
          <w:color w:val="000000"/>
          <w:kern w:val="16"/>
          <w:lang w:val="en-CA"/>
        </w:rPr>
        <w:t>T</w:t>
      </w:r>
      <w:r w:rsidRPr="00067E60">
        <w:rPr>
          <w:color w:val="000000"/>
          <w:kern w:val="16"/>
          <w:lang w:val="en-CA"/>
        </w:rPr>
        <w:t xml:space="preserve">he publication of the report of the </w:t>
      </w:r>
      <w:r w:rsidRPr="00067E60">
        <w:rPr>
          <w:lang w:val="en-CA"/>
        </w:rPr>
        <w:t xml:space="preserve">independent </w:t>
      </w:r>
      <w:r w:rsidRPr="00067E60">
        <w:rPr>
          <w:i/>
          <w:lang w:val="en-CA"/>
        </w:rPr>
        <w:t>International Commission on Intervention and State Sovereignty</w:t>
      </w:r>
      <w:r w:rsidRPr="00067E60">
        <w:rPr>
          <w:lang w:val="en-CA"/>
        </w:rPr>
        <w:t xml:space="preserve"> </w:t>
      </w:r>
      <w:r>
        <w:rPr>
          <w:lang w:val="en-CA"/>
        </w:rPr>
        <w:t>bound the two strings together, with the new emphasis on human security and the idea of a conditional sovereignty</w:t>
      </w:r>
      <w:r w:rsidRPr="00067E60">
        <w:rPr>
          <w:color w:val="000000"/>
          <w:kern w:val="16"/>
          <w:lang w:val="en-CA"/>
        </w:rPr>
        <w:t>.</w:t>
      </w:r>
      <w:r w:rsidR="00786022">
        <w:rPr>
          <w:rStyle w:val="FootnoteReference"/>
          <w:color w:val="000000"/>
          <w:kern w:val="16"/>
          <w:lang w:val="en-CA"/>
        </w:rPr>
        <w:footnoteReference w:id="83"/>
      </w:r>
      <w:r w:rsidRPr="00067E60">
        <w:rPr>
          <w:color w:val="000000"/>
          <w:kern w:val="16"/>
          <w:lang w:val="en-CA"/>
        </w:rPr>
        <w:t xml:space="preserve"> </w:t>
      </w:r>
      <w:r w:rsidRPr="00EF0118">
        <w:rPr>
          <w:color w:val="000000"/>
          <w:kern w:val="16"/>
          <w:lang w:val="en-CA"/>
        </w:rPr>
        <w:t>The ICISS promoted a duty to protect victims of gross human rights violations, called the ‘Responsibility to Protect’ (R2P). In principle, R2P demands that when gross</w:t>
      </w:r>
      <w:r w:rsidRPr="00067E60">
        <w:rPr>
          <w:color w:val="000000"/>
          <w:kern w:val="16"/>
          <w:lang w:val="en-CA"/>
        </w:rPr>
        <w:t xml:space="preserve"> human rights violations take place, the home state is called upon to take measures to end the violations in question. If the state is unable or unwilling to act, the </w:t>
      </w:r>
      <w:r>
        <w:rPr>
          <w:color w:val="000000"/>
          <w:kern w:val="16"/>
          <w:lang w:val="en-CA"/>
        </w:rPr>
        <w:t>state forfeits its protection and the international community may take forcible measures</w:t>
      </w:r>
      <w:r w:rsidRPr="00067E60">
        <w:rPr>
          <w:color w:val="000000"/>
          <w:kern w:val="16"/>
          <w:lang w:val="en-CA"/>
        </w:rPr>
        <w:t xml:space="preserve">. </w:t>
      </w:r>
      <w:r>
        <w:rPr>
          <w:color w:val="000000"/>
          <w:kern w:val="16"/>
          <w:lang w:val="en-CA"/>
        </w:rPr>
        <w:t xml:space="preserve">R2P does not </w:t>
      </w:r>
      <w:r>
        <w:rPr>
          <w:lang w:val="en-CA"/>
        </w:rPr>
        <w:t xml:space="preserve">replace the norm against forcible interventions, but it does curb its scope significantly, as it allows </w:t>
      </w:r>
      <w:r w:rsidRPr="00D32906">
        <w:rPr>
          <w:lang w:val="en-CA"/>
        </w:rPr>
        <w:t xml:space="preserve">interventions under certain conditions. As exceptions to the </w:t>
      </w:r>
      <w:r w:rsidRPr="00D32906">
        <w:rPr>
          <w:lang w:val="en-CA"/>
        </w:rPr>
        <w:lastRenderedPageBreak/>
        <w:t>non-intervention norm were already constituted, R2P was framed as another exception. The ICISS explicitly</w:t>
      </w:r>
      <w:r>
        <w:rPr>
          <w:lang w:val="en-CA"/>
        </w:rPr>
        <w:t xml:space="preserve"> </w:t>
      </w:r>
      <w:r w:rsidRPr="0017055B">
        <w:rPr>
          <w:lang w:val="en-CA"/>
        </w:rPr>
        <w:t>stated that resort</w:t>
      </w:r>
      <w:r>
        <w:rPr>
          <w:lang w:val="en-CA"/>
        </w:rPr>
        <w:t>ing</w:t>
      </w:r>
      <w:r w:rsidRPr="0017055B">
        <w:rPr>
          <w:lang w:val="en-CA"/>
        </w:rPr>
        <w:t xml:space="preserve"> to military action should only be an exception</w:t>
      </w:r>
      <w:r>
        <w:rPr>
          <w:lang w:val="en-CA"/>
        </w:rPr>
        <w:t>.</w:t>
      </w:r>
      <w:r w:rsidR="005A7EAF">
        <w:rPr>
          <w:rStyle w:val="FootnoteReference"/>
          <w:lang w:val="en-CA"/>
        </w:rPr>
        <w:footnoteReference w:id="84"/>
      </w:r>
      <w:r>
        <w:rPr>
          <w:lang w:val="en-CA"/>
        </w:rPr>
        <w:t xml:space="preserve"> Thus, in line with hypothese</w:t>
      </w:r>
      <w:r w:rsidRPr="00067E60">
        <w:rPr>
          <w:lang w:val="en-CA"/>
        </w:rPr>
        <w:t>s</w:t>
      </w:r>
      <w:r>
        <w:rPr>
          <w:lang w:val="en-CA"/>
        </w:rPr>
        <w:t xml:space="preserve"> two and four</w:t>
      </w:r>
      <w:r w:rsidRPr="00067E60">
        <w:rPr>
          <w:lang w:val="en-CA"/>
        </w:rPr>
        <w:t xml:space="preserve">, the imprecise norm against forcible intervention was not openly </w:t>
      </w:r>
      <w:r w:rsidRPr="00F0596E">
        <w:rPr>
          <w:lang w:val="en-CA"/>
        </w:rPr>
        <w:t>challenged</w:t>
      </w:r>
      <w:r>
        <w:rPr>
          <w:lang w:val="en-CA"/>
        </w:rPr>
        <w:t xml:space="preserve"> and did not completely disappear</w:t>
      </w:r>
      <w:r w:rsidRPr="00F0596E">
        <w:rPr>
          <w:lang w:val="en-CA"/>
        </w:rPr>
        <w:t xml:space="preserve">, but its scope was incrementally </w:t>
      </w:r>
      <w:r>
        <w:rPr>
          <w:lang w:val="en-CA"/>
        </w:rPr>
        <w:t xml:space="preserve">curbed. This change gradually became the rule, and it is now widely accepted. </w:t>
      </w:r>
      <w:r w:rsidRPr="00067E60">
        <w:rPr>
          <w:color w:val="000000"/>
          <w:szCs w:val="18"/>
        </w:rPr>
        <w:t xml:space="preserve">First, R2P was included – with some changes – in </w:t>
      </w:r>
      <w:r>
        <w:rPr>
          <w:color w:val="000000"/>
          <w:szCs w:val="18"/>
        </w:rPr>
        <w:t xml:space="preserve">the </w:t>
      </w:r>
      <w:r w:rsidRPr="00067E60">
        <w:rPr>
          <w:color w:val="000000"/>
          <w:szCs w:val="18"/>
        </w:rPr>
        <w:t xml:space="preserve">final document of </w:t>
      </w:r>
      <w:r w:rsidRPr="00067E60">
        <w:rPr>
          <w:lang w:val="en-CA"/>
        </w:rPr>
        <w:t>the UN World Summit in 2005</w:t>
      </w:r>
      <w:r w:rsidR="00786022">
        <w:rPr>
          <w:rStyle w:val="FootnoteReference"/>
          <w:lang w:val="en-CA"/>
        </w:rPr>
        <w:footnoteReference w:id="85"/>
      </w:r>
      <w:r w:rsidRPr="00067E60">
        <w:rPr>
          <w:lang w:val="en-CA"/>
        </w:rPr>
        <w:t xml:space="preserve"> and even opponents accepted it. Second, the Security Council recently began to refer to the responsibility in its resolutions. </w:t>
      </w:r>
      <w:r w:rsidRPr="00067E60">
        <w:rPr>
          <w:kern w:val="16"/>
          <w:lang w:val="en-CA"/>
        </w:rPr>
        <w:t>During the informal consultations about R2P within the confines of the UNGA in 2005, 28 countries were in favour, 12 against, and three undecided.</w:t>
      </w:r>
      <w:r w:rsidRPr="00067E60">
        <w:rPr>
          <w:lang w:val="en-CA"/>
        </w:rPr>
        <w:t xml:space="preserve"> Even the important ‘permanent five’ (P-5) seemed to be in favour of R2P. In April 2006</w:t>
      </w:r>
      <w:r>
        <w:rPr>
          <w:lang w:val="en-CA"/>
        </w:rPr>
        <w:t>,</w:t>
      </w:r>
      <w:r w:rsidRPr="00067E60">
        <w:rPr>
          <w:lang w:val="en-CA"/>
        </w:rPr>
        <w:t xml:space="preserve"> R2P was mentioned for the first time in Security Council Resolution 1674. </w:t>
      </w:r>
      <w:r>
        <w:rPr>
          <w:lang w:val="en-CA"/>
        </w:rPr>
        <w:t>Finally</w:t>
      </w:r>
      <w:r w:rsidRPr="00067E60">
        <w:rPr>
          <w:lang w:val="en-CA"/>
        </w:rPr>
        <w:t xml:space="preserve">, even in the case of </w:t>
      </w:r>
      <w:smartTag w:uri="urn:schemas-microsoft-com:office:smarttags" w:element="country-region">
        <w:smartTag w:uri="urn:schemas-microsoft-com:office:smarttags" w:element="place">
          <w:r w:rsidRPr="00067E60">
            <w:rPr>
              <w:lang w:val="en-CA"/>
            </w:rPr>
            <w:t>Afghanistan</w:t>
          </w:r>
        </w:smartTag>
      </w:smartTag>
      <w:r w:rsidRPr="00067E60">
        <w:rPr>
          <w:lang w:val="en-CA"/>
        </w:rPr>
        <w:t xml:space="preserve">, where states intervened for non-humanitarian purposes, policy makers </w:t>
      </w:r>
      <w:r>
        <w:rPr>
          <w:lang w:val="en-CA"/>
        </w:rPr>
        <w:t xml:space="preserve">nevertheless </w:t>
      </w:r>
      <w:r w:rsidRPr="00067E60">
        <w:rPr>
          <w:lang w:val="en-CA"/>
        </w:rPr>
        <w:t>drew on human rights justifications.</w:t>
      </w:r>
      <w:r w:rsidR="00786022">
        <w:rPr>
          <w:rStyle w:val="FootnoteReference"/>
          <w:lang w:val="en-CA"/>
        </w:rPr>
        <w:footnoteReference w:id="86"/>
      </w:r>
      <w:r w:rsidRPr="00067E60">
        <w:rPr>
          <w:color w:val="000000"/>
          <w:szCs w:val="18"/>
        </w:rPr>
        <w:t xml:space="preserve"> </w:t>
      </w:r>
    </w:p>
    <w:p w:rsidR="002D24E1" w:rsidRDefault="002D24E1" w:rsidP="002D24E1">
      <w:pPr>
        <w:autoSpaceDE w:val="0"/>
        <w:autoSpaceDN w:val="0"/>
        <w:adjustRightInd w:val="0"/>
        <w:spacing w:line="480" w:lineRule="auto"/>
        <w:jc w:val="both"/>
      </w:pPr>
    </w:p>
    <w:p w:rsidR="002D24E1" w:rsidRPr="00067E60" w:rsidRDefault="002D24E1" w:rsidP="002D24E1">
      <w:pPr>
        <w:autoSpaceDE w:val="0"/>
        <w:autoSpaceDN w:val="0"/>
        <w:adjustRightInd w:val="0"/>
        <w:spacing w:line="480" w:lineRule="auto"/>
        <w:jc w:val="both"/>
      </w:pPr>
    </w:p>
    <w:p w:rsidR="002D24E1" w:rsidRPr="00067E60" w:rsidRDefault="002D24E1" w:rsidP="002D24E1">
      <w:pPr>
        <w:numPr>
          <w:ilvl w:val="0"/>
          <w:numId w:val="1"/>
        </w:numPr>
        <w:spacing w:line="480" w:lineRule="auto"/>
        <w:jc w:val="both"/>
        <w:rPr>
          <w:b/>
          <w:lang w:val="en-US"/>
        </w:rPr>
      </w:pPr>
      <w:r w:rsidRPr="00067E60">
        <w:rPr>
          <w:b/>
          <w:lang w:val="en-US"/>
        </w:rPr>
        <w:t>Conclusions</w:t>
      </w:r>
    </w:p>
    <w:p w:rsidR="002D24E1" w:rsidRDefault="002D24E1" w:rsidP="002D24E1">
      <w:pPr>
        <w:spacing w:line="480" w:lineRule="auto"/>
        <w:jc w:val="both"/>
        <w:rPr>
          <w:lang w:val="en-US"/>
        </w:rPr>
      </w:pPr>
      <w:r w:rsidRPr="00067E60">
        <w:rPr>
          <w:lang w:val="en-US"/>
        </w:rPr>
        <w:t>International norms regulate states’ behavior on the inte</w:t>
      </w:r>
      <w:r>
        <w:rPr>
          <w:lang w:val="en-US"/>
        </w:rPr>
        <w:t>rnational level</w:t>
      </w:r>
      <w:r w:rsidRPr="00067E60">
        <w:rPr>
          <w:lang w:val="en-US"/>
        </w:rPr>
        <w:t xml:space="preserve">. </w:t>
      </w:r>
      <w:r>
        <w:rPr>
          <w:lang w:val="en-US"/>
        </w:rPr>
        <w:t>Just l</w:t>
      </w:r>
      <w:r w:rsidRPr="00067E60">
        <w:rPr>
          <w:lang w:val="en-US"/>
        </w:rPr>
        <w:t xml:space="preserve">ike domestic norms, </w:t>
      </w:r>
      <w:r>
        <w:rPr>
          <w:lang w:val="en-US"/>
        </w:rPr>
        <w:t>they</w:t>
      </w:r>
      <w:r w:rsidRPr="00067E60">
        <w:rPr>
          <w:lang w:val="en-US"/>
        </w:rPr>
        <w:t xml:space="preserve"> are </w:t>
      </w:r>
      <w:r>
        <w:rPr>
          <w:lang w:val="en-US"/>
        </w:rPr>
        <w:t xml:space="preserve">also </w:t>
      </w:r>
      <w:r w:rsidRPr="00067E60">
        <w:rPr>
          <w:lang w:val="en-US"/>
        </w:rPr>
        <w:t xml:space="preserve">subject to change. A glance </w:t>
      </w:r>
      <w:r>
        <w:rPr>
          <w:lang w:val="en-US"/>
        </w:rPr>
        <w:t>at</w:t>
      </w:r>
      <w:r w:rsidRPr="00067E60">
        <w:rPr>
          <w:lang w:val="en-US"/>
        </w:rPr>
        <w:t xml:space="preserve"> international norms shows that some </w:t>
      </w:r>
      <w:r>
        <w:rPr>
          <w:lang w:val="en-US"/>
        </w:rPr>
        <w:t>norms</w:t>
      </w:r>
      <w:r w:rsidRPr="00067E60">
        <w:rPr>
          <w:lang w:val="en-US"/>
        </w:rPr>
        <w:t xml:space="preserve"> are incredibly persistent, while other</w:t>
      </w:r>
      <w:r>
        <w:rPr>
          <w:lang w:val="en-US"/>
        </w:rPr>
        <w:t>s,</w:t>
      </w:r>
      <w:r w:rsidRPr="00067E60">
        <w:rPr>
          <w:lang w:val="en-US"/>
        </w:rPr>
        <w:t xml:space="preserve"> at one point</w:t>
      </w:r>
      <w:r>
        <w:rPr>
          <w:lang w:val="en-US"/>
        </w:rPr>
        <w:t>,</w:t>
      </w:r>
      <w:r w:rsidRPr="00067E60">
        <w:rPr>
          <w:lang w:val="en-US"/>
        </w:rPr>
        <w:t xml:space="preserve"> become rapidly or incrementally </w:t>
      </w:r>
      <w:r>
        <w:rPr>
          <w:lang w:val="en-US"/>
        </w:rPr>
        <w:t>abolished</w:t>
      </w:r>
      <w:r w:rsidRPr="00067E60">
        <w:rPr>
          <w:lang w:val="en-US"/>
        </w:rPr>
        <w:t xml:space="preserve"> with or without being </w:t>
      </w:r>
      <w:r>
        <w:rPr>
          <w:lang w:val="en-US"/>
        </w:rPr>
        <w:t xml:space="preserve">completely or partially </w:t>
      </w:r>
      <w:r w:rsidRPr="00067E60">
        <w:rPr>
          <w:lang w:val="en-US"/>
        </w:rPr>
        <w:t xml:space="preserve">substituted </w:t>
      </w:r>
      <w:r>
        <w:rPr>
          <w:lang w:val="en-US"/>
        </w:rPr>
        <w:t>by</w:t>
      </w:r>
      <w:r w:rsidRPr="00067E60">
        <w:rPr>
          <w:lang w:val="en-US"/>
        </w:rPr>
        <w:t xml:space="preserve"> others. While research places much emphasis on the creation of norms </w:t>
      </w:r>
      <w:r w:rsidRPr="00067E60">
        <w:rPr>
          <w:lang w:val="en-US"/>
        </w:rPr>
        <w:lastRenderedPageBreak/>
        <w:t>and their impact, many</w:t>
      </w:r>
      <w:r>
        <w:rPr>
          <w:lang w:val="en-US"/>
        </w:rPr>
        <w:t xml:space="preserve"> of these</w:t>
      </w:r>
      <w:r w:rsidRPr="00067E60">
        <w:rPr>
          <w:lang w:val="en-US"/>
        </w:rPr>
        <w:t xml:space="preserve"> approaches neglect the other side of the coin. </w:t>
      </w:r>
      <w:r>
        <w:rPr>
          <w:lang w:val="en-US"/>
        </w:rPr>
        <w:t xml:space="preserve">Why </w:t>
      </w:r>
      <w:r w:rsidR="00786022">
        <w:rPr>
          <w:lang w:val="en-US"/>
        </w:rPr>
        <w:t>are</w:t>
      </w:r>
      <w:r>
        <w:rPr>
          <w:lang w:val="en-US"/>
        </w:rPr>
        <w:t xml:space="preserve"> </w:t>
      </w:r>
      <w:r w:rsidRPr="00067E60">
        <w:rPr>
          <w:lang w:val="en-US"/>
        </w:rPr>
        <w:t xml:space="preserve">some norms challenged and quickly and completely </w:t>
      </w:r>
      <w:r>
        <w:rPr>
          <w:lang w:val="en-US"/>
        </w:rPr>
        <w:t>eradicated</w:t>
      </w:r>
      <w:r w:rsidRPr="00067E60">
        <w:rPr>
          <w:lang w:val="en-US"/>
        </w:rPr>
        <w:t xml:space="preserve">, possibly even without being replaced, while others are only subject to incremental curbing and yet others persist? Why do some formerly embedded norms </w:t>
      </w:r>
      <w:r>
        <w:rPr>
          <w:lang w:val="en-US"/>
        </w:rPr>
        <w:t>lose</w:t>
      </w:r>
      <w:r w:rsidRPr="00067E60">
        <w:rPr>
          <w:lang w:val="en-US"/>
        </w:rPr>
        <w:t xml:space="preserve"> their </w:t>
      </w:r>
      <w:r w:rsidR="000E7F75">
        <w:rPr>
          <w:lang w:val="en-US"/>
        </w:rPr>
        <w:t>prescriptive status</w:t>
      </w:r>
      <w:r>
        <w:rPr>
          <w:lang w:val="en-US"/>
        </w:rPr>
        <w:t xml:space="preserve"> and guiding </w:t>
      </w:r>
      <w:r w:rsidRPr="00067E60">
        <w:rPr>
          <w:lang w:val="en-US"/>
        </w:rPr>
        <w:t>impact on actors? Which variables trigger these processes of normative change? Which dynamics can we observe and how can they be explained?</w:t>
      </w:r>
    </w:p>
    <w:p w:rsidR="002D24E1" w:rsidRPr="00067E60" w:rsidRDefault="002D24E1" w:rsidP="002D24E1">
      <w:pPr>
        <w:spacing w:line="480" w:lineRule="auto"/>
        <w:ind w:firstLine="708"/>
        <w:jc w:val="both"/>
        <w:rPr>
          <w:lang w:val="en-US"/>
        </w:rPr>
      </w:pPr>
      <w:r>
        <w:rPr>
          <w:lang w:val="en-US"/>
        </w:rPr>
        <w:t>Most</w:t>
      </w:r>
      <w:r w:rsidRPr="00067E60">
        <w:rPr>
          <w:lang w:val="en-US"/>
        </w:rPr>
        <w:t xml:space="preserve"> importantly, the necessary condition for the rapid or incremental abolition or restriction of norms is that some actors experience a mismatch between their preferences, belie</w:t>
      </w:r>
      <w:r>
        <w:rPr>
          <w:lang w:val="en-US"/>
        </w:rPr>
        <w:t>fs</w:t>
      </w:r>
      <w:r w:rsidRPr="00067E60">
        <w:rPr>
          <w:lang w:val="en-US"/>
        </w:rPr>
        <w:t>, or identities, on the one hand, and an international norm on the other hand, and</w:t>
      </w:r>
      <w:r>
        <w:rPr>
          <w:lang w:val="en-US"/>
        </w:rPr>
        <w:t xml:space="preserve"> therefore</w:t>
      </w:r>
      <w:r w:rsidRPr="00067E60">
        <w:rPr>
          <w:lang w:val="en-US"/>
        </w:rPr>
        <w:t xml:space="preserve"> develop an interest in changing a formerly i</w:t>
      </w:r>
      <w:r>
        <w:rPr>
          <w:lang w:val="en-US"/>
        </w:rPr>
        <w:t xml:space="preserve">nstitutionalized norm. Yet, </w:t>
      </w:r>
      <w:r w:rsidR="000E7F75">
        <w:rPr>
          <w:lang w:val="en-US"/>
        </w:rPr>
        <w:t>non-compliance happens in regard to almost all international norms at different points in time. In some instances, this triggers a cascade of norm violation by all actors (</w:t>
      </w:r>
      <w:r w:rsidR="002F0D6F">
        <w:rPr>
          <w:lang w:val="en-US"/>
        </w:rPr>
        <w:t>instead of sanctioning behavior</w:t>
      </w:r>
      <w:r w:rsidR="000E7F75">
        <w:rPr>
          <w:lang w:val="en-US"/>
        </w:rPr>
        <w:t xml:space="preserve">) so that the norm in question </w:t>
      </w:r>
      <w:proofErr w:type="spellStart"/>
      <w:r w:rsidR="000E7F75">
        <w:rPr>
          <w:lang w:val="en-US"/>
        </w:rPr>
        <w:t>looses</w:t>
      </w:r>
      <w:proofErr w:type="spellEnd"/>
      <w:r w:rsidR="000E7F75">
        <w:rPr>
          <w:lang w:val="en-US"/>
        </w:rPr>
        <w:t xml:space="preserve"> its prescriptive status and, consequently, </w:t>
      </w:r>
      <w:r w:rsidR="00532611">
        <w:rPr>
          <w:lang w:val="en-US"/>
        </w:rPr>
        <w:t>completely</w:t>
      </w:r>
      <w:r w:rsidR="002F0D6F">
        <w:rPr>
          <w:lang w:val="en-US"/>
        </w:rPr>
        <w:t xml:space="preserve"> or partially </w:t>
      </w:r>
      <w:r w:rsidR="000E7F75">
        <w:rPr>
          <w:lang w:val="en-US"/>
        </w:rPr>
        <w:t xml:space="preserve">disappears. Thus non-compliance is the necessary, but not the sufficient condition for norm disappearances. This article inquired into the </w:t>
      </w:r>
      <w:r w:rsidR="002F0D6F">
        <w:rPr>
          <w:lang w:val="en-US"/>
        </w:rPr>
        <w:t>latter</w:t>
      </w:r>
      <w:r w:rsidR="000E7F75">
        <w:rPr>
          <w:lang w:val="en-US"/>
        </w:rPr>
        <w:t xml:space="preserve"> in theorizing norm degeneration</w:t>
      </w:r>
      <w:r w:rsidR="002F0D6F">
        <w:rPr>
          <w:lang w:val="en-US"/>
        </w:rPr>
        <w:t>s</w:t>
      </w:r>
      <w:r w:rsidR="000E7F75">
        <w:rPr>
          <w:lang w:val="en-US"/>
        </w:rPr>
        <w:t>. Thereby, it introduced a distinction between</w:t>
      </w:r>
      <w:r>
        <w:rPr>
          <w:lang w:val="en-US"/>
        </w:rPr>
        <w:t xml:space="preserve"> process and outcomes of </w:t>
      </w:r>
      <w:r w:rsidRPr="00067E60">
        <w:rPr>
          <w:lang w:val="en-US"/>
        </w:rPr>
        <w:t>norm challenge</w:t>
      </w:r>
      <w:r>
        <w:rPr>
          <w:lang w:val="en-US"/>
        </w:rPr>
        <w:t>s</w:t>
      </w:r>
      <w:r w:rsidRPr="00067E60">
        <w:rPr>
          <w:lang w:val="en-US"/>
        </w:rPr>
        <w:t xml:space="preserve">. </w:t>
      </w:r>
      <w:r>
        <w:rPr>
          <w:lang w:val="en-US"/>
        </w:rPr>
        <w:t xml:space="preserve">Norms can rapidly or incrementally degenerate and can be partially or completely substituted by other norms or disappear without a substitution. </w:t>
      </w:r>
      <w:r w:rsidR="00FC6449">
        <w:rPr>
          <w:lang w:val="en-US"/>
        </w:rPr>
        <w:t>N</w:t>
      </w:r>
      <w:r>
        <w:rPr>
          <w:lang w:val="en-US"/>
        </w:rPr>
        <w:t>orm precision and the stability of the environment, as well as the presence of rival norms, are crucial for dynamics and outcomes of norm degeneration processes</w:t>
      </w:r>
      <w:r w:rsidRPr="00067E60">
        <w:rPr>
          <w:lang w:val="en-US"/>
        </w:rPr>
        <w:t xml:space="preserve">. </w:t>
      </w:r>
      <w:r>
        <w:rPr>
          <w:lang w:val="en-US"/>
        </w:rPr>
        <w:t>N</w:t>
      </w:r>
      <w:r w:rsidRPr="00067E60">
        <w:rPr>
          <w:lang w:val="en-US"/>
        </w:rPr>
        <w:t xml:space="preserve">orms are likely to become rapidly </w:t>
      </w:r>
      <w:r>
        <w:rPr>
          <w:lang w:val="en-US"/>
        </w:rPr>
        <w:t>abolished</w:t>
      </w:r>
      <w:r w:rsidRPr="00067E60">
        <w:rPr>
          <w:lang w:val="en-US"/>
        </w:rPr>
        <w:t xml:space="preserve"> if the environment is unstable</w:t>
      </w:r>
      <w:r w:rsidR="006C4973">
        <w:rPr>
          <w:lang w:val="en-US"/>
        </w:rPr>
        <w:t>, which creates incentives for defection</w:t>
      </w:r>
      <w:r w:rsidR="002F0D6F">
        <w:rPr>
          <w:lang w:val="en-US"/>
        </w:rPr>
        <w:t xml:space="preserve"> and renders investments into sanctioning norm violators less worthwhile</w:t>
      </w:r>
      <w:r w:rsidR="006C4973">
        <w:rPr>
          <w:lang w:val="en-US"/>
        </w:rPr>
        <w:t>,</w:t>
      </w:r>
      <w:r w:rsidR="002F0D6F">
        <w:rPr>
          <w:lang w:val="en-US"/>
        </w:rPr>
        <w:t xml:space="preserve"> and</w:t>
      </w:r>
      <w:r w:rsidRPr="00067E60">
        <w:rPr>
          <w:lang w:val="en-US"/>
        </w:rPr>
        <w:t xml:space="preserve"> if</w:t>
      </w:r>
      <w:r>
        <w:rPr>
          <w:lang w:val="en-US"/>
        </w:rPr>
        <w:t xml:space="preserve"> norms are highly precise</w:t>
      </w:r>
      <w:r w:rsidR="00FC6449">
        <w:rPr>
          <w:lang w:val="en-US"/>
        </w:rPr>
        <w:t xml:space="preserve">, </w:t>
      </w:r>
      <w:r w:rsidR="006C4973">
        <w:rPr>
          <w:lang w:val="en-US"/>
        </w:rPr>
        <w:t>which prevent</w:t>
      </w:r>
      <w:r w:rsidR="002F0D6F">
        <w:rPr>
          <w:lang w:val="en-US"/>
        </w:rPr>
        <w:t>s</w:t>
      </w:r>
      <w:r w:rsidR="006C4973">
        <w:rPr>
          <w:lang w:val="en-US"/>
        </w:rPr>
        <w:t xml:space="preserve"> </w:t>
      </w:r>
      <w:r w:rsidR="002F0D6F">
        <w:rPr>
          <w:lang w:val="en-US"/>
        </w:rPr>
        <w:t xml:space="preserve">initial norm violating </w:t>
      </w:r>
      <w:r w:rsidR="006C4973">
        <w:rPr>
          <w:lang w:val="en-US"/>
        </w:rPr>
        <w:t xml:space="preserve">actors from disguising </w:t>
      </w:r>
      <w:r w:rsidR="002F0D6F">
        <w:rPr>
          <w:lang w:val="en-US"/>
        </w:rPr>
        <w:t>their behavior</w:t>
      </w:r>
      <w:r w:rsidR="006C4973">
        <w:rPr>
          <w:lang w:val="en-US"/>
        </w:rPr>
        <w:t xml:space="preserve"> as compliance</w:t>
      </w:r>
      <w:r w:rsidR="002F0D6F">
        <w:rPr>
          <w:lang w:val="en-US"/>
        </w:rPr>
        <w:t xml:space="preserve"> </w:t>
      </w:r>
      <w:r w:rsidR="002F0D6F">
        <w:rPr>
          <w:lang w:val="en-US"/>
        </w:rPr>
        <w:lastRenderedPageBreak/>
        <w:t>and</w:t>
      </w:r>
      <w:r w:rsidR="006C4973">
        <w:rPr>
          <w:lang w:val="en-US"/>
        </w:rPr>
        <w:t xml:space="preserve"> speed</w:t>
      </w:r>
      <w:r w:rsidR="002F0D6F">
        <w:rPr>
          <w:lang w:val="en-US"/>
        </w:rPr>
        <w:t>s</w:t>
      </w:r>
      <w:r w:rsidR="006C4973">
        <w:rPr>
          <w:lang w:val="en-US"/>
        </w:rPr>
        <w:t xml:space="preserve"> up the degeneration cascade</w:t>
      </w:r>
      <w:r w:rsidR="002F0D6F">
        <w:rPr>
          <w:lang w:val="en-US"/>
        </w:rPr>
        <w:t xml:space="preserve"> in the context of a rapidly changing environment</w:t>
      </w:r>
      <w:r w:rsidRPr="00067E60">
        <w:rPr>
          <w:lang w:val="en-US"/>
        </w:rPr>
        <w:t>. By contrast, norm</w:t>
      </w:r>
      <w:r>
        <w:rPr>
          <w:lang w:val="en-US"/>
        </w:rPr>
        <w:t>s</w:t>
      </w:r>
      <w:r w:rsidRPr="00067E60">
        <w:rPr>
          <w:lang w:val="en-US"/>
        </w:rPr>
        <w:t xml:space="preserve"> are likely to become incrementally </w:t>
      </w:r>
      <w:r>
        <w:rPr>
          <w:lang w:val="en-US"/>
        </w:rPr>
        <w:t>degenerated</w:t>
      </w:r>
      <w:r w:rsidRPr="00067E60">
        <w:rPr>
          <w:lang w:val="en-US"/>
        </w:rPr>
        <w:t>, if</w:t>
      </w:r>
      <w:r w:rsidR="00690C90">
        <w:rPr>
          <w:lang w:val="en-US"/>
        </w:rPr>
        <w:t>, firstly,</w:t>
      </w:r>
      <w:r w:rsidRPr="00067E60">
        <w:rPr>
          <w:lang w:val="en-US"/>
        </w:rPr>
        <w:t xml:space="preserve"> </w:t>
      </w:r>
      <w:r w:rsidR="00690C90">
        <w:rPr>
          <w:lang w:val="en-US"/>
        </w:rPr>
        <w:t xml:space="preserve">norms are imprecise, which allows to disguise violations </w:t>
      </w:r>
      <w:r w:rsidR="00532611">
        <w:rPr>
          <w:lang w:val="en-US"/>
        </w:rPr>
        <w:t xml:space="preserve">that curb the vague aspects of a norm </w:t>
      </w:r>
      <w:r w:rsidR="00690C90">
        <w:rPr>
          <w:lang w:val="en-US"/>
        </w:rPr>
        <w:t>as still being in line with the norm in principle, so that the detection of non-compliance is more difficult and slows down degeneration processes, and</w:t>
      </w:r>
      <w:r w:rsidR="00690C90" w:rsidRPr="00690C90">
        <w:rPr>
          <w:lang w:val="en-US"/>
        </w:rPr>
        <w:t xml:space="preserve"> </w:t>
      </w:r>
      <w:r w:rsidR="00690C90">
        <w:rPr>
          <w:lang w:val="en-US"/>
        </w:rPr>
        <w:t>if, secondly,</w:t>
      </w:r>
      <w:r w:rsidR="00690C90" w:rsidRPr="00690C90">
        <w:rPr>
          <w:lang w:val="en-US"/>
        </w:rPr>
        <w:t xml:space="preserve"> </w:t>
      </w:r>
      <w:r w:rsidR="00690C90" w:rsidRPr="00067E60">
        <w:rPr>
          <w:lang w:val="en-US"/>
        </w:rPr>
        <w:t>the environment does not change r</w:t>
      </w:r>
      <w:r w:rsidR="00690C90">
        <w:rPr>
          <w:lang w:val="en-US"/>
        </w:rPr>
        <w:t xml:space="preserve">apidly, which reduces the number of actors with incentives for defection and increases the chances that </w:t>
      </w:r>
      <w:r w:rsidR="00532611">
        <w:rPr>
          <w:lang w:val="en-US"/>
        </w:rPr>
        <w:t xml:space="preserve">those </w:t>
      </w:r>
      <w:r w:rsidR="00690C90">
        <w:rPr>
          <w:lang w:val="en-US"/>
        </w:rPr>
        <w:t xml:space="preserve">norm violations are detected </w:t>
      </w:r>
      <w:r w:rsidR="00532611">
        <w:rPr>
          <w:lang w:val="en-US"/>
        </w:rPr>
        <w:t>that</w:t>
      </w:r>
      <w:r w:rsidR="00690C90">
        <w:rPr>
          <w:lang w:val="en-US"/>
        </w:rPr>
        <w:t xml:space="preserve"> curb the aim, procedures or applicators scopes of the norm in question too much</w:t>
      </w:r>
      <w:r w:rsidRPr="00067E60">
        <w:rPr>
          <w:lang w:val="en-US"/>
        </w:rPr>
        <w:t xml:space="preserve">. Both processes </w:t>
      </w:r>
      <w:r w:rsidR="002F0D6F">
        <w:rPr>
          <w:lang w:val="en-US"/>
        </w:rPr>
        <w:t xml:space="preserve">of degenerations </w:t>
      </w:r>
      <w:r w:rsidRPr="00067E60">
        <w:rPr>
          <w:lang w:val="en-US"/>
        </w:rPr>
        <w:t xml:space="preserve">are likely to lead to </w:t>
      </w:r>
      <w:r>
        <w:rPr>
          <w:lang w:val="en-US"/>
        </w:rPr>
        <w:t xml:space="preserve">complete or partial </w:t>
      </w:r>
      <w:r w:rsidRPr="00067E60">
        <w:rPr>
          <w:lang w:val="en-US"/>
        </w:rPr>
        <w:t>norm substitutions, if competing norms are present</w:t>
      </w:r>
      <w:r w:rsidR="002F0D6F">
        <w:rPr>
          <w:lang w:val="en-US"/>
        </w:rPr>
        <w:t>, which fill the normative vacuum</w:t>
      </w:r>
      <w:r w:rsidRPr="00067E60">
        <w:rPr>
          <w:lang w:val="en-US"/>
        </w:rPr>
        <w:t xml:space="preserve">. If rival norms are absent, norms are </w:t>
      </w:r>
      <w:r>
        <w:rPr>
          <w:lang w:val="en-US"/>
        </w:rPr>
        <w:t>abolished</w:t>
      </w:r>
      <w:r w:rsidRPr="00067E60">
        <w:rPr>
          <w:lang w:val="en-US"/>
        </w:rPr>
        <w:t xml:space="preserve"> without being replaced.  </w:t>
      </w:r>
    </w:p>
    <w:p w:rsidR="002D24E1" w:rsidRPr="00067E60" w:rsidRDefault="002D24E1" w:rsidP="002D24E1">
      <w:pPr>
        <w:spacing w:line="480" w:lineRule="auto"/>
        <w:ind w:firstLine="708"/>
        <w:jc w:val="both"/>
        <w:rPr>
          <w:lang w:val="en-US"/>
        </w:rPr>
      </w:pPr>
      <w:r>
        <w:rPr>
          <w:lang w:val="en-US"/>
        </w:rPr>
        <w:t>These</w:t>
      </w:r>
      <w:r w:rsidRPr="00067E60">
        <w:rPr>
          <w:lang w:val="en-US"/>
        </w:rPr>
        <w:t xml:space="preserve"> theoretical argument</w:t>
      </w:r>
      <w:r>
        <w:rPr>
          <w:lang w:val="en-US"/>
        </w:rPr>
        <w:t>s are</w:t>
      </w:r>
      <w:r w:rsidRPr="00067E60">
        <w:rPr>
          <w:lang w:val="en-US"/>
        </w:rPr>
        <w:t xml:space="preserve"> backed </w:t>
      </w:r>
      <w:r>
        <w:rPr>
          <w:lang w:val="en-US"/>
        </w:rPr>
        <w:t xml:space="preserve">up </w:t>
      </w:r>
      <w:r w:rsidRPr="00067E60">
        <w:rPr>
          <w:lang w:val="en-US"/>
        </w:rPr>
        <w:t xml:space="preserve">by empirical evidence. The submarine warfare case confirms the hypothesis on rapid </w:t>
      </w:r>
      <w:r>
        <w:rPr>
          <w:lang w:val="en-US"/>
        </w:rPr>
        <w:t>norm degenerations</w:t>
      </w:r>
      <w:r w:rsidRPr="00067E60">
        <w:rPr>
          <w:lang w:val="en-US"/>
        </w:rPr>
        <w:t xml:space="preserve"> and the second and third cases on the anti-mercenary norm and the norm against forcible interventions confirm the hypothesis on incremental </w:t>
      </w:r>
      <w:r>
        <w:rPr>
          <w:lang w:val="en-US"/>
        </w:rPr>
        <w:t>norm degenerations</w:t>
      </w:r>
      <w:r w:rsidRPr="00067E60">
        <w:rPr>
          <w:lang w:val="en-US"/>
        </w:rPr>
        <w:t xml:space="preserve">. </w:t>
      </w:r>
      <w:r>
        <w:rPr>
          <w:lang w:val="en-US"/>
        </w:rPr>
        <w:t xml:space="preserve">In line with hypotheses three and four, </w:t>
      </w:r>
      <w:r w:rsidRPr="00067E60">
        <w:rPr>
          <w:lang w:val="en-US"/>
        </w:rPr>
        <w:t xml:space="preserve">the anti-mercenary norm </w:t>
      </w:r>
      <w:r>
        <w:rPr>
          <w:lang w:val="en-US"/>
        </w:rPr>
        <w:t>and the submarine norm were</w:t>
      </w:r>
      <w:r w:rsidRPr="00067E60">
        <w:rPr>
          <w:lang w:val="en-US"/>
        </w:rPr>
        <w:t xml:space="preserve"> </w:t>
      </w:r>
      <w:r>
        <w:rPr>
          <w:lang w:val="en-US"/>
        </w:rPr>
        <w:t xml:space="preserve">de facto abolished </w:t>
      </w:r>
      <w:r w:rsidRPr="00067E60">
        <w:rPr>
          <w:lang w:val="en-US"/>
        </w:rPr>
        <w:t>without substitution,</w:t>
      </w:r>
      <w:r>
        <w:rPr>
          <w:lang w:val="en-US"/>
        </w:rPr>
        <w:t xml:space="preserve"> while</w:t>
      </w:r>
      <w:r w:rsidRPr="00067E60">
        <w:rPr>
          <w:lang w:val="en-US"/>
        </w:rPr>
        <w:t xml:space="preserve"> the norm against forcible interventions became partially substituted through the humanitarian intervention norm. </w:t>
      </w:r>
    </w:p>
    <w:p w:rsidR="002D24E1" w:rsidRPr="00067E60" w:rsidRDefault="002D24E1" w:rsidP="002D24E1">
      <w:pPr>
        <w:spacing w:line="480" w:lineRule="auto"/>
        <w:ind w:firstLine="708"/>
        <w:jc w:val="both"/>
        <w:rPr>
          <w:lang w:val="en-US"/>
        </w:rPr>
      </w:pPr>
      <w:r w:rsidRPr="00067E60">
        <w:rPr>
          <w:lang w:val="en-US"/>
        </w:rPr>
        <w:t xml:space="preserve">The submarine case showed that precise norms </w:t>
      </w:r>
      <w:r>
        <w:rPr>
          <w:lang w:val="en-US"/>
        </w:rPr>
        <w:t>are not</w:t>
      </w:r>
      <w:r w:rsidRPr="00067E60">
        <w:rPr>
          <w:lang w:val="en-US"/>
        </w:rPr>
        <w:t xml:space="preserve"> incrementally curbed. Any scope limitation would juxtapose the norm and, therefore, constitute a clear instance of non-compliance. Instead </w:t>
      </w:r>
      <w:r>
        <w:rPr>
          <w:lang w:val="en-US"/>
        </w:rPr>
        <w:t xml:space="preserve">of </w:t>
      </w:r>
      <w:r w:rsidRPr="00067E60">
        <w:rPr>
          <w:lang w:val="en-US"/>
        </w:rPr>
        <w:t xml:space="preserve">changing step-by-step, precise norms suddenly </w:t>
      </w:r>
      <w:r>
        <w:rPr>
          <w:lang w:val="en-US"/>
        </w:rPr>
        <w:t>lose</w:t>
      </w:r>
      <w:r w:rsidRPr="00067E60">
        <w:rPr>
          <w:lang w:val="en-US"/>
        </w:rPr>
        <w:t xml:space="preserve"> their prescriptive status, if change agents use rapid environmental changes as an opportunity structure to minimize compliance costs and maximize non-compliance benefits. </w:t>
      </w:r>
      <w:r>
        <w:rPr>
          <w:lang w:val="en-US"/>
        </w:rPr>
        <w:t>Due to the absence of central or individual norm enforcers</w:t>
      </w:r>
      <w:r w:rsidRPr="00067E60">
        <w:rPr>
          <w:lang w:val="en-US"/>
        </w:rPr>
        <w:t xml:space="preserve">, the critical mass of change agents and fence-sitters necessary to stop the reproduction of the old norm </w:t>
      </w:r>
      <w:r w:rsidRPr="00067E60">
        <w:rPr>
          <w:lang w:val="en-US"/>
        </w:rPr>
        <w:lastRenderedPageBreak/>
        <w:t>was quickly reached, norm breaches became the rule, and the norm finally ceased to exist. By contrast, the case studies on the anti-mercenary norm and the norm against forcible interventions showed that in a rather stable environment, norm entrepreneurs take advantage of the ambiguity of a norm in order to incremental</w:t>
      </w:r>
      <w:r>
        <w:rPr>
          <w:lang w:val="en-US"/>
        </w:rPr>
        <w:t>ly</w:t>
      </w:r>
      <w:r w:rsidRPr="00067E60">
        <w:rPr>
          <w:lang w:val="en-US"/>
        </w:rPr>
        <w:t xml:space="preserve"> push for changes. In the anti-mercenary and the forcible interventions cases, no</w:t>
      </w:r>
      <w:r>
        <w:rPr>
          <w:lang w:val="en-US"/>
        </w:rPr>
        <w:t>-</w:t>
      </w:r>
      <w:r w:rsidRPr="00067E60">
        <w:rPr>
          <w:lang w:val="en-US"/>
        </w:rPr>
        <w:t xml:space="preserve">one challenged the norms </w:t>
      </w:r>
      <w:r>
        <w:rPr>
          <w:lang w:val="en-US"/>
        </w:rPr>
        <w:t>or</w:t>
      </w:r>
      <w:r w:rsidRPr="00067E60">
        <w:rPr>
          <w:lang w:val="en-US"/>
        </w:rPr>
        <w:t xml:space="preserve"> their prescriptive status directly, but rather advocated exceptions or argued that a phenomenon did not fit under the umbrella of the old norm. Hence, scope restrictions rather than open challenges </w:t>
      </w:r>
      <w:r>
        <w:rPr>
          <w:lang w:val="en-US"/>
        </w:rPr>
        <w:t>occurred</w:t>
      </w:r>
      <w:r w:rsidRPr="00067E60">
        <w:rPr>
          <w:lang w:val="en-US"/>
        </w:rPr>
        <w:t>. In both cases</w:t>
      </w:r>
      <w:r>
        <w:rPr>
          <w:lang w:val="en-US"/>
        </w:rPr>
        <w:t>, change agents could save</w:t>
      </w:r>
      <w:r w:rsidRPr="00067E60">
        <w:rPr>
          <w:lang w:val="en-US"/>
        </w:rPr>
        <w:t xml:space="preserve"> considerable costs or</w:t>
      </w:r>
      <w:r>
        <w:rPr>
          <w:lang w:val="en-US"/>
        </w:rPr>
        <w:t xml:space="preserve"> gain</w:t>
      </w:r>
      <w:r w:rsidRPr="00067E60">
        <w:rPr>
          <w:lang w:val="en-US"/>
        </w:rPr>
        <w:t xml:space="preserve"> </w:t>
      </w:r>
      <w:r>
        <w:rPr>
          <w:lang w:val="en-US"/>
        </w:rPr>
        <w:t xml:space="preserve">significant benefits </w:t>
      </w:r>
      <w:r w:rsidRPr="00067E60">
        <w:rPr>
          <w:lang w:val="en-US"/>
        </w:rPr>
        <w:t>by deviating from norm</w:t>
      </w:r>
      <w:r>
        <w:rPr>
          <w:lang w:val="en-US"/>
        </w:rPr>
        <w:t>s</w:t>
      </w:r>
      <w:r w:rsidRPr="00067E60">
        <w:rPr>
          <w:lang w:val="en-US"/>
        </w:rPr>
        <w:t xml:space="preserve">, </w:t>
      </w:r>
      <w:r>
        <w:rPr>
          <w:lang w:val="en-US"/>
        </w:rPr>
        <w:t>especially since</w:t>
      </w:r>
      <w:r w:rsidRPr="00067E60">
        <w:rPr>
          <w:lang w:val="en-US"/>
        </w:rPr>
        <w:t xml:space="preserve"> no</w:t>
      </w:r>
      <w:r>
        <w:rPr>
          <w:lang w:val="en-US"/>
        </w:rPr>
        <w:t>-</w:t>
      </w:r>
      <w:r w:rsidRPr="00067E60">
        <w:rPr>
          <w:lang w:val="en-US"/>
        </w:rPr>
        <w:t>one was willing to invest resources in order to protect the old norm</w:t>
      </w:r>
      <w:r>
        <w:rPr>
          <w:lang w:val="en-US"/>
        </w:rPr>
        <w:t xml:space="preserve"> </w:t>
      </w:r>
      <w:r w:rsidRPr="00067E60">
        <w:rPr>
          <w:lang w:val="en-US"/>
        </w:rPr>
        <w:t>definitions. As a result</w:t>
      </w:r>
      <w:r>
        <w:rPr>
          <w:lang w:val="en-US"/>
        </w:rPr>
        <w:t>,</w:t>
      </w:r>
      <w:r w:rsidRPr="00067E60">
        <w:rPr>
          <w:lang w:val="en-US"/>
        </w:rPr>
        <w:t xml:space="preserve"> the critical mass of norm-changing actors was reached </w:t>
      </w:r>
      <w:r>
        <w:rPr>
          <w:lang w:val="en-US"/>
        </w:rPr>
        <w:t xml:space="preserve">in an incremental, </w:t>
      </w:r>
      <w:r w:rsidRPr="00067E60">
        <w:rPr>
          <w:lang w:val="en-US"/>
        </w:rPr>
        <w:t xml:space="preserve">step-by-step </w:t>
      </w:r>
      <w:r>
        <w:rPr>
          <w:lang w:val="en-US"/>
        </w:rPr>
        <w:t xml:space="preserve">manner, </w:t>
      </w:r>
      <w:r w:rsidRPr="00067E60">
        <w:rPr>
          <w:lang w:val="en-US"/>
        </w:rPr>
        <w:t xml:space="preserve">and the </w:t>
      </w:r>
      <w:r>
        <w:rPr>
          <w:lang w:val="en-US"/>
        </w:rPr>
        <w:t>applicatory</w:t>
      </w:r>
      <w:r w:rsidRPr="00067E60">
        <w:rPr>
          <w:lang w:val="en-US"/>
        </w:rPr>
        <w:t xml:space="preserve"> scope of both imprecise norms was substantially curbed.</w:t>
      </w:r>
      <w:r>
        <w:rPr>
          <w:lang w:val="en-US"/>
        </w:rPr>
        <w:t xml:space="preserve"> As expected by the hypotheses on the outcomes of degeneration processes, </w:t>
      </w:r>
      <w:r w:rsidRPr="00067E60">
        <w:rPr>
          <w:lang w:val="en-US"/>
        </w:rPr>
        <w:t>substitutions did not take place</w:t>
      </w:r>
      <w:r w:rsidRPr="00950283">
        <w:rPr>
          <w:lang w:val="en-US"/>
        </w:rPr>
        <w:t xml:space="preserve"> </w:t>
      </w:r>
      <w:r>
        <w:rPr>
          <w:lang w:val="en-US"/>
        </w:rPr>
        <w:t>i</w:t>
      </w:r>
      <w:r w:rsidRPr="00067E60">
        <w:rPr>
          <w:lang w:val="en-US"/>
        </w:rPr>
        <w:t>n the cases of the anti-mercenary norm</w:t>
      </w:r>
      <w:r>
        <w:rPr>
          <w:lang w:val="en-US"/>
        </w:rPr>
        <w:t xml:space="preserve"> and the submarine warfare norm</w:t>
      </w:r>
      <w:r w:rsidRPr="00067E60">
        <w:rPr>
          <w:lang w:val="en-US"/>
        </w:rPr>
        <w:t xml:space="preserve"> because there were no competing norms. The case on the norm against forcible interventions differs in this regard: the competing human rights </w:t>
      </w:r>
      <w:r>
        <w:rPr>
          <w:lang w:val="en-US"/>
        </w:rPr>
        <w:t>framework</w:t>
      </w:r>
      <w:r w:rsidRPr="00067E60">
        <w:rPr>
          <w:lang w:val="en-US"/>
        </w:rPr>
        <w:t xml:space="preserve"> substituted parts of the old norm and is still in the process of becoming transformed into a humanitarian intervention norm. Finally, our case studies show that de</w:t>
      </w:r>
      <w:r>
        <w:rPr>
          <w:lang w:val="en-US"/>
        </w:rPr>
        <w:t>generation</w:t>
      </w:r>
      <w:r w:rsidRPr="00067E60">
        <w:rPr>
          <w:lang w:val="en-US"/>
        </w:rPr>
        <w:t xml:space="preserve"> processes accelerate when no rival norms are present. It took less than a decade to shrink the scope of the almost two centuries old anti-mercenary norm and it took only a couple of weeks to abolish the submarine warfare norm, both of which have not been substituted by other norms. By contrast, the norm of humanitarian intervention</w:t>
      </w:r>
      <w:r>
        <w:rPr>
          <w:lang w:val="en-US"/>
        </w:rPr>
        <w:t xml:space="preserve"> (R2P)</w:t>
      </w:r>
      <w:r w:rsidRPr="00067E60">
        <w:rPr>
          <w:lang w:val="en-US"/>
        </w:rPr>
        <w:t xml:space="preserve"> needed almost two decades to limit the applicatory scope of the 50 years old norm against forcible intervention. One explanation</w:t>
      </w:r>
      <w:r>
        <w:rPr>
          <w:lang w:val="en-US"/>
        </w:rPr>
        <w:t xml:space="preserve"> for this</w:t>
      </w:r>
      <w:r w:rsidRPr="00067E60">
        <w:rPr>
          <w:lang w:val="en-US"/>
        </w:rPr>
        <w:t xml:space="preserve"> might be that the presence of competing norms and the associated </w:t>
      </w:r>
      <w:r w:rsidRPr="00067E60">
        <w:rPr>
          <w:lang w:val="en-US"/>
        </w:rPr>
        <w:lastRenderedPageBreak/>
        <w:t xml:space="preserve">substitution processes slow down </w:t>
      </w:r>
      <w:r>
        <w:rPr>
          <w:lang w:val="en-US"/>
        </w:rPr>
        <w:t xml:space="preserve">degeneration </w:t>
      </w:r>
      <w:r w:rsidRPr="00067E60">
        <w:rPr>
          <w:lang w:val="en-US"/>
        </w:rPr>
        <w:t>processes of old norms, because it takes as long to build up a critical mass of change agents and fence</w:t>
      </w:r>
      <w:r>
        <w:rPr>
          <w:lang w:val="en-US"/>
        </w:rPr>
        <w:t>-</w:t>
      </w:r>
      <w:r w:rsidRPr="00067E60">
        <w:rPr>
          <w:lang w:val="en-US"/>
        </w:rPr>
        <w:t xml:space="preserve">sitters as it takes to develop and spread competing norms. </w:t>
      </w:r>
    </w:p>
    <w:p w:rsidR="002D24E1" w:rsidRPr="00067E60" w:rsidRDefault="002D24E1" w:rsidP="002D24E1">
      <w:pPr>
        <w:jc w:val="both"/>
        <w:rPr>
          <w:u w:val="single"/>
        </w:rPr>
      </w:pPr>
      <w:r w:rsidRPr="00067E60">
        <w:rPr>
          <w:u w:val="single"/>
        </w:rPr>
        <w:br w:type="page"/>
      </w:r>
      <w:r w:rsidRPr="00067E60">
        <w:rPr>
          <w:u w:val="single"/>
        </w:rPr>
        <w:lastRenderedPageBreak/>
        <w:t>Literature:</w:t>
      </w:r>
    </w:p>
    <w:p w:rsidR="002D24E1" w:rsidRDefault="002D24E1" w:rsidP="002D24E1">
      <w:pPr>
        <w:ind w:left="720" w:hanging="720"/>
        <w:jc w:val="both"/>
      </w:pPr>
    </w:p>
    <w:p w:rsidR="00DF1A44" w:rsidRDefault="00EC3A51" w:rsidP="00DF1A44">
      <w:pPr>
        <w:ind w:left="720" w:hanging="720"/>
        <w:jc w:val="both"/>
      </w:pPr>
      <w:r>
        <w:fldChar w:fldCharType="begin"/>
      </w:r>
      <w:r w:rsidR="002D24E1">
        <w:instrText xml:space="preserve"> ADDIN EN.REFLIST </w:instrText>
      </w:r>
      <w:r>
        <w:fldChar w:fldCharType="separate"/>
      </w:r>
      <w:r w:rsidR="00DF1A44">
        <w:t xml:space="preserve">Michael Akehurst, "Humanitarian Intervention " in Hedley Bull, ed., </w:t>
      </w:r>
      <w:r w:rsidR="00DF1A44" w:rsidRPr="00DF1A44">
        <w:rPr>
          <w:i/>
        </w:rPr>
        <w:t>Intervention in World Politics</w:t>
      </w:r>
      <w:r w:rsidR="00DF1A44">
        <w:t xml:space="preserve"> (New York: Oxford University Press, 1985) pp. 95-118.</w:t>
      </w:r>
    </w:p>
    <w:p w:rsidR="00DF1A44" w:rsidRDefault="00DF1A44" w:rsidP="00DF1A44">
      <w:pPr>
        <w:ind w:left="720" w:hanging="720"/>
        <w:jc w:val="both"/>
      </w:pPr>
      <w:r>
        <w:t xml:space="preserve">Sadao Asada, </w:t>
      </w:r>
      <w:r w:rsidRPr="00DF1A44">
        <w:rPr>
          <w:i/>
        </w:rPr>
        <w:t>From Mahan to Pearl Harbor : The Imperial Japanese Navy and the United States</w:t>
      </w:r>
      <w:r>
        <w:t xml:space="preserve"> (Annapolis, Md.: Naval Institute Press, 2006).</w:t>
      </w:r>
    </w:p>
    <w:p w:rsidR="00DF1A44" w:rsidRDefault="00DF1A44" w:rsidP="00DF1A44">
      <w:pPr>
        <w:ind w:left="720" w:hanging="720"/>
        <w:jc w:val="both"/>
      </w:pPr>
      <w:r>
        <w:t xml:space="preserve">Deborah D. Avant, </w:t>
      </w:r>
      <w:r w:rsidRPr="00DF1A44">
        <w:rPr>
          <w:i/>
        </w:rPr>
        <w:t>The Market for Force: The Consequences of Privatizing Security</w:t>
      </w:r>
      <w:r>
        <w:t xml:space="preserve"> (Cambridge, UK ; New York: Cambridge University Press, 2005).</w:t>
      </w:r>
    </w:p>
    <w:p w:rsidR="00DF1A44" w:rsidRDefault="00DF1A44" w:rsidP="00DF1A44">
      <w:pPr>
        <w:ind w:left="720" w:hanging="720"/>
        <w:jc w:val="both"/>
      </w:pPr>
      <w:r>
        <w:t xml:space="preserve">Michael Bayers, and Simon Chesterman, "Changing the Rules About Rules," in J.L. Holzgrefe and Robert Keohane, eds., </w:t>
      </w:r>
      <w:r w:rsidRPr="00DF1A44">
        <w:rPr>
          <w:i/>
        </w:rPr>
        <w:t>Humanitarian Intervention: Ethical, Legal and Political Dilemmas</w:t>
      </w:r>
      <w:r>
        <w:t xml:space="preserve"> (Cambridge: Cambridge University Press, 2003) pp. 177-203.</w:t>
      </w:r>
    </w:p>
    <w:p w:rsidR="00DF1A44" w:rsidRDefault="00DF1A44" w:rsidP="00DF1A44">
      <w:pPr>
        <w:ind w:left="720" w:hanging="720"/>
        <w:jc w:val="both"/>
      </w:pPr>
      <w:r>
        <w:t xml:space="preserve">Alex Bellamy, "Responsibility to Protect or Trojan Horse? The Crisis in Darfur and Humanitarian Intervention after Iraq," </w:t>
      </w:r>
      <w:r w:rsidRPr="00DF1A44">
        <w:rPr>
          <w:b/>
        </w:rPr>
        <w:t>Ethics and International Affairs</w:t>
      </w:r>
      <w:r>
        <w:t>, Vol. 19, No. 2 (2005), pp. 31-53.</w:t>
      </w:r>
    </w:p>
    <w:p w:rsidR="00DF1A44" w:rsidRPr="00DF1A44" w:rsidRDefault="00DF1A44" w:rsidP="00DF1A44">
      <w:pPr>
        <w:ind w:left="720" w:hanging="720"/>
        <w:jc w:val="both"/>
        <w:rPr>
          <w:i/>
        </w:rPr>
      </w:pPr>
      <w:r>
        <w:t xml:space="preserve">Boutros Boutros-Ghali, </w:t>
      </w:r>
      <w:r w:rsidRPr="00DF1A44">
        <w:rPr>
          <w:i/>
        </w:rPr>
        <w:t>An Agenda for Peace: Preventive Diplomacy, Peacemaking</w:t>
      </w:r>
    </w:p>
    <w:p w:rsidR="00DF1A44" w:rsidRDefault="00DF1A44" w:rsidP="00F75A51">
      <w:pPr>
        <w:ind w:left="720"/>
        <w:jc w:val="both"/>
      </w:pPr>
      <w:r w:rsidRPr="00DF1A44">
        <w:rPr>
          <w:i/>
        </w:rPr>
        <w:t>and Peace-Keeping</w:t>
      </w:r>
      <w:r>
        <w:t xml:space="preserve"> (New York: United Nations, 1992).</w:t>
      </w:r>
    </w:p>
    <w:p w:rsidR="00DF1A44" w:rsidRDefault="00DF1A44" w:rsidP="00DF1A44">
      <w:pPr>
        <w:ind w:left="720" w:hanging="720"/>
        <w:jc w:val="both"/>
      </w:pPr>
      <w:r>
        <w:t xml:space="preserve">Richard Burns, "Regulating Submarine Warfare, 1921-41: A Case Study of Arms Control and Limited War," </w:t>
      </w:r>
      <w:r w:rsidRPr="00DF1A44">
        <w:rPr>
          <w:b/>
        </w:rPr>
        <w:t>Military Affairs</w:t>
      </w:r>
      <w:r>
        <w:t>, Vol. 35, No. 2 (1971), pp. 56-63.</w:t>
      </w:r>
    </w:p>
    <w:p w:rsidR="00DF1A44" w:rsidRDefault="00DF1A44" w:rsidP="00DF1A44">
      <w:pPr>
        <w:ind w:left="720" w:hanging="720"/>
        <w:jc w:val="both"/>
      </w:pPr>
      <w:r>
        <w:t xml:space="preserve">James Jay Carafano, </w:t>
      </w:r>
      <w:r w:rsidRPr="00DF1A44">
        <w:rPr>
          <w:i/>
        </w:rPr>
        <w:t>Private Sector, Public Wars : Contractors in Combat-- Afghanistan, Iraq, and Future Conflicts</w:t>
      </w:r>
      <w:r>
        <w:t xml:space="preserve"> (Westport, Conn.: Praeger Security International, 2008).</w:t>
      </w:r>
    </w:p>
    <w:p w:rsidR="00DF1A44" w:rsidRDefault="00DF1A44" w:rsidP="00DF1A44">
      <w:pPr>
        <w:ind w:left="720" w:hanging="720"/>
        <w:jc w:val="both"/>
      </w:pPr>
      <w:r>
        <w:t xml:space="preserve">David Chandler, </w:t>
      </w:r>
      <w:r w:rsidRPr="00DF1A44">
        <w:rPr>
          <w:i/>
        </w:rPr>
        <w:t>From Kosovo to Kabul : Human Rights and International Intervention</w:t>
      </w:r>
      <w:r>
        <w:t xml:space="preserve"> (London ; Sterling, Va.: Pluto Press, 2002).</w:t>
      </w:r>
    </w:p>
    <w:p w:rsidR="00DF1A44" w:rsidRDefault="00DF1A44" w:rsidP="00DF1A44">
      <w:pPr>
        <w:ind w:left="720" w:hanging="720"/>
        <w:jc w:val="both"/>
      </w:pPr>
      <w:r>
        <w:t xml:space="preserve">David Chesterman, "Humanitarian Intervention in Afghanistan," in Jennifer Welsh, ed., </w:t>
      </w:r>
      <w:r w:rsidRPr="00DF1A44">
        <w:rPr>
          <w:i/>
        </w:rPr>
        <w:t>Humanitarian Intervention and International Relations</w:t>
      </w:r>
      <w:r>
        <w:t xml:space="preserve"> (New York and Oxford: Oxford University Press, 2003) pp. 163-176.</w:t>
      </w:r>
    </w:p>
    <w:p w:rsidR="00DF1A44" w:rsidRDefault="00DF1A44" w:rsidP="00DF1A44">
      <w:pPr>
        <w:ind w:left="720" w:hanging="720"/>
        <w:jc w:val="both"/>
      </w:pPr>
      <w:r>
        <w:t xml:space="preserve">Eliot Cohen, and John Gooch, </w:t>
      </w:r>
      <w:r w:rsidRPr="00DF1A44">
        <w:rPr>
          <w:i/>
        </w:rPr>
        <w:t>Military Misfortunes: The Anatomy of Failure</w:t>
      </w:r>
      <w:r>
        <w:t xml:space="preserve"> (New York: The Free Press, 2006).</w:t>
      </w:r>
    </w:p>
    <w:p w:rsidR="00DF1A44" w:rsidRDefault="00DF1A44" w:rsidP="00DF1A44">
      <w:pPr>
        <w:ind w:left="720" w:hanging="720"/>
        <w:jc w:val="both"/>
      </w:pPr>
      <w:r>
        <w:t xml:space="preserve">Yves Durel, "The Role of Cognitive and Normative Frames in Policy-Making," </w:t>
      </w:r>
      <w:r w:rsidRPr="00DF1A44">
        <w:rPr>
          <w:b/>
        </w:rPr>
        <w:t>Journal of European Public Policy</w:t>
      </w:r>
      <w:r>
        <w:t>, Vol. 7, No. 4 (2000), pp. 495-512.</w:t>
      </w:r>
    </w:p>
    <w:p w:rsidR="00DF1A44" w:rsidRDefault="00DF1A44" w:rsidP="00DF1A44">
      <w:pPr>
        <w:ind w:left="720" w:hanging="720"/>
        <w:jc w:val="both"/>
      </w:pPr>
      <w:r>
        <w:t xml:space="preserve">James D. Fearon, "Bargaining, Enforcement and International Cooperation," </w:t>
      </w:r>
      <w:r w:rsidRPr="00DF1A44">
        <w:rPr>
          <w:b/>
        </w:rPr>
        <w:t>International Organization</w:t>
      </w:r>
      <w:r>
        <w:t>, Vol. 52, No. 2 (1998), pp. 269-305.</w:t>
      </w:r>
    </w:p>
    <w:p w:rsidR="00DF1A44" w:rsidRDefault="00DF1A44" w:rsidP="00DF1A44">
      <w:pPr>
        <w:ind w:left="720" w:hanging="720"/>
        <w:jc w:val="both"/>
      </w:pPr>
      <w:r>
        <w:t xml:space="preserve">Martha Finnemore, </w:t>
      </w:r>
      <w:r w:rsidRPr="00DF1A44">
        <w:rPr>
          <w:i/>
        </w:rPr>
        <w:t>The Purpose of Intervention</w:t>
      </w:r>
      <w:r>
        <w:t xml:space="preserve"> (Ithaca &amp; London: Cornell University Press, 2003).</w:t>
      </w:r>
    </w:p>
    <w:p w:rsidR="00DF1A44" w:rsidRDefault="00DF1A44" w:rsidP="00DF1A44">
      <w:pPr>
        <w:ind w:left="720" w:hanging="720"/>
        <w:jc w:val="both"/>
      </w:pPr>
      <w:r>
        <w:t xml:space="preserve">Foreign Affairs Committee, </w:t>
      </w:r>
      <w:r w:rsidRPr="00DF1A44">
        <w:rPr>
          <w:i/>
        </w:rPr>
        <w:t>Ninth Report of the Foreign Affairs Committee: Private Military Companies</w:t>
      </w:r>
      <w:r>
        <w:t>, 2002 (London: British Parliament).</w:t>
      </w:r>
    </w:p>
    <w:p w:rsidR="00DF1A44" w:rsidRDefault="00DF1A44" w:rsidP="00DF1A44">
      <w:pPr>
        <w:ind w:left="720" w:hanging="720"/>
        <w:jc w:val="both"/>
      </w:pPr>
      <w:r>
        <w:t xml:space="preserve">Emily O. Goldman, </w:t>
      </w:r>
      <w:r w:rsidRPr="00DF1A44">
        <w:rPr>
          <w:i/>
        </w:rPr>
        <w:t>Sunken Treaties : Naval Arms Control between the Wars</w:t>
      </w:r>
      <w:r>
        <w:t xml:space="preserve"> (University Park, Pa.: Pennsylvania State University Press, 1994).</w:t>
      </w:r>
    </w:p>
    <w:p w:rsidR="00DF1A44" w:rsidRDefault="00DF1A44" w:rsidP="00DF1A44">
      <w:pPr>
        <w:ind w:left="720" w:hanging="720"/>
        <w:jc w:val="both"/>
      </w:pPr>
      <w:r>
        <w:t xml:space="preserve">Ernst Haas, </w:t>
      </w:r>
      <w:r w:rsidRPr="00DF1A44">
        <w:rPr>
          <w:i/>
        </w:rPr>
        <w:t>When Knowledge Is Power</w:t>
      </w:r>
      <w:r>
        <w:t xml:space="preserve"> (Berkeley CA: University of California Press, 1990).</w:t>
      </w:r>
    </w:p>
    <w:p w:rsidR="00DF1A44" w:rsidRDefault="00DF1A44" w:rsidP="00DF1A44">
      <w:pPr>
        <w:ind w:left="720" w:hanging="720"/>
        <w:jc w:val="both"/>
      </w:pPr>
      <w:r>
        <w:t xml:space="preserve">Brien Hallett, </w:t>
      </w:r>
      <w:r w:rsidRPr="00DF1A44">
        <w:rPr>
          <w:i/>
        </w:rPr>
        <w:t>The Lost Art of Declaring War</w:t>
      </w:r>
      <w:r>
        <w:t xml:space="preserve"> (Urbana, [Ill.]: University of Illinois Press, 1998).</w:t>
      </w:r>
    </w:p>
    <w:p w:rsidR="00DF1A44" w:rsidRDefault="00DF1A44" w:rsidP="00DF1A44">
      <w:pPr>
        <w:ind w:left="720" w:hanging="720"/>
        <w:jc w:val="both"/>
      </w:pPr>
      <w:r>
        <w:t xml:space="preserve">Louis Henkin, </w:t>
      </w:r>
      <w:r w:rsidRPr="00DF1A44">
        <w:rPr>
          <w:i/>
        </w:rPr>
        <w:t>How Nations Behave: Law and Foreign Policy</w:t>
      </w:r>
      <w:r>
        <w:t xml:space="preserve"> (New York: Columbia University Press, 1968).</w:t>
      </w:r>
    </w:p>
    <w:p w:rsidR="00DF1A44" w:rsidRDefault="00DF1A44" w:rsidP="00DF1A44">
      <w:pPr>
        <w:ind w:left="720" w:hanging="720"/>
        <w:jc w:val="both"/>
      </w:pPr>
      <w:r>
        <w:t xml:space="preserve">Michael Eliot Howard, </w:t>
      </w:r>
      <w:r w:rsidRPr="00DF1A44">
        <w:rPr>
          <w:i/>
        </w:rPr>
        <w:t>Restraints on War : Studies in the Limitation of Armed Conflict</w:t>
      </w:r>
      <w:r>
        <w:t xml:space="preserve"> (Oxford ; New York: Oxford University Press, 1979).</w:t>
      </w:r>
    </w:p>
    <w:p w:rsidR="00DF1A44" w:rsidRDefault="00DF1A44" w:rsidP="00DF1A44">
      <w:pPr>
        <w:ind w:left="720" w:hanging="720"/>
        <w:jc w:val="both"/>
      </w:pPr>
      <w:r>
        <w:t xml:space="preserve">International Commission on Intervention and State Sovereignty, </w:t>
      </w:r>
      <w:r w:rsidRPr="00DF1A44">
        <w:rPr>
          <w:i/>
        </w:rPr>
        <w:t>The Responsibility to Protect.</w:t>
      </w:r>
      <w:r>
        <w:t xml:space="preserve"> (Ottawa: International Development Research Centre, 2001).</w:t>
      </w:r>
    </w:p>
    <w:p w:rsidR="00DF1A44" w:rsidRDefault="00DF1A44" w:rsidP="00DF1A44">
      <w:pPr>
        <w:ind w:left="720" w:hanging="720"/>
        <w:jc w:val="both"/>
      </w:pPr>
      <w:r>
        <w:lastRenderedPageBreak/>
        <w:t xml:space="preserve">John Keegan, </w:t>
      </w:r>
      <w:r w:rsidRPr="00DF1A44">
        <w:rPr>
          <w:i/>
        </w:rPr>
        <w:t>A History of Warfare</w:t>
      </w:r>
      <w:r>
        <w:t xml:space="preserve"> (New York: Alfred A. Knopf : Distributed by Random House, Inc., 1993).</w:t>
      </w:r>
    </w:p>
    <w:p w:rsidR="00DF1A44" w:rsidRDefault="00DF1A44" w:rsidP="00DF1A44">
      <w:pPr>
        <w:ind w:left="720" w:hanging="720"/>
        <w:jc w:val="both"/>
      </w:pPr>
      <w:r>
        <w:t xml:space="preserve">Stephen D. Krasner, </w:t>
      </w:r>
      <w:r w:rsidRPr="00DF1A44">
        <w:rPr>
          <w:i/>
        </w:rPr>
        <w:t>Sovereignty: Organized Hypocrisy</w:t>
      </w:r>
      <w:r>
        <w:t xml:space="preserve"> (Princeton, N.J.: Princeton University Press, 1999).</w:t>
      </w:r>
    </w:p>
    <w:p w:rsidR="00DF1A44" w:rsidRDefault="00DF1A44" w:rsidP="00DF1A44">
      <w:pPr>
        <w:ind w:left="720" w:hanging="720"/>
        <w:jc w:val="both"/>
      </w:pPr>
      <w:r>
        <w:t xml:space="preserve">Friedrich Kratochwil, and John G. Ruggie, "International Organization: A State of the Art on an Art of the State," </w:t>
      </w:r>
      <w:r w:rsidRPr="00DF1A44">
        <w:rPr>
          <w:b/>
        </w:rPr>
        <w:t>International Organization</w:t>
      </w:r>
      <w:r>
        <w:t>, Vol. 40, No. 4 (1986), pp. 753-775.</w:t>
      </w:r>
    </w:p>
    <w:p w:rsidR="00DF1A44" w:rsidRPr="00AE4B88" w:rsidRDefault="00DF1A44" w:rsidP="00DF1A44">
      <w:pPr>
        <w:ind w:left="720" w:hanging="720"/>
        <w:jc w:val="both"/>
        <w:rPr>
          <w:lang w:val="de-CH"/>
        </w:rPr>
      </w:pPr>
      <w:r>
        <w:t xml:space="preserve">Keith Krause, "“Human Security: An Idea Whose Time Has Come?”" </w:t>
      </w:r>
      <w:r w:rsidRPr="00AE4B88">
        <w:rPr>
          <w:b/>
          <w:lang w:val="de-CH"/>
        </w:rPr>
        <w:t>S+F: Sicherheit und Frieden</w:t>
      </w:r>
      <w:r w:rsidRPr="00AE4B88">
        <w:rPr>
          <w:lang w:val="de-CH"/>
        </w:rPr>
        <w:t>, Vol. 23, No. 1 (2005), pp. 1-14.</w:t>
      </w:r>
    </w:p>
    <w:p w:rsidR="00DF1A44" w:rsidRDefault="00DF1A44" w:rsidP="00DF1A44">
      <w:pPr>
        <w:ind w:left="720" w:hanging="720"/>
        <w:jc w:val="both"/>
      </w:pPr>
      <w:r>
        <w:t xml:space="preserve">Jeffrey Legro, "Which Norms Matter? Revisiting the ``Failure’’ of Internationalism," </w:t>
      </w:r>
      <w:r w:rsidRPr="00DF1A44">
        <w:rPr>
          <w:b/>
        </w:rPr>
        <w:t>International Organization</w:t>
      </w:r>
      <w:r>
        <w:t>, Vol. 51, No. 1 (1997), pp. 31-61.</w:t>
      </w:r>
    </w:p>
    <w:p w:rsidR="00DF1A44" w:rsidRDefault="00DF1A44" w:rsidP="00DF1A44">
      <w:pPr>
        <w:ind w:left="720" w:hanging="720"/>
        <w:jc w:val="both"/>
      </w:pPr>
      <w:r>
        <w:t xml:space="preserve">Tony Lynch, and A.J. Walsh, "The Good Mercenary?," </w:t>
      </w:r>
      <w:r w:rsidRPr="00DF1A44">
        <w:rPr>
          <w:b/>
        </w:rPr>
        <w:t>The Journal of Political Philosophy</w:t>
      </w:r>
      <w:r>
        <w:t>, Vol. 8, No. 2 (2000), pp. 133-153.</w:t>
      </w:r>
    </w:p>
    <w:p w:rsidR="00DF1A44" w:rsidRDefault="00DF1A44" w:rsidP="00DF1A44">
      <w:pPr>
        <w:ind w:left="720" w:hanging="720"/>
        <w:jc w:val="both"/>
      </w:pPr>
      <w:r>
        <w:t xml:space="preserve">John A. Lynn, </w:t>
      </w:r>
      <w:r w:rsidRPr="00DF1A44">
        <w:rPr>
          <w:i/>
        </w:rPr>
        <w:t>Battle : A History of Combat and Culture</w:t>
      </w:r>
      <w:r>
        <w:t xml:space="preserve"> (Cambridge, MA: Westview Press, 2004).</w:t>
      </w:r>
    </w:p>
    <w:p w:rsidR="00DF1A44" w:rsidRDefault="00DF1A44" w:rsidP="00DF1A44">
      <w:pPr>
        <w:ind w:left="720" w:hanging="720"/>
        <w:jc w:val="both"/>
      </w:pPr>
      <w:r>
        <w:t xml:space="preserve">Neil S. MacFarlane, </w:t>
      </w:r>
      <w:r w:rsidRPr="00DF1A44">
        <w:rPr>
          <w:i/>
        </w:rPr>
        <w:t>Intervention in Contemporary World Politics</w:t>
      </w:r>
      <w:r>
        <w:t xml:space="preserve"> (London: International Institute for Strategic Studies, 2002).</w:t>
      </w:r>
    </w:p>
    <w:p w:rsidR="00DF1A44" w:rsidRDefault="00DF1A44" w:rsidP="00DF1A44">
      <w:pPr>
        <w:ind w:left="720" w:hanging="720"/>
        <w:jc w:val="both"/>
      </w:pPr>
      <w:r>
        <w:t xml:space="preserve">Ann Markusen, "The Case against Privatization National Security," </w:t>
      </w:r>
      <w:r w:rsidRPr="00DF1A44">
        <w:rPr>
          <w:i/>
        </w:rPr>
        <w:t>International Political Science Association</w:t>
      </w:r>
      <w:r>
        <w:t xml:space="preserve"> (University of Oklahoma: 2001).</w:t>
      </w:r>
    </w:p>
    <w:p w:rsidR="00DF1A44" w:rsidRDefault="00DF1A44" w:rsidP="00DF1A44">
      <w:pPr>
        <w:ind w:left="720" w:hanging="720"/>
        <w:jc w:val="both"/>
      </w:pPr>
      <w:r>
        <w:t xml:space="preserve">Christian Miller, "Contractors Outnumber U.S. Troops in Iraq," </w:t>
      </w:r>
      <w:r w:rsidRPr="00DF1A44">
        <w:rPr>
          <w:b/>
        </w:rPr>
        <w:t>The Virginian Pilot</w:t>
      </w:r>
      <w:r>
        <w:t xml:space="preserve"> 4. July 2007, A9.</w:t>
      </w:r>
    </w:p>
    <w:p w:rsidR="00DF1A44" w:rsidRDefault="00DF1A44" w:rsidP="00DF1A44">
      <w:pPr>
        <w:ind w:left="720" w:hanging="720"/>
        <w:jc w:val="both"/>
      </w:pPr>
      <w:r>
        <w:t xml:space="preserve">Johan P. Olsen, "Garbage Cans, New Institutionalism, and the Study of Politics," </w:t>
      </w:r>
      <w:r w:rsidRPr="00DF1A44">
        <w:rPr>
          <w:b/>
        </w:rPr>
        <w:t>American Political Science Review</w:t>
      </w:r>
      <w:r>
        <w:t xml:space="preserve">, Vol. 95, No. 1 (2001), pp. 191-198 </w:t>
      </w:r>
    </w:p>
    <w:p w:rsidR="00DF1A44" w:rsidRDefault="00DF1A44" w:rsidP="00DF1A44">
      <w:pPr>
        <w:ind w:left="720" w:hanging="720"/>
        <w:jc w:val="both"/>
      </w:pPr>
      <w:r>
        <w:t xml:space="preserve">James Pattison, "Just War Theory and the Privatization of Military Force," </w:t>
      </w:r>
      <w:r w:rsidRPr="00DF1A44">
        <w:rPr>
          <w:b/>
        </w:rPr>
        <w:t>Ethics and International Affairs</w:t>
      </w:r>
      <w:r>
        <w:t>, Vol. 22, No. 2 (2008), pp. 143–162.</w:t>
      </w:r>
    </w:p>
    <w:p w:rsidR="00DF1A44" w:rsidRDefault="00DF1A44" w:rsidP="00DF1A44">
      <w:pPr>
        <w:ind w:left="720" w:hanging="720"/>
        <w:jc w:val="both"/>
      </w:pPr>
      <w:r>
        <w:t xml:space="preserve">Kelly Pease, and David Forsythe, "Human Rights, Humanitarian Interventions, and World Politics," </w:t>
      </w:r>
      <w:r w:rsidRPr="00DF1A44">
        <w:rPr>
          <w:b/>
        </w:rPr>
        <w:t>Human Rights Quarterly</w:t>
      </w:r>
      <w:r>
        <w:t>, Vol. 15, No. 2 (1993), pp. 290-314.</w:t>
      </w:r>
    </w:p>
    <w:p w:rsidR="00DF1A44" w:rsidRDefault="00DF1A44" w:rsidP="00DF1A44">
      <w:pPr>
        <w:ind w:left="720" w:hanging="720"/>
        <w:jc w:val="both"/>
      </w:pPr>
      <w:r>
        <w:t xml:space="preserve">Robert Young Pelton, </w:t>
      </w:r>
      <w:r w:rsidRPr="00DF1A44">
        <w:rPr>
          <w:i/>
        </w:rPr>
        <w:t>Licensed to Kill : Hired Guns in the War on Terror</w:t>
      </w:r>
      <w:r>
        <w:t xml:space="preserve"> (New York: Three Rivers Press, 2007).</w:t>
      </w:r>
    </w:p>
    <w:p w:rsidR="00DF1A44" w:rsidRDefault="00DF1A44" w:rsidP="00DF1A44">
      <w:pPr>
        <w:ind w:left="720" w:hanging="720"/>
        <w:jc w:val="both"/>
      </w:pPr>
      <w:r>
        <w:t>Sarah Percy, "Mercenaries: Strong Norm, Weak Law,"</w:t>
      </w:r>
      <w:r w:rsidRPr="00DF1A44">
        <w:rPr>
          <w:b/>
        </w:rPr>
        <w:t xml:space="preserve"> International Organization</w:t>
      </w:r>
      <w:r>
        <w:t>, Vol. 61, No. 4 (2007), pp. 367-397.</w:t>
      </w:r>
    </w:p>
    <w:p w:rsidR="00DF1A44" w:rsidRDefault="00DF1A44" w:rsidP="00DF1A44">
      <w:pPr>
        <w:ind w:left="720" w:hanging="720"/>
        <w:jc w:val="both"/>
      </w:pPr>
      <w:r>
        <w:t xml:space="preserve">Oliver Ramsbotham, and Tom Woodhouse, </w:t>
      </w:r>
      <w:r w:rsidRPr="00DF1A44">
        <w:rPr>
          <w:i/>
        </w:rPr>
        <w:t>Humanitarian Intervention in Contemporary Conflict : A Reconceptualization</w:t>
      </w:r>
      <w:r>
        <w:t xml:space="preserve"> (Cambridge, Mass.: Polity Press, 1996).</w:t>
      </w:r>
    </w:p>
    <w:p w:rsidR="00DF1A44" w:rsidRDefault="00DF1A44" w:rsidP="00DF1A44">
      <w:pPr>
        <w:ind w:left="720" w:hanging="720"/>
        <w:jc w:val="both"/>
      </w:pPr>
      <w:r>
        <w:t xml:space="preserve">Dina Rasor, and Robert Bauman, </w:t>
      </w:r>
      <w:r w:rsidRPr="00DF1A44">
        <w:rPr>
          <w:i/>
        </w:rPr>
        <w:t>Betraying Our Troops : The Destructive Results of Privatizing War</w:t>
      </w:r>
      <w:r>
        <w:t xml:space="preserve"> (New York: Palgrave Macmillan, 2007).</w:t>
      </w:r>
    </w:p>
    <w:p w:rsidR="00DF1A44" w:rsidRDefault="00DF1A44" w:rsidP="00DF1A44">
      <w:pPr>
        <w:ind w:left="720" w:hanging="720"/>
        <w:jc w:val="both"/>
      </w:pPr>
      <w:r>
        <w:t xml:space="preserve">Lisa Rimli, and Susanne Schmeidel, </w:t>
      </w:r>
      <w:r w:rsidRPr="00DF1A44">
        <w:rPr>
          <w:i/>
        </w:rPr>
        <w:t>Private Security Companies and Local Populations</w:t>
      </w:r>
      <w:r>
        <w:t xml:space="preserve"> (Geneva: Swiss Peace: 2007).</w:t>
      </w:r>
    </w:p>
    <w:p w:rsidR="00DF1A44" w:rsidRPr="00AE4B88" w:rsidRDefault="00DF1A44" w:rsidP="00DF1A44">
      <w:pPr>
        <w:ind w:left="720" w:hanging="720"/>
        <w:jc w:val="both"/>
        <w:rPr>
          <w:lang w:val="de-CH"/>
        </w:rPr>
      </w:pPr>
      <w:r>
        <w:t xml:space="preserve">Thomas Risse, Maria Green Cowles, and James A. Caporaso, eds., </w:t>
      </w:r>
      <w:r w:rsidRPr="00DF1A44">
        <w:rPr>
          <w:i/>
        </w:rPr>
        <w:t xml:space="preserve">Transforming Europe. </w:t>
      </w:r>
      <w:r w:rsidRPr="00AE4B88">
        <w:rPr>
          <w:i/>
          <w:lang w:val="de-CH"/>
        </w:rPr>
        <w:t>Europeanization and Domestic Change</w:t>
      </w:r>
      <w:r w:rsidRPr="00AE4B88">
        <w:rPr>
          <w:lang w:val="de-CH"/>
        </w:rPr>
        <w:t xml:space="preserve"> (Ithaca, NY: Cornell University Press, 2001).</w:t>
      </w:r>
    </w:p>
    <w:p w:rsidR="00DF1A44" w:rsidRPr="00AE4B88" w:rsidRDefault="00DF1A44" w:rsidP="00DF1A44">
      <w:pPr>
        <w:ind w:left="720" w:hanging="720"/>
        <w:jc w:val="both"/>
        <w:rPr>
          <w:lang w:val="de-CH"/>
        </w:rPr>
      </w:pPr>
      <w:r w:rsidRPr="00AE4B88">
        <w:rPr>
          <w:lang w:val="de-CH"/>
        </w:rPr>
        <w:t xml:space="preserve">Christian Schaller, </w:t>
      </w:r>
      <w:r w:rsidRPr="00AE4B88">
        <w:rPr>
          <w:i/>
          <w:lang w:val="de-CH"/>
        </w:rPr>
        <w:t>Private Sicherheitsfirmen- Und Militaerfirmen in Bewaffneten Konflikten</w:t>
      </w:r>
      <w:r w:rsidRPr="00AE4B88">
        <w:rPr>
          <w:lang w:val="de-CH"/>
        </w:rPr>
        <w:t xml:space="preserve"> (Berlin: Stiftung Wissenschaft und Politik, 2005).</w:t>
      </w:r>
    </w:p>
    <w:p w:rsidR="00DF1A44" w:rsidRDefault="00DF1A44" w:rsidP="00DF1A44">
      <w:pPr>
        <w:ind w:left="720" w:hanging="720"/>
        <w:jc w:val="both"/>
      </w:pPr>
      <w:r>
        <w:t xml:space="preserve">Ulrich Schneckener, "Fragile Statehood, Armed Non-State Actors and Security Governance," in Alan Bryden and Marina Caparini, eds., </w:t>
      </w:r>
      <w:r w:rsidRPr="00DF1A44">
        <w:rPr>
          <w:i/>
        </w:rPr>
        <w:t>Private Actors and Security Governance</w:t>
      </w:r>
      <w:r>
        <w:t xml:space="preserve"> (Zurich: Lit Verlag, 2006) pp. 23-40.</w:t>
      </w:r>
    </w:p>
    <w:p w:rsidR="00DF1A44" w:rsidRDefault="00DF1A44" w:rsidP="00DF1A44">
      <w:pPr>
        <w:ind w:left="720" w:hanging="720"/>
        <w:jc w:val="both"/>
      </w:pPr>
      <w:r>
        <w:t xml:space="preserve">Fred Schreier, and Marina Caparini, "Privatising Security: Law, Practice and Governance of Private Military and Security Companies," </w:t>
      </w:r>
      <w:r w:rsidRPr="00DF1A44">
        <w:rPr>
          <w:i/>
        </w:rPr>
        <w:t>Geneva Centre for the Democratic Control of Armed Forces: Occasional Paper</w:t>
      </w:r>
      <w:r>
        <w:t xml:space="preserve"> (Genva: 2005).</w:t>
      </w:r>
    </w:p>
    <w:p w:rsidR="00DF1A44" w:rsidRDefault="00DF1A44" w:rsidP="00DF1A44">
      <w:pPr>
        <w:ind w:left="720" w:hanging="720"/>
        <w:jc w:val="both"/>
      </w:pPr>
      <w:r>
        <w:lastRenderedPageBreak/>
        <w:t xml:space="preserve">John H. F. Shattuck, </w:t>
      </w:r>
      <w:r w:rsidRPr="00DF1A44">
        <w:rPr>
          <w:i/>
        </w:rPr>
        <w:t>Freedom on Fire : Human Rights Wars and America's Response</w:t>
      </w:r>
      <w:r>
        <w:t xml:space="preserve"> (Cambridge, Mass.: Harvard University Press, 2003).</w:t>
      </w:r>
    </w:p>
    <w:p w:rsidR="00DF1A44" w:rsidRDefault="00DF1A44" w:rsidP="00DF1A44">
      <w:pPr>
        <w:ind w:left="720" w:hanging="720"/>
        <w:jc w:val="both"/>
      </w:pPr>
      <w:r>
        <w:t xml:space="preserve">David Shearer, </w:t>
      </w:r>
      <w:r w:rsidRPr="00DF1A44">
        <w:rPr>
          <w:i/>
        </w:rPr>
        <w:t>Private Armies and Military Intervention</w:t>
      </w:r>
      <w:r>
        <w:t xml:space="preserve"> (Oxford</w:t>
      </w:r>
    </w:p>
    <w:p w:rsidR="00DF1A44" w:rsidRDefault="00DF1A44" w:rsidP="00DF1A44">
      <w:pPr>
        <w:ind w:left="720" w:hanging="720"/>
        <w:jc w:val="both"/>
      </w:pPr>
      <w:r>
        <w:t>New York: Oxford University Press for the International Institute for Strategic Studies, 1998).</w:t>
      </w:r>
    </w:p>
    <w:p w:rsidR="00DF1A44" w:rsidRDefault="00DF1A44" w:rsidP="00DF1A44">
      <w:pPr>
        <w:ind w:left="720" w:hanging="720"/>
        <w:jc w:val="both"/>
      </w:pPr>
      <w:r>
        <w:t xml:space="preserve">William L. Shirer, </w:t>
      </w:r>
      <w:r w:rsidRPr="00DF1A44">
        <w:rPr>
          <w:i/>
        </w:rPr>
        <w:t>The Rise and Fall of the Third Reich</w:t>
      </w:r>
      <w:r>
        <w:t xml:space="preserve"> (New York: Simon &amp; Schuster, 1990).</w:t>
      </w:r>
    </w:p>
    <w:p w:rsidR="00DF1A44" w:rsidRDefault="00DF1A44" w:rsidP="00DF1A44">
      <w:pPr>
        <w:ind w:left="720" w:hanging="720"/>
        <w:jc w:val="both"/>
      </w:pPr>
      <w:r>
        <w:t xml:space="preserve">Bruno Simma, "Nato, the Un and the Use of Force: Legal Aspects," </w:t>
      </w:r>
      <w:r w:rsidRPr="00DF1A44">
        <w:rPr>
          <w:b/>
        </w:rPr>
        <w:t>European Journal of International Law</w:t>
      </w:r>
      <w:r>
        <w:t>, Vol. 10 (1999), pp. 1-22.</w:t>
      </w:r>
    </w:p>
    <w:p w:rsidR="00DF1A44" w:rsidRDefault="00DF1A44" w:rsidP="00DF1A44">
      <w:pPr>
        <w:ind w:left="720" w:hanging="720"/>
        <w:jc w:val="both"/>
      </w:pPr>
      <w:r>
        <w:t xml:space="preserve">P. W. Singer, </w:t>
      </w:r>
      <w:r w:rsidRPr="00DF1A44">
        <w:rPr>
          <w:i/>
        </w:rPr>
        <w:t>Corporate Warriors: The Rise of the Privatized Military Industry</w:t>
      </w:r>
      <w:r>
        <w:t xml:space="preserve"> (Ithaca: Cornell University Press, 2003).</w:t>
      </w:r>
    </w:p>
    <w:p w:rsidR="00DF1A44" w:rsidRDefault="00DF1A44" w:rsidP="00DF1A44">
      <w:pPr>
        <w:ind w:left="720" w:hanging="720"/>
        <w:jc w:val="both"/>
      </w:pPr>
      <w:r>
        <w:t xml:space="preserve">Ann Marie Slaughter, </w:t>
      </w:r>
      <w:r w:rsidRPr="00DF1A44">
        <w:rPr>
          <w:i/>
        </w:rPr>
        <w:t>United? The Un, the Us, and Us.</w:t>
      </w:r>
      <w:r>
        <w:t xml:space="preserve"> (Rome: Apen Institute, 2004).</w:t>
      </w:r>
    </w:p>
    <w:p w:rsidR="00DF1A44" w:rsidRDefault="00DF1A44" w:rsidP="00DF1A44">
      <w:pPr>
        <w:ind w:left="720" w:hanging="720"/>
        <w:jc w:val="both"/>
      </w:pPr>
      <w:r>
        <w:t xml:space="preserve">Janice Thomson, </w:t>
      </w:r>
      <w:r w:rsidRPr="00DF1A44">
        <w:rPr>
          <w:i/>
        </w:rPr>
        <w:t>Mercenaries, Pirates, &amp; Sovereigns</w:t>
      </w:r>
      <w:r>
        <w:t xml:space="preserve"> (Princeton: Princeton University Press, 1994).</w:t>
      </w:r>
    </w:p>
    <w:p w:rsidR="00DF1A44" w:rsidRDefault="00DF1A44" w:rsidP="00DF1A44">
      <w:pPr>
        <w:ind w:left="720" w:hanging="720"/>
        <w:jc w:val="both"/>
      </w:pPr>
      <w:r>
        <w:t xml:space="preserve">United Nations Development Programme, </w:t>
      </w:r>
      <w:r w:rsidRPr="00DF1A44">
        <w:rPr>
          <w:i/>
        </w:rPr>
        <w:t>Human Development Report 1994</w:t>
      </w:r>
      <w:r>
        <w:t xml:space="preserve"> (New York: Oxford University Press, 1994).</w:t>
      </w:r>
    </w:p>
    <w:p w:rsidR="00DF1A44" w:rsidRDefault="00DF1A44" w:rsidP="00DF1A44">
      <w:pPr>
        <w:ind w:left="720" w:hanging="720"/>
        <w:jc w:val="both"/>
      </w:pPr>
      <w:r>
        <w:t xml:space="preserve">Alexander Wendt, "Anarchy Is What States Make of It: The Social Construction of Power Politics," </w:t>
      </w:r>
      <w:r w:rsidRPr="00DF1A44">
        <w:rPr>
          <w:b/>
        </w:rPr>
        <w:t>International Organization</w:t>
      </w:r>
      <w:r>
        <w:t>, Vol. 88, No. 2 (1992), pp. 384-396.</w:t>
      </w:r>
    </w:p>
    <w:p w:rsidR="00DF1A44" w:rsidRPr="00DF1A44" w:rsidRDefault="00DF1A44" w:rsidP="00DF1A44">
      <w:pPr>
        <w:ind w:left="720" w:hanging="720"/>
        <w:jc w:val="both"/>
        <w:rPr>
          <w:i/>
        </w:rPr>
      </w:pPr>
      <w:r>
        <w:t xml:space="preserve">Nicholas Wheeler, "The Humanitarian Responsibilities of Sovereignty: Explaining the Development of a New Norm of Military Intervention for Humanitarian Purposes in International Society," in Jennifer Welsh, ed., </w:t>
      </w:r>
      <w:r w:rsidRPr="00DF1A44">
        <w:rPr>
          <w:i/>
        </w:rPr>
        <w:t>Humanitarian</w:t>
      </w:r>
    </w:p>
    <w:p w:rsidR="00DF1A44" w:rsidRDefault="00DF1A44" w:rsidP="00DF1A44">
      <w:pPr>
        <w:ind w:left="720" w:hanging="720"/>
        <w:jc w:val="both"/>
      </w:pPr>
      <w:r w:rsidRPr="00DF1A44">
        <w:rPr>
          <w:i/>
        </w:rPr>
        <w:t>Intervention and International Relations</w:t>
      </w:r>
      <w:r>
        <w:t xml:space="preserve"> (New York and Oxford: Oxford University Press, 2003).</w:t>
      </w:r>
    </w:p>
    <w:p w:rsidR="00DF1A44" w:rsidRDefault="00DF1A44" w:rsidP="00DF1A44">
      <w:pPr>
        <w:ind w:left="720" w:hanging="720"/>
        <w:jc w:val="both"/>
      </w:pPr>
      <w:r>
        <w:t xml:space="preserve">Jim Whitman, "A Cautionary Note on Humanitarian Intervention," </w:t>
      </w:r>
      <w:r w:rsidRPr="00DF1A44">
        <w:rPr>
          <w:b/>
        </w:rPr>
        <w:t>Journal of Humanitarian Assistance</w:t>
      </w:r>
      <w:r>
        <w:t xml:space="preserve"> (1994), pp. 167-175.</w:t>
      </w:r>
    </w:p>
    <w:p w:rsidR="00DF1A44" w:rsidRPr="00AE4B88" w:rsidRDefault="00DF1A44" w:rsidP="00DF1A44">
      <w:pPr>
        <w:ind w:left="720" w:hanging="720"/>
        <w:jc w:val="both"/>
        <w:rPr>
          <w:lang w:val="de-CH"/>
        </w:rPr>
      </w:pPr>
      <w:r w:rsidRPr="00AE4B88">
        <w:rPr>
          <w:lang w:val="de-CH"/>
        </w:rPr>
        <w:t xml:space="preserve">Hans J.  Wolff, </w:t>
      </w:r>
      <w:r w:rsidRPr="00AE4B88">
        <w:rPr>
          <w:i/>
          <w:lang w:val="de-CH"/>
        </w:rPr>
        <w:t>Kriegserklärung Und Kriegszustand Nach Klassischen Völkerrecht</w:t>
      </w:r>
      <w:r w:rsidRPr="00AE4B88">
        <w:rPr>
          <w:lang w:val="de-CH"/>
        </w:rPr>
        <w:t xml:space="preserve"> (Berlin: Duncker &amp; Humboldt, 1990).</w:t>
      </w:r>
    </w:p>
    <w:p w:rsidR="00DF1A44" w:rsidRDefault="00DF1A44" w:rsidP="00DF1A44">
      <w:pPr>
        <w:ind w:left="720" w:hanging="720"/>
        <w:jc w:val="both"/>
      </w:pPr>
      <w:r>
        <w:t xml:space="preserve">Juan Carlos Zarate, "The Emergence of a New Dog of War: Private International Security Companies, International Law, and New World Disorder," </w:t>
      </w:r>
      <w:r w:rsidRPr="00DF1A44">
        <w:rPr>
          <w:b/>
        </w:rPr>
        <w:t>Stanford Journal of International Law</w:t>
      </w:r>
      <w:r>
        <w:t>, Vol. 34 (1998), pp. 75-162.</w:t>
      </w:r>
    </w:p>
    <w:p w:rsidR="00DF1A44" w:rsidRPr="00AE4B88" w:rsidRDefault="00DF1A44" w:rsidP="00DF1A44">
      <w:pPr>
        <w:ind w:left="720" w:hanging="720"/>
        <w:jc w:val="both"/>
        <w:rPr>
          <w:lang w:val="de-CH"/>
        </w:rPr>
      </w:pPr>
      <w:r w:rsidRPr="00AE4B88">
        <w:rPr>
          <w:lang w:val="de-CH"/>
        </w:rPr>
        <w:t xml:space="preserve">Christian Zentner, </w:t>
      </w:r>
      <w:r w:rsidRPr="00AE4B88">
        <w:rPr>
          <w:i/>
          <w:lang w:val="de-CH"/>
        </w:rPr>
        <w:t>Der Nürnberger Prozeß: Der Nürnberger Prozess</w:t>
      </w:r>
      <w:r w:rsidRPr="00AE4B88">
        <w:rPr>
          <w:lang w:val="de-CH"/>
        </w:rPr>
        <w:t xml:space="preserve"> (Stuttgart: 1994).</w:t>
      </w:r>
    </w:p>
    <w:p w:rsidR="00DF1A44" w:rsidRDefault="00DF1A44" w:rsidP="00DF1A44">
      <w:pPr>
        <w:ind w:left="720" w:hanging="720"/>
        <w:jc w:val="both"/>
      </w:pPr>
      <w:r>
        <w:t xml:space="preserve">Michael Zürn, and Christian Joerges, eds., </w:t>
      </w:r>
      <w:r w:rsidRPr="00DF1A44">
        <w:rPr>
          <w:i/>
        </w:rPr>
        <w:t>Law and Governance in Postnational Europe. Compliance Beyond the Nation-State</w:t>
      </w:r>
      <w:r>
        <w:t xml:space="preserve"> (Cambridge: Cambridge University Press, 2005).</w:t>
      </w:r>
    </w:p>
    <w:p w:rsidR="00DF1A44" w:rsidRDefault="00DF1A44" w:rsidP="00DF1A44">
      <w:pPr>
        <w:jc w:val="both"/>
      </w:pPr>
    </w:p>
    <w:p w:rsidR="002D24E1" w:rsidRDefault="00EC3A51" w:rsidP="00DF1A44">
      <w:pPr>
        <w:ind w:left="720" w:hanging="720"/>
        <w:jc w:val="both"/>
      </w:pPr>
      <w:r>
        <w:fldChar w:fldCharType="end"/>
      </w:r>
    </w:p>
    <w:sectPr w:rsidR="002D24E1" w:rsidSect="002D24E1">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B3" w:rsidRDefault="002B17B3">
      <w:r>
        <w:separator/>
      </w:r>
    </w:p>
  </w:endnote>
  <w:endnote w:type="continuationSeparator" w:id="0">
    <w:p w:rsidR="002B17B3" w:rsidRDefault="002B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RealpageTIM1">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dvPS94BA">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1" w:rsidRDefault="00500211" w:rsidP="002D2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211" w:rsidRDefault="00500211" w:rsidP="002D24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1" w:rsidRDefault="00500211" w:rsidP="002D24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EF0">
      <w:rPr>
        <w:rStyle w:val="PageNumber"/>
        <w:noProof/>
      </w:rPr>
      <w:t>1</w:t>
    </w:r>
    <w:r>
      <w:rPr>
        <w:rStyle w:val="PageNumber"/>
      </w:rPr>
      <w:fldChar w:fldCharType="end"/>
    </w:r>
  </w:p>
  <w:p w:rsidR="00500211" w:rsidRDefault="00500211" w:rsidP="002D24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B3" w:rsidRDefault="002B17B3">
      <w:r>
        <w:separator/>
      </w:r>
    </w:p>
  </w:footnote>
  <w:footnote w:type="continuationSeparator" w:id="0">
    <w:p w:rsidR="002B17B3" w:rsidRDefault="002B17B3">
      <w:r>
        <w:continuationSeparator/>
      </w:r>
    </w:p>
  </w:footnote>
  <w:footnote w:id="1">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&lt;EndNote&gt;&lt;Cite&gt;&lt;Author&gt;Kratochwil&lt;/Author&gt;&lt;Year&gt;1986&lt;/Year&gt;&lt;RecNum&gt;101&lt;/RecNum&gt;&lt;record&gt;&lt;rec-number&gt;101&lt;/rec-number&gt;&lt;ref-type name="Journal Article"&gt;17&lt;/ref-type&gt;&lt;contributors&gt;&lt;authors&gt;&lt;author&gt;Kratochwil, Friedrich&lt;/author&gt;&lt;author&gt;Ruggie, John G.&lt;/author&gt;&lt;/authors&gt;&lt;/contributors&gt;&lt;titles&gt;&lt;title&gt;International Organization: A State of the Art on an Art of the State&lt;/title&gt;&lt;secondary-title&gt;International Organization&lt;/secondary-title&gt;&lt;/titles&gt;&lt;periodical&gt;&lt;full-title&gt;International Organization&lt;/full-title&gt;&lt;/periodical&gt;&lt;pages&gt;753-775&lt;/pages&gt;&lt;volume&gt;40&lt;/volume&gt;&lt;number&gt;4&lt;/number&gt;&lt;dates&gt;&lt;year&gt;1986&lt;/year&gt;&lt;/dates&gt;&lt;urls&gt;&lt;/urls&gt;&lt;/record&gt;&lt;/Cite&gt;&lt;/EndNote&gt;</w:instrText>
      </w:r>
      <w:r w:rsidRPr="003D0703">
        <w:fldChar w:fldCharType="separate"/>
      </w:r>
      <w:r w:rsidRPr="003D0703">
        <w:t xml:space="preserve">Friedrich </w:t>
      </w:r>
      <w:proofErr w:type="spellStart"/>
      <w:r w:rsidRPr="003D0703">
        <w:t>Kratochwil</w:t>
      </w:r>
      <w:proofErr w:type="spellEnd"/>
      <w:r w:rsidRPr="003D0703">
        <w:t xml:space="preserve"> and John G. </w:t>
      </w:r>
      <w:proofErr w:type="spellStart"/>
      <w:r w:rsidRPr="003D0703">
        <w:t>Ruggie</w:t>
      </w:r>
      <w:proofErr w:type="spellEnd"/>
      <w:r w:rsidRPr="003D0703">
        <w:t xml:space="preserve">, "International Organization: A State of the Art on an Art of the State," </w:t>
      </w:r>
      <w:r w:rsidRPr="003D0703">
        <w:rPr>
          <w:i/>
        </w:rPr>
        <w:t>International Organization</w:t>
      </w:r>
      <w:r w:rsidRPr="003D0703">
        <w:t xml:space="preserve"> 40, no. 4 (1986).</w:t>
      </w:r>
      <w:r w:rsidRPr="003D0703">
        <w:fldChar w:fldCharType="end"/>
      </w:r>
    </w:p>
  </w:footnote>
  <w:footnote w:id="2">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&lt;EndNote&gt;&lt;Cite&gt;&lt;Author&gt;Henkin&lt;/Author&gt;&lt;Year&gt;1968&lt;/Year&gt;&lt;RecNum&gt;1894&lt;/RecNum&gt;&lt;record&gt;&lt;rec-number&gt;1894&lt;/rec-number&gt;&lt;ref-type name="Book"&gt;6&lt;/ref-type&gt;&lt;contributors&gt;&lt;authors&gt;&lt;author&gt;Henkin, Louis&lt;/author&gt;&lt;/authors&gt;&lt;/contributors&gt;&lt;titles&gt;&lt;title&gt;How Nations Behave: Law and Foreign Policy&lt;/title&gt;&lt;/titles&gt;&lt;keywords&gt;&lt;keyword&gt;compliance&lt;/keyword&gt;&lt;/keywords&gt;&lt;dates&gt;&lt;year&gt;1968&lt;/year&gt;&lt;/dates&gt;&lt;pub-location&gt;New York&lt;/pub-location&gt;&lt;publisher&gt;Columbia University Press&lt;/publisher&gt;&lt;urls&gt;&lt;/urls&gt;&lt;/record&gt;&lt;/Cite&gt;&lt;/EndNote&gt;</w:instrText>
      </w:r>
      <w:r w:rsidRPr="003D0703">
        <w:fldChar w:fldCharType="separate"/>
      </w:r>
      <w:r w:rsidRPr="003D0703">
        <w:t xml:space="preserve">Louis </w:t>
      </w:r>
      <w:proofErr w:type="spellStart"/>
      <w:r w:rsidRPr="003D0703">
        <w:t>Henkin</w:t>
      </w:r>
      <w:proofErr w:type="spellEnd"/>
      <w:r w:rsidRPr="003D0703">
        <w:t xml:space="preserve">, </w:t>
      </w:r>
      <w:r w:rsidRPr="003D0703">
        <w:rPr>
          <w:i/>
        </w:rPr>
        <w:t>How Nations Behave: Law and Foreign Policy</w:t>
      </w:r>
      <w:r w:rsidRPr="003D0703">
        <w:t xml:space="preserve"> (New York: Columbia University Press, 1968).</w:t>
      </w:r>
      <w:r w:rsidRPr="003D0703">
        <w:fldChar w:fldCharType="end"/>
      </w:r>
    </w:p>
  </w:footnote>
  <w:footnote w:id="3">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&lt;EndNote&gt;&lt;Cite&gt;&lt;Author&gt;Henkin&lt;/Author&gt;&lt;Year&gt;1968&lt;/Year&gt;&lt;RecNum&gt;1894&lt;/RecNum&gt;&lt;record&gt;&lt;rec-number&gt;1894&lt;/rec-number&gt;&lt;ref-type name="Book"&gt;6&lt;/ref-type&gt;&lt;contributors&gt;&lt;authors&gt;&lt;author&gt;Henkin, Louis&lt;/author&gt;&lt;/authors&gt;&lt;/contributors&gt;&lt;titles&gt;&lt;title&gt;How Nations Behave: Law and Foreign Policy&lt;/title&gt;&lt;/titles&gt;&lt;keywords&gt;&lt;keyword&gt;compliance&lt;/keyword&gt;&lt;/keywords&gt;&lt;dates&gt;&lt;year&gt;1968&lt;/year&gt;&lt;/dates&gt;&lt;pub-location&gt;New York&lt;/pub-location&gt;&lt;publisher&gt;Columbia University Press&lt;/publisher&gt;&lt;urls&gt;&lt;/urls&gt;&lt;/record&gt;&lt;/Cite&gt;&lt;/EndNote&gt;</w:instrText>
      </w:r>
      <w:r w:rsidRPr="003D0703">
        <w:fldChar w:fldCharType="separate"/>
      </w:r>
      <w:r w:rsidRPr="003D0703">
        <w:t>Ibid.</w:t>
      </w:r>
      <w:r w:rsidRPr="003D0703">
        <w:fldChar w:fldCharType="end"/>
      </w:r>
      <w:r w:rsidRPr="003D0703">
        <w:t xml:space="preserve">, </w:t>
      </w:r>
      <w:r w:rsidRPr="003D0703">
        <w:fldChar w:fldCharType="begin"/>
      </w:r>
      <w:r w:rsidRPr="003D0703">
        <w:instrText xml:space="preserve"> ADDIN EN.CITE &lt;EndNote&gt;&lt;Cite&gt;&lt;Author&gt;Zürn&lt;/Author&gt;&lt;Year&gt;2005&lt;/Year&gt;&lt;RecNum&gt;4361&lt;/RecNum&gt;&lt;record&gt;&lt;rec-number&gt;4361&lt;/rec-number&gt;&lt;ref-type name="Edited Book"&gt;28&lt;/ref-type&gt;&lt;contributors&gt;&lt;authors&gt;&lt;author&gt;Zürn, Michael&lt;/author&gt;&lt;author&gt;Joerges, Christian&lt;/author&gt;&lt;/authors&gt;&lt;/contributors&gt;&lt;titles&gt;&lt;title&gt;Law and Governance in Postnational Europe. Compliance Beyond the Nation-State&lt;/title&gt;&lt;/titles&gt;&lt;dates&gt;&lt;year&gt;2005&lt;/year&gt;&lt;/dates&gt;&lt;pub-location&gt;Cambridge&lt;/pub-location&gt;&lt;publisher&gt;Cambridge University Press&lt;/publisher&gt;&lt;urls&gt;&lt;/urls&gt;&lt;/record&gt;&lt;/Cite&gt;&lt;/EndNote&gt;</w:instrText>
      </w:r>
      <w:r w:rsidRPr="003D0703">
        <w:fldChar w:fldCharType="separate"/>
      </w:r>
      <w:r w:rsidRPr="003D0703">
        <w:t xml:space="preserve">Michael </w:t>
      </w:r>
      <w:proofErr w:type="spellStart"/>
      <w:r w:rsidRPr="003D0703">
        <w:t>Zürn</w:t>
      </w:r>
      <w:proofErr w:type="spellEnd"/>
      <w:r w:rsidRPr="003D0703">
        <w:t xml:space="preserve"> and Christian </w:t>
      </w:r>
      <w:proofErr w:type="spellStart"/>
      <w:r w:rsidRPr="003D0703">
        <w:t>Joerges</w:t>
      </w:r>
      <w:proofErr w:type="spellEnd"/>
      <w:r w:rsidRPr="003D0703">
        <w:t xml:space="preserve">, eds., </w:t>
      </w:r>
      <w:r w:rsidRPr="003D0703">
        <w:rPr>
          <w:i/>
        </w:rPr>
        <w:t xml:space="preserve">Law and Governance in </w:t>
      </w:r>
      <w:proofErr w:type="spellStart"/>
      <w:r w:rsidRPr="003D0703">
        <w:rPr>
          <w:i/>
        </w:rPr>
        <w:t>Postnational</w:t>
      </w:r>
      <w:proofErr w:type="spellEnd"/>
      <w:r w:rsidRPr="003D0703">
        <w:rPr>
          <w:i/>
        </w:rPr>
        <w:t xml:space="preserve"> Europe. Compliance Beyond the Nation-State</w:t>
      </w:r>
      <w:r w:rsidRPr="003D0703">
        <w:t xml:space="preserve"> (Cambridge: Cambridge University Press, 2005).</w:t>
      </w:r>
      <w:r w:rsidRPr="003D0703">
        <w:fldChar w:fldCharType="end"/>
      </w:r>
    </w:p>
  </w:footnote>
  <w:footnote w:id="4">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&lt;EndNote&gt;&lt;Cite&gt;&lt;Author&gt;Wendt&lt;/Author&gt;&lt;Year&gt;1992&lt;/Year&gt;&lt;RecNum&gt;3576&lt;/RecNum&gt;&lt;record&gt;&lt;rec-number&gt;3576&lt;/rec-number&gt;&lt;ref-type name="Journal Article"&gt;17&lt;/ref-type&gt;&lt;contributors&gt;&lt;authors&gt;&lt;author&gt;Wendt, Alexander&lt;/author&gt;&lt;/authors&gt;&lt;/contributors&gt;&lt;titles&gt;&lt;title&gt;Anarchy is What States Make of it: The Social Construction of Power Politics&lt;/title&gt;&lt;secondary-title&gt;International Organization&lt;/secondary-title&gt;&lt;/titles&gt;&lt;periodical&gt;&lt;full-title&gt;International Organization&lt;/full-title&gt;&lt;/periodical&gt;&lt;pages&gt;384-396&lt;/pages&gt;&lt;volume&gt;88&lt;/volume&gt;&lt;number&gt;2&lt;/number&gt;&lt;dates&gt;&lt;year&gt;1992&lt;/year&gt;&lt;/dates&gt;&lt;urls&gt;&lt;/urls&gt;&lt;/record&gt;&lt;/Cite&gt;&lt;/EndNote&gt;</w:instrText>
      </w:r>
      <w:r w:rsidRPr="003D0703">
        <w:fldChar w:fldCharType="separate"/>
      </w:r>
      <w:r w:rsidRPr="003D0703">
        <w:t xml:space="preserve">Alexander Wendt, "Anarchy Is What States Make of It: The Social Construction of Power Politics," </w:t>
      </w:r>
      <w:r w:rsidRPr="003D0703">
        <w:rPr>
          <w:i/>
        </w:rPr>
        <w:t>International Organization</w:t>
      </w:r>
      <w:r w:rsidRPr="003D0703">
        <w:t xml:space="preserve"> 88, no. 2 (1992).</w:t>
      </w:r>
      <w:r w:rsidRPr="003D0703">
        <w:fldChar w:fldCharType="end"/>
      </w:r>
    </w:p>
  </w:footnote>
  <w:footnote w:id="5">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&lt;EndNote&gt;&lt;Cite&gt;&lt;Author&gt;Kratochwil&lt;/Author&gt;&lt;Year&gt;1986&lt;/Year&gt;&lt;RecNum&gt;101&lt;/RecNum&gt;&lt;record&gt;&lt;rec-number&gt;101&lt;/rec-number&gt;&lt;ref-type name="Journal Article"&gt;17&lt;/ref-type&gt;&lt;contributors&gt;&lt;authors&gt;&lt;author&gt;Kratochwil, Friedrich&lt;/author&gt;&lt;author&gt;Ruggie, John G.&lt;/author&gt;&lt;/authors&gt;&lt;/contributors&gt;&lt;titles&gt;&lt;title&gt;International Organization: A State of the Art on an Art of the State&lt;/title&gt;&lt;secondary-title&gt;International Organization&lt;/secondary-title&gt;&lt;/titles&gt;&lt;periodical&gt;&lt;full-title&gt;International Organization&lt;/full-title&gt;&lt;/periodical&gt;&lt;pages&gt;753-775&lt;/pages&gt;&lt;volume&gt;40&lt;/volume&gt;&lt;number&gt;4&lt;/number&gt;&lt;dates&gt;&lt;year&gt;1986&lt;/year&gt;&lt;/dates&gt;&lt;urls&gt;&lt;/urls&gt;&lt;/record&gt;&lt;/Cite&gt;&lt;/EndNote&gt;</w:instrText>
      </w:r>
      <w:r w:rsidRPr="003D0703">
        <w:fldChar w:fldCharType="separate"/>
      </w:r>
      <w:proofErr w:type="spellStart"/>
      <w:r w:rsidRPr="003D0703">
        <w:t>Kratochwil</w:t>
      </w:r>
      <w:proofErr w:type="spellEnd"/>
      <w:r w:rsidRPr="003D0703">
        <w:t xml:space="preserve"> and </w:t>
      </w:r>
      <w:proofErr w:type="spellStart"/>
      <w:r w:rsidRPr="003D0703">
        <w:t>Ruggie</w:t>
      </w:r>
      <w:proofErr w:type="spellEnd"/>
      <w:r w:rsidRPr="003D0703">
        <w:t>, "International Organization: A State of the Art on an Art of the State."</w:t>
      </w:r>
      <w:r w:rsidRPr="003D0703">
        <w:fldChar w:fldCharType="end"/>
      </w:r>
    </w:p>
  </w:footnote>
  <w:footnote w:id="6">
    <w:p w:rsidR="00500211" w:rsidRPr="003D0703" w:rsidRDefault="00500211">
      <w:pPr>
        <w:pStyle w:val="FootnoteText"/>
        <w:rPr>
          <w:lang w:val="en-IE"/>
        </w:rPr>
      </w:pPr>
      <w:r w:rsidRPr="003D0703">
        <w:rPr>
          <w:rStyle w:val="FootnoteReference"/>
        </w:rPr>
        <w:footnoteRef/>
      </w:r>
      <w:r w:rsidRPr="003D0703">
        <w:t xml:space="preserve"> </w:t>
      </w:r>
      <w:r w:rsidRPr="003D0703">
        <w:rPr>
          <w:kern w:val="16"/>
        </w:rPr>
        <w:fldChar w:fldCharType="begin"/>
      </w:r>
      <w:r w:rsidRPr="003D0703">
        <w:rPr>
          <w:kern w:val="16"/>
        </w:rPr>
        <w:instrText xml:space="preserve"> ADDIN EN.CITE &lt;EndNote&gt;&lt;Cite&gt;&lt;Author&gt;MacFarlane&lt;/Author&gt;&lt;Year&gt;2002&lt;/Year&gt;&lt;RecNum&gt;398&lt;/RecNum&gt;&lt;Suffix&gt;`, 36&lt;/Suffix&gt;&lt;record&gt;&lt;rec-number&gt;398&lt;/rec-number&gt;&lt;ref-type name="Book"&gt;6&lt;/ref-type&gt;&lt;contributors&gt;&lt;authors&gt;&lt;author&gt;MacFarlane, Neil S.&lt;/author&gt;&lt;/authors&gt;&lt;/contributors&gt;&lt;titles&gt;&lt;title&gt;Intervention in Contemporary World Politics&lt;/title&gt;&lt;secondary-title&gt;Adelphi Paper 350&lt;/secondary-title&gt;&lt;/titles&gt;&lt;dates&gt;&lt;year&gt;2002&lt;/year&gt;&lt;/dates&gt;&lt;pub-location&gt;London&lt;/pub-location&gt;&lt;publisher&gt;International Institute for Strategic Studies&lt;/publisher&gt;&lt;urls&gt;&lt;/urls&gt;&lt;/record&gt;&lt;/Cite&gt;&lt;/EndNote&gt;</w:instrText>
      </w:r>
      <w:r w:rsidRPr="003D0703">
        <w:rPr>
          <w:kern w:val="16"/>
        </w:rPr>
        <w:fldChar w:fldCharType="separate"/>
      </w:r>
      <w:r w:rsidRPr="003D0703">
        <w:rPr>
          <w:kern w:val="16"/>
        </w:rPr>
        <w:t xml:space="preserve">Neil S. MacFarlane, </w:t>
      </w:r>
      <w:r w:rsidRPr="003D0703">
        <w:rPr>
          <w:i/>
          <w:kern w:val="16"/>
        </w:rPr>
        <w:t>Intervention in Contemporary World Politics</w:t>
      </w:r>
      <w:r w:rsidRPr="003D0703">
        <w:rPr>
          <w:kern w:val="16"/>
        </w:rPr>
        <w:t xml:space="preserve">, </w:t>
      </w:r>
      <w:r w:rsidRPr="003D0703">
        <w:rPr>
          <w:i/>
          <w:kern w:val="16"/>
        </w:rPr>
        <w:t>Adelphi Paper 350</w:t>
      </w:r>
      <w:r w:rsidRPr="003D0703">
        <w:rPr>
          <w:kern w:val="16"/>
        </w:rPr>
        <w:t xml:space="preserve"> (London: International Institute for Strategic Studies, 2002)</w:t>
      </w:r>
      <w:r>
        <w:rPr>
          <w:kern w:val="16"/>
        </w:rPr>
        <w:t>, p. 36</w:t>
      </w:r>
      <w:r w:rsidRPr="003D0703">
        <w:rPr>
          <w:kern w:val="16"/>
        </w:rPr>
        <w:t>.</w:t>
      </w:r>
      <w:r w:rsidRPr="003D0703">
        <w:rPr>
          <w:kern w:val="16"/>
        </w:rPr>
        <w:fldChar w:fldCharType="end"/>
      </w:r>
    </w:p>
  </w:footnote>
  <w:footnote w:id="7">
    <w:p w:rsidR="00500211" w:rsidRPr="003D0703" w:rsidRDefault="00500211">
      <w:pPr>
        <w:pStyle w:val="FootnoteText"/>
      </w:pPr>
      <w:r w:rsidRPr="003D0703">
        <w:rPr>
          <w:rStyle w:val="FootnoteReference"/>
        </w:rPr>
        <w:footnoteRef/>
      </w:r>
      <w:r w:rsidRPr="003D0703">
        <w:t xml:space="preserve"> </w:t>
      </w:r>
      <w:r w:rsidRPr="003D0703">
        <w:rPr>
          <w:rFonts w:ascii="TimesNewRomanPSMT" w:hAnsi="TimesNewRomanPSMT" w:cs="TimesNewRomanPSMT"/>
        </w:rPr>
        <w:t xml:space="preserve">Blair, Tony (2004). </w:t>
      </w:r>
      <w:proofErr w:type="gramStart"/>
      <w:r w:rsidRPr="003D0703">
        <w:rPr>
          <w:rFonts w:ascii="TimesNewRomanPSMT" w:hAnsi="TimesNewRomanPSMT" w:cs="TimesNewRomanPSMT"/>
        </w:rPr>
        <w:t xml:space="preserve">Warns of Continuing Global Terror Threat, Speech at </w:t>
      </w:r>
      <w:proofErr w:type="spellStart"/>
      <w:r w:rsidRPr="003D0703">
        <w:rPr>
          <w:rFonts w:ascii="TimesNewRomanPSMT" w:hAnsi="TimesNewRomanPSMT" w:cs="TimesNewRomanPSMT"/>
        </w:rPr>
        <w:t>Sedgefield</w:t>
      </w:r>
      <w:proofErr w:type="spellEnd"/>
      <w:r w:rsidRPr="003D0703">
        <w:rPr>
          <w:rFonts w:ascii="TimesNewRomanPSMT" w:hAnsi="TimesNewRomanPSMT" w:cs="TimesNewRomanPSMT"/>
        </w:rPr>
        <w:t>.</w:t>
      </w:r>
      <w:proofErr w:type="gramEnd"/>
      <w:r w:rsidRPr="003D0703">
        <w:rPr>
          <w:rFonts w:ascii="TimesNewRomanPSMT" w:hAnsi="TimesNewRomanPSMT" w:cs="TimesNewRomanPSMT"/>
        </w:rPr>
        <w:t xml:space="preserve"> </w:t>
      </w:r>
      <w:r w:rsidRPr="003D0703">
        <w:rPr>
          <w:color w:val="000000"/>
          <w:kern w:val="16"/>
        </w:rPr>
        <w:fldChar w:fldCharType="begin"/>
      </w:r>
      <w:r w:rsidRPr="003D0703">
        <w:rPr>
          <w:color w:val="000000"/>
          <w:kern w:val="16"/>
        </w:rPr>
        <w:instrText xml:space="preserve"> ADDIN EN.CITE &lt;EndNote&gt;&lt;Cite&gt;&lt;Author&gt;Slaughter&lt;/Author&gt;&lt;Year&gt;2004&lt;/Year&gt;&lt;RecNum&gt;408&lt;/RecNum&gt;&lt;record&gt;&lt;rec-number&gt;408&lt;/rec-number&gt;&lt;ref-type name="Book"&gt;6&lt;/ref-type&gt;&lt;contributors&gt;&lt;authors&gt;&lt;author&gt;Slaughter, Ann Marie&lt;/author&gt;&lt;/authors&gt;&lt;/contributors&gt;&lt;titles&gt;&lt;title&gt;United? The UN, the US, and us.&lt;/title&gt;&lt;/titles&gt;&lt;dates&gt;&lt;year&gt;2004&lt;/year&gt;&lt;/dates&gt;&lt;pub-location&gt;Rome&lt;/pub-location&gt;&lt;publisher&gt;Apen Institute&lt;/publisher&gt;&lt;urls&gt;&lt;/urls&gt;&lt;/record&gt;&lt;/Cite&gt;&lt;/EndNote&gt;</w:instrText>
      </w:r>
      <w:r w:rsidRPr="003D0703">
        <w:rPr>
          <w:color w:val="000000"/>
          <w:kern w:val="16"/>
        </w:rPr>
        <w:fldChar w:fldCharType="separate"/>
      </w:r>
      <w:r w:rsidRPr="003D0703">
        <w:rPr>
          <w:color w:val="000000"/>
          <w:kern w:val="16"/>
        </w:rPr>
        <w:t xml:space="preserve">Ann Marie Slaughter, </w:t>
      </w:r>
      <w:r>
        <w:rPr>
          <w:i/>
          <w:color w:val="000000"/>
          <w:kern w:val="16"/>
        </w:rPr>
        <w:t>United? The UN, the US, and u</w:t>
      </w:r>
      <w:r w:rsidRPr="003D0703">
        <w:rPr>
          <w:i/>
          <w:color w:val="000000"/>
          <w:kern w:val="16"/>
        </w:rPr>
        <w:t>s.</w:t>
      </w:r>
      <w:r w:rsidRPr="003D0703">
        <w:rPr>
          <w:color w:val="000000"/>
          <w:kern w:val="16"/>
        </w:rPr>
        <w:t xml:space="preserve"> (Rome: A</w:t>
      </w:r>
      <w:r>
        <w:rPr>
          <w:color w:val="000000"/>
          <w:kern w:val="16"/>
        </w:rPr>
        <w:t>s</w:t>
      </w:r>
      <w:r w:rsidRPr="003D0703">
        <w:rPr>
          <w:color w:val="000000"/>
          <w:kern w:val="16"/>
        </w:rPr>
        <w:t>pen Institute, 2004).</w:t>
      </w:r>
      <w:r w:rsidRPr="003D0703">
        <w:rPr>
          <w:color w:val="000000"/>
          <w:kern w:val="16"/>
        </w:rPr>
        <w:fldChar w:fldCharType="end"/>
      </w:r>
    </w:p>
  </w:footnote>
  <w:footnote w:id="8">
    <w:p w:rsidR="00500211" w:rsidRPr="003D0703" w:rsidRDefault="00500211">
      <w:pPr>
        <w:pStyle w:val="FootnoteText"/>
      </w:pPr>
      <w:r w:rsidRPr="003D0703">
        <w:rPr>
          <w:rStyle w:val="FootnoteReference"/>
        </w:rPr>
        <w:footnoteRef/>
      </w:r>
      <w:r w:rsidRPr="003D0703">
        <w:t xml:space="preserve"> </w:t>
      </w:r>
      <w:proofErr w:type="gramStart"/>
      <w:r w:rsidRPr="003D0703">
        <w:rPr>
          <w:rFonts w:ascii="TimesNewRomanPSMT" w:hAnsi="TimesNewRomanPSMT" w:cs="TimesNewRomanPSMT"/>
        </w:rPr>
        <w:t>Annan, Kofi (1998).</w:t>
      </w:r>
      <w:proofErr w:type="gramEnd"/>
      <w:r w:rsidRPr="003D0703">
        <w:rPr>
          <w:rFonts w:ascii="TimesNewRomanPSMT" w:hAnsi="TimesNewRomanPSMT" w:cs="TimesNewRomanPSMT"/>
        </w:rPr>
        <w:t xml:space="preserve"> </w:t>
      </w:r>
      <w:proofErr w:type="gramStart"/>
      <w:r w:rsidRPr="003D0703">
        <w:rPr>
          <w:rFonts w:ascii="TimesNewRomanPSMT" w:hAnsi="TimesNewRomanPSMT" w:cs="TimesNewRomanPSMT"/>
        </w:rPr>
        <w:t xml:space="preserve">Reflections on Intervention, Annual </w:t>
      </w:r>
      <w:proofErr w:type="spellStart"/>
      <w:r w:rsidRPr="003D0703">
        <w:rPr>
          <w:rFonts w:ascii="TimesNewRomanPSMT" w:hAnsi="TimesNewRomanPSMT" w:cs="TimesNewRomanPSMT"/>
        </w:rPr>
        <w:t>Ditchley</w:t>
      </w:r>
      <w:proofErr w:type="spellEnd"/>
      <w:r w:rsidRPr="003D0703">
        <w:rPr>
          <w:rFonts w:ascii="TimesNewRomanPSMT" w:hAnsi="TimesNewRomanPSMT" w:cs="TimesNewRomanPSMT"/>
        </w:rPr>
        <w:t xml:space="preserve"> Foundation Lecture.</w:t>
      </w:r>
      <w:proofErr w:type="gramEnd"/>
    </w:p>
  </w:footnote>
  <w:footnote w:id="9">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&lt;EndNote&gt;&lt;Cite&gt;&lt;Author&gt;Keegan&lt;/Author&gt;&lt;Year&gt;1993&lt;/Year&gt;&lt;RecNum&gt;419&lt;/RecNum&gt;&lt;record&gt;&lt;rec-number&gt;419&lt;/rec-number&gt;&lt;ref-type name="Book"&gt;6&lt;/ref-type&gt;&lt;contributors&gt;&lt;authors&gt;&lt;author&gt;Keegan, John&lt;/author&gt;&lt;/authors&gt;&lt;/contributors&gt;&lt;titles&gt;&lt;title&gt;A history of warfare&lt;/title&gt;&lt;/titles&gt;&lt;pages&gt;xvi, 432 p.&lt;/pages&gt;&lt;keywords&gt;&lt;keyword&gt;Military art and science History.&lt;/keyword&gt;&lt;/keywords&gt;&lt;dates&gt;&lt;year&gt;1993&lt;/year&gt;&lt;/dates&gt;&lt;pub-location&gt;New York&lt;/pub-location&gt;&lt;publisher&gt;Alfred A. Knopf : Distributed by Random House, Inc.&lt;/publisher&gt;&lt;isbn&gt;0394588010&lt;/isbn&gt;&lt;accession-num&gt;1578361&lt;/accession-num&gt;&lt;call-num&gt;Jefferson or Adams Bldg General or Area Studies Reading Rms U27; .K38 1993&lt;/call-num&gt;&lt;urls&gt;&lt;related-urls&gt;&lt;url&gt;http://www.loc.gov/catdir/description/random047/93014884.html&lt;/url&gt;&lt;/related-urls&gt;&lt;/urls&gt;&lt;/record&gt;&lt;/Cite&gt;&lt;/EndNote&gt;</w:instrText>
      </w:r>
      <w:r w:rsidRPr="003D0703">
        <w:fldChar w:fldCharType="separate"/>
      </w:r>
      <w:r w:rsidRPr="003D0703">
        <w:t xml:space="preserve">John Keegan, </w:t>
      </w:r>
      <w:r w:rsidRPr="003D0703">
        <w:rPr>
          <w:i/>
        </w:rPr>
        <w:t>A History of Warfare</w:t>
      </w:r>
      <w:r w:rsidRPr="003D0703">
        <w:t xml:space="preserve"> (New York: Alfred A. Knopf : Distributed by Random House, Inc., 1993).</w:t>
      </w:r>
      <w:r w:rsidRPr="003D0703">
        <w:fldChar w:fldCharType="end"/>
      </w:r>
    </w:p>
  </w:footnote>
  <w:footnote w:id="10">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&lt;EndNote&gt;&lt;Cite&gt;&lt;Author&gt;Howard&lt;/Author&gt;&lt;Year&gt;1979&lt;/Year&gt;&lt;RecNum&gt;429&lt;/RecNum&gt;&lt;Suffix&gt;`, 1&lt;/Suffix&gt;&lt;record&gt;&lt;rec-number&gt;429&lt;/rec-number&gt;&lt;ref-type name="Book"&gt;6&lt;/ref-type&gt;&lt;contributors&gt;&lt;authors&gt;&lt;author&gt;Howard, Michael Eliot&lt;/author&gt;&lt;/authors&gt;&lt;/contributors&gt;&lt;titles&gt;&lt;title&gt;Restraints on war : studies in the limitation of armed conflict&lt;/title&gt;&lt;/titles&gt;&lt;pages&gt;viii, 173 p.&lt;/pages&gt;&lt;keywords&gt;&lt;keyword&gt;War (International law)&lt;/keyword&gt;&lt;/keywords&gt;&lt;dates&gt;&lt;year&gt;1979&lt;/year&gt;&lt;/dates&gt;&lt;pub-location&gt;Oxford ; New York&lt;/pub-location&gt;&lt;publisher&gt;Oxford University Press&lt;/publisher&gt;&lt;isbn&gt;0198225458&lt;/isbn&gt;&lt;accession-num&gt;871189&lt;/accession-num&gt;&lt;call-num&gt;Law Library Reading Room (Madison, LM201) JX4511; .R47&lt;/call-num&gt;&lt;urls&gt;&lt;/urls&gt;&lt;/record&gt;&lt;/Cite&gt;&lt;/EndNote&gt;</w:instrText>
      </w:r>
      <w:r w:rsidRPr="003D0703">
        <w:fldChar w:fldCharType="separate"/>
      </w:r>
      <w:r w:rsidRPr="003D0703">
        <w:t xml:space="preserve">Michael Eliot Howard, </w:t>
      </w:r>
      <w:r w:rsidRPr="003D0703">
        <w:rPr>
          <w:i/>
        </w:rPr>
        <w:t>Restraints on War : Studies in the Limitation of Armed Conflict</w:t>
      </w:r>
      <w:r w:rsidRPr="003D0703">
        <w:t xml:space="preserve"> (Oxford ; New York: Oxford University Press, 1979)</w:t>
      </w:r>
      <w:r>
        <w:t>, p. 1</w:t>
      </w:r>
      <w:r w:rsidRPr="003D0703">
        <w:t>.</w:t>
      </w:r>
      <w:r w:rsidRPr="003D0703">
        <w:fldChar w:fldCharType="end"/>
      </w:r>
    </w:p>
  </w:footnote>
  <w:footnote w:id="11">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&lt;EndNote&gt;&lt;Cite&gt;&lt;Author&gt;Hallett&lt;/Author&gt;&lt;Year&gt;1998&lt;/Year&gt;&lt;RecNum&gt;433&lt;/RecNum&gt;&lt;Suffix&gt;`, 65&lt;/Suffix&gt;&lt;record&gt;&lt;rec-number&gt;433&lt;/rec-number&gt;&lt;ref-type name="Book"&gt;6&lt;/ref-type&gt;&lt;contributors&gt;&lt;authors&gt;&lt;author&gt;Hallett, Brien&lt;/author&gt;&lt;/authors&gt;&lt;/contributors&gt;&lt;titles&gt;&lt;title&gt;The lost art of declaring war&lt;/title&gt;&lt;/titles&gt;&lt;pages&gt;xiii, 191 p.&lt;/pages&gt;&lt;keywords&gt;&lt;keyword&gt;War, Declaration of United States.&lt;/keyword&gt;&lt;keyword&gt;Executive power United States.&lt;/keyword&gt;&lt;keyword&gt;War and emergency powers United States.&lt;/keyword&gt;&lt;/keywords&gt;&lt;dates&gt;&lt;year&gt;1998&lt;/year&gt;&lt;/dates&gt;&lt;pub-location&gt;Urbana, [Ill.]&lt;/pub-location&gt;&lt;publisher&gt;University of Illinois Press&lt;/publisher&gt;&lt;isbn&gt;0252024184 (cloth acid-free paper)&amp;#xD;0252067266 (pbk. acid-free paper)&lt;/isbn&gt;&lt;accession-num&gt;3559233&lt;/accession-num&gt;&lt;call-num&gt;Law Library Reading Room (Madison, LM201) KF5060; .H355 1998&lt;/call-num&gt;&lt;urls&gt;&lt;/urls&gt;&lt;/record&gt;&lt;/Cite&gt;&lt;/EndNote&gt;</w:instrText>
      </w:r>
      <w:r w:rsidRPr="003D0703">
        <w:fldChar w:fldCharType="separate"/>
      </w:r>
      <w:r w:rsidRPr="003D0703">
        <w:t xml:space="preserve">Brien Hallett, </w:t>
      </w:r>
      <w:r w:rsidRPr="003D0703">
        <w:rPr>
          <w:i/>
        </w:rPr>
        <w:t>The Lost Art of Declaring War</w:t>
      </w:r>
      <w:r w:rsidRPr="003D0703">
        <w:t xml:space="preserve"> (Urbana, [Ill.]: University of Illinois Press, 1998)</w:t>
      </w:r>
      <w:r>
        <w:t>, p. 65</w:t>
      </w:r>
      <w:r w:rsidRPr="003D0703">
        <w:t>.</w:t>
      </w:r>
      <w:r w:rsidRPr="003D0703">
        <w:fldChar w:fldCharType="end"/>
      </w:r>
    </w:p>
  </w:footnote>
  <w:footnote w:id="12">
    <w:p w:rsidR="00500211" w:rsidRPr="003D0703" w:rsidRDefault="00500211">
      <w:pPr>
        <w:pStyle w:val="FootnoteText"/>
        <w:rPr>
          <w:lang w:val="de-CH"/>
        </w:rPr>
      </w:pPr>
      <w:r w:rsidRPr="003D0703">
        <w:rPr>
          <w:rStyle w:val="FootnoteReference"/>
        </w:rPr>
        <w:footnoteRef/>
      </w:r>
      <w:r w:rsidRPr="003D0703">
        <w:t xml:space="preserve"> </w:t>
      </w:r>
      <w:r w:rsidRPr="003D0703">
        <w:fldChar w:fldCharType="begin"/>
      </w:r>
      <w:r w:rsidRPr="003D0703">
        <w:instrText xml:space="preserve"> ADDIN EN.CITE &lt;EndNote&gt;&lt;Cite&gt;&lt;Author&gt;Lynn&lt;/Author&gt;&lt;Year&gt;2004&lt;/Year&gt;&lt;RecNum&gt;431&lt;/RecNum&gt;&lt;Suffix&gt;`, 4&lt;/Suffix&gt;&lt;record&gt;&lt;rec-number&gt;431&lt;/rec-number&gt;&lt;ref-type name="Book"&gt;6&lt;/ref-type&gt;&lt;contributors&gt;&lt;authors&gt;&lt;author&gt;Lynn, John A.&lt;/author&gt;&lt;/authors&gt;&lt;/contributors&gt;&lt;titles&gt;&lt;title&gt;Battle : a history of combat and culture&lt;/title&gt;&lt;/titles&gt;&lt;pages&gt;xxvi, 431 p.&lt;/pages&gt;&lt;edition&gt;Rev. and updated&lt;/edition&gt;&lt;keywords&gt;&lt;keyword&gt;War.&lt;/keyword&gt;&lt;keyword&gt;Military history.&lt;/keyword&gt;&lt;keyword&gt;Combat.&lt;/keyword&gt;&lt;keyword&gt;Sociology, Military.&lt;/keyword&gt;&lt;keyword&gt;War and society.&lt;/keyword&gt;&lt;keyword&gt;Military art and science Technological innovations.&lt;/keyword&gt;&lt;/keywords&gt;&lt;dates&gt;&lt;year&gt;2004&lt;/year&gt;&lt;/dates&gt;&lt;pub-location&gt;Cambridge, MA&lt;/pub-location&gt;&lt;publisher&gt;Westview Press&lt;/publisher&gt;&lt;isbn&gt;0813333725&lt;/isbn&gt;&lt;accession-num&gt;14102106&lt;/accession-num&gt;&lt;call-num&gt;Jefferson or Adams Bldg General or Area Studies Reading Rms U21.2; .L95 2004&lt;/call-num&gt;&lt;urls&gt;&lt;related-urls&gt;&lt;url&gt;http://www.h-net.org/review/hrev-a0e1o4-aa&lt;/url&gt;&lt;url&gt;http://www.loc.gov/catdir/enhancements/fy0833/2005281950-b.html&lt;/url&gt;&lt;url&gt;http://www.loc.gov/catdir/enhancements/fy0833/2005281950-d.html&lt;/url&gt;&lt;/related-urls&gt;&lt;/urls&gt;&lt;/record&gt;&lt;/Cite&gt;&lt;/EndNote&gt;</w:instrText>
      </w:r>
      <w:r w:rsidRPr="003D0703">
        <w:fldChar w:fldCharType="separate"/>
      </w:r>
      <w:r w:rsidRPr="003D0703">
        <w:t xml:space="preserve">John A. Lynn, </w:t>
      </w:r>
      <w:r w:rsidRPr="003D0703">
        <w:rPr>
          <w:i/>
        </w:rPr>
        <w:t>Battle : A History of Combat and Culture</w:t>
      </w:r>
      <w:r w:rsidRPr="003D0703">
        <w:t xml:space="preserve">, Rev. and updated ed. </w:t>
      </w:r>
      <w:r w:rsidRPr="003D0703">
        <w:rPr>
          <w:lang w:val="de-CH"/>
        </w:rPr>
        <w:t>(Cambridge, MA: Westview Press, 2004)</w:t>
      </w:r>
      <w:r>
        <w:rPr>
          <w:lang w:val="de-CH"/>
        </w:rPr>
        <w:t>, p. 4</w:t>
      </w:r>
      <w:r w:rsidRPr="003D0703">
        <w:rPr>
          <w:lang w:val="de-CH"/>
        </w:rPr>
        <w:t>.</w:t>
      </w:r>
      <w:r w:rsidRPr="003D0703">
        <w:fldChar w:fldCharType="end"/>
      </w:r>
    </w:p>
  </w:footnote>
  <w:footnote w:id="13">
    <w:p w:rsidR="00500211" w:rsidRPr="003D0703" w:rsidRDefault="00500211">
      <w:pPr>
        <w:pStyle w:val="FootnoteText"/>
        <w:rPr>
          <w:lang w:val="de-CH"/>
        </w:rPr>
      </w:pPr>
      <w:r w:rsidRPr="003D0703">
        <w:rPr>
          <w:rStyle w:val="FootnoteReference"/>
        </w:rPr>
        <w:footnoteRef/>
      </w:r>
      <w:r w:rsidRPr="003D0703">
        <w:rPr>
          <w:lang w:val="de-CH"/>
        </w:rPr>
        <w:t xml:space="preserve"> </w:t>
      </w:r>
      <w:r w:rsidRPr="003D0703">
        <w:fldChar w:fldCharType="begin"/>
      </w:r>
      <w:r w:rsidRPr="003D0703">
        <w:rPr>
          <w:lang w:val="de-CH"/>
        </w:rPr>
        <w:instrText xml:space="preserve"> ADDIN EN.CITE &lt;EndNote&gt;&lt;Cite&gt;&lt;Author&gt;Wolff&lt;/Author&gt;&lt;Year&gt;1990&lt;/Year&gt;&lt;RecNum&gt;434&lt;/RecNum&gt;&lt;Suffix&gt;`, 26&lt;/Suffix&gt;&lt;record&gt;&lt;rec-number&gt;434&lt;/rec-number&gt;&lt;ref-type name="Book"&gt;6&lt;/ref-type&gt;&lt;contributors&gt;&lt;authors&gt;&lt;author&gt;Wolff, Hans J. &lt;/author&gt;&lt;/authors&gt;&lt;/contributors&gt;&lt;titles&gt;&lt;title&gt;Kriegserklärung und Kriegszustand nach klassischen Völkerrecht&lt;/title&gt;&lt;/titles&gt;&lt;dates&gt;&lt;year&gt;1990&lt;/year&gt;&lt;/dates&gt;&lt;pub-location&gt;Berlin&lt;/pub-location&gt;&lt;publisher&gt;Duncker &amp;amp; Humboldt&lt;/publisher&gt;&lt;urls&gt;&lt;/urls&gt;&lt;/record&gt;&lt;/Cite&gt;&lt;/EndNote&gt;</w:instrText>
      </w:r>
      <w:r w:rsidRPr="003D0703">
        <w:fldChar w:fldCharType="separate"/>
      </w:r>
      <w:r w:rsidRPr="003D0703">
        <w:rPr>
          <w:lang w:val="de-CH"/>
        </w:rPr>
        <w:t xml:space="preserve">Hans J.  Wolff, </w:t>
      </w:r>
      <w:r w:rsidRPr="003D0703">
        <w:rPr>
          <w:i/>
          <w:lang w:val="de-CH"/>
        </w:rPr>
        <w:t>Kriegserklärung Und Kriegszustand Nach Klassischen Völkerrecht</w:t>
      </w:r>
      <w:r w:rsidRPr="003D0703">
        <w:rPr>
          <w:lang w:val="de-CH"/>
        </w:rPr>
        <w:t xml:space="preserve"> (Berlin: Duncker &amp; Humboldt, 1990)</w:t>
      </w:r>
      <w:r>
        <w:rPr>
          <w:lang w:val="de-CH"/>
        </w:rPr>
        <w:t>, p. 26</w:t>
      </w:r>
      <w:r w:rsidRPr="003D0703">
        <w:rPr>
          <w:lang w:val="de-CH"/>
        </w:rPr>
        <w:t>.</w:t>
      </w:r>
      <w:r w:rsidRPr="003D0703">
        <w:fldChar w:fldCharType="end"/>
      </w:r>
    </w:p>
  </w:footnote>
  <w:footnote w:id="14">
    <w:p w:rsidR="00500211" w:rsidRPr="003D0703" w:rsidRDefault="00500211" w:rsidP="002D24E1">
      <w:pPr>
        <w:pStyle w:val="FootnoteText"/>
        <w:jc w:val="both"/>
      </w:pPr>
      <w:r w:rsidRPr="003D0703">
        <w:rPr>
          <w:rStyle w:val="FootnoteReference"/>
        </w:rPr>
        <w:footnoteRef/>
      </w:r>
      <w:r w:rsidRPr="003D0703">
        <w:t xml:space="preserve"> In June 1967 Algeria, Iraq, Kuwait, Sudan and Syria declared war against Israel and in March 2003, Denmark declared war against Iraq.</w:t>
      </w:r>
    </w:p>
  </w:footnote>
  <w:footnote w:id="15">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&lt;EndNote&gt;&lt;Cite&gt;&lt;Author&gt;Fearon&lt;/Author&gt;&lt;Year&gt;1998&lt;/Year&gt;&lt;RecNum&gt;45&lt;/RecNum&gt;&lt;record&gt;&lt;rec-number&gt;45&lt;/rec-number&gt;&lt;ref-type name="Journal Article"&gt;17&lt;/ref-type&gt;&lt;contributors&gt;&lt;authors&gt;&lt;author&gt;Fearon, James D.&lt;/author&gt;&lt;/authors&gt;&lt;/contributors&gt;&lt;titles&gt;&lt;title&gt;Bargaining, Enforcement and International Cooperation&lt;/title&gt;&lt;secondary-title&gt;International Organization&lt;/secondary-title&gt;&lt;/titles&gt;&lt;periodical&gt;&lt;full-title&gt;International Organization&lt;/full-title&gt;&lt;/periodical&gt;&lt;pages&gt;269-305&lt;/pages&gt;&lt;volume&gt;52&lt;/volume&gt;&lt;number&gt;2&lt;/number&gt;&lt;dates&gt;&lt;year&gt;1998&lt;/year&gt;&lt;/dates&gt;&lt;urls&gt;&lt;/urls&gt;&lt;/record&gt;&lt;/Cite&gt;&lt;/EndNote&gt;</w:instrText>
      </w:r>
      <w:r w:rsidRPr="003D0703">
        <w:fldChar w:fldCharType="separate"/>
      </w:r>
      <w:r w:rsidRPr="003D0703">
        <w:t xml:space="preserve">James D. </w:t>
      </w:r>
      <w:proofErr w:type="spellStart"/>
      <w:r w:rsidRPr="003D0703">
        <w:t>Fearon</w:t>
      </w:r>
      <w:proofErr w:type="spellEnd"/>
      <w:r w:rsidRPr="003D0703">
        <w:t xml:space="preserve">, "Bargaining, Enforcement and International Cooperation," </w:t>
      </w:r>
      <w:r w:rsidRPr="003D0703">
        <w:rPr>
          <w:i/>
        </w:rPr>
        <w:t>International Organization</w:t>
      </w:r>
      <w:r w:rsidRPr="003D0703">
        <w:t xml:space="preserve"> 52, no. 2 (1998).</w:t>
      </w:r>
      <w:r w:rsidRPr="003D0703">
        <w:fldChar w:fldCharType="end"/>
      </w:r>
    </w:p>
  </w:footnote>
  <w:footnote w:id="16">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&lt;EndNote&gt;&lt;Cite&gt;&lt;Author&gt;Olsen&lt;/Author&gt;&lt;Year&gt;2001&lt;/Year&gt;&lt;RecNum&gt;4979&lt;/RecNum&gt;&lt;record&gt;&lt;rec-number&gt;4979&lt;/rec-number&gt;&lt;ref-type name="Journal Article"&gt;17&lt;/ref-type&gt;&lt;contributors&gt;&lt;authors&gt;&lt;author&gt;Olsen, Johan P.&lt;/author&gt;&lt;/authors&gt;&lt;/contributors&gt;&lt;titles&gt;&lt;title&gt;Garbage Cans, New Institutionalism, and the Study of Politics&lt;/title&gt;&lt;secondary-title&gt;American Political Science Review&lt;/secondary-title&gt;&lt;/titles&gt;&lt;periodical&gt;&lt;full-title&gt;American Political Science Review&lt;/full-title&gt;&lt;/periodical&gt;&lt;pages&gt;191-198 &lt;/pages&gt;&lt;volume&gt;95&lt;/volume&gt;&lt;number&gt;1&lt;/number&gt;&lt;dates&gt;&lt;year&gt;2001&lt;/year&gt;&lt;/dates&gt;&lt;publisher&gt;ARENA&lt;/publisher&gt;&lt;isbn&gt;14&lt;/isbn&gt;&lt;work-type&gt;Working Paper&lt;/work-type&gt;&lt;urls&gt;&lt;/urls&gt;&lt;/record&gt;&lt;/Cite&gt;&lt;/EndNote&gt;</w:instrText>
      </w:r>
      <w:r w:rsidRPr="003D0703">
        <w:fldChar w:fldCharType="separate"/>
      </w:r>
      <w:r w:rsidRPr="003D0703">
        <w:t xml:space="preserve">Johan P. Olsen, "Garbage Cans, New Institutionalism, and the Study of Politics," </w:t>
      </w:r>
      <w:r w:rsidRPr="003D0703">
        <w:rPr>
          <w:i/>
        </w:rPr>
        <w:t>American Political Science Review</w:t>
      </w:r>
      <w:r w:rsidRPr="003D0703">
        <w:t xml:space="preserve"> 95, no. 1 (2001).</w:t>
      </w:r>
      <w:r w:rsidRPr="003D0703">
        <w:fldChar w:fldCharType="end"/>
      </w:r>
    </w:p>
  </w:footnote>
  <w:footnote w:id="17">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&lt;EndNote&gt;&lt;Cite&gt;&lt;Author&gt;Risse&lt;/Author&gt;&lt;Year&gt;2001&lt;/Year&gt;&lt;RecNum&gt;4251&lt;/RecNum&gt;&lt;record&gt;&lt;rec-number&gt;4251&lt;/rec-number&gt;&lt;ref-type name="Edited Book"&gt;28&lt;/ref-type&gt;&lt;contributors&gt;&lt;authors&gt;&lt;author&gt;Risse, Thomas&lt;/author&gt;&lt;author&gt;Cowles, Maria Green&lt;/author&gt;&lt;author&gt;Caporaso, James A.&lt;/author&gt;&lt;/authors&gt;&lt;/contributors&gt;&lt;titles&gt;&lt;title&gt;Transforming Europe. Europeanization and Domestic Change&lt;/title&gt;&lt;/titles&gt;&lt;keywords&gt;&lt;keyword&gt;europeanization&lt;/keyword&gt;&lt;/keywords&gt;&lt;dates&gt;&lt;year&gt;2001&lt;/year&gt;&lt;/dates&gt;&lt;pub-location&gt;Ithaca, NY&lt;/pub-location&gt;&lt;publisher&gt;Cornell University Press&lt;/publisher&gt;&lt;urls&gt;&lt;/urls&gt;&lt;/record&gt;&lt;/Cite&gt;&lt;/EndNote&gt;</w:instrText>
      </w:r>
      <w:r w:rsidRPr="003D0703">
        <w:fldChar w:fldCharType="separate"/>
      </w:r>
      <w:r w:rsidRPr="003D0703">
        <w:t xml:space="preserve">Thomas </w:t>
      </w:r>
      <w:proofErr w:type="spellStart"/>
      <w:r w:rsidRPr="003D0703">
        <w:t>Risse</w:t>
      </w:r>
      <w:proofErr w:type="spellEnd"/>
      <w:r w:rsidRPr="003D0703">
        <w:t xml:space="preserve">, Maria Green Cowles, and James A. </w:t>
      </w:r>
      <w:proofErr w:type="spellStart"/>
      <w:r w:rsidRPr="003D0703">
        <w:t>Caporaso</w:t>
      </w:r>
      <w:proofErr w:type="spellEnd"/>
      <w:r w:rsidRPr="003D0703">
        <w:t xml:space="preserve">, eds., </w:t>
      </w:r>
      <w:r w:rsidRPr="003D0703">
        <w:rPr>
          <w:i/>
        </w:rPr>
        <w:t>Transforming Europe. Europeanization and Domestic Change</w:t>
      </w:r>
      <w:r w:rsidRPr="003D0703">
        <w:t xml:space="preserve"> (Ithaca, NY: Cornell University Press, 2001).</w:t>
      </w:r>
      <w:r w:rsidRPr="003D0703">
        <w:fldChar w:fldCharType="end"/>
      </w:r>
    </w:p>
  </w:footnote>
  <w:footnote w:id="18">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&lt;EndNote&gt;&lt;Cite&gt;&lt;Author&gt;Durel&lt;/Author&gt;&lt;Year&gt;2000&lt;/Year&gt;&lt;RecNum&gt;33&lt;/RecNum&gt;&lt;record&gt;&lt;rec-number&gt;33&lt;/rec-number&gt;&lt;ref-type name="Journal Article"&gt;17&lt;/ref-type&gt;&lt;contributors&gt;&lt;authors&gt;&lt;author&gt;Durel, Yves&lt;/author&gt;&lt;/authors&gt;&lt;/contributors&gt;&lt;titles&gt;&lt;title&gt;The Role of Cognitive and Normative Frames in Policy-Making&lt;/title&gt;&lt;secondary-title&gt;Journal of European Public Policy&lt;/secondary-title&gt;&lt;/titles&gt;&lt;periodical&gt;&lt;full-title&gt;Journal of European Public Policy&lt;/full-title&gt;&lt;/periodical&gt;&lt;pages&gt;495-512&lt;/pages&gt;&lt;volume&gt;7&lt;/volume&gt;&lt;number&gt;4&lt;/number&gt;&lt;dates&gt;&lt;year&gt;2000&lt;/year&gt;&lt;/dates&gt;&lt;urls&gt;&lt;/urls&gt;&lt;/record&gt;&lt;/Cite&gt;&lt;/EndNote&gt;</w:instrText>
      </w:r>
      <w:r w:rsidRPr="003D0703">
        <w:fldChar w:fldCharType="separate"/>
      </w:r>
      <w:r w:rsidRPr="003D0703">
        <w:t xml:space="preserve">Yves </w:t>
      </w:r>
      <w:proofErr w:type="spellStart"/>
      <w:r w:rsidRPr="003D0703">
        <w:t>Durel</w:t>
      </w:r>
      <w:proofErr w:type="spellEnd"/>
      <w:r w:rsidRPr="003D0703">
        <w:t xml:space="preserve">, "The Role of Cognitive and Normative Frames in Policy-Making," </w:t>
      </w:r>
      <w:r w:rsidRPr="003D0703">
        <w:rPr>
          <w:i/>
        </w:rPr>
        <w:t>Journal of European Public Policy</w:t>
      </w:r>
      <w:r w:rsidRPr="003D0703">
        <w:t xml:space="preserve"> 7, no. 4 (2000).</w:t>
      </w:r>
      <w:r w:rsidRPr="003D0703">
        <w:fldChar w:fldCharType="end"/>
      </w:r>
    </w:p>
  </w:footnote>
  <w:footnote w:id="19">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&lt;EndNote&gt;&lt;Cite&gt;&lt;Author&gt;Olsen&lt;/Author&gt;&lt;Year&gt;2001&lt;/Year&gt;&lt;RecNum&gt;4979&lt;/RecNum&gt;&lt;record&gt;&lt;rec-number&gt;4979&lt;/rec-number&gt;&lt;ref-type name="Journal Article"&gt;17&lt;/ref-type&gt;&lt;contributors&gt;&lt;authors&gt;&lt;author&gt;Olsen, Johan P.&lt;/author&gt;&lt;/authors&gt;&lt;/contributors&gt;&lt;titles&gt;&lt;title&gt;Garbage Cans, New Institutionalism, and the Study of Politics&lt;/title&gt;&lt;secondary-title&gt;American Political Science Review&lt;/secondary-title&gt;&lt;/titles&gt;&lt;periodical&gt;&lt;full-title&gt;American Political Science Review&lt;/full-title&gt;&lt;/periodical&gt;&lt;pages&gt;191-198 &lt;/pages&gt;&lt;volume&gt;95&lt;/volume&gt;&lt;number&gt;1&lt;/number&gt;&lt;dates&gt;&lt;year&gt;2001&lt;/year&gt;&lt;/dates&gt;&lt;publisher&gt;ARENA&lt;/publisher&gt;&lt;isbn&gt;14&lt;/isbn&gt;&lt;work-type&gt;Working Paper&lt;/work-type&gt;&lt;urls&gt;&lt;/urls&gt;&lt;/record&gt;&lt;/Cite&gt;&lt;/EndNote&gt;</w:instrText>
      </w:r>
      <w:r w:rsidRPr="003D0703">
        <w:fldChar w:fldCharType="separate"/>
      </w:r>
      <w:r w:rsidRPr="003D0703">
        <w:t>Olsen, "Garbage Cans, New Institutionalism, and the Study of Politics."</w:t>
      </w:r>
      <w:r w:rsidRPr="003D0703">
        <w:fldChar w:fldCharType="end"/>
      </w:r>
      <w:r w:rsidRPr="003D0703">
        <w:t xml:space="preserve">, </w:t>
      </w:r>
      <w:r w:rsidRPr="003D0703">
        <w:fldChar w:fldCharType="begin"/>
      </w:r>
      <w:r w:rsidRPr="003D0703">
        <w:instrText xml:space="preserve"> ADDIN EN.CITE &lt;EndNote&gt;&lt;Cite&gt;&lt;Author&gt;Haas&lt;/Author&gt;&lt;Year&gt;1990&lt;/Year&gt;&lt;RecNum&gt;1787&lt;/RecNum&gt;&lt;record&gt;&lt;rec-number&gt;1787&lt;/rec-number&gt;&lt;ref-type name="Book"&gt;6&lt;/ref-type&gt;&lt;contributors&gt;&lt;authors&gt;&lt;author&gt;Ernst Haas&lt;/author&gt;&lt;/authors&gt;&lt;/contributors&gt;&lt;titles&gt;&lt;title&gt;When Knowledge Is Power&lt;/title&gt;&lt;/titles&gt;&lt;dates&gt;&lt;year&gt;1990&lt;/year&gt;&lt;/dates&gt;&lt;pub-location&gt;Berkeley CA&lt;/pub-location&gt;&lt;publisher&gt;University of California Press&lt;/publisher&gt;&lt;urls&gt;&lt;/urls&gt;&lt;/record&gt;&lt;/Cite&gt;&lt;/EndNote&gt;</w:instrText>
      </w:r>
      <w:r w:rsidRPr="003D0703">
        <w:fldChar w:fldCharType="separate"/>
      </w:r>
      <w:r w:rsidRPr="003D0703">
        <w:t xml:space="preserve">Ernst Haas, </w:t>
      </w:r>
      <w:r w:rsidRPr="003D0703">
        <w:rPr>
          <w:i/>
        </w:rPr>
        <w:t>When Knowledge Is Power</w:t>
      </w:r>
      <w:r w:rsidRPr="003D0703">
        <w:t xml:space="preserve"> (Berkeley CA: University of California Press, 1990).</w:t>
      </w:r>
      <w:r w:rsidRPr="003D0703">
        <w:fldChar w:fldCharType="end"/>
      </w:r>
    </w:p>
  </w:footnote>
  <w:footnote w:id="20">
    <w:p w:rsidR="00500211" w:rsidRPr="003D0703" w:rsidRDefault="00500211" w:rsidP="00A96AF6">
      <w:pPr>
        <w:pStyle w:val="FootnoteText"/>
        <w:jc w:val="both"/>
        <w:rPr>
          <w:lang w:val="en-IE"/>
        </w:rPr>
      </w:pPr>
      <w:r w:rsidRPr="003D0703">
        <w:rPr>
          <w:rStyle w:val="FootnoteReference"/>
        </w:rPr>
        <w:footnoteRef/>
      </w:r>
      <w:r w:rsidRPr="003D0703">
        <w:t xml:space="preserve"> The constructivist causal mechanism is similar: Imprecise norms allow for some behavioral deviations so that actors following logics of appropriateness can reduce normative or cognitive misfits, whilst still obeying the norm.</w:t>
      </w:r>
    </w:p>
  </w:footnote>
  <w:footnote w:id="21">
    <w:p w:rsidR="00500211" w:rsidRPr="003D0703" w:rsidRDefault="00500211" w:rsidP="002D24E1">
      <w:pPr>
        <w:pStyle w:val="FootnoteText"/>
        <w:jc w:val="both"/>
      </w:pPr>
      <w:r w:rsidRPr="003D0703">
        <w:rPr>
          <w:rStyle w:val="FootnoteReference"/>
        </w:rPr>
        <w:footnoteRef/>
      </w:r>
      <w:r w:rsidRPr="003D0703">
        <w:t xml:space="preserve"> This could have various reasons. In incremental degenerations, actors might not notice scope limitations, they might accept them as being perfectly in line with the norm, or they might themselves have incentives to restrict the instances to which a particular norm has to be applied. Over time, this leads to an increasing number of scope limitations, so that the norm loses its grip in international law and is only applied in rare instances. In rapid processes of norm degeneration, free-riding is likely. As a consequence, norm-obeying actors may be unwilling to invest their own resources to rescue an old norm and instead hope others will step in and punish instances of non-compliance.</w:t>
      </w:r>
    </w:p>
  </w:footnote>
  <w:footnote w:id="22">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&lt;EndNote&gt;&lt;Cite&gt;&lt;Author&gt;Goldman&lt;/Author&gt;&lt;Year&gt;1994&lt;/Year&gt;&lt;RecNum&gt;446&lt;/RecNum&gt;&lt;Suffix&gt;`, 293-294`, 317&lt;/Suffix&gt;&lt;record&gt;&lt;rec-number&gt;446&lt;/rec-number&gt;&lt;ref-type name="Book"&gt;6&lt;/ref-type&gt;&lt;contributors&gt;&lt;authors&gt;&lt;author&gt;Goldman, Emily O.&lt;/author&gt;&lt;/authors&gt;&lt;/contributors&gt;&lt;titles&gt;&lt;title&gt;Sunken treaties : naval arms control between the wars&lt;/title&gt;&lt;/titles&gt;&lt;pages&gt;ix, 352 p.&lt;/pages&gt;&lt;keywords&gt;&lt;keyword&gt;Nuclear arms control.&lt;/keyword&gt;&lt;keyword&gt;United States Foreign relations Treaties History.&lt;/keyword&gt;&lt;/keywords&gt;&lt;dates&gt;&lt;year&gt;1994&lt;/year&gt;&lt;/dates&gt;&lt;pub-location&gt;University Park, Pa.&lt;/pub-location&gt;&lt;publisher&gt;Pennsylvania State University Press&lt;/publisher&gt;&lt;isbn&gt;0271010339 (cloth)&amp;#xD;0271010347 (pbk.)&lt;/isbn&gt;&lt;accession-num&gt;4415926&lt;/accession-num&gt;&lt;call-num&gt;Jefferson or Adams Bldg General or Area Studies Reading Rms JX1974.7; .G6525 1994&lt;/call-num&gt;&lt;urls&gt;&lt;/urls&gt;&lt;/record&gt;&lt;/Cite&gt;&lt;/EndNote&gt;</w:instrText>
      </w:r>
      <w:r w:rsidRPr="003D0703">
        <w:fldChar w:fldCharType="separate"/>
      </w:r>
      <w:r w:rsidRPr="003D0703">
        <w:t xml:space="preserve">Emily O. Goldman, </w:t>
      </w:r>
      <w:r w:rsidRPr="003D0703">
        <w:rPr>
          <w:i/>
        </w:rPr>
        <w:t>Sunken Treaties : Naval Arms Control between the Wars</w:t>
      </w:r>
      <w:r w:rsidRPr="003D0703">
        <w:t xml:space="preserve"> (University Park, Pa.: Pennsylvania State University Press, 1994)</w:t>
      </w:r>
      <w:r>
        <w:t>, p. 317</w:t>
      </w:r>
      <w:r w:rsidRPr="003D0703">
        <w:t>.</w:t>
      </w:r>
      <w:r w:rsidRPr="003D0703">
        <w:fldChar w:fldCharType="end"/>
      </w:r>
    </w:p>
  </w:footnote>
  <w:footnote w:id="23">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&lt;EndNote&gt;&lt;Cite&gt;&lt;Author&gt;Burns&lt;/Author&gt;&lt;Year&gt;1971&lt;/Year&gt;&lt;RecNum&gt;389&lt;/RecNum&gt;&lt;Suffix&gt;`, 58&lt;/Suffix&gt;&lt;record&gt;&lt;rec-number&gt;389&lt;/rec-number&gt;&lt;ref-type name="Journal Article"&gt;17&lt;/ref-type&gt;&lt;contributors&gt;&lt;authors&gt;&lt;author&gt;Richard Burns&lt;/author&gt;&lt;/authors&gt;&lt;/contributors&gt;&lt;titles&gt;&lt;title&gt;Regulating Submarine Warfare, 1921-41: A Case Study of Arms Control and Limited War&lt;/title&gt;&lt;secondary-title&gt;Military Affairs&lt;/secondary-title&gt;&lt;/titles&gt;&lt;periodical&gt;&lt;full-title&gt;Military Affairs&lt;/full-title&gt;&lt;/periodical&gt;&lt;pages&gt;56-63&lt;/pages&gt;&lt;volume&gt;35&lt;/volume&gt;&lt;number&gt;2&lt;/number&gt;&lt;dates&gt;&lt;year&gt;1971&lt;/year&gt;&lt;/dates&gt;&lt;urls&gt;&lt;/urls&gt;&lt;/record&gt;&lt;/Cite&gt;&lt;/EndNote&gt;</w:instrText>
      </w:r>
      <w:r w:rsidRPr="003D0703">
        <w:fldChar w:fldCharType="separate"/>
      </w:r>
      <w:r w:rsidRPr="003D0703">
        <w:t xml:space="preserve">Richard Burns, "Regulating Submarine Warfare, 1921-41: A Case Study of Arms Control and Limited War," </w:t>
      </w:r>
      <w:r w:rsidRPr="003D0703">
        <w:rPr>
          <w:i/>
        </w:rPr>
        <w:t>Military Affairs</w:t>
      </w:r>
      <w:r w:rsidRPr="003D0703">
        <w:t xml:space="preserve"> 35, no. 2 (1971)</w:t>
      </w:r>
      <w:r>
        <w:t>, p. 58</w:t>
      </w:r>
      <w:r w:rsidRPr="003D0703">
        <w:t>.</w:t>
      </w:r>
      <w:r w:rsidRPr="003D0703">
        <w:fldChar w:fldCharType="end"/>
      </w:r>
    </w:p>
  </w:footnote>
  <w:footnote w:id="24">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&lt;EndNote&gt;&lt;Cite&gt;&lt;Author&gt;Legro&lt;/Author&gt;&lt;Year&gt;1997&lt;/Year&gt;&lt;RecNum&gt;388&lt;/RecNum&gt;&lt;Suffix&gt;`, 39&lt;/Suffix&gt;&lt;record&gt;&lt;rec-number&gt;388&lt;/rec-number&gt;&lt;ref-type name="Journal Article"&gt;17&lt;/ref-type&gt;&lt;contributors&gt;&lt;authors&gt;&lt;author&gt;Legro, Jeffrey&lt;/author&gt;&lt;/authors&gt;&lt;/contributors&gt;&lt;titles&gt;&lt;title&gt;Which norms matter? Revisiting the ``failure’’ of internationalism&lt;/title&gt;&lt;secondary-title&gt;International Organization&lt;/secondary-title&gt;&lt;/titles&gt;&lt;periodical&gt;&lt;full-title&gt;International Organization&lt;/full-title&gt;&lt;/periodical&gt;&lt;pages&gt;31-61&lt;/pages&gt;&lt;volume&gt;51&lt;/volume&gt;&lt;number&gt;1&lt;/number&gt;&lt;dates&gt;&lt;year&gt;1997&lt;/year&gt;&lt;/dates&gt;&lt;urls&gt;&lt;/urls&gt;&lt;/record&gt;&lt;/Cite&gt;&lt;/EndNote&gt;</w:instrText>
      </w:r>
      <w:r w:rsidRPr="003D0703">
        <w:fldChar w:fldCharType="separate"/>
      </w:r>
      <w:r w:rsidRPr="003D0703">
        <w:t xml:space="preserve">Jeffrey </w:t>
      </w:r>
      <w:proofErr w:type="spellStart"/>
      <w:r w:rsidRPr="003D0703">
        <w:t>Legro</w:t>
      </w:r>
      <w:proofErr w:type="spellEnd"/>
      <w:r w:rsidRPr="003D0703">
        <w:t xml:space="preserve">, "Which Norms Matter? Revisiting the ``Failure’’ of Internationalism," </w:t>
      </w:r>
      <w:r w:rsidRPr="003D0703">
        <w:rPr>
          <w:i/>
        </w:rPr>
        <w:t>International Organization</w:t>
      </w:r>
      <w:r w:rsidRPr="003D0703">
        <w:t xml:space="preserve"> 51, no. 1 (1997)</w:t>
      </w:r>
      <w:r>
        <w:t>, p. 39</w:t>
      </w:r>
      <w:r w:rsidRPr="003D0703">
        <w:t>.</w:t>
      </w:r>
      <w:r w:rsidRPr="003D0703">
        <w:fldChar w:fldCharType="end"/>
      </w:r>
    </w:p>
  </w:footnote>
  <w:footnote w:id="25">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&lt;EndNote&gt;&lt;Cite&gt;&lt;Author&gt;Cohen&lt;/Author&gt;&lt;Year&gt;2006&lt;/Year&gt;&lt;RecNum&gt;391&lt;/RecNum&gt;&lt;Suffix&gt;`, 62&lt;/Suffix&gt;&lt;record&gt;&lt;rec-number&gt;391&lt;/rec-number&gt;&lt;ref-type name="Book"&gt;6&lt;/ref-type&gt;&lt;contributors&gt;&lt;authors&gt;&lt;author&gt;Eliot Cohen&lt;/author&gt;&lt;author&gt;John Gooch&lt;/author&gt;&lt;/authors&gt;&lt;/contributors&gt;&lt;titles&gt;&lt;title&gt;Military Misfortunes: The Anatomy of Failure&lt;/title&gt;&lt;/titles&gt;&lt;dates&gt;&lt;year&gt;2006&lt;/year&gt;&lt;/dates&gt;&lt;pub-location&gt;New York&lt;/pub-location&gt;&lt;publisher&gt;The Free Press&lt;/publisher&gt;&lt;urls&gt;&lt;/urls&gt;&lt;/record&gt;&lt;/Cite&gt;&lt;/EndNote&gt;</w:instrText>
      </w:r>
      <w:r w:rsidRPr="003D0703">
        <w:fldChar w:fldCharType="separate"/>
      </w:r>
      <w:r w:rsidRPr="003D0703">
        <w:t xml:space="preserve">Eliot Cohen and John Gooch, </w:t>
      </w:r>
      <w:r w:rsidRPr="003D0703">
        <w:rPr>
          <w:i/>
        </w:rPr>
        <w:t>Military Misfortunes: The Anatomy of Failure</w:t>
      </w:r>
      <w:r w:rsidRPr="003D0703">
        <w:t xml:space="preserve"> (New York: The Free Press, 2006)</w:t>
      </w:r>
      <w:r>
        <w:t>, p. 62</w:t>
      </w:r>
      <w:r w:rsidRPr="003D0703">
        <w:t>.</w:t>
      </w:r>
      <w:r w:rsidRPr="003D0703">
        <w:fldChar w:fldCharType="end"/>
      </w:r>
    </w:p>
  </w:footnote>
  <w:footnote w:id="26">
    <w:p w:rsidR="00500211" w:rsidRPr="003D0703" w:rsidRDefault="00500211">
      <w:pPr>
        <w:pStyle w:val="FootnoteText"/>
      </w:pPr>
      <w:r w:rsidRPr="003D0703">
        <w:rPr>
          <w:rStyle w:val="FootnoteReference"/>
        </w:rPr>
        <w:footnoteRef/>
      </w:r>
      <w:r w:rsidRPr="003D0703">
        <w:t xml:space="preserve"> This was important, as the procedures allowed submarines to destroy warfare vessels immed</w:t>
      </w:r>
      <w:r>
        <w:t>iately, but not merchant ships (</w:t>
      </w:r>
      <w:proofErr w:type="spellStart"/>
      <w:r w:rsidRPr="003D0703">
        <w:fldChar w:fldCharType="begin"/>
      </w:r>
      <w:r w:rsidRPr="003D0703">
        <w:instrText xml:space="preserve"> ADDIN EN.CITE &lt;EndNote&gt;&lt;Cite&gt;&lt;Author&gt;Legro&lt;/Author&gt;&lt;Year&gt;1997&lt;/Year&gt;&lt;RecNum&gt;388&lt;/RecNum&gt;&lt;Suffix&gt;`, 39&lt;/Suffix&gt;&lt;record&gt;&lt;rec-number&gt;388&lt;/rec-number&gt;&lt;ref-type name="Journal Article"&gt;17&lt;/ref-type&gt;&lt;contributors&gt;&lt;authors&gt;&lt;author&gt;Legro, Jeffrey&lt;/author&gt;&lt;/authors&gt;&lt;/contributors&gt;&lt;titles&gt;&lt;title&gt;Which norms matter? Revisiting the ``failure’’ of internationalism&lt;/title&gt;&lt;secondary-title&gt;International Organization&lt;/secondary-title&gt;&lt;/titles&gt;&lt;periodical&gt;&lt;full-title&gt;International Organization&lt;/full-title&gt;&lt;/periodical&gt;&lt;pages&gt;31-61&lt;/pages&gt;&lt;volume&gt;51&lt;/volume&gt;&lt;number&gt;1&lt;/number&gt;&lt;dates&gt;&lt;year&gt;1997&lt;/year&gt;&lt;/dates&gt;&lt;urls&gt;&lt;/urls&gt;&lt;/record&gt;&lt;/Cite&gt;&lt;/EndNote&gt;</w:instrText>
      </w:r>
      <w:r w:rsidRPr="003D0703">
        <w:fldChar w:fldCharType="separate"/>
      </w:r>
      <w:r w:rsidRPr="003D0703">
        <w:t>Legro</w:t>
      </w:r>
      <w:proofErr w:type="spellEnd"/>
      <w:r w:rsidRPr="003D0703">
        <w:t>, "Which Norms Matter? Revisiting the ``Failure’’ of Internationalism."</w:t>
      </w:r>
      <w:r w:rsidRPr="003D0703">
        <w:fldChar w:fldCharType="end"/>
      </w:r>
      <w:r>
        <w:t>, p. 39)</w:t>
      </w:r>
    </w:p>
  </w:footnote>
  <w:footnote w:id="27">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&lt;EndNote&gt;&lt;Cite&gt;&lt;Author&gt;Burns&lt;/Author&gt;&lt;Year&gt;1971&lt;/Year&gt;&lt;RecNum&gt;389&lt;/RecNum&gt;&lt;Suffix&gt;`, 58&lt;/Suffix&gt;&lt;record&gt;&lt;rec-number&gt;389&lt;/rec-number&gt;&lt;ref-type name="Journal Article"&gt;17&lt;/ref-type&gt;&lt;contributors&gt;&lt;authors&gt;&lt;author&gt;Richard Burns&lt;/author&gt;&lt;/authors&gt;&lt;/contributors&gt;&lt;titles&gt;&lt;title&gt;Regulating Submarine Warfare, 1921-41: A Case Study of Arms Control and Limited War&lt;/title&gt;&lt;secondary-title&gt;Military Affairs&lt;/secondary-title&gt;&lt;/titles&gt;&lt;periodical&gt;&lt;full-title&gt;Military Affairs&lt;/full-title&gt;&lt;/periodical&gt;&lt;pages&gt;56-63&lt;/pages&gt;&lt;volume&gt;35&lt;/volume&gt;&lt;number&gt;2&lt;/number&gt;&lt;dates&gt;&lt;year&gt;1971&lt;/year&gt;&lt;/dates&gt;&lt;urls&gt;&lt;/urls&gt;&lt;/record&gt;&lt;/Cite&gt;&lt;/EndNote&gt;</w:instrText>
      </w:r>
      <w:r w:rsidRPr="003D0703">
        <w:fldChar w:fldCharType="separate"/>
      </w:r>
      <w:r w:rsidRPr="003D0703">
        <w:t>Burns, "Regulating Submarine Warfare, 1921-41: A Case Study of Arms Control and Limited War."</w:t>
      </w:r>
      <w:r w:rsidRPr="003D0703">
        <w:fldChar w:fldCharType="end"/>
      </w:r>
      <w:r>
        <w:t>, p. 58.</w:t>
      </w:r>
    </w:p>
  </w:footnote>
  <w:footnote w:id="28">
    <w:p w:rsidR="00500211" w:rsidRPr="003D0703" w:rsidRDefault="00500211">
      <w:pPr>
        <w:pStyle w:val="FootnoteText"/>
        <w:rPr>
          <w:lang w:val="en-IE"/>
        </w:rPr>
      </w:pPr>
      <w:r w:rsidRPr="003D0703">
        <w:rPr>
          <w:rStyle w:val="FootnoteReference"/>
        </w:rPr>
        <w:footnoteRef/>
      </w:r>
      <w:r w:rsidRPr="003D0703">
        <w:t xml:space="preserve"> </w:t>
      </w:r>
      <w:r w:rsidRPr="003D0703">
        <w:rPr>
          <w:rFonts w:cs="RealpageTIM1"/>
        </w:rPr>
        <w:fldChar w:fldCharType="begin"/>
      </w:r>
      <w:r w:rsidRPr="003D0703">
        <w:rPr>
          <w:rFonts w:cs="RealpageTIM1"/>
        </w:rPr>
        <w:instrText xml:space="preserve"> ADDIN EN.CITE &lt;EndNote&gt;&lt;Cite&gt;&lt;Author&gt;Goldman&lt;/Author&gt;&lt;Year&gt;1994&lt;/Year&gt;&lt;RecNum&gt;446&lt;/RecNum&gt;&lt;Pages&gt;180&lt;/Pages&gt;&lt;record&gt;&lt;rec-number&gt;446&lt;/rec-number&gt;&lt;ref-type name="Book"&gt;6&lt;/ref-type&gt;&lt;contributors&gt;&lt;authors&gt;&lt;author&gt;Goldman, Emily O.&lt;/author&gt;&lt;/authors&gt;&lt;/contributors&gt;&lt;titles&gt;&lt;title&gt;Sunken treaties : naval arms control between the wars&lt;/title&gt;&lt;/titles&gt;&lt;pages&gt;ix, 352 p.&lt;/pages&gt;&lt;keywords&gt;&lt;keyword&gt;Nuclear arms control.&lt;/keyword&gt;&lt;keyword&gt;United States Foreign relations Treaties History.&lt;/keyword&gt;&lt;/keywords&gt;&lt;dates&gt;&lt;year&gt;1994&lt;/year&gt;&lt;/dates&gt;&lt;pub-location&gt;University Park, Pa.&lt;/pub-location&gt;&lt;publisher&gt;Pennsylvania State University Press&lt;/publisher&gt;&lt;isbn&gt;0271010339 (cloth)&amp;#xD;0271010347 (pbk.)&lt;/isbn&gt;&lt;accession-num&gt;4415926&lt;/accession-num&gt;&lt;call-num&gt;Jefferson or Adams Bldg General or Area Studies Reading Rms JX1974.7; .G6525 1994&lt;/call-num&gt;&lt;urls&gt;&lt;/urls&gt;&lt;/record&gt;&lt;/Cite&gt;&lt;/EndNote&gt;</w:instrText>
      </w:r>
      <w:r w:rsidRPr="003D0703">
        <w:rPr>
          <w:rFonts w:cs="RealpageTIM1"/>
        </w:rPr>
        <w:fldChar w:fldCharType="separate"/>
      </w:r>
      <w:r w:rsidRPr="003D0703">
        <w:rPr>
          <w:rFonts w:cs="RealpageTIM1"/>
        </w:rPr>
        <w:t xml:space="preserve">Goldman, </w:t>
      </w:r>
      <w:r w:rsidRPr="003D0703">
        <w:rPr>
          <w:rFonts w:cs="RealpageTIM1"/>
          <w:i/>
        </w:rPr>
        <w:t>Sunken Treaties : Naval Arms Control between the Wars</w:t>
      </w:r>
      <w:r w:rsidRPr="003D0703">
        <w:rPr>
          <w:rFonts w:cs="RealpageTIM1"/>
        </w:rPr>
        <w:t>, 180.</w:t>
      </w:r>
      <w:r w:rsidRPr="003D0703">
        <w:rPr>
          <w:rFonts w:cs="RealpageTIM1"/>
        </w:rPr>
        <w:fldChar w:fldCharType="end"/>
      </w:r>
    </w:p>
  </w:footnote>
  <w:footnote w:id="29">
    <w:p w:rsidR="00500211" w:rsidRPr="003D0703" w:rsidRDefault="00500211">
      <w:pPr>
        <w:pStyle w:val="FootnoteText"/>
        <w:rPr>
          <w:lang w:val="en-IE"/>
        </w:rPr>
      </w:pPr>
      <w:r w:rsidRPr="003D0703">
        <w:rPr>
          <w:rStyle w:val="FootnoteReference"/>
        </w:rPr>
        <w:footnoteRef/>
      </w:r>
      <w:r w:rsidRPr="003D0703">
        <w:t xml:space="preserve"> </w:t>
      </w:r>
      <w:r w:rsidRPr="003D0703">
        <w:rPr>
          <w:rFonts w:cs="RealpageTIM1"/>
        </w:rPr>
        <w:fldChar w:fldCharType="begin"/>
      </w:r>
      <w:r w:rsidRPr="003D0703">
        <w:rPr>
          <w:rFonts w:cs="RealpageTIM1"/>
        </w:rPr>
        <w:instrText xml:space="preserve"> ADDIN EN.CITE &lt;EndNote&gt;&lt;Cite&gt;&lt;Author&gt;Asada&lt;/Author&gt;&lt;Year&gt;2006&lt;/Year&gt;&lt;RecNum&gt;387&lt;/RecNum&gt;&lt;Suffix&gt;`, 204&lt;/Suffix&gt;&lt;record&gt;&lt;rec-number&gt;387&lt;/rec-number&gt;&lt;ref-type name="Book"&gt;6&lt;/ref-type&gt;&lt;contributors&gt;&lt;authors&gt;&lt;author&gt;Asada, Sadao&lt;/author&gt;&lt;/authors&gt;&lt;/contributors&gt;&lt;titles&gt;&lt;title&gt;From Mahan to Pearl Harbor : the imperial Japanese navy and the United States&lt;/title&gt;&lt;/titles&gt;&lt;pages&gt;xii, 385 p.&lt;/pages&gt;&lt;keywords&gt;&lt;keyword&gt;Japan History, Naval 1868-1945.&lt;/keyword&gt;&lt;keyword&gt;Japan. Kaigun History 20th century.&lt;/keyword&gt;&lt;keyword&gt;Japan Foreign relations 20th century.&lt;/keyword&gt;&lt;keyword&gt;World War, 1939-1945 Japan.&lt;/keyword&gt;&lt;keyword&gt;Mahan, A. T. 1840-1914.&lt;/keyword&gt;&lt;/keywords&gt;&lt;dates&gt;&lt;year&gt;2006&lt;/year&gt;&lt;/dates&gt;&lt;pub-location&gt;Annapolis, Md.&lt;/pub-location&gt;&lt;publisher&gt;Naval Institute Press&lt;/publisher&gt;&lt;isbn&gt;1557500428 (alk. paper)&amp;#xD;9781557500427&lt;/isbn&gt;&lt;accession-num&gt;14371995&lt;/accession-num&gt;&lt;call-num&gt;Jefferson or Adams Bldg General or Area Studies Reading Rms DS839.7; .A87 2006&lt;/call-num&gt;&lt;urls&gt;&lt;related-urls&gt;&lt;url&gt;http://www.loc.gov/catdir/toc/ecip0613/2006015540.html&lt;/url&gt;&lt;/related-urls&gt;&lt;/urls&gt;&lt;/record&gt;&lt;/Cite&gt;&lt;/EndNote&gt;</w:instrText>
      </w:r>
      <w:r w:rsidRPr="003D0703">
        <w:rPr>
          <w:rFonts w:cs="RealpageTIM1"/>
        </w:rPr>
        <w:fldChar w:fldCharType="separate"/>
      </w:r>
      <w:proofErr w:type="spellStart"/>
      <w:r w:rsidRPr="003D0703">
        <w:rPr>
          <w:rFonts w:cs="RealpageTIM1"/>
        </w:rPr>
        <w:t>Sadao</w:t>
      </w:r>
      <w:proofErr w:type="spellEnd"/>
      <w:r w:rsidRPr="003D0703">
        <w:rPr>
          <w:rFonts w:cs="RealpageTIM1"/>
        </w:rPr>
        <w:t xml:space="preserve"> Asada, </w:t>
      </w:r>
      <w:r w:rsidRPr="003D0703">
        <w:rPr>
          <w:rFonts w:cs="RealpageTIM1"/>
          <w:i/>
        </w:rPr>
        <w:t>From Mahan to Pearl Harbor : The Imperial Japanese Navy and the United States</w:t>
      </w:r>
      <w:r w:rsidRPr="003D0703">
        <w:rPr>
          <w:rFonts w:cs="RealpageTIM1"/>
        </w:rPr>
        <w:t xml:space="preserve"> (Annapolis, Md.: Naval Institute Press, 2006)</w:t>
      </w:r>
      <w:r>
        <w:rPr>
          <w:rFonts w:cs="RealpageTIM1"/>
        </w:rPr>
        <w:t>, p. 204</w:t>
      </w:r>
      <w:r w:rsidRPr="003D0703">
        <w:rPr>
          <w:rFonts w:cs="RealpageTIM1"/>
        </w:rPr>
        <w:t>.</w:t>
      </w:r>
      <w:r w:rsidRPr="003D0703">
        <w:rPr>
          <w:rFonts w:cs="RealpageTIM1"/>
        </w:rPr>
        <w:fldChar w:fldCharType="end"/>
      </w:r>
    </w:p>
  </w:footnote>
  <w:footnote w:id="30">
    <w:p w:rsidR="00500211" w:rsidRPr="003D0703" w:rsidRDefault="00500211">
      <w:pPr>
        <w:pStyle w:val="FootnoteText"/>
        <w:rPr>
          <w:lang w:val="en-IE"/>
        </w:rPr>
      </w:pPr>
      <w:r w:rsidRPr="003D0703">
        <w:rPr>
          <w:rStyle w:val="FootnoteReference"/>
        </w:rPr>
        <w:footnoteRef/>
      </w:r>
      <w:r w:rsidRPr="003D0703">
        <w:t xml:space="preserve"> </w:t>
      </w:r>
      <w:r w:rsidRPr="003D0703">
        <w:rPr>
          <w:rFonts w:cs="RealpageTIM1"/>
        </w:rPr>
        <w:fldChar w:fldCharType="begin"/>
      </w:r>
      <w:r w:rsidRPr="003D0703">
        <w:rPr>
          <w:rFonts w:cs="RealpageTIM1"/>
        </w:rPr>
        <w:instrText xml:space="preserve"> ADDIN EN.CITE &lt;EndNote&gt;&lt;Cite&gt;&lt;Author&gt;Shirer&lt;/Author&gt;&lt;Year&gt;1990&lt;/Year&gt;&lt;RecNum&gt;385&lt;/RecNum&gt;&lt;Suffix&gt;`, 288-289&lt;/Suffix&gt;&lt;record&gt;&lt;rec-number&gt;385&lt;/rec-number&gt;&lt;ref-type name="Book"&gt;6&lt;/ref-type&gt;&lt;contributors&gt;&lt;authors&gt;&lt;author&gt;Shirer, William L.&lt;/author&gt;&lt;/authors&gt;&lt;/contributors&gt;&lt;titles&gt;&lt;title&gt;The rise and fall of the Third Reich&lt;/title&gt;&lt;/titles&gt;&lt;pages&gt;xii, 1249 p.&lt;/pages&gt;&lt;keywords&gt;&lt;keyword&gt;Germany History 1933-1945.&lt;/keyword&gt;&lt;/keywords&gt;&lt;dates&gt;&lt;year&gt;1990&lt;/year&gt;&lt;/dates&gt;&lt;pub-location&gt;New York&lt;/pub-location&gt;&lt;publisher&gt;Simon &amp;amp; Schuster&lt;/publisher&gt;&lt;isbn&gt;0671728695&lt;/isbn&gt;&lt;accession-num&gt;4845153&lt;/accession-num&gt;&lt;call-num&gt;Jefferson or Adams Bldg General or Area Studies Reading Rms DD256.5; .S48 1990&amp;#xD;Main or Science/Business Reading Rms - STORED OFFSITE DD256.5; .S48 1990&lt;/call-num&gt;&lt;urls&gt;&lt;/urls&gt;&lt;/record&gt;&lt;/Cite&gt;&lt;/EndNote&gt;</w:instrText>
      </w:r>
      <w:r w:rsidRPr="003D0703">
        <w:rPr>
          <w:rFonts w:cs="RealpageTIM1"/>
        </w:rPr>
        <w:fldChar w:fldCharType="separate"/>
      </w:r>
      <w:r w:rsidRPr="003D0703">
        <w:rPr>
          <w:rFonts w:cs="RealpageTIM1"/>
        </w:rPr>
        <w:t xml:space="preserve">William L. Shirer, </w:t>
      </w:r>
      <w:r w:rsidRPr="003D0703">
        <w:rPr>
          <w:rFonts w:cs="RealpageTIM1"/>
          <w:i/>
        </w:rPr>
        <w:t>The Rise and Fall of the Third Reich</w:t>
      </w:r>
      <w:r w:rsidRPr="003D0703">
        <w:rPr>
          <w:rFonts w:cs="RealpageTIM1"/>
        </w:rPr>
        <w:t xml:space="preserve"> (New York: Simon &amp; Schuster, 1990)</w:t>
      </w:r>
      <w:r>
        <w:rPr>
          <w:rFonts w:cs="RealpageTIM1"/>
        </w:rPr>
        <w:t>, pp. 288-289</w:t>
      </w:r>
      <w:r w:rsidRPr="003D0703">
        <w:rPr>
          <w:rFonts w:cs="RealpageTIM1"/>
        </w:rPr>
        <w:t>.</w:t>
      </w:r>
      <w:r w:rsidRPr="003D0703">
        <w:rPr>
          <w:rFonts w:cs="RealpageTIM1"/>
        </w:rPr>
        <w:fldChar w:fldCharType="end"/>
      </w:r>
    </w:p>
  </w:footnote>
  <w:footnote w:id="31">
    <w:p w:rsidR="00500211" w:rsidRPr="003D0703" w:rsidRDefault="00500211">
      <w:pPr>
        <w:pStyle w:val="FootnoteText"/>
        <w:rPr>
          <w:lang w:val="en-IE"/>
        </w:rPr>
      </w:pPr>
      <w:r w:rsidRPr="003D0703">
        <w:rPr>
          <w:rStyle w:val="FootnoteReference"/>
        </w:rPr>
        <w:footnoteRef/>
      </w:r>
      <w:r w:rsidRPr="003D0703">
        <w:t xml:space="preserve"> </w:t>
      </w:r>
      <w:r w:rsidRPr="003D0703">
        <w:rPr>
          <w:rFonts w:cs="RealpageTIM1"/>
        </w:rPr>
        <w:fldChar w:fldCharType="begin"/>
      </w:r>
      <w:r w:rsidRPr="003D0703">
        <w:rPr>
          <w:rFonts w:cs="RealpageTIM1"/>
        </w:rPr>
        <w:instrText xml:space="preserve"> ADDIN EN.CITE &lt;EndNote&gt;&lt;Cite&gt;&lt;Author&gt;Goldman&lt;/Author&gt;&lt;Year&gt;1994&lt;/Year&gt;&lt;RecNum&gt;446&lt;/RecNum&gt;&lt;Suffix&gt;`, 180&lt;/Suffix&gt;&lt;record&gt;&lt;rec-number&gt;446&lt;/rec-number&gt;&lt;ref-type name="Book"&gt;6&lt;/ref-type&gt;&lt;contributors&gt;&lt;authors&gt;&lt;author&gt;Goldman, Emily O.&lt;/author&gt;&lt;/authors&gt;&lt;/contributors&gt;&lt;titles&gt;&lt;title&gt;Sunken treaties : naval arms control between the wars&lt;/title&gt;&lt;/titles&gt;&lt;pages&gt;ix, 352 p.&lt;/pages&gt;&lt;keywords&gt;&lt;keyword&gt;Nuclear arms control.&lt;/keyword&gt;&lt;keyword&gt;United States Foreign relations Treaties History.&lt;/keyword&gt;&lt;/keywords&gt;&lt;dates&gt;&lt;year&gt;1994&lt;/year&gt;&lt;/dates&gt;&lt;pub-location&gt;University Park, Pa.&lt;/pub-location&gt;&lt;publisher&gt;Pennsylvania State University Press&lt;/publisher&gt;&lt;isbn&gt;0271010339 (cloth)&amp;#xD;0271010347 (pbk.)&lt;/isbn&gt;&lt;accession-num&gt;4415926&lt;/accession-num&gt;&lt;call-num&gt;Jefferson or Adams Bldg General or Area Studies Reading Rms JX1974.7; .G6525 1994&lt;/call-num&gt;&lt;urls&gt;&lt;/urls&gt;&lt;/record&gt;&lt;/Cite&gt;&lt;/EndNote&gt;</w:instrText>
      </w:r>
      <w:r w:rsidRPr="003D0703">
        <w:rPr>
          <w:rFonts w:cs="RealpageTIM1"/>
        </w:rPr>
        <w:fldChar w:fldCharType="separate"/>
      </w:r>
      <w:r w:rsidRPr="003D0703">
        <w:rPr>
          <w:rFonts w:cs="RealpageTIM1"/>
        </w:rPr>
        <w:t xml:space="preserve">Goldman, </w:t>
      </w:r>
      <w:r w:rsidRPr="003D0703">
        <w:rPr>
          <w:rFonts w:cs="RealpageTIM1"/>
          <w:i/>
        </w:rPr>
        <w:t>Sunken Treaties : Naval Arms Control between the Wars</w:t>
      </w:r>
      <w:r>
        <w:rPr>
          <w:rFonts w:cs="RealpageTIM1"/>
          <w:i/>
        </w:rPr>
        <w:t>, p. 180</w:t>
      </w:r>
      <w:r w:rsidRPr="003D0703">
        <w:rPr>
          <w:rFonts w:cs="RealpageTIM1"/>
        </w:rPr>
        <w:t>.</w:t>
      </w:r>
      <w:r w:rsidRPr="003D0703">
        <w:rPr>
          <w:rFonts w:cs="RealpageTIM1"/>
        </w:rPr>
        <w:fldChar w:fldCharType="end"/>
      </w:r>
    </w:p>
  </w:footnote>
  <w:footnote w:id="32">
    <w:p w:rsidR="00500211" w:rsidRPr="003D0703" w:rsidRDefault="00500211" w:rsidP="002D24E1">
      <w:pPr>
        <w:autoSpaceDE w:val="0"/>
        <w:autoSpaceDN w:val="0"/>
        <w:adjustRightInd w:val="0"/>
        <w:jc w:val="both"/>
        <w:rPr>
          <w:sz w:val="20"/>
          <w:szCs w:val="20"/>
          <w:lang w:val="en-US"/>
        </w:rPr>
      </w:pPr>
      <w:r w:rsidRPr="003D0703">
        <w:rPr>
          <w:rStyle w:val="FootnoteReference"/>
          <w:sz w:val="20"/>
          <w:szCs w:val="20"/>
        </w:rPr>
        <w:footnoteRef/>
      </w:r>
      <w:r w:rsidRPr="003D0703">
        <w:rPr>
          <w:sz w:val="20"/>
          <w:szCs w:val="20"/>
        </w:rPr>
        <w:t xml:space="preserve"> </w:t>
      </w:r>
      <w:r w:rsidRPr="003D0703">
        <w:rPr>
          <w:sz w:val="20"/>
          <w:szCs w:val="20"/>
          <w:lang w:val="en-US"/>
        </w:rPr>
        <w:t xml:space="preserve">Accordingly, the US naval authorities justified unrestricted submarine warfare against Japan in the following manner “realistic thinking demanded recognition of the fact that a nation’s economic force and its fighting forces bear the inseparable relationship of Siamese twins.  Any reduction of a nation’s economic resources weakens its war potential. Sever the commercial arteries of a maritime nation and its industrial heart must fail, while the war effort expires with it” </w:t>
      </w:r>
      <w:r w:rsidRPr="003D0703">
        <w:rPr>
          <w:sz w:val="20"/>
          <w:szCs w:val="20"/>
          <w:lang w:val="en-US"/>
        </w:rPr>
        <w:fldChar w:fldCharType="begin"/>
      </w:r>
      <w:r w:rsidRPr="003D0703">
        <w:rPr>
          <w:sz w:val="20"/>
          <w:szCs w:val="20"/>
          <w:lang w:val="en-US"/>
        </w:rPr>
        <w:instrText xml:space="preserve"> ADDIN EN.CITE &lt;EndNote&gt;&lt;Cite&gt;&lt;Author&gt;Burns&lt;/Author&gt;&lt;Year&gt;1971&lt;/Year&gt;&lt;RecNum&gt;389&lt;/RecNum&gt;&lt;Suffix&gt;`, 60&lt;/Suffix&gt;&lt;record&gt;&lt;rec-number&gt;389&lt;/rec-number&gt;&lt;ref-type name="Journal Article"&gt;17&lt;/ref-type&gt;&lt;contributors&gt;&lt;authors&gt;&lt;author&gt;Richard Burns&lt;/author&gt;&lt;/authors&gt;&lt;/contributors&gt;&lt;titles&gt;&lt;title&gt;Regulating Submarine Warfare, 1921-41: A Case Study of Arms Control and Limited War&lt;/title&gt;&lt;secondary-title&gt;Military Affairs&lt;/secondary-title&gt;&lt;/titles&gt;&lt;periodical&gt;&lt;full-title&gt;Military Affairs&lt;/full-title&gt;&lt;/periodical&gt;&lt;pages&gt;56-63&lt;/pages&gt;&lt;volume&gt;35&lt;/volume&gt;&lt;number&gt;2&lt;/number&gt;&lt;dates&gt;&lt;year&gt;1971&lt;/year&gt;&lt;/dates&gt;&lt;urls&gt;&lt;/urls&gt;&lt;/record&gt;&lt;/Cite&gt;&lt;/EndNote&gt;</w:instrText>
      </w:r>
      <w:r w:rsidRPr="003D0703">
        <w:rPr>
          <w:sz w:val="20"/>
          <w:szCs w:val="20"/>
          <w:lang w:val="en-US"/>
        </w:rPr>
        <w:fldChar w:fldCharType="separate"/>
      </w:r>
      <w:r w:rsidRPr="003D0703">
        <w:rPr>
          <w:sz w:val="20"/>
          <w:szCs w:val="20"/>
          <w:lang w:val="en-US"/>
        </w:rPr>
        <w:t>Burns, "Regulating Submarine Warfare, 1921-41: A Case Study of Arms Control and Limited War."</w:t>
      </w:r>
      <w:r w:rsidRPr="003D0703">
        <w:rPr>
          <w:sz w:val="20"/>
          <w:szCs w:val="20"/>
          <w:lang w:val="en-US"/>
        </w:rPr>
        <w:fldChar w:fldCharType="end"/>
      </w:r>
      <w:r>
        <w:rPr>
          <w:sz w:val="20"/>
          <w:szCs w:val="20"/>
          <w:lang w:val="en-US"/>
        </w:rPr>
        <w:t>, p. 60</w:t>
      </w:r>
      <w:r w:rsidRPr="003D0703">
        <w:rPr>
          <w:sz w:val="20"/>
          <w:szCs w:val="20"/>
          <w:lang w:val="en-US"/>
        </w:rPr>
        <w:t xml:space="preserve">. </w:t>
      </w:r>
    </w:p>
  </w:footnote>
  <w:footnote w:id="33">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&lt;EndNote&gt;&lt;Cite&gt;&lt;Author&gt;Cohen&lt;/Author&gt;&lt;Year&gt;2006&lt;/Year&gt;&lt;RecNum&gt;391&lt;/RecNum&gt;&lt;Suffix&gt;`, 59-60&lt;/Suffix&gt;&lt;record&gt;&lt;rec-number&gt;391&lt;/rec-number&gt;&lt;ref-type name="Book"&gt;6&lt;/ref-type&gt;&lt;contributors&gt;&lt;authors&gt;&lt;author&gt;Eliot Cohen&lt;/author&gt;&lt;author&gt;John Gooch&lt;/author&gt;&lt;/authors&gt;&lt;/contributors&gt;&lt;titles&gt;&lt;title&gt;Military Misfortunes: The Anatomy of Failure&lt;/title&gt;&lt;/titles&gt;&lt;dates&gt;&lt;year&gt;2006&lt;/year&gt;&lt;/dates&gt;&lt;pub-location&gt;New York&lt;/pub-location&gt;&lt;publisher&gt;The Free Press&lt;/publisher&gt;&lt;urls&gt;&lt;/urls&gt;&lt;/record&gt;&lt;/Cite&gt;&lt;/EndNote&gt;</w:instrText>
      </w:r>
      <w:r w:rsidRPr="003D0703">
        <w:fldChar w:fldCharType="separate"/>
      </w:r>
      <w:r w:rsidRPr="003D0703">
        <w:t xml:space="preserve">Cohen and Gooch, </w:t>
      </w:r>
      <w:r w:rsidRPr="003D0703">
        <w:rPr>
          <w:i/>
        </w:rPr>
        <w:t>Military Misfortunes: The Anatomy of Failure</w:t>
      </w:r>
      <w:r>
        <w:rPr>
          <w:i/>
        </w:rPr>
        <w:t>, pp. 59-60</w:t>
      </w:r>
      <w:r w:rsidRPr="003D0703">
        <w:t>.</w:t>
      </w:r>
      <w:r w:rsidRPr="003D0703">
        <w:fldChar w:fldCharType="end"/>
      </w:r>
    </w:p>
  </w:footnote>
  <w:footnote w:id="34">
    <w:p w:rsidR="00500211" w:rsidRPr="003D0703" w:rsidRDefault="00500211">
      <w:pPr>
        <w:pStyle w:val="FootnoteText"/>
        <w:rPr>
          <w:lang w:val="en-IE"/>
        </w:rPr>
      </w:pPr>
      <w:r w:rsidRPr="003D0703">
        <w:rPr>
          <w:rStyle w:val="FootnoteReference"/>
        </w:rPr>
        <w:footnoteRef/>
      </w:r>
      <w:r w:rsidRPr="003D0703">
        <w:t xml:space="preserve"> </w:t>
      </w:r>
      <w:r w:rsidRPr="003D0703">
        <w:rPr>
          <w:rFonts w:cs="RealpageTIM1"/>
        </w:rPr>
        <w:fldChar w:fldCharType="begin"/>
      </w:r>
      <w:r w:rsidRPr="003D0703">
        <w:rPr>
          <w:rFonts w:cs="RealpageTIM1"/>
        </w:rPr>
        <w:instrText xml:space="preserve"> ADDIN EN.CITE &lt;EndNote&gt;&lt;Cite&gt;&lt;Author&gt;Burns&lt;/Author&gt;&lt;Year&gt;1971&lt;/Year&gt;&lt;RecNum&gt;389&lt;/RecNum&gt;&lt;Suffix&gt;`, 59-60&lt;/Suffix&gt;&lt;record&gt;&lt;rec-number&gt;389&lt;/rec-number&gt;&lt;ref-type name="Journal Article"&gt;17&lt;/ref-type&gt;&lt;contributors&gt;&lt;authors&gt;&lt;author&gt;Richard Burns&lt;/author&gt;&lt;/authors&gt;&lt;/contributors&gt;&lt;titles&gt;&lt;title&gt;Regulating Submarine Warfare, 1921-41: A Case Study of Arms Control and Limited War&lt;/title&gt;&lt;secondary-title&gt;Military Affairs&lt;/secondary-title&gt;&lt;/titles&gt;&lt;periodical&gt;&lt;full-title&gt;Military Affairs&lt;/full-title&gt;&lt;/periodical&gt;&lt;pages&gt;56-63&lt;/pages&gt;&lt;volume&gt;35&lt;/volume&gt;&lt;number&gt;2&lt;/number&gt;&lt;dates&gt;&lt;year&gt;1971&lt;/year&gt;&lt;/dates&gt;&lt;urls&gt;&lt;/urls&gt;&lt;/record&gt;&lt;/Cite&gt;&lt;/EndNote&gt;</w:instrText>
      </w:r>
      <w:r w:rsidRPr="003D0703">
        <w:rPr>
          <w:rFonts w:cs="RealpageTIM1"/>
        </w:rPr>
        <w:fldChar w:fldCharType="separate"/>
      </w:r>
      <w:r w:rsidRPr="003D0703">
        <w:rPr>
          <w:rFonts w:cs="RealpageTIM1"/>
        </w:rPr>
        <w:t xml:space="preserve">Burns, "Regulating Submarine Warfare, 1921-41: A Case Study </w:t>
      </w:r>
      <w:r>
        <w:rPr>
          <w:rFonts w:cs="RealpageTIM1"/>
        </w:rPr>
        <w:t>of Arms Control and Limited War</w:t>
      </w:r>
      <w:r w:rsidRPr="003D0703">
        <w:rPr>
          <w:rFonts w:cs="RealpageTIM1"/>
        </w:rPr>
        <w:t>"</w:t>
      </w:r>
      <w:r w:rsidRPr="003D0703">
        <w:rPr>
          <w:rFonts w:cs="RealpageTIM1"/>
        </w:rPr>
        <w:fldChar w:fldCharType="end"/>
      </w:r>
      <w:r>
        <w:rPr>
          <w:rFonts w:cs="RealpageTIM1"/>
        </w:rPr>
        <w:t xml:space="preserve">, pp. 59-60. </w:t>
      </w:r>
    </w:p>
  </w:footnote>
  <w:footnote w:id="35">
    <w:p w:rsidR="00500211" w:rsidRPr="0077622D" w:rsidRDefault="00500211">
      <w:pPr>
        <w:pStyle w:val="FootnoteText"/>
      </w:pPr>
      <w:r w:rsidRPr="003D0703">
        <w:rPr>
          <w:rStyle w:val="FootnoteReference"/>
        </w:rPr>
        <w:footnoteRef/>
      </w:r>
      <w:r w:rsidRPr="0077622D">
        <w:t xml:space="preserve"> </w:t>
      </w:r>
      <w:r w:rsidRPr="003D0703">
        <w:fldChar w:fldCharType="begin"/>
      </w:r>
      <w:r w:rsidRPr="0077622D">
        <w:instrText xml:space="preserve"> ADDIN EN.CITE &lt;EndNote&gt;&lt;Cite&gt;&lt;Author&gt;Burns&lt;/Author&gt;&lt;Year&gt;1971&lt;/Year&gt;&lt;RecNum&gt;389&lt;/RecNum&gt;&lt;Suffix&gt;`, 56&lt;/Suffix&gt;&lt;record&gt;&lt;rec-number&gt;389&lt;/rec-number&gt;&lt;ref-type name="Journal Article"&gt;17&lt;/ref-type&gt;&lt;contributors&gt;&lt;authors&gt;&lt;author&gt;Richard Burns&lt;/author&gt;&lt;/authors&gt;&lt;/contributors&gt;&lt;titles&gt;&lt;title&gt;Regulating Submarine Warfare, 1921-41: A Case Study of Arms Control and Limited War&lt;/title&gt;&lt;secondary-title&gt;Military Affairs&lt;/secondary-title&gt;&lt;/titles&gt;&lt;periodical&gt;&lt;full-title&gt;Military Affairs&lt;/full-title&gt;&lt;/periodical&gt;&lt;pages&gt;56-63&lt;/pages&gt;&lt;volume&gt;35&lt;/volume&gt;&lt;number&gt;2&lt;/number&gt;&lt;dates&gt;&lt;year&gt;1971&lt;/year&gt;&lt;/dates&gt;&lt;urls&gt;&lt;/urls&gt;&lt;/record&gt;&lt;/Cite&gt;&lt;/EndNote&gt;</w:instrText>
      </w:r>
      <w:r w:rsidRPr="003D0703">
        <w:fldChar w:fldCharType="separate"/>
      </w:r>
      <w:r w:rsidRPr="0077622D">
        <w:t>Ibid.</w:t>
      </w:r>
      <w:r w:rsidRPr="003D0703">
        <w:fldChar w:fldCharType="end"/>
      </w:r>
    </w:p>
  </w:footnote>
  <w:footnote w:id="36">
    <w:p w:rsidR="00500211" w:rsidRPr="00E6214F" w:rsidRDefault="00500211" w:rsidP="003D0703">
      <w:pPr>
        <w:autoSpaceDE w:val="0"/>
        <w:autoSpaceDN w:val="0"/>
        <w:adjustRightInd w:val="0"/>
        <w:rPr>
          <w:sz w:val="20"/>
          <w:szCs w:val="20"/>
          <w:lang w:val="de-CH"/>
        </w:rPr>
      </w:pPr>
      <w:r w:rsidRPr="003D0703">
        <w:rPr>
          <w:rStyle w:val="FootnoteReference"/>
          <w:sz w:val="20"/>
          <w:szCs w:val="20"/>
        </w:rPr>
        <w:footnoteRef/>
      </w:r>
      <w:r w:rsidRPr="003D0703">
        <w:rPr>
          <w:sz w:val="20"/>
          <w:szCs w:val="20"/>
          <w:lang w:val="en-US"/>
        </w:rPr>
        <w:t xml:space="preserve"> </w:t>
      </w:r>
      <w:r>
        <w:rPr>
          <w:sz w:val="20"/>
          <w:szCs w:val="20"/>
          <w:lang w:val="en-US"/>
        </w:rPr>
        <w:t>Some may</w:t>
      </w:r>
      <w:r w:rsidRPr="003D0703">
        <w:rPr>
          <w:sz w:val="20"/>
          <w:szCs w:val="20"/>
          <w:lang w:val="en-US"/>
        </w:rPr>
        <w:t xml:space="preserve"> argue that gas was not used due to the </w:t>
      </w:r>
      <w:r w:rsidRPr="003D0703">
        <w:rPr>
          <w:sz w:val="20"/>
          <w:szCs w:val="20"/>
        </w:rPr>
        <w:t>threat of retaliation or simply because of its military ineffectiveness. However, there are many cases were gas could have been used without the risk of retaliation</w:t>
      </w:r>
      <w:r>
        <w:rPr>
          <w:sz w:val="20"/>
          <w:szCs w:val="20"/>
        </w:rPr>
        <w:t>, e.g. Spanish Civil War or Korea</w:t>
      </w:r>
      <w:r w:rsidRPr="003D0703">
        <w:rPr>
          <w:sz w:val="20"/>
          <w:szCs w:val="20"/>
        </w:rPr>
        <w:t>. Furthermore, gas can be highly effective against entrenched troops</w:t>
      </w:r>
      <w:r>
        <w:rPr>
          <w:sz w:val="20"/>
          <w:szCs w:val="20"/>
        </w:rPr>
        <w:t>. The proscriptive power of the norm matter therefore to the actors</w:t>
      </w:r>
      <w:r w:rsidRPr="003D0703">
        <w:rPr>
          <w:sz w:val="20"/>
          <w:szCs w:val="20"/>
        </w:rPr>
        <w:t xml:space="preserve"> </w:t>
      </w:r>
      <w:r>
        <w:rPr>
          <w:sz w:val="20"/>
          <w:szCs w:val="20"/>
        </w:rPr>
        <w:t>(</w:t>
      </w:r>
      <w:r w:rsidRPr="003D0703">
        <w:rPr>
          <w:sz w:val="20"/>
          <w:szCs w:val="20"/>
          <w:lang w:val="en-US" w:eastAsia="de-CH"/>
        </w:rPr>
        <w:t xml:space="preserve">Richard Price </w:t>
      </w:r>
      <w:r>
        <w:rPr>
          <w:sz w:val="20"/>
          <w:szCs w:val="20"/>
          <w:lang w:val="en-US" w:eastAsia="de-CH"/>
        </w:rPr>
        <w:t xml:space="preserve">and </w:t>
      </w:r>
      <w:r w:rsidRPr="003D0703">
        <w:rPr>
          <w:sz w:val="20"/>
          <w:szCs w:val="20"/>
          <w:lang w:val="en-US" w:eastAsia="de-CH"/>
        </w:rPr>
        <w:t xml:space="preserve">Nina </w:t>
      </w:r>
      <w:proofErr w:type="spellStart"/>
      <w:r>
        <w:rPr>
          <w:sz w:val="20"/>
          <w:szCs w:val="20"/>
          <w:lang w:val="en-US" w:eastAsia="de-CH"/>
        </w:rPr>
        <w:t>Tannenwald</w:t>
      </w:r>
      <w:proofErr w:type="spellEnd"/>
      <w:r>
        <w:rPr>
          <w:sz w:val="20"/>
          <w:szCs w:val="20"/>
          <w:lang w:val="en-US" w:eastAsia="de-CH"/>
        </w:rPr>
        <w:t>, “</w:t>
      </w:r>
      <w:r w:rsidRPr="003D0703">
        <w:rPr>
          <w:sz w:val="20"/>
          <w:szCs w:val="20"/>
          <w:lang w:val="en-US" w:eastAsia="de-CH"/>
        </w:rPr>
        <w:t>Norms and Deterrence: The Nuclear and Chemical Weapons Taboos,</w:t>
      </w:r>
      <w:r>
        <w:rPr>
          <w:sz w:val="20"/>
          <w:szCs w:val="20"/>
          <w:lang w:val="en-US" w:eastAsia="de-CH"/>
        </w:rPr>
        <w:t xml:space="preserve">” in </w:t>
      </w:r>
      <w:r w:rsidRPr="003D0703">
        <w:rPr>
          <w:i/>
          <w:sz w:val="20"/>
          <w:szCs w:val="20"/>
          <w:lang w:val="en-US" w:eastAsia="de-CH"/>
        </w:rPr>
        <w:t>The Culture of National Security: Norms and Identity in World Politics</w:t>
      </w:r>
      <w:r>
        <w:rPr>
          <w:sz w:val="20"/>
          <w:szCs w:val="20"/>
          <w:lang w:val="en-US" w:eastAsia="de-CH"/>
        </w:rPr>
        <w:t xml:space="preserve">, ed. </w:t>
      </w:r>
      <w:r w:rsidRPr="00E6214F">
        <w:rPr>
          <w:sz w:val="20"/>
          <w:szCs w:val="20"/>
          <w:lang w:val="de-CH" w:eastAsia="de-CH"/>
        </w:rPr>
        <w:t>Katzenstein, Peter (New York: Columbia University Press, 1996), pp. 117-119.</w:t>
      </w:r>
    </w:p>
  </w:footnote>
  <w:footnote w:id="37">
    <w:p w:rsidR="00500211" w:rsidRPr="003D0703" w:rsidRDefault="00500211">
      <w:pPr>
        <w:pStyle w:val="FootnoteText"/>
        <w:rPr>
          <w:lang w:val="de-CH"/>
        </w:rPr>
      </w:pPr>
      <w:r w:rsidRPr="003D0703">
        <w:rPr>
          <w:rStyle w:val="FootnoteReference"/>
        </w:rPr>
        <w:footnoteRef/>
      </w:r>
      <w:r w:rsidRPr="00EA0D74">
        <w:rPr>
          <w:lang w:val="de-CH"/>
        </w:rPr>
        <w:t xml:space="preserve"> </w:t>
      </w:r>
      <w:r w:rsidRPr="003D0703">
        <w:fldChar w:fldCharType="begin"/>
      </w:r>
      <w:r w:rsidRPr="00EA0D74">
        <w:rPr>
          <w:lang w:val="de-CH"/>
        </w:rPr>
        <w:instrText xml:space="preserve"> ADDIN EN.CITE &lt;EndNote&gt;&lt;Cite&gt;&lt;Author&gt;Zentner&lt;/Author&gt;&lt;Year&gt;1994&lt;/Year&gt;&lt;RecNum&gt;605&lt;/RecNum&gt;&lt;Suffix&gt;`, 24&lt;/Suffix&gt;&lt;record&gt;&lt;re</w:instrText>
      </w:r>
      <w:r w:rsidRPr="003D0703">
        <w:rPr>
          <w:lang w:val="de-CH"/>
        </w:rPr>
        <w:instrText>c-number&gt;605&lt;/rec-number&gt;&lt;ref-type name="Book"&gt;6&lt;/ref-type&gt;&lt;contributors&gt;&lt;authors&gt;&lt;author&gt;Christian Zentner&lt;/author&gt;&lt;/authors&gt;&lt;/contributors&gt;&lt;titles&gt;&lt;title&gt;Der Nürnberger Prozeß: Der Nürnberger Prozess&lt;/title&gt;&lt;/titles&gt;&lt;dates&gt;&lt;year&gt;1994&lt;/year&gt;&lt;/dates&gt;&lt;pub-location&gt;Stuttgart&lt;/pub-location&gt;&lt;urls&gt;&lt;/urls&gt;&lt;/record&gt;&lt;/Cite&gt;&lt;/EndNote&gt;</w:instrText>
      </w:r>
      <w:r w:rsidRPr="003D0703">
        <w:fldChar w:fldCharType="separate"/>
      </w:r>
      <w:r w:rsidRPr="003D0703">
        <w:rPr>
          <w:lang w:val="de-CH"/>
        </w:rPr>
        <w:t xml:space="preserve">Christian </w:t>
      </w:r>
      <w:r w:rsidRPr="003D0703">
        <w:rPr>
          <w:lang w:val="de-CH"/>
        </w:rPr>
        <w:t xml:space="preserve">Zentner, </w:t>
      </w:r>
      <w:r w:rsidRPr="003D0703">
        <w:rPr>
          <w:i/>
          <w:lang w:val="de-CH"/>
        </w:rPr>
        <w:t>Der Nürnberger Prozeß: Der Nürnberger Prozess</w:t>
      </w:r>
      <w:r w:rsidRPr="003D0703">
        <w:rPr>
          <w:lang w:val="de-CH"/>
        </w:rPr>
        <w:t xml:space="preserve"> (Stuttgart: 1994)</w:t>
      </w:r>
      <w:r>
        <w:rPr>
          <w:lang w:val="de-CH"/>
        </w:rPr>
        <w:t>, p. 24</w:t>
      </w:r>
      <w:r w:rsidRPr="003D0703">
        <w:rPr>
          <w:lang w:val="de-CH"/>
        </w:rPr>
        <w:t>.</w:t>
      </w:r>
      <w:r w:rsidRPr="003D0703">
        <w:fldChar w:fldCharType="end"/>
      </w:r>
    </w:p>
  </w:footnote>
  <w:footnote w:id="38">
    <w:p w:rsidR="00500211" w:rsidRPr="003D0703" w:rsidRDefault="00500211">
      <w:pPr>
        <w:pStyle w:val="FootnoteText"/>
        <w:rPr>
          <w:lang w:val="en-IE"/>
        </w:rPr>
      </w:pPr>
      <w:r w:rsidRPr="003D0703">
        <w:rPr>
          <w:rStyle w:val="FootnoteReference"/>
        </w:rPr>
        <w:footnoteRef/>
      </w:r>
      <w:r w:rsidRPr="00E6214F">
        <w:t xml:space="preserve"> </w:t>
      </w:r>
      <w:r w:rsidRPr="003D0703">
        <w:fldChar w:fldCharType="begin"/>
      </w:r>
      <w:r w:rsidRPr="00E6214F">
        <w:instrText xml:space="preserve"> ADDIN EN.CITE &lt;EndNote&gt;&lt;Cite&gt;&lt;Author&gt;Percy&lt;/Author&gt;&lt;Year&gt;2007&lt;/Year&gt;&lt;RecNum&gt;314&lt;/RecNum&gt;&lt;Suffix&gt;`, 373-374&lt;/Suffix&gt;&lt;re</w:instrText>
      </w:r>
      <w:r w:rsidRPr="003D0703">
        <w:instrText>cord&gt;&lt;rec-number&gt;314&lt;/rec-number&gt;&lt;ref-type name="Journal Article"&gt;17&lt;/ref-type&gt;&lt;contributors&gt;&lt;authors&gt;&lt;author&gt;Sarah Percy&lt;/author&gt;&lt;/authors&gt;&lt;/contributors&gt;&lt;titles&gt;&lt;title&gt;Mercenaries: Strong Norm, Weak Law&lt;/title&gt;&lt;secondary-title&gt; International Organization&lt;/secondary-title&gt;&lt;/titles&gt;&lt;pages&gt;367-397&lt;/pages&gt;&lt;volume&gt;61&lt;/volume&gt;&lt;number&gt;4&lt;/number&gt;&lt;dates&gt;&lt;year&gt;2007&lt;/year&gt;&lt;/dates&gt;&lt;urls&gt;&lt;/urls&gt;&lt;/record&gt;&lt;/Cite&gt;&lt;/EndNote&gt;</w:instrText>
      </w:r>
      <w:r w:rsidRPr="003D0703">
        <w:fldChar w:fldCharType="separate"/>
      </w:r>
      <w:r w:rsidRPr="003D0703">
        <w:t>Sarah Percy, "Mercenaries: Strong Norm, Weak Law,"</w:t>
      </w:r>
      <w:r w:rsidRPr="003D0703">
        <w:rPr>
          <w:i/>
        </w:rPr>
        <w:t xml:space="preserve"> International Organization</w:t>
      </w:r>
      <w:r w:rsidRPr="003D0703">
        <w:t xml:space="preserve"> 61, no. 4 (2007)</w:t>
      </w:r>
      <w:r>
        <w:t>, pp. 373-374</w:t>
      </w:r>
      <w:r w:rsidRPr="003D0703">
        <w:t>.</w:t>
      </w:r>
      <w:r w:rsidRPr="003D0703">
        <w:fldChar w:fldCharType="end"/>
      </w:r>
    </w:p>
  </w:footnote>
  <w:footnote w:id="39">
    <w:p w:rsidR="00500211" w:rsidRPr="003D0703" w:rsidRDefault="00500211" w:rsidP="00786022">
      <w:pPr>
        <w:jc w:val="both"/>
        <w:rPr>
          <w:sz w:val="20"/>
          <w:szCs w:val="20"/>
        </w:rPr>
      </w:pPr>
      <w:r w:rsidRPr="003D0703">
        <w:rPr>
          <w:rStyle w:val="FootnoteReference"/>
          <w:sz w:val="20"/>
          <w:szCs w:val="20"/>
        </w:rPr>
        <w:footnoteRef/>
      </w:r>
      <w:r w:rsidRPr="003D0703">
        <w:rPr>
          <w:sz w:val="20"/>
          <w:szCs w:val="20"/>
        </w:rPr>
        <w:t xml:space="preserve"> </w:t>
      </w:r>
      <w:proofErr w:type="gramStart"/>
      <w:r w:rsidRPr="003D0703">
        <w:rPr>
          <w:sz w:val="20"/>
          <w:szCs w:val="20"/>
        </w:rPr>
        <w:t>According to Art.</w:t>
      </w:r>
      <w:proofErr w:type="gramEnd"/>
      <w:r w:rsidRPr="003D0703">
        <w:rPr>
          <w:sz w:val="20"/>
          <w:szCs w:val="20"/>
        </w:rPr>
        <w:t xml:space="preserve"> 47 (2) API a mercenary is a) specially recruited locally or abroad in order to fight in an armed conflict, b) does, in fact, take a direct part in the hostilities, c) is motivated to take part in the hostilities essentially by the desire for private gain and, in fact, is promised, by or on behalf of a Party to the conflict, material compensation substantially in excess of that promised or paid to combatants of similar ranks and functions in the armed forces of that Party, d) is neither a national of a Party to the conflict nor a resident of a territory controlled by a Party to the conflict, e) is not a member of the armed forces of a Party to the conflict; and, f) has not been sent by a State which is not a Party to the conflict on official duty as a member of its armed forces.</w:t>
      </w:r>
    </w:p>
  </w:footnote>
  <w:footnote w:id="40">
    <w:p w:rsidR="00500211" w:rsidRPr="003D0703" w:rsidRDefault="00500211">
      <w:pPr>
        <w:pStyle w:val="FootnoteText"/>
        <w:rPr>
          <w:lang w:val="de-CH"/>
        </w:rPr>
      </w:pPr>
      <w:r w:rsidRPr="003D0703">
        <w:rPr>
          <w:rStyle w:val="FootnoteReference"/>
        </w:rPr>
        <w:footnoteRef/>
      </w:r>
      <w:r w:rsidRPr="003D0703">
        <w:rPr>
          <w:lang w:val="de-CH"/>
        </w:rPr>
        <w:t xml:space="preserve"> </w:t>
      </w:r>
      <w:r w:rsidRPr="003D0703">
        <w:fldChar w:fldCharType="begin"/>
      </w:r>
      <w:r w:rsidRPr="003D0703">
        <w:rPr>
          <w:lang w:val="de-CH"/>
        </w:rPr>
        <w:instrText xml:space="preserve"> ADDIN EN.CITE &lt;EndNote&gt;&lt;Cite&gt;&lt;Author&gt;Schaller&lt;/Author&gt;&lt;Year&gt;2005&lt;/Year&gt;&lt;RecNum&gt;338&lt;/RecNum&gt;&lt;record&gt;&lt;rec-number&gt;338&lt;/rec-number&gt;&lt;ref-type name="Book"&gt;6&lt;/ref-type&gt;&lt;contributors&gt;&lt;authors&gt;&lt;author&gt;Schaller, Christian&lt;/author&gt;&lt;/authors&gt;&lt;/contributors&gt;&lt;titles&gt;&lt;title&gt;Private Sicherheitsfirmen- und Militaerfirmen in bewaffneten Konflikten&lt;/title&gt;&lt;secondary-title&gt;SWP Studie S24&lt;/secondary-title&gt;&lt;/titles&gt;&lt;dates&gt;&lt;year&gt;2005&lt;/year&gt;&lt;/dates&gt;&lt;pub-location&gt;Berlin&lt;/pub-location&gt;&lt;publisher&gt;Stiftung Wissenschaft und Politik&lt;/publisher&gt;&lt;urls&gt;&lt;/urls&gt;&lt;/record&gt;&lt;/Cite&gt;&lt;/EndNote&gt;</w:instrText>
      </w:r>
      <w:r w:rsidRPr="003D0703">
        <w:fldChar w:fldCharType="separate"/>
      </w:r>
      <w:r w:rsidRPr="003D0703">
        <w:rPr>
          <w:lang w:val="de-CH"/>
        </w:rPr>
        <w:t xml:space="preserve">Christian Schaller, </w:t>
      </w:r>
      <w:r w:rsidRPr="003D0703">
        <w:rPr>
          <w:i/>
          <w:lang w:val="de-CH"/>
        </w:rPr>
        <w:t>Privat</w:t>
      </w:r>
      <w:r>
        <w:rPr>
          <w:i/>
          <w:lang w:val="de-CH"/>
        </w:rPr>
        <w:t>e Sicherheitsfirmen- Und Militärfirmen in b</w:t>
      </w:r>
      <w:r w:rsidRPr="003D0703">
        <w:rPr>
          <w:i/>
          <w:lang w:val="de-CH"/>
        </w:rPr>
        <w:t>ewaffneten Konflikten</w:t>
      </w:r>
      <w:r w:rsidRPr="003D0703">
        <w:rPr>
          <w:lang w:val="de-CH"/>
        </w:rPr>
        <w:t xml:space="preserve">, </w:t>
      </w:r>
      <w:r w:rsidRPr="003D0703">
        <w:rPr>
          <w:i/>
          <w:lang w:val="de-CH"/>
        </w:rPr>
        <w:t>Swp Studie S24</w:t>
      </w:r>
      <w:r w:rsidRPr="003D0703">
        <w:rPr>
          <w:lang w:val="de-CH"/>
        </w:rPr>
        <w:t xml:space="preserve"> (Berlin: Stiftung Wissenschaft und Politik, 2005).</w:t>
      </w:r>
      <w:r w:rsidRPr="003D0703">
        <w:fldChar w:fldCharType="end"/>
      </w:r>
    </w:p>
  </w:footnote>
  <w:footnote w:id="41">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&lt;EndNote&gt;&lt;Cite&gt;&lt;Author&gt;Percy&lt;/Author&gt;&lt;Year&gt;2007&lt;/Year&gt;&lt;RecNum&gt;314&lt;/RecNum&gt;&lt;Suffix&gt;`, 368&lt;/Suffix&gt;&lt;record&gt;&lt;rec-number&gt;314&lt;/rec-number&gt;&lt;ref-type name="Journal Article"&gt;17&lt;/ref-type&gt;&lt;contributors&gt;&lt;authors&gt;&lt;author&gt;Sarah Percy&lt;/author&gt;&lt;/authors&gt;&lt;/contributors&gt;&lt;titles&gt;&lt;title&gt;Mercenaries: Strong Norm, Weak Law&lt;/title&gt;&lt;secondary-title&gt; International Organization&lt;/secondary-title&gt;&lt;/titles&gt;&lt;pages&gt;367-397&lt;/pages&gt;&lt;volume&gt;61&lt;/volume&gt;&lt;number&gt;4&lt;/number&gt;&lt;dates&gt;&lt;year&gt;2007&lt;/year&gt;&lt;/dates&gt;&lt;urls&gt;&lt;/urls&gt;&lt;/record&gt;&lt;/Cite&gt;&lt;/EndNote&gt;</w:instrText>
      </w:r>
      <w:r w:rsidRPr="003D0703">
        <w:fldChar w:fldCharType="separate"/>
      </w:r>
      <w:r w:rsidRPr="003D0703">
        <w:t>Percy, "Mer</w:t>
      </w:r>
      <w:r>
        <w:t>cenaries: Strong Norm, Weak Law</w:t>
      </w:r>
      <w:r w:rsidRPr="003D0703">
        <w:t>"</w:t>
      </w:r>
      <w:r w:rsidRPr="003D0703">
        <w:fldChar w:fldCharType="end"/>
      </w:r>
      <w:r>
        <w:t>, p. 368</w:t>
      </w:r>
    </w:p>
  </w:footnote>
  <w:footnote w:id="42">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&lt;EndNote&gt;&lt;Cite&gt;&lt;Author&gt;Thomson&lt;/Author&gt;&lt;Year&gt;1994&lt;/Year&gt;&lt;RecNum&gt;22&lt;/RecNum&gt;&lt;Suffix&gt;`, 96&lt;/Suffix&gt;&lt;record&gt;&lt;rec-number&gt;22&lt;/rec-number&gt;&lt;ref-type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Pr="003D0703">
        <w:fldChar w:fldCharType="separate"/>
      </w:r>
      <w:r w:rsidRPr="003D0703">
        <w:t xml:space="preserve">Janice Thomson, </w:t>
      </w:r>
      <w:r w:rsidRPr="003D0703">
        <w:rPr>
          <w:i/>
        </w:rPr>
        <w:t>Mercenaries, Pirates, &amp; Sovereigns</w:t>
      </w:r>
      <w:r w:rsidRPr="003D0703">
        <w:t xml:space="preserve"> (Princeton: Princeton University Press, 1994)</w:t>
      </w:r>
      <w:r>
        <w:t>, p. 96</w:t>
      </w:r>
      <w:r w:rsidRPr="003D0703">
        <w:t>.</w:t>
      </w:r>
      <w:r w:rsidRPr="003D0703">
        <w:fldChar w:fldCharType="end"/>
      </w:r>
    </w:p>
  </w:footnote>
  <w:footnote w:id="43">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&lt;EndNote&gt;&lt;Cite&gt;&lt;Author&gt;Avant&lt;/Author&gt;&lt;Year&gt;2005&lt;/Year&gt;&lt;RecNum&gt;43&lt;/RecNum&gt;&lt;Suffix&gt;`, 3&lt;/Suffix&gt;&lt;record&gt;&lt;rec-number&gt;43&lt;/rec-number&gt;&lt;ref-type name="Book"&gt;6&lt;/ref-type&gt;&lt;contributors&gt;&lt;authors&gt;&lt;author&gt;Avant, Deborah D.&lt;/author&gt;&lt;/authors&gt;&lt;/contributors&gt;&lt;titles&gt;&lt;title&gt;The market for force: the consequences of privatizing security&lt;/title&gt;&lt;/titles&gt;&lt;pages&gt;xiv, 310 p.&lt;/pages&gt;&lt;keywords&gt;&lt;keyword&gt;Private security services.&lt;/keyword&gt;&lt;keyword&gt;Police Contracting out.&lt;/keyword&gt;&lt;keyword&gt;Mercenary troops.&lt;/keyword&gt;&lt;keyword&gt;Internal security.&lt;/keyword&gt;&lt;keyword&gt;National security.&lt;/keyword&gt;&lt;keyword&gt;Contracting out.&lt;/keyword&gt;&lt;keyword&gt;Privatization.&lt;/keyword&gt;&lt;/keywords&gt;&lt;dates&gt;&lt;year&gt;2005&lt;/year&gt;&lt;/dates&gt;&lt;pub-location&gt;Cambridge, UK ; New York&lt;/pub-location&gt;&lt;publisher&gt;Cambridge University Press&lt;/publisher&gt;&lt;isbn&gt;0521850266 (hardbk.)&amp;#xD;0521615356 (pbk.)&lt;/isbn&gt;&lt;accession-num&gt;13933146&lt;/accession-num&gt;&lt;call-num&gt;Jefferson or Adams Bldg General or Area Studies Reading Rms HV8290; .A83 2005&lt;/call-num&gt;&lt;urls&gt;&lt;related-urls&gt;&lt;url&gt;http://www.loc.gov/catdir/enhancements/fy0632/2005045377-d.html&lt;/url&gt;&lt;url&gt;http://www.loc.gov/catdir/enhancements/fy0632/2005045377-t.html&lt;/url&gt;&lt;url&gt;http://www.loc.gov/catdir/enhancements/fy0733/2005045377-b.html&lt;/url&gt;&lt;/related-urls&gt;&lt;/urls&gt;&lt;/record&gt;&lt;/Cite&gt;&lt;/EndNote&gt;</w:instrText>
      </w:r>
      <w:r w:rsidRPr="003D0703">
        <w:fldChar w:fldCharType="separate"/>
      </w:r>
      <w:r w:rsidRPr="003D0703">
        <w:t xml:space="preserve">Deborah D. Avant, </w:t>
      </w:r>
      <w:r w:rsidRPr="003D0703">
        <w:rPr>
          <w:i/>
        </w:rPr>
        <w:t>The Market for Force: The Consequences of Privatizing Security</w:t>
      </w:r>
      <w:r w:rsidRPr="003D0703">
        <w:t xml:space="preserve"> (Cambridge, UK ; New York: Cambridge University Press, 2005)</w:t>
      </w:r>
      <w:r>
        <w:t>, p. 3</w:t>
      </w:r>
      <w:r w:rsidRPr="003D0703">
        <w:t>.</w:t>
      </w:r>
      <w:r w:rsidRPr="003D0703">
        <w:fldChar w:fldCharType="end"/>
      </w:r>
    </w:p>
  </w:footnote>
  <w:footnote w:id="44">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&lt;EndNote&gt;&lt;Cite&gt;&lt;Author&gt;Miller&lt;/Author&gt;&lt;Year&gt;4. July 2007&lt;/Year&gt;&lt;RecNum&gt;235&lt;/RecNum&gt;&lt;record&gt;&lt;rec-number&gt;235&lt;/rec-number&gt;&lt;ref-type name="Newspaper Article"&gt;23&lt;/ref-type&gt;&lt;contributors&gt;&lt;authors&gt;&lt;author&gt;Christian Miller&lt;/author&gt;&lt;/authors&gt;&lt;/contributors&gt;&lt;titles&gt;&lt;title&gt;Contractors outnumber U.S. troops in Iraq&lt;/title&gt;&lt;secondary-title&gt;The Virginian Pilot&lt;/secondary-title&gt;&lt;/titles&gt;&lt;pages&gt;A9&lt;/pages&gt;&lt;dates&gt;&lt;year&gt;4. July 2007&lt;/year&gt;&lt;/dates&gt;&lt;urls&gt;&lt;/urls&gt;&lt;/record&gt;&lt;/Cite&gt;&lt;/EndNote&gt;</w:instrText>
      </w:r>
      <w:r w:rsidRPr="003D0703">
        <w:fldChar w:fldCharType="separate"/>
      </w:r>
      <w:r w:rsidRPr="003D0703">
        <w:t xml:space="preserve">Christian Miller, "Contractors Outnumber U.S. Troops in Iraq," </w:t>
      </w:r>
      <w:r w:rsidRPr="003D0703">
        <w:rPr>
          <w:i/>
        </w:rPr>
        <w:t>The Virginian Pilot</w:t>
      </w:r>
      <w:r w:rsidRPr="003D0703">
        <w:t xml:space="preserve"> 4. July 2007.</w:t>
      </w:r>
      <w:r w:rsidRPr="003D0703">
        <w:fldChar w:fldCharType="end"/>
      </w:r>
    </w:p>
  </w:footnote>
  <w:footnote w:id="45">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&lt;EndNote&gt;&lt;Cite&gt;&lt;Author&gt;Rimli&lt;/Author&gt;&lt;Year&gt;2007&lt;/Year&gt;&lt;RecNum&gt;321&lt;/RecNum&gt;&lt;Suffix&gt;`, 15&lt;/Suffix&gt;&lt;record&gt;&lt;rec-number&gt;321&lt;/rec-number&gt;&lt;ref-type name="Book"&gt;6&lt;/ref-type&gt;&lt;contributors&gt;&lt;authors&gt;&lt;author&gt; Lisa Rimli&lt;/author&gt;&lt;author&gt;Susanne Schmeidel&lt;/author&gt;&lt;/authors&gt;&lt;/contributors&gt;&lt;titles&gt;&lt;title&gt;Private Security Companies and Local Populations&lt;/title&gt;&lt;/titles&gt;&lt;dates&gt;&lt;year&gt;2007&lt;/year&gt;&lt;/dates&gt;&lt;pub-location&gt;Geneva: Swiss Peace&lt;/pub-location&gt;&lt;urls&gt;&lt;/urls&gt;&lt;/record&gt;&lt;/Cite&gt;&lt;/EndNote&gt;</w:instrText>
      </w:r>
      <w:r w:rsidRPr="003D0703">
        <w:fldChar w:fldCharType="separate"/>
      </w:r>
      <w:r w:rsidRPr="003D0703">
        <w:t xml:space="preserve">Lisa </w:t>
      </w:r>
      <w:proofErr w:type="spellStart"/>
      <w:r w:rsidRPr="003D0703">
        <w:t>Rimli</w:t>
      </w:r>
      <w:proofErr w:type="spellEnd"/>
      <w:r w:rsidRPr="003D0703">
        <w:t xml:space="preserve"> and Susanne </w:t>
      </w:r>
      <w:proofErr w:type="spellStart"/>
      <w:r w:rsidRPr="003D0703">
        <w:t>Schmeidel</w:t>
      </w:r>
      <w:proofErr w:type="spellEnd"/>
      <w:r w:rsidRPr="003D0703">
        <w:t xml:space="preserve">, </w:t>
      </w:r>
      <w:r w:rsidRPr="003D0703">
        <w:rPr>
          <w:i/>
        </w:rPr>
        <w:t>Private Security Companies and Local Populations</w:t>
      </w:r>
      <w:r w:rsidRPr="003D0703">
        <w:t xml:space="preserve"> (Geneva: Swiss Peace: 2007)</w:t>
      </w:r>
      <w:r>
        <w:t>, p. 15</w:t>
      </w:r>
      <w:r w:rsidRPr="003D0703">
        <w:t>.</w:t>
      </w:r>
      <w:r w:rsidRPr="003D0703">
        <w:fldChar w:fldCharType="end"/>
      </w:r>
    </w:p>
  </w:footnote>
  <w:footnote w:id="46">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&lt;EndNote&gt;&lt;Cite&gt;&lt;Author&gt;Zarate&lt;/Author&gt;&lt;Year&gt;1998&lt;/Year&gt;&lt;RecNum&gt;336&lt;/RecNum&gt;&lt;Suffix&gt;`, 78-79&lt;/Suffix&gt;&lt;record&gt;&lt;rec-number&gt;336&lt;/rec-number&gt;&lt;ref-type name="Journal Article"&gt;17&lt;/ref-type&gt;&lt;contributors&gt;&lt;authors&gt;&lt;author&gt;Juan Carlos Zarate&lt;/author&gt;&lt;/authors&gt;&lt;/contributors&gt;&lt;titles&gt;&lt;title&gt;The Emergence of a New Dog of War: Private International Security Companies, International Law, and New World Disorder&lt;/title&gt;&lt;secondary-title&gt;Stanford Journal of International Law&lt;/secondary-title&gt;&lt;/titles&gt;&lt;periodical&gt;&lt;full-title&gt;Stanford Journal of International Law&lt;/full-title&gt;&lt;/periodical&gt;&lt;pages&gt;75-162&lt;/pages&gt;&lt;volume&gt;34&lt;/volume&gt;&lt;dates&gt;&lt;year&gt;1998&lt;/year&gt;&lt;/dates&gt;&lt;urls&gt;&lt;/urls&gt;&lt;/record&gt;&lt;/Cite&gt;&lt;/EndNote&gt;</w:instrText>
      </w:r>
      <w:r w:rsidRPr="003D0703">
        <w:fldChar w:fldCharType="separate"/>
      </w:r>
      <w:r w:rsidRPr="003D0703">
        <w:t xml:space="preserve">Juan Carlos Zarate, "The Emergence of a New Dog of War: Private International Security Companies, International Law, and New World Disorder," </w:t>
      </w:r>
      <w:r w:rsidRPr="003D0703">
        <w:rPr>
          <w:i/>
        </w:rPr>
        <w:t>Stanford Journal of International Law</w:t>
      </w:r>
      <w:r w:rsidRPr="003D0703">
        <w:t xml:space="preserve"> 34 (1998)</w:t>
      </w:r>
      <w:r>
        <w:t>, pp. 78-79</w:t>
      </w:r>
      <w:r w:rsidRPr="003D0703">
        <w:t>.</w:t>
      </w:r>
      <w:r w:rsidRPr="003D0703">
        <w:fldChar w:fldCharType="end"/>
      </w:r>
    </w:p>
  </w:footnote>
  <w:footnote w:id="47">
    <w:p w:rsidR="00500211" w:rsidRPr="003D0703" w:rsidRDefault="00500211" w:rsidP="002D24E1">
      <w:pPr>
        <w:autoSpaceDE w:val="0"/>
        <w:autoSpaceDN w:val="0"/>
        <w:adjustRightInd w:val="0"/>
        <w:jc w:val="both"/>
        <w:rPr>
          <w:sz w:val="20"/>
          <w:szCs w:val="20"/>
          <w:lang w:val="en-US"/>
        </w:rPr>
      </w:pPr>
      <w:r w:rsidRPr="003D0703">
        <w:rPr>
          <w:rStyle w:val="FootnoteReference"/>
          <w:sz w:val="20"/>
          <w:szCs w:val="20"/>
        </w:rPr>
        <w:footnoteRef/>
      </w:r>
      <w:r w:rsidRPr="003D0703">
        <w:rPr>
          <w:sz w:val="20"/>
          <w:szCs w:val="20"/>
        </w:rPr>
        <w:t xml:space="preserve"> Even in the 20</w:t>
      </w:r>
      <w:r w:rsidRPr="003D0703">
        <w:rPr>
          <w:sz w:val="20"/>
          <w:szCs w:val="20"/>
          <w:vertAlign w:val="superscript"/>
        </w:rPr>
        <w:t>th</w:t>
      </w:r>
      <w:r w:rsidRPr="003D0703">
        <w:rPr>
          <w:sz w:val="20"/>
          <w:szCs w:val="20"/>
        </w:rPr>
        <w:t xml:space="preserve"> century some armed forces employed foreigners. The United Arabs Emirates, for example, still relied in the 1980’s on officers from Britain, Pakistan and Jordan. Until the 1970’s the Omani army was almost wholly recruited from foreigners. In the French Foreign Legion over one hundred nationalities were present in 1983 </w:t>
      </w:r>
      <w:r w:rsidRPr="003D0703">
        <w:rPr>
          <w:sz w:val="20"/>
          <w:szCs w:val="20"/>
        </w:rPr>
        <w:fldChar w:fldCharType="begin"/>
      </w:r>
      <w:r w:rsidRPr="003D0703">
        <w:rPr>
          <w:sz w:val="20"/>
          <w:szCs w:val="20"/>
        </w:rPr>
        <w:instrText xml:space="preserve"> ADDIN EN.CITE &lt;EndNote&gt;&lt;Cite&gt;&lt;Author&gt;Thomson&lt;/Author&gt;&lt;Year&gt;1994&lt;/Year&gt;&lt;RecNum&gt;22&lt;/RecNum&gt;&lt;Suffix&gt;`, 90-91&lt;/Suffix&gt;&lt;record&gt;&lt;rec-number&gt;22&lt;/rec-number&gt;&lt;ref-type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Pr="003D0703">
        <w:rPr>
          <w:sz w:val="20"/>
          <w:szCs w:val="20"/>
        </w:rPr>
        <w:fldChar w:fldCharType="separate"/>
      </w:r>
      <w:r w:rsidRPr="003D0703">
        <w:rPr>
          <w:sz w:val="20"/>
          <w:szCs w:val="20"/>
        </w:rPr>
        <w:t xml:space="preserve">Thomson, </w:t>
      </w:r>
      <w:r w:rsidRPr="003D0703">
        <w:rPr>
          <w:i/>
          <w:sz w:val="20"/>
          <w:szCs w:val="20"/>
        </w:rPr>
        <w:t>Mercenaries, Pirates, &amp; Sovereigns</w:t>
      </w:r>
      <w:r w:rsidRPr="003D0703">
        <w:rPr>
          <w:sz w:val="20"/>
          <w:szCs w:val="20"/>
        </w:rPr>
        <w:t>.</w:t>
      </w:r>
      <w:r w:rsidRPr="003D0703">
        <w:rPr>
          <w:sz w:val="20"/>
          <w:szCs w:val="20"/>
        </w:rPr>
        <w:fldChar w:fldCharType="end"/>
      </w:r>
    </w:p>
  </w:footnote>
  <w:footnote w:id="48">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&lt;EndNote&gt;&lt;Cite&gt;&lt;Author&gt;Lynch&lt;/Author&gt;&lt;Year&gt;2000&lt;/Year&gt;&lt;RecNum&gt;341&lt;/RecNum&gt;&lt;Suffix&gt;`, 136&lt;/Suffix&gt;&lt;record&gt;&lt;rec-number&gt;341&lt;/rec-number&gt;&lt;ref-type name="Journal Article"&gt;17&lt;/ref-type&gt;&lt;contributors&gt;&lt;authors&gt;&lt;author&gt;Tony Lynch&lt;/author&gt;&lt;author&gt;A.J. Walsh&lt;/author&gt;&lt;/authors&gt;&lt;/contributors&gt;&lt;titles&gt;&lt;title&gt;The Good Mercenary?&lt;/title&gt;&lt;secondary-title&gt;The Journal of Political Philosophy&lt;/secondary-title&gt;&lt;/titles&gt;&lt;periodical&gt;&lt;full-title&gt;The Journal of Political Philosophy&lt;/full-title&gt;&lt;/periodical&gt;&lt;pages&gt;133-153&lt;/pages&gt;&lt;volume&gt;8&lt;/volume&gt;&lt;number&gt;2&lt;/number&gt;&lt;dates&gt;&lt;year&gt;2000&lt;/year&gt;&lt;/dates&gt;&lt;urls&gt;&lt;/urls&gt;&lt;/record&gt;&lt;/Cite&gt;&lt;/EndNote&gt;</w:instrText>
      </w:r>
      <w:r w:rsidRPr="003D0703">
        <w:fldChar w:fldCharType="separate"/>
      </w:r>
      <w:r w:rsidRPr="003D0703">
        <w:t xml:space="preserve">Tony Lynch and A.J. Walsh, "The Good Mercenary?," </w:t>
      </w:r>
      <w:r w:rsidRPr="003D0703">
        <w:rPr>
          <w:i/>
        </w:rPr>
        <w:t>The Journal of Political Philosophy</w:t>
      </w:r>
      <w:r w:rsidRPr="003D0703">
        <w:t xml:space="preserve"> 8, no. 2 (2000)</w:t>
      </w:r>
      <w:r>
        <w:t>, p. 136</w:t>
      </w:r>
      <w:r w:rsidRPr="003D0703">
        <w:t>.</w:t>
      </w:r>
      <w:r w:rsidRPr="003D0703">
        <w:fldChar w:fldCharType="end"/>
      </w:r>
    </w:p>
  </w:footnote>
  <w:footnote w:id="49">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&lt;EndNote&gt;&lt;Cite&gt;&lt;Author&gt;Singer&lt;/Author&gt;&lt;Year&gt;2003&lt;/Year&gt;&lt;RecNum&gt;3&lt;/RecNum&gt;&lt;Suffix&gt;`, 53&lt;/Suffix&gt;&lt;record&gt;&lt;rec-number&gt;3&lt;/rec-number&gt;&lt;ref-type name="Book"&gt;6&lt;/ref-type&gt;&lt;contributors&gt;&lt;authors&gt;&lt;author&gt;Singer, P.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Pr="003D0703">
        <w:fldChar w:fldCharType="separate"/>
      </w:r>
      <w:r w:rsidRPr="003D0703">
        <w:t xml:space="preserve">P. W. Singer, </w:t>
      </w:r>
      <w:r w:rsidRPr="003D0703">
        <w:rPr>
          <w:i/>
        </w:rPr>
        <w:t>Corporate Warriors: The Rise of the Privatized Military Industry</w:t>
      </w:r>
      <w:r w:rsidRPr="003D0703">
        <w:t xml:space="preserve">, </w:t>
      </w:r>
      <w:r w:rsidRPr="003D0703">
        <w:rPr>
          <w:i/>
        </w:rPr>
        <w:t>Cornell Studies in Security Affairs</w:t>
      </w:r>
      <w:r w:rsidRPr="003D0703">
        <w:t xml:space="preserve"> (Ithaca: Cornell University Press, 2003)</w:t>
      </w:r>
      <w:r>
        <w:t>, p. 53</w:t>
      </w:r>
      <w:r w:rsidRPr="003D0703">
        <w:t>.</w:t>
      </w:r>
      <w:r w:rsidRPr="003D0703">
        <w:fldChar w:fldCharType="end"/>
      </w:r>
    </w:p>
  </w:footnote>
  <w:footnote w:id="50">
    <w:p w:rsidR="00500211" w:rsidRPr="003D0703" w:rsidRDefault="00500211">
      <w:pPr>
        <w:pStyle w:val="FootnoteText"/>
      </w:pPr>
      <w:r w:rsidRPr="003D0703">
        <w:rPr>
          <w:rStyle w:val="FootnoteReference"/>
        </w:rPr>
        <w:footnoteRef/>
      </w:r>
      <w:r w:rsidRPr="003D0703">
        <w:t xml:space="preserve"> </w:t>
      </w:r>
      <w:r w:rsidRPr="003D0703">
        <w:fldChar w:fldCharType="begin"/>
      </w:r>
      <w:r w:rsidRPr="003D0703">
        <w:instrText xml:space="preserve"> ADDIN EN.CITE &lt;EndNote&gt;&lt;Cite&gt;&lt;Author&gt;Shearer&lt;/Author&gt;&lt;Year&gt;1998&lt;/Year&gt;&lt;RecNum&gt;51&lt;/RecNum&gt;&lt;record&gt;&lt;rec-number&gt;51&lt;/rec-number&gt;&lt;ref-type name="Book"&gt;6&lt;/ref-type&gt;&lt;contributors&gt;&lt;authors&gt;&lt;author&gt;Shearer, David&lt;/author&gt;&lt;/authors&gt;&lt;/contributors&gt;&lt;titles&gt;&lt;title&gt;Private armies and military intervention&lt;/title&gt;&lt;secondary-title&gt;Adelphi paper,&lt;/secondary-title&gt;&lt;/titles&gt;&lt;pages&gt;88 p.&lt;/pages&gt;&lt;number&gt;316&lt;/number&gt;&lt;keywords&gt;&lt;keyword&gt;Mercenary troops.&lt;/keyword&gt;&lt;keyword&gt;Intervention (International law)&lt;/keyword&gt;&lt;keyword&gt;Civil war.&lt;/keyword&gt;&lt;/keywords&gt;&lt;dates&gt;&lt;year&gt;1998&lt;/year&gt;&lt;/dates&gt;&lt;pub-location&gt;Oxford&amp;#xD;New York&lt;/pub-location&gt;&lt;publisher&gt;Oxford University Press for the International Institute for Strategic Studies&lt;/publisher&gt;&lt;isbn&gt;0198294409 (pbk.)&amp;#xD;0567-932X ;&lt;/isbn&gt;&lt;accession-num&gt;4042505&lt;/accession-num&gt;&lt;call-num&gt;Jefferson or Adams Bldg General or Area Studies Reading Rms U162; .A3 no. 316&lt;/call-num&gt;&lt;urls&gt;&lt;related-urls&gt;&lt;url&gt;http://www.loc.gov/catdir/enhancements/fy0635/98179230-d.html&lt;/url&gt;&lt;url&gt;http://www.loc.gov/catdir/enhancements/fy0635/98179230-t.html&lt;/url&gt;&lt;/related-urls&gt;&lt;/urls&gt;&lt;/record&gt;&lt;/Cite&gt;&lt;/EndNote&gt;</w:instrText>
      </w:r>
      <w:r w:rsidRPr="003D0703">
        <w:fldChar w:fldCharType="separate"/>
      </w:r>
      <w:r w:rsidRPr="003D0703">
        <w:t xml:space="preserve">David Shearer, </w:t>
      </w:r>
      <w:r w:rsidRPr="003D0703">
        <w:rPr>
          <w:i/>
        </w:rPr>
        <w:t>Private Armies and Military Intervention</w:t>
      </w:r>
      <w:r w:rsidRPr="003D0703">
        <w:t xml:space="preserve">, </w:t>
      </w:r>
      <w:r w:rsidRPr="003D0703">
        <w:rPr>
          <w:i/>
        </w:rPr>
        <w:t>Adelphi Paper,</w:t>
      </w:r>
      <w:r w:rsidRPr="003D0703">
        <w:t xml:space="preserve"> (Oxford</w:t>
      </w:r>
    </w:p>
    <w:p w:rsidR="00500211" w:rsidRPr="003D0703" w:rsidRDefault="00500211">
      <w:pPr>
        <w:pStyle w:val="FootnoteText"/>
        <w:rPr>
          <w:lang w:val="en-IE"/>
        </w:rPr>
      </w:pPr>
      <w:r w:rsidRPr="003D0703">
        <w:t>New York: Oxford University Press for the International Institute for Strategic Studies, 1998).</w:t>
      </w:r>
      <w:r w:rsidRPr="003D0703">
        <w:fldChar w:fldCharType="end"/>
      </w:r>
    </w:p>
  </w:footnote>
  <w:footnote w:id="51">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&lt;EndNote&gt;&lt;Cite&gt;&lt;Author&gt;Schreier&lt;/Author&gt;&lt;Year&gt;2005&lt;/Year&gt;&lt;RecNum&gt;52&lt;/RecNum&gt;&lt;Suffix&gt;`, 3-4&lt;/Suffix&gt;&lt;record&gt;&lt;rec-number&gt;52&lt;/rec-number&gt;&lt;ref-type name="Manuscript"&gt;36&lt;/ref-type&gt;&lt;contributors&gt;&lt;authors&gt;&lt;author&gt;Fred Schreier&lt;/author&gt;&lt;author&gt;Marina Caparini&lt;/author&gt;&lt;/authors&gt;&lt;/contributors&gt;&lt;titles&gt;&lt;title&gt;Privatising Security: Law, Practice and Governance of Private Military and Security Companies&lt;/title&gt;&lt;secondary-title&gt;Geneva Centre for the Democratic Control of Armed Forces: Occasional Paper&lt;/secondary-title&gt;&lt;/titles&gt;&lt;num-vols&gt;6&lt;/num-vols&gt;&lt;dates&gt;&lt;year&gt;2005&lt;/year&gt;&lt;/dates&gt;&lt;pub-location&gt;Genva&lt;/pub-location&gt;&lt;urls&gt;&lt;/urls&gt;&lt;/record&gt;&lt;/Cite&gt;&lt;/EndNote&gt;</w:instrText>
      </w:r>
      <w:r w:rsidRPr="003D0703">
        <w:fldChar w:fldCharType="separate"/>
      </w:r>
      <w:r w:rsidRPr="003D0703">
        <w:t xml:space="preserve">Fred </w:t>
      </w:r>
      <w:proofErr w:type="spellStart"/>
      <w:r w:rsidRPr="003D0703">
        <w:t>Schreier</w:t>
      </w:r>
      <w:proofErr w:type="spellEnd"/>
      <w:r w:rsidRPr="003D0703">
        <w:t xml:space="preserve"> and Marina </w:t>
      </w:r>
      <w:proofErr w:type="spellStart"/>
      <w:r w:rsidRPr="003D0703">
        <w:t>Caparini</w:t>
      </w:r>
      <w:proofErr w:type="spellEnd"/>
      <w:r w:rsidRPr="003D0703">
        <w:t>, "</w:t>
      </w:r>
      <w:proofErr w:type="spellStart"/>
      <w:r w:rsidRPr="003D0703">
        <w:t>Privatising</w:t>
      </w:r>
      <w:proofErr w:type="spellEnd"/>
      <w:r w:rsidRPr="003D0703">
        <w:t xml:space="preserve"> Security: Law, Practice and Governance of Private Military and Security Companies," in </w:t>
      </w:r>
      <w:r w:rsidRPr="003D0703">
        <w:rPr>
          <w:i/>
        </w:rPr>
        <w:t>Geneva Centre for the Democratic Control of Armed Forces: Occasional Paper</w:t>
      </w:r>
      <w:r w:rsidRPr="003D0703">
        <w:t xml:space="preserve"> (</w:t>
      </w:r>
      <w:proofErr w:type="spellStart"/>
      <w:r w:rsidRPr="003D0703">
        <w:t>Genva</w:t>
      </w:r>
      <w:proofErr w:type="spellEnd"/>
      <w:r w:rsidRPr="003D0703">
        <w:t>: 2005)</w:t>
      </w:r>
      <w:r>
        <w:t>, pp. 3-4</w:t>
      </w:r>
      <w:r w:rsidRPr="003D0703">
        <w:t>.</w:t>
      </w:r>
      <w:r w:rsidRPr="003D0703">
        <w:fldChar w:fldCharType="end"/>
      </w:r>
    </w:p>
  </w:footnote>
  <w:footnote w:id="52">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&lt;EndNote&gt;&lt;Cite&gt;&lt;Author&gt;Carafano&lt;/Author&gt;&lt;Year&gt;2008&lt;/Year&gt;&lt;RecNum&gt;330&lt;/RecNum&gt;&lt;Suffix&gt;`, 43&lt;/Suffix&gt;&lt;record&gt;&lt;rec-number&gt;330&lt;/rec-number&gt;&lt;ref-type name="Book"&gt;6&lt;/ref-type&gt;&lt;contributors&gt;&lt;authors&gt;&lt;author&gt;Carafano, James Jay&lt;/author&gt;&lt;/authors&gt;&lt;/contributors&gt;&lt;titles&gt;&lt;title&gt;Private sector, public wars : contractors in combat-- Afghanistan, Iraq, and future conflicts&lt;/title&gt;&lt;secondary-title&gt;The changing face of war,&lt;/secondary-title&gt;&lt;/titles&gt;&lt;pages&gt;242 p.&lt;/pages&gt;&lt;keywords&gt;&lt;keyword&gt;Defense industries.&lt;/keyword&gt;&lt;keyword&gt;Contracting out United States.&lt;/keyword&gt;&lt;keyword&gt;Defense contracts Iraq.&lt;/keyword&gt;&lt;keyword&gt;Defense contracts Afghanistan.&lt;/keyword&gt;&lt;keyword&gt;Civil-military relations United States.&lt;/keyword&gt;&lt;keyword&gt;United States Armed Forces Civilian employees.&lt;/keyword&gt;&lt;keyword&gt;Private security services United States.&lt;/keyword&gt;&lt;keyword&gt;Mercenary troops United States.&lt;/keyword&gt;&lt;keyword&gt;United States Armed Forces Procurement.&lt;/keyword&gt;&lt;/keywords&gt;&lt;dates&gt;&lt;year&gt;2008&lt;/year&gt;&lt;/dates&gt;&lt;pub-location&gt;Westport, Conn.&lt;/pub-location&gt;&lt;publisher&gt;Praeger Security International&lt;/publisher&gt;&lt;isbn&gt;9780275994785 (alk. paper)&amp;#xD;0275994783 (alk. paper)&amp;#xD;1937-5271&lt;/isbn&gt;&lt;accession-num&gt;15214433&lt;/accession-num&gt;&lt;call-num&gt;Jefferson or Adams Bldg General or Area Studies Reading Rms HD9743.A2; C24 2008&lt;/call-num&gt;&lt;urls&gt;&lt;/urls&gt;&lt;/record&gt;&lt;/Cite&gt;&lt;/EndNote&gt;</w:instrText>
      </w:r>
      <w:r w:rsidRPr="003D0703">
        <w:fldChar w:fldCharType="separate"/>
      </w:r>
      <w:r w:rsidRPr="003D0703">
        <w:t xml:space="preserve">James Jay Carafano, </w:t>
      </w:r>
      <w:r w:rsidRPr="003D0703">
        <w:rPr>
          <w:i/>
        </w:rPr>
        <w:t>Private Sector, Public Wars : Contractors in Combat-- Afghanistan, Iraq, and Future Conflicts</w:t>
      </w:r>
      <w:r w:rsidRPr="003D0703">
        <w:t xml:space="preserve">, </w:t>
      </w:r>
      <w:r w:rsidRPr="003D0703">
        <w:rPr>
          <w:i/>
        </w:rPr>
        <w:t>The Changing Face of War,</w:t>
      </w:r>
      <w:r w:rsidRPr="003D0703">
        <w:t xml:space="preserve"> (Westport, Conn.: </w:t>
      </w:r>
      <w:proofErr w:type="spellStart"/>
      <w:r w:rsidRPr="003D0703">
        <w:t>Praeger</w:t>
      </w:r>
      <w:proofErr w:type="spellEnd"/>
      <w:r w:rsidRPr="003D0703">
        <w:t xml:space="preserve"> Security International, 2008)</w:t>
      </w:r>
      <w:r>
        <w:t>, p. 43</w:t>
      </w:r>
      <w:r w:rsidRPr="003D0703">
        <w:t>.</w:t>
      </w:r>
      <w:r w:rsidRPr="003D0703">
        <w:fldChar w:fldCharType="end"/>
      </w:r>
    </w:p>
  </w:footnote>
  <w:footnote w:id="53">
    <w:p w:rsidR="00500211" w:rsidRPr="003D0703" w:rsidRDefault="00500211" w:rsidP="002D24E1">
      <w:pPr>
        <w:pStyle w:val="FootnoteText"/>
        <w:jc w:val="both"/>
      </w:pPr>
      <w:r w:rsidRPr="003D0703">
        <w:rPr>
          <w:rStyle w:val="FootnoteReference"/>
        </w:rPr>
        <w:footnoteRef/>
      </w:r>
      <w:r w:rsidRPr="003D0703">
        <w:t xml:space="preserve"> In contrast to mercenaries, PMCs provide a much broader spectrum of services and operate on an open global market within a corporate structure </w:t>
      </w:r>
      <w:r w:rsidRPr="003D0703">
        <w:fldChar w:fldCharType="begin"/>
      </w:r>
      <w:r w:rsidRPr="003D0703">
        <w:instrText xml:space="preserve"> ADDIN EN.CITE &lt;EndNote&gt;&lt;Cite&gt;&lt;Author&gt;Singer&lt;/Author&gt;&lt;Year&gt;2003&lt;/Year&gt;&lt;RecNum&gt;3&lt;/RecNum&gt;&lt;Suffix&gt;`, 45&lt;/Suffix&gt;&lt;record&gt;&lt;rec-number&gt;3&lt;/rec-number&gt;&lt;ref-type name="Book"&gt;6&lt;/ref-type&gt;&lt;contributors&gt;&lt;authors&gt;&lt;author&gt;Singer, P.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Pr="003D0703">
        <w:fldChar w:fldCharType="separate"/>
      </w:r>
      <w:r w:rsidRPr="003D0703">
        <w:t xml:space="preserve">Singer, </w:t>
      </w:r>
      <w:r w:rsidRPr="003D0703">
        <w:rPr>
          <w:i/>
        </w:rPr>
        <w:t>Corporate Warriors: The Rise of the Privatized Military Industry</w:t>
      </w:r>
      <w:r>
        <w:rPr>
          <w:i/>
        </w:rPr>
        <w:t>, p. 45</w:t>
      </w:r>
      <w:r w:rsidRPr="003D0703">
        <w:t>.</w:t>
      </w:r>
      <w:r w:rsidRPr="003D0703">
        <w:fldChar w:fldCharType="end"/>
      </w:r>
      <w:r w:rsidRPr="003D0703">
        <w:t xml:space="preserve"> However, whether the services prohibited by the </w:t>
      </w:r>
      <w:proofErr w:type="spellStart"/>
      <w:r w:rsidRPr="003D0703">
        <w:t>anti mercenary</w:t>
      </w:r>
      <w:proofErr w:type="spellEnd"/>
      <w:r w:rsidRPr="003D0703">
        <w:t xml:space="preserve"> norm are now provided in a more professional corporate manner and are among other non-prohibited services, makes no difference before the norm. Moreover, trading on an open market does not render a practice appropriate.</w:t>
      </w:r>
    </w:p>
  </w:footnote>
  <w:footnote w:id="54">
    <w:p w:rsidR="00500211" w:rsidRPr="003D0703" w:rsidRDefault="00500211" w:rsidP="002D24E1">
      <w:pPr>
        <w:pStyle w:val="FootnoteText"/>
      </w:pPr>
      <w:r w:rsidRPr="003D0703">
        <w:rPr>
          <w:rStyle w:val="FootnoteReference"/>
        </w:rPr>
        <w:footnoteRef/>
      </w:r>
      <w:r w:rsidRPr="003D0703">
        <w:t xml:space="preserve"> This is not to say, that there is analytically a clear cut difference between offensive and defensive force </w:t>
      </w:r>
      <w:r w:rsidRPr="003D0703">
        <w:fldChar w:fldCharType="begin"/>
      </w:r>
      <w:r w:rsidRPr="003D0703">
        <w:instrText xml:space="preserve"> ADDIN EN.CITE &lt;EndNote&gt;&lt;Cite&gt;&lt;Author&gt;Singer&lt;/Author&gt;&lt;Year&gt;2003&lt;/Year&gt;&lt;RecNum&gt;3&lt;/RecNum&gt;&lt;Suffix&gt;-91`, 89-91&lt;/Suffix&gt;&lt;record&gt;&lt;rec-number&gt;3&lt;/rec-number&gt;&lt;ref-type name="Book"&gt;6&lt;/ref-type&gt;&lt;contributors&gt;&lt;authors&gt;&lt;author&gt;Singer, P. W.&lt;/author&gt;&lt;/authors&gt;&lt;/contributors&gt;&lt;titles&gt;&lt;title&gt;Corporate warriors: the rise of the privatized military industry&lt;/title&gt;&lt;secondary-title&gt;Cornell studies in security affairs&lt;/secondary-title&gt;&lt;/titles&gt;&lt;pages&gt;xi, 330 p.&lt;/pages&gt;&lt;keywords&gt;&lt;keyword&gt;Defense industries Privatization.&lt;/keyword&gt;&lt;keyword&gt;Military-industrial complex.&lt;/keyword&gt;&lt;keyword&gt;Defense industries Privatization United States.&lt;/keyword&gt;&lt;keyword&gt;Military-industrial complex United States.&lt;/keyword&gt;&lt;keyword&gt;United States Military policy.&lt;/keyword&gt;&lt;/keywords&gt;&lt;dates&gt;&lt;year&gt;2003&lt;/year&gt;&lt;/dates&gt;&lt;pub-location&gt;Ithaca&lt;/pub-location&gt;&lt;publisher&gt;Cornell University Press&lt;/publisher&gt;&lt;isbn&gt;0801441145 (alk. paper)&lt;/isbn&gt;&lt;accession-num&gt;13053704&lt;/accession-num&gt;&lt;call-num&gt;Jefferson or Adams Bldg General or Area Studies Reading Rms HD9743.A2; S56 2003&lt;/call-num&gt;&lt;urls&gt;&lt;/urls&gt;&lt;/record&gt;&lt;/Cite&gt;&lt;/EndNote&gt;</w:instrText>
      </w:r>
      <w:r w:rsidRPr="003D0703">
        <w:fldChar w:fldCharType="separate"/>
      </w:r>
      <w:r w:rsidRPr="003D0703">
        <w:t>Ibid.</w:t>
      </w:r>
      <w:r w:rsidRPr="003D0703">
        <w:fldChar w:fldCharType="end"/>
      </w:r>
      <w:r w:rsidRPr="003D0703">
        <w:t xml:space="preserve"> The differences are however perceived by the relevant actors. </w:t>
      </w:r>
      <w:r w:rsidRPr="003D0703">
        <w:rPr>
          <w:bCs/>
          <w:color w:val="000000"/>
        </w:rPr>
        <w:fldChar w:fldCharType="begin"/>
      </w:r>
      <w:r w:rsidRPr="003D0703">
        <w:rPr>
          <w:bCs/>
          <w:color w:val="000000"/>
        </w:rPr>
        <w:instrText xml:space="preserve"> ADDIN EN.CITE &lt;EndNote&gt;&lt;Cite&gt;&lt;Author&gt;Committee&lt;/Author&gt;&lt;Year&gt;2002&lt;/Year&gt;&lt;RecNum&gt;345&lt;/RecNum&gt;&lt;record&gt;&lt;rec-number&gt;345&lt;/rec-number&gt;&lt;ref-type name="Report"&gt;27&lt;/ref-type&gt;&lt;contributors&gt;&lt;authors&gt;&lt;author&gt;Foreign Affairs Committee,&lt;/author&gt;&lt;/authors&gt;&lt;/contributors&gt;&lt;titles&gt;&lt;title&gt;Ninth Report of the Foreign Affairs Committee: Private Military Companies&lt;/title&gt;&lt;/titles&gt;&lt;dates&gt;&lt;year&gt;2002&lt;/year&gt;&lt;/dates&gt;&lt;pub-location&gt;London&lt;/pub-location&gt;&lt;publisher&gt;British Parliament&lt;/publisher&gt;&lt;urls&gt;&lt;/urls&gt;&lt;/record&gt;&lt;/Cite&gt;&lt;/EndNote&gt;</w:instrText>
      </w:r>
      <w:r w:rsidRPr="003D0703">
        <w:rPr>
          <w:bCs/>
          <w:color w:val="000000"/>
        </w:rPr>
        <w:fldChar w:fldCharType="separate"/>
      </w:r>
      <w:r w:rsidRPr="003D0703">
        <w:rPr>
          <w:bCs/>
          <w:color w:val="000000"/>
        </w:rPr>
        <w:t>Foreign Affairs Committee, "Ninth Report of the Foreign Affairs Committee: Private Military Companies,"  (London: British Parliament, 2002).</w:t>
      </w:r>
      <w:r w:rsidRPr="003D0703">
        <w:rPr>
          <w:bCs/>
          <w:color w:val="000000"/>
        </w:rPr>
        <w:fldChar w:fldCharType="end"/>
      </w:r>
    </w:p>
  </w:footnote>
  <w:footnote w:id="55">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&lt;EndNote&gt;&lt;Cite&gt;&lt;Author&gt;Pelton&lt;/Author&gt;&lt;Year&gt;2007&lt;/Year&gt;&lt;RecNum&gt;48&lt;/RecNum&gt;&lt;Suffix&gt;`, 109&lt;/Suffix&gt;&lt;record&gt;&lt;rec-number&gt;48&lt;/rec-number&gt;&lt;ref-type name="Book"&gt;6&lt;/ref-type&gt;&lt;contributors&gt;&lt;authors&gt;&lt;author&gt;Pelton, Robert Young&lt;/author&gt;&lt;/authors&gt;&lt;/contributors&gt;&lt;titles&gt;&lt;title&gt;Licensed to kill : hired guns in the war on terror&lt;/title&gt;&lt;/titles&gt;&lt;pages&gt;358 p.&lt;/pages&gt;&lt;edition&gt;1st pbk.&lt;/edition&gt;&lt;keywords&gt;&lt;keyword&gt;War on Terrorism, 2001-&lt;/keyword&gt;&lt;keyword&gt;Iraq War, 2003-&lt;/keyword&gt;&lt;keyword&gt;Mercenary troops United States.&lt;/keyword&gt;&lt;keyword&gt;Mercenary troops Iraq.&lt;/keyword&gt;&lt;keyword&gt;United States Military policy.&lt;/keyword&gt;&lt;/keywords&gt;&lt;dates&gt;&lt;year&gt;2007&lt;/year&gt;&lt;/dates&gt;&lt;pub-location&gt;New York&lt;/pub-location&gt;&lt;publisher&gt;Three Rivers Press&lt;/publisher&gt;&lt;isbn&gt;9781400097821&lt;/isbn&gt;&lt;accession-num&gt;14971272&lt;/accession-num&gt;&lt;call-num&gt;Jefferson or Adams Bldg General or Area Studies Reading Rms HV6432; .P45 2007&lt;/call-num&gt;&lt;urls&gt;&lt;/urls&gt;&lt;/record&gt;&lt;/Cite&gt;&lt;Cite&gt;&lt;Author&gt;Percy&lt;/Author&gt;&lt;Year&gt;2007&lt;/Year&gt;&lt;RecNum&gt;314&lt;/RecNum&gt;&lt;Suffix&gt;`, 227-228&lt;/Suffix&gt;&lt;record&gt;&lt;rec-number&gt;314&lt;/rec-number&gt;&lt;ref-type name="Journal Article"&gt;17&lt;/ref-type&gt;&lt;contributors&gt;&lt;authors&gt;&lt;author&gt;Sarah Percy&lt;/author&gt;&lt;/authors&gt;&lt;/contributors&gt;&lt;titles&gt;&lt;title&gt;Mercenaries: Strong Norm, Weak Law&lt;/title&gt;&lt;secondary-title&gt; International Organization&lt;/secondary-title&gt;&lt;/titles&gt;&lt;pages&gt;367-397&lt;/pages&gt;&lt;volume&gt;61&lt;/volume&gt;&lt;number&gt;4&lt;/number&gt;&lt;dates&gt;&lt;year&gt;2007&lt;/year&gt;&lt;/dates&gt;&lt;urls&gt;&lt;/urls&gt;&lt;/record&gt;&lt;/Cite&gt;&lt;/EndNote&gt;</w:instrText>
      </w:r>
      <w:r w:rsidRPr="003D0703">
        <w:fldChar w:fldCharType="separate"/>
      </w:r>
      <w:r w:rsidRPr="003D0703">
        <w:t xml:space="preserve">Robert Young Pelton, </w:t>
      </w:r>
      <w:r>
        <w:rPr>
          <w:i/>
        </w:rPr>
        <w:t>Licensed to Kill</w:t>
      </w:r>
      <w:r w:rsidRPr="003D0703">
        <w:rPr>
          <w:i/>
        </w:rPr>
        <w:t>: Hired Guns in the War on Terror</w:t>
      </w:r>
      <w:r w:rsidRPr="003D0703">
        <w:t xml:space="preserve">, 1st </w:t>
      </w:r>
      <w:proofErr w:type="spellStart"/>
      <w:r w:rsidRPr="003D0703">
        <w:t>pbk</w:t>
      </w:r>
      <w:proofErr w:type="spellEnd"/>
      <w:r w:rsidRPr="003D0703">
        <w:t>. ed. (New York: Three Rivers Press, 2007), Percy, "Mer</w:t>
      </w:r>
      <w:r>
        <w:t>cenaries: Strong Norm, Weak Law,</w:t>
      </w:r>
      <w:r w:rsidRPr="003D0703">
        <w:t>"</w:t>
      </w:r>
      <w:r w:rsidRPr="003D0703">
        <w:fldChar w:fldCharType="end"/>
      </w:r>
      <w:r>
        <w:t xml:space="preserve"> p. 109.</w:t>
      </w:r>
    </w:p>
  </w:footnote>
  <w:footnote w:id="56">
    <w:p w:rsidR="00500211" w:rsidRPr="003D0703" w:rsidRDefault="00500211" w:rsidP="002D24E1">
      <w:pPr>
        <w:pStyle w:val="FootnoteText"/>
      </w:pPr>
      <w:r w:rsidRPr="003D0703">
        <w:rPr>
          <w:rStyle w:val="FootnoteReference"/>
        </w:rPr>
        <w:footnoteRef/>
      </w:r>
      <w:r w:rsidRPr="003D0703">
        <w:t xml:space="preserve"> </w:t>
      </w:r>
      <w:hyperlink r:id="rId1" w:history="1">
        <w:r w:rsidRPr="003D0703">
          <w:rPr>
            <w:rStyle w:val="Hyperlink"/>
          </w:rPr>
          <w:t>http://www.eda.admin.ch/eda/en/home/topics/intla/humlaw/pse/parsta.html</w:t>
        </w:r>
      </w:hyperlink>
      <w:r w:rsidRPr="003D0703">
        <w:t xml:space="preserve"> (Accessed: 4/26/09).</w:t>
      </w:r>
    </w:p>
  </w:footnote>
  <w:footnote w:id="57">
    <w:p w:rsidR="00500211" w:rsidRPr="003D0703" w:rsidRDefault="00500211" w:rsidP="002D24E1">
      <w:pPr>
        <w:pStyle w:val="FootnoteText"/>
      </w:pPr>
      <w:r w:rsidRPr="003D0703">
        <w:rPr>
          <w:rStyle w:val="FootnoteReference"/>
        </w:rPr>
        <w:footnoteRef/>
      </w:r>
      <w:r w:rsidRPr="003D0703">
        <w:t xml:space="preserve"> </w:t>
      </w:r>
      <w:hyperlink r:id="rId2" w:history="1">
        <w:r w:rsidRPr="003D0703">
          <w:rPr>
            <w:rStyle w:val="Hyperlink"/>
          </w:rPr>
          <w:t>http://www.icrc.org/web/eng/siteeng0.nsf/htmlall/montreux-document-170908</w:t>
        </w:r>
      </w:hyperlink>
      <w:r w:rsidRPr="003D0703">
        <w:t xml:space="preserve"> (Accessed: 4/26/09)</w:t>
      </w:r>
    </w:p>
  </w:footnote>
  <w:footnote w:id="58">
    <w:p w:rsidR="00500211" w:rsidRPr="0000370B" w:rsidRDefault="00500211" w:rsidP="00C41F93">
      <w:pPr>
        <w:pStyle w:val="FootnoteText"/>
      </w:pPr>
      <w:r>
        <w:rPr>
          <w:rStyle w:val="FootnoteReference"/>
        </w:rPr>
        <w:footnoteRef/>
      </w:r>
      <w:r>
        <w:t xml:space="preserve"> Sarah Perce, </w:t>
      </w:r>
      <w:r w:rsidRPr="0000370B">
        <w:rPr>
          <w:i/>
        </w:rPr>
        <w:t>Mercenaries</w:t>
      </w:r>
      <w:r>
        <w:t>, (Oxford: Oxford University Press, 2007), p. 227.</w:t>
      </w:r>
    </w:p>
  </w:footnote>
  <w:footnote w:id="59">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&lt;EndNote&gt;&lt;Cite&gt;&lt;Author&gt;Rasor&lt;/Author&gt;&lt;Year&gt;2007&lt;/Year&gt;&lt;RecNum&gt;315&lt;/RecNum&gt;&lt;Suffix&gt;`, 120&lt;/Suffix&gt;&lt;record&gt;&lt;rec-number&gt;315&lt;/rec-number&gt;&lt;ref-type name="Book"&gt;6&lt;/ref-type&gt;&lt;contributors&gt;&lt;authors&gt;&lt;author&gt;Rasor, Dina&lt;/author&gt;&lt;author&gt;Bauman, Robert&lt;/author&gt;&lt;/authors&gt;&lt;/contributors&gt;&lt;titles&gt;&lt;title&gt;Betraying our troops : the destructive results of privatizing war&lt;/title&gt;&lt;/titles&gt;&lt;pages&gt;xiii, 274 p.&lt;/pages&gt;&lt;edition&gt;1st&lt;/edition&gt;&lt;keywords&gt;&lt;keyword&gt;United States. Army Supplies and stores History 21st century.&lt;/keyword&gt;&lt;keyword&gt;United States. Army Transportation History 21st century.&lt;/keyword&gt;&lt;keyword&gt;Iraq War, 2003- Logistics United States.&lt;/keyword&gt;&lt;keyword&gt;Privatization United States.&lt;/keyword&gt;&lt;keyword&gt;Contracting out United States.&lt;/keyword&gt;&lt;/keywords&gt;&lt;dates&gt;&lt;year&gt;2007&lt;/year&gt;&lt;/dates&gt;&lt;pub-location&gt;New York&lt;/pub-location&gt;&lt;publisher&gt;Palgrave Macmillan&lt;/publisher&gt;&lt;isbn&gt;9781403981929&amp;#xD;1403981922&lt;/isbn&gt;&lt;accession-num&gt;14685446&lt;/accession-num&gt;&lt;call-num&gt;Jefferson or Adams Bldg General or Area Studies Reading Rms UC23 2003-; .R37 2007&lt;/call-num&gt;&lt;urls&gt;&lt;related-urls&gt;&lt;url&gt;http://www.loc.gov/catdir/enhancements/fy0705/2007000063-b.html&lt;/url&gt;&lt;url&gt;http://www.loc.gov/catdir/enhancements/fy0705/2007000063-d.html&lt;/url&gt;&lt;url&gt;http://www.loc.gov/catdir/enhancements/fy0708/2007000063-t.html&lt;/url&gt;&lt;/related-urls&gt;&lt;/urls&gt;&lt;/record&gt;&lt;/Cite&gt;&lt;/EndNote&gt;</w:instrText>
      </w:r>
      <w:r w:rsidRPr="003D0703">
        <w:fldChar w:fldCharType="separate"/>
      </w:r>
      <w:r w:rsidRPr="003D0703">
        <w:t xml:space="preserve">Dina </w:t>
      </w:r>
      <w:proofErr w:type="spellStart"/>
      <w:r w:rsidRPr="003D0703">
        <w:t>Rasor</w:t>
      </w:r>
      <w:proofErr w:type="spellEnd"/>
      <w:r w:rsidRPr="003D0703">
        <w:t xml:space="preserve"> and Robert Bauman, </w:t>
      </w:r>
      <w:r w:rsidRPr="003D0703">
        <w:rPr>
          <w:i/>
        </w:rPr>
        <w:t>Betraying Our Troops : The Destructive Results of Privatizing War</w:t>
      </w:r>
      <w:r w:rsidRPr="003D0703">
        <w:t>, 1st ed. (New York: Palgrave Macmillan, 2007)</w:t>
      </w:r>
      <w:r>
        <w:t>, p. 120</w:t>
      </w:r>
      <w:r w:rsidRPr="003D0703">
        <w:t>.</w:t>
      </w:r>
      <w:r w:rsidRPr="003D0703">
        <w:fldChar w:fldCharType="end"/>
      </w:r>
    </w:p>
  </w:footnote>
  <w:footnote w:id="60">
    <w:p w:rsidR="00500211" w:rsidRPr="003D0703" w:rsidRDefault="00500211" w:rsidP="002D24E1">
      <w:pPr>
        <w:pStyle w:val="FootnoteText"/>
        <w:jc w:val="both"/>
      </w:pPr>
      <w:r w:rsidRPr="003D0703">
        <w:rPr>
          <w:rStyle w:val="FootnoteReference"/>
        </w:rPr>
        <w:footnoteRef/>
      </w:r>
      <w:r w:rsidRPr="003D0703">
        <w:t xml:space="preserve"> </w:t>
      </w:r>
      <w:r w:rsidRPr="003D0703">
        <w:rPr>
          <w:rFonts w:cs="RealpageTIM1"/>
        </w:rPr>
        <w:t xml:space="preserve">It is often argued that the normative change towards a liberal agenda led to a privatization revolution. However, privatization or liberalization </w:t>
      </w:r>
      <w:proofErr w:type="gramStart"/>
      <w:r w:rsidRPr="003D0703">
        <w:rPr>
          <w:rFonts w:cs="RealpageTIM1"/>
        </w:rPr>
        <w:t>are</w:t>
      </w:r>
      <w:proofErr w:type="gramEnd"/>
      <w:r w:rsidRPr="003D0703">
        <w:rPr>
          <w:rFonts w:cs="RealpageTIM1"/>
        </w:rPr>
        <w:t xml:space="preserve"> not norms giving precise guidelines for behavior. These are belief systems containing a variety of general principles. Indeed, economic liberalism contains a general standard of behavior, asserting</w:t>
      </w:r>
      <w:r w:rsidRPr="003D0703" w:rsidDel="002F543C">
        <w:rPr>
          <w:rFonts w:cs="RealpageTIM1"/>
        </w:rPr>
        <w:t xml:space="preserve"> </w:t>
      </w:r>
      <w:r w:rsidRPr="003D0703">
        <w:rPr>
          <w:rFonts w:cs="RealpageTIM1"/>
        </w:rPr>
        <w:t>that market competition maximizes efficiency and effectiveness.</w:t>
      </w:r>
    </w:p>
  </w:footnote>
  <w:footnote w:id="61">
    <w:p w:rsidR="00500211" w:rsidRPr="003D0703" w:rsidRDefault="00500211">
      <w:pPr>
        <w:pStyle w:val="FootnoteText"/>
        <w:rPr>
          <w:lang w:val="en-IE"/>
        </w:rPr>
      </w:pPr>
      <w:r w:rsidRPr="003D0703">
        <w:rPr>
          <w:rStyle w:val="FootnoteReference"/>
        </w:rPr>
        <w:footnoteRef/>
      </w:r>
      <w:r w:rsidRPr="003D0703">
        <w:t xml:space="preserve"> </w:t>
      </w:r>
      <w:r w:rsidRPr="003D0703">
        <w:rPr>
          <w:rFonts w:cs="RealpageTIM1"/>
        </w:rPr>
        <w:fldChar w:fldCharType="begin"/>
      </w:r>
      <w:r w:rsidRPr="003D0703">
        <w:rPr>
          <w:rFonts w:cs="RealpageTIM1"/>
        </w:rPr>
        <w:instrText xml:space="preserve"> ADDIN EN.CITE &lt;EndNote&gt;&lt;Cite&gt;&lt;Author&gt;Schneckener&lt;/Author&gt;&lt;Year&gt;2006&lt;/Year&gt;&lt;RecNum&gt;606&lt;/RecNum&gt;&lt;Suffix&gt;`, 32&lt;/Suffix&gt;&lt;record&gt;&lt;rec-number&gt;606&lt;/rec-number&gt;&lt;ref-type name="Book Section"&gt;5&lt;/ref-type&gt;&lt;contributors&gt;&lt;authors&gt;&lt;author&gt;Ulrich Schneckener&lt;/author&gt;&lt;/authors&gt;&lt;secondary-authors&gt;&lt;author&gt;Alan Bryden&lt;/author&gt;&lt;author&gt;Marina Caparini&lt;/author&gt;&lt;/secondary-authors&gt;&lt;/contributors&gt;&lt;titles&gt;&lt;title&gt;Fragile Statehood, Armed Non-State actors and Security Governance&lt;/title&gt;&lt;secondary-title&gt;Private Actors and Security Governance&lt;/secondary-title&gt;&lt;/titles&gt;&lt;pages&gt;23-40&lt;/pages&gt;&lt;dates&gt;&lt;year&gt;2006&lt;/year&gt;&lt;/dates&gt;&lt;pub-location&gt;Zurich&lt;/pub-location&gt;&lt;publisher&gt;Lit Verlag&lt;/publisher&gt;&lt;urls&gt;&lt;/urls&gt;&lt;/record&gt;&lt;/Cite&gt;&lt;/EndNote&gt;</w:instrText>
      </w:r>
      <w:r w:rsidRPr="003D0703">
        <w:rPr>
          <w:rFonts w:cs="RealpageTIM1"/>
        </w:rPr>
        <w:fldChar w:fldCharType="separate"/>
      </w:r>
      <w:r w:rsidRPr="003D0703">
        <w:rPr>
          <w:rFonts w:cs="RealpageTIM1"/>
        </w:rPr>
        <w:t xml:space="preserve">Ulrich </w:t>
      </w:r>
      <w:proofErr w:type="spellStart"/>
      <w:r w:rsidRPr="003D0703">
        <w:rPr>
          <w:rFonts w:cs="RealpageTIM1"/>
        </w:rPr>
        <w:t>Schneckener</w:t>
      </w:r>
      <w:proofErr w:type="spellEnd"/>
      <w:r w:rsidRPr="003D0703">
        <w:rPr>
          <w:rFonts w:cs="RealpageTIM1"/>
        </w:rPr>
        <w:t xml:space="preserve">, "Fragile Statehood, Armed Non-State Actors and Security Governance," in </w:t>
      </w:r>
      <w:r w:rsidRPr="003D0703">
        <w:rPr>
          <w:rFonts w:cs="RealpageTIM1"/>
          <w:i/>
        </w:rPr>
        <w:t>Private Actors and Security Governance</w:t>
      </w:r>
      <w:r w:rsidRPr="003D0703">
        <w:rPr>
          <w:rFonts w:cs="RealpageTIM1"/>
        </w:rPr>
        <w:t xml:space="preserve">, ed. Alan </w:t>
      </w:r>
      <w:proofErr w:type="spellStart"/>
      <w:r w:rsidRPr="003D0703">
        <w:rPr>
          <w:rFonts w:cs="RealpageTIM1"/>
        </w:rPr>
        <w:t>Bryden</w:t>
      </w:r>
      <w:proofErr w:type="spellEnd"/>
      <w:r w:rsidRPr="003D0703">
        <w:rPr>
          <w:rFonts w:cs="RealpageTIM1"/>
        </w:rPr>
        <w:t xml:space="preserve"> and Marina </w:t>
      </w:r>
      <w:proofErr w:type="spellStart"/>
      <w:r w:rsidRPr="003D0703">
        <w:rPr>
          <w:rFonts w:cs="RealpageTIM1"/>
        </w:rPr>
        <w:t>Caparini</w:t>
      </w:r>
      <w:proofErr w:type="spellEnd"/>
      <w:r w:rsidRPr="003D0703">
        <w:rPr>
          <w:rFonts w:cs="RealpageTIM1"/>
        </w:rPr>
        <w:t xml:space="preserve"> (Zurich: Lit </w:t>
      </w:r>
      <w:proofErr w:type="spellStart"/>
      <w:r w:rsidRPr="003D0703">
        <w:rPr>
          <w:rFonts w:cs="RealpageTIM1"/>
        </w:rPr>
        <w:t>Verlag</w:t>
      </w:r>
      <w:proofErr w:type="spellEnd"/>
      <w:r w:rsidRPr="003D0703">
        <w:rPr>
          <w:rFonts w:cs="RealpageTIM1"/>
        </w:rPr>
        <w:t>, 2006)</w:t>
      </w:r>
      <w:r>
        <w:rPr>
          <w:rFonts w:cs="RealpageTIM1"/>
        </w:rPr>
        <w:t>, p. 32</w:t>
      </w:r>
      <w:r w:rsidRPr="003D0703">
        <w:rPr>
          <w:rFonts w:cs="RealpageTIM1"/>
        </w:rPr>
        <w:t>.</w:t>
      </w:r>
      <w:r w:rsidRPr="003D0703">
        <w:rPr>
          <w:rFonts w:cs="RealpageTIM1"/>
        </w:rPr>
        <w:fldChar w:fldCharType="end"/>
      </w:r>
    </w:p>
  </w:footnote>
  <w:footnote w:id="62">
    <w:p w:rsidR="00500211" w:rsidRPr="003D0703" w:rsidRDefault="00500211">
      <w:pPr>
        <w:pStyle w:val="FootnoteText"/>
        <w:rPr>
          <w:lang w:val="en-IE"/>
        </w:rPr>
      </w:pPr>
      <w:r w:rsidRPr="003D0703">
        <w:rPr>
          <w:rStyle w:val="FootnoteReference"/>
        </w:rPr>
        <w:footnoteRef/>
      </w:r>
      <w:r w:rsidRPr="003D0703">
        <w:t xml:space="preserve"> </w:t>
      </w:r>
      <w:r w:rsidRPr="003D0703">
        <w:rPr>
          <w:rFonts w:cs="AdvPS94BA"/>
        </w:rPr>
        <w:fldChar w:fldCharType="begin"/>
      </w:r>
      <w:r w:rsidRPr="003D0703">
        <w:rPr>
          <w:rFonts w:cs="AdvPS94BA"/>
        </w:rPr>
        <w:instrText xml:space="preserve"> ADDIN EN.CITE &lt;EndNote&gt;&lt;Cite&gt;&lt;Author&gt;Pattison&lt;/Author&gt;&lt;Year&gt;2008&lt;/Year&gt;&lt;RecNum&gt;607&lt;/RecNum&gt;&lt;Suffix&gt;`, 151&lt;/Suffix&gt;&lt;record&gt;&lt;rec-number&gt;607&lt;/rec-number&gt;&lt;ref-type name="Journal Article"&gt;17&lt;/ref-type&gt;&lt;contributors&gt;&lt;authors&gt;&lt;author&gt;James Pattison&lt;/author&gt;&lt;/authors&gt;&lt;/contributors&gt;&lt;titles&gt;&lt;title&gt;Just War Theory and the Privatization of Military Force&lt;/title&gt;&lt;secondary-title&gt;Ethics and International Affairs&lt;/secondary-title&gt;&lt;/titles&gt;&lt;periodical&gt;&lt;full-title&gt;Ethics and International Affairs&lt;/full-title&gt;&lt;/periodical&gt;&lt;pages&gt;143–162&lt;/pages&gt;&lt;volume&gt;22&lt;/volume&gt;&lt;number&gt;2&lt;/number&gt;&lt;dates&gt;&lt;year&gt;2008&lt;/year&gt;&lt;/dates&gt;&lt;urls&gt;&lt;/urls&gt;&lt;/record&gt;&lt;/Cite&gt;&lt;/EndNote&gt;</w:instrText>
      </w:r>
      <w:r w:rsidRPr="003D0703">
        <w:rPr>
          <w:rFonts w:cs="AdvPS94BA"/>
        </w:rPr>
        <w:fldChar w:fldCharType="separate"/>
      </w:r>
      <w:r w:rsidRPr="003D0703">
        <w:rPr>
          <w:rFonts w:cs="AdvPS94BA"/>
        </w:rPr>
        <w:t xml:space="preserve">James Pattison, "Just War Theory and the Privatization of Military Force," </w:t>
      </w:r>
      <w:r w:rsidRPr="003D0703">
        <w:rPr>
          <w:rFonts w:cs="AdvPS94BA"/>
          <w:i/>
        </w:rPr>
        <w:t>Ethics and International Affairs</w:t>
      </w:r>
      <w:r w:rsidRPr="003D0703">
        <w:rPr>
          <w:rFonts w:cs="AdvPS94BA"/>
        </w:rPr>
        <w:t xml:space="preserve"> 22, no. 2 (2008)</w:t>
      </w:r>
      <w:r>
        <w:rPr>
          <w:rFonts w:cs="AdvPS94BA"/>
        </w:rPr>
        <w:t>, p. 151</w:t>
      </w:r>
      <w:r w:rsidRPr="003D0703">
        <w:rPr>
          <w:rFonts w:cs="AdvPS94BA"/>
        </w:rPr>
        <w:t>.</w:t>
      </w:r>
      <w:r w:rsidRPr="003D0703">
        <w:rPr>
          <w:rFonts w:cs="AdvPS94BA"/>
        </w:rPr>
        <w:fldChar w:fldCharType="end"/>
      </w:r>
    </w:p>
  </w:footnote>
  <w:footnote w:id="63">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&lt;EndNote&gt;&lt;Cite&gt;&lt;Author&gt;Simma&lt;/Author&gt;&lt;Year&gt;1999&lt;/Year&gt;&lt;RecNum&gt;393&lt;/RecNum&gt;&lt;Suffix&gt;`, 2&lt;/Suffix&gt;&lt;record&gt;&lt;rec-number&gt;393&lt;/rec-number&gt;&lt;ref-type name="Journal Article"&gt;17&lt;/ref-type&gt;&lt;contributors&gt;&lt;authors&gt;&lt;author&gt;Simma, Bruno&lt;/author&gt;&lt;/authors&gt;&lt;/contributors&gt;&lt;titles&gt;&lt;title&gt;NATO, the UN and the Use of Force: Legal Aspects&lt;/title&gt;&lt;secondary-title&gt;European Journal of International Law&lt;/secondary-title&gt;&lt;/titles&gt;&lt;periodical&gt;&lt;full-title&gt;European Journal of International Law&lt;/full-title&gt;&lt;/periodical&gt;&lt;pages&gt;1-22&lt;/pages&gt;&lt;volume&gt;10&lt;/volume&gt;&lt;dates&gt;&lt;year&gt;1999&lt;/year&gt;&lt;/dates&gt;&lt;urls&gt;&lt;/urls&gt;&lt;/record&gt;&lt;/Cite&gt;&lt;/EndNote&gt;</w:instrText>
      </w:r>
      <w:r w:rsidRPr="003D0703">
        <w:fldChar w:fldCharType="separate"/>
      </w:r>
      <w:r>
        <w:t xml:space="preserve">Bruno </w:t>
      </w:r>
      <w:proofErr w:type="spellStart"/>
      <w:r>
        <w:t>Simma</w:t>
      </w:r>
      <w:proofErr w:type="spellEnd"/>
      <w:r>
        <w:t>, "</w:t>
      </w:r>
      <w:proofErr w:type="spellStart"/>
      <w:r>
        <w:t>Nato</w:t>
      </w:r>
      <w:proofErr w:type="spellEnd"/>
      <w:r>
        <w:t>, the UN</w:t>
      </w:r>
      <w:r w:rsidRPr="003D0703">
        <w:t xml:space="preserve"> and the Use of Force: Legal Aspects," </w:t>
      </w:r>
      <w:r w:rsidRPr="003D0703">
        <w:rPr>
          <w:i/>
        </w:rPr>
        <w:t>European Journal of International Law</w:t>
      </w:r>
      <w:r w:rsidRPr="003D0703">
        <w:t xml:space="preserve"> 10 (1999)</w:t>
      </w:r>
      <w:r>
        <w:t>, p. 2</w:t>
      </w:r>
      <w:r w:rsidRPr="003D0703">
        <w:t>.</w:t>
      </w:r>
      <w:r w:rsidRPr="003D0703">
        <w:fldChar w:fldCharType="end"/>
      </w:r>
    </w:p>
  </w:footnote>
  <w:footnote w:id="64">
    <w:p w:rsidR="00500211" w:rsidRPr="003D0703" w:rsidRDefault="00500211" w:rsidP="002D24E1">
      <w:pPr>
        <w:tabs>
          <w:tab w:val="left" w:pos="3080"/>
        </w:tabs>
        <w:autoSpaceDE w:val="0"/>
        <w:autoSpaceDN w:val="0"/>
        <w:adjustRightInd w:val="0"/>
        <w:jc w:val="both"/>
        <w:rPr>
          <w:sz w:val="20"/>
          <w:szCs w:val="20"/>
          <w:lang w:val="en-US"/>
        </w:rPr>
      </w:pPr>
      <w:r w:rsidRPr="003D0703">
        <w:rPr>
          <w:rStyle w:val="FootnoteReference"/>
          <w:sz w:val="20"/>
          <w:szCs w:val="20"/>
        </w:rPr>
        <w:footnoteRef/>
      </w:r>
      <w:r w:rsidRPr="003D0703">
        <w:rPr>
          <w:sz w:val="20"/>
          <w:szCs w:val="20"/>
        </w:rPr>
        <w:t xml:space="preserve"> </w:t>
      </w:r>
      <w:r w:rsidRPr="003D0703">
        <w:rPr>
          <w:sz w:val="20"/>
          <w:szCs w:val="20"/>
          <w:lang w:val="en-US"/>
        </w:rPr>
        <w:t xml:space="preserve">The non-intervention norm was confirmed in various documents by the majority of the UN General Assembly and </w:t>
      </w:r>
      <w:r w:rsidRPr="003D0703">
        <w:rPr>
          <w:sz w:val="20"/>
          <w:szCs w:val="20"/>
          <w:lang w:val="en-CA"/>
        </w:rPr>
        <w:t xml:space="preserve">was even incorporated in the Charter of the Organisation of African States and the Final Act of the Helsinki Conference in 1975 </w:t>
      </w:r>
      <w:r w:rsidRPr="003D0703">
        <w:rPr>
          <w:sz w:val="20"/>
          <w:szCs w:val="20"/>
          <w:lang w:val="en-CA"/>
        </w:rPr>
        <w:fldChar w:fldCharType="begin"/>
      </w:r>
      <w:r w:rsidRPr="003D0703">
        <w:rPr>
          <w:sz w:val="20"/>
          <w:szCs w:val="20"/>
          <w:lang w:val="en-CA"/>
        </w:rPr>
        <w:instrText xml:space="preserve"> ADDIN EN.CITE &lt;EndNote&gt;&lt;Cite&gt;&lt;Author&gt;Pease&lt;/Author&gt;&lt;Year&gt;1993&lt;/Year&gt;&lt;RecNum&gt;394&lt;/RecNum&gt;&lt;Suffix&gt;`, 292&lt;/Suffix&gt;&lt;record&gt;&lt;rec-number&gt;394&lt;/rec-number&gt;&lt;ref-type name="Journal Article"&gt;17&lt;/ref-type&gt;&lt;contributors&gt;&lt;authors&gt;&lt;author&gt;Kelly Pease&lt;/author&gt;&lt;author&gt;David Forsythe&lt;/author&gt;&lt;/authors&gt;&lt;/contributors&gt;&lt;titles&gt;&lt;title&gt;Human Rights, Humanitarian Interventions, and World Politics&lt;/title&gt;&lt;secondary-title&gt;Human Rights Quarterly&lt;/secondary-title&gt;&lt;/titles&gt;&lt;periodical&gt;&lt;full-title&gt;Human Rights Quarterly&lt;/full-title&gt;&lt;/periodical&gt;&lt;pages&gt;290-314&lt;/pages&gt;&lt;volume&gt;15&lt;/volume&gt;&lt;number&gt;2&lt;/number&gt;&lt;dates&gt;&lt;year&gt;1993&lt;/year&gt;&lt;/dates&gt;&lt;urls&gt;&lt;/urls&gt;&lt;/record&gt;&lt;/Cite&gt;&lt;/EndNote&gt;</w:instrText>
      </w:r>
      <w:r w:rsidRPr="003D0703">
        <w:rPr>
          <w:sz w:val="20"/>
          <w:szCs w:val="20"/>
          <w:lang w:val="en-CA"/>
        </w:rPr>
        <w:fldChar w:fldCharType="separate"/>
      </w:r>
      <w:r w:rsidRPr="003D0703">
        <w:rPr>
          <w:sz w:val="20"/>
          <w:szCs w:val="20"/>
          <w:lang w:val="en-CA"/>
        </w:rPr>
        <w:t xml:space="preserve">Kelly Pease and David Forsythe, "Human Rights, Humanitarian Interventions, and World Politics," </w:t>
      </w:r>
      <w:r w:rsidRPr="003D0703">
        <w:rPr>
          <w:i/>
          <w:sz w:val="20"/>
          <w:szCs w:val="20"/>
          <w:lang w:val="en-CA"/>
        </w:rPr>
        <w:t>Human Rights Quarterly</w:t>
      </w:r>
      <w:r w:rsidRPr="003D0703">
        <w:rPr>
          <w:sz w:val="20"/>
          <w:szCs w:val="20"/>
          <w:lang w:val="en-CA"/>
        </w:rPr>
        <w:t xml:space="preserve"> 15, no. 2 (1993).</w:t>
      </w:r>
      <w:r w:rsidRPr="003D0703">
        <w:rPr>
          <w:sz w:val="20"/>
          <w:szCs w:val="20"/>
          <w:lang w:val="en-CA"/>
        </w:rPr>
        <w:fldChar w:fldCharType="end"/>
      </w:r>
      <w:r w:rsidRPr="003D0703">
        <w:rPr>
          <w:sz w:val="20"/>
          <w:szCs w:val="20"/>
          <w:lang w:val="en-CA"/>
        </w:rPr>
        <w:t xml:space="preserve"> </w:t>
      </w:r>
    </w:p>
  </w:footnote>
  <w:footnote w:id="65">
    <w:p w:rsidR="00500211" w:rsidRPr="003D0703" w:rsidRDefault="00500211">
      <w:pPr>
        <w:pStyle w:val="FootnoteText"/>
        <w:rPr>
          <w:lang w:val="en-IE"/>
        </w:rPr>
      </w:pPr>
      <w:r w:rsidRPr="003D0703">
        <w:rPr>
          <w:rStyle w:val="FootnoteReference"/>
        </w:rPr>
        <w:footnoteRef/>
      </w:r>
      <w:r w:rsidRPr="003D0703">
        <w:t xml:space="preserve"> </w:t>
      </w:r>
      <w:r w:rsidRPr="003D0703">
        <w:rPr>
          <w:lang w:val="en-CA"/>
        </w:rPr>
        <w:fldChar w:fldCharType="begin"/>
      </w:r>
      <w:r w:rsidRPr="003D0703">
        <w:rPr>
          <w:lang w:val="en-CA"/>
        </w:rPr>
        <w:instrText xml:space="preserve"> ADDIN EN.CITE &lt;EndNote&gt;&lt;Cite&gt;&lt;Author&gt;Ramsbotham&lt;/Author&gt;&lt;Year&gt;1996&lt;/Year&gt;&lt;RecNum&gt;445&lt;/RecNum&gt;&lt;Suffix&gt;`, 45&lt;/Suffix&gt;&lt;record&gt;&lt;rec-number&gt;445&lt;/rec-number&gt;&lt;ref-type name="Book"&gt;6&lt;/ref-type&gt;&lt;contributors&gt;&lt;authors&gt;&lt;author&gt;Ramsbotham, Oliver&lt;/author&gt;&lt;author&gt;Woodhouse, Tom&lt;/author&gt;&lt;/authors&gt;&lt;/contributors&gt;&lt;titles&gt;&lt;title&gt;Humanitarian intervention in contemporary conflict : a reconceptualization&lt;/title&gt;&lt;/titles&gt;&lt;keywords&gt;&lt;keyword&gt;Intervention (International law)&lt;/keyword&gt;&lt;keyword&gt;International police.&lt;/keyword&gt;&lt;keyword&gt;War relief.&lt;/keyword&gt;&lt;/keywords&gt;&lt;dates&gt;&lt;year&gt;1996&lt;/year&gt;&lt;/dates&gt;&lt;pub-location&gt;Cambridge, Mass.&lt;/pub-location&gt;&lt;publisher&gt;Polity Press&lt;/publisher&gt;&lt;isbn&gt;0745615104&amp;#xD;0745615112 (pbk.)&lt;/isbn&gt;&lt;accession-num&gt;1146180&lt;/accession-num&gt;&lt;urls&gt;&lt;/urls&gt;&lt;/record&gt;&lt;/Cite&gt;&lt;/EndNote&gt;</w:instrText>
      </w:r>
      <w:r w:rsidRPr="003D0703">
        <w:rPr>
          <w:lang w:val="en-CA"/>
        </w:rPr>
        <w:fldChar w:fldCharType="separate"/>
      </w:r>
      <w:r w:rsidRPr="003D0703">
        <w:rPr>
          <w:lang w:val="en-CA"/>
        </w:rPr>
        <w:t xml:space="preserve">Oliver </w:t>
      </w:r>
      <w:proofErr w:type="spellStart"/>
      <w:r w:rsidRPr="003D0703">
        <w:rPr>
          <w:lang w:val="en-CA"/>
        </w:rPr>
        <w:t>Ramsbotham</w:t>
      </w:r>
      <w:proofErr w:type="spellEnd"/>
      <w:r w:rsidRPr="003D0703">
        <w:rPr>
          <w:lang w:val="en-CA"/>
        </w:rPr>
        <w:t xml:space="preserve"> and Tom Woodhouse, </w:t>
      </w:r>
      <w:r w:rsidRPr="003D0703">
        <w:rPr>
          <w:i/>
          <w:lang w:val="en-CA"/>
        </w:rPr>
        <w:t>Humanitarian Intervention in Contemporary Conflict : A Reconceptualization</w:t>
      </w:r>
      <w:r w:rsidRPr="003D0703">
        <w:rPr>
          <w:lang w:val="en-CA"/>
        </w:rPr>
        <w:t xml:space="preserve"> (Cambridge, Mass.: Polity Press, 1996)</w:t>
      </w:r>
      <w:r>
        <w:rPr>
          <w:lang w:val="en-CA"/>
        </w:rPr>
        <w:t>, p. 45</w:t>
      </w:r>
      <w:r w:rsidRPr="003D0703">
        <w:rPr>
          <w:lang w:val="en-CA"/>
        </w:rPr>
        <w:t>.</w:t>
      </w:r>
      <w:r w:rsidRPr="003D0703">
        <w:rPr>
          <w:lang w:val="en-CA"/>
        </w:rPr>
        <w:fldChar w:fldCharType="end"/>
      </w:r>
    </w:p>
  </w:footnote>
  <w:footnote w:id="66">
    <w:p w:rsidR="00500211" w:rsidRPr="003D0703" w:rsidRDefault="00500211">
      <w:pPr>
        <w:pStyle w:val="FootnoteText"/>
      </w:pPr>
      <w:r w:rsidRPr="003D0703">
        <w:rPr>
          <w:rStyle w:val="FootnoteReference"/>
        </w:rPr>
        <w:footnoteRef/>
      </w:r>
      <w:r w:rsidRPr="003D0703">
        <w:t xml:space="preserve"> The enumeration is drawn from </w:t>
      </w:r>
      <w:r>
        <w:t xml:space="preserve">James </w:t>
      </w:r>
      <w:r w:rsidRPr="003D0703">
        <w:t xml:space="preserve">Pattison, </w:t>
      </w:r>
      <w:r w:rsidRPr="00564746">
        <w:rPr>
          <w:i/>
        </w:rPr>
        <w:t>Humanitarian Intervention and the Responsibility to Protect: Who should intervene</w:t>
      </w:r>
      <w:proofErr w:type="gramStart"/>
      <w:r w:rsidRPr="00564746">
        <w:rPr>
          <w:i/>
        </w:rPr>
        <w:t>?</w:t>
      </w:r>
      <w:r w:rsidRPr="003D0703">
        <w:t>,</w:t>
      </w:r>
      <w:proofErr w:type="gramEnd"/>
      <w:r w:rsidRPr="003D0703">
        <w:t xml:space="preserve"> </w:t>
      </w:r>
      <w:r>
        <w:t>(Oxford: Oxford University Press, 2010</w:t>
      </w:r>
      <w:r w:rsidRPr="003D0703">
        <w:t xml:space="preserve">). </w:t>
      </w:r>
    </w:p>
  </w:footnote>
  <w:footnote w:id="67">
    <w:p w:rsidR="00500211" w:rsidRPr="003D0703" w:rsidRDefault="00500211">
      <w:pPr>
        <w:pStyle w:val="FootnoteText"/>
      </w:pPr>
      <w:r w:rsidRPr="003D0703">
        <w:rPr>
          <w:rStyle w:val="FootnoteReference"/>
        </w:rPr>
        <w:footnoteRef/>
      </w:r>
      <w:r w:rsidRPr="003D0703">
        <w:t xml:space="preserve"> </w:t>
      </w:r>
      <w:r w:rsidRPr="003D0703">
        <w:fldChar w:fldCharType="begin"/>
      </w:r>
      <w:r w:rsidRPr="003D0703">
        <w:instrText xml:space="preserve"> ADDIN EN.CITE &lt;EndNote&gt;&lt;Cite&gt;&lt;Author&gt;Finnemore&lt;/Author&gt;&lt;Year&gt;2003&lt;/Year&gt;&lt;RecNum&gt;609&lt;/RecNum&gt;&lt;record&gt;&lt;rec-number&gt;609&lt;/rec-number&gt;&lt;ref-type name="Book"&gt;6&lt;/ref-type&gt;&lt;contributors&gt;&lt;authors&gt;&lt;author&gt;Finnemore, Martha&lt;/author&gt;&lt;/authors&gt;&lt;/contributors&gt;&lt;titles&gt;&lt;title&gt;The Purpose of Intervention&lt;/title&gt;&lt;/titles&gt;&lt;dates&gt;&lt;year&gt;2003&lt;/year&gt;&lt;/dates&gt;&lt;pub-location&gt;Ithaca &amp;amp; London&lt;/pub-location&gt;&lt;publisher&gt;Cornell University Press&lt;/publisher&gt;&lt;urls&gt;&lt;/urls&gt;&lt;/record&gt;&lt;/Cite&gt;&lt;/EndNote&gt;</w:instrText>
      </w:r>
      <w:r w:rsidRPr="003D0703">
        <w:fldChar w:fldCharType="separate"/>
      </w:r>
      <w:r w:rsidRPr="003D0703">
        <w:t xml:space="preserve">Martha </w:t>
      </w:r>
      <w:proofErr w:type="spellStart"/>
      <w:r w:rsidRPr="003D0703">
        <w:t>Finnemore</w:t>
      </w:r>
      <w:proofErr w:type="spellEnd"/>
      <w:r w:rsidRPr="003D0703">
        <w:t xml:space="preserve">, </w:t>
      </w:r>
      <w:r w:rsidRPr="003D0703">
        <w:rPr>
          <w:i/>
        </w:rPr>
        <w:t>The Purpose of Intervention</w:t>
      </w:r>
      <w:r w:rsidRPr="003D0703">
        <w:t xml:space="preserve"> (Ithaca &amp; London: Cornell University Press, 2003)</w:t>
      </w:r>
      <w:r>
        <w:t>, p. 2</w:t>
      </w:r>
      <w:r w:rsidRPr="003D0703">
        <w:t>.</w:t>
      </w:r>
      <w:r w:rsidRPr="003D0703">
        <w:fldChar w:fldCharType="end"/>
      </w:r>
    </w:p>
  </w:footnote>
  <w:footnote w:id="68">
    <w:p w:rsidR="00500211" w:rsidRPr="003D0703" w:rsidRDefault="00500211">
      <w:pPr>
        <w:pStyle w:val="FootnoteText"/>
      </w:pPr>
      <w:r w:rsidRPr="003D0703">
        <w:rPr>
          <w:rStyle w:val="FootnoteReference"/>
        </w:rPr>
        <w:footnoteRef/>
      </w:r>
      <w:r w:rsidRPr="003D0703">
        <w:t xml:space="preserve"> </w:t>
      </w:r>
      <w:r w:rsidRPr="003D0703">
        <w:fldChar w:fldCharType="begin"/>
      </w:r>
      <w:r w:rsidRPr="003D0703">
        <w:instrText xml:space="preserve"> ADDIN EN.CITE &lt;EndNote&gt;&lt;Cite&gt;&lt;Author&gt;Krasner&lt;/Author&gt;&lt;Year&gt;1999&lt;/Year&gt;&lt;RecNum&gt;2295&lt;/RecNum&gt;&lt;record&gt;&lt;rec-number&gt;2295&lt;/rec-number&gt;&lt;ref-type name="Book"&gt;6&lt;/ref-type&gt;&lt;contributors&gt;&lt;authors&gt;&lt;author&gt;Krasner, Stephen D.&lt;/author&gt;&lt;/authors&gt;&lt;/contributors&gt;&lt;titles&gt;&lt;title&gt;Sovereignty: Organized Hypocrisy&lt;/title&gt;&lt;/titles&gt;&lt;dates&gt;&lt;year&gt;1999&lt;/year&gt;&lt;/dates&gt;&lt;pub-location&gt;Princeton, N.J.&lt;/pub-location&gt;&lt;publisher&gt;Princeton University Press&lt;/publisher&gt;&lt;urls&gt;&lt;/urls&gt;&lt;/record&gt;&lt;/Cite&gt;&lt;/EndNote&gt;</w:instrText>
      </w:r>
      <w:r w:rsidRPr="003D0703">
        <w:fldChar w:fldCharType="separate"/>
      </w:r>
      <w:r w:rsidRPr="003D0703">
        <w:t xml:space="preserve">Stephen D. Krasner, </w:t>
      </w:r>
      <w:r w:rsidRPr="003D0703">
        <w:rPr>
          <w:i/>
        </w:rPr>
        <w:t>Sovereignty: Organized Hypocrisy</w:t>
      </w:r>
      <w:r w:rsidRPr="003D0703">
        <w:t xml:space="preserve"> (Princeton, N.J.: Princeton University Press, 1999)</w:t>
      </w:r>
      <w:r w:rsidR="00A164A3">
        <w:t>, p. 24</w:t>
      </w:r>
      <w:r w:rsidRPr="003D0703">
        <w:t>.</w:t>
      </w:r>
      <w:r w:rsidRPr="003D0703">
        <w:fldChar w:fldCharType="end"/>
      </w:r>
    </w:p>
  </w:footnote>
  <w:footnote w:id="69">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&lt;EndNote&gt;&lt;Cite&gt;&lt;Author&gt;Bayers&lt;/Author&gt;&lt;Year&gt;2003&lt;/Year&gt;&lt;RecNum&gt;610&lt;/RecNum&gt;&lt;record&gt;&lt;rec-number&gt;610&lt;/rec-number&gt;&lt;ref-type name="Book Section"&gt;5&lt;/ref-type&gt;&lt;contributors&gt;&lt;authors&gt;&lt;author&gt;Bayers, Michael&lt;/author&gt;&lt;author&gt;Chesterman, Simon&lt;/author&gt;&lt;/authors&gt;&lt;secondary-authors&gt;&lt;author&gt;J.L. Holzgrefe&lt;/author&gt;&lt;author&gt;Keohane, Robert&lt;/author&gt;&lt;/secondary-authors&gt;&lt;/contributors&gt;&lt;titles&gt;&lt;title&gt;Changing the Rules about Rules&lt;/title&gt;&lt;secondary-title&gt;Humanitarian Intervention: Ethical, Legal and Political Dilemmas&lt;/secondary-title&gt;&lt;/titles&gt;&lt;pages&gt;177-203&lt;/pages&gt;&lt;dates&gt;&lt;year&gt;2003&lt;/year&gt;&lt;/dates&gt;&lt;pub-location&gt;Cambridge&lt;/pub-location&gt;&lt;publisher&gt;Cambridge University Press&lt;/publisher&gt;&lt;urls&gt;&lt;/urls&gt;&lt;/record&gt;&lt;/Cite&gt;&lt;/EndNote&gt;</w:instrText>
      </w:r>
      <w:r w:rsidRPr="003D0703">
        <w:fldChar w:fldCharType="separate"/>
      </w:r>
      <w:r w:rsidRPr="003D0703">
        <w:t xml:space="preserve">Michael </w:t>
      </w:r>
      <w:proofErr w:type="spellStart"/>
      <w:r w:rsidRPr="003D0703">
        <w:t>Bayers</w:t>
      </w:r>
      <w:proofErr w:type="spellEnd"/>
      <w:r w:rsidRPr="003D0703">
        <w:t xml:space="preserve"> and Simon Chesterman, "Changing the Rules About Rules," in </w:t>
      </w:r>
      <w:r w:rsidRPr="003D0703">
        <w:rPr>
          <w:i/>
        </w:rPr>
        <w:t>Humanitarian Intervention: Ethical, Legal and Political Dilemmas</w:t>
      </w:r>
      <w:r w:rsidRPr="003D0703">
        <w:t xml:space="preserve">, ed. J.L. </w:t>
      </w:r>
      <w:proofErr w:type="spellStart"/>
      <w:r w:rsidRPr="003D0703">
        <w:t>Holzgrefe</w:t>
      </w:r>
      <w:proofErr w:type="spellEnd"/>
      <w:r w:rsidRPr="003D0703">
        <w:t xml:space="preserve"> and Robert </w:t>
      </w:r>
      <w:proofErr w:type="spellStart"/>
      <w:r w:rsidRPr="003D0703">
        <w:t>Keohane</w:t>
      </w:r>
      <w:proofErr w:type="spellEnd"/>
      <w:r w:rsidRPr="003D0703">
        <w:t xml:space="preserve"> (Cambridge: Cambridge University Press, 2003)</w:t>
      </w:r>
      <w:r w:rsidR="00A164A3">
        <w:t>, p. 198</w:t>
      </w:r>
      <w:r w:rsidRPr="003D0703">
        <w:t>.</w:t>
      </w:r>
      <w:r w:rsidRPr="003D0703">
        <w:fldChar w:fldCharType="end"/>
      </w:r>
    </w:p>
  </w:footnote>
  <w:footnote w:id="70">
    <w:p w:rsidR="00500211" w:rsidRPr="003D0703" w:rsidRDefault="00500211">
      <w:pPr>
        <w:pStyle w:val="FootnoteText"/>
        <w:rPr>
          <w:lang w:val="en-IE"/>
        </w:rPr>
      </w:pPr>
      <w:r w:rsidRPr="003D0703">
        <w:rPr>
          <w:rStyle w:val="FootnoteReference"/>
        </w:rPr>
        <w:footnoteRef/>
      </w:r>
      <w:r w:rsidRPr="003D0703">
        <w:t xml:space="preserve"> </w:t>
      </w:r>
      <w:r w:rsidRPr="003D0703">
        <w:fldChar w:fldCharType="begin"/>
      </w:r>
      <w:r w:rsidRPr="003D0703">
        <w:instrText xml:space="preserve"> ADDIN EN.CITE &lt;EndNote&gt;&lt;Cite&gt;&lt;Author&gt;Krasner&lt;/Author&gt;&lt;Year&gt;1999&lt;/Year&gt;&lt;RecNum&gt;2295&lt;/RecNum&gt;&lt;record&gt;&lt;rec-number&gt;2295&lt;/rec-number&gt;&lt;ref-type name="Book"&gt;6&lt;/ref-type&gt;&lt;contributors&gt;&lt;authors&gt;&lt;author&gt;Krasner, Stephen D.&lt;/author&gt;&lt;/authors&gt;&lt;/contributors&gt;&lt;titles&gt;&lt;title&gt;Sovereignty: Organized Hypocrisy&lt;/title&gt;&lt;/titles&gt;&lt;dates&gt;&lt;year&gt;1999&lt;/year&gt;&lt;/dates&gt;&lt;pub-location&gt;Princeton, N.J.&lt;/pub-location&gt;&lt;publisher&gt;Princeton University Press&lt;/publisher&gt;&lt;urls&gt;&lt;/urls&gt;&lt;/record&gt;&lt;/Cite&gt;&lt;/EndNote&gt;</w:instrText>
      </w:r>
      <w:r w:rsidRPr="003D0703">
        <w:fldChar w:fldCharType="separate"/>
      </w:r>
      <w:r w:rsidRPr="003D0703">
        <w:t xml:space="preserve">Krasner, </w:t>
      </w:r>
      <w:r w:rsidRPr="003D0703">
        <w:rPr>
          <w:i/>
        </w:rPr>
        <w:t>Sovereignty: Organized Hypocrisy</w:t>
      </w:r>
      <w:r w:rsidR="00A164A3">
        <w:rPr>
          <w:i/>
        </w:rPr>
        <w:t>, p. 41</w:t>
      </w:r>
      <w:r w:rsidRPr="003D0703">
        <w:t>.</w:t>
      </w:r>
      <w:r w:rsidRPr="003D0703">
        <w:fldChar w:fldCharType="end"/>
      </w:r>
    </w:p>
  </w:footnote>
  <w:footnote w:id="71">
    <w:p w:rsidR="00500211" w:rsidRPr="003D0703" w:rsidRDefault="00500211" w:rsidP="002D24E1">
      <w:pPr>
        <w:pStyle w:val="FootnoteText"/>
        <w:jc w:val="both"/>
      </w:pPr>
      <w:r w:rsidRPr="003D0703">
        <w:rPr>
          <w:rStyle w:val="FootnoteReference"/>
        </w:rPr>
        <w:footnoteRef/>
      </w:r>
      <w:r w:rsidRPr="003D0703">
        <w:t xml:space="preserve"> </w:t>
      </w:r>
      <w:r w:rsidRPr="003D0703">
        <w:rPr>
          <w:kern w:val="16"/>
          <w:lang w:val="en-CA"/>
        </w:rPr>
        <w:t xml:space="preserve">Article 51 UNC claims nothing in the Charter shall impair the right of </w:t>
      </w:r>
      <w:proofErr w:type="spellStart"/>
      <w:r w:rsidRPr="003D0703">
        <w:rPr>
          <w:kern w:val="16"/>
          <w:lang w:val="en-CA"/>
        </w:rPr>
        <w:t>self defence</w:t>
      </w:r>
      <w:proofErr w:type="spellEnd"/>
      <w:r w:rsidRPr="003D0703">
        <w:rPr>
          <w:kern w:val="16"/>
          <w:lang w:val="en-CA"/>
        </w:rPr>
        <w:t xml:space="preserve"> if an attack occurs. </w:t>
      </w:r>
      <w:proofErr w:type="spellStart"/>
      <w:r w:rsidRPr="003D0703">
        <w:rPr>
          <w:kern w:val="16"/>
          <w:lang w:val="en-CA"/>
        </w:rPr>
        <w:t>Self defence</w:t>
      </w:r>
      <w:proofErr w:type="spellEnd"/>
      <w:r w:rsidRPr="003D0703">
        <w:rPr>
          <w:kern w:val="16"/>
          <w:lang w:val="en-CA"/>
        </w:rPr>
        <w:t>, however, cannot be equalled with forcible intervention per se, since it can, in theory, be conducted on ones’ own territory without intruding on the territory of another state. Without a shadow of a doubt, a defender cannot be accused of violating the norm against forcible intervention, when he or she infringes the territory of the attacker while being attacked. It is more difficult to answer the question whether defenders are permitted to pre-empt attacks and forestall any imminent threats under Article 51. In sum, although the norm clearly determines who is allowed to use force against whom, the conditions for its permission are rather vague.</w:t>
      </w:r>
    </w:p>
  </w:footnote>
  <w:footnote w:id="72">
    <w:p w:rsidR="00500211" w:rsidRPr="003D0703" w:rsidRDefault="00500211" w:rsidP="002D24E1">
      <w:pPr>
        <w:jc w:val="both"/>
        <w:rPr>
          <w:sz w:val="20"/>
          <w:szCs w:val="20"/>
        </w:rPr>
      </w:pPr>
      <w:r w:rsidRPr="003D0703">
        <w:rPr>
          <w:rStyle w:val="FootnoteReference"/>
          <w:sz w:val="20"/>
          <w:szCs w:val="20"/>
          <w:lang w:val="en-US" w:eastAsia="en-US"/>
        </w:rPr>
        <w:footnoteRef/>
      </w:r>
      <w:r w:rsidRPr="003D0703">
        <w:rPr>
          <w:sz w:val="20"/>
          <w:szCs w:val="20"/>
        </w:rPr>
        <w:t xml:space="preserve"> Chapter VII UNC entrusts the UN Security Council with matters of international security. It has the final say over the use of force in international relations and can sanction the use of forcible measures whenever it considers a situation to be a “threat to peace and stability”. Although a precise procedure is set up of how to invoke the Council, who decides, and how these decisions are to be reached, it is unclear under which circumstances force is permitted. In this matter the Council is given ample leeway since the term “any threat to peace, breach of peace or act of aggression” is intentionally kept vague to adapt to new circumstances. Consequently, this exception also lacks precision and considerably increases the ambiguity of the norm against forcible intervention. </w:t>
      </w:r>
    </w:p>
  </w:footnote>
  <w:footnote w:id="73">
    <w:p w:rsidR="00500211" w:rsidRPr="003D0703" w:rsidRDefault="00500211" w:rsidP="002D24E1">
      <w:pPr>
        <w:pStyle w:val="FootnoteText"/>
        <w:jc w:val="both"/>
      </w:pPr>
      <w:r w:rsidRPr="003D0703">
        <w:rPr>
          <w:rStyle w:val="FootnoteReference"/>
        </w:rPr>
        <w:footnoteRef/>
      </w:r>
      <w:r w:rsidRPr="003D0703">
        <w:t xml:space="preserve"> A third exemption is specified in </w:t>
      </w:r>
      <w:r w:rsidRPr="003D0703">
        <w:rPr>
          <w:kern w:val="16"/>
          <w:lang w:val="en-CA"/>
        </w:rPr>
        <w:t xml:space="preserve">Articles 53 and 107 UNC. The “enemy state clause” allows forcible measures even without the approval of the Security Council or, apart from </w:t>
      </w:r>
      <w:proofErr w:type="spellStart"/>
      <w:r w:rsidRPr="003D0703">
        <w:rPr>
          <w:kern w:val="16"/>
          <w:lang w:val="en-CA"/>
        </w:rPr>
        <w:t>self defence</w:t>
      </w:r>
      <w:proofErr w:type="spellEnd"/>
      <w:r w:rsidRPr="003D0703">
        <w:rPr>
          <w:kern w:val="16"/>
          <w:lang w:val="en-CA"/>
        </w:rPr>
        <w:t>, against states that had been enemies to the signatory powers during WWII.</w:t>
      </w:r>
      <w:r w:rsidRPr="003D0703">
        <w:t xml:space="preserve"> We do not extend on this exception further, since we consider it to be already degenerated.</w:t>
      </w:r>
    </w:p>
  </w:footnote>
  <w:footnote w:id="74">
    <w:p w:rsidR="00500211" w:rsidRPr="003D0703" w:rsidRDefault="00500211">
      <w:pPr>
        <w:pStyle w:val="FootnoteText"/>
        <w:rPr>
          <w:lang w:val="en-IE"/>
        </w:rPr>
      </w:pPr>
      <w:r w:rsidRPr="003D0703">
        <w:rPr>
          <w:rStyle w:val="FootnoteReference"/>
        </w:rPr>
        <w:footnoteRef/>
      </w:r>
      <w:r w:rsidRPr="003D0703">
        <w:t xml:space="preserve"> </w:t>
      </w:r>
      <w:r w:rsidRPr="003D0703">
        <w:rPr>
          <w:color w:val="000000"/>
          <w:kern w:val="16"/>
          <w:lang w:val="en-CA"/>
        </w:rPr>
        <w:fldChar w:fldCharType="begin"/>
      </w:r>
      <w:r w:rsidRPr="003D0703">
        <w:rPr>
          <w:color w:val="000000"/>
          <w:kern w:val="16"/>
          <w:lang w:val="en-CA"/>
        </w:rPr>
        <w:instrText xml:space="preserve"> ADDIN EN.CITE &lt;EndNote&gt;&lt;Cite&gt;&lt;Author&gt;Akehurst&lt;/Author&gt;&lt;Year&gt;1985&lt;/Year&gt;&lt;RecNum&gt;395&lt;/RecNum&gt;&lt;Suffix&gt;`, 95&lt;/Suffix&gt;&lt;record&gt;&lt;rec-number&gt;395&lt;/rec-number&gt;&lt;ref-type name="Book Section"&gt;5&lt;/ref-type&gt;&lt;contributors&gt;&lt;authors&gt;&lt;author&gt;Akehurst, Michael&lt;/author&gt;&lt;/authors&gt;&lt;secondary-authors&gt;&lt;author&gt;Bull, Hedley&lt;/author&gt;&lt;/secondary-authors&gt;&lt;/contributors&gt;&lt;titles&gt;&lt;title&gt;Humanitarian Intervention &lt;/title&gt;&lt;secondary-title&gt;Intervention in World Politics&lt;/secondary-title&gt;&lt;/titles&gt;&lt;pages&gt;95-118&lt;/pages&gt;&lt;dates&gt;&lt;year&gt;1985&lt;/year&gt;&lt;/dates&gt;&lt;pub-location&gt;New York&lt;/pub-location&gt;&lt;publisher&gt;Oxford University Press&lt;/publisher&gt;&lt;urls&gt;&lt;/urls&gt;&lt;/record&gt;&lt;/Cite&gt;&lt;/EndNote&gt;</w:instrText>
      </w:r>
      <w:r w:rsidRPr="003D0703">
        <w:rPr>
          <w:color w:val="000000"/>
          <w:kern w:val="16"/>
          <w:lang w:val="en-CA"/>
        </w:rPr>
        <w:fldChar w:fldCharType="separate"/>
      </w:r>
      <w:r w:rsidRPr="003D0703">
        <w:rPr>
          <w:color w:val="000000"/>
          <w:kern w:val="16"/>
          <w:lang w:val="en-CA"/>
        </w:rPr>
        <w:t xml:space="preserve">Michael </w:t>
      </w:r>
      <w:proofErr w:type="spellStart"/>
      <w:r w:rsidRPr="003D0703">
        <w:rPr>
          <w:color w:val="000000"/>
          <w:kern w:val="16"/>
          <w:lang w:val="en-CA"/>
        </w:rPr>
        <w:t>Akehurst</w:t>
      </w:r>
      <w:proofErr w:type="spellEnd"/>
      <w:r w:rsidRPr="003D0703">
        <w:rPr>
          <w:color w:val="000000"/>
          <w:kern w:val="16"/>
          <w:lang w:val="en-CA"/>
        </w:rPr>
        <w:t xml:space="preserve">, "Humanitarian Intervention " in </w:t>
      </w:r>
      <w:r w:rsidRPr="003D0703">
        <w:rPr>
          <w:i/>
          <w:color w:val="000000"/>
          <w:kern w:val="16"/>
          <w:lang w:val="en-CA"/>
        </w:rPr>
        <w:t>Intervention in World Politics</w:t>
      </w:r>
      <w:r w:rsidRPr="003D0703">
        <w:rPr>
          <w:color w:val="000000"/>
          <w:kern w:val="16"/>
          <w:lang w:val="en-CA"/>
        </w:rPr>
        <w:t>, ed. Hedley Bull (New York: Oxford University Press, 1985).</w:t>
      </w:r>
      <w:r w:rsidRPr="003D0703">
        <w:rPr>
          <w:color w:val="000000"/>
          <w:kern w:val="16"/>
          <w:lang w:val="en-CA"/>
        </w:rPr>
        <w:fldChar w:fldCharType="end"/>
      </w:r>
    </w:p>
  </w:footnote>
  <w:footnote w:id="75">
    <w:p w:rsidR="00500211" w:rsidRPr="003D0703" w:rsidRDefault="00500211">
      <w:pPr>
        <w:pStyle w:val="FootnoteText"/>
        <w:rPr>
          <w:lang w:val="en-IE"/>
        </w:rPr>
      </w:pPr>
      <w:r w:rsidRPr="003D0703">
        <w:rPr>
          <w:rStyle w:val="FootnoteReference"/>
        </w:rPr>
        <w:footnoteRef/>
      </w:r>
      <w:r w:rsidRPr="003D0703">
        <w:t xml:space="preserve"> </w:t>
      </w:r>
      <w:r w:rsidRPr="003D0703">
        <w:rPr>
          <w:color w:val="000000"/>
          <w:kern w:val="16"/>
          <w:lang w:val="en-CA"/>
        </w:rPr>
        <w:fldChar w:fldCharType="begin"/>
      </w:r>
      <w:r w:rsidRPr="003D0703">
        <w:rPr>
          <w:color w:val="000000"/>
          <w:kern w:val="16"/>
          <w:lang w:val="en-CA"/>
        </w:rPr>
        <w:instrText xml:space="preserve"> ADDIN EN.CITE &lt;EndNote&gt;&lt;Cite&gt;&lt;Author&gt;Chandler&lt;/Author&gt;&lt;Year&gt;2002&lt;/Year&gt;&lt;RecNum&gt;397&lt;/RecNum&gt;&lt;Suffix&gt;`, 22&lt;/Suffix&gt;&lt;record&gt;&lt;rec-number&gt;397&lt;/rec-number&gt;&lt;ref-type name="Book"&gt;6&lt;/ref-type&gt;&lt;contributors&gt;&lt;authors&gt;&lt;author&gt;Chandler, David&lt;/author&gt;&lt;/authors&gt;&lt;/contributors&gt;&lt;titles&gt;&lt;title&gt;From Kosovo to Kabul : human rights and international intervention&lt;/title&gt;&lt;/titles&gt;&lt;pages&gt;xvii, 268 p.&lt;/pages&gt;&lt;keywords&gt;&lt;keyword&gt;Humanitarian intervention.&lt;/keyword&gt;&lt;keyword&gt;Human rights.&lt;/keyword&gt;&lt;keyword&gt;Sovereignty, Violation of.&lt;/keyword&gt;&lt;/keywords&gt;&lt;dates&gt;&lt;year&gt;2002&lt;/year&gt;&lt;/dates&gt;&lt;pub-location&gt;London ; Sterling, Va.&lt;/pub-location&gt;&lt;publisher&gt;Pluto Press&lt;/publisher&gt;&lt;isbn&gt;0745318843 (hardback)&amp;#xD;0745318835 (pbk.)&lt;/isbn&gt;&lt;accession-num&gt;12565209&lt;/accession-num&gt;&lt;call-num&gt;Law Library Reading Room (Madison, LM201) KZ6369; .C49 2002&lt;/call-num&gt;&lt;urls&gt;&lt;/urls&gt;&lt;/record&gt;&lt;/Cite&gt;&lt;/EndNote&gt;</w:instrText>
      </w:r>
      <w:r w:rsidRPr="003D0703">
        <w:rPr>
          <w:color w:val="000000"/>
          <w:kern w:val="16"/>
          <w:lang w:val="en-CA"/>
        </w:rPr>
        <w:fldChar w:fldCharType="separate"/>
      </w:r>
      <w:r w:rsidRPr="003D0703">
        <w:rPr>
          <w:color w:val="000000"/>
          <w:kern w:val="16"/>
          <w:lang w:val="en-CA"/>
        </w:rPr>
        <w:t xml:space="preserve">David Chandler, </w:t>
      </w:r>
      <w:r w:rsidRPr="003D0703">
        <w:rPr>
          <w:i/>
          <w:color w:val="000000"/>
          <w:kern w:val="16"/>
          <w:lang w:val="en-CA"/>
        </w:rPr>
        <w:t>From Kosovo to Kabul : Human Rights and International Intervention</w:t>
      </w:r>
      <w:r w:rsidRPr="003D0703">
        <w:rPr>
          <w:color w:val="000000"/>
          <w:kern w:val="16"/>
          <w:lang w:val="en-CA"/>
        </w:rPr>
        <w:t xml:space="preserve"> (London ; Sterling, Va.: Pluto Press, 2002)</w:t>
      </w:r>
      <w:r w:rsidR="00A164A3">
        <w:rPr>
          <w:color w:val="000000"/>
          <w:kern w:val="16"/>
          <w:lang w:val="en-CA"/>
        </w:rPr>
        <w:t>, p. 22</w:t>
      </w:r>
      <w:r w:rsidRPr="003D0703">
        <w:rPr>
          <w:color w:val="000000"/>
          <w:kern w:val="16"/>
          <w:lang w:val="en-CA"/>
        </w:rPr>
        <w:t>.</w:t>
      </w:r>
      <w:r w:rsidRPr="003D0703">
        <w:rPr>
          <w:color w:val="000000"/>
          <w:kern w:val="16"/>
          <w:lang w:val="en-CA"/>
        </w:rPr>
        <w:fldChar w:fldCharType="end"/>
      </w:r>
    </w:p>
  </w:footnote>
  <w:footnote w:id="76">
    <w:p w:rsidR="00500211" w:rsidRPr="003D0703" w:rsidRDefault="00500211">
      <w:pPr>
        <w:pStyle w:val="FootnoteText"/>
        <w:rPr>
          <w:lang w:val="en-IE"/>
        </w:rPr>
      </w:pPr>
      <w:r w:rsidRPr="003D0703">
        <w:rPr>
          <w:rStyle w:val="FootnoteReference"/>
        </w:rPr>
        <w:footnoteRef/>
      </w:r>
      <w:r w:rsidRPr="003D0703">
        <w:t xml:space="preserve"> </w:t>
      </w:r>
      <w:r w:rsidRPr="003D0703">
        <w:rPr>
          <w:lang w:val="en-CA"/>
        </w:rPr>
        <w:fldChar w:fldCharType="begin"/>
      </w:r>
      <w:r w:rsidRPr="003D0703">
        <w:rPr>
          <w:lang w:val="en-CA"/>
        </w:rPr>
        <w:instrText xml:space="preserve"> ADDIN EN.CITE &lt;EndNote&gt;&lt;Cite&gt;&lt;Author&gt;United Nations Development Programme&lt;/Author&gt;&lt;Year&gt;1994&lt;/Year&gt;&lt;RecNum&gt;447&lt;/RecNum&gt;&lt;Suffix&gt;`, 22&lt;/Suffix&gt;&lt;record&gt;&lt;rec-number&gt;447&lt;/rec-number&gt;&lt;ref-type name="Book"&gt;6&lt;/ref-type&gt;&lt;contributors&gt;&lt;authors&gt;&lt;author&gt;United Nations Development Programme,&lt;/author&gt;&lt;/authors&gt;&lt;/contributors&gt;&lt;titles&gt;&lt;title&gt;Human Development Report 1994&lt;/title&gt;&lt;/titles&gt;&lt;dates&gt;&lt;year&gt;1994&lt;/year&gt;&lt;/dates&gt;&lt;pub-location&gt;New York&lt;/pub-location&gt;&lt;publisher&gt;Oxford University Press&lt;/publisher&gt;&lt;urls&gt;&lt;/urls&gt;&lt;/record&gt;&lt;/Cite&gt;&lt;/EndNote&gt;</w:instrText>
      </w:r>
      <w:r w:rsidRPr="003D0703">
        <w:rPr>
          <w:lang w:val="en-CA"/>
        </w:rPr>
        <w:fldChar w:fldCharType="separate"/>
      </w:r>
      <w:r w:rsidRPr="003D0703">
        <w:rPr>
          <w:lang w:val="en-CA"/>
        </w:rPr>
        <w:t xml:space="preserve">United Nations Development Programme, </w:t>
      </w:r>
      <w:r w:rsidRPr="003D0703">
        <w:rPr>
          <w:i/>
          <w:lang w:val="en-CA"/>
        </w:rPr>
        <w:t>Human Development Report 1994</w:t>
      </w:r>
      <w:r w:rsidRPr="003D0703">
        <w:rPr>
          <w:lang w:val="en-CA"/>
        </w:rPr>
        <w:t xml:space="preserve"> (New York: Oxford University Press, 1994)</w:t>
      </w:r>
      <w:r w:rsidR="00A164A3">
        <w:rPr>
          <w:lang w:val="en-CA"/>
        </w:rPr>
        <w:t>, p. 22</w:t>
      </w:r>
      <w:r w:rsidRPr="003D0703">
        <w:rPr>
          <w:lang w:val="en-CA"/>
        </w:rPr>
        <w:t>.</w:t>
      </w:r>
      <w:r w:rsidRPr="003D0703">
        <w:rPr>
          <w:lang w:val="en-CA"/>
        </w:rPr>
        <w:fldChar w:fldCharType="end"/>
      </w:r>
    </w:p>
  </w:footnote>
  <w:footnote w:id="77">
    <w:p w:rsidR="00500211" w:rsidRPr="003D0703" w:rsidRDefault="00500211">
      <w:pPr>
        <w:pStyle w:val="FootnoteText"/>
        <w:rPr>
          <w:lang w:val="en-IE"/>
        </w:rPr>
      </w:pPr>
      <w:r w:rsidRPr="003D0703">
        <w:rPr>
          <w:rStyle w:val="FootnoteReference"/>
        </w:rPr>
        <w:footnoteRef/>
      </w:r>
      <w:r w:rsidRPr="003D0703">
        <w:t xml:space="preserve"> </w:t>
      </w:r>
      <w:r w:rsidRPr="003D0703">
        <w:rPr>
          <w:color w:val="000000"/>
          <w:kern w:val="16"/>
          <w:lang w:val="en-CA"/>
        </w:rPr>
        <w:fldChar w:fldCharType="begin"/>
      </w:r>
      <w:r w:rsidRPr="003D0703">
        <w:rPr>
          <w:color w:val="000000"/>
          <w:kern w:val="16"/>
          <w:lang w:val="en-CA"/>
        </w:rPr>
        <w:instrText xml:space="preserve"> ADDIN EN.CITE &lt;EndNote&gt;&lt;Cite&gt;&lt;Author&gt;Krause&lt;/Author&gt;&lt;Year&gt;2005&lt;/Year&gt;&lt;RecNum&gt;448&lt;/RecNum&gt;&lt;Suffix&gt;`, 3&lt;/Suffix&gt;&lt;record&gt;&lt;rec-number&gt;448&lt;/rec-number&gt;&lt;ref-type name="Journal Article"&gt;17&lt;/ref-type&gt;&lt;contributors&gt;&lt;authors&gt;&lt;author&gt;Krause, Keith&lt;/author&gt;&lt;/authors&gt;&lt;/contributors&gt;&lt;titles&gt;&lt;title&gt;“Human Security: An Idea Whose Time Has Come?”&lt;/title&gt;&lt;secondary-title&gt;S+F: Sicherheit und Frieden&lt;/secondary-title&gt;&lt;/titles&gt;&lt;periodical&gt;&lt;full-title&gt;S+F: Sicherheit und Frieden&lt;/full-title&gt;&lt;/periodical&gt;&lt;pages&gt;1-14&lt;/pages&gt;&lt;volume&gt;23&lt;/volume&gt;&lt;number&gt;1&lt;/number&gt;&lt;dates&gt;&lt;year&gt;2005&lt;/year&gt;&lt;/dates&gt;&lt;urls&gt;&lt;/urls&gt;&lt;/record&gt;&lt;/Cite&gt;&lt;/EndNote&gt;</w:instrText>
      </w:r>
      <w:r w:rsidRPr="003D0703">
        <w:rPr>
          <w:color w:val="000000"/>
          <w:kern w:val="16"/>
          <w:lang w:val="en-CA"/>
        </w:rPr>
        <w:fldChar w:fldCharType="separate"/>
      </w:r>
      <w:r w:rsidRPr="003D0703">
        <w:rPr>
          <w:color w:val="000000"/>
          <w:kern w:val="16"/>
          <w:lang w:val="en-CA"/>
        </w:rPr>
        <w:t xml:space="preserve">Keith Krause, "“Human Security: An Idea Whose Time Has Come?”" </w:t>
      </w:r>
      <w:r w:rsidRPr="003D0703">
        <w:rPr>
          <w:i/>
          <w:color w:val="000000"/>
          <w:kern w:val="16"/>
          <w:lang w:val="en-CA"/>
        </w:rPr>
        <w:t xml:space="preserve">S+F: </w:t>
      </w:r>
      <w:proofErr w:type="spellStart"/>
      <w:r w:rsidRPr="003D0703">
        <w:rPr>
          <w:i/>
          <w:color w:val="000000"/>
          <w:kern w:val="16"/>
          <w:lang w:val="en-CA"/>
        </w:rPr>
        <w:t>Sicherheit</w:t>
      </w:r>
      <w:proofErr w:type="spellEnd"/>
      <w:r w:rsidRPr="003D0703">
        <w:rPr>
          <w:i/>
          <w:color w:val="000000"/>
          <w:kern w:val="16"/>
          <w:lang w:val="en-CA"/>
        </w:rPr>
        <w:t xml:space="preserve"> und </w:t>
      </w:r>
      <w:proofErr w:type="spellStart"/>
      <w:r w:rsidRPr="003D0703">
        <w:rPr>
          <w:i/>
          <w:color w:val="000000"/>
          <w:kern w:val="16"/>
          <w:lang w:val="en-CA"/>
        </w:rPr>
        <w:t>Frieden</w:t>
      </w:r>
      <w:proofErr w:type="spellEnd"/>
      <w:r w:rsidRPr="003D0703">
        <w:rPr>
          <w:color w:val="000000"/>
          <w:kern w:val="16"/>
          <w:lang w:val="en-CA"/>
        </w:rPr>
        <w:t xml:space="preserve"> 23, no. 1 (2005)</w:t>
      </w:r>
      <w:r w:rsidR="00A164A3">
        <w:rPr>
          <w:color w:val="000000"/>
          <w:kern w:val="16"/>
          <w:lang w:val="en-CA"/>
        </w:rPr>
        <w:t>, p. 3</w:t>
      </w:r>
      <w:r w:rsidRPr="003D0703">
        <w:rPr>
          <w:color w:val="000000"/>
          <w:kern w:val="16"/>
          <w:lang w:val="en-CA"/>
        </w:rPr>
        <w:t>.</w:t>
      </w:r>
      <w:r w:rsidRPr="003D0703">
        <w:rPr>
          <w:color w:val="000000"/>
          <w:kern w:val="16"/>
          <w:lang w:val="en-CA"/>
        </w:rPr>
        <w:fldChar w:fldCharType="end"/>
      </w:r>
    </w:p>
  </w:footnote>
  <w:footnote w:id="78">
    <w:p w:rsidR="00500211" w:rsidRPr="003D0703" w:rsidRDefault="00500211" w:rsidP="002D24E1">
      <w:pPr>
        <w:jc w:val="both"/>
        <w:rPr>
          <w:sz w:val="20"/>
          <w:szCs w:val="20"/>
          <w:lang w:val="en-CA"/>
        </w:rPr>
      </w:pPr>
      <w:r w:rsidRPr="003D0703">
        <w:rPr>
          <w:rStyle w:val="FootnoteReference"/>
          <w:sz w:val="20"/>
          <w:szCs w:val="20"/>
          <w:lang w:val="en-CA"/>
        </w:rPr>
        <w:footnoteRef/>
      </w:r>
      <w:r w:rsidRPr="003D0703">
        <w:rPr>
          <w:sz w:val="20"/>
          <w:szCs w:val="20"/>
          <w:lang w:val="en-CA"/>
        </w:rPr>
        <w:t xml:space="preserve"> See for example </w:t>
      </w:r>
      <w:hyperlink r:id="rId3" w:history="1">
        <w:r w:rsidRPr="003D0703">
          <w:rPr>
            <w:rStyle w:val="Hyperlink"/>
            <w:sz w:val="20"/>
            <w:szCs w:val="20"/>
            <w:lang w:val="en-CA"/>
          </w:rPr>
          <w:t>http://www.humansecuritynetwork.org</w:t>
        </w:r>
      </w:hyperlink>
      <w:r w:rsidRPr="003D0703">
        <w:rPr>
          <w:sz w:val="20"/>
          <w:szCs w:val="20"/>
          <w:lang w:val="en-CA"/>
        </w:rPr>
        <w:t xml:space="preserve"> (latest access December 2009)</w:t>
      </w:r>
      <w:r>
        <w:rPr>
          <w:sz w:val="20"/>
          <w:szCs w:val="20"/>
          <w:lang w:val="en-CA"/>
        </w:rPr>
        <w:t>.</w:t>
      </w:r>
    </w:p>
  </w:footnote>
  <w:footnote w:id="79">
    <w:p w:rsidR="00500211" w:rsidRPr="003D0703" w:rsidRDefault="00500211" w:rsidP="002D24E1">
      <w:pPr>
        <w:pStyle w:val="FootnoteText"/>
      </w:pPr>
      <w:r w:rsidRPr="003D0703">
        <w:rPr>
          <w:rStyle w:val="FootnoteReference"/>
        </w:rPr>
        <w:footnoteRef/>
      </w:r>
      <w:r w:rsidRPr="003D0703">
        <w:t xml:space="preserve"> Press Release (26.3.2004): Memorial Conference on Rwanda genocide considers Ways to </w:t>
      </w:r>
      <w:proofErr w:type="gramStart"/>
      <w:r w:rsidRPr="003D0703">
        <w:t>Ensure</w:t>
      </w:r>
      <w:proofErr w:type="gramEnd"/>
      <w:r w:rsidRPr="003D0703">
        <w:t xml:space="preserve"> more effective International Response in the Future, AFR/868; Source: &lt;</w:t>
      </w:r>
      <w:hyperlink r:id="rId4" w:history="1">
        <w:r w:rsidRPr="003D0703">
          <w:t>http://www.un.org/news/Press/docs/2004/afr868.doc.htm</w:t>
        </w:r>
      </w:hyperlink>
      <w:r w:rsidRPr="003D0703">
        <w:t>&gt;.</w:t>
      </w:r>
    </w:p>
  </w:footnote>
  <w:footnote w:id="80">
    <w:p w:rsidR="00500211" w:rsidRPr="003D0703" w:rsidRDefault="00500211">
      <w:pPr>
        <w:pStyle w:val="FootnoteText"/>
        <w:rPr>
          <w:lang w:val="en-IE"/>
        </w:rPr>
      </w:pPr>
      <w:r w:rsidRPr="003D0703">
        <w:rPr>
          <w:rStyle w:val="FootnoteReference"/>
        </w:rPr>
        <w:footnoteRef/>
      </w:r>
      <w:r w:rsidRPr="003D0703">
        <w:t xml:space="preserve"> </w:t>
      </w:r>
      <w:r w:rsidRPr="003D0703">
        <w:rPr>
          <w:kern w:val="16"/>
        </w:rPr>
        <w:fldChar w:fldCharType="begin"/>
      </w:r>
      <w:r w:rsidRPr="003D0703">
        <w:rPr>
          <w:kern w:val="16"/>
        </w:rPr>
        <w:instrText xml:space="preserve"> ADDIN EN.CITE &lt;EndNote&gt;&lt;Cite&gt;&lt;Author&gt;Shattuck&lt;/Author&gt;&lt;Year&gt;2003&lt;/Year&gt;&lt;RecNum&gt;443&lt;/RecNum&gt;&lt;Suffix&gt;`, 75&lt;/Suffix&gt;&lt;record&gt;&lt;rec-number&gt;443&lt;/rec-number&gt;&lt;ref-type name="Book"&gt;6&lt;/ref-type&gt;&lt;contributors&gt;&lt;authors&gt;&lt;author&gt;Shattuck, John H. F.&lt;/author&gt;&lt;/authors&gt;&lt;/contributors&gt;&lt;titles&gt;&lt;title&gt;Freedom on fire : human rights wars and America&amp;apos;s response&lt;/title&gt;&lt;/titles&gt;&lt;pages&gt;390 p.&lt;/pages&gt;&lt;keywords&gt;&lt;keyword&gt;Human rights.&lt;/keyword&gt;&lt;keyword&gt;Human rights Government policy United States.&lt;/keyword&gt;&lt;/keywords&gt;&lt;dates&gt;&lt;year&gt;2003&lt;/year&gt;&lt;/dates&gt;&lt;pub-location&gt;Cambridge, Mass.&lt;/pub-location&gt;&lt;publisher&gt;Harvard University Press&lt;/publisher&gt;&lt;isbn&gt;0674011627 (alk. paper)&lt;/isbn&gt;&lt;accession-num&gt;13158259&lt;/accession-num&gt;&lt;call-num&gt;Jefferson or Adams Bldg General or Area Studies Reading Rms JC571; .S453 2003&amp;#xD;Main or Science/Business Reading Rms - STORED OFFSITE JC571; .S453 2003&lt;/call-num&gt;&lt;urls&gt;&lt;/urls&gt;&lt;/record&gt;&lt;/Cite&gt;&lt;/EndNote&gt;</w:instrText>
      </w:r>
      <w:r w:rsidRPr="003D0703">
        <w:rPr>
          <w:kern w:val="16"/>
        </w:rPr>
        <w:fldChar w:fldCharType="separate"/>
      </w:r>
      <w:r w:rsidRPr="003D0703">
        <w:rPr>
          <w:kern w:val="16"/>
        </w:rPr>
        <w:t xml:space="preserve">John H. F. Shattuck, </w:t>
      </w:r>
      <w:r w:rsidRPr="003D0703">
        <w:rPr>
          <w:i/>
          <w:kern w:val="16"/>
        </w:rPr>
        <w:t>Freedom on Fire : Human Rights Wars and America's Response</w:t>
      </w:r>
      <w:r w:rsidRPr="003D0703">
        <w:rPr>
          <w:kern w:val="16"/>
        </w:rPr>
        <w:t xml:space="preserve"> (Cambridge, Mass.: Harvard University Press, 2003)</w:t>
      </w:r>
      <w:r w:rsidR="005A7EAF">
        <w:rPr>
          <w:kern w:val="16"/>
        </w:rPr>
        <w:t>, p. 75</w:t>
      </w:r>
      <w:r w:rsidRPr="003D0703">
        <w:rPr>
          <w:kern w:val="16"/>
        </w:rPr>
        <w:t>.</w:t>
      </w:r>
      <w:r w:rsidRPr="003D0703">
        <w:rPr>
          <w:kern w:val="16"/>
        </w:rPr>
        <w:fldChar w:fldCharType="end"/>
      </w:r>
    </w:p>
  </w:footnote>
  <w:footnote w:id="81">
    <w:p w:rsidR="00500211" w:rsidRPr="005A7EAF" w:rsidRDefault="00500211" w:rsidP="002D24E1">
      <w:pPr>
        <w:autoSpaceDE w:val="0"/>
        <w:autoSpaceDN w:val="0"/>
        <w:adjustRightInd w:val="0"/>
        <w:jc w:val="both"/>
        <w:rPr>
          <w:i/>
          <w:sz w:val="20"/>
          <w:szCs w:val="20"/>
          <w:lang w:val="en-CA"/>
        </w:rPr>
      </w:pPr>
      <w:r w:rsidRPr="003D0703">
        <w:rPr>
          <w:rStyle w:val="FootnoteReference"/>
          <w:sz w:val="20"/>
          <w:szCs w:val="20"/>
        </w:rPr>
        <w:footnoteRef/>
      </w:r>
      <w:r w:rsidRPr="003D0703">
        <w:rPr>
          <w:sz w:val="20"/>
          <w:szCs w:val="20"/>
        </w:rPr>
        <w:t xml:space="preserve"> </w:t>
      </w:r>
      <w:r w:rsidRPr="003D0703">
        <w:rPr>
          <w:sz w:val="20"/>
          <w:szCs w:val="20"/>
          <w:lang w:val="en-CA"/>
        </w:rPr>
        <w:t xml:space="preserve">Though not every state was in favour of such a right of humanitarian intervention, no one did oppose it openly. Russia and China, for instance, did not veto the UN Security Council Resolution to Iraq in 1991 </w:t>
      </w:r>
      <w:r w:rsidRPr="003D0703">
        <w:rPr>
          <w:sz w:val="20"/>
          <w:szCs w:val="20"/>
          <w:lang w:val="en-CA"/>
        </w:rPr>
        <w:fldChar w:fldCharType="begin"/>
      </w:r>
      <w:r w:rsidRPr="003D0703">
        <w:rPr>
          <w:sz w:val="20"/>
          <w:szCs w:val="20"/>
          <w:lang w:val="en-CA"/>
        </w:rPr>
        <w:instrText xml:space="preserve"> ADDIN EN.CITE &lt;EndNote&gt;&lt;Cite&gt;&lt;Author&gt;Wheeler&lt;/Author&gt;&lt;Year&gt;2003&lt;/Year&gt;&lt;RecNum&gt;402&lt;/RecNum&gt;&lt;Suffix&gt;`, 39&lt;/Suffix&gt;&lt;record&gt;&lt;rec-number&gt;402&lt;/rec-number&gt;&lt;ref-type name="Book Section"&gt;5&lt;/ref-type&gt;&lt;contributors&gt;&lt;authors&gt;&lt;author&gt;Wheeler, Nicholas&lt;/author&gt;&lt;/authors&gt;&lt;secondary-authors&gt;&lt;author&gt;Jennifer Welsh&lt;/author&gt;&lt;/secondary-authors&gt;&lt;/contributors&gt;&lt;titles&gt;&lt;title&gt;The Humanitarian Responsibilities of Sovereignty: Explaining the Development of a New Norm of Military Intervention for Humanitarian Purposes in International Society&lt;/title&gt;&lt;secondary-title&gt;Humanitarian&amp;#xD;Intervention and International Relations&lt;/secondary-title&gt;&lt;/titles&gt;&lt;dates&gt;&lt;year&gt;2003&lt;/year&gt;&lt;/dates&gt;&lt;pub-location&gt;New York and Oxford&lt;/pub-location&gt;&lt;publisher&gt; Oxford University Press&lt;/publisher&gt;&lt;urls&gt;&lt;/urls&gt;&lt;/record&gt;&lt;/Cite&gt;&lt;/EndNote&gt;</w:instrText>
      </w:r>
      <w:r w:rsidRPr="003D0703">
        <w:rPr>
          <w:sz w:val="20"/>
          <w:szCs w:val="20"/>
          <w:lang w:val="en-CA"/>
        </w:rPr>
        <w:fldChar w:fldCharType="separate"/>
      </w:r>
      <w:r w:rsidRPr="003D0703">
        <w:rPr>
          <w:sz w:val="20"/>
          <w:szCs w:val="20"/>
          <w:lang w:val="en-CA"/>
        </w:rPr>
        <w:t xml:space="preserve">Nicholas Wheeler, "The Humanitarian Responsibilities of Sovereignty: Explaining the Development of a New Norm of Military Intervention for Humanitarian Purposes in International Society," in </w:t>
      </w:r>
      <w:r w:rsidR="005A7EAF">
        <w:rPr>
          <w:i/>
          <w:sz w:val="20"/>
          <w:szCs w:val="20"/>
          <w:lang w:val="en-CA"/>
        </w:rPr>
        <w:t xml:space="preserve">Humanitarian </w:t>
      </w:r>
      <w:r w:rsidRPr="003D0703">
        <w:rPr>
          <w:i/>
          <w:sz w:val="20"/>
          <w:szCs w:val="20"/>
          <w:lang w:val="en-CA"/>
        </w:rPr>
        <w:t>Intervention and International Relations</w:t>
      </w:r>
      <w:r w:rsidRPr="003D0703">
        <w:rPr>
          <w:sz w:val="20"/>
          <w:szCs w:val="20"/>
          <w:lang w:val="en-CA"/>
        </w:rPr>
        <w:t>, ed. Jennifer Welsh (New York and Oxford: Oxford University Press, 2003)</w:t>
      </w:r>
      <w:r w:rsidR="005A7EAF">
        <w:rPr>
          <w:sz w:val="20"/>
          <w:szCs w:val="20"/>
          <w:lang w:val="en-CA"/>
        </w:rPr>
        <w:t>, p 39</w:t>
      </w:r>
      <w:r w:rsidRPr="003D0703">
        <w:rPr>
          <w:sz w:val="20"/>
          <w:szCs w:val="20"/>
          <w:lang w:val="en-CA"/>
        </w:rPr>
        <w:t>.</w:t>
      </w:r>
      <w:r w:rsidRPr="003D0703">
        <w:rPr>
          <w:sz w:val="20"/>
          <w:szCs w:val="20"/>
          <w:lang w:val="en-CA"/>
        </w:rPr>
        <w:fldChar w:fldCharType="end"/>
      </w:r>
      <w:r w:rsidRPr="003D0703">
        <w:rPr>
          <w:sz w:val="20"/>
          <w:szCs w:val="20"/>
          <w:lang w:val="en-CA"/>
        </w:rPr>
        <w:t xml:space="preserve"> Even though both states were uncomfortable with the new norm, they rarely challenged interventions when gross human rights violations took place. No state wanted to be seen as opposing a military action that was clearly saving lives (</w:t>
      </w:r>
      <w:r w:rsidRPr="003D0703">
        <w:rPr>
          <w:sz w:val="20"/>
          <w:szCs w:val="20"/>
        </w:rPr>
        <w:fldChar w:fldCharType="begin"/>
      </w:r>
      <w:r w:rsidRPr="003D0703">
        <w:rPr>
          <w:sz w:val="20"/>
          <w:szCs w:val="20"/>
        </w:rPr>
        <w:instrText xml:space="preserve"> ADDIN EN.CITE &lt;EndNote&gt;&lt;Cite&gt;&lt;Author&gt;Whitman&lt;/Author&gt;&lt;Year&gt;1994&lt;/Year&gt;&lt;RecNum&gt;440&lt;/RecNum&gt;&lt;record&gt;&lt;rec-number&gt;440&lt;/rec-number&gt;&lt;ref-type name="Journal Article"&gt;17&lt;/ref-type&gt;&lt;contributors&gt;&lt;authors&gt;&lt;author&gt;Whitman, Jim&lt;/author&gt;&lt;/authors&gt;&lt;/contributors&gt;&lt;titles&gt;&lt;title&gt;A Cautionary Note on Humanitarian Intervention&lt;/title&gt;&lt;secondary-title&gt;Journal of Humanitarian Assistance&lt;/secondary-title&gt;&lt;/titles&gt;&lt;periodical&gt;&lt;full-title&gt;Journal of Humanitarian Assistance&lt;/full-title&gt;&lt;/periodical&gt;&lt;pages&gt;167-175&lt;/pages&gt;&lt;dates&gt;&lt;year&gt;1994&lt;/year&gt;&lt;/dates&gt;&lt;urls&gt;&lt;/urls&gt;&lt;/record&gt;&lt;/Cite&gt;&lt;/EndNote&gt;</w:instrText>
      </w:r>
      <w:r w:rsidRPr="003D0703">
        <w:rPr>
          <w:sz w:val="20"/>
          <w:szCs w:val="20"/>
        </w:rPr>
        <w:fldChar w:fldCharType="separate"/>
      </w:r>
      <w:r w:rsidRPr="003D0703">
        <w:rPr>
          <w:sz w:val="20"/>
          <w:szCs w:val="20"/>
        </w:rPr>
        <w:t xml:space="preserve">Jim Whitman, "A Cautionary Note on Humanitarian Intervention," </w:t>
      </w:r>
      <w:r w:rsidRPr="003D0703">
        <w:rPr>
          <w:i/>
          <w:sz w:val="20"/>
          <w:szCs w:val="20"/>
        </w:rPr>
        <w:t>Journal of Humanitarian Assistance</w:t>
      </w:r>
      <w:r w:rsidRPr="003D0703">
        <w:rPr>
          <w:sz w:val="20"/>
          <w:szCs w:val="20"/>
        </w:rPr>
        <w:t xml:space="preserve">  (1994).</w:t>
      </w:r>
      <w:r w:rsidRPr="003D0703">
        <w:rPr>
          <w:sz w:val="20"/>
          <w:szCs w:val="20"/>
        </w:rPr>
        <w:fldChar w:fldCharType="end"/>
      </w:r>
      <w:r w:rsidRPr="003D0703">
        <w:rPr>
          <w:sz w:val="20"/>
          <w:szCs w:val="20"/>
          <w:lang w:val="en-CA"/>
        </w:rPr>
        <w:t>, 39).</w:t>
      </w:r>
    </w:p>
  </w:footnote>
  <w:footnote w:id="82">
    <w:p w:rsidR="00500211" w:rsidRPr="003D0703" w:rsidRDefault="00500211">
      <w:pPr>
        <w:pStyle w:val="FootnoteText"/>
        <w:rPr>
          <w:i/>
          <w:lang w:val="en-CA"/>
        </w:rPr>
      </w:pPr>
      <w:r w:rsidRPr="003D0703">
        <w:rPr>
          <w:rStyle w:val="FootnoteReference"/>
        </w:rPr>
        <w:footnoteRef/>
      </w:r>
      <w:r w:rsidRPr="003D0703">
        <w:t xml:space="preserve"> </w:t>
      </w:r>
      <w:r w:rsidRPr="003D0703">
        <w:rPr>
          <w:lang w:val="en-CA"/>
        </w:rPr>
        <w:fldChar w:fldCharType="begin"/>
      </w:r>
      <w:r w:rsidRPr="003D0703">
        <w:rPr>
          <w:lang w:val="en-CA"/>
        </w:rPr>
        <w:instrText xml:space="preserve"> ADDIN EN.CITE &lt;EndNote&gt;&lt;Cite&gt;&lt;Author&gt;Boutros-Ghali&lt;/Author&gt;&lt;Year&gt;1992&lt;/Year&gt;&lt;RecNum&gt;399&lt;/RecNum&gt;&lt;record&gt;&lt;rec-number&gt;399&lt;/rec-number&gt;&lt;ref-type name="Book"&gt;6&lt;/ref-type&gt;&lt;contributors&gt;&lt;authors&gt;&lt;author&gt;Boutros-Ghali, Boutros&lt;/author&gt;&lt;/authors&gt;&lt;/contributors&gt;&lt;titles&gt;&lt;title&gt;An Agenda for Peace: Preventive Diplomacy, Peacemaking&amp;#xD;and Peace-keeping&lt;/title&gt;&lt;/titles&gt;&lt;dates&gt;&lt;year&gt;1992&lt;/year&gt;&lt;/dates&gt;&lt;pub-location&gt;New York&lt;/pub-location&gt;&lt;publisher&gt;United Nations&lt;/publisher&gt;&lt;urls&gt;&lt;/urls&gt;&lt;/record&gt;&lt;/Cite&gt;&lt;/EndNote&gt;</w:instrText>
      </w:r>
      <w:r w:rsidRPr="003D0703">
        <w:rPr>
          <w:lang w:val="en-CA"/>
        </w:rPr>
        <w:fldChar w:fldCharType="separate"/>
      </w:r>
      <w:r w:rsidRPr="003D0703">
        <w:rPr>
          <w:lang w:val="en-CA"/>
        </w:rPr>
        <w:t xml:space="preserve">Boutros Boutros-Ghali, </w:t>
      </w:r>
      <w:r w:rsidRPr="003D0703">
        <w:rPr>
          <w:i/>
          <w:lang w:val="en-CA"/>
        </w:rPr>
        <w:t>An Agenda for Peace: Preventive Diplomacy, Peacemaking</w:t>
      </w:r>
    </w:p>
    <w:p w:rsidR="00500211" w:rsidRPr="003D0703" w:rsidRDefault="00500211">
      <w:pPr>
        <w:pStyle w:val="FootnoteText"/>
        <w:rPr>
          <w:lang w:val="en-IE"/>
        </w:rPr>
      </w:pPr>
      <w:r w:rsidRPr="003D0703">
        <w:rPr>
          <w:i/>
          <w:lang w:val="en-CA"/>
        </w:rPr>
        <w:t>and Peace-Keeping</w:t>
      </w:r>
      <w:r w:rsidRPr="003D0703">
        <w:rPr>
          <w:lang w:val="en-CA"/>
        </w:rPr>
        <w:t xml:space="preserve"> (New York: United Nations, 1992).</w:t>
      </w:r>
      <w:r w:rsidRPr="003D0703">
        <w:rPr>
          <w:lang w:val="en-CA"/>
        </w:rPr>
        <w:fldChar w:fldCharType="end"/>
      </w:r>
    </w:p>
  </w:footnote>
  <w:footnote w:id="83">
    <w:p w:rsidR="00500211" w:rsidRPr="003D0703" w:rsidRDefault="00500211">
      <w:pPr>
        <w:pStyle w:val="FootnoteText"/>
        <w:rPr>
          <w:lang w:val="en-IE"/>
        </w:rPr>
      </w:pPr>
      <w:r w:rsidRPr="003D0703">
        <w:rPr>
          <w:rStyle w:val="FootnoteReference"/>
        </w:rPr>
        <w:footnoteRef/>
      </w:r>
      <w:r w:rsidRPr="003D0703">
        <w:t xml:space="preserve"> </w:t>
      </w:r>
      <w:r w:rsidRPr="003D0703">
        <w:rPr>
          <w:lang w:val="en-CA"/>
        </w:rPr>
        <w:fldChar w:fldCharType="begin"/>
      </w:r>
      <w:r w:rsidRPr="003D0703">
        <w:rPr>
          <w:lang w:val="en-CA"/>
        </w:rPr>
        <w:instrText xml:space="preserve"> ADDIN EN.CITE &lt;EndNote&gt;&lt;Cite&gt;&lt;Author&gt;International Commission on Intervention and State Sovereignty&lt;/Author&gt;&lt;Year&gt;2001&lt;/Year&gt;&lt;RecNum&gt;401&lt;/RecNum&gt;&lt;Suffix&gt;`, IX&lt;/Suffix&gt;&lt;record&gt;&lt;rec-number&gt;401&lt;/rec-number&gt;&lt;ref-type name="Book"&gt;6&lt;/ref-type&gt;&lt;contributors&gt;&lt;authors&gt;&lt;author&gt;International Commission on Intervention and State Sovereignty,&lt;/author&gt;&lt;/authors&gt;&lt;/contributors&gt;&lt;titles&gt;&lt;title&gt;The Responsibility to Protect.&lt;/title&gt;&lt;/titles&gt;&lt;dates&gt;&lt;year&gt;2001&lt;/year&gt;&lt;/dates&gt;&lt;pub-location&gt;Ottawa&lt;/pub-location&gt;&lt;publisher&gt;International Development Research Centre&lt;/publisher&gt;&lt;urls&gt;&lt;/urls&gt;&lt;/record&gt;&lt;/Cite&gt;&lt;/EndNote&gt;</w:instrText>
      </w:r>
      <w:r w:rsidRPr="003D0703">
        <w:rPr>
          <w:lang w:val="en-CA"/>
        </w:rPr>
        <w:fldChar w:fldCharType="separate"/>
      </w:r>
      <w:r w:rsidRPr="003D0703">
        <w:rPr>
          <w:lang w:val="en-CA"/>
        </w:rPr>
        <w:t xml:space="preserve">International Commission on Intervention and State Sovereignty, </w:t>
      </w:r>
      <w:r w:rsidRPr="003D0703">
        <w:rPr>
          <w:i/>
          <w:lang w:val="en-CA"/>
        </w:rPr>
        <w:t>The Responsibility to Protect.</w:t>
      </w:r>
      <w:r w:rsidRPr="003D0703">
        <w:rPr>
          <w:lang w:val="en-CA"/>
        </w:rPr>
        <w:t xml:space="preserve"> (Ottawa: International Development Research Centre, 2001)</w:t>
      </w:r>
      <w:r w:rsidR="005A7EAF">
        <w:rPr>
          <w:lang w:val="en-CA"/>
        </w:rPr>
        <w:t>, p. IX</w:t>
      </w:r>
      <w:r w:rsidRPr="003D0703">
        <w:rPr>
          <w:lang w:val="en-CA"/>
        </w:rPr>
        <w:t>.</w:t>
      </w:r>
      <w:r w:rsidRPr="003D0703">
        <w:rPr>
          <w:lang w:val="en-CA"/>
        </w:rPr>
        <w:fldChar w:fldCharType="end"/>
      </w:r>
    </w:p>
  </w:footnote>
  <w:footnote w:id="84">
    <w:p w:rsidR="005A7EAF" w:rsidRPr="005A7EAF" w:rsidRDefault="005A7EAF">
      <w:pPr>
        <w:pStyle w:val="FootnoteText"/>
      </w:pPr>
      <w:r>
        <w:rPr>
          <w:rStyle w:val="FootnoteReference"/>
        </w:rPr>
        <w:footnoteRef/>
      </w:r>
      <w:r>
        <w:t xml:space="preserve"> </w:t>
      </w:r>
      <w:proofErr w:type="gramStart"/>
      <w:r>
        <w:rPr>
          <w:lang w:val="en-CA"/>
        </w:rPr>
        <w:t>Ibid.,</w:t>
      </w:r>
      <w:proofErr w:type="gramEnd"/>
      <w:r>
        <w:rPr>
          <w:lang w:val="en-CA"/>
        </w:rPr>
        <w:t xml:space="preserve"> 31.</w:t>
      </w:r>
    </w:p>
  </w:footnote>
  <w:footnote w:id="85">
    <w:p w:rsidR="00500211" w:rsidRPr="003D0703" w:rsidRDefault="00500211">
      <w:pPr>
        <w:pStyle w:val="FootnoteText"/>
        <w:rPr>
          <w:lang w:val="en-IE"/>
        </w:rPr>
      </w:pPr>
      <w:r w:rsidRPr="003D0703">
        <w:rPr>
          <w:rStyle w:val="FootnoteReference"/>
        </w:rPr>
        <w:footnoteRef/>
      </w:r>
      <w:r w:rsidRPr="003D0703">
        <w:t xml:space="preserve"> </w:t>
      </w:r>
      <w:r w:rsidRPr="003D0703">
        <w:rPr>
          <w:lang w:val="en-CA"/>
        </w:rPr>
        <w:fldChar w:fldCharType="begin"/>
      </w:r>
      <w:r w:rsidRPr="003D0703">
        <w:rPr>
          <w:lang w:val="en-CA"/>
        </w:rPr>
        <w:instrText xml:space="preserve"> ADDIN EN.CITE &lt;EndNote&gt;&lt;Cite&gt;&lt;Author&gt;Bellamy&lt;/Author&gt;&lt;Year&gt;2005&lt;/Year&gt;&lt;RecNum&gt;406&lt;/RecNum&gt;&lt;record&gt;&lt;rec-number&gt;406&lt;/rec-number&gt;&lt;ref-type name="Journal Article"&gt;17&lt;/ref-type&gt;&lt;contributors&gt;&lt;authors&gt;&lt;author&gt;Bellamy, Alex&lt;/author&gt;&lt;/authors&gt;&lt;/contributors&gt;&lt;titles&gt;&lt;title&gt;Responsibility to Protect or Trojan Horse? The Crisis in Darfur and Humanitarian Intervention after Iraq&lt;/title&gt;&lt;secondary-title&gt;Ethics and International Affairs&lt;/secondary-title&gt;&lt;/titles&gt;&lt;periodical&gt;&lt;full-title&gt;Ethics and International Affairs&lt;/full-title&gt;&lt;/periodical&gt;&lt;pages&gt;31-53&lt;/pages&gt;&lt;volume&gt;19&lt;/volume&gt;&lt;number&gt;2&lt;/number&gt;&lt;dates&gt;&lt;year&gt;2005&lt;/year&gt;&lt;/dates&gt;&lt;urls&gt;&lt;/urls&gt;&lt;/record&gt;&lt;/Cite&gt;&lt;/EndNote&gt;</w:instrText>
      </w:r>
      <w:r w:rsidRPr="003D0703">
        <w:rPr>
          <w:lang w:val="en-CA"/>
        </w:rPr>
        <w:fldChar w:fldCharType="separate"/>
      </w:r>
      <w:r w:rsidRPr="003D0703">
        <w:rPr>
          <w:lang w:val="en-CA"/>
        </w:rPr>
        <w:t xml:space="preserve">Alex Bellamy, "Responsibility to Protect or Trojan Horse? The Crisis in Darfur and Humanitarian Intervention after Iraq," </w:t>
      </w:r>
      <w:r w:rsidRPr="003D0703">
        <w:rPr>
          <w:i/>
          <w:lang w:val="en-CA"/>
        </w:rPr>
        <w:t>Ethics and International Affairs</w:t>
      </w:r>
      <w:r w:rsidRPr="003D0703">
        <w:rPr>
          <w:lang w:val="en-CA"/>
        </w:rPr>
        <w:t xml:space="preserve"> 19, no. 2 (2005).</w:t>
      </w:r>
      <w:r w:rsidRPr="003D0703">
        <w:rPr>
          <w:lang w:val="en-CA"/>
        </w:rPr>
        <w:fldChar w:fldCharType="end"/>
      </w:r>
    </w:p>
  </w:footnote>
  <w:footnote w:id="86">
    <w:p w:rsidR="00500211" w:rsidRPr="003D0703" w:rsidRDefault="00500211">
      <w:pPr>
        <w:pStyle w:val="FootnoteText"/>
        <w:rPr>
          <w:lang w:val="en-IE"/>
        </w:rPr>
      </w:pPr>
      <w:r w:rsidRPr="003D0703">
        <w:rPr>
          <w:rStyle w:val="FootnoteReference"/>
        </w:rPr>
        <w:footnoteRef/>
      </w:r>
      <w:r w:rsidRPr="003D0703">
        <w:t xml:space="preserve"> </w:t>
      </w:r>
      <w:r w:rsidRPr="003D0703">
        <w:rPr>
          <w:lang w:val="en-CA"/>
        </w:rPr>
        <w:fldChar w:fldCharType="begin"/>
      </w:r>
      <w:r w:rsidRPr="003D0703">
        <w:rPr>
          <w:lang w:val="en-CA"/>
        </w:rPr>
        <w:instrText xml:space="preserve"> ADDIN EN.CITE &lt;EndNote&gt;&lt;Cite&gt;&lt;Author&gt;Chesterman&lt;/Author&gt;&lt;Year&gt;2003&lt;/Year&gt;&lt;RecNum&gt;407&lt;/RecNum&gt;&lt;record&gt;&lt;rec-number&gt;407&lt;/rec-number&gt;&lt;ref-type name="Book Section"&gt;5&lt;/ref-type&gt;&lt;contributors&gt;&lt;authors&gt;&lt;author&gt;Chesterman, David&lt;/author&gt;&lt;/authors&gt;&lt;secondary-authors&gt;&lt;author&gt;Welsh, Jennifer&lt;/author&gt;&lt;/secondary-authors&gt;&lt;/contributors&gt;&lt;titles&gt;&lt;title&gt;Humanitarian Intervention in Afghanistan&lt;/title&gt;&lt;secondary-title&gt;Humanitarian Intervention and International Relations&lt;/secondary-title&gt;&lt;/titles&gt;&lt;pages&gt;163-176&lt;/pages&gt;&lt;dates&gt;&lt;year&gt;2003&lt;/year&gt;&lt;/dates&gt;&lt;pub-location&gt;New York and Oxford&lt;/pub-location&gt;&lt;publisher&gt;Oxford University Press&lt;/publisher&gt;&lt;urls&gt;&lt;/urls&gt;&lt;/record&gt;&lt;/Cite&gt;&lt;Cite&gt;&lt;Author&gt;Chesterman&lt;/Author&gt;&lt;Year&gt;2003&lt;/Year&gt;&lt;RecNum&gt;407&lt;/RecNum&gt;&lt;Suffix&gt;`, 163&lt;/Suffix&gt;&lt;record&gt;&lt;rec-number&gt;407&lt;/rec-number&gt;&lt;ref-type name="Book Section"&gt;5&lt;/ref-type&gt;&lt;contributors&gt;&lt;authors&gt;&lt;author&gt;Chesterman, David&lt;/author&gt;&lt;/authors&gt;&lt;secondary-authors&gt;&lt;author&gt;Welsh, Jennifer&lt;/author&gt;&lt;/secondary-authors&gt;&lt;/contributors&gt;&lt;titles&gt;&lt;title&gt;Humanitarian Intervention in Afghanistan&lt;/title&gt;&lt;secondary-title&gt;Humanitarian Intervention and International Relations&lt;/secondary-title&gt;&lt;/titles&gt;&lt;pages&gt;163-176&lt;/pages&gt;&lt;dates&gt;&lt;year&gt;2003&lt;/year&gt;&lt;/dates&gt;&lt;pub-location&gt;New York and Oxford&lt;/pub-location&gt;&lt;publisher&gt;Oxford University Press&lt;/publisher&gt;&lt;urls&gt;&lt;/urls&gt;&lt;/record&gt;&lt;/Cite&gt;&lt;/EndNote&gt;</w:instrText>
      </w:r>
      <w:r w:rsidRPr="003D0703">
        <w:rPr>
          <w:lang w:val="en-CA"/>
        </w:rPr>
        <w:fldChar w:fldCharType="separate"/>
      </w:r>
      <w:r w:rsidRPr="003D0703">
        <w:rPr>
          <w:lang w:val="en-CA"/>
        </w:rPr>
        <w:t xml:space="preserve">David Chesterman, "Humanitarian Intervention in Afghanistan," in </w:t>
      </w:r>
      <w:r w:rsidRPr="003D0703">
        <w:rPr>
          <w:i/>
          <w:lang w:val="en-CA"/>
        </w:rPr>
        <w:t>Humanitarian Intervention and International Relations</w:t>
      </w:r>
      <w:r w:rsidRPr="003D0703">
        <w:rPr>
          <w:lang w:val="en-CA"/>
        </w:rPr>
        <w:t>, ed. Jennifer Welsh (New York and Oxford: Oxford University Press, 2003)</w:t>
      </w:r>
      <w:r w:rsidR="005A7EAF">
        <w:rPr>
          <w:lang w:val="en-CA"/>
        </w:rPr>
        <w:t>, p. 163</w:t>
      </w:r>
      <w:r w:rsidRPr="003D0703">
        <w:rPr>
          <w:lang w:val="en-CA"/>
        </w:rPr>
        <w:t>.</w:t>
      </w:r>
      <w:r w:rsidRPr="003D0703">
        <w:rPr>
          <w:lang w:val="en-CA"/>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8DD"/>
    <w:multiLevelType w:val="hybridMultilevel"/>
    <w:tmpl w:val="54804A74"/>
    <w:lvl w:ilvl="0" w:tplc="0407000B">
      <w:start w:val="1"/>
      <w:numFmt w:val="bullet"/>
      <w:lvlText w:val=""/>
      <w:lvlJc w:val="left"/>
      <w:pPr>
        <w:tabs>
          <w:tab w:val="num" w:pos="663"/>
        </w:tabs>
        <w:ind w:left="663" w:hanging="360"/>
      </w:pPr>
      <w:rPr>
        <w:rFonts w:ascii="Wingdings" w:hAnsi="Wingdings" w:hint="default"/>
      </w:rPr>
    </w:lvl>
    <w:lvl w:ilvl="1" w:tplc="04070003" w:tentative="1">
      <w:start w:val="1"/>
      <w:numFmt w:val="bullet"/>
      <w:lvlText w:val="o"/>
      <w:lvlJc w:val="left"/>
      <w:pPr>
        <w:tabs>
          <w:tab w:val="num" w:pos="1383"/>
        </w:tabs>
        <w:ind w:left="1383" w:hanging="360"/>
      </w:pPr>
      <w:rPr>
        <w:rFonts w:ascii="Courier New" w:hAnsi="Courier New" w:cs="Marlett"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Marlett"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Marlett"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1">
    <w:nsid w:val="0AC261DD"/>
    <w:multiLevelType w:val="hybridMultilevel"/>
    <w:tmpl w:val="3C4EFA82"/>
    <w:lvl w:ilvl="0" w:tplc="0407000B">
      <w:start w:val="1"/>
      <w:numFmt w:val="bullet"/>
      <w:lvlText w:val=""/>
      <w:lvlJc w:val="left"/>
      <w:pPr>
        <w:tabs>
          <w:tab w:val="num" w:pos="849"/>
        </w:tabs>
        <w:ind w:left="849" w:hanging="360"/>
      </w:pPr>
      <w:rPr>
        <w:rFonts w:ascii="Wingdings" w:hAnsi="Wingdings" w:hint="default"/>
      </w:rPr>
    </w:lvl>
    <w:lvl w:ilvl="1" w:tplc="04070003" w:tentative="1">
      <w:start w:val="1"/>
      <w:numFmt w:val="bullet"/>
      <w:lvlText w:val="o"/>
      <w:lvlJc w:val="left"/>
      <w:pPr>
        <w:tabs>
          <w:tab w:val="num" w:pos="1569"/>
        </w:tabs>
        <w:ind w:left="1569" w:hanging="360"/>
      </w:pPr>
      <w:rPr>
        <w:rFonts w:ascii="Courier New" w:hAnsi="Courier New" w:cs="Marlett" w:hint="default"/>
      </w:rPr>
    </w:lvl>
    <w:lvl w:ilvl="2" w:tplc="04070005" w:tentative="1">
      <w:start w:val="1"/>
      <w:numFmt w:val="bullet"/>
      <w:lvlText w:val=""/>
      <w:lvlJc w:val="left"/>
      <w:pPr>
        <w:tabs>
          <w:tab w:val="num" w:pos="2289"/>
        </w:tabs>
        <w:ind w:left="2289" w:hanging="360"/>
      </w:pPr>
      <w:rPr>
        <w:rFonts w:ascii="Wingdings" w:hAnsi="Wingdings" w:hint="default"/>
      </w:rPr>
    </w:lvl>
    <w:lvl w:ilvl="3" w:tplc="04070001" w:tentative="1">
      <w:start w:val="1"/>
      <w:numFmt w:val="bullet"/>
      <w:lvlText w:val=""/>
      <w:lvlJc w:val="left"/>
      <w:pPr>
        <w:tabs>
          <w:tab w:val="num" w:pos="3009"/>
        </w:tabs>
        <w:ind w:left="3009" w:hanging="360"/>
      </w:pPr>
      <w:rPr>
        <w:rFonts w:ascii="Symbol" w:hAnsi="Symbol" w:hint="default"/>
      </w:rPr>
    </w:lvl>
    <w:lvl w:ilvl="4" w:tplc="04070003" w:tentative="1">
      <w:start w:val="1"/>
      <w:numFmt w:val="bullet"/>
      <w:lvlText w:val="o"/>
      <w:lvlJc w:val="left"/>
      <w:pPr>
        <w:tabs>
          <w:tab w:val="num" w:pos="3729"/>
        </w:tabs>
        <w:ind w:left="3729" w:hanging="360"/>
      </w:pPr>
      <w:rPr>
        <w:rFonts w:ascii="Courier New" w:hAnsi="Courier New" w:cs="Marlett" w:hint="default"/>
      </w:rPr>
    </w:lvl>
    <w:lvl w:ilvl="5" w:tplc="04070005" w:tentative="1">
      <w:start w:val="1"/>
      <w:numFmt w:val="bullet"/>
      <w:lvlText w:val=""/>
      <w:lvlJc w:val="left"/>
      <w:pPr>
        <w:tabs>
          <w:tab w:val="num" w:pos="4449"/>
        </w:tabs>
        <w:ind w:left="4449" w:hanging="360"/>
      </w:pPr>
      <w:rPr>
        <w:rFonts w:ascii="Wingdings" w:hAnsi="Wingdings" w:hint="default"/>
      </w:rPr>
    </w:lvl>
    <w:lvl w:ilvl="6" w:tplc="04070001" w:tentative="1">
      <w:start w:val="1"/>
      <w:numFmt w:val="bullet"/>
      <w:lvlText w:val=""/>
      <w:lvlJc w:val="left"/>
      <w:pPr>
        <w:tabs>
          <w:tab w:val="num" w:pos="5169"/>
        </w:tabs>
        <w:ind w:left="5169" w:hanging="360"/>
      </w:pPr>
      <w:rPr>
        <w:rFonts w:ascii="Symbol" w:hAnsi="Symbol" w:hint="default"/>
      </w:rPr>
    </w:lvl>
    <w:lvl w:ilvl="7" w:tplc="04070003" w:tentative="1">
      <w:start w:val="1"/>
      <w:numFmt w:val="bullet"/>
      <w:lvlText w:val="o"/>
      <w:lvlJc w:val="left"/>
      <w:pPr>
        <w:tabs>
          <w:tab w:val="num" w:pos="5889"/>
        </w:tabs>
        <w:ind w:left="5889" w:hanging="360"/>
      </w:pPr>
      <w:rPr>
        <w:rFonts w:ascii="Courier New" w:hAnsi="Courier New" w:cs="Marlett" w:hint="default"/>
      </w:rPr>
    </w:lvl>
    <w:lvl w:ilvl="8" w:tplc="04070005" w:tentative="1">
      <w:start w:val="1"/>
      <w:numFmt w:val="bullet"/>
      <w:lvlText w:val=""/>
      <w:lvlJc w:val="left"/>
      <w:pPr>
        <w:tabs>
          <w:tab w:val="num" w:pos="6609"/>
        </w:tabs>
        <w:ind w:left="6609" w:hanging="360"/>
      </w:pPr>
      <w:rPr>
        <w:rFonts w:ascii="Wingdings" w:hAnsi="Wingdings" w:hint="default"/>
      </w:rPr>
    </w:lvl>
  </w:abstractNum>
  <w:abstractNum w:abstractNumId="2">
    <w:nsid w:val="14275361"/>
    <w:multiLevelType w:val="multilevel"/>
    <w:tmpl w:val="12A00988"/>
    <w:lvl w:ilvl="0">
      <w:start w:val="1"/>
      <w:numFmt w:val="bullet"/>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Webdings" w:eastAsia="Times New Roman" w:hAnsi="Webding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arlett"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arlett"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7D6337B"/>
    <w:multiLevelType w:val="hybridMultilevel"/>
    <w:tmpl w:val="42E47432"/>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cs="Marlett"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Marlett"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Marlett"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1B95615A"/>
    <w:multiLevelType w:val="hybridMultilevel"/>
    <w:tmpl w:val="2892F6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C970B32"/>
    <w:multiLevelType w:val="hybridMultilevel"/>
    <w:tmpl w:val="43A6BB6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D046B0B"/>
    <w:multiLevelType w:val="hybridMultilevel"/>
    <w:tmpl w:val="D83871EE"/>
    <w:lvl w:ilvl="0" w:tplc="100057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Marlet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rlet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rlett"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91B54"/>
    <w:multiLevelType w:val="hybridMultilevel"/>
    <w:tmpl w:val="29865E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98E74BA"/>
    <w:multiLevelType w:val="hybridMultilevel"/>
    <w:tmpl w:val="51D854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32E07B97"/>
    <w:multiLevelType w:val="hybridMultilevel"/>
    <w:tmpl w:val="6928ACBE"/>
    <w:lvl w:ilvl="0" w:tplc="B2923B2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BA67CD9"/>
    <w:multiLevelType w:val="hybridMultilevel"/>
    <w:tmpl w:val="B2FE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12E4456"/>
    <w:multiLevelType w:val="multilevel"/>
    <w:tmpl w:val="7402FB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Marlett"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arlett"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arlett"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C175ABE"/>
    <w:multiLevelType w:val="hybridMultilevel"/>
    <w:tmpl w:val="5994ECF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4C7F6E98"/>
    <w:multiLevelType w:val="hybridMultilevel"/>
    <w:tmpl w:val="FB3243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51DD5CBF"/>
    <w:multiLevelType w:val="hybridMultilevel"/>
    <w:tmpl w:val="8D7C5C0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58D5594"/>
    <w:multiLevelType w:val="hybridMultilevel"/>
    <w:tmpl w:val="BCCC60F8"/>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DC521E4"/>
    <w:multiLevelType w:val="hybridMultilevel"/>
    <w:tmpl w:val="9EB8AAA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63B72974"/>
    <w:multiLevelType w:val="hybridMultilevel"/>
    <w:tmpl w:val="E02CB46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3FE57EE"/>
    <w:multiLevelType w:val="hybridMultilevel"/>
    <w:tmpl w:val="3998D436"/>
    <w:lvl w:ilvl="0" w:tplc="0407000B">
      <w:start w:val="1"/>
      <w:numFmt w:val="bullet"/>
      <w:lvlText w:val=""/>
      <w:lvlJc w:val="left"/>
      <w:pPr>
        <w:tabs>
          <w:tab w:val="num" w:pos="663"/>
        </w:tabs>
        <w:ind w:left="663" w:hanging="360"/>
      </w:pPr>
      <w:rPr>
        <w:rFonts w:ascii="Wingdings" w:hAnsi="Wingdings" w:hint="default"/>
      </w:rPr>
    </w:lvl>
    <w:lvl w:ilvl="1" w:tplc="04070003" w:tentative="1">
      <w:start w:val="1"/>
      <w:numFmt w:val="bullet"/>
      <w:lvlText w:val="o"/>
      <w:lvlJc w:val="left"/>
      <w:pPr>
        <w:tabs>
          <w:tab w:val="num" w:pos="1383"/>
        </w:tabs>
        <w:ind w:left="1383" w:hanging="360"/>
      </w:pPr>
      <w:rPr>
        <w:rFonts w:ascii="Courier New" w:hAnsi="Courier New" w:cs="Marlett"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Marlett"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Marlett"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19">
    <w:nsid w:val="64EC0921"/>
    <w:multiLevelType w:val="hybridMultilevel"/>
    <w:tmpl w:val="B65C7F6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4FD0CE3"/>
    <w:multiLevelType w:val="hybridMultilevel"/>
    <w:tmpl w:val="494440B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067603"/>
    <w:multiLevelType w:val="hybridMultilevel"/>
    <w:tmpl w:val="12A00988"/>
    <w:lvl w:ilvl="0" w:tplc="04070001">
      <w:start w:val="1"/>
      <w:numFmt w:val="bullet"/>
      <w:lvlText w:val=""/>
      <w:lvlJc w:val="left"/>
      <w:pPr>
        <w:tabs>
          <w:tab w:val="num" w:pos="360"/>
        </w:tabs>
        <w:ind w:left="360" w:hanging="360"/>
      </w:pPr>
      <w:rPr>
        <w:rFonts w:ascii="Symbol" w:hAnsi="Symbol" w:hint="default"/>
      </w:rPr>
    </w:lvl>
    <w:lvl w:ilvl="1" w:tplc="FB1E54D4">
      <w:start w:val="2"/>
      <w:numFmt w:val="bullet"/>
      <w:lvlText w:val=""/>
      <w:lvlJc w:val="left"/>
      <w:pPr>
        <w:tabs>
          <w:tab w:val="num" w:pos="1080"/>
        </w:tabs>
        <w:ind w:left="1080" w:hanging="360"/>
      </w:pPr>
      <w:rPr>
        <w:rFonts w:ascii="Webdings" w:eastAsia="Times New Roman" w:hAnsi="Webdings" w:cs="Times New 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8A70266"/>
    <w:multiLevelType w:val="hybridMultilevel"/>
    <w:tmpl w:val="47002794"/>
    <w:lvl w:ilvl="0" w:tplc="0407000B">
      <w:start w:val="1"/>
      <w:numFmt w:val="bullet"/>
      <w:lvlText w:val=""/>
      <w:lvlJc w:val="left"/>
      <w:pPr>
        <w:tabs>
          <w:tab w:val="num" w:pos="663"/>
        </w:tabs>
        <w:ind w:left="663" w:hanging="360"/>
      </w:pPr>
      <w:rPr>
        <w:rFonts w:ascii="Wingdings" w:hAnsi="Wingdings" w:hint="default"/>
      </w:rPr>
    </w:lvl>
    <w:lvl w:ilvl="1" w:tplc="04070003" w:tentative="1">
      <w:start w:val="1"/>
      <w:numFmt w:val="bullet"/>
      <w:lvlText w:val="o"/>
      <w:lvlJc w:val="left"/>
      <w:pPr>
        <w:tabs>
          <w:tab w:val="num" w:pos="1383"/>
        </w:tabs>
        <w:ind w:left="1383" w:hanging="360"/>
      </w:pPr>
      <w:rPr>
        <w:rFonts w:ascii="Courier New" w:hAnsi="Courier New" w:cs="Marlett"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Marlett"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Marlett"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3">
    <w:nsid w:val="7A2F2081"/>
    <w:multiLevelType w:val="hybridMultilevel"/>
    <w:tmpl w:val="7402FB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Marlett"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Marlet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Marlett"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19"/>
  </w:num>
  <w:num w:numId="4">
    <w:abstractNumId w:val="14"/>
  </w:num>
  <w:num w:numId="5">
    <w:abstractNumId w:val="13"/>
  </w:num>
  <w:num w:numId="6">
    <w:abstractNumId w:val="7"/>
  </w:num>
  <w:num w:numId="7">
    <w:abstractNumId w:val="16"/>
  </w:num>
  <w:num w:numId="8">
    <w:abstractNumId w:val="21"/>
  </w:num>
  <w:num w:numId="9">
    <w:abstractNumId w:val="4"/>
  </w:num>
  <w:num w:numId="10">
    <w:abstractNumId w:val="8"/>
  </w:num>
  <w:num w:numId="11">
    <w:abstractNumId w:val="2"/>
  </w:num>
  <w:num w:numId="12">
    <w:abstractNumId w:val="23"/>
  </w:num>
  <w:num w:numId="13">
    <w:abstractNumId w:val="11"/>
  </w:num>
  <w:num w:numId="14">
    <w:abstractNumId w:val="15"/>
  </w:num>
  <w:num w:numId="15">
    <w:abstractNumId w:val="20"/>
  </w:num>
  <w:num w:numId="16">
    <w:abstractNumId w:val="1"/>
  </w:num>
  <w:num w:numId="17">
    <w:abstractNumId w:val="17"/>
  </w:num>
  <w:num w:numId="18">
    <w:abstractNumId w:val="0"/>
  </w:num>
  <w:num w:numId="19">
    <w:abstractNumId w:val="18"/>
  </w:num>
  <w:num w:numId="20">
    <w:abstractNumId w:val="3"/>
  </w:num>
  <w:num w:numId="21">
    <w:abstractNumId w:val="22"/>
  </w:num>
  <w:num w:numId="22">
    <w:abstractNumId w:val="12"/>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International Secur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ss-Endnote DIANA  April 2008.enl&lt;/item&gt;&lt;item&gt;ISA Paper.enl&lt;/item&gt;&lt;/Libraries&gt;&lt;/ENLibraries&gt;"/>
  </w:docVars>
  <w:rsids>
    <w:rsidRoot w:val="00067544"/>
    <w:rsid w:val="0000370B"/>
    <w:rsid w:val="000154A3"/>
    <w:rsid w:val="00067544"/>
    <w:rsid w:val="000C499D"/>
    <w:rsid w:val="000E7F75"/>
    <w:rsid w:val="00110072"/>
    <w:rsid w:val="00114CDA"/>
    <w:rsid w:val="00126E5D"/>
    <w:rsid w:val="001437FC"/>
    <w:rsid w:val="00231F61"/>
    <w:rsid w:val="002B0E41"/>
    <w:rsid w:val="002B17B3"/>
    <w:rsid w:val="002D24E1"/>
    <w:rsid w:val="002F0D6F"/>
    <w:rsid w:val="003D0703"/>
    <w:rsid w:val="004307E6"/>
    <w:rsid w:val="0049577F"/>
    <w:rsid w:val="00500211"/>
    <w:rsid w:val="0050120D"/>
    <w:rsid w:val="00502546"/>
    <w:rsid w:val="00532611"/>
    <w:rsid w:val="00564746"/>
    <w:rsid w:val="005A7EAF"/>
    <w:rsid w:val="005D1917"/>
    <w:rsid w:val="005E4D50"/>
    <w:rsid w:val="0060499F"/>
    <w:rsid w:val="00690C90"/>
    <w:rsid w:val="006A782A"/>
    <w:rsid w:val="006C4973"/>
    <w:rsid w:val="007519C8"/>
    <w:rsid w:val="0077622D"/>
    <w:rsid w:val="00782E93"/>
    <w:rsid w:val="00783140"/>
    <w:rsid w:val="00786022"/>
    <w:rsid w:val="00861EB0"/>
    <w:rsid w:val="00877EF0"/>
    <w:rsid w:val="00952C96"/>
    <w:rsid w:val="00A15FED"/>
    <w:rsid w:val="00A164A3"/>
    <w:rsid w:val="00A22053"/>
    <w:rsid w:val="00A222A2"/>
    <w:rsid w:val="00A96AF6"/>
    <w:rsid w:val="00AE4B88"/>
    <w:rsid w:val="00B2563D"/>
    <w:rsid w:val="00C40703"/>
    <w:rsid w:val="00C41F93"/>
    <w:rsid w:val="00CA74E8"/>
    <w:rsid w:val="00CE2DDF"/>
    <w:rsid w:val="00D076CA"/>
    <w:rsid w:val="00D32F8F"/>
    <w:rsid w:val="00D45BD6"/>
    <w:rsid w:val="00DF1A44"/>
    <w:rsid w:val="00E35868"/>
    <w:rsid w:val="00E476F4"/>
    <w:rsid w:val="00E56C47"/>
    <w:rsid w:val="00E6214F"/>
    <w:rsid w:val="00E81456"/>
    <w:rsid w:val="00EA0D74"/>
    <w:rsid w:val="00EC3A51"/>
    <w:rsid w:val="00EF3B1F"/>
    <w:rsid w:val="00F75A51"/>
    <w:rsid w:val="00FC64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82A"/>
    <w:rPr>
      <w:sz w:val="24"/>
      <w:szCs w:val="24"/>
      <w:lang w:val="en-GB" w:eastAsia="en-GB"/>
    </w:rPr>
  </w:style>
  <w:style w:type="paragraph" w:styleId="Heading1">
    <w:name w:val="heading 1"/>
    <w:basedOn w:val="Normal"/>
    <w:next w:val="Normal"/>
    <w:qFormat/>
    <w:rsid w:val="00067544"/>
    <w:pPr>
      <w:keepNext/>
      <w:spacing w:before="240" w:after="60"/>
      <w:outlineLvl w:val="0"/>
    </w:pPr>
    <w:rPr>
      <w:rFonts w:ascii="Arial" w:hAnsi="Arial" w:cs="Arial"/>
      <w:b/>
      <w:bCs/>
      <w:kern w:val="32"/>
      <w:sz w:val="32"/>
      <w:szCs w:val="32"/>
      <w:lang w:val="de-DE" w:eastAsia="de-DE"/>
    </w:rPr>
  </w:style>
  <w:style w:type="paragraph" w:styleId="Heading2">
    <w:name w:val="heading 2"/>
    <w:basedOn w:val="Normal"/>
    <w:next w:val="Normal"/>
    <w:link w:val="Heading2Char"/>
    <w:qFormat/>
    <w:rsid w:val="00F36B9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67544"/>
    <w:pPr>
      <w:keepNext/>
      <w:spacing w:before="240" w:after="60"/>
      <w:outlineLvl w:val="2"/>
    </w:pPr>
    <w:rPr>
      <w:rFonts w:ascii="Arial" w:hAnsi="Arial" w:cs="Arial"/>
      <w:b/>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7544"/>
    <w:rPr>
      <w:rFonts w:ascii="Arial" w:hAnsi="Arial" w:cs="Arial"/>
      <w:b/>
      <w:bCs/>
      <w:sz w:val="26"/>
      <w:szCs w:val="26"/>
      <w:lang w:val="de-DE" w:eastAsia="de-DE" w:bidi="ar-SA"/>
    </w:rPr>
  </w:style>
  <w:style w:type="paragraph" w:styleId="Footer">
    <w:name w:val="footer"/>
    <w:basedOn w:val="Normal"/>
    <w:rsid w:val="00067544"/>
    <w:pPr>
      <w:tabs>
        <w:tab w:val="center" w:pos="4536"/>
        <w:tab w:val="right" w:pos="9072"/>
      </w:tabs>
    </w:pPr>
    <w:rPr>
      <w:lang w:val="de-DE" w:eastAsia="de-DE"/>
    </w:rPr>
  </w:style>
  <w:style w:type="character" w:styleId="PageNumber">
    <w:name w:val="page number"/>
    <w:basedOn w:val="DefaultParagraphFont"/>
    <w:rsid w:val="00067544"/>
  </w:style>
  <w:style w:type="paragraph" w:styleId="FootnoteText">
    <w:name w:val="footnote text"/>
    <w:basedOn w:val="Normal"/>
    <w:link w:val="FootnoteTextChar"/>
    <w:semiHidden/>
    <w:rsid w:val="00067544"/>
    <w:rPr>
      <w:sz w:val="20"/>
      <w:szCs w:val="20"/>
      <w:lang w:val="en-US" w:eastAsia="en-US"/>
    </w:rPr>
  </w:style>
  <w:style w:type="character" w:styleId="FootnoteReference">
    <w:name w:val="footnote reference"/>
    <w:basedOn w:val="DefaultParagraphFont"/>
    <w:semiHidden/>
    <w:rsid w:val="00067544"/>
    <w:rPr>
      <w:vertAlign w:val="superscript"/>
    </w:rPr>
  </w:style>
  <w:style w:type="character" w:styleId="Hyperlink">
    <w:name w:val="Hyperlink"/>
    <w:basedOn w:val="DefaultParagraphFont"/>
    <w:rsid w:val="00067544"/>
    <w:rPr>
      <w:color w:val="0000FF"/>
      <w:u w:val="single"/>
    </w:rPr>
  </w:style>
  <w:style w:type="paragraph" w:styleId="EndnoteText">
    <w:name w:val="endnote text"/>
    <w:basedOn w:val="Normal"/>
    <w:link w:val="EndnoteTextChar"/>
    <w:rsid w:val="00067544"/>
    <w:pPr>
      <w:jc w:val="both"/>
    </w:pPr>
    <w:rPr>
      <w:sz w:val="20"/>
      <w:szCs w:val="20"/>
      <w:lang w:val="de-DE" w:eastAsia="de-DE"/>
    </w:rPr>
  </w:style>
  <w:style w:type="character" w:customStyle="1" w:styleId="EndnoteTextChar">
    <w:name w:val="Endnote Text Char"/>
    <w:basedOn w:val="DefaultParagraphFont"/>
    <w:link w:val="EndnoteText"/>
    <w:rsid w:val="00067544"/>
    <w:rPr>
      <w:lang w:val="de-DE" w:eastAsia="de-DE" w:bidi="ar-SA"/>
    </w:rPr>
  </w:style>
  <w:style w:type="character" w:customStyle="1" w:styleId="HeaderChar">
    <w:name w:val="Header Char"/>
    <w:basedOn w:val="DefaultParagraphFont"/>
    <w:link w:val="Header"/>
    <w:rsid w:val="00067544"/>
    <w:rPr>
      <w:sz w:val="24"/>
      <w:szCs w:val="24"/>
      <w:lang w:val="de-DE" w:eastAsia="de-DE" w:bidi="ar-SA"/>
    </w:rPr>
  </w:style>
  <w:style w:type="paragraph" w:styleId="Header">
    <w:name w:val="header"/>
    <w:basedOn w:val="Normal"/>
    <w:link w:val="HeaderChar"/>
    <w:rsid w:val="00067544"/>
    <w:pPr>
      <w:tabs>
        <w:tab w:val="center" w:pos="4536"/>
        <w:tab w:val="right" w:pos="9072"/>
      </w:tabs>
    </w:pPr>
    <w:rPr>
      <w:lang w:val="de-DE" w:eastAsia="de-DE"/>
    </w:rPr>
  </w:style>
  <w:style w:type="paragraph" w:customStyle="1" w:styleId="style18style27">
    <w:name w:val="style18style27"/>
    <w:basedOn w:val="Normal"/>
    <w:rsid w:val="00D23C36"/>
    <w:pPr>
      <w:spacing w:before="100" w:beforeAutospacing="1" w:after="100" w:afterAutospacing="1"/>
    </w:pPr>
    <w:rPr>
      <w:rFonts w:ascii="Arial" w:eastAsia="SimSun" w:hAnsi="Arial" w:cs="Arial"/>
      <w:color w:val="0975AF"/>
      <w:sz w:val="18"/>
      <w:szCs w:val="18"/>
      <w:lang w:val="de-DE" w:eastAsia="zh-CN"/>
    </w:rPr>
  </w:style>
  <w:style w:type="character" w:customStyle="1" w:styleId="FootnoteTextChar">
    <w:name w:val="Footnote Text Char"/>
    <w:basedOn w:val="DefaultParagraphFont"/>
    <w:link w:val="FootnoteText"/>
    <w:semiHidden/>
    <w:rsid w:val="00C441FD"/>
  </w:style>
  <w:style w:type="character" w:styleId="CommentReference">
    <w:name w:val="annotation reference"/>
    <w:basedOn w:val="DefaultParagraphFont"/>
    <w:semiHidden/>
    <w:rsid w:val="008E471D"/>
    <w:rPr>
      <w:sz w:val="16"/>
      <w:szCs w:val="16"/>
    </w:rPr>
  </w:style>
  <w:style w:type="paragraph" w:styleId="CommentText">
    <w:name w:val="annotation text"/>
    <w:basedOn w:val="Normal"/>
    <w:semiHidden/>
    <w:rsid w:val="008E471D"/>
    <w:rPr>
      <w:sz w:val="20"/>
      <w:szCs w:val="20"/>
    </w:rPr>
  </w:style>
  <w:style w:type="paragraph" w:styleId="CommentSubject">
    <w:name w:val="annotation subject"/>
    <w:basedOn w:val="CommentText"/>
    <w:next w:val="CommentText"/>
    <w:semiHidden/>
    <w:rsid w:val="008E471D"/>
    <w:rPr>
      <w:b/>
      <w:bCs/>
    </w:rPr>
  </w:style>
  <w:style w:type="paragraph" w:styleId="BalloonText">
    <w:name w:val="Balloon Text"/>
    <w:basedOn w:val="Normal"/>
    <w:semiHidden/>
    <w:rsid w:val="008E471D"/>
    <w:rPr>
      <w:rFonts w:ascii="Tahoma" w:hAnsi="Tahoma" w:cs="Tahoma"/>
      <w:sz w:val="16"/>
      <w:szCs w:val="16"/>
    </w:rPr>
  </w:style>
  <w:style w:type="character" w:customStyle="1" w:styleId="Heading2Char">
    <w:name w:val="Heading 2 Char"/>
    <w:basedOn w:val="DefaultParagraphFont"/>
    <w:link w:val="Heading2"/>
    <w:semiHidden/>
    <w:rsid w:val="00F36B97"/>
    <w:rPr>
      <w:rFonts w:ascii="Calibri" w:eastAsia="Times New Roman" w:hAnsi="Calibri" w:cs="Times New Roman"/>
      <w:b/>
      <w:bCs/>
      <w:i/>
      <w:iCs/>
      <w:sz w:val="28"/>
      <w:szCs w:val="28"/>
      <w:lang w:val="en-GB" w:eastAsia="en-GB"/>
    </w:rPr>
  </w:style>
  <w:style w:type="paragraph" w:customStyle="1" w:styleId="0Standard">
    <w:name w:val="0 Standard"/>
    <w:link w:val="0StandardChar"/>
    <w:rsid w:val="00F36B97"/>
    <w:pPr>
      <w:spacing w:line="234" w:lineRule="exact"/>
      <w:ind w:firstLine="221"/>
      <w:jc w:val="both"/>
    </w:pPr>
    <w:rPr>
      <w:lang w:val="de-DE" w:eastAsia="de-DE"/>
    </w:rPr>
  </w:style>
  <w:style w:type="character" w:customStyle="1" w:styleId="0StandardChar">
    <w:name w:val="0 Standard Char"/>
    <w:basedOn w:val="DefaultParagraphFont"/>
    <w:link w:val="0Standard"/>
    <w:rsid w:val="00F36B97"/>
    <w:rPr>
      <w:lang w:val="de-DE" w:eastAsia="de-DE" w:bidi="ar-SA"/>
    </w:rPr>
  </w:style>
  <w:style w:type="paragraph" w:customStyle="1" w:styleId="0Zitat">
    <w:name w:val="0 Zitat"/>
    <w:link w:val="0ZitatChar"/>
    <w:rsid w:val="00F36B97"/>
    <w:pPr>
      <w:tabs>
        <w:tab w:val="left" w:pos="499"/>
      </w:tabs>
      <w:spacing w:before="78" w:after="78" w:line="203" w:lineRule="atLeast"/>
      <w:ind w:left="329"/>
      <w:jc w:val="both"/>
    </w:pPr>
    <w:rPr>
      <w:sz w:val="17"/>
      <w:szCs w:val="17"/>
      <w:lang w:val="de-DE" w:eastAsia="de-DE"/>
    </w:rPr>
  </w:style>
  <w:style w:type="character" w:customStyle="1" w:styleId="0ZitatChar">
    <w:name w:val="0 Zitat Char"/>
    <w:basedOn w:val="DefaultParagraphFont"/>
    <w:link w:val="0Zitat"/>
    <w:rsid w:val="00F36B97"/>
    <w:rPr>
      <w:sz w:val="17"/>
      <w:szCs w:val="17"/>
      <w:lang w:val="de-DE" w:eastAsia="de-DE" w:bidi="ar-SA"/>
    </w:rPr>
  </w:style>
  <w:style w:type="table" w:styleId="TableGrid">
    <w:name w:val="Table Grid"/>
    <w:basedOn w:val="TableNormal"/>
    <w:rsid w:val="005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semiHidden/>
    <w:rsid w:val="007860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291">
      <w:bodyDiv w:val="1"/>
      <w:marLeft w:val="0"/>
      <w:marRight w:val="0"/>
      <w:marTop w:val="0"/>
      <w:marBottom w:val="0"/>
      <w:divBdr>
        <w:top w:val="none" w:sz="0" w:space="0" w:color="auto"/>
        <w:left w:val="none" w:sz="0" w:space="0" w:color="auto"/>
        <w:bottom w:val="none" w:sz="0" w:space="0" w:color="auto"/>
        <w:right w:val="none" w:sz="0" w:space="0" w:color="auto"/>
      </w:divBdr>
    </w:div>
    <w:div w:id="1875575760">
      <w:bodyDiv w:val="1"/>
      <w:marLeft w:val="0"/>
      <w:marRight w:val="0"/>
      <w:marTop w:val="0"/>
      <w:marBottom w:val="0"/>
      <w:divBdr>
        <w:top w:val="none" w:sz="0" w:space="0" w:color="auto"/>
        <w:left w:val="none" w:sz="0" w:space="0" w:color="auto"/>
        <w:bottom w:val="none" w:sz="0" w:space="0" w:color="auto"/>
        <w:right w:val="none" w:sz="0" w:space="0" w:color="auto"/>
      </w:divBdr>
      <w:divsChild>
        <w:div w:id="97185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humansecuritynetwork.org" TargetMode="External"/><Relationship Id="rId2" Type="http://schemas.openxmlformats.org/officeDocument/2006/relationships/hyperlink" Target="http://www.icrc.org/web/eng/siteeng0.nsf/htmlall/montreux-document-170908" TargetMode="External"/><Relationship Id="rId1" Type="http://schemas.openxmlformats.org/officeDocument/2006/relationships/hyperlink" Target="http://www.eda.admin.ch/eda/en/home/topics/intla/humlaw/pse/parsta.html" TargetMode="External"/><Relationship Id="rId4" Type="http://schemas.openxmlformats.org/officeDocument/2006/relationships/hyperlink" Target="http://www.un.org/news/Press/docs/2004/afr868.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2EC4-4575-4466-B301-1C68C5DF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11075</Words>
  <Characters>63132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De-Institutionalization of International Norms</vt:lpstr>
    </vt:vector>
  </TitlesOfParts>
  <Company>University College Dublin</Company>
  <LinksUpToDate>false</LinksUpToDate>
  <CharactersWithSpaces>74059</CharactersWithSpaces>
  <SharedDoc>false</SharedDoc>
  <HLinks>
    <vt:vector size="24" baseType="variant">
      <vt:variant>
        <vt:i4>5177366</vt:i4>
      </vt:variant>
      <vt:variant>
        <vt:i4>207</vt:i4>
      </vt:variant>
      <vt:variant>
        <vt:i4>0</vt:i4>
      </vt:variant>
      <vt:variant>
        <vt:i4>5</vt:i4>
      </vt:variant>
      <vt:variant>
        <vt:lpwstr>http://www.un.org/news/Press/docs/2004/afr868.doc.htm</vt:lpwstr>
      </vt:variant>
      <vt:variant>
        <vt:lpwstr/>
      </vt:variant>
      <vt:variant>
        <vt:i4>5439556</vt:i4>
      </vt:variant>
      <vt:variant>
        <vt:i4>204</vt:i4>
      </vt:variant>
      <vt:variant>
        <vt:i4>0</vt:i4>
      </vt:variant>
      <vt:variant>
        <vt:i4>5</vt:i4>
      </vt:variant>
      <vt:variant>
        <vt:lpwstr>http://www.humansecuritynetwork.org/</vt:lpwstr>
      </vt:variant>
      <vt:variant>
        <vt:lpwstr/>
      </vt:variant>
      <vt:variant>
        <vt:i4>589890</vt:i4>
      </vt:variant>
      <vt:variant>
        <vt:i4>159</vt:i4>
      </vt:variant>
      <vt:variant>
        <vt:i4>0</vt:i4>
      </vt:variant>
      <vt:variant>
        <vt:i4>5</vt:i4>
      </vt:variant>
      <vt:variant>
        <vt:lpwstr>http://www.icrc.org/web/eng/siteeng0.nsf/htmlall/montreux-document-170908</vt:lpwstr>
      </vt:variant>
      <vt:variant>
        <vt:lpwstr/>
      </vt:variant>
      <vt:variant>
        <vt:i4>6684711</vt:i4>
      </vt:variant>
      <vt:variant>
        <vt:i4>156</vt:i4>
      </vt:variant>
      <vt:variant>
        <vt:i4>0</vt:i4>
      </vt:variant>
      <vt:variant>
        <vt:i4>5</vt:i4>
      </vt:variant>
      <vt:variant>
        <vt:lpwstr>http://www.eda.admin.ch/eda/en/home/topics/intla/humlaw/pse/parsta.html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De-Institutionalization of International Norms</dc:title>
  <dc:subject/>
  <dc:creator>DPanke</dc:creator>
  <cp:keywords/>
  <dc:description/>
  <cp:lastModifiedBy>Petersohn, Ulrich</cp:lastModifiedBy>
  <cp:revision>21</cp:revision>
  <cp:lastPrinted>2010-03-11T12:09:00Z</cp:lastPrinted>
  <dcterms:created xsi:type="dcterms:W3CDTF">2010-03-11T17:54:00Z</dcterms:created>
  <dcterms:modified xsi:type="dcterms:W3CDTF">2019-03-19T10:38:00Z</dcterms:modified>
</cp:coreProperties>
</file>