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77CF" w14:textId="4DBC8B67" w:rsidR="001863D9" w:rsidRPr="00465121" w:rsidRDefault="001863D9" w:rsidP="00A86BF8">
      <w:pPr>
        <w:pStyle w:val="Heading1"/>
        <w:rPr>
          <w:rFonts w:ascii="Times New Roman" w:hAnsi="Times New Roman" w:cs="Times New Roman"/>
          <w:b/>
          <w:sz w:val="24"/>
          <w:lang w:val="en-GB"/>
        </w:rPr>
      </w:pPr>
      <w:bookmarkStart w:id="0" w:name="_GoBack"/>
      <w:r w:rsidRPr="00465121">
        <w:rPr>
          <w:rFonts w:ascii="Times New Roman" w:hAnsi="Times New Roman" w:cs="Times New Roman"/>
          <w:b/>
          <w:color w:val="auto"/>
          <w:sz w:val="24"/>
          <w:lang w:val="en-GB"/>
        </w:rPr>
        <w:t>Irregular Victims: Investigating the Immigration Status Decisions of Post-NRM Victims of Human Trafficking</w:t>
      </w:r>
      <w:r w:rsidR="00430023" w:rsidRPr="00465121">
        <w:rPr>
          <w:rFonts w:ascii="Times New Roman" w:hAnsi="Times New Roman" w:cs="Times New Roman"/>
          <w:b/>
          <w:color w:val="auto"/>
          <w:sz w:val="24"/>
          <w:lang w:val="en-GB"/>
        </w:rPr>
        <w:t>,</w:t>
      </w:r>
      <w:r w:rsidRPr="00465121">
        <w:rPr>
          <w:rFonts w:ascii="Times New Roman" w:hAnsi="Times New Roman" w:cs="Times New Roman"/>
          <w:b/>
          <w:color w:val="auto"/>
          <w:sz w:val="24"/>
          <w:lang w:val="en-GB"/>
        </w:rPr>
        <w:t xml:space="preserve"> the Availability of Eligible Benefits and the Related Impact on Victims</w:t>
      </w:r>
      <w:r w:rsidR="004E0625" w:rsidRPr="00465121">
        <w:rPr>
          <w:rFonts w:ascii="Times New Roman" w:hAnsi="Times New Roman" w:cs="Times New Roman"/>
          <w:b/>
          <w:color w:val="auto"/>
          <w:sz w:val="24"/>
          <w:lang w:val="en-GB"/>
        </w:rPr>
        <w:t xml:space="preserve"> of Trafficking</w:t>
      </w:r>
    </w:p>
    <w:bookmarkEnd w:id="0"/>
    <w:p w14:paraId="6A206D7A" w14:textId="77777777" w:rsidR="00597440" w:rsidRPr="00465121" w:rsidRDefault="00597440" w:rsidP="00751939">
      <w:pPr>
        <w:spacing w:line="276" w:lineRule="auto"/>
        <w:jc w:val="both"/>
        <w:rPr>
          <w:rFonts w:ascii="Times New Roman" w:hAnsi="Times New Roman" w:cs="Times New Roman"/>
          <w:lang w:val="en-GB"/>
        </w:rPr>
      </w:pPr>
    </w:p>
    <w:p w14:paraId="25684ED9" w14:textId="251BDFD7" w:rsidR="0084108E" w:rsidRPr="00465121" w:rsidRDefault="00F17570" w:rsidP="00751939">
      <w:pPr>
        <w:spacing w:line="276" w:lineRule="auto"/>
        <w:jc w:val="both"/>
        <w:rPr>
          <w:rFonts w:ascii="Times New Roman" w:hAnsi="Times New Roman" w:cs="Times New Roman"/>
          <w:lang w:val="en-GB"/>
        </w:rPr>
      </w:pPr>
      <w:r w:rsidRPr="00465121">
        <w:rPr>
          <w:rFonts w:ascii="Times New Roman" w:hAnsi="Times New Roman" w:cs="Times New Roman"/>
          <w:b/>
          <w:lang w:val="en-GB"/>
        </w:rPr>
        <w:t>Authors</w:t>
      </w:r>
    </w:p>
    <w:p w14:paraId="2DA5AFBA" w14:textId="77777777" w:rsidR="0084108E" w:rsidRPr="00465121" w:rsidRDefault="0084108E" w:rsidP="00751939">
      <w:pPr>
        <w:spacing w:line="276" w:lineRule="auto"/>
        <w:jc w:val="both"/>
        <w:rPr>
          <w:rFonts w:ascii="Times New Roman" w:hAnsi="Times New Roman" w:cs="Times New Roman"/>
          <w:lang w:val="en-GB"/>
        </w:rPr>
      </w:pPr>
    </w:p>
    <w:p w14:paraId="485344B1" w14:textId="5E15A3AA" w:rsidR="0084108E" w:rsidRPr="00465121" w:rsidRDefault="00D84D64"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Alexandra Williams-Woods</w:t>
      </w:r>
    </w:p>
    <w:p w14:paraId="43D85A86" w14:textId="201A25B6" w:rsidR="00D84D64" w:rsidRPr="00465121" w:rsidRDefault="00D84D64"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Politics Department</w:t>
      </w:r>
    </w:p>
    <w:p w14:paraId="7F349A8E" w14:textId="051813A7" w:rsidR="00D84D64" w:rsidRPr="00465121" w:rsidRDefault="00D84D64"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University of Liverpool</w:t>
      </w:r>
    </w:p>
    <w:p w14:paraId="26256ECA" w14:textId="23F29D5F" w:rsidR="00D84D64" w:rsidRPr="00465121" w:rsidRDefault="00D84D64"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a.williams-woods@liv.ac.uk</w:t>
      </w:r>
    </w:p>
    <w:p w14:paraId="04289BEE" w14:textId="77777777" w:rsidR="00D84D64" w:rsidRPr="00465121" w:rsidRDefault="00D84D64" w:rsidP="00751939">
      <w:pPr>
        <w:spacing w:line="276" w:lineRule="auto"/>
        <w:jc w:val="both"/>
        <w:rPr>
          <w:rFonts w:ascii="Times New Roman" w:hAnsi="Times New Roman" w:cs="Times New Roman"/>
          <w:lang w:val="en-GB"/>
        </w:rPr>
      </w:pPr>
    </w:p>
    <w:p w14:paraId="27FBAC10" w14:textId="43165BF6" w:rsidR="00D84D64" w:rsidRPr="00465121" w:rsidRDefault="00D84D64" w:rsidP="00D84D64">
      <w:pPr>
        <w:spacing w:line="276" w:lineRule="auto"/>
        <w:rPr>
          <w:rFonts w:ascii="Times New Roman" w:hAnsi="Times New Roman" w:cs="Times New Roman"/>
        </w:rPr>
      </w:pPr>
      <w:r w:rsidRPr="00465121">
        <w:rPr>
          <w:rFonts w:ascii="Times New Roman" w:hAnsi="Times New Roman" w:cs="Times New Roman"/>
          <w:lang w:val="en-GB"/>
        </w:rPr>
        <w:t>Alexandra Williams-Woods is a PhD Candidate at the University of Liverpool.  The</w:t>
      </w:r>
      <w:r w:rsidR="006940B5" w:rsidRPr="00465121">
        <w:rPr>
          <w:rFonts w:ascii="Times New Roman" w:hAnsi="Times New Roman" w:cs="Times New Roman"/>
          <w:lang w:val="en-GB"/>
        </w:rPr>
        <w:t xml:space="preserve"> title of her thesis </w:t>
      </w:r>
      <w:r w:rsidRPr="00465121">
        <w:rPr>
          <w:rFonts w:ascii="Times New Roman" w:hAnsi="Times New Roman" w:cs="Times New Roman"/>
          <w:lang w:val="en-GB"/>
        </w:rPr>
        <w:t>is “</w:t>
      </w:r>
      <w:r w:rsidRPr="00465121">
        <w:rPr>
          <w:rFonts w:ascii="Times New Roman" w:hAnsi="Times New Roman" w:cs="Times New Roman"/>
        </w:rPr>
        <w:t>Human Trafficking: Abolition and Agenda.  The Role of Ideas in the Development of the Anti-Trafficking Movement, the Development of Policy and the Experience of Victims”.  Alexandra’s research interests are gender, migration and human rights and the international and domestic policies connected to these areas.</w:t>
      </w:r>
    </w:p>
    <w:p w14:paraId="1EFD486B" w14:textId="77777777" w:rsidR="0084108E" w:rsidRPr="00465121" w:rsidRDefault="0084108E" w:rsidP="00751939">
      <w:pPr>
        <w:spacing w:line="276" w:lineRule="auto"/>
        <w:jc w:val="both"/>
        <w:rPr>
          <w:rFonts w:ascii="Times New Roman" w:hAnsi="Times New Roman" w:cs="Times New Roman"/>
          <w:lang w:val="en-GB"/>
        </w:rPr>
      </w:pPr>
    </w:p>
    <w:p w14:paraId="75CFE2D8" w14:textId="0D9874E1" w:rsidR="0084108E" w:rsidRPr="00465121" w:rsidRDefault="00D84D64"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Yvonne Mellon</w:t>
      </w:r>
    </w:p>
    <w:p w14:paraId="33423282" w14:textId="25A69D18" w:rsidR="00D84D64" w:rsidRPr="00465121" w:rsidRDefault="00D84D64"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Law Department</w:t>
      </w:r>
    </w:p>
    <w:p w14:paraId="2CC89270" w14:textId="12217865" w:rsidR="00D84D64" w:rsidRPr="00465121" w:rsidRDefault="00D84D64"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University of Liverpool</w:t>
      </w:r>
    </w:p>
    <w:p w14:paraId="03E5635C" w14:textId="67D4FB42" w:rsidR="00D84D64" w:rsidRPr="00465121" w:rsidRDefault="00D84D64"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ymellon@liverpool.ac.uk</w:t>
      </w:r>
    </w:p>
    <w:p w14:paraId="4F8B4617" w14:textId="77777777" w:rsidR="0084108E" w:rsidRPr="00465121" w:rsidRDefault="0084108E" w:rsidP="00751939">
      <w:pPr>
        <w:spacing w:line="276" w:lineRule="auto"/>
        <w:jc w:val="both"/>
        <w:rPr>
          <w:rFonts w:ascii="Times New Roman" w:hAnsi="Times New Roman" w:cs="Times New Roman"/>
          <w:lang w:val="en-GB"/>
        </w:rPr>
      </w:pPr>
    </w:p>
    <w:p w14:paraId="3C1A05C5" w14:textId="5BBCD752" w:rsidR="00D84D64" w:rsidRPr="00465121" w:rsidRDefault="00D84D64" w:rsidP="00D84D64">
      <w:pPr>
        <w:spacing w:line="276" w:lineRule="auto"/>
        <w:rPr>
          <w:rFonts w:ascii="Times New Roman" w:eastAsia="Times New Roman" w:hAnsi="Times New Roman" w:cs="Times New Roman"/>
          <w:lang w:val="en-GB"/>
        </w:rPr>
      </w:pPr>
      <w:r w:rsidRPr="00465121">
        <w:rPr>
          <w:rFonts w:ascii="Times New Roman" w:eastAsia="Times New Roman" w:hAnsi="Times New Roman" w:cs="Times New Roman"/>
          <w:color w:val="000000"/>
          <w:lang w:val="en-GB"/>
        </w:rPr>
        <w:t>Yvonne is a PhD researcher and Graduate Teaching Assistant within the Liverpool Law School. Yvonne’s is in the final stages of completing her PhD entitled “The Modern Slavery Act 2015: Exploring Modern Slavery and its effect on Legislative Responses to Slavery and Human Trafficking’. Yvonne’s research interest centres on the concepts of ‘modern slavery’ and trafficking, considering how the practices are defined and legal responses are developed in relation to intersecting issues such as immigration, criminal justice and depoliticisation.</w:t>
      </w:r>
    </w:p>
    <w:p w14:paraId="2D0CB507" w14:textId="77777777" w:rsidR="0084108E" w:rsidRPr="00465121" w:rsidRDefault="0084108E" w:rsidP="00751939">
      <w:pPr>
        <w:spacing w:line="276" w:lineRule="auto"/>
        <w:jc w:val="both"/>
        <w:rPr>
          <w:rFonts w:ascii="Times New Roman" w:hAnsi="Times New Roman" w:cs="Times New Roman"/>
          <w:lang w:val="en-GB"/>
        </w:rPr>
      </w:pPr>
    </w:p>
    <w:p w14:paraId="5B898AC2" w14:textId="77777777" w:rsidR="0084108E" w:rsidRPr="00465121" w:rsidRDefault="0084108E" w:rsidP="00751939">
      <w:pPr>
        <w:spacing w:line="276" w:lineRule="auto"/>
        <w:jc w:val="both"/>
        <w:rPr>
          <w:rFonts w:ascii="Times New Roman" w:hAnsi="Times New Roman" w:cs="Times New Roman"/>
          <w:lang w:val="en-GB"/>
        </w:rPr>
      </w:pPr>
    </w:p>
    <w:p w14:paraId="469D1DAD" w14:textId="41BE038B" w:rsidR="0084108E" w:rsidRPr="00465121" w:rsidRDefault="0060774A" w:rsidP="00751939">
      <w:pPr>
        <w:spacing w:line="276" w:lineRule="auto"/>
        <w:jc w:val="both"/>
        <w:rPr>
          <w:rFonts w:ascii="Times New Roman" w:hAnsi="Times New Roman" w:cs="Times New Roman"/>
          <w:lang w:val="en-GB"/>
        </w:rPr>
      </w:pPr>
      <w:r w:rsidRPr="00465121">
        <w:rPr>
          <w:rFonts w:ascii="Times New Roman" w:hAnsi="Times New Roman" w:cs="Times New Roman"/>
          <w:b/>
          <w:lang w:val="en-GB"/>
        </w:rPr>
        <w:t>Abstract</w:t>
      </w:r>
    </w:p>
    <w:p w14:paraId="6622564E" w14:textId="77777777" w:rsidR="0060774A" w:rsidRPr="00465121" w:rsidRDefault="0060774A" w:rsidP="00751939">
      <w:pPr>
        <w:spacing w:line="276" w:lineRule="auto"/>
        <w:jc w:val="both"/>
        <w:rPr>
          <w:rFonts w:ascii="Times New Roman" w:hAnsi="Times New Roman" w:cs="Times New Roman"/>
          <w:lang w:val="en-GB"/>
        </w:rPr>
      </w:pPr>
    </w:p>
    <w:p w14:paraId="704AD36E" w14:textId="7D7E9089" w:rsidR="0060774A" w:rsidRPr="00465121" w:rsidRDefault="00D30C31" w:rsidP="00751939">
      <w:pPr>
        <w:spacing w:line="276" w:lineRule="auto"/>
        <w:jc w:val="both"/>
        <w:rPr>
          <w:rFonts w:ascii="Times New Roman" w:hAnsi="Times New Roman" w:cs="Times New Roman"/>
        </w:rPr>
      </w:pPr>
      <w:r w:rsidRPr="00465121">
        <w:rPr>
          <w:rFonts w:ascii="Times New Roman" w:hAnsi="Times New Roman" w:cs="Times New Roman"/>
        </w:rPr>
        <w:t>Human trafficking is</w:t>
      </w:r>
      <w:r w:rsidR="0060774A" w:rsidRPr="00465121">
        <w:rPr>
          <w:rFonts w:ascii="Times New Roman" w:hAnsi="Times New Roman" w:cs="Times New Roman"/>
        </w:rPr>
        <w:t xml:space="preserve"> </w:t>
      </w:r>
      <w:r w:rsidRPr="00465121">
        <w:rPr>
          <w:rFonts w:ascii="Times New Roman" w:hAnsi="Times New Roman" w:cs="Times New Roman"/>
        </w:rPr>
        <w:t>connected</w:t>
      </w:r>
      <w:r w:rsidR="0060774A" w:rsidRPr="00465121">
        <w:rPr>
          <w:rFonts w:ascii="Times New Roman" w:hAnsi="Times New Roman" w:cs="Times New Roman"/>
        </w:rPr>
        <w:t xml:space="preserve"> </w:t>
      </w:r>
      <w:r w:rsidR="00423559" w:rsidRPr="00465121">
        <w:rPr>
          <w:rFonts w:ascii="Times New Roman" w:hAnsi="Times New Roman" w:cs="Times New Roman"/>
        </w:rPr>
        <w:t>to migration</w:t>
      </w:r>
      <w:r w:rsidRPr="00465121">
        <w:rPr>
          <w:rFonts w:ascii="Times New Roman" w:hAnsi="Times New Roman" w:cs="Times New Roman"/>
        </w:rPr>
        <w:t xml:space="preserve"> as it </w:t>
      </w:r>
      <w:r w:rsidR="00423559" w:rsidRPr="00465121">
        <w:rPr>
          <w:rFonts w:ascii="Times New Roman" w:hAnsi="Times New Roman" w:cs="Times New Roman"/>
        </w:rPr>
        <w:t>often involves crossing international borders</w:t>
      </w:r>
      <w:r w:rsidR="0060774A" w:rsidRPr="00465121">
        <w:rPr>
          <w:rFonts w:ascii="Times New Roman" w:hAnsi="Times New Roman" w:cs="Times New Roman"/>
        </w:rPr>
        <w:t xml:space="preserve">. This article argues that by failing to view the issue of human trafficking through the lens of migration, the current framework for assisting victims of human trafficking fails to ensure the protection of the individuals concerned. </w:t>
      </w:r>
      <w:r w:rsidR="00C1220A">
        <w:rPr>
          <w:rFonts w:ascii="Times New Roman" w:hAnsi="Times New Roman" w:cs="Times New Roman"/>
        </w:rPr>
        <w:t xml:space="preserve">This article offers an innovative perspective by </w:t>
      </w:r>
      <w:proofErr w:type="spellStart"/>
      <w:r w:rsidR="00C1220A">
        <w:rPr>
          <w:rFonts w:ascii="Times New Roman" w:hAnsi="Times New Roman" w:cs="Times New Roman"/>
        </w:rPr>
        <w:t>analysing</w:t>
      </w:r>
      <w:proofErr w:type="spellEnd"/>
      <w:r w:rsidR="00C1220A">
        <w:rPr>
          <w:rFonts w:ascii="Times New Roman" w:hAnsi="Times New Roman" w:cs="Times New Roman"/>
        </w:rPr>
        <w:t xml:space="preserve"> the specific legal position of victims of human trafficking in the context of UK domestic law and international agreements, and tracing this to survivor experiences.</w:t>
      </w:r>
      <w:r w:rsidR="0060774A" w:rsidRPr="00465121">
        <w:rPr>
          <w:rFonts w:ascii="Times New Roman" w:hAnsi="Times New Roman" w:cs="Times New Roman"/>
        </w:rPr>
        <w:t xml:space="preserve"> </w:t>
      </w:r>
      <w:r w:rsidR="00C1220A">
        <w:rPr>
          <w:rFonts w:ascii="Times New Roman" w:hAnsi="Times New Roman" w:cs="Times New Roman"/>
        </w:rPr>
        <w:t>The</w:t>
      </w:r>
      <w:r w:rsidR="0060774A" w:rsidRPr="00465121">
        <w:rPr>
          <w:rFonts w:ascii="Times New Roman" w:hAnsi="Times New Roman" w:cs="Times New Roman"/>
        </w:rPr>
        <w:t xml:space="preserve"> extent</w:t>
      </w:r>
      <w:r w:rsidR="00C1220A">
        <w:rPr>
          <w:rFonts w:ascii="Times New Roman" w:hAnsi="Times New Roman" w:cs="Times New Roman"/>
        </w:rPr>
        <w:t xml:space="preserve"> to which</w:t>
      </w:r>
      <w:r w:rsidR="0060774A" w:rsidRPr="00465121">
        <w:rPr>
          <w:rFonts w:ascii="Times New Roman" w:hAnsi="Times New Roman" w:cs="Times New Roman"/>
        </w:rPr>
        <w:t xml:space="preserve"> non-UK </w:t>
      </w:r>
      <w:r w:rsidR="00423559" w:rsidRPr="00465121">
        <w:rPr>
          <w:rFonts w:ascii="Times New Roman" w:hAnsi="Times New Roman" w:cs="Times New Roman"/>
        </w:rPr>
        <w:t xml:space="preserve">national </w:t>
      </w:r>
      <w:r w:rsidR="0060774A" w:rsidRPr="00465121">
        <w:rPr>
          <w:rFonts w:ascii="Times New Roman" w:hAnsi="Times New Roman" w:cs="Times New Roman"/>
        </w:rPr>
        <w:t>survivors of human trafficking are ab</w:t>
      </w:r>
      <w:r w:rsidR="00423559" w:rsidRPr="00465121">
        <w:rPr>
          <w:rFonts w:ascii="Times New Roman" w:hAnsi="Times New Roman" w:cs="Times New Roman"/>
        </w:rPr>
        <w:t>le to access the rights that</w:t>
      </w:r>
      <w:r w:rsidR="0060774A" w:rsidRPr="00465121">
        <w:rPr>
          <w:rFonts w:ascii="Times New Roman" w:hAnsi="Times New Roman" w:cs="Times New Roman"/>
        </w:rPr>
        <w:t xml:space="preserve"> they are entitled</w:t>
      </w:r>
      <w:r w:rsidR="00423559" w:rsidRPr="00465121">
        <w:rPr>
          <w:rFonts w:ascii="Times New Roman" w:hAnsi="Times New Roman" w:cs="Times New Roman"/>
        </w:rPr>
        <w:t xml:space="preserve"> to in the UK</w:t>
      </w:r>
      <w:r w:rsidR="00C1220A">
        <w:rPr>
          <w:rFonts w:ascii="Times New Roman" w:hAnsi="Times New Roman" w:cs="Times New Roman"/>
        </w:rPr>
        <w:t xml:space="preserve"> is explored</w:t>
      </w:r>
      <w:r w:rsidR="0060774A" w:rsidRPr="00465121">
        <w:rPr>
          <w:rFonts w:ascii="Times New Roman" w:hAnsi="Times New Roman" w:cs="Times New Roman"/>
        </w:rPr>
        <w:t xml:space="preserve">, </w:t>
      </w:r>
      <w:r w:rsidR="00BE4A68" w:rsidRPr="00465121">
        <w:rPr>
          <w:rFonts w:ascii="Times New Roman" w:hAnsi="Times New Roman" w:cs="Times New Roman"/>
        </w:rPr>
        <w:t xml:space="preserve">as well as </w:t>
      </w:r>
      <w:r w:rsidR="0060774A" w:rsidRPr="00465121">
        <w:rPr>
          <w:rFonts w:ascii="Times New Roman" w:hAnsi="Times New Roman" w:cs="Times New Roman"/>
        </w:rPr>
        <w:t xml:space="preserve">what factors influence the </w:t>
      </w:r>
      <w:r w:rsidR="00C1220A">
        <w:rPr>
          <w:rFonts w:ascii="Times New Roman" w:hAnsi="Times New Roman" w:cs="Times New Roman"/>
        </w:rPr>
        <w:t>accessibility of these rights</w:t>
      </w:r>
      <w:r w:rsidR="0060774A" w:rsidRPr="00465121">
        <w:rPr>
          <w:rFonts w:ascii="Times New Roman" w:hAnsi="Times New Roman" w:cs="Times New Roman"/>
        </w:rPr>
        <w:t>. Utilising an interdisciplinary approach, encompassing</w:t>
      </w:r>
      <w:r w:rsidRPr="00465121">
        <w:rPr>
          <w:rFonts w:ascii="Times New Roman" w:hAnsi="Times New Roman" w:cs="Times New Roman"/>
        </w:rPr>
        <w:t xml:space="preserve"> scholarship of</w:t>
      </w:r>
      <w:r w:rsidR="0060774A" w:rsidRPr="00465121">
        <w:rPr>
          <w:rFonts w:ascii="Times New Roman" w:hAnsi="Times New Roman" w:cs="Times New Roman"/>
        </w:rPr>
        <w:t xml:space="preserve"> </w:t>
      </w:r>
      <w:r w:rsidRPr="00465121">
        <w:rPr>
          <w:rFonts w:ascii="Times New Roman" w:hAnsi="Times New Roman" w:cs="Times New Roman"/>
        </w:rPr>
        <w:t>l</w:t>
      </w:r>
      <w:r w:rsidR="0060774A" w:rsidRPr="00465121">
        <w:rPr>
          <w:rFonts w:ascii="Times New Roman" w:hAnsi="Times New Roman" w:cs="Times New Roman"/>
        </w:rPr>
        <w:t>a</w:t>
      </w:r>
      <w:r w:rsidRPr="00465121">
        <w:rPr>
          <w:rFonts w:ascii="Times New Roman" w:hAnsi="Times New Roman" w:cs="Times New Roman"/>
        </w:rPr>
        <w:t>w and p</w:t>
      </w:r>
      <w:r w:rsidR="0060774A" w:rsidRPr="00465121">
        <w:rPr>
          <w:rFonts w:ascii="Times New Roman" w:hAnsi="Times New Roman" w:cs="Times New Roman"/>
        </w:rPr>
        <w:t xml:space="preserve">olitics, this article links a review of the current legal </w:t>
      </w:r>
      <w:r w:rsidR="0060774A" w:rsidRPr="00465121">
        <w:rPr>
          <w:rFonts w:ascii="Times New Roman" w:hAnsi="Times New Roman" w:cs="Times New Roman"/>
        </w:rPr>
        <w:lastRenderedPageBreak/>
        <w:t>landscape relating to immigration status for trafficking victims with empirical work exploring the experiences of non-UK national trafficking survivors.</w:t>
      </w:r>
    </w:p>
    <w:p w14:paraId="2B364E51" w14:textId="77777777" w:rsidR="0060774A" w:rsidRPr="00465121" w:rsidRDefault="0060774A" w:rsidP="00751939">
      <w:pPr>
        <w:spacing w:line="276" w:lineRule="auto"/>
        <w:jc w:val="both"/>
        <w:rPr>
          <w:rFonts w:ascii="Times New Roman" w:hAnsi="Times New Roman" w:cs="Times New Roman"/>
        </w:rPr>
      </w:pPr>
    </w:p>
    <w:p w14:paraId="5FA4AB08" w14:textId="6A67E987" w:rsidR="00BE4A68" w:rsidRPr="00465121" w:rsidRDefault="0060774A" w:rsidP="00751939">
      <w:pPr>
        <w:spacing w:line="276" w:lineRule="auto"/>
        <w:jc w:val="both"/>
        <w:rPr>
          <w:rFonts w:ascii="Times New Roman" w:hAnsi="Times New Roman" w:cs="Times New Roman"/>
        </w:rPr>
      </w:pPr>
      <w:r w:rsidRPr="00465121">
        <w:rPr>
          <w:rFonts w:ascii="Times New Roman" w:hAnsi="Times New Roman" w:cs="Times New Roman"/>
          <w:b/>
        </w:rPr>
        <w:t>Key words</w:t>
      </w:r>
    </w:p>
    <w:p w14:paraId="5D673DE9" w14:textId="3543BC1D" w:rsidR="0060774A" w:rsidRPr="00465121" w:rsidRDefault="0060774A" w:rsidP="00751939">
      <w:pPr>
        <w:spacing w:line="276" w:lineRule="auto"/>
        <w:jc w:val="both"/>
        <w:rPr>
          <w:rFonts w:ascii="Times New Roman" w:hAnsi="Times New Roman" w:cs="Times New Roman"/>
        </w:rPr>
      </w:pPr>
      <w:r w:rsidRPr="00465121">
        <w:rPr>
          <w:rFonts w:ascii="Times New Roman" w:hAnsi="Times New Roman" w:cs="Times New Roman"/>
        </w:rPr>
        <w:t>Human trafficking, modern slavery, immigration law, victim impact</w:t>
      </w:r>
    </w:p>
    <w:p w14:paraId="1D48829D" w14:textId="77777777" w:rsidR="00BE4A68" w:rsidRPr="00465121" w:rsidRDefault="00BE4A68" w:rsidP="00751939">
      <w:pPr>
        <w:spacing w:line="276" w:lineRule="auto"/>
        <w:jc w:val="both"/>
        <w:rPr>
          <w:rFonts w:ascii="Times New Roman" w:hAnsi="Times New Roman" w:cs="Times New Roman"/>
        </w:rPr>
      </w:pPr>
    </w:p>
    <w:p w14:paraId="4D14C079" w14:textId="4A7469E9" w:rsidR="001863D9" w:rsidRPr="00465121" w:rsidRDefault="00741244" w:rsidP="00751939">
      <w:pPr>
        <w:spacing w:line="276" w:lineRule="auto"/>
        <w:jc w:val="both"/>
        <w:rPr>
          <w:rFonts w:ascii="Times New Roman" w:hAnsi="Times New Roman" w:cs="Times New Roman"/>
        </w:rPr>
      </w:pPr>
      <w:r w:rsidRPr="00465121">
        <w:rPr>
          <w:rFonts w:ascii="Times New Roman" w:hAnsi="Times New Roman" w:cs="Times New Roman"/>
          <w:b/>
          <w:lang w:val="en-GB"/>
        </w:rPr>
        <w:t>Introduction</w:t>
      </w:r>
    </w:p>
    <w:p w14:paraId="32056F89" w14:textId="77777777" w:rsidR="00741244" w:rsidRPr="00465121" w:rsidRDefault="00741244" w:rsidP="00751939">
      <w:pPr>
        <w:spacing w:line="276" w:lineRule="auto"/>
        <w:jc w:val="both"/>
        <w:rPr>
          <w:rFonts w:ascii="Times New Roman" w:hAnsi="Times New Roman" w:cs="Times New Roman"/>
          <w:lang w:val="en-GB"/>
        </w:rPr>
      </w:pPr>
    </w:p>
    <w:p w14:paraId="126A9AE6" w14:textId="05ACAFE8" w:rsidR="00914740" w:rsidRPr="00465121" w:rsidRDefault="00430023"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Whilst</w:t>
      </w:r>
      <w:r w:rsidR="00C96919" w:rsidRPr="00465121">
        <w:rPr>
          <w:rFonts w:ascii="Times New Roman" w:hAnsi="Times New Roman" w:cs="Times New Roman"/>
          <w:lang w:val="en-GB"/>
        </w:rPr>
        <w:t xml:space="preserve"> the crime of human trafficking</w:t>
      </w:r>
      <w:r w:rsidRPr="00465121">
        <w:rPr>
          <w:rFonts w:ascii="Times New Roman" w:hAnsi="Times New Roman" w:cs="Times New Roman"/>
          <w:lang w:val="en-GB"/>
        </w:rPr>
        <w:t xml:space="preserve"> has been foregrounded in human</w:t>
      </w:r>
      <w:r w:rsidR="00751939" w:rsidRPr="00465121">
        <w:rPr>
          <w:rFonts w:ascii="Times New Roman" w:hAnsi="Times New Roman" w:cs="Times New Roman"/>
          <w:lang w:val="en-GB"/>
        </w:rPr>
        <w:t xml:space="preserve"> rights discourse within the UK</w:t>
      </w:r>
      <w:r w:rsidR="0069003F" w:rsidRPr="00465121">
        <w:rPr>
          <w:rFonts w:ascii="Times New Roman" w:hAnsi="Times New Roman" w:cs="Times New Roman"/>
          <w:lang w:val="en-GB"/>
        </w:rPr>
        <w:t>, and its victim</w:t>
      </w:r>
      <w:r w:rsidR="00A56794" w:rsidRPr="00465121">
        <w:rPr>
          <w:rFonts w:ascii="Times New Roman" w:hAnsi="Times New Roman" w:cs="Times New Roman"/>
          <w:lang w:val="en-GB"/>
        </w:rPr>
        <w:t>s positioned</w:t>
      </w:r>
      <w:r w:rsidR="00567F8E" w:rsidRPr="00465121">
        <w:rPr>
          <w:rFonts w:ascii="Times New Roman" w:hAnsi="Times New Roman" w:cs="Times New Roman"/>
          <w:lang w:val="en-GB"/>
        </w:rPr>
        <w:t xml:space="preserve"> by the media, campaigners</w:t>
      </w:r>
      <w:r w:rsidR="004C22B5" w:rsidRPr="00465121">
        <w:rPr>
          <w:rFonts w:ascii="Times New Roman" w:hAnsi="Times New Roman" w:cs="Times New Roman"/>
          <w:lang w:val="en-GB"/>
        </w:rPr>
        <w:t>,</w:t>
      </w:r>
      <w:r w:rsidR="00567F8E" w:rsidRPr="00465121">
        <w:rPr>
          <w:rFonts w:ascii="Times New Roman" w:hAnsi="Times New Roman" w:cs="Times New Roman"/>
          <w:lang w:val="en-GB"/>
        </w:rPr>
        <w:t xml:space="preserve"> and</w:t>
      </w:r>
      <w:r w:rsidR="004C22B5" w:rsidRPr="00465121">
        <w:rPr>
          <w:rFonts w:ascii="Times New Roman" w:hAnsi="Times New Roman" w:cs="Times New Roman"/>
          <w:lang w:val="en-GB"/>
        </w:rPr>
        <w:t xml:space="preserve"> Government</w:t>
      </w:r>
      <w:r w:rsidR="00A56794" w:rsidRPr="00465121">
        <w:rPr>
          <w:rFonts w:ascii="Times New Roman" w:hAnsi="Times New Roman" w:cs="Times New Roman"/>
          <w:lang w:val="en-GB"/>
        </w:rPr>
        <w:t xml:space="preserve"> as being in need of</w:t>
      </w:r>
      <w:r w:rsidR="0069003F" w:rsidRPr="00465121">
        <w:rPr>
          <w:rFonts w:ascii="Times New Roman" w:hAnsi="Times New Roman" w:cs="Times New Roman"/>
          <w:lang w:val="en-GB"/>
        </w:rPr>
        <w:t xml:space="preserve"> assistance and protection, when the measures put in place to do so are unpicked it becomes clear that there are serious gaps in provision. </w:t>
      </w:r>
      <w:r w:rsidR="0014627A" w:rsidRPr="00465121">
        <w:rPr>
          <w:rFonts w:ascii="Times New Roman" w:hAnsi="Times New Roman" w:cs="Times New Roman"/>
          <w:lang w:val="en-GB"/>
        </w:rPr>
        <w:t xml:space="preserve">One </w:t>
      </w:r>
      <w:r w:rsidR="0069003F" w:rsidRPr="00465121">
        <w:rPr>
          <w:rFonts w:ascii="Times New Roman" w:hAnsi="Times New Roman" w:cs="Times New Roman"/>
          <w:lang w:val="en-GB"/>
        </w:rPr>
        <w:t xml:space="preserve">predominant area in which these gaps can be identified is within the entitlement given to those </w:t>
      </w:r>
      <w:r w:rsidR="00A56794" w:rsidRPr="00465121">
        <w:rPr>
          <w:rFonts w:ascii="Times New Roman" w:hAnsi="Times New Roman" w:cs="Times New Roman"/>
          <w:lang w:val="en-GB"/>
        </w:rPr>
        <w:t>who are non-UK nationals to remain in the UK</w:t>
      </w:r>
      <w:r w:rsidR="0014627A" w:rsidRPr="00465121">
        <w:rPr>
          <w:rFonts w:ascii="Times New Roman" w:hAnsi="Times New Roman" w:cs="Times New Roman"/>
          <w:lang w:val="en-GB"/>
        </w:rPr>
        <w:t>,</w:t>
      </w:r>
      <w:r w:rsidR="00A56794" w:rsidRPr="00465121">
        <w:rPr>
          <w:rFonts w:ascii="Times New Roman" w:hAnsi="Times New Roman" w:cs="Times New Roman"/>
          <w:lang w:val="en-GB"/>
        </w:rPr>
        <w:t xml:space="preserve"> and </w:t>
      </w:r>
      <w:r w:rsidR="0014627A" w:rsidRPr="00465121">
        <w:rPr>
          <w:rFonts w:ascii="Times New Roman" w:hAnsi="Times New Roman" w:cs="Times New Roman"/>
          <w:lang w:val="en-GB"/>
        </w:rPr>
        <w:t xml:space="preserve">their ability </w:t>
      </w:r>
      <w:r w:rsidR="00A56794" w:rsidRPr="00465121">
        <w:rPr>
          <w:rFonts w:ascii="Times New Roman" w:hAnsi="Times New Roman" w:cs="Times New Roman"/>
          <w:lang w:val="en-GB"/>
        </w:rPr>
        <w:t xml:space="preserve">to access help and support. Currently, an identified victim of trafficking will enter a process called the </w:t>
      </w:r>
      <w:r w:rsidR="0014627A" w:rsidRPr="00465121">
        <w:rPr>
          <w:rFonts w:ascii="Times New Roman" w:hAnsi="Times New Roman" w:cs="Times New Roman"/>
          <w:lang w:val="en-GB"/>
        </w:rPr>
        <w:t>‘</w:t>
      </w:r>
      <w:r w:rsidR="00A56794" w:rsidRPr="00465121">
        <w:rPr>
          <w:rFonts w:ascii="Times New Roman" w:hAnsi="Times New Roman" w:cs="Times New Roman"/>
          <w:lang w:val="en-GB"/>
        </w:rPr>
        <w:t>National Referral Mechanism</w:t>
      </w:r>
      <w:r w:rsidR="0014627A" w:rsidRPr="00465121">
        <w:rPr>
          <w:rFonts w:ascii="Times New Roman" w:hAnsi="Times New Roman" w:cs="Times New Roman"/>
          <w:lang w:val="en-GB"/>
        </w:rPr>
        <w:t>’ (NRM)</w:t>
      </w:r>
      <w:r w:rsidR="00A56794" w:rsidRPr="00465121">
        <w:rPr>
          <w:rFonts w:ascii="Times New Roman" w:hAnsi="Times New Roman" w:cs="Times New Roman"/>
          <w:lang w:val="en-GB"/>
        </w:rPr>
        <w:t xml:space="preserve">, which will be discussed in detail below. This process theoretically lasts for </w:t>
      </w:r>
      <w:r w:rsidR="0014627A" w:rsidRPr="00465121">
        <w:rPr>
          <w:rFonts w:ascii="Times New Roman" w:hAnsi="Times New Roman" w:cs="Times New Roman"/>
          <w:lang w:val="en-GB"/>
        </w:rPr>
        <w:t>forty-five</w:t>
      </w:r>
      <w:r w:rsidR="00A56794" w:rsidRPr="00465121">
        <w:rPr>
          <w:rFonts w:ascii="Times New Roman" w:hAnsi="Times New Roman" w:cs="Times New Roman"/>
          <w:lang w:val="en-GB"/>
        </w:rPr>
        <w:t xml:space="preserve"> days, after which time Government manda</w:t>
      </w:r>
      <w:r w:rsidR="004406EC" w:rsidRPr="00465121">
        <w:rPr>
          <w:rFonts w:ascii="Times New Roman" w:hAnsi="Times New Roman" w:cs="Times New Roman"/>
          <w:lang w:val="en-GB"/>
        </w:rPr>
        <w:t xml:space="preserve">ted provision ends.  As the needs of victims often do not end simultaneously with this end of provision, this has created a space </w:t>
      </w:r>
      <w:r w:rsidR="00641186" w:rsidRPr="00465121">
        <w:rPr>
          <w:rFonts w:ascii="Times New Roman" w:hAnsi="Times New Roman" w:cs="Times New Roman"/>
          <w:lang w:val="en-GB"/>
        </w:rPr>
        <w:t>for the provision of various aspects of support and care, into which a number of charities and NGOs have moved.</w:t>
      </w:r>
      <w:r w:rsidR="00A56794" w:rsidRPr="00465121">
        <w:rPr>
          <w:rFonts w:ascii="Times New Roman" w:hAnsi="Times New Roman" w:cs="Times New Roman"/>
          <w:lang w:val="en-GB"/>
        </w:rPr>
        <w:t xml:space="preserve"> </w:t>
      </w:r>
      <w:r w:rsidR="00D218F4" w:rsidRPr="00465121">
        <w:rPr>
          <w:rFonts w:ascii="Times New Roman" w:hAnsi="Times New Roman" w:cs="Times New Roman"/>
          <w:lang w:val="en-GB"/>
        </w:rPr>
        <w:t>At this point</w:t>
      </w:r>
      <w:r w:rsidR="00641186" w:rsidRPr="00465121">
        <w:rPr>
          <w:rFonts w:ascii="Times New Roman" w:hAnsi="Times New Roman" w:cs="Times New Roman"/>
          <w:lang w:val="en-GB"/>
        </w:rPr>
        <w:t>, when Government provision ends,</w:t>
      </w:r>
      <w:r w:rsidR="00D218F4" w:rsidRPr="00465121">
        <w:rPr>
          <w:rFonts w:ascii="Times New Roman" w:hAnsi="Times New Roman" w:cs="Times New Roman"/>
          <w:lang w:val="en-GB"/>
        </w:rPr>
        <w:t xml:space="preserve"> a non-UK national</w:t>
      </w:r>
      <w:r w:rsidR="000F3476" w:rsidRPr="00465121">
        <w:rPr>
          <w:rFonts w:ascii="Times New Roman" w:hAnsi="Times New Roman" w:cs="Times New Roman"/>
          <w:lang w:val="en-GB"/>
        </w:rPr>
        <w:t>,</w:t>
      </w:r>
      <w:r w:rsidR="00D218F4" w:rsidRPr="00465121">
        <w:rPr>
          <w:rFonts w:ascii="Times New Roman" w:hAnsi="Times New Roman" w:cs="Times New Roman"/>
          <w:lang w:val="en-GB"/>
        </w:rPr>
        <w:t xml:space="preserve"> without a pre-existing entitlement to reside in the UK</w:t>
      </w:r>
      <w:r w:rsidR="000F3476" w:rsidRPr="00465121">
        <w:rPr>
          <w:rFonts w:ascii="Times New Roman" w:hAnsi="Times New Roman" w:cs="Times New Roman"/>
          <w:lang w:val="en-GB"/>
        </w:rPr>
        <w:t>,</w:t>
      </w:r>
      <w:r w:rsidR="00D218F4" w:rsidRPr="00465121">
        <w:rPr>
          <w:rFonts w:ascii="Times New Roman" w:hAnsi="Times New Roman" w:cs="Times New Roman"/>
          <w:lang w:val="en-GB"/>
        </w:rPr>
        <w:t xml:space="preserve"> becomes at risk of deportation.</w:t>
      </w:r>
    </w:p>
    <w:p w14:paraId="0E16A9A1" w14:textId="77777777" w:rsidR="00914740" w:rsidRPr="00465121" w:rsidRDefault="00914740" w:rsidP="00751939">
      <w:pPr>
        <w:spacing w:line="276" w:lineRule="auto"/>
        <w:jc w:val="both"/>
        <w:rPr>
          <w:rFonts w:ascii="Times New Roman" w:hAnsi="Times New Roman" w:cs="Times New Roman"/>
          <w:lang w:val="en-GB"/>
        </w:rPr>
      </w:pPr>
    </w:p>
    <w:p w14:paraId="209B3851" w14:textId="6FFCCB42" w:rsidR="00641186" w:rsidRPr="00465121" w:rsidRDefault="00D218F4"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This research explores the specific le</w:t>
      </w:r>
      <w:r w:rsidR="00641186" w:rsidRPr="00465121">
        <w:rPr>
          <w:rFonts w:ascii="Times New Roman" w:hAnsi="Times New Roman" w:cs="Times New Roman"/>
          <w:lang w:val="en-GB"/>
        </w:rPr>
        <w:t>gal position of non-UK national victims of human trafficking</w:t>
      </w:r>
      <w:r w:rsidRPr="00465121">
        <w:rPr>
          <w:rFonts w:ascii="Times New Roman" w:hAnsi="Times New Roman" w:cs="Times New Roman"/>
          <w:lang w:val="en-GB"/>
        </w:rPr>
        <w:t xml:space="preserve"> in the context of UK domestic legislation and relevant international agreements</w:t>
      </w:r>
      <w:r w:rsidR="00984384" w:rsidRPr="00465121">
        <w:rPr>
          <w:rFonts w:ascii="Times New Roman" w:hAnsi="Times New Roman" w:cs="Times New Roman"/>
          <w:lang w:val="en-GB"/>
        </w:rPr>
        <w:t>, particularly the Council of Europe Convention on Action Against Trafficking in Human Beings</w:t>
      </w:r>
      <w:r w:rsidRPr="00465121">
        <w:rPr>
          <w:rFonts w:ascii="Times New Roman" w:hAnsi="Times New Roman" w:cs="Times New Roman"/>
          <w:lang w:val="en-GB"/>
        </w:rPr>
        <w:t>.</w:t>
      </w:r>
      <w:r w:rsidR="00641186" w:rsidRPr="00465121">
        <w:rPr>
          <w:rFonts w:ascii="Times New Roman" w:hAnsi="Times New Roman" w:cs="Times New Roman"/>
          <w:lang w:val="en-GB"/>
        </w:rPr>
        <w:t xml:space="preserve"> For the purposes of this article, the definition used for human trafficking is that found in the Palermo Protocol</w:t>
      </w:r>
      <w:r w:rsidR="00984384" w:rsidRPr="00465121">
        <w:rPr>
          <w:rFonts w:ascii="Times New Roman" w:hAnsi="Times New Roman" w:cs="Times New Roman"/>
          <w:lang w:val="en-GB"/>
        </w:rPr>
        <w:t>,</w:t>
      </w:r>
      <w:r w:rsidR="00641186" w:rsidRPr="00465121">
        <w:rPr>
          <w:rFonts w:ascii="Times New Roman" w:hAnsi="Times New Roman" w:cs="Times New Roman"/>
          <w:lang w:val="en-GB"/>
        </w:rPr>
        <w:t xml:space="preserve"> </w:t>
      </w:r>
    </w:p>
    <w:p w14:paraId="1EE23210" w14:textId="77777777" w:rsidR="00641186" w:rsidRPr="00465121" w:rsidRDefault="00641186" w:rsidP="00751939">
      <w:pPr>
        <w:spacing w:line="276" w:lineRule="auto"/>
        <w:jc w:val="both"/>
        <w:rPr>
          <w:rFonts w:ascii="Times New Roman" w:hAnsi="Times New Roman" w:cs="Times New Roman"/>
          <w:lang w:val="en-GB"/>
        </w:rPr>
      </w:pPr>
    </w:p>
    <w:p w14:paraId="66A760CF" w14:textId="12C76098" w:rsidR="00641186" w:rsidRPr="00DD2FCF" w:rsidRDefault="00984384" w:rsidP="00DD2FCF">
      <w:pPr>
        <w:rPr>
          <w:rFonts w:ascii="Times New Roman" w:eastAsia="Times New Roman" w:hAnsi="Times New Roman" w:cs="Times New Roman"/>
          <w:lang w:val="en-GB"/>
        </w:rPr>
      </w:pPr>
      <w:r w:rsidRPr="00465121">
        <w:rPr>
          <w:rFonts w:ascii="Times New Roman" w:eastAsia="Times New Roman" w:hAnsi="Times New Roman" w:cs="Times New Roman"/>
          <w:lang w:val="en-GB"/>
        </w:rPr>
        <w:t>“</w:t>
      </w:r>
      <w:r w:rsidR="00641186" w:rsidRPr="00465121">
        <w:rPr>
          <w:rFonts w:ascii="Times New Roman" w:eastAsia="Times New Roman" w:hAnsi="Times New Roman" w:cs="Times New Roman"/>
          <w:lang w:val="en-GB"/>
        </w:rPr>
        <w:t>“Trafficking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r w:rsidRPr="00465121">
        <w:rPr>
          <w:rFonts w:ascii="Times New Roman" w:eastAsia="Times New Roman" w:hAnsi="Times New Roman" w:cs="Times New Roman"/>
          <w:lang w:val="en-GB"/>
        </w:rPr>
        <w:t>.”</w:t>
      </w:r>
      <w:r w:rsidRPr="00465121">
        <w:rPr>
          <w:rStyle w:val="FootnoteReference"/>
          <w:rFonts w:ascii="Times New Roman" w:hAnsi="Times New Roman" w:cs="Times New Roman"/>
          <w:lang w:val="en-GB"/>
        </w:rPr>
        <w:t xml:space="preserve"> </w:t>
      </w:r>
      <w:r w:rsidRPr="00465121">
        <w:rPr>
          <w:rStyle w:val="FootnoteReference"/>
          <w:rFonts w:ascii="Times New Roman" w:hAnsi="Times New Roman" w:cs="Times New Roman"/>
          <w:lang w:val="en-GB"/>
        </w:rPr>
        <w:footnoteReference w:id="1"/>
      </w:r>
    </w:p>
    <w:p w14:paraId="689681F3" w14:textId="77777777" w:rsidR="00641186" w:rsidRPr="00465121" w:rsidRDefault="00641186" w:rsidP="00751939">
      <w:pPr>
        <w:spacing w:line="276" w:lineRule="auto"/>
        <w:jc w:val="both"/>
        <w:rPr>
          <w:rFonts w:ascii="Times New Roman" w:hAnsi="Times New Roman" w:cs="Times New Roman"/>
          <w:lang w:val="en-GB"/>
        </w:rPr>
      </w:pPr>
    </w:p>
    <w:p w14:paraId="20FAC5FB" w14:textId="5349B840" w:rsidR="00430023" w:rsidRPr="00465121" w:rsidRDefault="00D218F4"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As will be discussed, the UK falls short of meeting international</w:t>
      </w:r>
      <w:r w:rsidR="00741244" w:rsidRPr="00465121">
        <w:rPr>
          <w:rFonts w:ascii="Times New Roman" w:hAnsi="Times New Roman" w:cs="Times New Roman"/>
          <w:lang w:val="en-GB"/>
        </w:rPr>
        <w:t xml:space="preserve"> obligations stemming particularly from the Council of Europe Trafficking Convention</w:t>
      </w:r>
      <w:r w:rsidR="00F155C1" w:rsidRPr="00465121">
        <w:rPr>
          <w:rFonts w:ascii="Times New Roman" w:hAnsi="Times New Roman" w:cs="Times New Roman"/>
          <w:lang w:val="en-GB"/>
        </w:rPr>
        <w:t>,</w:t>
      </w:r>
      <w:r w:rsidRPr="00465121">
        <w:rPr>
          <w:rFonts w:ascii="Times New Roman" w:hAnsi="Times New Roman" w:cs="Times New Roman"/>
          <w:lang w:val="en-GB"/>
        </w:rPr>
        <w:t xml:space="preserve"> including in its provision of assistance for </w:t>
      </w:r>
      <w:r w:rsidR="00F128B9" w:rsidRPr="00465121">
        <w:rPr>
          <w:rFonts w:ascii="Times New Roman" w:hAnsi="Times New Roman" w:cs="Times New Roman"/>
          <w:lang w:val="en-GB"/>
        </w:rPr>
        <w:t>non-UK nationals</w:t>
      </w:r>
      <w:r w:rsidRPr="00465121">
        <w:rPr>
          <w:rFonts w:ascii="Times New Roman" w:hAnsi="Times New Roman" w:cs="Times New Roman"/>
          <w:lang w:val="en-GB"/>
        </w:rPr>
        <w:t xml:space="preserve"> of irregular status</w:t>
      </w:r>
      <w:r w:rsidR="00F128B9" w:rsidRPr="00465121">
        <w:rPr>
          <w:rFonts w:ascii="Times New Roman" w:hAnsi="Times New Roman" w:cs="Times New Roman"/>
          <w:lang w:val="en-GB"/>
        </w:rPr>
        <w:t xml:space="preserve">, meaning without specific entitlement to </w:t>
      </w:r>
      <w:r w:rsidR="00F128B9" w:rsidRPr="00465121">
        <w:rPr>
          <w:rFonts w:ascii="Times New Roman" w:hAnsi="Times New Roman" w:cs="Times New Roman"/>
          <w:lang w:val="en-GB"/>
        </w:rPr>
        <w:lastRenderedPageBreak/>
        <w:t>live, work, or access welfare in the UK</w:t>
      </w:r>
      <w:r w:rsidRPr="00465121">
        <w:rPr>
          <w:rFonts w:ascii="Times New Roman" w:hAnsi="Times New Roman" w:cs="Times New Roman"/>
          <w:lang w:val="en-GB"/>
        </w:rPr>
        <w:t>.</w:t>
      </w:r>
      <w:r w:rsidR="00A24F36" w:rsidRPr="00465121">
        <w:rPr>
          <w:rStyle w:val="FootnoteReference"/>
          <w:rFonts w:ascii="Times New Roman" w:hAnsi="Times New Roman" w:cs="Times New Roman"/>
          <w:lang w:val="en-GB"/>
        </w:rPr>
        <w:t xml:space="preserve"> </w:t>
      </w:r>
      <w:r w:rsidR="00A24F36" w:rsidRPr="00465121">
        <w:rPr>
          <w:rStyle w:val="FootnoteReference"/>
          <w:rFonts w:ascii="Times New Roman" w:hAnsi="Times New Roman" w:cs="Times New Roman"/>
          <w:lang w:val="en-GB"/>
        </w:rPr>
        <w:footnoteReference w:id="2"/>
      </w:r>
      <w:r w:rsidRPr="00465121">
        <w:rPr>
          <w:rFonts w:ascii="Times New Roman" w:hAnsi="Times New Roman" w:cs="Times New Roman"/>
          <w:lang w:val="en-GB"/>
        </w:rPr>
        <w:t xml:space="preserve"> Specific case law will be used to track the </w:t>
      </w:r>
      <w:r w:rsidR="00FD06F8" w:rsidRPr="00465121">
        <w:rPr>
          <w:rFonts w:ascii="Times New Roman" w:hAnsi="Times New Roman" w:cs="Times New Roman"/>
          <w:lang w:val="en-GB"/>
        </w:rPr>
        <w:t>implementation</w:t>
      </w:r>
      <w:r w:rsidR="004E0BF7" w:rsidRPr="00465121">
        <w:rPr>
          <w:rFonts w:ascii="Times New Roman" w:hAnsi="Times New Roman" w:cs="Times New Roman"/>
          <w:lang w:val="en-GB"/>
        </w:rPr>
        <w:t xml:space="preserve"> of</w:t>
      </w:r>
      <w:r w:rsidR="00FD06F8" w:rsidRPr="00465121">
        <w:rPr>
          <w:rFonts w:ascii="Times New Roman" w:hAnsi="Times New Roman" w:cs="Times New Roman"/>
          <w:lang w:val="en-GB"/>
        </w:rPr>
        <w:t xml:space="preserve"> </w:t>
      </w:r>
      <w:r w:rsidR="00741244" w:rsidRPr="00465121">
        <w:rPr>
          <w:rFonts w:ascii="Times New Roman" w:hAnsi="Times New Roman" w:cs="Times New Roman"/>
          <w:lang w:val="en-GB"/>
        </w:rPr>
        <w:t xml:space="preserve">international obligations and the development </w:t>
      </w:r>
      <w:r w:rsidR="00FD06F8" w:rsidRPr="00465121">
        <w:rPr>
          <w:rFonts w:ascii="Times New Roman" w:hAnsi="Times New Roman" w:cs="Times New Roman"/>
          <w:lang w:val="en-GB"/>
        </w:rPr>
        <w:t>of domestic</w:t>
      </w:r>
      <w:r w:rsidR="00741244" w:rsidRPr="00465121">
        <w:rPr>
          <w:rFonts w:ascii="Times New Roman" w:hAnsi="Times New Roman" w:cs="Times New Roman"/>
          <w:lang w:val="en-GB"/>
        </w:rPr>
        <w:t xml:space="preserve"> policies</w:t>
      </w:r>
      <w:r w:rsidR="00FD06F8" w:rsidRPr="00465121">
        <w:rPr>
          <w:rFonts w:ascii="Times New Roman" w:hAnsi="Times New Roman" w:cs="Times New Roman"/>
          <w:lang w:val="en-GB"/>
        </w:rPr>
        <w:t xml:space="preserve"> within the UK context. Once the legal landscape has been established,</w:t>
      </w:r>
      <w:r w:rsidR="00CE2065" w:rsidRPr="00465121">
        <w:rPr>
          <w:rFonts w:ascii="Times New Roman" w:hAnsi="Times New Roman" w:cs="Times New Roman"/>
          <w:lang w:val="en-GB"/>
        </w:rPr>
        <w:t xml:space="preserve"> using the case examples,</w:t>
      </w:r>
      <w:r w:rsidR="00685E2C">
        <w:rPr>
          <w:rFonts w:ascii="Times New Roman" w:hAnsi="Times New Roman" w:cs="Times New Roman"/>
          <w:lang w:val="en-GB"/>
        </w:rPr>
        <w:t xml:space="preserve"> there will be an</w:t>
      </w:r>
      <w:r w:rsidR="00FD06F8" w:rsidRPr="00465121">
        <w:rPr>
          <w:rFonts w:ascii="Times New Roman" w:hAnsi="Times New Roman" w:cs="Times New Roman"/>
          <w:lang w:val="en-GB"/>
        </w:rPr>
        <w:t xml:space="preserve"> empirical analysis of the impact of the legal landscape on non-UK nationals that have been through the NRM. </w:t>
      </w:r>
    </w:p>
    <w:p w14:paraId="47FBF85F" w14:textId="77777777" w:rsidR="00015DCF" w:rsidRPr="00465121" w:rsidRDefault="00015DCF" w:rsidP="00751939">
      <w:pPr>
        <w:spacing w:line="276" w:lineRule="auto"/>
        <w:jc w:val="both"/>
        <w:rPr>
          <w:rFonts w:ascii="Times New Roman" w:hAnsi="Times New Roman" w:cs="Times New Roman"/>
          <w:lang w:val="en-GB"/>
        </w:rPr>
      </w:pPr>
    </w:p>
    <w:p w14:paraId="02E47BFC" w14:textId="4B913056" w:rsidR="00015DCF" w:rsidRPr="00465121" w:rsidRDefault="00015DCF"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The empirical data gathered for this study consists of interviews conducted with eight caseworkers that work specifically with victims of human trafficking. These semi-structured interviews were carried out over a period of one month.  Prior to the interview each caseworker was asked to consider a number of cases that they had dealt with, where the client had received a positive Conclusive Grounds (CG) decision but was not a UK citizen, and the resultant experience of that client.  The term ‘client’ will be used when discussing caseworker interviews as this is the denomination used by caseworkers to describe the individuals they are working with.  Some direction was given to the interviewees as to the type of information that was relevant to the study, for example specific legal obstacles they had encountered in applying for legalised immigration status, experiences of accessing benefits and the personal impact of irregular status on the individual. A total of twenty-eight anonymised cases were discussed over the course of the interviews. In some situations different caseworkers discussed different parts of the same client’s case, where the caseworkers were from the same organisation. Full ethical approval was received from the relevant bodies and procedures put in place to ensure the anonymity of caseworkers and their clients.</w:t>
      </w:r>
      <w:r w:rsidR="00DD2FCF">
        <w:rPr>
          <w:rFonts w:ascii="Times New Roman" w:hAnsi="Times New Roman" w:cs="Times New Roman"/>
          <w:lang w:val="en-GB"/>
        </w:rPr>
        <w:t xml:space="preserve"> </w:t>
      </w:r>
      <w:r w:rsidRPr="00465121">
        <w:rPr>
          <w:rFonts w:ascii="Times New Roman" w:hAnsi="Times New Roman" w:cs="Times New Roman"/>
          <w:lang w:val="en-GB"/>
        </w:rPr>
        <w:t>The article concludes by discussing the previous points in the context of the development of the Modern Slavery (Victim Support) Bill and how this may or may not address issues both within the legal sphere and ‘on the ground’ for the individuals involved.</w:t>
      </w:r>
      <w:r w:rsidRPr="00465121">
        <w:rPr>
          <w:rStyle w:val="FootnoteReference"/>
          <w:rFonts w:ascii="Times New Roman" w:hAnsi="Times New Roman" w:cs="Times New Roman"/>
          <w:lang w:val="en-GB"/>
        </w:rPr>
        <w:t xml:space="preserve"> </w:t>
      </w:r>
      <w:r w:rsidRPr="00465121">
        <w:rPr>
          <w:rStyle w:val="FootnoteReference"/>
          <w:rFonts w:ascii="Times New Roman" w:hAnsi="Times New Roman" w:cs="Times New Roman"/>
          <w:lang w:val="en-GB"/>
        </w:rPr>
        <w:footnoteReference w:id="3"/>
      </w:r>
    </w:p>
    <w:p w14:paraId="54F18295" w14:textId="77777777" w:rsidR="00F04B3D" w:rsidRPr="00465121" w:rsidRDefault="00F04B3D" w:rsidP="00751939">
      <w:pPr>
        <w:spacing w:line="276" w:lineRule="auto"/>
        <w:jc w:val="both"/>
        <w:rPr>
          <w:rFonts w:ascii="Times New Roman" w:hAnsi="Times New Roman" w:cs="Times New Roman"/>
          <w:lang w:val="en-GB"/>
        </w:rPr>
      </w:pPr>
    </w:p>
    <w:p w14:paraId="02D33B4A" w14:textId="3055A462" w:rsidR="00BE466F" w:rsidRPr="00465121" w:rsidRDefault="006E37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 xml:space="preserve">Bridget </w:t>
      </w:r>
      <w:r w:rsidR="00F04B3D" w:rsidRPr="00465121">
        <w:rPr>
          <w:rFonts w:ascii="Times New Roman" w:hAnsi="Times New Roman" w:cs="Times New Roman"/>
          <w:lang w:val="en-GB"/>
        </w:rPr>
        <w:t xml:space="preserve">Anderson </w:t>
      </w:r>
      <w:r w:rsidR="009B637D" w:rsidRPr="00465121">
        <w:rPr>
          <w:rFonts w:ascii="Times New Roman" w:hAnsi="Times New Roman" w:cs="Times New Roman"/>
          <w:lang w:val="en-GB"/>
        </w:rPr>
        <w:t>argues</w:t>
      </w:r>
      <w:r w:rsidR="00F04B3D" w:rsidRPr="00465121">
        <w:rPr>
          <w:rFonts w:ascii="Times New Roman" w:hAnsi="Times New Roman" w:cs="Times New Roman"/>
          <w:lang w:val="en-GB"/>
        </w:rPr>
        <w:t xml:space="preserve"> that in relation to the immigration status of trafficking victims there is an inherent irony</w:t>
      </w:r>
      <w:r w:rsidR="009B637D" w:rsidRPr="00465121">
        <w:rPr>
          <w:rFonts w:ascii="Times New Roman" w:hAnsi="Times New Roman" w:cs="Times New Roman"/>
          <w:lang w:val="en-GB"/>
        </w:rPr>
        <w:t>;</w:t>
      </w:r>
      <w:r w:rsidR="00F04B3D" w:rsidRPr="00465121">
        <w:rPr>
          <w:rFonts w:ascii="Times New Roman" w:hAnsi="Times New Roman" w:cs="Times New Roman"/>
          <w:lang w:val="en-GB"/>
        </w:rPr>
        <w:t xml:space="preserve"> whilst consistently using the language of ‘protection’</w:t>
      </w:r>
      <w:r w:rsidR="005E3C11" w:rsidRPr="00465121">
        <w:rPr>
          <w:rFonts w:ascii="Times New Roman" w:hAnsi="Times New Roman" w:cs="Times New Roman"/>
          <w:lang w:val="en-GB"/>
        </w:rPr>
        <w:t>, it is the state’s own border control that constructs the vulnerability of migrants.</w:t>
      </w:r>
      <w:r w:rsidR="00D9172B" w:rsidRPr="00465121">
        <w:rPr>
          <w:rStyle w:val="FootnoteReference"/>
          <w:rFonts w:ascii="Times New Roman" w:hAnsi="Times New Roman" w:cs="Times New Roman"/>
          <w:lang w:val="en-GB"/>
        </w:rPr>
        <w:footnoteReference w:id="4"/>
      </w:r>
      <w:r w:rsidR="005E3C11" w:rsidRPr="00465121">
        <w:rPr>
          <w:rFonts w:ascii="Times New Roman" w:hAnsi="Times New Roman" w:cs="Times New Roman"/>
          <w:lang w:val="en-GB"/>
        </w:rPr>
        <w:t xml:space="preserve"> This dichotomous relationship with migrants frames the</w:t>
      </w:r>
      <w:r w:rsidR="009B637D" w:rsidRPr="00465121">
        <w:rPr>
          <w:rFonts w:ascii="Times New Roman" w:hAnsi="Times New Roman" w:cs="Times New Roman"/>
          <w:lang w:val="en-GB"/>
        </w:rPr>
        <w:t xml:space="preserve"> state</w:t>
      </w:r>
      <w:r w:rsidR="005E3C11" w:rsidRPr="00465121">
        <w:rPr>
          <w:rFonts w:ascii="Times New Roman" w:hAnsi="Times New Roman" w:cs="Times New Roman"/>
          <w:lang w:val="en-GB"/>
        </w:rPr>
        <w:t xml:space="preserve"> response to trafficking specifically. For example, the </w:t>
      </w:r>
      <w:r w:rsidR="00364D77" w:rsidRPr="00465121">
        <w:rPr>
          <w:rFonts w:ascii="Times New Roman" w:hAnsi="Times New Roman" w:cs="Times New Roman"/>
          <w:lang w:val="en-GB"/>
        </w:rPr>
        <w:t>UK Modern</w:t>
      </w:r>
      <w:r w:rsidR="00AE0083" w:rsidRPr="00465121">
        <w:rPr>
          <w:rFonts w:ascii="Times New Roman" w:hAnsi="Times New Roman" w:cs="Times New Roman"/>
          <w:lang w:val="en-GB"/>
        </w:rPr>
        <w:t xml:space="preserve"> Slavery Act (2015) arguably reflec</w:t>
      </w:r>
      <w:r w:rsidR="009B637D" w:rsidRPr="00465121">
        <w:rPr>
          <w:rFonts w:ascii="Times New Roman" w:hAnsi="Times New Roman" w:cs="Times New Roman"/>
          <w:lang w:val="en-GB"/>
        </w:rPr>
        <w:t>ts this</w:t>
      </w:r>
      <w:r w:rsidR="00AE0083" w:rsidRPr="00465121">
        <w:rPr>
          <w:rFonts w:ascii="Times New Roman" w:hAnsi="Times New Roman" w:cs="Times New Roman"/>
          <w:lang w:val="en-GB"/>
        </w:rPr>
        <w:t xml:space="preserve"> in that the </w:t>
      </w:r>
      <w:r w:rsidR="009B637D" w:rsidRPr="00465121">
        <w:rPr>
          <w:rFonts w:ascii="Times New Roman" w:hAnsi="Times New Roman" w:cs="Times New Roman"/>
          <w:lang w:val="en-GB"/>
        </w:rPr>
        <w:t>sole</w:t>
      </w:r>
      <w:r w:rsidR="00AE0083" w:rsidRPr="00465121">
        <w:rPr>
          <w:rFonts w:ascii="Times New Roman" w:hAnsi="Times New Roman" w:cs="Times New Roman"/>
          <w:lang w:val="en-GB"/>
        </w:rPr>
        <w:t xml:space="preserve"> </w:t>
      </w:r>
      <w:r w:rsidR="009B637D" w:rsidRPr="00465121">
        <w:rPr>
          <w:rFonts w:ascii="Times New Roman" w:hAnsi="Times New Roman" w:cs="Times New Roman"/>
          <w:lang w:val="en-GB"/>
        </w:rPr>
        <w:t>provision for</w:t>
      </w:r>
      <w:r w:rsidR="00AE0083" w:rsidRPr="00465121">
        <w:rPr>
          <w:rFonts w:ascii="Times New Roman" w:hAnsi="Times New Roman" w:cs="Times New Roman"/>
          <w:lang w:val="en-GB"/>
        </w:rPr>
        <w:t xml:space="preserve"> leave to remain for an identified victim </w:t>
      </w:r>
      <w:r w:rsidR="009B637D" w:rsidRPr="00465121">
        <w:rPr>
          <w:rFonts w:ascii="Times New Roman" w:hAnsi="Times New Roman" w:cs="Times New Roman"/>
          <w:lang w:val="en-GB"/>
        </w:rPr>
        <w:t>concerns</w:t>
      </w:r>
      <w:r w:rsidR="00AE0083" w:rsidRPr="00465121">
        <w:rPr>
          <w:rFonts w:ascii="Times New Roman" w:hAnsi="Times New Roman" w:cs="Times New Roman"/>
          <w:lang w:val="en-GB"/>
        </w:rPr>
        <w:t xml:space="preserve"> domestic workers who came to the UK on a visa that effectively tied them to an abusive employer</w:t>
      </w:r>
      <w:r w:rsidR="00CF43E2" w:rsidRPr="00465121">
        <w:rPr>
          <w:rFonts w:ascii="Times New Roman" w:hAnsi="Times New Roman" w:cs="Times New Roman"/>
          <w:lang w:val="en-GB"/>
        </w:rPr>
        <w:t>.</w:t>
      </w:r>
      <w:r w:rsidR="00AE0083" w:rsidRPr="00465121">
        <w:rPr>
          <w:rStyle w:val="FootnoteReference"/>
          <w:rFonts w:ascii="Times New Roman" w:hAnsi="Times New Roman" w:cs="Times New Roman"/>
          <w:lang w:val="en-GB"/>
        </w:rPr>
        <w:footnoteReference w:id="5"/>
      </w:r>
      <w:r w:rsidR="00AE0083" w:rsidRPr="00465121">
        <w:rPr>
          <w:rFonts w:ascii="Times New Roman" w:hAnsi="Times New Roman" w:cs="Times New Roman"/>
          <w:lang w:val="en-GB"/>
        </w:rPr>
        <w:t xml:space="preserve"> </w:t>
      </w:r>
      <w:r w:rsidR="00CF43E2" w:rsidRPr="00465121">
        <w:rPr>
          <w:rFonts w:ascii="Times New Roman" w:hAnsi="Times New Roman" w:cs="Times New Roman"/>
          <w:lang w:val="en-GB"/>
        </w:rPr>
        <w:t xml:space="preserve">The Act </w:t>
      </w:r>
      <w:r w:rsidR="00AE0083" w:rsidRPr="00465121">
        <w:rPr>
          <w:rFonts w:ascii="Times New Roman" w:hAnsi="Times New Roman" w:cs="Times New Roman"/>
          <w:lang w:val="en-GB"/>
        </w:rPr>
        <w:t>stat</w:t>
      </w:r>
      <w:r w:rsidR="00CF43E2" w:rsidRPr="00465121">
        <w:rPr>
          <w:rFonts w:ascii="Times New Roman" w:hAnsi="Times New Roman" w:cs="Times New Roman"/>
          <w:lang w:val="en-GB"/>
        </w:rPr>
        <w:t>es</w:t>
      </w:r>
      <w:r w:rsidR="00AE0083" w:rsidRPr="00465121">
        <w:rPr>
          <w:rFonts w:ascii="Times New Roman" w:hAnsi="Times New Roman" w:cs="Times New Roman"/>
          <w:lang w:val="en-GB"/>
        </w:rPr>
        <w:t xml:space="preserve"> that they should be granted leave to remain to enable them to work for another employer. For this to be singled out in this way implies an element of ‘reward’ for not having come to the UK illegally in the first place. </w:t>
      </w:r>
      <w:proofErr w:type="spellStart"/>
      <w:r w:rsidRPr="00465121">
        <w:rPr>
          <w:rFonts w:ascii="Times New Roman" w:hAnsi="Times New Roman" w:cs="Times New Roman"/>
          <w:lang w:val="en-GB"/>
        </w:rPr>
        <w:t>Kiril</w:t>
      </w:r>
      <w:proofErr w:type="spellEnd"/>
      <w:r w:rsidRPr="00465121">
        <w:rPr>
          <w:rFonts w:ascii="Times New Roman" w:hAnsi="Times New Roman" w:cs="Times New Roman"/>
          <w:lang w:val="en-GB"/>
        </w:rPr>
        <w:t xml:space="preserve"> </w:t>
      </w:r>
      <w:proofErr w:type="spellStart"/>
      <w:r w:rsidR="00AE0083" w:rsidRPr="00465121">
        <w:rPr>
          <w:rFonts w:ascii="Times New Roman" w:hAnsi="Times New Roman" w:cs="Times New Roman"/>
          <w:lang w:val="en-GB"/>
        </w:rPr>
        <w:t>Sharapov</w:t>
      </w:r>
      <w:proofErr w:type="spellEnd"/>
      <w:r w:rsidR="00AE0083" w:rsidRPr="00465121">
        <w:rPr>
          <w:rFonts w:ascii="Times New Roman" w:hAnsi="Times New Roman" w:cs="Times New Roman"/>
          <w:lang w:val="en-GB"/>
        </w:rPr>
        <w:t xml:space="preserve"> develops a related argument</w:t>
      </w:r>
      <w:r w:rsidR="00685E2C">
        <w:rPr>
          <w:rFonts w:ascii="Times New Roman" w:hAnsi="Times New Roman" w:cs="Times New Roman"/>
          <w:lang w:val="en-GB"/>
        </w:rPr>
        <w:t>:</w:t>
      </w:r>
      <w:r w:rsidR="006E4451" w:rsidRPr="00465121">
        <w:rPr>
          <w:rFonts w:ascii="Times New Roman" w:hAnsi="Times New Roman" w:cs="Times New Roman"/>
          <w:lang w:val="en-GB"/>
        </w:rPr>
        <w:t xml:space="preserve"> t</w:t>
      </w:r>
      <w:r w:rsidR="00AE0083" w:rsidRPr="00465121">
        <w:rPr>
          <w:rFonts w:ascii="Times New Roman" w:hAnsi="Times New Roman" w:cs="Times New Roman"/>
          <w:lang w:val="en-GB"/>
        </w:rPr>
        <w:t xml:space="preserve">he problems of the UK </w:t>
      </w:r>
      <w:r w:rsidR="00751939" w:rsidRPr="00465121">
        <w:rPr>
          <w:rFonts w:ascii="Times New Roman" w:hAnsi="Times New Roman" w:cs="Times New Roman"/>
          <w:lang w:val="en-GB"/>
        </w:rPr>
        <w:t>system, which is based on ‘illegal immigrant’ identification and organized crime,</w:t>
      </w:r>
      <w:r w:rsidR="00AE0083" w:rsidRPr="00465121">
        <w:rPr>
          <w:rFonts w:ascii="Times New Roman" w:hAnsi="Times New Roman" w:cs="Times New Roman"/>
          <w:lang w:val="en-GB"/>
        </w:rPr>
        <w:t xml:space="preserve"> are highlighted </w:t>
      </w:r>
      <w:r w:rsidR="00DE12F5" w:rsidRPr="00465121">
        <w:rPr>
          <w:rFonts w:ascii="Times New Roman" w:hAnsi="Times New Roman" w:cs="Times New Roman"/>
          <w:lang w:val="en-GB"/>
        </w:rPr>
        <w:t>in comparison</w:t>
      </w:r>
      <w:r w:rsidR="00AE0083" w:rsidRPr="00465121">
        <w:rPr>
          <w:rFonts w:ascii="Times New Roman" w:hAnsi="Times New Roman" w:cs="Times New Roman"/>
          <w:lang w:val="en-GB"/>
        </w:rPr>
        <w:t xml:space="preserve"> with Ukraine’s system, which emphasizes </w:t>
      </w:r>
      <w:r w:rsidR="00685E2C">
        <w:rPr>
          <w:rFonts w:ascii="Times New Roman" w:hAnsi="Times New Roman" w:cs="Times New Roman"/>
          <w:lang w:val="en-GB"/>
        </w:rPr>
        <w:t>the exploitation</w:t>
      </w:r>
      <w:r w:rsidR="00BE466F" w:rsidRPr="00465121">
        <w:rPr>
          <w:rFonts w:ascii="Times New Roman" w:hAnsi="Times New Roman" w:cs="Times New Roman"/>
          <w:lang w:val="en-GB"/>
        </w:rPr>
        <w:t xml:space="preserve"> and infringement of </w:t>
      </w:r>
      <w:r w:rsidR="00751939" w:rsidRPr="00465121">
        <w:rPr>
          <w:rFonts w:ascii="Times New Roman" w:hAnsi="Times New Roman" w:cs="Times New Roman"/>
          <w:lang w:val="en-GB"/>
        </w:rPr>
        <w:t xml:space="preserve">the </w:t>
      </w:r>
      <w:r w:rsidR="00BE466F" w:rsidRPr="00465121">
        <w:rPr>
          <w:rFonts w:ascii="Times New Roman" w:hAnsi="Times New Roman" w:cs="Times New Roman"/>
          <w:lang w:val="en-GB"/>
        </w:rPr>
        <w:t>human rights</w:t>
      </w:r>
      <w:r w:rsidR="00685E2C">
        <w:rPr>
          <w:rFonts w:ascii="Times New Roman" w:hAnsi="Times New Roman" w:cs="Times New Roman"/>
          <w:lang w:val="en-GB"/>
        </w:rPr>
        <w:t xml:space="preserve"> of</w:t>
      </w:r>
      <w:r w:rsidR="00BE466F" w:rsidRPr="00465121">
        <w:rPr>
          <w:rFonts w:ascii="Times New Roman" w:hAnsi="Times New Roman" w:cs="Times New Roman"/>
          <w:lang w:val="en-GB"/>
        </w:rPr>
        <w:t xml:space="preserve"> </w:t>
      </w:r>
      <w:r w:rsidR="00BE466F" w:rsidRPr="00465121">
        <w:rPr>
          <w:rFonts w:ascii="Times New Roman" w:hAnsi="Times New Roman" w:cs="Times New Roman"/>
          <w:lang w:val="en-GB"/>
        </w:rPr>
        <w:lastRenderedPageBreak/>
        <w:t>‘irregular migrants’.</w:t>
      </w:r>
      <w:r w:rsidRPr="00465121">
        <w:rPr>
          <w:rStyle w:val="FootnoteReference"/>
          <w:rFonts w:ascii="Times New Roman" w:hAnsi="Times New Roman" w:cs="Times New Roman"/>
          <w:lang w:val="en-GB"/>
        </w:rPr>
        <w:footnoteReference w:id="6"/>
      </w:r>
      <w:r w:rsidR="00BE466F" w:rsidRPr="00465121">
        <w:rPr>
          <w:rFonts w:ascii="Times New Roman" w:hAnsi="Times New Roman" w:cs="Times New Roman"/>
          <w:lang w:val="en-GB"/>
        </w:rPr>
        <w:t xml:space="preserve">  </w:t>
      </w:r>
      <w:proofErr w:type="spellStart"/>
      <w:r w:rsidR="00BE466F" w:rsidRPr="00465121">
        <w:rPr>
          <w:rFonts w:ascii="Times New Roman" w:hAnsi="Times New Roman" w:cs="Times New Roman"/>
          <w:lang w:val="en-GB"/>
        </w:rPr>
        <w:t>Sharapov</w:t>
      </w:r>
      <w:proofErr w:type="spellEnd"/>
      <w:r w:rsidR="00BE466F" w:rsidRPr="00465121">
        <w:rPr>
          <w:rFonts w:ascii="Times New Roman" w:hAnsi="Times New Roman" w:cs="Times New Roman"/>
          <w:lang w:val="en-GB"/>
        </w:rPr>
        <w:t xml:space="preserve"> does however point out that there is little difference in the financial commitment of the two countries to eradicat</w:t>
      </w:r>
      <w:r w:rsidR="00A13B1B" w:rsidRPr="00465121">
        <w:rPr>
          <w:rFonts w:ascii="Times New Roman" w:hAnsi="Times New Roman" w:cs="Times New Roman"/>
          <w:lang w:val="en-GB"/>
        </w:rPr>
        <w:t>e</w:t>
      </w:r>
      <w:r w:rsidR="00BE466F" w:rsidRPr="00465121">
        <w:rPr>
          <w:rFonts w:ascii="Times New Roman" w:hAnsi="Times New Roman" w:cs="Times New Roman"/>
          <w:lang w:val="en-GB"/>
        </w:rPr>
        <w:t xml:space="preserve"> trafficking, despite their operational differences. This dichotomy is </w:t>
      </w:r>
      <w:r w:rsidR="006E4451" w:rsidRPr="00465121">
        <w:rPr>
          <w:rFonts w:ascii="Times New Roman" w:hAnsi="Times New Roman" w:cs="Times New Roman"/>
          <w:lang w:val="en-GB"/>
        </w:rPr>
        <w:t xml:space="preserve">further </w:t>
      </w:r>
      <w:r w:rsidR="00BE466F" w:rsidRPr="00465121">
        <w:rPr>
          <w:rFonts w:ascii="Times New Roman" w:hAnsi="Times New Roman" w:cs="Times New Roman"/>
          <w:lang w:val="en-GB"/>
        </w:rPr>
        <w:t>reflected internationally, for example in the European Union</w:t>
      </w:r>
      <w:r w:rsidR="006E4451" w:rsidRPr="00465121">
        <w:rPr>
          <w:rFonts w:ascii="Times New Roman" w:hAnsi="Times New Roman" w:cs="Times New Roman"/>
          <w:lang w:val="en-GB"/>
        </w:rPr>
        <w:t xml:space="preserve"> (EU)</w:t>
      </w:r>
      <w:r w:rsidR="00BE466F" w:rsidRPr="00465121">
        <w:rPr>
          <w:rFonts w:ascii="Times New Roman" w:hAnsi="Times New Roman" w:cs="Times New Roman"/>
          <w:lang w:val="en-GB"/>
        </w:rPr>
        <w:t xml:space="preserve"> response to trafficking. Whilst the EU has developed a number of strategies and policies for dealing with human trafficking, </w:t>
      </w:r>
      <w:r w:rsidR="00D9172B" w:rsidRPr="00465121">
        <w:rPr>
          <w:rFonts w:ascii="Times New Roman" w:hAnsi="Times New Roman" w:cs="Times New Roman"/>
          <w:lang w:val="en-GB"/>
        </w:rPr>
        <w:t xml:space="preserve">Heli </w:t>
      </w:r>
      <w:proofErr w:type="spellStart"/>
      <w:r w:rsidR="00BE466F" w:rsidRPr="00465121">
        <w:rPr>
          <w:rFonts w:ascii="Times New Roman" w:hAnsi="Times New Roman" w:cs="Times New Roman"/>
          <w:lang w:val="en-GB"/>
        </w:rPr>
        <w:t>Askola</w:t>
      </w:r>
      <w:proofErr w:type="spellEnd"/>
      <w:r w:rsidR="00BE466F" w:rsidRPr="00465121">
        <w:rPr>
          <w:rFonts w:ascii="Times New Roman" w:hAnsi="Times New Roman" w:cs="Times New Roman"/>
          <w:lang w:val="en-GB"/>
        </w:rPr>
        <w:t xml:space="preserve"> argues that the EU Returns Directive constructs even the most vulnerable, </w:t>
      </w:r>
      <w:r w:rsidR="009644E7" w:rsidRPr="00465121">
        <w:rPr>
          <w:rFonts w:ascii="Times New Roman" w:hAnsi="Times New Roman" w:cs="Times New Roman"/>
          <w:lang w:val="en-GB"/>
        </w:rPr>
        <w:t>including</w:t>
      </w:r>
      <w:r w:rsidR="00BE466F" w:rsidRPr="00465121">
        <w:rPr>
          <w:rFonts w:ascii="Times New Roman" w:hAnsi="Times New Roman" w:cs="Times New Roman"/>
          <w:lang w:val="en-GB"/>
        </w:rPr>
        <w:t xml:space="preserve"> trafficking victims, as a threat</w:t>
      </w:r>
      <w:r w:rsidR="009644E7" w:rsidRPr="00465121">
        <w:rPr>
          <w:rFonts w:ascii="Times New Roman" w:hAnsi="Times New Roman" w:cs="Times New Roman"/>
          <w:lang w:val="en-GB"/>
        </w:rPr>
        <w:t>.</w:t>
      </w:r>
      <w:r w:rsidR="00D9172B" w:rsidRPr="00465121">
        <w:rPr>
          <w:rStyle w:val="FootnoteReference"/>
          <w:rFonts w:ascii="Times New Roman" w:hAnsi="Times New Roman" w:cs="Times New Roman"/>
          <w:lang w:val="en-GB"/>
        </w:rPr>
        <w:footnoteReference w:id="7"/>
      </w:r>
      <w:r w:rsidR="00BE466F" w:rsidRPr="00465121">
        <w:rPr>
          <w:rFonts w:ascii="Times New Roman" w:hAnsi="Times New Roman" w:cs="Times New Roman"/>
          <w:lang w:val="en-GB"/>
        </w:rPr>
        <w:t xml:space="preserve"> </w:t>
      </w:r>
      <w:r w:rsidR="009644E7" w:rsidRPr="00465121">
        <w:rPr>
          <w:rFonts w:ascii="Times New Roman" w:hAnsi="Times New Roman" w:cs="Times New Roman"/>
          <w:lang w:val="en-GB"/>
        </w:rPr>
        <w:t xml:space="preserve">This </w:t>
      </w:r>
      <w:r w:rsidR="00BE466F" w:rsidRPr="00465121">
        <w:rPr>
          <w:rFonts w:ascii="Times New Roman" w:hAnsi="Times New Roman" w:cs="Times New Roman"/>
          <w:lang w:val="en-GB"/>
        </w:rPr>
        <w:t>has detrimental consequences for many.</w:t>
      </w:r>
    </w:p>
    <w:p w14:paraId="3C0A813D" w14:textId="77777777" w:rsidR="00BE466F" w:rsidRPr="00465121" w:rsidRDefault="00BE466F" w:rsidP="00751939">
      <w:pPr>
        <w:spacing w:line="276" w:lineRule="auto"/>
        <w:jc w:val="both"/>
        <w:rPr>
          <w:rFonts w:ascii="Times New Roman" w:hAnsi="Times New Roman" w:cs="Times New Roman"/>
          <w:lang w:val="en-GB"/>
        </w:rPr>
      </w:pPr>
    </w:p>
    <w:p w14:paraId="7A0CCE42" w14:textId="6F6AC168" w:rsidR="00BE466F" w:rsidRPr="00465121" w:rsidRDefault="005151D8"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 xml:space="preserve">Dependent on the narrative framing </w:t>
      </w:r>
      <w:r w:rsidR="00751939" w:rsidRPr="00465121">
        <w:rPr>
          <w:rFonts w:ascii="Times New Roman" w:hAnsi="Times New Roman" w:cs="Times New Roman"/>
          <w:lang w:val="en-GB"/>
        </w:rPr>
        <w:t>utilized in understanding</w:t>
      </w:r>
      <w:r w:rsidRPr="00465121">
        <w:rPr>
          <w:rFonts w:ascii="Times New Roman" w:hAnsi="Times New Roman" w:cs="Times New Roman"/>
          <w:lang w:val="en-GB"/>
        </w:rPr>
        <w:t xml:space="preserve"> human trafficking,</w:t>
      </w:r>
      <w:r w:rsidR="0046007B" w:rsidRPr="00465121">
        <w:rPr>
          <w:rFonts w:ascii="Times New Roman" w:hAnsi="Times New Roman" w:cs="Times New Roman"/>
          <w:lang w:val="en-GB"/>
        </w:rPr>
        <w:t xml:space="preserve"> a range of</w:t>
      </w:r>
      <w:r w:rsidRPr="00465121">
        <w:rPr>
          <w:rFonts w:ascii="Times New Roman" w:hAnsi="Times New Roman" w:cs="Times New Roman"/>
          <w:lang w:val="en-GB"/>
        </w:rPr>
        <w:t xml:space="preserve"> different remedies will </w:t>
      </w:r>
      <w:r w:rsidR="006D09E7" w:rsidRPr="00465121">
        <w:rPr>
          <w:rFonts w:ascii="Times New Roman" w:hAnsi="Times New Roman" w:cs="Times New Roman"/>
          <w:lang w:val="en-GB"/>
        </w:rPr>
        <w:t>appear</w:t>
      </w:r>
      <w:r w:rsidRPr="00465121">
        <w:rPr>
          <w:rFonts w:ascii="Times New Roman" w:hAnsi="Times New Roman" w:cs="Times New Roman"/>
          <w:lang w:val="en-GB"/>
        </w:rPr>
        <w:t xml:space="preserve"> appropriate </w:t>
      </w:r>
      <w:r w:rsidR="006D09E7" w:rsidRPr="00465121">
        <w:rPr>
          <w:rFonts w:ascii="Times New Roman" w:hAnsi="Times New Roman" w:cs="Times New Roman"/>
          <w:lang w:val="en-GB"/>
        </w:rPr>
        <w:t>to</w:t>
      </w:r>
      <w:r w:rsidRPr="00465121">
        <w:rPr>
          <w:rFonts w:ascii="Times New Roman" w:hAnsi="Times New Roman" w:cs="Times New Roman"/>
          <w:lang w:val="en-GB"/>
        </w:rPr>
        <w:t xml:space="preserve"> policy makers. If one understands trafficking as a crime committed by ‘evil’ traffickers against ‘innocent’ victims that were forcibly moved across borders for nefarious purposes, then it would perhaps seem natural that these victims would wish to be repatriated and restored to their home countries.</w:t>
      </w:r>
      <w:r w:rsidR="00B461EF" w:rsidRPr="00465121">
        <w:rPr>
          <w:rStyle w:val="FootnoteReference"/>
          <w:rFonts w:ascii="Times New Roman" w:hAnsi="Times New Roman" w:cs="Times New Roman"/>
          <w:lang w:val="en-GB"/>
        </w:rPr>
        <w:footnoteReference w:id="8"/>
      </w:r>
      <w:r w:rsidRPr="00465121">
        <w:rPr>
          <w:rFonts w:ascii="Times New Roman" w:hAnsi="Times New Roman" w:cs="Times New Roman"/>
          <w:lang w:val="en-GB"/>
        </w:rPr>
        <w:t xml:space="preserve"> If, however, trafficking</w:t>
      </w:r>
      <w:r w:rsidR="006C31A2" w:rsidRPr="00465121">
        <w:rPr>
          <w:rFonts w:ascii="Times New Roman" w:hAnsi="Times New Roman" w:cs="Times New Roman"/>
          <w:lang w:val="en-GB"/>
        </w:rPr>
        <w:t xml:space="preserve"> is perceived</w:t>
      </w:r>
      <w:r w:rsidRPr="00465121">
        <w:rPr>
          <w:rFonts w:ascii="Times New Roman" w:hAnsi="Times New Roman" w:cs="Times New Roman"/>
          <w:lang w:val="en-GB"/>
        </w:rPr>
        <w:t xml:space="preserve"> to be a continuum of exploitation that occurs as individuals attempt to cross borders that they have no way to cross legally</w:t>
      </w:r>
      <w:r w:rsidR="006D09E7" w:rsidRPr="00465121">
        <w:rPr>
          <w:rFonts w:ascii="Times New Roman" w:hAnsi="Times New Roman" w:cs="Times New Roman"/>
          <w:lang w:val="en-GB"/>
        </w:rPr>
        <w:t>,</w:t>
      </w:r>
      <w:r w:rsidRPr="00465121">
        <w:rPr>
          <w:rFonts w:ascii="Times New Roman" w:hAnsi="Times New Roman" w:cs="Times New Roman"/>
          <w:lang w:val="en-GB"/>
        </w:rPr>
        <w:t xml:space="preserve"> then </w:t>
      </w:r>
      <w:r w:rsidR="00B461EF" w:rsidRPr="00465121">
        <w:rPr>
          <w:rFonts w:ascii="Times New Roman" w:hAnsi="Times New Roman" w:cs="Times New Roman"/>
          <w:lang w:val="en-GB"/>
        </w:rPr>
        <w:t xml:space="preserve">simply </w:t>
      </w:r>
      <w:r w:rsidRPr="00465121">
        <w:rPr>
          <w:rFonts w:ascii="Times New Roman" w:hAnsi="Times New Roman" w:cs="Times New Roman"/>
          <w:lang w:val="en-GB"/>
        </w:rPr>
        <w:t xml:space="preserve">sending them home does not address the problem: the </w:t>
      </w:r>
      <w:r w:rsidR="006C31A2" w:rsidRPr="00465121">
        <w:rPr>
          <w:rFonts w:ascii="Times New Roman" w:hAnsi="Times New Roman" w:cs="Times New Roman"/>
          <w:lang w:val="en-GB"/>
        </w:rPr>
        <w:t xml:space="preserve">motivations </w:t>
      </w:r>
      <w:r w:rsidRPr="00465121">
        <w:rPr>
          <w:rFonts w:ascii="Times New Roman" w:hAnsi="Times New Roman" w:cs="Times New Roman"/>
          <w:lang w:val="en-GB"/>
        </w:rPr>
        <w:t>the</w:t>
      </w:r>
      <w:r w:rsidR="006C31A2" w:rsidRPr="00465121">
        <w:rPr>
          <w:rFonts w:ascii="Times New Roman" w:hAnsi="Times New Roman" w:cs="Times New Roman"/>
          <w:lang w:val="en-GB"/>
        </w:rPr>
        <w:t xml:space="preserve"> individuals</w:t>
      </w:r>
      <w:r w:rsidRPr="00465121">
        <w:rPr>
          <w:rFonts w:ascii="Times New Roman" w:hAnsi="Times New Roman" w:cs="Times New Roman"/>
          <w:lang w:val="en-GB"/>
        </w:rPr>
        <w:t xml:space="preserve"> </w:t>
      </w:r>
      <w:r w:rsidR="006C31A2" w:rsidRPr="00465121">
        <w:rPr>
          <w:rFonts w:ascii="Times New Roman" w:hAnsi="Times New Roman" w:cs="Times New Roman"/>
          <w:lang w:val="en-GB"/>
        </w:rPr>
        <w:t xml:space="preserve">had </w:t>
      </w:r>
      <w:r w:rsidRPr="00465121">
        <w:rPr>
          <w:rFonts w:ascii="Times New Roman" w:hAnsi="Times New Roman" w:cs="Times New Roman"/>
          <w:lang w:val="en-GB"/>
        </w:rPr>
        <w:t xml:space="preserve">to migrate initially are </w:t>
      </w:r>
      <w:r w:rsidR="00A13B1B" w:rsidRPr="00465121">
        <w:rPr>
          <w:rFonts w:ascii="Times New Roman" w:hAnsi="Times New Roman" w:cs="Times New Roman"/>
          <w:lang w:val="en-GB"/>
        </w:rPr>
        <w:t>un</w:t>
      </w:r>
      <w:r w:rsidRPr="00465121">
        <w:rPr>
          <w:rFonts w:ascii="Times New Roman" w:hAnsi="Times New Roman" w:cs="Times New Roman"/>
          <w:lang w:val="en-GB"/>
        </w:rPr>
        <w:t>likely to have changed.</w:t>
      </w:r>
      <w:r w:rsidR="00B461EF" w:rsidRPr="00465121">
        <w:rPr>
          <w:rStyle w:val="FootnoteReference"/>
          <w:rFonts w:ascii="Times New Roman" w:hAnsi="Times New Roman" w:cs="Times New Roman"/>
          <w:lang w:val="en-GB"/>
        </w:rPr>
        <w:footnoteReference w:id="9"/>
      </w:r>
      <w:r w:rsidRPr="00465121">
        <w:rPr>
          <w:rFonts w:ascii="Times New Roman" w:hAnsi="Times New Roman" w:cs="Times New Roman"/>
          <w:lang w:val="en-GB"/>
        </w:rPr>
        <w:t xml:space="preserve"> Stoyanova </w:t>
      </w:r>
      <w:r w:rsidR="006C31A2" w:rsidRPr="00465121">
        <w:rPr>
          <w:rFonts w:ascii="Times New Roman" w:hAnsi="Times New Roman" w:cs="Times New Roman"/>
          <w:lang w:val="en-GB"/>
        </w:rPr>
        <w:t>concurs</w:t>
      </w:r>
      <w:r w:rsidRPr="00465121">
        <w:rPr>
          <w:rFonts w:ascii="Times New Roman" w:hAnsi="Times New Roman" w:cs="Times New Roman"/>
          <w:lang w:val="en-GB"/>
        </w:rPr>
        <w:t xml:space="preserve"> by demonstrating that both internationally and domestically there was a prevalent presumption that people wanted to return home as quickly as possible.</w:t>
      </w:r>
      <w:r w:rsidR="0004574B" w:rsidRPr="00465121">
        <w:rPr>
          <w:rStyle w:val="FootnoteReference"/>
          <w:rFonts w:ascii="Times New Roman" w:hAnsi="Times New Roman" w:cs="Times New Roman"/>
          <w:lang w:val="en-GB"/>
        </w:rPr>
        <w:t xml:space="preserve"> </w:t>
      </w:r>
      <w:r w:rsidR="0004574B" w:rsidRPr="00465121">
        <w:rPr>
          <w:rStyle w:val="FootnoteReference"/>
          <w:rFonts w:ascii="Times New Roman" w:hAnsi="Times New Roman" w:cs="Times New Roman"/>
          <w:lang w:val="en-GB"/>
        </w:rPr>
        <w:footnoteReference w:id="10"/>
      </w:r>
      <w:r w:rsidRPr="00465121">
        <w:rPr>
          <w:rFonts w:ascii="Times New Roman" w:hAnsi="Times New Roman" w:cs="Times New Roman"/>
          <w:lang w:val="en-GB"/>
        </w:rPr>
        <w:t xml:space="preserve"> </w:t>
      </w:r>
      <w:r w:rsidR="00751939" w:rsidRPr="00465121">
        <w:rPr>
          <w:rFonts w:ascii="Times New Roman" w:hAnsi="Times New Roman" w:cs="Times New Roman"/>
          <w:lang w:val="en-GB"/>
        </w:rPr>
        <w:t xml:space="preserve">Developing the problematic nature of this argument further, Stoyanova </w:t>
      </w:r>
      <w:r w:rsidR="0004574B" w:rsidRPr="00465121">
        <w:rPr>
          <w:rFonts w:ascii="Times New Roman" w:hAnsi="Times New Roman" w:cs="Times New Roman"/>
          <w:lang w:val="en-GB"/>
        </w:rPr>
        <w:t>claims</w:t>
      </w:r>
      <w:r w:rsidR="00751939" w:rsidRPr="00465121">
        <w:rPr>
          <w:rFonts w:ascii="Times New Roman" w:hAnsi="Times New Roman" w:cs="Times New Roman"/>
          <w:lang w:val="en-GB"/>
        </w:rPr>
        <w:t xml:space="preserve"> that regardless of the </w:t>
      </w:r>
      <w:r w:rsidR="006D09E7" w:rsidRPr="00465121">
        <w:rPr>
          <w:rFonts w:ascii="Times New Roman" w:hAnsi="Times New Roman" w:cs="Times New Roman"/>
          <w:lang w:val="en-GB"/>
        </w:rPr>
        <w:t>original intention of the victim, the trafficking experience may have created a number of barriers to returning their country of origin.</w:t>
      </w:r>
      <w:r w:rsidR="0004574B" w:rsidRPr="00465121">
        <w:rPr>
          <w:rStyle w:val="FootnoteReference"/>
          <w:rFonts w:ascii="Times New Roman" w:hAnsi="Times New Roman" w:cs="Times New Roman"/>
          <w:lang w:val="en-GB"/>
        </w:rPr>
        <w:footnoteReference w:id="11"/>
      </w:r>
      <w:r w:rsidR="006D09E7" w:rsidRPr="00465121">
        <w:rPr>
          <w:rFonts w:ascii="Times New Roman" w:hAnsi="Times New Roman" w:cs="Times New Roman"/>
          <w:lang w:val="en-GB"/>
        </w:rPr>
        <w:t xml:space="preserve"> For example, they could be at risk of reprisals or retaliation, they may be vulnerable to shame or </w:t>
      </w:r>
      <w:r w:rsidR="00BC5814" w:rsidRPr="00465121">
        <w:rPr>
          <w:rFonts w:ascii="Times New Roman" w:hAnsi="Times New Roman" w:cs="Times New Roman"/>
          <w:lang w:val="en-GB"/>
        </w:rPr>
        <w:t>honour-based</w:t>
      </w:r>
      <w:r w:rsidR="006D09E7" w:rsidRPr="00465121">
        <w:rPr>
          <w:rFonts w:ascii="Times New Roman" w:hAnsi="Times New Roman" w:cs="Times New Roman"/>
          <w:lang w:val="en-GB"/>
        </w:rPr>
        <w:t xml:space="preserve"> violence (</w:t>
      </w:r>
      <w:r w:rsidR="005E3390" w:rsidRPr="00465121">
        <w:rPr>
          <w:rFonts w:ascii="Times New Roman" w:hAnsi="Times New Roman" w:cs="Times New Roman"/>
          <w:lang w:val="en-GB"/>
        </w:rPr>
        <w:t xml:space="preserve">this is </w:t>
      </w:r>
      <w:r w:rsidR="006D09E7" w:rsidRPr="00465121">
        <w:rPr>
          <w:rFonts w:ascii="Times New Roman" w:hAnsi="Times New Roman" w:cs="Times New Roman"/>
          <w:lang w:val="en-GB"/>
        </w:rPr>
        <w:t xml:space="preserve">particularly </w:t>
      </w:r>
      <w:r w:rsidR="005E3390" w:rsidRPr="00465121">
        <w:rPr>
          <w:rFonts w:ascii="Times New Roman" w:hAnsi="Times New Roman" w:cs="Times New Roman"/>
          <w:lang w:val="en-GB"/>
        </w:rPr>
        <w:t xml:space="preserve">pertinent for </w:t>
      </w:r>
      <w:r w:rsidR="006D09E7" w:rsidRPr="00465121">
        <w:rPr>
          <w:rFonts w:ascii="Times New Roman" w:hAnsi="Times New Roman" w:cs="Times New Roman"/>
          <w:lang w:val="en-GB"/>
        </w:rPr>
        <w:t xml:space="preserve">women that have been forced into prostitution), or there may be inadequate medical or other support mechanisms in their home country to ensure their safety and welfare.  </w:t>
      </w:r>
    </w:p>
    <w:p w14:paraId="77E78BE0" w14:textId="77777777" w:rsidR="006D09E7" w:rsidRPr="00465121" w:rsidRDefault="006D09E7" w:rsidP="00751939">
      <w:pPr>
        <w:spacing w:line="276" w:lineRule="auto"/>
        <w:jc w:val="both"/>
        <w:rPr>
          <w:rFonts w:ascii="Times New Roman" w:hAnsi="Times New Roman" w:cs="Times New Roman"/>
          <w:lang w:val="en-GB"/>
        </w:rPr>
      </w:pPr>
    </w:p>
    <w:p w14:paraId="18F392CE" w14:textId="7C40FD3F" w:rsidR="00430023" w:rsidRPr="00465121" w:rsidRDefault="001205E8"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Many scholars have argued</w:t>
      </w:r>
      <w:r w:rsidR="006D09E7" w:rsidRPr="00465121">
        <w:rPr>
          <w:rFonts w:ascii="Times New Roman" w:hAnsi="Times New Roman" w:cs="Times New Roman"/>
          <w:lang w:val="en-GB"/>
        </w:rPr>
        <w:t xml:space="preserve"> that </w:t>
      </w:r>
      <w:r w:rsidR="005E3390" w:rsidRPr="00465121">
        <w:rPr>
          <w:rFonts w:ascii="Times New Roman" w:hAnsi="Times New Roman" w:cs="Times New Roman"/>
          <w:lang w:val="en-GB"/>
        </w:rPr>
        <w:t xml:space="preserve">the </w:t>
      </w:r>
      <w:r w:rsidR="006D09E7" w:rsidRPr="00465121">
        <w:rPr>
          <w:rFonts w:ascii="Times New Roman" w:hAnsi="Times New Roman" w:cs="Times New Roman"/>
          <w:lang w:val="en-GB"/>
        </w:rPr>
        <w:t xml:space="preserve">lack of </w:t>
      </w:r>
      <w:r w:rsidR="005E3390" w:rsidRPr="00465121">
        <w:rPr>
          <w:rFonts w:ascii="Times New Roman" w:hAnsi="Times New Roman" w:cs="Times New Roman"/>
          <w:lang w:val="en-GB"/>
        </w:rPr>
        <w:t xml:space="preserve">an </w:t>
      </w:r>
      <w:r w:rsidR="006D09E7" w:rsidRPr="00465121">
        <w:rPr>
          <w:rFonts w:ascii="Times New Roman" w:hAnsi="Times New Roman" w:cs="Times New Roman"/>
          <w:lang w:val="en-GB"/>
        </w:rPr>
        <w:t xml:space="preserve">automatic legal immigration status for victims of human trafficking leads to further harm </w:t>
      </w:r>
      <w:r w:rsidR="005E3390" w:rsidRPr="00465121">
        <w:rPr>
          <w:rFonts w:ascii="Times New Roman" w:hAnsi="Times New Roman" w:cs="Times New Roman"/>
          <w:lang w:val="en-GB"/>
        </w:rPr>
        <w:t xml:space="preserve">towards </w:t>
      </w:r>
      <w:r w:rsidR="006D09E7" w:rsidRPr="00465121">
        <w:rPr>
          <w:rFonts w:ascii="Times New Roman" w:hAnsi="Times New Roman" w:cs="Times New Roman"/>
          <w:lang w:val="en-GB"/>
        </w:rPr>
        <w:t>an already very vulnerable group</w:t>
      </w:r>
      <w:r w:rsidR="00C951BB" w:rsidRPr="00465121">
        <w:rPr>
          <w:rFonts w:ascii="Times New Roman" w:hAnsi="Times New Roman" w:cs="Times New Roman"/>
          <w:lang w:val="en-GB"/>
        </w:rPr>
        <w:t>.</w:t>
      </w:r>
      <w:r w:rsidR="006D09E7" w:rsidRPr="00465121">
        <w:rPr>
          <w:rStyle w:val="FootnoteReference"/>
          <w:rFonts w:ascii="Times New Roman" w:hAnsi="Times New Roman" w:cs="Times New Roman"/>
          <w:lang w:val="en-GB"/>
        </w:rPr>
        <w:footnoteReference w:id="12"/>
      </w:r>
      <w:r w:rsidRPr="00465121">
        <w:rPr>
          <w:rFonts w:ascii="Times New Roman" w:hAnsi="Times New Roman" w:cs="Times New Roman"/>
          <w:lang w:val="en-GB"/>
        </w:rPr>
        <w:t xml:space="preserve">  </w:t>
      </w:r>
      <w:r w:rsidR="0004574B" w:rsidRPr="00465121">
        <w:rPr>
          <w:rFonts w:ascii="Times New Roman" w:hAnsi="Times New Roman" w:cs="Times New Roman"/>
          <w:lang w:val="en-GB"/>
        </w:rPr>
        <w:t xml:space="preserve">Martina </w:t>
      </w:r>
      <w:r w:rsidRPr="00465121">
        <w:rPr>
          <w:rFonts w:ascii="Times New Roman" w:hAnsi="Times New Roman" w:cs="Times New Roman"/>
          <w:lang w:val="en-GB"/>
        </w:rPr>
        <w:t>Pomeroy</w:t>
      </w:r>
      <w:r w:rsidR="00C951BB" w:rsidRPr="00465121">
        <w:rPr>
          <w:rFonts w:ascii="Times New Roman" w:hAnsi="Times New Roman" w:cs="Times New Roman"/>
          <w:lang w:val="en-GB"/>
        </w:rPr>
        <w:t>,</w:t>
      </w:r>
      <w:r w:rsidRPr="00465121">
        <w:rPr>
          <w:rFonts w:ascii="Times New Roman" w:hAnsi="Times New Roman" w:cs="Times New Roman"/>
          <w:lang w:val="en-GB"/>
        </w:rPr>
        <w:t xml:space="preserve"> in a review of a number of different countries</w:t>
      </w:r>
      <w:r w:rsidR="00866BCA" w:rsidRPr="00465121">
        <w:rPr>
          <w:rFonts w:ascii="Times New Roman" w:hAnsi="Times New Roman" w:cs="Times New Roman"/>
          <w:lang w:val="en-GB"/>
        </w:rPr>
        <w:t>’ anti-trafficking regimes</w:t>
      </w:r>
      <w:r w:rsidR="00813DA2" w:rsidRPr="00465121">
        <w:rPr>
          <w:rFonts w:ascii="Times New Roman" w:hAnsi="Times New Roman" w:cs="Times New Roman"/>
          <w:lang w:val="en-GB"/>
        </w:rPr>
        <w:t>,</w:t>
      </w:r>
      <w:r w:rsidRPr="00465121">
        <w:rPr>
          <w:rFonts w:ascii="Times New Roman" w:hAnsi="Times New Roman" w:cs="Times New Roman"/>
          <w:lang w:val="en-GB"/>
        </w:rPr>
        <w:t xml:space="preserve"> </w:t>
      </w:r>
      <w:r w:rsidR="0004574B" w:rsidRPr="00465121">
        <w:rPr>
          <w:rFonts w:ascii="Times New Roman" w:hAnsi="Times New Roman" w:cs="Times New Roman"/>
          <w:lang w:val="en-GB"/>
        </w:rPr>
        <w:t>states</w:t>
      </w:r>
      <w:r w:rsidRPr="00465121">
        <w:rPr>
          <w:rFonts w:ascii="Times New Roman" w:hAnsi="Times New Roman" w:cs="Times New Roman"/>
          <w:lang w:val="en-GB"/>
        </w:rPr>
        <w:t xml:space="preserve"> that this harm is compounded by the complexity of accessing legal residence within many countries.</w:t>
      </w:r>
      <w:r w:rsidR="0004574B" w:rsidRPr="00465121">
        <w:rPr>
          <w:rStyle w:val="FootnoteReference"/>
          <w:rFonts w:ascii="Times New Roman" w:hAnsi="Times New Roman" w:cs="Times New Roman"/>
          <w:lang w:val="en-GB"/>
        </w:rPr>
        <w:t xml:space="preserve"> </w:t>
      </w:r>
      <w:r w:rsidR="0004574B" w:rsidRPr="00465121">
        <w:rPr>
          <w:rStyle w:val="FootnoteReference"/>
          <w:rFonts w:ascii="Times New Roman" w:hAnsi="Times New Roman" w:cs="Times New Roman"/>
          <w:lang w:val="en-GB"/>
        </w:rPr>
        <w:footnoteReference w:id="13"/>
      </w:r>
      <w:r w:rsidRPr="00465121">
        <w:rPr>
          <w:rFonts w:ascii="Times New Roman" w:hAnsi="Times New Roman" w:cs="Times New Roman"/>
          <w:lang w:val="en-GB"/>
        </w:rPr>
        <w:t xml:space="preserve"> Even if a country technically has a route to legal status, it is often so convoluted and inaccessible that it becomes exclusionary.</w:t>
      </w:r>
      <w:r w:rsidR="00C46E17" w:rsidRPr="00465121">
        <w:rPr>
          <w:rFonts w:ascii="Times New Roman" w:hAnsi="Times New Roman" w:cs="Times New Roman"/>
          <w:lang w:val="en-GB"/>
        </w:rPr>
        <w:t xml:space="preserve"> </w:t>
      </w:r>
      <w:r w:rsidR="0004574B" w:rsidRPr="00465121">
        <w:rPr>
          <w:rFonts w:ascii="Times New Roman" w:hAnsi="Times New Roman" w:cs="Times New Roman"/>
          <w:lang w:val="en-GB"/>
        </w:rPr>
        <w:t xml:space="preserve">Shannon </w:t>
      </w:r>
      <w:r w:rsidR="00C46E17" w:rsidRPr="00465121">
        <w:rPr>
          <w:rFonts w:ascii="Times New Roman" w:hAnsi="Times New Roman" w:cs="Times New Roman"/>
          <w:lang w:val="en-GB"/>
        </w:rPr>
        <w:t>Clancy argues that the US immigration system is so complex</w:t>
      </w:r>
      <w:r w:rsidR="00226D54" w:rsidRPr="00465121">
        <w:rPr>
          <w:rFonts w:ascii="Times New Roman" w:hAnsi="Times New Roman" w:cs="Times New Roman"/>
          <w:lang w:val="en-GB"/>
        </w:rPr>
        <w:t xml:space="preserve"> that</w:t>
      </w:r>
      <w:r w:rsidR="00C46E17" w:rsidRPr="00465121">
        <w:rPr>
          <w:rFonts w:ascii="Times New Roman" w:hAnsi="Times New Roman" w:cs="Times New Roman"/>
          <w:lang w:val="en-GB"/>
        </w:rPr>
        <w:t xml:space="preserve"> it is difficult for anyone to navigate, but particularly </w:t>
      </w:r>
      <w:r w:rsidR="00C46E17" w:rsidRPr="00465121">
        <w:rPr>
          <w:rFonts w:ascii="Times New Roman" w:hAnsi="Times New Roman" w:cs="Times New Roman"/>
          <w:lang w:val="en-GB"/>
        </w:rPr>
        <w:lastRenderedPageBreak/>
        <w:t>someone in vulnerable circumstances.</w:t>
      </w:r>
      <w:r w:rsidR="0004574B" w:rsidRPr="00465121">
        <w:rPr>
          <w:rStyle w:val="FootnoteReference"/>
          <w:rFonts w:ascii="Times New Roman" w:hAnsi="Times New Roman" w:cs="Times New Roman"/>
          <w:lang w:val="en-GB"/>
        </w:rPr>
        <w:t xml:space="preserve"> </w:t>
      </w:r>
      <w:r w:rsidR="0004574B" w:rsidRPr="00465121">
        <w:rPr>
          <w:rStyle w:val="FootnoteReference"/>
          <w:rFonts w:ascii="Times New Roman" w:hAnsi="Times New Roman" w:cs="Times New Roman"/>
          <w:lang w:val="en-GB"/>
        </w:rPr>
        <w:footnoteReference w:id="14"/>
      </w:r>
      <w:r w:rsidR="00C46E17" w:rsidRPr="00465121">
        <w:rPr>
          <w:rFonts w:ascii="Times New Roman" w:hAnsi="Times New Roman" w:cs="Times New Roman"/>
          <w:lang w:val="en-GB"/>
        </w:rPr>
        <w:t xml:space="preserve">  </w:t>
      </w:r>
      <w:r w:rsidR="0004574B" w:rsidRPr="00465121">
        <w:rPr>
          <w:rFonts w:ascii="Times New Roman" w:hAnsi="Times New Roman" w:cs="Times New Roman"/>
          <w:lang w:val="en-GB"/>
        </w:rPr>
        <w:t xml:space="preserve">Clancy also makes the point </w:t>
      </w:r>
      <w:r w:rsidR="00C46E17" w:rsidRPr="00465121">
        <w:rPr>
          <w:rFonts w:ascii="Times New Roman" w:hAnsi="Times New Roman" w:cs="Times New Roman"/>
          <w:lang w:val="en-GB"/>
        </w:rPr>
        <w:t>that the way the system is set up creates an exclusionary legal space within which migrants are held that keeps them from many of the protections that US citizens are guaranteed by the Constitution.</w:t>
      </w:r>
      <w:r w:rsidR="00607D2B" w:rsidRPr="00465121">
        <w:rPr>
          <w:rStyle w:val="FootnoteReference"/>
          <w:rFonts w:ascii="Times New Roman" w:hAnsi="Times New Roman" w:cs="Times New Roman"/>
          <w:lang w:val="en-GB"/>
        </w:rPr>
        <w:footnoteReference w:id="15"/>
      </w:r>
      <w:r w:rsidR="00C46E17" w:rsidRPr="00465121">
        <w:rPr>
          <w:rFonts w:ascii="Times New Roman" w:hAnsi="Times New Roman" w:cs="Times New Roman"/>
          <w:lang w:val="en-GB"/>
        </w:rPr>
        <w:t xml:space="preserve">  </w:t>
      </w:r>
      <w:r w:rsidR="0004574B" w:rsidRPr="00465121">
        <w:rPr>
          <w:rFonts w:ascii="Times New Roman" w:hAnsi="Times New Roman" w:cs="Times New Roman"/>
          <w:lang w:val="en-GB"/>
        </w:rPr>
        <w:t xml:space="preserve">Anette </w:t>
      </w:r>
      <w:proofErr w:type="spellStart"/>
      <w:r w:rsidR="00AE1102" w:rsidRPr="00465121">
        <w:rPr>
          <w:rFonts w:ascii="Times New Roman" w:hAnsi="Times New Roman" w:cs="Times New Roman"/>
          <w:lang w:val="en-GB"/>
        </w:rPr>
        <w:t>Brunov</w:t>
      </w:r>
      <w:r w:rsidR="00BF2E31" w:rsidRPr="00465121">
        <w:rPr>
          <w:rFonts w:ascii="Times New Roman" w:hAnsi="Times New Roman" w:cs="Times New Roman"/>
          <w:lang w:val="en-GB"/>
        </w:rPr>
        <w:t>s</w:t>
      </w:r>
      <w:r w:rsidR="00AE1102" w:rsidRPr="00465121">
        <w:rPr>
          <w:rFonts w:ascii="Times New Roman" w:hAnsi="Times New Roman" w:cs="Times New Roman"/>
          <w:lang w:val="en-GB"/>
        </w:rPr>
        <w:t>kis</w:t>
      </w:r>
      <w:proofErr w:type="spellEnd"/>
      <w:r w:rsidR="0004574B" w:rsidRPr="00465121">
        <w:rPr>
          <w:rFonts w:ascii="Times New Roman" w:hAnsi="Times New Roman" w:cs="Times New Roman"/>
          <w:lang w:val="en-GB"/>
        </w:rPr>
        <w:t xml:space="preserve"> </w:t>
      </w:r>
      <w:r w:rsidR="00607D2B" w:rsidRPr="00465121">
        <w:rPr>
          <w:rFonts w:ascii="Times New Roman" w:hAnsi="Times New Roman" w:cs="Times New Roman"/>
          <w:lang w:val="en-GB"/>
        </w:rPr>
        <w:t>claims</w:t>
      </w:r>
      <w:r w:rsidR="005927E7" w:rsidRPr="00465121">
        <w:rPr>
          <w:rFonts w:ascii="Times New Roman" w:hAnsi="Times New Roman" w:cs="Times New Roman"/>
          <w:lang w:val="en-GB"/>
        </w:rPr>
        <w:t xml:space="preserve"> that a similar situation exists in Norway, as identified trafficking victims can fall into different ‘administrative categories’, each with different legal standings and open routes to regularizing their status.</w:t>
      </w:r>
      <w:r w:rsidR="0004574B" w:rsidRPr="00465121">
        <w:rPr>
          <w:rStyle w:val="FootnoteReference"/>
          <w:rFonts w:ascii="Times New Roman" w:hAnsi="Times New Roman" w:cs="Times New Roman"/>
          <w:lang w:val="en-GB"/>
        </w:rPr>
        <w:footnoteReference w:id="16"/>
      </w:r>
      <w:r w:rsidR="005927E7" w:rsidRPr="00465121">
        <w:rPr>
          <w:rFonts w:ascii="Times New Roman" w:hAnsi="Times New Roman" w:cs="Times New Roman"/>
          <w:lang w:val="en-GB"/>
        </w:rPr>
        <w:t xml:space="preserve"> </w:t>
      </w:r>
      <w:r w:rsidR="004928C4" w:rsidRPr="00465121">
        <w:rPr>
          <w:rFonts w:ascii="Times New Roman" w:hAnsi="Times New Roman" w:cs="Times New Roman"/>
          <w:lang w:val="en-GB"/>
        </w:rPr>
        <w:t>Here, i</w:t>
      </w:r>
      <w:r w:rsidR="005927E7" w:rsidRPr="00465121">
        <w:rPr>
          <w:rFonts w:ascii="Times New Roman" w:hAnsi="Times New Roman" w:cs="Times New Roman"/>
          <w:lang w:val="en-GB"/>
        </w:rPr>
        <w:t>dentified victims that do not have</w:t>
      </w:r>
      <w:r w:rsidR="004928C4" w:rsidRPr="00465121">
        <w:rPr>
          <w:rFonts w:ascii="Times New Roman" w:hAnsi="Times New Roman" w:cs="Times New Roman"/>
          <w:lang w:val="en-GB"/>
        </w:rPr>
        <w:t xml:space="preserve"> the</w:t>
      </w:r>
      <w:r w:rsidR="005927E7" w:rsidRPr="00465121">
        <w:rPr>
          <w:rFonts w:ascii="Times New Roman" w:hAnsi="Times New Roman" w:cs="Times New Roman"/>
          <w:lang w:val="en-GB"/>
        </w:rPr>
        <w:t xml:space="preserve"> right to remain in Norway are not automatically entitled to welfare, but their status gives them ‘inroads’ to accessing it through other routes</w:t>
      </w:r>
      <w:r w:rsidR="004928C4" w:rsidRPr="00465121">
        <w:rPr>
          <w:rFonts w:ascii="Times New Roman" w:hAnsi="Times New Roman" w:cs="Times New Roman"/>
          <w:lang w:val="en-GB"/>
        </w:rPr>
        <w:t>;</w:t>
      </w:r>
      <w:r w:rsidR="005927E7" w:rsidRPr="00465121">
        <w:rPr>
          <w:rFonts w:ascii="Times New Roman" w:hAnsi="Times New Roman" w:cs="Times New Roman"/>
          <w:lang w:val="en-GB"/>
        </w:rPr>
        <w:t xml:space="preserve"> potentially creat</w:t>
      </w:r>
      <w:r w:rsidR="004928C4" w:rsidRPr="00465121">
        <w:rPr>
          <w:rFonts w:ascii="Times New Roman" w:hAnsi="Times New Roman" w:cs="Times New Roman"/>
          <w:lang w:val="en-GB"/>
        </w:rPr>
        <w:t>ing</w:t>
      </w:r>
      <w:r w:rsidR="005927E7" w:rsidRPr="00465121">
        <w:rPr>
          <w:rFonts w:ascii="Times New Roman" w:hAnsi="Times New Roman" w:cs="Times New Roman"/>
          <w:lang w:val="en-GB"/>
        </w:rPr>
        <w:t xml:space="preserve"> gaps in support if the system is not easily navigable. </w:t>
      </w:r>
      <w:r w:rsidR="00607D2B" w:rsidRPr="00465121">
        <w:rPr>
          <w:rFonts w:ascii="Times New Roman" w:hAnsi="Times New Roman" w:cs="Times New Roman"/>
          <w:lang w:val="en-GB"/>
        </w:rPr>
        <w:t xml:space="preserve">Donald </w:t>
      </w:r>
      <w:proofErr w:type="spellStart"/>
      <w:r w:rsidR="005927E7" w:rsidRPr="00465121">
        <w:rPr>
          <w:rFonts w:ascii="Times New Roman" w:hAnsi="Times New Roman" w:cs="Times New Roman"/>
          <w:lang w:val="en-GB"/>
        </w:rPr>
        <w:t>Kerwin</w:t>
      </w:r>
      <w:proofErr w:type="spellEnd"/>
      <w:r w:rsidR="005927E7" w:rsidRPr="00465121">
        <w:rPr>
          <w:rFonts w:ascii="Times New Roman" w:hAnsi="Times New Roman" w:cs="Times New Roman"/>
          <w:lang w:val="en-GB"/>
        </w:rPr>
        <w:t xml:space="preserve"> </w:t>
      </w:r>
      <w:r w:rsidR="00607D2B" w:rsidRPr="00465121">
        <w:rPr>
          <w:rFonts w:ascii="Times New Roman" w:hAnsi="Times New Roman" w:cs="Times New Roman"/>
          <w:lang w:val="en-GB"/>
        </w:rPr>
        <w:t xml:space="preserve">states </w:t>
      </w:r>
      <w:r w:rsidR="005927E7" w:rsidRPr="00465121">
        <w:rPr>
          <w:rFonts w:ascii="Times New Roman" w:hAnsi="Times New Roman" w:cs="Times New Roman"/>
          <w:lang w:val="en-GB"/>
        </w:rPr>
        <w:t xml:space="preserve">that in the USA Temporary Protection Programs </w:t>
      </w:r>
      <w:r w:rsidR="0025435B" w:rsidRPr="00465121">
        <w:rPr>
          <w:rFonts w:ascii="Times New Roman" w:hAnsi="Times New Roman" w:cs="Times New Roman"/>
          <w:lang w:val="en-GB"/>
        </w:rPr>
        <w:t>that</w:t>
      </w:r>
      <w:r w:rsidR="005927E7" w:rsidRPr="00465121">
        <w:rPr>
          <w:rFonts w:ascii="Times New Roman" w:hAnsi="Times New Roman" w:cs="Times New Roman"/>
          <w:lang w:val="en-GB"/>
        </w:rPr>
        <w:t xml:space="preserve"> award a fixed term legal residency</w:t>
      </w:r>
      <w:r w:rsidR="0025435B" w:rsidRPr="00465121">
        <w:rPr>
          <w:rFonts w:ascii="Times New Roman" w:hAnsi="Times New Roman" w:cs="Times New Roman"/>
          <w:lang w:val="en-GB"/>
        </w:rPr>
        <w:t xml:space="preserve"> have the potential</w:t>
      </w:r>
      <w:r w:rsidR="005927E7" w:rsidRPr="00465121">
        <w:rPr>
          <w:rFonts w:ascii="Times New Roman" w:hAnsi="Times New Roman" w:cs="Times New Roman"/>
          <w:lang w:val="en-GB"/>
        </w:rPr>
        <w:t xml:space="preserve"> </w:t>
      </w:r>
      <w:r w:rsidR="00607D2B" w:rsidRPr="00465121">
        <w:rPr>
          <w:rFonts w:ascii="Times New Roman" w:hAnsi="Times New Roman" w:cs="Times New Roman"/>
          <w:lang w:val="en-GB"/>
        </w:rPr>
        <w:t>allow space</w:t>
      </w:r>
      <w:r w:rsidR="0025435B" w:rsidRPr="00465121">
        <w:rPr>
          <w:rFonts w:ascii="Times New Roman" w:hAnsi="Times New Roman" w:cs="Times New Roman"/>
          <w:lang w:val="en-GB"/>
        </w:rPr>
        <w:t xml:space="preserve"> for the working out of long-</w:t>
      </w:r>
      <w:r w:rsidR="005927E7" w:rsidRPr="00465121">
        <w:rPr>
          <w:rFonts w:ascii="Times New Roman" w:hAnsi="Times New Roman" w:cs="Times New Roman"/>
          <w:lang w:val="en-GB"/>
        </w:rPr>
        <w:t>term solutions</w:t>
      </w:r>
      <w:r w:rsidR="00607D2B" w:rsidRPr="00465121">
        <w:rPr>
          <w:rFonts w:ascii="Times New Roman" w:hAnsi="Times New Roman" w:cs="Times New Roman"/>
          <w:lang w:val="en-GB"/>
        </w:rPr>
        <w:t xml:space="preserve"> to problems faced by victims</w:t>
      </w:r>
      <w:r w:rsidR="005927E7" w:rsidRPr="00465121">
        <w:rPr>
          <w:rFonts w:ascii="Times New Roman" w:hAnsi="Times New Roman" w:cs="Times New Roman"/>
          <w:lang w:val="en-GB"/>
        </w:rPr>
        <w:t>.</w:t>
      </w:r>
      <w:r w:rsidR="00607D2B" w:rsidRPr="00465121">
        <w:rPr>
          <w:rStyle w:val="FootnoteReference"/>
          <w:rFonts w:ascii="Times New Roman" w:hAnsi="Times New Roman" w:cs="Times New Roman"/>
          <w:lang w:val="en-GB"/>
        </w:rPr>
        <w:footnoteReference w:id="17"/>
      </w:r>
      <w:r w:rsidR="005927E7" w:rsidRPr="00465121">
        <w:rPr>
          <w:rFonts w:ascii="Times New Roman" w:hAnsi="Times New Roman" w:cs="Times New Roman"/>
          <w:lang w:val="en-GB"/>
        </w:rPr>
        <w:t xml:space="preserve"> Currently this is discretionary, however if this was enshrined for trafficking victims </w:t>
      </w:r>
      <w:r w:rsidR="00494735" w:rsidRPr="00465121">
        <w:rPr>
          <w:rFonts w:ascii="Times New Roman" w:hAnsi="Times New Roman" w:cs="Times New Roman"/>
          <w:lang w:val="en-GB"/>
        </w:rPr>
        <w:t>this could potentially</w:t>
      </w:r>
      <w:r w:rsidR="005927E7" w:rsidRPr="00465121">
        <w:rPr>
          <w:rFonts w:ascii="Times New Roman" w:hAnsi="Times New Roman" w:cs="Times New Roman"/>
          <w:lang w:val="en-GB"/>
        </w:rPr>
        <w:t xml:space="preserve"> be a very positive step.</w:t>
      </w:r>
      <w:r w:rsidR="005E7AFE" w:rsidRPr="00465121">
        <w:rPr>
          <w:rFonts w:ascii="Times New Roman" w:hAnsi="Times New Roman" w:cs="Times New Roman"/>
          <w:lang w:val="en-GB"/>
        </w:rPr>
        <w:t xml:space="preserve"> </w:t>
      </w:r>
      <w:r w:rsidR="00C46E17" w:rsidRPr="00465121">
        <w:rPr>
          <w:rFonts w:ascii="Times New Roman" w:hAnsi="Times New Roman" w:cs="Times New Roman"/>
          <w:lang w:val="en-GB"/>
        </w:rPr>
        <w:t>T</w:t>
      </w:r>
      <w:r w:rsidRPr="00465121">
        <w:rPr>
          <w:rFonts w:ascii="Times New Roman" w:hAnsi="Times New Roman" w:cs="Times New Roman"/>
          <w:lang w:val="en-GB"/>
        </w:rPr>
        <w:t>echnically</w:t>
      </w:r>
      <w:r w:rsidR="00C46E17" w:rsidRPr="00465121">
        <w:rPr>
          <w:rFonts w:ascii="Times New Roman" w:hAnsi="Times New Roman" w:cs="Times New Roman"/>
          <w:lang w:val="en-GB"/>
        </w:rPr>
        <w:t>,</w:t>
      </w:r>
      <w:r w:rsidRPr="00465121">
        <w:rPr>
          <w:rFonts w:ascii="Times New Roman" w:hAnsi="Times New Roman" w:cs="Times New Roman"/>
          <w:lang w:val="en-GB"/>
        </w:rPr>
        <w:t xml:space="preserve"> victims could apply for r</w:t>
      </w:r>
      <w:r w:rsidR="00C46E17" w:rsidRPr="00465121">
        <w:rPr>
          <w:rFonts w:ascii="Times New Roman" w:hAnsi="Times New Roman" w:cs="Times New Roman"/>
          <w:lang w:val="en-GB"/>
        </w:rPr>
        <w:t>efugee status in many countries</w:t>
      </w:r>
      <w:r w:rsidR="0077484B" w:rsidRPr="00465121">
        <w:rPr>
          <w:rFonts w:ascii="Times New Roman" w:hAnsi="Times New Roman" w:cs="Times New Roman"/>
          <w:lang w:val="en-GB"/>
        </w:rPr>
        <w:t>.</w:t>
      </w:r>
      <w:r w:rsidRPr="00465121">
        <w:rPr>
          <w:rFonts w:ascii="Times New Roman" w:hAnsi="Times New Roman" w:cs="Times New Roman"/>
          <w:lang w:val="en-GB"/>
        </w:rPr>
        <w:t xml:space="preserve"> </w:t>
      </w:r>
      <w:r w:rsidR="0077484B" w:rsidRPr="00465121">
        <w:rPr>
          <w:rFonts w:ascii="Times New Roman" w:hAnsi="Times New Roman" w:cs="Times New Roman"/>
          <w:lang w:val="en-GB"/>
        </w:rPr>
        <w:t>H</w:t>
      </w:r>
      <w:r w:rsidRPr="00465121">
        <w:rPr>
          <w:rFonts w:ascii="Times New Roman" w:hAnsi="Times New Roman" w:cs="Times New Roman"/>
          <w:lang w:val="en-GB"/>
        </w:rPr>
        <w:t>owever</w:t>
      </w:r>
      <w:r w:rsidR="0077484B" w:rsidRPr="00465121">
        <w:rPr>
          <w:rFonts w:ascii="Times New Roman" w:hAnsi="Times New Roman" w:cs="Times New Roman"/>
          <w:lang w:val="en-GB"/>
        </w:rPr>
        <w:t>,</w:t>
      </w:r>
      <w:r w:rsidRPr="00465121">
        <w:rPr>
          <w:rFonts w:ascii="Times New Roman" w:hAnsi="Times New Roman" w:cs="Times New Roman"/>
          <w:lang w:val="en-GB"/>
        </w:rPr>
        <w:t xml:space="preserve"> as </w:t>
      </w:r>
      <w:r w:rsidR="0077484B" w:rsidRPr="00465121">
        <w:rPr>
          <w:rFonts w:ascii="Times New Roman" w:hAnsi="Times New Roman" w:cs="Times New Roman"/>
          <w:lang w:val="en-GB"/>
        </w:rPr>
        <w:t>the refugee</w:t>
      </w:r>
      <w:r w:rsidRPr="00465121">
        <w:rPr>
          <w:rFonts w:ascii="Times New Roman" w:hAnsi="Times New Roman" w:cs="Times New Roman"/>
          <w:lang w:val="en-GB"/>
        </w:rPr>
        <w:t xml:space="preserve"> system </w:t>
      </w:r>
      <w:r w:rsidR="0077484B" w:rsidRPr="00465121">
        <w:rPr>
          <w:rFonts w:ascii="Times New Roman" w:hAnsi="Times New Roman" w:cs="Times New Roman"/>
          <w:lang w:val="en-GB"/>
        </w:rPr>
        <w:t>is</w:t>
      </w:r>
      <w:r w:rsidRPr="00465121">
        <w:rPr>
          <w:rFonts w:ascii="Times New Roman" w:hAnsi="Times New Roman" w:cs="Times New Roman"/>
          <w:lang w:val="en-GB"/>
        </w:rPr>
        <w:t xml:space="preserve"> not designed to deal with trafficking victims</w:t>
      </w:r>
      <w:r w:rsidR="0077484B" w:rsidRPr="00465121">
        <w:rPr>
          <w:rFonts w:ascii="Times New Roman" w:hAnsi="Times New Roman" w:cs="Times New Roman"/>
          <w:lang w:val="en-GB"/>
        </w:rPr>
        <w:t>,</w:t>
      </w:r>
      <w:r w:rsidRPr="00465121">
        <w:rPr>
          <w:rFonts w:ascii="Times New Roman" w:hAnsi="Times New Roman" w:cs="Times New Roman"/>
          <w:lang w:val="en-GB"/>
        </w:rPr>
        <w:t xml:space="preserve"> they frequently fail to reach ‘nexus’ requirements needed to be granted asylum.</w:t>
      </w:r>
      <w:r w:rsidR="003944A9" w:rsidRPr="00465121">
        <w:rPr>
          <w:rStyle w:val="FootnoteReference"/>
          <w:rFonts w:ascii="Times New Roman" w:hAnsi="Times New Roman" w:cs="Times New Roman"/>
          <w:lang w:val="en-GB"/>
        </w:rPr>
        <w:footnoteReference w:id="18"/>
      </w:r>
      <w:r w:rsidR="002A1E53" w:rsidRPr="00465121">
        <w:rPr>
          <w:rFonts w:ascii="Times New Roman" w:hAnsi="Times New Roman" w:cs="Times New Roman"/>
          <w:lang w:val="en-GB"/>
        </w:rPr>
        <w:t xml:space="preserve"> This highlights that human trafficking policy is inadequate in this respect as victims are forced to utilise policies that were not designed for their particular situation, due to a lack of specific provision.</w:t>
      </w:r>
      <w:r w:rsidRPr="00465121">
        <w:rPr>
          <w:rFonts w:ascii="Times New Roman" w:hAnsi="Times New Roman" w:cs="Times New Roman"/>
          <w:lang w:val="en-GB"/>
        </w:rPr>
        <w:t xml:space="preserve"> </w:t>
      </w:r>
    </w:p>
    <w:p w14:paraId="04BBA5D1" w14:textId="77777777" w:rsidR="00404B93" w:rsidRPr="00465121" w:rsidRDefault="00404B93" w:rsidP="00751939">
      <w:pPr>
        <w:spacing w:line="276" w:lineRule="auto"/>
        <w:jc w:val="both"/>
        <w:rPr>
          <w:rFonts w:ascii="Times New Roman" w:hAnsi="Times New Roman" w:cs="Times New Roman"/>
          <w:lang w:val="en-GB"/>
        </w:rPr>
      </w:pPr>
    </w:p>
    <w:p w14:paraId="2DD50803" w14:textId="0B675279" w:rsidR="00404B93" w:rsidRPr="00465121" w:rsidRDefault="00404B93"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Within the literature explored, it is clear that the current situation of victims in relation to immigration status is complex and often problematic.  What emerges repeatedly is that a lack of specific routes to assistance for non-national victims of trafficking</w:t>
      </w:r>
      <w:r w:rsidR="007B2995" w:rsidRPr="00465121">
        <w:rPr>
          <w:rFonts w:ascii="Times New Roman" w:hAnsi="Times New Roman" w:cs="Times New Roman"/>
          <w:lang w:val="en-GB"/>
        </w:rPr>
        <w:t xml:space="preserve"> and the necessity of attempting to utilise pathways designed for other purposes, such as asylum, raise a number of difficulties.  Within this context, we will now outline the specific UK legal position, exploring specific legal issues therein, and particularly highlighting where the UK is failing to meet its international obligations.  The impact of these failures on victims of trafficking will then be explored in the analysis of a series of interviews with trafficking caseworkers, demonstrating the need for bespoke legal provision. </w:t>
      </w:r>
    </w:p>
    <w:p w14:paraId="715E7CEE" w14:textId="77777777" w:rsidR="00866BCA" w:rsidRDefault="00866BCA" w:rsidP="00751939">
      <w:pPr>
        <w:spacing w:line="276" w:lineRule="auto"/>
        <w:jc w:val="both"/>
        <w:rPr>
          <w:rFonts w:ascii="Times New Roman" w:hAnsi="Times New Roman" w:cs="Times New Roman"/>
          <w:lang w:val="en-GB"/>
        </w:rPr>
      </w:pPr>
    </w:p>
    <w:p w14:paraId="7D07D2C5" w14:textId="77777777" w:rsidR="00122DAB" w:rsidRPr="00B94BC3" w:rsidRDefault="00122DAB" w:rsidP="00122DAB">
      <w:pPr>
        <w:spacing w:line="276" w:lineRule="auto"/>
        <w:jc w:val="both"/>
        <w:rPr>
          <w:rFonts w:ascii="Times New Roman" w:hAnsi="Times New Roman" w:cs="Times New Roman"/>
          <w:u w:val="single"/>
          <w:lang w:val="en-GB"/>
        </w:rPr>
      </w:pPr>
      <w:r w:rsidRPr="00D0684C">
        <w:rPr>
          <w:rFonts w:ascii="Times New Roman" w:hAnsi="Times New Roman" w:cs="Times New Roman"/>
          <w:b/>
          <w:u w:val="single"/>
          <w:lang w:val="en-GB"/>
        </w:rPr>
        <w:t xml:space="preserve">Found only to be abandoned: The National Referral Mechanism and Victims of Modern Slavery </w:t>
      </w:r>
      <w:r>
        <w:rPr>
          <w:rFonts w:ascii="Times New Roman" w:hAnsi="Times New Roman" w:cs="Times New Roman"/>
          <w:b/>
          <w:u w:val="single"/>
          <w:lang w:val="en-GB"/>
        </w:rPr>
        <w:t xml:space="preserve">and Human Trafficking </w:t>
      </w:r>
      <w:r w:rsidRPr="00D0684C">
        <w:rPr>
          <w:rFonts w:ascii="Times New Roman" w:hAnsi="Times New Roman" w:cs="Times New Roman"/>
          <w:b/>
          <w:u w:val="single"/>
          <w:lang w:val="en-GB"/>
        </w:rPr>
        <w:t>in the UK</w:t>
      </w:r>
    </w:p>
    <w:p w14:paraId="302DD10B" w14:textId="77777777" w:rsidR="00122DAB" w:rsidRPr="00B94BC3" w:rsidRDefault="00122DAB" w:rsidP="00122DAB">
      <w:pPr>
        <w:spacing w:line="276" w:lineRule="auto"/>
        <w:jc w:val="both"/>
        <w:rPr>
          <w:rFonts w:ascii="Times New Roman" w:hAnsi="Times New Roman" w:cs="Times New Roman"/>
          <w:u w:val="single"/>
          <w:lang w:val="en-GB"/>
        </w:rPr>
      </w:pPr>
    </w:p>
    <w:p w14:paraId="68B9680A" w14:textId="1ED20AC1" w:rsidR="00122DAB" w:rsidRDefault="00122DAB" w:rsidP="00122DAB">
      <w:pPr>
        <w:spacing w:line="276" w:lineRule="auto"/>
        <w:jc w:val="both"/>
        <w:rPr>
          <w:rFonts w:ascii="Times New Roman" w:hAnsi="Times New Roman" w:cs="Times New Roman"/>
          <w:lang w:val="en-GB"/>
        </w:rPr>
      </w:pPr>
      <w:r w:rsidRPr="00B94BC3">
        <w:rPr>
          <w:rFonts w:ascii="Times New Roman" w:hAnsi="Times New Roman" w:cs="Times New Roman"/>
          <w:lang w:val="en-GB"/>
        </w:rPr>
        <w:t xml:space="preserve">The National Crime Agency (NCA) reported that in 2017 there were 5145 victims of </w:t>
      </w:r>
      <w:r>
        <w:rPr>
          <w:rFonts w:ascii="Times New Roman" w:hAnsi="Times New Roman" w:cs="Times New Roman"/>
          <w:lang w:val="en-GB"/>
        </w:rPr>
        <w:t xml:space="preserve">human trafficking or </w:t>
      </w:r>
      <w:r w:rsidRPr="00B94BC3">
        <w:rPr>
          <w:rFonts w:ascii="Times New Roman" w:hAnsi="Times New Roman" w:cs="Times New Roman"/>
          <w:lang w:val="en-GB"/>
        </w:rPr>
        <w:t>m</w:t>
      </w:r>
      <w:r>
        <w:rPr>
          <w:rFonts w:ascii="Times New Roman" w:hAnsi="Times New Roman" w:cs="Times New Roman"/>
          <w:lang w:val="en-GB"/>
        </w:rPr>
        <w:t>odern slavery</w:t>
      </w:r>
      <w:r w:rsidRPr="00B94BC3">
        <w:rPr>
          <w:rFonts w:ascii="Times New Roman" w:hAnsi="Times New Roman" w:cs="Times New Roman"/>
          <w:lang w:val="en-GB"/>
        </w:rPr>
        <w:t xml:space="preserve"> identified in the United Kingdom.</w:t>
      </w:r>
      <w:r w:rsidRPr="00B94BC3">
        <w:rPr>
          <w:rStyle w:val="FootnoteReference"/>
          <w:rFonts w:ascii="Times New Roman" w:hAnsi="Times New Roman" w:cs="Times New Roman"/>
          <w:lang w:val="en-GB"/>
        </w:rPr>
        <w:footnoteReference w:id="19"/>
      </w:r>
      <w:r w:rsidRPr="00B94BC3">
        <w:rPr>
          <w:rFonts w:ascii="Times New Roman" w:hAnsi="Times New Roman" w:cs="Times New Roman"/>
          <w:lang w:val="en-GB"/>
        </w:rPr>
        <w:t xml:space="preserve"> This figure was comprised of 116 different nationalities</w:t>
      </w:r>
      <w:r>
        <w:rPr>
          <w:rFonts w:ascii="Times New Roman" w:hAnsi="Times New Roman" w:cs="Times New Roman"/>
          <w:lang w:val="en-GB"/>
        </w:rPr>
        <w:t>.</w:t>
      </w:r>
      <w:r w:rsidRPr="00B94BC3">
        <w:rPr>
          <w:rFonts w:ascii="Times New Roman" w:hAnsi="Times New Roman" w:cs="Times New Roman"/>
          <w:lang w:val="en-GB"/>
        </w:rPr>
        <w:t xml:space="preserve"> </w:t>
      </w:r>
      <w:r>
        <w:rPr>
          <w:rFonts w:ascii="Times New Roman" w:hAnsi="Times New Roman" w:cs="Times New Roman"/>
          <w:lang w:val="en-GB"/>
        </w:rPr>
        <w:t>O</w:t>
      </w:r>
      <w:r w:rsidRPr="00B94BC3">
        <w:rPr>
          <w:rFonts w:ascii="Times New Roman" w:hAnsi="Times New Roman" w:cs="Times New Roman"/>
          <w:lang w:val="en-GB"/>
        </w:rPr>
        <w:t>f the</w:t>
      </w:r>
      <w:r>
        <w:rPr>
          <w:rFonts w:ascii="Times New Roman" w:hAnsi="Times New Roman" w:cs="Times New Roman"/>
          <w:lang w:val="en-GB"/>
        </w:rPr>
        <w:t>se</w:t>
      </w:r>
      <w:r w:rsidRPr="00B94BC3">
        <w:rPr>
          <w:rFonts w:ascii="Times New Roman" w:hAnsi="Times New Roman" w:cs="Times New Roman"/>
          <w:lang w:val="en-GB"/>
        </w:rPr>
        <w:t xml:space="preserve"> victims</w:t>
      </w:r>
      <w:r>
        <w:rPr>
          <w:rFonts w:ascii="Times New Roman" w:hAnsi="Times New Roman" w:cs="Times New Roman"/>
          <w:lang w:val="en-GB"/>
        </w:rPr>
        <w:t>,</w:t>
      </w:r>
      <w:r w:rsidRPr="00B94BC3">
        <w:rPr>
          <w:rFonts w:ascii="Times New Roman" w:hAnsi="Times New Roman" w:cs="Times New Roman"/>
          <w:lang w:val="en-GB"/>
        </w:rPr>
        <w:t xml:space="preserve"> 4,325 were from outside the United </w:t>
      </w:r>
      <w:r w:rsidRPr="00B94BC3">
        <w:rPr>
          <w:rFonts w:ascii="Times New Roman" w:hAnsi="Times New Roman" w:cs="Times New Roman"/>
          <w:lang w:val="en-GB"/>
        </w:rPr>
        <w:lastRenderedPageBreak/>
        <w:t>Kingdom.</w:t>
      </w:r>
      <w:r w:rsidRPr="00B94BC3">
        <w:rPr>
          <w:rStyle w:val="FootnoteReference"/>
          <w:rFonts w:ascii="Times New Roman" w:hAnsi="Times New Roman" w:cs="Times New Roman"/>
          <w:lang w:val="en-GB"/>
        </w:rPr>
        <w:footnoteReference w:id="20"/>
      </w:r>
      <w:r w:rsidRPr="00B94BC3">
        <w:rPr>
          <w:rFonts w:ascii="Times New Roman" w:hAnsi="Times New Roman" w:cs="Times New Roman"/>
          <w:lang w:val="en-GB"/>
        </w:rPr>
        <w:t xml:space="preserve"> This therefore</w:t>
      </w:r>
      <w:r>
        <w:rPr>
          <w:rFonts w:ascii="Times New Roman" w:hAnsi="Times New Roman" w:cs="Times New Roman"/>
          <w:lang w:val="en-GB"/>
        </w:rPr>
        <w:t xml:space="preserve"> represents the possibility that 84% </w:t>
      </w:r>
      <w:r w:rsidRPr="00B94BC3">
        <w:rPr>
          <w:rFonts w:ascii="Times New Roman" w:hAnsi="Times New Roman" w:cs="Times New Roman"/>
          <w:lang w:val="en-GB"/>
        </w:rPr>
        <w:t xml:space="preserve">of potential victims may experience issues relating to their immigration status. Victims in the UK are identified and processed via a system called the National Referral Mechanism (NRM), which operates as a gateway to protection and support for potential victims. </w:t>
      </w:r>
      <w:r>
        <w:rPr>
          <w:rFonts w:ascii="Times New Roman" w:hAnsi="Times New Roman" w:cs="Times New Roman"/>
          <w:lang w:val="en-GB"/>
        </w:rPr>
        <w:t>The term ‘modern slavery’ is used widely in the political, academic and charitable sectors, and it operates as an umbrella term under which a wide range of exploitative practices is grouped.</w:t>
      </w:r>
      <w:r>
        <w:rPr>
          <w:rStyle w:val="FootnoteReference"/>
          <w:rFonts w:ascii="Times New Roman" w:hAnsi="Times New Roman" w:cs="Times New Roman"/>
          <w:lang w:val="en-GB"/>
        </w:rPr>
        <w:t xml:space="preserve"> </w:t>
      </w:r>
      <w:r>
        <w:rPr>
          <w:rFonts w:ascii="Times New Roman" w:hAnsi="Times New Roman" w:cs="Times New Roman"/>
          <w:lang w:val="en-GB"/>
        </w:rPr>
        <w:t>The statistics provided for the NRM by the NCA are for victims of modern slavery and human trafficking. The NCA defines</w:t>
      </w:r>
      <w:r w:rsidR="008F1244">
        <w:rPr>
          <w:rFonts w:ascii="Times New Roman" w:hAnsi="Times New Roman" w:cs="Times New Roman"/>
          <w:lang w:val="en-GB"/>
        </w:rPr>
        <w:t xml:space="preserve"> modern slavery as encompassing</w:t>
      </w:r>
      <w:r>
        <w:rPr>
          <w:rFonts w:ascii="Times New Roman" w:hAnsi="Times New Roman" w:cs="Times New Roman"/>
          <w:lang w:val="en-GB"/>
        </w:rPr>
        <w:t xml:space="preserve"> human trafficking, slavery, servitude and forced labour. Human trafficking is a process defined by the Palermo Protocol</w:t>
      </w:r>
      <w:r w:rsidR="00DD2FCF">
        <w:rPr>
          <w:rStyle w:val="FootnoteReference"/>
          <w:rFonts w:ascii="Times New Roman" w:hAnsi="Times New Roman" w:cs="Times New Roman"/>
          <w:lang w:val="en-GB"/>
        </w:rPr>
        <w:footnoteReference w:id="21"/>
      </w:r>
      <w:r w:rsidR="008F1244">
        <w:rPr>
          <w:rFonts w:ascii="Times New Roman" w:hAnsi="Times New Roman" w:cs="Times New Roman"/>
          <w:lang w:val="en-GB"/>
        </w:rPr>
        <w:t>.  A</w:t>
      </w:r>
      <w:r>
        <w:rPr>
          <w:rFonts w:ascii="Times New Roman" w:hAnsi="Times New Roman" w:cs="Times New Roman"/>
          <w:lang w:val="en-GB"/>
        </w:rPr>
        <w:t xml:space="preserve">s </w:t>
      </w:r>
      <w:r w:rsidR="00DD2FCF">
        <w:rPr>
          <w:rFonts w:ascii="Times New Roman" w:hAnsi="Times New Roman" w:cs="Times New Roman"/>
          <w:lang w:val="en-GB"/>
        </w:rPr>
        <w:t>discussed in the introduction the definition involves three elements an action, the means and the purpose (exploitation).</w:t>
      </w:r>
    </w:p>
    <w:p w14:paraId="28217ECE" w14:textId="77777777" w:rsidR="00122DAB" w:rsidRPr="00766353" w:rsidRDefault="00122DAB" w:rsidP="00122DAB">
      <w:pPr>
        <w:spacing w:line="276" w:lineRule="auto"/>
        <w:jc w:val="both"/>
        <w:rPr>
          <w:rFonts w:ascii="Times New Roman" w:hAnsi="Times New Roman" w:cs="Times New Roman"/>
          <w:lang w:val="en-GB"/>
        </w:rPr>
      </w:pPr>
    </w:p>
    <w:p w14:paraId="280A6BCB" w14:textId="77777777" w:rsidR="00122DAB" w:rsidRDefault="00122DAB" w:rsidP="00122DAB">
      <w:pPr>
        <w:spacing w:line="276" w:lineRule="auto"/>
        <w:jc w:val="both"/>
        <w:rPr>
          <w:rFonts w:ascii="Times New Roman" w:hAnsi="Times New Roman" w:cs="Times New Roman"/>
          <w:lang w:val="en-GB"/>
        </w:rPr>
      </w:pPr>
      <w:r>
        <w:rPr>
          <w:rFonts w:ascii="Times New Roman" w:hAnsi="Times New Roman" w:cs="Times New Roman"/>
          <w:lang w:val="en-GB"/>
        </w:rPr>
        <w:t>Thus it can be seen that human trafficking is a process, which may or may not result in a number of exploitative outcomes including slavery, servitude and forced labour. Further to this, the crimes of slavery, servitude and forced labour</w:t>
      </w:r>
      <w:r>
        <w:rPr>
          <w:rStyle w:val="FootnoteReference"/>
          <w:rFonts w:ascii="Times New Roman" w:hAnsi="Times New Roman" w:cs="Times New Roman"/>
          <w:lang w:val="en-GB"/>
        </w:rPr>
        <w:footnoteReference w:id="22"/>
      </w:r>
      <w:r>
        <w:rPr>
          <w:rFonts w:ascii="Times New Roman" w:hAnsi="Times New Roman" w:cs="Times New Roman"/>
          <w:lang w:val="en-GB"/>
        </w:rPr>
        <w:t xml:space="preserve"> are legally distinct categories, which can occur independent of human trafficking. Nicole Siller has commented that the international legal frameworks demonstrate that practices such as slavery are distinct from human trafficking.</w:t>
      </w:r>
      <w:r>
        <w:rPr>
          <w:rStyle w:val="FootnoteReference"/>
          <w:rFonts w:ascii="Times New Roman" w:hAnsi="Times New Roman" w:cs="Times New Roman"/>
          <w:lang w:val="en-GB"/>
        </w:rPr>
        <w:footnoteReference w:id="23"/>
      </w:r>
      <w:r>
        <w:rPr>
          <w:rFonts w:ascii="Times New Roman" w:hAnsi="Times New Roman" w:cs="Times New Roman"/>
          <w:lang w:val="en-GB"/>
        </w:rPr>
        <w:t xml:space="preserve"> </w:t>
      </w:r>
      <w:r w:rsidRPr="00766353">
        <w:rPr>
          <w:rFonts w:ascii="Times New Roman" w:hAnsi="Times New Roman" w:cs="Times New Roman"/>
          <w:lang w:val="en-GB"/>
        </w:rPr>
        <w:t>It has been observed that in the last decade there has been a “rebranding of global anti-t</w:t>
      </w:r>
      <w:r>
        <w:rPr>
          <w:rFonts w:ascii="Times New Roman" w:hAnsi="Times New Roman" w:cs="Times New Roman"/>
          <w:lang w:val="en-GB"/>
        </w:rPr>
        <w:t>rafficking” as ‘modern slavery’</w:t>
      </w:r>
      <w:r w:rsidRPr="00766353">
        <w:rPr>
          <w:rFonts w:ascii="Times New Roman" w:hAnsi="Times New Roman" w:cs="Times New Roman"/>
          <w:lang w:val="en-GB"/>
        </w:rPr>
        <w:t xml:space="preserve"> in </w:t>
      </w:r>
      <w:r>
        <w:rPr>
          <w:rFonts w:ascii="Times New Roman" w:hAnsi="Times New Roman" w:cs="Times New Roman"/>
          <w:lang w:val="en-GB"/>
        </w:rPr>
        <w:t>legal and academic discourse.</w:t>
      </w:r>
      <w:r>
        <w:rPr>
          <w:rStyle w:val="FootnoteReference"/>
          <w:rFonts w:ascii="Times New Roman" w:hAnsi="Times New Roman" w:cs="Times New Roman"/>
          <w:lang w:val="en-GB"/>
        </w:rPr>
        <w:footnoteReference w:id="24"/>
      </w:r>
      <w:r>
        <w:rPr>
          <w:rFonts w:ascii="Times New Roman" w:hAnsi="Times New Roman" w:cs="Times New Roman"/>
          <w:lang w:val="en-GB"/>
        </w:rPr>
        <w:t xml:space="preserve"> The NCA annual reports on the NRM make no explicit reference to what percentage of victims have or have not been subjected to human trafficking, the reports only group victims via form of exploitation.</w:t>
      </w:r>
    </w:p>
    <w:p w14:paraId="32D6251C" w14:textId="77777777" w:rsidR="00122DAB" w:rsidRPr="00B94BC3" w:rsidRDefault="00122DAB" w:rsidP="00122DAB">
      <w:pPr>
        <w:spacing w:line="276" w:lineRule="auto"/>
        <w:jc w:val="both"/>
        <w:rPr>
          <w:rFonts w:ascii="Times New Roman" w:hAnsi="Times New Roman" w:cs="Times New Roman"/>
          <w:lang w:val="en-GB"/>
        </w:rPr>
      </w:pPr>
    </w:p>
    <w:p w14:paraId="5C5A7F42" w14:textId="65697E83" w:rsidR="00122DAB" w:rsidRDefault="00122DAB" w:rsidP="00122DAB">
      <w:pPr>
        <w:spacing w:line="276" w:lineRule="auto"/>
        <w:jc w:val="both"/>
        <w:rPr>
          <w:rFonts w:ascii="Times New Roman" w:hAnsi="Times New Roman" w:cs="Times New Roman"/>
          <w:lang w:val="en-GB"/>
        </w:rPr>
      </w:pPr>
      <w:r w:rsidRPr="00B94BC3">
        <w:rPr>
          <w:rFonts w:ascii="Times New Roman" w:hAnsi="Times New Roman" w:cs="Times New Roman"/>
          <w:lang w:val="en-GB"/>
        </w:rPr>
        <w:t>The UK’s NRM operates on a three-tier model. At the initial level are the first responders. These include local authorities, enforcement agencies, and NGOs who have the power to make an initial referral to a competent authority. Th</w:t>
      </w:r>
      <w:r>
        <w:rPr>
          <w:rFonts w:ascii="Times New Roman" w:hAnsi="Times New Roman" w:cs="Times New Roman"/>
          <w:lang w:val="en-GB"/>
        </w:rPr>
        <w:t>ese authorities constitute</w:t>
      </w:r>
      <w:r w:rsidRPr="00B94BC3">
        <w:rPr>
          <w:rFonts w:ascii="Times New Roman" w:hAnsi="Times New Roman" w:cs="Times New Roman"/>
          <w:lang w:val="en-GB"/>
        </w:rPr>
        <w:t xml:space="preserve"> the second tier; there are two bodies in the UK with competent authority status, the UK Human Trafficking Centre (UKHTC) and the </w:t>
      </w:r>
      <w:r>
        <w:rPr>
          <w:rFonts w:ascii="Times New Roman" w:hAnsi="Times New Roman" w:cs="Times New Roman"/>
          <w:lang w:val="en-GB"/>
        </w:rPr>
        <w:t>UK Visas and Immigration (</w:t>
      </w:r>
      <w:r w:rsidRPr="00B94BC3">
        <w:rPr>
          <w:rFonts w:ascii="Times New Roman" w:hAnsi="Times New Roman" w:cs="Times New Roman"/>
          <w:lang w:val="en-GB"/>
        </w:rPr>
        <w:t>UKVI</w:t>
      </w:r>
      <w:r>
        <w:rPr>
          <w:rFonts w:ascii="Times New Roman" w:hAnsi="Times New Roman" w:cs="Times New Roman"/>
          <w:lang w:val="en-GB"/>
        </w:rPr>
        <w:t>)</w:t>
      </w:r>
      <w:r w:rsidRPr="00B94BC3">
        <w:rPr>
          <w:rFonts w:ascii="Times New Roman" w:hAnsi="Times New Roman" w:cs="Times New Roman"/>
          <w:lang w:val="en-GB"/>
        </w:rPr>
        <w:t xml:space="preserve">, a Home Office agency with responsibility for considering immigration applications. It falls to the competent authority to determine whether there are reasonable grounds to consider a person a victim of trafficking. If an individual receives a positive decision, they are then accommodated for a reflection and recovery period of </w:t>
      </w:r>
      <w:r>
        <w:rPr>
          <w:rFonts w:ascii="Times New Roman" w:hAnsi="Times New Roman" w:cs="Times New Roman"/>
          <w:lang w:val="en-GB"/>
        </w:rPr>
        <w:t>forty-five</w:t>
      </w:r>
      <w:r w:rsidRPr="00B94BC3">
        <w:rPr>
          <w:rFonts w:ascii="Times New Roman" w:hAnsi="Times New Roman" w:cs="Times New Roman"/>
          <w:lang w:val="en-GB"/>
        </w:rPr>
        <w:t xml:space="preserve"> days. At the end of this period, stage three, a conclusive decision is made about an individual's status. When a decision has been made, in the instance </w:t>
      </w:r>
      <w:r w:rsidRPr="00B94BC3">
        <w:rPr>
          <w:rFonts w:ascii="Times New Roman" w:hAnsi="Times New Roman" w:cs="Times New Roman"/>
          <w:lang w:val="en-GB"/>
        </w:rPr>
        <w:lastRenderedPageBreak/>
        <w:t xml:space="preserve">of a negative decision an adult has </w:t>
      </w:r>
      <w:r>
        <w:rPr>
          <w:rFonts w:ascii="Times New Roman" w:hAnsi="Times New Roman" w:cs="Times New Roman"/>
          <w:lang w:val="en-GB"/>
        </w:rPr>
        <w:t>forty-eight</w:t>
      </w:r>
      <w:r w:rsidRPr="00B94BC3">
        <w:rPr>
          <w:rFonts w:ascii="Times New Roman" w:hAnsi="Times New Roman" w:cs="Times New Roman"/>
          <w:lang w:val="en-GB"/>
        </w:rPr>
        <w:t xml:space="preserve"> hours to leave the accommodation provided for them. Initially in the case of a positive decision</w:t>
      </w:r>
      <w:r>
        <w:rPr>
          <w:rFonts w:ascii="Times New Roman" w:hAnsi="Times New Roman" w:cs="Times New Roman"/>
          <w:lang w:val="en-GB"/>
        </w:rPr>
        <w:t>,</w:t>
      </w:r>
      <w:r w:rsidRPr="00B94BC3">
        <w:rPr>
          <w:rFonts w:ascii="Times New Roman" w:hAnsi="Times New Roman" w:cs="Times New Roman"/>
          <w:lang w:val="en-GB"/>
        </w:rPr>
        <w:t xml:space="preserve"> the victim would be provided </w:t>
      </w:r>
      <w:r>
        <w:rPr>
          <w:rFonts w:ascii="Times New Roman" w:hAnsi="Times New Roman" w:cs="Times New Roman"/>
          <w:lang w:val="en-GB"/>
        </w:rPr>
        <w:t>fourteen</w:t>
      </w:r>
      <w:r w:rsidRPr="00B94BC3">
        <w:rPr>
          <w:rFonts w:ascii="Times New Roman" w:hAnsi="Times New Roman" w:cs="Times New Roman"/>
          <w:lang w:val="en-GB"/>
        </w:rPr>
        <w:t xml:space="preserve"> days additional support.  </w:t>
      </w:r>
      <w:r>
        <w:rPr>
          <w:rFonts w:ascii="Times New Roman" w:hAnsi="Times New Roman" w:cs="Times New Roman"/>
          <w:lang w:val="en-GB"/>
        </w:rPr>
        <w:t>In October 2017 it was announcement by Sarah Newton (Parliamentary Under-Secretary</w:t>
      </w:r>
      <w:r w:rsidR="008F1244">
        <w:rPr>
          <w:rFonts w:ascii="Times New Roman" w:hAnsi="Times New Roman" w:cs="Times New Roman"/>
          <w:lang w:val="en-GB"/>
        </w:rPr>
        <w:t xml:space="preserve"> for the Home Department) that t</w:t>
      </w:r>
      <w:r w:rsidRPr="00B94BC3">
        <w:rPr>
          <w:rFonts w:ascii="Times New Roman" w:hAnsi="Times New Roman" w:cs="Times New Roman"/>
          <w:lang w:val="en-GB"/>
        </w:rPr>
        <w:t>his window of support has now been extended</w:t>
      </w:r>
      <w:r>
        <w:rPr>
          <w:rFonts w:ascii="Times New Roman" w:hAnsi="Times New Roman" w:cs="Times New Roman"/>
          <w:lang w:val="en-GB"/>
        </w:rPr>
        <w:t xml:space="preserve"> </w:t>
      </w:r>
      <w:r w:rsidRPr="00B94BC3">
        <w:rPr>
          <w:rFonts w:ascii="Times New Roman" w:hAnsi="Times New Roman" w:cs="Times New Roman"/>
          <w:lang w:val="en-GB"/>
        </w:rPr>
        <w:t xml:space="preserve">to </w:t>
      </w:r>
      <w:r>
        <w:rPr>
          <w:rFonts w:ascii="Times New Roman" w:hAnsi="Times New Roman" w:cs="Times New Roman"/>
          <w:lang w:val="en-GB"/>
        </w:rPr>
        <w:t>forty-five days.</w:t>
      </w:r>
      <w:r w:rsidRPr="00134DC4">
        <w:rPr>
          <w:rStyle w:val="FootnoteReference"/>
          <w:rFonts w:ascii="Times New Roman" w:hAnsi="Times New Roman" w:cs="Times New Roman"/>
          <w:lang w:val="en-GB"/>
        </w:rPr>
        <w:t xml:space="preserve"> </w:t>
      </w:r>
      <w:r>
        <w:rPr>
          <w:rStyle w:val="FootnoteReference"/>
          <w:rFonts w:ascii="Times New Roman" w:hAnsi="Times New Roman" w:cs="Times New Roman"/>
          <w:lang w:val="en-GB"/>
        </w:rPr>
        <w:footnoteReference w:id="25"/>
      </w:r>
      <w:r w:rsidRPr="00B94BC3">
        <w:rPr>
          <w:rFonts w:ascii="Times New Roman" w:hAnsi="Times New Roman" w:cs="Times New Roman"/>
          <w:lang w:val="en-GB"/>
        </w:rPr>
        <w:t xml:space="preserve"> </w:t>
      </w:r>
      <w:r>
        <w:rPr>
          <w:rFonts w:ascii="Times New Roman" w:hAnsi="Times New Roman" w:cs="Times New Roman"/>
          <w:lang w:val="en-GB"/>
        </w:rPr>
        <w:t>This means</w:t>
      </w:r>
      <w:r w:rsidRPr="00B94BC3">
        <w:rPr>
          <w:rFonts w:ascii="Times New Roman" w:hAnsi="Times New Roman" w:cs="Times New Roman"/>
          <w:lang w:val="en-GB"/>
        </w:rPr>
        <w:t xml:space="preserve"> that</w:t>
      </w:r>
      <w:r>
        <w:rPr>
          <w:rFonts w:ascii="Times New Roman" w:hAnsi="Times New Roman" w:cs="Times New Roman"/>
          <w:lang w:val="en-GB"/>
        </w:rPr>
        <w:t xml:space="preserve"> in total in the instance of a </w:t>
      </w:r>
      <w:r w:rsidRPr="00B94BC3">
        <w:rPr>
          <w:rFonts w:ascii="Times New Roman" w:hAnsi="Times New Roman" w:cs="Times New Roman"/>
          <w:lang w:val="en-GB"/>
        </w:rPr>
        <w:t xml:space="preserve">positive conclusive grounds decision a victim has access to at least </w:t>
      </w:r>
      <w:r>
        <w:rPr>
          <w:rFonts w:ascii="Times New Roman" w:hAnsi="Times New Roman" w:cs="Times New Roman"/>
          <w:lang w:val="en-GB"/>
        </w:rPr>
        <w:t>ninety</w:t>
      </w:r>
      <w:r w:rsidRPr="00B94BC3">
        <w:rPr>
          <w:rFonts w:ascii="Times New Roman" w:hAnsi="Times New Roman" w:cs="Times New Roman"/>
          <w:lang w:val="en-GB"/>
        </w:rPr>
        <w:t xml:space="preserve"> days of support. Data published by the National Crime Agency in June 2017 shows that of the 3,804 victims referred into the NRM in 2016, </w:t>
      </w:r>
      <w:r>
        <w:rPr>
          <w:rFonts w:ascii="Times New Roman" w:hAnsi="Times New Roman" w:cs="Times New Roman"/>
          <w:lang w:val="en-GB"/>
        </w:rPr>
        <w:t>24% (</w:t>
      </w:r>
      <w:r w:rsidRPr="00B94BC3">
        <w:rPr>
          <w:rFonts w:ascii="Times New Roman" w:hAnsi="Times New Roman" w:cs="Times New Roman"/>
          <w:lang w:val="en-GB"/>
        </w:rPr>
        <w:t>907</w:t>
      </w:r>
      <w:r>
        <w:rPr>
          <w:rFonts w:ascii="Times New Roman" w:hAnsi="Times New Roman" w:cs="Times New Roman"/>
          <w:lang w:val="en-GB"/>
        </w:rPr>
        <w:t>) h</w:t>
      </w:r>
      <w:r w:rsidRPr="00B94BC3">
        <w:rPr>
          <w:rFonts w:ascii="Times New Roman" w:hAnsi="Times New Roman" w:cs="Times New Roman"/>
          <w:lang w:val="en-GB"/>
        </w:rPr>
        <w:t>ad received a positive conclusive grounds decision.</w:t>
      </w:r>
      <w:r w:rsidRPr="00B94BC3">
        <w:rPr>
          <w:rStyle w:val="FootnoteReference"/>
          <w:rFonts w:ascii="Times New Roman" w:hAnsi="Times New Roman" w:cs="Times New Roman"/>
          <w:lang w:val="en-GB"/>
        </w:rPr>
        <w:footnoteReference w:id="26"/>
      </w:r>
      <w:r w:rsidRPr="00B94BC3">
        <w:rPr>
          <w:rFonts w:ascii="Times New Roman" w:hAnsi="Times New Roman" w:cs="Times New Roman"/>
          <w:lang w:val="en-GB"/>
        </w:rPr>
        <w:t xml:space="preserve"> The NRM</w:t>
      </w:r>
      <w:r>
        <w:rPr>
          <w:rFonts w:ascii="Times New Roman" w:hAnsi="Times New Roman" w:cs="Times New Roman"/>
          <w:lang w:val="en-GB"/>
        </w:rPr>
        <w:t>, therefore,</w:t>
      </w:r>
      <w:r w:rsidRPr="00B94BC3">
        <w:rPr>
          <w:rFonts w:ascii="Times New Roman" w:hAnsi="Times New Roman" w:cs="Times New Roman"/>
          <w:lang w:val="en-GB"/>
        </w:rPr>
        <w:t xml:space="preserve"> has been described as a system, which “finds victims of modern day slavery, only to abandon them.”</w:t>
      </w:r>
      <w:r w:rsidRPr="00B94BC3">
        <w:rPr>
          <w:rStyle w:val="FootnoteReference"/>
          <w:rFonts w:ascii="Times New Roman" w:hAnsi="Times New Roman" w:cs="Times New Roman"/>
          <w:lang w:val="en-GB"/>
        </w:rPr>
        <w:footnoteReference w:id="27"/>
      </w:r>
      <w:r w:rsidRPr="00B94BC3">
        <w:rPr>
          <w:rFonts w:ascii="Times New Roman" w:hAnsi="Times New Roman" w:cs="Times New Roman"/>
          <w:lang w:val="en-GB"/>
        </w:rPr>
        <w:t xml:space="preserve"> </w:t>
      </w:r>
      <w:r>
        <w:rPr>
          <w:rFonts w:ascii="Times New Roman" w:hAnsi="Times New Roman" w:cs="Times New Roman"/>
          <w:lang w:val="en-GB"/>
        </w:rPr>
        <w:t>Thus t</w:t>
      </w:r>
      <w:r w:rsidRPr="00B94BC3">
        <w:rPr>
          <w:rFonts w:ascii="Times New Roman" w:hAnsi="Times New Roman" w:cs="Times New Roman"/>
          <w:lang w:val="en-GB"/>
        </w:rPr>
        <w:t>his figure therefore, represents 907 individuals who have been proven to be victims of exploitation, who are then left adrift – possibly in relation to insecure immigration status – when their time in the safe house ends.</w:t>
      </w:r>
    </w:p>
    <w:p w14:paraId="16D0E9E2" w14:textId="77777777" w:rsidR="00122DAB" w:rsidRPr="00B94BC3" w:rsidRDefault="00122DAB" w:rsidP="00122DAB">
      <w:pPr>
        <w:spacing w:line="276" w:lineRule="auto"/>
        <w:jc w:val="both"/>
        <w:rPr>
          <w:rFonts w:ascii="Times New Roman" w:hAnsi="Times New Roman" w:cs="Times New Roman"/>
          <w:lang w:val="en-GB"/>
        </w:rPr>
      </w:pPr>
    </w:p>
    <w:p w14:paraId="67A953F2" w14:textId="77777777" w:rsidR="00122DAB" w:rsidRPr="00B94BC3" w:rsidRDefault="00122DAB" w:rsidP="00122DAB">
      <w:pPr>
        <w:spacing w:line="276" w:lineRule="auto"/>
        <w:jc w:val="both"/>
        <w:rPr>
          <w:rFonts w:ascii="Times New Roman" w:hAnsi="Times New Roman" w:cs="Times New Roman"/>
          <w:lang w:val="en-GB"/>
        </w:rPr>
      </w:pPr>
    </w:p>
    <w:p w14:paraId="66066ABD" w14:textId="77777777" w:rsidR="00122DAB" w:rsidRPr="00B94BC3" w:rsidRDefault="00122DAB" w:rsidP="00122DAB">
      <w:pPr>
        <w:spacing w:line="276" w:lineRule="auto"/>
        <w:jc w:val="both"/>
        <w:rPr>
          <w:rFonts w:ascii="Times New Roman" w:hAnsi="Times New Roman" w:cs="Times New Roman"/>
          <w:u w:val="single"/>
          <w:lang w:val="en-GB"/>
        </w:rPr>
      </w:pPr>
      <w:r w:rsidRPr="00D0684C">
        <w:rPr>
          <w:rFonts w:ascii="Times New Roman" w:hAnsi="Times New Roman" w:cs="Times New Roman"/>
          <w:b/>
          <w:u w:val="single"/>
          <w:lang w:val="en-GB"/>
        </w:rPr>
        <w:t>Navigating the Maze of Immigration Status: Accessing Discretionary Leave to Remain</w:t>
      </w:r>
    </w:p>
    <w:p w14:paraId="1F39D038" w14:textId="77777777" w:rsidR="00122DAB" w:rsidRPr="00B94BC3" w:rsidRDefault="00122DAB" w:rsidP="00122DAB">
      <w:pPr>
        <w:spacing w:line="276" w:lineRule="auto"/>
        <w:jc w:val="both"/>
        <w:rPr>
          <w:rFonts w:ascii="Times New Roman" w:hAnsi="Times New Roman" w:cs="Times New Roman"/>
          <w:lang w:val="en-GB"/>
        </w:rPr>
      </w:pPr>
    </w:p>
    <w:p w14:paraId="07F5BBFB" w14:textId="77777777" w:rsidR="00122DAB" w:rsidRPr="00B94BC3" w:rsidRDefault="00122DAB" w:rsidP="00122DAB">
      <w:pPr>
        <w:spacing w:line="276" w:lineRule="auto"/>
        <w:jc w:val="both"/>
        <w:rPr>
          <w:rFonts w:ascii="Times New Roman" w:hAnsi="Times New Roman" w:cs="Times New Roman"/>
          <w:lang w:val="en-GB"/>
        </w:rPr>
      </w:pPr>
      <w:r w:rsidRPr="00B94BC3">
        <w:rPr>
          <w:rFonts w:ascii="Times New Roman" w:hAnsi="Times New Roman" w:cs="Times New Roman"/>
          <w:lang w:val="en-GB"/>
        </w:rPr>
        <w:t xml:space="preserve">For </w:t>
      </w:r>
      <w:r>
        <w:rPr>
          <w:rFonts w:ascii="Times New Roman" w:hAnsi="Times New Roman" w:cs="Times New Roman"/>
          <w:lang w:val="en-GB"/>
        </w:rPr>
        <w:t xml:space="preserve">victims in the UK </w:t>
      </w:r>
      <w:r w:rsidRPr="00B94BC3">
        <w:rPr>
          <w:rFonts w:ascii="Times New Roman" w:hAnsi="Times New Roman" w:cs="Times New Roman"/>
          <w:lang w:val="en-GB"/>
        </w:rPr>
        <w:t>the granting of a positive conclusive grounds decision does not represent a complete solution</w:t>
      </w:r>
      <w:r>
        <w:rPr>
          <w:rFonts w:ascii="Times New Roman" w:hAnsi="Times New Roman" w:cs="Times New Roman"/>
          <w:lang w:val="en-GB"/>
        </w:rPr>
        <w:t>.</w:t>
      </w:r>
      <w:r w:rsidRPr="00B94BC3">
        <w:rPr>
          <w:rFonts w:ascii="Times New Roman" w:hAnsi="Times New Roman" w:cs="Times New Roman"/>
          <w:lang w:val="en-GB"/>
        </w:rPr>
        <w:t xml:space="preserve"> </w:t>
      </w:r>
      <w:r>
        <w:rPr>
          <w:rFonts w:ascii="Times New Roman" w:hAnsi="Times New Roman" w:cs="Times New Roman"/>
          <w:lang w:val="en-GB"/>
        </w:rPr>
        <w:t>I</w:t>
      </w:r>
      <w:r w:rsidRPr="00B94BC3">
        <w:rPr>
          <w:rFonts w:ascii="Times New Roman" w:hAnsi="Times New Roman" w:cs="Times New Roman"/>
          <w:lang w:val="en-GB"/>
        </w:rPr>
        <w:t>n reality</w:t>
      </w:r>
      <w:r>
        <w:rPr>
          <w:rFonts w:ascii="Times New Roman" w:hAnsi="Times New Roman" w:cs="Times New Roman"/>
          <w:lang w:val="en-GB"/>
        </w:rPr>
        <w:t>,</w:t>
      </w:r>
      <w:r w:rsidRPr="00B94BC3">
        <w:rPr>
          <w:rFonts w:ascii="Times New Roman" w:hAnsi="Times New Roman" w:cs="Times New Roman"/>
          <w:lang w:val="en-GB"/>
        </w:rPr>
        <w:t xml:space="preserve"> life after a safe house remains perilous, and a significant barrier to stability concerns the provision of leave to remain.</w:t>
      </w:r>
      <w:r w:rsidRPr="00B94BC3">
        <w:rPr>
          <w:rStyle w:val="FootnoteReference"/>
          <w:rFonts w:ascii="Times New Roman" w:hAnsi="Times New Roman" w:cs="Times New Roman"/>
          <w:lang w:val="en-GB"/>
        </w:rPr>
        <w:footnoteReference w:id="28"/>
      </w:r>
      <w:r w:rsidRPr="00B94BC3">
        <w:rPr>
          <w:rFonts w:ascii="Times New Roman" w:hAnsi="Times New Roman" w:cs="Times New Roman"/>
          <w:lang w:val="en-GB"/>
        </w:rPr>
        <w:t xml:space="preserve"> The current system in the UK presents a problem whereby recognition as a victim of exploitation carries no immediate right to remain and therefore no simple point of access to protection and support. </w:t>
      </w:r>
    </w:p>
    <w:p w14:paraId="7939322B" w14:textId="77777777" w:rsidR="00122DAB" w:rsidRPr="00B94BC3" w:rsidRDefault="00122DAB" w:rsidP="00122DAB">
      <w:pPr>
        <w:spacing w:line="276" w:lineRule="auto"/>
        <w:jc w:val="both"/>
        <w:rPr>
          <w:rFonts w:ascii="Times New Roman" w:hAnsi="Times New Roman" w:cs="Times New Roman"/>
          <w:i/>
          <w:lang w:val="en-GB"/>
        </w:rPr>
      </w:pPr>
    </w:p>
    <w:p w14:paraId="22469F59" w14:textId="77777777" w:rsidR="00122DAB" w:rsidRPr="00B94BC3" w:rsidRDefault="00122DAB" w:rsidP="00122DAB">
      <w:pPr>
        <w:spacing w:line="276" w:lineRule="auto"/>
        <w:jc w:val="both"/>
        <w:rPr>
          <w:rFonts w:ascii="Times New Roman" w:hAnsi="Times New Roman" w:cs="Times New Roman"/>
          <w:i/>
          <w:lang w:val="en-GB"/>
        </w:rPr>
      </w:pPr>
      <w:r w:rsidRPr="00B94BC3">
        <w:rPr>
          <w:rFonts w:ascii="Times New Roman" w:hAnsi="Times New Roman" w:cs="Times New Roman"/>
          <w:i/>
          <w:lang w:val="en-GB"/>
        </w:rPr>
        <w:t>Discretionary Leave to Remain</w:t>
      </w:r>
    </w:p>
    <w:p w14:paraId="0A5BD966" w14:textId="77777777" w:rsidR="00122DAB" w:rsidRPr="00B94BC3" w:rsidRDefault="00122DAB" w:rsidP="00122DAB">
      <w:pPr>
        <w:spacing w:line="276" w:lineRule="auto"/>
        <w:jc w:val="both"/>
        <w:rPr>
          <w:rFonts w:ascii="Times New Roman" w:hAnsi="Times New Roman" w:cs="Times New Roman"/>
          <w:i/>
          <w:lang w:val="en-GB"/>
        </w:rPr>
      </w:pPr>
    </w:p>
    <w:p w14:paraId="00AFDD26" w14:textId="77777777" w:rsidR="00122DAB" w:rsidRPr="000A4058" w:rsidRDefault="00122DAB" w:rsidP="00122DAB">
      <w:pPr>
        <w:spacing w:line="276" w:lineRule="auto"/>
        <w:jc w:val="both"/>
        <w:rPr>
          <w:rFonts w:ascii="Times New Roman" w:hAnsi="Times New Roman" w:cs="Times New Roman"/>
          <w:lang w:val="en-GB"/>
        </w:rPr>
      </w:pPr>
      <w:r w:rsidRPr="00B94BC3">
        <w:rPr>
          <w:rFonts w:ascii="Times New Roman" w:hAnsi="Times New Roman" w:cs="Times New Roman"/>
          <w:lang w:val="en-GB"/>
        </w:rPr>
        <w:t xml:space="preserve">There is no specific provision under the </w:t>
      </w:r>
      <w:r>
        <w:rPr>
          <w:rFonts w:ascii="Times New Roman" w:hAnsi="Times New Roman" w:cs="Times New Roman"/>
          <w:lang w:val="en-GB"/>
        </w:rPr>
        <w:t xml:space="preserve">UK </w:t>
      </w:r>
      <w:r w:rsidRPr="00B94BC3">
        <w:rPr>
          <w:rFonts w:ascii="Times New Roman" w:hAnsi="Times New Roman" w:cs="Times New Roman"/>
          <w:lang w:val="en-GB"/>
        </w:rPr>
        <w:t>Immigration Rules relating to the granting of leave on the basis of ‘modern slavery’.</w:t>
      </w:r>
      <w:r>
        <w:rPr>
          <w:rStyle w:val="FootnoteReference"/>
          <w:rFonts w:ascii="Times New Roman" w:hAnsi="Times New Roman" w:cs="Times New Roman"/>
          <w:lang w:val="en-GB"/>
        </w:rPr>
        <w:footnoteReference w:id="29"/>
      </w:r>
      <w:r w:rsidRPr="00B94BC3">
        <w:rPr>
          <w:rFonts w:ascii="Times New Roman" w:hAnsi="Times New Roman" w:cs="Times New Roman"/>
          <w:lang w:val="en-GB"/>
        </w:rPr>
        <w:t xml:space="preserve"> The High Court provided clarity on the issue of discretionary leave in</w:t>
      </w:r>
      <w:r w:rsidRPr="00B94BC3">
        <w:rPr>
          <w:rFonts w:ascii="Times New Roman" w:hAnsi="Times New Roman" w:cs="Times New Roman"/>
          <w:i/>
          <w:lang w:val="en-GB"/>
        </w:rPr>
        <w:t xml:space="preserve"> </w:t>
      </w:r>
      <w:r w:rsidRPr="000A4058">
        <w:rPr>
          <w:rFonts w:ascii="Times New Roman" w:hAnsi="Times New Roman" w:cs="Times New Roman"/>
          <w:i/>
          <w:lang w:val="en-GB"/>
        </w:rPr>
        <w:t>R (On the Application Of K) v Secretary of State for the Home Department</w:t>
      </w:r>
      <w:r w:rsidRPr="000A4058">
        <w:rPr>
          <w:rFonts w:ascii="Times New Roman" w:hAnsi="Times New Roman" w:cs="Times New Roman"/>
          <w:lang w:val="en-GB"/>
        </w:rPr>
        <w:t>.</w:t>
      </w:r>
      <w:r w:rsidRPr="000A4058">
        <w:rPr>
          <w:rStyle w:val="FootnoteReference"/>
          <w:rFonts w:ascii="Times New Roman" w:hAnsi="Times New Roman" w:cs="Times New Roman"/>
          <w:i/>
          <w:lang w:val="en-GB"/>
        </w:rPr>
        <w:footnoteReference w:id="30"/>
      </w:r>
    </w:p>
    <w:p w14:paraId="75C3AC08" w14:textId="77777777" w:rsidR="00122DAB" w:rsidRPr="00B94BC3" w:rsidRDefault="00122DAB" w:rsidP="00122DAB">
      <w:pPr>
        <w:spacing w:line="276" w:lineRule="auto"/>
        <w:jc w:val="both"/>
        <w:rPr>
          <w:rFonts w:ascii="Times New Roman" w:hAnsi="Times New Roman" w:cs="Times New Roman"/>
          <w:lang w:val="en-GB"/>
        </w:rPr>
      </w:pPr>
    </w:p>
    <w:p w14:paraId="6EAB95B5" w14:textId="77777777" w:rsidR="00122DAB" w:rsidRPr="00D0684C" w:rsidRDefault="00122DAB" w:rsidP="00122DAB">
      <w:pPr>
        <w:spacing w:line="276" w:lineRule="auto"/>
        <w:ind w:left="720"/>
        <w:jc w:val="both"/>
        <w:rPr>
          <w:rFonts w:ascii="Times New Roman" w:eastAsia="Times New Roman" w:hAnsi="Times New Roman" w:cs="Times New Roman"/>
          <w:iCs/>
          <w:color w:val="000000" w:themeColor="text1"/>
          <w:shd w:val="clear" w:color="auto" w:fill="FFFFFF"/>
          <w:lang w:val="en-GB"/>
        </w:rPr>
      </w:pPr>
      <w:r>
        <w:rPr>
          <w:rFonts w:ascii="Times New Roman" w:eastAsia="Times New Roman" w:hAnsi="Times New Roman" w:cs="Times New Roman"/>
          <w:iCs/>
          <w:color w:val="000000" w:themeColor="text1"/>
          <w:shd w:val="clear" w:color="auto" w:fill="FFFFFF"/>
          <w:lang w:val="en-GB"/>
        </w:rPr>
        <w:t>‘</w:t>
      </w:r>
      <w:r w:rsidRPr="00D0684C">
        <w:rPr>
          <w:rFonts w:ascii="Times New Roman" w:eastAsia="Times New Roman" w:hAnsi="Times New Roman" w:cs="Times New Roman"/>
          <w:iCs/>
          <w:color w:val="000000" w:themeColor="text1"/>
          <w:shd w:val="clear" w:color="auto" w:fill="FFFFFF"/>
          <w:lang w:val="en-GB"/>
        </w:rPr>
        <w:t>With conclusive status, there is no automatic grant of discretionary leave for one year and one day, although this may be granted if the individual is co-operating with the Police or owing to their personal circumstances (under Article 14 of the Trafficking Convention). Leave to remain as a victim is without prejudice to any other entitlement to leave as a refugee (a category of immigration leave).</w:t>
      </w:r>
      <w:r>
        <w:rPr>
          <w:rFonts w:ascii="Times New Roman" w:eastAsia="Times New Roman" w:hAnsi="Times New Roman" w:cs="Times New Roman"/>
          <w:iCs/>
          <w:color w:val="000000" w:themeColor="text1"/>
          <w:shd w:val="clear" w:color="auto" w:fill="FFFFFF"/>
          <w:lang w:val="en-GB"/>
        </w:rPr>
        <w:t>’</w:t>
      </w:r>
      <w:r w:rsidRPr="00D0684C">
        <w:rPr>
          <w:rStyle w:val="FootnoteReference"/>
          <w:rFonts w:ascii="Times New Roman" w:eastAsia="Times New Roman" w:hAnsi="Times New Roman" w:cs="Times New Roman"/>
          <w:iCs/>
          <w:color w:val="000000" w:themeColor="text1"/>
          <w:shd w:val="clear" w:color="auto" w:fill="FFFFFF"/>
          <w:lang w:val="en-GB"/>
        </w:rPr>
        <w:footnoteReference w:id="31"/>
      </w:r>
    </w:p>
    <w:p w14:paraId="479B2E39" w14:textId="77777777" w:rsidR="00122DAB" w:rsidRPr="00B94BC3" w:rsidRDefault="00122DAB" w:rsidP="00122DAB">
      <w:pPr>
        <w:spacing w:line="276" w:lineRule="auto"/>
        <w:jc w:val="both"/>
        <w:rPr>
          <w:rFonts w:ascii="Times New Roman" w:hAnsi="Times New Roman" w:cs="Times New Roman"/>
          <w:lang w:val="en-GB"/>
        </w:rPr>
      </w:pPr>
    </w:p>
    <w:p w14:paraId="27492915" w14:textId="2747EBFE" w:rsidR="00122DAB" w:rsidRPr="00B94BC3" w:rsidRDefault="00122DAB" w:rsidP="00122DAB">
      <w:pPr>
        <w:spacing w:line="276" w:lineRule="auto"/>
        <w:jc w:val="both"/>
        <w:rPr>
          <w:rFonts w:ascii="Times New Roman" w:hAnsi="Times New Roman" w:cs="Times New Roman"/>
          <w:lang w:val="en-GB"/>
        </w:rPr>
      </w:pPr>
      <w:r w:rsidRPr="00B94BC3">
        <w:rPr>
          <w:rFonts w:ascii="Times New Roman" w:hAnsi="Times New Roman" w:cs="Times New Roman"/>
          <w:lang w:val="en-GB"/>
        </w:rPr>
        <w:t xml:space="preserve">Thus, while there is no automatic grant of discretionary leave, there exists a narrow set of grounds on which leave can be granted. In line with the circumstances discussed in </w:t>
      </w:r>
      <w:r w:rsidRPr="00B94BC3">
        <w:rPr>
          <w:rFonts w:ascii="Times New Roman" w:hAnsi="Times New Roman" w:cs="Times New Roman"/>
          <w:i/>
          <w:lang w:val="en-GB"/>
        </w:rPr>
        <w:t xml:space="preserve">R v </w:t>
      </w:r>
      <w:r w:rsidRPr="00B94BC3">
        <w:rPr>
          <w:rFonts w:ascii="Times New Roman" w:hAnsi="Times New Roman" w:cs="Times New Roman"/>
          <w:i/>
          <w:lang w:val="en-GB"/>
        </w:rPr>
        <w:lastRenderedPageBreak/>
        <w:t>Secretary of State for the Home Department</w:t>
      </w:r>
      <w:r w:rsidRPr="00B94BC3">
        <w:rPr>
          <w:rFonts w:ascii="Times New Roman" w:hAnsi="Times New Roman" w:cs="Times New Roman"/>
          <w:lang w:val="en-GB"/>
        </w:rPr>
        <w:t xml:space="preserve">, the advice provided to </w:t>
      </w:r>
      <w:r>
        <w:rPr>
          <w:rFonts w:ascii="Times New Roman" w:hAnsi="Times New Roman" w:cs="Times New Roman"/>
          <w:lang w:val="en-GB"/>
        </w:rPr>
        <w:t xml:space="preserve">the </w:t>
      </w:r>
      <w:r w:rsidRPr="00B94BC3">
        <w:rPr>
          <w:rFonts w:ascii="Times New Roman" w:hAnsi="Times New Roman" w:cs="Times New Roman"/>
          <w:lang w:val="en-GB"/>
        </w:rPr>
        <w:t>Competent Authorities in 2016 outlines three grounds on which discretionary leave to remain may be granted.</w:t>
      </w:r>
      <w:r w:rsidRPr="00B94BC3">
        <w:rPr>
          <w:rStyle w:val="FootnoteReference"/>
          <w:rFonts w:ascii="Times New Roman" w:hAnsi="Times New Roman" w:cs="Times New Roman"/>
          <w:lang w:val="en-GB"/>
        </w:rPr>
        <w:footnoteReference w:id="32"/>
      </w:r>
      <w:r w:rsidRPr="00B94BC3">
        <w:rPr>
          <w:rFonts w:ascii="Times New Roman" w:hAnsi="Times New Roman" w:cs="Times New Roman"/>
          <w:lang w:val="en-GB"/>
        </w:rPr>
        <w:t xml:space="preserve"> The first ground is the pursuit of compensation against traffickers. In accordance with the Council of Europe Convention, those who possess a positive conclusive grounds decision must have access and support to</w:t>
      </w:r>
      <w:r>
        <w:rPr>
          <w:rFonts w:ascii="Times New Roman" w:hAnsi="Times New Roman" w:cs="Times New Roman"/>
          <w:lang w:val="en-GB"/>
        </w:rPr>
        <w:t xml:space="preserve"> the</w:t>
      </w:r>
      <w:r w:rsidRPr="00B94BC3">
        <w:rPr>
          <w:rFonts w:ascii="Times New Roman" w:hAnsi="Times New Roman" w:cs="Times New Roman"/>
          <w:lang w:val="en-GB"/>
        </w:rPr>
        <w:t xml:space="preserve"> pursu</w:t>
      </w:r>
      <w:r>
        <w:rPr>
          <w:rFonts w:ascii="Times New Roman" w:hAnsi="Times New Roman" w:cs="Times New Roman"/>
          <w:lang w:val="en-GB"/>
        </w:rPr>
        <w:t>it</w:t>
      </w:r>
      <w:r w:rsidRPr="00B94BC3">
        <w:rPr>
          <w:rFonts w:ascii="Times New Roman" w:hAnsi="Times New Roman" w:cs="Times New Roman"/>
          <w:lang w:val="en-GB"/>
        </w:rPr>
        <w:t xml:space="preserve"> </w:t>
      </w:r>
      <w:r>
        <w:rPr>
          <w:rFonts w:ascii="Times New Roman" w:hAnsi="Times New Roman" w:cs="Times New Roman"/>
          <w:lang w:val="en-GB"/>
        </w:rPr>
        <w:t xml:space="preserve">of </w:t>
      </w:r>
      <w:r w:rsidRPr="00B94BC3">
        <w:rPr>
          <w:rFonts w:ascii="Times New Roman" w:hAnsi="Times New Roman" w:cs="Times New Roman"/>
          <w:lang w:val="en-GB"/>
        </w:rPr>
        <w:t>compensation claims.</w:t>
      </w:r>
      <w:r w:rsidRPr="00B94BC3">
        <w:rPr>
          <w:rStyle w:val="FootnoteReference"/>
          <w:rFonts w:ascii="Times New Roman" w:hAnsi="Times New Roman" w:cs="Times New Roman"/>
          <w:lang w:val="en-GB"/>
        </w:rPr>
        <w:footnoteReference w:id="33"/>
      </w:r>
      <w:r w:rsidR="008F1244">
        <w:rPr>
          <w:rFonts w:ascii="Times New Roman" w:hAnsi="Times New Roman" w:cs="Times New Roman"/>
          <w:lang w:val="en-GB"/>
        </w:rPr>
        <w:t xml:space="preserve"> </w:t>
      </w:r>
      <w:r w:rsidRPr="00B94BC3">
        <w:rPr>
          <w:rFonts w:ascii="Times New Roman" w:hAnsi="Times New Roman" w:cs="Times New Roman"/>
          <w:lang w:val="en-GB"/>
        </w:rPr>
        <w:t xml:space="preserve">However, the fact that an individual may be pursuing compensation is not </w:t>
      </w:r>
      <w:r>
        <w:rPr>
          <w:rFonts w:ascii="Times New Roman" w:hAnsi="Times New Roman" w:cs="Times New Roman"/>
          <w:lang w:val="en-GB"/>
        </w:rPr>
        <w:t>solely</w:t>
      </w:r>
      <w:r w:rsidRPr="00B94BC3">
        <w:rPr>
          <w:rFonts w:ascii="Times New Roman" w:hAnsi="Times New Roman" w:cs="Times New Roman"/>
          <w:lang w:val="en-GB"/>
        </w:rPr>
        <w:t xml:space="preserve"> sufficient to obtain a discretionary leave decision. It must be determined by the Home Office that leave to remain is necessary for the claim to advance.</w:t>
      </w:r>
      <w:r w:rsidRPr="00B94BC3">
        <w:rPr>
          <w:rStyle w:val="FootnoteReference"/>
          <w:rFonts w:ascii="Times New Roman" w:hAnsi="Times New Roman" w:cs="Times New Roman"/>
          <w:lang w:val="en-GB"/>
        </w:rPr>
        <w:footnoteReference w:id="34"/>
      </w:r>
      <w:r w:rsidRPr="00B94BC3">
        <w:rPr>
          <w:rFonts w:ascii="Times New Roman" w:hAnsi="Times New Roman" w:cs="Times New Roman"/>
          <w:lang w:val="en-GB"/>
        </w:rPr>
        <w:t xml:space="preserve"> The second potential ground for discretionary leave to remain is co-operation with on</w:t>
      </w:r>
      <w:r>
        <w:rPr>
          <w:rFonts w:ascii="Times New Roman" w:hAnsi="Times New Roman" w:cs="Times New Roman"/>
          <w:lang w:val="en-GB"/>
        </w:rPr>
        <w:t xml:space="preserve"> </w:t>
      </w:r>
      <w:r w:rsidRPr="00B94BC3">
        <w:rPr>
          <w:rFonts w:ascii="Times New Roman" w:hAnsi="Times New Roman" w:cs="Times New Roman"/>
          <w:lang w:val="en-GB"/>
        </w:rPr>
        <w:t>going police investigations. The Council of Europe Convention creates an obligation to provide a residency permit to victims with a positive conclusive grounds decision who are aiding police enquiries.</w:t>
      </w:r>
      <w:r w:rsidRPr="00B94BC3">
        <w:rPr>
          <w:rStyle w:val="FootnoteReference"/>
          <w:rFonts w:ascii="Times New Roman" w:hAnsi="Times New Roman" w:cs="Times New Roman"/>
          <w:lang w:val="en-GB"/>
        </w:rPr>
        <w:footnoteReference w:id="35"/>
      </w:r>
      <w:r w:rsidRPr="00B94BC3">
        <w:rPr>
          <w:rFonts w:ascii="Times New Roman" w:hAnsi="Times New Roman" w:cs="Times New Roman"/>
          <w:lang w:val="en-GB"/>
        </w:rPr>
        <w:t xml:space="preserve"> Finally, perhaps the most opaque ground is personal circumstances</w:t>
      </w:r>
      <w:r>
        <w:rPr>
          <w:rFonts w:ascii="Times New Roman" w:hAnsi="Times New Roman" w:cs="Times New Roman"/>
          <w:lang w:val="en-GB"/>
        </w:rPr>
        <w:t>;</w:t>
      </w:r>
      <w:r w:rsidRPr="00B94BC3">
        <w:rPr>
          <w:rFonts w:ascii="Times New Roman" w:hAnsi="Times New Roman" w:cs="Times New Roman"/>
          <w:lang w:val="en-GB"/>
        </w:rPr>
        <w:t xml:space="preserve"> as required by the Convention, permits must be granted if leave to remain is necessary </w:t>
      </w:r>
      <w:r w:rsidR="00AA643C">
        <w:rPr>
          <w:rFonts w:ascii="Times New Roman" w:hAnsi="Times New Roman" w:cs="Times New Roman"/>
          <w:lang w:val="en-GB"/>
        </w:rPr>
        <w:t xml:space="preserve">due </w:t>
      </w:r>
      <w:r w:rsidRPr="00B94BC3">
        <w:rPr>
          <w:rFonts w:ascii="Times New Roman" w:hAnsi="Times New Roman" w:cs="Times New Roman"/>
          <w:lang w:val="en-GB"/>
        </w:rPr>
        <w:t>to personal circumstances.</w:t>
      </w:r>
      <w:r w:rsidRPr="00B94BC3">
        <w:rPr>
          <w:rStyle w:val="FootnoteReference"/>
          <w:rFonts w:ascii="Times New Roman" w:hAnsi="Times New Roman" w:cs="Times New Roman"/>
          <w:lang w:val="en-GB"/>
        </w:rPr>
        <w:footnoteReference w:id="36"/>
      </w:r>
      <w:r w:rsidRPr="00B94BC3">
        <w:rPr>
          <w:rFonts w:ascii="Times New Roman" w:hAnsi="Times New Roman" w:cs="Times New Roman"/>
          <w:lang w:val="en-GB"/>
        </w:rPr>
        <w:t xml:space="preserve"> Discretionary leave to remain may be granted on an individual case-by-case basis for a minimum of </w:t>
      </w:r>
      <w:r>
        <w:rPr>
          <w:rFonts w:ascii="Times New Roman" w:hAnsi="Times New Roman" w:cs="Times New Roman"/>
          <w:lang w:val="en-GB"/>
        </w:rPr>
        <w:t>twelve</w:t>
      </w:r>
      <w:r w:rsidRPr="00B94BC3">
        <w:rPr>
          <w:rFonts w:ascii="Times New Roman" w:hAnsi="Times New Roman" w:cs="Times New Roman"/>
          <w:lang w:val="en-GB"/>
        </w:rPr>
        <w:t xml:space="preserve"> months and a maximum of </w:t>
      </w:r>
      <w:r>
        <w:rPr>
          <w:rFonts w:ascii="Times New Roman" w:hAnsi="Times New Roman" w:cs="Times New Roman"/>
          <w:lang w:val="en-GB"/>
        </w:rPr>
        <w:t>thirty</w:t>
      </w:r>
      <w:r w:rsidRPr="00B94BC3">
        <w:rPr>
          <w:rFonts w:ascii="Times New Roman" w:hAnsi="Times New Roman" w:cs="Times New Roman"/>
          <w:lang w:val="en-GB"/>
        </w:rPr>
        <w:t xml:space="preserve"> months.</w:t>
      </w:r>
      <w:r w:rsidRPr="00B94BC3">
        <w:rPr>
          <w:rStyle w:val="FootnoteReference"/>
          <w:rFonts w:ascii="Times New Roman" w:hAnsi="Times New Roman" w:cs="Times New Roman"/>
          <w:lang w:val="en-GB"/>
        </w:rPr>
        <w:footnoteReference w:id="37"/>
      </w:r>
      <w:r w:rsidRPr="00B94BC3">
        <w:rPr>
          <w:rFonts w:ascii="Times New Roman" w:hAnsi="Times New Roman" w:cs="Times New Roman"/>
          <w:lang w:val="en-GB"/>
        </w:rPr>
        <w:t xml:space="preserve"> There is no legal obligation to provide indefinite leave to remain.</w:t>
      </w:r>
      <w:r w:rsidRPr="00B94BC3">
        <w:rPr>
          <w:rStyle w:val="FootnoteReference"/>
          <w:rFonts w:ascii="Times New Roman" w:hAnsi="Times New Roman" w:cs="Times New Roman"/>
          <w:lang w:val="en-GB"/>
        </w:rPr>
        <w:footnoteReference w:id="38"/>
      </w:r>
      <w:r>
        <w:rPr>
          <w:rFonts w:ascii="Times New Roman" w:hAnsi="Times New Roman" w:cs="Times New Roman"/>
          <w:lang w:val="en-GB"/>
        </w:rPr>
        <w:t xml:space="preserve"> Further to this the most concrete ground for leave to remain is that of police co-operation, this </w:t>
      </w:r>
      <w:r w:rsidR="008F1244">
        <w:rPr>
          <w:rFonts w:ascii="Times New Roman" w:hAnsi="Times New Roman" w:cs="Times New Roman"/>
          <w:lang w:val="en-GB"/>
        </w:rPr>
        <w:t xml:space="preserve">is </w:t>
      </w:r>
      <w:r>
        <w:rPr>
          <w:rFonts w:ascii="Times New Roman" w:hAnsi="Times New Roman" w:cs="Times New Roman"/>
          <w:lang w:val="en-GB"/>
        </w:rPr>
        <w:t>reflective of the emphasis placed on criminal justice responses within the modern slavery framework in the UK, as evidenced in the approach taken in the Modern Slavery Act 2015 and the Home Office Modern Slavery Strategy</w:t>
      </w:r>
      <w:r>
        <w:rPr>
          <w:rStyle w:val="FootnoteReference"/>
          <w:rFonts w:ascii="Times New Roman" w:hAnsi="Times New Roman" w:cs="Times New Roman"/>
          <w:lang w:val="en-GB"/>
        </w:rPr>
        <w:footnoteReference w:id="39"/>
      </w:r>
      <w:r>
        <w:rPr>
          <w:rFonts w:ascii="Times New Roman" w:hAnsi="Times New Roman" w:cs="Times New Roman"/>
          <w:lang w:val="en-GB"/>
        </w:rPr>
        <w:t xml:space="preserve">. This is </w:t>
      </w:r>
      <w:r w:rsidR="008F1244">
        <w:rPr>
          <w:rFonts w:ascii="Times New Roman" w:hAnsi="Times New Roman" w:cs="Times New Roman"/>
          <w:lang w:val="en-GB"/>
        </w:rPr>
        <w:t>problematic and illustrative of the</w:t>
      </w:r>
      <w:r>
        <w:rPr>
          <w:rFonts w:ascii="Times New Roman" w:hAnsi="Times New Roman" w:cs="Times New Roman"/>
          <w:lang w:val="en-GB"/>
        </w:rPr>
        <w:t xml:space="preserve"> broader approach to anti-trafficking/slavery in the UK, whereby criminal justice elements take precedence to effective victim protection and support.</w:t>
      </w:r>
      <w:r>
        <w:rPr>
          <w:rStyle w:val="FootnoteReference"/>
          <w:rFonts w:ascii="Times New Roman" w:hAnsi="Times New Roman" w:cs="Times New Roman"/>
          <w:lang w:val="en-GB"/>
        </w:rPr>
        <w:footnoteReference w:id="40"/>
      </w:r>
      <w:r w:rsidR="00AA643C">
        <w:rPr>
          <w:rFonts w:ascii="Times New Roman" w:hAnsi="Times New Roman" w:cs="Times New Roman"/>
          <w:lang w:val="en-GB"/>
        </w:rPr>
        <w:t xml:space="preserve"> In the case of</w:t>
      </w:r>
      <w:r>
        <w:rPr>
          <w:rFonts w:ascii="Times New Roman" w:hAnsi="Times New Roman" w:cs="Times New Roman"/>
          <w:lang w:val="en-GB"/>
        </w:rPr>
        <w:t xml:space="preserve"> DLR the current grounds on which leave may be granted seem to suggest that victims only need to be protected and given immigration status security when they are tool which can be used by the State.</w:t>
      </w:r>
    </w:p>
    <w:p w14:paraId="3CB9E571" w14:textId="77777777" w:rsidR="00122DAB" w:rsidRDefault="00122DAB" w:rsidP="00122DAB">
      <w:pPr>
        <w:spacing w:line="276" w:lineRule="auto"/>
        <w:jc w:val="both"/>
        <w:rPr>
          <w:rFonts w:ascii="Times New Roman" w:hAnsi="Times New Roman" w:cs="Times New Roman"/>
          <w:lang w:val="en-GB"/>
        </w:rPr>
      </w:pPr>
    </w:p>
    <w:p w14:paraId="42A3FF96" w14:textId="77777777" w:rsidR="00122DAB" w:rsidRPr="00B94BC3" w:rsidRDefault="00122DAB" w:rsidP="00122DAB">
      <w:pPr>
        <w:spacing w:line="276" w:lineRule="auto"/>
        <w:jc w:val="both"/>
        <w:rPr>
          <w:rFonts w:ascii="Times New Roman" w:hAnsi="Times New Roman" w:cs="Times New Roman"/>
          <w:lang w:val="en-GB"/>
        </w:rPr>
      </w:pPr>
    </w:p>
    <w:p w14:paraId="2890E7AC" w14:textId="77777777" w:rsidR="00122DAB" w:rsidRPr="00B94BC3" w:rsidRDefault="00122DAB" w:rsidP="00122DAB">
      <w:pPr>
        <w:spacing w:line="276" w:lineRule="auto"/>
        <w:jc w:val="both"/>
        <w:rPr>
          <w:rFonts w:ascii="Times New Roman" w:hAnsi="Times New Roman" w:cs="Times New Roman"/>
          <w:i/>
          <w:lang w:val="en-GB"/>
        </w:rPr>
      </w:pPr>
      <w:r w:rsidRPr="00B94BC3">
        <w:rPr>
          <w:rFonts w:ascii="Times New Roman" w:hAnsi="Times New Roman" w:cs="Times New Roman"/>
          <w:i/>
          <w:lang w:val="en-GB"/>
        </w:rPr>
        <w:t>Breaching Obligations and Opening the Door: PK and LL</w:t>
      </w:r>
    </w:p>
    <w:p w14:paraId="5A148494" w14:textId="77777777" w:rsidR="00122DAB" w:rsidRPr="00B94BC3" w:rsidRDefault="00122DAB" w:rsidP="00122DAB">
      <w:pPr>
        <w:spacing w:line="276" w:lineRule="auto"/>
        <w:jc w:val="both"/>
        <w:rPr>
          <w:rFonts w:ascii="Times New Roman" w:hAnsi="Times New Roman" w:cs="Times New Roman"/>
          <w:lang w:val="en-GB"/>
        </w:rPr>
      </w:pPr>
    </w:p>
    <w:p w14:paraId="602F0C76" w14:textId="77777777" w:rsidR="00122DAB" w:rsidRPr="00B94BC3" w:rsidRDefault="00122DAB" w:rsidP="00122DAB">
      <w:pPr>
        <w:spacing w:line="276" w:lineRule="auto"/>
        <w:jc w:val="both"/>
        <w:rPr>
          <w:rFonts w:ascii="Times New Roman" w:hAnsi="Times New Roman" w:cs="Times New Roman"/>
          <w:lang w:val="en-GB"/>
        </w:rPr>
      </w:pPr>
      <w:r w:rsidRPr="00B94BC3">
        <w:rPr>
          <w:rFonts w:ascii="Times New Roman" w:hAnsi="Times New Roman" w:cs="Times New Roman"/>
          <w:lang w:val="en-GB"/>
        </w:rPr>
        <w:t xml:space="preserve">As discussed above, the policy guidance provided by the Home Office regarding the grounds for discretionary leave to remain outside of the Immigration Rules provides a limited scope of opportunity for victims </w:t>
      </w:r>
      <w:r>
        <w:rPr>
          <w:rFonts w:ascii="Times New Roman" w:hAnsi="Times New Roman" w:cs="Times New Roman"/>
          <w:lang w:val="en-GB"/>
        </w:rPr>
        <w:t>post NRM</w:t>
      </w:r>
      <w:r w:rsidRPr="00B94BC3">
        <w:rPr>
          <w:rFonts w:ascii="Times New Roman" w:hAnsi="Times New Roman" w:cs="Times New Roman"/>
          <w:lang w:val="en-GB"/>
        </w:rPr>
        <w:t xml:space="preserve">. However, recent legal developments regarding the </w:t>
      </w:r>
      <w:r w:rsidRPr="00B94BC3">
        <w:rPr>
          <w:rFonts w:ascii="Times New Roman" w:hAnsi="Times New Roman" w:cs="Times New Roman"/>
          <w:lang w:val="en-GB"/>
        </w:rPr>
        <w:lastRenderedPageBreak/>
        <w:t xml:space="preserve">policy have potentially increased options for victims by making it more possible for discretionary leave to remain to be awarded. </w:t>
      </w:r>
    </w:p>
    <w:p w14:paraId="07FDFDE3" w14:textId="77777777" w:rsidR="00122DAB" w:rsidRPr="00B94BC3" w:rsidRDefault="00122DAB" w:rsidP="00122DAB">
      <w:pPr>
        <w:spacing w:line="276" w:lineRule="auto"/>
        <w:jc w:val="both"/>
        <w:rPr>
          <w:rFonts w:ascii="Times New Roman" w:hAnsi="Times New Roman" w:cs="Times New Roman"/>
          <w:lang w:val="en-GB"/>
        </w:rPr>
      </w:pPr>
    </w:p>
    <w:p w14:paraId="360199F9" w14:textId="77777777" w:rsidR="00122DAB" w:rsidRPr="00B94BC3" w:rsidRDefault="00122DAB" w:rsidP="00122DAB">
      <w:pPr>
        <w:spacing w:line="276" w:lineRule="auto"/>
        <w:jc w:val="both"/>
        <w:rPr>
          <w:rFonts w:ascii="Times New Roman" w:eastAsia="Times New Roman" w:hAnsi="Times New Roman" w:cs="Times New Roman"/>
          <w:color w:val="000000"/>
          <w:lang w:val="en-GB"/>
        </w:rPr>
      </w:pPr>
      <w:r w:rsidRPr="00B94BC3">
        <w:rPr>
          <w:rFonts w:ascii="Times New Roman" w:hAnsi="Times New Roman" w:cs="Times New Roman"/>
          <w:lang w:val="en-GB"/>
        </w:rPr>
        <w:t xml:space="preserve">In February 2018 the Court of Appeal in </w:t>
      </w:r>
      <w:r w:rsidRPr="00D0684C">
        <w:rPr>
          <w:rFonts w:ascii="Times New Roman" w:hAnsi="Times New Roman" w:cs="Times New Roman"/>
          <w:i/>
          <w:lang w:val="en-GB"/>
        </w:rPr>
        <w:t>PK (Ghana) v Secretary of State for the Home Department</w:t>
      </w:r>
      <w:r w:rsidRPr="00B94BC3">
        <w:rPr>
          <w:rFonts w:ascii="Times New Roman" w:hAnsi="Times New Roman" w:cs="Times New Roman"/>
          <w:lang w:val="en-GB"/>
        </w:rPr>
        <w:t xml:space="preserve"> ruled that the policy set out by the Home Office for assessing discretionary leave applications was in bre</w:t>
      </w:r>
      <w:r>
        <w:rPr>
          <w:rFonts w:ascii="Times New Roman" w:hAnsi="Times New Roman" w:cs="Times New Roman"/>
          <w:lang w:val="en-GB"/>
        </w:rPr>
        <w:t>ach of international obligations,</w:t>
      </w:r>
      <w:r w:rsidRPr="00B94BC3">
        <w:rPr>
          <w:rStyle w:val="FootnoteReference"/>
          <w:rFonts w:ascii="Times New Roman" w:hAnsi="Times New Roman" w:cs="Times New Roman"/>
          <w:lang w:val="en-GB"/>
        </w:rPr>
        <w:footnoteReference w:id="41"/>
      </w:r>
      <w:r w:rsidRPr="00B94BC3">
        <w:rPr>
          <w:rFonts w:ascii="Times New Roman" w:hAnsi="Times New Roman" w:cs="Times New Roman"/>
          <w:lang w:val="en-GB"/>
        </w:rPr>
        <w:t xml:space="preserve"> particularly in relation to the Council of Europe Convention. The appeal focused on the requirement under Article 14to provide a renewable residence permit if necessary due to personal circumstances.</w:t>
      </w:r>
      <w:r w:rsidRPr="007423D8">
        <w:rPr>
          <w:rStyle w:val="FootnoteReference"/>
          <w:rFonts w:ascii="Times New Roman" w:hAnsi="Times New Roman" w:cs="Times New Roman"/>
          <w:lang w:val="en-GB"/>
        </w:rPr>
        <w:t xml:space="preserve"> </w:t>
      </w:r>
      <w:r w:rsidRPr="00B94BC3">
        <w:rPr>
          <w:rStyle w:val="FootnoteReference"/>
          <w:rFonts w:ascii="Times New Roman" w:hAnsi="Times New Roman" w:cs="Times New Roman"/>
          <w:lang w:val="en-GB"/>
        </w:rPr>
        <w:footnoteReference w:id="42"/>
      </w:r>
      <w:r w:rsidRPr="00B94BC3">
        <w:rPr>
          <w:rFonts w:ascii="Times New Roman" w:hAnsi="Times New Roman" w:cs="Times New Roman"/>
          <w:lang w:val="en-GB"/>
        </w:rPr>
        <w:t xml:space="preserve">  The applicant (PK) had been sold into slavery in his home country (Ghana) at the age of three.</w:t>
      </w:r>
      <w:r w:rsidRPr="00B94BC3">
        <w:rPr>
          <w:rStyle w:val="FootnoteReference"/>
          <w:rFonts w:ascii="Times New Roman" w:hAnsi="Times New Roman" w:cs="Times New Roman"/>
          <w:lang w:val="en-GB"/>
        </w:rPr>
        <w:footnoteReference w:id="43"/>
      </w:r>
      <w:r w:rsidRPr="00B94BC3">
        <w:rPr>
          <w:rFonts w:ascii="Times New Roman" w:hAnsi="Times New Roman" w:cs="Times New Roman"/>
          <w:lang w:val="en-GB"/>
        </w:rPr>
        <w:t xml:space="preserve"> In 2003 at the age of 25</w:t>
      </w:r>
      <w:r>
        <w:rPr>
          <w:rFonts w:ascii="Times New Roman" w:hAnsi="Times New Roman" w:cs="Times New Roman"/>
          <w:lang w:val="en-GB"/>
        </w:rPr>
        <w:t>,</w:t>
      </w:r>
      <w:r w:rsidRPr="00B94BC3">
        <w:rPr>
          <w:rFonts w:ascii="Times New Roman" w:hAnsi="Times New Roman" w:cs="Times New Roman"/>
          <w:lang w:val="en-GB"/>
        </w:rPr>
        <w:t xml:space="preserve"> the applicant was trafficked into the UK</w:t>
      </w:r>
      <w:r>
        <w:rPr>
          <w:rFonts w:ascii="Times New Roman" w:hAnsi="Times New Roman" w:cs="Times New Roman"/>
          <w:lang w:val="en-GB"/>
        </w:rPr>
        <w:t>.</w:t>
      </w:r>
      <w:r w:rsidRPr="00B94BC3">
        <w:rPr>
          <w:rFonts w:ascii="Times New Roman" w:hAnsi="Times New Roman" w:cs="Times New Roman"/>
          <w:lang w:val="en-GB"/>
        </w:rPr>
        <w:t xml:space="preserve"> </w:t>
      </w:r>
      <w:r>
        <w:rPr>
          <w:rFonts w:ascii="Times New Roman" w:hAnsi="Times New Roman" w:cs="Times New Roman"/>
          <w:lang w:val="en-GB"/>
        </w:rPr>
        <w:t>U</w:t>
      </w:r>
      <w:r w:rsidRPr="00B94BC3">
        <w:rPr>
          <w:rFonts w:ascii="Times New Roman" w:hAnsi="Times New Roman" w:cs="Times New Roman"/>
          <w:lang w:val="en-GB"/>
        </w:rPr>
        <w:t>pon arrival he was detained</w:t>
      </w:r>
      <w:r>
        <w:rPr>
          <w:rFonts w:ascii="Times New Roman" w:hAnsi="Times New Roman" w:cs="Times New Roman"/>
          <w:lang w:val="en-GB"/>
        </w:rPr>
        <w:t>,</w:t>
      </w:r>
      <w:r w:rsidRPr="00B94BC3">
        <w:rPr>
          <w:rFonts w:ascii="Times New Roman" w:hAnsi="Times New Roman" w:cs="Times New Roman"/>
          <w:lang w:val="en-GB"/>
        </w:rPr>
        <w:t xml:space="preserve"> subjected to forced labour for </w:t>
      </w:r>
      <w:r>
        <w:rPr>
          <w:rFonts w:ascii="Times New Roman" w:hAnsi="Times New Roman" w:cs="Times New Roman"/>
          <w:lang w:val="en-GB"/>
        </w:rPr>
        <w:t>up to fifteen</w:t>
      </w:r>
      <w:r w:rsidRPr="00B94BC3">
        <w:rPr>
          <w:rFonts w:ascii="Times New Roman" w:hAnsi="Times New Roman" w:cs="Times New Roman"/>
          <w:lang w:val="en-GB"/>
        </w:rPr>
        <w:t xml:space="preserve"> hours per day, </w:t>
      </w:r>
      <w:bookmarkStart w:id="1" w:name="para24"/>
      <w:r w:rsidRPr="00B94BC3">
        <w:rPr>
          <w:rFonts w:ascii="Times New Roman" w:eastAsia="Times New Roman" w:hAnsi="Times New Roman" w:cs="Times New Roman"/>
          <w:color w:val="000000"/>
          <w:lang w:val="en-GB"/>
        </w:rPr>
        <w:t>subjected to mental and verbal abuse, and given limited amounts of food.</w:t>
      </w:r>
      <w:r w:rsidRPr="00B94BC3">
        <w:rPr>
          <w:rStyle w:val="FootnoteReference"/>
          <w:rFonts w:ascii="Times New Roman" w:eastAsia="Times New Roman" w:hAnsi="Times New Roman" w:cs="Times New Roman"/>
          <w:color w:val="000000"/>
          <w:lang w:val="en-GB"/>
        </w:rPr>
        <w:footnoteReference w:id="44"/>
      </w:r>
      <w:r w:rsidRPr="00B94BC3">
        <w:rPr>
          <w:rFonts w:ascii="Times New Roman" w:eastAsia="Times New Roman" w:hAnsi="Times New Roman" w:cs="Times New Roman"/>
          <w:color w:val="000000"/>
          <w:lang w:val="en-GB"/>
        </w:rPr>
        <w:t xml:space="preserve"> </w:t>
      </w:r>
      <w:bookmarkEnd w:id="1"/>
      <w:r w:rsidRPr="00B94BC3">
        <w:rPr>
          <w:rFonts w:ascii="Times New Roman" w:eastAsia="Times New Roman" w:hAnsi="Times New Roman" w:cs="Times New Roman"/>
          <w:color w:val="000000"/>
          <w:lang w:val="en-GB"/>
        </w:rPr>
        <w:t>The applicant</w:t>
      </w:r>
      <w:r>
        <w:rPr>
          <w:rFonts w:ascii="Times New Roman" w:eastAsia="Times New Roman" w:hAnsi="Times New Roman" w:cs="Times New Roman"/>
          <w:color w:val="000000"/>
          <w:lang w:val="en-GB"/>
        </w:rPr>
        <w:t>,</w:t>
      </w:r>
      <w:r w:rsidRPr="00B94BC3">
        <w:rPr>
          <w:rFonts w:ascii="Times New Roman" w:eastAsia="Times New Roman" w:hAnsi="Times New Roman" w:cs="Times New Roman"/>
          <w:color w:val="000000"/>
          <w:lang w:val="en-GB"/>
        </w:rPr>
        <w:t xml:space="preserve"> who had initially entered the country as a student migrant</w:t>
      </w:r>
      <w:r>
        <w:rPr>
          <w:rFonts w:ascii="Times New Roman" w:eastAsia="Times New Roman" w:hAnsi="Times New Roman" w:cs="Times New Roman"/>
          <w:color w:val="000000"/>
          <w:lang w:val="en-GB"/>
        </w:rPr>
        <w:t>,</w:t>
      </w:r>
      <w:r w:rsidRPr="00B94BC3">
        <w:rPr>
          <w:rFonts w:ascii="Times New Roman" w:eastAsia="Times New Roman" w:hAnsi="Times New Roman" w:cs="Times New Roman"/>
          <w:color w:val="000000"/>
          <w:lang w:val="en-GB"/>
        </w:rPr>
        <w:t xml:space="preserve"> was later convicted of possessing improperly obtained identification documents and then detained with a view to removal from the country.</w:t>
      </w:r>
      <w:r w:rsidRPr="00B94BC3">
        <w:rPr>
          <w:rStyle w:val="FootnoteReference"/>
          <w:rFonts w:ascii="Times New Roman" w:eastAsia="Times New Roman" w:hAnsi="Times New Roman" w:cs="Times New Roman"/>
          <w:color w:val="000000"/>
          <w:lang w:val="en-GB"/>
        </w:rPr>
        <w:footnoteReference w:id="45"/>
      </w:r>
      <w:r w:rsidRPr="00B94BC3">
        <w:rPr>
          <w:rFonts w:ascii="Times New Roman" w:eastAsia="Times New Roman" w:hAnsi="Times New Roman" w:cs="Times New Roman"/>
          <w:color w:val="000000"/>
          <w:lang w:val="en-GB"/>
        </w:rPr>
        <w:t xml:space="preserve"> The appeal in question was in relation to a negative discretionary leave to remain decision relating to the applicants personal circumstances. It was submitted by the Secretary of State that</w:t>
      </w:r>
      <w:r>
        <w:rPr>
          <w:rFonts w:ascii="Times New Roman" w:eastAsia="Times New Roman" w:hAnsi="Times New Roman" w:cs="Times New Roman"/>
          <w:color w:val="000000"/>
          <w:lang w:val="en-GB"/>
        </w:rPr>
        <w:t>;</w:t>
      </w:r>
    </w:p>
    <w:p w14:paraId="767CBB3F" w14:textId="77777777" w:rsidR="00122DAB" w:rsidRPr="00B94BC3" w:rsidRDefault="00122DAB" w:rsidP="00122DAB">
      <w:pPr>
        <w:spacing w:line="276" w:lineRule="auto"/>
        <w:jc w:val="both"/>
        <w:rPr>
          <w:rFonts w:ascii="Times New Roman" w:eastAsia="Times New Roman" w:hAnsi="Times New Roman" w:cs="Times New Roman"/>
          <w:color w:val="000000"/>
          <w:lang w:val="en-GB"/>
        </w:rPr>
      </w:pPr>
    </w:p>
    <w:p w14:paraId="2A285F44" w14:textId="77777777" w:rsidR="00122DAB" w:rsidRPr="00D0684C" w:rsidRDefault="00122DAB" w:rsidP="00122DAB">
      <w:pPr>
        <w:spacing w:line="276" w:lineRule="auto"/>
        <w:ind w:left="720"/>
        <w:jc w:val="both"/>
        <w:rPr>
          <w:rFonts w:ascii="Times New Roman" w:eastAsia="Times New Roman" w:hAnsi="Times New Roman" w:cs="Times New Roman"/>
          <w:lang w:val="en-GB"/>
        </w:rPr>
      </w:pPr>
      <w:bookmarkStart w:id="2" w:name="para41"/>
      <w:r w:rsidRPr="00D0684C">
        <w:rPr>
          <w:rFonts w:ascii="Times New Roman" w:eastAsia="Times New Roman" w:hAnsi="Times New Roman" w:cs="Times New Roman"/>
          <w:color w:val="000000"/>
          <w:lang w:val="en-GB"/>
        </w:rPr>
        <w:t>“</w:t>
      </w:r>
      <w:proofErr w:type="gramStart"/>
      <w:r w:rsidRPr="00D0684C">
        <w:rPr>
          <w:rFonts w:ascii="Times New Roman" w:eastAsia="Times New Roman" w:hAnsi="Times New Roman" w:cs="Times New Roman"/>
          <w:color w:val="000000"/>
          <w:lang w:val="en-GB"/>
        </w:rPr>
        <w:t>in</w:t>
      </w:r>
      <w:proofErr w:type="gramEnd"/>
      <w:r w:rsidRPr="00D0684C">
        <w:rPr>
          <w:rFonts w:ascii="Times New Roman" w:eastAsia="Times New Roman" w:hAnsi="Times New Roman" w:cs="Times New Roman"/>
          <w:color w:val="000000"/>
          <w:lang w:val="en-GB"/>
        </w:rPr>
        <w:t xml:space="preserve"> Article 14(1)(a), there are no restrictions upon the concept of "necessary", and thus, the Convention gives the Secretary of State as competent authority discretion which is both broad and untrammelled or open-ended. That is underscored by the fact that Article 14(1)(a) refers, not to an absolute requirement, but only that the competent authority "</w:t>
      </w:r>
      <w:r w:rsidRPr="00D0684C">
        <w:rPr>
          <w:rFonts w:ascii="Times New Roman" w:eastAsia="Times New Roman" w:hAnsi="Times New Roman" w:cs="Times New Roman"/>
          <w:iCs/>
          <w:color w:val="000000"/>
          <w:lang w:val="en-GB"/>
        </w:rPr>
        <w:t>considers</w:t>
      </w:r>
      <w:r w:rsidRPr="00D0684C">
        <w:rPr>
          <w:rFonts w:ascii="Times New Roman" w:eastAsia="Times New Roman" w:hAnsi="Times New Roman" w:cs="Times New Roman"/>
          <w:color w:val="000000"/>
          <w:lang w:val="en-GB"/>
        </w:rPr>
        <w:t> that their stay is necessary"</w:t>
      </w:r>
      <w:bookmarkEnd w:id="2"/>
      <w:r w:rsidRPr="00D0684C">
        <w:rPr>
          <w:rFonts w:ascii="Times New Roman" w:eastAsia="Times New Roman" w:hAnsi="Times New Roman" w:cs="Times New Roman"/>
          <w:color w:val="000000"/>
          <w:lang w:val="en-GB"/>
        </w:rPr>
        <w:t xml:space="preserve"> … the exercise of that discretion, the Secretary of State is entitled to have a policy that the discretion will only be exercised in favour of the victim of trafficking if there are compelling personal circumstances in his or her case.”</w:t>
      </w:r>
      <w:r w:rsidRPr="00D0684C">
        <w:rPr>
          <w:rStyle w:val="FootnoteReference"/>
          <w:rFonts w:ascii="Times New Roman" w:eastAsia="Times New Roman" w:hAnsi="Times New Roman" w:cs="Times New Roman"/>
          <w:color w:val="000000"/>
          <w:lang w:val="en-GB"/>
        </w:rPr>
        <w:footnoteReference w:id="46"/>
      </w:r>
    </w:p>
    <w:p w14:paraId="69DB8573" w14:textId="77777777" w:rsidR="00122DAB" w:rsidRPr="00B94BC3" w:rsidRDefault="00122DAB" w:rsidP="00122DAB">
      <w:pPr>
        <w:spacing w:line="276" w:lineRule="auto"/>
        <w:jc w:val="both"/>
        <w:rPr>
          <w:rFonts w:ascii="Times New Roman" w:eastAsia="Times New Roman" w:hAnsi="Times New Roman" w:cs="Times New Roman"/>
          <w:lang w:val="en-GB"/>
        </w:rPr>
      </w:pPr>
    </w:p>
    <w:p w14:paraId="259B6D23" w14:textId="77777777" w:rsidR="00122DAB" w:rsidRPr="00B94BC3" w:rsidRDefault="00122DAB" w:rsidP="00122DAB">
      <w:pPr>
        <w:spacing w:line="276" w:lineRule="auto"/>
        <w:jc w:val="both"/>
        <w:rPr>
          <w:rFonts w:ascii="Times New Roman" w:eastAsia="Times New Roman" w:hAnsi="Times New Roman" w:cs="Times New Roman"/>
          <w:color w:val="000000"/>
          <w:lang w:val="en-GB"/>
        </w:rPr>
      </w:pPr>
    </w:p>
    <w:p w14:paraId="56B6A1D1" w14:textId="77777777" w:rsidR="00122DAB" w:rsidRPr="00B94BC3" w:rsidRDefault="00122DAB" w:rsidP="00122DAB">
      <w:pPr>
        <w:spacing w:line="276" w:lineRule="auto"/>
        <w:jc w:val="both"/>
        <w:rPr>
          <w:rFonts w:ascii="Times New Roman" w:eastAsia="Times New Roman" w:hAnsi="Times New Roman" w:cs="Times New Roman"/>
          <w:color w:val="000000"/>
          <w:lang w:val="en-GB"/>
        </w:rPr>
      </w:pPr>
      <w:r w:rsidRPr="00B94BC3">
        <w:rPr>
          <w:rFonts w:ascii="Times New Roman" w:eastAsia="Times New Roman" w:hAnsi="Times New Roman" w:cs="Times New Roman"/>
          <w:color w:val="000000"/>
          <w:lang w:val="en-GB"/>
        </w:rPr>
        <w:t>The Court concluded that the Secretary of State’s guidance regarding personal circumstances did not properly reflect the nature of Article 14 of the Convention</w:t>
      </w:r>
      <w:r>
        <w:rPr>
          <w:rStyle w:val="FootnoteReference"/>
          <w:rFonts w:ascii="Times New Roman" w:eastAsia="Times New Roman" w:hAnsi="Times New Roman" w:cs="Times New Roman"/>
          <w:color w:val="000000"/>
          <w:lang w:val="en-GB"/>
        </w:rPr>
        <w:footnoteReference w:id="47"/>
      </w:r>
      <w:r w:rsidRPr="00B94BC3">
        <w:rPr>
          <w:rFonts w:ascii="Times New Roman" w:eastAsia="Times New Roman" w:hAnsi="Times New Roman" w:cs="Times New Roman"/>
          <w:color w:val="000000"/>
          <w:lang w:val="en-GB"/>
        </w:rPr>
        <w:t xml:space="preserve">. Further to this, the Convention states that a renewable residence permit will be granted where “their </w:t>
      </w:r>
      <w:r>
        <w:rPr>
          <w:rFonts w:ascii="Times New Roman" w:eastAsia="Times New Roman" w:hAnsi="Times New Roman" w:cs="Times New Roman"/>
          <w:color w:val="000000"/>
          <w:lang w:val="en-GB"/>
        </w:rPr>
        <w:t xml:space="preserve">[the victim’s] </w:t>
      </w:r>
      <w:r w:rsidRPr="00B94BC3">
        <w:rPr>
          <w:rFonts w:ascii="Times New Roman" w:eastAsia="Times New Roman" w:hAnsi="Times New Roman" w:cs="Times New Roman"/>
          <w:color w:val="000000"/>
          <w:lang w:val="en-GB"/>
        </w:rPr>
        <w:t>stay is necessary”.</w:t>
      </w:r>
      <w:r w:rsidRPr="00B94BC3">
        <w:rPr>
          <w:rStyle w:val="FootnoteReference"/>
          <w:rFonts w:ascii="Times New Roman" w:eastAsia="Times New Roman" w:hAnsi="Times New Roman" w:cs="Times New Roman"/>
          <w:color w:val="000000"/>
          <w:lang w:val="en-GB"/>
        </w:rPr>
        <w:footnoteReference w:id="48"/>
      </w:r>
      <w:r w:rsidRPr="00B94BC3">
        <w:rPr>
          <w:rFonts w:ascii="Times New Roman" w:eastAsia="Times New Roman" w:hAnsi="Times New Roman" w:cs="Times New Roman"/>
          <w:color w:val="000000"/>
          <w:lang w:val="en-GB"/>
        </w:rPr>
        <w:t xml:space="preserve"> Lord Justice </w:t>
      </w:r>
      <w:proofErr w:type="spellStart"/>
      <w:r w:rsidRPr="00B94BC3">
        <w:rPr>
          <w:rFonts w:ascii="Times New Roman" w:eastAsia="Times New Roman" w:hAnsi="Times New Roman" w:cs="Times New Roman"/>
          <w:color w:val="000000"/>
          <w:lang w:val="en-GB"/>
        </w:rPr>
        <w:t>Hickinbottom</w:t>
      </w:r>
      <w:proofErr w:type="spellEnd"/>
      <w:r w:rsidRPr="00B94BC3">
        <w:rPr>
          <w:rFonts w:ascii="Times New Roman" w:eastAsia="Times New Roman" w:hAnsi="Times New Roman" w:cs="Times New Roman"/>
          <w:color w:val="000000"/>
          <w:lang w:val="en-GB"/>
        </w:rPr>
        <w:t xml:space="preserve"> stated that ‘necessary’ in the context of Article 14 means “required to achieve a desired purpose, </w:t>
      </w:r>
      <w:proofErr w:type="gramStart"/>
      <w:r w:rsidRPr="00B94BC3">
        <w:rPr>
          <w:rFonts w:ascii="Times New Roman" w:eastAsia="Times New Roman" w:hAnsi="Times New Roman" w:cs="Times New Roman"/>
          <w:color w:val="000000"/>
          <w:lang w:val="en-GB"/>
        </w:rPr>
        <w:t>effect</w:t>
      </w:r>
      <w:proofErr w:type="gramEnd"/>
      <w:r w:rsidRPr="00B94BC3">
        <w:rPr>
          <w:rFonts w:ascii="Times New Roman" w:eastAsia="Times New Roman" w:hAnsi="Times New Roman" w:cs="Times New Roman"/>
          <w:color w:val="000000"/>
          <w:lang w:val="en-GB"/>
        </w:rPr>
        <w:t xml:space="preserve"> or result” and this must be seen through the “prism of the objectives of the Convention.”</w:t>
      </w:r>
      <w:r w:rsidRPr="00B94BC3">
        <w:rPr>
          <w:rStyle w:val="FootnoteReference"/>
          <w:rFonts w:ascii="Times New Roman" w:eastAsia="Times New Roman" w:hAnsi="Times New Roman" w:cs="Times New Roman"/>
          <w:color w:val="000000"/>
          <w:lang w:val="en-GB"/>
        </w:rPr>
        <w:footnoteReference w:id="49"/>
      </w:r>
      <w:r w:rsidRPr="00B94BC3">
        <w:rPr>
          <w:rFonts w:ascii="Times New Roman" w:eastAsia="Times New Roman" w:hAnsi="Times New Roman" w:cs="Times New Roman"/>
          <w:color w:val="000000"/>
          <w:lang w:val="en-GB"/>
        </w:rPr>
        <w:t xml:space="preserve"> Thus the only necessary objective to assess owing to the personal circumstances is the objective to protect and assist victims of trafficking. The Convention provides clear obligations regarding the </w:t>
      </w:r>
      <w:r w:rsidRPr="00B94BC3">
        <w:rPr>
          <w:rFonts w:ascii="Times New Roman" w:eastAsia="Times New Roman" w:hAnsi="Times New Roman" w:cs="Times New Roman"/>
          <w:color w:val="000000"/>
          <w:lang w:val="en-GB"/>
        </w:rPr>
        <w:lastRenderedPageBreak/>
        <w:t xml:space="preserve">protection and support of victims in relation to identification, physical, psychological and social recovery and safety and protection. </w:t>
      </w:r>
      <w:r w:rsidRPr="00B94BC3">
        <w:rPr>
          <w:rStyle w:val="FootnoteReference"/>
          <w:rFonts w:ascii="Times New Roman" w:eastAsia="Times New Roman" w:hAnsi="Times New Roman" w:cs="Times New Roman"/>
          <w:color w:val="000000"/>
          <w:lang w:val="en-GB"/>
        </w:rPr>
        <w:footnoteReference w:id="50"/>
      </w:r>
      <w:r w:rsidRPr="00B94BC3">
        <w:rPr>
          <w:rFonts w:ascii="Times New Roman" w:eastAsia="Times New Roman" w:hAnsi="Times New Roman" w:cs="Times New Roman"/>
          <w:color w:val="000000"/>
          <w:lang w:val="en-GB"/>
        </w:rPr>
        <w:t xml:space="preserve"> Ultimately the guidance in place failed to engage with the relevant Convention criteria</w:t>
      </w:r>
      <w:r>
        <w:rPr>
          <w:rFonts w:ascii="Times New Roman" w:eastAsia="Times New Roman" w:hAnsi="Times New Roman" w:cs="Times New Roman"/>
          <w:color w:val="000000"/>
          <w:lang w:val="en-GB"/>
        </w:rPr>
        <w:t xml:space="preserve">. There is no requirement under Article 14 for </w:t>
      </w:r>
      <w:r w:rsidRPr="00B94BC3">
        <w:rPr>
          <w:rFonts w:ascii="Times New Roman" w:eastAsia="Times New Roman" w:hAnsi="Times New Roman" w:cs="Times New Roman"/>
          <w:color w:val="000000"/>
          <w:lang w:val="en-GB"/>
        </w:rPr>
        <w:t>the Competent Authority to engage the purpose for which it is necessary for the victim to remain in the country</w:t>
      </w:r>
      <w:r>
        <w:rPr>
          <w:rFonts w:ascii="Times New Roman" w:eastAsia="Times New Roman" w:hAnsi="Times New Roman" w:cs="Times New Roman"/>
          <w:color w:val="000000"/>
          <w:lang w:val="en-GB"/>
        </w:rPr>
        <w:t>. Thus the Court ruled</w:t>
      </w:r>
      <w:r w:rsidRPr="00B94BC3">
        <w:rPr>
          <w:rFonts w:ascii="Times New Roman" w:eastAsia="Times New Roman" w:hAnsi="Times New Roman" w:cs="Times New Roman"/>
          <w:color w:val="000000"/>
          <w:lang w:val="en-GB"/>
        </w:rPr>
        <w:t xml:space="preserve"> there should be no requirement for the victim to demonstrate compelling circumstances.</w:t>
      </w:r>
    </w:p>
    <w:p w14:paraId="376AC16B" w14:textId="77777777" w:rsidR="00122DAB" w:rsidRPr="00B94BC3" w:rsidRDefault="00122DAB" w:rsidP="00122DAB">
      <w:pPr>
        <w:spacing w:line="276" w:lineRule="auto"/>
        <w:jc w:val="both"/>
        <w:rPr>
          <w:rFonts w:ascii="Times New Roman" w:eastAsia="Times New Roman" w:hAnsi="Times New Roman" w:cs="Times New Roman"/>
          <w:color w:val="000000"/>
          <w:lang w:val="en-GB"/>
        </w:rPr>
      </w:pPr>
    </w:p>
    <w:p w14:paraId="158AEE54" w14:textId="77777777" w:rsidR="00122DAB" w:rsidRPr="00D0684C" w:rsidRDefault="00122DAB" w:rsidP="00122DAB">
      <w:pPr>
        <w:spacing w:line="276" w:lineRule="auto"/>
        <w:ind w:left="720"/>
        <w:jc w:val="both"/>
        <w:rPr>
          <w:rFonts w:ascii="Times New Roman" w:eastAsia="Times New Roman" w:hAnsi="Times New Roman" w:cs="Times New Roman"/>
          <w:lang w:val="en-GB"/>
        </w:rPr>
      </w:pPr>
      <w:r w:rsidRPr="00D0684C">
        <w:rPr>
          <w:rFonts w:ascii="Times New Roman" w:eastAsia="Times New Roman" w:hAnsi="Times New Roman" w:cs="Times New Roman"/>
          <w:color w:val="000000"/>
          <w:lang w:val="en-GB"/>
        </w:rPr>
        <w:t>“</w:t>
      </w:r>
      <w:bookmarkStart w:id="3" w:name="para51"/>
      <w:r w:rsidRPr="00D0684C">
        <w:rPr>
          <w:rFonts w:ascii="Times New Roman" w:eastAsia="Times New Roman" w:hAnsi="Times New Roman" w:cs="Times New Roman"/>
          <w:color w:val="000000"/>
          <w:lang w:val="en-GB"/>
        </w:rPr>
        <w:t> I consider, the provision does not give an open-ended discretion, but rather requires an assessment of whether it is necessary for the purposes of protection and assistance of the victim of trafficking (or one of the other objectives of the Convention) to allow him to remain in the country. In this case, the Secretary of State's guidance neither requires nor prompts any such engagement. As a result, in my view, it does not reflect the requirements of Article 14(1)(a), and is unlawful.</w:t>
      </w:r>
      <w:bookmarkEnd w:id="3"/>
      <w:r w:rsidRPr="00D0684C">
        <w:rPr>
          <w:rFonts w:ascii="Times New Roman" w:eastAsia="Times New Roman" w:hAnsi="Times New Roman" w:cs="Times New Roman"/>
          <w:color w:val="000000"/>
          <w:lang w:val="en-GB"/>
        </w:rPr>
        <w:t>”</w:t>
      </w:r>
      <w:r w:rsidRPr="00D0684C">
        <w:rPr>
          <w:rStyle w:val="FootnoteReference"/>
          <w:rFonts w:ascii="Times New Roman" w:eastAsia="Times New Roman" w:hAnsi="Times New Roman" w:cs="Times New Roman"/>
          <w:color w:val="000000"/>
          <w:lang w:val="en-GB"/>
        </w:rPr>
        <w:footnoteReference w:id="51"/>
      </w:r>
    </w:p>
    <w:p w14:paraId="0DE5D8CC" w14:textId="77777777" w:rsidR="00122DAB" w:rsidRPr="00B94BC3" w:rsidRDefault="00122DAB" w:rsidP="00122DAB">
      <w:pPr>
        <w:spacing w:line="276" w:lineRule="auto"/>
        <w:jc w:val="both"/>
        <w:rPr>
          <w:rFonts w:ascii="Times New Roman" w:eastAsia="Times New Roman" w:hAnsi="Times New Roman" w:cs="Times New Roman"/>
          <w:color w:val="000000"/>
          <w:lang w:val="en-GB"/>
        </w:rPr>
      </w:pPr>
    </w:p>
    <w:p w14:paraId="45BABA23" w14:textId="77777777" w:rsidR="00122DAB" w:rsidRPr="00B94BC3" w:rsidRDefault="00122DAB" w:rsidP="00122DAB">
      <w:pPr>
        <w:spacing w:line="276" w:lineRule="auto"/>
        <w:jc w:val="both"/>
        <w:rPr>
          <w:rFonts w:ascii="Times New Roman" w:hAnsi="Times New Roman" w:cs="Times New Roman"/>
          <w:lang w:val="en-GB"/>
        </w:rPr>
      </w:pPr>
      <w:r w:rsidRPr="00B94BC3">
        <w:rPr>
          <w:rFonts w:ascii="Times New Roman" w:hAnsi="Times New Roman" w:cs="Times New Roman"/>
          <w:lang w:val="en-GB"/>
        </w:rPr>
        <w:t>Following the delivery of this landmark judgment, the opportunity for victims in receipt of positive conclusive grounds decisions to acquire leave to remain has been enhanced. To this effect, the Home Office has issued interim guidance regarding discretionary leave.</w:t>
      </w:r>
      <w:r w:rsidRPr="00B94BC3">
        <w:rPr>
          <w:rStyle w:val="FootnoteReference"/>
          <w:rFonts w:ascii="Times New Roman" w:hAnsi="Times New Roman" w:cs="Times New Roman"/>
          <w:lang w:val="en-GB"/>
        </w:rPr>
        <w:footnoteReference w:id="52"/>
      </w:r>
      <w:r w:rsidRPr="00B94BC3">
        <w:rPr>
          <w:rFonts w:ascii="Times New Roman" w:hAnsi="Times New Roman" w:cs="Times New Roman"/>
          <w:lang w:val="en-GB"/>
        </w:rPr>
        <w:t xml:space="preserve"> The current advice from the Home Office is to pause all discretionary leave decisions in which the decision reached will be negative.</w:t>
      </w:r>
      <w:r w:rsidRPr="00B94BC3">
        <w:rPr>
          <w:rStyle w:val="FootnoteReference"/>
          <w:rFonts w:ascii="Times New Roman" w:hAnsi="Times New Roman" w:cs="Times New Roman"/>
          <w:lang w:val="en-GB"/>
        </w:rPr>
        <w:footnoteReference w:id="53"/>
      </w:r>
      <w:r w:rsidRPr="00B94BC3">
        <w:rPr>
          <w:rFonts w:ascii="Times New Roman" w:hAnsi="Times New Roman" w:cs="Times New Roman"/>
          <w:lang w:val="en-GB"/>
        </w:rPr>
        <w:t xml:space="preserve"> The Modern Slavery Victim Support Bil</w:t>
      </w:r>
      <w:r>
        <w:rPr>
          <w:rFonts w:ascii="Times New Roman" w:hAnsi="Times New Roman" w:cs="Times New Roman"/>
          <w:lang w:val="en-GB"/>
        </w:rPr>
        <w:t>l</w:t>
      </w:r>
      <w:r w:rsidRPr="00B94BC3">
        <w:rPr>
          <w:rStyle w:val="FootnoteReference"/>
          <w:rFonts w:ascii="Times New Roman" w:hAnsi="Times New Roman" w:cs="Times New Roman"/>
          <w:lang w:val="en-GB"/>
        </w:rPr>
        <w:footnoteReference w:id="54"/>
      </w:r>
      <w:r w:rsidRPr="00B94BC3">
        <w:rPr>
          <w:rFonts w:ascii="Times New Roman" w:hAnsi="Times New Roman" w:cs="Times New Roman"/>
          <w:lang w:val="en-GB"/>
        </w:rPr>
        <w:t xml:space="preserve"> looks to address the issues surrounding conclusive ground decisions and discretionary leave to remain. The main aim of the Bill is to ensure that those in possession of a positive conclusive grounds decision have an extended rest and reflection period of </w:t>
      </w:r>
      <w:r>
        <w:rPr>
          <w:rFonts w:ascii="Times New Roman" w:hAnsi="Times New Roman" w:cs="Times New Roman"/>
          <w:lang w:val="en-GB"/>
        </w:rPr>
        <w:t>twelve</w:t>
      </w:r>
      <w:r w:rsidRPr="00B94BC3">
        <w:rPr>
          <w:rFonts w:ascii="Times New Roman" w:hAnsi="Times New Roman" w:cs="Times New Roman"/>
          <w:lang w:val="en-GB"/>
        </w:rPr>
        <w:t xml:space="preserve"> months once the </w:t>
      </w:r>
      <w:r>
        <w:rPr>
          <w:rFonts w:ascii="Times New Roman" w:hAnsi="Times New Roman" w:cs="Times New Roman"/>
          <w:lang w:val="en-GB"/>
        </w:rPr>
        <w:t>ninety-day</w:t>
      </w:r>
      <w:r w:rsidRPr="00B94BC3">
        <w:rPr>
          <w:rFonts w:ascii="Times New Roman" w:hAnsi="Times New Roman" w:cs="Times New Roman"/>
          <w:lang w:val="en-GB"/>
        </w:rPr>
        <w:t xml:space="preserve"> period under the NRM ends.</w:t>
      </w:r>
      <w:r w:rsidRPr="00B94BC3">
        <w:rPr>
          <w:rStyle w:val="FootnoteReference"/>
          <w:rFonts w:ascii="Times New Roman" w:hAnsi="Times New Roman" w:cs="Times New Roman"/>
          <w:lang w:val="en-GB"/>
        </w:rPr>
        <w:footnoteReference w:id="55"/>
      </w:r>
      <w:r w:rsidRPr="00B94BC3">
        <w:rPr>
          <w:rFonts w:ascii="Times New Roman" w:hAnsi="Times New Roman" w:cs="Times New Roman"/>
          <w:lang w:val="en-GB"/>
        </w:rPr>
        <w:t xml:space="preserve"> Further to this, the Work and Pensions Committee have made a recommendation regarding automatic discretionary leave to remain. It was commented that the lack of automatic entitlement upon a conclusive grounds decision was a “ludicrous situation”.</w:t>
      </w:r>
      <w:r w:rsidRPr="00B94BC3">
        <w:rPr>
          <w:rStyle w:val="FootnoteReference"/>
          <w:rFonts w:ascii="Times New Roman" w:hAnsi="Times New Roman" w:cs="Times New Roman"/>
          <w:lang w:val="en-GB"/>
        </w:rPr>
        <w:footnoteReference w:id="56"/>
      </w:r>
    </w:p>
    <w:p w14:paraId="2783BB1D" w14:textId="77777777" w:rsidR="00122DAB" w:rsidRPr="00B94BC3" w:rsidRDefault="00122DAB" w:rsidP="00122DAB">
      <w:pPr>
        <w:spacing w:line="276" w:lineRule="auto"/>
        <w:jc w:val="both"/>
        <w:rPr>
          <w:rFonts w:ascii="Times New Roman" w:hAnsi="Times New Roman" w:cs="Times New Roman"/>
          <w:lang w:val="en-GB"/>
        </w:rPr>
      </w:pPr>
    </w:p>
    <w:p w14:paraId="03AE1EAE" w14:textId="77777777" w:rsidR="00122DAB" w:rsidRPr="00D0684C" w:rsidRDefault="00122DAB" w:rsidP="00122DAB">
      <w:pPr>
        <w:spacing w:line="276" w:lineRule="auto"/>
        <w:ind w:left="720"/>
        <w:jc w:val="both"/>
        <w:rPr>
          <w:rFonts w:ascii="Times New Roman" w:hAnsi="Times New Roman" w:cs="Times New Roman"/>
          <w:i/>
          <w:lang w:val="en-GB"/>
        </w:rPr>
      </w:pPr>
      <w:r w:rsidRPr="00D0684C">
        <w:rPr>
          <w:rFonts w:ascii="Times New Roman" w:hAnsi="Times New Roman" w:cs="Times New Roman"/>
          <w:lang w:val="en-GB"/>
        </w:rPr>
        <w:t>“It is an extremely unattractive anomaly and an extremely expensive process putting a person through the NRM to get a positive outcome that everybody accepts that person is the victim of an appalling crime. At that stage, having spent all that money, having gone through all that process, there is no result except a piece of paper.”</w:t>
      </w:r>
      <w:r w:rsidRPr="00D0684C">
        <w:rPr>
          <w:rStyle w:val="FootnoteReference"/>
          <w:rFonts w:ascii="Times New Roman" w:hAnsi="Times New Roman" w:cs="Times New Roman"/>
          <w:i/>
          <w:lang w:val="en-GB"/>
        </w:rPr>
        <w:footnoteReference w:id="57"/>
      </w:r>
    </w:p>
    <w:p w14:paraId="49DBB634" w14:textId="77777777" w:rsidR="00122DAB" w:rsidRPr="00B94BC3" w:rsidRDefault="00122DAB" w:rsidP="00122DAB">
      <w:pPr>
        <w:spacing w:line="276" w:lineRule="auto"/>
        <w:jc w:val="both"/>
        <w:rPr>
          <w:rFonts w:ascii="Times New Roman" w:hAnsi="Times New Roman" w:cs="Times New Roman"/>
          <w:lang w:val="en-GB"/>
        </w:rPr>
      </w:pPr>
    </w:p>
    <w:p w14:paraId="0CE9BD30" w14:textId="77777777" w:rsidR="00122DAB" w:rsidRPr="00B94BC3" w:rsidRDefault="00122DAB" w:rsidP="00122DAB">
      <w:pPr>
        <w:spacing w:line="276" w:lineRule="auto"/>
        <w:jc w:val="both"/>
        <w:rPr>
          <w:rFonts w:ascii="Times New Roman" w:hAnsi="Times New Roman" w:cs="Times New Roman"/>
          <w:lang w:val="en-GB"/>
        </w:rPr>
      </w:pPr>
      <w:r w:rsidRPr="00B94BC3">
        <w:rPr>
          <w:rFonts w:ascii="Times New Roman" w:hAnsi="Times New Roman" w:cs="Times New Roman"/>
          <w:lang w:val="en-GB"/>
        </w:rPr>
        <w:t xml:space="preserve">The Committee recommended that all victims be granted a minimum of </w:t>
      </w:r>
      <w:r>
        <w:rPr>
          <w:rFonts w:ascii="Times New Roman" w:hAnsi="Times New Roman" w:cs="Times New Roman"/>
          <w:lang w:val="en-GB"/>
        </w:rPr>
        <w:t>twelve</w:t>
      </w:r>
      <w:r w:rsidRPr="00B94BC3">
        <w:rPr>
          <w:rFonts w:ascii="Times New Roman" w:hAnsi="Times New Roman" w:cs="Times New Roman"/>
          <w:lang w:val="en-GB"/>
        </w:rPr>
        <w:t xml:space="preserve"> months leave to remain to allow a period to “receive advice and support, and give them time to plan their </w:t>
      </w:r>
      <w:r w:rsidRPr="00B94BC3">
        <w:rPr>
          <w:rFonts w:ascii="Times New Roman" w:hAnsi="Times New Roman" w:cs="Times New Roman"/>
          <w:lang w:val="en-GB"/>
        </w:rPr>
        <w:lastRenderedPageBreak/>
        <w:t>next steps.”</w:t>
      </w:r>
      <w:r w:rsidRPr="00B94BC3">
        <w:rPr>
          <w:rStyle w:val="FootnoteReference"/>
          <w:rFonts w:ascii="Times New Roman" w:hAnsi="Times New Roman" w:cs="Times New Roman"/>
          <w:lang w:val="en-GB"/>
        </w:rPr>
        <w:footnoteReference w:id="58"/>
      </w:r>
      <w:r w:rsidRPr="00B94BC3">
        <w:rPr>
          <w:rFonts w:ascii="Times New Roman" w:hAnsi="Times New Roman" w:cs="Times New Roman"/>
          <w:lang w:val="en-GB"/>
        </w:rPr>
        <w:t xml:space="preserve"> However, the Government’s response to this recommendation does not signal any imminent positive changes to the policy on discretionary leave to remain</w:t>
      </w:r>
      <w:r>
        <w:rPr>
          <w:rFonts w:ascii="Times New Roman" w:hAnsi="Times New Roman" w:cs="Times New Roman"/>
          <w:lang w:val="en-GB"/>
        </w:rPr>
        <w:t>;</w:t>
      </w:r>
    </w:p>
    <w:p w14:paraId="7E0B9B2C" w14:textId="77777777" w:rsidR="00122DAB" w:rsidRPr="00B94BC3" w:rsidRDefault="00122DAB" w:rsidP="00122DAB">
      <w:pPr>
        <w:spacing w:line="276" w:lineRule="auto"/>
        <w:ind w:left="720"/>
        <w:jc w:val="both"/>
        <w:rPr>
          <w:rFonts w:ascii="Times New Roman" w:hAnsi="Times New Roman" w:cs="Times New Roman"/>
          <w:i/>
          <w:lang w:val="en-GB"/>
        </w:rPr>
      </w:pPr>
    </w:p>
    <w:p w14:paraId="1E4CE4CB" w14:textId="77777777" w:rsidR="00122DAB" w:rsidRPr="00D0684C" w:rsidRDefault="00122DAB" w:rsidP="00122DAB">
      <w:pPr>
        <w:spacing w:line="276" w:lineRule="auto"/>
        <w:ind w:left="720"/>
        <w:jc w:val="both"/>
        <w:rPr>
          <w:rFonts w:ascii="Times New Roman" w:hAnsi="Times New Roman" w:cs="Times New Roman"/>
          <w:lang w:val="en-GB"/>
        </w:rPr>
      </w:pPr>
      <w:r w:rsidRPr="00D0684C">
        <w:rPr>
          <w:rFonts w:ascii="Times New Roman" w:hAnsi="Times New Roman" w:cs="Times New Roman"/>
          <w:lang w:val="en-GB"/>
        </w:rPr>
        <w:t>“The decision about whether an individual is a victim of modern slavery and their immigration status are, and must remain separate decisions. The Government does not accept that all confirmed victims of modern slavery should be given at least one year’s leave to remain in the UK.”</w:t>
      </w:r>
      <w:r w:rsidRPr="00D0684C">
        <w:rPr>
          <w:rStyle w:val="FootnoteReference"/>
          <w:rFonts w:ascii="Times New Roman" w:hAnsi="Times New Roman" w:cs="Times New Roman"/>
          <w:lang w:val="en-GB"/>
        </w:rPr>
        <w:footnoteReference w:id="59"/>
      </w:r>
    </w:p>
    <w:p w14:paraId="06F1F254" w14:textId="77777777" w:rsidR="00122DAB" w:rsidRPr="00B94BC3" w:rsidRDefault="00122DAB" w:rsidP="00122DAB">
      <w:pPr>
        <w:spacing w:line="276" w:lineRule="auto"/>
        <w:jc w:val="both"/>
        <w:rPr>
          <w:rFonts w:ascii="Times New Roman" w:hAnsi="Times New Roman" w:cs="Times New Roman"/>
          <w:lang w:val="en-GB"/>
        </w:rPr>
      </w:pPr>
    </w:p>
    <w:p w14:paraId="0AEA24EF" w14:textId="77777777" w:rsidR="00122DAB" w:rsidRPr="00B94BC3" w:rsidRDefault="00122DAB" w:rsidP="00122DAB">
      <w:pPr>
        <w:spacing w:line="276" w:lineRule="auto"/>
        <w:jc w:val="both"/>
        <w:rPr>
          <w:rFonts w:ascii="Times New Roman" w:hAnsi="Times New Roman" w:cs="Times New Roman"/>
          <w:lang w:val="en-GB"/>
        </w:rPr>
      </w:pPr>
      <w:r w:rsidRPr="00B94BC3">
        <w:rPr>
          <w:rFonts w:ascii="Times New Roman" w:hAnsi="Times New Roman" w:cs="Times New Roman"/>
          <w:lang w:val="en-GB"/>
        </w:rPr>
        <w:t xml:space="preserve">Nevertheless, despite the uncompromising position of the Government in their response to the Committee’s recommendation, it must be considered that this response was given prior to the judgement in </w:t>
      </w:r>
      <w:r w:rsidRPr="00B94BC3">
        <w:rPr>
          <w:rFonts w:ascii="Times New Roman" w:hAnsi="Times New Roman" w:cs="Times New Roman"/>
          <w:i/>
          <w:lang w:val="en-GB"/>
        </w:rPr>
        <w:t xml:space="preserve">PK. </w:t>
      </w:r>
      <w:r w:rsidRPr="00B94BC3">
        <w:rPr>
          <w:rFonts w:ascii="Times New Roman" w:hAnsi="Times New Roman" w:cs="Times New Roman"/>
          <w:lang w:val="en-GB"/>
        </w:rPr>
        <w:t xml:space="preserve"> Thus in light of the interim decision to suspend all negative decisions there remains the possibility that a change in direction in relation to discretionary leave to remain is still yet to come.</w:t>
      </w:r>
    </w:p>
    <w:p w14:paraId="5397A2F0" w14:textId="77777777" w:rsidR="00122DAB" w:rsidRPr="00B94BC3" w:rsidRDefault="00122DAB" w:rsidP="00122DAB">
      <w:pPr>
        <w:spacing w:line="276" w:lineRule="auto"/>
        <w:jc w:val="both"/>
        <w:rPr>
          <w:rFonts w:ascii="Times New Roman" w:hAnsi="Times New Roman" w:cs="Times New Roman"/>
          <w:lang w:val="en-GB"/>
        </w:rPr>
      </w:pPr>
    </w:p>
    <w:p w14:paraId="03CA255B" w14:textId="21D1D249" w:rsidR="00122DAB" w:rsidRDefault="00122DAB" w:rsidP="00751939">
      <w:pPr>
        <w:spacing w:line="276" w:lineRule="auto"/>
        <w:jc w:val="both"/>
        <w:rPr>
          <w:rFonts w:ascii="Times New Roman" w:hAnsi="Times New Roman" w:cs="Times New Roman"/>
          <w:lang w:val="en-GB"/>
        </w:rPr>
      </w:pPr>
      <w:r w:rsidRPr="00B94BC3">
        <w:rPr>
          <w:rFonts w:ascii="Times New Roman" w:hAnsi="Times New Roman" w:cs="Times New Roman"/>
          <w:lang w:val="en-GB"/>
        </w:rPr>
        <w:t xml:space="preserve">Amidst the earthquake resulting from </w:t>
      </w:r>
      <w:r w:rsidRPr="00B94BC3">
        <w:rPr>
          <w:rFonts w:ascii="Times New Roman" w:hAnsi="Times New Roman" w:cs="Times New Roman"/>
          <w:i/>
          <w:lang w:val="en-GB"/>
        </w:rPr>
        <w:t>PK</w:t>
      </w:r>
      <w:r w:rsidRPr="00B94BC3">
        <w:rPr>
          <w:rFonts w:ascii="Times New Roman" w:hAnsi="Times New Roman" w:cs="Times New Roman"/>
          <w:lang w:val="en-GB"/>
        </w:rPr>
        <w:t xml:space="preserve">, a further breach emerged regarding the requirement to provide legal aid to victims of ‘modern slavery’. Under the Legal Aid Sentencing and Punishment of Offenders Act (LASPO) 2012, victim are entitled to free legal aid.  However, the case of </w:t>
      </w:r>
      <w:r w:rsidRPr="00B94BC3">
        <w:rPr>
          <w:rFonts w:ascii="Times New Roman" w:hAnsi="Times New Roman" w:cs="Times New Roman"/>
          <w:i/>
          <w:lang w:val="en-GB"/>
        </w:rPr>
        <w:t>LL</w:t>
      </w:r>
      <w:r>
        <w:rPr>
          <w:rFonts w:ascii="Times New Roman" w:hAnsi="Times New Roman" w:cs="Times New Roman"/>
          <w:i/>
          <w:lang w:val="en-GB"/>
        </w:rPr>
        <w:t xml:space="preserve"> </w:t>
      </w:r>
      <w:r w:rsidRPr="00B94BC3">
        <w:rPr>
          <w:rFonts w:ascii="Times New Roman" w:hAnsi="Times New Roman" w:cs="Times New Roman"/>
          <w:lang w:val="en-GB"/>
        </w:rPr>
        <w:t>saw the Government concede that it had refused free legal aid to the applicant who was in possession of a positive reasonable grounds decision.</w:t>
      </w:r>
      <w:r w:rsidRPr="00B94BC3">
        <w:rPr>
          <w:rStyle w:val="FootnoteReference"/>
          <w:rFonts w:ascii="Times New Roman" w:hAnsi="Times New Roman" w:cs="Times New Roman"/>
          <w:i/>
          <w:lang w:val="en-GB"/>
        </w:rPr>
        <w:footnoteReference w:id="60"/>
      </w:r>
      <w:r w:rsidRPr="00B94BC3">
        <w:rPr>
          <w:rFonts w:ascii="Times New Roman" w:hAnsi="Times New Roman" w:cs="Times New Roman"/>
          <w:i/>
          <w:lang w:val="en-GB"/>
        </w:rPr>
        <w:t xml:space="preserve"> </w:t>
      </w:r>
      <w:r w:rsidRPr="00B94BC3">
        <w:rPr>
          <w:rFonts w:ascii="Times New Roman" w:hAnsi="Times New Roman" w:cs="Times New Roman"/>
          <w:lang w:val="en-GB"/>
        </w:rPr>
        <w:t>The applicant had sought expert legal advice while it was considered whether or not she would receive a positive conclusive ground decision, to be told that due to changes in policy regarding legal aid, there was no entitlement for advice during the identification process. Further to this, there was no automatic entitlement for those seeking discretionary leave.</w:t>
      </w:r>
      <w:r w:rsidRPr="00B94BC3">
        <w:rPr>
          <w:rStyle w:val="FootnoteReference"/>
          <w:rFonts w:ascii="Times New Roman" w:hAnsi="Times New Roman" w:cs="Times New Roman"/>
          <w:lang w:val="en-GB"/>
        </w:rPr>
        <w:footnoteReference w:id="61"/>
      </w:r>
      <w:r w:rsidRPr="00B94BC3">
        <w:rPr>
          <w:rFonts w:ascii="Times New Roman" w:hAnsi="Times New Roman" w:cs="Times New Roman"/>
          <w:lang w:val="en-GB"/>
        </w:rPr>
        <w:t xml:space="preserve"> It was conceded before the hearing that legal aid would be available to those with a reasonable grounds decision</w:t>
      </w:r>
      <w:r>
        <w:rPr>
          <w:rFonts w:ascii="Times New Roman" w:hAnsi="Times New Roman" w:cs="Times New Roman"/>
          <w:lang w:val="en-GB"/>
        </w:rPr>
        <w:t xml:space="preserve">, so as </w:t>
      </w:r>
      <w:r w:rsidRPr="00B94BC3">
        <w:rPr>
          <w:rFonts w:ascii="Times New Roman" w:hAnsi="Times New Roman" w:cs="Times New Roman"/>
          <w:lang w:val="en-GB"/>
        </w:rPr>
        <w:t>to aid in obtaining a conclusive grounds decision</w:t>
      </w:r>
      <w:r>
        <w:rPr>
          <w:rFonts w:ascii="Times New Roman" w:hAnsi="Times New Roman" w:cs="Times New Roman"/>
          <w:lang w:val="en-GB"/>
        </w:rPr>
        <w:t>,</w:t>
      </w:r>
      <w:r w:rsidRPr="00B94BC3">
        <w:rPr>
          <w:rFonts w:ascii="Times New Roman" w:hAnsi="Times New Roman" w:cs="Times New Roman"/>
          <w:lang w:val="en-GB"/>
        </w:rPr>
        <w:t xml:space="preserve"> and those seeking discretionary leave to remain.</w:t>
      </w:r>
      <w:r w:rsidRPr="00B94BC3">
        <w:rPr>
          <w:rStyle w:val="FootnoteReference"/>
          <w:rFonts w:ascii="Times New Roman" w:hAnsi="Times New Roman" w:cs="Times New Roman"/>
          <w:lang w:val="en-GB"/>
        </w:rPr>
        <w:footnoteReference w:id="62"/>
      </w:r>
    </w:p>
    <w:p w14:paraId="097CF066" w14:textId="77777777" w:rsidR="00DD2FCF" w:rsidRPr="00465121" w:rsidRDefault="00DD2FCF" w:rsidP="00751939">
      <w:pPr>
        <w:spacing w:line="276" w:lineRule="auto"/>
        <w:jc w:val="both"/>
        <w:rPr>
          <w:rFonts w:ascii="Times New Roman" w:hAnsi="Times New Roman" w:cs="Times New Roman"/>
          <w:lang w:val="en-GB"/>
        </w:rPr>
      </w:pPr>
    </w:p>
    <w:p w14:paraId="13F41477" w14:textId="77777777" w:rsidR="002D6519" w:rsidRPr="00465121" w:rsidRDefault="002D6519" w:rsidP="00751939">
      <w:pPr>
        <w:spacing w:line="276" w:lineRule="auto"/>
        <w:jc w:val="both"/>
        <w:rPr>
          <w:rFonts w:ascii="Times New Roman" w:hAnsi="Times New Roman" w:cs="Times New Roman"/>
          <w:lang w:val="en-GB"/>
        </w:rPr>
      </w:pPr>
    </w:p>
    <w:p w14:paraId="0111DA3B" w14:textId="0D352A78" w:rsidR="001863D9" w:rsidRPr="00465121" w:rsidRDefault="00AA643C" w:rsidP="00751939">
      <w:pPr>
        <w:spacing w:line="276" w:lineRule="auto"/>
        <w:jc w:val="both"/>
        <w:rPr>
          <w:rFonts w:ascii="Times New Roman" w:hAnsi="Times New Roman" w:cs="Times New Roman"/>
          <w:u w:val="single"/>
          <w:lang w:val="en-GB"/>
        </w:rPr>
      </w:pPr>
      <w:r>
        <w:rPr>
          <w:rFonts w:ascii="Times New Roman" w:hAnsi="Times New Roman" w:cs="Times New Roman"/>
          <w:b/>
          <w:u w:val="single"/>
          <w:lang w:val="en-GB"/>
        </w:rPr>
        <w:t xml:space="preserve">Impact on Victims: An </w:t>
      </w:r>
      <w:r w:rsidR="00430023" w:rsidRPr="00465121">
        <w:rPr>
          <w:rFonts w:ascii="Times New Roman" w:hAnsi="Times New Roman" w:cs="Times New Roman"/>
          <w:b/>
          <w:u w:val="single"/>
          <w:lang w:val="en-GB"/>
        </w:rPr>
        <w:t>Empirical Analysis</w:t>
      </w:r>
    </w:p>
    <w:p w14:paraId="7C585E2C" w14:textId="77777777" w:rsidR="001863D9" w:rsidRPr="00465121" w:rsidRDefault="001863D9" w:rsidP="00751939">
      <w:pPr>
        <w:spacing w:line="276" w:lineRule="auto"/>
        <w:jc w:val="both"/>
        <w:rPr>
          <w:rFonts w:ascii="Times New Roman" w:hAnsi="Times New Roman" w:cs="Times New Roman"/>
          <w:u w:val="single"/>
          <w:lang w:val="en-GB"/>
        </w:rPr>
      </w:pPr>
    </w:p>
    <w:p w14:paraId="24EDCB73" w14:textId="551BC079" w:rsidR="001863D9" w:rsidRPr="00465121" w:rsidRDefault="00BA448D"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Having discussed</w:t>
      </w:r>
      <w:r w:rsidR="00FC5295" w:rsidRPr="00465121">
        <w:rPr>
          <w:rFonts w:ascii="Times New Roman" w:hAnsi="Times New Roman" w:cs="Times New Roman"/>
          <w:lang w:val="en-GB"/>
        </w:rPr>
        <w:t xml:space="preserve"> the legal position of non-UK national</w:t>
      </w:r>
      <w:r w:rsidR="00166E4F" w:rsidRPr="00465121">
        <w:rPr>
          <w:rFonts w:ascii="Times New Roman" w:hAnsi="Times New Roman" w:cs="Times New Roman"/>
          <w:lang w:val="en-GB"/>
        </w:rPr>
        <w:t xml:space="preserve">s </w:t>
      </w:r>
      <w:r w:rsidR="00FC5295" w:rsidRPr="00465121">
        <w:rPr>
          <w:rFonts w:ascii="Times New Roman" w:hAnsi="Times New Roman" w:cs="Times New Roman"/>
          <w:lang w:val="en-GB"/>
        </w:rPr>
        <w:t xml:space="preserve">who have exited the NRM, consideration will now be given to the experiences of those who have </w:t>
      </w:r>
      <w:r w:rsidRPr="00465121">
        <w:rPr>
          <w:rFonts w:ascii="Times New Roman" w:hAnsi="Times New Roman" w:cs="Times New Roman"/>
          <w:lang w:val="en-GB"/>
        </w:rPr>
        <w:t>been forced</w:t>
      </w:r>
      <w:r w:rsidR="00FC5295" w:rsidRPr="00465121">
        <w:rPr>
          <w:rFonts w:ascii="Times New Roman" w:hAnsi="Times New Roman" w:cs="Times New Roman"/>
          <w:lang w:val="en-GB"/>
        </w:rPr>
        <w:t xml:space="preserve"> to navigate this legal context due to their circumstances. This will highlight deficits in provision and the resultant difficulties; a</w:t>
      </w:r>
      <w:r w:rsidR="00166E4F" w:rsidRPr="00465121">
        <w:rPr>
          <w:rFonts w:ascii="Times New Roman" w:hAnsi="Times New Roman" w:cs="Times New Roman"/>
          <w:lang w:val="en-GB"/>
        </w:rPr>
        <w:t>s well as</w:t>
      </w:r>
      <w:r w:rsidR="00FC5295" w:rsidRPr="00465121">
        <w:rPr>
          <w:rFonts w:ascii="Times New Roman" w:hAnsi="Times New Roman" w:cs="Times New Roman"/>
          <w:lang w:val="en-GB"/>
        </w:rPr>
        <w:t xml:space="preserve"> the impact of this on the recovery of the individual who has been through the NRM and received a positive Conclusive Grounds decision.</w:t>
      </w:r>
      <w:r w:rsidR="00B94BC3" w:rsidRPr="00465121">
        <w:rPr>
          <w:rFonts w:ascii="Times New Roman" w:hAnsi="Times New Roman" w:cs="Times New Roman"/>
          <w:lang w:val="en-GB"/>
        </w:rPr>
        <w:t xml:space="preserve">  As referenced above, the Human Trafficking Foundation, in the report “Day 46: Is there Life After the Safe House for Survivors of Modern Slavery</w:t>
      </w:r>
      <w:r w:rsidR="00166E4F" w:rsidRPr="00465121">
        <w:rPr>
          <w:rFonts w:ascii="Times New Roman" w:hAnsi="Times New Roman" w:cs="Times New Roman"/>
          <w:lang w:val="en-GB"/>
        </w:rPr>
        <w:t>,</w:t>
      </w:r>
      <w:r w:rsidR="00B94BC3" w:rsidRPr="00465121">
        <w:rPr>
          <w:rFonts w:ascii="Times New Roman" w:hAnsi="Times New Roman" w:cs="Times New Roman"/>
          <w:lang w:val="en-GB"/>
        </w:rPr>
        <w:t>”</w:t>
      </w:r>
      <w:r w:rsidR="00B94BC3" w:rsidRPr="00465121">
        <w:rPr>
          <w:rStyle w:val="FootnoteReference"/>
          <w:rFonts w:ascii="Times New Roman" w:hAnsi="Times New Roman" w:cs="Times New Roman"/>
          <w:lang w:val="en-GB"/>
        </w:rPr>
        <w:footnoteReference w:id="63"/>
      </w:r>
      <w:r w:rsidR="00B94BC3" w:rsidRPr="00465121">
        <w:rPr>
          <w:rFonts w:ascii="Times New Roman" w:hAnsi="Times New Roman" w:cs="Times New Roman"/>
          <w:lang w:val="en-GB"/>
        </w:rPr>
        <w:t xml:space="preserve"> identify </w:t>
      </w:r>
      <w:r w:rsidR="007A5E00" w:rsidRPr="00465121">
        <w:rPr>
          <w:rFonts w:ascii="Times New Roman" w:hAnsi="Times New Roman" w:cs="Times New Roman"/>
          <w:lang w:val="en-GB"/>
        </w:rPr>
        <w:t xml:space="preserve">the </w:t>
      </w:r>
      <w:r w:rsidR="00B94BC3" w:rsidRPr="00465121">
        <w:rPr>
          <w:rFonts w:ascii="Times New Roman" w:hAnsi="Times New Roman" w:cs="Times New Roman"/>
          <w:lang w:val="en-GB"/>
        </w:rPr>
        <w:t>three most commonly encountered difficulties with the current support system:</w:t>
      </w:r>
    </w:p>
    <w:p w14:paraId="498A2FEC" w14:textId="77777777" w:rsidR="00B94BC3" w:rsidRPr="00465121" w:rsidRDefault="00B94BC3" w:rsidP="00751939">
      <w:pPr>
        <w:spacing w:line="276" w:lineRule="auto"/>
        <w:jc w:val="both"/>
        <w:rPr>
          <w:rFonts w:ascii="Times New Roman" w:hAnsi="Times New Roman" w:cs="Times New Roman"/>
          <w:lang w:val="en-GB"/>
        </w:rPr>
      </w:pPr>
    </w:p>
    <w:p w14:paraId="79869E1A" w14:textId="57AF39E8" w:rsidR="00B94BC3" w:rsidRPr="00465121" w:rsidRDefault="00B94BC3" w:rsidP="00B94BC3">
      <w:pPr>
        <w:pStyle w:val="ListParagraph"/>
        <w:numPr>
          <w:ilvl w:val="0"/>
          <w:numId w:val="13"/>
        </w:numPr>
        <w:spacing w:line="276" w:lineRule="auto"/>
        <w:jc w:val="both"/>
        <w:rPr>
          <w:rFonts w:ascii="Times New Roman" w:hAnsi="Times New Roman" w:cs="Times New Roman"/>
          <w:lang w:val="en-GB"/>
        </w:rPr>
      </w:pPr>
      <w:r w:rsidRPr="00465121">
        <w:rPr>
          <w:rFonts w:ascii="Times New Roman" w:hAnsi="Times New Roman" w:cs="Times New Roman"/>
          <w:lang w:val="en-GB"/>
        </w:rPr>
        <w:t>Finding suitable accommodation</w:t>
      </w:r>
    </w:p>
    <w:p w14:paraId="3448609D" w14:textId="6589B2CA" w:rsidR="00B94BC3" w:rsidRPr="00465121" w:rsidRDefault="00B94BC3" w:rsidP="00B94BC3">
      <w:pPr>
        <w:pStyle w:val="ListParagraph"/>
        <w:numPr>
          <w:ilvl w:val="0"/>
          <w:numId w:val="13"/>
        </w:numPr>
        <w:spacing w:line="276" w:lineRule="auto"/>
        <w:jc w:val="both"/>
        <w:rPr>
          <w:rFonts w:ascii="Times New Roman" w:hAnsi="Times New Roman" w:cs="Times New Roman"/>
          <w:lang w:val="en-GB"/>
        </w:rPr>
      </w:pPr>
      <w:r w:rsidRPr="00465121">
        <w:rPr>
          <w:rFonts w:ascii="Times New Roman" w:hAnsi="Times New Roman" w:cs="Times New Roman"/>
          <w:lang w:val="en-GB"/>
        </w:rPr>
        <w:t>Accessing on-going professional support and advocacy</w:t>
      </w:r>
    </w:p>
    <w:p w14:paraId="784D4F12" w14:textId="044FB9DF" w:rsidR="00B94BC3" w:rsidRPr="00465121" w:rsidRDefault="00B94BC3" w:rsidP="00B94BC3">
      <w:pPr>
        <w:pStyle w:val="ListParagraph"/>
        <w:numPr>
          <w:ilvl w:val="0"/>
          <w:numId w:val="13"/>
        </w:numPr>
        <w:spacing w:line="276" w:lineRule="auto"/>
        <w:jc w:val="both"/>
        <w:rPr>
          <w:rFonts w:ascii="Times New Roman" w:hAnsi="Times New Roman" w:cs="Times New Roman"/>
          <w:lang w:val="en-GB"/>
        </w:rPr>
      </w:pPr>
      <w:r w:rsidRPr="00465121">
        <w:rPr>
          <w:rFonts w:ascii="Times New Roman" w:hAnsi="Times New Roman" w:cs="Times New Roman"/>
          <w:lang w:val="en-GB"/>
        </w:rPr>
        <w:t>Stabilised immigration status</w:t>
      </w:r>
      <w:r w:rsidR="006319CC" w:rsidRPr="00465121">
        <w:rPr>
          <w:rFonts w:ascii="Times New Roman" w:hAnsi="Times New Roman" w:cs="Times New Roman"/>
          <w:lang w:val="en-GB"/>
        </w:rPr>
        <w:t>, therefore one year of automatic discretionary leave to remain is recommended by the report.</w:t>
      </w:r>
    </w:p>
    <w:p w14:paraId="4F4E278A" w14:textId="77777777" w:rsidR="006319CC" w:rsidRPr="00465121" w:rsidRDefault="006319CC" w:rsidP="006319CC">
      <w:pPr>
        <w:spacing w:line="276" w:lineRule="auto"/>
        <w:jc w:val="both"/>
        <w:rPr>
          <w:rFonts w:ascii="Times New Roman" w:hAnsi="Times New Roman" w:cs="Times New Roman"/>
          <w:lang w:val="en-GB"/>
        </w:rPr>
      </w:pPr>
    </w:p>
    <w:p w14:paraId="1B105EF4" w14:textId="3D464CED" w:rsidR="006319CC" w:rsidRPr="00465121" w:rsidRDefault="006319CC" w:rsidP="006319CC">
      <w:pPr>
        <w:spacing w:line="276" w:lineRule="auto"/>
        <w:jc w:val="both"/>
        <w:rPr>
          <w:rFonts w:ascii="Times New Roman" w:hAnsi="Times New Roman" w:cs="Times New Roman"/>
          <w:lang w:val="en-GB"/>
        </w:rPr>
      </w:pPr>
      <w:r w:rsidRPr="00465121">
        <w:rPr>
          <w:rFonts w:ascii="Times New Roman" w:hAnsi="Times New Roman" w:cs="Times New Roman"/>
          <w:lang w:val="en-GB"/>
        </w:rPr>
        <w:t>In view of th</w:t>
      </w:r>
      <w:r w:rsidR="007A5E00" w:rsidRPr="00465121">
        <w:rPr>
          <w:rFonts w:ascii="Times New Roman" w:hAnsi="Times New Roman" w:cs="Times New Roman"/>
          <w:lang w:val="en-GB"/>
        </w:rPr>
        <w:t>ese findings</w:t>
      </w:r>
      <w:r w:rsidRPr="00465121">
        <w:rPr>
          <w:rFonts w:ascii="Times New Roman" w:hAnsi="Times New Roman" w:cs="Times New Roman"/>
          <w:lang w:val="en-GB"/>
        </w:rPr>
        <w:t>, this study seeks to further explore the lived experiences of trafficking victims in navigating the UK system as a non-UK national.</w:t>
      </w:r>
      <w:r w:rsidR="00375EBA" w:rsidRPr="00465121">
        <w:rPr>
          <w:rFonts w:ascii="Times New Roman" w:hAnsi="Times New Roman" w:cs="Times New Roman"/>
          <w:lang w:val="en-GB"/>
        </w:rPr>
        <w:t xml:space="preserve">  This will be done by undertaking</w:t>
      </w:r>
      <w:r w:rsidR="00007ECF" w:rsidRPr="00465121">
        <w:rPr>
          <w:rFonts w:ascii="Times New Roman" w:hAnsi="Times New Roman" w:cs="Times New Roman"/>
          <w:lang w:val="en-GB"/>
        </w:rPr>
        <w:t xml:space="preserve"> semi-structured interviews with caseworkers, who will each discuss a selection of anonymised cases, particularly discussing the various impacts that a lack of leave to remain in the UK has on the lif</w:t>
      </w:r>
      <w:r w:rsidR="00C21130" w:rsidRPr="00465121">
        <w:rPr>
          <w:rFonts w:ascii="Times New Roman" w:hAnsi="Times New Roman" w:cs="Times New Roman"/>
          <w:lang w:val="en-GB"/>
        </w:rPr>
        <w:t>e of the individual.  Having previously analysed the particulars of UK policy for non-UK national victims of trafficking, and the ways in which the UK is failing to meet its international (and self declared) obligations, these interviews and subsequent analysis will demonstrate the impact of the UK policy on victims, and further support the argument that the UK Government is failing to fully meet its obligations to protect victims.</w:t>
      </w:r>
    </w:p>
    <w:p w14:paraId="6C9B6264" w14:textId="77777777" w:rsidR="001863D9" w:rsidRPr="00465121" w:rsidRDefault="001863D9" w:rsidP="00751939">
      <w:pPr>
        <w:spacing w:line="276" w:lineRule="auto"/>
        <w:jc w:val="both"/>
        <w:rPr>
          <w:rFonts w:ascii="Times New Roman" w:hAnsi="Times New Roman" w:cs="Times New Roman"/>
          <w:lang w:val="en-GB"/>
        </w:rPr>
      </w:pPr>
    </w:p>
    <w:p w14:paraId="201A8B38" w14:textId="1CB9EBFE"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After the interviews had been completed and transcribed</w:t>
      </w:r>
      <w:r w:rsidR="00E32050" w:rsidRPr="00465121">
        <w:rPr>
          <w:rFonts w:ascii="Times New Roman" w:hAnsi="Times New Roman" w:cs="Times New Roman"/>
          <w:lang w:val="en-GB"/>
        </w:rPr>
        <w:t>,</w:t>
      </w:r>
      <w:r w:rsidR="00015DCF" w:rsidRPr="00465121">
        <w:rPr>
          <w:rFonts w:ascii="Times New Roman" w:hAnsi="Times New Roman" w:cs="Times New Roman"/>
          <w:lang w:val="en-GB"/>
        </w:rPr>
        <w:t xml:space="preserve"> each </w:t>
      </w:r>
      <w:r w:rsidRPr="00465121">
        <w:rPr>
          <w:rFonts w:ascii="Times New Roman" w:hAnsi="Times New Roman" w:cs="Times New Roman"/>
          <w:lang w:val="en-GB"/>
        </w:rPr>
        <w:t xml:space="preserve">was analysed to capture emerging themes using NVivo Computer Assisted Qualitative Data Analysis Software (CAQDAS).  </w:t>
      </w:r>
      <w:r w:rsidR="00015DCF" w:rsidRPr="00465121">
        <w:rPr>
          <w:rFonts w:ascii="Times New Roman" w:hAnsi="Times New Roman" w:cs="Times New Roman"/>
          <w:lang w:val="en-GB"/>
        </w:rPr>
        <w:t>From this analysis, ‘top level’ or overarching th</w:t>
      </w:r>
      <w:r w:rsidR="00AA643C">
        <w:rPr>
          <w:rFonts w:ascii="Times New Roman" w:hAnsi="Times New Roman" w:cs="Times New Roman"/>
          <w:lang w:val="en-GB"/>
        </w:rPr>
        <w:t>emes were identified.  Each top-</w:t>
      </w:r>
      <w:r w:rsidR="00015DCF" w:rsidRPr="00465121">
        <w:rPr>
          <w:rFonts w:ascii="Times New Roman" w:hAnsi="Times New Roman" w:cs="Times New Roman"/>
          <w:lang w:val="en-GB"/>
        </w:rPr>
        <w:t>level theme was then re-analyse</w:t>
      </w:r>
      <w:r w:rsidR="00AA643C">
        <w:rPr>
          <w:rFonts w:ascii="Times New Roman" w:hAnsi="Times New Roman" w:cs="Times New Roman"/>
          <w:lang w:val="en-GB"/>
        </w:rPr>
        <w:t>d</w:t>
      </w:r>
      <w:r w:rsidR="00015DCF" w:rsidRPr="00465121">
        <w:rPr>
          <w:rFonts w:ascii="Times New Roman" w:hAnsi="Times New Roman" w:cs="Times New Roman"/>
          <w:lang w:val="en-GB"/>
        </w:rPr>
        <w:t xml:space="preserve"> to further categorise into ‘micro-themes’ that emerged.  </w:t>
      </w:r>
      <w:r w:rsidRPr="00465121">
        <w:rPr>
          <w:rFonts w:ascii="Times New Roman" w:hAnsi="Times New Roman" w:cs="Times New Roman"/>
          <w:lang w:val="en-GB"/>
        </w:rPr>
        <w:t xml:space="preserve">  </w:t>
      </w:r>
    </w:p>
    <w:p w14:paraId="355BA49B" w14:textId="77777777" w:rsidR="001863D9" w:rsidRPr="00465121" w:rsidRDefault="001863D9" w:rsidP="00751939">
      <w:pPr>
        <w:spacing w:line="276" w:lineRule="auto"/>
        <w:jc w:val="both"/>
        <w:rPr>
          <w:rFonts w:ascii="Times New Roman" w:hAnsi="Times New Roman" w:cs="Times New Roman"/>
          <w:lang w:val="en-GB"/>
        </w:rPr>
      </w:pPr>
    </w:p>
    <w:p w14:paraId="17C6B02B" w14:textId="1BD3A227"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 xml:space="preserve">The top-level themes that emerged </w:t>
      </w:r>
      <w:r w:rsidR="00E32050" w:rsidRPr="00465121">
        <w:rPr>
          <w:rFonts w:ascii="Times New Roman" w:hAnsi="Times New Roman" w:cs="Times New Roman"/>
          <w:lang w:val="en-GB"/>
        </w:rPr>
        <w:t xml:space="preserve">from this analysis </w:t>
      </w:r>
      <w:r w:rsidRPr="00465121">
        <w:rPr>
          <w:rFonts w:ascii="Times New Roman" w:hAnsi="Times New Roman" w:cs="Times New Roman"/>
          <w:lang w:val="en-GB"/>
        </w:rPr>
        <w:t>were:</w:t>
      </w:r>
    </w:p>
    <w:p w14:paraId="3C611DA4" w14:textId="77777777" w:rsidR="001863D9" w:rsidRPr="00465121" w:rsidRDefault="001863D9" w:rsidP="00751939">
      <w:pPr>
        <w:spacing w:line="276" w:lineRule="auto"/>
        <w:jc w:val="both"/>
        <w:rPr>
          <w:rFonts w:ascii="Times New Roman" w:hAnsi="Times New Roman" w:cs="Times New Roman"/>
          <w:lang w:val="en-GB"/>
        </w:rPr>
      </w:pPr>
    </w:p>
    <w:p w14:paraId="74BAE302" w14:textId="3D1D827A" w:rsidR="001863D9" w:rsidRPr="00465121" w:rsidRDefault="00E32050" w:rsidP="00751939">
      <w:pPr>
        <w:pStyle w:val="ListParagraph"/>
        <w:numPr>
          <w:ilvl w:val="0"/>
          <w:numId w:val="5"/>
        </w:numPr>
        <w:spacing w:line="276" w:lineRule="auto"/>
        <w:jc w:val="both"/>
        <w:rPr>
          <w:rFonts w:ascii="Times New Roman" w:hAnsi="Times New Roman" w:cs="Times New Roman"/>
          <w:lang w:val="en-GB"/>
        </w:rPr>
      </w:pPr>
      <w:r w:rsidRPr="00465121">
        <w:rPr>
          <w:rFonts w:ascii="Times New Roman" w:hAnsi="Times New Roman" w:cs="Times New Roman"/>
          <w:lang w:val="en-GB"/>
        </w:rPr>
        <w:t>The e</w:t>
      </w:r>
      <w:r w:rsidR="001863D9" w:rsidRPr="00465121">
        <w:rPr>
          <w:rFonts w:ascii="Times New Roman" w:hAnsi="Times New Roman" w:cs="Times New Roman"/>
          <w:lang w:val="en-GB"/>
        </w:rPr>
        <w:t xml:space="preserve">motional impact of lack of </w:t>
      </w:r>
      <w:r w:rsidR="00B94BC3" w:rsidRPr="00465121">
        <w:rPr>
          <w:rFonts w:ascii="Times New Roman" w:hAnsi="Times New Roman" w:cs="Times New Roman"/>
          <w:lang w:val="en-GB"/>
        </w:rPr>
        <w:t>regularized</w:t>
      </w:r>
      <w:r w:rsidR="001863D9" w:rsidRPr="00465121">
        <w:rPr>
          <w:rFonts w:ascii="Times New Roman" w:hAnsi="Times New Roman" w:cs="Times New Roman"/>
          <w:lang w:val="en-GB"/>
        </w:rPr>
        <w:t xml:space="preserve"> status</w:t>
      </w:r>
    </w:p>
    <w:p w14:paraId="40A3BA0A" w14:textId="77777777" w:rsidR="001863D9" w:rsidRPr="00465121" w:rsidRDefault="001863D9" w:rsidP="00751939">
      <w:pPr>
        <w:pStyle w:val="ListParagraph"/>
        <w:numPr>
          <w:ilvl w:val="0"/>
          <w:numId w:val="5"/>
        </w:numPr>
        <w:spacing w:line="276" w:lineRule="auto"/>
        <w:jc w:val="both"/>
        <w:rPr>
          <w:rFonts w:ascii="Times New Roman" w:hAnsi="Times New Roman" w:cs="Times New Roman"/>
          <w:lang w:val="en-GB"/>
        </w:rPr>
      </w:pPr>
      <w:r w:rsidRPr="00465121">
        <w:rPr>
          <w:rFonts w:ascii="Times New Roman" w:hAnsi="Times New Roman" w:cs="Times New Roman"/>
          <w:lang w:val="en-GB"/>
        </w:rPr>
        <w:t>Issues within the immigration system legal processes</w:t>
      </w:r>
    </w:p>
    <w:p w14:paraId="6424E447" w14:textId="77777777" w:rsidR="001863D9" w:rsidRPr="00465121" w:rsidRDefault="001863D9" w:rsidP="00751939">
      <w:pPr>
        <w:pStyle w:val="ListParagraph"/>
        <w:numPr>
          <w:ilvl w:val="0"/>
          <w:numId w:val="5"/>
        </w:numPr>
        <w:spacing w:line="276" w:lineRule="auto"/>
        <w:jc w:val="both"/>
        <w:rPr>
          <w:rFonts w:ascii="Times New Roman" w:hAnsi="Times New Roman" w:cs="Times New Roman"/>
          <w:lang w:val="en-GB"/>
        </w:rPr>
      </w:pPr>
      <w:r w:rsidRPr="00465121">
        <w:rPr>
          <w:rFonts w:ascii="Times New Roman" w:hAnsi="Times New Roman" w:cs="Times New Roman"/>
          <w:lang w:val="en-GB"/>
        </w:rPr>
        <w:t>Home Office decision making</w:t>
      </w:r>
    </w:p>
    <w:p w14:paraId="76565F0B" w14:textId="4D293FF9" w:rsidR="001863D9" w:rsidRPr="00465121" w:rsidRDefault="00E32050" w:rsidP="00751939">
      <w:pPr>
        <w:pStyle w:val="ListParagraph"/>
        <w:numPr>
          <w:ilvl w:val="0"/>
          <w:numId w:val="5"/>
        </w:numPr>
        <w:spacing w:line="276" w:lineRule="auto"/>
        <w:jc w:val="both"/>
        <w:rPr>
          <w:rFonts w:ascii="Times New Roman" w:hAnsi="Times New Roman" w:cs="Times New Roman"/>
          <w:lang w:val="en-GB"/>
        </w:rPr>
      </w:pPr>
      <w:r w:rsidRPr="00465121">
        <w:rPr>
          <w:rFonts w:ascii="Times New Roman" w:hAnsi="Times New Roman" w:cs="Times New Roman"/>
          <w:lang w:val="en-GB"/>
        </w:rPr>
        <w:t>The i</w:t>
      </w:r>
      <w:r w:rsidR="001863D9" w:rsidRPr="00465121">
        <w:rPr>
          <w:rFonts w:ascii="Times New Roman" w:hAnsi="Times New Roman" w:cs="Times New Roman"/>
          <w:lang w:val="en-GB"/>
        </w:rPr>
        <w:t>mpact</w:t>
      </w:r>
      <w:r w:rsidR="00F2774B" w:rsidRPr="00465121">
        <w:rPr>
          <w:rFonts w:ascii="Times New Roman" w:hAnsi="Times New Roman" w:cs="Times New Roman"/>
          <w:lang w:val="en-GB"/>
        </w:rPr>
        <w:t xml:space="preserve"> of</w:t>
      </w:r>
      <w:r w:rsidR="00C93200" w:rsidRPr="00465121">
        <w:rPr>
          <w:rFonts w:ascii="Times New Roman" w:hAnsi="Times New Roman" w:cs="Times New Roman"/>
          <w:lang w:val="en-GB"/>
        </w:rPr>
        <w:t xml:space="preserve"> lack of regular status on dependent</w:t>
      </w:r>
      <w:r w:rsidR="001863D9" w:rsidRPr="00465121">
        <w:rPr>
          <w:rFonts w:ascii="Times New Roman" w:hAnsi="Times New Roman" w:cs="Times New Roman"/>
          <w:lang w:val="en-GB"/>
        </w:rPr>
        <w:t xml:space="preserve"> children</w:t>
      </w:r>
    </w:p>
    <w:p w14:paraId="6A890E5F" w14:textId="77777777" w:rsidR="001863D9" w:rsidRPr="00465121" w:rsidRDefault="001863D9" w:rsidP="00751939">
      <w:pPr>
        <w:pStyle w:val="ListParagraph"/>
        <w:numPr>
          <w:ilvl w:val="0"/>
          <w:numId w:val="5"/>
        </w:numPr>
        <w:spacing w:line="276" w:lineRule="auto"/>
        <w:jc w:val="both"/>
        <w:rPr>
          <w:rFonts w:ascii="Times New Roman" w:hAnsi="Times New Roman" w:cs="Times New Roman"/>
          <w:lang w:val="en-GB"/>
        </w:rPr>
      </w:pPr>
      <w:r w:rsidRPr="00465121">
        <w:rPr>
          <w:rFonts w:ascii="Times New Roman" w:hAnsi="Times New Roman" w:cs="Times New Roman"/>
          <w:lang w:val="en-GB"/>
        </w:rPr>
        <w:t>Navigating the welfare system as a non-UK national</w:t>
      </w:r>
    </w:p>
    <w:p w14:paraId="26F94993" w14:textId="77777777" w:rsidR="001863D9" w:rsidRPr="00465121" w:rsidRDefault="001863D9" w:rsidP="00751939">
      <w:pPr>
        <w:pStyle w:val="ListParagraph"/>
        <w:numPr>
          <w:ilvl w:val="0"/>
          <w:numId w:val="5"/>
        </w:numPr>
        <w:spacing w:line="276" w:lineRule="auto"/>
        <w:jc w:val="both"/>
        <w:rPr>
          <w:rFonts w:ascii="Times New Roman" w:hAnsi="Times New Roman" w:cs="Times New Roman"/>
          <w:lang w:val="en-GB"/>
        </w:rPr>
      </w:pPr>
      <w:r w:rsidRPr="00465121">
        <w:rPr>
          <w:rFonts w:ascii="Times New Roman" w:hAnsi="Times New Roman" w:cs="Times New Roman"/>
          <w:lang w:val="en-GB"/>
        </w:rPr>
        <w:t>Policy Suggestions</w:t>
      </w:r>
    </w:p>
    <w:p w14:paraId="448857EE" w14:textId="77777777" w:rsidR="001863D9" w:rsidRPr="00465121" w:rsidRDefault="001863D9" w:rsidP="00751939">
      <w:pPr>
        <w:spacing w:line="276" w:lineRule="auto"/>
        <w:jc w:val="both"/>
        <w:rPr>
          <w:rFonts w:ascii="Times New Roman" w:hAnsi="Times New Roman" w:cs="Times New Roman"/>
          <w:lang w:val="en-GB"/>
        </w:rPr>
      </w:pPr>
    </w:p>
    <w:p w14:paraId="42880B7F" w14:textId="629AD2A2" w:rsidR="00F2774B"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Each of these emergent themes will be explored with regard</w:t>
      </w:r>
      <w:r w:rsidR="00E32050" w:rsidRPr="00465121">
        <w:rPr>
          <w:rFonts w:ascii="Times New Roman" w:hAnsi="Times New Roman" w:cs="Times New Roman"/>
          <w:lang w:val="en-GB"/>
        </w:rPr>
        <w:t>s</w:t>
      </w:r>
      <w:r w:rsidRPr="00465121">
        <w:rPr>
          <w:rFonts w:ascii="Times New Roman" w:hAnsi="Times New Roman" w:cs="Times New Roman"/>
          <w:lang w:val="en-GB"/>
        </w:rPr>
        <w:t xml:space="preserve"> to the identified micro themes within each section.  Particular micro themes that merit further explanation or expansion will be discussed in greater detail within each section.</w:t>
      </w:r>
      <w:r w:rsidR="00F2774B" w:rsidRPr="00465121">
        <w:rPr>
          <w:rFonts w:ascii="Times New Roman" w:hAnsi="Times New Roman" w:cs="Times New Roman"/>
          <w:lang w:val="en-GB"/>
        </w:rPr>
        <w:t xml:space="preserve">  This will enable specific linkages to be made connecting the experiences of victims to Government policy.</w:t>
      </w:r>
      <w:r w:rsidR="00250E7C">
        <w:rPr>
          <w:rFonts w:ascii="Times New Roman" w:hAnsi="Times New Roman" w:cs="Times New Roman"/>
          <w:lang w:val="en-GB"/>
        </w:rPr>
        <w:t xml:space="preserve">  The authors acknowledge that this is not a definitive list of the problems faced by victims, but an overview that comes from the particular experiences of those caseworkers interviewed.</w:t>
      </w:r>
    </w:p>
    <w:p w14:paraId="73E1D414" w14:textId="77777777" w:rsidR="001863D9" w:rsidRPr="00465121" w:rsidRDefault="001863D9" w:rsidP="00751939">
      <w:pPr>
        <w:spacing w:line="276" w:lineRule="auto"/>
        <w:jc w:val="both"/>
        <w:rPr>
          <w:rFonts w:ascii="Times New Roman" w:hAnsi="Times New Roman" w:cs="Times New Roman"/>
          <w:lang w:val="en-GB"/>
        </w:rPr>
      </w:pPr>
    </w:p>
    <w:p w14:paraId="399209D6" w14:textId="277DFABF" w:rsidR="001863D9" w:rsidRPr="00465121" w:rsidRDefault="001863D9" w:rsidP="00751939">
      <w:pPr>
        <w:spacing w:line="276" w:lineRule="auto"/>
        <w:jc w:val="both"/>
        <w:rPr>
          <w:rFonts w:ascii="Times New Roman" w:hAnsi="Times New Roman" w:cs="Times New Roman"/>
          <w:i/>
          <w:lang w:val="en-GB"/>
        </w:rPr>
      </w:pPr>
      <w:r w:rsidRPr="00465121">
        <w:rPr>
          <w:rFonts w:ascii="Times New Roman" w:hAnsi="Times New Roman" w:cs="Times New Roman"/>
          <w:i/>
          <w:lang w:val="en-GB"/>
        </w:rPr>
        <w:t>Emotion</w:t>
      </w:r>
      <w:r w:rsidR="00FC5295" w:rsidRPr="00465121">
        <w:rPr>
          <w:rFonts w:ascii="Times New Roman" w:hAnsi="Times New Roman" w:cs="Times New Roman"/>
          <w:i/>
          <w:lang w:val="en-GB"/>
        </w:rPr>
        <w:t>al Impact of Lack of Regular</w:t>
      </w:r>
      <w:r w:rsidRPr="00465121">
        <w:rPr>
          <w:rFonts w:ascii="Times New Roman" w:hAnsi="Times New Roman" w:cs="Times New Roman"/>
          <w:i/>
          <w:lang w:val="en-GB"/>
        </w:rPr>
        <w:t xml:space="preserve"> Status</w:t>
      </w:r>
    </w:p>
    <w:p w14:paraId="61F206CC" w14:textId="77777777" w:rsidR="001863D9" w:rsidRPr="00465121" w:rsidRDefault="001863D9" w:rsidP="00751939">
      <w:pPr>
        <w:spacing w:line="276" w:lineRule="auto"/>
        <w:jc w:val="both"/>
        <w:rPr>
          <w:rFonts w:ascii="Times New Roman" w:hAnsi="Times New Roman" w:cs="Times New Roman"/>
          <w:lang w:val="en-GB"/>
        </w:rPr>
      </w:pPr>
    </w:p>
    <w:p w14:paraId="7E55EE07" w14:textId="5B34761B"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Identified within the broad theme of the emotion</w:t>
      </w:r>
      <w:r w:rsidR="00FC5295" w:rsidRPr="00465121">
        <w:rPr>
          <w:rFonts w:ascii="Times New Roman" w:hAnsi="Times New Roman" w:cs="Times New Roman"/>
          <w:lang w:val="en-GB"/>
        </w:rPr>
        <w:t xml:space="preserve">al impact of </w:t>
      </w:r>
      <w:r w:rsidR="00B56FA1" w:rsidRPr="00465121">
        <w:rPr>
          <w:rFonts w:ascii="Times New Roman" w:hAnsi="Times New Roman" w:cs="Times New Roman"/>
          <w:lang w:val="en-GB"/>
        </w:rPr>
        <w:t xml:space="preserve">the </w:t>
      </w:r>
      <w:r w:rsidR="00FC5295" w:rsidRPr="00465121">
        <w:rPr>
          <w:rFonts w:ascii="Times New Roman" w:hAnsi="Times New Roman" w:cs="Times New Roman"/>
          <w:lang w:val="en-GB"/>
        </w:rPr>
        <w:t>lack of regular</w:t>
      </w:r>
      <w:r w:rsidRPr="00465121">
        <w:rPr>
          <w:rFonts w:ascii="Times New Roman" w:hAnsi="Times New Roman" w:cs="Times New Roman"/>
          <w:lang w:val="en-GB"/>
        </w:rPr>
        <w:t xml:space="preserve"> status were </w:t>
      </w:r>
      <w:r w:rsidR="00B56FA1" w:rsidRPr="00465121">
        <w:rPr>
          <w:rFonts w:ascii="Times New Roman" w:hAnsi="Times New Roman" w:cs="Times New Roman"/>
          <w:lang w:val="en-GB"/>
        </w:rPr>
        <w:t xml:space="preserve">eleven </w:t>
      </w:r>
      <w:r w:rsidRPr="00465121">
        <w:rPr>
          <w:rFonts w:ascii="Times New Roman" w:hAnsi="Times New Roman" w:cs="Times New Roman"/>
          <w:lang w:val="en-GB"/>
        </w:rPr>
        <w:t>micro themes:</w:t>
      </w:r>
    </w:p>
    <w:p w14:paraId="41998225" w14:textId="77777777" w:rsidR="001863D9" w:rsidRPr="00465121" w:rsidRDefault="001863D9" w:rsidP="00751939">
      <w:pPr>
        <w:spacing w:line="276" w:lineRule="auto"/>
        <w:jc w:val="both"/>
        <w:rPr>
          <w:rFonts w:ascii="Times New Roman" w:hAnsi="Times New Roman" w:cs="Times New Roman"/>
          <w:lang w:val="en-GB"/>
        </w:rPr>
      </w:pPr>
    </w:p>
    <w:p w14:paraId="3922AC2B" w14:textId="77777777" w:rsidR="001863D9" w:rsidRPr="00465121" w:rsidRDefault="001863D9" w:rsidP="00751939">
      <w:pPr>
        <w:pStyle w:val="ListParagraph"/>
        <w:numPr>
          <w:ilvl w:val="0"/>
          <w:numId w:val="6"/>
        </w:numPr>
        <w:spacing w:line="276" w:lineRule="auto"/>
        <w:jc w:val="both"/>
        <w:rPr>
          <w:rFonts w:ascii="Times New Roman" w:hAnsi="Times New Roman" w:cs="Times New Roman"/>
          <w:lang w:val="en-GB"/>
        </w:rPr>
      </w:pPr>
      <w:r w:rsidRPr="00465121">
        <w:rPr>
          <w:rFonts w:ascii="Times New Roman" w:hAnsi="Times New Roman" w:cs="Times New Roman"/>
          <w:lang w:val="en-GB"/>
        </w:rPr>
        <w:lastRenderedPageBreak/>
        <w:t>Feelings of shame and isolation</w:t>
      </w:r>
    </w:p>
    <w:p w14:paraId="0233C897" w14:textId="77777777" w:rsidR="001863D9" w:rsidRPr="00465121" w:rsidRDefault="001863D9" w:rsidP="00751939">
      <w:pPr>
        <w:pStyle w:val="ListParagraph"/>
        <w:numPr>
          <w:ilvl w:val="0"/>
          <w:numId w:val="6"/>
        </w:numPr>
        <w:spacing w:line="276" w:lineRule="auto"/>
        <w:jc w:val="both"/>
        <w:rPr>
          <w:rFonts w:ascii="Times New Roman" w:hAnsi="Times New Roman" w:cs="Times New Roman"/>
          <w:lang w:val="en-GB"/>
        </w:rPr>
      </w:pPr>
      <w:r w:rsidRPr="00465121">
        <w:rPr>
          <w:rFonts w:ascii="Times New Roman" w:hAnsi="Times New Roman" w:cs="Times New Roman"/>
          <w:lang w:val="en-GB"/>
        </w:rPr>
        <w:t>Coercion into returning to origin country against initial wishes</w:t>
      </w:r>
    </w:p>
    <w:p w14:paraId="17A2E99A" w14:textId="77777777" w:rsidR="001863D9" w:rsidRPr="00465121" w:rsidRDefault="001863D9" w:rsidP="00751939">
      <w:pPr>
        <w:pStyle w:val="ListParagraph"/>
        <w:numPr>
          <w:ilvl w:val="0"/>
          <w:numId w:val="6"/>
        </w:numPr>
        <w:spacing w:line="276" w:lineRule="auto"/>
        <w:jc w:val="both"/>
        <w:rPr>
          <w:rFonts w:ascii="Times New Roman" w:hAnsi="Times New Roman" w:cs="Times New Roman"/>
          <w:lang w:val="en-GB"/>
        </w:rPr>
      </w:pPr>
      <w:r w:rsidRPr="00465121">
        <w:rPr>
          <w:rFonts w:ascii="Times New Roman" w:hAnsi="Times New Roman" w:cs="Times New Roman"/>
          <w:lang w:val="en-GB"/>
        </w:rPr>
        <w:t>Exacerbation of substance misuse issues</w:t>
      </w:r>
    </w:p>
    <w:p w14:paraId="5FE87AE2" w14:textId="77777777" w:rsidR="001863D9" w:rsidRPr="00465121" w:rsidRDefault="001863D9" w:rsidP="00751939">
      <w:pPr>
        <w:pStyle w:val="ListParagraph"/>
        <w:numPr>
          <w:ilvl w:val="0"/>
          <w:numId w:val="6"/>
        </w:numPr>
        <w:spacing w:line="276" w:lineRule="auto"/>
        <w:jc w:val="both"/>
        <w:rPr>
          <w:rFonts w:ascii="Times New Roman" w:hAnsi="Times New Roman" w:cs="Times New Roman"/>
          <w:lang w:val="en-GB"/>
        </w:rPr>
      </w:pPr>
      <w:r w:rsidRPr="00465121">
        <w:rPr>
          <w:rFonts w:ascii="Times New Roman" w:hAnsi="Times New Roman" w:cs="Times New Roman"/>
          <w:lang w:val="en-GB"/>
        </w:rPr>
        <w:t>Fear of destitution</w:t>
      </w:r>
    </w:p>
    <w:p w14:paraId="74BF1AF2" w14:textId="77777777" w:rsidR="001863D9" w:rsidRPr="00465121" w:rsidRDefault="001863D9" w:rsidP="00751939">
      <w:pPr>
        <w:pStyle w:val="ListParagraph"/>
        <w:numPr>
          <w:ilvl w:val="0"/>
          <w:numId w:val="6"/>
        </w:numPr>
        <w:spacing w:line="276" w:lineRule="auto"/>
        <w:jc w:val="both"/>
        <w:rPr>
          <w:rFonts w:ascii="Times New Roman" w:hAnsi="Times New Roman" w:cs="Times New Roman"/>
          <w:lang w:val="en-GB"/>
        </w:rPr>
      </w:pPr>
      <w:r w:rsidRPr="00465121">
        <w:rPr>
          <w:rFonts w:ascii="Times New Roman" w:hAnsi="Times New Roman" w:cs="Times New Roman"/>
          <w:lang w:val="en-GB"/>
        </w:rPr>
        <w:t>Fear of the future</w:t>
      </w:r>
    </w:p>
    <w:p w14:paraId="6279B6DD" w14:textId="77777777" w:rsidR="001863D9" w:rsidRPr="00465121" w:rsidRDefault="001863D9" w:rsidP="00751939">
      <w:pPr>
        <w:pStyle w:val="ListParagraph"/>
        <w:numPr>
          <w:ilvl w:val="0"/>
          <w:numId w:val="6"/>
        </w:numPr>
        <w:spacing w:line="276" w:lineRule="auto"/>
        <w:jc w:val="both"/>
        <w:rPr>
          <w:rFonts w:ascii="Times New Roman" w:hAnsi="Times New Roman" w:cs="Times New Roman"/>
          <w:lang w:val="en-GB"/>
        </w:rPr>
      </w:pPr>
      <w:r w:rsidRPr="00465121">
        <w:rPr>
          <w:rFonts w:ascii="Times New Roman" w:hAnsi="Times New Roman" w:cs="Times New Roman"/>
          <w:lang w:val="en-GB"/>
        </w:rPr>
        <w:t>Instability in circumstance and emotional health</w:t>
      </w:r>
    </w:p>
    <w:p w14:paraId="72692D59" w14:textId="77777777" w:rsidR="001863D9" w:rsidRPr="00465121" w:rsidRDefault="001863D9" w:rsidP="00751939">
      <w:pPr>
        <w:pStyle w:val="ListParagraph"/>
        <w:numPr>
          <w:ilvl w:val="0"/>
          <w:numId w:val="6"/>
        </w:numPr>
        <w:spacing w:line="276" w:lineRule="auto"/>
        <w:jc w:val="both"/>
        <w:rPr>
          <w:rFonts w:ascii="Times New Roman" w:hAnsi="Times New Roman" w:cs="Times New Roman"/>
          <w:lang w:val="en-GB"/>
        </w:rPr>
      </w:pPr>
      <w:r w:rsidRPr="00465121">
        <w:rPr>
          <w:rFonts w:ascii="Times New Roman" w:hAnsi="Times New Roman" w:cs="Times New Roman"/>
          <w:lang w:val="en-GB"/>
        </w:rPr>
        <w:t>Lack of coping with normal life</w:t>
      </w:r>
    </w:p>
    <w:p w14:paraId="47FDB335" w14:textId="77777777" w:rsidR="001863D9" w:rsidRPr="00465121" w:rsidRDefault="001863D9" w:rsidP="00751939">
      <w:pPr>
        <w:pStyle w:val="ListParagraph"/>
        <w:numPr>
          <w:ilvl w:val="0"/>
          <w:numId w:val="6"/>
        </w:numPr>
        <w:spacing w:line="276" w:lineRule="auto"/>
        <w:jc w:val="both"/>
        <w:rPr>
          <w:rFonts w:ascii="Times New Roman" w:hAnsi="Times New Roman" w:cs="Times New Roman"/>
          <w:lang w:val="en-GB"/>
        </w:rPr>
      </w:pPr>
      <w:r w:rsidRPr="00465121">
        <w:rPr>
          <w:rFonts w:ascii="Times New Roman" w:hAnsi="Times New Roman" w:cs="Times New Roman"/>
          <w:lang w:val="en-GB"/>
        </w:rPr>
        <w:t>Negative impact on mental health</w:t>
      </w:r>
    </w:p>
    <w:p w14:paraId="6AD0C61A" w14:textId="77777777" w:rsidR="001863D9" w:rsidRPr="00465121" w:rsidRDefault="001863D9" w:rsidP="00751939">
      <w:pPr>
        <w:pStyle w:val="ListParagraph"/>
        <w:numPr>
          <w:ilvl w:val="0"/>
          <w:numId w:val="6"/>
        </w:numPr>
        <w:spacing w:line="276" w:lineRule="auto"/>
        <w:jc w:val="both"/>
        <w:rPr>
          <w:rFonts w:ascii="Times New Roman" w:hAnsi="Times New Roman" w:cs="Times New Roman"/>
          <w:lang w:val="en-GB"/>
        </w:rPr>
      </w:pPr>
      <w:r w:rsidRPr="00465121">
        <w:rPr>
          <w:rFonts w:ascii="Times New Roman" w:hAnsi="Times New Roman" w:cs="Times New Roman"/>
          <w:lang w:val="en-GB"/>
        </w:rPr>
        <w:t>Homelessness</w:t>
      </w:r>
    </w:p>
    <w:p w14:paraId="664CC915" w14:textId="77777777" w:rsidR="001863D9" w:rsidRPr="00465121" w:rsidRDefault="001863D9" w:rsidP="00751939">
      <w:pPr>
        <w:pStyle w:val="ListParagraph"/>
        <w:numPr>
          <w:ilvl w:val="0"/>
          <w:numId w:val="6"/>
        </w:numPr>
        <w:spacing w:line="276" w:lineRule="auto"/>
        <w:jc w:val="both"/>
        <w:rPr>
          <w:rFonts w:ascii="Times New Roman" w:hAnsi="Times New Roman" w:cs="Times New Roman"/>
          <w:lang w:val="en-GB"/>
        </w:rPr>
      </w:pPr>
      <w:r w:rsidRPr="00465121">
        <w:rPr>
          <w:rFonts w:ascii="Times New Roman" w:hAnsi="Times New Roman" w:cs="Times New Roman"/>
          <w:lang w:val="en-GB"/>
        </w:rPr>
        <w:t>Impact of lengthy processes on emotional wellbeing</w:t>
      </w:r>
    </w:p>
    <w:p w14:paraId="2ACB0B5D" w14:textId="77777777" w:rsidR="001863D9" w:rsidRPr="00465121" w:rsidRDefault="001863D9" w:rsidP="00751939">
      <w:pPr>
        <w:pStyle w:val="ListParagraph"/>
        <w:numPr>
          <w:ilvl w:val="0"/>
          <w:numId w:val="6"/>
        </w:numPr>
        <w:spacing w:line="276" w:lineRule="auto"/>
        <w:jc w:val="both"/>
        <w:rPr>
          <w:rFonts w:ascii="Times New Roman" w:hAnsi="Times New Roman" w:cs="Times New Roman"/>
          <w:lang w:val="en-GB"/>
        </w:rPr>
      </w:pPr>
      <w:r w:rsidRPr="00465121">
        <w:rPr>
          <w:rFonts w:ascii="Times New Roman" w:hAnsi="Times New Roman" w:cs="Times New Roman"/>
          <w:lang w:val="en-GB"/>
        </w:rPr>
        <w:t xml:space="preserve">Victimhood perpetuated </w:t>
      </w:r>
    </w:p>
    <w:p w14:paraId="4A7FB55E" w14:textId="77777777" w:rsidR="001863D9" w:rsidRPr="00465121" w:rsidRDefault="001863D9" w:rsidP="00751939">
      <w:pPr>
        <w:spacing w:line="276" w:lineRule="auto"/>
        <w:jc w:val="both"/>
        <w:rPr>
          <w:rFonts w:ascii="Times New Roman" w:hAnsi="Times New Roman" w:cs="Times New Roman"/>
          <w:lang w:val="en-GB"/>
        </w:rPr>
      </w:pPr>
    </w:p>
    <w:p w14:paraId="205DB509" w14:textId="6B8784CE"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One caseworker, referring to a female client that was currently awaiting an asylum decision, stated, “It keeps her isolated, basically, so that’s a big impact – both on the financial side it stops her accessing stuff and the emotional/shame side as well.”</w:t>
      </w:r>
      <w:r w:rsidR="0066744B">
        <w:rPr>
          <w:rStyle w:val="FootnoteReference"/>
          <w:rFonts w:ascii="Times New Roman" w:hAnsi="Times New Roman" w:cs="Times New Roman"/>
          <w:lang w:val="en-GB"/>
        </w:rPr>
        <w:footnoteReference w:id="64"/>
      </w:r>
      <w:r w:rsidRPr="00465121">
        <w:rPr>
          <w:rFonts w:ascii="Times New Roman" w:hAnsi="Times New Roman" w:cs="Times New Roman"/>
          <w:lang w:val="en-GB"/>
        </w:rPr>
        <w:t xml:space="preserve">  Feeling that there was a stigma attached to not having a regularised status caused repeated emotional distress to a number of the clients that were discussed. One lady specifically stated she would have preferred to be waiting for a Discretionary Leave to Remain (DLR) decision rather than an asylum decision, as she was upset at the stigma of being an “asylum seeker”</w:t>
      </w:r>
      <w:r w:rsidR="00F2774B" w:rsidRPr="00465121">
        <w:rPr>
          <w:rFonts w:ascii="Times New Roman" w:hAnsi="Times New Roman" w:cs="Times New Roman"/>
          <w:lang w:val="en-GB"/>
        </w:rPr>
        <w:t>.</w:t>
      </w:r>
      <w:r w:rsidR="0066744B">
        <w:rPr>
          <w:rStyle w:val="FootnoteReference"/>
          <w:rFonts w:ascii="Times New Roman" w:hAnsi="Times New Roman" w:cs="Times New Roman"/>
          <w:lang w:val="en-GB"/>
        </w:rPr>
        <w:footnoteReference w:id="65"/>
      </w:r>
      <w:r w:rsidR="00F2774B" w:rsidRPr="00465121">
        <w:rPr>
          <w:rFonts w:ascii="Times New Roman" w:hAnsi="Times New Roman" w:cs="Times New Roman"/>
          <w:lang w:val="en-GB"/>
        </w:rPr>
        <w:t xml:space="preserve">  R</w:t>
      </w:r>
      <w:r w:rsidR="00FB6F96" w:rsidRPr="00465121">
        <w:rPr>
          <w:rFonts w:ascii="Times New Roman" w:hAnsi="Times New Roman" w:cs="Times New Roman"/>
          <w:lang w:val="en-GB"/>
        </w:rPr>
        <w:t>ather than apply for DLR based on their status as a victim of trafficking</w:t>
      </w:r>
      <w:r w:rsidR="00C0713E" w:rsidRPr="00465121">
        <w:rPr>
          <w:rFonts w:ascii="Times New Roman" w:hAnsi="Times New Roman" w:cs="Times New Roman"/>
          <w:lang w:val="en-GB"/>
        </w:rPr>
        <w:t>,</w:t>
      </w:r>
      <w:r w:rsidR="00FB6F96" w:rsidRPr="00465121">
        <w:rPr>
          <w:rFonts w:ascii="Times New Roman" w:hAnsi="Times New Roman" w:cs="Times New Roman"/>
          <w:lang w:val="en-GB"/>
        </w:rPr>
        <w:t xml:space="preserve"> caseworkers will often pursue asylum claims on the basis of danger in returning to their country of origin – something reported by at five of the caseworkers in f</w:t>
      </w:r>
      <w:r w:rsidR="00F2774B" w:rsidRPr="00465121">
        <w:rPr>
          <w:rFonts w:ascii="Times New Roman" w:hAnsi="Times New Roman" w:cs="Times New Roman"/>
          <w:lang w:val="en-GB"/>
        </w:rPr>
        <w:t>urther clarification discussion</w:t>
      </w:r>
      <w:r w:rsidR="00FB6F96" w:rsidRPr="00465121">
        <w:rPr>
          <w:rFonts w:ascii="Times New Roman" w:hAnsi="Times New Roman" w:cs="Times New Roman"/>
          <w:lang w:val="en-GB"/>
        </w:rPr>
        <w:t>.</w:t>
      </w:r>
    </w:p>
    <w:p w14:paraId="45F6E499" w14:textId="77777777" w:rsidR="001863D9" w:rsidRPr="00465121" w:rsidRDefault="001863D9" w:rsidP="00751939">
      <w:pPr>
        <w:spacing w:line="276" w:lineRule="auto"/>
        <w:jc w:val="both"/>
        <w:rPr>
          <w:rFonts w:ascii="Times New Roman" w:hAnsi="Times New Roman" w:cs="Times New Roman"/>
          <w:lang w:val="en-GB"/>
        </w:rPr>
      </w:pPr>
    </w:p>
    <w:p w14:paraId="7B15062C" w14:textId="658F37C1"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 xml:space="preserve">Connected to this, a negative impact on clients’ mental health emerged as a frequent theme.  In one particular case an Albanian woman who had been a victim of sex trafficking and had two children had been awaiting an asylum decision for three years. During this time she had reportedly been recovering well and had become engaged in a number of programs at the support centre, whilst effectively parenting her children.  Having finally received a negative asylum decision her caseworker reported a serious detriment to her mental health, requiring intensive mental health care intervention and social services intervention to safeguard her children.  She </w:t>
      </w:r>
      <w:r w:rsidR="00C810A8" w:rsidRPr="00465121">
        <w:rPr>
          <w:rFonts w:ascii="Times New Roman" w:hAnsi="Times New Roman" w:cs="Times New Roman"/>
          <w:lang w:val="en-GB"/>
        </w:rPr>
        <w:t xml:space="preserve">was also </w:t>
      </w:r>
      <w:r w:rsidRPr="00465121">
        <w:rPr>
          <w:rFonts w:ascii="Times New Roman" w:hAnsi="Times New Roman" w:cs="Times New Roman"/>
          <w:lang w:val="en-GB"/>
        </w:rPr>
        <w:t xml:space="preserve">considered at risk of suicide.  This </w:t>
      </w:r>
      <w:r w:rsidR="00C0713E" w:rsidRPr="00465121">
        <w:rPr>
          <w:rFonts w:ascii="Times New Roman" w:hAnsi="Times New Roman" w:cs="Times New Roman"/>
          <w:lang w:val="en-GB"/>
        </w:rPr>
        <w:t>wa</w:t>
      </w:r>
      <w:r w:rsidRPr="00465121">
        <w:rPr>
          <w:rFonts w:ascii="Times New Roman" w:hAnsi="Times New Roman" w:cs="Times New Roman"/>
          <w:lang w:val="en-GB"/>
        </w:rPr>
        <w:t>s precipitated by the fear of reprisal in returning to her country of origin as well as the mental and emotional upheaval of moving her children alone away from the support networks she ha</w:t>
      </w:r>
      <w:r w:rsidR="00C0713E" w:rsidRPr="00465121">
        <w:rPr>
          <w:rFonts w:ascii="Times New Roman" w:hAnsi="Times New Roman" w:cs="Times New Roman"/>
          <w:lang w:val="en-GB"/>
        </w:rPr>
        <w:t>d</w:t>
      </w:r>
      <w:r w:rsidRPr="00465121">
        <w:rPr>
          <w:rFonts w:ascii="Times New Roman" w:hAnsi="Times New Roman" w:cs="Times New Roman"/>
          <w:lang w:val="en-GB"/>
        </w:rPr>
        <w:t xml:space="preserve"> developed.</w:t>
      </w:r>
      <w:r w:rsidR="0066744B">
        <w:rPr>
          <w:rStyle w:val="FootnoteReference"/>
          <w:rFonts w:ascii="Times New Roman" w:hAnsi="Times New Roman" w:cs="Times New Roman"/>
          <w:lang w:val="en-GB"/>
        </w:rPr>
        <w:footnoteReference w:id="66"/>
      </w:r>
      <w:r w:rsidRPr="00465121">
        <w:rPr>
          <w:rFonts w:ascii="Times New Roman" w:hAnsi="Times New Roman" w:cs="Times New Roman"/>
          <w:lang w:val="en-GB"/>
        </w:rPr>
        <w:t xml:space="preserve">The precariousness of the situation that those denied permanent residence </w:t>
      </w:r>
      <w:r w:rsidR="00C810A8" w:rsidRPr="00465121">
        <w:rPr>
          <w:rFonts w:ascii="Times New Roman" w:hAnsi="Times New Roman" w:cs="Times New Roman"/>
          <w:lang w:val="en-GB"/>
        </w:rPr>
        <w:t>face</w:t>
      </w:r>
      <w:r w:rsidR="0066744B">
        <w:rPr>
          <w:rFonts w:ascii="Times New Roman" w:hAnsi="Times New Roman" w:cs="Times New Roman"/>
          <w:lang w:val="en-GB"/>
        </w:rPr>
        <w:t xml:space="preserve"> </w:t>
      </w:r>
      <w:r w:rsidRPr="00465121">
        <w:rPr>
          <w:rFonts w:ascii="Times New Roman" w:hAnsi="Times New Roman" w:cs="Times New Roman"/>
          <w:lang w:val="en-GB"/>
        </w:rPr>
        <w:t>was reported to be</w:t>
      </w:r>
      <w:r w:rsidR="00C810A8" w:rsidRPr="00465121">
        <w:rPr>
          <w:rFonts w:ascii="Times New Roman" w:hAnsi="Times New Roman" w:cs="Times New Roman"/>
          <w:lang w:val="en-GB"/>
        </w:rPr>
        <w:t>,</w:t>
      </w:r>
      <w:r w:rsidRPr="00465121">
        <w:rPr>
          <w:rFonts w:ascii="Times New Roman" w:hAnsi="Times New Roman" w:cs="Times New Roman"/>
          <w:lang w:val="en-GB"/>
        </w:rPr>
        <w:t xml:space="preserve"> in some cases</w:t>
      </w:r>
      <w:r w:rsidR="00C810A8" w:rsidRPr="00465121">
        <w:rPr>
          <w:rFonts w:ascii="Times New Roman" w:hAnsi="Times New Roman" w:cs="Times New Roman"/>
          <w:lang w:val="en-GB"/>
        </w:rPr>
        <w:t>,</w:t>
      </w:r>
      <w:r w:rsidRPr="00465121">
        <w:rPr>
          <w:rFonts w:ascii="Times New Roman" w:hAnsi="Times New Roman" w:cs="Times New Roman"/>
          <w:lang w:val="en-GB"/>
        </w:rPr>
        <w:t xml:space="preserve"> highly injurious to the mental health of a number of clients, who are at higher risk of mental health issues due to their traumatic experiences.</w:t>
      </w:r>
      <w:r w:rsidR="0066744B">
        <w:rPr>
          <w:rStyle w:val="FootnoteReference"/>
          <w:rFonts w:ascii="Times New Roman" w:hAnsi="Times New Roman" w:cs="Times New Roman"/>
          <w:lang w:val="en-GB"/>
        </w:rPr>
        <w:footnoteReference w:id="67"/>
      </w:r>
      <w:r w:rsidRPr="00465121">
        <w:rPr>
          <w:rFonts w:ascii="Times New Roman" w:hAnsi="Times New Roman" w:cs="Times New Roman"/>
          <w:lang w:val="en-GB"/>
        </w:rPr>
        <w:t xml:space="preserve">  In several cases, suicidal thoughts were discussed during the waiting process or upon receiving a negative decision. </w:t>
      </w:r>
    </w:p>
    <w:p w14:paraId="709AB82C" w14:textId="77777777" w:rsidR="001863D9" w:rsidRPr="00465121" w:rsidRDefault="001863D9" w:rsidP="00751939">
      <w:pPr>
        <w:spacing w:line="276" w:lineRule="auto"/>
        <w:jc w:val="both"/>
        <w:rPr>
          <w:rFonts w:ascii="Times New Roman" w:hAnsi="Times New Roman" w:cs="Times New Roman"/>
          <w:lang w:val="en-GB"/>
        </w:rPr>
      </w:pPr>
    </w:p>
    <w:p w14:paraId="7A98694A" w14:textId="460EE38D"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lastRenderedPageBreak/>
        <w:t xml:space="preserve">A particular adverse effect in terms of emotional state referred to the </w:t>
      </w:r>
      <w:r w:rsidR="00C810A8" w:rsidRPr="00465121">
        <w:rPr>
          <w:rFonts w:ascii="Times New Roman" w:hAnsi="Times New Roman" w:cs="Times New Roman"/>
          <w:lang w:val="en-GB"/>
        </w:rPr>
        <w:t>ongoing</w:t>
      </w:r>
      <w:r w:rsidRPr="00465121">
        <w:rPr>
          <w:rFonts w:ascii="Times New Roman" w:hAnsi="Times New Roman" w:cs="Times New Roman"/>
          <w:lang w:val="en-GB"/>
        </w:rPr>
        <w:t xml:space="preserve"> victimisation caused by an uncertain immigration position. This is </w:t>
      </w:r>
      <w:r w:rsidR="00C810A8" w:rsidRPr="00465121">
        <w:rPr>
          <w:rFonts w:ascii="Times New Roman" w:hAnsi="Times New Roman" w:cs="Times New Roman"/>
          <w:lang w:val="en-GB"/>
        </w:rPr>
        <w:t xml:space="preserve">linked </w:t>
      </w:r>
      <w:r w:rsidRPr="00465121">
        <w:rPr>
          <w:rFonts w:ascii="Times New Roman" w:hAnsi="Times New Roman" w:cs="Times New Roman"/>
          <w:lang w:val="en-GB"/>
        </w:rPr>
        <w:t xml:space="preserve">to the emotional uncertainty of not being able to plan for the future adequately.  As a caseworker elaborated, </w:t>
      </w:r>
    </w:p>
    <w:p w14:paraId="440C3F15" w14:textId="77777777" w:rsidR="001863D9" w:rsidRPr="00465121" w:rsidRDefault="001863D9" w:rsidP="00751939">
      <w:pPr>
        <w:spacing w:line="276" w:lineRule="auto"/>
        <w:jc w:val="both"/>
        <w:rPr>
          <w:rFonts w:ascii="Times New Roman" w:hAnsi="Times New Roman" w:cs="Times New Roman"/>
          <w:lang w:val="en-GB"/>
        </w:rPr>
      </w:pPr>
    </w:p>
    <w:p w14:paraId="24DCE491" w14:textId="1E29515F" w:rsidR="001863D9" w:rsidRPr="00465121" w:rsidRDefault="001863D9" w:rsidP="00751939">
      <w:pPr>
        <w:spacing w:line="276" w:lineRule="auto"/>
        <w:ind w:left="720"/>
        <w:jc w:val="both"/>
        <w:rPr>
          <w:rFonts w:ascii="Times New Roman" w:eastAsia="Times New Roman" w:hAnsi="Times New Roman" w:cs="Times New Roman"/>
          <w:lang w:val="en-GB"/>
        </w:rPr>
      </w:pPr>
      <w:r w:rsidRPr="00465121">
        <w:rPr>
          <w:rFonts w:ascii="Times New Roman" w:eastAsia="Times New Roman" w:hAnsi="Times New Roman" w:cs="Times New Roman"/>
          <w:lang w:val="en-GB"/>
        </w:rPr>
        <w:t>“I think when people first come out of their exploitation (my general experience is) that they’re really keen to work, really keen to move forward, keen to accept all the help they can, but if you’re kept in a sort of a bit of a holding bay or you’re just left uncertain for so long, it just kind of - you lose that motivation, that drive, and almost just become like a long term victim because that’s how people have been treating you.”</w:t>
      </w:r>
      <w:r w:rsidR="005F0C65">
        <w:rPr>
          <w:rStyle w:val="FootnoteReference"/>
          <w:rFonts w:ascii="Times New Roman" w:eastAsia="Times New Roman" w:hAnsi="Times New Roman" w:cs="Times New Roman"/>
          <w:lang w:val="en-GB"/>
        </w:rPr>
        <w:footnoteReference w:id="68"/>
      </w:r>
    </w:p>
    <w:p w14:paraId="493963A5" w14:textId="77777777" w:rsidR="001863D9" w:rsidRPr="00465121" w:rsidRDefault="001863D9" w:rsidP="00751939">
      <w:pPr>
        <w:spacing w:line="276" w:lineRule="auto"/>
        <w:jc w:val="both"/>
        <w:rPr>
          <w:rFonts w:ascii="Times New Roman" w:eastAsia="Times New Roman" w:hAnsi="Times New Roman" w:cs="Times New Roman"/>
          <w:lang w:val="en-GB"/>
        </w:rPr>
      </w:pPr>
    </w:p>
    <w:p w14:paraId="39B08A08" w14:textId="3600D1B8" w:rsidR="001863D9" w:rsidRPr="00465121" w:rsidRDefault="001863D9" w:rsidP="00751939">
      <w:pPr>
        <w:spacing w:line="276" w:lineRule="auto"/>
        <w:jc w:val="both"/>
        <w:rPr>
          <w:rFonts w:ascii="Times New Roman" w:eastAsia="Times New Roman" w:hAnsi="Times New Roman" w:cs="Times New Roman"/>
          <w:lang w:val="en-GB"/>
        </w:rPr>
      </w:pPr>
      <w:r w:rsidRPr="00465121">
        <w:rPr>
          <w:rFonts w:ascii="Times New Roman" w:eastAsia="Times New Roman" w:hAnsi="Times New Roman" w:cs="Times New Roman"/>
          <w:lang w:val="en-GB"/>
        </w:rPr>
        <w:t>The inability of the client to work when they wished to</w:t>
      </w:r>
      <w:r w:rsidR="00C810A8" w:rsidRPr="00465121">
        <w:rPr>
          <w:rFonts w:ascii="Times New Roman" w:eastAsia="Times New Roman" w:hAnsi="Times New Roman" w:cs="Times New Roman"/>
          <w:lang w:val="en-GB"/>
        </w:rPr>
        <w:t>,</w:t>
      </w:r>
      <w:r w:rsidRPr="00465121">
        <w:rPr>
          <w:rFonts w:ascii="Times New Roman" w:eastAsia="Times New Roman" w:hAnsi="Times New Roman" w:cs="Times New Roman"/>
          <w:lang w:val="en-GB"/>
        </w:rPr>
        <w:t xml:space="preserve"> as part of their recovery</w:t>
      </w:r>
      <w:r w:rsidR="00C810A8" w:rsidRPr="00465121">
        <w:rPr>
          <w:rFonts w:ascii="Times New Roman" w:eastAsia="Times New Roman" w:hAnsi="Times New Roman" w:cs="Times New Roman"/>
          <w:lang w:val="en-GB"/>
        </w:rPr>
        <w:t xml:space="preserve">, </w:t>
      </w:r>
      <w:r w:rsidRPr="00465121">
        <w:rPr>
          <w:rFonts w:ascii="Times New Roman" w:eastAsia="Times New Roman" w:hAnsi="Times New Roman" w:cs="Times New Roman"/>
          <w:lang w:val="en-GB"/>
        </w:rPr>
        <w:t>was stated by three of the caseworkers as a problem that contributed to a perpetuation of victimhood.</w:t>
      </w:r>
    </w:p>
    <w:p w14:paraId="44AC2D9F" w14:textId="77777777" w:rsidR="001863D9" w:rsidRPr="00465121" w:rsidRDefault="001863D9" w:rsidP="00751939">
      <w:pPr>
        <w:spacing w:line="276" w:lineRule="auto"/>
        <w:jc w:val="both"/>
        <w:rPr>
          <w:rFonts w:ascii="Times New Roman" w:eastAsia="Times New Roman" w:hAnsi="Times New Roman" w:cs="Times New Roman"/>
          <w:lang w:val="en-GB"/>
        </w:rPr>
      </w:pPr>
    </w:p>
    <w:p w14:paraId="1C5F0900" w14:textId="2BC4A35E" w:rsidR="001863D9" w:rsidRPr="00465121" w:rsidRDefault="001863D9" w:rsidP="00751939">
      <w:pPr>
        <w:spacing w:line="276" w:lineRule="auto"/>
        <w:jc w:val="both"/>
        <w:rPr>
          <w:rFonts w:ascii="Times New Roman" w:eastAsia="Times New Roman" w:hAnsi="Times New Roman" w:cs="Times New Roman"/>
          <w:lang w:val="en-GB"/>
        </w:rPr>
      </w:pPr>
      <w:r w:rsidRPr="00465121">
        <w:rPr>
          <w:rFonts w:ascii="Times New Roman" w:eastAsia="Times New Roman" w:hAnsi="Times New Roman" w:cs="Times New Roman"/>
          <w:lang w:val="en-GB"/>
        </w:rPr>
        <w:t>In a discussion about needs of clients</w:t>
      </w:r>
      <w:r w:rsidR="00D20FFD" w:rsidRPr="00465121">
        <w:rPr>
          <w:rFonts w:ascii="Times New Roman" w:eastAsia="Times New Roman" w:hAnsi="Times New Roman" w:cs="Times New Roman"/>
          <w:lang w:val="en-GB"/>
        </w:rPr>
        <w:t>,</w:t>
      </w:r>
      <w:r w:rsidRPr="00465121">
        <w:rPr>
          <w:rFonts w:ascii="Times New Roman" w:eastAsia="Times New Roman" w:hAnsi="Times New Roman" w:cs="Times New Roman"/>
          <w:lang w:val="en-GB"/>
        </w:rPr>
        <w:t xml:space="preserve"> one caseworker argued that precarious immigration status immediately pushed almost all clients </w:t>
      </w:r>
      <w:proofErr w:type="gramStart"/>
      <w:r w:rsidRPr="00465121">
        <w:rPr>
          <w:rFonts w:ascii="Times New Roman" w:eastAsia="Times New Roman" w:hAnsi="Times New Roman" w:cs="Times New Roman"/>
          <w:lang w:val="en-GB"/>
        </w:rPr>
        <w:t>into a high-needs</w:t>
      </w:r>
      <w:proofErr w:type="gramEnd"/>
      <w:r w:rsidRPr="00465121">
        <w:rPr>
          <w:rFonts w:ascii="Times New Roman" w:eastAsia="Times New Roman" w:hAnsi="Times New Roman" w:cs="Times New Roman"/>
          <w:lang w:val="en-GB"/>
        </w:rPr>
        <w:t>, complex casework category.  Dependent on the individual, their personal circumstances and the level of trauma they ha</w:t>
      </w:r>
      <w:r w:rsidR="00D20FFD" w:rsidRPr="00465121">
        <w:rPr>
          <w:rFonts w:ascii="Times New Roman" w:eastAsia="Times New Roman" w:hAnsi="Times New Roman" w:cs="Times New Roman"/>
          <w:lang w:val="en-GB"/>
        </w:rPr>
        <w:t>d</w:t>
      </w:r>
      <w:r w:rsidRPr="00465121">
        <w:rPr>
          <w:rFonts w:ascii="Times New Roman" w:eastAsia="Times New Roman" w:hAnsi="Times New Roman" w:cs="Times New Roman"/>
          <w:lang w:val="en-GB"/>
        </w:rPr>
        <w:t xml:space="preserve"> suffered, needs range</w:t>
      </w:r>
      <w:r w:rsidR="00D20FFD" w:rsidRPr="00465121">
        <w:rPr>
          <w:rFonts w:ascii="Times New Roman" w:eastAsia="Times New Roman" w:hAnsi="Times New Roman" w:cs="Times New Roman"/>
          <w:lang w:val="en-GB"/>
        </w:rPr>
        <w:t>d</w:t>
      </w:r>
      <w:r w:rsidRPr="00465121">
        <w:rPr>
          <w:rFonts w:ascii="Times New Roman" w:eastAsia="Times New Roman" w:hAnsi="Times New Roman" w:cs="Times New Roman"/>
          <w:lang w:val="en-GB"/>
        </w:rPr>
        <w:t xml:space="preserve"> from low to high, with differing levels of the necessary input of resources. </w:t>
      </w:r>
      <w:r w:rsidR="00D20FFD" w:rsidRPr="00465121">
        <w:rPr>
          <w:rFonts w:ascii="Times New Roman" w:eastAsia="Times New Roman" w:hAnsi="Times New Roman" w:cs="Times New Roman"/>
          <w:lang w:val="en-GB"/>
        </w:rPr>
        <w:t>The interviewee stated</w:t>
      </w:r>
      <w:r w:rsidRPr="00465121">
        <w:rPr>
          <w:rFonts w:ascii="Times New Roman" w:eastAsia="Times New Roman" w:hAnsi="Times New Roman" w:cs="Times New Roman"/>
          <w:lang w:val="en-GB"/>
        </w:rPr>
        <w:t xml:space="preserve"> that often</w:t>
      </w:r>
      <w:r w:rsidR="00D20FFD" w:rsidRPr="00465121">
        <w:rPr>
          <w:rFonts w:ascii="Times New Roman" w:eastAsia="Times New Roman" w:hAnsi="Times New Roman" w:cs="Times New Roman"/>
          <w:lang w:val="en-GB"/>
        </w:rPr>
        <w:t>,</w:t>
      </w:r>
      <w:r w:rsidRPr="00465121">
        <w:rPr>
          <w:rFonts w:ascii="Times New Roman" w:eastAsia="Times New Roman" w:hAnsi="Times New Roman" w:cs="Times New Roman"/>
          <w:lang w:val="en-GB"/>
        </w:rPr>
        <w:t xml:space="preserve"> once immigration issues were settled</w:t>
      </w:r>
      <w:r w:rsidR="00D20FFD" w:rsidRPr="00465121">
        <w:rPr>
          <w:rFonts w:ascii="Times New Roman" w:eastAsia="Times New Roman" w:hAnsi="Times New Roman" w:cs="Times New Roman"/>
          <w:lang w:val="en-GB"/>
        </w:rPr>
        <w:t>,</w:t>
      </w:r>
      <w:r w:rsidRPr="00465121">
        <w:rPr>
          <w:rFonts w:ascii="Times New Roman" w:eastAsia="Times New Roman" w:hAnsi="Times New Roman" w:cs="Times New Roman"/>
          <w:lang w:val="en-GB"/>
        </w:rPr>
        <w:t xml:space="preserve"> a </w:t>
      </w:r>
      <w:r w:rsidR="006E18D8" w:rsidRPr="00465121">
        <w:rPr>
          <w:rFonts w:ascii="Times New Roman" w:eastAsia="Times New Roman" w:hAnsi="Times New Roman" w:cs="Times New Roman"/>
          <w:lang w:val="en-GB"/>
        </w:rPr>
        <w:t>‘</w:t>
      </w:r>
      <w:r w:rsidRPr="00465121">
        <w:rPr>
          <w:rFonts w:ascii="Times New Roman" w:eastAsia="Times New Roman" w:hAnsi="Times New Roman" w:cs="Times New Roman"/>
          <w:lang w:val="en-GB"/>
        </w:rPr>
        <w:t>high needs</w:t>
      </w:r>
      <w:r w:rsidR="006E18D8" w:rsidRPr="00465121">
        <w:rPr>
          <w:rFonts w:ascii="Times New Roman" w:eastAsia="Times New Roman" w:hAnsi="Times New Roman" w:cs="Times New Roman"/>
          <w:lang w:val="en-GB"/>
        </w:rPr>
        <w:t>’</w:t>
      </w:r>
      <w:r w:rsidRPr="00465121">
        <w:rPr>
          <w:rFonts w:ascii="Times New Roman" w:eastAsia="Times New Roman" w:hAnsi="Times New Roman" w:cs="Times New Roman"/>
          <w:lang w:val="en-GB"/>
        </w:rPr>
        <w:t xml:space="preserve"> client would immediately drop down into a </w:t>
      </w:r>
      <w:r w:rsidR="006E18D8" w:rsidRPr="00465121">
        <w:rPr>
          <w:rFonts w:ascii="Times New Roman" w:eastAsia="Times New Roman" w:hAnsi="Times New Roman" w:cs="Times New Roman"/>
          <w:lang w:val="en-GB"/>
        </w:rPr>
        <w:t>‘</w:t>
      </w:r>
      <w:r w:rsidRPr="00465121">
        <w:rPr>
          <w:rFonts w:ascii="Times New Roman" w:eastAsia="Times New Roman" w:hAnsi="Times New Roman" w:cs="Times New Roman"/>
          <w:lang w:val="en-GB"/>
        </w:rPr>
        <w:t>low needs</w:t>
      </w:r>
      <w:r w:rsidR="006E18D8" w:rsidRPr="00465121">
        <w:rPr>
          <w:rFonts w:ascii="Times New Roman" w:eastAsia="Times New Roman" w:hAnsi="Times New Roman" w:cs="Times New Roman"/>
          <w:lang w:val="en-GB"/>
        </w:rPr>
        <w:t>’</w:t>
      </w:r>
      <w:r w:rsidRPr="00465121">
        <w:rPr>
          <w:rFonts w:ascii="Times New Roman" w:eastAsia="Times New Roman" w:hAnsi="Times New Roman" w:cs="Times New Roman"/>
          <w:lang w:val="en-GB"/>
        </w:rPr>
        <w:t xml:space="preserve"> requirement.  From a funding and resourcing standpoint, this is highly significant if the </w:t>
      </w:r>
      <w:r w:rsidR="0066744B">
        <w:rPr>
          <w:rFonts w:ascii="Times New Roman" w:eastAsia="Times New Roman" w:hAnsi="Times New Roman" w:cs="Times New Roman"/>
          <w:lang w:val="en-GB"/>
        </w:rPr>
        <w:t xml:space="preserve">UK </w:t>
      </w:r>
      <w:r w:rsidRPr="00465121">
        <w:rPr>
          <w:rFonts w:ascii="Times New Roman" w:eastAsia="Times New Roman" w:hAnsi="Times New Roman" w:cs="Times New Roman"/>
          <w:lang w:val="en-GB"/>
        </w:rPr>
        <w:t xml:space="preserve">Government is considering extending the support offered beyond the initial </w:t>
      </w:r>
      <w:r w:rsidR="00D20FFD" w:rsidRPr="00465121">
        <w:rPr>
          <w:rFonts w:ascii="Times New Roman" w:eastAsia="Times New Roman" w:hAnsi="Times New Roman" w:cs="Times New Roman"/>
          <w:lang w:val="en-GB"/>
        </w:rPr>
        <w:t>forty-five day</w:t>
      </w:r>
      <w:r w:rsidRPr="00465121">
        <w:rPr>
          <w:rFonts w:ascii="Times New Roman" w:eastAsia="Times New Roman" w:hAnsi="Times New Roman" w:cs="Times New Roman"/>
          <w:lang w:val="en-GB"/>
        </w:rPr>
        <w:t xml:space="preserve"> period.  By removing insecurity around </w:t>
      </w:r>
      <w:r w:rsidR="00D20FFD" w:rsidRPr="00465121">
        <w:rPr>
          <w:rFonts w:ascii="Times New Roman" w:eastAsia="Times New Roman" w:hAnsi="Times New Roman" w:cs="Times New Roman"/>
          <w:lang w:val="en-GB"/>
        </w:rPr>
        <w:t xml:space="preserve">the </w:t>
      </w:r>
      <w:r w:rsidRPr="00465121">
        <w:rPr>
          <w:rFonts w:ascii="Times New Roman" w:eastAsia="Times New Roman" w:hAnsi="Times New Roman" w:cs="Times New Roman"/>
          <w:lang w:val="en-GB"/>
        </w:rPr>
        <w:t>right to remain, there is potential to enable more accurate ongoing assessment and the correct level of support for each individual and promote recovery.</w:t>
      </w:r>
    </w:p>
    <w:p w14:paraId="7C03AA49" w14:textId="77777777" w:rsidR="001863D9" w:rsidRPr="00465121" w:rsidRDefault="001863D9" w:rsidP="00751939">
      <w:pPr>
        <w:spacing w:line="276" w:lineRule="auto"/>
        <w:jc w:val="both"/>
        <w:rPr>
          <w:rFonts w:ascii="Times New Roman" w:hAnsi="Times New Roman" w:cs="Times New Roman"/>
          <w:lang w:val="en-GB"/>
        </w:rPr>
      </w:pPr>
    </w:p>
    <w:p w14:paraId="33A8B319" w14:textId="77777777" w:rsidR="001863D9" w:rsidRPr="00465121" w:rsidRDefault="001863D9" w:rsidP="00751939">
      <w:pPr>
        <w:spacing w:line="276" w:lineRule="auto"/>
        <w:jc w:val="both"/>
        <w:rPr>
          <w:rFonts w:ascii="Times New Roman" w:hAnsi="Times New Roman" w:cs="Times New Roman"/>
          <w:i/>
          <w:lang w:val="en-GB"/>
        </w:rPr>
      </w:pPr>
      <w:r w:rsidRPr="00465121">
        <w:rPr>
          <w:rFonts w:ascii="Times New Roman" w:hAnsi="Times New Roman" w:cs="Times New Roman"/>
          <w:i/>
          <w:lang w:val="en-GB"/>
        </w:rPr>
        <w:t>Issues within the Immigration System Legal Processes</w:t>
      </w:r>
    </w:p>
    <w:p w14:paraId="69EB943B" w14:textId="77777777" w:rsidR="001863D9" w:rsidRPr="00465121" w:rsidRDefault="001863D9" w:rsidP="00751939">
      <w:pPr>
        <w:spacing w:line="276" w:lineRule="auto"/>
        <w:jc w:val="both"/>
        <w:rPr>
          <w:rFonts w:ascii="Times New Roman" w:hAnsi="Times New Roman" w:cs="Times New Roman"/>
          <w:lang w:val="en-GB"/>
        </w:rPr>
      </w:pPr>
    </w:p>
    <w:p w14:paraId="0DA28696" w14:textId="4A459556" w:rsidR="001863D9" w:rsidRPr="00465121" w:rsidRDefault="0066744B" w:rsidP="00751939">
      <w:pPr>
        <w:spacing w:line="276" w:lineRule="auto"/>
        <w:jc w:val="both"/>
        <w:rPr>
          <w:rFonts w:ascii="Times New Roman" w:hAnsi="Times New Roman" w:cs="Times New Roman"/>
          <w:lang w:val="en-GB"/>
        </w:rPr>
      </w:pPr>
      <w:r>
        <w:rPr>
          <w:rFonts w:ascii="Times New Roman" w:hAnsi="Times New Roman" w:cs="Times New Roman"/>
          <w:lang w:val="en-GB"/>
        </w:rPr>
        <w:t>This was expected to be a common theme to emerge throughout the interviews, as already shown in the literature the system is complex and often not designed for victims of trafficking.  Within this top-level them, thirteen micro-themes emerged:</w:t>
      </w:r>
    </w:p>
    <w:p w14:paraId="2F11D23B" w14:textId="77777777" w:rsidR="001863D9" w:rsidRPr="00465121" w:rsidRDefault="001863D9" w:rsidP="00751939">
      <w:pPr>
        <w:spacing w:line="276" w:lineRule="auto"/>
        <w:jc w:val="both"/>
        <w:rPr>
          <w:rFonts w:ascii="Times New Roman" w:hAnsi="Times New Roman" w:cs="Times New Roman"/>
          <w:lang w:val="en-GB"/>
        </w:rPr>
      </w:pPr>
    </w:p>
    <w:p w14:paraId="59BADB94" w14:textId="4F6BAAF0" w:rsidR="001863D9" w:rsidRPr="00465121" w:rsidRDefault="002C1BDD"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The d</w:t>
      </w:r>
      <w:r w:rsidR="001863D9" w:rsidRPr="00465121">
        <w:rPr>
          <w:rFonts w:ascii="Times New Roman" w:hAnsi="Times New Roman" w:cs="Times New Roman"/>
          <w:lang w:val="en-GB"/>
        </w:rPr>
        <w:t>ifficulties with processing asylum claims</w:t>
      </w:r>
    </w:p>
    <w:p w14:paraId="708694CE" w14:textId="2893EB92" w:rsidR="001863D9" w:rsidRPr="00465121" w:rsidRDefault="002C1BDD"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The c</w:t>
      </w:r>
      <w:r w:rsidR="001863D9" w:rsidRPr="00465121">
        <w:rPr>
          <w:rFonts w:ascii="Times New Roman" w:hAnsi="Times New Roman" w:cs="Times New Roman"/>
          <w:lang w:val="en-GB"/>
        </w:rPr>
        <w:t>omplex issues of individuals’ circumstances requiring specialist legal work</w:t>
      </w:r>
    </w:p>
    <w:p w14:paraId="76078D15" w14:textId="4DC1117C" w:rsidR="001863D9" w:rsidRPr="00465121" w:rsidRDefault="002C1BDD"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The d</w:t>
      </w:r>
      <w:r w:rsidR="001863D9" w:rsidRPr="00465121">
        <w:rPr>
          <w:rFonts w:ascii="Times New Roman" w:hAnsi="Times New Roman" w:cs="Times New Roman"/>
          <w:lang w:val="en-GB"/>
        </w:rPr>
        <w:t>ifficulties in exercising EU Treaty Rights</w:t>
      </w:r>
    </w:p>
    <w:p w14:paraId="1ABC4E59" w14:textId="77777777" w:rsidR="001863D9" w:rsidRPr="00465121" w:rsidRDefault="001863D9"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Cases of dependence of DLR applications on discretion of individual Police officers</w:t>
      </w:r>
    </w:p>
    <w:p w14:paraId="45167F94" w14:textId="02C8ACE6" w:rsidR="001863D9" w:rsidRPr="00465121" w:rsidRDefault="002C1BDD"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The p</w:t>
      </w:r>
      <w:r w:rsidR="001863D9" w:rsidRPr="00465121">
        <w:rPr>
          <w:rFonts w:ascii="Times New Roman" w:hAnsi="Times New Roman" w:cs="Times New Roman"/>
          <w:lang w:val="en-GB"/>
        </w:rPr>
        <w:t xml:space="preserve">roblem of DLR not automatically </w:t>
      </w:r>
      <w:r w:rsidR="006E18D8" w:rsidRPr="00465121">
        <w:rPr>
          <w:rFonts w:ascii="Times New Roman" w:hAnsi="Times New Roman" w:cs="Times New Roman"/>
          <w:lang w:val="en-GB"/>
        </w:rPr>
        <w:t xml:space="preserve">being </w:t>
      </w:r>
      <w:r w:rsidR="001863D9" w:rsidRPr="00465121">
        <w:rPr>
          <w:rFonts w:ascii="Times New Roman" w:hAnsi="Times New Roman" w:cs="Times New Roman"/>
          <w:lang w:val="en-GB"/>
        </w:rPr>
        <w:t>considered for EU citizens</w:t>
      </w:r>
    </w:p>
    <w:p w14:paraId="0B29230A" w14:textId="357EBC53" w:rsidR="001863D9" w:rsidRPr="00465121" w:rsidRDefault="002C1BDD"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The g</w:t>
      </w:r>
      <w:r w:rsidR="001863D9" w:rsidRPr="00465121">
        <w:rPr>
          <w:rFonts w:ascii="Times New Roman" w:hAnsi="Times New Roman" w:cs="Times New Roman"/>
          <w:lang w:val="en-GB"/>
        </w:rPr>
        <w:t>aps in support caused by inconsistencies within the bureaucratic system</w:t>
      </w:r>
    </w:p>
    <w:p w14:paraId="4431FB0B" w14:textId="5A0B9624" w:rsidR="001863D9" w:rsidRPr="00465121" w:rsidRDefault="002C1BDD"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The n</w:t>
      </w:r>
      <w:r w:rsidR="001863D9" w:rsidRPr="00465121">
        <w:rPr>
          <w:rFonts w:ascii="Times New Roman" w:hAnsi="Times New Roman" w:cs="Times New Roman"/>
          <w:lang w:val="en-GB"/>
        </w:rPr>
        <w:t>egative impact of</w:t>
      </w:r>
      <w:r w:rsidRPr="00465121">
        <w:rPr>
          <w:rFonts w:ascii="Times New Roman" w:hAnsi="Times New Roman" w:cs="Times New Roman"/>
          <w:lang w:val="en-GB"/>
        </w:rPr>
        <w:t xml:space="preserve"> the</w:t>
      </w:r>
      <w:r w:rsidR="001863D9" w:rsidRPr="00465121">
        <w:rPr>
          <w:rFonts w:ascii="Times New Roman" w:hAnsi="Times New Roman" w:cs="Times New Roman"/>
          <w:lang w:val="en-GB"/>
        </w:rPr>
        <w:t xml:space="preserve"> 2014 </w:t>
      </w:r>
      <w:r w:rsidR="00FC5295" w:rsidRPr="00465121">
        <w:rPr>
          <w:rFonts w:ascii="Times New Roman" w:hAnsi="Times New Roman" w:cs="Times New Roman"/>
          <w:lang w:val="en-GB"/>
        </w:rPr>
        <w:t>Immigration Act</w:t>
      </w:r>
    </w:p>
    <w:p w14:paraId="4C78A89E" w14:textId="2357E1B8" w:rsidR="001863D9" w:rsidRPr="00465121" w:rsidRDefault="001863D9"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Concern about</w:t>
      </w:r>
      <w:r w:rsidR="002C1BDD" w:rsidRPr="00465121">
        <w:rPr>
          <w:rFonts w:ascii="Times New Roman" w:hAnsi="Times New Roman" w:cs="Times New Roman"/>
          <w:lang w:val="en-GB"/>
        </w:rPr>
        <w:t xml:space="preserve"> the</w:t>
      </w:r>
      <w:r w:rsidRPr="00465121">
        <w:rPr>
          <w:rFonts w:ascii="Times New Roman" w:hAnsi="Times New Roman" w:cs="Times New Roman"/>
          <w:lang w:val="en-GB"/>
        </w:rPr>
        <w:t xml:space="preserve"> potential negative impact of Brexit</w:t>
      </w:r>
    </w:p>
    <w:p w14:paraId="4BE98426" w14:textId="77777777" w:rsidR="001863D9" w:rsidRPr="00465121" w:rsidRDefault="001863D9"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Individuals being wrongly incarcerated or deported</w:t>
      </w:r>
    </w:p>
    <w:p w14:paraId="587F7BF9" w14:textId="348839F8" w:rsidR="001863D9" w:rsidRPr="00465121" w:rsidRDefault="002C1BDD"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The l</w:t>
      </w:r>
      <w:r w:rsidR="001863D9" w:rsidRPr="00465121">
        <w:rPr>
          <w:rFonts w:ascii="Times New Roman" w:hAnsi="Times New Roman" w:cs="Times New Roman"/>
          <w:lang w:val="en-GB"/>
        </w:rPr>
        <w:t xml:space="preserve">ack of legal advice given within </w:t>
      </w:r>
      <w:r w:rsidRPr="00465121">
        <w:rPr>
          <w:rFonts w:ascii="Times New Roman" w:hAnsi="Times New Roman" w:cs="Times New Roman"/>
          <w:lang w:val="en-GB"/>
        </w:rPr>
        <w:t xml:space="preserve">a </w:t>
      </w:r>
      <w:r w:rsidR="001863D9" w:rsidRPr="00465121">
        <w:rPr>
          <w:rFonts w:ascii="Times New Roman" w:hAnsi="Times New Roman" w:cs="Times New Roman"/>
          <w:lang w:val="en-GB"/>
        </w:rPr>
        <w:t>useful timeframe</w:t>
      </w:r>
      <w:r w:rsidRPr="00465121">
        <w:rPr>
          <w:rFonts w:ascii="Times New Roman" w:hAnsi="Times New Roman" w:cs="Times New Roman"/>
          <w:lang w:val="en-GB"/>
        </w:rPr>
        <w:t xml:space="preserve">, </w:t>
      </w:r>
      <w:r w:rsidR="001863D9" w:rsidRPr="00465121">
        <w:rPr>
          <w:rFonts w:ascii="Times New Roman" w:hAnsi="Times New Roman" w:cs="Times New Roman"/>
          <w:lang w:val="en-GB"/>
        </w:rPr>
        <w:t>particularly whilst still in NRM</w:t>
      </w:r>
      <w:r w:rsidRPr="00465121">
        <w:rPr>
          <w:rFonts w:ascii="Times New Roman" w:hAnsi="Times New Roman" w:cs="Times New Roman"/>
          <w:lang w:val="en-GB"/>
        </w:rPr>
        <w:t xml:space="preserve">, </w:t>
      </w:r>
      <w:r w:rsidR="001863D9" w:rsidRPr="00465121">
        <w:rPr>
          <w:rFonts w:ascii="Times New Roman" w:hAnsi="Times New Roman" w:cs="Times New Roman"/>
          <w:lang w:val="en-GB"/>
        </w:rPr>
        <w:t>often due to lack of availability of Legal Aid</w:t>
      </w:r>
    </w:p>
    <w:p w14:paraId="2DC3D4F4" w14:textId="6924A3CD" w:rsidR="001863D9" w:rsidRPr="00465121" w:rsidRDefault="002C1BDD"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lastRenderedPageBreak/>
        <w:t>The l</w:t>
      </w:r>
      <w:r w:rsidR="001863D9" w:rsidRPr="00465121">
        <w:rPr>
          <w:rFonts w:ascii="Times New Roman" w:hAnsi="Times New Roman" w:cs="Times New Roman"/>
          <w:lang w:val="en-GB"/>
        </w:rPr>
        <w:t xml:space="preserve">ack of specific legal definitions of </w:t>
      </w:r>
      <w:r w:rsidRPr="00465121">
        <w:rPr>
          <w:rFonts w:ascii="Times New Roman" w:hAnsi="Times New Roman" w:cs="Times New Roman"/>
          <w:lang w:val="en-GB"/>
        </w:rPr>
        <w:t xml:space="preserve">the </w:t>
      </w:r>
      <w:r w:rsidR="001863D9" w:rsidRPr="00465121">
        <w:rPr>
          <w:rFonts w:ascii="Times New Roman" w:hAnsi="Times New Roman" w:cs="Times New Roman"/>
          <w:lang w:val="en-GB"/>
        </w:rPr>
        <w:t>terms used within legislation</w:t>
      </w:r>
    </w:p>
    <w:p w14:paraId="4CCD51C8" w14:textId="3DACDEF7" w:rsidR="001863D9" w:rsidRPr="00465121" w:rsidRDefault="002C1BDD"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The u</w:t>
      </w:r>
      <w:r w:rsidR="001863D9" w:rsidRPr="00465121">
        <w:rPr>
          <w:rFonts w:ascii="Times New Roman" w:hAnsi="Times New Roman" w:cs="Times New Roman"/>
          <w:lang w:val="en-GB"/>
        </w:rPr>
        <w:t>se of prevention orders</w:t>
      </w:r>
    </w:p>
    <w:p w14:paraId="7BC747E2" w14:textId="2BF28E5C" w:rsidR="001863D9" w:rsidRPr="00465121" w:rsidRDefault="002C1BDD" w:rsidP="00751939">
      <w:pPr>
        <w:pStyle w:val="ListParagraph"/>
        <w:numPr>
          <w:ilvl w:val="0"/>
          <w:numId w:val="7"/>
        </w:numPr>
        <w:spacing w:line="276" w:lineRule="auto"/>
        <w:jc w:val="both"/>
        <w:rPr>
          <w:rFonts w:ascii="Times New Roman" w:hAnsi="Times New Roman" w:cs="Times New Roman"/>
          <w:lang w:val="en-GB"/>
        </w:rPr>
      </w:pPr>
      <w:r w:rsidRPr="00465121">
        <w:rPr>
          <w:rFonts w:ascii="Times New Roman" w:hAnsi="Times New Roman" w:cs="Times New Roman"/>
          <w:lang w:val="en-GB"/>
        </w:rPr>
        <w:t>The p</w:t>
      </w:r>
      <w:r w:rsidR="001863D9" w:rsidRPr="00465121">
        <w:rPr>
          <w:rFonts w:ascii="Times New Roman" w:hAnsi="Times New Roman" w:cs="Times New Roman"/>
          <w:lang w:val="en-GB"/>
        </w:rPr>
        <w:t>rosecution of victims for crimes committed in the course of trafficking experience</w:t>
      </w:r>
    </w:p>
    <w:p w14:paraId="271DAE53" w14:textId="77777777" w:rsidR="001863D9" w:rsidRPr="00465121" w:rsidRDefault="001863D9" w:rsidP="00751939">
      <w:pPr>
        <w:spacing w:line="276" w:lineRule="auto"/>
        <w:jc w:val="both"/>
        <w:rPr>
          <w:rFonts w:ascii="Times New Roman" w:hAnsi="Times New Roman" w:cs="Times New Roman"/>
          <w:lang w:val="en-GB"/>
        </w:rPr>
      </w:pPr>
    </w:p>
    <w:p w14:paraId="38B57E7E" w14:textId="5A3270ED" w:rsidR="001863D9" w:rsidRPr="00465121" w:rsidRDefault="00C0713E"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I</w:t>
      </w:r>
      <w:r w:rsidR="001863D9" w:rsidRPr="00465121">
        <w:rPr>
          <w:rFonts w:ascii="Times New Roman" w:hAnsi="Times New Roman" w:cs="Times New Roman"/>
          <w:lang w:val="en-GB"/>
        </w:rPr>
        <w:t xml:space="preserve">n a high proportion of cases, the </w:t>
      </w:r>
      <w:r w:rsidR="005F0C65">
        <w:rPr>
          <w:rFonts w:ascii="Times New Roman" w:hAnsi="Times New Roman" w:cs="Times New Roman"/>
          <w:lang w:val="en-GB"/>
        </w:rPr>
        <w:t xml:space="preserve">legal </w:t>
      </w:r>
      <w:r w:rsidR="001863D9" w:rsidRPr="00465121">
        <w:rPr>
          <w:rFonts w:ascii="Times New Roman" w:hAnsi="Times New Roman" w:cs="Times New Roman"/>
          <w:lang w:val="en-GB"/>
        </w:rPr>
        <w:t>complexity, combined with the lack of available legal advice</w:t>
      </w:r>
      <w:r w:rsidR="005F0C65">
        <w:rPr>
          <w:rFonts w:ascii="Times New Roman" w:hAnsi="Times New Roman" w:cs="Times New Roman"/>
          <w:lang w:val="en-GB"/>
        </w:rPr>
        <w:t>,</w:t>
      </w:r>
      <w:r w:rsidR="001863D9" w:rsidRPr="00465121">
        <w:rPr>
          <w:rFonts w:ascii="Times New Roman" w:hAnsi="Times New Roman" w:cs="Times New Roman"/>
          <w:lang w:val="en-GB"/>
        </w:rPr>
        <w:t xml:space="preserve"> became a barrier for achieving correct legal outcomes.  One caseworker referred to the case of a Vietnamese woman that had been facing deportation after having a particularly complex history, however once a specialist legal team were able to “unpick” the case, she was awarded over two years of DLR and they are looking into permanent status for her.  That an understanding of this complexity is not reflected within current Government policy could be seen as a failure to engage with the specific needs of victims of trafficking.  Due to the crime not being temporally discret</w:t>
      </w:r>
      <w:r w:rsidRPr="00465121">
        <w:rPr>
          <w:rFonts w:ascii="Times New Roman" w:hAnsi="Times New Roman" w:cs="Times New Roman"/>
          <w:lang w:val="en-GB"/>
        </w:rPr>
        <w:t>e</w:t>
      </w:r>
      <w:r w:rsidR="001863D9" w:rsidRPr="00465121">
        <w:rPr>
          <w:rFonts w:ascii="Times New Roman" w:hAnsi="Times New Roman" w:cs="Times New Roman"/>
          <w:lang w:val="en-GB"/>
        </w:rPr>
        <w:t xml:space="preserve"> and involving many different facets, even once the victim has escaped the exploitative situation they are likely to have chaotic circumstances</w:t>
      </w:r>
      <w:r w:rsidR="0066744B">
        <w:rPr>
          <w:rFonts w:ascii="Times New Roman" w:hAnsi="Times New Roman" w:cs="Times New Roman"/>
          <w:lang w:val="en-GB"/>
        </w:rPr>
        <w:t>, such as a lack of stable housing,</w:t>
      </w:r>
      <w:r w:rsidR="001863D9" w:rsidRPr="00465121">
        <w:rPr>
          <w:rFonts w:ascii="Times New Roman" w:hAnsi="Times New Roman" w:cs="Times New Roman"/>
          <w:lang w:val="en-GB"/>
        </w:rPr>
        <w:t xml:space="preserve"> for some time</w:t>
      </w:r>
      <w:r w:rsidR="0066744B">
        <w:rPr>
          <w:rFonts w:ascii="Times New Roman" w:hAnsi="Times New Roman" w:cs="Times New Roman"/>
          <w:lang w:val="en-GB"/>
        </w:rPr>
        <w:t>.</w:t>
      </w:r>
      <w:r w:rsidR="001863D9" w:rsidRPr="00465121">
        <w:rPr>
          <w:rFonts w:ascii="Times New Roman" w:hAnsi="Times New Roman" w:cs="Times New Roman"/>
          <w:lang w:val="en-GB"/>
        </w:rPr>
        <w:t xml:space="preserve"> This is compounded when the person does not have a solid grasp of the English language and has no experience of navigating the State bureaucracy.</w:t>
      </w:r>
      <w:r w:rsidR="005F0C65">
        <w:rPr>
          <w:rStyle w:val="FootnoteReference"/>
          <w:rFonts w:ascii="Times New Roman" w:hAnsi="Times New Roman" w:cs="Times New Roman"/>
          <w:lang w:val="en-GB"/>
        </w:rPr>
        <w:footnoteReference w:id="69"/>
      </w:r>
      <w:r w:rsidR="001863D9" w:rsidRPr="00465121">
        <w:rPr>
          <w:rFonts w:ascii="Times New Roman" w:hAnsi="Times New Roman" w:cs="Times New Roman"/>
          <w:lang w:val="en-GB"/>
        </w:rPr>
        <w:t xml:space="preserve">  </w:t>
      </w:r>
    </w:p>
    <w:p w14:paraId="25C28789" w14:textId="77777777" w:rsidR="001863D9" w:rsidRPr="00465121" w:rsidRDefault="001863D9" w:rsidP="00751939">
      <w:pPr>
        <w:spacing w:line="276" w:lineRule="auto"/>
        <w:jc w:val="both"/>
        <w:rPr>
          <w:rFonts w:ascii="Times New Roman" w:hAnsi="Times New Roman" w:cs="Times New Roman"/>
          <w:lang w:val="en-GB"/>
        </w:rPr>
      </w:pPr>
    </w:p>
    <w:p w14:paraId="32D64B7E" w14:textId="6B2840B2"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As discussed previously, DLR can be granted on the basis of cooperation with Police enquiries and ongoing prosec</w:t>
      </w:r>
      <w:r w:rsidR="0066744B">
        <w:rPr>
          <w:rFonts w:ascii="Times New Roman" w:hAnsi="Times New Roman" w:cs="Times New Roman"/>
          <w:lang w:val="en-GB"/>
        </w:rPr>
        <w:t>utions. In such instances, the p</w:t>
      </w:r>
      <w:r w:rsidRPr="00465121">
        <w:rPr>
          <w:rFonts w:ascii="Times New Roman" w:hAnsi="Times New Roman" w:cs="Times New Roman"/>
          <w:lang w:val="en-GB"/>
        </w:rPr>
        <w:t>olice officer leading the investigation is in a position to submit the DLR application</w:t>
      </w:r>
      <w:r w:rsidR="0026454E" w:rsidRPr="00465121">
        <w:rPr>
          <w:rFonts w:ascii="Times New Roman" w:hAnsi="Times New Roman" w:cs="Times New Roman"/>
          <w:lang w:val="en-GB"/>
        </w:rPr>
        <w:t>,</w:t>
      </w:r>
      <w:r w:rsidRPr="00465121">
        <w:rPr>
          <w:rFonts w:ascii="Times New Roman" w:hAnsi="Times New Roman" w:cs="Times New Roman"/>
          <w:lang w:val="en-GB"/>
        </w:rPr>
        <w:t xml:space="preserve"> pursuant to the individual’s cooperation with their case.  This raised a number of issues for different clients, specifically that it created an ‘ad hoc’ situation where DLR could become dependent on the particular practices of an </w:t>
      </w:r>
      <w:r w:rsidR="0026454E" w:rsidRPr="00465121">
        <w:rPr>
          <w:rFonts w:ascii="Times New Roman" w:hAnsi="Times New Roman" w:cs="Times New Roman"/>
          <w:lang w:val="en-GB"/>
        </w:rPr>
        <w:t xml:space="preserve">individual </w:t>
      </w:r>
      <w:r w:rsidRPr="00465121">
        <w:rPr>
          <w:rFonts w:ascii="Times New Roman" w:hAnsi="Times New Roman" w:cs="Times New Roman"/>
          <w:lang w:val="en-GB"/>
        </w:rPr>
        <w:t>officer. For example, situations were described where officers could be very helpful and submit applications in good time, with a time period that extended beyond the court case to allow time for extensions to be applied for.</w:t>
      </w:r>
      <w:r w:rsidR="005F0C65">
        <w:rPr>
          <w:rStyle w:val="FootnoteReference"/>
          <w:rFonts w:ascii="Times New Roman" w:hAnsi="Times New Roman" w:cs="Times New Roman"/>
          <w:lang w:val="en-GB"/>
        </w:rPr>
        <w:footnoteReference w:id="70"/>
      </w:r>
      <w:r w:rsidRPr="00465121">
        <w:rPr>
          <w:rFonts w:ascii="Times New Roman" w:hAnsi="Times New Roman" w:cs="Times New Roman"/>
          <w:lang w:val="en-GB"/>
        </w:rPr>
        <w:t xml:space="preserve">  However</w:t>
      </w:r>
      <w:r w:rsidR="00B8138C" w:rsidRPr="00465121">
        <w:rPr>
          <w:rFonts w:ascii="Times New Roman" w:hAnsi="Times New Roman" w:cs="Times New Roman"/>
          <w:lang w:val="en-GB"/>
        </w:rPr>
        <w:t>,</w:t>
      </w:r>
      <w:r w:rsidRPr="00465121">
        <w:rPr>
          <w:rFonts w:ascii="Times New Roman" w:hAnsi="Times New Roman" w:cs="Times New Roman"/>
          <w:lang w:val="en-GB"/>
        </w:rPr>
        <w:t xml:space="preserve"> in some cases due to a lack of awareness the officer would not know that this action was beneficial to the client.</w:t>
      </w:r>
      <w:r w:rsidR="005F0C65">
        <w:rPr>
          <w:rStyle w:val="FootnoteReference"/>
          <w:rFonts w:ascii="Times New Roman" w:hAnsi="Times New Roman" w:cs="Times New Roman"/>
          <w:lang w:val="en-GB"/>
        </w:rPr>
        <w:footnoteReference w:id="71"/>
      </w:r>
      <w:r w:rsidRPr="00465121">
        <w:rPr>
          <w:rFonts w:ascii="Times New Roman" w:hAnsi="Times New Roman" w:cs="Times New Roman"/>
          <w:lang w:val="en-GB"/>
        </w:rPr>
        <w:t xml:space="preserve"> It was also reported that in some cases Police officers had specifically made decisions based on personal inclinations about the claiming of welfare.  One caseworker stated,</w:t>
      </w:r>
    </w:p>
    <w:p w14:paraId="621AE781" w14:textId="77777777" w:rsidR="001863D9" w:rsidRPr="00465121" w:rsidRDefault="001863D9" w:rsidP="00751939">
      <w:pPr>
        <w:spacing w:line="276" w:lineRule="auto"/>
        <w:jc w:val="both"/>
        <w:rPr>
          <w:rFonts w:ascii="Times New Roman" w:hAnsi="Times New Roman" w:cs="Times New Roman"/>
          <w:lang w:val="en-GB"/>
        </w:rPr>
      </w:pPr>
    </w:p>
    <w:p w14:paraId="3D302BB0" w14:textId="152C1C40" w:rsidR="001863D9" w:rsidRPr="00465121" w:rsidRDefault="001863D9" w:rsidP="00751939">
      <w:pPr>
        <w:spacing w:line="276" w:lineRule="auto"/>
        <w:ind w:left="720"/>
        <w:jc w:val="both"/>
        <w:rPr>
          <w:rFonts w:ascii="Times New Roman" w:eastAsia="Times New Roman" w:hAnsi="Times New Roman" w:cs="Times New Roman"/>
          <w:lang w:val="en-GB"/>
        </w:rPr>
      </w:pPr>
      <w:r w:rsidRPr="00465121">
        <w:rPr>
          <w:rFonts w:ascii="Times New Roman" w:eastAsia="Times New Roman" w:hAnsi="Times New Roman" w:cs="Times New Roman"/>
          <w:lang w:val="en-GB"/>
        </w:rPr>
        <w:t>“And there’ll be various battles with different officers. Some officers will be ‘oh right, I guess they didn’t tell you. We’ll get that in place’ or others, ‘no, they just need to get a job if they’re going to live here’ and people’s personal opinion can come into it, so it definitely isn’t the same situation for everyone.”</w:t>
      </w:r>
      <w:r w:rsidR="005F0C65">
        <w:rPr>
          <w:rStyle w:val="FootnoteReference"/>
          <w:rFonts w:ascii="Times New Roman" w:eastAsia="Times New Roman" w:hAnsi="Times New Roman" w:cs="Times New Roman"/>
          <w:lang w:val="en-GB"/>
        </w:rPr>
        <w:footnoteReference w:id="72"/>
      </w:r>
    </w:p>
    <w:p w14:paraId="7C08C105" w14:textId="77777777" w:rsidR="001863D9" w:rsidRPr="00465121" w:rsidRDefault="001863D9" w:rsidP="00751939">
      <w:pPr>
        <w:spacing w:line="276" w:lineRule="auto"/>
        <w:jc w:val="both"/>
        <w:rPr>
          <w:rFonts w:ascii="Times New Roman" w:eastAsia="Times New Roman" w:hAnsi="Times New Roman" w:cs="Times New Roman"/>
          <w:lang w:val="en-GB"/>
        </w:rPr>
      </w:pPr>
    </w:p>
    <w:p w14:paraId="76E1E4F5" w14:textId="38CF4108" w:rsidR="001863D9" w:rsidRPr="00465121" w:rsidRDefault="001863D9" w:rsidP="00751939">
      <w:pPr>
        <w:spacing w:line="276" w:lineRule="auto"/>
        <w:jc w:val="both"/>
        <w:rPr>
          <w:rFonts w:ascii="Times New Roman" w:eastAsia="Times New Roman" w:hAnsi="Times New Roman" w:cs="Times New Roman"/>
          <w:lang w:val="en-GB"/>
        </w:rPr>
      </w:pPr>
      <w:r w:rsidRPr="00465121">
        <w:rPr>
          <w:rFonts w:ascii="Times New Roman" w:eastAsia="Times New Roman" w:hAnsi="Times New Roman" w:cs="Times New Roman"/>
          <w:lang w:val="en-GB"/>
        </w:rPr>
        <w:t xml:space="preserve">An issue that was raised by every caseworker was the impact of cuts to legal aid. Related to this was the difficulty of finding solicitors within a particular geographical locale that were able to take immigration cases, even more so if trying to find a solicitor who had experience </w:t>
      </w:r>
      <w:r w:rsidRPr="00465121">
        <w:rPr>
          <w:rFonts w:ascii="Times New Roman" w:eastAsia="Times New Roman" w:hAnsi="Times New Roman" w:cs="Times New Roman"/>
          <w:lang w:val="en-GB"/>
        </w:rPr>
        <w:lastRenderedPageBreak/>
        <w:t>with cases of trafficking.</w:t>
      </w:r>
      <w:r w:rsidR="005F0C65">
        <w:rPr>
          <w:rStyle w:val="FootnoteReference"/>
          <w:rFonts w:ascii="Times New Roman" w:eastAsia="Times New Roman" w:hAnsi="Times New Roman" w:cs="Times New Roman"/>
          <w:lang w:val="en-GB"/>
        </w:rPr>
        <w:footnoteReference w:id="73"/>
      </w:r>
      <w:r w:rsidRPr="00465121">
        <w:rPr>
          <w:rFonts w:ascii="Times New Roman" w:eastAsia="Times New Roman" w:hAnsi="Times New Roman" w:cs="Times New Roman"/>
          <w:lang w:val="en-GB"/>
        </w:rPr>
        <w:t xml:space="preserve"> This resulted in clients having </w:t>
      </w:r>
      <w:r w:rsidR="00B8138C" w:rsidRPr="00465121">
        <w:rPr>
          <w:rFonts w:ascii="Times New Roman" w:eastAsia="Times New Roman" w:hAnsi="Times New Roman" w:cs="Times New Roman"/>
          <w:lang w:val="en-GB"/>
        </w:rPr>
        <w:t xml:space="preserve">to </w:t>
      </w:r>
      <w:r w:rsidRPr="00465121">
        <w:rPr>
          <w:rFonts w:ascii="Times New Roman" w:eastAsia="Times New Roman" w:hAnsi="Times New Roman" w:cs="Times New Roman"/>
          <w:lang w:val="en-GB"/>
        </w:rPr>
        <w:t>attend tribunals or immigration hearings</w:t>
      </w:r>
      <w:r w:rsidR="00B8138C" w:rsidRPr="00465121">
        <w:rPr>
          <w:rFonts w:ascii="Times New Roman" w:eastAsia="Times New Roman" w:hAnsi="Times New Roman" w:cs="Times New Roman"/>
          <w:lang w:val="en-GB"/>
        </w:rPr>
        <w:t xml:space="preserve">, </w:t>
      </w:r>
      <w:r w:rsidRPr="00465121">
        <w:rPr>
          <w:rFonts w:ascii="Times New Roman" w:eastAsia="Times New Roman" w:hAnsi="Times New Roman" w:cs="Times New Roman"/>
          <w:lang w:val="en-GB"/>
        </w:rPr>
        <w:t>usually prior to their engagement with their current caseworker</w:t>
      </w:r>
      <w:r w:rsidR="00B8138C" w:rsidRPr="00465121">
        <w:rPr>
          <w:rFonts w:ascii="Times New Roman" w:eastAsia="Times New Roman" w:hAnsi="Times New Roman" w:cs="Times New Roman"/>
          <w:lang w:val="en-GB"/>
        </w:rPr>
        <w:t>,</w:t>
      </w:r>
      <w:r w:rsidRPr="00465121">
        <w:rPr>
          <w:rFonts w:ascii="Times New Roman" w:eastAsia="Times New Roman" w:hAnsi="Times New Roman" w:cs="Times New Roman"/>
          <w:lang w:val="en-GB"/>
        </w:rPr>
        <w:t xml:space="preserve"> without adequate advice or representation.  A caseworker at a safe house was asked specifically if any client had arrived having received prior immigration advice – he responded that according to the paperwork he had and interviews with clients, none had received specialist immigration advice whilst in the NRM.</w:t>
      </w:r>
      <w:r w:rsidR="005F0C65">
        <w:rPr>
          <w:rStyle w:val="FootnoteReference"/>
          <w:rFonts w:ascii="Times New Roman" w:eastAsia="Times New Roman" w:hAnsi="Times New Roman" w:cs="Times New Roman"/>
          <w:lang w:val="en-GB"/>
        </w:rPr>
        <w:footnoteReference w:id="74"/>
      </w:r>
      <w:r w:rsidRPr="00465121">
        <w:rPr>
          <w:rFonts w:ascii="Times New Roman" w:eastAsia="Times New Roman" w:hAnsi="Times New Roman" w:cs="Times New Roman"/>
          <w:lang w:val="en-GB"/>
        </w:rPr>
        <w:t xml:space="preserve">  This not only increases the risk of deportation and lack of access to welfare, but may also serve to exacerbate the complexities that are inherent within cases of trafficking.</w:t>
      </w:r>
    </w:p>
    <w:p w14:paraId="163D7F29" w14:textId="77777777" w:rsidR="001863D9" w:rsidRPr="00465121" w:rsidRDefault="001863D9" w:rsidP="00751939">
      <w:pPr>
        <w:spacing w:line="276" w:lineRule="auto"/>
        <w:jc w:val="both"/>
        <w:rPr>
          <w:rFonts w:ascii="Times New Roman" w:eastAsia="Times New Roman" w:hAnsi="Times New Roman" w:cs="Times New Roman"/>
          <w:lang w:val="en-GB"/>
        </w:rPr>
      </w:pPr>
    </w:p>
    <w:p w14:paraId="5043F3F4" w14:textId="77777777" w:rsidR="001863D9" w:rsidRPr="00465121" w:rsidRDefault="001863D9" w:rsidP="00751939">
      <w:pPr>
        <w:spacing w:line="276" w:lineRule="auto"/>
        <w:jc w:val="both"/>
        <w:rPr>
          <w:rFonts w:ascii="Times New Roman" w:eastAsia="Times New Roman" w:hAnsi="Times New Roman" w:cs="Times New Roman"/>
          <w:i/>
          <w:lang w:val="en-GB"/>
        </w:rPr>
      </w:pPr>
      <w:r w:rsidRPr="00465121">
        <w:rPr>
          <w:rFonts w:ascii="Times New Roman" w:eastAsia="Times New Roman" w:hAnsi="Times New Roman" w:cs="Times New Roman"/>
          <w:i/>
          <w:lang w:val="en-GB"/>
        </w:rPr>
        <w:t>Home Office Decision Making</w:t>
      </w:r>
    </w:p>
    <w:p w14:paraId="59F2A9FC" w14:textId="77777777" w:rsidR="001863D9" w:rsidRPr="00465121" w:rsidRDefault="001863D9" w:rsidP="00751939">
      <w:pPr>
        <w:spacing w:line="276" w:lineRule="auto"/>
        <w:jc w:val="both"/>
        <w:rPr>
          <w:rFonts w:ascii="Times New Roman" w:eastAsia="Times New Roman" w:hAnsi="Times New Roman" w:cs="Times New Roman"/>
          <w:u w:val="single"/>
          <w:lang w:val="en-GB"/>
        </w:rPr>
      </w:pPr>
    </w:p>
    <w:p w14:paraId="4D701A4A" w14:textId="24BA04B0" w:rsidR="001863D9" w:rsidRPr="00465121" w:rsidRDefault="0066744B" w:rsidP="00751939">
      <w:pPr>
        <w:spacing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This theme encompasses the interaction between victims, caseworkers and Home Office officials, particularly </w:t>
      </w:r>
      <w:r w:rsidR="005F0C65">
        <w:rPr>
          <w:rFonts w:ascii="Times New Roman" w:eastAsia="Times New Roman" w:hAnsi="Times New Roman" w:cs="Times New Roman"/>
          <w:lang w:val="en-GB"/>
        </w:rPr>
        <w:t>the decision making process and identified problems therein.  Within this top-level theme, eight micro-themes were identified</w:t>
      </w:r>
      <w:r w:rsidR="001863D9" w:rsidRPr="00465121">
        <w:rPr>
          <w:rFonts w:ascii="Times New Roman" w:eastAsia="Times New Roman" w:hAnsi="Times New Roman" w:cs="Times New Roman"/>
          <w:lang w:val="en-GB"/>
        </w:rPr>
        <w:t>:</w:t>
      </w:r>
    </w:p>
    <w:p w14:paraId="60AD5861" w14:textId="77777777" w:rsidR="001863D9" w:rsidRPr="00465121" w:rsidRDefault="001863D9" w:rsidP="00751939">
      <w:pPr>
        <w:spacing w:line="276" w:lineRule="auto"/>
        <w:jc w:val="both"/>
        <w:rPr>
          <w:rFonts w:ascii="Times New Roman" w:eastAsia="Times New Roman" w:hAnsi="Times New Roman" w:cs="Times New Roman"/>
          <w:lang w:val="en-GB"/>
        </w:rPr>
      </w:pPr>
    </w:p>
    <w:p w14:paraId="752476B9" w14:textId="300914C2" w:rsidR="001863D9" w:rsidRPr="00465121" w:rsidRDefault="00B8138C" w:rsidP="00751939">
      <w:pPr>
        <w:pStyle w:val="ListParagraph"/>
        <w:numPr>
          <w:ilvl w:val="0"/>
          <w:numId w:val="8"/>
        </w:numPr>
        <w:spacing w:line="276" w:lineRule="auto"/>
        <w:jc w:val="both"/>
        <w:rPr>
          <w:rFonts w:ascii="Times New Roman" w:eastAsia="Times New Roman" w:hAnsi="Times New Roman" w:cs="Times New Roman"/>
          <w:lang w:val="en-GB"/>
        </w:rPr>
      </w:pPr>
      <w:r w:rsidRPr="00465121">
        <w:rPr>
          <w:rFonts w:ascii="Times New Roman" w:eastAsia="Times New Roman" w:hAnsi="Times New Roman" w:cs="Times New Roman"/>
          <w:lang w:val="en-GB"/>
        </w:rPr>
        <w:t>The degree of b</w:t>
      </w:r>
      <w:r w:rsidR="001863D9" w:rsidRPr="00465121">
        <w:rPr>
          <w:rFonts w:ascii="Times New Roman" w:eastAsia="Times New Roman" w:hAnsi="Times New Roman" w:cs="Times New Roman"/>
          <w:lang w:val="en-GB"/>
        </w:rPr>
        <w:t>ias evident within decision making based on</w:t>
      </w:r>
      <w:r w:rsidRPr="00465121">
        <w:rPr>
          <w:rFonts w:ascii="Times New Roman" w:eastAsia="Times New Roman" w:hAnsi="Times New Roman" w:cs="Times New Roman"/>
          <w:lang w:val="en-GB"/>
        </w:rPr>
        <w:t xml:space="preserve"> the</w:t>
      </w:r>
      <w:r w:rsidR="001863D9" w:rsidRPr="00465121">
        <w:rPr>
          <w:rFonts w:ascii="Times New Roman" w:eastAsia="Times New Roman" w:hAnsi="Times New Roman" w:cs="Times New Roman"/>
          <w:lang w:val="en-GB"/>
        </w:rPr>
        <w:t xml:space="preserve"> choices of</w:t>
      </w:r>
      <w:r w:rsidRPr="00465121">
        <w:rPr>
          <w:rFonts w:ascii="Times New Roman" w:eastAsia="Times New Roman" w:hAnsi="Times New Roman" w:cs="Times New Roman"/>
          <w:lang w:val="en-GB"/>
        </w:rPr>
        <w:t xml:space="preserve"> the</w:t>
      </w:r>
      <w:r w:rsidR="001863D9" w:rsidRPr="00465121">
        <w:rPr>
          <w:rFonts w:ascii="Times New Roman" w:eastAsia="Times New Roman" w:hAnsi="Times New Roman" w:cs="Times New Roman"/>
          <w:lang w:val="en-GB"/>
        </w:rPr>
        <w:t xml:space="preserve"> client</w:t>
      </w:r>
    </w:p>
    <w:p w14:paraId="12EB9038" w14:textId="14414B53" w:rsidR="001863D9" w:rsidRPr="00465121" w:rsidRDefault="00B8138C" w:rsidP="00751939">
      <w:pPr>
        <w:pStyle w:val="ListParagraph"/>
        <w:numPr>
          <w:ilvl w:val="0"/>
          <w:numId w:val="8"/>
        </w:numPr>
        <w:spacing w:line="276" w:lineRule="auto"/>
        <w:jc w:val="both"/>
        <w:rPr>
          <w:rFonts w:ascii="Times New Roman" w:hAnsi="Times New Roman" w:cs="Times New Roman"/>
          <w:lang w:val="en-GB"/>
        </w:rPr>
      </w:pPr>
      <w:r w:rsidRPr="00465121">
        <w:rPr>
          <w:rFonts w:ascii="Times New Roman" w:hAnsi="Times New Roman" w:cs="Times New Roman"/>
          <w:lang w:val="en-GB"/>
        </w:rPr>
        <w:t>The c</w:t>
      </w:r>
      <w:r w:rsidR="001863D9" w:rsidRPr="00465121">
        <w:rPr>
          <w:rFonts w:ascii="Times New Roman" w:hAnsi="Times New Roman" w:cs="Times New Roman"/>
          <w:lang w:val="en-GB"/>
        </w:rPr>
        <w:t>omplex or confused decision making and justification of decisions</w:t>
      </w:r>
    </w:p>
    <w:p w14:paraId="7208754E" w14:textId="72B7E7B7" w:rsidR="001863D9" w:rsidRPr="00465121" w:rsidRDefault="00B8138C" w:rsidP="00751939">
      <w:pPr>
        <w:pStyle w:val="ListParagraph"/>
        <w:numPr>
          <w:ilvl w:val="0"/>
          <w:numId w:val="8"/>
        </w:numPr>
        <w:spacing w:line="276" w:lineRule="auto"/>
        <w:jc w:val="both"/>
        <w:rPr>
          <w:rFonts w:ascii="Times New Roman" w:hAnsi="Times New Roman" w:cs="Times New Roman"/>
          <w:lang w:val="en-GB"/>
        </w:rPr>
      </w:pPr>
      <w:r w:rsidRPr="00465121">
        <w:rPr>
          <w:rFonts w:ascii="Times New Roman" w:hAnsi="Times New Roman" w:cs="Times New Roman"/>
          <w:lang w:val="en-GB"/>
        </w:rPr>
        <w:t>The d</w:t>
      </w:r>
      <w:r w:rsidR="001863D9" w:rsidRPr="00465121">
        <w:rPr>
          <w:rFonts w:ascii="Times New Roman" w:hAnsi="Times New Roman" w:cs="Times New Roman"/>
          <w:lang w:val="en-GB"/>
        </w:rPr>
        <w:t>elays in decision making</w:t>
      </w:r>
    </w:p>
    <w:p w14:paraId="49891DAF" w14:textId="5409CCC6" w:rsidR="001863D9" w:rsidRPr="00465121" w:rsidRDefault="00B8138C" w:rsidP="00751939">
      <w:pPr>
        <w:pStyle w:val="ListParagraph"/>
        <w:numPr>
          <w:ilvl w:val="0"/>
          <w:numId w:val="8"/>
        </w:numPr>
        <w:spacing w:line="276" w:lineRule="auto"/>
        <w:jc w:val="both"/>
        <w:rPr>
          <w:rFonts w:ascii="Times New Roman" w:hAnsi="Times New Roman" w:cs="Times New Roman"/>
          <w:lang w:val="en-GB"/>
        </w:rPr>
      </w:pPr>
      <w:r w:rsidRPr="00465121">
        <w:rPr>
          <w:rFonts w:ascii="Times New Roman" w:hAnsi="Times New Roman" w:cs="Times New Roman"/>
          <w:lang w:val="en-GB"/>
        </w:rPr>
        <w:t>The p</w:t>
      </w:r>
      <w:r w:rsidR="001863D9" w:rsidRPr="00465121">
        <w:rPr>
          <w:rFonts w:ascii="Times New Roman" w:hAnsi="Times New Roman" w:cs="Times New Roman"/>
          <w:lang w:val="en-GB"/>
        </w:rPr>
        <w:t xml:space="preserve">rocedures leading to </w:t>
      </w:r>
      <w:r w:rsidRPr="00465121">
        <w:rPr>
          <w:rFonts w:ascii="Times New Roman" w:hAnsi="Times New Roman" w:cs="Times New Roman"/>
          <w:lang w:val="en-GB"/>
        </w:rPr>
        <w:t xml:space="preserve">the </w:t>
      </w:r>
      <w:r w:rsidR="001863D9" w:rsidRPr="00465121">
        <w:rPr>
          <w:rFonts w:ascii="Times New Roman" w:hAnsi="Times New Roman" w:cs="Times New Roman"/>
          <w:lang w:val="en-GB"/>
        </w:rPr>
        <w:t>potential infringement of human rights</w:t>
      </w:r>
    </w:p>
    <w:p w14:paraId="2C448F3A" w14:textId="56A1941E" w:rsidR="001863D9" w:rsidRPr="00465121" w:rsidRDefault="00B8138C" w:rsidP="00751939">
      <w:pPr>
        <w:pStyle w:val="ListParagraph"/>
        <w:numPr>
          <w:ilvl w:val="0"/>
          <w:numId w:val="8"/>
        </w:numPr>
        <w:spacing w:line="276" w:lineRule="auto"/>
        <w:jc w:val="both"/>
        <w:rPr>
          <w:rFonts w:ascii="Times New Roman" w:hAnsi="Times New Roman" w:cs="Times New Roman"/>
          <w:lang w:val="en-GB"/>
        </w:rPr>
      </w:pPr>
      <w:r w:rsidRPr="00465121">
        <w:rPr>
          <w:rFonts w:ascii="Times New Roman" w:hAnsi="Times New Roman" w:cs="Times New Roman"/>
          <w:lang w:val="en-GB"/>
        </w:rPr>
        <w:t>The l</w:t>
      </w:r>
      <w:r w:rsidR="001863D9" w:rsidRPr="00465121">
        <w:rPr>
          <w:rFonts w:ascii="Times New Roman" w:hAnsi="Times New Roman" w:cs="Times New Roman"/>
          <w:lang w:val="en-GB"/>
        </w:rPr>
        <w:t>ack of training on, or awareness of, issues surrounding human trafficking</w:t>
      </w:r>
    </w:p>
    <w:p w14:paraId="5D3776F1" w14:textId="6FE15BAB" w:rsidR="001863D9" w:rsidRPr="00465121" w:rsidRDefault="00B8138C" w:rsidP="00751939">
      <w:pPr>
        <w:pStyle w:val="ListParagraph"/>
        <w:numPr>
          <w:ilvl w:val="0"/>
          <w:numId w:val="8"/>
        </w:numPr>
        <w:spacing w:line="276" w:lineRule="auto"/>
        <w:jc w:val="both"/>
        <w:rPr>
          <w:rFonts w:ascii="Times New Roman" w:hAnsi="Times New Roman" w:cs="Times New Roman"/>
          <w:lang w:val="en-GB"/>
        </w:rPr>
      </w:pPr>
      <w:r w:rsidRPr="00465121">
        <w:rPr>
          <w:rFonts w:ascii="Times New Roman" w:hAnsi="Times New Roman" w:cs="Times New Roman"/>
          <w:lang w:val="en-GB"/>
        </w:rPr>
        <w:t>The n</w:t>
      </w:r>
      <w:r w:rsidR="001863D9" w:rsidRPr="00465121">
        <w:rPr>
          <w:rFonts w:ascii="Times New Roman" w:hAnsi="Times New Roman" w:cs="Times New Roman"/>
          <w:lang w:val="en-GB"/>
        </w:rPr>
        <w:t>ecessity of extensive advocacy work to navigate</w:t>
      </w:r>
      <w:r w:rsidRPr="00465121">
        <w:rPr>
          <w:rFonts w:ascii="Times New Roman" w:hAnsi="Times New Roman" w:cs="Times New Roman"/>
          <w:lang w:val="en-GB"/>
        </w:rPr>
        <w:t xml:space="preserve"> the</w:t>
      </w:r>
      <w:r w:rsidR="001863D9" w:rsidRPr="00465121">
        <w:rPr>
          <w:rFonts w:ascii="Times New Roman" w:hAnsi="Times New Roman" w:cs="Times New Roman"/>
          <w:lang w:val="en-GB"/>
        </w:rPr>
        <w:t xml:space="preserve"> </w:t>
      </w:r>
      <w:r w:rsidR="00BA448D" w:rsidRPr="00465121">
        <w:rPr>
          <w:rFonts w:ascii="Times New Roman" w:hAnsi="Times New Roman" w:cs="Times New Roman"/>
          <w:lang w:val="en-GB"/>
        </w:rPr>
        <w:t>immigration and welfare s</w:t>
      </w:r>
      <w:r w:rsidR="001863D9" w:rsidRPr="00465121">
        <w:rPr>
          <w:rFonts w:ascii="Times New Roman" w:hAnsi="Times New Roman" w:cs="Times New Roman"/>
          <w:lang w:val="en-GB"/>
        </w:rPr>
        <w:t>ystem</w:t>
      </w:r>
      <w:r w:rsidR="00BA448D" w:rsidRPr="00465121">
        <w:rPr>
          <w:rFonts w:ascii="Times New Roman" w:hAnsi="Times New Roman" w:cs="Times New Roman"/>
          <w:lang w:val="en-GB"/>
        </w:rPr>
        <w:t>s</w:t>
      </w:r>
    </w:p>
    <w:p w14:paraId="33DAD158" w14:textId="3386B41F" w:rsidR="001863D9" w:rsidRPr="00465121" w:rsidRDefault="00B8138C" w:rsidP="00751939">
      <w:pPr>
        <w:pStyle w:val="ListParagraph"/>
        <w:numPr>
          <w:ilvl w:val="0"/>
          <w:numId w:val="8"/>
        </w:numPr>
        <w:spacing w:line="276" w:lineRule="auto"/>
        <w:jc w:val="both"/>
        <w:rPr>
          <w:rFonts w:ascii="Times New Roman" w:hAnsi="Times New Roman" w:cs="Times New Roman"/>
          <w:lang w:val="en-GB"/>
        </w:rPr>
      </w:pPr>
      <w:r w:rsidRPr="00465121">
        <w:rPr>
          <w:rFonts w:ascii="Times New Roman" w:hAnsi="Times New Roman" w:cs="Times New Roman"/>
          <w:lang w:val="en-GB"/>
        </w:rPr>
        <w:t>The p</w:t>
      </w:r>
      <w:r w:rsidR="001863D9" w:rsidRPr="00465121">
        <w:rPr>
          <w:rFonts w:ascii="Times New Roman" w:hAnsi="Times New Roman" w:cs="Times New Roman"/>
          <w:lang w:val="en-GB"/>
        </w:rPr>
        <w:t>reponderance of negative decisions</w:t>
      </w:r>
    </w:p>
    <w:p w14:paraId="6C9DF5FB" w14:textId="51B8CC9F" w:rsidR="001863D9" w:rsidRPr="00465121" w:rsidRDefault="00B8138C" w:rsidP="00751939">
      <w:pPr>
        <w:pStyle w:val="ListParagraph"/>
        <w:numPr>
          <w:ilvl w:val="0"/>
          <w:numId w:val="8"/>
        </w:numPr>
        <w:spacing w:line="276" w:lineRule="auto"/>
        <w:jc w:val="both"/>
        <w:rPr>
          <w:rFonts w:ascii="Times New Roman" w:hAnsi="Times New Roman" w:cs="Times New Roman"/>
          <w:lang w:val="en-GB"/>
        </w:rPr>
      </w:pPr>
      <w:r w:rsidRPr="00465121">
        <w:rPr>
          <w:rFonts w:ascii="Times New Roman" w:hAnsi="Times New Roman" w:cs="Times New Roman"/>
          <w:lang w:val="en-GB"/>
        </w:rPr>
        <w:t>The r</w:t>
      </w:r>
      <w:r w:rsidR="001863D9" w:rsidRPr="00465121">
        <w:rPr>
          <w:rFonts w:ascii="Times New Roman" w:hAnsi="Times New Roman" w:cs="Times New Roman"/>
          <w:lang w:val="en-GB"/>
        </w:rPr>
        <w:t>isks of repatriation not</w:t>
      </w:r>
      <w:r w:rsidRPr="00465121">
        <w:rPr>
          <w:rFonts w:ascii="Times New Roman" w:hAnsi="Times New Roman" w:cs="Times New Roman"/>
          <w:lang w:val="en-GB"/>
        </w:rPr>
        <w:t xml:space="preserve"> being</w:t>
      </w:r>
      <w:r w:rsidR="001863D9" w:rsidRPr="00465121">
        <w:rPr>
          <w:rFonts w:ascii="Times New Roman" w:hAnsi="Times New Roman" w:cs="Times New Roman"/>
          <w:lang w:val="en-GB"/>
        </w:rPr>
        <w:t xml:space="preserve"> fully considered</w:t>
      </w:r>
    </w:p>
    <w:p w14:paraId="02F2964C" w14:textId="77777777" w:rsidR="001863D9" w:rsidRPr="00465121" w:rsidRDefault="001863D9" w:rsidP="00751939">
      <w:pPr>
        <w:spacing w:line="276" w:lineRule="auto"/>
        <w:jc w:val="both"/>
        <w:rPr>
          <w:rFonts w:ascii="Times New Roman" w:hAnsi="Times New Roman" w:cs="Times New Roman"/>
          <w:lang w:val="en-GB"/>
        </w:rPr>
      </w:pPr>
    </w:p>
    <w:p w14:paraId="2F7C9BAE" w14:textId="26442012"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 xml:space="preserve">The picture emerging from each interview when discussing navigating the Home Office immigration decision making process was one of opaque, and at times inconsistent, decision making and </w:t>
      </w:r>
      <w:r w:rsidR="00B8138C" w:rsidRPr="00465121">
        <w:rPr>
          <w:rFonts w:ascii="Times New Roman" w:hAnsi="Times New Roman" w:cs="Times New Roman"/>
          <w:lang w:val="en-GB"/>
        </w:rPr>
        <w:t xml:space="preserve">a </w:t>
      </w:r>
      <w:r w:rsidRPr="00465121">
        <w:rPr>
          <w:rFonts w:ascii="Times New Roman" w:hAnsi="Times New Roman" w:cs="Times New Roman"/>
          <w:lang w:val="en-GB"/>
        </w:rPr>
        <w:t xml:space="preserve">lack of understanding of the predominant issues faced by trafficking victims. An example of this is a reported lack of consideration of </w:t>
      </w:r>
      <w:r w:rsidR="00B8138C" w:rsidRPr="00465121">
        <w:rPr>
          <w:rFonts w:ascii="Times New Roman" w:hAnsi="Times New Roman" w:cs="Times New Roman"/>
          <w:lang w:val="en-GB"/>
        </w:rPr>
        <w:t xml:space="preserve">the </w:t>
      </w:r>
      <w:r w:rsidRPr="00465121">
        <w:rPr>
          <w:rFonts w:ascii="Times New Roman" w:hAnsi="Times New Roman" w:cs="Times New Roman"/>
          <w:lang w:val="en-GB"/>
        </w:rPr>
        <w:t xml:space="preserve">risk factors </w:t>
      </w:r>
      <w:r w:rsidR="00B8138C" w:rsidRPr="00465121">
        <w:rPr>
          <w:rFonts w:ascii="Times New Roman" w:hAnsi="Times New Roman" w:cs="Times New Roman"/>
          <w:lang w:val="en-GB"/>
        </w:rPr>
        <w:t xml:space="preserve">associated </w:t>
      </w:r>
      <w:r w:rsidR="00DD2FCF" w:rsidRPr="00465121">
        <w:rPr>
          <w:rFonts w:ascii="Times New Roman" w:hAnsi="Times New Roman" w:cs="Times New Roman"/>
          <w:lang w:val="en-GB"/>
        </w:rPr>
        <w:t>with repatriation</w:t>
      </w:r>
      <w:r w:rsidRPr="00465121">
        <w:rPr>
          <w:rFonts w:ascii="Times New Roman" w:hAnsi="Times New Roman" w:cs="Times New Roman"/>
          <w:lang w:val="en-GB"/>
        </w:rPr>
        <w:t xml:space="preserve">. One caseworker </w:t>
      </w:r>
      <w:r w:rsidR="00BA448D" w:rsidRPr="00465121">
        <w:rPr>
          <w:rFonts w:ascii="Times New Roman" w:hAnsi="Times New Roman" w:cs="Times New Roman"/>
          <w:lang w:val="en-GB"/>
        </w:rPr>
        <w:t>described</w:t>
      </w:r>
      <w:r w:rsidRPr="00465121">
        <w:rPr>
          <w:rFonts w:ascii="Times New Roman" w:hAnsi="Times New Roman" w:cs="Times New Roman"/>
          <w:lang w:val="en-GB"/>
        </w:rPr>
        <w:t xml:space="preserve"> an Albanian lady who had been trafficked by a group connected to her family that operated from several cities within Albania, who was facing deportation with her children after a negative asylum decision. That she had testified and contributed to the prosecution of some members of the group and could be at risk of reprisal was not considered sufficient to trigger principles of non-refoulement. </w:t>
      </w:r>
    </w:p>
    <w:p w14:paraId="5A6D3349" w14:textId="77777777" w:rsidR="001863D9" w:rsidRPr="00465121" w:rsidRDefault="001863D9" w:rsidP="00751939">
      <w:pPr>
        <w:spacing w:line="276" w:lineRule="auto"/>
        <w:jc w:val="both"/>
        <w:rPr>
          <w:rFonts w:ascii="Times New Roman" w:hAnsi="Times New Roman" w:cs="Times New Roman"/>
          <w:lang w:val="en-GB"/>
        </w:rPr>
      </w:pPr>
    </w:p>
    <w:p w14:paraId="2A555688" w14:textId="25DC18FE"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Another caseworker reported several cases of, as she perceived it, bias against women who had been sex workers in their home countries before being trafficked and exploited in the UK.  Encompassing concerns about lack of training and awareness</w:t>
      </w:r>
      <w:r w:rsidR="00465121">
        <w:rPr>
          <w:rFonts w:ascii="Times New Roman" w:hAnsi="Times New Roman" w:cs="Times New Roman"/>
          <w:lang w:val="en-GB"/>
        </w:rPr>
        <w:t xml:space="preserve"> in the Home Office</w:t>
      </w:r>
      <w:r w:rsidRPr="00465121">
        <w:rPr>
          <w:rFonts w:ascii="Times New Roman" w:hAnsi="Times New Roman" w:cs="Times New Roman"/>
          <w:lang w:val="en-GB"/>
        </w:rPr>
        <w:t>, she related cases of two women who were asked in their Home Office interview what they had done in their home country (sex work) and what they had been doing in this country (sex work)</w:t>
      </w:r>
      <w:r w:rsidR="00465121">
        <w:rPr>
          <w:rFonts w:ascii="Times New Roman" w:hAnsi="Times New Roman" w:cs="Times New Roman"/>
          <w:lang w:val="en-GB"/>
        </w:rPr>
        <w:t>.  W</w:t>
      </w:r>
      <w:r w:rsidRPr="00465121">
        <w:rPr>
          <w:rFonts w:ascii="Times New Roman" w:hAnsi="Times New Roman" w:cs="Times New Roman"/>
          <w:lang w:val="en-GB"/>
        </w:rPr>
        <w:t xml:space="preserve">hen this was the answer given the case would have been rejected, had an advocate </w:t>
      </w:r>
      <w:r w:rsidRPr="00465121">
        <w:rPr>
          <w:rFonts w:ascii="Times New Roman" w:hAnsi="Times New Roman" w:cs="Times New Roman"/>
          <w:lang w:val="en-GB"/>
        </w:rPr>
        <w:lastRenderedPageBreak/>
        <w:t>not interceded and asked further questions that exposed the exploitative nature of their experience with their traffickers in the UK.</w:t>
      </w:r>
      <w:r w:rsidR="00465121" w:rsidRPr="00465121">
        <w:rPr>
          <w:rStyle w:val="FootnoteReference"/>
          <w:rFonts w:ascii="Times New Roman" w:hAnsi="Times New Roman" w:cs="Times New Roman"/>
          <w:lang w:val="en-GB"/>
        </w:rPr>
        <w:footnoteReference w:id="75"/>
      </w:r>
    </w:p>
    <w:p w14:paraId="26E55F2C" w14:textId="77777777" w:rsidR="001863D9" w:rsidRPr="00465121" w:rsidRDefault="001863D9" w:rsidP="00751939">
      <w:pPr>
        <w:spacing w:line="276" w:lineRule="auto"/>
        <w:jc w:val="both"/>
        <w:rPr>
          <w:rFonts w:ascii="Times New Roman" w:hAnsi="Times New Roman" w:cs="Times New Roman"/>
          <w:lang w:val="en-GB"/>
        </w:rPr>
      </w:pPr>
    </w:p>
    <w:p w14:paraId="13CD5064" w14:textId="54792CC4"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As has been discussed within other emerging themes, the length of</w:t>
      </w:r>
      <w:r w:rsidR="00C864C4" w:rsidRPr="00465121">
        <w:rPr>
          <w:rFonts w:ascii="Times New Roman" w:hAnsi="Times New Roman" w:cs="Times New Roman"/>
          <w:lang w:val="en-GB"/>
        </w:rPr>
        <w:t xml:space="preserve"> the</w:t>
      </w:r>
      <w:r w:rsidRPr="00465121">
        <w:rPr>
          <w:rFonts w:ascii="Times New Roman" w:hAnsi="Times New Roman" w:cs="Times New Roman"/>
          <w:lang w:val="en-GB"/>
        </w:rPr>
        <w:t xml:space="preserve"> decision-making process has been reported as having a deleterious effect on the recovery of clients. It was noted by several caseworkers that there appeared to be little accountability over delays.</w:t>
      </w:r>
      <w:r w:rsidR="00B729C7">
        <w:rPr>
          <w:rStyle w:val="FootnoteReference"/>
          <w:rFonts w:ascii="Times New Roman" w:hAnsi="Times New Roman" w:cs="Times New Roman"/>
          <w:lang w:val="en-GB"/>
        </w:rPr>
        <w:footnoteReference w:id="76"/>
      </w:r>
      <w:r w:rsidRPr="00465121">
        <w:rPr>
          <w:rFonts w:ascii="Times New Roman" w:hAnsi="Times New Roman" w:cs="Times New Roman"/>
          <w:lang w:val="en-GB"/>
        </w:rPr>
        <w:t xml:space="preserve"> One reported a conversation with a Home Office official who blamed staff churn and inadequate handover procedures meaning cases could end up ‘at the bottom of the pile’ for a long time.</w:t>
      </w:r>
      <w:r w:rsidR="00B729C7">
        <w:rPr>
          <w:rFonts w:ascii="Times New Roman" w:hAnsi="Times New Roman" w:cs="Times New Roman"/>
          <w:lang w:val="en-GB"/>
        </w:rPr>
        <w:t xml:space="preserve">  By failing to ensure adequate management of cases, the resultant delays and, at times, incorrect decision making, undermine Government aims to support and protect victims.</w:t>
      </w:r>
    </w:p>
    <w:p w14:paraId="4691CB45" w14:textId="77777777" w:rsidR="001863D9" w:rsidRPr="00465121" w:rsidRDefault="001863D9" w:rsidP="00751939">
      <w:pPr>
        <w:spacing w:line="276" w:lineRule="auto"/>
        <w:jc w:val="both"/>
        <w:rPr>
          <w:rFonts w:ascii="Times New Roman" w:hAnsi="Times New Roman" w:cs="Times New Roman"/>
          <w:i/>
          <w:lang w:val="en-GB"/>
        </w:rPr>
      </w:pPr>
    </w:p>
    <w:p w14:paraId="604DD67A" w14:textId="2FC716B9" w:rsidR="002D6519" w:rsidRDefault="00C864C4" w:rsidP="00751939">
      <w:pPr>
        <w:spacing w:line="276" w:lineRule="auto"/>
        <w:jc w:val="both"/>
        <w:rPr>
          <w:rFonts w:ascii="Times New Roman" w:hAnsi="Times New Roman" w:cs="Times New Roman"/>
          <w:i/>
          <w:lang w:val="en-GB"/>
        </w:rPr>
      </w:pPr>
      <w:r w:rsidRPr="00465121">
        <w:rPr>
          <w:rFonts w:ascii="Times New Roman" w:hAnsi="Times New Roman" w:cs="Times New Roman"/>
          <w:i/>
          <w:lang w:val="en-GB"/>
        </w:rPr>
        <w:t xml:space="preserve">The </w:t>
      </w:r>
      <w:r w:rsidR="001863D9" w:rsidRPr="00465121">
        <w:rPr>
          <w:rFonts w:ascii="Times New Roman" w:hAnsi="Times New Roman" w:cs="Times New Roman"/>
          <w:i/>
          <w:lang w:val="en-GB"/>
        </w:rPr>
        <w:t>Impact on Connected Children</w:t>
      </w:r>
    </w:p>
    <w:p w14:paraId="47B74C7F" w14:textId="77777777" w:rsidR="00B729C7" w:rsidRDefault="00B729C7" w:rsidP="00751939">
      <w:pPr>
        <w:spacing w:line="276" w:lineRule="auto"/>
        <w:jc w:val="both"/>
        <w:rPr>
          <w:rFonts w:ascii="Times New Roman" w:hAnsi="Times New Roman" w:cs="Times New Roman"/>
          <w:i/>
          <w:lang w:val="en-GB"/>
        </w:rPr>
      </w:pPr>
    </w:p>
    <w:p w14:paraId="5DFE7030" w14:textId="56787B17" w:rsidR="00B729C7" w:rsidRPr="00B729C7" w:rsidRDefault="00B729C7" w:rsidP="00751939">
      <w:pPr>
        <w:spacing w:line="276" w:lineRule="auto"/>
        <w:jc w:val="both"/>
        <w:rPr>
          <w:rFonts w:ascii="Times New Roman" w:hAnsi="Times New Roman" w:cs="Times New Roman"/>
          <w:lang w:val="en-GB"/>
        </w:rPr>
      </w:pPr>
      <w:r>
        <w:rPr>
          <w:rFonts w:ascii="Times New Roman" w:hAnsi="Times New Roman" w:cs="Times New Roman"/>
          <w:lang w:val="en-GB"/>
        </w:rPr>
        <w:t>Wit</w:t>
      </w:r>
      <w:r w:rsidR="00DD2FCF">
        <w:rPr>
          <w:rFonts w:ascii="Times New Roman" w:hAnsi="Times New Roman" w:cs="Times New Roman"/>
          <w:lang w:val="en-GB"/>
        </w:rPr>
        <w:t>hin the top-level theme of i</w:t>
      </w:r>
      <w:r>
        <w:rPr>
          <w:rFonts w:ascii="Times New Roman" w:hAnsi="Times New Roman" w:cs="Times New Roman"/>
          <w:lang w:val="en-GB"/>
        </w:rPr>
        <w:t>mpact on connect</w:t>
      </w:r>
      <w:r w:rsidR="00DD2FCF">
        <w:rPr>
          <w:rFonts w:ascii="Times New Roman" w:hAnsi="Times New Roman" w:cs="Times New Roman"/>
          <w:lang w:val="en-GB"/>
        </w:rPr>
        <w:t>ed</w:t>
      </w:r>
      <w:r>
        <w:rPr>
          <w:rFonts w:ascii="Times New Roman" w:hAnsi="Times New Roman" w:cs="Times New Roman"/>
          <w:lang w:val="en-GB"/>
        </w:rPr>
        <w:t xml:space="preserve"> children, the following micro-themes were identified:</w:t>
      </w:r>
    </w:p>
    <w:p w14:paraId="4C44D9A5" w14:textId="77777777" w:rsidR="001863D9" w:rsidRPr="00465121" w:rsidRDefault="001863D9" w:rsidP="00751939">
      <w:pPr>
        <w:spacing w:line="276" w:lineRule="auto"/>
        <w:jc w:val="both"/>
        <w:rPr>
          <w:rFonts w:ascii="Times New Roman" w:hAnsi="Times New Roman" w:cs="Times New Roman"/>
          <w:u w:val="single"/>
          <w:lang w:val="en-GB"/>
        </w:rPr>
      </w:pPr>
    </w:p>
    <w:p w14:paraId="085E7F56" w14:textId="77777777" w:rsidR="001863D9" w:rsidRPr="00465121" w:rsidRDefault="001863D9" w:rsidP="00751939">
      <w:pPr>
        <w:pStyle w:val="ListParagraph"/>
        <w:numPr>
          <w:ilvl w:val="0"/>
          <w:numId w:val="9"/>
        </w:numPr>
        <w:spacing w:line="276" w:lineRule="auto"/>
        <w:jc w:val="both"/>
        <w:rPr>
          <w:rFonts w:ascii="Times New Roman" w:hAnsi="Times New Roman" w:cs="Times New Roman"/>
          <w:lang w:val="en-GB"/>
        </w:rPr>
      </w:pPr>
      <w:r w:rsidRPr="00465121">
        <w:rPr>
          <w:rFonts w:ascii="Times New Roman" w:hAnsi="Times New Roman" w:cs="Times New Roman"/>
          <w:lang w:val="en-GB"/>
        </w:rPr>
        <w:t>Lack of coping with parenthood resultant from instability of immigration status</w:t>
      </w:r>
    </w:p>
    <w:p w14:paraId="2C47CB67" w14:textId="77777777" w:rsidR="001863D9" w:rsidRPr="00465121" w:rsidRDefault="001863D9" w:rsidP="00751939">
      <w:pPr>
        <w:pStyle w:val="ListParagraph"/>
        <w:numPr>
          <w:ilvl w:val="0"/>
          <w:numId w:val="9"/>
        </w:numPr>
        <w:spacing w:line="276" w:lineRule="auto"/>
        <w:jc w:val="both"/>
        <w:rPr>
          <w:rFonts w:ascii="Times New Roman" w:hAnsi="Times New Roman" w:cs="Times New Roman"/>
          <w:lang w:val="en-GB"/>
        </w:rPr>
      </w:pPr>
      <w:r w:rsidRPr="00465121">
        <w:rPr>
          <w:rFonts w:ascii="Times New Roman" w:hAnsi="Times New Roman" w:cs="Times New Roman"/>
          <w:lang w:val="en-GB"/>
        </w:rPr>
        <w:t>Lack of financial support potentially adversely affecting children’s development</w:t>
      </w:r>
    </w:p>
    <w:p w14:paraId="5952FAFE" w14:textId="77777777" w:rsidR="001863D9" w:rsidRPr="00465121" w:rsidRDefault="001863D9" w:rsidP="00751939">
      <w:pPr>
        <w:pStyle w:val="ListParagraph"/>
        <w:numPr>
          <w:ilvl w:val="0"/>
          <w:numId w:val="9"/>
        </w:numPr>
        <w:spacing w:line="276" w:lineRule="auto"/>
        <w:jc w:val="both"/>
        <w:rPr>
          <w:rFonts w:ascii="Times New Roman" w:hAnsi="Times New Roman" w:cs="Times New Roman"/>
          <w:lang w:val="en-GB"/>
        </w:rPr>
      </w:pPr>
      <w:r w:rsidRPr="00465121">
        <w:rPr>
          <w:rFonts w:ascii="Times New Roman" w:hAnsi="Times New Roman" w:cs="Times New Roman"/>
          <w:lang w:val="en-GB"/>
        </w:rPr>
        <w:t>Need for Social Services involvement with children</w:t>
      </w:r>
    </w:p>
    <w:p w14:paraId="5F73D48A" w14:textId="77777777" w:rsidR="001863D9" w:rsidRPr="00465121" w:rsidRDefault="001863D9" w:rsidP="00751939">
      <w:pPr>
        <w:pStyle w:val="ListParagraph"/>
        <w:numPr>
          <w:ilvl w:val="0"/>
          <w:numId w:val="9"/>
        </w:numPr>
        <w:spacing w:line="276" w:lineRule="auto"/>
        <w:jc w:val="both"/>
        <w:rPr>
          <w:rFonts w:ascii="Times New Roman" w:hAnsi="Times New Roman" w:cs="Times New Roman"/>
          <w:lang w:val="en-GB"/>
        </w:rPr>
      </w:pPr>
      <w:r w:rsidRPr="00465121">
        <w:rPr>
          <w:rFonts w:ascii="Times New Roman" w:hAnsi="Times New Roman" w:cs="Times New Roman"/>
          <w:lang w:val="en-GB"/>
        </w:rPr>
        <w:t>Risk of deportation to unknown ‘country of origin’ for children</w:t>
      </w:r>
    </w:p>
    <w:p w14:paraId="79AD8C0B" w14:textId="77777777" w:rsidR="001863D9" w:rsidRPr="00465121" w:rsidRDefault="001863D9" w:rsidP="00751939">
      <w:pPr>
        <w:spacing w:line="276" w:lineRule="auto"/>
        <w:jc w:val="both"/>
        <w:rPr>
          <w:rFonts w:ascii="Times New Roman" w:hAnsi="Times New Roman" w:cs="Times New Roman"/>
          <w:lang w:val="en-GB"/>
        </w:rPr>
      </w:pPr>
    </w:p>
    <w:p w14:paraId="11E28101" w14:textId="3865B77D"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It is not uncommon for individuals that have been through the NRM to be supporting children, potentially children that were conceived during their time of exploitation.</w:t>
      </w:r>
      <w:r w:rsidR="00B729C7">
        <w:rPr>
          <w:rStyle w:val="FootnoteReference"/>
          <w:rFonts w:ascii="Times New Roman" w:hAnsi="Times New Roman" w:cs="Times New Roman"/>
          <w:lang w:val="en-GB"/>
        </w:rPr>
        <w:footnoteReference w:id="77"/>
      </w:r>
      <w:r w:rsidRPr="00465121">
        <w:rPr>
          <w:rFonts w:ascii="Times New Roman" w:hAnsi="Times New Roman" w:cs="Times New Roman"/>
          <w:lang w:val="en-GB"/>
        </w:rPr>
        <w:t xml:space="preserve"> A number of issues were reported by caseworkers specifically relating to the children of clients. There were several reported cases of women who had been coping well with parenthood, but due to emotional instability caused by negative immigration decisions had degenerated mental health that precipitated potential removal orders of their children. In one particular case, social services only had to become involved in safeguarding the welfare of the children after a negative decision caused the mother to become unwell.</w:t>
      </w:r>
      <w:r w:rsidR="00B729C7">
        <w:rPr>
          <w:rStyle w:val="FootnoteReference"/>
          <w:rFonts w:ascii="Times New Roman" w:hAnsi="Times New Roman" w:cs="Times New Roman"/>
          <w:lang w:val="en-GB"/>
        </w:rPr>
        <w:footnoteReference w:id="78"/>
      </w:r>
    </w:p>
    <w:p w14:paraId="397BB258" w14:textId="77777777" w:rsidR="001863D9" w:rsidRPr="00465121" w:rsidRDefault="001863D9" w:rsidP="00751939">
      <w:pPr>
        <w:spacing w:line="276" w:lineRule="auto"/>
        <w:jc w:val="both"/>
        <w:rPr>
          <w:rFonts w:ascii="Times New Roman" w:hAnsi="Times New Roman" w:cs="Times New Roman"/>
          <w:lang w:val="en-GB"/>
        </w:rPr>
      </w:pPr>
    </w:p>
    <w:p w14:paraId="5975AF89" w14:textId="201A5C14" w:rsidR="001863D9"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Difficulties in accessing benefits that the client was entitled to had a potentially detrimental effect on children’s wellbeing, as one parent was unable to afford to take her child to appointments related to his health and development needs.</w:t>
      </w:r>
      <w:r w:rsidR="00B729C7">
        <w:rPr>
          <w:rStyle w:val="FootnoteReference"/>
          <w:rFonts w:ascii="Times New Roman" w:hAnsi="Times New Roman" w:cs="Times New Roman"/>
          <w:lang w:val="en-GB"/>
        </w:rPr>
        <w:footnoteReference w:id="79"/>
      </w:r>
      <w:r w:rsidRPr="00465121">
        <w:rPr>
          <w:rFonts w:ascii="Times New Roman" w:hAnsi="Times New Roman" w:cs="Times New Roman"/>
          <w:lang w:val="en-GB"/>
        </w:rPr>
        <w:t xml:space="preserve"> In the case mentioned above, the impact of moving from a country that had been ‘home’ for the child’s entire life, to a country where they did not speak the language and was completely unfamiliar was seemingly not considered within the negative asylum decision.</w:t>
      </w:r>
      <w:r w:rsidR="00B729C7">
        <w:rPr>
          <w:rStyle w:val="FootnoteReference"/>
          <w:rFonts w:ascii="Times New Roman" w:hAnsi="Times New Roman" w:cs="Times New Roman"/>
          <w:lang w:val="en-GB"/>
        </w:rPr>
        <w:footnoteReference w:id="80"/>
      </w:r>
      <w:r w:rsidRPr="00465121">
        <w:rPr>
          <w:rFonts w:ascii="Times New Roman" w:hAnsi="Times New Roman" w:cs="Times New Roman"/>
          <w:lang w:val="en-GB"/>
        </w:rPr>
        <w:t xml:space="preserve"> Even more seriously, the threat of reprisals from traffickers against the children was also not considered as adequate reason to grant </w:t>
      </w:r>
      <w:r w:rsidRPr="00465121">
        <w:rPr>
          <w:rFonts w:ascii="Times New Roman" w:hAnsi="Times New Roman" w:cs="Times New Roman"/>
          <w:lang w:val="en-GB"/>
        </w:rPr>
        <w:lastRenderedPageBreak/>
        <w:t>asylum.</w:t>
      </w:r>
      <w:r w:rsidR="00B729C7">
        <w:rPr>
          <w:rStyle w:val="FootnoteReference"/>
          <w:rFonts w:ascii="Times New Roman" w:hAnsi="Times New Roman" w:cs="Times New Roman"/>
          <w:lang w:val="en-GB"/>
        </w:rPr>
        <w:footnoteReference w:id="81"/>
      </w:r>
      <w:r w:rsidR="00760D06">
        <w:rPr>
          <w:rFonts w:ascii="Times New Roman" w:hAnsi="Times New Roman" w:cs="Times New Roman"/>
          <w:lang w:val="en-GB"/>
        </w:rPr>
        <w:t xml:space="preserve"> This is arguably a safeguarding issue for the children concerned, and one that highlights the lack of prioritisation of the needs of victims.  In an intra-UK setting, a child would not in normal practice be allowed to live in a setting that was considered dangerous.  Yet, seemingly because the danger is extraneous to the UK, the safeguarding of the child has not been adequately considered.</w:t>
      </w:r>
    </w:p>
    <w:p w14:paraId="32AC810D" w14:textId="77777777" w:rsidR="00760D06" w:rsidRPr="00465121" w:rsidRDefault="00760D06" w:rsidP="00751939">
      <w:pPr>
        <w:spacing w:line="276" w:lineRule="auto"/>
        <w:jc w:val="both"/>
        <w:rPr>
          <w:rFonts w:ascii="Times New Roman" w:hAnsi="Times New Roman" w:cs="Times New Roman"/>
          <w:lang w:val="en-GB"/>
        </w:rPr>
      </w:pPr>
    </w:p>
    <w:p w14:paraId="2A7172BC" w14:textId="77777777" w:rsidR="001666C1" w:rsidRDefault="001666C1" w:rsidP="00751939">
      <w:pPr>
        <w:spacing w:line="276" w:lineRule="auto"/>
        <w:jc w:val="both"/>
        <w:rPr>
          <w:rFonts w:ascii="Times New Roman" w:hAnsi="Times New Roman" w:cs="Times New Roman"/>
          <w:lang w:val="en-GB"/>
        </w:rPr>
      </w:pPr>
    </w:p>
    <w:p w14:paraId="671701F0" w14:textId="77777777" w:rsidR="00DD2FCF" w:rsidRDefault="00DD2FCF" w:rsidP="00751939">
      <w:pPr>
        <w:spacing w:line="276" w:lineRule="auto"/>
        <w:jc w:val="both"/>
        <w:rPr>
          <w:rFonts w:ascii="Times New Roman" w:hAnsi="Times New Roman" w:cs="Times New Roman"/>
          <w:lang w:val="en-GB"/>
        </w:rPr>
      </w:pPr>
    </w:p>
    <w:p w14:paraId="6762EB4A" w14:textId="77777777" w:rsidR="00DD2FCF" w:rsidRPr="00465121" w:rsidRDefault="00DD2FCF" w:rsidP="00751939">
      <w:pPr>
        <w:spacing w:line="276" w:lineRule="auto"/>
        <w:jc w:val="both"/>
        <w:rPr>
          <w:rFonts w:ascii="Times New Roman" w:hAnsi="Times New Roman" w:cs="Times New Roman"/>
          <w:lang w:val="en-GB"/>
        </w:rPr>
      </w:pPr>
    </w:p>
    <w:p w14:paraId="35929B16" w14:textId="77777777" w:rsidR="001863D9" w:rsidRPr="00465121" w:rsidRDefault="001863D9" w:rsidP="00751939">
      <w:pPr>
        <w:spacing w:line="276" w:lineRule="auto"/>
        <w:jc w:val="both"/>
        <w:rPr>
          <w:rFonts w:ascii="Times New Roman" w:hAnsi="Times New Roman" w:cs="Times New Roman"/>
          <w:i/>
          <w:lang w:val="en-GB"/>
        </w:rPr>
      </w:pPr>
      <w:r w:rsidRPr="00465121">
        <w:rPr>
          <w:rFonts w:ascii="Times New Roman" w:hAnsi="Times New Roman" w:cs="Times New Roman"/>
          <w:i/>
          <w:lang w:val="en-GB"/>
        </w:rPr>
        <w:t>Navigating the Welfare System as a Non-UK National</w:t>
      </w:r>
    </w:p>
    <w:p w14:paraId="464C89F9" w14:textId="77777777" w:rsidR="001863D9" w:rsidRPr="00465121" w:rsidRDefault="001863D9" w:rsidP="00751939">
      <w:pPr>
        <w:spacing w:line="276" w:lineRule="auto"/>
        <w:jc w:val="both"/>
        <w:rPr>
          <w:rFonts w:ascii="Times New Roman" w:hAnsi="Times New Roman" w:cs="Times New Roman"/>
          <w:u w:val="single"/>
          <w:lang w:val="en-GB"/>
        </w:rPr>
      </w:pPr>
    </w:p>
    <w:p w14:paraId="0155FEA9" w14:textId="6DF4A8E9" w:rsidR="001863D9" w:rsidRPr="00465121" w:rsidRDefault="00CC0AF5" w:rsidP="00751939">
      <w:pPr>
        <w:spacing w:line="276" w:lineRule="auto"/>
        <w:jc w:val="both"/>
        <w:rPr>
          <w:rFonts w:ascii="Times New Roman" w:hAnsi="Times New Roman" w:cs="Times New Roman"/>
          <w:lang w:val="en-GB"/>
        </w:rPr>
      </w:pPr>
      <w:r>
        <w:rPr>
          <w:rFonts w:ascii="Times New Roman" w:hAnsi="Times New Roman" w:cs="Times New Roman"/>
          <w:lang w:val="en-GB"/>
        </w:rPr>
        <w:t>Within the top-level theme of issues connected to accessing welfare, from further analysis emerged six micro-themes:</w:t>
      </w:r>
    </w:p>
    <w:p w14:paraId="5B174DC5" w14:textId="77777777" w:rsidR="001863D9" w:rsidRPr="00465121" w:rsidRDefault="001863D9" w:rsidP="00751939">
      <w:pPr>
        <w:spacing w:line="276" w:lineRule="auto"/>
        <w:jc w:val="both"/>
        <w:rPr>
          <w:rFonts w:ascii="Times New Roman" w:hAnsi="Times New Roman" w:cs="Times New Roman"/>
          <w:lang w:val="en-GB"/>
        </w:rPr>
      </w:pPr>
    </w:p>
    <w:p w14:paraId="280F5722" w14:textId="67865922" w:rsidR="001863D9" w:rsidRPr="00465121" w:rsidRDefault="00832B67" w:rsidP="00751939">
      <w:pPr>
        <w:pStyle w:val="ListParagraph"/>
        <w:numPr>
          <w:ilvl w:val="0"/>
          <w:numId w:val="10"/>
        </w:numPr>
        <w:spacing w:line="276" w:lineRule="auto"/>
        <w:jc w:val="both"/>
        <w:rPr>
          <w:rFonts w:ascii="Times New Roman" w:hAnsi="Times New Roman" w:cs="Times New Roman"/>
          <w:lang w:val="en-GB"/>
        </w:rPr>
      </w:pPr>
      <w:r w:rsidRPr="00465121">
        <w:rPr>
          <w:rFonts w:ascii="Times New Roman" w:hAnsi="Times New Roman" w:cs="Times New Roman"/>
          <w:lang w:val="en-GB"/>
        </w:rPr>
        <w:t>The r</w:t>
      </w:r>
      <w:r w:rsidR="001863D9" w:rsidRPr="00465121">
        <w:rPr>
          <w:rFonts w:ascii="Times New Roman" w:hAnsi="Times New Roman" w:cs="Times New Roman"/>
          <w:lang w:val="en-GB"/>
        </w:rPr>
        <w:t xml:space="preserve">isk of support failure due to </w:t>
      </w:r>
      <w:r w:rsidRPr="00465121">
        <w:rPr>
          <w:rFonts w:ascii="Times New Roman" w:hAnsi="Times New Roman" w:cs="Times New Roman"/>
          <w:lang w:val="en-GB"/>
        </w:rPr>
        <w:t xml:space="preserve">the </w:t>
      </w:r>
      <w:r w:rsidR="001863D9" w:rsidRPr="00465121">
        <w:rPr>
          <w:rFonts w:ascii="Times New Roman" w:hAnsi="Times New Roman" w:cs="Times New Roman"/>
          <w:lang w:val="en-GB"/>
        </w:rPr>
        <w:t>complexity of accessing benefits for non-UK nationals</w:t>
      </w:r>
    </w:p>
    <w:p w14:paraId="6F8E8D1D" w14:textId="28165C2C" w:rsidR="001863D9" w:rsidRPr="00465121" w:rsidRDefault="00832B67" w:rsidP="00751939">
      <w:pPr>
        <w:pStyle w:val="ListParagraph"/>
        <w:numPr>
          <w:ilvl w:val="0"/>
          <w:numId w:val="10"/>
        </w:numPr>
        <w:spacing w:line="276" w:lineRule="auto"/>
        <w:jc w:val="both"/>
        <w:rPr>
          <w:rFonts w:ascii="Times New Roman" w:hAnsi="Times New Roman" w:cs="Times New Roman"/>
          <w:lang w:val="en-GB"/>
        </w:rPr>
      </w:pPr>
      <w:r w:rsidRPr="00465121">
        <w:rPr>
          <w:rFonts w:ascii="Times New Roman" w:hAnsi="Times New Roman" w:cs="Times New Roman"/>
          <w:lang w:val="en-GB"/>
        </w:rPr>
        <w:t>The i</w:t>
      </w:r>
      <w:r w:rsidR="00005EA6" w:rsidRPr="00465121">
        <w:rPr>
          <w:rFonts w:ascii="Times New Roman" w:hAnsi="Times New Roman" w:cs="Times New Roman"/>
          <w:lang w:val="en-GB"/>
        </w:rPr>
        <w:t>mpact of the Immigration Act</w:t>
      </w:r>
      <w:r w:rsidR="001863D9" w:rsidRPr="00465121">
        <w:rPr>
          <w:rFonts w:ascii="Times New Roman" w:hAnsi="Times New Roman" w:cs="Times New Roman"/>
          <w:lang w:val="en-GB"/>
        </w:rPr>
        <w:t xml:space="preserve"> 2014 changes to benefit access for EU nationals</w:t>
      </w:r>
    </w:p>
    <w:p w14:paraId="4AC8829A" w14:textId="7CDAD042" w:rsidR="001863D9" w:rsidRPr="00465121" w:rsidRDefault="00832B67" w:rsidP="00751939">
      <w:pPr>
        <w:pStyle w:val="ListParagraph"/>
        <w:numPr>
          <w:ilvl w:val="0"/>
          <w:numId w:val="10"/>
        </w:numPr>
        <w:spacing w:line="276" w:lineRule="auto"/>
        <w:jc w:val="both"/>
        <w:rPr>
          <w:rFonts w:ascii="Times New Roman" w:hAnsi="Times New Roman" w:cs="Times New Roman"/>
          <w:lang w:val="en-GB"/>
        </w:rPr>
      </w:pPr>
      <w:r w:rsidRPr="00465121">
        <w:rPr>
          <w:rFonts w:ascii="Times New Roman" w:hAnsi="Times New Roman" w:cs="Times New Roman"/>
          <w:lang w:val="en-GB"/>
        </w:rPr>
        <w:t>The p</w:t>
      </w:r>
      <w:r w:rsidR="001863D9" w:rsidRPr="00465121">
        <w:rPr>
          <w:rFonts w:ascii="Times New Roman" w:hAnsi="Times New Roman" w:cs="Times New Roman"/>
          <w:lang w:val="en-GB"/>
        </w:rPr>
        <w:t>otential impact of Brexit</w:t>
      </w:r>
    </w:p>
    <w:p w14:paraId="09472B89" w14:textId="7E300907" w:rsidR="001863D9" w:rsidRPr="00465121" w:rsidRDefault="00832B67" w:rsidP="00751939">
      <w:pPr>
        <w:pStyle w:val="ListParagraph"/>
        <w:numPr>
          <w:ilvl w:val="0"/>
          <w:numId w:val="10"/>
        </w:numPr>
        <w:spacing w:line="276" w:lineRule="auto"/>
        <w:jc w:val="both"/>
        <w:rPr>
          <w:rFonts w:ascii="Times New Roman" w:hAnsi="Times New Roman" w:cs="Times New Roman"/>
          <w:lang w:val="en-GB"/>
        </w:rPr>
      </w:pPr>
      <w:r w:rsidRPr="00465121">
        <w:rPr>
          <w:rFonts w:ascii="Times New Roman" w:hAnsi="Times New Roman" w:cs="Times New Roman"/>
          <w:lang w:val="en-GB"/>
        </w:rPr>
        <w:t>A l</w:t>
      </w:r>
      <w:r w:rsidR="001863D9" w:rsidRPr="00465121">
        <w:rPr>
          <w:rFonts w:ascii="Times New Roman" w:hAnsi="Times New Roman" w:cs="Times New Roman"/>
          <w:lang w:val="en-GB"/>
        </w:rPr>
        <w:t>ack of awareness and training in D</w:t>
      </w:r>
      <w:r w:rsidR="00B729C7">
        <w:rPr>
          <w:rFonts w:ascii="Times New Roman" w:hAnsi="Times New Roman" w:cs="Times New Roman"/>
          <w:lang w:val="en-GB"/>
        </w:rPr>
        <w:t>epartment of Work and Pensions (D</w:t>
      </w:r>
      <w:r w:rsidR="001863D9" w:rsidRPr="00465121">
        <w:rPr>
          <w:rFonts w:ascii="Times New Roman" w:hAnsi="Times New Roman" w:cs="Times New Roman"/>
          <w:lang w:val="en-GB"/>
        </w:rPr>
        <w:t>WP</w:t>
      </w:r>
      <w:r w:rsidR="00B729C7">
        <w:rPr>
          <w:rFonts w:ascii="Times New Roman" w:hAnsi="Times New Roman" w:cs="Times New Roman"/>
          <w:lang w:val="en-GB"/>
        </w:rPr>
        <w:t>)</w:t>
      </w:r>
      <w:r w:rsidR="001863D9" w:rsidRPr="00465121">
        <w:rPr>
          <w:rFonts w:ascii="Times New Roman" w:hAnsi="Times New Roman" w:cs="Times New Roman"/>
          <w:lang w:val="en-GB"/>
        </w:rPr>
        <w:t xml:space="preserve"> and</w:t>
      </w:r>
      <w:r w:rsidR="00B729C7">
        <w:rPr>
          <w:rFonts w:ascii="Times New Roman" w:hAnsi="Times New Roman" w:cs="Times New Roman"/>
          <w:lang w:val="en-GB"/>
        </w:rPr>
        <w:t xml:space="preserve"> Local Authority </w:t>
      </w:r>
      <w:r w:rsidR="001863D9" w:rsidRPr="00465121">
        <w:rPr>
          <w:rFonts w:ascii="Times New Roman" w:hAnsi="Times New Roman" w:cs="Times New Roman"/>
          <w:lang w:val="en-GB"/>
        </w:rPr>
        <w:t>officials</w:t>
      </w:r>
    </w:p>
    <w:p w14:paraId="0A5DD53B" w14:textId="77777777" w:rsidR="001863D9" w:rsidRPr="00465121" w:rsidRDefault="001863D9" w:rsidP="00751939">
      <w:pPr>
        <w:pStyle w:val="ListParagraph"/>
        <w:numPr>
          <w:ilvl w:val="0"/>
          <w:numId w:val="10"/>
        </w:numPr>
        <w:spacing w:line="276" w:lineRule="auto"/>
        <w:jc w:val="both"/>
        <w:rPr>
          <w:rFonts w:ascii="Times New Roman" w:hAnsi="Times New Roman" w:cs="Times New Roman"/>
          <w:lang w:val="en-GB"/>
        </w:rPr>
      </w:pPr>
      <w:r w:rsidRPr="00465121">
        <w:rPr>
          <w:rFonts w:ascii="Times New Roman" w:hAnsi="Times New Roman" w:cs="Times New Roman"/>
          <w:lang w:val="en-GB"/>
        </w:rPr>
        <w:t>People left destitute or homeless due to gaps or failures in support</w:t>
      </w:r>
    </w:p>
    <w:p w14:paraId="4CC9DD39" w14:textId="27B793F8" w:rsidR="001863D9" w:rsidRPr="00465121" w:rsidRDefault="00832B67" w:rsidP="00751939">
      <w:pPr>
        <w:pStyle w:val="ListParagraph"/>
        <w:numPr>
          <w:ilvl w:val="0"/>
          <w:numId w:val="10"/>
        </w:numPr>
        <w:spacing w:line="276" w:lineRule="auto"/>
        <w:jc w:val="both"/>
        <w:rPr>
          <w:rFonts w:ascii="Times New Roman" w:hAnsi="Times New Roman" w:cs="Times New Roman"/>
          <w:lang w:val="en-GB"/>
        </w:rPr>
      </w:pPr>
      <w:r w:rsidRPr="00465121">
        <w:rPr>
          <w:rFonts w:ascii="Times New Roman" w:hAnsi="Times New Roman" w:cs="Times New Roman"/>
          <w:lang w:val="en-GB"/>
        </w:rPr>
        <w:t>The r</w:t>
      </w:r>
      <w:r w:rsidR="001863D9" w:rsidRPr="00465121">
        <w:rPr>
          <w:rFonts w:ascii="Times New Roman" w:hAnsi="Times New Roman" w:cs="Times New Roman"/>
          <w:lang w:val="en-GB"/>
        </w:rPr>
        <w:t>e-traumatizing effects of navigating system</w:t>
      </w:r>
    </w:p>
    <w:p w14:paraId="7738B4A9" w14:textId="77777777" w:rsidR="001863D9" w:rsidRPr="00465121" w:rsidRDefault="001863D9" w:rsidP="00751939">
      <w:pPr>
        <w:spacing w:line="276" w:lineRule="auto"/>
        <w:jc w:val="both"/>
        <w:rPr>
          <w:rFonts w:ascii="Times New Roman" w:hAnsi="Times New Roman" w:cs="Times New Roman"/>
          <w:lang w:val="en-GB"/>
        </w:rPr>
      </w:pPr>
    </w:p>
    <w:p w14:paraId="5577B93F" w14:textId="38A3D688"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A number of caseworkers reported the issue of the lack of ‘portability’ of a CG decision or even a DLR decision. In almost all reported cases that discussed accessing benefits or other welfare provision</w:t>
      </w:r>
      <w:r w:rsidR="00832B67" w:rsidRPr="00465121">
        <w:rPr>
          <w:rFonts w:ascii="Times New Roman" w:hAnsi="Times New Roman" w:cs="Times New Roman"/>
          <w:lang w:val="en-GB"/>
        </w:rPr>
        <w:t>,</w:t>
      </w:r>
      <w:r w:rsidRPr="00465121">
        <w:rPr>
          <w:rFonts w:ascii="Times New Roman" w:hAnsi="Times New Roman" w:cs="Times New Roman"/>
          <w:lang w:val="en-GB"/>
        </w:rPr>
        <w:t xml:space="preserve"> there was a lack of knowledge about what some of these documents and statuses meant or what they entitled the individual too.</w:t>
      </w:r>
      <w:r w:rsidR="00CC0AF5">
        <w:rPr>
          <w:rStyle w:val="FootnoteReference"/>
          <w:rFonts w:ascii="Times New Roman" w:hAnsi="Times New Roman" w:cs="Times New Roman"/>
          <w:lang w:val="en-GB"/>
        </w:rPr>
        <w:footnoteReference w:id="82"/>
      </w:r>
      <w:r w:rsidRPr="00465121">
        <w:rPr>
          <w:rFonts w:ascii="Times New Roman" w:hAnsi="Times New Roman" w:cs="Times New Roman"/>
          <w:lang w:val="en-GB"/>
        </w:rPr>
        <w:t xml:space="preserve">  Therefore high levels of advocacy were needed </w:t>
      </w:r>
      <w:r w:rsidR="00653E38" w:rsidRPr="00465121">
        <w:rPr>
          <w:rFonts w:ascii="Times New Roman" w:hAnsi="Times New Roman" w:cs="Times New Roman"/>
          <w:lang w:val="en-GB"/>
        </w:rPr>
        <w:t xml:space="preserve">again </w:t>
      </w:r>
      <w:r w:rsidRPr="00465121">
        <w:rPr>
          <w:rFonts w:ascii="Times New Roman" w:hAnsi="Times New Roman" w:cs="Times New Roman"/>
          <w:lang w:val="en-GB"/>
        </w:rPr>
        <w:t xml:space="preserve">to ensure that the client actually received the support they were entitled to.  In some cases, this caused gaps in support that led to temporary, or in some cases permanent, homelessness and </w:t>
      </w:r>
      <w:proofErr w:type="gramStart"/>
      <w:r w:rsidRPr="00465121">
        <w:rPr>
          <w:rFonts w:ascii="Times New Roman" w:hAnsi="Times New Roman" w:cs="Times New Roman"/>
          <w:lang w:val="en-GB"/>
        </w:rPr>
        <w:t>destitution</w:t>
      </w:r>
      <w:r w:rsidR="00653E38" w:rsidRPr="00465121">
        <w:rPr>
          <w:rFonts w:ascii="Times New Roman" w:hAnsi="Times New Roman" w:cs="Times New Roman"/>
          <w:lang w:val="en-GB"/>
        </w:rPr>
        <w:t>.</w:t>
      </w:r>
      <w:r w:rsidRPr="00465121">
        <w:rPr>
          <w:rFonts w:ascii="Times New Roman" w:hAnsi="Times New Roman" w:cs="Times New Roman"/>
          <w:lang w:val="en-GB"/>
        </w:rPr>
        <w:t>,</w:t>
      </w:r>
      <w:proofErr w:type="gramEnd"/>
      <w:r w:rsidRPr="00465121">
        <w:rPr>
          <w:rFonts w:ascii="Times New Roman" w:hAnsi="Times New Roman" w:cs="Times New Roman"/>
          <w:lang w:val="en-GB"/>
        </w:rPr>
        <w:t xml:space="preserve"> </w:t>
      </w:r>
      <w:r w:rsidR="00653E38" w:rsidRPr="00465121">
        <w:rPr>
          <w:rFonts w:ascii="Times New Roman" w:hAnsi="Times New Roman" w:cs="Times New Roman"/>
          <w:lang w:val="en-GB"/>
        </w:rPr>
        <w:t>I</w:t>
      </w:r>
      <w:r w:rsidRPr="00465121">
        <w:rPr>
          <w:rFonts w:ascii="Times New Roman" w:hAnsi="Times New Roman" w:cs="Times New Roman"/>
          <w:lang w:val="en-GB"/>
        </w:rPr>
        <w:t>n at least one case this connect</w:t>
      </w:r>
      <w:r w:rsidR="00653E38" w:rsidRPr="00465121">
        <w:rPr>
          <w:rFonts w:ascii="Times New Roman" w:hAnsi="Times New Roman" w:cs="Times New Roman"/>
          <w:lang w:val="en-GB"/>
        </w:rPr>
        <w:t>ed</w:t>
      </w:r>
      <w:r w:rsidRPr="00465121">
        <w:rPr>
          <w:rFonts w:ascii="Times New Roman" w:hAnsi="Times New Roman" w:cs="Times New Roman"/>
          <w:lang w:val="en-GB"/>
        </w:rPr>
        <w:t xml:space="preserve"> directly to the premature death of the individual.</w:t>
      </w:r>
      <w:r w:rsidR="00CC0AF5">
        <w:rPr>
          <w:rStyle w:val="FootnoteReference"/>
          <w:rFonts w:ascii="Times New Roman" w:hAnsi="Times New Roman" w:cs="Times New Roman"/>
          <w:lang w:val="en-GB"/>
        </w:rPr>
        <w:footnoteReference w:id="83"/>
      </w:r>
    </w:p>
    <w:p w14:paraId="6D0A777B" w14:textId="77777777" w:rsidR="001863D9" w:rsidRPr="00465121" w:rsidRDefault="001863D9" w:rsidP="00751939">
      <w:pPr>
        <w:spacing w:line="276" w:lineRule="auto"/>
        <w:jc w:val="both"/>
        <w:rPr>
          <w:rFonts w:ascii="Times New Roman" w:hAnsi="Times New Roman" w:cs="Times New Roman"/>
          <w:lang w:val="en-GB"/>
        </w:rPr>
      </w:pPr>
    </w:p>
    <w:p w14:paraId="4596A278" w14:textId="1F1295B7"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 xml:space="preserve">Connected to this, the lack of knowledge of officials and </w:t>
      </w:r>
      <w:r w:rsidR="00653E38" w:rsidRPr="00465121">
        <w:rPr>
          <w:rFonts w:ascii="Times New Roman" w:hAnsi="Times New Roman" w:cs="Times New Roman"/>
          <w:lang w:val="en-GB"/>
        </w:rPr>
        <w:t xml:space="preserve">the </w:t>
      </w:r>
      <w:r w:rsidRPr="00465121">
        <w:rPr>
          <w:rFonts w:ascii="Times New Roman" w:hAnsi="Times New Roman" w:cs="Times New Roman"/>
          <w:lang w:val="en-GB"/>
        </w:rPr>
        <w:t>seeming lack of ‘portability’ of docume</w:t>
      </w:r>
      <w:r w:rsidR="00AE68B6" w:rsidRPr="00465121">
        <w:rPr>
          <w:rFonts w:ascii="Times New Roman" w:hAnsi="Times New Roman" w:cs="Times New Roman"/>
          <w:lang w:val="en-GB"/>
        </w:rPr>
        <w:t>nts also led in several cases to</w:t>
      </w:r>
      <w:r w:rsidRPr="00465121">
        <w:rPr>
          <w:rFonts w:ascii="Times New Roman" w:hAnsi="Times New Roman" w:cs="Times New Roman"/>
          <w:lang w:val="en-GB"/>
        </w:rPr>
        <w:t xml:space="preserve"> reports of re-traumatizing of victims who were repeatedly asked inappropriate questions by officials that were not trained in dealing with such issues.  An example was given of a housing official who was asking for specific details of the sexual exploitation suffered by a client in order to progress her housing application, despite this information being irrelevant to her entitlement.</w:t>
      </w:r>
      <w:r w:rsidR="00CC0AF5">
        <w:rPr>
          <w:rStyle w:val="FootnoteReference"/>
          <w:rFonts w:ascii="Times New Roman" w:hAnsi="Times New Roman" w:cs="Times New Roman"/>
          <w:lang w:val="en-GB"/>
        </w:rPr>
        <w:footnoteReference w:id="84"/>
      </w:r>
    </w:p>
    <w:p w14:paraId="3EE3A7F1" w14:textId="77777777" w:rsidR="001863D9" w:rsidRPr="00465121" w:rsidRDefault="001863D9" w:rsidP="00751939">
      <w:pPr>
        <w:spacing w:line="276" w:lineRule="auto"/>
        <w:jc w:val="both"/>
        <w:rPr>
          <w:rFonts w:ascii="Times New Roman" w:hAnsi="Times New Roman" w:cs="Times New Roman"/>
          <w:lang w:val="en-GB"/>
        </w:rPr>
      </w:pPr>
    </w:p>
    <w:p w14:paraId="3EAE93EE" w14:textId="1C310BC1" w:rsidR="001863D9"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lastRenderedPageBreak/>
        <w:t>It was also noted that the 2014 changes</w:t>
      </w:r>
      <w:r w:rsidR="00CC0AF5">
        <w:rPr>
          <w:rFonts w:ascii="Times New Roman" w:hAnsi="Times New Roman" w:cs="Times New Roman"/>
          <w:lang w:val="en-GB"/>
        </w:rPr>
        <w:t xml:space="preserve"> (such as the need for EU citizens to have worked in the country for three months prior to claiming welfare)</w:t>
      </w:r>
      <w:r w:rsidRPr="00465121">
        <w:rPr>
          <w:rFonts w:ascii="Times New Roman" w:hAnsi="Times New Roman" w:cs="Times New Roman"/>
          <w:lang w:val="en-GB"/>
        </w:rPr>
        <w:t xml:space="preserve"> to various benefits had made it significantly more difficult for victims of trafficking to access support.</w:t>
      </w:r>
      <w:r w:rsidR="00CC0AF5" w:rsidRPr="00465121">
        <w:rPr>
          <w:rStyle w:val="FootnoteReference"/>
          <w:rFonts w:ascii="Times New Roman" w:hAnsi="Times New Roman" w:cs="Times New Roman"/>
          <w:lang w:val="en-GB"/>
        </w:rPr>
        <w:footnoteReference w:id="85"/>
      </w:r>
      <w:r w:rsidRPr="00465121">
        <w:rPr>
          <w:rFonts w:ascii="Times New Roman" w:hAnsi="Times New Roman" w:cs="Times New Roman"/>
          <w:lang w:val="en-GB"/>
        </w:rPr>
        <w:t xml:space="preserve"> Developing this idea, it was discussed by several caseworkers that the implications of Brexit on those who are going through the NRM and those who have exited the NRM with a positive CG decision needs serious consideration.</w:t>
      </w:r>
      <w:r w:rsidR="00CC0AF5">
        <w:rPr>
          <w:rStyle w:val="FootnoteReference"/>
          <w:rFonts w:ascii="Times New Roman" w:hAnsi="Times New Roman" w:cs="Times New Roman"/>
          <w:lang w:val="en-GB"/>
        </w:rPr>
        <w:footnoteReference w:id="86"/>
      </w:r>
      <w:r w:rsidR="0026458F" w:rsidRPr="00465121">
        <w:rPr>
          <w:rFonts w:ascii="Times New Roman" w:hAnsi="Times New Roman" w:cs="Times New Roman"/>
          <w:lang w:val="en-GB"/>
        </w:rPr>
        <w:t xml:space="preserve"> </w:t>
      </w:r>
    </w:p>
    <w:p w14:paraId="58E965E6" w14:textId="77777777" w:rsidR="00DD2FCF" w:rsidRDefault="00DD2FCF" w:rsidP="00751939">
      <w:pPr>
        <w:spacing w:line="276" w:lineRule="auto"/>
        <w:jc w:val="both"/>
        <w:rPr>
          <w:rFonts w:ascii="Times New Roman" w:hAnsi="Times New Roman" w:cs="Times New Roman"/>
          <w:lang w:val="en-GB"/>
        </w:rPr>
      </w:pPr>
    </w:p>
    <w:p w14:paraId="0CF7179A" w14:textId="77777777" w:rsidR="00DD2FCF" w:rsidRPr="00465121" w:rsidRDefault="00DD2FCF" w:rsidP="00751939">
      <w:pPr>
        <w:spacing w:line="276" w:lineRule="auto"/>
        <w:jc w:val="both"/>
        <w:rPr>
          <w:rFonts w:ascii="Times New Roman" w:hAnsi="Times New Roman" w:cs="Times New Roman"/>
          <w:lang w:val="en-GB"/>
        </w:rPr>
      </w:pPr>
    </w:p>
    <w:p w14:paraId="419BA8A5" w14:textId="77777777" w:rsidR="00005EA6" w:rsidRPr="00465121" w:rsidRDefault="00005EA6" w:rsidP="00751939">
      <w:pPr>
        <w:spacing w:line="276" w:lineRule="auto"/>
        <w:jc w:val="both"/>
        <w:rPr>
          <w:rFonts w:ascii="Times New Roman" w:hAnsi="Times New Roman" w:cs="Times New Roman"/>
          <w:lang w:val="en-GB"/>
        </w:rPr>
      </w:pPr>
    </w:p>
    <w:p w14:paraId="0A58106C" w14:textId="77777777" w:rsidR="001863D9" w:rsidRPr="00465121" w:rsidRDefault="001863D9" w:rsidP="00751939">
      <w:pPr>
        <w:spacing w:line="276" w:lineRule="auto"/>
        <w:jc w:val="both"/>
        <w:rPr>
          <w:rFonts w:ascii="Times New Roman" w:hAnsi="Times New Roman" w:cs="Times New Roman"/>
          <w:i/>
          <w:lang w:val="en-GB"/>
        </w:rPr>
      </w:pPr>
      <w:r w:rsidRPr="00465121">
        <w:rPr>
          <w:rFonts w:ascii="Times New Roman" w:hAnsi="Times New Roman" w:cs="Times New Roman"/>
          <w:i/>
          <w:lang w:val="en-GB"/>
        </w:rPr>
        <w:t>Policy Suggestions</w:t>
      </w:r>
    </w:p>
    <w:p w14:paraId="6F7AC032" w14:textId="77777777" w:rsidR="001863D9" w:rsidRPr="00465121" w:rsidRDefault="001863D9" w:rsidP="00751939">
      <w:pPr>
        <w:spacing w:line="276" w:lineRule="auto"/>
        <w:jc w:val="both"/>
        <w:rPr>
          <w:rFonts w:ascii="Times New Roman" w:hAnsi="Times New Roman" w:cs="Times New Roman"/>
          <w:u w:val="single"/>
          <w:lang w:val="en-GB"/>
        </w:rPr>
      </w:pPr>
    </w:p>
    <w:p w14:paraId="532C2A82" w14:textId="7E390105"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 xml:space="preserve">From </w:t>
      </w:r>
      <w:r w:rsidR="00794A4F" w:rsidRPr="00465121">
        <w:rPr>
          <w:rFonts w:ascii="Times New Roman" w:hAnsi="Times New Roman" w:cs="Times New Roman"/>
          <w:lang w:val="en-GB"/>
        </w:rPr>
        <w:t xml:space="preserve">the </w:t>
      </w:r>
      <w:r w:rsidRPr="00465121">
        <w:rPr>
          <w:rFonts w:ascii="Times New Roman" w:hAnsi="Times New Roman" w:cs="Times New Roman"/>
          <w:lang w:val="en-GB"/>
        </w:rPr>
        <w:t xml:space="preserve">policy suggestions made by </w:t>
      </w:r>
      <w:r w:rsidR="00794A4F" w:rsidRPr="00465121">
        <w:rPr>
          <w:rFonts w:ascii="Times New Roman" w:hAnsi="Times New Roman" w:cs="Times New Roman"/>
          <w:lang w:val="en-GB"/>
        </w:rPr>
        <w:t xml:space="preserve">the interviewed </w:t>
      </w:r>
      <w:r w:rsidRPr="00465121">
        <w:rPr>
          <w:rFonts w:ascii="Times New Roman" w:hAnsi="Times New Roman" w:cs="Times New Roman"/>
          <w:lang w:val="en-GB"/>
        </w:rPr>
        <w:t>caseworkers five micro themes emerged:</w:t>
      </w:r>
    </w:p>
    <w:p w14:paraId="6067B03D" w14:textId="77777777" w:rsidR="001863D9" w:rsidRPr="00465121" w:rsidRDefault="001863D9" w:rsidP="00751939">
      <w:pPr>
        <w:spacing w:line="276" w:lineRule="auto"/>
        <w:jc w:val="both"/>
        <w:rPr>
          <w:rFonts w:ascii="Times New Roman" w:hAnsi="Times New Roman" w:cs="Times New Roman"/>
          <w:lang w:val="en-GB"/>
        </w:rPr>
      </w:pPr>
    </w:p>
    <w:p w14:paraId="04E10D66" w14:textId="14DE31CD" w:rsidR="001863D9" w:rsidRPr="00465121" w:rsidRDefault="00794A4F" w:rsidP="00751939">
      <w:pPr>
        <w:pStyle w:val="ListParagraph"/>
        <w:numPr>
          <w:ilvl w:val="0"/>
          <w:numId w:val="11"/>
        </w:numPr>
        <w:spacing w:line="276" w:lineRule="auto"/>
        <w:jc w:val="both"/>
        <w:rPr>
          <w:rFonts w:ascii="Times New Roman" w:hAnsi="Times New Roman" w:cs="Times New Roman"/>
          <w:lang w:val="en-GB"/>
        </w:rPr>
      </w:pPr>
      <w:r w:rsidRPr="00465121">
        <w:rPr>
          <w:rFonts w:ascii="Times New Roman" w:hAnsi="Times New Roman" w:cs="Times New Roman"/>
          <w:lang w:val="en-GB"/>
        </w:rPr>
        <w:t>The a</w:t>
      </w:r>
      <w:r w:rsidR="001863D9" w:rsidRPr="00465121">
        <w:rPr>
          <w:rFonts w:ascii="Times New Roman" w:hAnsi="Times New Roman" w:cs="Times New Roman"/>
          <w:lang w:val="en-GB"/>
        </w:rPr>
        <w:t>utomatic discretionary leave to remain</w:t>
      </w:r>
    </w:p>
    <w:p w14:paraId="48CBB17C" w14:textId="77777777" w:rsidR="001863D9" w:rsidRPr="00465121" w:rsidRDefault="001863D9" w:rsidP="00751939">
      <w:pPr>
        <w:pStyle w:val="ListParagraph"/>
        <w:numPr>
          <w:ilvl w:val="0"/>
          <w:numId w:val="11"/>
        </w:numPr>
        <w:spacing w:line="276" w:lineRule="auto"/>
        <w:jc w:val="both"/>
        <w:rPr>
          <w:rFonts w:ascii="Times New Roman" w:hAnsi="Times New Roman" w:cs="Times New Roman"/>
          <w:lang w:val="en-GB"/>
        </w:rPr>
      </w:pPr>
      <w:r w:rsidRPr="00465121">
        <w:rPr>
          <w:rFonts w:ascii="Times New Roman" w:hAnsi="Times New Roman" w:cs="Times New Roman"/>
          <w:lang w:val="en-GB"/>
        </w:rPr>
        <w:t xml:space="preserve">Individualised, needs-based support </w:t>
      </w:r>
    </w:p>
    <w:p w14:paraId="4964BB10" w14:textId="2B294C22" w:rsidR="001863D9" w:rsidRPr="00465121" w:rsidRDefault="00794A4F" w:rsidP="00751939">
      <w:pPr>
        <w:pStyle w:val="ListParagraph"/>
        <w:numPr>
          <w:ilvl w:val="0"/>
          <w:numId w:val="11"/>
        </w:numPr>
        <w:spacing w:line="276" w:lineRule="auto"/>
        <w:jc w:val="both"/>
        <w:rPr>
          <w:rFonts w:ascii="Times New Roman" w:hAnsi="Times New Roman" w:cs="Times New Roman"/>
          <w:lang w:val="en-GB"/>
        </w:rPr>
      </w:pPr>
      <w:r w:rsidRPr="00465121">
        <w:rPr>
          <w:rFonts w:ascii="Times New Roman" w:hAnsi="Times New Roman" w:cs="Times New Roman"/>
          <w:lang w:val="en-GB"/>
        </w:rPr>
        <w:t>A need to i</w:t>
      </w:r>
      <w:r w:rsidR="001863D9" w:rsidRPr="00465121">
        <w:rPr>
          <w:rFonts w:ascii="Times New Roman" w:hAnsi="Times New Roman" w:cs="Times New Roman"/>
          <w:lang w:val="en-GB"/>
        </w:rPr>
        <w:t xml:space="preserve">ntroduce </w:t>
      </w:r>
      <w:r w:rsidRPr="00465121">
        <w:rPr>
          <w:rFonts w:ascii="Times New Roman" w:hAnsi="Times New Roman" w:cs="Times New Roman"/>
          <w:lang w:val="en-GB"/>
        </w:rPr>
        <w:t xml:space="preserve">a </w:t>
      </w:r>
      <w:r w:rsidR="001863D9" w:rsidRPr="00465121">
        <w:rPr>
          <w:rFonts w:ascii="Times New Roman" w:hAnsi="Times New Roman" w:cs="Times New Roman"/>
          <w:lang w:val="en-GB"/>
        </w:rPr>
        <w:t>specific offense of exploitation</w:t>
      </w:r>
    </w:p>
    <w:p w14:paraId="3869268F" w14:textId="6A5A72D7" w:rsidR="001863D9" w:rsidRPr="00465121" w:rsidRDefault="00794A4F" w:rsidP="00751939">
      <w:pPr>
        <w:pStyle w:val="ListParagraph"/>
        <w:numPr>
          <w:ilvl w:val="0"/>
          <w:numId w:val="11"/>
        </w:numPr>
        <w:spacing w:line="276" w:lineRule="auto"/>
        <w:jc w:val="both"/>
        <w:rPr>
          <w:rFonts w:ascii="Times New Roman" w:hAnsi="Times New Roman" w:cs="Times New Roman"/>
          <w:lang w:val="en-GB"/>
        </w:rPr>
      </w:pPr>
      <w:r w:rsidRPr="00465121">
        <w:rPr>
          <w:rFonts w:ascii="Times New Roman" w:hAnsi="Times New Roman" w:cs="Times New Roman"/>
          <w:lang w:val="en-GB"/>
        </w:rPr>
        <w:t>The d</w:t>
      </w:r>
      <w:r w:rsidR="001863D9" w:rsidRPr="00465121">
        <w:rPr>
          <w:rFonts w:ascii="Times New Roman" w:hAnsi="Times New Roman" w:cs="Times New Roman"/>
          <w:lang w:val="en-GB"/>
        </w:rPr>
        <w:t>evelop</w:t>
      </w:r>
      <w:r w:rsidRPr="00465121">
        <w:rPr>
          <w:rFonts w:ascii="Times New Roman" w:hAnsi="Times New Roman" w:cs="Times New Roman"/>
          <w:lang w:val="en-GB"/>
        </w:rPr>
        <w:t>ment of</w:t>
      </w:r>
      <w:r w:rsidR="001863D9" w:rsidRPr="00465121">
        <w:rPr>
          <w:rFonts w:ascii="Times New Roman" w:hAnsi="Times New Roman" w:cs="Times New Roman"/>
          <w:lang w:val="en-GB"/>
        </w:rPr>
        <w:t xml:space="preserve"> stronger legal definitions within existing legislation</w:t>
      </w:r>
    </w:p>
    <w:p w14:paraId="34F91C4F" w14:textId="5EC24343" w:rsidR="001863D9" w:rsidRPr="00465121" w:rsidRDefault="001863D9" w:rsidP="00751939">
      <w:pPr>
        <w:pStyle w:val="ListParagraph"/>
        <w:numPr>
          <w:ilvl w:val="0"/>
          <w:numId w:val="11"/>
        </w:numPr>
        <w:spacing w:line="276" w:lineRule="auto"/>
        <w:jc w:val="both"/>
        <w:rPr>
          <w:rFonts w:ascii="Times New Roman" w:hAnsi="Times New Roman" w:cs="Times New Roman"/>
          <w:lang w:val="en-GB"/>
        </w:rPr>
      </w:pPr>
      <w:r w:rsidRPr="00465121">
        <w:rPr>
          <w:rFonts w:ascii="Times New Roman" w:hAnsi="Times New Roman" w:cs="Times New Roman"/>
          <w:lang w:val="en-GB"/>
        </w:rPr>
        <w:t>Support for</w:t>
      </w:r>
      <w:r w:rsidR="00794A4F" w:rsidRPr="00465121">
        <w:rPr>
          <w:rFonts w:ascii="Times New Roman" w:hAnsi="Times New Roman" w:cs="Times New Roman"/>
          <w:lang w:val="en-GB"/>
        </w:rPr>
        <w:t xml:space="preserve"> the</w:t>
      </w:r>
      <w:r w:rsidRPr="00465121">
        <w:rPr>
          <w:rFonts w:ascii="Times New Roman" w:hAnsi="Times New Roman" w:cs="Times New Roman"/>
          <w:lang w:val="en-GB"/>
        </w:rPr>
        <w:t xml:space="preserve"> Lord McColl Bill</w:t>
      </w:r>
      <w:r w:rsidR="00CC0AF5">
        <w:rPr>
          <w:rStyle w:val="FootnoteReference"/>
          <w:rFonts w:ascii="Times New Roman" w:hAnsi="Times New Roman" w:cs="Times New Roman"/>
          <w:lang w:val="en-GB"/>
        </w:rPr>
        <w:footnoteReference w:id="87"/>
      </w:r>
    </w:p>
    <w:p w14:paraId="53BFCCCD" w14:textId="77777777" w:rsidR="001863D9" w:rsidRPr="00465121" w:rsidRDefault="001863D9" w:rsidP="00751939">
      <w:pPr>
        <w:spacing w:line="276" w:lineRule="auto"/>
        <w:jc w:val="both"/>
        <w:rPr>
          <w:rFonts w:ascii="Times New Roman" w:hAnsi="Times New Roman" w:cs="Times New Roman"/>
          <w:lang w:val="en-GB"/>
        </w:rPr>
      </w:pPr>
    </w:p>
    <w:p w14:paraId="0020C6F8" w14:textId="1911FE39" w:rsidR="001863D9" w:rsidRPr="00465121"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The suggestion was made by all caseworkers that automatic DLR upon a positive CG decision would have an immediate positive effect on outcomes. One caseworker expressed the idea that by giving an automatic DLR for at least a year would provide the space to begin recovery and put tools in place to rebuild the client’s life without the pressure of immigration proceedings.</w:t>
      </w:r>
      <w:r w:rsidR="00573E27">
        <w:rPr>
          <w:rStyle w:val="FootnoteReference"/>
          <w:rFonts w:ascii="Times New Roman" w:hAnsi="Times New Roman" w:cs="Times New Roman"/>
          <w:lang w:val="en-GB"/>
        </w:rPr>
        <w:footnoteReference w:id="88"/>
      </w:r>
      <w:r w:rsidRPr="00465121">
        <w:rPr>
          <w:rFonts w:ascii="Times New Roman" w:hAnsi="Times New Roman" w:cs="Times New Roman"/>
          <w:lang w:val="en-GB"/>
        </w:rPr>
        <w:t xml:space="preserve">  As an automatic entitlement to </w:t>
      </w:r>
      <w:r w:rsidR="00794A4F" w:rsidRPr="00465121">
        <w:rPr>
          <w:rFonts w:ascii="Times New Roman" w:hAnsi="Times New Roman" w:cs="Times New Roman"/>
          <w:lang w:val="en-GB"/>
        </w:rPr>
        <w:t>twelve</w:t>
      </w:r>
      <w:r w:rsidRPr="00465121">
        <w:rPr>
          <w:rFonts w:ascii="Times New Roman" w:hAnsi="Times New Roman" w:cs="Times New Roman"/>
          <w:lang w:val="en-GB"/>
        </w:rPr>
        <w:t xml:space="preserve"> months DLR has been included in Lord McColl’s Private Member’s Bill</w:t>
      </w:r>
      <w:r w:rsidR="00CC0AF5">
        <w:rPr>
          <w:rFonts w:ascii="Times New Roman" w:hAnsi="Times New Roman" w:cs="Times New Roman"/>
          <w:lang w:val="en-GB"/>
        </w:rPr>
        <w:t xml:space="preserve">, </w:t>
      </w:r>
      <w:r w:rsidRPr="00465121">
        <w:rPr>
          <w:rFonts w:ascii="Times New Roman" w:hAnsi="Times New Roman" w:cs="Times New Roman"/>
          <w:lang w:val="en-GB"/>
        </w:rPr>
        <w:t>this legislative development was broadly welcomed, although some expressed that they felt it did not go far enough in a number of ways.</w:t>
      </w:r>
      <w:r w:rsidR="00CC0AF5" w:rsidRPr="00465121">
        <w:rPr>
          <w:rStyle w:val="FootnoteReference"/>
          <w:rFonts w:ascii="Times New Roman" w:hAnsi="Times New Roman" w:cs="Times New Roman"/>
          <w:lang w:val="en-GB"/>
        </w:rPr>
        <w:footnoteReference w:id="89"/>
      </w:r>
      <w:r w:rsidR="00CC0AF5" w:rsidRPr="00465121">
        <w:rPr>
          <w:rFonts w:ascii="Times New Roman" w:hAnsi="Times New Roman" w:cs="Times New Roman"/>
          <w:lang w:val="en-GB"/>
        </w:rPr>
        <w:t xml:space="preserve"> </w:t>
      </w:r>
      <w:r w:rsidRPr="00465121">
        <w:rPr>
          <w:rFonts w:ascii="Times New Roman" w:hAnsi="Times New Roman" w:cs="Times New Roman"/>
          <w:lang w:val="en-GB"/>
        </w:rPr>
        <w:t xml:space="preserve"> </w:t>
      </w:r>
      <w:r w:rsidR="009E2B9F">
        <w:rPr>
          <w:rFonts w:ascii="Times New Roman" w:hAnsi="Times New Roman" w:cs="Times New Roman"/>
          <w:lang w:val="en-GB"/>
        </w:rPr>
        <w:t xml:space="preserve">One caseworker mentioned that they felt a particular offense of “exploitation” would be beneficial, as this could create a more tiered approach to combatting this issue legally.  They stated that there are times when </w:t>
      </w:r>
      <w:r w:rsidR="002B42D0">
        <w:rPr>
          <w:rFonts w:ascii="Times New Roman" w:hAnsi="Times New Roman" w:cs="Times New Roman"/>
          <w:lang w:val="en-GB"/>
        </w:rPr>
        <w:t>offenses do not quite meet the threshold for “Modern Slavery” in the UK, but that exploitation has still occurred, which should itself be criminalised.</w:t>
      </w:r>
      <w:r w:rsidRPr="00465121">
        <w:rPr>
          <w:rFonts w:ascii="Times New Roman" w:hAnsi="Times New Roman" w:cs="Times New Roman"/>
          <w:lang w:val="en-GB"/>
        </w:rPr>
        <w:t xml:space="preserve"> </w:t>
      </w:r>
    </w:p>
    <w:p w14:paraId="047DBA31" w14:textId="77777777" w:rsidR="001863D9" w:rsidRPr="00465121" w:rsidRDefault="001863D9" w:rsidP="00751939">
      <w:pPr>
        <w:spacing w:line="276" w:lineRule="auto"/>
        <w:jc w:val="both"/>
        <w:rPr>
          <w:rFonts w:ascii="Times New Roman" w:hAnsi="Times New Roman" w:cs="Times New Roman"/>
          <w:lang w:val="en-GB"/>
        </w:rPr>
      </w:pPr>
    </w:p>
    <w:p w14:paraId="665C8FB7" w14:textId="3A88EBB8" w:rsidR="001863D9" w:rsidRDefault="001863D9"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Thinking more broadly about the needs of clients, it was expressed that there was sometimes a tendency from within Government to develop a ‘one size fits all’ approach to victim support and care needs.</w:t>
      </w:r>
      <w:r w:rsidR="00573E27">
        <w:rPr>
          <w:rStyle w:val="FootnoteReference"/>
          <w:rFonts w:ascii="Times New Roman" w:hAnsi="Times New Roman" w:cs="Times New Roman"/>
          <w:lang w:val="en-GB"/>
        </w:rPr>
        <w:footnoteReference w:id="90"/>
      </w:r>
      <w:r w:rsidRPr="00465121">
        <w:rPr>
          <w:rFonts w:ascii="Times New Roman" w:hAnsi="Times New Roman" w:cs="Times New Roman"/>
          <w:lang w:val="en-GB"/>
        </w:rPr>
        <w:t xml:space="preserve"> This underestimates the spectrum upon which trafficking offenses exist and is likely to lead to under or over provisio</w:t>
      </w:r>
      <w:r w:rsidR="00573E27">
        <w:rPr>
          <w:rFonts w:ascii="Times New Roman" w:hAnsi="Times New Roman" w:cs="Times New Roman"/>
          <w:lang w:val="en-GB"/>
        </w:rPr>
        <w:t>n of support. This</w:t>
      </w:r>
      <w:r w:rsidRPr="00465121">
        <w:rPr>
          <w:rFonts w:ascii="Times New Roman" w:hAnsi="Times New Roman" w:cs="Times New Roman"/>
          <w:lang w:val="en-GB"/>
        </w:rPr>
        <w:t xml:space="preserve"> could either overly </w:t>
      </w:r>
      <w:r w:rsidRPr="00465121">
        <w:rPr>
          <w:rFonts w:ascii="Times New Roman" w:hAnsi="Times New Roman" w:cs="Times New Roman"/>
          <w:lang w:val="en-GB"/>
        </w:rPr>
        <w:lastRenderedPageBreak/>
        <w:t>stretch the system, or lead to support gaps</w:t>
      </w:r>
      <w:r w:rsidR="009E2B9F">
        <w:rPr>
          <w:rFonts w:ascii="Times New Roman" w:hAnsi="Times New Roman" w:cs="Times New Roman"/>
          <w:lang w:val="en-GB"/>
        </w:rPr>
        <w:t>,</w:t>
      </w:r>
      <w:r w:rsidRPr="00465121">
        <w:rPr>
          <w:rFonts w:ascii="Times New Roman" w:hAnsi="Times New Roman" w:cs="Times New Roman"/>
          <w:lang w:val="en-GB"/>
        </w:rPr>
        <w:t xml:space="preserve"> which lead to further and potentially more complex problems developing.</w:t>
      </w:r>
    </w:p>
    <w:p w14:paraId="625299E9" w14:textId="77777777" w:rsidR="002B42D0" w:rsidRDefault="002B42D0" w:rsidP="00751939">
      <w:pPr>
        <w:spacing w:line="276" w:lineRule="auto"/>
        <w:jc w:val="both"/>
        <w:rPr>
          <w:rFonts w:ascii="Times New Roman" w:hAnsi="Times New Roman" w:cs="Times New Roman"/>
          <w:lang w:val="en-GB"/>
        </w:rPr>
      </w:pPr>
    </w:p>
    <w:p w14:paraId="15E76B3F" w14:textId="77777777" w:rsidR="002B42D0" w:rsidRDefault="002B42D0" w:rsidP="00751939">
      <w:pPr>
        <w:spacing w:line="276" w:lineRule="auto"/>
        <w:jc w:val="both"/>
        <w:rPr>
          <w:rFonts w:ascii="Times New Roman" w:hAnsi="Times New Roman" w:cs="Times New Roman"/>
          <w:lang w:val="en-GB"/>
        </w:rPr>
      </w:pPr>
    </w:p>
    <w:p w14:paraId="6A09FD11" w14:textId="77777777" w:rsidR="002B42D0" w:rsidRPr="00465121" w:rsidRDefault="002B42D0" w:rsidP="00751939">
      <w:pPr>
        <w:spacing w:line="276" w:lineRule="auto"/>
        <w:jc w:val="both"/>
        <w:rPr>
          <w:rFonts w:ascii="Times New Roman" w:hAnsi="Times New Roman" w:cs="Times New Roman"/>
          <w:lang w:val="en-GB"/>
        </w:rPr>
      </w:pPr>
    </w:p>
    <w:p w14:paraId="20518772" w14:textId="77777777" w:rsidR="0022328D" w:rsidRPr="00465121" w:rsidRDefault="0022328D" w:rsidP="00751939">
      <w:pPr>
        <w:spacing w:line="276" w:lineRule="auto"/>
        <w:jc w:val="both"/>
        <w:rPr>
          <w:rFonts w:ascii="Times New Roman" w:hAnsi="Times New Roman" w:cs="Times New Roman"/>
          <w:lang w:val="en-GB"/>
        </w:rPr>
      </w:pPr>
    </w:p>
    <w:p w14:paraId="042461BB" w14:textId="235F6C88" w:rsidR="001863D9" w:rsidRPr="00465121" w:rsidRDefault="00FB6F96" w:rsidP="00751939">
      <w:pPr>
        <w:spacing w:line="276" w:lineRule="auto"/>
        <w:jc w:val="both"/>
        <w:rPr>
          <w:rFonts w:ascii="Times New Roman" w:hAnsi="Times New Roman" w:cs="Times New Roman"/>
          <w:b/>
          <w:u w:val="single"/>
          <w:lang w:val="en-GB"/>
        </w:rPr>
      </w:pPr>
      <w:r w:rsidRPr="00465121">
        <w:rPr>
          <w:rFonts w:ascii="Times New Roman" w:hAnsi="Times New Roman" w:cs="Times New Roman"/>
          <w:b/>
          <w:u w:val="single"/>
          <w:lang w:val="en-GB"/>
        </w:rPr>
        <w:t>Conclusion</w:t>
      </w:r>
    </w:p>
    <w:p w14:paraId="40C9CD4A" w14:textId="77777777" w:rsidR="00FC5295" w:rsidRPr="00465121" w:rsidRDefault="00FC5295" w:rsidP="00751939">
      <w:pPr>
        <w:spacing w:line="276" w:lineRule="auto"/>
        <w:jc w:val="both"/>
        <w:rPr>
          <w:rFonts w:ascii="Times New Roman" w:hAnsi="Times New Roman" w:cs="Times New Roman"/>
          <w:lang w:val="en-GB"/>
        </w:rPr>
      </w:pPr>
    </w:p>
    <w:p w14:paraId="171FCEF7" w14:textId="7B5AEA6E" w:rsidR="001607E0" w:rsidRPr="00465121" w:rsidRDefault="0022328D"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 xml:space="preserve">From both the legal analysis and the exploration of victims’ experiences, it seems clear that the UK is not meeting its obligations to provide support for victims of trafficking, either morally or legally. As argued by a number of </w:t>
      </w:r>
      <w:r w:rsidR="001607E0" w:rsidRPr="00465121">
        <w:rPr>
          <w:rFonts w:ascii="Times New Roman" w:hAnsi="Times New Roman" w:cs="Times New Roman"/>
          <w:lang w:val="en-GB"/>
        </w:rPr>
        <w:t xml:space="preserve">the </w:t>
      </w:r>
      <w:r w:rsidRPr="00465121">
        <w:rPr>
          <w:rFonts w:ascii="Times New Roman" w:hAnsi="Times New Roman" w:cs="Times New Roman"/>
          <w:lang w:val="en-GB"/>
        </w:rPr>
        <w:t>caseworkers</w:t>
      </w:r>
      <w:r w:rsidR="001607E0" w:rsidRPr="00465121">
        <w:rPr>
          <w:rFonts w:ascii="Times New Roman" w:hAnsi="Times New Roman" w:cs="Times New Roman"/>
          <w:lang w:val="en-GB"/>
        </w:rPr>
        <w:t xml:space="preserve"> interviewed</w:t>
      </w:r>
      <w:r w:rsidRPr="00465121">
        <w:rPr>
          <w:rFonts w:ascii="Times New Roman" w:hAnsi="Times New Roman" w:cs="Times New Roman"/>
          <w:lang w:val="en-GB"/>
        </w:rPr>
        <w:t xml:space="preserve">, the provision of an easier route to regularised status would aid the recovery and rehabilitation of their clients immeasurably, and in myriad ways. What would be considered as basic rights, </w:t>
      </w:r>
      <w:r w:rsidR="00794A4F" w:rsidRPr="00465121">
        <w:rPr>
          <w:rFonts w:ascii="Times New Roman" w:hAnsi="Times New Roman" w:cs="Times New Roman"/>
          <w:lang w:val="en-GB"/>
        </w:rPr>
        <w:t>for instance</w:t>
      </w:r>
      <w:r w:rsidRPr="00465121">
        <w:rPr>
          <w:rFonts w:ascii="Times New Roman" w:hAnsi="Times New Roman" w:cs="Times New Roman"/>
          <w:lang w:val="en-GB"/>
        </w:rPr>
        <w:t xml:space="preserve"> access</w:t>
      </w:r>
      <w:r w:rsidR="00794A4F" w:rsidRPr="00465121">
        <w:rPr>
          <w:rFonts w:ascii="Times New Roman" w:hAnsi="Times New Roman" w:cs="Times New Roman"/>
          <w:lang w:val="en-GB"/>
        </w:rPr>
        <w:t xml:space="preserve"> to</w:t>
      </w:r>
      <w:r w:rsidRPr="00465121">
        <w:rPr>
          <w:rFonts w:ascii="Times New Roman" w:hAnsi="Times New Roman" w:cs="Times New Roman"/>
          <w:lang w:val="en-GB"/>
        </w:rPr>
        <w:t xml:space="preserve"> housing</w:t>
      </w:r>
      <w:r w:rsidR="000B687E" w:rsidRPr="00465121">
        <w:rPr>
          <w:rFonts w:ascii="Times New Roman" w:hAnsi="Times New Roman" w:cs="Times New Roman"/>
          <w:lang w:val="en-GB"/>
        </w:rPr>
        <w:t>, employment and welfare</w:t>
      </w:r>
      <w:r w:rsidR="00794A4F" w:rsidRPr="00465121">
        <w:rPr>
          <w:rFonts w:ascii="Times New Roman" w:hAnsi="Times New Roman" w:cs="Times New Roman"/>
          <w:lang w:val="en-GB"/>
        </w:rPr>
        <w:t>,</w:t>
      </w:r>
      <w:r w:rsidR="000B687E" w:rsidRPr="00465121">
        <w:rPr>
          <w:rFonts w:ascii="Times New Roman" w:hAnsi="Times New Roman" w:cs="Times New Roman"/>
          <w:lang w:val="en-GB"/>
        </w:rPr>
        <w:t xml:space="preserve"> become</w:t>
      </w:r>
      <w:r w:rsidRPr="00465121">
        <w:rPr>
          <w:rFonts w:ascii="Times New Roman" w:hAnsi="Times New Roman" w:cs="Times New Roman"/>
          <w:lang w:val="en-GB"/>
        </w:rPr>
        <w:t xml:space="preserve"> </w:t>
      </w:r>
      <w:r w:rsidR="001607E0" w:rsidRPr="00465121">
        <w:rPr>
          <w:rFonts w:ascii="Times New Roman" w:hAnsi="Times New Roman" w:cs="Times New Roman"/>
          <w:lang w:val="en-GB"/>
        </w:rPr>
        <w:t xml:space="preserve">much more </w:t>
      </w:r>
      <w:r w:rsidRPr="00465121">
        <w:rPr>
          <w:rFonts w:ascii="Times New Roman" w:hAnsi="Times New Roman" w:cs="Times New Roman"/>
          <w:lang w:val="en-GB"/>
        </w:rPr>
        <w:t xml:space="preserve">attainable once </w:t>
      </w:r>
      <w:r w:rsidR="000B687E" w:rsidRPr="00465121">
        <w:rPr>
          <w:rFonts w:ascii="Times New Roman" w:hAnsi="Times New Roman" w:cs="Times New Roman"/>
          <w:lang w:val="en-GB"/>
        </w:rPr>
        <w:t>the question of immigration status has been re</w:t>
      </w:r>
      <w:r w:rsidR="001607E0" w:rsidRPr="00465121">
        <w:rPr>
          <w:rFonts w:ascii="Times New Roman" w:hAnsi="Times New Roman" w:cs="Times New Roman"/>
          <w:lang w:val="en-GB"/>
        </w:rPr>
        <w:t>solved</w:t>
      </w:r>
      <w:r w:rsidR="00C17074" w:rsidRPr="00465121">
        <w:rPr>
          <w:rFonts w:ascii="Times New Roman" w:hAnsi="Times New Roman" w:cs="Times New Roman"/>
          <w:lang w:val="en-GB"/>
        </w:rPr>
        <w:t>.</w:t>
      </w:r>
      <w:r w:rsidR="00573E27">
        <w:rPr>
          <w:rStyle w:val="FootnoteReference"/>
          <w:rFonts w:ascii="Times New Roman" w:hAnsi="Times New Roman" w:cs="Times New Roman"/>
          <w:lang w:val="en-GB"/>
        </w:rPr>
        <w:footnoteReference w:id="91"/>
      </w:r>
      <w:r w:rsidR="00C17074" w:rsidRPr="00465121">
        <w:rPr>
          <w:rFonts w:ascii="Times New Roman" w:hAnsi="Times New Roman" w:cs="Times New Roman"/>
          <w:lang w:val="en-GB"/>
        </w:rPr>
        <w:t xml:space="preserve"> This is so</w:t>
      </w:r>
      <w:r w:rsidR="001607E0" w:rsidRPr="00465121">
        <w:rPr>
          <w:rFonts w:ascii="Times New Roman" w:hAnsi="Times New Roman" w:cs="Times New Roman"/>
          <w:lang w:val="en-GB"/>
        </w:rPr>
        <w:t xml:space="preserve"> even </w:t>
      </w:r>
      <w:r w:rsidR="000B687E" w:rsidRPr="00465121">
        <w:rPr>
          <w:rFonts w:ascii="Times New Roman" w:hAnsi="Times New Roman" w:cs="Times New Roman"/>
          <w:lang w:val="en-GB"/>
        </w:rPr>
        <w:t>if on a fixed term basis</w:t>
      </w:r>
      <w:r w:rsidR="001607E0" w:rsidRPr="00465121">
        <w:rPr>
          <w:rFonts w:ascii="Times New Roman" w:hAnsi="Times New Roman" w:cs="Times New Roman"/>
          <w:lang w:val="en-GB"/>
        </w:rPr>
        <w:t xml:space="preserve"> of one year</w:t>
      </w:r>
      <w:r w:rsidR="000B687E" w:rsidRPr="00465121">
        <w:rPr>
          <w:rFonts w:ascii="Times New Roman" w:hAnsi="Times New Roman" w:cs="Times New Roman"/>
          <w:lang w:val="en-GB"/>
        </w:rPr>
        <w:t xml:space="preserve">. The Case of </w:t>
      </w:r>
      <w:r w:rsidR="000B687E" w:rsidRPr="00465121">
        <w:rPr>
          <w:rFonts w:ascii="Times New Roman" w:hAnsi="Times New Roman" w:cs="Times New Roman"/>
          <w:i/>
          <w:lang w:val="en-GB"/>
        </w:rPr>
        <w:t xml:space="preserve">PK </w:t>
      </w:r>
      <w:r w:rsidR="000B687E" w:rsidRPr="00465121">
        <w:rPr>
          <w:rFonts w:ascii="Times New Roman" w:hAnsi="Times New Roman" w:cs="Times New Roman"/>
          <w:lang w:val="en-GB"/>
        </w:rPr>
        <w:t>demonstrated that by not providing this relief the Home Office was in breach of its obligations</w:t>
      </w:r>
      <w:r w:rsidR="00C17074" w:rsidRPr="00465121">
        <w:rPr>
          <w:rFonts w:ascii="Times New Roman" w:hAnsi="Times New Roman" w:cs="Times New Roman"/>
          <w:lang w:val="en-GB"/>
        </w:rPr>
        <w:t>;</w:t>
      </w:r>
      <w:r w:rsidR="000B687E" w:rsidRPr="00465121">
        <w:rPr>
          <w:rFonts w:ascii="Times New Roman" w:hAnsi="Times New Roman" w:cs="Times New Roman"/>
          <w:lang w:val="en-GB"/>
        </w:rPr>
        <w:t xml:space="preserve"> therefore the onus is on the Government to permanently rectify this situation. The case of </w:t>
      </w:r>
      <w:r w:rsidR="000B687E" w:rsidRPr="00465121">
        <w:rPr>
          <w:rFonts w:ascii="Times New Roman" w:hAnsi="Times New Roman" w:cs="Times New Roman"/>
          <w:i/>
          <w:lang w:val="en-GB"/>
        </w:rPr>
        <w:t>LL</w:t>
      </w:r>
      <w:r w:rsidR="000B687E" w:rsidRPr="00465121">
        <w:rPr>
          <w:rFonts w:ascii="Times New Roman" w:hAnsi="Times New Roman" w:cs="Times New Roman"/>
          <w:lang w:val="en-GB"/>
        </w:rPr>
        <w:t xml:space="preserve"> also demonstrated that one of the</w:t>
      </w:r>
      <w:r w:rsidR="00F17570" w:rsidRPr="00465121">
        <w:rPr>
          <w:rFonts w:ascii="Times New Roman" w:hAnsi="Times New Roman" w:cs="Times New Roman"/>
          <w:lang w:val="en-GB"/>
        </w:rPr>
        <w:t xml:space="preserve"> issues the empirical analysis showed to be</w:t>
      </w:r>
      <w:r w:rsidR="000B687E" w:rsidRPr="00465121">
        <w:rPr>
          <w:rFonts w:ascii="Times New Roman" w:hAnsi="Times New Roman" w:cs="Times New Roman"/>
          <w:lang w:val="en-GB"/>
        </w:rPr>
        <w:t xml:space="preserve"> particularly problematic for victims, the lack of access to legal aid, was again a result of the Government being in breach of its obligations. Were this to be rectified, an on-going injustice would be remedied. There is little doubt that the system as it currently stands fails in fully achieving its necessary aim of aiding recovery and restoration.  </w:t>
      </w:r>
    </w:p>
    <w:p w14:paraId="35B87542" w14:textId="77777777" w:rsidR="001607E0" w:rsidRPr="00465121" w:rsidRDefault="001607E0" w:rsidP="00751939">
      <w:pPr>
        <w:spacing w:line="276" w:lineRule="auto"/>
        <w:jc w:val="both"/>
        <w:rPr>
          <w:rFonts w:ascii="Times New Roman" w:hAnsi="Times New Roman" w:cs="Times New Roman"/>
          <w:lang w:val="en-GB"/>
        </w:rPr>
      </w:pPr>
    </w:p>
    <w:p w14:paraId="11E1D914" w14:textId="040B374B" w:rsidR="0022328D" w:rsidRPr="00465121" w:rsidRDefault="000B687E" w:rsidP="00751939">
      <w:pPr>
        <w:spacing w:line="276" w:lineRule="auto"/>
        <w:jc w:val="both"/>
        <w:rPr>
          <w:rFonts w:ascii="Times New Roman" w:hAnsi="Times New Roman" w:cs="Times New Roman"/>
          <w:lang w:val="en-GB"/>
        </w:rPr>
      </w:pPr>
      <w:r w:rsidRPr="00465121">
        <w:rPr>
          <w:rFonts w:ascii="Times New Roman" w:hAnsi="Times New Roman" w:cs="Times New Roman"/>
          <w:lang w:val="en-GB"/>
        </w:rPr>
        <w:t>The current response to this emerging from Parliament is the Modern Slavery (Victim Support) Bill.</w:t>
      </w:r>
      <w:r w:rsidRPr="00465121">
        <w:rPr>
          <w:rStyle w:val="FootnoteReference"/>
          <w:rFonts w:ascii="Times New Roman" w:hAnsi="Times New Roman" w:cs="Times New Roman"/>
          <w:lang w:val="en-GB"/>
        </w:rPr>
        <w:footnoteReference w:id="92"/>
      </w:r>
      <w:r w:rsidRPr="00465121">
        <w:rPr>
          <w:rFonts w:ascii="Times New Roman" w:hAnsi="Times New Roman" w:cs="Times New Roman"/>
          <w:lang w:val="en-GB"/>
        </w:rPr>
        <w:t xml:space="preserve"> This includes both twelve months of DLR and a requirement for </w:t>
      </w:r>
      <w:r w:rsidR="009151B8" w:rsidRPr="00465121">
        <w:rPr>
          <w:rFonts w:ascii="Times New Roman" w:hAnsi="Times New Roman" w:cs="Times New Roman"/>
          <w:lang w:val="en-GB"/>
        </w:rPr>
        <w:t>“legal assistance” to be granted. These would be positive steps</w:t>
      </w:r>
      <w:r w:rsidR="00C17074" w:rsidRPr="00465121">
        <w:rPr>
          <w:rFonts w:ascii="Times New Roman" w:hAnsi="Times New Roman" w:cs="Times New Roman"/>
          <w:lang w:val="en-GB"/>
        </w:rPr>
        <w:t>.</w:t>
      </w:r>
      <w:r w:rsidR="009151B8" w:rsidRPr="00465121">
        <w:rPr>
          <w:rFonts w:ascii="Times New Roman" w:hAnsi="Times New Roman" w:cs="Times New Roman"/>
          <w:lang w:val="en-GB"/>
        </w:rPr>
        <w:t xml:space="preserve"> </w:t>
      </w:r>
      <w:r w:rsidR="00C17074" w:rsidRPr="00465121">
        <w:rPr>
          <w:rFonts w:ascii="Times New Roman" w:hAnsi="Times New Roman" w:cs="Times New Roman"/>
          <w:lang w:val="en-GB"/>
        </w:rPr>
        <w:t>H</w:t>
      </w:r>
      <w:r w:rsidR="009151B8" w:rsidRPr="00465121">
        <w:rPr>
          <w:rFonts w:ascii="Times New Roman" w:hAnsi="Times New Roman" w:cs="Times New Roman"/>
          <w:lang w:val="en-GB"/>
        </w:rPr>
        <w:t>owever</w:t>
      </w:r>
      <w:r w:rsidR="00C17074" w:rsidRPr="00465121">
        <w:rPr>
          <w:rFonts w:ascii="Times New Roman" w:hAnsi="Times New Roman" w:cs="Times New Roman"/>
          <w:lang w:val="en-GB"/>
        </w:rPr>
        <w:t>,</w:t>
      </w:r>
      <w:r w:rsidR="009151B8" w:rsidRPr="00465121">
        <w:rPr>
          <w:rFonts w:ascii="Times New Roman" w:hAnsi="Times New Roman" w:cs="Times New Roman"/>
          <w:lang w:val="en-GB"/>
        </w:rPr>
        <w:t xml:space="preserve"> the exact nature of the legal assistance would need further clarification</w:t>
      </w:r>
      <w:r w:rsidR="00C17074" w:rsidRPr="00465121">
        <w:rPr>
          <w:rFonts w:ascii="Times New Roman" w:hAnsi="Times New Roman" w:cs="Times New Roman"/>
          <w:lang w:val="en-GB"/>
        </w:rPr>
        <w:t>;</w:t>
      </w:r>
      <w:r w:rsidR="009151B8" w:rsidRPr="00465121">
        <w:rPr>
          <w:rFonts w:ascii="Times New Roman" w:hAnsi="Times New Roman" w:cs="Times New Roman"/>
          <w:lang w:val="en-GB"/>
        </w:rPr>
        <w:t xml:space="preserve"> as we have identified that expert immigration law advice, given in a timely fashion, is specifically needed to remedy some of the particular issues victims are facing. What </w:t>
      </w:r>
      <w:proofErr w:type="gramStart"/>
      <w:r w:rsidR="009151B8" w:rsidRPr="00465121">
        <w:rPr>
          <w:rFonts w:ascii="Times New Roman" w:hAnsi="Times New Roman" w:cs="Times New Roman"/>
          <w:lang w:val="en-GB"/>
        </w:rPr>
        <w:t>does</w:t>
      </w:r>
      <w:proofErr w:type="gramEnd"/>
      <w:r w:rsidR="009151B8" w:rsidRPr="00465121">
        <w:rPr>
          <w:rFonts w:ascii="Times New Roman" w:hAnsi="Times New Roman" w:cs="Times New Roman"/>
          <w:lang w:val="en-GB"/>
        </w:rPr>
        <w:t xml:space="preserve"> not seem to be explicitly covered in the Bill are steps to make navigating the system of UK bureaucracy easier for those that have been awarded a </w:t>
      </w:r>
      <w:r w:rsidR="00EC2A5D" w:rsidRPr="00465121">
        <w:rPr>
          <w:rFonts w:ascii="Times New Roman" w:hAnsi="Times New Roman" w:cs="Times New Roman"/>
          <w:lang w:val="en-GB"/>
        </w:rPr>
        <w:t>CG</w:t>
      </w:r>
      <w:r w:rsidR="009151B8" w:rsidRPr="00465121">
        <w:rPr>
          <w:rFonts w:ascii="Times New Roman" w:hAnsi="Times New Roman" w:cs="Times New Roman"/>
          <w:lang w:val="en-GB"/>
        </w:rPr>
        <w:t xml:space="preserve"> decision. The lack of ‘portability’ of the CG paperwork, coupled with </w:t>
      </w:r>
      <w:r w:rsidR="00C17074" w:rsidRPr="00465121">
        <w:rPr>
          <w:rFonts w:ascii="Times New Roman" w:hAnsi="Times New Roman" w:cs="Times New Roman"/>
          <w:lang w:val="en-GB"/>
        </w:rPr>
        <w:t xml:space="preserve">a </w:t>
      </w:r>
      <w:r w:rsidR="009151B8" w:rsidRPr="00465121">
        <w:rPr>
          <w:rFonts w:ascii="Times New Roman" w:hAnsi="Times New Roman" w:cs="Times New Roman"/>
          <w:lang w:val="en-GB"/>
        </w:rPr>
        <w:t>lack of awareness and training within various Government and local Government departments, continually acts as a roadblock to accessing support. Specific measures aiming to counter this would be a welcome addition to current policy. Even more conce</w:t>
      </w:r>
      <w:r w:rsidR="00005EA6" w:rsidRPr="00465121">
        <w:rPr>
          <w:rFonts w:ascii="Times New Roman" w:hAnsi="Times New Roman" w:cs="Times New Roman"/>
          <w:lang w:val="en-GB"/>
        </w:rPr>
        <w:t>rning, there are signs that the Victim Support Bill</w:t>
      </w:r>
      <w:r w:rsidR="00005EA6" w:rsidRPr="00465121">
        <w:rPr>
          <w:rStyle w:val="FootnoteReference"/>
          <w:rFonts w:ascii="Times New Roman" w:hAnsi="Times New Roman" w:cs="Times New Roman"/>
          <w:lang w:val="en-GB"/>
        </w:rPr>
        <w:footnoteReference w:id="93"/>
      </w:r>
      <w:r w:rsidR="009151B8" w:rsidRPr="00465121">
        <w:rPr>
          <w:rFonts w:ascii="Times New Roman" w:hAnsi="Times New Roman" w:cs="Times New Roman"/>
          <w:lang w:val="en-GB"/>
        </w:rPr>
        <w:t>, may not have a positive reception in the House of Commons.</w:t>
      </w:r>
      <w:r w:rsidR="001D6AD5" w:rsidRPr="00465121">
        <w:rPr>
          <w:rStyle w:val="FootnoteReference"/>
          <w:rFonts w:ascii="Times New Roman" w:hAnsi="Times New Roman" w:cs="Times New Roman"/>
          <w:lang w:val="en-GB"/>
        </w:rPr>
        <w:footnoteReference w:id="94"/>
      </w:r>
      <w:r w:rsidR="009151B8" w:rsidRPr="00465121">
        <w:rPr>
          <w:rFonts w:ascii="Times New Roman" w:hAnsi="Times New Roman" w:cs="Times New Roman"/>
          <w:lang w:val="en-GB"/>
        </w:rPr>
        <w:t xml:space="preserve">  </w:t>
      </w:r>
      <w:r w:rsidR="001607E0" w:rsidRPr="00465121">
        <w:rPr>
          <w:rFonts w:ascii="Times New Roman" w:hAnsi="Times New Roman" w:cs="Times New Roman"/>
          <w:lang w:val="en-GB"/>
        </w:rPr>
        <w:t>It is to be hoped that the tension between protecting victims and protecting borders finds some resolution that enables the human beings affected to receive the support that they are both morally and legally entitled to.</w:t>
      </w:r>
    </w:p>
    <w:p w14:paraId="185F26FE" w14:textId="77777777" w:rsidR="002170BB" w:rsidRPr="00465121" w:rsidRDefault="002170BB" w:rsidP="007A62E1">
      <w:pPr>
        <w:tabs>
          <w:tab w:val="left" w:pos="3544"/>
        </w:tabs>
        <w:spacing w:line="276" w:lineRule="auto"/>
        <w:jc w:val="both"/>
        <w:rPr>
          <w:rFonts w:ascii="Times New Roman" w:hAnsi="Times New Roman" w:cs="Times New Roman"/>
          <w:lang w:val="en-GB"/>
        </w:rPr>
      </w:pPr>
    </w:p>
    <w:p w14:paraId="1567A921" w14:textId="77777777" w:rsidR="002170BB" w:rsidRPr="00465121" w:rsidRDefault="002170BB" w:rsidP="00751939">
      <w:pPr>
        <w:spacing w:line="276" w:lineRule="auto"/>
        <w:jc w:val="both"/>
        <w:rPr>
          <w:rFonts w:ascii="Times New Roman" w:hAnsi="Times New Roman" w:cs="Times New Roman"/>
          <w:lang w:val="en-GB"/>
        </w:rPr>
      </w:pPr>
    </w:p>
    <w:p w14:paraId="1A7FCDF9" w14:textId="77777777" w:rsidR="00C17074" w:rsidRPr="00465121" w:rsidRDefault="00C17074">
      <w:pPr>
        <w:rPr>
          <w:rFonts w:ascii="Times New Roman" w:hAnsi="Times New Roman" w:cs="Times New Roman"/>
          <w:b/>
          <w:u w:val="single"/>
          <w:lang w:val="en-GB"/>
        </w:rPr>
      </w:pPr>
      <w:r w:rsidRPr="00465121">
        <w:rPr>
          <w:rFonts w:ascii="Times New Roman" w:hAnsi="Times New Roman" w:cs="Times New Roman"/>
          <w:b/>
          <w:u w:val="single"/>
          <w:lang w:val="en-GB"/>
        </w:rPr>
        <w:br w:type="page"/>
      </w:r>
    </w:p>
    <w:p w14:paraId="44D01C12" w14:textId="1CD7B678" w:rsidR="002170BB" w:rsidRPr="00465121" w:rsidRDefault="002170BB" w:rsidP="00751939">
      <w:pPr>
        <w:spacing w:line="276" w:lineRule="auto"/>
        <w:jc w:val="both"/>
        <w:rPr>
          <w:rFonts w:ascii="Times New Roman" w:hAnsi="Times New Roman" w:cs="Times New Roman"/>
          <w:b/>
          <w:u w:val="single"/>
          <w:lang w:val="en-GB"/>
        </w:rPr>
      </w:pPr>
      <w:r w:rsidRPr="00465121">
        <w:rPr>
          <w:rFonts w:ascii="Times New Roman" w:hAnsi="Times New Roman" w:cs="Times New Roman"/>
          <w:b/>
          <w:u w:val="single"/>
          <w:lang w:val="en-GB"/>
        </w:rPr>
        <w:lastRenderedPageBreak/>
        <w:t>Bibliography</w:t>
      </w:r>
    </w:p>
    <w:p w14:paraId="7ED1CA82" w14:textId="77777777" w:rsidR="002170BB" w:rsidRPr="00465121" w:rsidRDefault="002170BB" w:rsidP="00751939">
      <w:pPr>
        <w:spacing w:line="276" w:lineRule="auto"/>
        <w:jc w:val="both"/>
        <w:rPr>
          <w:rFonts w:ascii="Times New Roman" w:hAnsi="Times New Roman" w:cs="Times New Roman"/>
          <w:i/>
          <w:lang w:val="en-GB"/>
        </w:rPr>
      </w:pPr>
    </w:p>
    <w:p w14:paraId="4A686E90" w14:textId="77777777" w:rsidR="002170BB" w:rsidRPr="00465121" w:rsidRDefault="002170BB" w:rsidP="002170BB">
      <w:pPr>
        <w:rPr>
          <w:rFonts w:ascii="Times New Roman" w:hAnsi="Times New Roman" w:cs="Times New Roman"/>
        </w:rPr>
      </w:pPr>
      <w:proofErr w:type="spellStart"/>
      <w:r w:rsidRPr="00465121">
        <w:rPr>
          <w:rFonts w:ascii="Times New Roman" w:hAnsi="Times New Roman" w:cs="Times New Roman"/>
        </w:rPr>
        <w:t>Askola</w:t>
      </w:r>
      <w:proofErr w:type="spellEnd"/>
      <w:r w:rsidRPr="00465121">
        <w:rPr>
          <w:rFonts w:ascii="Times New Roman" w:hAnsi="Times New Roman" w:cs="Times New Roman"/>
        </w:rPr>
        <w:t xml:space="preserve">, H., “’Illegal Migrants’, Gender and Vulnerability: The Case of the EU Returns Directive”, </w:t>
      </w:r>
      <w:r w:rsidRPr="00465121">
        <w:rPr>
          <w:rFonts w:ascii="Times New Roman" w:hAnsi="Times New Roman" w:cs="Times New Roman"/>
          <w:i/>
        </w:rPr>
        <w:t xml:space="preserve">Feminist Legal Studies </w:t>
      </w:r>
      <w:r w:rsidRPr="00465121">
        <w:rPr>
          <w:rFonts w:ascii="Times New Roman" w:hAnsi="Times New Roman" w:cs="Times New Roman"/>
        </w:rPr>
        <w:t>18, no. 2 (August 2010): 159-178.</w:t>
      </w:r>
    </w:p>
    <w:p w14:paraId="23667457" w14:textId="77777777" w:rsidR="002170BB" w:rsidRPr="00465121" w:rsidRDefault="002170BB" w:rsidP="002170BB">
      <w:pPr>
        <w:pStyle w:val="FootnoteText"/>
        <w:rPr>
          <w:rFonts w:ascii="Times New Roman" w:hAnsi="Times New Roman" w:cs="Times New Roman"/>
        </w:rPr>
      </w:pPr>
    </w:p>
    <w:p w14:paraId="2C89E1E8" w14:textId="77777777" w:rsidR="002170BB" w:rsidRPr="00465121" w:rsidRDefault="002170BB" w:rsidP="002170BB">
      <w:pPr>
        <w:pStyle w:val="FootnoteText"/>
        <w:rPr>
          <w:rFonts w:ascii="Times New Roman" w:hAnsi="Times New Roman" w:cs="Times New Roman"/>
        </w:rPr>
      </w:pPr>
      <w:proofErr w:type="spellStart"/>
      <w:r w:rsidRPr="00465121">
        <w:rPr>
          <w:rFonts w:ascii="Times New Roman" w:hAnsi="Times New Roman" w:cs="Times New Roman"/>
        </w:rPr>
        <w:t>Bokhari</w:t>
      </w:r>
      <w:proofErr w:type="spellEnd"/>
      <w:r w:rsidRPr="00465121">
        <w:rPr>
          <w:rFonts w:ascii="Times New Roman" w:hAnsi="Times New Roman" w:cs="Times New Roman"/>
        </w:rPr>
        <w:t xml:space="preserve">, F., “Falling Through the Gaps: Safeguarding Children Trafficked into the UK”, </w:t>
      </w:r>
      <w:r w:rsidRPr="00465121">
        <w:rPr>
          <w:rFonts w:ascii="Times New Roman" w:hAnsi="Times New Roman" w:cs="Times New Roman"/>
          <w:i/>
        </w:rPr>
        <w:t xml:space="preserve">Children &amp; Society </w:t>
      </w:r>
      <w:r w:rsidRPr="00465121">
        <w:rPr>
          <w:rFonts w:ascii="Times New Roman" w:hAnsi="Times New Roman" w:cs="Times New Roman"/>
        </w:rPr>
        <w:t>22, no. 3 (May 2008): 201-211.</w:t>
      </w:r>
    </w:p>
    <w:p w14:paraId="40AC52E1" w14:textId="77777777" w:rsidR="002170BB" w:rsidRPr="00465121" w:rsidRDefault="002170BB" w:rsidP="002170BB">
      <w:pPr>
        <w:rPr>
          <w:rFonts w:ascii="Times New Roman" w:hAnsi="Times New Roman" w:cs="Times New Roman"/>
        </w:rPr>
      </w:pPr>
    </w:p>
    <w:p w14:paraId="2DF45429" w14:textId="77777777" w:rsidR="002170BB" w:rsidRPr="00465121" w:rsidRDefault="002170BB" w:rsidP="002170BB">
      <w:pPr>
        <w:pStyle w:val="FootnoteText"/>
        <w:rPr>
          <w:rFonts w:ascii="Times New Roman" w:hAnsi="Times New Roman" w:cs="Times New Roman"/>
        </w:rPr>
      </w:pPr>
      <w:proofErr w:type="spellStart"/>
      <w:r w:rsidRPr="00465121">
        <w:rPr>
          <w:rFonts w:ascii="Times New Roman" w:hAnsi="Times New Roman" w:cs="Times New Roman"/>
        </w:rPr>
        <w:t>Brunovskis</w:t>
      </w:r>
      <w:proofErr w:type="spellEnd"/>
      <w:r w:rsidRPr="00465121">
        <w:rPr>
          <w:rFonts w:ascii="Times New Roman" w:hAnsi="Times New Roman" w:cs="Times New Roman"/>
        </w:rPr>
        <w:t xml:space="preserve">, A., “Special rights within universal welfare: Assistance to trafficking victims in Norway”, </w:t>
      </w:r>
      <w:r w:rsidRPr="00465121">
        <w:rPr>
          <w:rFonts w:ascii="Times New Roman" w:hAnsi="Times New Roman" w:cs="Times New Roman"/>
          <w:i/>
        </w:rPr>
        <w:t>Journal of Comparative Social Work</w:t>
      </w:r>
      <w:r w:rsidRPr="00465121">
        <w:rPr>
          <w:rFonts w:ascii="Times New Roman" w:hAnsi="Times New Roman" w:cs="Times New Roman"/>
        </w:rPr>
        <w:t xml:space="preserve"> 11, no. 1 (2016).</w:t>
      </w:r>
    </w:p>
    <w:p w14:paraId="114D7B3E" w14:textId="77777777" w:rsidR="002170BB" w:rsidRPr="00465121" w:rsidRDefault="002170BB" w:rsidP="002170BB">
      <w:pPr>
        <w:rPr>
          <w:rFonts w:ascii="Times New Roman" w:hAnsi="Times New Roman" w:cs="Times New Roman"/>
        </w:rPr>
      </w:pPr>
    </w:p>
    <w:p w14:paraId="647DC4E6"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 xml:space="preserve">Clancy, S., “Immigration and Modern Slavery: How the Laws of One Fail to Provide Justice to Victims of the Other”, </w:t>
      </w:r>
      <w:r w:rsidRPr="00465121">
        <w:rPr>
          <w:rFonts w:ascii="Times New Roman" w:hAnsi="Times New Roman" w:cs="Times New Roman"/>
          <w:i/>
        </w:rPr>
        <w:t>University of Baltimore Law Review</w:t>
      </w:r>
      <w:r w:rsidRPr="00465121">
        <w:rPr>
          <w:rFonts w:ascii="Times New Roman" w:hAnsi="Times New Roman" w:cs="Times New Roman"/>
        </w:rPr>
        <w:t xml:space="preserve"> (Spring 2017).</w:t>
      </w:r>
    </w:p>
    <w:p w14:paraId="47F7A16B" w14:textId="77777777" w:rsidR="002170BB" w:rsidRPr="00465121" w:rsidRDefault="002170BB" w:rsidP="002170BB">
      <w:pPr>
        <w:rPr>
          <w:rFonts w:ascii="Times New Roman" w:hAnsi="Times New Roman" w:cs="Times New Roman"/>
        </w:rPr>
      </w:pPr>
    </w:p>
    <w:p w14:paraId="01F85500"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Council of Europe, Council of Europe Convention on Action Against Trafficking in Human Beings, 16 May 2005, CETS 197</w:t>
      </w:r>
    </w:p>
    <w:p w14:paraId="2EE18D49" w14:textId="77777777" w:rsidR="002170BB" w:rsidRPr="00465121" w:rsidRDefault="002170BB" w:rsidP="002170BB">
      <w:pPr>
        <w:rPr>
          <w:rFonts w:ascii="Times New Roman" w:hAnsi="Times New Roman" w:cs="Times New Roman"/>
        </w:rPr>
      </w:pPr>
    </w:p>
    <w:p w14:paraId="1DF5EA6A"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Council of Europe, Council of Europe Convention on Action Against Trafficking in Human Beings, 16 May 2005, CETS 197, Article 15</w:t>
      </w:r>
    </w:p>
    <w:p w14:paraId="7E2E9429" w14:textId="77777777" w:rsidR="002170BB" w:rsidRPr="00465121" w:rsidRDefault="002170BB" w:rsidP="002170BB">
      <w:pPr>
        <w:rPr>
          <w:rFonts w:ascii="Times New Roman" w:hAnsi="Times New Roman" w:cs="Times New Roman"/>
        </w:rPr>
      </w:pPr>
    </w:p>
    <w:p w14:paraId="5BF6D6D0" w14:textId="77777777" w:rsidR="002170BB" w:rsidRPr="00465121" w:rsidRDefault="002170BB" w:rsidP="002170BB">
      <w:pPr>
        <w:pStyle w:val="FootnoteText"/>
        <w:rPr>
          <w:rFonts w:ascii="Times New Roman" w:hAnsi="Times New Roman" w:cs="Times New Roman"/>
        </w:rPr>
      </w:pPr>
      <w:r w:rsidRPr="00465121">
        <w:rPr>
          <w:rFonts w:ascii="Times New Roman" w:hAnsi="Times New Roman" w:cs="Times New Roman"/>
        </w:rPr>
        <w:t>Council of Europe, Council of Europe Convention on Action Against Trafficking in Human Beings, 16 May 2005, CETS 197, Article 10</w:t>
      </w:r>
    </w:p>
    <w:p w14:paraId="279BD563" w14:textId="77777777" w:rsidR="002170BB" w:rsidRPr="00465121" w:rsidRDefault="002170BB" w:rsidP="002170BB">
      <w:pPr>
        <w:pStyle w:val="FootnoteText"/>
        <w:rPr>
          <w:rFonts w:ascii="Times New Roman" w:hAnsi="Times New Roman" w:cs="Times New Roman"/>
        </w:rPr>
      </w:pPr>
    </w:p>
    <w:p w14:paraId="2055F90E" w14:textId="77777777" w:rsidR="002170BB" w:rsidRPr="00465121" w:rsidRDefault="002170BB" w:rsidP="002170BB">
      <w:pPr>
        <w:pStyle w:val="FootnoteText"/>
        <w:rPr>
          <w:rFonts w:ascii="Times New Roman" w:hAnsi="Times New Roman" w:cs="Times New Roman"/>
        </w:rPr>
      </w:pPr>
      <w:r w:rsidRPr="00465121">
        <w:rPr>
          <w:rFonts w:ascii="Times New Roman" w:hAnsi="Times New Roman" w:cs="Times New Roman"/>
        </w:rPr>
        <w:t>Davis, E., “</w:t>
      </w:r>
      <w:proofErr w:type="spellStart"/>
      <w:r w:rsidRPr="00465121">
        <w:rPr>
          <w:rFonts w:ascii="Times New Roman" w:hAnsi="Times New Roman" w:cs="Times New Roman"/>
        </w:rPr>
        <w:t>Cece</w:t>
      </w:r>
      <w:proofErr w:type="spellEnd"/>
      <w:r w:rsidRPr="00465121">
        <w:rPr>
          <w:rFonts w:ascii="Times New Roman" w:hAnsi="Times New Roman" w:cs="Times New Roman"/>
        </w:rPr>
        <w:t xml:space="preserve"> V. Holder: An Unprecedented Look at the Asylum Claim for Victims of Attempted Sex Trafficking”, </w:t>
      </w:r>
      <w:r w:rsidRPr="00465121">
        <w:rPr>
          <w:rFonts w:ascii="Times New Roman" w:hAnsi="Times New Roman" w:cs="Times New Roman"/>
          <w:i/>
        </w:rPr>
        <w:t>Emory International Law Review</w:t>
      </w:r>
      <w:r w:rsidRPr="00465121">
        <w:rPr>
          <w:rFonts w:ascii="Times New Roman" w:hAnsi="Times New Roman" w:cs="Times New Roman"/>
        </w:rPr>
        <w:t xml:space="preserve"> 29, no. 1 (2014): 379-413.</w:t>
      </w:r>
    </w:p>
    <w:p w14:paraId="1D404982" w14:textId="77777777" w:rsidR="002170BB" w:rsidRPr="00465121" w:rsidRDefault="002170BB" w:rsidP="002170BB">
      <w:pPr>
        <w:rPr>
          <w:rFonts w:ascii="Times New Roman" w:hAnsi="Times New Roman" w:cs="Times New Roman"/>
        </w:rPr>
      </w:pPr>
    </w:p>
    <w:p w14:paraId="4650B547"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“Day 46: Is there Life After the Safe House for Survivors of Modern Slavery” (Human Trafficking Foundation)</w:t>
      </w:r>
    </w:p>
    <w:p w14:paraId="21472F59" w14:textId="77777777" w:rsidR="002170BB" w:rsidRPr="00465121" w:rsidRDefault="002170BB" w:rsidP="002170BB">
      <w:pPr>
        <w:rPr>
          <w:rFonts w:ascii="Times New Roman" w:hAnsi="Times New Roman" w:cs="Times New Roman"/>
        </w:rPr>
      </w:pPr>
    </w:p>
    <w:p w14:paraId="42F038E8" w14:textId="77777777" w:rsidR="002170BB" w:rsidRPr="00465121" w:rsidRDefault="002170BB" w:rsidP="002170BB">
      <w:pPr>
        <w:pStyle w:val="FootnoteText"/>
        <w:rPr>
          <w:rFonts w:ascii="Times New Roman" w:hAnsi="Times New Roman" w:cs="Times New Roman"/>
          <w:lang w:val="en-GB"/>
        </w:rPr>
      </w:pPr>
      <w:r w:rsidRPr="00465121">
        <w:rPr>
          <w:rFonts w:ascii="Times New Roman" w:hAnsi="Times New Roman" w:cs="Times New Roman"/>
          <w:lang w:val="en-GB"/>
        </w:rPr>
        <w:t>House of Commons Work and Pension Committee, “Victims of modern slavery: Government Response to the Committee’s Twelfth Report of Session 2016-17”,</w:t>
      </w:r>
    </w:p>
    <w:p w14:paraId="14C3F260" w14:textId="77777777" w:rsidR="002170BB" w:rsidRPr="00465121" w:rsidRDefault="002170BB" w:rsidP="002170BB">
      <w:pPr>
        <w:pStyle w:val="FootnoteText"/>
        <w:rPr>
          <w:rFonts w:ascii="Times New Roman" w:hAnsi="Times New Roman" w:cs="Times New Roman"/>
          <w:lang w:val="en-GB"/>
        </w:rPr>
      </w:pPr>
      <w:r w:rsidRPr="00465121">
        <w:rPr>
          <w:rFonts w:ascii="Times New Roman" w:hAnsi="Times New Roman" w:cs="Times New Roman"/>
          <w:lang w:val="en-GB"/>
        </w:rPr>
        <w:t>https://publications.parliament.uk/pa/cm201719/cmselect/cmworpen/672/672.pdf</w:t>
      </w:r>
    </w:p>
    <w:p w14:paraId="3C361B67" w14:textId="77777777" w:rsidR="002170BB" w:rsidRPr="00465121" w:rsidRDefault="002170BB" w:rsidP="002170BB">
      <w:pPr>
        <w:pStyle w:val="FootnoteText"/>
        <w:rPr>
          <w:rFonts w:ascii="Times New Roman" w:hAnsi="Times New Roman" w:cs="Times New Roman"/>
          <w:lang w:val="en-GB"/>
        </w:rPr>
      </w:pPr>
    </w:p>
    <w:p w14:paraId="02C5FFAF"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House of Commons Work and Pensions Committee, Victims of Modern Slavery – Twelfth Report Session 2016-2017 (April 2017)</w:t>
      </w:r>
    </w:p>
    <w:p w14:paraId="00EE9812" w14:textId="77777777" w:rsidR="002170BB" w:rsidRPr="00465121" w:rsidRDefault="002170BB" w:rsidP="002170BB">
      <w:pPr>
        <w:pStyle w:val="FootnoteText"/>
        <w:rPr>
          <w:rFonts w:ascii="Times New Roman" w:hAnsi="Times New Roman" w:cs="Times New Roman"/>
        </w:rPr>
      </w:pPr>
    </w:p>
    <w:p w14:paraId="5C4CA68F" w14:textId="77777777" w:rsidR="002170BB" w:rsidRPr="00465121" w:rsidRDefault="002170BB" w:rsidP="002170BB">
      <w:pPr>
        <w:pStyle w:val="FootnoteText"/>
        <w:rPr>
          <w:rFonts w:ascii="Times New Roman" w:hAnsi="Times New Roman" w:cs="Times New Roman"/>
        </w:rPr>
      </w:pPr>
      <w:r w:rsidRPr="00465121">
        <w:rPr>
          <w:rFonts w:ascii="Times New Roman" w:hAnsi="Times New Roman" w:cs="Times New Roman"/>
        </w:rPr>
        <w:t>Interim operational guidance: Discretionary leave for victims of modern slavery (February 2018)</w:t>
      </w:r>
    </w:p>
    <w:p w14:paraId="039E9962" w14:textId="77777777" w:rsidR="002170BB" w:rsidRPr="00465121" w:rsidRDefault="002170BB" w:rsidP="002170BB">
      <w:pPr>
        <w:rPr>
          <w:rFonts w:ascii="Times New Roman" w:hAnsi="Times New Roman" w:cs="Times New Roman"/>
        </w:rPr>
      </w:pPr>
    </w:p>
    <w:p w14:paraId="766EF860" w14:textId="77777777" w:rsidR="002170BB" w:rsidRPr="00465121" w:rsidRDefault="002170BB" w:rsidP="002170BB">
      <w:pPr>
        <w:pStyle w:val="FootnoteText"/>
        <w:rPr>
          <w:rFonts w:ascii="Times New Roman" w:hAnsi="Times New Roman" w:cs="Times New Roman"/>
        </w:rPr>
      </w:pPr>
      <w:proofErr w:type="spellStart"/>
      <w:r w:rsidRPr="00465121">
        <w:rPr>
          <w:rFonts w:ascii="Times New Roman" w:hAnsi="Times New Roman" w:cs="Times New Roman"/>
        </w:rPr>
        <w:t>Kerwin</w:t>
      </w:r>
      <w:proofErr w:type="spellEnd"/>
      <w:r w:rsidRPr="00465121">
        <w:rPr>
          <w:rFonts w:ascii="Times New Roman" w:hAnsi="Times New Roman" w:cs="Times New Roman"/>
        </w:rPr>
        <w:t xml:space="preserve">, D., “Creating a More Responsive and Seamless Refugee Protection System: The Scope, Promise and Limitations of US Temporary Protection Programs”, </w:t>
      </w:r>
      <w:r w:rsidRPr="00465121">
        <w:rPr>
          <w:rFonts w:ascii="Times New Roman" w:hAnsi="Times New Roman" w:cs="Times New Roman"/>
          <w:i/>
        </w:rPr>
        <w:t>Journal on Migration and Human Security</w:t>
      </w:r>
      <w:r w:rsidRPr="00465121">
        <w:rPr>
          <w:rFonts w:ascii="Times New Roman" w:hAnsi="Times New Roman" w:cs="Times New Roman"/>
        </w:rPr>
        <w:t xml:space="preserve"> 2, no. 1 (2014): 44-72.</w:t>
      </w:r>
    </w:p>
    <w:p w14:paraId="1A3B686C" w14:textId="77777777" w:rsidR="002170BB" w:rsidRPr="00465121" w:rsidRDefault="002170BB" w:rsidP="002170BB">
      <w:pPr>
        <w:pStyle w:val="FootnoteText"/>
        <w:rPr>
          <w:rFonts w:ascii="Times New Roman" w:hAnsi="Times New Roman" w:cs="Times New Roman"/>
        </w:rPr>
      </w:pPr>
    </w:p>
    <w:p w14:paraId="7421C049" w14:textId="77777777" w:rsidR="002170BB" w:rsidRPr="00465121" w:rsidRDefault="002170BB" w:rsidP="002170BB">
      <w:pPr>
        <w:pStyle w:val="FootnoteText"/>
        <w:rPr>
          <w:rFonts w:ascii="Times New Roman" w:hAnsi="Times New Roman" w:cs="Times New Roman"/>
        </w:rPr>
      </w:pPr>
      <w:r w:rsidRPr="00465121">
        <w:rPr>
          <w:rFonts w:ascii="Times New Roman" w:hAnsi="Times New Roman" w:cs="Times New Roman"/>
        </w:rPr>
        <w:t>“Legal aid and immigration advice for victims of modern slavery”, last modified April 30, 2018</w:t>
      </w:r>
      <w:proofErr w:type="gramStart"/>
      <w:r w:rsidRPr="00465121">
        <w:rPr>
          <w:rFonts w:ascii="Times New Roman" w:hAnsi="Times New Roman" w:cs="Times New Roman"/>
        </w:rPr>
        <w:t>,  http</w:t>
      </w:r>
      <w:proofErr w:type="gramEnd"/>
      <w:r w:rsidRPr="00465121">
        <w:rPr>
          <w:rFonts w:ascii="Times New Roman" w:hAnsi="Times New Roman" w:cs="Times New Roman"/>
        </w:rPr>
        <w:t>://atleu.org.uk/news/legalaidimmigrationadvice</w:t>
      </w:r>
    </w:p>
    <w:p w14:paraId="4DDAB48B" w14:textId="77777777" w:rsidR="002170BB" w:rsidRPr="00465121" w:rsidRDefault="002170BB" w:rsidP="002170BB">
      <w:pPr>
        <w:pStyle w:val="FootnoteText"/>
        <w:rPr>
          <w:rFonts w:ascii="Times New Roman" w:hAnsi="Times New Roman" w:cs="Times New Roman"/>
        </w:rPr>
      </w:pPr>
    </w:p>
    <w:p w14:paraId="5A4D146F" w14:textId="77777777" w:rsidR="002170BB" w:rsidRPr="00465121" w:rsidRDefault="002170BB" w:rsidP="002170BB">
      <w:pPr>
        <w:pStyle w:val="FootnoteText"/>
        <w:rPr>
          <w:rFonts w:ascii="Times New Roman" w:hAnsi="Times New Roman" w:cs="Times New Roman"/>
        </w:rPr>
      </w:pPr>
      <w:r w:rsidRPr="00465121">
        <w:rPr>
          <w:rFonts w:ascii="Times New Roman" w:hAnsi="Times New Roman" w:cs="Times New Roman"/>
        </w:rPr>
        <w:t xml:space="preserve">Mallon, K., “Assessing the Board of Immigration Appeals’ Social Visibility Doctrine in the Context of Human Trafficking”, </w:t>
      </w:r>
      <w:r w:rsidRPr="00465121">
        <w:rPr>
          <w:rFonts w:ascii="Times New Roman" w:hAnsi="Times New Roman" w:cs="Times New Roman"/>
          <w:i/>
        </w:rPr>
        <w:t>Chicago-Kent Law Review</w:t>
      </w:r>
      <w:r w:rsidRPr="00465121">
        <w:rPr>
          <w:rFonts w:ascii="Times New Roman" w:hAnsi="Times New Roman" w:cs="Times New Roman"/>
        </w:rPr>
        <w:t xml:space="preserve"> 89, no. 3 (2014): 1169-1190</w:t>
      </w:r>
    </w:p>
    <w:p w14:paraId="5A15BB4B" w14:textId="77777777" w:rsidR="002170BB" w:rsidRPr="00465121" w:rsidRDefault="002170BB" w:rsidP="002170BB">
      <w:pPr>
        <w:pStyle w:val="FootnoteText"/>
        <w:rPr>
          <w:rFonts w:ascii="Times New Roman" w:hAnsi="Times New Roman" w:cs="Times New Roman"/>
        </w:rPr>
      </w:pPr>
    </w:p>
    <w:p w14:paraId="0EBF0557" w14:textId="77777777" w:rsidR="002170BB" w:rsidRPr="00465121" w:rsidRDefault="002170BB" w:rsidP="002170BB">
      <w:pPr>
        <w:pStyle w:val="FootnoteText"/>
        <w:rPr>
          <w:rFonts w:ascii="Times New Roman" w:hAnsi="Times New Roman" w:cs="Times New Roman"/>
        </w:rPr>
      </w:pPr>
      <w:r w:rsidRPr="00465121">
        <w:rPr>
          <w:rFonts w:ascii="Times New Roman" w:hAnsi="Times New Roman" w:cs="Times New Roman"/>
        </w:rPr>
        <w:t xml:space="preserve">Modern Slavery (Victim Support) Bill [HL] (2017) </w:t>
      </w:r>
    </w:p>
    <w:p w14:paraId="513C8CF5" w14:textId="77777777" w:rsidR="002170BB" w:rsidRPr="00465121" w:rsidRDefault="002170BB" w:rsidP="002170BB">
      <w:pPr>
        <w:rPr>
          <w:rFonts w:ascii="Times New Roman" w:hAnsi="Times New Roman" w:cs="Times New Roman"/>
        </w:rPr>
      </w:pPr>
    </w:p>
    <w:p w14:paraId="1AF86F3E"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National Crime Agency, National Referral Mechanism Statistics – End of Year Summary 2017</w:t>
      </w:r>
    </w:p>
    <w:p w14:paraId="47D06801" w14:textId="77777777" w:rsidR="002170BB" w:rsidRPr="00465121" w:rsidRDefault="002170BB" w:rsidP="002170BB">
      <w:pPr>
        <w:pStyle w:val="FootnoteText"/>
        <w:rPr>
          <w:rFonts w:ascii="Times New Roman" w:hAnsi="Times New Roman" w:cs="Times New Roman"/>
        </w:rPr>
      </w:pPr>
    </w:p>
    <w:p w14:paraId="2132B6F9" w14:textId="77777777" w:rsidR="002170BB" w:rsidRPr="00465121" w:rsidRDefault="002170BB" w:rsidP="002170BB">
      <w:pPr>
        <w:pStyle w:val="FootnoteText"/>
        <w:rPr>
          <w:rFonts w:ascii="Times New Roman" w:hAnsi="Times New Roman" w:cs="Times New Roman"/>
        </w:rPr>
      </w:pPr>
      <w:r w:rsidRPr="00465121">
        <w:rPr>
          <w:rFonts w:ascii="Times New Roman" w:hAnsi="Times New Roman" w:cs="Times New Roman"/>
        </w:rPr>
        <w:t xml:space="preserve">O’Connell Davidson, J., “Will the Real Sex Slave Please Stand Up?”, </w:t>
      </w:r>
      <w:r w:rsidRPr="00465121">
        <w:rPr>
          <w:rFonts w:ascii="Times New Roman" w:hAnsi="Times New Roman" w:cs="Times New Roman"/>
          <w:i/>
        </w:rPr>
        <w:t>Feminist Review</w:t>
      </w:r>
      <w:r w:rsidRPr="00465121">
        <w:rPr>
          <w:rFonts w:ascii="Times New Roman" w:hAnsi="Times New Roman" w:cs="Times New Roman"/>
        </w:rPr>
        <w:t xml:space="preserve"> 83 (2006): 4-22.</w:t>
      </w:r>
    </w:p>
    <w:p w14:paraId="31A2224F" w14:textId="77777777" w:rsidR="002170BB" w:rsidRPr="00465121" w:rsidRDefault="002170BB" w:rsidP="002170BB">
      <w:pPr>
        <w:pStyle w:val="FootnoteText"/>
        <w:rPr>
          <w:rFonts w:ascii="Times New Roman" w:hAnsi="Times New Roman" w:cs="Times New Roman"/>
        </w:rPr>
      </w:pPr>
    </w:p>
    <w:p w14:paraId="340AFEDA" w14:textId="77777777" w:rsidR="002170BB" w:rsidRPr="00465121" w:rsidRDefault="002170BB" w:rsidP="002170BB">
      <w:pPr>
        <w:pStyle w:val="FootnoteText"/>
        <w:rPr>
          <w:rFonts w:ascii="Times New Roman" w:hAnsi="Times New Roman" w:cs="Times New Roman"/>
        </w:rPr>
      </w:pPr>
      <w:r w:rsidRPr="00465121">
        <w:rPr>
          <w:rFonts w:ascii="Times New Roman" w:hAnsi="Times New Roman" w:cs="Times New Roman"/>
        </w:rPr>
        <w:t xml:space="preserve">Pomeroy, M., “Left Out in the Cold: Trafficking Victims, Gender and Misinterpretation of the Refugee Convention’s ‘Nexus’ Requirement”, </w:t>
      </w:r>
      <w:r w:rsidRPr="00465121">
        <w:rPr>
          <w:rFonts w:ascii="Times New Roman" w:hAnsi="Times New Roman" w:cs="Times New Roman"/>
          <w:i/>
        </w:rPr>
        <w:t>Journal of Gender &amp; Law</w:t>
      </w:r>
      <w:r w:rsidRPr="00465121">
        <w:rPr>
          <w:rFonts w:ascii="Times New Roman" w:hAnsi="Times New Roman" w:cs="Times New Roman"/>
        </w:rPr>
        <w:t xml:space="preserve"> 16 (January 2010): 453.</w:t>
      </w:r>
    </w:p>
    <w:p w14:paraId="24DFB5FB" w14:textId="77777777" w:rsidR="002170BB" w:rsidRPr="00465121" w:rsidRDefault="002170BB" w:rsidP="002170BB">
      <w:pPr>
        <w:rPr>
          <w:rFonts w:ascii="Times New Roman" w:hAnsi="Times New Roman" w:cs="Times New Roman"/>
        </w:rPr>
      </w:pPr>
    </w:p>
    <w:p w14:paraId="35552E48" w14:textId="77777777" w:rsidR="002170BB" w:rsidRPr="00465121" w:rsidRDefault="002170BB" w:rsidP="002170BB">
      <w:pPr>
        <w:rPr>
          <w:rFonts w:ascii="Times New Roman" w:hAnsi="Times New Roman" w:cs="Times New Roman"/>
        </w:rPr>
      </w:pPr>
      <w:proofErr w:type="spellStart"/>
      <w:r w:rsidRPr="00465121">
        <w:rPr>
          <w:rFonts w:ascii="Times New Roman" w:hAnsi="Times New Roman" w:cs="Times New Roman"/>
        </w:rPr>
        <w:t>Sharapov</w:t>
      </w:r>
      <w:proofErr w:type="spellEnd"/>
      <w:r w:rsidRPr="00465121">
        <w:rPr>
          <w:rFonts w:ascii="Times New Roman" w:hAnsi="Times New Roman" w:cs="Times New Roman"/>
        </w:rPr>
        <w:t xml:space="preserve">, K., “Giving us the ‘Biggest Bang for the Buck’ (or not): Anti-trafficking government funding in Ukraine and the United Kingdom”, </w:t>
      </w:r>
      <w:r w:rsidRPr="00465121">
        <w:rPr>
          <w:rFonts w:ascii="Times New Roman" w:hAnsi="Times New Roman" w:cs="Times New Roman"/>
          <w:i/>
        </w:rPr>
        <w:t>Anti-Trafficking Review</w:t>
      </w:r>
      <w:r w:rsidRPr="00465121">
        <w:rPr>
          <w:rFonts w:ascii="Times New Roman" w:hAnsi="Times New Roman" w:cs="Times New Roman"/>
        </w:rPr>
        <w:t xml:space="preserve"> 3 (September 2014): 16-40.</w:t>
      </w:r>
    </w:p>
    <w:p w14:paraId="1FDD60AB" w14:textId="77777777" w:rsidR="002170BB" w:rsidRPr="00465121" w:rsidRDefault="002170BB" w:rsidP="002170BB">
      <w:pPr>
        <w:pStyle w:val="FootnoteText"/>
        <w:rPr>
          <w:rFonts w:ascii="Times New Roman" w:hAnsi="Times New Roman" w:cs="Times New Roman"/>
          <w:lang w:val="en-GB"/>
        </w:rPr>
      </w:pPr>
    </w:p>
    <w:p w14:paraId="0AD231CD" w14:textId="77777777" w:rsidR="002170BB" w:rsidRPr="00465121" w:rsidRDefault="002170BB" w:rsidP="002170BB">
      <w:pPr>
        <w:pStyle w:val="FootnoteText"/>
        <w:rPr>
          <w:rFonts w:ascii="Times New Roman" w:hAnsi="Times New Roman" w:cs="Times New Roman"/>
        </w:rPr>
      </w:pPr>
      <w:proofErr w:type="spellStart"/>
      <w:r w:rsidRPr="00465121">
        <w:rPr>
          <w:rFonts w:ascii="Times New Roman" w:hAnsi="Times New Roman" w:cs="Times New Roman"/>
        </w:rPr>
        <w:t>Stepnitz</w:t>
      </w:r>
      <w:proofErr w:type="spellEnd"/>
      <w:r w:rsidRPr="00465121">
        <w:rPr>
          <w:rFonts w:ascii="Times New Roman" w:hAnsi="Times New Roman" w:cs="Times New Roman"/>
        </w:rPr>
        <w:t xml:space="preserve">, A., “A Lie More Disastrous than the Truth: Asylum and the identification of trafficked women in the UK”, </w:t>
      </w:r>
      <w:r w:rsidRPr="00465121">
        <w:rPr>
          <w:rFonts w:ascii="Times New Roman" w:hAnsi="Times New Roman" w:cs="Times New Roman"/>
          <w:i/>
        </w:rPr>
        <w:t>Anti-Trafficking Review</w:t>
      </w:r>
      <w:r w:rsidRPr="00465121">
        <w:rPr>
          <w:rFonts w:ascii="Times New Roman" w:hAnsi="Times New Roman" w:cs="Times New Roman"/>
        </w:rPr>
        <w:t xml:space="preserve"> 1 (2012): 110.</w:t>
      </w:r>
    </w:p>
    <w:p w14:paraId="3CCD495C" w14:textId="77777777" w:rsidR="002170BB" w:rsidRPr="00465121" w:rsidRDefault="002170BB" w:rsidP="002170BB">
      <w:pPr>
        <w:rPr>
          <w:rFonts w:ascii="Times New Roman" w:hAnsi="Times New Roman" w:cs="Times New Roman"/>
        </w:rPr>
      </w:pPr>
    </w:p>
    <w:p w14:paraId="2A8417A1"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 xml:space="preserve">Stoyanova, V., “Complementary Protection for Victims of Human Trafficking under the European Convention on Human Rights”, </w:t>
      </w:r>
      <w:r w:rsidRPr="00465121">
        <w:rPr>
          <w:rFonts w:ascii="Times New Roman" w:hAnsi="Times New Roman" w:cs="Times New Roman"/>
          <w:i/>
        </w:rPr>
        <w:t xml:space="preserve">Journal of International Law </w:t>
      </w:r>
      <w:r w:rsidRPr="00465121">
        <w:rPr>
          <w:rFonts w:ascii="Times New Roman" w:hAnsi="Times New Roman" w:cs="Times New Roman"/>
        </w:rPr>
        <w:t>3, no. 1 (January 2011): 777-817.</w:t>
      </w:r>
    </w:p>
    <w:p w14:paraId="288B40B9" w14:textId="77777777" w:rsidR="002170BB" w:rsidRPr="00465121" w:rsidRDefault="002170BB" w:rsidP="002170BB">
      <w:pPr>
        <w:rPr>
          <w:rFonts w:ascii="Times New Roman" w:hAnsi="Times New Roman" w:cs="Times New Roman"/>
        </w:rPr>
      </w:pPr>
    </w:p>
    <w:p w14:paraId="013ECCC2"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Victims of Modern Slavery – Competent Authority Guidance (Home Office 2016)</w:t>
      </w:r>
    </w:p>
    <w:p w14:paraId="6141CFE5" w14:textId="77777777" w:rsidR="002170BB" w:rsidRPr="00465121" w:rsidRDefault="002170BB" w:rsidP="002170BB">
      <w:pPr>
        <w:rPr>
          <w:rFonts w:ascii="Times New Roman" w:hAnsi="Times New Roman" w:cs="Times New Roman"/>
        </w:rPr>
      </w:pPr>
    </w:p>
    <w:p w14:paraId="34D15E7B"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Victims of Modern Slavery – Competent Authority Guidance (Home Office 2017)</w:t>
      </w:r>
    </w:p>
    <w:p w14:paraId="5F227544" w14:textId="77777777" w:rsidR="002170BB" w:rsidRPr="00465121" w:rsidRDefault="002170BB" w:rsidP="002170BB">
      <w:pPr>
        <w:pStyle w:val="FootnoteText"/>
        <w:rPr>
          <w:rFonts w:ascii="Times New Roman" w:hAnsi="Times New Roman" w:cs="Times New Roman"/>
          <w:lang w:val="en-GB"/>
        </w:rPr>
      </w:pPr>
    </w:p>
    <w:p w14:paraId="47F990B6" w14:textId="77777777" w:rsidR="002170BB" w:rsidRPr="00465121" w:rsidRDefault="002170BB" w:rsidP="002170BB">
      <w:pPr>
        <w:pStyle w:val="FootnoteText"/>
        <w:rPr>
          <w:rFonts w:ascii="Times New Roman" w:hAnsi="Times New Roman" w:cs="Times New Roman"/>
        </w:rPr>
      </w:pPr>
      <w:r w:rsidRPr="00465121">
        <w:rPr>
          <w:rFonts w:ascii="Times New Roman" w:hAnsi="Times New Roman" w:cs="Times New Roman"/>
        </w:rPr>
        <w:t>Victims of modern slavery: Government Response to the Committee’s Twelfth Report of Session 2016–17 – 30th November 2017 (https://publications.parliament.uk/pa/cm201719/cmselect/cmworpen/672/67202.htm)</w:t>
      </w:r>
    </w:p>
    <w:p w14:paraId="4C317C3E" w14:textId="77777777" w:rsidR="002170BB" w:rsidRPr="00465121" w:rsidRDefault="002170BB" w:rsidP="002170BB">
      <w:pPr>
        <w:rPr>
          <w:rFonts w:ascii="Times New Roman" w:hAnsi="Times New Roman" w:cs="Times New Roman"/>
        </w:rPr>
      </w:pPr>
    </w:p>
    <w:p w14:paraId="21784678"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UK Modern Slavery Act (2015)</w:t>
      </w:r>
    </w:p>
    <w:p w14:paraId="1E342B4F" w14:textId="77777777" w:rsidR="002170BB" w:rsidRPr="00465121" w:rsidRDefault="002170BB" w:rsidP="002170BB">
      <w:pPr>
        <w:rPr>
          <w:rFonts w:ascii="Times New Roman" w:hAnsi="Times New Roman" w:cs="Times New Roman"/>
        </w:rPr>
      </w:pPr>
    </w:p>
    <w:p w14:paraId="526E34A3"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UN General Assembly, Protocol to Prevent, Suppress and Punish Trafficking in Persons, Especially Women and Children, Supplementing the United Nations Convention against Transnational Organized Crime, 15 November 2000</w:t>
      </w:r>
    </w:p>
    <w:p w14:paraId="68E6413B" w14:textId="77777777" w:rsidR="002170BB" w:rsidRPr="00465121" w:rsidRDefault="002170BB" w:rsidP="002170BB">
      <w:pPr>
        <w:rPr>
          <w:rFonts w:ascii="Times New Roman" w:hAnsi="Times New Roman" w:cs="Times New Roman"/>
        </w:rPr>
      </w:pPr>
    </w:p>
    <w:p w14:paraId="6461637A" w14:textId="77777777" w:rsidR="002170BB" w:rsidRPr="00465121" w:rsidRDefault="002170BB" w:rsidP="002170BB">
      <w:pPr>
        <w:pStyle w:val="FootnoteText"/>
        <w:rPr>
          <w:rFonts w:ascii="Times New Roman" w:hAnsi="Times New Roman" w:cs="Times New Roman"/>
        </w:rPr>
      </w:pPr>
      <w:proofErr w:type="spellStart"/>
      <w:r w:rsidRPr="00465121">
        <w:rPr>
          <w:rFonts w:ascii="Times New Roman" w:hAnsi="Times New Roman" w:cs="Times New Roman"/>
        </w:rPr>
        <w:t>Uy</w:t>
      </w:r>
      <w:proofErr w:type="spellEnd"/>
      <w:r w:rsidRPr="00465121">
        <w:rPr>
          <w:rFonts w:ascii="Times New Roman" w:hAnsi="Times New Roman" w:cs="Times New Roman"/>
        </w:rPr>
        <w:t xml:space="preserve">, R., “Blinded by Red Lights: Why Trafficking Discourses Should Shift Away from Sex and the Perfect Victim Paradigm”, </w:t>
      </w:r>
      <w:r w:rsidRPr="00465121">
        <w:rPr>
          <w:rFonts w:ascii="Times New Roman" w:hAnsi="Times New Roman" w:cs="Times New Roman"/>
          <w:i/>
        </w:rPr>
        <w:t xml:space="preserve">Journal of Gender, Law and Justice </w:t>
      </w:r>
      <w:r w:rsidRPr="00465121">
        <w:rPr>
          <w:rFonts w:ascii="Times New Roman" w:hAnsi="Times New Roman" w:cs="Times New Roman"/>
        </w:rPr>
        <w:t>26, no. 1 (2011): 204-220.</w:t>
      </w:r>
    </w:p>
    <w:p w14:paraId="07322082" w14:textId="77777777" w:rsidR="002170BB" w:rsidRPr="00465121" w:rsidRDefault="002170BB" w:rsidP="002170BB">
      <w:pPr>
        <w:rPr>
          <w:rFonts w:ascii="Times New Roman" w:hAnsi="Times New Roman" w:cs="Times New Roman"/>
        </w:rPr>
      </w:pPr>
    </w:p>
    <w:p w14:paraId="2915BEE5"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2017 Annual Report on Modern Slavery (October 2017)</w:t>
      </w:r>
    </w:p>
    <w:p w14:paraId="42491C5A" w14:textId="77777777" w:rsidR="002170BB" w:rsidRPr="00465121" w:rsidRDefault="002170BB" w:rsidP="002170BB">
      <w:pPr>
        <w:rPr>
          <w:rFonts w:ascii="Times New Roman" w:hAnsi="Times New Roman" w:cs="Times New Roman"/>
        </w:rPr>
      </w:pPr>
    </w:p>
    <w:p w14:paraId="09D17547" w14:textId="77777777" w:rsidR="002170BB" w:rsidRPr="00465121" w:rsidRDefault="002170BB" w:rsidP="002170BB">
      <w:pPr>
        <w:rPr>
          <w:rFonts w:ascii="Times New Roman" w:hAnsi="Times New Roman" w:cs="Times New Roman"/>
        </w:rPr>
      </w:pPr>
    </w:p>
    <w:p w14:paraId="718D0792" w14:textId="70675C62" w:rsidR="002170BB" w:rsidRPr="00465121" w:rsidRDefault="002170BB" w:rsidP="00751939">
      <w:pPr>
        <w:spacing w:line="276" w:lineRule="auto"/>
        <w:jc w:val="both"/>
        <w:rPr>
          <w:rFonts w:ascii="Times New Roman" w:hAnsi="Times New Roman" w:cs="Times New Roman"/>
        </w:rPr>
      </w:pPr>
      <w:r w:rsidRPr="00465121">
        <w:rPr>
          <w:rFonts w:ascii="Times New Roman" w:hAnsi="Times New Roman" w:cs="Times New Roman"/>
        </w:rPr>
        <w:t>Legal Cases:</w:t>
      </w:r>
    </w:p>
    <w:p w14:paraId="0B3AF8CC" w14:textId="77777777" w:rsidR="002170BB" w:rsidRPr="00465121" w:rsidRDefault="002170BB" w:rsidP="00751939">
      <w:pPr>
        <w:spacing w:line="276" w:lineRule="auto"/>
        <w:jc w:val="both"/>
        <w:rPr>
          <w:rFonts w:ascii="Times New Roman" w:hAnsi="Times New Roman" w:cs="Times New Roman"/>
        </w:rPr>
      </w:pPr>
    </w:p>
    <w:p w14:paraId="2F5B0209" w14:textId="77777777" w:rsidR="002170BB" w:rsidRPr="00465121" w:rsidRDefault="002170BB" w:rsidP="00751939">
      <w:pPr>
        <w:spacing w:line="276" w:lineRule="auto"/>
        <w:jc w:val="both"/>
        <w:rPr>
          <w:rFonts w:ascii="Times New Roman" w:hAnsi="Times New Roman" w:cs="Times New Roman"/>
        </w:rPr>
      </w:pPr>
    </w:p>
    <w:p w14:paraId="7ECA5252" w14:textId="77777777" w:rsidR="002170BB" w:rsidRPr="00465121" w:rsidRDefault="002170BB" w:rsidP="002170BB">
      <w:pPr>
        <w:rPr>
          <w:rFonts w:ascii="Times New Roman" w:eastAsia="Times New Roman" w:hAnsi="Times New Roman" w:cs="Times New Roman"/>
          <w:bCs/>
          <w:color w:val="222222"/>
          <w:shd w:val="clear" w:color="auto" w:fill="FFFFFF"/>
        </w:rPr>
      </w:pPr>
      <w:proofErr w:type="spellStart"/>
      <w:r w:rsidRPr="00465121">
        <w:rPr>
          <w:rFonts w:ascii="Times New Roman" w:hAnsi="Times New Roman" w:cs="Times New Roman"/>
        </w:rPr>
        <w:t>Cece</w:t>
      </w:r>
      <w:proofErr w:type="spellEnd"/>
      <w:r w:rsidRPr="00465121">
        <w:rPr>
          <w:rFonts w:ascii="Times New Roman" w:hAnsi="Times New Roman" w:cs="Times New Roman"/>
        </w:rPr>
        <w:t xml:space="preserve"> v. Holder [2012] </w:t>
      </w:r>
      <w:r w:rsidRPr="00465121">
        <w:rPr>
          <w:rFonts w:ascii="Times New Roman" w:eastAsia="Times New Roman" w:hAnsi="Times New Roman" w:cs="Times New Roman"/>
          <w:bCs/>
          <w:color w:val="222222"/>
          <w:shd w:val="clear" w:color="auto" w:fill="FFFFFF"/>
        </w:rPr>
        <w:t>733 F.3d 662</w:t>
      </w:r>
    </w:p>
    <w:p w14:paraId="32C51D5C" w14:textId="77777777" w:rsidR="002170BB" w:rsidRPr="00465121" w:rsidRDefault="002170BB" w:rsidP="002170BB">
      <w:pPr>
        <w:rPr>
          <w:rFonts w:ascii="Times New Roman" w:eastAsia="Times New Roman" w:hAnsi="Times New Roman" w:cs="Times New Roman"/>
          <w:bCs/>
          <w:color w:val="222222"/>
          <w:shd w:val="clear" w:color="auto" w:fill="FFFFFF"/>
        </w:rPr>
      </w:pPr>
    </w:p>
    <w:p w14:paraId="4F0418C7"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R (On the Application Of K) v Secretary of State for the Home Department [2015] EWHC 3668</w:t>
      </w:r>
    </w:p>
    <w:p w14:paraId="6B3779A2" w14:textId="77777777" w:rsidR="002170BB" w:rsidRPr="00465121" w:rsidRDefault="002170BB" w:rsidP="002170BB">
      <w:pPr>
        <w:rPr>
          <w:rFonts w:ascii="Times New Roman" w:hAnsi="Times New Roman" w:cs="Times New Roman"/>
        </w:rPr>
      </w:pPr>
    </w:p>
    <w:p w14:paraId="4A4238E8"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 xml:space="preserve">PK(Ghana) v Secretary of State for the Home </w:t>
      </w:r>
      <w:proofErr w:type="spellStart"/>
      <w:r w:rsidRPr="00465121">
        <w:rPr>
          <w:rFonts w:ascii="Times New Roman" w:hAnsi="Times New Roman" w:cs="Times New Roman"/>
        </w:rPr>
        <w:t>Deparment</w:t>
      </w:r>
      <w:proofErr w:type="spellEnd"/>
      <w:r w:rsidRPr="00465121">
        <w:rPr>
          <w:rFonts w:ascii="Times New Roman" w:hAnsi="Times New Roman" w:cs="Times New Roman"/>
        </w:rPr>
        <w:t xml:space="preserve"> [2018] EWCA </w:t>
      </w:r>
      <w:proofErr w:type="spellStart"/>
      <w:r w:rsidRPr="00465121">
        <w:rPr>
          <w:rFonts w:ascii="Times New Roman" w:hAnsi="Times New Roman" w:cs="Times New Roman"/>
        </w:rPr>
        <w:t>Civ</w:t>
      </w:r>
      <w:proofErr w:type="spellEnd"/>
      <w:r w:rsidRPr="00465121">
        <w:rPr>
          <w:rFonts w:ascii="Times New Roman" w:hAnsi="Times New Roman" w:cs="Times New Roman"/>
        </w:rPr>
        <w:t xml:space="preserve"> 98</w:t>
      </w:r>
    </w:p>
    <w:p w14:paraId="698DFC43" w14:textId="77777777" w:rsidR="002170BB" w:rsidRPr="00465121" w:rsidRDefault="002170BB" w:rsidP="002170BB">
      <w:pPr>
        <w:rPr>
          <w:rFonts w:ascii="Times New Roman" w:hAnsi="Times New Roman" w:cs="Times New Roman"/>
        </w:rPr>
      </w:pPr>
    </w:p>
    <w:p w14:paraId="07138A55" w14:textId="77777777" w:rsidR="002170BB" w:rsidRPr="00465121" w:rsidRDefault="002170BB" w:rsidP="002170BB">
      <w:pPr>
        <w:rPr>
          <w:rFonts w:ascii="Times New Roman" w:hAnsi="Times New Roman" w:cs="Times New Roman"/>
        </w:rPr>
      </w:pPr>
      <w:r w:rsidRPr="00465121">
        <w:rPr>
          <w:rFonts w:ascii="Times New Roman" w:hAnsi="Times New Roman" w:cs="Times New Roman"/>
        </w:rPr>
        <w:t>R (on the application of LL) v Lord Chancellor CO/3581/2017</w:t>
      </w:r>
    </w:p>
    <w:p w14:paraId="13AE9940" w14:textId="77777777" w:rsidR="002170BB" w:rsidRPr="00465121" w:rsidRDefault="002170BB" w:rsidP="002170BB">
      <w:pPr>
        <w:rPr>
          <w:rFonts w:ascii="Times New Roman" w:hAnsi="Times New Roman" w:cs="Times New Roman"/>
        </w:rPr>
      </w:pPr>
    </w:p>
    <w:p w14:paraId="2C39F2D6" w14:textId="77777777" w:rsidR="002170BB" w:rsidRPr="00465121" w:rsidRDefault="002170BB" w:rsidP="002170BB">
      <w:pPr>
        <w:pStyle w:val="FootnoteText"/>
        <w:rPr>
          <w:rFonts w:ascii="Times New Roman" w:hAnsi="Times New Roman" w:cs="Times New Roman"/>
        </w:rPr>
      </w:pPr>
      <w:r w:rsidRPr="00465121">
        <w:rPr>
          <w:rFonts w:ascii="Times New Roman" w:hAnsi="Times New Roman" w:cs="Times New Roman"/>
        </w:rPr>
        <w:t>R (on the application of LL) v Lord Chancellor CO/3581/2017, 1 (a)</w:t>
      </w:r>
      <w:proofErr w:type="gramStart"/>
      <w:r w:rsidRPr="00465121">
        <w:rPr>
          <w:rFonts w:ascii="Times New Roman" w:hAnsi="Times New Roman" w:cs="Times New Roman"/>
        </w:rPr>
        <w:t>,(</w:t>
      </w:r>
      <w:proofErr w:type="gramEnd"/>
      <w:r w:rsidRPr="00465121">
        <w:rPr>
          <w:rFonts w:ascii="Times New Roman" w:hAnsi="Times New Roman" w:cs="Times New Roman"/>
        </w:rPr>
        <w:t>b)</w:t>
      </w:r>
    </w:p>
    <w:p w14:paraId="4625B344" w14:textId="77777777" w:rsidR="002170BB" w:rsidRPr="00465121" w:rsidRDefault="002170BB" w:rsidP="002170BB">
      <w:pPr>
        <w:rPr>
          <w:rFonts w:ascii="Times New Roman" w:hAnsi="Times New Roman" w:cs="Times New Roman"/>
        </w:rPr>
      </w:pPr>
    </w:p>
    <w:p w14:paraId="3476A668" w14:textId="77777777" w:rsidR="00F2774B" w:rsidRPr="00465121" w:rsidRDefault="00F2774B">
      <w:pPr>
        <w:rPr>
          <w:rFonts w:ascii="Times New Roman" w:hAnsi="Times New Roman" w:cs="Times New Roman"/>
        </w:rPr>
      </w:pPr>
    </w:p>
    <w:p w14:paraId="46DAA4E5" w14:textId="77777777" w:rsidR="00F2774B" w:rsidRPr="00465121" w:rsidRDefault="00F2774B">
      <w:pPr>
        <w:rPr>
          <w:rFonts w:ascii="Times New Roman" w:hAnsi="Times New Roman" w:cs="Times New Roman"/>
        </w:rPr>
      </w:pPr>
    </w:p>
    <w:p w14:paraId="4CF4B91C" w14:textId="77777777" w:rsidR="00F2774B" w:rsidRPr="00465121" w:rsidRDefault="00F2774B" w:rsidP="00F2774B">
      <w:pPr>
        <w:rPr>
          <w:rFonts w:ascii="Times New Roman" w:hAnsi="Times New Roman" w:cs="Times New Roman"/>
          <w:u w:val="single"/>
        </w:rPr>
      </w:pPr>
      <w:r w:rsidRPr="00465121">
        <w:rPr>
          <w:rFonts w:ascii="Times New Roman" w:hAnsi="Times New Roman" w:cs="Times New Roman"/>
          <w:u w:val="single"/>
        </w:rPr>
        <w:t xml:space="preserve">Interviews </w:t>
      </w:r>
    </w:p>
    <w:p w14:paraId="636E51CB" w14:textId="77777777" w:rsidR="00F2774B" w:rsidRPr="00465121" w:rsidRDefault="00F2774B" w:rsidP="00F2774B">
      <w:pPr>
        <w:rPr>
          <w:rFonts w:ascii="Times New Roman" w:hAnsi="Times New Roman" w:cs="Times New Roman"/>
        </w:rPr>
      </w:pPr>
    </w:p>
    <w:p w14:paraId="1A44C4CC" w14:textId="77777777" w:rsidR="00F2774B" w:rsidRPr="00465121" w:rsidRDefault="00F2774B" w:rsidP="00F2774B">
      <w:pPr>
        <w:rPr>
          <w:rFonts w:ascii="Times New Roman" w:hAnsi="Times New Roman" w:cs="Times New Roman"/>
        </w:rPr>
      </w:pPr>
    </w:p>
    <w:p w14:paraId="5B3E76BD" w14:textId="77777777" w:rsidR="00F2774B" w:rsidRPr="00465121" w:rsidRDefault="00F2774B" w:rsidP="00F2774B">
      <w:pPr>
        <w:pStyle w:val="ListParagraph"/>
        <w:numPr>
          <w:ilvl w:val="0"/>
          <w:numId w:val="15"/>
        </w:numPr>
        <w:rPr>
          <w:rFonts w:ascii="Times New Roman" w:hAnsi="Times New Roman" w:cs="Times New Roman"/>
        </w:rPr>
      </w:pPr>
      <w:r w:rsidRPr="00465121">
        <w:rPr>
          <w:rFonts w:ascii="Times New Roman" w:hAnsi="Times New Roman" w:cs="Times New Roman"/>
        </w:rPr>
        <w:t>Case worker 1, interview, 12</w:t>
      </w:r>
      <w:r w:rsidRPr="00465121">
        <w:rPr>
          <w:rFonts w:ascii="Times New Roman" w:hAnsi="Times New Roman" w:cs="Times New Roman"/>
          <w:vertAlign w:val="superscript"/>
        </w:rPr>
        <w:t>th</w:t>
      </w:r>
      <w:r w:rsidRPr="00465121">
        <w:rPr>
          <w:rFonts w:ascii="Times New Roman" w:hAnsi="Times New Roman" w:cs="Times New Roman"/>
        </w:rPr>
        <w:t xml:space="preserve"> February 2018 (S –SD)</w:t>
      </w:r>
    </w:p>
    <w:p w14:paraId="065E0615" w14:textId="77777777" w:rsidR="00F2774B" w:rsidRPr="00465121" w:rsidRDefault="00F2774B" w:rsidP="00F2774B">
      <w:pPr>
        <w:pStyle w:val="ListParagraph"/>
        <w:numPr>
          <w:ilvl w:val="0"/>
          <w:numId w:val="15"/>
        </w:numPr>
        <w:rPr>
          <w:rFonts w:ascii="Times New Roman" w:hAnsi="Times New Roman" w:cs="Times New Roman"/>
        </w:rPr>
      </w:pPr>
      <w:r w:rsidRPr="00465121">
        <w:rPr>
          <w:rFonts w:ascii="Times New Roman" w:hAnsi="Times New Roman" w:cs="Times New Roman"/>
        </w:rPr>
        <w:t>Case worker 2, interview 12</w:t>
      </w:r>
      <w:r w:rsidRPr="00465121">
        <w:rPr>
          <w:rFonts w:ascii="Times New Roman" w:hAnsi="Times New Roman" w:cs="Times New Roman"/>
          <w:vertAlign w:val="superscript"/>
        </w:rPr>
        <w:t>th</w:t>
      </w:r>
      <w:r w:rsidRPr="00465121">
        <w:rPr>
          <w:rFonts w:ascii="Times New Roman" w:hAnsi="Times New Roman" w:cs="Times New Roman"/>
        </w:rPr>
        <w:t xml:space="preserve"> February 2018 (R- SD)</w:t>
      </w:r>
    </w:p>
    <w:p w14:paraId="601C09CD" w14:textId="77777777" w:rsidR="00F2774B" w:rsidRPr="00465121" w:rsidRDefault="00F2774B" w:rsidP="00F2774B">
      <w:pPr>
        <w:pStyle w:val="ListParagraph"/>
        <w:numPr>
          <w:ilvl w:val="0"/>
          <w:numId w:val="15"/>
        </w:numPr>
        <w:rPr>
          <w:rFonts w:ascii="Times New Roman" w:hAnsi="Times New Roman" w:cs="Times New Roman"/>
        </w:rPr>
      </w:pPr>
      <w:r w:rsidRPr="00465121">
        <w:rPr>
          <w:rFonts w:ascii="Times New Roman" w:hAnsi="Times New Roman" w:cs="Times New Roman"/>
        </w:rPr>
        <w:t>Case worker 3, interview, 26</w:t>
      </w:r>
      <w:r w:rsidRPr="00465121">
        <w:rPr>
          <w:rFonts w:ascii="Times New Roman" w:hAnsi="Times New Roman" w:cs="Times New Roman"/>
          <w:vertAlign w:val="superscript"/>
        </w:rPr>
        <w:t>th</w:t>
      </w:r>
      <w:r w:rsidRPr="00465121">
        <w:rPr>
          <w:rFonts w:ascii="Times New Roman" w:hAnsi="Times New Roman" w:cs="Times New Roman"/>
        </w:rPr>
        <w:t xml:space="preserve"> February 2018 (E – HFJ)</w:t>
      </w:r>
    </w:p>
    <w:p w14:paraId="2EB0E3D3" w14:textId="77777777" w:rsidR="00F2774B" w:rsidRPr="00465121" w:rsidRDefault="00F2774B" w:rsidP="00F2774B">
      <w:pPr>
        <w:pStyle w:val="ListParagraph"/>
        <w:numPr>
          <w:ilvl w:val="0"/>
          <w:numId w:val="15"/>
        </w:numPr>
        <w:rPr>
          <w:rFonts w:ascii="Times New Roman" w:hAnsi="Times New Roman" w:cs="Times New Roman"/>
        </w:rPr>
      </w:pPr>
      <w:r w:rsidRPr="00465121">
        <w:rPr>
          <w:rFonts w:ascii="Times New Roman" w:hAnsi="Times New Roman" w:cs="Times New Roman"/>
        </w:rPr>
        <w:t>Case worker 4, interview, 26</w:t>
      </w:r>
      <w:r w:rsidRPr="00465121">
        <w:rPr>
          <w:rFonts w:ascii="Times New Roman" w:hAnsi="Times New Roman" w:cs="Times New Roman"/>
          <w:vertAlign w:val="superscript"/>
        </w:rPr>
        <w:t>th</w:t>
      </w:r>
      <w:r w:rsidRPr="00465121">
        <w:rPr>
          <w:rFonts w:ascii="Times New Roman" w:hAnsi="Times New Roman" w:cs="Times New Roman"/>
        </w:rPr>
        <w:t xml:space="preserve"> February 2018 (L – HFJ)</w:t>
      </w:r>
    </w:p>
    <w:p w14:paraId="5320F423" w14:textId="77777777" w:rsidR="00F2774B" w:rsidRPr="00465121" w:rsidRDefault="00F2774B" w:rsidP="00F2774B">
      <w:pPr>
        <w:pStyle w:val="ListParagraph"/>
        <w:numPr>
          <w:ilvl w:val="0"/>
          <w:numId w:val="15"/>
        </w:numPr>
        <w:rPr>
          <w:rFonts w:ascii="Times New Roman" w:hAnsi="Times New Roman" w:cs="Times New Roman"/>
        </w:rPr>
      </w:pPr>
      <w:r w:rsidRPr="00465121">
        <w:rPr>
          <w:rFonts w:ascii="Times New Roman" w:hAnsi="Times New Roman" w:cs="Times New Roman"/>
        </w:rPr>
        <w:t>Case worker 5, interview, 5</w:t>
      </w:r>
      <w:r w:rsidRPr="00465121">
        <w:rPr>
          <w:rFonts w:ascii="Times New Roman" w:hAnsi="Times New Roman" w:cs="Times New Roman"/>
          <w:vertAlign w:val="superscript"/>
        </w:rPr>
        <w:t>th</w:t>
      </w:r>
      <w:r w:rsidRPr="00465121">
        <w:rPr>
          <w:rFonts w:ascii="Times New Roman" w:hAnsi="Times New Roman" w:cs="Times New Roman"/>
        </w:rPr>
        <w:t xml:space="preserve"> March 2018 (P – Med)</w:t>
      </w:r>
    </w:p>
    <w:p w14:paraId="3242BE6E" w14:textId="77777777" w:rsidR="00F2774B" w:rsidRPr="00465121" w:rsidRDefault="00F2774B" w:rsidP="00F2774B">
      <w:pPr>
        <w:pStyle w:val="ListParagraph"/>
        <w:numPr>
          <w:ilvl w:val="0"/>
          <w:numId w:val="15"/>
        </w:numPr>
        <w:rPr>
          <w:rFonts w:ascii="Times New Roman" w:hAnsi="Times New Roman" w:cs="Times New Roman"/>
        </w:rPr>
      </w:pPr>
      <w:r w:rsidRPr="00465121">
        <w:rPr>
          <w:rFonts w:ascii="Times New Roman" w:hAnsi="Times New Roman" w:cs="Times New Roman"/>
        </w:rPr>
        <w:t>Case worker 6, interview, 5</w:t>
      </w:r>
      <w:r w:rsidRPr="00465121">
        <w:rPr>
          <w:rFonts w:ascii="Times New Roman" w:hAnsi="Times New Roman" w:cs="Times New Roman"/>
          <w:vertAlign w:val="superscript"/>
        </w:rPr>
        <w:t>th</w:t>
      </w:r>
      <w:r w:rsidRPr="00465121">
        <w:rPr>
          <w:rFonts w:ascii="Times New Roman" w:hAnsi="Times New Roman" w:cs="Times New Roman"/>
        </w:rPr>
        <w:t xml:space="preserve"> March 2018 (A – med)</w:t>
      </w:r>
    </w:p>
    <w:p w14:paraId="45904206" w14:textId="77777777" w:rsidR="00F2774B" w:rsidRPr="00465121" w:rsidRDefault="00F2774B" w:rsidP="00F2774B">
      <w:pPr>
        <w:pStyle w:val="ListParagraph"/>
        <w:numPr>
          <w:ilvl w:val="0"/>
          <w:numId w:val="15"/>
        </w:numPr>
        <w:rPr>
          <w:rFonts w:ascii="Times New Roman" w:hAnsi="Times New Roman" w:cs="Times New Roman"/>
        </w:rPr>
      </w:pPr>
      <w:r w:rsidRPr="00465121">
        <w:rPr>
          <w:rFonts w:ascii="Times New Roman" w:hAnsi="Times New Roman" w:cs="Times New Roman"/>
        </w:rPr>
        <w:t>Case worker 7, interview, 26</w:t>
      </w:r>
      <w:r w:rsidRPr="00465121">
        <w:rPr>
          <w:rFonts w:ascii="Times New Roman" w:hAnsi="Times New Roman" w:cs="Times New Roman"/>
          <w:vertAlign w:val="superscript"/>
        </w:rPr>
        <w:t>th</w:t>
      </w:r>
      <w:r w:rsidRPr="00465121">
        <w:rPr>
          <w:rFonts w:ascii="Times New Roman" w:hAnsi="Times New Roman" w:cs="Times New Roman"/>
        </w:rPr>
        <w:t xml:space="preserve"> February 2018 (P – HFJ)</w:t>
      </w:r>
    </w:p>
    <w:p w14:paraId="4A41C5A2" w14:textId="77777777" w:rsidR="00F2774B" w:rsidRPr="00465121" w:rsidRDefault="00F2774B" w:rsidP="00F2774B">
      <w:pPr>
        <w:pStyle w:val="ListParagraph"/>
        <w:numPr>
          <w:ilvl w:val="0"/>
          <w:numId w:val="15"/>
        </w:numPr>
        <w:rPr>
          <w:rFonts w:ascii="Times New Roman" w:hAnsi="Times New Roman" w:cs="Times New Roman"/>
        </w:rPr>
      </w:pPr>
      <w:r w:rsidRPr="00465121">
        <w:rPr>
          <w:rFonts w:ascii="Times New Roman" w:hAnsi="Times New Roman" w:cs="Times New Roman"/>
        </w:rPr>
        <w:t>Case worker 8, interview, 12</w:t>
      </w:r>
      <w:r w:rsidRPr="00465121">
        <w:rPr>
          <w:rFonts w:ascii="Times New Roman" w:hAnsi="Times New Roman" w:cs="Times New Roman"/>
          <w:vertAlign w:val="superscript"/>
        </w:rPr>
        <w:t>th</w:t>
      </w:r>
      <w:r w:rsidRPr="00465121">
        <w:rPr>
          <w:rFonts w:ascii="Times New Roman" w:hAnsi="Times New Roman" w:cs="Times New Roman"/>
        </w:rPr>
        <w:t xml:space="preserve"> February 2018 (L-SD)</w:t>
      </w:r>
    </w:p>
    <w:p w14:paraId="718762B0" w14:textId="63D09675" w:rsidR="008411B0" w:rsidRPr="00CF163E" w:rsidRDefault="00C17074" w:rsidP="00122DAB">
      <w:pPr>
        <w:rPr>
          <w:rFonts w:ascii="Times New Roman" w:hAnsi="Times New Roman" w:cs="Times New Roman"/>
          <w:u w:val="single"/>
        </w:rPr>
      </w:pPr>
      <w:r w:rsidRPr="00465121">
        <w:rPr>
          <w:rFonts w:ascii="Times New Roman" w:hAnsi="Times New Roman" w:cs="Times New Roman"/>
        </w:rPr>
        <w:br w:type="page"/>
      </w:r>
      <w:r w:rsidR="00CF163E" w:rsidRPr="00CF163E">
        <w:rPr>
          <w:rFonts w:ascii="Times New Roman" w:hAnsi="Times New Roman" w:cs="Times New Roman"/>
          <w:u w:val="single"/>
        </w:rPr>
        <w:lastRenderedPageBreak/>
        <w:t>Response to feedback and comments:</w:t>
      </w:r>
    </w:p>
    <w:p w14:paraId="0F40ACC9" w14:textId="54290428" w:rsidR="00CF163E" w:rsidRPr="00465121" w:rsidRDefault="00CF163E" w:rsidP="00122DAB">
      <w:pPr>
        <w:rPr>
          <w:rFonts w:ascii="Times New Roman" w:hAnsi="Times New Roman" w:cs="Times New Roman"/>
        </w:rPr>
      </w:pPr>
      <w:r>
        <w:rPr>
          <w:rFonts w:ascii="Times New Roman" w:hAnsi="Times New Roman" w:cs="Times New Roman"/>
        </w:rPr>
        <w:t xml:space="preserve"> </w:t>
      </w:r>
    </w:p>
    <w:p w14:paraId="051B9527" w14:textId="40733C3C" w:rsidR="00CF163E" w:rsidRPr="00CF163E" w:rsidRDefault="00CF163E" w:rsidP="00CF163E">
      <w:pPr>
        <w:pStyle w:val="ListParagraph"/>
        <w:numPr>
          <w:ilvl w:val="0"/>
          <w:numId w:val="18"/>
        </w:numPr>
        <w:spacing w:line="276" w:lineRule="auto"/>
        <w:jc w:val="both"/>
        <w:rPr>
          <w:rFonts w:ascii="Times New Roman" w:hAnsi="Times New Roman" w:cs="Times New Roman"/>
          <w:lang w:val="en-GB"/>
        </w:rPr>
      </w:pPr>
      <w:r>
        <w:rPr>
          <w:rFonts w:ascii="Times New Roman" w:hAnsi="Times New Roman" w:cs="Times New Roman"/>
          <w:lang w:val="en-GB"/>
        </w:rPr>
        <w:t>C</w:t>
      </w:r>
      <w:r w:rsidRPr="00CF163E">
        <w:rPr>
          <w:rFonts w:ascii="Times New Roman" w:hAnsi="Times New Roman" w:cs="Times New Roman"/>
          <w:lang w:val="en-GB"/>
        </w:rPr>
        <w:t xml:space="preserve">orrections made to </w:t>
      </w:r>
      <w:r>
        <w:rPr>
          <w:rFonts w:ascii="Times New Roman" w:hAnsi="Times New Roman" w:cs="Times New Roman"/>
          <w:lang w:val="en-GB"/>
        </w:rPr>
        <w:t xml:space="preserve">the </w:t>
      </w:r>
      <w:r w:rsidRPr="00CF163E">
        <w:rPr>
          <w:rFonts w:ascii="Times New Roman" w:hAnsi="Times New Roman" w:cs="Times New Roman"/>
          <w:lang w:val="en-GB"/>
        </w:rPr>
        <w:t xml:space="preserve">referencing within the text </w:t>
      </w:r>
      <w:r>
        <w:rPr>
          <w:rFonts w:ascii="Times New Roman" w:hAnsi="Times New Roman" w:cs="Times New Roman"/>
          <w:lang w:val="en-GB"/>
        </w:rPr>
        <w:t>as suggested by the reviewers.</w:t>
      </w:r>
    </w:p>
    <w:p w14:paraId="4D30F9C0" w14:textId="1C0F4AF0" w:rsidR="00CF163E" w:rsidRPr="00CF163E" w:rsidRDefault="00CF163E" w:rsidP="00CF163E">
      <w:pPr>
        <w:pStyle w:val="ListParagraph"/>
        <w:numPr>
          <w:ilvl w:val="0"/>
          <w:numId w:val="18"/>
        </w:numPr>
        <w:spacing w:line="276" w:lineRule="auto"/>
        <w:jc w:val="both"/>
        <w:rPr>
          <w:rFonts w:ascii="Times New Roman" w:hAnsi="Times New Roman" w:cs="Times New Roman"/>
          <w:lang w:val="en-GB"/>
        </w:rPr>
      </w:pPr>
      <w:r>
        <w:rPr>
          <w:rFonts w:ascii="Times New Roman" w:hAnsi="Times New Roman" w:cs="Times New Roman"/>
          <w:lang w:val="en-GB"/>
        </w:rPr>
        <w:t xml:space="preserve">References have been included to the empirical data, references to the specific </w:t>
      </w:r>
      <w:r w:rsidRPr="00CF163E">
        <w:rPr>
          <w:rFonts w:ascii="Times New Roman" w:hAnsi="Times New Roman" w:cs="Times New Roman"/>
          <w:lang w:val="en-GB"/>
        </w:rPr>
        <w:t>interviews added in to text</w:t>
      </w:r>
      <w:r>
        <w:rPr>
          <w:rFonts w:ascii="Times New Roman" w:hAnsi="Times New Roman" w:cs="Times New Roman"/>
          <w:lang w:val="en-GB"/>
        </w:rPr>
        <w:t>.</w:t>
      </w:r>
    </w:p>
    <w:p w14:paraId="6AEA27FE" w14:textId="32200A29" w:rsidR="00CF163E" w:rsidRPr="00CF163E" w:rsidRDefault="00CF163E" w:rsidP="00CF163E">
      <w:pPr>
        <w:pStyle w:val="ListParagraph"/>
        <w:numPr>
          <w:ilvl w:val="0"/>
          <w:numId w:val="18"/>
        </w:numPr>
        <w:spacing w:line="276" w:lineRule="auto"/>
        <w:jc w:val="both"/>
        <w:rPr>
          <w:rFonts w:ascii="Times New Roman" w:hAnsi="Times New Roman" w:cs="Times New Roman"/>
          <w:lang w:val="en-GB"/>
        </w:rPr>
      </w:pPr>
      <w:r>
        <w:rPr>
          <w:rFonts w:ascii="Times New Roman" w:hAnsi="Times New Roman" w:cs="Times New Roman"/>
          <w:lang w:val="en-GB"/>
        </w:rPr>
        <w:t xml:space="preserve">The piece has been restructured in light of the suggestions regarding the placement of the methodology; </w:t>
      </w:r>
      <w:r w:rsidRPr="00CF163E">
        <w:rPr>
          <w:rFonts w:ascii="Times New Roman" w:hAnsi="Times New Roman" w:cs="Times New Roman"/>
          <w:lang w:val="en-GB"/>
        </w:rPr>
        <w:t xml:space="preserve">empirical methodology </w:t>
      </w:r>
      <w:r>
        <w:rPr>
          <w:rFonts w:ascii="Times New Roman" w:hAnsi="Times New Roman" w:cs="Times New Roman"/>
          <w:lang w:val="en-GB"/>
        </w:rPr>
        <w:t xml:space="preserve">has now been </w:t>
      </w:r>
      <w:r w:rsidRPr="00CF163E">
        <w:rPr>
          <w:rFonts w:ascii="Times New Roman" w:hAnsi="Times New Roman" w:cs="Times New Roman"/>
          <w:lang w:val="en-GB"/>
        </w:rPr>
        <w:t xml:space="preserve">moved to earlier part of article as </w:t>
      </w:r>
      <w:r>
        <w:rPr>
          <w:rFonts w:ascii="Times New Roman" w:hAnsi="Times New Roman" w:cs="Times New Roman"/>
          <w:lang w:val="en-GB"/>
        </w:rPr>
        <w:t>part of introduction.</w:t>
      </w:r>
    </w:p>
    <w:p w14:paraId="79B85430" w14:textId="04D468C5" w:rsidR="00CF163E" w:rsidRPr="00CF163E" w:rsidRDefault="00CF163E" w:rsidP="00CF163E">
      <w:pPr>
        <w:pStyle w:val="ListParagraph"/>
        <w:numPr>
          <w:ilvl w:val="0"/>
          <w:numId w:val="18"/>
        </w:numPr>
        <w:spacing w:line="276" w:lineRule="auto"/>
        <w:jc w:val="both"/>
        <w:rPr>
          <w:rFonts w:ascii="Times New Roman" w:hAnsi="Times New Roman" w:cs="Times New Roman"/>
          <w:lang w:val="en-GB"/>
        </w:rPr>
      </w:pPr>
      <w:r>
        <w:rPr>
          <w:rFonts w:ascii="Times New Roman" w:hAnsi="Times New Roman" w:cs="Times New Roman"/>
          <w:lang w:val="en-GB"/>
        </w:rPr>
        <w:t>A</w:t>
      </w:r>
      <w:r w:rsidRPr="00CF163E">
        <w:rPr>
          <w:rFonts w:ascii="Times New Roman" w:hAnsi="Times New Roman" w:cs="Times New Roman"/>
          <w:lang w:val="en-GB"/>
        </w:rPr>
        <w:t>mendments</w:t>
      </w:r>
      <w:r>
        <w:rPr>
          <w:rFonts w:ascii="Times New Roman" w:hAnsi="Times New Roman" w:cs="Times New Roman"/>
          <w:lang w:val="en-GB"/>
        </w:rPr>
        <w:t xml:space="preserve"> have been made</w:t>
      </w:r>
      <w:r w:rsidRPr="00CF163E">
        <w:rPr>
          <w:rFonts w:ascii="Times New Roman" w:hAnsi="Times New Roman" w:cs="Times New Roman"/>
          <w:lang w:val="en-GB"/>
        </w:rPr>
        <w:t xml:space="preserve"> to sent</w:t>
      </w:r>
      <w:r>
        <w:rPr>
          <w:rFonts w:ascii="Times New Roman" w:hAnsi="Times New Roman" w:cs="Times New Roman"/>
          <w:lang w:val="en-GB"/>
        </w:rPr>
        <w:t>ence structure in marked places.</w:t>
      </w:r>
    </w:p>
    <w:p w14:paraId="792FB195" w14:textId="206EB680" w:rsidR="00CF163E" w:rsidRPr="00CF163E" w:rsidRDefault="00CF163E" w:rsidP="00CF163E">
      <w:pPr>
        <w:pStyle w:val="ListParagraph"/>
        <w:numPr>
          <w:ilvl w:val="0"/>
          <w:numId w:val="18"/>
        </w:numPr>
        <w:spacing w:line="276" w:lineRule="auto"/>
        <w:jc w:val="both"/>
        <w:rPr>
          <w:rFonts w:ascii="Times New Roman" w:hAnsi="Times New Roman" w:cs="Times New Roman"/>
          <w:lang w:val="en-GB"/>
        </w:rPr>
      </w:pPr>
      <w:r>
        <w:rPr>
          <w:rFonts w:ascii="Times New Roman" w:hAnsi="Times New Roman" w:cs="Times New Roman"/>
          <w:lang w:val="en-GB"/>
        </w:rPr>
        <w:t>A</w:t>
      </w:r>
      <w:r w:rsidRPr="00CF163E">
        <w:rPr>
          <w:rFonts w:ascii="Times New Roman" w:hAnsi="Times New Roman" w:cs="Times New Roman"/>
          <w:lang w:val="en-GB"/>
        </w:rPr>
        <w:t>mendments to empirical analysis as per suggestions in track changes (further introduction to each theme before discussing micro themes)</w:t>
      </w:r>
      <w:r>
        <w:rPr>
          <w:rFonts w:ascii="Times New Roman" w:hAnsi="Times New Roman" w:cs="Times New Roman"/>
          <w:lang w:val="en-GB"/>
        </w:rPr>
        <w:t>.</w:t>
      </w:r>
    </w:p>
    <w:p w14:paraId="24533DE4" w14:textId="52981A0E" w:rsidR="00DD0249" w:rsidRPr="00CF163E" w:rsidRDefault="00CF163E" w:rsidP="00CF163E">
      <w:pPr>
        <w:pStyle w:val="ListParagraph"/>
        <w:numPr>
          <w:ilvl w:val="0"/>
          <w:numId w:val="18"/>
        </w:numPr>
        <w:spacing w:line="276" w:lineRule="auto"/>
        <w:jc w:val="both"/>
        <w:rPr>
          <w:rFonts w:ascii="Times New Roman" w:hAnsi="Times New Roman" w:cs="Times New Roman"/>
          <w:lang w:val="en-GB"/>
        </w:rPr>
      </w:pPr>
      <w:r>
        <w:rPr>
          <w:rFonts w:ascii="Times New Roman" w:hAnsi="Times New Roman" w:cs="Times New Roman"/>
          <w:lang w:val="en-GB"/>
        </w:rPr>
        <w:t xml:space="preserve">The </w:t>
      </w:r>
      <w:r w:rsidRPr="00CF163E">
        <w:rPr>
          <w:rFonts w:ascii="Times New Roman" w:hAnsi="Times New Roman" w:cs="Times New Roman"/>
          <w:lang w:val="en-GB"/>
        </w:rPr>
        <w:t>review of literature amended to develop stronger links to article theme</w:t>
      </w:r>
      <w:r>
        <w:rPr>
          <w:rFonts w:ascii="Times New Roman" w:hAnsi="Times New Roman" w:cs="Times New Roman"/>
          <w:lang w:val="en-GB"/>
        </w:rPr>
        <w:t>, as suggested by the reviewers.</w:t>
      </w:r>
    </w:p>
    <w:p w14:paraId="1B441E3E" w14:textId="77777777" w:rsidR="00CF163E" w:rsidRPr="00CF163E" w:rsidRDefault="00CF163E" w:rsidP="00CF163E">
      <w:pPr>
        <w:pStyle w:val="ListParagraph"/>
        <w:spacing w:line="276" w:lineRule="auto"/>
        <w:jc w:val="both"/>
        <w:rPr>
          <w:rFonts w:ascii="Times New Roman" w:hAnsi="Times New Roman" w:cs="Times New Roman"/>
          <w:lang w:val="en-GB"/>
        </w:rPr>
      </w:pPr>
    </w:p>
    <w:sectPr w:rsidR="00CF163E" w:rsidRPr="00CF163E" w:rsidSect="00655226">
      <w:footerReference w:type="even" r:id="rId9"/>
      <w:footerReference w:type="default" r:id="rId10"/>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7F5F59" w15:done="0"/>
  <w15:commentEx w15:paraId="0312B003" w15:done="0"/>
  <w15:commentEx w15:paraId="727A28FA" w15:paraIdParent="0312B003" w15:done="0"/>
  <w15:commentEx w15:paraId="430DD745" w15:done="0"/>
  <w15:commentEx w15:paraId="10D82A83" w15:done="0"/>
  <w15:commentEx w15:paraId="685A9AE5" w15:done="0"/>
  <w15:commentEx w15:paraId="6AD11F18" w15:done="0"/>
  <w15:commentEx w15:paraId="36838542" w15:paraIdParent="6AD11F18" w15:done="0"/>
  <w15:commentEx w15:paraId="0FADE058" w15:done="0"/>
  <w15:commentEx w15:paraId="75A20CFC" w15:done="0"/>
  <w15:commentEx w15:paraId="229335D5" w15:done="0"/>
  <w15:commentEx w15:paraId="566E8371" w15:done="0"/>
  <w15:commentEx w15:paraId="50253692" w15:done="0"/>
  <w15:commentEx w15:paraId="4FFAEFDB" w15:done="0"/>
  <w15:commentEx w15:paraId="0051DAD4" w15:done="0"/>
  <w15:commentEx w15:paraId="0CBF0A54" w15:paraIdParent="0051DAD4" w15:done="0"/>
  <w15:commentEx w15:paraId="16763DC3" w15:done="0"/>
  <w15:commentEx w15:paraId="1C687373" w15:done="0"/>
  <w15:commentEx w15:paraId="7A156A07" w15:done="0"/>
  <w15:commentEx w15:paraId="761FA9A4" w15:done="0"/>
  <w15:commentEx w15:paraId="3FC1CFD3" w15:paraIdParent="761FA9A4" w15:done="0"/>
  <w15:commentEx w15:paraId="79FF7FD7" w15:done="0"/>
  <w15:commentEx w15:paraId="3FA03489" w15:done="0"/>
  <w15:commentEx w15:paraId="786A58BF" w15:done="0"/>
  <w15:commentEx w15:paraId="34E9ED49" w15:done="0"/>
  <w15:commentEx w15:paraId="2A782AB3" w15:done="0"/>
  <w15:commentEx w15:paraId="514A2A63" w15:done="0"/>
  <w15:commentEx w15:paraId="0590825D" w15:done="0"/>
  <w15:commentEx w15:paraId="65F3E229" w15:done="0"/>
  <w15:commentEx w15:paraId="73AF91F2" w15:done="0"/>
  <w15:commentEx w15:paraId="5D978208" w15:done="0"/>
  <w15:commentEx w15:paraId="4ECC608F" w15:done="0"/>
  <w15:commentEx w15:paraId="78742254" w15:done="0"/>
  <w15:commentEx w15:paraId="1A461BDE" w15:done="0"/>
  <w15:commentEx w15:paraId="7CA35E2C" w15:done="0"/>
  <w15:commentEx w15:paraId="42C96DC5" w15:done="0"/>
  <w15:commentEx w15:paraId="05C97308" w15:done="0"/>
  <w15:commentEx w15:paraId="77AC0D0E" w15:done="0"/>
  <w15:commentEx w15:paraId="763B5684" w15:done="0"/>
  <w15:commentEx w15:paraId="2723E935" w15:done="0"/>
  <w15:commentEx w15:paraId="51B88611" w15:done="0"/>
  <w15:commentEx w15:paraId="64063D42" w15:done="0"/>
  <w15:commentEx w15:paraId="41592861" w15:done="0"/>
  <w15:commentEx w15:paraId="7BFE44D6" w15:done="0"/>
  <w15:commentEx w15:paraId="53835E6B" w15:done="0"/>
  <w15:commentEx w15:paraId="37818BC4" w15:done="0"/>
  <w15:commentEx w15:paraId="6CA254EE" w15:done="0"/>
  <w15:commentEx w15:paraId="13E3358E" w15:done="0"/>
  <w15:commentEx w15:paraId="5BD3CEE3" w15:done="0"/>
  <w15:commentEx w15:paraId="5F433430" w15:done="0"/>
  <w15:commentEx w15:paraId="15C2650E" w15:done="0"/>
  <w15:commentEx w15:paraId="10AF55FA" w15:done="0"/>
  <w15:commentEx w15:paraId="7B51FFCE" w15:done="0"/>
  <w15:commentEx w15:paraId="7D283FF3" w15:done="0"/>
  <w15:commentEx w15:paraId="6D7BB3C2" w15:done="0"/>
  <w15:commentEx w15:paraId="254609CA" w15:done="0"/>
  <w15:commentEx w15:paraId="5E943248" w15:done="0"/>
  <w15:commentEx w15:paraId="08926918" w15:done="0"/>
  <w15:commentEx w15:paraId="4ECC91BD" w15:done="0"/>
  <w15:commentEx w15:paraId="4C0698A4" w15:done="0"/>
  <w15:commentEx w15:paraId="41ADEA4B" w15:done="0"/>
  <w15:commentEx w15:paraId="23A8A2EE" w15:done="0"/>
  <w15:commentEx w15:paraId="546867C6" w15:done="0"/>
  <w15:commentEx w15:paraId="48235CEA" w15:done="0"/>
  <w15:commentEx w15:paraId="6564A269" w15:done="0"/>
  <w15:commentEx w15:paraId="754CFF6C" w15:done="0"/>
  <w15:commentEx w15:paraId="0B83D993" w15:done="0"/>
  <w15:commentEx w15:paraId="693D17FF" w15:done="0"/>
  <w15:commentEx w15:paraId="55F7A513" w15:done="0"/>
  <w15:commentEx w15:paraId="5C51C6F9" w15:paraIdParent="55F7A513" w15:done="0"/>
  <w15:commentEx w15:paraId="5E4A2D67" w15:done="0"/>
  <w15:commentEx w15:paraId="05260E34" w15:done="0"/>
  <w15:commentEx w15:paraId="555491B6" w15:done="0"/>
  <w15:commentEx w15:paraId="5F8848F8" w15:done="0"/>
  <w15:commentEx w15:paraId="229978C5" w15:done="0"/>
  <w15:commentEx w15:paraId="591CF418" w15:done="0"/>
  <w15:commentEx w15:paraId="603CF004" w15:done="0"/>
  <w15:commentEx w15:paraId="2567DD5D" w15:done="0"/>
  <w15:commentEx w15:paraId="014764D1" w15:done="0"/>
  <w15:commentEx w15:paraId="2C3A7DF0" w15:done="0"/>
  <w15:commentEx w15:paraId="3156BB43" w15:done="0"/>
  <w15:commentEx w15:paraId="585B6685" w15:done="0"/>
  <w15:commentEx w15:paraId="1FF5E937" w15:done="0"/>
  <w15:commentEx w15:paraId="0DDACF13" w15:done="0"/>
  <w15:commentEx w15:paraId="3F424F19" w15:done="0"/>
  <w15:commentEx w15:paraId="16D053DF" w15:done="0"/>
  <w15:commentEx w15:paraId="2EB3AC2E" w15:done="0"/>
  <w15:commentEx w15:paraId="71135566" w15:done="0"/>
  <w15:commentEx w15:paraId="275BD7C0" w15:done="0"/>
  <w15:commentEx w15:paraId="1168C4C1" w15:paraIdParent="275BD7C0" w15:done="0"/>
  <w15:commentEx w15:paraId="61FD244B" w15:done="0"/>
  <w15:commentEx w15:paraId="5EA7CB71" w15:done="0"/>
  <w15:commentEx w15:paraId="09BC6FC9" w15:done="0"/>
  <w15:commentEx w15:paraId="3480AEAE" w15:done="0"/>
  <w15:commentEx w15:paraId="5F88F334" w15:done="0"/>
  <w15:commentEx w15:paraId="6A2936A6" w15:done="0"/>
  <w15:commentEx w15:paraId="13822C31" w15:done="0"/>
  <w15:commentEx w15:paraId="549B328F" w15:done="0"/>
  <w15:commentEx w15:paraId="08922E41" w15:done="0"/>
  <w15:commentEx w15:paraId="5F2A08DF" w15:done="0"/>
  <w15:commentEx w15:paraId="10D376D1" w15:done="0"/>
  <w15:commentEx w15:paraId="4412530A" w15:done="0"/>
  <w15:commentEx w15:paraId="5372C783" w15:done="0"/>
  <w15:commentEx w15:paraId="729A0AF5" w15:done="0"/>
  <w15:commentEx w15:paraId="11C8240B" w15:done="0"/>
  <w15:commentEx w15:paraId="7B26817C" w15:done="0"/>
  <w15:commentEx w15:paraId="48A7577A" w15:done="0"/>
  <w15:commentEx w15:paraId="3C736A39" w15:done="0"/>
  <w15:commentEx w15:paraId="5D80B487" w15:done="0"/>
  <w15:commentEx w15:paraId="665ABE62" w15:done="0"/>
  <w15:commentEx w15:paraId="66CD2005" w15:done="0"/>
  <w15:commentEx w15:paraId="10BC21DF" w15:done="0"/>
  <w15:commentEx w15:paraId="35D4224D" w15:done="0"/>
  <w15:commentEx w15:paraId="2177A0FF" w15:done="0"/>
  <w15:commentEx w15:paraId="2D491DBB" w15:paraIdParent="2177A0FF" w15:done="0"/>
  <w15:commentEx w15:paraId="6BA35B4D" w15:done="0"/>
  <w15:commentEx w15:paraId="47477505" w15:done="0"/>
  <w15:commentEx w15:paraId="1185CA30" w15:done="0"/>
  <w15:commentEx w15:paraId="2A1D7B93" w15:done="0"/>
  <w15:commentEx w15:paraId="7022360F" w15:done="0"/>
  <w15:commentEx w15:paraId="3ED54873" w15:done="0"/>
  <w15:commentEx w15:paraId="5B21E7EE" w15:done="0"/>
  <w15:commentEx w15:paraId="612ABE18" w15:done="0"/>
  <w15:commentEx w15:paraId="5600CECC" w15:done="0"/>
  <w15:commentEx w15:paraId="102F5A51" w15:done="0"/>
  <w15:commentEx w15:paraId="1CC7CB3F" w15:done="0"/>
  <w15:commentEx w15:paraId="055223A2" w15:done="0"/>
  <w15:commentEx w15:paraId="506336E3" w15:done="0"/>
  <w15:commentEx w15:paraId="67E254B6" w15:done="0"/>
  <w15:commentEx w15:paraId="20ADE626" w15:done="0"/>
  <w15:commentEx w15:paraId="1754C89D" w15:done="0"/>
  <w15:commentEx w15:paraId="4A85D4A5" w15:done="0"/>
  <w15:commentEx w15:paraId="3563D5C8" w15:done="0"/>
  <w15:commentEx w15:paraId="7E32B6FF" w15:done="0"/>
  <w15:commentEx w15:paraId="41D6CC5C" w15:done="0"/>
  <w15:commentEx w15:paraId="17036F66" w15:done="0"/>
  <w15:commentEx w15:paraId="64C53C89" w15:done="0"/>
  <w15:commentEx w15:paraId="64BCE311" w15:done="0"/>
  <w15:commentEx w15:paraId="065BE6B0" w15:done="0"/>
  <w15:commentEx w15:paraId="67998E14" w15:done="0"/>
  <w15:commentEx w15:paraId="6A420DCD" w15:done="0"/>
  <w15:commentEx w15:paraId="7B63CC10" w15:done="0"/>
  <w15:commentEx w15:paraId="4D48AE41" w15:done="0"/>
  <w15:commentEx w15:paraId="63EF45EF" w15:done="0"/>
  <w15:commentEx w15:paraId="484EDBAA" w15:done="0"/>
  <w15:commentEx w15:paraId="457CE155" w15:done="0"/>
  <w15:commentEx w15:paraId="63BFF805" w15:done="0"/>
  <w15:commentEx w15:paraId="4AD26AF7" w15:done="0"/>
  <w15:commentEx w15:paraId="482FA894" w15:done="0"/>
  <w15:commentEx w15:paraId="4C14F643" w15:done="0"/>
  <w15:commentEx w15:paraId="0F50308D" w15:done="0"/>
  <w15:commentEx w15:paraId="7F744ADA" w15:done="0"/>
  <w15:commentEx w15:paraId="0769C5B3" w15:done="0"/>
  <w15:commentEx w15:paraId="4C5F4F70" w15:done="0"/>
  <w15:commentEx w15:paraId="234C41BE" w15:done="0"/>
  <w15:commentEx w15:paraId="03BF7EB1" w15:done="0"/>
  <w15:commentEx w15:paraId="5449DFD2" w15:done="0"/>
  <w15:commentEx w15:paraId="0E4316B7" w15:done="0"/>
  <w15:commentEx w15:paraId="50CF05D6" w15:done="0"/>
  <w15:commentEx w15:paraId="5747A972" w15:done="0"/>
  <w15:commentEx w15:paraId="4F6B6201" w15:done="0"/>
  <w15:commentEx w15:paraId="3FEC5CF4" w15:done="0"/>
  <w15:commentEx w15:paraId="37E75AE6" w15:done="0"/>
  <w15:commentEx w15:paraId="719AE941" w15:done="0"/>
  <w15:commentEx w15:paraId="5999A63A" w15:done="0"/>
  <w15:commentEx w15:paraId="088EC425" w15:done="0"/>
  <w15:commentEx w15:paraId="155737A4" w15:done="0"/>
  <w15:commentEx w15:paraId="0812839E" w15:done="0"/>
  <w15:commentEx w15:paraId="5D2D8A10" w15:done="0"/>
  <w15:commentEx w15:paraId="5B94CAA1" w15:done="0"/>
  <w15:commentEx w15:paraId="33D485B1" w15:done="0"/>
  <w15:commentEx w15:paraId="41EF97AC" w15:done="0"/>
  <w15:commentEx w15:paraId="480484BB" w15:done="0"/>
  <w15:commentEx w15:paraId="14EC0D76" w15:done="0"/>
  <w15:commentEx w15:paraId="3FF83FA0" w15:done="0"/>
  <w15:commentEx w15:paraId="71F30C51" w15:done="0"/>
  <w15:commentEx w15:paraId="62A7C0DE" w15:done="0"/>
  <w15:commentEx w15:paraId="440B3FD7" w15:done="0"/>
  <w15:commentEx w15:paraId="40565F45" w15:done="0"/>
  <w15:commentEx w15:paraId="238A28B1" w15:done="0"/>
  <w15:commentEx w15:paraId="5E5930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F5F59" w16cid:durableId="1EE4CDBC"/>
  <w16cid:commentId w16cid:paraId="0312B003" w16cid:durableId="1EE4CF4E"/>
  <w16cid:commentId w16cid:paraId="727A28FA" w16cid:durableId="1EF64D92"/>
  <w16cid:commentId w16cid:paraId="430DD745" w16cid:durableId="1EE4CFD4"/>
  <w16cid:commentId w16cid:paraId="10D82A83" w16cid:durableId="1EE4CFE6"/>
  <w16cid:commentId w16cid:paraId="685A9AE5" w16cid:durableId="1EE4D05E"/>
  <w16cid:commentId w16cid:paraId="6AD11F18" w16cid:durableId="1EE4D140"/>
  <w16cid:commentId w16cid:paraId="36838542" w16cid:durableId="1EF64E69"/>
  <w16cid:commentId w16cid:paraId="0FADE058" w16cid:durableId="1EE4D438"/>
  <w16cid:commentId w16cid:paraId="75A20CFC" w16cid:durableId="1EE4D466"/>
  <w16cid:commentId w16cid:paraId="229335D5" w16cid:durableId="1EE4EAE0"/>
  <w16cid:commentId w16cid:paraId="566E8371" w16cid:durableId="1EE4E9EC"/>
  <w16cid:commentId w16cid:paraId="50253692" w16cid:durableId="1EE4EA88"/>
  <w16cid:commentId w16cid:paraId="4FFAEFDB" w16cid:durableId="1EE4EAB9"/>
  <w16cid:commentId w16cid:paraId="0051DAD4" w16cid:durableId="1EE4EEE6"/>
  <w16cid:commentId w16cid:paraId="0CBF0A54" w16cid:durableId="1EF64EF3"/>
  <w16cid:commentId w16cid:paraId="16763DC3" w16cid:durableId="1EE4EFC5"/>
  <w16cid:commentId w16cid:paraId="1C687373" w16cid:durableId="1EE4EFEC"/>
  <w16cid:commentId w16cid:paraId="7A156A07" w16cid:durableId="1EE4F002"/>
  <w16cid:commentId w16cid:paraId="761FA9A4" w16cid:durableId="1EE4F1AB"/>
  <w16cid:commentId w16cid:paraId="3FC1CFD3" w16cid:durableId="1EF6500A"/>
  <w16cid:commentId w16cid:paraId="79FF7FD7" w16cid:durableId="1EE4F42D"/>
  <w16cid:commentId w16cid:paraId="3FA03489" w16cid:durableId="1EE4F450"/>
  <w16cid:commentId w16cid:paraId="786A58BF" w16cid:durableId="1EE4F73A"/>
  <w16cid:commentId w16cid:paraId="34E9ED49" w16cid:durableId="1EE4F834"/>
  <w16cid:commentId w16cid:paraId="2A782AB3" w16cid:durableId="1EE4F84A"/>
  <w16cid:commentId w16cid:paraId="514A2A63" w16cid:durableId="1EE4F9E4"/>
  <w16cid:commentId w16cid:paraId="0590825D" w16cid:durableId="1EE4FA0B"/>
  <w16cid:commentId w16cid:paraId="65F3E229" w16cid:durableId="1EE4FC90"/>
  <w16cid:commentId w16cid:paraId="73AF91F2" w16cid:durableId="1EE4FCB0"/>
  <w16cid:commentId w16cid:paraId="5D978208" w16cid:durableId="1EE4FEEB"/>
  <w16cid:commentId w16cid:paraId="4ECC608F" w16cid:durableId="1EE4FCD3"/>
  <w16cid:commentId w16cid:paraId="78742254" w16cid:durableId="1EE500C1"/>
  <w16cid:commentId w16cid:paraId="1A461BDE" w16cid:durableId="1EE50148"/>
  <w16cid:commentId w16cid:paraId="7CA35E2C" w16cid:durableId="1EE50142"/>
  <w16cid:commentId w16cid:paraId="42C96DC5" w16cid:durableId="1EE501F6"/>
  <w16cid:commentId w16cid:paraId="05C97308" w16cid:durableId="1EE505B2"/>
  <w16cid:commentId w16cid:paraId="77AC0D0E" w16cid:durableId="1EE505C1"/>
  <w16cid:commentId w16cid:paraId="763B5684" w16cid:durableId="1EE505D0"/>
  <w16cid:commentId w16cid:paraId="2723E935" w16cid:durableId="1EE5062E"/>
  <w16cid:commentId w16cid:paraId="51B88611" w16cid:durableId="1EE50671"/>
  <w16cid:commentId w16cid:paraId="64063D42" w16cid:durableId="1EE508A7"/>
  <w16cid:commentId w16cid:paraId="41592861" w16cid:durableId="1EE509C8"/>
  <w16cid:commentId w16cid:paraId="7BFE44D6" w16cid:durableId="1EE50973"/>
  <w16cid:commentId w16cid:paraId="53835E6B" w16cid:durableId="1EE509DF"/>
  <w16cid:commentId w16cid:paraId="37818BC4" w16cid:durableId="1EE50A19"/>
  <w16cid:commentId w16cid:paraId="6CA254EE" w16cid:durableId="1EE50A32"/>
  <w16cid:commentId w16cid:paraId="13E3358E" w16cid:durableId="1EE50AA4"/>
  <w16cid:commentId w16cid:paraId="5BD3CEE3" w16cid:durableId="1EE50AD3"/>
  <w16cid:commentId w16cid:paraId="5F433430" w16cid:durableId="1EE50B0D"/>
  <w16cid:commentId w16cid:paraId="15C2650E" w16cid:durableId="1EE50B66"/>
  <w16cid:commentId w16cid:paraId="10AF55FA" w16cid:durableId="1EE50D9B"/>
  <w16cid:commentId w16cid:paraId="7B51FFCE" w16cid:durableId="1EE50D8B"/>
  <w16cid:commentId w16cid:paraId="7D283FF3" w16cid:durableId="1EE50F64"/>
  <w16cid:commentId w16cid:paraId="6D7BB3C2" w16cid:durableId="1EE5140B"/>
  <w16cid:commentId w16cid:paraId="254609CA" w16cid:durableId="1EE51523"/>
  <w16cid:commentId w16cid:paraId="5E943248" w16cid:durableId="1EE5152D"/>
  <w16cid:commentId w16cid:paraId="08926918" w16cid:durableId="1EE51578"/>
  <w16cid:commentId w16cid:paraId="4ECC91BD" w16cid:durableId="1EE51653"/>
  <w16cid:commentId w16cid:paraId="4C0698A4" w16cid:durableId="1EE51665"/>
  <w16cid:commentId w16cid:paraId="41ADEA4B" w16cid:durableId="1EE51683"/>
  <w16cid:commentId w16cid:paraId="23A8A2EE" w16cid:durableId="1EE516B9"/>
  <w16cid:commentId w16cid:paraId="546867C6" w16cid:durableId="1EE51782"/>
  <w16cid:commentId w16cid:paraId="48235CEA" w16cid:durableId="1EE51790"/>
  <w16cid:commentId w16cid:paraId="6564A269" w16cid:durableId="1EE519FA"/>
  <w16cid:commentId w16cid:paraId="754CFF6C" w16cid:durableId="1EE51800"/>
  <w16cid:commentId w16cid:paraId="0B83D993" w16cid:durableId="1EE5186C"/>
  <w16cid:commentId w16cid:paraId="693D17FF" w16cid:durableId="1EE51A38"/>
  <w16cid:commentId w16cid:paraId="55F7A513" w16cid:durableId="1EE51AF9"/>
  <w16cid:commentId w16cid:paraId="5C51C6F9" w16cid:durableId="1EF6528B"/>
  <w16cid:commentId w16cid:paraId="5E4A2D67" w16cid:durableId="1EE51C50"/>
  <w16cid:commentId w16cid:paraId="05260E34" w16cid:durableId="1EE52039"/>
  <w16cid:commentId w16cid:paraId="555491B6" w16cid:durableId="1EE52081"/>
  <w16cid:commentId w16cid:paraId="5F8848F8" w16cid:durableId="1EE5209D"/>
  <w16cid:commentId w16cid:paraId="229978C5" w16cid:durableId="1EE52056"/>
  <w16cid:commentId w16cid:paraId="591CF418" w16cid:durableId="1EE520C6"/>
  <w16cid:commentId w16cid:paraId="603CF004" w16cid:durableId="1EF655AC"/>
  <w16cid:commentId w16cid:paraId="2567DD5D" w16cid:durableId="1EE52168"/>
  <w16cid:commentId w16cid:paraId="014764D1" w16cid:durableId="1EE522A3"/>
  <w16cid:commentId w16cid:paraId="2C3A7DF0" w16cid:durableId="1EE523B2"/>
  <w16cid:commentId w16cid:paraId="3156BB43" w16cid:durableId="1EE523D4"/>
  <w16cid:commentId w16cid:paraId="585B6685" w16cid:durableId="1EE523F1"/>
  <w16cid:commentId w16cid:paraId="1FF5E937" w16cid:durableId="1EE52722"/>
  <w16cid:commentId w16cid:paraId="0DDACF13" w16cid:durableId="1EF65819"/>
  <w16cid:commentId w16cid:paraId="3F424F19" w16cid:durableId="1EE52869"/>
  <w16cid:commentId w16cid:paraId="16D053DF" w16cid:durableId="1EE528A2"/>
  <w16cid:commentId w16cid:paraId="2EB3AC2E" w16cid:durableId="1EE528D7"/>
  <w16cid:commentId w16cid:paraId="71135566" w16cid:durableId="1EE52959"/>
  <w16cid:commentId w16cid:paraId="275BD7C0" w16cid:durableId="1EE52A6D"/>
  <w16cid:commentId w16cid:paraId="1168C4C1" w16cid:durableId="1EF65900"/>
  <w16cid:commentId w16cid:paraId="61FD244B" w16cid:durableId="1EE52B3B"/>
  <w16cid:commentId w16cid:paraId="5EA7CB71" w16cid:durableId="1EE52B6C"/>
  <w16cid:commentId w16cid:paraId="09BC6FC9" w16cid:durableId="1EE52B55"/>
  <w16cid:commentId w16cid:paraId="3480AEAE" w16cid:durableId="1EE52BC7"/>
  <w16cid:commentId w16cid:paraId="5F88F334" w16cid:durableId="1EE52C45"/>
  <w16cid:commentId w16cid:paraId="6A2936A6" w16cid:durableId="1EE52C6C"/>
  <w16cid:commentId w16cid:paraId="13822C31" w16cid:durableId="1EE52CCD"/>
  <w16cid:commentId w16cid:paraId="549B328F" w16cid:durableId="1EE52CE8"/>
  <w16cid:commentId w16cid:paraId="08922E41" w16cid:durableId="1EE52D30"/>
  <w16cid:commentId w16cid:paraId="5F2A08DF" w16cid:durableId="1EE52D79"/>
  <w16cid:commentId w16cid:paraId="10D376D1" w16cid:durableId="1EE52D62"/>
  <w16cid:commentId w16cid:paraId="4412530A" w16cid:durableId="1EE52E03"/>
  <w16cid:commentId w16cid:paraId="5372C783" w16cid:durableId="1EE52E44"/>
  <w16cid:commentId w16cid:paraId="729A0AF5" w16cid:durableId="1EE6520C"/>
  <w16cid:commentId w16cid:paraId="11C8240B" w16cid:durableId="1EE654C8"/>
  <w16cid:commentId w16cid:paraId="7B26817C" w16cid:durableId="1EE65532"/>
  <w16cid:commentId w16cid:paraId="48A7577A" w16cid:durableId="1EE65663"/>
  <w16cid:commentId w16cid:paraId="3C736A39" w16cid:durableId="1EE6569C"/>
  <w16cid:commentId w16cid:paraId="5D80B487" w16cid:durableId="1EE659D0"/>
  <w16cid:commentId w16cid:paraId="665ABE62" w16cid:durableId="1EE65A01"/>
  <w16cid:commentId w16cid:paraId="66CD2005" w16cid:durableId="1EE65BA3"/>
  <w16cid:commentId w16cid:paraId="10BC21DF" w16cid:durableId="1EE65BCA"/>
  <w16cid:commentId w16cid:paraId="35D4224D" w16cid:durableId="1EE65BDF"/>
  <w16cid:commentId w16cid:paraId="2177A0FF" w16cid:durableId="1EE65C0C"/>
  <w16cid:commentId w16cid:paraId="2D491DBB" w16cid:durableId="1EF65B9E"/>
  <w16cid:commentId w16cid:paraId="6BA35B4D" w16cid:durableId="1EE65C85"/>
  <w16cid:commentId w16cid:paraId="47477505" w16cid:durableId="1EE65D00"/>
  <w16cid:commentId w16cid:paraId="1185CA30" w16cid:durableId="1EE65D1A"/>
  <w16cid:commentId w16cid:paraId="2A1D7B93" w16cid:durableId="1EE65EAC"/>
  <w16cid:commentId w16cid:paraId="7022360F" w16cid:durableId="1EE65ED2"/>
  <w16cid:commentId w16cid:paraId="3ED54873" w16cid:durableId="1EE65EE1"/>
  <w16cid:commentId w16cid:paraId="5B21E7EE" w16cid:durableId="1EE65FBF"/>
  <w16cid:commentId w16cid:paraId="612ABE18" w16cid:durableId="1EE65FF3"/>
  <w16cid:commentId w16cid:paraId="5600CECC" w16cid:durableId="1EE6601B"/>
  <w16cid:commentId w16cid:paraId="102F5A51" w16cid:durableId="1EE6602A"/>
  <w16cid:commentId w16cid:paraId="1CC7CB3F" w16cid:durableId="1EE66053"/>
  <w16cid:commentId w16cid:paraId="055223A2" w16cid:durableId="1EE66FB5"/>
  <w16cid:commentId w16cid:paraId="506336E3" w16cid:durableId="1EE6704A"/>
  <w16cid:commentId w16cid:paraId="67E254B6" w16cid:durableId="1EE6707E"/>
  <w16cid:commentId w16cid:paraId="20ADE626" w16cid:durableId="1EE670D2"/>
  <w16cid:commentId w16cid:paraId="1754C89D" w16cid:durableId="1EE671BF"/>
  <w16cid:commentId w16cid:paraId="4A85D4A5" w16cid:durableId="1EE67375"/>
  <w16cid:commentId w16cid:paraId="3563D5C8" w16cid:durableId="1EE6738F"/>
  <w16cid:commentId w16cid:paraId="7E32B6FF" w16cid:durableId="1EE675CE"/>
  <w16cid:commentId w16cid:paraId="41D6CC5C" w16cid:durableId="1EE67658"/>
  <w16cid:commentId w16cid:paraId="17036F66" w16cid:durableId="1EE67650"/>
  <w16cid:commentId w16cid:paraId="64C53C89" w16cid:durableId="1EE6767A"/>
  <w16cid:commentId w16cid:paraId="64BCE311" w16cid:durableId="1EE67696"/>
  <w16cid:commentId w16cid:paraId="065BE6B0" w16cid:durableId="1EE676AD"/>
  <w16cid:commentId w16cid:paraId="67998E14" w16cid:durableId="1EE676CA"/>
  <w16cid:commentId w16cid:paraId="6A420DCD" w16cid:durableId="1EE676D4"/>
  <w16cid:commentId w16cid:paraId="7B63CC10" w16cid:durableId="1EE678B0"/>
  <w16cid:commentId w16cid:paraId="4D48AE41" w16cid:durableId="1EE678BB"/>
  <w16cid:commentId w16cid:paraId="63EF45EF" w16cid:durableId="1EE678D9"/>
  <w16cid:commentId w16cid:paraId="484EDBAA" w16cid:durableId="1EE67934"/>
  <w16cid:commentId w16cid:paraId="457CE155" w16cid:durableId="1EE67948"/>
  <w16cid:commentId w16cid:paraId="63BFF805" w16cid:durableId="1EE679D2"/>
  <w16cid:commentId w16cid:paraId="4AD26AF7" w16cid:durableId="1EE67A61"/>
  <w16cid:commentId w16cid:paraId="482FA894" w16cid:durableId="1EE67AA4"/>
  <w16cid:commentId w16cid:paraId="4C14F643" w16cid:durableId="1EE67AB5"/>
  <w16cid:commentId w16cid:paraId="0F50308D" w16cid:durableId="1EE67AFB"/>
  <w16cid:commentId w16cid:paraId="7F744ADA" w16cid:durableId="1EE67B08"/>
  <w16cid:commentId w16cid:paraId="0769C5B3" w16cid:durableId="1EE67B23"/>
  <w16cid:commentId w16cid:paraId="4C5F4F70" w16cid:durableId="1EE67B61"/>
  <w16cid:commentId w16cid:paraId="234C41BE" w16cid:durableId="1EE67B68"/>
  <w16cid:commentId w16cid:paraId="03BF7EB1" w16cid:durableId="1EE67B94"/>
  <w16cid:commentId w16cid:paraId="5449DFD2" w16cid:durableId="1EE67C52"/>
  <w16cid:commentId w16cid:paraId="0E4316B7" w16cid:durableId="1EE67D24"/>
  <w16cid:commentId w16cid:paraId="50CF05D6" w16cid:durableId="1EE67D18"/>
  <w16cid:commentId w16cid:paraId="5747A972" w16cid:durableId="1EE67EEE"/>
  <w16cid:commentId w16cid:paraId="4F6B6201" w16cid:durableId="1EE67F2D"/>
  <w16cid:commentId w16cid:paraId="3FEC5CF4" w16cid:durableId="1EE67F28"/>
  <w16cid:commentId w16cid:paraId="37E75AE6" w16cid:durableId="1EE67F0F"/>
  <w16cid:commentId w16cid:paraId="719AE941" w16cid:durableId="1EE67F5F"/>
  <w16cid:commentId w16cid:paraId="5999A63A" w16cid:durableId="1EE67F6D"/>
  <w16cid:commentId w16cid:paraId="088EC425" w16cid:durableId="1EE67FB0"/>
  <w16cid:commentId w16cid:paraId="155737A4" w16cid:durableId="1EE67FF8"/>
  <w16cid:commentId w16cid:paraId="0812839E" w16cid:durableId="1EE68017"/>
  <w16cid:commentId w16cid:paraId="5D2D8A10" w16cid:durableId="1EE6801F"/>
  <w16cid:commentId w16cid:paraId="5B94CAA1" w16cid:durableId="1EE68057"/>
  <w16cid:commentId w16cid:paraId="33D485B1" w16cid:durableId="1EE681D3"/>
  <w16cid:commentId w16cid:paraId="41EF97AC" w16cid:durableId="1EE68220"/>
  <w16cid:commentId w16cid:paraId="480484BB" w16cid:durableId="1EE682A2"/>
  <w16cid:commentId w16cid:paraId="14EC0D76" w16cid:durableId="1EE682E3"/>
  <w16cid:commentId w16cid:paraId="3FF83FA0" w16cid:durableId="1EE682FD"/>
  <w16cid:commentId w16cid:paraId="71F30C51" w16cid:durableId="1EE6832C"/>
  <w16cid:commentId w16cid:paraId="62A7C0DE" w16cid:durableId="1EE6834D"/>
  <w16cid:commentId w16cid:paraId="440B3FD7" w16cid:durableId="1EE68364"/>
  <w16cid:commentId w16cid:paraId="40565F45" w16cid:durableId="1EE68398"/>
  <w16cid:commentId w16cid:paraId="238A28B1" w16cid:durableId="1EE685AC"/>
  <w16cid:commentId w16cid:paraId="5E5930BB" w16cid:durableId="1EE685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7AB98" w14:textId="77777777" w:rsidR="00FB621E" w:rsidRDefault="00FB621E" w:rsidP="00A7668E">
      <w:r>
        <w:separator/>
      </w:r>
    </w:p>
  </w:endnote>
  <w:endnote w:type="continuationSeparator" w:id="0">
    <w:p w14:paraId="5B512832" w14:textId="77777777" w:rsidR="00FB621E" w:rsidRDefault="00FB621E" w:rsidP="00A7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C5DE3" w14:textId="77777777" w:rsidR="009C5F34" w:rsidRDefault="009C5F34" w:rsidP="00760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FF526" w14:textId="77777777" w:rsidR="009C5F34" w:rsidRDefault="009C5F34" w:rsidP="00CF16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8644B" w14:textId="77777777" w:rsidR="009C5F34" w:rsidRDefault="009C5F34" w:rsidP="00760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F7F">
      <w:rPr>
        <w:rStyle w:val="PageNumber"/>
        <w:noProof/>
      </w:rPr>
      <w:t>1</w:t>
    </w:r>
    <w:r>
      <w:rPr>
        <w:rStyle w:val="PageNumber"/>
      </w:rPr>
      <w:fldChar w:fldCharType="end"/>
    </w:r>
  </w:p>
  <w:p w14:paraId="337DAFA7" w14:textId="77777777" w:rsidR="009C5F34" w:rsidRDefault="009C5F34" w:rsidP="00CF16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8E21C" w14:textId="77777777" w:rsidR="00FB621E" w:rsidRDefault="00FB621E" w:rsidP="00A7668E">
      <w:r>
        <w:separator/>
      </w:r>
    </w:p>
  </w:footnote>
  <w:footnote w:type="continuationSeparator" w:id="0">
    <w:p w14:paraId="47A6EC6D" w14:textId="77777777" w:rsidR="00FB621E" w:rsidRDefault="00FB621E" w:rsidP="00A7668E">
      <w:r>
        <w:continuationSeparator/>
      </w:r>
    </w:p>
  </w:footnote>
  <w:footnote w:id="1">
    <w:p w14:paraId="289A54ED" w14:textId="77777777" w:rsidR="009C5F34" w:rsidRPr="00CC0AF5" w:rsidRDefault="009C5F34" w:rsidP="0098438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UN General Assembly, Protocol to Prevent, Suppress and Punish Trafficking in Persons, Especially Women and Children, Supplementing the United Nations Convention against Transnational Organized Crime, 15 November 2000</w:t>
      </w:r>
    </w:p>
  </w:footnote>
  <w:footnote w:id="2">
    <w:p w14:paraId="551513C1" w14:textId="77777777" w:rsidR="009C5F34" w:rsidRPr="00CC0AF5" w:rsidRDefault="009C5F34" w:rsidP="00A24F36">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Council of Europe, Council of Europe Convention on Action Against Trafficking in Human Beings, 16 May 2005, CETS 197,</w:t>
      </w:r>
    </w:p>
  </w:footnote>
  <w:footnote w:id="3">
    <w:p w14:paraId="369C3985" w14:textId="77777777" w:rsidR="009C5F34" w:rsidRPr="00CC0AF5" w:rsidRDefault="009C5F34" w:rsidP="00015DCF">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Modern Slavery (Victim Support) Bill [HL] (2017)</w:t>
      </w:r>
    </w:p>
  </w:footnote>
  <w:footnote w:id="4">
    <w:p w14:paraId="251AABE4" w14:textId="7B2E5F4C" w:rsidR="009C5F34" w:rsidRPr="00CC0AF5" w:rsidRDefault="009C5F34" w:rsidP="00D9172B">
      <w:pPr>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Bridget Anderson, “Where’s the Harm in That? Immigration Enforcement, Trafficking, and the Protection of Migrants’ Rights”, </w:t>
      </w:r>
      <w:r w:rsidRPr="00CC0AF5">
        <w:rPr>
          <w:rFonts w:ascii="Times New Roman" w:hAnsi="Times New Roman" w:cs="Times New Roman"/>
          <w:i/>
          <w:sz w:val="20"/>
          <w:szCs w:val="20"/>
        </w:rPr>
        <w:t xml:space="preserve">American Behavioral Scientist </w:t>
      </w:r>
      <w:r w:rsidRPr="00CC0AF5">
        <w:rPr>
          <w:rFonts w:ascii="Times New Roman" w:hAnsi="Times New Roman" w:cs="Times New Roman"/>
          <w:sz w:val="20"/>
          <w:szCs w:val="20"/>
        </w:rPr>
        <w:t>56 no. 9 (September 2012): 1247.</w:t>
      </w:r>
    </w:p>
  </w:footnote>
  <w:footnote w:id="5">
    <w:p w14:paraId="29387C28" w14:textId="19B00413"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UK Modern Slavery Act (2015), Part 5, 53 </w:t>
      </w:r>
    </w:p>
  </w:footnote>
  <w:footnote w:id="6">
    <w:p w14:paraId="33AE9DC9" w14:textId="409F4C63" w:rsidR="009C5F34" w:rsidRPr="00CC0AF5" w:rsidRDefault="009C5F34" w:rsidP="006E37D9">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w:t>
      </w:r>
      <w:proofErr w:type="spellStart"/>
      <w:r w:rsidRPr="00CC0AF5">
        <w:rPr>
          <w:rFonts w:ascii="Times New Roman" w:hAnsi="Times New Roman" w:cs="Times New Roman"/>
          <w:sz w:val="20"/>
          <w:szCs w:val="20"/>
        </w:rPr>
        <w:t>Kiril</w:t>
      </w:r>
      <w:proofErr w:type="spellEnd"/>
      <w:r w:rsidRPr="00CC0AF5">
        <w:rPr>
          <w:rFonts w:ascii="Times New Roman" w:hAnsi="Times New Roman" w:cs="Times New Roman"/>
          <w:sz w:val="20"/>
          <w:szCs w:val="20"/>
        </w:rPr>
        <w:t xml:space="preserve"> </w:t>
      </w:r>
      <w:proofErr w:type="spellStart"/>
      <w:r w:rsidRPr="00CC0AF5">
        <w:rPr>
          <w:rFonts w:ascii="Times New Roman" w:hAnsi="Times New Roman" w:cs="Times New Roman"/>
          <w:sz w:val="20"/>
          <w:szCs w:val="20"/>
        </w:rPr>
        <w:t>Sharapov</w:t>
      </w:r>
      <w:proofErr w:type="spellEnd"/>
      <w:r w:rsidRPr="00CC0AF5">
        <w:rPr>
          <w:rFonts w:ascii="Times New Roman" w:hAnsi="Times New Roman" w:cs="Times New Roman"/>
          <w:sz w:val="20"/>
          <w:szCs w:val="20"/>
        </w:rPr>
        <w:t xml:space="preserve">, “Giving us the ‘Biggest Bang for the Buck’ (or not): Anti-trafficking government funding in Ukraine and the United Kingdom”, </w:t>
      </w:r>
      <w:r w:rsidRPr="00CC0AF5">
        <w:rPr>
          <w:rFonts w:ascii="Times New Roman" w:hAnsi="Times New Roman" w:cs="Times New Roman"/>
          <w:i/>
          <w:sz w:val="20"/>
          <w:szCs w:val="20"/>
        </w:rPr>
        <w:t>Anti-Trafficking Review</w:t>
      </w:r>
      <w:r w:rsidRPr="00CC0AF5">
        <w:rPr>
          <w:rFonts w:ascii="Times New Roman" w:hAnsi="Times New Roman" w:cs="Times New Roman"/>
          <w:sz w:val="20"/>
          <w:szCs w:val="20"/>
        </w:rPr>
        <w:t xml:space="preserve"> 3 (September 2014): 18.</w:t>
      </w:r>
    </w:p>
  </w:footnote>
  <w:footnote w:id="7">
    <w:p w14:paraId="54D97545" w14:textId="72AC7A36" w:rsidR="009C5F34" w:rsidRPr="00CC0AF5" w:rsidRDefault="009C5F34" w:rsidP="00D9172B">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Heli </w:t>
      </w:r>
      <w:proofErr w:type="spellStart"/>
      <w:r w:rsidRPr="00CC0AF5">
        <w:rPr>
          <w:rFonts w:ascii="Times New Roman" w:hAnsi="Times New Roman" w:cs="Times New Roman"/>
          <w:sz w:val="20"/>
          <w:szCs w:val="20"/>
        </w:rPr>
        <w:t>Askola</w:t>
      </w:r>
      <w:proofErr w:type="spellEnd"/>
      <w:r w:rsidRPr="00CC0AF5">
        <w:rPr>
          <w:rFonts w:ascii="Times New Roman" w:hAnsi="Times New Roman" w:cs="Times New Roman"/>
          <w:sz w:val="20"/>
          <w:szCs w:val="20"/>
        </w:rPr>
        <w:t xml:space="preserve">, “’Illegal Migrants’, Gender and Vulnerability: The Case of the EU Returns Directive”, </w:t>
      </w:r>
      <w:r w:rsidRPr="00CC0AF5">
        <w:rPr>
          <w:rFonts w:ascii="Times New Roman" w:hAnsi="Times New Roman" w:cs="Times New Roman"/>
          <w:i/>
          <w:sz w:val="20"/>
          <w:szCs w:val="20"/>
        </w:rPr>
        <w:t xml:space="preserve">Feminist Legal Studies </w:t>
      </w:r>
      <w:r w:rsidRPr="00CC0AF5">
        <w:rPr>
          <w:rFonts w:ascii="Times New Roman" w:hAnsi="Times New Roman" w:cs="Times New Roman"/>
          <w:sz w:val="20"/>
          <w:szCs w:val="20"/>
        </w:rPr>
        <w:t>18, no. 2 (August 2010): 168.</w:t>
      </w:r>
    </w:p>
  </w:footnote>
  <w:footnote w:id="8">
    <w:p w14:paraId="46C490E8" w14:textId="77777777" w:rsidR="009C5F34" w:rsidRPr="00CC0AF5" w:rsidRDefault="009C5F34" w:rsidP="00B461EF">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Robert </w:t>
      </w:r>
      <w:proofErr w:type="spellStart"/>
      <w:r w:rsidRPr="00CC0AF5">
        <w:rPr>
          <w:rFonts w:ascii="Times New Roman" w:hAnsi="Times New Roman" w:cs="Times New Roman"/>
          <w:sz w:val="20"/>
          <w:szCs w:val="20"/>
        </w:rPr>
        <w:t>Uy</w:t>
      </w:r>
      <w:proofErr w:type="spellEnd"/>
      <w:r w:rsidRPr="00CC0AF5">
        <w:rPr>
          <w:rFonts w:ascii="Times New Roman" w:hAnsi="Times New Roman" w:cs="Times New Roman"/>
          <w:sz w:val="20"/>
          <w:szCs w:val="20"/>
        </w:rPr>
        <w:t xml:space="preserve">, “Blinded by Red Lights: Why Trafficking Discourses Should Shift Away from Sex and the Perfect Victim Paradigm”, </w:t>
      </w:r>
      <w:r w:rsidRPr="00CC0AF5">
        <w:rPr>
          <w:rFonts w:ascii="Times New Roman" w:hAnsi="Times New Roman" w:cs="Times New Roman"/>
          <w:i/>
          <w:sz w:val="20"/>
          <w:szCs w:val="20"/>
        </w:rPr>
        <w:t xml:space="preserve">Journal of Gender, Law and Justice </w:t>
      </w:r>
      <w:r w:rsidRPr="00CC0AF5">
        <w:rPr>
          <w:rFonts w:ascii="Times New Roman" w:hAnsi="Times New Roman" w:cs="Times New Roman"/>
          <w:sz w:val="20"/>
          <w:szCs w:val="20"/>
        </w:rPr>
        <w:t>26, no. 1 (2011): 210.</w:t>
      </w:r>
    </w:p>
  </w:footnote>
  <w:footnote w:id="9">
    <w:p w14:paraId="2A9B3B8A" w14:textId="77777777" w:rsidR="009C5F34" w:rsidRPr="00CC0AF5" w:rsidRDefault="009C5F34" w:rsidP="00B461EF">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Julia O’Connell Davidson, “Will the Real Sex Slave Please Stand Up?</w:t>
      </w:r>
      <w:proofErr w:type="gramStart"/>
      <w:r w:rsidRPr="00CC0AF5">
        <w:rPr>
          <w:rFonts w:ascii="Times New Roman" w:hAnsi="Times New Roman" w:cs="Times New Roman"/>
          <w:sz w:val="20"/>
          <w:szCs w:val="20"/>
        </w:rPr>
        <w:t>”,</w:t>
      </w:r>
      <w:proofErr w:type="gramEnd"/>
      <w:r w:rsidRPr="00CC0AF5">
        <w:rPr>
          <w:rFonts w:ascii="Times New Roman" w:hAnsi="Times New Roman" w:cs="Times New Roman"/>
          <w:sz w:val="20"/>
          <w:szCs w:val="20"/>
        </w:rPr>
        <w:t xml:space="preserve"> </w:t>
      </w:r>
      <w:r w:rsidRPr="00CC0AF5">
        <w:rPr>
          <w:rFonts w:ascii="Times New Roman" w:hAnsi="Times New Roman" w:cs="Times New Roman"/>
          <w:i/>
          <w:sz w:val="20"/>
          <w:szCs w:val="20"/>
        </w:rPr>
        <w:t>Feminist Review</w:t>
      </w:r>
      <w:r w:rsidRPr="00CC0AF5">
        <w:rPr>
          <w:rFonts w:ascii="Times New Roman" w:hAnsi="Times New Roman" w:cs="Times New Roman"/>
          <w:sz w:val="20"/>
          <w:szCs w:val="20"/>
        </w:rPr>
        <w:t xml:space="preserve"> 83 (2006): 4-22.</w:t>
      </w:r>
    </w:p>
  </w:footnote>
  <w:footnote w:id="10">
    <w:p w14:paraId="329E6AFA" w14:textId="3E3D1742" w:rsidR="009C5F34" w:rsidRPr="00CC0AF5" w:rsidRDefault="009C5F34" w:rsidP="0004574B">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Vladislava Stoyanova, “Complementary Protection for Victims of Human Trafficking under the European Convention on Human Rights”, </w:t>
      </w:r>
      <w:r w:rsidRPr="00CC0AF5">
        <w:rPr>
          <w:rFonts w:ascii="Times New Roman" w:hAnsi="Times New Roman" w:cs="Times New Roman"/>
          <w:i/>
          <w:sz w:val="20"/>
          <w:szCs w:val="20"/>
        </w:rPr>
        <w:t xml:space="preserve">Journal of International Law </w:t>
      </w:r>
      <w:r w:rsidRPr="00CC0AF5">
        <w:rPr>
          <w:rFonts w:ascii="Times New Roman" w:hAnsi="Times New Roman" w:cs="Times New Roman"/>
          <w:sz w:val="20"/>
          <w:szCs w:val="20"/>
        </w:rPr>
        <w:t>3, no. 1 (January 2011): 798.</w:t>
      </w:r>
    </w:p>
  </w:footnote>
  <w:footnote w:id="11">
    <w:p w14:paraId="3C59CD88" w14:textId="0886B2C5"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w:t>
      </w:r>
      <w:proofErr w:type="gramStart"/>
      <w:r w:rsidRPr="00CC0AF5">
        <w:rPr>
          <w:rFonts w:ascii="Times New Roman" w:hAnsi="Times New Roman" w:cs="Times New Roman"/>
          <w:sz w:val="20"/>
          <w:szCs w:val="20"/>
        </w:rPr>
        <w:t>Ibid, 803.</w:t>
      </w:r>
      <w:proofErr w:type="gramEnd"/>
    </w:p>
  </w:footnote>
  <w:footnote w:id="12">
    <w:p w14:paraId="055FBE67" w14:textId="16C04DCC"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Farrah </w:t>
      </w:r>
      <w:proofErr w:type="spellStart"/>
      <w:r w:rsidRPr="00CC0AF5">
        <w:rPr>
          <w:rFonts w:ascii="Times New Roman" w:hAnsi="Times New Roman" w:cs="Times New Roman"/>
          <w:sz w:val="20"/>
          <w:szCs w:val="20"/>
        </w:rPr>
        <w:t>Bokhari</w:t>
      </w:r>
      <w:proofErr w:type="spellEnd"/>
      <w:r w:rsidRPr="00CC0AF5">
        <w:rPr>
          <w:rFonts w:ascii="Times New Roman" w:hAnsi="Times New Roman" w:cs="Times New Roman"/>
          <w:sz w:val="20"/>
          <w:szCs w:val="20"/>
        </w:rPr>
        <w:t xml:space="preserve">, “Falling Through the Gaps: Safeguarding Children Trafficked into the UK”, </w:t>
      </w:r>
      <w:r w:rsidRPr="00CC0AF5">
        <w:rPr>
          <w:rFonts w:ascii="Times New Roman" w:hAnsi="Times New Roman" w:cs="Times New Roman"/>
          <w:i/>
          <w:sz w:val="20"/>
          <w:szCs w:val="20"/>
        </w:rPr>
        <w:t xml:space="preserve">Children &amp; Society </w:t>
      </w:r>
      <w:r w:rsidRPr="00CC0AF5">
        <w:rPr>
          <w:rFonts w:ascii="Times New Roman" w:hAnsi="Times New Roman" w:cs="Times New Roman"/>
          <w:sz w:val="20"/>
          <w:szCs w:val="20"/>
        </w:rPr>
        <w:t>22, no. 3 (May 2008): 201-211.</w:t>
      </w:r>
    </w:p>
  </w:footnote>
  <w:footnote w:id="13">
    <w:p w14:paraId="07208E8B" w14:textId="77777777" w:rsidR="009C5F34" w:rsidRPr="00CC0AF5" w:rsidRDefault="009C5F34" w:rsidP="0004574B">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Martina Pomeroy, “Left Out in the Cold: Trafficking Victims, Gender and Misinterpretation of the Refugee Convention’s ‘Nexus’ Requirement”, </w:t>
      </w:r>
      <w:r w:rsidRPr="00CC0AF5">
        <w:rPr>
          <w:rFonts w:ascii="Times New Roman" w:hAnsi="Times New Roman" w:cs="Times New Roman"/>
          <w:i/>
          <w:sz w:val="20"/>
          <w:szCs w:val="20"/>
        </w:rPr>
        <w:t>Journal of Gender &amp; Law</w:t>
      </w:r>
      <w:r w:rsidRPr="00CC0AF5">
        <w:rPr>
          <w:rFonts w:ascii="Times New Roman" w:hAnsi="Times New Roman" w:cs="Times New Roman"/>
          <w:sz w:val="20"/>
          <w:szCs w:val="20"/>
        </w:rPr>
        <w:t xml:space="preserve"> 16 (January 2010): 453.</w:t>
      </w:r>
    </w:p>
  </w:footnote>
  <w:footnote w:id="14">
    <w:p w14:paraId="19085AAF" w14:textId="7A8C5F46" w:rsidR="009C5F34" w:rsidRPr="00CC0AF5" w:rsidRDefault="009C5F34" w:rsidP="0004574B">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Shannon Clancy, “Immigration and Modern Slavery: How the Laws of One Fail to Provide Justice to Victims of the Other”, </w:t>
      </w:r>
      <w:r w:rsidRPr="00CC0AF5">
        <w:rPr>
          <w:rFonts w:ascii="Times New Roman" w:hAnsi="Times New Roman" w:cs="Times New Roman"/>
          <w:i/>
          <w:sz w:val="20"/>
          <w:szCs w:val="20"/>
        </w:rPr>
        <w:t>University of Baltimore Law Review</w:t>
      </w:r>
      <w:r w:rsidRPr="00CC0AF5">
        <w:rPr>
          <w:rFonts w:ascii="Times New Roman" w:hAnsi="Times New Roman" w:cs="Times New Roman"/>
          <w:sz w:val="20"/>
          <w:szCs w:val="20"/>
        </w:rPr>
        <w:t xml:space="preserve"> (Spring 2017): 48.</w:t>
      </w:r>
    </w:p>
  </w:footnote>
  <w:footnote w:id="15">
    <w:p w14:paraId="7461B74C" w14:textId="22596626"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Ibid, 48</w:t>
      </w:r>
    </w:p>
  </w:footnote>
  <w:footnote w:id="16">
    <w:p w14:paraId="0A725322" w14:textId="77777777" w:rsidR="009C5F34" w:rsidRPr="00CC0AF5" w:rsidRDefault="009C5F34" w:rsidP="0004574B">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Anette </w:t>
      </w:r>
      <w:proofErr w:type="spellStart"/>
      <w:r w:rsidRPr="00CC0AF5">
        <w:rPr>
          <w:rFonts w:ascii="Times New Roman" w:hAnsi="Times New Roman" w:cs="Times New Roman"/>
          <w:sz w:val="20"/>
          <w:szCs w:val="20"/>
        </w:rPr>
        <w:t>Brunovskis</w:t>
      </w:r>
      <w:proofErr w:type="spellEnd"/>
      <w:r w:rsidRPr="00CC0AF5">
        <w:rPr>
          <w:rFonts w:ascii="Times New Roman" w:hAnsi="Times New Roman" w:cs="Times New Roman"/>
          <w:sz w:val="20"/>
          <w:szCs w:val="20"/>
        </w:rPr>
        <w:t xml:space="preserve">, “Special rights within universal welfare: Assistance to trafficking victims in Norway”, </w:t>
      </w:r>
      <w:r w:rsidRPr="00CC0AF5">
        <w:rPr>
          <w:rFonts w:ascii="Times New Roman" w:hAnsi="Times New Roman" w:cs="Times New Roman"/>
          <w:i/>
          <w:sz w:val="20"/>
          <w:szCs w:val="20"/>
        </w:rPr>
        <w:t>Journal of Comparative Social Work</w:t>
      </w:r>
      <w:r w:rsidRPr="00CC0AF5">
        <w:rPr>
          <w:rFonts w:ascii="Times New Roman" w:hAnsi="Times New Roman" w:cs="Times New Roman"/>
          <w:sz w:val="20"/>
          <w:szCs w:val="20"/>
        </w:rPr>
        <w:t xml:space="preserve"> 11, no. 1 (2016).</w:t>
      </w:r>
    </w:p>
  </w:footnote>
  <w:footnote w:id="17">
    <w:p w14:paraId="5F3C92EE" w14:textId="77777777" w:rsidR="009C5F34" w:rsidRPr="00CC0AF5" w:rsidRDefault="009C5F34" w:rsidP="00607D2B">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Donald </w:t>
      </w:r>
      <w:proofErr w:type="spellStart"/>
      <w:r w:rsidRPr="00CC0AF5">
        <w:rPr>
          <w:rFonts w:ascii="Times New Roman" w:hAnsi="Times New Roman" w:cs="Times New Roman"/>
          <w:sz w:val="20"/>
          <w:szCs w:val="20"/>
        </w:rPr>
        <w:t>Kerwin</w:t>
      </w:r>
      <w:proofErr w:type="spellEnd"/>
      <w:r w:rsidRPr="00CC0AF5">
        <w:rPr>
          <w:rFonts w:ascii="Times New Roman" w:hAnsi="Times New Roman" w:cs="Times New Roman"/>
          <w:sz w:val="20"/>
          <w:szCs w:val="20"/>
        </w:rPr>
        <w:t xml:space="preserve">, “Creating a More Responsive and Seamless Refugee Protection System: The Scope, Promise and Limitations of US Temporary Protection Programs”, </w:t>
      </w:r>
      <w:r w:rsidRPr="00CC0AF5">
        <w:rPr>
          <w:rFonts w:ascii="Times New Roman" w:hAnsi="Times New Roman" w:cs="Times New Roman"/>
          <w:i/>
          <w:sz w:val="20"/>
          <w:szCs w:val="20"/>
        </w:rPr>
        <w:t>Journal on Migration and Human Security</w:t>
      </w:r>
      <w:r w:rsidRPr="00CC0AF5">
        <w:rPr>
          <w:rFonts w:ascii="Times New Roman" w:hAnsi="Times New Roman" w:cs="Times New Roman"/>
          <w:sz w:val="20"/>
          <w:szCs w:val="20"/>
        </w:rPr>
        <w:t xml:space="preserve"> 2, no. 1 (2014): 44-72.</w:t>
      </w:r>
    </w:p>
  </w:footnote>
  <w:footnote w:id="18">
    <w:p w14:paraId="506AD225" w14:textId="77777777" w:rsidR="009C5F34" w:rsidRPr="00CC0AF5" w:rsidRDefault="009C5F34" w:rsidP="003944A9">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Kathleen Mallon, “Assessing the Board of Immigration Appeals’ Social Visibility Doctrine in the Context of Human Trafficking”, </w:t>
      </w:r>
      <w:r w:rsidRPr="00CC0AF5">
        <w:rPr>
          <w:rFonts w:ascii="Times New Roman" w:hAnsi="Times New Roman" w:cs="Times New Roman"/>
          <w:i/>
          <w:sz w:val="20"/>
          <w:szCs w:val="20"/>
        </w:rPr>
        <w:t>Chicago-Kent Law Review</w:t>
      </w:r>
      <w:r w:rsidRPr="00CC0AF5">
        <w:rPr>
          <w:rFonts w:ascii="Times New Roman" w:hAnsi="Times New Roman" w:cs="Times New Roman"/>
          <w:sz w:val="20"/>
          <w:szCs w:val="20"/>
        </w:rPr>
        <w:t xml:space="preserve"> 89, no. 3 (2014): 1169-1190.</w:t>
      </w:r>
    </w:p>
  </w:footnote>
  <w:footnote w:id="19">
    <w:p w14:paraId="5EEAD9F8"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National Crime Agency, National Referral Mechanism Statistics – End of Year Summary 2017</w:t>
      </w:r>
    </w:p>
  </w:footnote>
  <w:footnote w:id="20">
    <w:p w14:paraId="72B8F6D4"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 7-10</w:t>
      </w:r>
    </w:p>
  </w:footnote>
  <w:footnote w:id="21">
    <w:p w14:paraId="508BA567" w14:textId="616604C5" w:rsidR="009C5F34" w:rsidRPr="00021AB0" w:rsidRDefault="009C5F34" w:rsidP="00DD2FCF">
      <w:pPr>
        <w:pStyle w:val="FootnoteText"/>
        <w:rPr>
          <w:rFonts w:ascii="Times" w:hAnsi="Times"/>
          <w:sz w:val="20"/>
          <w:szCs w:val="20"/>
          <w:lang w:val="en-GB"/>
        </w:rPr>
      </w:pPr>
      <w:r>
        <w:rPr>
          <w:rStyle w:val="FootnoteReference"/>
        </w:rPr>
        <w:footnoteRef/>
      </w:r>
      <w:r>
        <w:t xml:space="preserve"> </w:t>
      </w:r>
      <w:r w:rsidRPr="00766353">
        <w:rPr>
          <w:rFonts w:ascii="Times" w:hAnsi="Times"/>
          <w:sz w:val="20"/>
          <w:szCs w:val="20"/>
          <w:lang w:val="en-GB"/>
        </w:rPr>
        <w:t>UN General Assembly, </w:t>
      </w:r>
      <w:r w:rsidRPr="00766353">
        <w:rPr>
          <w:rFonts w:ascii="Times" w:hAnsi="Times"/>
          <w:i/>
          <w:iCs/>
          <w:sz w:val="20"/>
          <w:szCs w:val="20"/>
          <w:lang w:val="en-GB"/>
        </w:rPr>
        <w:t>Protocol to Prevent, Suppress and Punish Trafficking in Persons, Especially Women and Children, Supplementing the United Nations Convention against Transnational Organized Crime</w:t>
      </w:r>
      <w:r w:rsidRPr="00766353">
        <w:rPr>
          <w:rFonts w:ascii="Times" w:hAnsi="Times"/>
          <w:sz w:val="20"/>
          <w:szCs w:val="20"/>
          <w:lang w:val="en-GB"/>
        </w:rPr>
        <w:t>, 15 November 2000</w:t>
      </w:r>
      <w:r>
        <w:rPr>
          <w:rFonts w:ascii="Times" w:hAnsi="Times"/>
          <w:sz w:val="20"/>
          <w:szCs w:val="20"/>
          <w:lang w:val="en-GB"/>
        </w:rPr>
        <w:t>, Article 3, see fn 1 for definition of trafficking</w:t>
      </w:r>
    </w:p>
  </w:footnote>
  <w:footnote w:id="22">
    <w:p w14:paraId="2235110B" w14:textId="1BFA0387" w:rsidR="009C5F34" w:rsidRPr="00DD2FCF" w:rsidRDefault="009C5F34" w:rsidP="00122DAB">
      <w:pPr>
        <w:pStyle w:val="FootnoteText"/>
        <w:rPr>
          <w:rFonts w:ascii="Times" w:hAnsi="Times"/>
          <w:sz w:val="20"/>
          <w:szCs w:val="20"/>
          <w:lang w:val="en-GB"/>
        </w:rPr>
      </w:pPr>
      <w:r>
        <w:rPr>
          <w:rStyle w:val="FootnoteReference"/>
        </w:rPr>
        <w:footnoteRef/>
      </w:r>
      <w:r>
        <w:t xml:space="preserve"> </w:t>
      </w:r>
      <w:r>
        <w:rPr>
          <w:rFonts w:ascii="Times" w:hAnsi="Times"/>
          <w:sz w:val="20"/>
          <w:szCs w:val="20"/>
        </w:rPr>
        <w:t xml:space="preserve">The definitions of the three practices can be found across a number of international legal instruments, the definition of slavery can found in League of Nations 1926 Slavery Convention (Article 1), the definition of servitude can be located in the United Nations Supplementary Convention </w:t>
      </w:r>
      <w:r>
        <w:rPr>
          <w:rFonts w:ascii="Times" w:hAnsi="Times"/>
          <w:sz w:val="20"/>
          <w:szCs w:val="20"/>
          <w:lang w:val="en-GB"/>
        </w:rPr>
        <w:t xml:space="preserve">on </w:t>
      </w:r>
      <w:r w:rsidRPr="00021AB0">
        <w:rPr>
          <w:rFonts w:ascii="Times" w:hAnsi="Times"/>
          <w:sz w:val="20"/>
          <w:szCs w:val="20"/>
          <w:lang w:val="en-GB"/>
        </w:rPr>
        <w:t>the Abolition of Slavery, the Slave Trade, and Institutions and Practices Similar to Slavery</w:t>
      </w:r>
      <w:r>
        <w:rPr>
          <w:rFonts w:ascii="Times" w:hAnsi="Times"/>
          <w:sz w:val="20"/>
          <w:szCs w:val="20"/>
          <w:lang w:val="en-GB"/>
        </w:rPr>
        <w:t xml:space="preserve">  (Article 1) and the definition of forced or compulsory labour is provided by the International Labour Organisation Forced Labour Convention No 29 (Article 2)</w:t>
      </w:r>
    </w:p>
  </w:footnote>
  <w:footnote w:id="23">
    <w:p w14:paraId="4DECE623" w14:textId="18FC23E7" w:rsidR="009C5F34" w:rsidRPr="00DD2FCF" w:rsidRDefault="009C5F34" w:rsidP="00122DAB">
      <w:pPr>
        <w:pStyle w:val="FootnoteText"/>
        <w:rPr>
          <w:rFonts w:ascii="Times" w:hAnsi="Times"/>
          <w:sz w:val="20"/>
          <w:szCs w:val="20"/>
        </w:rPr>
      </w:pPr>
      <w:r>
        <w:rPr>
          <w:rStyle w:val="FootnoteReference"/>
        </w:rPr>
        <w:footnoteRef/>
      </w:r>
      <w:r>
        <w:t xml:space="preserve"> </w:t>
      </w:r>
      <w:r w:rsidRPr="00226C24">
        <w:rPr>
          <w:rFonts w:ascii="Times" w:hAnsi="Times"/>
          <w:sz w:val="20"/>
          <w:szCs w:val="20"/>
        </w:rPr>
        <w:t>Nicole Siller, ‘Modern Slavery’, Does International Law Distinguish between Slavery</w:t>
      </w:r>
      <w:r>
        <w:rPr>
          <w:rFonts w:ascii="Times" w:hAnsi="Times"/>
          <w:sz w:val="20"/>
          <w:szCs w:val="20"/>
        </w:rPr>
        <w:t>, Enslavement and Trafficking? (</w:t>
      </w:r>
      <w:r w:rsidRPr="00226C24">
        <w:rPr>
          <w:rFonts w:ascii="Times" w:hAnsi="Times"/>
          <w:sz w:val="20"/>
          <w:szCs w:val="20"/>
        </w:rPr>
        <w:t>201</w:t>
      </w:r>
      <w:r>
        <w:rPr>
          <w:rFonts w:ascii="Times" w:hAnsi="Times"/>
          <w:sz w:val="20"/>
          <w:szCs w:val="20"/>
        </w:rPr>
        <w:t>6) 14,</w:t>
      </w:r>
      <w:r w:rsidRPr="00226C24">
        <w:rPr>
          <w:rFonts w:ascii="Times" w:hAnsi="Times"/>
          <w:sz w:val="20"/>
          <w:szCs w:val="20"/>
        </w:rPr>
        <w:t xml:space="preserve"> Journal of </w:t>
      </w:r>
      <w:r>
        <w:rPr>
          <w:rFonts w:ascii="Times" w:hAnsi="Times"/>
          <w:sz w:val="20"/>
          <w:szCs w:val="20"/>
        </w:rPr>
        <w:t>International Criminal Justice, 405</w:t>
      </w:r>
    </w:p>
  </w:footnote>
  <w:footnote w:id="24">
    <w:p w14:paraId="1445BC96" w14:textId="77777777" w:rsidR="009C5F34" w:rsidRPr="00766353" w:rsidRDefault="009C5F34" w:rsidP="00122DAB">
      <w:pPr>
        <w:pStyle w:val="FootnoteText"/>
        <w:rPr>
          <w:rFonts w:ascii="Times" w:hAnsi="Times"/>
          <w:sz w:val="20"/>
          <w:szCs w:val="20"/>
        </w:rPr>
      </w:pPr>
      <w:r>
        <w:rPr>
          <w:rStyle w:val="FootnoteReference"/>
        </w:rPr>
        <w:footnoteRef/>
      </w:r>
      <w:r>
        <w:t xml:space="preserve"> </w:t>
      </w:r>
      <w:r w:rsidRPr="00226C24">
        <w:rPr>
          <w:rFonts w:ascii="Times" w:hAnsi="Times"/>
          <w:sz w:val="20"/>
          <w:szCs w:val="20"/>
        </w:rPr>
        <w:t xml:space="preserve">Janie Chuang, Exploitation Creep and the Unmaking of Human Trafficking Law, </w:t>
      </w:r>
      <w:r>
        <w:rPr>
          <w:rFonts w:ascii="Times" w:hAnsi="Times"/>
          <w:sz w:val="20"/>
          <w:szCs w:val="20"/>
        </w:rPr>
        <w:t xml:space="preserve">(2014) 108, </w:t>
      </w:r>
      <w:r w:rsidRPr="00226C24">
        <w:rPr>
          <w:rFonts w:ascii="Times" w:hAnsi="Times"/>
          <w:sz w:val="20"/>
          <w:szCs w:val="20"/>
        </w:rPr>
        <w:t>Ame</w:t>
      </w:r>
      <w:r>
        <w:rPr>
          <w:rFonts w:ascii="Times" w:hAnsi="Times"/>
          <w:sz w:val="20"/>
          <w:szCs w:val="20"/>
        </w:rPr>
        <w:t xml:space="preserve">rican Journal of International, </w:t>
      </w:r>
      <w:r w:rsidRPr="00226C24">
        <w:rPr>
          <w:rFonts w:ascii="Times" w:hAnsi="Times" w:cs="Times New Roman"/>
          <w:sz w:val="20"/>
          <w:szCs w:val="20"/>
        </w:rPr>
        <w:t>146–149</w:t>
      </w:r>
    </w:p>
  </w:footnote>
  <w:footnote w:id="25">
    <w:p w14:paraId="5260813C" w14:textId="77777777" w:rsidR="009C5F34" w:rsidRDefault="009C5F34" w:rsidP="00122DAB">
      <w:pPr>
        <w:pStyle w:val="FootnoteText"/>
      </w:pPr>
      <w:r>
        <w:rPr>
          <w:rStyle w:val="FootnoteReference"/>
        </w:rPr>
        <w:footnoteRef/>
      </w:r>
      <w:r>
        <w:t xml:space="preserve"> </w:t>
      </w:r>
      <w:r w:rsidRPr="00134DC4">
        <w:rPr>
          <w:rFonts w:ascii="Times" w:hAnsi="Times"/>
          <w:sz w:val="20"/>
          <w:szCs w:val="20"/>
        </w:rPr>
        <w:t>HC Deb Vol 630 Col 513</w:t>
      </w:r>
    </w:p>
  </w:footnote>
  <w:footnote w:id="26">
    <w:p w14:paraId="5B4AC438"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2017 Annual Report on Modern Slavery (October 2017) 8</w:t>
      </w:r>
    </w:p>
  </w:footnote>
  <w:footnote w:id="27">
    <w:p w14:paraId="5E5687FC"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Day 46: Is there Life After the Safe House for Survivors of Modern Slavery (Human Trafficking Foundation) 2</w:t>
      </w:r>
    </w:p>
  </w:footnote>
  <w:footnote w:id="28">
    <w:p w14:paraId="38ABC11D"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 13</w:t>
      </w:r>
    </w:p>
  </w:footnote>
  <w:footnote w:id="29">
    <w:p w14:paraId="301C44F6" w14:textId="77777777" w:rsidR="009C5F34" w:rsidRPr="00134DC4" w:rsidRDefault="009C5F34" w:rsidP="00122DAB">
      <w:pPr>
        <w:pStyle w:val="FootnoteText"/>
        <w:rPr>
          <w:lang w:val="en-GB"/>
        </w:rPr>
      </w:pPr>
      <w:r>
        <w:rPr>
          <w:rStyle w:val="FootnoteReference"/>
        </w:rPr>
        <w:footnoteRef/>
      </w:r>
      <w:r>
        <w:t xml:space="preserve"> </w:t>
      </w:r>
      <w:r w:rsidRPr="00134DC4">
        <w:rPr>
          <w:i/>
          <w:iCs/>
          <w:lang w:val="en-GB"/>
        </w:rPr>
        <w:t>I</w:t>
      </w:r>
      <w:r w:rsidRPr="00134DC4">
        <w:rPr>
          <w:rFonts w:ascii="Times" w:hAnsi="Times"/>
          <w:i/>
          <w:iCs/>
          <w:sz w:val="20"/>
          <w:szCs w:val="20"/>
          <w:lang w:val="en-GB"/>
        </w:rPr>
        <w:t>mmigration Rules (last amended July 2008)</w:t>
      </w:r>
      <w:r w:rsidRPr="00134DC4">
        <w:rPr>
          <w:rFonts w:ascii="Times" w:hAnsi="Times"/>
          <w:sz w:val="20"/>
          <w:szCs w:val="20"/>
          <w:lang w:val="en-GB"/>
        </w:rPr>
        <w:t> [], HC 395 (as amended), 23 May 1994,</w:t>
      </w:r>
    </w:p>
  </w:footnote>
  <w:footnote w:id="30">
    <w:p w14:paraId="478E5986"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R (On the Application Of K) v Secretary of State for the Home Department [2015] EWHC 3668</w:t>
      </w:r>
    </w:p>
  </w:footnote>
  <w:footnote w:id="31">
    <w:p w14:paraId="3B0D4073"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 para 53</w:t>
      </w:r>
    </w:p>
  </w:footnote>
  <w:footnote w:id="32">
    <w:p w14:paraId="066E3C4B"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Victims of Modern Slavery – Competent Authority Guidance (Home Office 2016) 75</w:t>
      </w:r>
    </w:p>
  </w:footnote>
  <w:footnote w:id="33">
    <w:p w14:paraId="4E0BCBC8"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Council of Europe, Council of Europe Convention on Action Against Trafficking in Human Beings, 16 May 2005, CETS 197, Article 15</w:t>
      </w:r>
    </w:p>
  </w:footnote>
  <w:footnote w:id="34">
    <w:p w14:paraId="35959CE3"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Victims of Modern Slavery – Competent Authority Guidance (Home Office 2016) 75</w:t>
      </w:r>
    </w:p>
  </w:footnote>
  <w:footnote w:id="35">
    <w:p w14:paraId="47B07327"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Council of Europe, Council of Europe Convention on Action Against Trafficking in Human Beings, 16 May 2005, CETS 197, Article 14</w:t>
      </w:r>
    </w:p>
  </w:footnote>
  <w:footnote w:id="36">
    <w:p w14:paraId="573E6BF8"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w:t>
      </w:r>
    </w:p>
  </w:footnote>
  <w:footnote w:id="37">
    <w:p w14:paraId="10C0E9E8"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Victims of Modern Slavery – Competent Authority Guidance (Home Office 2016) 75</w:t>
      </w:r>
    </w:p>
  </w:footnote>
  <w:footnote w:id="38">
    <w:p w14:paraId="53DA1078"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 122</w:t>
      </w:r>
    </w:p>
  </w:footnote>
  <w:footnote w:id="39">
    <w:p w14:paraId="6FB6A55B" w14:textId="77777777" w:rsidR="009C5F34" w:rsidRPr="007423D8" w:rsidRDefault="009C5F34" w:rsidP="00122DAB">
      <w:pPr>
        <w:pStyle w:val="FootnoteText"/>
        <w:rPr>
          <w:rFonts w:ascii="Times" w:hAnsi="Times"/>
          <w:sz w:val="20"/>
          <w:szCs w:val="20"/>
        </w:rPr>
      </w:pPr>
      <w:r w:rsidRPr="007423D8">
        <w:rPr>
          <w:rStyle w:val="FootnoteReference"/>
          <w:rFonts w:ascii="Times" w:hAnsi="Times"/>
          <w:sz w:val="20"/>
          <w:szCs w:val="20"/>
        </w:rPr>
        <w:footnoteRef/>
      </w:r>
      <w:r w:rsidRPr="007423D8">
        <w:rPr>
          <w:rFonts w:ascii="Times" w:hAnsi="Times"/>
          <w:sz w:val="20"/>
          <w:szCs w:val="20"/>
        </w:rPr>
        <w:t xml:space="preserve"> Home Office, Modern Slavery Strategy (Crown Publication 2014)</w:t>
      </w:r>
    </w:p>
  </w:footnote>
  <w:footnote w:id="40">
    <w:p w14:paraId="4CF28520" w14:textId="77777777" w:rsidR="009C5F34" w:rsidRPr="007423D8" w:rsidRDefault="009C5F34" w:rsidP="00122DAB">
      <w:pPr>
        <w:pStyle w:val="FootnoteText"/>
        <w:rPr>
          <w:rFonts w:ascii="Times" w:hAnsi="Times"/>
          <w:sz w:val="20"/>
          <w:szCs w:val="20"/>
        </w:rPr>
      </w:pPr>
      <w:r>
        <w:rPr>
          <w:rStyle w:val="FootnoteReference"/>
        </w:rPr>
        <w:footnoteRef/>
      </w:r>
      <w:r>
        <w:t xml:space="preserve"> </w:t>
      </w:r>
      <w:r>
        <w:rPr>
          <w:rFonts w:ascii="Times" w:hAnsi="Times"/>
          <w:sz w:val="20"/>
          <w:szCs w:val="20"/>
        </w:rPr>
        <w:t xml:space="preserve">See for example Modern Slavery Act s 45, under this section the principle of non-punishment is intended to protect victims of modern slavery crimes from prosecution for crimes committed during the course of exploitation. However, schedule 4 provides a large list of exemptions including, modern slavery, </w:t>
      </w:r>
      <w:proofErr w:type="gramStart"/>
      <w:r>
        <w:rPr>
          <w:rFonts w:ascii="Times" w:hAnsi="Times"/>
          <w:sz w:val="20"/>
          <w:szCs w:val="20"/>
        </w:rPr>
        <w:t>theft</w:t>
      </w:r>
      <w:proofErr w:type="gramEnd"/>
      <w:r>
        <w:rPr>
          <w:rFonts w:ascii="Times" w:hAnsi="Times"/>
          <w:sz w:val="20"/>
          <w:szCs w:val="20"/>
        </w:rPr>
        <w:t xml:space="preserve"> and immigration offences.</w:t>
      </w:r>
    </w:p>
  </w:footnote>
  <w:footnote w:id="41">
    <w:p w14:paraId="0EE9FA37"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PK(Ghana) v Secretary of State for the Home </w:t>
      </w:r>
      <w:proofErr w:type="spellStart"/>
      <w:r w:rsidRPr="002D6519">
        <w:rPr>
          <w:rFonts w:ascii="Times New Roman" w:hAnsi="Times New Roman" w:cs="Times New Roman"/>
          <w:sz w:val="20"/>
          <w:szCs w:val="20"/>
        </w:rPr>
        <w:t>Deparment</w:t>
      </w:r>
      <w:proofErr w:type="spellEnd"/>
      <w:r w:rsidRPr="002D6519">
        <w:rPr>
          <w:rFonts w:ascii="Times New Roman" w:hAnsi="Times New Roman" w:cs="Times New Roman"/>
          <w:sz w:val="20"/>
          <w:szCs w:val="20"/>
        </w:rPr>
        <w:t xml:space="preserve"> [2018] EWCA </w:t>
      </w:r>
      <w:proofErr w:type="spellStart"/>
      <w:r w:rsidRPr="002D6519">
        <w:rPr>
          <w:rFonts w:ascii="Times New Roman" w:hAnsi="Times New Roman" w:cs="Times New Roman"/>
          <w:sz w:val="20"/>
          <w:szCs w:val="20"/>
        </w:rPr>
        <w:t>Civ</w:t>
      </w:r>
      <w:proofErr w:type="spellEnd"/>
      <w:r w:rsidRPr="002D6519">
        <w:rPr>
          <w:rFonts w:ascii="Times New Roman" w:hAnsi="Times New Roman" w:cs="Times New Roman"/>
          <w:sz w:val="20"/>
          <w:szCs w:val="20"/>
        </w:rPr>
        <w:t xml:space="preserve"> 98</w:t>
      </w:r>
    </w:p>
  </w:footnote>
  <w:footnote w:id="42">
    <w:p w14:paraId="4130BE70"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Council of Europe, Council of Europe Convention on Action Against Trafficking in Human Beings, 16 May 2005, CETS 197</w:t>
      </w:r>
    </w:p>
  </w:footnote>
  <w:footnote w:id="43">
    <w:p w14:paraId="060699D8"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PK(Ghana) v Secretary of State for the Home Department [2018] EWCA </w:t>
      </w:r>
      <w:proofErr w:type="spellStart"/>
      <w:r w:rsidRPr="002D6519">
        <w:rPr>
          <w:rFonts w:ascii="Times New Roman" w:hAnsi="Times New Roman" w:cs="Times New Roman"/>
          <w:sz w:val="20"/>
          <w:szCs w:val="20"/>
        </w:rPr>
        <w:t>Civ</w:t>
      </w:r>
      <w:proofErr w:type="spellEnd"/>
      <w:r w:rsidRPr="002D6519">
        <w:rPr>
          <w:rFonts w:ascii="Times New Roman" w:hAnsi="Times New Roman" w:cs="Times New Roman"/>
          <w:sz w:val="20"/>
          <w:szCs w:val="20"/>
        </w:rPr>
        <w:t xml:space="preserve"> 98, para 23</w:t>
      </w:r>
    </w:p>
  </w:footnote>
  <w:footnote w:id="44">
    <w:p w14:paraId="4648AE10"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 para 24</w:t>
      </w:r>
    </w:p>
  </w:footnote>
  <w:footnote w:id="45">
    <w:p w14:paraId="6D4A774C"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 para 26</w:t>
      </w:r>
    </w:p>
  </w:footnote>
  <w:footnote w:id="46">
    <w:p w14:paraId="5CCF967E"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 para 41</w:t>
      </w:r>
    </w:p>
  </w:footnote>
  <w:footnote w:id="47">
    <w:p w14:paraId="22CD5197" w14:textId="77777777" w:rsidR="009C5F34" w:rsidRDefault="009C5F34" w:rsidP="00122DAB">
      <w:pPr>
        <w:pStyle w:val="FootnoteText"/>
      </w:pPr>
      <w:r>
        <w:rPr>
          <w:rStyle w:val="FootnoteReference"/>
        </w:rPr>
        <w:footnoteRef/>
      </w:r>
      <w:r>
        <w:t xml:space="preserve"> </w:t>
      </w:r>
      <w:r w:rsidRPr="002D6519">
        <w:rPr>
          <w:rFonts w:ascii="Times New Roman" w:hAnsi="Times New Roman" w:cs="Times New Roman"/>
          <w:sz w:val="20"/>
          <w:szCs w:val="20"/>
        </w:rPr>
        <w:t>Council of Europe, Council of Europe Convention on Action Against Trafficking in Human Beings, 16 May 2005, CETS 197, Article 14</w:t>
      </w:r>
    </w:p>
  </w:footnote>
  <w:footnote w:id="48">
    <w:p w14:paraId="39BFE453"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w:t>
      </w:r>
      <w:r>
        <w:rPr>
          <w:rFonts w:ascii="Times New Roman" w:hAnsi="Times New Roman" w:cs="Times New Roman"/>
          <w:sz w:val="20"/>
          <w:szCs w:val="20"/>
        </w:rPr>
        <w:t>ibid</w:t>
      </w:r>
    </w:p>
  </w:footnote>
  <w:footnote w:id="49">
    <w:p w14:paraId="11A70F29"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PK(Ghana) v Secretary of State for the Home Department [2018] EWCA </w:t>
      </w:r>
      <w:proofErr w:type="spellStart"/>
      <w:r w:rsidRPr="002D6519">
        <w:rPr>
          <w:rFonts w:ascii="Times New Roman" w:hAnsi="Times New Roman" w:cs="Times New Roman"/>
          <w:sz w:val="20"/>
          <w:szCs w:val="20"/>
        </w:rPr>
        <w:t>Civ</w:t>
      </w:r>
      <w:proofErr w:type="spellEnd"/>
      <w:r w:rsidRPr="002D6519">
        <w:rPr>
          <w:rFonts w:ascii="Times New Roman" w:hAnsi="Times New Roman" w:cs="Times New Roman"/>
          <w:sz w:val="20"/>
          <w:szCs w:val="20"/>
        </w:rPr>
        <w:t xml:space="preserve"> 98, para 45</w:t>
      </w:r>
    </w:p>
  </w:footnote>
  <w:footnote w:id="50">
    <w:p w14:paraId="50FD448D"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see Article 10, 12</w:t>
      </w:r>
    </w:p>
  </w:footnote>
  <w:footnote w:id="51">
    <w:p w14:paraId="1F3BB8F4"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PK(Ghana) v Secretary of State for the Home Department [2018] EWCA </w:t>
      </w:r>
      <w:proofErr w:type="spellStart"/>
      <w:r w:rsidRPr="002D6519">
        <w:rPr>
          <w:rFonts w:ascii="Times New Roman" w:hAnsi="Times New Roman" w:cs="Times New Roman"/>
          <w:sz w:val="20"/>
          <w:szCs w:val="20"/>
        </w:rPr>
        <w:t>Civ</w:t>
      </w:r>
      <w:proofErr w:type="spellEnd"/>
      <w:r w:rsidRPr="002D6519">
        <w:rPr>
          <w:rFonts w:ascii="Times New Roman" w:hAnsi="Times New Roman" w:cs="Times New Roman"/>
          <w:sz w:val="20"/>
          <w:szCs w:val="20"/>
        </w:rPr>
        <w:t xml:space="preserve"> 98, para 51</w:t>
      </w:r>
    </w:p>
  </w:footnote>
  <w:footnote w:id="52">
    <w:p w14:paraId="5133396A"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Interim operational guidance: Discretionary leave for victims of modern slavery (February 2018)</w:t>
      </w:r>
    </w:p>
  </w:footnote>
  <w:footnote w:id="53">
    <w:p w14:paraId="352E6A01"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 4</w:t>
      </w:r>
    </w:p>
  </w:footnote>
  <w:footnote w:id="54">
    <w:p w14:paraId="50A581AD"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Modern Slavery (Victim Support) Bill [HL] (2017) </w:t>
      </w:r>
      <w:r>
        <w:rPr>
          <w:rFonts w:ascii="Times New Roman" w:hAnsi="Times New Roman" w:cs="Times New Roman"/>
          <w:sz w:val="20"/>
          <w:szCs w:val="20"/>
        </w:rPr>
        <w:t>The Bill has currently completed the Lords stages and was presented to the House of Commons on the 18</w:t>
      </w:r>
      <w:r>
        <w:rPr>
          <w:rFonts w:ascii="Times New Roman" w:hAnsi="Times New Roman" w:cs="Times New Roman"/>
          <w:sz w:val="20"/>
          <w:szCs w:val="20"/>
          <w:vertAlign w:val="superscript"/>
        </w:rPr>
        <w:t xml:space="preserve">tg </w:t>
      </w:r>
      <w:r>
        <w:rPr>
          <w:rFonts w:ascii="Times New Roman" w:hAnsi="Times New Roman" w:cs="Times New Roman"/>
          <w:sz w:val="20"/>
          <w:szCs w:val="20"/>
        </w:rPr>
        <w:t>May and is due for its second reading on the 23</w:t>
      </w:r>
      <w:r w:rsidRPr="009B5F58">
        <w:rPr>
          <w:rFonts w:ascii="Times New Roman" w:hAnsi="Times New Roman" w:cs="Times New Roman"/>
          <w:sz w:val="20"/>
          <w:szCs w:val="20"/>
          <w:vertAlign w:val="superscript"/>
        </w:rPr>
        <w:t>rd</w:t>
      </w:r>
      <w:r>
        <w:rPr>
          <w:rFonts w:ascii="Times New Roman" w:hAnsi="Times New Roman" w:cs="Times New Roman"/>
          <w:sz w:val="20"/>
          <w:szCs w:val="20"/>
        </w:rPr>
        <w:t xml:space="preserve"> November 2018.</w:t>
      </w:r>
    </w:p>
  </w:footnote>
  <w:footnote w:id="55">
    <w:p w14:paraId="786CB777"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 48(b)(3)</w:t>
      </w:r>
    </w:p>
  </w:footnote>
  <w:footnote w:id="56">
    <w:p w14:paraId="7DC74677"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House of Commons Work and Pensions Committee, Victims of Modern Slavery – Twelfth Report Session 2016-2017 (April 2017) 40</w:t>
      </w:r>
    </w:p>
  </w:footnote>
  <w:footnote w:id="57">
    <w:p w14:paraId="60E73558"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w:t>
      </w:r>
    </w:p>
  </w:footnote>
  <w:footnote w:id="58">
    <w:p w14:paraId="20F66363"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Ibid 45</w:t>
      </w:r>
    </w:p>
  </w:footnote>
  <w:footnote w:id="59">
    <w:p w14:paraId="274F8E74"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Victims of modern slavery: Government Response to the Committee’s Twelfth Report of Session 2016–17 – 30</w:t>
      </w:r>
      <w:r w:rsidRPr="002D6519">
        <w:rPr>
          <w:rFonts w:ascii="Times New Roman" w:hAnsi="Times New Roman" w:cs="Times New Roman"/>
          <w:sz w:val="20"/>
          <w:szCs w:val="20"/>
          <w:vertAlign w:val="superscript"/>
        </w:rPr>
        <w:t>th</w:t>
      </w:r>
      <w:r w:rsidRPr="002D6519">
        <w:rPr>
          <w:rFonts w:ascii="Times New Roman" w:hAnsi="Times New Roman" w:cs="Times New Roman"/>
          <w:sz w:val="20"/>
          <w:szCs w:val="20"/>
        </w:rPr>
        <w:t xml:space="preserve"> November 2017 (</w:t>
      </w:r>
      <w:r w:rsidRPr="00782849">
        <w:rPr>
          <w:rFonts w:ascii="Times New Roman" w:hAnsi="Times New Roman" w:cs="Times New Roman"/>
          <w:sz w:val="20"/>
          <w:szCs w:val="20"/>
        </w:rPr>
        <w:t>https://publications.parliament.uk/pa/cm201719/cmselect/cmworpen/672/67202.htm</w:t>
      </w:r>
      <w:r w:rsidRPr="002D6519">
        <w:rPr>
          <w:rFonts w:ascii="Times New Roman" w:hAnsi="Times New Roman" w:cs="Times New Roman"/>
          <w:sz w:val="20"/>
          <w:szCs w:val="20"/>
        </w:rPr>
        <w:t xml:space="preserve">) </w:t>
      </w:r>
    </w:p>
  </w:footnote>
  <w:footnote w:id="60">
    <w:p w14:paraId="3218C88A"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R (on the application of LL) v Lord Chancellor CO/3581/2017</w:t>
      </w:r>
    </w:p>
  </w:footnote>
  <w:footnote w:id="61">
    <w:p w14:paraId="7BD22C26"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http://atleu.org.uk/news/legalaidimmigrationadvice</w:t>
      </w:r>
    </w:p>
  </w:footnote>
  <w:footnote w:id="62">
    <w:p w14:paraId="48F49BB9" w14:textId="77777777" w:rsidR="009C5F34" w:rsidRPr="002D6519" w:rsidRDefault="009C5F34" w:rsidP="00122DAB">
      <w:pPr>
        <w:pStyle w:val="FootnoteText"/>
        <w:rPr>
          <w:rFonts w:ascii="Times New Roman" w:hAnsi="Times New Roman" w:cs="Times New Roman"/>
          <w:sz w:val="20"/>
          <w:szCs w:val="20"/>
        </w:rPr>
      </w:pPr>
      <w:r w:rsidRPr="002D6519">
        <w:rPr>
          <w:rStyle w:val="FootnoteReference"/>
          <w:rFonts w:ascii="Times New Roman" w:hAnsi="Times New Roman" w:cs="Times New Roman"/>
          <w:sz w:val="20"/>
          <w:szCs w:val="20"/>
        </w:rPr>
        <w:footnoteRef/>
      </w:r>
      <w:r w:rsidRPr="002D6519">
        <w:rPr>
          <w:rFonts w:ascii="Times New Roman" w:hAnsi="Times New Roman" w:cs="Times New Roman"/>
          <w:sz w:val="20"/>
          <w:szCs w:val="20"/>
        </w:rPr>
        <w:t xml:space="preserve"> R (on the application of LL) v Lord Chancellor CO/3581/2017, 1 (a),(b)</w:t>
      </w:r>
    </w:p>
  </w:footnote>
  <w:footnote w:id="63">
    <w:p w14:paraId="5F132345" w14:textId="61991BF5"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Day 46: Is there Life After the Safe House for Survivors of Modern Slavery (Human Trafficking Foundation)</w:t>
      </w:r>
    </w:p>
  </w:footnote>
  <w:footnote w:id="64">
    <w:p w14:paraId="052AF33C" w14:textId="069D6E89"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1, interview, 12</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65">
    <w:p w14:paraId="48FECCAB" w14:textId="057B5D7F"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1, interview, 12</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66">
    <w:p w14:paraId="302E57D0" w14:textId="3FDF71CD"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2, interview 12</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67">
    <w:p w14:paraId="425AE046" w14:textId="4001559F"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8, interview, 12</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r>
        <w:rPr>
          <w:rFonts w:ascii="Times New Roman" w:hAnsi="Times New Roman" w:cs="Times New Roman"/>
          <w:sz w:val="20"/>
          <w:szCs w:val="20"/>
        </w:rPr>
        <w:t xml:space="preserve">; </w:t>
      </w:r>
      <w:r w:rsidRPr="008A4E9C">
        <w:rPr>
          <w:rFonts w:ascii="Times New Roman" w:hAnsi="Times New Roman" w:cs="Times New Roman"/>
          <w:sz w:val="20"/>
          <w:szCs w:val="20"/>
        </w:rPr>
        <w:t>Case worker 4, interview, 26</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r>
        <w:rPr>
          <w:rFonts w:ascii="Times New Roman" w:hAnsi="Times New Roman" w:cs="Times New Roman"/>
          <w:sz w:val="20"/>
          <w:szCs w:val="20"/>
        </w:rPr>
        <w:t xml:space="preserve">; </w:t>
      </w:r>
      <w:r w:rsidRPr="008A4E9C">
        <w:rPr>
          <w:rFonts w:ascii="Times New Roman" w:hAnsi="Times New Roman" w:cs="Times New Roman"/>
          <w:sz w:val="20"/>
          <w:szCs w:val="20"/>
        </w:rPr>
        <w:t>Case worker 5, interview, 5</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March 2018</w:t>
      </w:r>
    </w:p>
  </w:footnote>
  <w:footnote w:id="68">
    <w:p w14:paraId="322366BB" w14:textId="1ECB6EE7"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8, interview, 12</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69">
    <w:p w14:paraId="7891D9FD" w14:textId="542C1B7C"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1, interview, 12</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70">
    <w:p w14:paraId="431F1069" w14:textId="4F66D1BF"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4, interview, 26</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r>
        <w:rPr>
          <w:rFonts w:ascii="Times New Roman" w:hAnsi="Times New Roman" w:cs="Times New Roman"/>
          <w:sz w:val="20"/>
          <w:szCs w:val="20"/>
        </w:rPr>
        <w:t xml:space="preserve">; </w:t>
      </w:r>
      <w:r w:rsidRPr="008A4E9C">
        <w:rPr>
          <w:rFonts w:ascii="Times New Roman" w:hAnsi="Times New Roman" w:cs="Times New Roman"/>
          <w:sz w:val="20"/>
          <w:szCs w:val="20"/>
        </w:rPr>
        <w:t>Case worker 3, interview, 26</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71">
    <w:p w14:paraId="0246E05C" w14:textId="46CF1127"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1, interview, 12</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72">
    <w:p w14:paraId="5844724E" w14:textId="18CBEB98"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1, interview, 12</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73">
    <w:p w14:paraId="01FEB13E" w14:textId="1FFC7E0F"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7, interview, 26</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74">
    <w:p w14:paraId="0C8005C8" w14:textId="0775A318"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5, interview, 5</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March 2018</w:t>
      </w:r>
    </w:p>
  </w:footnote>
  <w:footnote w:id="75">
    <w:p w14:paraId="798B9ABF" w14:textId="6F70AB2B"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Case worker 8, interview, 12</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w:t>
      </w:r>
    </w:p>
  </w:footnote>
  <w:footnote w:id="76">
    <w:p w14:paraId="1CFCE76D" w14:textId="2276CAAB"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Case worker 5, interview, 5</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March 2018, Case worker 6, interview, 5</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March 2018, Case worker 2, interview 12</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 Case worker 7, interview, 26</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 Case worker 3, interview, 26</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w:t>
      </w:r>
    </w:p>
  </w:footnote>
  <w:footnote w:id="77">
    <w:p w14:paraId="2A6DF1E8" w14:textId="77715044"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Case worker 1, interview, 12</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w:t>
      </w:r>
    </w:p>
  </w:footnote>
  <w:footnote w:id="78">
    <w:p w14:paraId="313D004A" w14:textId="46CC677E"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Case worker 1, interview, 12</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 Case worker 2, interview 12</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w:t>
      </w:r>
    </w:p>
  </w:footnote>
  <w:footnote w:id="79">
    <w:p w14:paraId="3FE33F6A" w14:textId="27131873"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Case worker 2, interview 12</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w:t>
      </w:r>
    </w:p>
  </w:footnote>
  <w:footnote w:id="80">
    <w:p w14:paraId="3D284175" w14:textId="372064F1"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Case worker 8, interview, 12</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w:t>
      </w:r>
    </w:p>
  </w:footnote>
  <w:footnote w:id="81">
    <w:p w14:paraId="11C96E6F" w14:textId="5459ACB4"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Case worker 7, interview, 26</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w:t>
      </w:r>
    </w:p>
  </w:footnote>
  <w:footnote w:id="82">
    <w:p w14:paraId="19430A84" w14:textId="60708F55"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Case worker 5, interview, 5</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March 2018, Case worker 6, interview, 5</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March 2018, Case worker 4, interview, 26</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 Case worker 2, interview 12</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w:t>
      </w:r>
    </w:p>
  </w:footnote>
  <w:footnote w:id="83">
    <w:p w14:paraId="0069F128" w14:textId="12459356"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Case worker 2, interview 12</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w:t>
      </w:r>
    </w:p>
  </w:footnote>
  <w:footnote w:id="84">
    <w:p w14:paraId="27065B1C" w14:textId="24C93A2C"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Case worker 1, interview, 12</w:t>
      </w:r>
      <w:r w:rsidRPr="00CC0AF5">
        <w:rPr>
          <w:rFonts w:ascii="Times New Roman" w:hAnsi="Times New Roman" w:cs="Times New Roman"/>
          <w:sz w:val="20"/>
          <w:szCs w:val="20"/>
          <w:vertAlign w:val="superscript"/>
        </w:rPr>
        <w:t>th</w:t>
      </w:r>
      <w:r w:rsidRPr="00CC0AF5">
        <w:rPr>
          <w:rFonts w:ascii="Times New Roman" w:hAnsi="Times New Roman" w:cs="Times New Roman"/>
          <w:sz w:val="20"/>
          <w:szCs w:val="20"/>
        </w:rPr>
        <w:t xml:space="preserve"> February 2018</w:t>
      </w:r>
    </w:p>
  </w:footnote>
  <w:footnote w:id="85">
    <w:p w14:paraId="759F046A" w14:textId="77777777" w:rsidR="009C5F34" w:rsidRPr="00CC0AF5" w:rsidRDefault="009C5F34" w:rsidP="00CC0AF5">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w:t>
      </w:r>
      <w:proofErr w:type="gramStart"/>
      <w:r w:rsidRPr="00CC0AF5">
        <w:rPr>
          <w:rFonts w:ascii="Times New Roman" w:hAnsi="Times New Roman" w:cs="Times New Roman"/>
          <w:sz w:val="20"/>
          <w:szCs w:val="20"/>
        </w:rPr>
        <w:t>see</w:t>
      </w:r>
      <w:proofErr w:type="gramEnd"/>
      <w:r w:rsidRPr="00CC0AF5">
        <w:rPr>
          <w:rFonts w:ascii="Times New Roman" w:hAnsi="Times New Roman" w:cs="Times New Roman"/>
          <w:sz w:val="20"/>
          <w:szCs w:val="20"/>
        </w:rPr>
        <w:t xml:space="preserve"> Immigration Act 2014, sections 38-47 detail a number of changes to benefit entitlements including the NHS, Bank Accounts, Work and Driving Licenses.</w:t>
      </w:r>
    </w:p>
  </w:footnote>
  <w:footnote w:id="86">
    <w:p w14:paraId="209CB67E" w14:textId="41497F8E"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w:t>
      </w:r>
    </w:p>
  </w:footnote>
  <w:footnote w:id="87">
    <w:p w14:paraId="5D9B42E5" w14:textId="7855C842"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Modern Slavery (Victim Support) Bill [HL] (2017) </w:t>
      </w:r>
    </w:p>
  </w:footnote>
  <w:footnote w:id="88">
    <w:p w14:paraId="1315BBCC" w14:textId="20DCBC98"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8, interview, 12</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r>
        <w:rPr>
          <w:rFonts w:ascii="Times New Roman" w:hAnsi="Times New Roman" w:cs="Times New Roman"/>
          <w:sz w:val="20"/>
          <w:szCs w:val="20"/>
        </w:rPr>
        <w:t xml:space="preserve">; </w:t>
      </w:r>
      <w:r w:rsidRPr="008A4E9C">
        <w:rPr>
          <w:rFonts w:ascii="Times New Roman" w:hAnsi="Times New Roman" w:cs="Times New Roman"/>
          <w:sz w:val="20"/>
          <w:szCs w:val="20"/>
        </w:rPr>
        <w:t>Case worker 7, interview, 26</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89">
    <w:p w14:paraId="10D805AE" w14:textId="631EEC34" w:rsidR="009C5F34" w:rsidRPr="00CC0AF5" w:rsidRDefault="009C5F34" w:rsidP="00CC0AF5">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w:t>
      </w:r>
      <w:r w:rsidRPr="008A4E9C">
        <w:rPr>
          <w:rFonts w:ascii="Times New Roman" w:hAnsi="Times New Roman" w:cs="Times New Roman"/>
          <w:sz w:val="20"/>
          <w:szCs w:val="20"/>
        </w:rPr>
        <w:t>Case worker 3, interview, 26</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90">
    <w:p w14:paraId="03528658" w14:textId="3DAE2535"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8, interview, 12</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r>
        <w:rPr>
          <w:rFonts w:ascii="Times New Roman" w:hAnsi="Times New Roman" w:cs="Times New Roman"/>
          <w:sz w:val="20"/>
          <w:szCs w:val="20"/>
        </w:rPr>
        <w:t xml:space="preserve"> </w:t>
      </w:r>
    </w:p>
  </w:footnote>
  <w:footnote w:id="91">
    <w:p w14:paraId="69E07432" w14:textId="45C57D55" w:rsidR="009C5F34" w:rsidRDefault="009C5F34">
      <w:pPr>
        <w:pStyle w:val="FootnoteText"/>
      </w:pPr>
      <w:r>
        <w:rPr>
          <w:rStyle w:val="FootnoteReference"/>
        </w:rPr>
        <w:footnoteRef/>
      </w:r>
      <w:r>
        <w:t xml:space="preserve"> </w:t>
      </w:r>
      <w:r w:rsidRPr="008A4E9C">
        <w:rPr>
          <w:rFonts w:ascii="Times New Roman" w:hAnsi="Times New Roman" w:cs="Times New Roman"/>
          <w:sz w:val="20"/>
          <w:szCs w:val="20"/>
        </w:rPr>
        <w:t>Case worker 6, interview, 5</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March 2018</w:t>
      </w:r>
      <w:r>
        <w:rPr>
          <w:rFonts w:ascii="Times New Roman" w:hAnsi="Times New Roman" w:cs="Times New Roman"/>
          <w:sz w:val="20"/>
          <w:szCs w:val="20"/>
        </w:rPr>
        <w:t xml:space="preserve">; </w:t>
      </w:r>
      <w:r w:rsidRPr="008A4E9C">
        <w:rPr>
          <w:rFonts w:ascii="Times New Roman" w:hAnsi="Times New Roman" w:cs="Times New Roman"/>
          <w:sz w:val="20"/>
          <w:szCs w:val="20"/>
        </w:rPr>
        <w:t>Case worker 8, interview, 12</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r>
        <w:rPr>
          <w:rFonts w:ascii="Times New Roman" w:hAnsi="Times New Roman" w:cs="Times New Roman"/>
          <w:sz w:val="20"/>
          <w:szCs w:val="20"/>
        </w:rPr>
        <w:t xml:space="preserve">; </w:t>
      </w:r>
      <w:r w:rsidRPr="008A4E9C">
        <w:rPr>
          <w:rFonts w:ascii="Times New Roman" w:hAnsi="Times New Roman" w:cs="Times New Roman"/>
          <w:sz w:val="20"/>
          <w:szCs w:val="20"/>
        </w:rPr>
        <w:t>Case worker 4, interview, 26</w:t>
      </w:r>
      <w:r w:rsidRPr="008A4E9C">
        <w:rPr>
          <w:rFonts w:ascii="Times New Roman" w:hAnsi="Times New Roman" w:cs="Times New Roman"/>
          <w:sz w:val="20"/>
          <w:szCs w:val="20"/>
          <w:vertAlign w:val="superscript"/>
        </w:rPr>
        <w:t>th</w:t>
      </w:r>
      <w:r w:rsidRPr="008A4E9C">
        <w:rPr>
          <w:rFonts w:ascii="Times New Roman" w:hAnsi="Times New Roman" w:cs="Times New Roman"/>
          <w:sz w:val="20"/>
          <w:szCs w:val="20"/>
        </w:rPr>
        <w:t xml:space="preserve"> February 2018</w:t>
      </w:r>
    </w:p>
  </w:footnote>
  <w:footnote w:id="92">
    <w:p w14:paraId="4746BCF6" w14:textId="0D03D2CA"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Modern Slavery (Victim Support) Bill [HL] (2017)</w:t>
      </w:r>
    </w:p>
  </w:footnote>
  <w:footnote w:id="93">
    <w:p w14:paraId="27646BAA" w14:textId="548E2F49"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Ibid</w:t>
      </w:r>
    </w:p>
  </w:footnote>
  <w:footnote w:id="94">
    <w:p w14:paraId="4FC64C74" w14:textId="735EFB92" w:rsidR="009C5F34" w:rsidRPr="00CC0AF5" w:rsidRDefault="009C5F34">
      <w:pPr>
        <w:pStyle w:val="FootnoteText"/>
        <w:rPr>
          <w:rFonts w:ascii="Times New Roman" w:hAnsi="Times New Roman" w:cs="Times New Roman"/>
          <w:sz w:val="20"/>
          <w:szCs w:val="20"/>
        </w:rPr>
      </w:pPr>
      <w:r w:rsidRPr="00CC0AF5">
        <w:rPr>
          <w:rStyle w:val="FootnoteReference"/>
          <w:rFonts w:ascii="Times New Roman" w:hAnsi="Times New Roman" w:cs="Times New Roman"/>
          <w:sz w:val="20"/>
          <w:szCs w:val="20"/>
        </w:rPr>
        <w:footnoteRef/>
      </w:r>
      <w:r w:rsidRPr="00CC0AF5">
        <w:rPr>
          <w:rFonts w:ascii="Times New Roman" w:hAnsi="Times New Roman" w:cs="Times New Roman"/>
          <w:sz w:val="20"/>
          <w:szCs w:val="20"/>
        </w:rPr>
        <w:t xml:space="preserve"> </w:t>
      </w:r>
      <w:r w:rsidRPr="00CC0AF5">
        <w:rPr>
          <w:rFonts w:ascii="Times New Roman" w:hAnsi="Times New Roman" w:cs="Times New Roman"/>
          <w:sz w:val="20"/>
          <w:szCs w:val="20"/>
          <w:lang w:val="en-GB"/>
        </w:rPr>
        <w:t>https://publications.parliament.uk/pa/cm201719/cmselect/cmworpen/672/672.pdf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C24"/>
    <w:multiLevelType w:val="hybridMultilevel"/>
    <w:tmpl w:val="51AC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A3511"/>
    <w:multiLevelType w:val="multilevel"/>
    <w:tmpl w:val="02B2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E5772"/>
    <w:multiLevelType w:val="hybridMultilevel"/>
    <w:tmpl w:val="CD54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40601"/>
    <w:multiLevelType w:val="hybridMultilevel"/>
    <w:tmpl w:val="1F5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C47D8"/>
    <w:multiLevelType w:val="hybridMultilevel"/>
    <w:tmpl w:val="E62C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879DC"/>
    <w:multiLevelType w:val="multilevel"/>
    <w:tmpl w:val="02B2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6B2131"/>
    <w:multiLevelType w:val="hybridMultilevel"/>
    <w:tmpl w:val="163C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70A4B"/>
    <w:multiLevelType w:val="hybridMultilevel"/>
    <w:tmpl w:val="3D7C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E1076"/>
    <w:multiLevelType w:val="hybridMultilevel"/>
    <w:tmpl w:val="8B9430D8"/>
    <w:lvl w:ilvl="0" w:tplc="AE2C80DA">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B4188F"/>
    <w:multiLevelType w:val="hybridMultilevel"/>
    <w:tmpl w:val="2DD236AE"/>
    <w:lvl w:ilvl="0" w:tplc="FAECF8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9564C"/>
    <w:multiLevelType w:val="hybridMultilevel"/>
    <w:tmpl w:val="8D62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81596"/>
    <w:multiLevelType w:val="hybridMultilevel"/>
    <w:tmpl w:val="BE6C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35EC0"/>
    <w:multiLevelType w:val="hybridMultilevel"/>
    <w:tmpl w:val="7E6A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A24A46"/>
    <w:multiLevelType w:val="hybridMultilevel"/>
    <w:tmpl w:val="544A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B036C"/>
    <w:multiLevelType w:val="hybridMultilevel"/>
    <w:tmpl w:val="5604280C"/>
    <w:lvl w:ilvl="0" w:tplc="BB3EDB2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25710"/>
    <w:multiLevelType w:val="hybridMultilevel"/>
    <w:tmpl w:val="0564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04081"/>
    <w:multiLevelType w:val="hybridMultilevel"/>
    <w:tmpl w:val="7B84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44"/>
    </w:lvlOverride>
  </w:num>
  <w:num w:numId="3">
    <w:abstractNumId w:val="1"/>
    <w:lvlOverride w:ilvl="0">
      <w:startOverride w:val="45"/>
    </w:lvlOverride>
  </w:num>
  <w:num w:numId="4">
    <w:abstractNumId w:val="5"/>
  </w:num>
  <w:num w:numId="5">
    <w:abstractNumId w:val="0"/>
  </w:num>
  <w:num w:numId="6">
    <w:abstractNumId w:val="4"/>
  </w:num>
  <w:num w:numId="7">
    <w:abstractNumId w:val="16"/>
  </w:num>
  <w:num w:numId="8">
    <w:abstractNumId w:val="15"/>
  </w:num>
  <w:num w:numId="9">
    <w:abstractNumId w:val="10"/>
  </w:num>
  <w:num w:numId="10">
    <w:abstractNumId w:val="12"/>
  </w:num>
  <w:num w:numId="11">
    <w:abstractNumId w:val="13"/>
  </w:num>
  <w:num w:numId="12">
    <w:abstractNumId w:val="3"/>
  </w:num>
  <w:num w:numId="13">
    <w:abstractNumId w:val="6"/>
  </w:num>
  <w:num w:numId="14">
    <w:abstractNumId w:val="8"/>
  </w:num>
  <w:num w:numId="15">
    <w:abstractNumId w:val="7"/>
  </w:num>
  <w:num w:numId="16">
    <w:abstractNumId w:val="9"/>
  </w:num>
  <w:num w:numId="17">
    <w:abstractNumId w:val="14"/>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rson w15:author="Editor 2">
    <w15:presenceInfo w15:providerId="None" w15:userId="Edito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e0MDUzNTM2NjUxMjJQ0lEKTi0uzszPAykwrAUArXL5LSwAAAA="/>
  </w:docVars>
  <w:rsids>
    <w:rsidRoot w:val="00597440"/>
    <w:rsid w:val="00005EA6"/>
    <w:rsid w:val="00007ECF"/>
    <w:rsid w:val="00015DCF"/>
    <w:rsid w:val="0004574B"/>
    <w:rsid w:val="00050074"/>
    <w:rsid w:val="00072649"/>
    <w:rsid w:val="000A4058"/>
    <w:rsid w:val="000B687E"/>
    <w:rsid w:val="000F3408"/>
    <w:rsid w:val="000F3476"/>
    <w:rsid w:val="001205E8"/>
    <w:rsid w:val="00121756"/>
    <w:rsid w:val="00122DAB"/>
    <w:rsid w:val="0014627A"/>
    <w:rsid w:val="001607E0"/>
    <w:rsid w:val="001666C1"/>
    <w:rsid w:val="00166E4F"/>
    <w:rsid w:val="001863D9"/>
    <w:rsid w:val="001B4EED"/>
    <w:rsid w:val="001C2EDA"/>
    <w:rsid w:val="001D6AD5"/>
    <w:rsid w:val="002170BB"/>
    <w:rsid w:val="0022328D"/>
    <w:rsid w:val="00226D54"/>
    <w:rsid w:val="00250E7C"/>
    <w:rsid w:val="0025435B"/>
    <w:rsid w:val="0026454E"/>
    <w:rsid w:val="0026458F"/>
    <w:rsid w:val="002928C4"/>
    <w:rsid w:val="002A0BE8"/>
    <w:rsid w:val="002A1E53"/>
    <w:rsid w:val="002A46D4"/>
    <w:rsid w:val="002B42D0"/>
    <w:rsid w:val="002C1BDD"/>
    <w:rsid w:val="002C4271"/>
    <w:rsid w:val="002D6519"/>
    <w:rsid w:val="00302E77"/>
    <w:rsid w:val="003151E6"/>
    <w:rsid w:val="00323D11"/>
    <w:rsid w:val="00327857"/>
    <w:rsid w:val="00333779"/>
    <w:rsid w:val="00363CF2"/>
    <w:rsid w:val="00364132"/>
    <w:rsid w:val="00364D77"/>
    <w:rsid w:val="00375EBA"/>
    <w:rsid w:val="003878EF"/>
    <w:rsid w:val="003944A9"/>
    <w:rsid w:val="00404B93"/>
    <w:rsid w:val="00423559"/>
    <w:rsid w:val="00430023"/>
    <w:rsid w:val="004406EC"/>
    <w:rsid w:val="0046007B"/>
    <w:rsid w:val="00465121"/>
    <w:rsid w:val="00476FE1"/>
    <w:rsid w:val="004928C4"/>
    <w:rsid w:val="00494735"/>
    <w:rsid w:val="00495C8F"/>
    <w:rsid w:val="004A13CA"/>
    <w:rsid w:val="004C22B5"/>
    <w:rsid w:val="004D3073"/>
    <w:rsid w:val="004D4239"/>
    <w:rsid w:val="004E0625"/>
    <w:rsid w:val="004E0BF7"/>
    <w:rsid w:val="004F3F7F"/>
    <w:rsid w:val="005151D8"/>
    <w:rsid w:val="00527F14"/>
    <w:rsid w:val="00546441"/>
    <w:rsid w:val="005536DE"/>
    <w:rsid w:val="00567F8E"/>
    <w:rsid w:val="00573E27"/>
    <w:rsid w:val="00581457"/>
    <w:rsid w:val="005927E7"/>
    <w:rsid w:val="00597440"/>
    <w:rsid w:val="005A2357"/>
    <w:rsid w:val="005C5986"/>
    <w:rsid w:val="005D3DAC"/>
    <w:rsid w:val="005D41D8"/>
    <w:rsid w:val="005E3390"/>
    <w:rsid w:val="005E3C11"/>
    <w:rsid w:val="005E7AFE"/>
    <w:rsid w:val="005F0C65"/>
    <w:rsid w:val="0060774A"/>
    <w:rsid w:val="00607D2B"/>
    <w:rsid w:val="00616C7E"/>
    <w:rsid w:val="006319CC"/>
    <w:rsid w:val="00636D58"/>
    <w:rsid w:val="00637660"/>
    <w:rsid w:val="00641186"/>
    <w:rsid w:val="00653E38"/>
    <w:rsid w:val="00655226"/>
    <w:rsid w:val="0066744B"/>
    <w:rsid w:val="00685E2C"/>
    <w:rsid w:val="0069003F"/>
    <w:rsid w:val="006940B5"/>
    <w:rsid w:val="006C31A2"/>
    <w:rsid w:val="006D09E7"/>
    <w:rsid w:val="006E18D8"/>
    <w:rsid w:val="006E37D9"/>
    <w:rsid w:val="006E4451"/>
    <w:rsid w:val="00714DCC"/>
    <w:rsid w:val="00717395"/>
    <w:rsid w:val="007219CC"/>
    <w:rsid w:val="00727655"/>
    <w:rsid w:val="00741244"/>
    <w:rsid w:val="00751939"/>
    <w:rsid w:val="00760D06"/>
    <w:rsid w:val="0077484B"/>
    <w:rsid w:val="00782374"/>
    <w:rsid w:val="00782849"/>
    <w:rsid w:val="00790C87"/>
    <w:rsid w:val="00794A4F"/>
    <w:rsid w:val="007957BF"/>
    <w:rsid w:val="007A5E00"/>
    <w:rsid w:val="007A62E1"/>
    <w:rsid w:val="007B2995"/>
    <w:rsid w:val="00813DA2"/>
    <w:rsid w:val="00832B67"/>
    <w:rsid w:val="00835F30"/>
    <w:rsid w:val="0084108E"/>
    <w:rsid w:val="008411B0"/>
    <w:rsid w:val="00847DEB"/>
    <w:rsid w:val="00862C7F"/>
    <w:rsid w:val="00866BCA"/>
    <w:rsid w:val="008952AB"/>
    <w:rsid w:val="00897254"/>
    <w:rsid w:val="008F1244"/>
    <w:rsid w:val="00906911"/>
    <w:rsid w:val="00914740"/>
    <w:rsid w:val="009151B8"/>
    <w:rsid w:val="00952549"/>
    <w:rsid w:val="009644E7"/>
    <w:rsid w:val="00984384"/>
    <w:rsid w:val="009863F2"/>
    <w:rsid w:val="00990578"/>
    <w:rsid w:val="00996933"/>
    <w:rsid w:val="009A2670"/>
    <w:rsid w:val="009A5620"/>
    <w:rsid w:val="009B637D"/>
    <w:rsid w:val="009C5F34"/>
    <w:rsid w:val="009E2B9F"/>
    <w:rsid w:val="00A13B1B"/>
    <w:rsid w:val="00A17FEB"/>
    <w:rsid w:val="00A24F36"/>
    <w:rsid w:val="00A56794"/>
    <w:rsid w:val="00A644BB"/>
    <w:rsid w:val="00A65B74"/>
    <w:rsid w:val="00A7668E"/>
    <w:rsid w:val="00A86BF8"/>
    <w:rsid w:val="00AA643C"/>
    <w:rsid w:val="00AD35E5"/>
    <w:rsid w:val="00AE0083"/>
    <w:rsid w:val="00AE1102"/>
    <w:rsid w:val="00AE68B6"/>
    <w:rsid w:val="00AF089B"/>
    <w:rsid w:val="00AF4D0E"/>
    <w:rsid w:val="00B124E5"/>
    <w:rsid w:val="00B461EF"/>
    <w:rsid w:val="00B56FA1"/>
    <w:rsid w:val="00B729C7"/>
    <w:rsid w:val="00B76F63"/>
    <w:rsid w:val="00B8138C"/>
    <w:rsid w:val="00B94BC3"/>
    <w:rsid w:val="00BA448D"/>
    <w:rsid w:val="00BB7184"/>
    <w:rsid w:val="00BC35B9"/>
    <w:rsid w:val="00BC5814"/>
    <w:rsid w:val="00BE466F"/>
    <w:rsid w:val="00BE4A68"/>
    <w:rsid w:val="00BF2E31"/>
    <w:rsid w:val="00C0713E"/>
    <w:rsid w:val="00C1220A"/>
    <w:rsid w:val="00C17074"/>
    <w:rsid w:val="00C21130"/>
    <w:rsid w:val="00C46E17"/>
    <w:rsid w:val="00C810A8"/>
    <w:rsid w:val="00C824EF"/>
    <w:rsid w:val="00C864C4"/>
    <w:rsid w:val="00C93200"/>
    <w:rsid w:val="00C951BB"/>
    <w:rsid w:val="00C96919"/>
    <w:rsid w:val="00CA493F"/>
    <w:rsid w:val="00CC0AF5"/>
    <w:rsid w:val="00CD61D3"/>
    <w:rsid w:val="00CE2065"/>
    <w:rsid w:val="00CF01BC"/>
    <w:rsid w:val="00CF163E"/>
    <w:rsid w:val="00CF43E2"/>
    <w:rsid w:val="00D13879"/>
    <w:rsid w:val="00D20FFD"/>
    <w:rsid w:val="00D218F4"/>
    <w:rsid w:val="00D30C31"/>
    <w:rsid w:val="00D45AD9"/>
    <w:rsid w:val="00D64AF9"/>
    <w:rsid w:val="00D81D06"/>
    <w:rsid w:val="00D84D64"/>
    <w:rsid w:val="00D9172B"/>
    <w:rsid w:val="00DC7B2D"/>
    <w:rsid w:val="00DD0249"/>
    <w:rsid w:val="00DD2FCF"/>
    <w:rsid w:val="00DE12F5"/>
    <w:rsid w:val="00DE5A2B"/>
    <w:rsid w:val="00E24072"/>
    <w:rsid w:val="00E247CB"/>
    <w:rsid w:val="00E32050"/>
    <w:rsid w:val="00E3791B"/>
    <w:rsid w:val="00E54853"/>
    <w:rsid w:val="00E6576E"/>
    <w:rsid w:val="00E67B18"/>
    <w:rsid w:val="00E7004F"/>
    <w:rsid w:val="00E71B2E"/>
    <w:rsid w:val="00E747FE"/>
    <w:rsid w:val="00EA5FD6"/>
    <w:rsid w:val="00EB59D5"/>
    <w:rsid w:val="00EC2A5D"/>
    <w:rsid w:val="00F04B3D"/>
    <w:rsid w:val="00F128B9"/>
    <w:rsid w:val="00F155C1"/>
    <w:rsid w:val="00F17570"/>
    <w:rsid w:val="00F2774B"/>
    <w:rsid w:val="00F306B3"/>
    <w:rsid w:val="00F5454C"/>
    <w:rsid w:val="00F5514E"/>
    <w:rsid w:val="00F91BE7"/>
    <w:rsid w:val="00FB621E"/>
    <w:rsid w:val="00FB6F96"/>
    <w:rsid w:val="00FC5295"/>
    <w:rsid w:val="00FD06F8"/>
    <w:rsid w:val="00FD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9414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B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440"/>
    <w:pPr>
      <w:ind w:left="720"/>
      <w:contextualSpacing/>
    </w:pPr>
  </w:style>
  <w:style w:type="paragraph" w:styleId="FootnoteText">
    <w:name w:val="footnote text"/>
    <w:basedOn w:val="Normal"/>
    <w:link w:val="FootnoteTextChar"/>
    <w:uiPriority w:val="99"/>
    <w:unhideWhenUsed/>
    <w:rsid w:val="00A7668E"/>
  </w:style>
  <w:style w:type="character" w:customStyle="1" w:styleId="FootnoteTextChar">
    <w:name w:val="Footnote Text Char"/>
    <w:basedOn w:val="DefaultParagraphFont"/>
    <w:link w:val="FootnoteText"/>
    <w:uiPriority w:val="99"/>
    <w:rsid w:val="00A7668E"/>
  </w:style>
  <w:style w:type="character" w:styleId="FootnoteReference">
    <w:name w:val="footnote reference"/>
    <w:basedOn w:val="DefaultParagraphFont"/>
    <w:uiPriority w:val="99"/>
    <w:unhideWhenUsed/>
    <w:rsid w:val="00A7668E"/>
    <w:rPr>
      <w:vertAlign w:val="superscript"/>
    </w:rPr>
  </w:style>
  <w:style w:type="paragraph" w:styleId="EndnoteText">
    <w:name w:val="endnote text"/>
    <w:basedOn w:val="Normal"/>
    <w:link w:val="EndnoteTextChar"/>
    <w:uiPriority w:val="99"/>
    <w:unhideWhenUsed/>
    <w:rsid w:val="00E7004F"/>
  </w:style>
  <w:style w:type="character" w:customStyle="1" w:styleId="EndnoteTextChar">
    <w:name w:val="Endnote Text Char"/>
    <w:basedOn w:val="DefaultParagraphFont"/>
    <w:link w:val="EndnoteText"/>
    <w:uiPriority w:val="99"/>
    <w:rsid w:val="00E7004F"/>
  </w:style>
  <w:style w:type="character" w:styleId="EndnoteReference">
    <w:name w:val="endnote reference"/>
    <w:basedOn w:val="DefaultParagraphFont"/>
    <w:uiPriority w:val="99"/>
    <w:unhideWhenUsed/>
    <w:rsid w:val="00E7004F"/>
    <w:rPr>
      <w:vertAlign w:val="superscript"/>
    </w:rPr>
  </w:style>
  <w:style w:type="character" w:styleId="Emphasis">
    <w:name w:val="Emphasis"/>
    <w:basedOn w:val="DefaultParagraphFont"/>
    <w:uiPriority w:val="20"/>
    <w:qFormat/>
    <w:rsid w:val="00AF089B"/>
    <w:rPr>
      <w:i/>
      <w:iCs/>
    </w:rPr>
  </w:style>
  <w:style w:type="character" w:styleId="Hyperlink">
    <w:name w:val="Hyperlink"/>
    <w:basedOn w:val="DefaultParagraphFont"/>
    <w:uiPriority w:val="99"/>
    <w:unhideWhenUsed/>
    <w:rsid w:val="00AD35E5"/>
    <w:rPr>
      <w:color w:val="0000FF"/>
      <w:u w:val="single"/>
    </w:rPr>
  </w:style>
  <w:style w:type="paragraph" w:styleId="BalloonText">
    <w:name w:val="Balloon Text"/>
    <w:basedOn w:val="Normal"/>
    <w:link w:val="BalloonTextChar"/>
    <w:uiPriority w:val="99"/>
    <w:semiHidden/>
    <w:unhideWhenUsed/>
    <w:rsid w:val="00741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244"/>
    <w:rPr>
      <w:rFonts w:ascii="Lucida Grande" w:hAnsi="Lucida Grande" w:cs="Lucida Grande"/>
      <w:sz w:val="18"/>
      <w:szCs w:val="18"/>
    </w:rPr>
  </w:style>
  <w:style w:type="character" w:customStyle="1" w:styleId="Heading1Char">
    <w:name w:val="Heading 1 Char"/>
    <w:basedOn w:val="DefaultParagraphFont"/>
    <w:link w:val="Heading1"/>
    <w:uiPriority w:val="9"/>
    <w:rsid w:val="00A86BF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86BF8"/>
    <w:rPr>
      <w:sz w:val="16"/>
      <w:szCs w:val="16"/>
    </w:rPr>
  </w:style>
  <w:style w:type="paragraph" w:styleId="CommentText">
    <w:name w:val="annotation text"/>
    <w:basedOn w:val="Normal"/>
    <w:link w:val="CommentTextChar"/>
    <w:uiPriority w:val="99"/>
    <w:semiHidden/>
    <w:unhideWhenUsed/>
    <w:rsid w:val="00A86BF8"/>
    <w:rPr>
      <w:sz w:val="20"/>
      <w:szCs w:val="20"/>
    </w:rPr>
  </w:style>
  <w:style w:type="character" w:customStyle="1" w:styleId="CommentTextChar">
    <w:name w:val="Comment Text Char"/>
    <w:basedOn w:val="DefaultParagraphFont"/>
    <w:link w:val="CommentText"/>
    <w:uiPriority w:val="99"/>
    <w:semiHidden/>
    <w:rsid w:val="00A86BF8"/>
    <w:rPr>
      <w:sz w:val="20"/>
      <w:szCs w:val="20"/>
    </w:rPr>
  </w:style>
  <w:style w:type="paragraph" w:styleId="CommentSubject">
    <w:name w:val="annotation subject"/>
    <w:basedOn w:val="CommentText"/>
    <w:next w:val="CommentText"/>
    <w:link w:val="CommentSubjectChar"/>
    <w:uiPriority w:val="99"/>
    <w:semiHidden/>
    <w:unhideWhenUsed/>
    <w:rsid w:val="00A86BF8"/>
    <w:rPr>
      <w:b/>
      <w:bCs/>
    </w:rPr>
  </w:style>
  <w:style w:type="character" w:customStyle="1" w:styleId="CommentSubjectChar">
    <w:name w:val="Comment Subject Char"/>
    <w:basedOn w:val="CommentTextChar"/>
    <w:link w:val="CommentSubject"/>
    <w:uiPriority w:val="99"/>
    <w:semiHidden/>
    <w:rsid w:val="00A86BF8"/>
    <w:rPr>
      <w:b/>
      <w:bCs/>
      <w:sz w:val="20"/>
      <w:szCs w:val="20"/>
    </w:rPr>
  </w:style>
  <w:style w:type="paragraph" w:styleId="Revision">
    <w:name w:val="Revision"/>
    <w:hidden/>
    <w:uiPriority w:val="99"/>
    <w:semiHidden/>
    <w:rsid w:val="00D30C31"/>
  </w:style>
  <w:style w:type="paragraph" w:styleId="Footer">
    <w:name w:val="footer"/>
    <w:basedOn w:val="Normal"/>
    <w:link w:val="FooterChar"/>
    <w:uiPriority w:val="99"/>
    <w:unhideWhenUsed/>
    <w:rsid w:val="00CF163E"/>
    <w:pPr>
      <w:tabs>
        <w:tab w:val="center" w:pos="4320"/>
        <w:tab w:val="right" w:pos="8640"/>
      </w:tabs>
    </w:pPr>
  </w:style>
  <w:style w:type="character" w:customStyle="1" w:styleId="FooterChar">
    <w:name w:val="Footer Char"/>
    <w:basedOn w:val="DefaultParagraphFont"/>
    <w:link w:val="Footer"/>
    <w:uiPriority w:val="99"/>
    <w:rsid w:val="00CF163E"/>
  </w:style>
  <w:style w:type="character" w:styleId="PageNumber">
    <w:name w:val="page number"/>
    <w:basedOn w:val="DefaultParagraphFont"/>
    <w:uiPriority w:val="99"/>
    <w:semiHidden/>
    <w:unhideWhenUsed/>
    <w:rsid w:val="00CF1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B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440"/>
    <w:pPr>
      <w:ind w:left="720"/>
      <w:contextualSpacing/>
    </w:pPr>
  </w:style>
  <w:style w:type="paragraph" w:styleId="FootnoteText">
    <w:name w:val="footnote text"/>
    <w:basedOn w:val="Normal"/>
    <w:link w:val="FootnoteTextChar"/>
    <w:uiPriority w:val="99"/>
    <w:unhideWhenUsed/>
    <w:rsid w:val="00A7668E"/>
  </w:style>
  <w:style w:type="character" w:customStyle="1" w:styleId="FootnoteTextChar">
    <w:name w:val="Footnote Text Char"/>
    <w:basedOn w:val="DefaultParagraphFont"/>
    <w:link w:val="FootnoteText"/>
    <w:uiPriority w:val="99"/>
    <w:rsid w:val="00A7668E"/>
  </w:style>
  <w:style w:type="character" w:styleId="FootnoteReference">
    <w:name w:val="footnote reference"/>
    <w:basedOn w:val="DefaultParagraphFont"/>
    <w:uiPriority w:val="99"/>
    <w:unhideWhenUsed/>
    <w:rsid w:val="00A7668E"/>
    <w:rPr>
      <w:vertAlign w:val="superscript"/>
    </w:rPr>
  </w:style>
  <w:style w:type="paragraph" w:styleId="EndnoteText">
    <w:name w:val="endnote text"/>
    <w:basedOn w:val="Normal"/>
    <w:link w:val="EndnoteTextChar"/>
    <w:uiPriority w:val="99"/>
    <w:unhideWhenUsed/>
    <w:rsid w:val="00E7004F"/>
  </w:style>
  <w:style w:type="character" w:customStyle="1" w:styleId="EndnoteTextChar">
    <w:name w:val="Endnote Text Char"/>
    <w:basedOn w:val="DefaultParagraphFont"/>
    <w:link w:val="EndnoteText"/>
    <w:uiPriority w:val="99"/>
    <w:rsid w:val="00E7004F"/>
  </w:style>
  <w:style w:type="character" w:styleId="EndnoteReference">
    <w:name w:val="endnote reference"/>
    <w:basedOn w:val="DefaultParagraphFont"/>
    <w:uiPriority w:val="99"/>
    <w:unhideWhenUsed/>
    <w:rsid w:val="00E7004F"/>
    <w:rPr>
      <w:vertAlign w:val="superscript"/>
    </w:rPr>
  </w:style>
  <w:style w:type="character" w:styleId="Emphasis">
    <w:name w:val="Emphasis"/>
    <w:basedOn w:val="DefaultParagraphFont"/>
    <w:uiPriority w:val="20"/>
    <w:qFormat/>
    <w:rsid w:val="00AF089B"/>
    <w:rPr>
      <w:i/>
      <w:iCs/>
    </w:rPr>
  </w:style>
  <w:style w:type="character" w:styleId="Hyperlink">
    <w:name w:val="Hyperlink"/>
    <w:basedOn w:val="DefaultParagraphFont"/>
    <w:uiPriority w:val="99"/>
    <w:unhideWhenUsed/>
    <w:rsid w:val="00AD35E5"/>
    <w:rPr>
      <w:color w:val="0000FF"/>
      <w:u w:val="single"/>
    </w:rPr>
  </w:style>
  <w:style w:type="paragraph" w:styleId="BalloonText">
    <w:name w:val="Balloon Text"/>
    <w:basedOn w:val="Normal"/>
    <w:link w:val="BalloonTextChar"/>
    <w:uiPriority w:val="99"/>
    <w:semiHidden/>
    <w:unhideWhenUsed/>
    <w:rsid w:val="00741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244"/>
    <w:rPr>
      <w:rFonts w:ascii="Lucida Grande" w:hAnsi="Lucida Grande" w:cs="Lucida Grande"/>
      <w:sz w:val="18"/>
      <w:szCs w:val="18"/>
    </w:rPr>
  </w:style>
  <w:style w:type="character" w:customStyle="1" w:styleId="Heading1Char">
    <w:name w:val="Heading 1 Char"/>
    <w:basedOn w:val="DefaultParagraphFont"/>
    <w:link w:val="Heading1"/>
    <w:uiPriority w:val="9"/>
    <w:rsid w:val="00A86BF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86BF8"/>
    <w:rPr>
      <w:sz w:val="16"/>
      <w:szCs w:val="16"/>
    </w:rPr>
  </w:style>
  <w:style w:type="paragraph" w:styleId="CommentText">
    <w:name w:val="annotation text"/>
    <w:basedOn w:val="Normal"/>
    <w:link w:val="CommentTextChar"/>
    <w:uiPriority w:val="99"/>
    <w:semiHidden/>
    <w:unhideWhenUsed/>
    <w:rsid w:val="00A86BF8"/>
    <w:rPr>
      <w:sz w:val="20"/>
      <w:szCs w:val="20"/>
    </w:rPr>
  </w:style>
  <w:style w:type="character" w:customStyle="1" w:styleId="CommentTextChar">
    <w:name w:val="Comment Text Char"/>
    <w:basedOn w:val="DefaultParagraphFont"/>
    <w:link w:val="CommentText"/>
    <w:uiPriority w:val="99"/>
    <w:semiHidden/>
    <w:rsid w:val="00A86BF8"/>
    <w:rPr>
      <w:sz w:val="20"/>
      <w:szCs w:val="20"/>
    </w:rPr>
  </w:style>
  <w:style w:type="paragraph" w:styleId="CommentSubject">
    <w:name w:val="annotation subject"/>
    <w:basedOn w:val="CommentText"/>
    <w:next w:val="CommentText"/>
    <w:link w:val="CommentSubjectChar"/>
    <w:uiPriority w:val="99"/>
    <w:semiHidden/>
    <w:unhideWhenUsed/>
    <w:rsid w:val="00A86BF8"/>
    <w:rPr>
      <w:b/>
      <w:bCs/>
    </w:rPr>
  </w:style>
  <w:style w:type="character" w:customStyle="1" w:styleId="CommentSubjectChar">
    <w:name w:val="Comment Subject Char"/>
    <w:basedOn w:val="CommentTextChar"/>
    <w:link w:val="CommentSubject"/>
    <w:uiPriority w:val="99"/>
    <w:semiHidden/>
    <w:rsid w:val="00A86BF8"/>
    <w:rPr>
      <w:b/>
      <w:bCs/>
      <w:sz w:val="20"/>
      <w:szCs w:val="20"/>
    </w:rPr>
  </w:style>
  <w:style w:type="paragraph" w:styleId="Revision">
    <w:name w:val="Revision"/>
    <w:hidden/>
    <w:uiPriority w:val="99"/>
    <w:semiHidden/>
    <w:rsid w:val="00D30C31"/>
  </w:style>
  <w:style w:type="paragraph" w:styleId="Footer">
    <w:name w:val="footer"/>
    <w:basedOn w:val="Normal"/>
    <w:link w:val="FooterChar"/>
    <w:uiPriority w:val="99"/>
    <w:unhideWhenUsed/>
    <w:rsid w:val="00CF163E"/>
    <w:pPr>
      <w:tabs>
        <w:tab w:val="center" w:pos="4320"/>
        <w:tab w:val="right" w:pos="8640"/>
      </w:tabs>
    </w:pPr>
  </w:style>
  <w:style w:type="character" w:customStyle="1" w:styleId="FooterChar">
    <w:name w:val="Footer Char"/>
    <w:basedOn w:val="DefaultParagraphFont"/>
    <w:link w:val="Footer"/>
    <w:uiPriority w:val="99"/>
    <w:rsid w:val="00CF163E"/>
  </w:style>
  <w:style w:type="character" w:styleId="PageNumber">
    <w:name w:val="page number"/>
    <w:basedOn w:val="DefaultParagraphFont"/>
    <w:uiPriority w:val="99"/>
    <w:semiHidden/>
    <w:unhideWhenUsed/>
    <w:rsid w:val="00CF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426">
      <w:bodyDiv w:val="1"/>
      <w:marLeft w:val="0"/>
      <w:marRight w:val="0"/>
      <w:marTop w:val="0"/>
      <w:marBottom w:val="0"/>
      <w:divBdr>
        <w:top w:val="none" w:sz="0" w:space="0" w:color="auto"/>
        <w:left w:val="none" w:sz="0" w:space="0" w:color="auto"/>
        <w:bottom w:val="none" w:sz="0" w:space="0" w:color="auto"/>
        <w:right w:val="none" w:sz="0" w:space="0" w:color="auto"/>
      </w:divBdr>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1701857428">
          <w:marLeft w:val="0"/>
          <w:marRight w:val="0"/>
          <w:marTop w:val="0"/>
          <w:marBottom w:val="0"/>
          <w:divBdr>
            <w:top w:val="none" w:sz="0" w:space="0" w:color="auto"/>
            <w:left w:val="none" w:sz="0" w:space="0" w:color="auto"/>
            <w:bottom w:val="none" w:sz="0" w:space="0" w:color="auto"/>
            <w:right w:val="none" w:sz="0" w:space="0" w:color="auto"/>
          </w:divBdr>
        </w:div>
        <w:div w:id="1969622840">
          <w:marLeft w:val="0"/>
          <w:marRight w:val="0"/>
          <w:marTop w:val="0"/>
          <w:marBottom w:val="0"/>
          <w:divBdr>
            <w:top w:val="none" w:sz="0" w:space="0" w:color="auto"/>
            <w:left w:val="none" w:sz="0" w:space="0" w:color="auto"/>
            <w:bottom w:val="none" w:sz="0" w:space="0" w:color="auto"/>
            <w:right w:val="none" w:sz="0" w:space="0" w:color="auto"/>
          </w:divBdr>
        </w:div>
        <w:div w:id="1678268614">
          <w:marLeft w:val="0"/>
          <w:marRight w:val="0"/>
          <w:marTop w:val="0"/>
          <w:marBottom w:val="0"/>
          <w:divBdr>
            <w:top w:val="none" w:sz="0" w:space="0" w:color="auto"/>
            <w:left w:val="none" w:sz="0" w:space="0" w:color="auto"/>
            <w:bottom w:val="none" w:sz="0" w:space="0" w:color="auto"/>
            <w:right w:val="none" w:sz="0" w:space="0" w:color="auto"/>
          </w:divBdr>
        </w:div>
        <w:div w:id="1462920293">
          <w:marLeft w:val="0"/>
          <w:marRight w:val="0"/>
          <w:marTop w:val="0"/>
          <w:marBottom w:val="0"/>
          <w:divBdr>
            <w:top w:val="none" w:sz="0" w:space="0" w:color="auto"/>
            <w:left w:val="none" w:sz="0" w:space="0" w:color="auto"/>
            <w:bottom w:val="none" w:sz="0" w:space="0" w:color="auto"/>
            <w:right w:val="none" w:sz="0" w:space="0" w:color="auto"/>
          </w:divBdr>
        </w:div>
        <w:div w:id="780421531">
          <w:marLeft w:val="0"/>
          <w:marRight w:val="0"/>
          <w:marTop w:val="0"/>
          <w:marBottom w:val="0"/>
          <w:divBdr>
            <w:top w:val="none" w:sz="0" w:space="0" w:color="auto"/>
            <w:left w:val="none" w:sz="0" w:space="0" w:color="auto"/>
            <w:bottom w:val="none" w:sz="0" w:space="0" w:color="auto"/>
            <w:right w:val="none" w:sz="0" w:space="0" w:color="auto"/>
          </w:divBdr>
        </w:div>
        <w:div w:id="1673413611">
          <w:marLeft w:val="0"/>
          <w:marRight w:val="0"/>
          <w:marTop w:val="0"/>
          <w:marBottom w:val="0"/>
          <w:divBdr>
            <w:top w:val="none" w:sz="0" w:space="0" w:color="auto"/>
            <w:left w:val="none" w:sz="0" w:space="0" w:color="auto"/>
            <w:bottom w:val="none" w:sz="0" w:space="0" w:color="auto"/>
            <w:right w:val="none" w:sz="0" w:space="0" w:color="auto"/>
          </w:divBdr>
        </w:div>
        <w:div w:id="993950468">
          <w:marLeft w:val="0"/>
          <w:marRight w:val="0"/>
          <w:marTop w:val="0"/>
          <w:marBottom w:val="0"/>
          <w:divBdr>
            <w:top w:val="none" w:sz="0" w:space="0" w:color="auto"/>
            <w:left w:val="none" w:sz="0" w:space="0" w:color="auto"/>
            <w:bottom w:val="none" w:sz="0" w:space="0" w:color="auto"/>
            <w:right w:val="none" w:sz="0" w:space="0" w:color="auto"/>
          </w:divBdr>
        </w:div>
        <w:div w:id="96408126">
          <w:marLeft w:val="0"/>
          <w:marRight w:val="0"/>
          <w:marTop w:val="0"/>
          <w:marBottom w:val="0"/>
          <w:divBdr>
            <w:top w:val="none" w:sz="0" w:space="0" w:color="auto"/>
            <w:left w:val="none" w:sz="0" w:space="0" w:color="auto"/>
            <w:bottom w:val="none" w:sz="0" w:space="0" w:color="auto"/>
            <w:right w:val="none" w:sz="0" w:space="0" w:color="auto"/>
          </w:divBdr>
        </w:div>
        <w:div w:id="1860312466">
          <w:marLeft w:val="0"/>
          <w:marRight w:val="0"/>
          <w:marTop w:val="0"/>
          <w:marBottom w:val="0"/>
          <w:divBdr>
            <w:top w:val="none" w:sz="0" w:space="0" w:color="auto"/>
            <w:left w:val="none" w:sz="0" w:space="0" w:color="auto"/>
            <w:bottom w:val="none" w:sz="0" w:space="0" w:color="auto"/>
            <w:right w:val="none" w:sz="0" w:space="0" w:color="auto"/>
          </w:divBdr>
        </w:div>
        <w:div w:id="21445082">
          <w:marLeft w:val="0"/>
          <w:marRight w:val="0"/>
          <w:marTop w:val="0"/>
          <w:marBottom w:val="0"/>
          <w:divBdr>
            <w:top w:val="none" w:sz="0" w:space="0" w:color="auto"/>
            <w:left w:val="none" w:sz="0" w:space="0" w:color="auto"/>
            <w:bottom w:val="none" w:sz="0" w:space="0" w:color="auto"/>
            <w:right w:val="none" w:sz="0" w:space="0" w:color="auto"/>
          </w:divBdr>
        </w:div>
        <w:div w:id="135336377">
          <w:marLeft w:val="0"/>
          <w:marRight w:val="0"/>
          <w:marTop w:val="0"/>
          <w:marBottom w:val="0"/>
          <w:divBdr>
            <w:top w:val="none" w:sz="0" w:space="0" w:color="auto"/>
            <w:left w:val="none" w:sz="0" w:space="0" w:color="auto"/>
            <w:bottom w:val="none" w:sz="0" w:space="0" w:color="auto"/>
            <w:right w:val="none" w:sz="0" w:space="0" w:color="auto"/>
          </w:divBdr>
        </w:div>
      </w:divsChild>
    </w:div>
    <w:div w:id="147865193">
      <w:bodyDiv w:val="1"/>
      <w:marLeft w:val="0"/>
      <w:marRight w:val="0"/>
      <w:marTop w:val="0"/>
      <w:marBottom w:val="0"/>
      <w:divBdr>
        <w:top w:val="none" w:sz="0" w:space="0" w:color="auto"/>
        <w:left w:val="none" w:sz="0" w:space="0" w:color="auto"/>
        <w:bottom w:val="none" w:sz="0" w:space="0" w:color="auto"/>
        <w:right w:val="none" w:sz="0" w:space="0" w:color="auto"/>
      </w:divBdr>
    </w:div>
    <w:div w:id="207185322">
      <w:bodyDiv w:val="1"/>
      <w:marLeft w:val="0"/>
      <w:marRight w:val="0"/>
      <w:marTop w:val="0"/>
      <w:marBottom w:val="0"/>
      <w:divBdr>
        <w:top w:val="none" w:sz="0" w:space="0" w:color="auto"/>
        <w:left w:val="none" w:sz="0" w:space="0" w:color="auto"/>
        <w:bottom w:val="none" w:sz="0" w:space="0" w:color="auto"/>
        <w:right w:val="none" w:sz="0" w:space="0" w:color="auto"/>
      </w:divBdr>
    </w:div>
    <w:div w:id="267979122">
      <w:bodyDiv w:val="1"/>
      <w:marLeft w:val="0"/>
      <w:marRight w:val="0"/>
      <w:marTop w:val="0"/>
      <w:marBottom w:val="0"/>
      <w:divBdr>
        <w:top w:val="none" w:sz="0" w:space="0" w:color="auto"/>
        <w:left w:val="none" w:sz="0" w:space="0" w:color="auto"/>
        <w:bottom w:val="none" w:sz="0" w:space="0" w:color="auto"/>
        <w:right w:val="none" w:sz="0" w:space="0" w:color="auto"/>
      </w:divBdr>
    </w:div>
    <w:div w:id="369305607">
      <w:bodyDiv w:val="1"/>
      <w:marLeft w:val="0"/>
      <w:marRight w:val="0"/>
      <w:marTop w:val="0"/>
      <w:marBottom w:val="0"/>
      <w:divBdr>
        <w:top w:val="none" w:sz="0" w:space="0" w:color="auto"/>
        <w:left w:val="none" w:sz="0" w:space="0" w:color="auto"/>
        <w:bottom w:val="none" w:sz="0" w:space="0" w:color="auto"/>
        <w:right w:val="none" w:sz="0" w:space="0" w:color="auto"/>
      </w:divBdr>
    </w:div>
    <w:div w:id="402030445">
      <w:bodyDiv w:val="1"/>
      <w:marLeft w:val="0"/>
      <w:marRight w:val="0"/>
      <w:marTop w:val="0"/>
      <w:marBottom w:val="0"/>
      <w:divBdr>
        <w:top w:val="none" w:sz="0" w:space="0" w:color="auto"/>
        <w:left w:val="none" w:sz="0" w:space="0" w:color="auto"/>
        <w:bottom w:val="none" w:sz="0" w:space="0" w:color="auto"/>
        <w:right w:val="none" w:sz="0" w:space="0" w:color="auto"/>
      </w:divBdr>
    </w:div>
    <w:div w:id="432627518">
      <w:bodyDiv w:val="1"/>
      <w:marLeft w:val="0"/>
      <w:marRight w:val="0"/>
      <w:marTop w:val="0"/>
      <w:marBottom w:val="0"/>
      <w:divBdr>
        <w:top w:val="none" w:sz="0" w:space="0" w:color="auto"/>
        <w:left w:val="none" w:sz="0" w:space="0" w:color="auto"/>
        <w:bottom w:val="none" w:sz="0" w:space="0" w:color="auto"/>
        <w:right w:val="none" w:sz="0" w:space="0" w:color="auto"/>
      </w:divBdr>
    </w:div>
    <w:div w:id="536117131">
      <w:bodyDiv w:val="1"/>
      <w:marLeft w:val="0"/>
      <w:marRight w:val="0"/>
      <w:marTop w:val="0"/>
      <w:marBottom w:val="0"/>
      <w:divBdr>
        <w:top w:val="none" w:sz="0" w:space="0" w:color="auto"/>
        <w:left w:val="none" w:sz="0" w:space="0" w:color="auto"/>
        <w:bottom w:val="none" w:sz="0" w:space="0" w:color="auto"/>
        <w:right w:val="none" w:sz="0" w:space="0" w:color="auto"/>
      </w:divBdr>
    </w:div>
    <w:div w:id="594096680">
      <w:bodyDiv w:val="1"/>
      <w:marLeft w:val="0"/>
      <w:marRight w:val="0"/>
      <w:marTop w:val="0"/>
      <w:marBottom w:val="0"/>
      <w:divBdr>
        <w:top w:val="none" w:sz="0" w:space="0" w:color="auto"/>
        <w:left w:val="none" w:sz="0" w:space="0" w:color="auto"/>
        <w:bottom w:val="none" w:sz="0" w:space="0" w:color="auto"/>
        <w:right w:val="none" w:sz="0" w:space="0" w:color="auto"/>
      </w:divBdr>
    </w:div>
    <w:div w:id="610359579">
      <w:bodyDiv w:val="1"/>
      <w:marLeft w:val="0"/>
      <w:marRight w:val="0"/>
      <w:marTop w:val="0"/>
      <w:marBottom w:val="0"/>
      <w:divBdr>
        <w:top w:val="none" w:sz="0" w:space="0" w:color="auto"/>
        <w:left w:val="none" w:sz="0" w:space="0" w:color="auto"/>
        <w:bottom w:val="none" w:sz="0" w:space="0" w:color="auto"/>
        <w:right w:val="none" w:sz="0" w:space="0" w:color="auto"/>
      </w:divBdr>
    </w:div>
    <w:div w:id="677972037">
      <w:bodyDiv w:val="1"/>
      <w:marLeft w:val="0"/>
      <w:marRight w:val="0"/>
      <w:marTop w:val="0"/>
      <w:marBottom w:val="0"/>
      <w:divBdr>
        <w:top w:val="none" w:sz="0" w:space="0" w:color="auto"/>
        <w:left w:val="none" w:sz="0" w:space="0" w:color="auto"/>
        <w:bottom w:val="none" w:sz="0" w:space="0" w:color="auto"/>
        <w:right w:val="none" w:sz="0" w:space="0" w:color="auto"/>
      </w:divBdr>
    </w:div>
    <w:div w:id="699353200">
      <w:bodyDiv w:val="1"/>
      <w:marLeft w:val="0"/>
      <w:marRight w:val="0"/>
      <w:marTop w:val="0"/>
      <w:marBottom w:val="0"/>
      <w:divBdr>
        <w:top w:val="none" w:sz="0" w:space="0" w:color="auto"/>
        <w:left w:val="none" w:sz="0" w:space="0" w:color="auto"/>
        <w:bottom w:val="none" w:sz="0" w:space="0" w:color="auto"/>
        <w:right w:val="none" w:sz="0" w:space="0" w:color="auto"/>
      </w:divBdr>
    </w:div>
    <w:div w:id="705298921">
      <w:bodyDiv w:val="1"/>
      <w:marLeft w:val="0"/>
      <w:marRight w:val="0"/>
      <w:marTop w:val="0"/>
      <w:marBottom w:val="0"/>
      <w:divBdr>
        <w:top w:val="none" w:sz="0" w:space="0" w:color="auto"/>
        <w:left w:val="none" w:sz="0" w:space="0" w:color="auto"/>
        <w:bottom w:val="none" w:sz="0" w:space="0" w:color="auto"/>
        <w:right w:val="none" w:sz="0" w:space="0" w:color="auto"/>
      </w:divBdr>
    </w:div>
    <w:div w:id="714932816">
      <w:bodyDiv w:val="1"/>
      <w:marLeft w:val="0"/>
      <w:marRight w:val="0"/>
      <w:marTop w:val="0"/>
      <w:marBottom w:val="0"/>
      <w:divBdr>
        <w:top w:val="none" w:sz="0" w:space="0" w:color="auto"/>
        <w:left w:val="none" w:sz="0" w:space="0" w:color="auto"/>
        <w:bottom w:val="none" w:sz="0" w:space="0" w:color="auto"/>
        <w:right w:val="none" w:sz="0" w:space="0" w:color="auto"/>
      </w:divBdr>
    </w:div>
    <w:div w:id="859008282">
      <w:bodyDiv w:val="1"/>
      <w:marLeft w:val="0"/>
      <w:marRight w:val="0"/>
      <w:marTop w:val="0"/>
      <w:marBottom w:val="0"/>
      <w:divBdr>
        <w:top w:val="none" w:sz="0" w:space="0" w:color="auto"/>
        <w:left w:val="none" w:sz="0" w:space="0" w:color="auto"/>
        <w:bottom w:val="none" w:sz="0" w:space="0" w:color="auto"/>
        <w:right w:val="none" w:sz="0" w:space="0" w:color="auto"/>
      </w:divBdr>
    </w:div>
    <w:div w:id="921985348">
      <w:bodyDiv w:val="1"/>
      <w:marLeft w:val="0"/>
      <w:marRight w:val="0"/>
      <w:marTop w:val="0"/>
      <w:marBottom w:val="0"/>
      <w:divBdr>
        <w:top w:val="none" w:sz="0" w:space="0" w:color="auto"/>
        <w:left w:val="none" w:sz="0" w:space="0" w:color="auto"/>
        <w:bottom w:val="none" w:sz="0" w:space="0" w:color="auto"/>
        <w:right w:val="none" w:sz="0" w:space="0" w:color="auto"/>
      </w:divBdr>
    </w:div>
    <w:div w:id="1001422576">
      <w:bodyDiv w:val="1"/>
      <w:marLeft w:val="0"/>
      <w:marRight w:val="0"/>
      <w:marTop w:val="0"/>
      <w:marBottom w:val="0"/>
      <w:divBdr>
        <w:top w:val="none" w:sz="0" w:space="0" w:color="auto"/>
        <w:left w:val="none" w:sz="0" w:space="0" w:color="auto"/>
        <w:bottom w:val="none" w:sz="0" w:space="0" w:color="auto"/>
        <w:right w:val="none" w:sz="0" w:space="0" w:color="auto"/>
      </w:divBdr>
    </w:div>
    <w:div w:id="1070999100">
      <w:bodyDiv w:val="1"/>
      <w:marLeft w:val="0"/>
      <w:marRight w:val="0"/>
      <w:marTop w:val="0"/>
      <w:marBottom w:val="0"/>
      <w:divBdr>
        <w:top w:val="none" w:sz="0" w:space="0" w:color="auto"/>
        <w:left w:val="none" w:sz="0" w:space="0" w:color="auto"/>
        <w:bottom w:val="none" w:sz="0" w:space="0" w:color="auto"/>
        <w:right w:val="none" w:sz="0" w:space="0" w:color="auto"/>
      </w:divBdr>
    </w:div>
    <w:div w:id="1119421401">
      <w:bodyDiv w:val="1"/>
      <w:marLeft w:val="0"/>
      <w:marRight w:val="0"/>
      <w:marTop w:val="0"/>
      <w:marBottom w:val="0"/>
      <w:divBdr>
        <w:top w:val="none" w:sz="0" w:space="0" w:color="auto"/>
        <w:left w:val="none" w:sz="0" w:space="0" w:color="auto"/>
        <w:bottom w:val="none" w:sz="0" w:space="0" w:color="auto"/>
        <w:right w:val="none" w:sz="0" w:space="0" w:color="auto"/>
      </w:divBdr>
    </w:div>
    <w:div w:id="1169321788">
      <w:bodyDiv w:val="1"/>
      <w:marLeft w:val="0"/>
      <w:marRight w:val="0"/>
      <w:marTop w:val="0"/>
      <w:marBottom w:val="0"/>
      <w:divBdr>
        <w:top w:val="none" w:sz="0" w:space="0" w:color="auto"/>
        <w:left w:val="none" w:sz="0" w:space="0" w:color="auto"/>
        <w:bottom w:val="none" w:sz="0" w:space="0" w:color="auto"/>
        <w:right w:val="none" w:sz="0" w:space="0" w:color="auto"/>
      </w:divBdr>
    </w:div>
    <w:div w:id="1230338560">
      <w:bodyDiv w:val="1"/>
      <w:marLeft w:val="0"/>
      <w:marRight w:val="0"/>
      <w:marTop w:val="0"/>
      <w:marBottom w:val="0"/>
      <w:divBdr>
        <w:top w:val="none" w:sz="0" w:space="0" w:color="auto"/>
        <w:left w:val="none" w:sz="0" w:space="0" w:color="auto"/>
        <w:bottom w:val="none" w:sz="0" w:space="0" w:color="auto"/>
        <w:right w:val="none" w:sz="0" w:space="0" w:color="auto"/>
      </w:divBdr>
    </w:div>
    <w:div w:id="1234510687">
      <w:bodyDiv w:val="1"/>
      <w:marLeft w:val="0"/>
      <w:marRight w:val="0"/>
      <w:marTop w:val="0"/>
      <w:marBottom w:val="0"/>
      <w:divBdr>
        <w:top w:val="none" w:sz="0" w:space="0" w:color="auto"/>
        <w:left w:val="none" w:sz="0" w:space="0" w:color="auto"/>
        <w:bottom w:val="none" w:sz="0" w:space="0" w:color="auto"/>
        <w:right w:val="none" w:sz="0" w:space="0" w:color="auto"/>
      </w:divBdr>
    </w:div>
    <w:div w:id="1310092442">
      <w:bodyDiv w:val="1"/>
      <w:marLeft w:val="0"/>
      <w:marRight w:val="0"/>
      <w:marTop w:val="0"/>
      <w:marBottom w:val="0"/>
      <w:divBdr>
        <w:top w:val="none" w:sz="0" w:space="0" w:color="auto"/>
        <w:left w:val="none" w:sz="0" w:space="0" w:color="auto"/>
        <w:bottom w:val="none" w:sz="0" w:space="0" w:color="auto"/>
        <w:right w:val="none" w:sz="0" w:space="0" w:color="auto"/>
      </w:divBdr>
      <w:divsChild>
        <w:div w:id="1118446294">
          <w:marLeft w:val="0"/>
          <w:marRight w:val="750"/>
          <w:marTop w:val="570"/>
          <w:marBottom w:val="0"/>
          <w:divBdr>
            <w:top w:val="none" w:sz="0" w:space="0" w:color="auto"/>
            <w:left w:val="none" w:sz="0" w:space="0" w:color="auto"/>
            <w:bottom w:val="none" w:sz="0" w:space="0" w:color="auto"/>
            <w:right w:val="none" w:sz="0" w:space="0" w:color="auto"/>
          </w:divBdr>
        </w:div>
        <w:div w:id="158733876">
          <w:marLeft w:val="0"/>
          <w:marRight w:val="0"/>
          <w:marTop w:val="0"/>
          <w:marBottom w:val="0"/>
          <w:divBdr>
            <w:top w:val="none" w:sz="0" w:space="0" w:color="auto"/>
            <w:left w:val="none" w:sz="0" w:space="0" w:color="auto"/>
            <w:bottom w:val="none" w:sz="0" w:space="0" w:color="auto"/>
            <w:right w:val="none" w:sz="0" w:space="0" w:color="auto"/>
          </w:divBdr>
        </w:div>
      </w:divsChild>
    </w:div>
    <w:div w:id="1324502330">
      <w:bodyDiv w:val="1"/>
      <w:marLeft w:val="0"/>
      <w:marRight w:val="0"/>
      <w:marTop w:val="0"/>
      <w:marBottom w:val="0"/>
      <w:divBdr>
        <w:top w:val="none" w:sz="0" w:space="0" w:color="auto"/>
        <w:left w:val="none" w:sz="0" w:space="0" w:color="auto"/>
        <w:bottom w:val="none" w:sz="0" w:space="0" w:color="auto"/>
        <w:right w:val="none" w:sz="0" w:space="0" w:color="auto"/>
      </w:divBdr>
    </w:div>
    <w:div w:id="1522088347">
      <w:bodyDiv w:val="1"/>
      <w:marLeft w:val="0"/>
      <w:marRight w:val="0"/>
      <w:marTop w:val="0"/>
      <w:marBottom w:val="0"/>
      <w:divBdr>
        <w:top w:val="none" w:sz="0" w:space="0" w:color="auto"/>
        <w:left w:val="none" w:sz="0" w:space="0" w:color="auto"/>
        <w:bottom w:val="none" w:sz="0" w:space="0" w:color="auto"/>
        <w:right w:val="none" w:sz="0" w:space="0" w:color="auto"/>
      </w:divBdr>
    </w:div>
    <w:div w:id="1703240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AD77A-C18B-4EBA-A9E9-8CA92436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8587</Words>
  <Characters>48952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Mellon</dc:creator>
  <cp:lastModifiedBy>Mellon, Yvonne [ymellon]</cp:lastModifiedBy>
  <cp:revision>2</cp:revision>
  <dcterms:created xsi:type="dcterms:W3CDTF">2019-03-25T11:08:00Z</dcterms:created>
  <dcterms:modified xsi:type="dcterms:W3CDTF">2019-03-25T11:08:00Z</dcterms:modified>
</cp:coreProperties>
</file>